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87C" w:rsidP="00BD4848" w:rsidRDefault="008E687C" w14:paraId="60BB15A9" w14:textId="77777777">
      <w:pPr>
        <w:pStyle w:val="BodyText"/>
        <w:ind w:firstLine="0"/>
      </w:pPr>
      <w:bookmarkStart w:name="_GoBack" w:id="0"/>
      <w:bookmarkEnd w:id="0"/>
    </w:p>
    <w:p w:rsidRPr="008B24A0" w:rsidR="00BD4848" w:rsidP="008E687C" w:rsidRDefault="00DD7EDB" w14:paraId="659AFFF0" w14:textId="12CCAFC2">
      <w:pPr>
        <w:pStyle w:val="BodyText"/>
        <w:ind w:firstLine="0"/>
      </w:pPr>
      <w:r>
        <w:t xml:space="preserve">The purpose of this User Guide is to provide instructions </w:t>
      </w:r>
      <w:r w:rsidR="005C51AA">
        <w:t xml:space="preserve">and additional clarification </w:t>
      </w:r>
      <w:r>
        <w:t xml:space="preserve">for respondents to complete </w:t>
      </w:r>
      <w:r w:rsidR="005C51AA">
        <w:t>the Input Spreadsheet as part of the</w:t>
      </w:r>
      <w:r>
        <w:t xml:space="preserve"> Common Metrics </w:t>
      </w:r>
      <w:r w:rsidR="00AA0105">
        <w:t>I</w:t>
      </w:r>
      <w:r>
        <w:t xml:space="preserve">nformation </w:t>
      </w:r>
      <w:r w:rsidR="00AA0105">
        <w:t>C</w:t>
      </w:r>
      <w:r w:rsidR="005C51AA">
        <w:t>ollection</w:t>
      </w:r>
      <w:r w:rsidR="00371567">
        <w:t xml:space="preserve"> (FERC-922, </w:t>
      </w:r>
      <w:r w:rsidRPr="00371567" w:rsidR="00371567">
        <w:t>OMB Control No. 1902-0262</w:t>
      </w:r>
      <w:r w:rsidR="00371567">
        <w:t>, Expiration Date: to be determined</w:t>
      </w:r>
      <w:r w:rsidRPr="00371567" w:rsidR="00371567">
        <w:t>)</w:t>
      </w:r>
      <w:r w:rsidR="00B35024">
        <w:t xml:space="preserve">.  </w:t>
      </w:r>
      <w:r w:rsidRPr="008B24A0" w:rsidR="00BD4848">
        <w:t xml:space="preserve">Please read </w:t>
      </w:r>
      <w:r w:rsidRPr="008B24A0" w:rsidR="00B81533">
        <w:t xml:space="preserve">these instructions in their entirety before </w:t>
      </w:r>
      <w:r w:rsidR="00940C59">
        <w:t xml:space="preserve">completing </w:t>
      </w:r>
      <w:r w:rsidR="00A87CD3">
        <w:t xml:space="preserve">the </w:t>
      </w:r>
      <w:r w:rsidR="00940C59">
        <w:t xml:space="preserve">Information </w:t>
      </w:r>
      <w:r w:rsidR="006E1848">
        <w:t>Collection</w:t>
      </w:r>
      <w:r w:rsidRPr="008B24A0" w:rsidR="00B81533">
        <w:t>.  The instructions are organized as follows</w:t>
      </w:r>
      <w:r w:rsidRPr="008B24A0" w:rsidR="00BD4848">
        <w:t>:</w:t>
      </w:r>
    </w:p>
    <w:sdt>
      <w:sdtPr>
        <w:rPr>
          <w:rFonts w:ascii="Times New Roman" w:hAnsi="Times New Roman" w:eastAsia="Times New Roman" w:cs="Times New Roman"/>
          <w:b w:val="0"/>
          <w:bCs w:val="0"/>
          <w:color w:val="auto"/>
          <w:sz w:val="26"/>
          <w:szCs w:val="24"/>
        </w:rPr>
        <w:id w:val="-630779550"/>
        <w:docPartObj>
          <w:docPartGallery w:val="Table of Contents"/>
          <w:docPartUnique/>
        </w:docPartObj>
      </w:sdtPr>
      <w:sdtEndPr>
        <w:rPr>
          <w:noProof/>
        </w:rPr>
      </w:sdtEndPr>
      <w:sdtContent>
        <w:p w:rsidRPr="00D46A71" w:rsidR="002D2983" w:rsidP="00BA1ED4" w:rsidRDefault="002D2983" w14:paraId="1B9DA83B" w14:textId="22420041">
          <w:pPr>
            <w:pStyle w:val="TOCHeading"/>
            <w:ind w:left="0" w:firstLine="0"/>
            <w:rPr>
              <w:color w:val="auto"/>
            </w:rPr>
          </w:pPr>
          <w:r w:rsidRPr="00D46A71">
            <w:rPr>
              <w:color w:val="auto"/>
            </w:rPr>
            <w:t>Contents</w:t>
          </w:r>
        </w:p>
        <w:p w:rsidR="00E444E6" w:rsidRDefault="002D2983" w14:paraId="1D88CB48" w14:textId="62B96832">
          <w:pPr>
            <w:pStyle w:val="TOC1"/>
            <w:tabs>
              <w:tab w:val="left" w:pos="520"/>
              <w:tab w:val="right" w:leader="dot" w:pos="9350"/>
            </w:tabs>
            <w:rPr>
              <w:rFonts w:asciiTheme="minorHAnsi" w:hAnsiTheme="minorHAnsi" w:eastAsiaTheme="minorEastAsia" w:cstheme="minorBidi"/>
              <w:noProof/>
              <w:sz w:val="22"/>
              <w:szCs w:val="22"/>
            </w:rPr>
          </w:pPr>
          <w:r>
            <w:rPr>
              <w:b/>
              <w:bCs/>
              <w:noProof/>
            </w:rPr>
            <w:fldChar w:fldCharType="begin"/>
          </w:r>
          <w:r>
            <w:rPr>
              <w:b/>
              <w:bCs/>
              <w:noProof/>
            </w:rPr>
            <w:instrText xml:space="preserve"> TOC \o "1-2" \h \z \u </w:instrText>
          </w:r>
          <w:r>
            <w:rPr>
              <w:b/>
              <w:bCs/>
              <w:noProof/>
            </w:rPr>
            <w:fldChar w:fldCharType="separate"/>
          </w:r>
          <w:hyperlink w:history="1" w:anchor="_Toc29457626">
            <w:r w:rsidRPr="00855CBD" w:rsidR="00E444E6">
              <w:rPr>
                <w:rStyle w:val="Hyperlink"/>
                <w:noProof/>
              </w:rPr>
              <w:t>I.</w:t>
            </w:r>
            <w:r w:rsidR="00E444E6">
              <w:rPr>
                <w:rFonts w:asciiTheme="minorHAnsi" w:hAnsiTheme="minorHAnsi" w:eastAsiaTheme="minorEastAsia" w:cstheme="minorBidi"/>
                <w:noProof/>
                <w:sz w:val="22"/>
                <w:szCs w:val="22"/>
              </w:rPr>
              <w:tab/>
            </w:r>
            <w:r w:rsidRPr="00855CBD" w:rsidR="00E444E6">
              <w:rPr>
                <w:rStyle w:val="Hyperlink"/>
                <w:noProof/>
              </w:rPr>
              <w:t>Submission Deadline</w:t>
            </w:r>
            <w:r w:rsidR="00E444E6">
              <w:rPr>
                <w:noProof/>
                <w:webHidden/>
              </w:rPr>
              <w:tab/>
            </w:r>
            <w:r w:rsidR="00E444E6">
              <w:rPr>
                <w:noProof/>
                <w:webHidden/>
              </w:rPr>
              <w:fldChar w:fldCharType="begin"/>
            </w:r>
            <w:r w:rsidR="00E444E6">
              <w:rPr>
                <w:noProof/>
                <w:webHidden/>
              </w:rPr>
              <w:instrText xml:space="preserve"> PAGEREF _Toc29457626 \h </w:instrText>
            </w:r>
            <w:r w:rsidR="00E444E6">
              <w:rPr>
                <w:noProof/>
                <w:webHidden/>
              </w:rPr>
            </w:r>
            <w:r w:rsidR="00E444E6">
              <w:rPr>
                <w:noProof/>
                <w:webHidden/>
              </w:rPr>
              <w:fldChar w:fldCharType="separate"/>
            </w:r>
            <w:r w:rsidR="00E444E6">
              <w:rPr>
                <w:noProof/>
                <w:webHidden/>
              </w:rPr>
              <w:t>1</w:t>
            </w:r>
            <w:r w:rsidR="00E444E6">
              <w:rPr>
                <w:noProof/>
                <w:webHidden/>
              </w:rPr>
              <w:fldChar w:fldCharType="end"/>
            </w:r>
          </w:hyperlink>
        </w:p>
        <w:p w:rsidR="00E444E6" w:rsidRDefault="00AB6C76" w14:paraId="23EB50CA" w14:textId="31B26E7E">
          <w:pPr>
            <w:pStyle w:val="TOC1"/>
            <w:tabs>
              <w:tab w:val="left" w:pos="520"/>
              <w:tab w:val="right" w:leader="dot" w:pos="9350"/>
            </w:tabs>
            <w:rPr>
              <w:rFonts w:asciiTheme="minorHAnsi" w:hAnsiTheme="minorHAnsi" w:eastAsiaTheme="minorEastAsia" w:cstheme="minorBidi"/>
              <w:noProof/>
              <w:sz w:val="22"/>
              <w:szCs w:val="22"/>
            </w:rPr>
          </w:pPr>
          <w:hyperlink w:history="1" w:anchor="_Toc29457627">
            <w:r w:rsidRPr="00855CBD" w:rsidR="00E444E6">
              <w:rPr>
                <w:rStyle w:val="Hyperlink"/>
                <w:noProof/>
              </w:rPr>
              <w:t>II.</w:t>
            </w:r>
            <w:r w:rsidR="00E444E6">
              <w:rPr>
                <w:rFonts w:asciiTheme="minorHAnsi" w:hAnsiTheme="minorHAnsi" w:eastAsiaTheme="minorEastAsia" w:cstheme="minorBidi"/>
                <w:noProof/>
                <w:sz w:val="22"/>
                <w:szCs w:val="22"/>
              </w:rPr>
              <w:tab/>
            </w:r>
            <w:r w:rsidRPr="00855CBD" w:rsidR="00E444E6">
              <w:rPr>
                <w:rStyle w:val="Hyperlink"/>
                <w:noProof/>
              </w:rPr>
              <w:t>Authorization</w:t>
            </w:r>
            <w:r w:rsidR="00E444E6">
              <w:rPr>
                <w:noProof/>
                <w:webHidden/>
              </w:rPr>
              <w:tab/>
            </w:r>
            <w:r w:rsidR="00E444E6">
              <w:rPr>
                <w:noProof/>
                <w:webHidden/>
              </w:rPr>
              <w:fldChar w:fldCharType="begin"/>
            </w:r>
            <w:r w:rsidR="00E444E6">
              <w:rPr>
                <w:noProof/>
                <w:webHidden/>
              </w:rPr>
              <w:instrText xml:space="preserve"> PAGEREF _Toc29457627 \h </w:instrText>
            </w:r>
            <w:r w:rsidR="00E444E6">
              <w:rPr>
                <w:noProof/>
                <w:webHidden/>
              </w:rPr>
            </w:r>
            <w:r w:rsidR="00E444E6">
              <w:rPr>
                <w:noProof/>
                <w:webHidden/>
              </w:rPr>
              <w:fldChar w:fldCharType="separate"/>
            </w:r>
            <w:r w:rsidR="00E444E6">
              <w:rPr>
                <w:noProof/>
                <w:webHidden/>
              </w:rPr>
              <w:t>2</w:t>
            </w:r>
            <w:r w:rsidR="00E444E6">
              <w:rPr>
                <w:noProof/>
                <w:webHidden/>
              </w:rPr>
              <w:fldChar w:fldCharType="end"/>
            </w:r>
          </w:hyperlink>
        </w:p>
        <w:p w:rsidR="00E444E6" w:rsidRDefault="00AB6C76" w14:paraId="158721BD" w14:textId="3E5C1437">
          <w:pPr>
            <w:pStyle w:val="TOC1"/>
            <w:tabs>
              <w:tab w:val="left" w:pos="780"/>
              <w:tab w:val="right" w:leader="dot" w:pos="9350"/>
            </w:tabs>
            <w:rPr>
              <w:rFonts w:asciiTheme="minorHAnsi" w:hAnsiTheme="minorHAnsi" w:eastAsiaTheme="minorEastAsia" w:cstheme="minorBidi"/>
              <w:noProof/>
              <w:sz w:val="22"/>
              <w:szCs w:val="22"/>
            </w:rPr>
          </w:pPr>
          <w:hyperlink w:history="1" w:anchor="_Toc29457628">
            <w:r w:rsidRPr="00855CBD" w:rsidR="00E444E6">
              <w:rPr>
                <w:rStyle w:val="Hyperlink"/>
                <w:noProof/>
              </w:rPr>
              <w:t>III.</w:t>
            </w:r>
            <w:r w:rsidR="00E444E6">
              <w:rPr>
                <w:rFonts w:asciiTheme="minorHAnsi" w:hAnsiTheme="minorHAnsi" w:eastAsiaTheme="minorEastAsia" w:cstheme="minorBidi"/>
                <w:noProof/>
                <w:sz w:val="22"/>
                <w:szCs w:val="22"/>
              </w:rPr>
              <w:tab/>
            </w:r>
            <w:r w:rsidRPr="00855CBD" w:rsidR="00E444E6">
              <w:rPr>
                <w:rStyle w:val="Hyperlink"/>
                <w:noProof/>
              </w:rPr>
              <w:t>Intended Audience: Who Should Answer the Information Collection Request?</w:t>
            </w:r>
            <w:r w:rsidR="00E444E6">
              <w:rPr>
                <w:noProof/>
                <w:webHidden/>
              </w:rPr>
              <w:tab/>
            </w:r>
            <w:r w:rsidR="00E444E6">
              <w:rPr>
                <w:noProof/>
                <w:webHidden/>
              </w:rPr>
              <w:fldChar w:fldCharType="begin"/>
            </w:r>
            <w:r w:rsidR="00E444E6">
              <w:rPr>
                <w:noProof/>
                <w:webHidden/>
              </w:rPr>
              <w:instrText xml:space="preserve"> PAGEREF _Toc29457628 \h </w:instrText>
            </w:r>
            <w:r w:rsidR="00E444E6">
              <w:rPr>
                <w:noProof/>
                <w:webHidden/>
              </w:rPr>
            </w:r>
            <w:r w:rsidR="00E444E6">
              <w:rPr>
                <w:noProof/>
                <w:webHidden/>
              </w:rPr>
              <w:fldChar w:fldCharType="separate"/>
            </w:r>
            <w:r w:rsidR="00E444E6">
              <w:rPr>
                <w:noProof/>
                <w:webHidden/>
              </w:rPr>
              <w:t>2</w:t>
            </w:r>
            <w:r w:rsidR="00E444E6">
              <w:rPr>
                <w:noProof/>
                <w:webHidden/>
              </w:rPr>
              <w:fldChar w:fldCharType="end"/>
            </w:r>
          </w:hyperlink>
        </w:p>
        <w:p w:rsidR="00E444E6" w:rsidRDefault="00AB6C76" w14:paraId="7C2606A7" w14:textId="2052E0FB">
          <w:pPr>
            <w:pStyle w:val="TOC1"/>
            <w:tabs>
              <w:tab w:val="left" w:pos="780"/>
              <w:tab w:val="right" w:leader="dot" w:pos="9350"/>
            </w:tabs>
            <w:rPr>
              <w:rFonts w:asciiTheme="minorHAnsi" w:hAnsiTheme="minorHAnsi" w:eastAsiaTheme="minorEastAsia" w:cstheme="minorBidi"/>
              <w:noProof/>
              <w:sz w:val="22"/>
              <w:szCs w:val="22"/>
            </w:rPr>
          </w:pPr>
          <w:hyperlink w:history="1" w:anchor="_Toc29457629">
            <w:r w:rsidRPr="00855CBD" w:rsidR="00E444E6">
              <w:rPr>
                <w:rStyle w:val="Hyperlink"/>
                <w:noProof/>
              </w:rPr>
              <w:t>IV.</w:t>
            </w:r>
            <w:r w:rsidR="00E444E6">
              <w:rPr>
                <w:rFonts w:asciiTheme="minorHAnsi" w:hAnsiTheme="minorHAnsi" w:eastAsiaTheme="minorEastAsia" w:cstheme="minorBidi"/>
                <w:noProof/>
                <w:sz w:val="22"/>
                <w:szCs w:val="22"/>
              </w:rPr>
              <w:tab/>
            </w:r>
            <w:r w:rsidRPr="00855CBD" w:rsidR="00E444E6">
              <w:rPr>
                <w:rStyle w:val="Hyperlink"/>
                <w:noProof/>
              </w:rPr>
              <w:t>Structure of the Information Collection</w:t>
            </w:r>
            <w:r w:rsidR="00E444E6">
              <w:rPr>
                <w:noProof/>
                <w:webHidden/>
              </w:rPr>
              <w:tab/>
            </w:r>
            <w:r w:rsidR="00E444E6">
              <w:rPr>
                <w:noProof/>
                <w:webHidden/>
              </w:rPr>
              <w:fldChar w:fldCharType="begin"/>
            </w:r>
            <w:r w:rsidR="00E444E6">
              <w:rPr>
                <w:noProof/>
                <w:webHidden/>
              </w:rPr>
              <w:instrText xml:space="preserve"> PAGEREF _Toc29457629 \h </w:instrText>
            </w:r>
            <w:r w:rsidR="00E444E6">
              <w:rPr>
                <w:noProof/>
                <w:webHidden/>
              </w:rPr>
            </w:r>
            <w:r w:rsidR="00E444E6">
              <w:rPr>
                <w:noProof/>
                <w:webHidden/>
              </w:rPr>
              <w:fldChar w:fldCharType="separate"/>
            </w:r>
            <w:r w:rsidR="00E444E6">
              <w:rPr>
                <w:noProof/>
                <w:webHidden/>
              </w:rPr>
              <w:t>2</w:t>
            </w:r>
            <w:r w:rsidR="00E444E6">
              <w:rPr>
                <w:noProof/>
                <w:webHidden/>
              </w:rPr>
              <w:fldChar w:fldCharType="end"/>
            </w:r>
          </w:hyperlink>
        </w:p>
        <w:p w:rsidR="00E444E6" w:rsidRDefault="00AB6C76" w14:paraId="59DA414F" w14:textId="0BCE9506">
          <w:pPr>
            <w:pStyle w:val="TOC2"/>
            <w:tabs>
              <w:tab w:val="left" w:pos="780"/>
              <w:tab w:val="right" w:leader="dot" w:pos="9350"/>
            </w:tabs>
            <w:rPr>
              <w:rFonts w:asciiTheme="minorHAnsi" w:hAnsiTheme="minorHAnsi" w:eastAsiaTheme="minorEastAsia" w:cstheme="minorBidi"/>
              <w:noProof/>
              <w:sz w:val="22"/>
              <w:szCs w:val="22"/>
            </w:rPr>
          </w:pPr>
          <w:hyperlink w:history="1" w:anchor="_Toc29457630">
            <w:r w:rsidRPr="00855CBD" w:rsidR="00E444E6">
              <w:rPr>
                <w:rStyle w:val="Hyperlink"/>
                <w:noProof/>
              </w:rPr>
              <w:t>A.</w:t>
            </w:r>
            <w:r w:rsidR="00E444E6">
              <w:rPr>
                <w:rFonts w:asciiTheme="minorHAnsi" w:hAnsiTheme="minorHAnsi" w:eastAsiaTheme="minorEastAsia" w:cstheme="minorBidi"/>
                <w:noProof/>
                <w:sz w:val="22"/>
                <w:szCs w:val="22"/>
              </w:rPr>
              <w:tab/>
            </w:r>
            <w:r w:rsidRPr="00855CBD" w:rsidR="00E444E6">
              <w:rPr>
                <w:rStyle w:val="Hyperlink"/>
                <w:noProof/>
              </w:rPr>
              <w:t>General Information</w:t>
            </w:r>
            <w:r w:rsidR="00E444E6">
              <w:rPr>
                <w:noProof/>
                <w:webHidden/>
              </w:rPr>
              <w:tab/>
            </w:r>
            <w:r w:rsidR="00E444E6">
              <w:rPr>
                <w:noProof/>
                <w:webHidden/>
              </w:rPr>
              <w:fldChar w:fldCharType="begin"/>
            </w:r>
            <w:r w:rsidR="00E444E6">
              <w:rPr>
                <w:noProof/>
                <w:webHidden/>
              </w:rPr>
              <w:instrText xml:space="preserve"> PAGEREF _Toc29457630 \h </w:instrText>
            </w:r>
            <w:r w:rsidR="00E444E6">
              <w:rPr>
                <w:noProof/>
                <w:webHidden/>
              </w:rPr>
            </w:r>
            <w:r w:rsidR="00E444E6">
              <w:rPr>
                <w:noProof/>
                <w:webHidden/>
              </w:rPr>
              <w:fldChar w:fldCharType="separate"/>
            </w:r>
            <w:r w:rsidR="00E444E6">
              <w:rPr>
                <w:noProof/>
                <w:webHidden/>
              </w:rPr>
              <w:t>2</w:t>
            </w:r>
            <w:r w:rsidR="00E444E6">
              <w:rPr>
                <w:noProof/>
                <w:webHidden/>
              </w:rPr>
              <w:fldChar w:fldCharType="end"/>
            </w:r>
          </w:hyperlink>
        </w:p>
        <w:p w:rsidR="00E444E6" w:rsidRDefault="00AB6C76" w14:paraId="25084B4B" w14:textId="0D8587AB">
          <w:pPr>
            <w:pStyle w:val="TOC2"/>
            <w:tabs>
              <w:tab w:val="left" w:pos="780"/>
              <w:tab w:val="right" w:leader="dot" w:pos="9350"/>
            </w:tabs>
            <w:rPr>
              <w:rFonts w:asciiTheme="minorHAnsi" w:hAnsiTheme="minorHAnsi" w:eastAsiaTheme="minorEastAsia" w:cstheme="minorBidi"/>
              <w:noProof/>
              <w:sz w:val="22"/>
              <w:szCs w:val="22"/>
            </w:rPr>
          </w:pPr>
          <w:hyperlink w:history="1" w:anchor="_Toc29457631">
            <w:r w:rsidRPr="00855CBD" w:rsidR="00E444E6">
              <w:rPr>
                <w:rStyle w:val="Hyperlink"/>
                <w:noProof/>
              </w:rPr>
              <w:t>B.</w:t>
            </w:r>
            <w:r w:rsidR="00E444E6">
              <w:rPr>
                <w:rFonts w:asciiTheme="minorHAnsi" w:hAnsiTheme="minorHAnsi" w:eastAsiaTheme="minorEastAsia" w:cstheme="minorBidi"/>
                <w:noProof/>
                <w:sz w:val="22"/>
                <w:szCs w:val="22"/>
              </w:rPr>
              <w:tab/>
            </w:r>
            <w:r w:rsidRPr="00855CBD" w:rsidR="00E444E6">
              <w:rPr>
                <w:rStyle w:val="Hyperlink"/>
                <w:noProof/>
              </w:rPr>
              <w:t>Where to Send Comments on Public Reporting Burden</w:t>
            </w:r>
            <w:r w:rsidR="00E444E6">
              <w:rPr>
                <w:noProof/>
                <w:webHidden/>
              </w:rPr>
              <w:tab/>
            </w:r>
            <w:r w:rsidR="00E444E6">
              <w:rPr>
                <w:noProof/>
                <w:webHidden/>
              </w:rPr>
              <w:fldChar w:fldCharType="begin"/>
            </w:r>
            <w:r w:rsidR="00E444E6">
              <w:rPr>
                <w:noProof/>
                <w:webHidden/>
              </w:rPr>
              <w:instrText xml:space="preserve"> PAGEREF _Toc29457631 \h </w:instrText>
            </w:r>
            <w:r w:rsidR="00E444E6">
              <w:rPr>
                <w:noProof/>
                <w:webHidden/>
              </w:rPr>
            </w:r>
            <w:r w:rsidR="00E444E6">
              <w:rPr>
                <w:noProof/>
                <w:webHidden/>
              </w:rPr>
              <w:fldChar w:fldCharType="separate"/>
            </w:r>
            <w:r w:rsidR="00E444E6">
              <w:rPr>
                <w:noProof/>
                <w:webHidden/>
              </w:rPr>
              <w:t>3</w:t>
            </w:r>
            <w:r w:rsidR="00E444E6">
              <w:rPr>
                <w:noProof/>
                <w:webHidden/>
              </w:rPr>
              <w:fldChar w:fldCharType="end"/>
            </w:r>
          </w:hyperlink>
        </w:p>
        <w:p w:rsidR="00E444E6" w:rsidRDefault="00AB6C76" w14:paraId="4A3D3CAF" w14:textId="4B6824D2">
          <w:pPr>
            <w:pStyle w:val="TOC2"/>
            <w:tabs>
              <w:tab w:val="left" w:pos="780"/>
              <w:tab w:val="right" w:leader="dot" w:pos="9350"/>
            </w:tabs>
            <w:rPr>
              <w:rFonts w:asciiTheme="minorHAnsi" w:hAnsiTheme="minorHAnsi" w:eastAsiaTheme="minorEastAsia" w:cstheme="minorBidi"/>
              <w:noProof/>
              <w:sz w:val="22"/>
              <w:szCs w:val="22"/>
            </w:rPr>
          </w:pPr>
          <w:hyperlink w:history="1" w:anchor="_Toc29457632">
            <w:r w:rsidRPr="00855CBD" w:rsidR="00E444E6">
              <w:rPr>
                <w:rStyle w:val="Hyperlink"/>
                <w:noProof/>
              </w:rPr>
              <w:t>C.</w:t>
            </w:r>
            <w:r w:rsidR="00E444E6">
              <w:rPr>
                <w:rFonts w:asciiTheme="minorHAnsi" w:hAnsiTheme="minorHAnsi" w:eastAsiaTheme="minorEastAsia" w:cstheme="minorBidi"/>
                <w:noProof/>
                <w:sz w:val="22"/>
                <w:szCs w:val="22"/>
              </w:rPr>
              <w:tab/>
            </w:r>
            <w:r w:rsidRPr="00855CBD" w:rsidR="00E444E6">
              <w:rPr>
                <w:rStyle w:val="Hyperlink"/>
                <w:noProof/>
              </w:rPr>
              <w:t>The Instructions Worksheet</w:t>
            </w:r>
            <w:r w:rsidR="00E444E6">
              <w:rPr>
                <w:noProof/>
                <w:webHidden/>
              </w:rPr>
              <w:tab/>
            </w:r>
            <w:r w:rsidR="00E444E6">
              <w:rPr>
                <w:noProof/>
                <w:webHidden/>
              </w:rPr>
              <w:fldChar w:fldCharType="begin"/>
            </w:r>
            <w:r w:rsidR="00E444E6">
              <w:rPr>
                <w:noProof/>
                <w:webHidden/>
              </w:rPr>
              <w:instrText xml:space="preserve"> PAGEREF _Toc29457632 \h </w:instrText>
            </w:r>
            <w:r w:rsidR="00E444E6">
              <w:rPr>
                <w:noProof/>
                <w:webHidden/>
              </w:rPr>
            </w:r>
            <w:r w:rsidR="00E444E6">
              <w:rPr>
                <w:noProof/>
                <w:webHidden/>
              </w:rPr>
              <w:fldChar w:fldCharType="separate"/>
            </w:r>
            <w:r w:rsidR="00E444E6">
              <w:rPr>
                <w:noProof/>
                <w:webHidden/>
              </w:rPr>
              <w:t>3</w:t>
            </w:r>
            <w:r w:rsidR="00E444E6">
              <w:rPr>
                <w:noProof/>
                <w:webHidden/>
              </w:rPr>
              <w:fldChar w:fldCharType="end"/>
            </w:r>
          </w:hyperlink>
        </w:p>
        <w:p w:rsidR="00E444E6" w:rsidRDefault="00AB6C76" w14:paraId="2A4DE782" w14:textId="45219220">
          <w:pPr>
            <w:pStyle w:val="TOC2"/>
            <w:tabs>
              <w:tab w:val="left" w:pos="780"/>
              <w:tab w:val="right" w:leader="dot" w:pos="9350"/>
            </w:tabs>
            <w:rPr>
              <w:rFonts w:asciiTheme="minorHAnsi" w:hAnsiTheme="minorHAnsi" w:eastAsiaTheme="minorEastAsia" w:cstheme="minorBidi"/>
              <w:noProof/>
              <w:sz w:val="22"/>
              <w:szCs w:val="22"/>
            </w:rPr>
          </w:pPr>
          <w:hyperlink w:history="1" w:anchor="_Toc29457633">
            <w:r w:rsidRPr="00855CBD" w:rsidR="00E444E6">
              <w:rPr>
                <w:rStyle w:val="Hyperlink"/>
                <w:noProof/>
              </w:rPr>
              <w:t>D.</w:t>
            </w:r>
            <w:r w:rsidR="00E444E6">
              <w:rPr>
                <w:rFonts w:asciiTheme="minorHAnsi" w:hAnsiTheme="minorHAnsi" w:eastAsiaTheme="minorEastAsia" w:cstheme="minorBidi"/>
                <w:noProof/>
                <w:sz w:val="22"/>
                <w:szCs w:val="22"/>
              </w:rPr>
              <w:tab/>
            </w:r>
            <w:r w:rsidRPr="00855CBD" w:rsidR="00E444E6">
              <w:rPr>
                <w:rStyle w:val="Hyperlink"/>
                <w:noProof/>
              </w:rPr>
              <w:t>The Data Worksheets</w:t>
            </w:r>
            <w:r w:rsidR="00E444E6">
              <w:rPr>
                <w:noProof/>
                <w:webHidden/>
              </w:rPr>
              <w:tab/>
            </w:r>
            <w:r w:rsidR="00E444E6">
              <w:rPr>
                <w:noProof/>
                <w:webHidden/>
              </w:rPr>
              <w:fldChar w:fldCharType="begin"/>
            </w:r>
            <w:r w:rsidR="00E444E6">
              <w:rPr>
                <w:noProof/>
                <w:webHidden/>
              </w:rPr>
              <w:instrText xml:space="preserve"> PAGEREF _Toc29457633 \h </w:instrText>
            </w:r>
            <w:r w:rsidR="00E444E6">
              <w:rPr>
                <w:noProof/>
                <w:webHidden/>
              </w:rPr>
            </w:r>
            <w:r w:rsidR="00E444E6">
              <w:rPr>
                <w:noProof/>
                <w:webHidden/>
              </w:rPr>
              <w:fldChar w:fldCharType="separate"/>
            </w:r>
            <w:r w:rsidR="00E444E6">
              <w:rPr>
                <w:noProof/>
                <w:webHidden/>
              </w:rPr>
              <w:t>3</w:t>
            </w:r>
            <w:r w:rsidR="00E444E6">
              <w:rPr>
                <w:noProof/>
                <w:webHidden/>
              </w:rPr>
              <w:fldChar w:fldCharType="end"/>
            </w:r>
          </w:hyperlink>
        </w:p>
        <w:p w:rsidR="00E444E6" w:rsidRDefault="00AB6C76" w14:paraId="09B72937" w14:textId="0C257059">
          <w:pPr>
            <w:pStyle w:val="TOC2"/>
            <w:tabs>
              <w:tab w:val="left" w:pos="780"/>
              <w:tab w:val="right" w:leader="dot" w:pos="9350"/>
            </w:tabs>
            <w:rPr>
              <w:rFonts w:asciiTheme="minorHAnsi" w:hAnsiTheme="minorHAnsi" w:eastAsiaTheme="minorEastAsia" w:cstheme="minorBidi"/>
              <w:noProof/>
              <w:sz w:val="22"/>
              <w:szCs w:val="22"/>
            </w:rPr>
          </w:pPr>
          <w:hyperlink w:history="1" w:anchor="_Toc29457634">
            <w:r w:rsidRPr="00855CBD" w:rsidR="00E444E6">
              <w:rPr>
                <w:rStyle w:val="Hyperlink"/>
                <w:noProof/>
              </w:rPr>
              <w:t>E.</w:t>
            </w:r>
            <w:r w:rsidR="00E444E6">
              <w:rPr>
                <w:rFonts w:asciiTheme="minorHAnsi" w:hAnsiTheme="minorHAnsi" w:eastAsiaTheme="minorEastAsia" w:cstheme="minorBidi"/>
                <w:noProof/>
                <w:sz w:val="22"/>
                <w:szCs w:val="22"/>
              </w:rPr>
              <w:tab/>
            </w:r>
            <w:r w:rsidRPr="00855CBD" w:rsidR="00E444E6">
              <w:rPr>
                <w:rStyle w:val="Hyperlink"/>
                <w:noProof/>
              </w:rPr>
              <w:t>Three Types of Metrics and Three Groups of Respondents</w:t>
            </w:r>
            <w:r w:rsidR="00E444E6">
              <w:rPr>
                <w:noProof/>
                <w:webHidden/>
              </w:rPr>
              <w:tab/>
            </w:r>
            <w:r w:rsidR="00E444E6">
              <w:rPr>
                <w:noProof/>
                <w:webHidden/>
              </w:rPr>
              <w:fldChar w:fldCharType="begin"/>
            </w:r>
            <w:r w:rsidR="00E444E6">
              <w:rPr>
                <w:noProof/>
                <w:webHidden/>
              </w:rPr>
              <w:instrText xml:space="preserve"> PAGEREF _Toc29457634 \h </w:instrText>
            </w:r>
            <w:r w:rsidR="00E444E6">
              <w:rPr>
                <w:noProof/>
                <w:webHidden/>
              </w:rPr>
            </w:r>
            <w:r w:rsidR="00E444E6">
              <w:rPr>
                <w:noProof/>
                <w:webHidden/>
              </w:rPr>
              <w:fldChar w:fldCharType="separate"/>
            </w:r>
            <w:r w:rsidR="00E444E6">
              <w:rPr>
                <w:noProof/>
                <w:webHidden/>
              </w:rPr>
              <w:t>4</w:t>
            </w:r>
            <w:r w:rsidR="00E444E6">
              <w:rPr>
                <w:noProof/>
                <w:webHidden/>
              </w:rPr>
              <w:fldChar w:fldCharType="end"/>
            </w:r>
          </w:hyperlink>
        </w:p>
        <w:p w:rsidR="00E444E6" w:rsidRDefault="00AB6C76" w14:paraId="52B4E54B" w14:textId="2982250E">
          <w:pPr>
            <w:pStyle w:val="TOC1"/>
            <w:tabs>
              <w:tab w:val="left" w:pos="520"/>
              <w:tab w:val="right" w:leader="dot" w:pos="9350"/>
            </w:tabs>
            <w:rPr>
              <w:rFonts w:asciiTheme="minorHAnsi" w:hAnsiTheme="minorHAnsi" w:eastAsiaTheme="minorEastAsia" w:cstheme="minorBidi"/>
              <w:noProof/>
              <w:sz w:val="22"/>
              <w:szCs w:val="22"/>
            </w:rPr>
          </w:pPr>
          <w:hyperlink w:history="1" w:anchor="_Toc29457635">
            <w:r w:rsidRPr="00855CBD" w:rsidR="00E444E6">
              <w:rPr>
                <w:rStyle w:val="Hyperlink"/>
                <w:noProof/>
              </w:rPr>
              <w:t>V.</w:t>
            </w:r>
            <w:r w:rsidR="00E444E6">
              <w:rPr>
                <w:rFonts w:asciiTheme="minorHAnsi" w:hAnsiTheme="minorHAnsi" w:eastAsiaTheme="minorEastAsia" w:cstheme="minorBidi"/>
                <w:noProof/>
                <w:sz w:val="22"/>
                <w:szCs w:val="22"/>
              </w:rPr>
              <w:tab/>
            </w:r>
            <w:r w:rsidRPr="00855CBD" w:rsidR="00E444E6">
              <w:rPr>
                <w:rStyle w:val="Hyperlink"/>
                <w:noProof/>
              </w:rPr>
              <w:t>How to Complete the Information Collection</w:t>
            </w:r>
            <w:r w:rsidR="00E444E6">
              <w:rPr>
                <w:noProof/>
                <w:webHidden/>
              </w:rPr>
              <w:tab/>
            </w:r>
            <w:r w:rsidR="00E444E6">
              <w:rPr>
                <w:noProof/>
                <w:webHidden/>
              </w:rPr>
              <w:fldChar w:fldCharType="begin"/>
            </w:r>
            <w:r w:rsidR="00E444E6">
              <w:rPr>
                <w:noProof/>
                <w:webHidden/>
              </w:rPr>
              <w:instrText xml:space="preserve"> PAGEREF _Toc29457635 \h </w:instrText>
            </w:r>
            <w:r w:rsidR="00E444E6">
              <w:rPr>
                <w:noProof/>
                <w:webHidden/>
              </w:rPr>
            </w:r>
            <w:r w:rsidR="00E444E6">
              <w:rPr>
                <w:noProof/>
                <w:webHidden/>
              </w:rPr>
              <w:fldChar w:fldCharType="separate"/>
            </w:r>
            <w:r w:rsidR="00E444E6">
              <w:rPr>
                <w:noProof/>
                <w:webHidden/>
              </w:rPr>
              <w:t>6</w:t>
            </w:r>
            <w:r w:rsidR="00E444E6">
              <w:rPr>
                <w:noProof/>
                <w:webHidden/>
              </w:rPr>
              <w:fldChar w:fldCharType="end"/>
            </w:r>
          </w:hyperlink>
        </w:p>
        <w:p w:rsidR="00E444E6" w:rsidRDefault="00AB6C76" w14:paraId="00CD3E93" w14:textId="3EBE4247">
          <w:pPr>
            <w:pStyle w:val="TOC2"/>
            <w:tabs>
              <w:tab w:val="left" w:pos="780"/>
              <w:tab w:val="right" w:leader="dot" w:pos="9350"/>
            </w:tabs>
            <w:rPr>
              <w:rFonts w:asciiTheme="minorHAnsi" w:hAnsiTheme="minorHAnsi" w:eastAsiaTheme="minorEastAsia" w:cstheme="minorBidi"/>
              <w:noProof/>
              <w:sz w:val="22"/>
              <w:szCs w:val="22"/>
            </w:rPr>
          </w:pPr>
          <w:hyperlink w:history="1" w:anchor="_Toc29457636">
            <w:r w:rsidRPr="00855CBD" w:rsidR="00E444E6">
              <w:rPr>
                <w:rStyle w:val="Hyperlink"/>
                <w:noProof/>
              </w:rPr>
              <w:t>A.</w:t>
            </w:r>
            <w:r w:rsidR="00E444E6">
              <w:rPr>
                <w:rFonts w:asciiTheme="minorHAnsi" w:hAnsiTheme="minorHAnsi" w:eastAsiaTheme="minorEastAsia" w:cstheme="minorBidi"/>
                <w:noProof/>
                <w:sz w:val="22"/>
                <w:szCs w:val="22"/>
              </w:rPr>
              <w:tab/>
            </w:r>
            <w:r w:rsidRPr="00855CBD" w:rsidR="00E444E6">
              <w:rPr>
                <w:rStyle w:val="Hyperlink"/>
                <w:noProof/>
              </w:rPr>
              <w:t>General Directions</w:t>
            </w:r>
            <w:r w:rsidR="00E444E6">
              <w:rPr>
                <w:noProof/>
                <w:webHidden/>
              </w:rPr>
              <w:tab/>
            </w:r>
            <w:r w:rsidR="00E444E6">
              <w:rPr>
                <w:noProof/>
                <w:webHidden/>
              </w:rPr>
              <w:fldChar w:fldCharType="begin"/>
            </w:r>
            <w:r w:rsidR="00E444E6">
              <w:rPr>
                <w:noProof/>
                <w:webHidden/>
              </w:rPr>
              <w:instrText xml:space="preserve"> PAGEREF _Toc29457636 \h </w:instrText>
            </w:r>
            <w:r w:rsidR="00E444E6">
              <w:rPr>
                <w:noProof/>
                <w:webHidden/>
              </w:rPr>
            </w:r>
            <w:r w:rsidR="00E444E6">
              <w:rPr>
                <w:noProof/>
                <w:webHidden/>
              </w:rPr>
              <w:fldChar w:fldCharType="separate"/>
            </w:r>
            <w:r w:rsidR="00E444E6">
              <w:rPr>
                <w:noProof/>
                <w:webHidden/>
              </w:rPr>
              <w:t>6</w:t>
            </w:r>
            <w:r w:rsidR="00E444E6">
              <w:rPr>
                <w:noProof/>
                <w:webHidden/>
              </w:rPr>
              <w:fldChar w:fldCharType="end"/>
            </w:r>
          </w:hyperlink>
        </w:p>
        <w:p w:rsidR="00E444E6" w:rsidRDefault="00AB6C76" w14:paraId="5CE63616" w14:textId="03C5E26B">
          <w:pPr>
            <w:pStyle w:val="TOC2"/>
            <w:tabs>
              <w:tab w:val="left" w:pos="780"/>
              <w:tab w:val="right" w:leader="dot" w:pos="9350"/>
            </w:tabs>
            <w:rPr>
              <w:rFonts w:asciiTheme="minorHAnsi" w:hAnsiTheme="minorHAnsi" w:eastAsiaTheme="minorEastAsia" w:cstheme="minorBidi"/>
              <w:noProof/>
              <w:sz w:val="22"/>
              <w:szCs w:val="22"/>
            </w:rPr>
          </w:pPr>
          <w:hyperlink w:history="1" w:anchor="_Toc29457637">
            <w:r w:rsidRPr="00855CBD" w:rsidR="00E444E6">
              <w:rPr>
                <w:rStyle w:val="Hyperlink"/>
                <w:noProof/>
              </w:rPr>
              <w:t>B.</w:t>
            </w:r>
            <w:r w:rsidR="00E444E6">
              <w:rPr>
                <w:rFonts w:asciiTheme="minorHAnsi" w:hAnsiTheme="minorHAnsi" w:eastAsiaTheme="minorEastAsia" w:cstheme="minorBidi"/>
                <w:noProof/>
                <w:sz w:val="22"/>
                <w:szCs w:val="22"/>
              </w:rPr>
              <w:tab/>
            </w:r>
            <w:r w:rsidRPr="00855CBD" w:rsidR="00E444E6">
              <w:rPr>
                <w:rStyle w:val="Hyperlink"/>
                <w:noProof/>
              </w:rPr>
              <w:t>Entering Contact Information</w:t>
            </w:r>
            <w:r w:rsidR="00E444E6">
              <w:rPr>
                <w:noProof/>
                <w:webHidden/>
              </w:rPr>
              <w:tab/>
            </w:r>
            <w:r w:rsidR="00E444E6">
              <w:rPr>
                <w:noProof/>
                <w:webHidden/>
              </w:rPr>
              <w:fldChar w:fldCharType="begin"/>
            </w:r>
            <w:r w:rsidR="00E444E6">
              <w:rPr>
                <w:noProof/>
                <w:webHidden/>
              </w:rPr>
              <w:instrText xml:space="preserve"> PAGEREF _Toc29457637 \h </w:instrText>
            </w:r>
            <w:r w:rsidR="00E444E6">
              <w:rPr>
                <w:noProof/>
                <w:webHidden/>
              </w:rPr>
            </w:r>
            <w:r w:rsidR="00E444E6">
              <w:rPr>
                <w:noProof/>
                <w:webHidden/>
              </w:rPr>
              <w:fldChar w:fldCharType="separate"/>
            </w:r>
            <w:r w:rsidR="00E444E6">
              <w:rPr>
                <w:noProof/>
                <w:webHidden/>
              </w:rPr>
              <w:t>8</w:t>
            </w:r>
            <w:r w:rsidR="00E444E6">
              <w:rPr>
                <w:noProof/>
                <w:webHidden/>
              </w:rPr>
              <w:fldChar w:fldCharType="end"/>
            </w:r>
          </w:hyperlink>
        </w:p>
        <w:p w:rsidR="00E444E6" w:rsidRDefault="00AB6C76" w14:paraId="06B5DC0A" w14:textId="0A03AEC2">
          <w:pPr>
            <w:pStyle w:val="TOC2"/>
            <w:tabs>
              <w:tab w:val="left" w:pos="780"/>
              <w:tab w:val="right" w:leader="dot" w:pos="9350"/>
            </w:tabs>
            <w:rPr>
              <w:rFonts w:asciiTheme="minorHAnsi" w:hAnsiTheme="minorHAnsi" w:eastAsiaTheme="minorEastAsia" w:cstheme="minorBidi"/>
              <w:noProof/>
              <w:sz w:val="22"/>
              <w:szCs w:val="22"/>
            </w:rPr>
          </w:pPr>
          <w:hyperlink w:history="1" w:anchor="_Toc29457638">
            <w:r w:rsidRPr="00855CBD" w:rsidR="00E444E6">
              <w:rPr>
                <w:rStyle w:val="Hyperlink"/>
                <w:noProof/>
              </w:rPr>
              <w:t>C.</w:t>
            </w:r>
            <w:r w:rsidR="00E444E6">
              <w:rPr>
                <w:rFonts w:asciiTheme="minorHAnsi" w:hAnsiTheme="minorHAnsi" w:eastAsiaTheme="minorEastAsia" w:cstheme="minorBidi"/>
                <w:noProof/>
                <w:sz w:val="22"/>
                <w:szCs w:val="22"/>
              </w:rPr>
              <w:tab/>
            </w:r>
            <w:r w:rsidRPr="00855CBD" w:rsidR="00E444E6">
              <w:rPr>
                <w:rStyle w:val="Hyperlink"/>
                <w:noProof/>
              </w:rPr>
              <w:t>Reporting Period</w:t>
            </w:r>
            <w:r w:rsidR="00E444E6">
              <w:rPr>
                <w:noProof/>
                <w:webHidden/>
              </w:rPr>
              <w:tab/>
            </w:r>
            <w:r w:rsidR="00E444E6">
              <w:rPr>
                <w:noProof/>
                <w:webHidden/>
              </w:rPr>
              <w:fldChar w:fldCharType="begin"/>
            </w:r>
            <w:r w:rsidR="00E444E6">
              <w:rPr>
                <w:noProof/>
                <w:webHidden/>
              </w:rPr>
              <w:instrText xml:space="preserve"> PAGEREF _Toc29457638 \h </w:instrText>
            </w:r>
            <w:r w:rsidR="00E444E6">
              <w:rPr>
                <w:noProof/>
                <w:webHidden/>
              </w:rPr>
            </w:r>
            <w:r w:rsidR="00E444E6">
              <w:rPr>
                <w:noProof/>
                <w:webHidden/>
              </w:rPr>
              <w:fldChar w:fldCharType="separate"/>
            </w:r>
            <w:r w:rsidR="00E444E6">
              <w:rPr>
                <w:noProof/>
                <w:webHidden/>
              </w:rPr>
              <w:t>8</w:t>
            </w:r>
            <w:r w:rsidR="00E444E6">
              <w:rPr>
                <w:noProof/>
                <w:webHidden/>
              </w:rPr>
              <w:fldChar w:fldCharType="end"/>
            </w:r>
          </w:hyperlink>
        </w:p>
        <w:p w:rsidR="00E444E6" w:rsidRDefault="00AB6C76" w14:paraId="09C715BF" w14:textId="435E4965">
          <w:pPr>
            <w:pStyle w:val="TOC2"/>
            <w:tabs>
              <w:tab w:val="left" w:pos="780"/>
              <w:tab w:val="right" w:leader="dot" w:pos="9350"/>
            </w:tabs>
            <w:rPr>
              <w:rFonts w:asciiTheme="minorHAnsi" w:hAnsiTheme="minorHAnsi" w:eastAsiaTheme="minorEastAsia" w:cstheme="minorBidi"/>
              <w:noProof/>
              <w:sz w:val="22"/>
              <w:szCs w:val="22"/>
            </w:rPr>
          </w:pPr>
          <w:hyperlink w:history="1" w:anchor="_Toc29457639">
            <w:r w:rsidRPr="00855CBD" w:rsidR="00E444E6">
              <w:rPr>
                <w:rStyle w:val="Hyperlink"/>
                <w:noProof/>
              </w:rPr>
              <w:t>D.</w:t>
            </w:r>
            <w:r w:rsidR="00E444E6">
              <w:rPr>
                <w:rFonts w:asciiTheme="minorHAnsi" w:hAnsiTheme="minorHAnsi" w:eastAsiaTheme="minorEastAsia" w:cstheme="minorBidi"/>
                <w:noProof/>
                <w:sz w:val="22"/>
                <w:szCs w:val="22"/>
              </w:rPr>
              <w:tab/>
            </w:r>
            <w:r w:rsidRPr="00855CBD" w:rsidR="00E444E6">
              <w:rPr>
                <w:rStyle w:val="Hyperlink"/>
                <w:noProof/>
              </w:rPr>
              <w:t>Entering Zonal Data</w:t>
            </w:r>
            <w:r w:rsidR="00E444E6">
              <w:rPr>
                <w:noProof/>
                <w:webHidden/>
              </w:rPr>
              <w:tab/>
            </w:r>
            <w:r w:rsidR="00E444E6">
              <w:rPr>
                <w:noProof/>
                <w:webHidden/>
              </w:rPr>
              <w:fldChar w:fldCharType="begin"/>
            </w:r>
            <w:r w:rsidR="00E444E6">
              <w:rPr>
                <w:noProof/>
                <w:webHidden/>
              </w:rPr>
              <w:instrText xml:space="preserve"> PAGEREF _Toc29457639 \h </w:instrText>
            </w:r>
            <w:r w:rsidR="00E444E6">
              <w:rPr>
                <w:noProof/>
                <w:webHidden/>
              </w:rPr>
            </w:r>
            <w:r w:rsidR="00E444E6">
              <w:rPr>
                <w:noProof/>
                <w:webHidden/>
              </w:rPr>
              <w:fldChar w:fldCharType="separate"/>
            </w:r>
            <w:r w:rsidR="00E444E6">
              <w:rPr>
                <w:noProof/>
                <w:webHidden/>
              </w:rPr>
              <w:t>9</w:t>
            </w:r>
            <w:r w:rsidR="00E444E6">
              <w:rPr>
                <w:noProof/>
                <w:webHidden/>
              </w:rPr>
              <w:fldChar w:fldCharType="end"/>
            </w:r>
          </w:hyperlink>
        </w:p>
        <w:p w:rsidR="00E444E6" w:rsidRDefault="00AB6C76" w14:paraId="3599F703" w14:textId="4298E665">
          <w:pPr>
            <w:pStyle w:val="TOC1"/>
            <w:tabs>
              <w:tab w:val="left" w:pos="780"/>
              <w:tab w:val="right" w:leader="dot" w:pos="9350"/>
            </w:tabs>
            <w:rPr>
              <w:rFonts w:asciiTheme="minorHAnsi" w:hAnsiTheme="minorHAnsi" w:eastAsiaTheme="minorEastAsia" w:cstheme="minorBidi"/>
              <w:noProof/>
              <w:sz w:val="22"/>
              <w:szCs w:val="22"/>
            </w:rPr>
          </w:pPr>
          <w:hyperlink w:history="1" w:anchor="_Toc29457640">
            <w:r w:rsidRPr="00855CBD" w:rsidR="00E444E6">
              <w:rPr>
                <w:rStyle w:val="Hyperlink"/>
                <w:noProof/>
              </w:rPr>
              <w:t>VI.</w:t>
            </w:r>
            <w:r w:rsidR="00E444E6">
              <w:rPr>
                <w:rFonts w:asciiTheme="minorHAnsi" w:hAnsiTheme="minorHAnsi" w:eastAsiaTheme="minorEastAsia" w:cstheme="minorBidi"/>
                <w:noProof/>
                <w:sz w:val="22"/>
                <w:szCs w:val="22"/>
              </w:rPr>
              <w:tab/>
            </w:r>
            <w:r w:rsidRPr="00855CBD" w:rsidR="00E444E6">
              <w:rPr>
                <w:rStyle w:val="Hyperlink"/>
                <w:noProof/>
              </w:rPr>
              <w:t>Metrics</w:t>
            </w:r>
            <w:r w:rsidR="00E444E6">
              <w:rPr>
                <w:noProof/>
                <w:webHidden/>
              </w:rPr>
              <w:tab/>
            </w:r>
            <w:r w:rsidR="00E444E6">
              <w:rPr>
                <w:noProof/>
                <w:webHidden/>
              </w:rPr>
              <w:fldChar w:fldCharType="begin"/>
            </w:r>
            <w:r w:rsidR="00E444E6">
              <w:rPr>
                <w:noProof/>
                <w:webHidden/>
              </w:rPr>
              <w:instrText xml:space="preserve"> PAGEREF _Toc29457640 \h </w:instrText>
            </w:r>
            <w:r w:rsidR="00E444E6">
              <w:rPr>
                <w:noProof/>
                <w:webHidden/>
              </w:rPr>
            </w:r>
            <w:r w:rsidR="00E444E6">
              <w:rPr>
                <w:noProof/>
                <w:webHidden/>
              </w:rPr>
              <w:fldChar w:fldCharType="separate"/>
            </w:r>
            <w:r w:rsidR="00E444E6">
              <w:rPr>
                <w:noProof/>
                <w:webHidden/>
              </w:rPr>
              <w:t>9</w:t>
            </w:r>
            <w:r w:rsidR="00E444E6">
              <w:rPr>
                <w:noProof/>
                <w:webHidden/>
              </w:rPr>
              <w:fldChar w:fldCharType="end"/>
            </w:r>
          </w:hyperlink>
        </w:p>
        <w:p w:rsidR="00E444E6" w:rsidRDefault="00AB6C76" w14:paraId="6EA5F186" w14:textId="487C6DA6">
          <w:pPr>
            <w:pStyle w:val="TOC2"/>
            <w:tabs>
              <w:tab w:val="right" w:leader="dot" w:pos="9350"/>
            </w:tabs>
            <w:rPr>
              <w:rFonts w:asciiTheme="minorHAnsi" w:hAnsiTheme="minorHAnsi" w:eastAsiaTheme="minorEastAsia" w:cstheme="minorBidi"/>
              <w:noProof/>
              <w:sz w:val="22"/>
              <w:szCs w:val="22"/>
            </w:rPr>
          </w:pPr>
          <w:hyperlink w:history="1" w:anchor="_Toc29457641">
            <w:r w:rsidRPr="00855CBD" w:rsidR="00E444E6">
              <w:rPr>
                <w:rStyle w:val="Hyperlink"/>
                <w:noProof/>
              </w:rPr>
              <w:t>Appendix A - Entering Zonal Data</w:t>
            </w:r>
            <w:r w:rsidR="00E444E6">
              <w:rPr>
                <w:noProof/>
                <w:webHidden/>
              </w:rPr>
              <w:tab/>
            </w:r>
            <w:r w:rsidR="00E444E6">
              <w:rPr>
                <w:noProof/>
                <w:webHidden/>
              </w:rPr>
              <w:fldChar w:fldCharType="begin"/>
            </w:r>
            <w:r w:rsidR="00E444E6">
              <w:rPr>
                <w:noProof/>
                <w:webHidden/>
              </w:rPr>
              <w:instrText xml:space="preserve"> PAGEREF _Toc29457641 \h </w:instrText>
            </w:r>
            <w:r w:rsidR="00E444E6">
              <w:rPr>
                <w:noProof/>
                <w:webHidden/>
              </w:rPr>
            </w:r>
            <w:r w:rsidR="00E444E6">
              <w:rPr>
                <w:noProof/>
                <w:webHidden/>
              </w:rPr>
              <w:fldChar w:fldCharType="separate"/>
            </w:r>
            <w:r w:rsidR="00E444E6">
              <w:rPr>
                <w:noProof/>
                <w:webHidden/>
              </w:rPr>
              <w:t>25</w:t>
            </w:r>
            <w:r w:rsidR="00E444E6">
              <w:rPr>
                <w:noProof/>
                <w:webHidden/>
              </w:rPr>
              <w:fldChar w:fldCharType="end"/>
            </w:r>
          </w:hyperlink>
        </w:p>
        <w:p w:rsidR="00E444E6" w:rsidRDefault="00AB6C76" w14:paraId="6F2F8DCC" w14:textId="113CFF75">
          <w:pPr>
            <w:pStyle w:val="TOC2"/>
            <w:tabs>
              <w:tab w:val="right" w:leader="dot" w:pos="9350"/>
            </w:tabs>
            <w:rPr>
              <w:rFonts w:asciiTheme="minorHAnsi" w:hAnsiTheme="minorHAnsi" w:eastAsiaTheme="minorEastAsia" w:cstheme="minorBidi"/>
              <w:noProof/>
              <w:sz w:val="22"/>
              <w:szCs w:val="22"/>
            </w:rPr>
          </w:pPr>
          <w:hyperlink w:history="1" w:anchor="_Toc29457642">
            <w:r w:rsidRPr="00855CBD" w:rsidR="00E444E6">
              <w:rPr>
                <w:rStyle w:val="Hyperlink"/>
                <w:noProof/>
              </w:rPr>
              <w:t>Appendix B - EIA Fuel Codes</w:t>
            </w:r>
            <w:r w:rsidR="00E444E6">
              <w:rPr>
                <w:noProof/>
                <w:webHidden/>
              </w:rPr>
              <w:tab/>
            </w:r>
            <w:r w:rsidR="00E444E6">
              <w:rPr>
                <w:noProof/>
                <w:webHidden/>
              </w:rPr>
              <w:fldChar w:fldCharType="begin"/>
            </w:r>
            <w:r w:rsidR="00E444E6">
              <w:rPr>
                <w:noProof/>
                <w:webHidden/>
              </w:rPr>
              <w:instrText xml:space="preserve"> PAGEREF _Toc29457642 \h </w:instrText>
            </w:r>
            <w:r w:rsidR="00E444E6">
              <w:rPr>
                <w:noProof/>
                <w:webHidden/>
              </w:rPr>
            </w:r>
            <w:r w:rsidR="00E444E6">
              <w:rPr>
                <w:noProof/>
                <w:webHidden/>
              </w:rPr>
              <w:fldChar w:fldCharType="separate"/>
            </w:r>
            <w:r w:rsidR="00E444E6">
              <w:rPr>
                <w:noProof/>
                <w:webHidden/>
              </w:rPr>
              <w:t>28</w:t>
            </w:r>
            <w:r w:rsidR="00E444E6">
              <w:rPr>
                <w:noProof/>
                <w:webHidden/>
              </w:rPr>
              <w:fldChar w:fldCharType="end"/>
            </w:r>
          </w:hyperlink>
        </w:p>
        <w:p w:rsidR="00E444E6" w:rsidRDefault="00AB6C76" w14:paraId="0E5FCF83" w14:textId="0E333EBE">
          <w:pPr>
            <w:pStyle w:val="TOC2"/>
            <w:tabs>
              <w:tab w:val="right" w:leader="dot" w:pos="9350"/>
            </w:tabs>
            <w:rPr>
              <w:rFonts w:asciiTheme="minorHAnsi" w:hAnsiTheme="minorHAnsi" w:eastAsiaTheme="minorEastAsia" w:cstheme="minorBidi"/>
              <w:noProof/>
              <w:sz w:val="22"/>
              <w:szCs w:val="22"/>
            </w:rPr>
          </w:pPr>
          <w:hyperlink w:history="1" w:anchor="_Toc29457643">
            <w:r w:rsidRPr="00855CBD" w:rsidR="00E444E6">
              <w:rPr>
                <w:rStyle w:val="Hyperlink"/>
                <w:noProof/>
              </w:rPr>
              <w:t>Appendix C – Forced Outage Calculations</w:t>
            </w:r>
            <w:r w:rsidR="00E444E6">
              <w:rPr>
                <w:noProof/>
                <w:webHidden/>
              </w:rPr>
              <w:tab/>
            </w:r>
            <w:r w:rsidR="00E444E6">
              <w:rPr>
                <w:noProof/>
                <w:webHidden/>
              </w:rPr>
              <w:fldChar w:fldCharType="begin"/>
            </w:r>
            <w:r w:rsidR="00E444E6">
              <w:rPr>
                <w:noProof/>
                <w:webHidden/>
              </w:rPr>
              <w:instrText xml:space="preserve"> PAGEREF _Toc29457643 \h </w:instrText>
            </w:r>
            <w:r w:rsidR="00E444E6">
              <w:rPr>
                <w:noProof/>
                <w:webHidden/>
              </w:rPr>
            </w:r>
            <w:r w:rsidR="00E444E6">
              <w:rPr>
                <w:noProof/>
                <w:webHidden/>
              </w:rPr>
              <w:fldChar w:fldCharType="separate"/>
            </w:r>
            <w:r w:rsidR="00E444E6">
              <w:rPr>
                <w:noProof/>
                <w:webHidden/>
              </w:rPr>
              <w:t>29</w:t>
            </w:r>
            <w:r w:rsidR="00E444E6">
              <w:rPr>
                <w:noProof/>
                <w:webHidden/>
              </w:rPr>
              <w:fldChar w:fldCharType="end"/>
            </w:r>
          </w:hyperlink>
        </w:p>
        <w:p w:rsidR="002D2983" w:rsidRDefault="002D2983" w14:paraId="0A4B9802" w14:textId="4F69810E">
          <w:r>
            <w:rPr>
              <w:b/>
              <w:bCs/>
              <w:noProof/>
            </w:rPr>
            <w:fldChar w:fldCharType="end"/>
          </w:r>
        </w:p>
      </w:sdtContent>
    </w:sdt>
    <w:p w:rsidRPr="008B24A0" w:rsidR="00BD4848" w:rsidP="00BD4848" w:rsidRDefault="00BD4848" w14:paraId="659AFFF9" w14:textId="147D4C0A">
      <w:pPr>
        <w:pStyle w:val="BodyText"/>
      </w:pPr>
    </w:p>
    <w:tbl>
      <w:tblPr>
        <w:tblStyle w:val="TableGrid"/>
        <w:tblW w:w="9355" w:type="dxa"/>
        <w:tblLook w:val="04A0" w:firstRow="1" w:lastRow="0" w:firstColumn="1" w:lastColumn="0" w:noHBand="0" w:noVBand="1"/>
      </w:tblPr>
      <w:tblGrid>
        <w:gridCol w:w="9355"/>
      </w:tblGrid>
      <w:tr w:rsidRPr="008B24A0" w:rsidR="0080421C" w:rsidTr="0080421C" w14:paraId="659AFFFB" w14:textId="77777777">
        <w:tc>
          <w:tcPr>
            <w:tcW w:w="9355" w:type="dxa"/>
          </w:tcPr>
          <w:p w:rsidRPr="008B24A0" w:rsidR="0080421C" w:rsidP="003154C2" w:rsidRDefault="0080421C" w14:paraId="659AFFFA" w14:textId="0F4F562B">
            <w:pPr>
              <w:pStyle w:val="BodyText"/>
              <w:ind w:firstLine="0"/>
            </w:pPr>
            <w:r w:rsidRPr="008B24A0">
              <w:t xml:space="preserve">For any clarifications or for more guidance, please contact Commission </w:t>
            </w:r>
            <w:r w:rsidR="003154C2">
              <w:t xml:space="preserve">staff </w:t>
            </w:r>
            <w:r w:rsidRPr="008B24A0">
              <w:t xml:space="preserve">at: </w:t>
            </w:r>
            <w:hyperlink w:history="1" r:id="rId7">
              <w:r w:rsidRPr="008B24A0" w:rsidR="004A490F">
                <w:rPr>
                  <w:rStyle w:val="Hyperlink"/>
                  <w:color w:val="auto"/>
                </w:rPr>
                <w:t>MetricsDL@ferc.gov</w:t>
              </w:r>
            </w:hyperlink>
          </w:p>
        </w:tc>
      </w:tr>
    </w:tbl>
    <w:p w:rsidRPr="000475FE" w:rsidR="0080421C" w:rsidP="0080421C" w:rsidRDefault="0080421C" w14:paraId="659AFFFC" w14:textId="77777777">
      <w:pPr>
        <w:pStyle w:val="BodyText"/>
        <w:ind w:firstLine="0"/>
      </w:pPr>
    </w:p>
    <w:p w:rsidRPr="00A82963" w:rsidR="00BD4848" w:rsidP="00BA1ED4" w:rsidRDefault="00046EC9" w14:paraId="659AFFFD" w14:textId="4D77F729">
      <w:pPr>
        <w:pStyle w:val="Heading1"/>
        <w:numPr>
          <w:ilvl w:val="0"/>
          <w:numId w:val="57"/>
        </w:numPr>
        <w:rPr>
          <w:u w:val="none"/>
        </w:rPr>
      </w:pPr>
      <w:bookmarkStart w:name="_Toc29457626" w:id="1"/>
      <w:r>
        <w:t>Submission Deadline</w:t>
      </w:r>
      <w:bookmarkEnd w:id="1"/>
    </w:p>
    <w:p w:rsidRPr="008B24A0" w:rsidR="00BD4848" w:rsidP="00751DC8" w:rsidRDefault="006B1866" w14:paraId="659AFFFE" w14:textId="6D9AF63E">
      <w:pPr>
        <w:pStyle w:val="BodyText"/>
        <w:ind w:firstLine="0"/>
      </w:pPr>
      <w:r>
        <w:t>The d</w:t>
      </w:r>
      <w:r w:rsidRPr="008B24A0" w:rsidR="00BD4848">
        <w:t xml:space="preserve">eadline for sending </w:t>
      </w:r>
      <w:r w:rsidRPr="008B24A0" w:rsidR="002B7D6E">
        <w:t xml:space="preserve">a </w:t>
      </w:r>
      <w:r w:rsidR="00373279">
        <w:t>response to the</w:t>
      </w:r>
      <w:r w:rsidRPr="008B24A0" w:rsidR="00373279">
        <w:t xml:space="preserve"> </w:t>
      </w:r>
      <w:r w:rsidRPr="008B24A0" w:rsidR="00954745">
        <w:t>Information Collection</w:t>
      </w:r>
      <w:r w:rsidRPr="008B24A0" w:rsidR="00BD4848">
        <w:t xml:space="preserve"> to </w:t>
      </w:r>
      <w:r w:rsidRPr="008B24A0" w:rsidR="00FE28A7">
        <w:t>the Federal Energy Regulatory Commission (</w:t>
      </w:r>
      <w:r w:rsidRPr="008B24A0" w:rsidR="00BD4848">
        <w:t>FERC</w:t>
      </w:r>
      <w:r w:rsidRPr="008B24A0" w:rsidR="00FE28A7">
        <w:t>, or the Commission)</w:t>
      </w:r>
      <w:r w:rsidRPr="008B24A0" w:rsidR="00BD4848">
        <w:t xml:space="preserve">:  </w:t>
      </w:r>
      <w:r w:rsidRPr="008B24A0" w:rsidR="00BD4848">
        <w:rPr>
          <w:highlight w:val="yellow"/>
        </w:rPr>
        <w:t>XX Month 20XX</w:t>
      </w:r>
    </w:p>
    <w:p w:rsidRPr="008B24A0" w:rsidR="00BD4848" w:rsidP="00DC0A85" w:rsidRDefault="00BD4848" w14:paraId="659AFFFF" w14:textId="793E80CA">
      <w:pPr>
        <w:pStyle w:val="BodyText"/>
        <w:ind w:firstLine="0"/>
      </w:pPr>
      <w:r w:rsidRPr="008B24A0">
        <w:t xml:space="preserve">The associated </w:t>
      </w:r>
      <w:r w:rsidR="005A2523">
        <w:t>I</w:t>
      </w:r>
      <w:r w:rsidRPr="008B24A0">
        <w:t xml:space="preserve">nput </w:t>
      </w:r>
      <w:r w:rsidR="005A2523">
        <w:t>Spreadsheet</w:t>
      </w:r>
      <w:r w:rsidRPr="008B24A0" w:rsidR="005A2523">
        <w:t xml:space="preserve"> </w:t>
      </w:r>
      <w:r w:rsidRPr="00373279">
        <w:rPr>
          <w:highlight w:val="yellow"/>
        </w:rPr>
        <w:t>(</w:t>
      </w:r>
      <w:r w:rsidR="00373279">
        <w:rPr>
          <w:highlight w:val="yellow"/>
        </w:rPr>
        <w:t xml:space="preserve">FINAL </w:t>
      </w:r>
      <w:r w:rsidRPr="008B24A0">
        <w:rPr>
          <w:highlight w:val="yellow"/>
        </w:rPr>
        <w:t>FILE NAME HERE)</w:t>
      </w:r>
      <w:r w:rsidRPr="008B24A0" w:rsidR="00C53C55">
        <w:t xml:space="preserve"> should be </w:t>
      </w:r>
      <w:r w:rsidRPr="008B24A0">
        <w:t xml:space="preserve">filed </w:t>
      </w:r>
      <w:r w:rsidRPr="008B24A0">
        <w:lastRenderedPageBreak/>
        <w:t xml:space="preserve">electronically </w:t>
      </w:r>
      <w:r w:rsidRPr="008B24A0" w:rsidR="003D6DBD">
        <w:t xml:space="preserve">through </w:t>
      </w:r>
      <w:r w:rsidRPr="008B24A0">
        <w:t xml:space="preserve">the </w:t>
      </w:r>
      <w:r w:rsidRPr="008B24A0" w:rsidR="00FE28A7">
        <w:t xml:space="preserve">Commission </w:t>
      </w:r>
      <w:r w:rsidRPr="008B24A0">
        <w:t>website.  Instructions for electronic filing can be found at this link:</w:t>
      </w:r>
      <w:r w:rsidR="00373279">
        <w:t xml:space="preserve"> </w:t>
      </w:r>
      <w:r w:rsidRPr="008B24A0">
        <w:t xml:space="preserve"> </w:t>
      </w:r>
      <w:hyperlink w:history="1" r:id="rId8">
        <w:r w:rsidRPr="000475FE" w:rsidR="00645B35">
          <w:rPr>
            <w:rStyle w:val="Hyperlink"/>
            <w:color w:val="auto"/>
          </w:rPr>
          <w:t>https://www.ferc.gov/docs-filing/efiling.asp</w:t>
        </w:r>
      </w:hyperlink>
      <w:r w:rsidR="00373279">
        <w:rPr>
          <w:rStyle w:val="Hyperlink"/>
          <w:color w:val="auto"/>
        </w:rPr>
        <w:t>.</w:t>
      </w:r>
      <w:r w:rsidRPr="008B24A0" w:rsidR="00645B35">
        <w:t xml:space="preserve"> </w:t>
      </w:r>
    </w:p>
    <w:p w:rsidRPr="00A82963" w:rsidR="003666C5" w:rsidP="00BA1ED4" w:rsidRDefault="003666C5" w14:paraId="659B0000" w14:textId="4F5B6A83">
      <w:pPr>
        <w:pStyle w:val="Heading1"/>
        <w:numPr>
          <w:ilvl w:val="0"/>
          <w:numId w:val="57"/>
        </w:numPr>
        <w:rPr>
          <w:u w:val="none"/>
        </w:rPr>
      </w:pPr>
      <w:bookmarkStart w:name="_Toc29457627" w:id="2"/>
      <w:r w:rsidRPr="00A82963">
        <w:t>Authorization</w:t>
      </w:r>
      <w:bookmarkEnd w:id="2"/>
    </w:p>
    <w:p w:rsidRPr="008B24A0" w:rsidR="00E20766" w:rsidP="00DC0A85" w:rsidRDefault="002B7D6E" w14:paraId="0321D764" w14:textId="15B4D729">
      <w:pPr>
        <w:pStyle w:val="BodyText"/>
        <w:ind w:firstLine="0"/>
      </w:pPr>
      <w:r w:rsidRPr="008B24A0">
        <w:t xml:space="preserve">This </w:t>
      </w:r>
      <w:r w:rsidRPr="008B24A0" w:rsidR="0030311A">
        <w:t xml:space="preserve">Information </w:t>
      </w:r>
      <w:r w:rsidRPr="008B24A0">
        <w:t>C</w:t>
      </w:r>
      <w:r w:rsidRPr="008B24A0" w:rsidR="0030311A">
        <w:t>ollection</w:t>
      </w:r>
      <w:r w:rsidRPr="008B24A0" w:rsidR="003666C5">
        <w:t xml:space="preserve"> </w:t>
      </w:r>
      <w:r w:rsidRPr="008B24A0" w:rsidR="00F2015C">
        <w:t xml:space="preserve">is authorized </w:t>
      </w:r>
      <w:r w:rsidRPr="008B24A0" w:rsidR="00C506C2">
        <w:t xml:space="preserve">in compliance with the requirements of the Paperwork Reduction Act of </w:t>
      </w:r>
      <w:r w:rsidRPr="00E972A9" w:rsidR="00C506C2">
        <w:t>1995, 44 U</w:t>
      </w:r>
      <w:r w:rsidRPr="00E972A9" w:rsidR="00AE59F6">
        <w:t>.</w:t>
      </w:r>
      <w:r w:rsidRPr="00E972A9" w:rsidR="00C506C2">
        <w:t>S</w:t>
      </w:r>
      <w:r w:rsidRPr="00E972A9" w:rsidR="00AE59F6">
        <w:t>.</w:t>
      </w:r>
      <w:r w:rsidRPr="00E972A9" w:rsidR="00C506C2">
        <w:t>C</w:t>
      </w:r>
      <w:r w:rsidRPr="00E972A9" w:rsidR="00AE59F6">
        <w:t>.</w:t>
      </w:r>
      <w:r w:rsidRPr="00E972A9" w:rsidR="00C506C2">
        <w:t xml:space="preserve"> </w:t>
      </w:r>
      <w:r w:rsidRPr="00E972A9" w:rsidR="00AE59F6">
        <w:t>§</w:t>
      </w:r>
      <w:r w:rsidRPr="00E972A9" w:rsidR="00C506C2">
        <w:t xml:space="preserve"> 3506(c)(2)(A)</w:t>
      </w:r>
      <w:r w:rsidRPr="00A11F20" w:rsidR="004B49D6">
        <w:t>,</w:t>
      </w:r>
      <w:r w:rsidRPr="008B24A0" w:rsidR="004B49D6">
        <w:t xml:space="preserve"> by</w:t>
      </w:r>
      <w:r w:rsidRPr="008B24A0" w:rsidR="00F2015C">
        <w:t xml:space="preserve"> the Office of Management and Budget </w:t>
      </w:r>
      <w:r w:rsidRPr="008B24A0" w:rsidR="00C506C2">
        <w:t xml:space="preserve">under </w:t>
      </w:r>
      <w:r w:rsidRPr="00BF0A72" w:rsidR="00C506C2">
        <w:t xml:space="preserve">Control No. </w:t>
      </w:r>
      <w:r w:rsidRPr="00BF0A72" w:rsidR="008459EE">
        <w:t>1</w:t>
      </w:r>
      <w:r w:rsidRPr="00BF0A72" w:rsidR="00A11F20">
        <w:t xml:space="preserve">902-0262.  </w:t>
      </w:r>
      <w:r w:rsidRPr="00C77431" w:rsidR="00C77431">
        <w:t xml:space="preserve">The authorization for the Information Collection expires </w:t>
      </w:r>
      <w:r w:rsidRPr="00967663" w:rsidR="00373279">
        <w:rPr>
          <w:highlight w:val="yellow"/>
        </w:rPr>
        <w:t>[</w:t>
      </w:r>
      <w:r w:rsidRPr="00967663" w:rsidR="00C77431">
        <w:rPr>
          <w:highlight w:val="yellow"/>
        </w:rPr>
        <w:t>To Be Determined</w:t>
      </w:r>
      <w:r w:rsidR="00623EB1">
        <w:rPr>
          <w:highlight w:val="yellow"/>
        </w:rPr>
        <w:t xml:space="preserve"> Contingent on OMB Approval</w:t>
      </w:r>
      <w:r w:rsidRPr="00967663" w:rsidR="00373279">
        <w:rPr>
          <w:highlight w:val="yellow"/>
        </w:rPr>
        <w:t>]</w:t>
      </w:r>
      <w:r w:rsidRPr="00C77431" w:rsidR="00C77431">
        <w:t>.</w:t>
      </w:r>
      <w:r w:rsidR="00C77431">
        <w:t xml:space="preserve">  </w:t>
      </w:r>
      <w:r w:rsidRPr="00BF0A72" w:rsidR="00A11F20">
        <w:t>The Commission</w:t>
      </w:r>
      <w:r w:rsidRPr="00BF0A72" w:rsidR="0091283F">
        <w:t xml:space="preserve"> has reinstated and revised this Information Collection under the title </w:t>
      </w:r>
      <w:r w:rsidRPr="00BF0A72" w:rsidR="00C506C2">
        <w:t>FERC-922</w:t>
      </w:r>
      <w:r w:rsidRPr="00BF0A72" w:rsidR="00A11F20">
        <w:t>,</w:t>
      </w:r>
      <w:r w:rsidR="00A11F20">
        <w:t xml:space="preserve"> </w:t>
      </w:r>
      <w:r w:rsidRPr="00A11F20" w:rsidR="00A11F20">
        <w:t>Performance Metrics for ISOs, RTOs and Regions Outside ISOs and RTOs.</w:t>
      </w:r>
    </w:p>
    <w:p w:rsidRPr="00A82963" w:rsidR="00BD4848" w:rsidP="00BA1ED4" w:rsidRDefault="00BD4848" w14:paraId="659B0002" w14:textId="5D680BCF">
      <w:pPr>
        <w:pStyle w:val="Heading1"/>
        <w:numPr>
          <w:ilvl w:val="0"/>
          <w:numId w:val="57"/>
        </w:numPr>
        <w:rPr>
          <w:u w:val="none"/>
        </w:rPr>
      </w:pPr>
      <w:bookmarkStart w:name="_Toc29457628" w:id="3"/>
      <w:r w:rsidRPr="00A82963">
        <w:t>Intended Audience:</w:t>
      </w:r>
      <w:r w:rsidR="00373279">
        <w:t xml:space="preserve"> </w:t>
      </w:r>
      <w:r w:rsidRPr="00A82963">
        <w:t xml:space="preserve"> </w:t>
      </w:r>
      <w:r w:rsidRPr="00A82963" w:rsidR="002A156E">
        <w:t>Who Should A</w:t>
      </w:r>
      <w:r w:rsidRPr="00A82963">
        <w:t xml:space="preserve">nswer the </w:t>
      </w:r>
      <w:r w:rsidRPr="00A82963" w:rsidR="00954745">
        <w:t>Information Collection</w:t>
      </w:r>
      <w:r w:rsidR="00A82963">
        <w:t xml:space="preserve"> Request</w:t>
      </w:r>
      <w:r w:rsidRPr="00A82963">
        <w:t>?</w:t>
      </w:r>
      <w:bookmarkEnd w:id="3"/>
    </w:p>
    <w:p w:rsidR="0090339C" w:rsidP="00751DC8" w:rsidRDefault="00E20766" w14:paraId="08B62D60" w14:textId="28C8F4F5">
      <w:pPr>
        <w:pStyle w:val="BodyText"/>
        <w:ind w:firstLine="0"/>
      </w:pPr>
      <w:r w:rsidRPr="008B24A0">
        <w:t xml:space="preserve">Completion of this </w:t>
      </w:r>
      <w:r w:rsidRPr="008B24A0" w:rsidR="00954745">
        <w:t>Information Collection</w:t>
      </w:r>
      <w:r w:rsidRPr="008B24A0">
        <w:t xml:space="preserve"> is voluntary, but </w:t>
      </w:r>
      <w:r w:rsidR="00C1312E">
        <w:t xml:space="preserve">the Commission </w:t>
      </w:r>
      <w:r w:rsidRPr="008B24A0">
        <w:t>encourage</w:t>
      </w:r>
      <w:r w:rsidR="00C1312E">
        <w:t>s</w:t>
      </w:r>
      <w:r w:rsidRPr="008B24A0">
        <w:t xml:space="preserve"> participation by e</w:t>
      </w:r>
      <w:r w:rsidRPr="008B24A0" w:rsidR="00BD4848">
        <w:t xml:space="preserve">ach of the six </w:t>
      </w:r>
      <w:r w:rsidRPr="008B24A0" w:rsidR="00E70F43">
        <w:t xml:space="preserve">jurisdictional </w:t>
      </w:r>
      <w:r w:rsidRPr="008B24A0" w:rsidR="00BD4848">
        <w:t xml:space="preserve">Regional Transmission </w:t>
      </w:r>
      <w:r w:rsidR="00373279">
        <w:t>O</w:t>
      </w:r>
      <w:r w:rsidRPr="008B24A0" w:rsidR="00BD4848">
        <w:t>perators</w:t>
      </w:r>
      <w:r w:rsidRPr="008B24A0" w:rsidR="00C53C55">
        <w:t xml:space="preserve">/Independent System Operators </w:t>
      </w:r>
      <w:r w:rsidRPr="008B24A0" w:rsidR="00BD4848">
        <w:t>(</w:t>
      </w:r>
      <w:r w:rsidRPr="008B24A0" w:rsidR="00DB144E">
        <w:t>RTO</w:t>
      </w:r>
      <w:r w:rsidRPr="008B24A0" w:rsidR="002B7CCA">
        <w:t>s</w:t>
      </w:r>
      <w:r w:rsidRPr="008B24A0" w:rsidR="00DB144E">
        <w:t>/ISO</w:t>
      </w:r>
      <w:r w:rsidRPr="008B24A0" w:rsidR="00BD4848">
        <w:t>s)</w:t>
      </w:r>
      <w:r w:rsidRPr="008B24A0" w:rsidR="000D0B8C">
        <w:t>,</w:t>
      </w:r>
      <w:r w:rsidRPr="008B24A0" w:rsidR="00BD4848">
        <w:t xml:space="preserve"> </w:t>
      </w:r>
      <w:r w:rsidRPr="008B24A0" w:rsidR="0075306B">
        <w:t xml:space="preserve">and by </w:t>
      </w:r>
      <w:r w:rsidRPr="008B24A0">
        <w:t>any</w:t>
      </w:r>
      <w:r w:rsidRPr="008B24A0" w:rsidR="003D1CC8">
        <w:t xml:space="preserve"> </w:t>
      </w:r>
      <w:r w:rsidRPr="008B24A0" w:rsidR="000D0B8C">
        <w:t xml:space="preserve">non-jurisdictional </w:t>
      </w:r>
      <w:r w:rsidRPr="008B24A0" w:rsidR="003D1CC8">
        <w:t>RTO/ISO</w:t>
      </w:r>
      <w:r w:rsidRPr="008B24A0">
        <w:t xml:space="preserve"> </w:t>
      </w:r>
      <w:r w:rsidRPr="008B24A0" w:rsidR="003D1CC8">
        <w:t xml:space="preserve">or </w:t>
      </w:r>
      <w:r w:rsidRPr="008B24A0">
        <w:t>individual utilities in non-RTO</w:t>
      </w:r>
      <w:r w:rsidR="00A11F20">
        <w:t>/ISO</w:t>
      </w:r>
      <w:r w:rsidRPr="008B24A0">
        <w:t xml:space="preserve"> </w:t>
      </w:r>
      <w:r w:rsidR="00C82BF4">
        <w:t>r</w:t>
      </w:r>
      <w:r w:rsidRPr="008B24A0">
        <w:t>egions that ch</w:t>
      </w:r>
      <w:r w:rsidRPr="008B24A0" w:rsidR="003D6DBD">
        <w:t>o</w:t>
      </w:r>
      <w:r w:rsidRPr="008B24A0">
        <w:t xml:space="preserve">ose to </w:t>
      </w:r>
      <w:r w:rsidR="003154C2">
        <w:t>submit responses</w:t>
      </w:r>
      <w:r w:rsidRPr="008B24A0">
        <w:t xml:space="preserve">.  The </w:t>
      </w:r>
      <w:r w:rsidRPr="008B24A0" w:rsidR="00F51868">
        <w:t xml:space="preserve">jurisdictional </w:t>
      </w:r>
      <w:r w:rsidRPr="008B24A0">
        <w:t>RTO/ISO entities are</w:t>
      </w:r>
      <w:r w:rsidRPr="008B24A0" w:rsidR="00FE28A7">
        <w:t>:</w:t>
      </w:r>
      <w:r w:rsidR="00373279">
        <w:t xml:space="preserve"> </w:t>
      </w:r>
      <w:r w:rsidRPr="008B24A0" w:rsidR="00FE28A7">
        <w:t xml:space="preserve"> ISO New England Inc. (ISO</w:t>
      </w:r>
      <w:r w:rsidRPr="008B24A0" w:rsidR="002B7CCA">
        <w:t>-</w:t>
      </w:r>
      <w:r w:rsidRPr="008B24A0" w:rsidR="00BD4848">
        <w:t>NE); New York Independent System Operator (NYISO); PJM Interconnection, L.L.C. (PJM); Midcontinent Independent System Operator</w:t>
      </w:r>
      <w:r w:rsidRPr="008B24A0" w:rsidR="00787B4E">
        <w:t>, Inc.</w:t>
      </w:r>
      <w:r w:rsidRPr="008B24A0" w:rsidR="00BD4848">
        <w:t xml:space="preserve"> (MISO); Southwest Power Pool</w:t>
      </w:r>
      <w:r w:rsidRPr="008B24A0" w:rsidR="00787B4E">
        <w:t>, Inc.</w:t>
      </w:r>
      <w:r w:rsidRPr="008B24A0" w:rsidR="00BD4848">
        <w:t xml:space="preserve"> (SPP); and California Independent System Operator Corporation (CAISO).</w:t>
      </w:r>
      <w:r w:rsidRPr="008B24A0" w:rsidR="0075306B">
        <w:t xml:space="preserve">  The non-jurisdictional RTOs/ISOs include the Electric Reliability Council of Texas, Alberta Electric System Operator</w:t>
      </w:r>
      <w:r w:rsidR="006E1848">
        <w:t>,</w:t>
      </w:r>
      <w:r w:rsidRPr="008B24A0" w:rsidR="0075306B">
        <w:t xml:space="preserve"> and </w:t>
      </w:r>
      <w:r w:rsidRPr="008B24A0" w:rsidR="003C596E">
        <w:t xml:space="preserve">the </w:t>
      </w:r>
      <w:r w:rsidRPr="008B24A0" w:rsidR="0075306B">
        <w:t>Independent Electricity System Operator</w:t>
      </w:r>
      <w:r w:rsidR="006D778A">
        <w:t xml:space="preserve"> (Ontario)</w:t>
      </w:r>
      <w:r w:rsidRPr="008B24A0" w:rsidR="0075306B">
        <w:t xml:space="preserve">. </w:t>
      </w:r>
      <w:r w:rsidRPr="008B24A0" w:rsidR="00BD4848">
        <w:t xml:space="preserve"> </w:t>
      </w:r>
      <w:r w:rsidRPr="008B24A0" w:rsidR="000D0B8C">
        <w:t>For purposes of this Information Collection the term “</w:t>
      </w:r>
      <w:r w:rsidR="00A45B35">
        <w:t>non-RTO/ISO</w:t>
      </w:r>
      <w:r w:rsidRPr="008B24A0" w:rsidR="00A45B35">
        <w:t xml:space="preserve"> </w:t>
      </w:r>
      <w:r w:rsidRPr="008B24A0" w:rsidR="006003C5">
        <w:t>utility</w:t>
      </w:r>
      <w:r w:rsidRPr="008B24A0" w:rsidR="000D0B8C">
        <w:t>” means any investor</w:t>
      </w:r>
      <w:r w:rsidRPr="008B24A0" w:rsidR="0075306B">
        <w:t>-</w:t>
      </w:r>
      <w:r w:rsidRPr="008B24A0" w:rsidR="000D0B8C">
        <w:t>owned utility</w:t>
      </w:r>
      <w:r w:rsidRPr="008B24A0" w:rsidR="005C20E4">
        <w:t xml:space="preserve"> (IOU)</w:t>
      </w:r>
      <w:r w:rsidRPr="008B24A0" w:rsidR="000D0B8C">
        <w:t>, any municipal or cooperative</w:t>
      </w:r>
      <w:r w:rsidRPr="008B24A0" w:rsidR="003C596E">
        <w:t>,</w:t>
      </w:r>
      <w:r w:rsidRPr="008B24A0" w:rsidR="000D0B8C">
        <w:t xml:space="preserve"> or any federal government</w:t>
      </w:r>
      <w:r w:rsidRPr="008B24A0" w:rsidR="0075306B">
        <w:t>-</w:t>
      </w:r>
      <w:r w:rsidRPr="008B24A0" w:rsidR="000D0B8C">
        <w:t xml:space="preserve">owned utility.  </w:t>
      </w:r>
    </w:p>
    <w:p w:rsidRPr="008F3FCF" w:rsidR="009740CE" w:rsidP="00BA1ED4" w:rsidRDefault="009740CE" w14:paraId="7009561E" w14:textId="4D596280">
      <w:pPr>
        <w:pStyle w:val="Heading1"/>
        <w:numPr>
          <w:ilvl w:val="0"/>
          <w:numId w:val="57"/>
        </w:numPr>
      </w:pPr>
      <w:bookmarkStart w:name="_Toc29457629" w:id="4"/>
      <w:r w:rsidRPr="008F3FCF">
        <w:t>Structure of the Information Collection</w:t>
      </w:r>
      <w:bookmarkEnd w:id="4"/>
    </w:p>
    <w:p w:rsidRPr="00065B91" w:rsidR="008A066D" w:rsidP="008A066D" w:rsidRDefault="008A066D" w14:paraId="37BFF15B" w14:textId="29FCF552">
      <w:pPr>
        <w:pStyle w:val="Heading2"/>
        <w:rPr>
          <w:u w:val="none"/>
        </w:rPr>
      </w:pPr>
      <w:bookmarkStart w:name="_Toc29457630" w:id="5"/>
      <w:r w:rsidRPr="00065B91">
        <w:t>General Information</w:t>
      </w:r>
      <w:bookmarkEnd w:id="5"/>
    </w:p>
    <w:p w:rsidR="00C77431" w:rsidP="009F1FD9" w:rsidRDefault="009740CE" w14:paraId="567092FA" w14:textId="0DA58F59">
      <w:pPr>
        <w:pStyle w:val="BodyText"/>
        <w:ind w:firstLine="0"/>
      </w:pPr>
      <w:r w:rsidRPr="008B24A0">
        <w:t>The Information Collection consists of this User Guide and a</w:t>
      </w:r>
      <w:r w:rsidR="00A45B35">
        <w:t>n Input</w:t>
      </w:r>
      <w:r w:rsidRPr="008B24A0">
        <w:t xml:space="preserve"> </w:t>
      </w:r>
      <w:r w:rsidR="00A45B35">
        <w:t>S</w:t>
      </w:r>
      <w:r w:rsidRPr="008B24A0">
        <w:t>preadsheet</w:t>
      </w:r>
      <w:r w:rsidR="00546727">
        <w:t>,</w:t>
      </w:r>
      <w:r w:rsidRPr="008B24A0" w:rsidDel="00A45B35">
        <w:t xml:space="preserve"> </w:t>
      </w:r>
      <w:r w:rsidR="004E5A1D">
        <w:t xml:space="preserve">which includes </w:t>
      </w:r>
      <w:r w:rsidR="005A757B">
        <w:t xml:space="preserve">(i) </w:t>
      </w:r>
      <w:r w:rsidR="002009DA">
        <w:t xml:space="preserve">an </w:t>
      </w:r>
      <w:r w:rsidR="00623309">
        <w:t>i</w:t>
      </w:r>
      <w:r w:rsidR="003A28AA">
        <w:t xml:space="preserve">nstructions </w:t>
      </w:r>
      <w:r w:rsidR="00623309">
        <w:t>w</w:t>
      </w:r>
      <w:r w:rsidR="002009DA">
        <w:t>orksheet</w:t>
      </w:r>
      <w:r w:rsidDel="003A28AA" w:rsidR="002009DA">
        <w:t xml:space="preserve"> </w:t>
      </w:r>
      <w:r w:rsidR="003A28AA">
        <w:t xml:space="preserve">followed by </w:t>
      </w:r>
      <w:r w:rsidR="005A757B">
        <w:t xml:space="preserve">(ii) </w:t>
      </w:r>
      <w:r w:rsidR="00373279">
        <w:t>twenty-nine</w:t>
      </w:r>
      <w:r w:rsidRPr="008B24A0" w:rsidR="00373279">
        <w:t xml:space="preserve"> </w:t>
      </w:r>
      <w:r w:rsidR="002009DA">
        <w:t xml:space="preserve">data </w:t>
      </w:r>
      <w:r w:rsidRPr="008B24A0">
        <w:t>worksheets</w:t>
      </w:r>
      <w:r w:rsidR="0090401B">
        <w:t>,</w:t>
      </w:r>
      <w:r w:rsidRPr="008B24A0">
        <w:t xml:space="preserve"> </w:t>
      </w:r>
      <w:r w:rsidR="0090401B">
        <w:t xml:space="preserve">one </w:t>
      </w:r>
      <w:r w:rsidR="003A28AA">
        <w:t>for each</w:t>
      </w:r>
      <w:r w:rsidDel="009E76D3" w:rsidR="003A28AA">
        <w:t xml:space="preserve"> </w:t>
      </w:r>
      <w:r w:rsidR="003A28AA">
        <w:t>metric</w:t>
      </w:r>
      <w:r w:rsidRPr="008B24A0">
        <w:t>.</w:t>
      </w:r>
      <w:r w:rsidR="004C03EE">
        <w:t xml:space="preserve">  In order to complete the Information Collection, respondents </w:t>
      </w:r>
      <w:r w:rsidR="00E32B56">
        <w:t>must</w:t>
      </w:r>
      <w:r w:rsidR="004C03EE">
        <w:t xml:space="preserve"> input data into the applicable cells of the data worksheets.</w:t>
      </w:r>
      <w:r w:rsidRPr="008B24A0">
        <w:t xml:space="preserve">  </w:t>
      </w:r>
      <w:r w:rsidR="008C4E42">
        <w:t xml:space="preserve">Both the User Guide and the </w:t>
      </w:r>
      <w:r w:rsidR="003A28AA">
        <w:t>Input Spreadsheet</w:t>
      </w:r>
      <w:r w:rsidR="008C4E42">
        <w:t xml:space="preserve"> can be found</w:t>
      </w:r>
      <w:r w:rsidDel="00910E8F" w:rsidR="008C4E42">
        <w:t xml:space="preserve"> </w:t>
      </w:r>
      <w:r w:rsidR="008C4E42">
        <w:t xml:space="preserve">in </w:t>
      </w:r>
      <w:hyperlink w:history="1" r:id="rId9">
        <w:r w:rsidRPr="003D3065" w:rsidR="008C4E42">
          <w:rPr>
            <w:rStyle w:val="Hyperlink"/>
          </w:rPr>
          <w:t>eLibrary</w:t>
        </w:r>
      </w:hyperlink>
      <w:r w:rsidR="008C4E42">
        <w:t xml:space="preserve"> </w:t>
      </w:r>
      <w:r w:rsidR="003A28AA">
        <w:t xml:space="preserve">in </w:t>
      </w:r>
      <w:r w:rsidR="008C4E42">
        <w:t>Docket No</w:t>
      </w:r>
      <w:r w:rsidRPr="00F37380" w:rsidR="008C4E42">
        <w:t xml:space="preserve">. </w:t>
      </w:r>
      <w:r w:rsidRPr="005970F9" w:rsidR="008C4E42">
        <w:t>AD</w:t>
      </w:r>
      <w:r w:rsidRPr="005970F9" w:rsidR="00F37380">
        <w:t>19</w:t>
      </w:r>
      <w:r w:rsidRPr="005970F9" w:rsidR="008C4E42">
        <w:t>-</w:t>
      </w:r>
      <w:r w:rsidRPr="005970F9" w:rsidR="00F37380">
        <w:t>16</w:t>
      </w:r>
      <w:r w:rsidRPr="005970F9" w:rsidR="008C4E42">
        <w:t>-000.</w:t>
      </w:r>
    </w:p>
    <w:p w:rsidR="00C77431" w:rsidP="009F1FD9" w:rsidRDefault="00C77431" w14:paraId="7A8E3D07" w14:textId="23791323">
      <w:pPr>
        <w:pStyle w:val="BodyText"/>
        <w:ind w:firstLine="0"/>
      </w:pPr>
      <w:r w:rsidRPr="00C77431">
        <w:t>The burden for the FERC-922 is estimated to average 40</w:t>
      </w:r>
      <w:r w:rsidR="00967663">
        <w:t>1</w:t>
      </w:r>
      <w:r w:rsidRPr="00C77431">
        <w:t xml:space="preserve"> hours per response, including </w:t>
      </w:r>
      <w:r w:rsidRPr="00C77431">
        <w:lastRenderedPageBreak/>
        <w:t>the time for reviewing instructions, searching existing data sources, gathering and maintaining the data, and completing and reviewing the collection of information.</w:t>
      </w:r>
    </w:p>
    <w:p w:rsidRPr="00C77431" w:rsidR="00C77431" w:rsidP="00C77431" w:rsidRDefault="00C77431" w14:paraId="18A51833" w14:textId="270850CE">
      <w:pPr>
        <w:pStyle w:val="Heading2"/>
      </w:pPr>
      <w:bookmarkStart w:name="_Toc29457631" w:id="6"/>
      <w:r w:rsidRPr="00C77431">
        <w:t>Where to Send Comments on Public Reporting Burden</w:t>
      </w:r>
      <w:bookmarkEnd w:id="6"/>
    </w:p>
    <w:p w:rsidR="009028E5" w:rsidP="009F1FD9" w:rsidRDefault="00C77431" w14:paraId="0700FFD0" w14:textId="755038CA">
      <w:pPr>
        <w:pStyle w:val="BodyText"/>
        <w:ind w:firstLine="0"/>
      </w:pPr>
      <w:r w:rsidRPr="00C77431">
        <w:t>Send comments regarding the burden estimate or any aspect of the collection of information, including suggestions for reducing burden, to the Federal Energy Regulatory Commission, 888 First Street NE, Washington, DC 20426 (Attention:</w:t>
      </w:r>
      <w:r w:rsidR="00373279">
        <w:t xml:space="preserve"> </w:t>
      </w:r>
      <w:r w:rsidRPr="00C77431">
        <w:t xml:space="preserve"> Information Clearance Officer); and to the Office of Information and Regulatory Affairs, Office of Management and Budget, Washington, DC 20503 (Attention:</w:t>
      </w:r>
      <w:r w:rsidR="00373279">
        <w:t xml:space="preserve"> </w:t>
      </w:r>
      <w:r w:rsidRPr="00C77431">
        <w:t xml:space="preserve"> Desk Officer for the Federal Energy Regulatory Commission). </w:t>
      </w:r>
      <w:r w:rsidR="00373279">
        <w:t xml:space="preserve"> </w:t>
      </w:r>
      <w:r w:rsidRPr="00C77431">
        <w:t xml:space="preserve">No person shall be subject to any penalty </w:t>
      </w:r>
      <w:r w:rsidR="00373279">
        <w:t>for failing to comply with a</w:t>
      </w:r>
      <w:r w:rsidRPr="00C77431">
        <w:t xml:space="preserve"> collection of information </w:t>
      </w:r>
      <w:r w:rsidR="00373279">
        <w:t xml:space="preserve">that </w:t>
      </w:r>
      <w:r w:rsidRPr="00C77431">
        <w:t>does not display a valid control number (44 U.S.C. § 3512(a)).</w:t>
      </w:r>
      <w:r w:rsidR="008C4E42">
        <w:t xml:space="preserve"> </w:t>
      </w:r>
    </w:p>
    <w:p w:rsidR="005A757B" w:rsidP="00373279" w:rsidRDefault="005A757B" w14:paraId="1CDBD356" w14:textId="2544D420">
      <w:pPr>
        <w:pStyle w:val="Heading2"/>
      </w:pPr>
      <w:bookmarkStart w:name="_Toc29457632" w:id="7"/>
      <w:r>
        <w:t>The Instructions Worksheet</w:t>
      </w:r>
      <w:bookmarkEnd w:id="7"/>
    </w:p>
    <w:p w:rsidRPr="005A757B" w:rsidR="005A757B" w:rsidP="009F1FD9" w:rsidRDefault="005A757B" w14:paraId="5851FD49" w14:textId="4D9F552C">
      <w:pPr>
        <w:pStyle w:val="BodyText"/>
        <w:ind w:firstLine="0"/>
      </w:pPr>
      <w:r>
        <w:t xml:space="preserve">The instructions worksheet, which is the first tab of the Input </w:t>
      </w:r>
      <w:r w:rsidR="00EA20AC">
        <w:t>Spreadsheet</w:t>
      </w:r>
      <w:r>
        <w:t>, provides information about the three groups of metrics</w:t>
      </w:r>
      <w:r w:rsidR="00466747">
        <w:t>,</w:t>
      </w:r>
      <w:r w:rsidR="00EA20AC">
        <w:t xml:space="preserve"> and</w:t>
      </w:r>
      <w:r>
        <w:t xml:space="preserve"> </w:t>
      </w:r>
      <w:r w:rsidR="00EA20AC">
        <w:t xml:space="preserve">contains cells for respondents to input </w:t>
      </w:r>
      <w:r w:rsidR="00373DA7">
        <w:t>data</w:t>
      </w:r>
      <w:r w:rsidR="00F74F3B">
        <w:t xml:space="preserve"> relevant across all </w:t>
      </w:r>
      <w:r w:rsidR="00F10084">
        <w:t xml:space="preserve">of </w:t>
      </w:r>
      <w:r w:rsidR="00F74F3B">
        <w:t xml:space="preserve">the </w:t>
      </w:r>
      <w:r w:rsidR="00373DA7">
        <w:t>subsequent metrics.</w:t>
      </w:r>
    </w:p>
    <w:p w:rsidR="00DC09AA" w:rsidP="009F1FD9" w:rsidRDefault="00910E8F" w14:paraId="61CD5299" w14:textId="39F9981F">
      <w:pPr>
        <w:pStyle w:val="Heading2"/>
      </w:pPr>
      <w:bookmarkStart w:name="_Toc29457633" w:id="8"/>
      <w:r>
        <w:t xml:space="preserve">The </w:t>
      </w:r>
      <w:r w:rsidR="00DC09AA">
        <w:t>Data Worksheet</w:t>
      </w:r>
      <w:r>
        <w:t>s</w:t>
      </w:r>
      <w:bookmarkEnd w:id="8"/>
    </w:p>
    <w:p w:rsidR="008C28DC" w:rsidP="009F1FD9" w:rsidRDefault="002540BD" w14:paraId="78FECCAD" w14:textId="03D36C72">
      <w:pPr>
        <w:pStyle w:val="BodyText"/>
        <w:ind w:firstLine="0"/>
      </w:pPr>
      <w:r>
        <w:t xml:space="preserve">Each </w:t>
      </w:r>
      <w:r w:rsidR="00E67851">
        <w:t xml:space="preserve">data </w:t>
      </w:r>
      <w:r>
        <w:t>worksheet has the same format</w:t>
      </w:r>
      <w:r w:rsidR="00910E8F">
        <w:t>, which consists of</w:t>
      </w:r>
      <w:r w:rsidR="00AC7971">
        <w:t xml:space="preserve"> header information and data element information</w:t>
      </w:r>
      <w:r w:rsidR="003630C9">
        <w:t xml:space="preserve"> as described below</w:t>
      </w:r>
      <w:r w:rsidR="00910E8F">
        <w:t>.</w:t>
      </w:r>
      <w:r w:rsidR="00B5051A">
        <w:t xml:space="preserve">  </w:t>
      </w:r>
    </w:p>
    <w:p w:rsidRPr="009F1FD9" w:rsidR="00AC7971" w:rsidP="00BA1ED4" w:rsidRDefault="00040660" w14:paraId="6B8BBCFF" w14:textId="5322F956">
      <w:pPr>
        <w:pStyle w:val="Heading3"/>
      </w:pPr>
      <w:r w:rsidRPr="009F1FD9">
        <w:t>H</w:t>
      </w:r>
      <w:r w:rsidRPr="009F1FD9" w:rsidR="00AC7971">
        <w:t xml:space="preserve">eader </w:t>
      </w:r>
      <w:r w:rsidRPr="009F1FD9" w:rsidR="004C03EE">
        <w:t>I</w:t>
      </w:r>
      <w:r w:rsidRPr="009F1FD9">
        <w:t>nformation</w:t>
      </w:r>
      <w:r w:rsidRPr="009F1FD9" w:rsidR="00AC7971">
        <w:t xml:space="preserve"> </w:t>
      </w:r>
    </w:p>
    <w:p w:rsidR="002540BD" w:rsidP="00C50D7C" w:rsidRDefault="002540BD" w14:paraId="685C2021" w14:textId="31A76AAC">
      <w:pPr>
        <w:pStyle w:val="BodyText"/>
        <w:ind w:firstLine="0"/>
      </w:pPr>
      <w:r>
        <w:t xml:space="preserve">The </w:t>
      </w:r>
      <w:r w:rsidRPr="00613A32">
        <w:rPr>
          <w:b/>
        </w:rPr>
        <w:t>balancing authority area</w:t>
      </w:r>
      <w:r>
        <w:t xml:space="preserve"> </w:t>
      </w:r>
      <w:r w:rsidRPr="00562EF5" w:rsidR="00963A95">
        <w:rPr>
          <w:b/>
        </w:rPr>
        <w:t>respondent</w:t>
      </w:r>
      <w:r w:rsidR="00963A95">
        <w:t xml:space="preserve"> </w:t>
      </w:r>
      <w:r w:rsidRPr="00613A32">
        <w:rPr>
          <w:b/>
        </w:rPr>
        <w:t>name</w:t>
      </w:r>
      <w:r>
        <w:t xml:space="preserve"> </w:t>
      </w:r>
      <w:r w:rsidR="00E75CED">
        <w:t>identifies the respondent completing the Information Collection</w:t>
      </w:r>
      <w:r w:rsidR="00C50D7C">
        <w:t>.</w:t>
      </w:r>
      <w:r>
        <w:t xml:space="preserve"> The name </w:t>
      </w:r>
      <w:r w:rsidR="00963A95">
        <w:t xml:space="preserve">can be </w:t>
      </w:r>
      <w:r>
        <w:t xml:space="preserve">entered </w:t>
      </w:r>
      <w:r w:rsidRPr="00562EF5">
        <w:t>once</w:t>
      </w:r>
      <w:r>
        <w:t xml:space="preserve"> </w:t>
      </w:r>
      <w:r w:rsidR="00E67851">
        <w:t xml:space="preserve">in the </w:t>
      </w:r>
      <w:r w:rsidR="001C4ACB">
        <w:t>i</w:t>
      </w:r>
      <w:r w:rsidR="009D38B0">
        <w:t xml:space="preserve">nstructions </w:t>
      </w:r>
      <w:r w:rsidR="001C4ACB">
        <w:t>w</w:t>
      </w:r>
      <w:r w:rsidR="00963A95">
        <w:t xml:space="preserve">orksheet </w:t>
      </w:r>
      <w:r w:rsidR="00562212">
        <w:t>and then</w:t>
      </w:r>
      <w:r w:rsidR="00963A95">
        <w:t xml:space="preserve"> will</w:t>
      </w:r>
      <w:r w:rsidR="00562212">
        <w:t xml:space="preserve"> automatically cop</w:t>
      </w:r>
      <w:r w:rsidR="00963A95">
        <w:t>y</w:t>
      </w:r>
      <w:r w:rsidR="00562212">
        <w:t xml:space="preserve"> to all subsequent </w:t>
      </w:r>
      <w:r w:rsidR="00963A95">
        <w:t xml:space="preserve">data </w:t>
      </w:r>
      <w:r w:rsidR="00562212">
        <w:t xml:space="preserve">worksheets.  See the </w:t>
      </w:r>
      <w:r w:rsidRPr="002009DA" w:rsidR="00562212">
        <w:t xml:space="preserve">Entering Contact Information </w:t>
      </w:r>
      <w:r w:rsidR="00A61E75">
        <w:t xml:space="preserve">section </w:t>
      </w:r>
      <w:r w:rsidR="00562212">
        <w:t>below</w:t>
      </w:r>
      <w:r w:rsidR="00B5051A">
        <w:t xml:space="preserve"> for more information</w:t>
      </w:r>
      <w:r w:rsidR="00562212">
        <w:t>.</w:t>
      </w:r>
      <w:r>
        <w:t xml:space="preserve"> </w:t>
      </w:r>
    </w:p>
    <w:p w:rsidR="000E54B0" w:rsidP="009F1FD9" w:rsidRDefault="00E75CED" w14:paraId="5F05EE1A" w14:textId="3EC0B150">
      <w:pPr>
        <w:pStyle w:val="BodyText"/>
        <w:ind w:firstLine="0"/>
      </w:pPr>
      <w:r>
        <w:t>The</w:t>
      </w:r>
      <w:r w:rsidR="00562212">
        <w:t xml:space="preserve"> </w:t>
      </w:r>
      <w:r>
        <w:rPr>
          <w:b/>
        </w:rPr>
        <w:t>g</w:t>
      </w:r>
      <w:r w:rsidRPr="00613A32" w:rsidR="00562212">
        <w:rPr>
          <w:b/>
        </w:rPr>
        <w:t>roup number</w:t>
      </w:r>
      <w:r w:rsidR="00562212">
        <w:t>,</w:t>
      </w:r>
      <w:r w:rsidR="005A757B">
        <w:t xml:space="preserve"> which</w:t>
      </w:r>
      <w:r w:rsidR="00562212">
        <w:t xml:space="preserve"> </w:t>
      </w:r>
      <w:r>
        <w:t xml:space="preserve">references the group within which each metric is categorized, </w:t>
      </w:r>
      <w:r w:rsidR="00DD6365">
        <w:t>appears in each data worksheet</w:t>
      </w:r>
      <w:r w:rsidR="00613A32">
        <w:t xml:space="preserve"> </w:t>
      </w:r>
      <w:r w:rsidR="00040660">
        <w:t>in the third row</w:t>
      </w:r>
      <w:r w:rsidR="005A757B">
        <w:t>, along with the metric number and metric name</w:t>
      </w:r>
      <w:r w:rsidR="00040660">
        <w:t>.  The groups are identified by color</w:t>
      </w:r>
      <w:r w:rsidR="005A757B">
        <w:t xml:space="preserve">.  More information about groups can be found </w:t>
      </w:r>
      <w:r w:rsidR="000D3262">
        <w:t xml:space="preserve">in the </w:t>
      </w:r>
      <w:r w:rsidRPr="000D3262" w:rsidR="000D3262">
        <w:t>Three Types of Metrics and Three Groups of Respondents</w:t>
      </w:r>
      <w:r w:rsidR="000D3262">
        <w:t xml:space="preserve"> section below</w:t>
      </w:r>
      <w:r w:rsidR="005A757B">
        <w:t xml:space="preserve"> and in the instructions worksheet</w:t>
      </w:r>
      <w:r w:rsidR="00613A32">
        <w:t>.</w:t>
      </w:r>
    </w:p>
    <w:p w:rsidR="008C4E42" w:rsidP="009F1FD9" w:rsidRDefault="00040660" w14:paraId="14475FAB" w14:textId="2E58B14D">
      <w:pPr>
        <w:pStyle w:val="BodyText"/>
        <w:ind w:firstLine="0"/>
      </w:pPr>
      <w:r w:rsidRPr="00613A32">
        <w:rPr>
          <w:b/>
        </w:rPr>
        <w:t>E</w:t>
      </w:r>
      <w:r w:rsidRPr="00613A32" w:rsidR="008C4E42">
        <w:rPr>
          <w:b/>
        </w:rPr>
        <w:t xml:space="preserve">quations </w:t>
      </w:r>
      <w:r>
        <w:t xml:space="preserve">for </w:t>
      </w:r>
      <w:r w:rsidR="00844939">
        <w:t xml:space="preserve">certain </w:t>
      </w:r>
      <w:r>
        <w:t>metrics</w:t>
      </w:r>
      <w:r w:rsidR="00613A32">
        <w:t>,</w:t>
      </w:r>
      <w:r w:rsidR="00844939">
        <w:t xml:space="preserve"> where appropriate</w:t>
      </w:r>
      <w:r w:rsidR="00613A32">
        <w:t>, will also appear in select data worksheets</w:t>
      </w:r>
      <w:r>
        <w:t xml:space="preserve">.  These </w:t>
      </w:r>
      <w:r w:rsidR="00613A32">
        <w:t xml:space="preserve">equations </w:t>
      </w:r>
      <w:r>
        <w:t xml:space="preserve">describe </w:t>
      </w:r>
      <w:r w:rsidR="00ED3E07">
        <w:t xml:space="preserve">how to </w:t>
      </w:r>
      <w:r w:rsidR="00AC7971">
        <w:t xml:space="preserve">calculate </w:t>
      </w:r>
      <w:r w:rsidR="008C4E42">
        <w:t>the individual metric</w:t>
      </w:r>
      <w:r w:rsidR="00613A32">
        <w:t>(s)</w:t>
      </w:r>
      <w:r w:rsidR="008C4E42">
        <w:t>.</w:t>
      </w:r>
    </w:p>
    <w:p w:rsidR="00C77431" w:rsidP="009F1FD9" w:rsidRDefault="000D3262" w14:paraId="00356857" w14:textId="05E3ED90">
      <w:pPr>
        <w:pStyle w:val="BodyText"/>
        <w:ind w:firstLine="0"/>
      </w:pPr>
      <w:r>
        <w:lastRenderedPageBreak/>
        <w:t>T</w:t>
      </w:r>
      <w:r w:rsidR="007E0A0E">
        <w:t xml:space="preserve">he five </w:t>
      </w:r>
      <w:r w:rsidRPr="00613A32" w:rsidR="007E0A0E">
        <w:rPr>
          <w:b/>
        </w:rPr>
        <w:t>reporting periods</w:t>
      </w:r>
      <w:r w:rsidR="007E0A0E">
        <w:t xml:space="preserve"> </w:t>
      </w:r>
      <w:r>
        <w:t xml:space="preserve">are provided as column headers at the top of the table in each data worksheet.  Reporting periods are </w:t>
      </w:r>
      <w:r w:rsidR="007E0A0E">
        <w:t xml:space="preserve">explained below in the </w:t>
      </w:r>
      <w:r w:rsidRPr="002009DA" w:rsidR="007E0A0E">
        <w:t xml:space="preserve">Reporting Period </w:t>
      </w:r>
      <w:r w:rsidR="007E0A0E">
        <w:t>section</w:t>
      </w:r>
      <w:r w:rsidR="00844939">
        <w:t>.</w:t>
      </w:r>
    </w:p>
    <w:p w:rsidR="00040660" w:rsidP="00BA1ED4" w:rsidRDefault="00040660" w14:paraId="5DFA9373" w14:textId="42ACB35E">
      <w:pPr>
        <w:pStyle w:val="Heading3"/>
      </w:pPr>
      <w:r>
        <w:t xml:space="preserve">Data </w:t>
      </w:r>
      <w:r w:rsidR="00B84D92">
        <w:t>E</w:t>
      </w:r>
      <w:r>
        <w:t xml:space="preserve">lement </w:t>
      </w:r>
      <w:r w:rsidR="00B84D92">
        <w:t>I</w:t>
      </w:r>
      <w:r>
        <w:t>nformation</w:t>
      </w:r>
    </w:p>
    <w:p w:rsidR="00040660" w:rsidRDefault="0031237E" w14:paraId="0CEEC834" w14:textId="09740D4C">
      <w:pPr>
        <w:pStyle w:val="BodyText"/>
        <w:ind w:firstLine="0"/>
      </w:pPr>
      <w:r>
        <w:t>Each data worksheet, which features an individual metric, contains</w:t>
      </w:r>
      <w:r w:rsidR="00B84D92">
        <w:t xml:space="preserve"> corresponding data elements </w:t>
      </w:r>
      <w:r>
        <w:t>to assist respondents in providing standardized data inputs for each metric.</w:t>
      </w:r>
      <w:r w:rsidR="00B84D92">
        <w:t xml:space="preserve"> </w:t>
      </w:r>
      <w:r>
        <w:t xml:space="preserve"> </w:t>
      </w:r>
      <w:r w:rsidR="00040660">
        <w:t xml:space="preserve">The </w:t>
      </w:r>
      <w:r w:rsidR="008C4E42">
        <w:t xml:space="preserve">individual data elements are </w:t>
      </w:r>
      <w:r w:rsidR="00AC7971">
        <w:t>consecutively numbered (e.g., 1.00, 1.01, 1.02) in colu</w:t>
      </w:r>
      <w:r w:rsidR="00040660">
        <w:t>mn A.</w:t>
      </w:r>
      <w:r w:rsidR="009F1ED1">
        <w:rPr>
          <w:rStyle w:val="FootnoteReference"/>
        </w:rPr>
        <w:footnoteReference w:id="2"/>
      </w:r>
      <w:r w:rsidR="00040660">
        <w:t xml:space="preserve"> </w:t>
      </w:r>
    </w:p>
    <w:p w:rsidR="00F74F3B" w:rsidP="00C77431" w:rsidRDefault="00F74F3B" w14:paraId="3495A3EA" w14:textId="10AAB409">
      <w:r>
        <w:t xml:space="preserve">Column B can contain different types of text depending on the granularity of the data element.  This column can contain either a brief description of the data element; an equation on how to arithmetically calculate the individual metric; or a title (in </w:t>
      </w:r>
      <w:r w:rsidRPr="00C80D57">
        <w:rPr>
          <w:b/>
        </w:rPr>
        <w:t>bold</w:t>
      </w:r>
      <w:r>
        <w:t xml:space="preserve">) of the data element with a detailed text description. </w:t>
      </w:r>
    </w:p>
    <w:p w:rsidR="00C77431" w:rsidP="00C77431" w:rsidRDefault="00C77431" w14:paraId="7FC96E58" w14:textId="77777777"/>
    <w:p w:rsidR="0064386E" w:rsidP="00BA1ED4" w:rsidRDefault="0064386E" w14:paraId="7C8E48FF" w14:textId="28C0F7E8">
      <w:pPr>
        <w:pStyle w:val="Heading3"/>
      </w:pPr>
      <w:r>
        <w:t xml:space="preserve">Other </w:t>
      </w:r>
      <w:r w:rsidR="00461873">
        <w:t>W</w:t>
      </w:r>
      <w:r>
        <w:t xml:space="preserve">orksheet </w:t>
      </w:r>
      <w:r w:rsidR="00461873">
        <w:t>I</w:t>
      </w:r>
      <w:r>
        <w:t>nformation</w:t>
      </w:r>
    </w:p>
    <w:p w:rsidR="009740CE" w:rsidRDefault="00461873" w14:paraId="01CBEABE" w14:textId="2E3E8B58">
      <w:pPr>
        <w:pStyle w:val="BodyText"/>
        <w:ind w:firstLine="0"/>
      </w:pPr>
      <w:r>
        <w:t>E</w:t>
      </w:r>
      <w:r w:rsidRPr="008B24A0" w:rsidR="009740CE">
        <w:t xml:space="preserve">ach </w:t>
      </w:r>
      <w:r>
        <w:t xml:space="preserve">data </w:t>
      </w:r>
      <w:r w:rsidRPr="008B24A0" w:rsidR="009740CE">
        <w:t xml:space="preserve">worksheet </w:t>
      </w:r>
      <w:r>
        <w:t xml:space="preserve">tab </w:t>
      </w:r>
      <w:r w:rsidRPr="008B24A0" w:rsidR="009740CE">
        <w:t xml:space="preserve">identifies the metric by an integer and a brief textual description (e.g., #1 Reserve Margins, #2 Heat Rates).  </w:t>
      </w:r>
    </w:p>
    <w:p w:rsidR="009740CE" w:rsidRDefault="009740CE" w14:paraId="06F92D9B" w14:textId="049A8681">
      <w:r w:rsidRPr="008B24A0">
        <w:t xml:space="preserve">Some </w:t>
      </w:r>
      <w:r w:rsidR="00461873">
        <w:t xml:space="preserve">data </w:t>
      </w:r>
      <w:r w:rsidRPr="008B24A0">
        <w:t xml:space="preserve">worksheets contain formulas that </w:t>
      </w:r>
      <w:r>
        <w:t xml:space="preserve">copy data from a previous </w:t>
      </w:r>
      <w:r w:rsidR="00461873">
        <w:t xml:space="preserve">data </w:t>
      </w:r>
      <w:r>
        <w:t xml:space="preserve">worksheet or </w:t>
      </w:r>
      <w:r w:rsidR="00652B3A">
        <w:t>perform calculations on</w:t>
      </w:r>
      <w:r>
        <w:t xml:space="preserve"> data</w:t>
      </w:r>
      <w:r w:rsidR="00652B3A">
        <w:t xml:space="preserve"> provided</w:t>
      </w:r>
      <w:r>
        <w:t xml:space="preserve"> </w:t>
      </w:r>
      <w:r w:rsidR="003450BC">
        <w:t>with</w:t>
      </w:r>
      <w:r>
        <w:t xml:space="preserve">in that </w:t>
      </w:r>
      <w:r w:rsidR="00461873">
        <w:t xml:space="preserve">data </w:t>
      </w:r>
      <w:r>
        <w:t xml:space="preserve">worksheet.  </w:t>
      </w:r>
      <w:r w:rsidR="00461873">
        <w:t xml:space="preserve">Respondents should </w:t>
      </w:r>
      <w:r w:rsidRPr="004B5932" w:rsidR="004B5932">
        <w:t>not enter data into these cells, as they are self-populating.</w:t>
      </w:r>
      <w:r w:rsidR="004B5932">
        <w:t xml:space="preserve">  </w:t>
      </w:r>
      <w:r>
        <w:t>These cells are identified in two ways:</w:t>
      </w:r>
    </w:p>
    <w:p w:rsidR="00362723" w:rsidP="00362723" w:rsidRDefault="00362723" w14:paraId="63F7F9F5" w14:textId="77777777">
      <w:pPr>
        <w:pStyle w:val="ListParagraph"/>
        <w:ind w:left="1440"/>
      </w:pPr>
    </w:p>
    <w:p w:rsidR="00362723" w:rsidRDefault="00FA1F51" w14:paraId="7714FF77" w14:textId="2862ACC3">
      <w:pPr>
        <w:pStyle w:val="BodyText"/>
        <w:numPr>
          <w:ilvl w:val="0"/>
          <w:numId w:val="24"/>
        </w:numPr>
      </w:pPr>
      <w:r>
        <w:t>The cells are l</w:t>
      </w:r>
      <w:r w:rsidR="003450BC">
        <w:t>abeled as e</w:t>
      </w:r>
      <w:r w:rsidR="004B5932">
        <w:t>ither</w:t>
      </w:r>
      <w:r w:rsidDel="00FA1F51" w:rsidR="004B5932">
        <w:t xml:space="preserve"> </w:t>
      </w:r>
      <w:r w:rsidRPr="00FA1F51" w:rsidR="009740CE">
        <w:t>“</w:t>
      </w:r>
      <w:r w:rsidRPr="00362723" w:rsidR="009740CE">
        <w:rPr>
          <w:i/>
          <w:color w:val="00B050"/>
        </w:rPr>
        <w:t>Automatically calculate</w:t>
      </w:r>
      <w:r w:rsidRPr="00D729D5" w:rsidR="009740CE">
        <w:rPr>
          <w:i/>
          <w:color w:val="00B050"/>
        </w:rPr>
        <w:t>d</w:t>
      </w:r>
      <w:r w:rsidR="009740CE">
        <w:t xml:space="preserve">” </w:t>
      </w:r>
      <w:r w:rsidR="004B5932">
        <w:t xml:space="preserve">or </w:t>
      </w:r>
      <w:r w:rsidRPr="006B2FBA" w:rsidDel="00FA1F51" w:rsidR="004B5932">
        <w:t>“</w:t>
      </w:r>
      <w:r w:rsidRPr="00362723" w:rsidR="004B5932">
        <w:rPr>
          <w:i/>
          <w:color w:val="00B050"/>
        </w:rPr>
        <w:t>Automatically copied from</w:t>
      </w:r>
      <w:r w:rsidR="00362723">
        <w:rPr>
          <w:i/>
          <w:color w:val="00B050"/>
        </w:rPr>
        <w:t>.</w:t>
      </w:r>
      <w:r w:rsidRPr="00362723" w:rsidR="004B5932">
        <w:rPr>
          <w:i/>
          <w:color w:val="00B050"/>
        </w:rPr>
        <w:t>.</w:t>
      </w:r>
      <w:r w:rsidRPr="004B5932" w:rsidR="004B5932">
        <w:rPr>
          <w:i/>
          <w:color w:val="00B050"/>
        </w:rPr>
        <w:t>.</w:t>
      </w:r>
      <w:r w:rsidR="004B5932">
        <w:t xml:space="preserve">” </w:t>
      </w:r>
      <w:r w:rsidR="009740CE">
        <w:t xml:space="preserve">in the </w:t>
      </w:r>
      <w:r>
        <w:t>c</w:t>
      </w:r>
      <w:r w:rsidR="009740CE">
        <w:t>olum</w:t>
      </w:r>
      <w:r w:rsidR="00A11F20">
        <w:t>n</w:t>
      </w:r>
      <w:r w:rsidR="009740CE">
        <w:t xml:space="preserve"> B description </w:t>
      </w:r>
      <w:r>
        <w:t>for that data element</w:t>
      </w:r>
      <w:r w:rsidR="00362723">
        <w:t>; a</w:t>
      </w:r>
      <w:r w:rsidR="003450BC">
        <w:t>nd</w:t>
      </w:r>
      <w:r w:rsidR="00362723">
        <w:t xml:space="preserve"> </w:t>
      </w:r>
    </w:p>
    <w:p w:rsidR="00362723" w:rsidRDefault="009740CE" w14:paraId="52B57319" w14:textId="6C8A7ECB">
      <w:pPr>
        <w:pStyle w:val="BodyText"/>
        <w:numPr>
          <w:ilvl w:val="0"/>
          <w:numId w:val="24"/>
        </w:numPr>
      </w:pPr>
      <w:r>
        <w:t>The data entry cells</w:t>
      </w:r>
      <w:r w:rsidR="00C34193">
        <w:t xml:space="preserve"> </w:t>
      </w:r>
      <w:r w:rsidR="0091283F">
        <w:t xml:space="preserve">in rows with </w:t>
      </w:r>
      <w:r w:rsidRPr="001D2EBF" w:rsidR="00C34193">
        <w:t>automatic</w:t>
      </w:r>
      <w:r w:rsidRPr="001D2EBF" w:rsidR="0091283F">
        <w:t xml:space="preserve"> </w:t>
      </w:r>
      <w:r w:rsidRPr="001D2EBF" w:rsidR="00C34193">
        <w:t>calculat</w:t>
      </w:r>
      <w:r w:rsidRPr="001D2EBF" w:rsidR="0091283F">
        <w:t>ions</w:t>
      </w:r>
      <w:r w:rsidRPr="001D2EBF">
        <w:t xml:space="preserve"> are </w:t>
      </w:r>
      <w:r w:rsidRPr="00395C8C">
        <w:rPr>
          <w:highlight w:val="lightGray"/>
        </w:rPr>
        <w:t>shaded gray</w:t>
      </w:r>
      <w:r w:rsidRPr="001D2EBF">
        <w:t xml:space="preserve">.  </w:t>
      </w:r>
    </w:p>
    <w:p w:rsidRPr="004B5932" w:rsidR="008A066D" w:rsidP="00362723" w:rsidRDefault="00F003F7" w14:paraId="293CAC3B" w14:textId="160D6B3D">
      <w:pPr>
        <w:pStyle w:val="Heading2"/>
        <w:rPr>
          <w:u w:val="none"/>
        </w:rPr>
      </w:pPr>
      <w:bookmarkStart w:name="_Toc29457634" w:id="9"/>
      <w:r>
        <w:t>Three Types of Metrics and Three Groups of Respondents</w:t>
      </w:r>
      <w:bookmarkEnd w:id="9"/>
      <w:r>
        <w:t xml:space="preserve"> </w:t>
      </w:r>
    </w:p>
    <w:p w:rsidRPr="008B24A0" w:rsidR="008A066D" w:rsidP="008A066D" w:rsidRDefault="008A066D" w14:paraId="3DA48A1F" w14:textId="6FBF622F">
      <w:pPr>
        <w:pStyle w:val="BodyText"/>
        <w:ind w:firstLine="0"/>
      </w:pPr>
      <w:r w:rsidRPr="008B24A0">
        <w:t>The metrics are separated into three groups based on the</w:t>
      </w:r>
      <w:r w:rsidR="000C5989">
        <w:t xml:space="preserve">ir </w:t>
      </w:r>
      <w:r w:rsidRPr="008B24A0">
        <w:t>appli</w:t>
      </w:r>
      <w:r w:rsidR="00362723">
        <w:t>cability</w:t>
      </w:r>
      <w:r w:rsidR="00395C8C">
        <w:t xml:space="preserve"> to respondents</w:t>
      </w:r>
      <w:r w:rsidR="00362723">
        <w:t>.  The three groups are</w:t>
      </w:r>
      <w:r w:rsidRPr="008B24A0">
        <w:t>:</w:t>
      </w:r>
    </w:p>
    <w:p w:rsidRPr="00FF74D5" w:rsidR="008A066D" w:rsidP="008A066D" w:rsidRDefault="008A066D" w14:paraId="6C53A4B2" w14:textId="7B4EDF7A">
      <w:pPr>
        <w:pStyle w:val="BodyText"/>
        <w:tabs>
          <w:tab w:val="right" w:pos="10080"/>
        </w:tabs>
        <w:ind w:firstLine="0"/>
        <w:rPr>
          <w:b/>
        </w:rPr>
      </w:pPr>
      <w:r w:rsidRPr="00FF74D5">
        <w:rPr>
          <w:b/>
        </w:rPr>
        <w:lastRenderedPageBreak/>
        <w:t>Group 1:</w:t>
      </w:r>
      <w:r w:rsidR="008B2E78">
        <w:rPr>
          <w:b/>
        </w:rPr>
        <w:t xml:space="preserve"> </w:t>
      </w:r>
      <w:r w:rsidRPr="00FF74D5">
        <w:rPr>
          <w:b/>
        </w:rPr>
        <w:t xml:space="preserve"> Administrative and Descriptive Metrics </w:t>
      </w:r>
      <w:r w:rsidRPr="00FF74D5">
        <w:rPr>
          <w:b/>
        </w:rPr>
        <w:tab/>
      </w:r>
    </w:p>
    <w:p w:rsidRPr="00823AD4" w:rsidR="008A066D" w:rsidP="00F21FFF" w:rsidRDefault="00202C80" w14:paraId="5FE22DE8" w14:textId="5FF77655">
      <w:pPr>
        <w:pStyle w:val="BodyText"/>
        <w:numPr>
          <w:ilvl w:val="0"/>
          <w:numId w:val="24"/>
        </w:numPr>
        <w:spacing w:after="0"/>
      </w:pPr>
      <w:r>
        <w:t>A</w:t>
      </w:r>
      <w:r w:rsidRPr="006754DE" w:rsidR="008A066D">
        <w:t xml:space="preserve">ll RTOs/ISOs and </w:t>
      </w:r>
      <w:r w:rsidRPr="000A054B" w:rsidR="00FA1F51">
        <w:t xml:space="preserve">non-RTO/ISO </w:t>
      </w:r>
      <w:r w:rsidRPr="000A054B" w:rsidR="008A066D">
        <w:t>utilities</w:t>
      </w:r>
      <w:r>
        <w:t xml:space="preserve"> should complete th</w:t>
      </w:r>
      <w:r w:rsidR="0092165B">
        <w:t>is group of</w:t>
      </w:r>
      <w:r>
        <w:t xml:space="preserve"> metrics</w:t>
      </w:r>
      <w:r w:rsidR="00823AD4">
        <w:t>.</w:t>
      </w:r>
      <w:r w:rsidRPr="006754DE" w:rsidR="008A066D">
        <w:t xml:space="preserve"> </w:t>
      </w:r>
      <w:r w:rsidRPr="00E66623" w:rsidDel="00FA1F51" w:rsidR="00FA1F51">
        <w:t xml:space="preserve"> </w:t>
      </w:r>
      <w:r w:rsidRPr="00E66623" w:rsidR="00BD7404">
        <w:br/>
      </w:r>
      <w:r w:rsidRPr="00E66623" w:rsidR="008A066D">
        <w:t xml:space="preserve"> </w:t>
      </w:r>
    </w:p>
    <w:p w:rsidRPr="008B24A0" w:rsidR="008A066D" w:rsidP="00F21FFF" w:rsidRDefault="00E66623" w14:paraId="03081732" w14:textId="00A62A01">
      <w:pPr>
        <w:pStyle w:val="BodyText"/>
        <w:numPr>
          <w:ilvl w:val="0"/>
          <w:numId w:val="24"/>
        </w:numPr>
        <w:spacing w:after="0"/>
      </w:pPr>
      <w:r>
        <w:t>This g</w:t>
      </w:r>
      <w:r w:rsidR="00823AD4">
        <w:t>roup i</w:t>
      </w:r>
      <w:r w:rsidRPr="008B24A0" w:rsidR="008A066D">
        <w:t>nclude</w:t>
      </w:r>
      <w:r>
        <w:t>s</w:t>
      </w:r>
      <w:r w:rsidRPr="008B24A0" w:rsidR="008A066D">
        <w:t xml:space="preserve"> Metric #1 through Metric #7</w:t>
      </w:r>
      <w:r w:rsidR="00823AD4">
        <w:t>.</w:t>
      </w:r>
      <w:r w:rsidR="00BD7404">
        <w:br/>
      </w:r>
    </w:p>
    <w:p w:rsidR="008A066D" w:rsidP="00F21FFF" w:rsidRDefault="00FA1F51" w14:paraId="686E7A94" w14:textId="7891A2D6">
      <w:pPr>
        <w:pStyle w:val="BodyText"/>
        <w:numPr>
          <w:ilvl w:val="0"/>
          <w:numId w:val="24"/>
        </w:numPr>
        <w:spacing w:after="0"/>
      </w:pPr>
      <w:r>
        <w:t>Non-RTO/ISO</w:t>
      </w:r>
      <w:r w:rsidRPr="008B24A0">
        <w:t xml:space="preserve"> </w:t>
      </w:r>
      <w:r w:rsidRPr="008B24A0" w:rsidR="008A066D">
        <w:t xml:space="preserve">utilities should </w:t>
      </w:r>
      <w:r w:rsidR="00FB3618">
        <w:t xml:space="preserve">complete </w:t>
      </w:r>
      <w:r w:rsidRPr="008B24A0" w:rsidR="008A066D">
        <w:t>th</w:t>
      </w:r>
      <w:r w:rsidR="00453E26">
        <w:t>is group of</w:t>
      </w:r>
      <w:r w:rsidRPr="008B24A0" w:rsidR="008A066D">
        <w:t xml:space="preserve"> metrics with data that correspond to the individual balancing authority areas in which they operate.</w:t>
      </w:r>
      <w:r w:rsidRPr="008B24A0" w:rsidDel="008322A7" w:rsidR="008A066D">
        <w:t xml:space="preserve"> </w:t>
      </w:r>
      <w:r w:rsidRPr="008B24A0" w:rsidR="008A066D">
        <w:t xml:space="preserve"> </w:t>
      </w:r>
      <w:r w:rsidR="009C41E8">
        <w:t>Non-RTO/ISO u</w:t>
      </w:r>
      <w:r w:rsidR="00C255A6">
        <w:t xml:space="preserve">tilities that operate in more than one balancing authority area should submit a separate Input Spreadsheet for each </w:t>
      </w:r>
      <w:r w:rsidR="00105825">
        <w:t>balancing authority area</w:t>
      </w:r>
      <w:r w:rsidR="00C255A6">
        <w:t xml:space="preserve"> in which they operate</w:t>
      </w:r>
      <w:r w:rsidR="00105825">
        <w:t xml:space="preserve">. </w:t>
      </w:r>
      <w:r w:rsidR="00BD7404">
        <w:br/>
      </w:r>
    </w:p>
    <w:p w:rsidRPr="008B24A0" w:rsidR="000C5989" w:rsidP="00F21FFF" w:rsidRDefault="007238B2" w14:paraId="43E108BA" w14:textId="609DB3AA">
      <w:pPr>
        <w:pStyle w:val="BodyText"/>
        <w:numPr>
          <w:ilvl w:val="0"/>
          <w:numId w:val="24"/>
        </w:numPr>
        <w:spacing w:after="0"/>
      </w:pPr>
      <w:r>
        <w:t xml:space="preserve">Worksheets </w:t>
      </w:r>
      <w:r w:rsidR="00FF74D5">
        <w:t>for this group of</w:t>
      </w:r>
      <w:r w:rsidR="00823AD4">
        <w:t xml:space="preserve"> </w:t>
      </w:r>
      <w:r w:rsidR="000C5989">
        <w:t xml:space="preserve">metrics </w:t>
      </w:r>
      <w:r w:rsidR="00395C8C">
        <w:t xml:space="preserve">are </w:t>
      </w:r>
      <w:r>
        <w:t>identified with</w:t>
      </w:r>
      <w:r w:rsidR="00395C8C">
        <w:t xml:space="preserve"> </w:t>
      </w:r>
      <w:r w:rsidR="00097EE5">
        <w:t xml:space="preserve">a </w:t>
      </w:r>
      <w:r w:rsidR="000C5989">
        <w:t>yellow tab.</w:t>
      </w:r>
    </w:p>
    <w:p w:rsidRPr="008B24A0" w:rsidR="008A066D" w:rsidP="008A066D" w:rsidRDefault="008A066D" w14:paraId="7161806B" w14:textId="77777777">
      <w:pPr>
        <w:pStyle w:val="BodyText"/>
        <w:spacing w:after="0"/>
        <w:ind w:left="720" w:firstLine="0"/>
      </w:pPr>
    </w:p>
    <w:p w:rsidRPr="00453E26" w:rsidR="008A066D" w:rsidP="008A066D" w:rsidRDefault="008A066D" w14:paraId="448874FE" w14:textId="3284A00A">
      <w:pPr>
        <w:pStyle w:val="BodyText"/>
        <w:ind w:firstLine="0"/>
        <w:rPr>
          <w:b/>
        </w:rPr>
      </w:pPr>
      <w:r w:rsidRPr="00453E26">
        <w:rPr>
          <w:b/>
        </w:rPr>
        <w:t>Group 2:</w:t>
      </w:r>
      <w:r w:rsidR="008B2E78">
        <w:rPr>
          <w:b/>
        </w:rPr>
        <w:t xml:space="preserve"> </w:t>
      </w:r>
      <w:r w:rsidRPr="00453E26">
        <w:rPr>
          <w:b/>
        </w:rPr>
        <w:t xml:space="preserve"> Energy Market Metrics</w:t>
      </w:r>
    </w:p>
    <w:p w:rsidRPr="00823AD4" w:rsidR="008A066D" w:rsidP="00F21FFF" w:rsidRDefault="0071055F" w14:paraId="41FD124F" w14:textId="65206E84">
      <w:pPr>
        <w:pStyle w:val="BodyText"/>
        <w:numPr>
          <w:ilvl w:val="0"/>
          <w:numId w:val="24"/>
        </w:numPr>
        <w:spacing w:after="0"/>
      </w:pPr>
      <w:r>
        <w:t>A</w:t>
      </w:r>
      <w:r w:rsidRPr="00453E26" w:rsidR="008A066D">
        <w:t>ll RTOs/ISOs</w:t>
      </w:r>
      <w:r>
        <w:t xml:space="preserve"> should complete this group of metrics</w:t>
      </w:r>
      <w:r w:rsidR="00823AD4">
        <w:t>.</w:t>
      </w:r>
      <w:r w:rsidRPr="00453E26" w:rsidR="008A066D">
        <w:t xml:space="preserve"> </w:t>
      </w:r>
      <w:r w:rsidRPr="00453E26" w:rsidR="00BD7404">
        <w:br/>
      </w:r>
    </w:p>
    <w:p w:rsidR="00065B4B" w:rsidP="00F21FFF" w:rsidRDefault="00453E26" w14:paraId="7336F277" w14:textId="77777777">
      <w:pPr>
        <w:pStyle w:val="BodyText"/>
        <w:numPr>
          <w:ilvl w:val="0"/>
          <w:numId w:val="24"/>
        </w:numPr>
        <w:spacing w:after="0"/>
      </w:pPr>
      <w:r>
        <w:t xml:space="preserve">This group </w:t>
      </w:r>
      <w:r w:rsidR="00D25BB2">
        <w:t>of</w:t>
      </w:r>
      <w:r w:rsidR="00823AD4">
        <w:t xml:space="preserve"> metrics i</w:t>
      </w:r>
      <w:r w:rsidRPr="008B24A0" w:rsidR="008A066D">
        <w:t>nclude</w:t>
      </w:r>
      <w:r w:rsidR="00D25BB2">
        <w:t>s</w:t>
      </w:r>
      <w:r w:rsidRPr="008B24A0" w:rsidR="008A066D">
        <w:t xml:space="preserve"> Metric #8 through Metric #1</w:t>
      </w:r>
      <w:r w:rsidR="001C5246">
        <w:t>9</w:t>
      </w:r>
      <w:r w:rsidR="00823AD4">
        <w:t>.</w:t>
      </w:r>
    </w:p>
    <w:p w:rsidR="00065B4B" w:rsidP="00854D41" w:rsidRDefault="00065B4B" w14:paraId="3740DE61" w14:textId="60C1A1A4">
      <w:pPr>
        <w:pStyle w:val="BodyText"/>
        <w:spacing w:after="0"/>
        <w:ind w:firstLine="0"/>
      </w:pPr>
    </w:p>
    <w:p w:rsidR="008A066D" w:rsidP="00F21FFF" w:rsidRDefault="00065B4B" w14:paraId="24B438F7" w14:textId="5A7AE21A">
      <w:pPr>
        <w:pStyle w:val="BodyText"/>
        <w:numPr>
          <w:ilvl w:val="0"/>
          <w:numId w:val="24"/>
        </w:numPr>
        <w:spacing w:after="0"/>
      </w:pPr>
      <w:r>
        <w:t>Worksheets for this group of metrics are identified with a green tab.</w:t>
      </w:r>
      <w:r w:rsidR="00BD7404">
        <w:br/>
      </w:r>
    </w:p>
    <w:p w:rsidRPr="0071055F" w:rsidR="008A066D" w:rsidP="008A066D" w:rsidRDefault="003C1F3D" w14:paraId="09BDB586" w14:textId="0AEB9A52">
      <w:pPr>
        <w:pStyle w:val="BodyText"/>
        <w:ind w:firstLine="0"/>
        <w:rPr>
          <w:b/>
        </w:rPr>
      </w:pPr>
      <w:r>
        <w:t xml:space="preserve"> </w:t>
      </w:r>
      <w:r w:rsidRPr="0071055F" w:rsidR="008A066D">
        <w:rPr>
          <w:b/>
        </w:rPr>
        <w:t>Group 3:</w:t>
      </w:r>
      <w:r w:rsidR="008B2E78">
        <w:rPr>
          <w:b/>
        </w:rPr>
        <w:t xml:space="preserve"> </w:t>
      </w:r>
      <w:r w:rsidRPr="0071055F" w:rsidR="008A066D">
        <w:rPr>
          <w:b/>
        </w:rPr>
        <w:t xml:space="preserve"> Capacity Market Metrics </w:t>
      </w:r>
    </w:p>
    <w:p w:rsidRPr="00823AD4" w:rsidR="008A066D" w:rsidP="00F21FFF" w:rsidRDefault="00FF74D5" w14:paraId="4DE99C09" w14:textId="41D5CED3">
      <w:pPr>
        <w:pStyle w:val="BodyText"/>
        <w:numPr>
          <w:ilvl w:val="0"/>
          <w:numId w:val="24"/>
        </w:numPr>
        <w:spacing w:after="0"/>
      </w:pPr>
      <w:r>
        <w:t>A</w:t>
      </w:r>
      <w:r w:rsidRPr="00FF74D5" w:rsidR="008A066D">
        <w:t>ll RTOs/ISOs that operate centralized capacity markets</w:t>
      </w:r>
      <w:r>
        <w:t xml:space="preserve"> should complete this group of metrics</w:t>
      </w:r>
      <w:r w:rsidR="00823AD4">
        <w:t>.</w:t>
      </w:r>
      <w:r w:rsidRPr="00FF74D5" w:rsidR="00DD6365">
        <w:br/>
      </w:r>
    </w:p>
    <w:p w:rsidRPr="008B24A0" w:rsidR="008A066D" w:rsidP="00F21FFF" w:rsidRDefault="00FF74D5" w14:paraId="1613F49E" w14:textId="5CF92637">
      <w:pPr>
        <w:pStyle w:val="BodyText"/>
        <w:numPr>
          <w:ilvl w:val="0"/>
          <w:numId w:val="24"/>
        </w:numPr>
        <w:spacing w:after="0"/>
      </w:pPr>
      <w:r>
        <w:t>This group of</w:t>
      </w:r>
      <w:r w:rsidR="00823AD4">
        <w:t xml:space="preserve"> metrics </w:t>
      </w:r>
      <w:r>
        <w:t>i</w:t>
      </w:r>
      <w:r w:rsidRPr="008B24A0">
        <w:t>nclude</w:t>
      </w:r>
      <w:r>
        <w:t>s</w:t>
      </w:r>
      <w:r w:rsidRPr="008B24A0" w:rsidR="008A066D">
        <w:t xml:space="preserve"> Metric #</w:t>
      </w:r>
      <w:r w:rsidR="001C5246">
        <w:t>20</w:t>
      </w:r>
      <w:r w:rsidRPr="008B24A0" w:rsidR="008A066D">
        <w:t xml:space="preserve"> through Metric #2</w:t>
      </w:r>
      <w:r w:rsidR="008A066D">
        <w:t>9</w:t>
      </w:r>
      <w:r w:rsidR="00823AD4">
        <w:t>.</w:t>
      </w:r>
      <w:r w:rsidR="00BD7404">
        <w:br/>
      </w:r>
    </w:p>
    <w:p w:rsidRPr="008B24A0" w:rsidR="008A066D" w:rsidP="00F21FFF" w:rsidRDefault="009F4C47" w14:paraId="169C01BB" w14:textId="30746C30">
      <w:pPr>
        <w:pStyle w:val="BodyText"/>
        <w:numPr>
          <w:ilvl w:val="0"/>
          <w:numId w:val="24"/>
        </w:numPr>
        <w:spacing w:after="0"/>
      </w:pPr>
      <w:r>
        <w:t>This group of</w:t>
      </w:r>
      <w:r w:rsidRPr="008B24A0" w:rsidR="00823AD4">
        <w:t xml:space="preserve"> </w:t>
      </w:r>
      <w:r w:rsidRPr="008B24A0" w:rsidR="008A066D">
        <w:t xml:space="preserve">metrics </w:t>
      </w:r>
      <w:r w:rsidR="008A066D">
        <w:t xml:space="preserve">may </w:t>
      </w:r>
      <w:r w:rsidRPr="008B24A0" w:rsidR="008A066D">
        <w:t xml:space="preserve">require detailed information that should be reported at the zonal level, </w:t>
      </w:r>
      <w:r w:rsidR="001C5246">
        <w:t>or sub</w:t>
      </w:r>
      <w:r w:rsidR="00A95B54">
        <w:t>-</w:t>
      </w:r>
      <w:r w:rsidR="001C5246">
        <w:t>RTO/ISO level</w:t>
      </w:r>
      <w:r w:rsidR="00E3674B">
        <w:t>,</w:t>
      </w:r>
      <w:r w:rsidR="001C5246">
        <w:t xml:space="preserve"> </w:t>
      </w:r>
      <w:r w:rsidRPr="008B24A0" w:rsidR="008A066D">
        <w:t>where applicable.</w:t>
      </w:r>
      <w:r w:rsidR="00EB5961">
        <w:t xml:space="preserve"> </w:t>
      </w:r>
      <w:r w:rsidR="00BD7404">
        <w:br/>
      </w:r>
    </w:p>
    <w:p w:rsidR="008A066D" w:rsidP="00F21FFF" w:rsidRDefault="00EB5961" w14:paraId="2E717C34" w14:textId="4F330ED9">
      <w:pPr>
        <w:pStyle w:val="BodyText"/>
        <w:numPr>
          <w:ilvl w:val="0"/>
          <w:numId w:val="24"/>
        </w:numPr>
        <w:spacing w:after="0"/>
      </w:pPr>
      <w:r>
        <w:t xml:space="preserve">Instructions on adding additional rows </w:t>
      </w:r>
      <w:r w:rsidR="00BD7404">
        <w:t xml:space="preserve">to a worksheet </w:t>
      </w:r>
      <w:r w:rsidR="00E3674B">
        <w:t xml:space="preserve">in order to </w:t>
      </w:r>
      <w:r w:rsidR="00BD7404">
        <w:t xml:space="preserve">accommodate additional </w:t>
      </w:r>
      <w:r>
        <w:t xml:space="preserve">zones are </w:t>
      </w:r>
      <w:r w:rsidR="00BD7404">
        <w:t xml:space="preserve">explained </w:t>
      </w:r>
      <w:r>
        <w:t xml:space="preserve">in </w:t>
      </w:r>
      <w:r w:rsidR="00D0237A">
        <w:t>Appendix</w:t>
      </w:r>
      <w:r w:rsidR="00EF19D4">
        <w:t xml:space="preserve"> A</w:t>
      </w:r>
      <w:r>
        <w:t xml:space="preserve">. </w:t>
      </w:r>
      <w:r w:rsidR="00BD7404">
        <w:br/>
      </w:r>
    </w:p>
    <w:p w:rsidRPr="00521AEC" w:rsidR="007D5B9B" w:rsidP="00FF74D5" w:rsidRDefault="00B51FA0" w14:paraId="1538972D" w14:textId="42090062">
      <w:pPr>
        <w:pStyle w:val="BodyText"/>
        <w:numPr>
          <w:ilvl w:val="0"/>
          <w:numId w:val="24"/>
        </w:numPr>
        <w:spacing w:after="0"/>
      </w:pPr>
      <w:r>
        <w:t xml:space="preserve">Worksheets </w:t>
      </w:r>
      <w:r w:rsidR="00FF74D5">
        <w:t>for this g</w:t>
      </w:r>
      <w:r w:rsidR="00823AD4">
        <w:t xml:space="preserve">roup </w:t>
      </w:r>
      <w:r w:rsidR="00FF74D5">
        <w:t xml:space="preserve">of </w:t>
      </w:r>
      <w:r w:rsidR="000C5989">
        <w:t xml:space="preserve">metrics </w:t>
      </w:r>
      <w:r w:rsidR="00DD6365">
        <w:t xml:space="preserve">are </w:t>
      </w:r>
      <w:r>
        <w:t>identified with a</w:t>
      </w:r>
      <w:r w:rsidR="00DD6365">
        <w:t xml:space="preserve"> </w:t>
      </w:r>
      <w:r w:rsidR="000C5989">
        <w:t>blue tab</w:t>
      </w:r>
      <w:r w:rsidR="00097EE5">
        <w:t xml:space="preserve">. </w:t>
      </w:r>
    </w:p>
    <w:p w:rsidRPr="00521AEC" w:rsidR="00647160" w:rsidP="00F922D6" w:rsidRDefault="00647160" w14:paraId="10E80911" w14:textId="77777777">
      <w:pPr>
        <w:pStyle w:val="BodyText"/>
        <w:spacing w:after="0"/>
        <w:ind w:left="1080" w:firstLine="0"/>
      </w:pPr>
    </w:p>
    <w:p w:rsidRPr="00065B91" w:rsidR="0090339C" w:rsidP="00BA1ED4" w:rsidRDefault="0090339C" w14:paraId="393B9A0E" w14:textId="7558B8F2">
      <w:pPr>
        <w:pStyle w:val="Heading1"/>
        <w:numPr>
          <w:ilvl w:val="0"/>
          <w:numId w:val="57"/>
        </w:numPr>
        <w:rPr>
          <w:u w:val="none"/>
        </w:rPr>
      </w:pPr>
      <w:bookmarkStart w:name="_Toc29457635" w:id="10"/>
      <w:r w:rsidRPr="00065B91">
        <w:lastRenderedPageBreak/>
        <w:t>How to Complete the Information Collection</w:t>
      </w:r>
      <w:bookmarkEnd w:id="10"/>
      <w:r w:rsidRPr="00065B91" w:rsidR="00065B91">
        <w:t xml:space="preserve"> </w:t>
      </w:r>
    </w:p>
    <w:p w:rsidRPr="005D5A58" w:rsidR="0090339C" w:rsidP="005D5A58" w:rsidRDefault="0090339C" w14:paraId="3E91E6B9" w14:textId="69B027E0">
      <w:pPr>
        <w:pStyle w:val="Heading2"/>
        <w:numPr>
          <w:ilvl w:val="0"/>
          <w:numId w:val="51"/>
        </w:numPr>
        <w:rPr>
          <w:u w:val="none"/>
        </w:rPr>
      </w:pPr>
      <w:bookmarkStart w:name="_Toc29457636" w:id="11"/>
      <w:r w:rsidRPr="00065B91">
        <w:t xml:space="preserve">General </w:t>
      </w:r>
      <w:r w:rsidR="00D12EFE">
        <w:t>Directions</w:t>
      </w:r>
      <w:bookmarkEnd w:id="11"/>
    </w:p>
    <w:p w:rsidRPr="008B24A0" w:rsidR="0090339C" w:rsidP="002823AB" w:rsidRDefault="00BB103E" w14:paraId="7E4D26AA" w14:textId="5E9B487B">
      <w:pPr>
        <w:pStyle w:val="BodyText"/>
        <w:ind w:firstLine="0"/>
      </w:pPr>
      <w:r>
        <w:t xml:space="preserve">This section </w:t>
      </w:r>
      <w:r w:rsidR="00A157F5">
        <w:t xml:space="preserve">explains the reporting period and </w:t>
      </w:r>
      <w:r>
        <w:t>describes how to</w:t>
      </w:r>
      <w:r w:rsidR="00A157F5">
        <w:t xml:space="preserve">: </w:t>
      </w:r>
      <w:r>
        <w:t xml:space="preserve"> </w:t>
      </w:r>
      <w:r w:rsidR="00A157F5">
        <w:t xml:space="preserve">(1) </w:t>
      </w:r>
      <w:r>
        <w:t>complete the Information Collection</w:t>
      </w:r>
      <w:r w:rsidR="00580377">
        <w:t>;</w:t>
      </w:r>
      <w:r w:rsidDel="00A157F5">
        <w:t xml:space="preserve"> </w:t>
      </w:r>
      <w:r w:rsidR="00A157F5">
        <w:t xml:space="preserve">(2) </w:t>
      </w:r>
      <w:r>
        <w:t xml:space="preserve">enter </w:t>
      </w:r>
      <w:r w:rsidR="006D7D46">
        <w:t xml:space="preserve">contact </w:t>
      </w:r>
      <w:r w:rsidR="00DE2503">
        <w:t>information</w:t>
      </w:r>
      <w:r w:rsidR="00580377">
        <w:t>;</w:t>
      </w:r>
      <w:r w:rsidDel="00A157F5" w:rsidR="006D7D46">
        <w:t xml:space="preserve"> </w:t>
      </w:r>
      <w:r w:rsidR="00A157F5">
        <w:t xml:space="preserve">(3) </w:t>
      </w:r>
      <w:r w:rsidR="006D7D46">
        <w:t>format data entry</w:t>
      </w:r>
      <w:r w:rsidR="00DE2503">
        <w:t xml:space="preserve"> for each data element</w:t>
      </w:r>
      <w:r w:rsidR="00580377">
        <w:t>;</w:t>
      </w:r>
      <w:r w:rsidR="006D7D46">
        <w:t xml:space="preserve"> and </w:t>
      </w:r>
      <w:r w:rsidR="00A157F5">
        <w:t xml:space="preserve">(4) </w:t>
      </w:r>
      <w:r w:rsidR="006D7D46">
        <w:t>modify the</w:t>
      </w:r>
      <w:r w:rsidR="00DE2503">
        <w:t xml:space="preserve"> data</w:t>
      </w:r>
      <w:r w:rsidR="006D7D46">
        <w:t xml:space="preserve"> worksheets to accommodate additional zonal information. </w:t>
      </w:r>
      <w:r>
        <w:t xml:space="preserve"> </w:t>
      </w:r>
      <w:r w:rsidRPr="008B24A0" w:rsidR="0090339C">
        <w:t xml:space="preserve">In order for the </w:t>
      </w:r>
      <w:r w:rsidRPr="008B24A0" w:rsidR="00C8402B">
        <w:t>I</w:t>
      </w:r>
      <w:r w:rsidRPr="008B24A0" w:rsidR="0090339C">
        <w:t xml:space="preserve">nformation </w:t>
      </w:r>
      <w:r w:rsidRPr="008B24A0" w:rsidR="00C8402B">
        <w:t>C</w:t>
      </w:r>
      <w:r w:rsidRPr="008B24A0" w:rsidR="0090339C">
        <w:t xml:space="preserve">ollection process to work efficiently, respondents </w:t>
      </w:r>
      <w:r w:rsidR="00DE2503">
        <w:t>should adhere to the following practices</w:t>
      </w:r>
      <w:r w:rsidR="00DD6365">
        <w:t>.</w:t>
      </w:r>
      <w:r w:rsidRPr="008B24A0" w:rsidR="0090339C">
        <w:t xml:space="preserve"> </w:t>
      </w:r>
    </w:p>
    <w:p w:rsidRPr="008B24A0" w:rsidR="0090339C" w:rsidP="00967663" w:rsidRDefault="0069780A" w14:paraId="53C29FFD" w14:textId="0EBB2711">
      <w:pPr>
        <w:pStyle w:val="Heading3"/>
        <w:numPr>
          <w:ilvl w:val="0"/>
          <w:numId w:val="63"/>
        </w:numPr>
        <w:tabs>
          <w:tab w:val="left" w:pos="2880"/>
        </w:tabs>
        <w:ind w:left="2880" w:hanging="1440"/>
      </w:pPr>
      <w:r>
        <w:t xml:space="preserve">Data </w:t>
      </w:r>
      <w:r w:rsidRPr="008B24A0" w:rsidR="0090339C">
        <w:t>Worksheet</w:t>
      </w:r>
    </w:p>
    <w:p w:rsidR="00ED5C4B" w:rsidP="00ED5C4B" w:rsidRDefault="00ED5C4B" w14:paraId="262E7880" w14:textId="065456AC">
      <w:pPr>
        <w:pStyle w:val="BodyText"/>
        <w:numPr>
          <w:ilvl w:val="0"/>
          <w:numId w:val="20"/>
        </w:numPr>
      </w:pPr>
      <w:r w:rsidRPr="002823AB">
        <w:rPr>
          <w:b/>
        </w:rPr>
        <w:t>Respondents should o</w:t>
      </w:r>
      <w:r w:rsidRPr="00ED5C4B">
        <w:rPr>
          <w:b/>
        </w:rPr>
        <w:t>nly</w:t>
      </w:r>
      <w:r w:rsidRPr="008B24A0">
        <w:rPr>
          <w:b/>
        </w:rPr>
        <w:t xml:space="preserve"> use the pre-formatted </w:t>
      </w:r>
      <w:r>
        <w:rPr>
          <w:b/>
        </w:rPr>
        <w:t>Input</w:t>
      </w:r>
      <w:r w:rsidRPr="008B24A0">
        <w:rPr>
          <w:b/>
        </w:rPr>
        <w:t xml:space="preserve"> </w:t>
      </w:r>
      <w:r>
        <w:rPr>
          <w:b/>
        </w:rPr>
        <w:t>S</w:t>
      </w:r>
      <w:r w:rsidRPr="008B24A0">
        <w:rPr>
          <w:b/>
        </w:rPr>
        <w:t xml:space="preserve">preadsheet provided </w:t>
      </w:r>
      <w:r>
        <w:rPr>
          <w:b/>
        </w:rPr>
        <w:t>in eLibrary to</w:t>
      </w:r>
      <w:r w:rsidRPr="008B24A0">
        <w:rPr>
          <w:b/>
        </w:rPr>
        <w:t xml:space="preserve"> </w:t>
      </w:r>
      <w:r>
        <w:rPr>
          <w:b/>
        </w:rPr>
        <w:t>submit responses</w:t>
      </w:r>
      <w:r w:rsidRPr="008B24A0">
        <w:rPr>
          <w:b/>
        </w:rPr>
        <w:t>.</w:t>
      </w:r>
      <w:r w:rsidRPr="008B24A0">
        <w:t xml:space="preserve">  </w:t>
      </w:r>
    </w:p>
    <w:p w:rsidRPr="00BA1ED4" w:rsidR="002F69FB" w:rsidP="002F69FB" w:rsidRDefault="002F69FB" w14:paraId="161569F1" w14:textId="3A0236FA">
      <w:pPr>
        <w:pStyle w:val="BodyText"/>
        <w:numPr>
          <w:ilvl w:val="0"/>
          <w:numId w:val="20"/>
        </w:numPr>
        <w:rPr>
          <w:u w:val="single"/>
        </w:rPr>
      </w:pPr>
      <w:r w:rsidRPr="008B24A0">
        <w:t xml:space="preserve">Before completing a </w:t>
      </w:r>
      <w:r>
        <w:t xml:space="preserve">data </w:t>
      </w:r>
      <w:r w:rsidRPr="008B24A0">
        <w:t xml:space="preserve">worksheet, </w:t>
      </w:r>
      <w:r>
        <w:t xml:space="preserve">respondents should </w:t>
      </w:r>
      <w:r w:rsidRPr="008B24A0">
        <w:t>read the definitions, explanations, and instructions for the metric</w:t>
      </w:r>
      <w:r>
        <w:t xml:space="preserve"> associated with that data worksheet</w:t>
      </w:r>
      <w:r w:rsidRPr="008B24A0">
        <w:t xml:space="preserve"> in this User Guide.  It may be helpful to have a copy of the User Guide nearby when completing the </w:t>
      </w:r>
      <w:r>
        <w:t>Input Spreadsheet</w:t>
      </w:r>
      <w:r w:rsidRPr="008B24A0">
        <w:t xml:space="preserve">. </w:t>
      </w:r>
    </w:p>
    <w:p w:rsidRPr="008B24A0" w:rsidR="00ED5C4B" w:rsidP="00ED5C4B" w:rsidRDefault="00ED5C4B" w14:paraId="036050A8" w14:textId="4483EC3F">
      <w:pPr>
        <w:pStyle w:val="BodyText"/>
        <w:numPr>
          <w:ilvl w:val="0"/>
          <w:numId w:val="20"/>
        </w:numPr>
      </w:pPr>
      <w:r>
        <w:t xml:space="preserve">Respondents should </w:t>
      </w:r>
      <w:r w:rsidRPr="008B24A0">
        <w:t xml:space="preserve">not </w:t>
      </w:r>
      <w:r>
        <w:t>use</w:t>
      </w:r>
      <w:r w:rsidRPr="008B24A0">
        <w:t xml:space="preserve"> previous versions of the </w:t>
      </w:r>
      <w:r>
        <w:t>Input S</w:t>
      </w:r>
      <w:r w:rsidRPr="008B24A0">
        <w:t xml:space="preserve">preadsheet, or </w:t>
      </w:r>
      <w:r w:rsidR="006B227E">
        <w:t>use</w:t>
      </w:r>
      <w:r w:rsidRPr="008B24A0">
        <w:t xml:space="preserve"> other spreadsheet formats, because the Commission will not be able to process </w:t>
      </w:r>
      <w:r>
        <w:t>responses</w:t>
      </w:r>
      <w:r w:rsidRPr="008B24A0">
        <w:t xml:space="preserve"> if they arrive in a different format.</w:t>
      </w:r>
    </w:p>
    <w:p w:rsidRPr="008B24A0" w:rsidR="0090339C" w:rsidP="00ED5C4B" w:rsidRDefault="00ED5C4B" w14:paraId="6C807FEE" w14:textId="2F3F4620">
      <w:pPr>
        <w:pStyle w:val="BodyText"/>
        <w:numPr>
          <w:ilvl w:val="0"/>
          <w:numId w:val="20"/>
        </w:numPr>
        <w:rPr>
          <w:u w:val="single"/>
        </w:rPr>
      </w:pPr>
      <w:r>
        <w:t xml:space="preserve">Respondents should </w:t>
      </w:r>
      <w:r w:rsidR="0047692A">
        <w:t>populate</w:t>
      </w:r>
      <w:r w:rsidR="0069780A">
        <w:t xml:space="preserve"> the data elements</w:t>
      </w:r>
      <w:r w:rsidRPr="008B24A0" w:rsidR="0090339C">
        <w:t xml:space="preserve"> in </w:t>
      </w:r>
      <w:r w:rsidR="008A71D8">
        <w:t xml:space="preserve">the table of </w:t>
      </w:r>
      <w:r w:rsidRPr="008B24A0" w:rsidR="0090339C">
        <w:t>each</w:t>
      </w:r>
      <w:r w:rsidR="0069780A">
        <w:t xml:space="preserve"> data work</w:t>
      </w:r>
      <w:r w:rsidRPr="008B24A0" w:rsidR="0090339C">
        <w:t xml:space="preserve">sheet in </w:t>
      </w:r>
      <w:r w:rsidR="008A71D8">
        <w:t xml:space="preserve">numerically </w:t>
      </w:r>
      <w:r w:rsidR="0069780A">
        <w:t xml:space="preserve">consecutive </w:t>
      </w:r>
      <w:r w:rsidRPr="008B24A0" w:rsidR="0090339C">
        <w:t xml:space="preserve">order, as </w:t>
      </w:r>
      <w:r w:rsidR="008A71D8">
        <w:t xml:space="preserve">the outputs for </w:t>
      </w:r>
      <w:r w:rsidRPr="008B24A0" w:rsidR="0090339C">
        <w:t xml:space="preserve">some </w:t>
      </w:r>
      <w:r w:rsidR="0069780A">
        <w:t>data elements</w:t>
      </w:r>
      <w:r w:rsidRPr="008B24A0" w:rsidR="0069780A">
        <w:t xml:space="preserve"> </w:t>
      </w:r>
      <w:r w:rsidRPr="008B24A0" w:rsidR="0090339C">
        <w:t xml:space="preserve">depend on the </w:t>
      </w:r>
      <w:r w:rsidR="0069780A">
        <w:t xml:space="preserve">inputs provided </w:t>
      </w:r>
      <w:r w:rsidR="008A71D8">
        <w:t>from</w:t>
      </w:r>
      <w:r w:rsidR="0069780A">
        <w:t xml:space="preserve"> prior data elements</w:t>
      </w:r>
      <w:r w:rsidRPr="008B24A0" w:rsidR="0090339C">
        <w:t xml:space="preserve">.  For instance, there are many calculations embedded within cells that will automatically calculate percentages based on </w:t>
      </w:r>
      <w:r w:rsidR="008A71D8">
        <w:t>data elements</w:t>
      </w:r>
      <w:r w:rsidRPr="008B24A0" w:rsidR="008A71D8">
        <w:t xml:space="preserve"> </w:t>
      </w:r>
      <w:r w:rsidRPr="008B24A0" w:rsidR="0090339C">
        <w:t xml:space="preserve">entered previously in that </w:t>
      </w:r>
      <w:r w:rsidR="008A71D8">
        <w:t xml:space="preserve">data </w:t>
      </w:r>
      <w:r w:rsidRPr="008B24A0" w:rsidR="0090339C">
        <w:t xml:space="preserve">worksheet.  </w:t>
      </w:r>
    </w:p>
    <w:p w:rsidRPr="008B24A0" w:rsidR="0090339C" w:rsidP="00F21FFF" w:rsidRDefault="00ED5C4B" w14:paraId="42183AC5" w14:textId="750DD5A6">
      <w:pPr>
        <w:pStyle w:val="BodyText"/>
        <w:numPr>
          <w:ilvl w:val="0"/>
          <w:numId w:val="16"/>
        </w:numPr>
      </w:pPr>
      <w:r>
        <w:t xml:space="preserve">Respondents should </w:t>
      </w:r>
      <w:r w:rsidRPr="008B24A0" w:rsidR="0090339C">
        <w:t xml:space="preserve">not add or delete any </w:t>
      </w:r>
      <w:r>
        <w:t xml:space="preserve">data </w:t>
      </w:r>
      <w:r w:rsidRPr="008B24A0" w:rsidR="0090339C">
        <w:t>worksheets</w:t>
      </w:r>
      <w:r>
        <w:t xml:space="preserve"> within the Input Spreadsheet</w:t>
      </w:r>
      <w:r w:rsidRPr="008B24A0" w:rsidR="0090339C">
        <w:t xml:space="preserve">.  </w:t>
      </w:r>
    </w:p>
    <w:p w:rsidRPr="008B24A0" w:rsidR="0090339C" w:rsidP="00F21FFF" w:rsidRDefault="00ED5C4B" w14:paraId="36936CC3" w14:textId="1F59F452">
      <w:pPr>
        <w:pStyle w:val="BodyText"/>
        <w:numPr>
          <w:ilvl w:val="0"/>
          <w:numId w:val="16"/>
        </w:numPr>
      </w:pPr>
      <w:r>
        <w:t>Respondents should</w:t>
      </w:r>
      <w:r w:rsidRPr="008B24A0" w:rsidR="0090339C">
        <w:t xml:space="preserve"> not rename the </w:t>
      </w:r>
      <w:r>
        <w:t xml:space="preserve">data </w:t>
      </w:r>
      <w:r w:rsidRPr="008B24A0" w:rsidR="0090339C">
        <w:t>worksheet tabs.</w:t>
      </w:r>
    </w:p>
    <w:p w:rsidRPr="008B24A0" w:rsidR="0090339C" w:rsidP="00F21FFF" w:rsidRDefault="00ED5C4B" w14:paraId="50C047EF" w14:textId="3FE16CCF">
      <w:pPr>
        <w:pStyle w:val="BodyText"/>
        <w:numPr>
          <w:ilvl w:val="0"/>
          <w:numId w:val="16"/>
        </w:numPr>
      </w:pPr>
      <w:r>
        <w:t>Respondents should</w:t>
      </w:r>
      <w:r w:rsidRPr="008B24A0" w:rsidR="0090339C">
        <w:t xml:space="preserve"> follow the directions </w:t>
      </w:r>
      <w:r w:rsidRPr="008B24A0" w:rsidR="00193528">
        <w:t xml:space="preserve">in </w:t>
      </w:r>
      <w:r w:rsidR="00367087">
        <w:t>Appendix</w:t>
      </w:r>
      <w:r w:rsidR="00EF19D4">
        <w:t xml:space="preserve"> A</w:t>
      </w:r>
      <w:r w:rsidR="00367087">
        <w:t xml:space="preserve"> </w:t>
      </w:r>
      <w:r w:rsidRPr="008B24A0" w:rsidR="0090339C">
        <w:t>when adding rows for additional capacity zones.</w:t>
      </w:r>
    </w:p>
    <w:p w:rsidRPr="008B24A0" w:rsidR="0090339C" w:rsidP="00F21FFF" w:rsidRDefault="0090339C" w14:paraId="7B948685" w14:textId="7564AE2D">
      <w:pPr>
        <w:pStyle w:val="BodyText"/>
        <w:numPr>
          <w:ilvl w:val="0"/>
          <w:numId w:val="16"/>
        </w:numPr>
      </w:pPr>
      <w:r w:rsidRPr="008B24A0">
        <w:t xml:space="preserve">If possible, </w:t>
      </w:r>
      <w:r w:rsidR="00ED5C4B">
        <w:t>respondents should complet</w:t>
      </w:r>
      <w:r w:rsidR="00EA387B">
        <w:t>e</w:t>
      </w:r>
      <w:r w:rsidR="00ED5C4B">
        <w:t xml:space="preserve"> the Input Spreadsheet</w:t>
      </w:r>
      <w:r w:rsidRPr="008B24A0" w:rsidR="00ED5C4B">
        <w:t xml:space="preserve"> </w:t>
      </w:r>
      <w:r w:rsidRPr="008B24A0">
        <w:t xml:space="preserve">using </w:t>
      </w:r>
      <w:r w:rsidR="00EA387B">
        <w:t xml:space="preserve">a </w:t>
      </w:r>
      <w:r w:rsidRPr="008B24A0">
        <w:t xml:space="preserve">computer </w:t>
      </w:r>
      <w:r w:rsidR="00EA387B">
        <w:t>with a</w:t>
      </w:r>
      <w:r w:rsidRPr="008B24A0">
        <w:t xml:space="preserve"> Windows operating system</w:t>
      </w:r>
      <w:r w:rsidR="00EA387B">
        <w:t>.</w:t>
      </w:r>
      <w:r w:rsidR="00D60633">
        <w:t xml:space="preserve"> </w:t>
      </w:r>
      <w:r w:rsidRPr="008B24A0" w:rsidDel="00EA387B">
        <w:t xml:space="preserve"> </w:t>
      </w:r>
      <w:r w:rsidR="00EA387B">
        <w:t>T</w:t>
      </w:r>
      <w:r w:rsidRPr="008B24A0" w:rsidR="00EA387B">
        <w:t>he</w:t>
      </w:r>
      <w:r w:rsidR="00EA387B">
        <w:t xml:space="preserve"> Input Spreadsheet contains</w:t>
      </w:r>
      <w:r w:rsidRPr="008B24A0" w:rsidR="00EA387B">
        <w:t xml:space="preserve"> </w:t>
      </w:r>
      <w:r w:rsidRPr="008B24A0" w:rsidR="00C768FB">
        <w:t xml:space="preserve">embedded </w:t>
      </w:r>
      <w:r w:rsidRPr="008B24A0" w:rsidR="00C768FB">
        <w:lastRenderedPageBreak/>
        <w:t>macros</w:t>
      </w:r>
      <w:r w:rsidR="00EA387B">
        <w:t>, which</w:t>
      </w:r>
      <w:r w:rsidRPr="008B24A0" w:rsidR="00C768FB">
        <w:t xml:space="preserve"> may not operate as desired </w:t>
      </w:r>
      <w:r w:rsidR="00EA387B">
        <w:t>on another operating system, such as Mac or UNIX</w:t>
      </w:r>
      <w:r w:rsidR="009F67F2">
        <w:t>.</w:t>
      </w:r>
      <w:r w:rsidRPr="008B24A0">
        <w:t xml:space="preserve"> </w:t>
      </w:r>
      <w:r w:rsidRPr="008B24A0" w:rsidDel="00ED5C4B">
        <w:t xml:space="preserve"> </w:t>
      </w:r>
      <w:r w:rsidR="00ED5C4B">
        <w:t>Respondents should</w:t>
      </w:r>
      <w:r w:rsidRPr="008B24A0" w:rsidR="00ED5C4B">
        <w:t xml:space="preserve"> </w:t>
      </w:r>
      <w:r w:rsidRPr="008B24A0">
        <w:t xml:space="preserve">contact Commission staff if </w:t>
      </w:r>
      <w:r w:rsidR="00ED5C4B">
        <w:t>they</w:t>
      </w:r>
      <w:r w:rsidRPr="008B24A0" w:rsidR="00ED5C4B">
        <w:t xml:space="preserve"> </w:t>
      </w:r>
      <w:r w:rsidR="009B0EEF">
        <w:t xml:space="preserve">do </w:t>
      </w:r>
      <w:r w:rsidRPr="008B24A0">
        <w:t>n</w:t>
      </w:r>
      <w:r w:rsidR="009B0EEF">
        <w:t>ot have a Windows operating system</w:t>
      </w:r>
      <w:r w:rsidRPr="008B24A0">
        <w:t xml:space="preserve">, so </w:t>
      </w:r>
      <w:r w:rsidR="009B0EEF">
        <w:t xml:space="preserve">that </w:t>
      </w:r>
      <w:r w:rsidR="00C1312E">
        <w:t>staff</w:t>
      </w:r>
      <w:r w:rsidRPr="008B24A0">
        <w:t xml:space="preserve"> can provide further guidance. </w:t>
      </w:r>
    </w:p>
    <w:p w:rsidRPr="008B24A0" w:rsidR="0090339C" w:rsidP="00F21FFF" w:rsidRDefault="006E504B" w14:paraId="0BF98F56" w14:textId="7CB9CB81">
      <w:pPr>
        <w:pStyle w:val="BodyText"/>
        <w:numPr>
          <w:ilvl w:val="0"/>
          <w:numId w:val="12"/>
        </w:numPr>
      </w:pPr>
      <w:r>
        <w:t xml:space="preserve">RTOs/ISOs </w:t>
      </w:r>
      <w:r w:rsidR="00EB5961">
        <w:t xml:space="preserve">should submit one </w:t>
      </w:r>
      <w:r w:rsidR="00ED5C4B">
        <w:t>completed Input S</w:t>
      </w:r>
      <w:r w:rsidR="003234D8">
        <w:t xml:space="preserve">preadsheet.  </w:t>
      </w:r>
      <w:r w:rsidR="00ED5C4B">
        <w:t>Similarly, a</w:t>
      </w:r>
      <w:r w:rsidR="009B0EEF">
        <w:t xml:space="preserve"> </w:t>
      </w:r>
      <w:r w:rsidR="00ED5C4B">
        <w:t xml:space="preserve">non-RTO/ISO </w:t>
      </w:r>
      <w:r>
        <w:t>utilit</w:t>
      </w:r>
      <w:r w:rsidR="003234D8">
        <w:t xml:space="preserve">y </w:t>
      </w:r>
      <w:r>
        <w:t xml:space="preserve">with one balancing authority area should </w:t>
      </w:r>
      <w:r w:rsidRPr="008B24A0" w:rsidR="0090339C">
        <w:t xml:space="preserve">submit only one </w:t>
      </w:r>
      <w:r w:rsidR="00ED5C4B">
        <w:t>completed Input S</w:t>
      </w:r>
      <w:r w:rsidRPr="008B24A0" w:rsidR="0090339C">
        <w:t xml:space="preserve">preadsheet.  </w:t>
      </w:r>
      <w:r>
        <w:t xml:space="preserve">Utilities operating multiple balancing authority areas outside of RTOs/ISOs should submit </w:t>
      </w:r>
      <w:r w:rsidR="00E14900">
        <w:t xml:space="preserve">multiple </w:t>
      </w:r>
      <w:r w:rsidR="00ED5C4B">
        <w:t>completed Input Spreadsheet</w:t>
      </w:r>
      <w:r w:rsidR="00BB103E">
        <w:t>s</w:t>
      </w:r>
      <w:r w:rsidR="009B0EEF">
        <w:t>, one</w:t>
      </w:r>
      <w:r>
        <w:t xml:space="preserve"> for each </w:t>
      </w:r>
      <w:r w:rsidR="00BE203D">
        <w:t xml:space="preserve">balancing authority area. </w:t>
      </w:r>
    </w:p>
    <w:p w:rsidRPr="008B24A0" w:rsidR="0090339C" w:rsidP="00BA1ED4" w:rsidRDefault="0090339C" w14:paraId="7BC3788C" w14:textId="03E4C05A">
      <w:pPr>
        <w:pStyle w:val="Heading3"/>
      </w:pPr>
      <w:r w:rsidRPr="008B24A0">
        <w:t>Data Entry Format</w:t>
      </w:r>
    </w:p>
    <w:p w:rsidRPr="008B24A0" w:rsidR="0090339C" w:rsidP="00F21FFF" w:rsidRDefault="007A0174" w14:paraId="14F49949" w14:textId="54C43F4E">
      <w:pPr>
        <w:pStyle w:val="BodyText"/>
        <w:numPr>
          <w:ilvl w:val="0"/>
          <w:numId w:val="12"/>
        </w:numPr>
      </w:pPr>
      <w:r>
        <w:t>Respondents should enter a</w:t>
      </w:r>
      <w:r w:rsidRPr="008B24A0" w:rsidR="0090339C">
        <w:t xml:space="preserve">ll dollar values or costs in nominal dollars (e.g., dollar values as they were recorded in that </w:t>
      </w:r>
      <w:r w:rsidR="00375EED">
        <w:t>r</w:t>
      </w:r>
      <w:r w:rsidR="00BE203D">
        <w:t xml:space="preserve">eporting </w:t>
      </w:r>
      <w:r w:rsidR="00375EED">
        <w:t>p</w:t>
      </w:r>
      <w:r w:rsidR="00BE203D">
        <w:t>eriod</w:t>
      </w:r>
      <w:r w:rsidRPr="008B24A0" w:rsidR="0090339C">
        <w:t xml:space="preserve">, not adjusted for inflation or referenced to a common base year, unless </w:t>
      </w:r>
      <w:r>
        <w:t>otherwise</w:t>
      </w:r>
      <w:r w:rsidRPr="008B24A0">
        <w:t xml:space="preserve"> </w:t>
      </w:r>
      <w:r w:rsidRPr="008B24A0" w:rsidR="0090339C">
        <w:t xml:space="preserve">directed in a particular question). </w:t>
      </w:r>
    </w:p>
    <w:p w:rsidRPr="008B24A0" w:rsidR="0090339C" w:rsidP="00F21FFF" w:rsidRDefault="0090339C" w14:paraId="06A933E7" w14:textId="05B10166">
      <w:pPr>
        <w:pStyle w:val="BodyText"/>
        <w:numPr>
          <w:ilvl w:val="0"/>
          <w:numId w:val="12"/>
        </w:numPr>
      </w:pPr>
      <w:r w:rsidRPr="008B24A0">
        <w:t>Re</w:t>
      </w:r>
      <w:r w:rsidR="007A0174">
        <w:t>spondents should re</w:t>
      </w:r>
      <w:r w:rsidRPr="008B24A0">
        <w:t xml:space="preserve">port megawatt (MW) values </w:t>
      </w:r>
      <w:r w:rsidR="009F28C9">
        <w:t xml:space="preserve">rounded to </w:t>
      </w:r>
      <w:r w:rsidRPr="008B24A0">
        <w:t xml:space="preserve">whole numbers (i.e., no decimal points or commas), unless explicitly instructed to report otherwise. </w:t>
      </w:r>
    </w:p>
    <w:p w:rsidRPr="008B24A0" w:rsidR="0090339C" w:rsidP="00F21FFF" w:rsidRDefault="007A0174" w14:paraId="36536F86" w14:textId="3F932212">
      <w:pPr>
        <w:pStyle w:val="BodyText"/>
        <w:numPr>
          <w:ilvl w:val="0"/>
          <w:numId w:val="12"/>
        </w:numPr>
      </w:pPr>
      <w:r>
        <w:t>Respondents should i</w:t>
      </w:r>
      <w:r w:rsidRPr="008B24A0" w:rsidR="0090339C">
        <w:t>ndicate negative amounts by using a minus sign (-) before the number</w:t>
      </w:r>
      <w:r w:rsidR="0027572D">
        <w:t>, or by placing parentheses () around the values</w:t>
      </w:r>
      <w:r w:rsidRPr="008B24A0" w:rsidR="0090339C">
        <w:t>.</w:t>
      </w:r>
      <w:r w:rsidR="0027572D">
        <w:t xml:space="preserve">  Note that some cells may automatically convert negative values with minus signs into values within parentheses.</w:t>
      </w:r>
      <w:r w:rsidRPr="008B24A0" w:rsidR="0090339C">
        <w:t xml:space="preserve"> </w:t>
      </w:r>
    </w:p>
    <w:p w:rsidRPr="008B24A0" w:rsidR="0090339C" w:rsidP="00F21FFF" w:rsidRDefault="0090339C" w14:paraId="39EA42CB" w14:textId="522ACB85">
      <w:pPr>
        <w:pStyle w:val="BodyText"/>
        <w:numPr>
          <w:ilvl w:val="0"/>
          <w:numId w:val="12"/>
        </w:numPr>
      </w:pPr>
      <w:r w:rsidRPr="008B24A0">
        <w:t>R</w:t>
      </w:r>
      <w:r w:rsidR="007A0174">
        <w:t>espondents should r</w:t>
      </w:r>
      <w:r w:rsidRPr="008B24A0">
        <w:t xml:space="preserve">eport </w:t>
      </w:r>
      <w:r w:rsidRPr="008B24A0" w:rsidR="00C8402B">
        <w:t>d</w:t>
      </w:r>
      <w:r w:rsidRPr="008B24A0">
        <w:t xml:space="preserve">ates in </w:t>
      </w:r>
      <w:r w:rsidR="00594446">
        <w:t>the format request</w:t>
      </w:r>
      <w:r w:rsidR="00BE203D">
        <w:t>ed</w:t>
      </w:r>
      <w:r w:rsidR="00594446">
        <w:t xml:space="preserve">, </w:t>
      </w:r>
      <w:r w:rsidR="007A0174">
        <w:t xml:space="preserve">and </w:t>
      </w:r>
      <w:r w:rsidR="00594446">
        <w:t xml:space="preserve">most are in the </w:t>
      </w:r>
      <w:r w:rsidRPr="008B24A0">
        <w:t xml:space="preserve">Month-Year (MM-YYYY) </w:t>
      </w:r>
      <w:r w:rsidR="00594446">
        <w:t>format.</w:t>
      </w:r>
    </w:p>
    <w:p w:rsidRPr="008B24A0" w:rsidR="0090339C" w:rsidP="00F21FFF" w:rsidRDefault="0090339C" w14:paraId="6B113ACA" w14:textId="5E925357">
      <w:pPr>
        <w:pStyle w:val="BodyText"/>
        <w:numPr>
          <w:ilvl w:val="0"/>
          <w:numId w:val="13"/>
        </w:numPr>
      </w:pPr>
      <w:r w:rsidRPr="008B24A0">
        <w:t xml:space="preserve">If the metric calls for explanatory text (e.g., “Report any relevant information about this event as necessary”), </w:t>
      </w:r>
      <w:r w:rsidR="007A0174">
        <w:t>respondents should</w:t>
      </w:r>
      <w:r w:rsidRPr="008B24A0" w:rsidR="007A0174">
        <w:t xml:space="preserve"> </w:t>
      </w:r>
      <w:r w:rsidRPr="008B24A0">
        <w:t xml:space="preserve">enter a brief description in the appropriate cell.  </w:t>
      </w:r>
      <w:r w:rsidR="006D7D46">
        <w:t>T</w:t>
      </w:r>
      <w:r w:rsidR="007A0174">
        <w:t>he purpose of t</w:t>
      </w:r>
      <w:r w:rsidR="006D7D46">
        <w:t xml:space="preserve">his </w:t>
      </w:r>
      <w:r w:rsidR="007A0174">
        <w:t xml:space="preserve">explanatory </w:t>
      </w:r>
      <w:r w:rsidR="006D7D46">
        <w:t xml:space="preserve">text is to </w:t>
      </w:r>
      <w:r w:rsidR="007A0174">
        <w:t>allow respondents to provide a brief commentary on</w:t>
      </w:r>
      <w:r w:rsidR="006D7D46">
        <w:t xml:space="preserve"> the number or value provided by the respondent to explain (1) unique situations, (2) assumptions on the calculations or underlying data, (3) uniqueness of the RTO/ISO or non-RTO/ISO</w:t>
      </w:r>
      <w:r w:rsidR="007A0174">
        <w:t xml:space="preserve"> utility</w:t>
      </w:r>
      <w:r w:rsidR="006D7D46">
        <w:t>, or (4) general information that should be captured.  This information is helpful as contextual support for the final report that is issued.</w:t>
      </w:r>
    </w:p>
    <w:p w:rsidRPr="00F003F7" w:rsidR="0090339C" w:rsidP="005D5A58" w:rsidRDefault="00F003F7" w14:paraId="6207A101" w14:textId="5E04FC04">
      <w:pPr>
        <w:pStyle w:val="Heading2"/>
      </w:pPr>
      <w:bookmarkStart w:name="_Toc29457637" w:id="12"/>
      <w:r w:rsidRPr="00F003F7">
        <w:lastRenderedPageBreak/>
        <w:t xml:space="preserve">Entering </w:t>
      </w:r>
      <w:r w:rsidRPr="00F003F7" w:rsidR="0090339C">
        <w:t>Contact Information</w:t>
      </w:r>
      <w:bookmarkEnd w:id="12"/>
    </w:p>
    <w:p w:rsidR="00EE01CF" w:rsidP="00027861" w:rsidRDefault="002B15C5" w14:paraId="0B7B55DA" w14:textId="030B29D2">
      <w:pPr>
        <w:pStyle w:val="FERCparanumber"/>
        <w:numPr>
          <w:ilvl w:val="0"/>
          <w:numId w:val="0"/>
        </w:numPr>
      </w:pPr>
      <w:r>
        <w:t>Respondents should</w:t>
      </w:r>
      <w:r w:rsidRPr="008B24A0" w:rsidR="0090339C">
        <w:t xml:space="preserve"> </w:t>
      </w:r>
      <w:r>
        <w:t>input</w:t>
      </w:r>
      <w:r w:rsidRPr="008B24A0">
        <w:t xml:space="preserve"> </w:t>
      </w:r>
      <w:r w:rsidRPr="008B24A0" w:rsidR="0090339C">
        <w:t xml:space="preserve">the following </w:t>
      </w:r>
      <w:r>
        <w:t xml:space="preserve">contact </w:t>
      </w:r>
      <w:r w:rsidRPr="008B24A0" w:rsidR="0090339C">
        <w:t xml:space="preserve">information </w:t>
      </w:r>
      <w:r w:rsidR="00EE01CF">
        <w:t xml:space="preserve">in the </w:t>
      </w:r>
      <w:r w:rsidR="00C82BF4">
        <w:t>i</w:t>
      </w:r>
      <w:r>
        <w:t>nstructions</w:t>
      </w:r>
      <w:r w:rsidRPr="008B24A0">
        <w:t xml:space="preserve"> </w:t>
      </w:r>
      <w:r w:rsidR="00C82BF4">
        <w:t>w</w:t>
      </w:r>
      <w:r w:rsidR="00022B8F">
        <w:t>orksheet</w:t>
      </w:r>
      <w:r w:rsidR="00106845">
        <w:t>:</w:t>
      </w:r>
      <w:r w:rsidR="003234D8">
        <w:t xml:space="preserve"> </w:t>
      </w:r>
    </w:p>
    <w:p w:rsidR="0090339C" w:rsidP="00C84D3B" w:rsidRDefault="008D7C5C" w14:paraId="19795998" w14:textId="4275A341">
      <w:pPr>
        <w:pStyle w:val="FERCparanumber"/>
        <w:numPr>
          <w:ilvl w:val="0"/>
          <w:numId w:val="15"/>
        </w:numPr>
      </w:pPr>
      <w:r w:rsidRPr="008B24A0">
        <w:rPr>
          <w:b/>
        </w:rPr>
        <w:t>Balancing Authority Area Name</w:t>
      </w:r>
      <w:r w:rsidRPr="00967663">
        <w:rPr>
          <w:b/>
        </w:rPr>
        <w:t>.</w:t>
      </w:r>
      <w:r>
        <w:t xml:space="preserve"> </w:t>
      </w:r>
      <w:r w:rsidR="005938BA">
        <w:t xml:space="preserve"> </w:t>
      </w:r>
      <w:r w:rsidR="00873C5C">
        <w:t>R</w:t>
      </w:r>
      <w:r w:rsidR="002B15C5">
        <w:t xml:space="preserve">espondents should </w:t>
      </w:r>
      <w:r w:rsidR="00BB3D98">
        <w:t>enter the full</w:t>
      </w:r>
      <w:r w:rsidRPr="008B24A0" w:rsidR="0090339C">
        <w:t xml:space="preserve"> name of </w:t>
      </w:r>
      <w:r w:rsidR="002B15C5">
        <w:t>their</w:t>
      </w:r>
      <w:r w:rsidRPr="008B24A0" w:rsidR="002B15C5">
        <w:t xml:space="preserve"> </w:t>
      </w:r>
      <w:r w:rsidRPr="008B24A0" w:rsidR="0090339C">
        <w:t>balancing authority area</w:t>
      </w:r>
      <w:r w:rsidR="008A066D">
        <w:t>.  T</w:t>
      </w:r>
      <w:r w:rsidR="00DB6FAA">
        <w:t>here is existing text stating “Example:  PJM, ISO-NE, etc.”</w:t>
      </w:r>
      <w:r w:rsidR="005938BA">
        <w:t>—</w:t>
      </w:r>
      <w:r w:rsidR="00DB6FAA">
        <w:t xml:space="preserve">simply type over this </w:t>
      </w:r>
      <w:r w:rsidRPr="008B24A0" w:rsidR="0090339C">
        <w:t>ent</w:t>
      </w:r>
      <w:r w:rsidR="00DB6FAA">
        <w:t>ry</w:t>
      </w:r>
      <w:r w:rsidR="00403F6C">
        <w:t>.</w:t>
      </w:r>
      <w:r w:rsidR="00C84D3B">
        <w:t xml:space="preserve">  </w:t>
      </w:r>
      <w:r w:rsidR="002B15C5">
        <w:t xml:space="preserve">This contact information will </w:t>
      </w:r>
      <w:r w:rsidRPr="00873C5C" w:rsidR="00C84D3B">
        <w:t>automatically cop</w:t>
      </w:r>
      <w:r w:rsidRPr="00873C5C" w:rsidR="002B15C5">
        <w:t>y</w:t>
      </w:r>
      <w:r w:rsidRPr="00873C5C" w:rsidR="00C84D3B">
        <w:t xml:space="preserve"> to each subsequent worksheet.</w:t>
      </w:r>
    </w:p>
    <w:p w:rsidRPr="008B24A0" w:rsidR="00403F6C" w:rsidP="00F21FFF" w:rsidRDefault="00403F6C" w14:paraId="0C540C53" w14:textId="3604C7B6">
      <w:pPr>
        <w:pStyle w:val="FERCparanumber"/>
        <w:numPr>
          <w:ilvl w:val="0"/>
          <w:numId w:val="15"/>
        </w:numPr>
      </w:pPr>
      <w:r>
        <w:rPr>
          <w:b/>
        </w:rPr>
        <w:t xml:space="preserve">Name of the Contact Person. </w:t>
      </w:r>
      <w:r w:rsidR="005938BA">
        <w:rPr>
          <w:b/>
        </w:rPr>
        <w:t xml:space="preserve"> </w:t>
      </w:r>
      <w:r w:rsidRPr="00873C5C" w:rsidR="00873C5C">
        <w:t>R</w:t>
      </w:r>
      <w:r w:rsidRPr="00873C5C" w:rsidR="002B15C5">
        <w:t>es</w:t>
      </w:r>
      <w:r w:rsidR="002B15C5">
        <w:t xml:space="preserve">pondents should </w:t>
      </w:r>
      <w:r>
        <w:t xml:space="preserve">enter the full </w:t>
      </w:r>
      <w:r w:rsidRPr="008B24A0">
        <w:t xml:space="preserve">name of </w:t>
      </w:r>
      <w:r>
        <w:t>the person that Commission staff should contact if there are questions concerning data submission</w:t>
      </w:r>
      <w:r w:rsidR="008A066D">
        <w:t>.  T</w:t>
      </w:r>
      <w:r>
        <w:t>here is existing text stating “John Doe” in this cell</w:t>
      </w:r>
      <w:r w:rsidR="005938BA">
        <w:t>—</w:t>
      </w:r>
      <w:r>
        <w:t xml:space="preserve">simply type over this </w:t>
      </w:r>
      <w:r w:rsidRPr="008B24A0">
        <w:t>ent</w:t>
      </w:r>
      <w:r w:rsidR="008A066D">
        <w:t>ry</w:t>
      </w:r>
      <w:r>
        <w:t>.</w:t>
      </w:r>
    </w:p>
    <w:p w:rsidRPr="008B24A0" w:rsidR="00556731" w:rsidP="00F21FFF" w:rsidRDefault="00556731" w14:paraId="56967EBC" w14:textId="706E5573">
      <w:pPr>
        <w:pStyle w:val="FERCparanumber"/>
        <w:numPr>
          <w:ilvl w:val="0"/>
          <w:numId w:val="15"/>
        </w:numPr>
      </w:pPr>
      <w:r>
        <w:rPr>
          <w:b/>
        </w:rPr>
        <w:t>Phone Number of the Contact Person.</w:t>
      </w:r>
      <w:r>
        <w:t xml:space="preserve">  </w:t>
      </w:r>
      <w:r w:rsidR="00106845">
        <w:t>R</w:t>
      </w:r>
      <w:r w:rsidR="002B15C5">
        <w:t xml:space="preserve">espondents should </w:t>
      </w:r>
      <w:r>
        <w:t>enter the phone number of the person that Commission staff should contact if there are questions concerning data submission</w:t>
      </w:r>
      <w:r w:rsidR="008A066D">
        <w:t>.  T</w:t>
      </w:r>
      <w:r>
        <w:t>here is existing text stating “202-111-1234” in this cell</w:t>
      </w:r>
      <w:r w:rsidR="005938BA">
        <w:t>—</w:t>
      </w:r>
      <w:r>
        <w:t xml:space="preserve">simply type over this </w:t>
      </w:r>
      <w:r w:rsidRPr="008B24A0">
        <w:t>ent</w:t>
      </w:r>
      <w:r w:rsidR="008A066D">
        <w:t>ry</w:t>
      </w:r>
      <w:r>
        <w:t>.</w:t>
      </w:r>
    </w:p>
    <w:p w:rsidR="00556731" w:rsidP="00F21FFF" w:rsidRDefault="00556731" w14:paraId="44E9E28C" w14:textId="53D10FCB">
      <w:pPr>
        <w:pStyle w:val="FERCparanumber"/>
        <w:numPr>
          <w:ilvl w:val="0"/>
          <w:numId w:val="15"/>
        </w:numPr>
      </w:pPr>
      <w:r>
        <w:rPr>
          <w:b/>
        </w:rPr>
        <w:t>Email address of the Contact Person.</w:t>
      </w:r>
      <w:r>
        <w:t xml:space="preserve">  </w:t>
      </w:r>
      <w:r w:rsidR="00106845">
        <w:t>R</w:t>
      </w:r>
      <w:r w:rsidR="00466747">
        <w:t xml:space="preserve">espondents should </w:t>
      </w:r>
      <w:r>
        <w:t>enter the email address of the person that Commission staff should contact if there are questions concerning data submission</w:t>
      </w:r>
      <w:r w:rsidR="008A066D">
        <w:t>.  T</w:t>
      </w:r>
      <w:r>
        <w:t>here is existing text stating “john.doe@BAA.org” in this cell</w:t>
      </w:r>
      <w:r w:rsidR="005938BA">
        <w:t>—</w:t>
      </w:r>
      <w:r>
        <w:t xml:space="preserve">simply type over this </w:t>
      </w:r>
      <w:r w:rsidRPr="008B24A0">
        <w:t>ent</w:t>
      </w:r>
      <w:r>
        <w:t>ry.</w:t>
      </w:r>
    </w:p>
    <w:p w:rsidR="005D5A58" w:rsidP="005D5A58" w:rsidRDefault="005D5A58" w14:paraId="79936010" w14:textId="65696DE9">
      <w:pPr>
        <w:pStyle w:val="Heading2"/>
      </w:pPr>
      <w:r>
        <w:rPr>
          <w:u w:val="none"/>
        </w:rPr>
        <w:t xml:space="preserve"> </w:t>
      </w:r>
      <w:bookmarkStart w:name="_Toc29457638" w:id="13"/>
      <w:r>
        <w:t>Reporting Period</w:t>
      </w:r>
      <w:bookmarkEnd w:id="13"/>
    </w:p>
    <w:p w:rsidR="005D5A58" w:rsidP="009F10BE" w:rsidRDefault="005D5A58" w14:paraId="25D94664" w14:textId="5AF28696">
      <w:pPr>
        <w:pStyle w:val="BodyText"/>
        <w:ind w:firstLine="0"/>
      </w:pPr>
      <w:r w:rsidRPr="008B24A0">
        <w:t xml:space="preserve">There are five separate columns </w:t>
      </w:r>
      <w:r>
        <w:t xml:space="preserve">designating the </w:t>
      </w:r>
      <w:r w:rsidR="003E498F">
        <w:t>r</w:t>
      </w:r>
      <w:r>
        <w:t xml:space="preserve">eporting </w:t>
      </w:r>
      <w:r w:rsidR="003E498F">
        <w:t>p</w:t>
      </w:r>
      <w:r>
        <w:t xml:space="preserve">eriod </w:t>
      </w:r>
      <w:r w:rsidRPr="008B24A0">
        <w:t xml:space="preserve">in each </w:t>
      </w:r>
      <w:r w:rsidR="00466747">
        <w:t xml:space="preserve">data </w:t>
      </w:r>
      <w:r w:rsidRPr="008B24A0">
        <w:t xml:space="preserve">worksheet, one for each of the five </w:t>
      </w:r>
      <w:r w:rsidR="00422457">
        <w:t xml:space="preserve">reporting </w:t>
      </w:r>
      <w:r w:rsidRPr="008B24A0">
        <w:t>periods</w:t>
      </w:r>
      <w:r>
        <w:t xml:space="preserve"> of the Information Collection</w:t>
      </w:r>
      <w:r w:rsidRPr="008B24A0">
        <w:t xml:space="preserve">.  </w:t>
      </w:r>
      <w:r>
        <w:t xml:space="preserve">The </w:t>
      </w:r>
      <w:r w:rsidR="006C4317">
        <w:t>r</w:t>
      </w:r>
      <w:r>
        <w:t xml:space="preserve">eporting </w:t>
      </w:r>
      <w:r w:rsidR="006C4317">
        <w:t>p</w:t>
      </w:r>
      <w:r>
        <w:t>eriods generally cover the calendar years from 201</w:t>
      </w:r>
      <w:r w:rsidR="004856F7">
        <w:t>4</w:t>
      </w:r>
      <w:r>
        <w:t xml:space="preserve"> to 201</w:t>
      </w:r>
      <w:r w:rsidR="004856F7">
        <w:t>8</w:t>
      </w:r>
      <w:r w:rsidR="00466747">
        <w:t>;</w:t>
      </w:r>
      <w:r>
        <w:t xml:space="preserve"> </w:t>
      </w:r>
      <w:r w:rsidR="00466747">
        <w:t>h</w:t>
      </w:r>
      <w:r>
        <w:t xml:space="preserve">owever, there </w:t>
      </w:r>
      <w:r w:rsidR="006C4317">
        <w:t xml:space="preserve">are </w:t>
      </w:r>
      <w:r>
        <w:t>two types of</w:t>
      </w:r>
      <w:r w:rsidRPr="008B24A0">
        <w:t xml:space="preserve"> </w:t>
      </w:r>
      <w:r>
        <w:t>reporting</w:t>
      </w:r>
      <w:r w:rsidRPr="008B24A0">
        <w:t xml:space="preserve"> period</w:t>
      </w:r>
      <w:r>
        <w:t>s</w:t>
      </w:r>
      <w:r w:rsidR="00CB647B">
        <w:t>:</w:t>
      </w:r>
      <w:r w:rsidR="005938BA">
        <w:t xml:space="preserve"> </w:t>
      </w:r>
      <w:r w:rsidR="00A913BC">
        <w:t xml:space="preserve"> </w:t>
      </w:r>
      <w:r w:rsidR="000C3D13">
        <w:t xml:space="preserve">(i) </w:t>
      </w:r>
      <w:r w:rsidR="00CB647B">
        <w:t>a planning/delivery year, based on whether or not there is a centralized capacity market, or (ii) calendar year for all others.</w:t>
      </w:r>
    </w:p>
    <w:p w:rsidR="00774190" w:rsidP="00006247" w:rsidRDefault="005D5A58" w14:paraId="57A8AEC7" w14:textId="2046F23D">
      <w:pPr>
        <w:pStyle w:val="BodyText"/>
        <w:ind w:firstLine="0"/>
      </w:pPr>
      <w:r w:rsidRPr="000312A6">
        <w:t xml:space="preserve">For respondents without </w:t>
      </w:r>
      <w:r w:rsidR="00E42345">
        <w:t xml:space="preserve">centralized </w:t>
      </w:r>
      <w:r w:rsidRPr="000312A6">
        <w:t xml:space="preserve">capacity markets, </w:t>
      </w:r>
      <w:r w:rsidR="00EE416E">
        <w:t xml:space="preserve">both </w:t>
      </w:r>
      <w:r w:rsidRPr="000312A6" w:rsidR="00774190">
        <w:t>RTOs/ISOs</w:t>
      </w:r>
      <w:r w:rsidR="00EE416E">
        <w:t xml:space="preserve"> and non-RTO/ISO</w:t>
      </w:r>
      <w:r w:rsidR="00466747">
        <w:t xml:space="preserve"> utilities</w:t>
      </w:r>
      <w:r w:rsidRPr="000312A6" w:rsidR="00774190">
        <w:t xml:space="preserve">, </w:t>
      </w:r>
      <w:r w:rsidRPr="000312A6">
        <w:t xml:space="preserve">the reporting period </w:t>
      </w:r>
      <w:r w:rsidRPr="000312A6" w:rsidR="00774190">
        <w:t xml:space="preserve">is the first </w:t>
      </w:r>
      <w:r w:rsidRPr="000312A6">
        <w:t>calendar year</w:t>
      </w:r>
      <w:r w:rsidRPr="000312A6" w:rsidR="00216374">
        <w:t xml:space="preserve"> </w:t>
      </w:r>
      <w:r w:rsidRPr="000312A6" w:rsidR="00774190">
        <w:t xml:space="preserve">of the five reporting periods. </w:t>
      </w:r>
      <w:r w:rsidR="00EE416E">
        <w:t xml:space="preserve"> </w:t>
      </w:r>
      <w:r w:rsidR="00466747">
        <w:t>Respondents should e</w:t>
      </w:r>
      <w:r w:rsidR="00541A25">
        <w:t xml:space="preserve">nter a four digit year in the first reporting period </w:t>
      </w:r>
      <w:r w:rsidR="005661C8">
        <w:t xml:space="preserve">cell </w:t>
      </w:r>
      <w:r w:rsidR="00541A25">
        <w:t xml:space="preserve">in the </w:t>
      </w:r>
      <w:r w:rsidR="00C82BF4">
        <w:t>i</w:t>
      </w:r>
      <w:r w:rsidR="00541A25">
        <w:t>nstruction</w:t>
      </w:r>
      <w:r w:rsidR="00466747">
        <w:t>s</w:t>
      </w:r>
      <w:r w:rsidR="00541A25">
        <w:t xml:space="preserve"> </w:t>
      </w:r>
      <w:r w:rsidR="00C82BF4">
        <w:t>w</w:t>
      </w:r>
      <w:r w:rsidR="00541A25">
        <w:t xml:space="preserve">orksheet. </w:t>
      </w:r>
    </w:p>
    <w:p w:rsidR="00FF79C2" w:rsidP="007A33E4" w:rsidRDefault="00FF79C2" w14:paraId="1A57FE0E" w14:textId="3528F536">
      <w:pPr>
        <w:spacing w:after="260"/>
      </w:pPr>
      <w:r w:rsidRPr="00AD3570">
        <w:t xml:space="preserve">For RTOs/ISOs with centralized capacity markets, the </w:t>
      </w:r>
      <w:r>
        <w:t xml:space="preserve">label used for each reporting period is the year of the start of the delivery period.  For instance, PJM’s capacity market </w:t>
      </w:r>
      <w:r>
        <w:lastRenderedPageBreak/>
        <w:t xml:space="preserve">has a delivery period beginning in June and running until the end of May in the following calendar year.  Therefore, the beginning of this delivery period for June 2014 to May 2015 is June 2014 and PJM should enter “2014” for the four digits of the </w:t>
      </w:r>
      <w:r w:rsidR="005938BA">
        <w:t>“</w:t>
      </w:r>
      <w:r>
        <w:t>delivery period</w:t>
      </w:r>
      <w:r w:rsidR="005938BA">
        <w:t>”</w:t>
      </w:r>
      <w:r>
        <w:t xml:space="preserve"> in the </w:t>
      </w:r>
      <w:r w:rsidR="005938BA">
        <w:t>i</w:t>
      </w:r>
      <w:r>
        <w:t>nstruction worksheet.  For the remainder of the metrics, unless otherwise noted, the data that PJM would use would be based on the value of the input variables underlying the most recent auction for the delivery period.  Similarly, for all other submission</w:t>
      </w:r>
      <w:r w:rsidR="00C00098">
        <w:t>s</w:t>
      </w:r>
      <w:r>
        <w:t xml:space="preserve"> from respondents with centralized capacity markets, data would be based on the twelve months comprising the delivery period for the specific RTO/ISO.</w:t>
      </w:r>
      <w:r>
        <w:rPr>
          <w:rStyle w:val="FootnoteReference"/>
        </w:rPr>
        <w:footnoteReference w:id="3"/>
      </w:r>
    </w:p>
    <w:p w:rsidRPr="008F3FCF" w:rsidR="0090339C" w:rsidP="0090339C" w:rsidRDefault="0090339C" w14:paraId="332A9564" w14:textId="4B18E506">
      <w:pPr>
        <w:pStyle w:val="Heading2"/>
      </w:pPr>
      <w:bookmarkStart w:name="_Toc10650370" w:id="14"/>
      <w:bookmarkStart w:name="_Toc29457639" w:id="15"/>
      <w:bookmarkEnd w:id="14"/>
      <w:r w:rsidRPr="008F3FCF">
        <w:t>Entering Zonal Data</w:t>
      </w:r>
      <w:bookmarkEnd w:id="15"/>
    </w:p>
    <w:p w:rsidRPr="008B24A0" w:rsidR="0090339C" w:rsidP="008939D1" w:rsidRDefault="00787140" w14:paraId="03B1E8B6" w14:textId="7F53F47A">
      <w:pPr>
        <w:pStyle w:val="BodyText"/>
        <w:ind w:firstLine="0"/>
      </w:pPr>
      <w:r>
        <w:t xml:space="preserve">Some metrics may allow </w:t>
      </w:r>
      <w:r w:rsidR="007A33E4">
        <w:t xml:space="preserve">respondents to </w:t>
      </w:r>
      <w:r w:rsidR="008F59ED">
        <w:t xml:space="preserve">enter data for specific zones. </w:t>
      </w:r>
      <w:r w:rsidR="00EE416E">
        <w:t xml:space="preserve"> </w:t>
      </w:r>
      <w:r w:rsidR="008F59ED">
        <w:t>For</w:t>
      </w:r>
      <w:r>
        <w:t xml:space="preserve"> instance, </w:t>
      </w:r>
      <w:r w:rsidRPr="008B24A0" w:rsidR="0090339C">
        <w:t xml:space="preserve">RTOs/ISOs </w:t>
      </w:r>
      <w:r>
        <w:t xml:space="preserve">that </w:t>
      </w:r>
      <w:r w:rsidRPr="008B24A0" w:rsidR="0090339C">
        <w:t xml:space="preserve">operate </w:t>
      </w:r>
      <w:r w:rsidR="00EE416E">
        <w:t xml:space="preserve">a </w:t>
      </w:r>
      <w:r w:rsidRPr="008B24A0" w:rsidR="0090339C">
        <w:t xml:space="preserve">central capacity market may have </w:t>
      </w:r>
      <w:r w:rsidR="00377BBA">
        <w:t xml:space="preserve">multiple </w:t>
      </w:r>
      <w:r w:rsidRPr="008B24A0" w:rsidR="0090339C">
        <w:t>capacity zones</w:t>
      </w:r>
      <w:r w:rsidR="00216374">
        <w:t xml:space="preserve"> in a </w:t>
      </w:r>
      <w:r w:rsidR="003E498F">
        <w:t>reporting period</w:t>
      </w:r>
      <w:r w:rsidRPr="008B24A0" w:rsidR="0090339C">
        <w:t xml:space="preserve">.  </w:t>
      </w:r>
    </w:p>
    <w:p w:rsidRPr="008B24A0" w:rsidR="0090339C" w:rsidP="008939D1" w:rsidRDefault="0090339C" w14:paraId="5B393740" w14:textId="08BCE06D">
      <w:pPr>
        <w:pStyle w:val="BodyText"/>
        <w:ind w:firstLine="0"/>
      </w:pPr>
      <w:r w:rsidRPr="008B24A0">
        <w:t xml:space="preserve">Each </w:t>
      </w:r>
      <w:r w:rsidR="00EF20AC">
        <w:t xml:space="preserve">data worksheet </w:t>
      </w:r>
      <w:r w:rsidR="005661C8">
        <w:t xml:space="preserve">requiring zonal information </w:t>
      </w:r>
      <w:r w:rsidR="00EF20AC">
        <w:t>contains</w:t>
      </w:r>
      <w:r w:rsidRPr="008B24A0">
        <w:t xml:space="preserve"> a template for entering </w:t>
      </w:r>
      <w:r w:rsidR="005661C8">
        <w:t xml:space="preserve">such </w:t>
      </w:r>
      <w:r w:rsidRPr="008B24A0">
        <w:t xml:space="preserve">information.  </w:t>
      </w:r>
      <w:r w:rsidR="00216374">
        <w:t xml:space="preserve">Some metrics require information on an RTO/ISO-wide basis </w:t>
      </w:r>
      <w:r w:rsidRPr="008939D1" w:rsidR="00216374">
        <w:t>and</w:t>
      </w:r>
      <w:r w:rsidR="00216374">
        <w:t xml:space="preserve"> for individual zones. </w:t>
      </w:r>
      <w:r w:rsidR="00EE416E">
        <w:t xml:space="preserve"> </w:t>
      </w:r>
      <w:r w:rsidRPr="008B24A0" w:rsidR="00472A18">
        <w:t>If there are multiple zones</w:t>
      </w:r>
      <w:r w:rsidR="00EF20AC">
        <w:t xml:space="preserve"> within a respondent’s balancing authority area</w:t>
      </w:r>
      <w:r w:rsidRPr="008B24A0" w:rsidR="00472A18">
        <w:t>,</w:t>
      </w:r>
      <w:r w:rsidRPr="008B24A0" w:rsidR="006F164E">
        <w:t xml:space="preserve"> </w:t>
      </w:r>
      <w:r w:rsidR="00EF20AC">
        <w:t>respondents should click the</w:t>
      </w:r>
      <w:r w:rsidR="00216374">
        <w:t xml:space="preserve"> “Add zone” button </w:t>
      </w:r>
      <w:r w:rsidRPr="008B24A0" w:rsidR="00472A18">
        <w:t>for adding templates</w:t>
      </w:r>
      <w:r w:rsidR="00EF20AC">
        <w:t>,</w:t>
      </w:r>
      <w:r w:rsidR="00F43A74">
        <w:t xml:space="preserve"> which is describ</w:t>
      </w:r>
      <w:r w:rsidR="00D0237A">
        <w:t>ed in Appendix</w:t>
      </w:r>
      <w:r w:rsidR="00EF19D4">
        <w:t xml:space="preserve"> A</w:t>
      </w:r>
      <w:r w:rsidR="00D0237A">
        <w:t>.</w:t>
      </w:r>
    </w:p>
    <w:p w:rsidR="004F5E0E" w:rsidP="008939D1" w:rsidRDefault="0090339C" w14:paraId="2280E17A" w14:textId="4EB6FD93">
      <w:pPr>
        <w:pStyle w:val="BodyText"/>
        <w:ind w:firstLine="0"/>
      </w:pPr>
      <w:r w:rsidRPr="008B24A0">
        <w:t>If the name of a zone has changed</w:t>
      </w:r>
      <w:r w:rsidR="00B51B9E">
        <w:t xml:space="preserve"> over the course of the </w:t>
      </w:r>
      <w:r w:rsidR="003E498F">
        <w:t>reporting period</w:t>
      </w:r>
      <w:r w:rsidR="00B51B9E">
        <w:t xml:space="preserve"> associated with this Information Collection</w:t>
      </w:r>
      <w:r w:rsidRPr="008B24A0">
        <w:t xml:space="preserve">, </w:t>
      </w:r>
      <w:r w:rsidR="00EF20AC">
        <w:t>t</w:t>
      </w:r>
      <w:r w:rsidR="00B51B9E">
        <w:t>he respondent</w:t>
      </w:r>
      <w:r w:rsidR="00EF20AC">
        <w:t xml:space="preserve"> should </w:t>
      </w:r>
      <w:r w:rsidRPr="008B24A0">
        <w:t>add a new template for each distinct nam</w:t>
      </w:r>
      <w:r w:rsidR="0009580A">
        <w:t xml:space="preserve">e, submitting data for the </w:t>
      </w:r>
      <w:r w:rsidR="003E498F">
        <w:t>reporting period</w:t>
      </w:r>
      <w:r w:rsidRPr="008B24A0">
        <w:t xml:space="preserve"> in which the zone name is active.</w:t>
      </w:r>
      <w:r w:rsidR="00B51B9E">
        <w:t xml:space="preserve">  </w:t>
      </w:r>
      <w:r w:rsidRPr="008B24A0">
        <w:t>If a zone has split</w:t>
      </w:r>
      <w:r w:rsidR="00B948D8">
        <w:t xml:space="preserve"> into two or more zones</w:t>
      </w:r>
      <w:r w:rsidRPr="008B24A0">
        <w:t xml:space="preserve">, </w:t>
      </w:r>
      <w:r w:rsidR="00B51B9E">
        <w:t xml:space="preserve">the respondent should </w:t>
      </w:r>
      <w:r w:rsidRPr="008B24A0">
        <w:t xml:space="preserve">add a new template for each </w:t>
      </w:r>
      <w:r w:rsidR="00B51B9E">
        <w:t>zone name</w:t>
      </w:r>
      <w:r w:rsidRPr="008B24A0">
        <w:t>, submitting data for the</w:t>
      </w:r>
      <w:r w:rsidR="0009580A">
        <w:t xml:space="preserve"> </w:t>
      </w:r>
      <w:r w:rsidR="003E498F">
        <w:t>reporting period</w:t>
      </w:r>
      <w:r w:rsidRPr="008B24A0">
        <w:t xml:space="preserve"> in which the zone name is active.</w:t>
      </w:r>
      <w:r w:rsidR="00B51B9E">
        <w:t xml:space="preserve">  </w:t>
      </w:r>
      <w:r w:rsidR="004F5E0E">
        <w:t>If zonal boundaries have changed within the five</w:t>
      </w:r>
      <w:r w:rsidR="00B51B9E">
        <w:t xml:space="preserve"> </w:t>
      </w:r>
      <w:r w:rsidR="003E498F">
        <w:t>reporting period</w:t>
      </w:r>
      <w:r w:rsidR="004F5E0E">
        <w:t xml:space="preserve">s, </w:t>
      </w:r>
      <w:r w:rsidR="00B51B9E">
        <w:t>respondents should</w:t>
      </w:r>
      <w:r w:rsidR="00C46919">
        <w:t xml:space="preserve"> provide a brief qualitative description </w:t>
      </w:r>
      <w:r w:rsidR="004F5E0E">
        <w:t>in the explanatory text.</w:t>
      </w:r>
    </w:p>
    <w:p w:rsidRPr="008B24A0" w:rsidR="00BC741E" w:rsidP="007A33E4" w:rsidRDefault="00CD04F8" w14:paraId="7FB2FC86" w14:textId="290A763F">
      <w:pPr>
        <w:pStyle w:val="BodyText"/>
        <w:ind w:firstLine="0"/>
      </w:pPr>
      <w:r>
        <w:t xml:space="preserve">Further instruction on entering zonal data is provided in </w:t>
      </w:r>
      <w:r w:rsidR="00D0237A">
        <w:t>Appendix</w:t>
      </w:r>
      <w:r w:rsidR="00EF19D4">
        <w:t xml:space="preserve"> A</w:t>
      </w:r>
      <w:r>
        <w:t>.</w:t>
      </w:r>
    </w:p>
    <w:p w:rsidRPr="008F3FCF" w:rsidR="00DA158D" w:rsidP="00BA1ED4" w:rsidRDefault="00702AF8" w14:paraId="659B00D9" w14:textId="52D6E0AF">
      <w:pPr>
        <w:pStyle w:val="Heading1"/>
        <w:numPr>
          <w:ilvl w:val="0"/>
          <w:numId w:val="57"/>
        </w:numPr>
      </w:pPr>
      <w:bookmarkStart w:name="_Toc29457640" w:id="16"/>
      <w:r w:rsidRPr="006374F3">
        <w:t>M</w:t>
      </w:r>
      <w:r w:rsidRPr="006374F3" w:rsidR="00A3354D">
        <w:t>etrics</w:t>
      </w:r>
      <w:bookmarkEnd w:id="16"/>
      <w:r w:rsidRPr="008F3FCF" w:rsidR="00A3354D">
        <w:t xml:space="preserve"> </w:t>
      </w:r>
    </w:p>
    <w:p w:rsidR="0015510B" w:rsidP="0016020B" w:rsidRDefault="00847652" w14:paraId="4B041CAE" w14:textId="7893816F">
      <w:pPr>
        <w:pStyle w:val="FERCparanumber"/>
        <w:numPr>
          <w:ilvl w:val="0"/>
          <w:numId w:val="0"/>
        </w:numPr>
      </w:pPr>
      <w:r>
        <w:t xml:space="preserve">The </w:t>
      </w:r>
      <w:r w:rsidR="00B51B9E">
        <w:t xml:space="preserve">data </w:t>
      </w:r>
      <w:r>
        <w:t>worksheet</w:t>
      </w:r>
      <w:r w:rsidR="00B51B9E">
        <w:t>s</w:t>
      </w:r>
      <w:r>
        <w:t xml:space="preserve"> contain instructions </w:t>
      </w:r>
      <w:r w:rsidR="00B51B9E">
        <w:t xml:space="preserve">or descriptive text </w:t>
      </w:r>
      <w:r>
        <w:t xml:space="preserve">to </w:t>
      </w:r>
      <w:r w:rsidR="00B51B9E">
        <w:t>assist respondents in submitting the data elements for each of the</w:t>
      </w:r>
      <w:r>
        <w:t xml:space="preserve"> metrics.  </w:t>
      </w:r>
      <w:r w:rsidR="00B51B9E">
        <w:t>A</w:t>
      </w:r>
      <w:r>
        <w:t xml:space="preserve">dditional information </w:t>
      </w:r>
      <w:r w:rsidR="008117A8">
        <w:t xml:space="preserve">is </w:t>
      </w:r>
      <w:r w:rsidR="00B51B9E">
        <w:t>provided below</w:t>
      </w:r>
      <w:r w:rsidR="008117A8">
        <w:t xml:space="preserve"> to </w:t>
      </w:r>
      <w:r w:rsidR="00B51B9E">
        <w:t>supplement the information provided in the Input Spreadsheet</w:t>
      </w:r>
      <w:r>
        <w:t xml:space="preserve">.  </w:t>
      </w:r>
      <w:r w:rsidR="008117A8">
        <w:t>T</w:t>
      </w:r>
      <w:r>
        <w:t xml:space="preserve">he additional </w:t>
      </w:r>
      <w:r w:rsidR="00115E6D">
        <w:lastRenderedPageBreak/>
        <w:t xml:space="preserve">information </w:t>
      </w:r>
      <w:r w:rsidR="008117A8">
        <w:t xml:space="preserve">could be </w:t>
      </w:r>
      <w:r>
        <w:t xml:space="preserve">a link to an external source </w:t>
      </w:r>
      <w:r w:rsidR="00115E6D">
        <w:t xml:space="preserve">or </w:t>
      </w:r>
      <w:r>
        <w:t xml:space="preserve">supplementary explanation not </w:t>
      </w:r>
      <w:r w:rsidR="00B51B9E">
        <w:t xml:space="preserve">provided </w:t>
      </w:r>
      <w:r>
        <w:t xml:space="preserve">in the </w:t>
      </w:r>
      <w:r w:rsidR="00B51B9E">
        <w:t>Input Spreadsheet</w:t>
      </w:r>
      <w:r w:rsidR="008117A8">
        <w:t xml:space="preserve">. </w:t>
      </w:r>
      <w:r w:rsidR="00115E6D">
        <w:t xml:space="preserve"> </w:t>
      </w:r>
    </w:p>
    <w:p w:rsidRPr="008B24A0" w:rsidR="00C92FBD" w:rsidP="00BA1ED4" w:rsidRDefault="00DA158D" w14:paraId="3B7E4550" w14:textId="7C50EDC4">
      <w:pPr>
        <w:pStyle w:val="Heading3"/>
        <w:numPr>
          <w:ilvl w:val="0"/>
          <w:numId w:val="56"/>
        </w:numPr>
      </w:pPr>
      <w:r w:rsidRPr="008B24A0">
        <w:t>Reserve Margin</w:t>
      </w:r>
      <w:r w:rsidRPr="008B24A0" w:rsidR="009A5CC1">
        <w:t>s</w:t>
      </w:r>
    </w:p>
    <w:p w:rsidR="00EF19D4" w:rsidP="00F82BDC" w:rsidRDefault="006A6AE3" w14:paraId="0A5F3ECB" w14:textId="72B16887">
      <w:r>
        <w:t xml:space="preserve">The </w:t>
      </w:r>
      <w:r w:rsidR="000C7E26">
        <w:t>anticipated</w:t>
      </w:r>
      <w:r w:rsidRPr="00AA7A31" w:rsidR="000C7E26">
        <w:t xml:space="preserve"> </w:t>
      </w:r>
      <w:r w:rsidR="000C7E26">
        <w:t>r</w:t>
      </w:r>
      <w:r w:rsidRPr="00AA7A31" w:rsidR="00AA7A31">
        <w:t xml:space="preserve">eserve </w:t>
      </w:r>
      <w:r w:rsidR="000C7E26">
        <w:t>m</w:t>
      </w:r>
      <w:r w:rsidRPr="00AA7A31" w:rsidR="00AA7A31">
        <w:t xml:space="preserve">argin </w:t>
      </w:r>
      <w:r w:rsidR="000C7E26">
        <w:t xml:space="preserve">metric </w:t>
      </w:r>
      <w:r w:rsidRPr="00AA7A31" w:rsidR="00AA7A31">
        <w:t>is designed to measure the amount of generation capacity available to meet expected demand.</w:t>
      </w:r>
      <w:r w:rsidR="00AA7A31">
        <w:rPr>
          <w:rStyle w:val="FootnoteReference"/>
        </w:rPr>
        <w:footnoteReference w:id="4"/>
      </w:r>
      <w:r w:rsidRPr="00AA7A31" w:rsidR="00AA7A31">
        <w:t xml:space="preserve">  </w:t>
      </w:r>
      <w:r w:rsidR="0053547C">
        <w:t>Sufficient</w:t>
      </w:r>
      <w:r w:rsidR="00493165">
        <w:t xml:space="preserve"> </w:t>
      </w:r>
      <w:r w:rsidRPr="00F82BDC" w:rsidR="00EA00A6">
        <w:t>reserves ensure that there is a low probability of</w:t>
      </w:r>
      <w:r w:rsidRPr="006608D6" w:rsidR="00EA00A6">
        <w:t xml:space="preserve"> loss-of-load due to inadequate supply</w:t>
      </w:r>
      <w:r w:rsidR="004F5246">
        <w:t>.</w:t>
      </w:r>
      <w:r w:rsidR="00EF19D4">
        <w:rPr>
          <w:szCs w:val="26"/>
        </w:rPr>
        <w:t xml:space="preserve">  </w:t>
      </w:r>
      <w:r>
        <w:rPr>
          <w:szCs w:val="26"/>
        </w:rPr>
        <w:t>The actual reserve margins measure the realized amount of reserves within the reporting period.</w:t>
      </w:r>
      <w:r w:rsidR="00F9073F">
        <w:rPr>
          <w:szCs w:val="26"/>
        </w:rPr>
        <w:t xml:space="preserve">  </w:t>
      </w:r>
      <w:r w:rsidR="004F5246">
        <w:rPr>
          <w:szCs w:val="26"/>
        </w:rPr>
        <w:t xml:space="preserve">The comparison of the actual reserve margin to the </w:t>
      </w:r>
      <w:r w:rsidR="000C7E26">
        <w:rPr>
          <w:szCs w:val="26"/>
        </w:rPr>
        <w:t xml:space="preserve">anticipated </w:t>
      </w:r>
      <w:r w:rsidR="004F5246">
        <w:rPr>
          <w:szCs w:val="26"/>
        </w:rPr>
        <w:t>reserve margin measures the extent to which generation resource planning processes are ensuring long-term resource adequacy and reliability.</w:t>
      </w:r>
      <w:r w:rsidR="00CB0661">
        <w:t xml:space="preserve">  </w:t>
      </w:r>
    </w:p>
    <w:p w:rsidR="00EF19D4" w:rsidP="006608D6" w:rsidRDefault="00EF19D4" w14:paraId="1871472D" w14:textId="77777777"/>
    <w:p w:rsidR="003639FF" w:rsidP="00B56AE5" w:rsidRDefault="00173091" w14:paraId="47C501BF" w14:textId="337B99F0">
      <w:r>
        <w:t>RTOs/I</w:t>
      </w:r>
      <w:r w:rsidR="003639FF">
        <w:t>SO</w:t>
      </w:r>
      <w:r>
        <w:t xml:space="preserve">s with </w:t>
      </w:r>
      <w:r w:rsidR="00A35CF6">
        <w:t xml:space="preserve">centralized </w:t>
      </w:r>
      <w:r>
        <w:t xml:space="preserve">capacity markets should use the </w:t>
      </w:r>
      <w:r w:rsidR="003639FF">
        <w:t>values determined in the capacity auction of the reporting period for data elements such as F</w:t>
      </w:r>
      <w:r>
        <w:t xml:space="preserve">orecasted </w:t>
      </w:r>
      <w:r w:rsidR="003639FF">
        <w:t>P</w:t>
      </w:r>
      <w:r>
        <w:t xml:space="preserve">eak </w:t>
      </w:r>
      <w:r w:rsidR="003639FF">
        <w:t>Demand and Total Anticipated Installed Capacity</w:t>
      </w:r>
      <w:r w:rsidR="00B90170">
        <w:t>.</w:t>
      </w:r>
    </w:p>
    <w:p w:rsidR="003639FF" w:rsidP="00EA3D3C" w:rsidRDefault="003639FF" w14:paraId="4F719B21" w14:textId="77777777"/>
    <w:p w:rsidR="003639FF" w:rsidP="00B56AE5" w:rsidRDefault="000C2DC7" w14:paraId="53557631" w14:textId="49FCC684">
      <w:r>
        <w:t>Non-RTO/ISO u</w:t>
      </w:r>
      <w:r w:rsidR="00173091">
        <w:t>tilities and RTOs/IS</w:t>
      </w:r>
      <w:r w:rsidR="003639FF">
        <w:t>O</w:t>
      </w:r>
      <w:r w:rsidR="00173091">
        <w:t>s without capacity markets should use the value from the Integrated Resource Plan, Resource Adequacy</w:t>
      </w:r>
      <w:r w:rsidR="00C230B4">
        <w:t xml:space="preserve"> Plan</w:t>
      </w:r>
      <w:r w:rsidR="00173091">
        <w:t>, etc.</w:t>
      </w:r>
      <w:r w:rsidR="00EF19D4">
        <w:t>,</w:t>
      </w:r>
      <w:r w:rsidR="00173091">
        <w:t xml:space="preserve"> or other appropriate planning </w:t>
      </w:r>
      <w:r w:rsidR="003639FF">
        <w:t>process for data elements such as Forecasted Peak Demand and Total Anticipated Installed Capacity.</w:t>
      </w:r>
    </w:p>
    <w:p w:rsidR="008867D2" w:rsidP="00E506E6" w:rsidRDefault="008867D2" w14:paraId="32565DF6" w14:textId="77777777"/>
    <w:p w:rsidRPr="008B24A0" w:rsidR="00B73C1F" w:rsidP="00BA1ED4" w:rsidRDefault="00B73C1F" w14:paraId="1D6F1EB9" w14:textId="5EB9D7AA">
      <w:pPr>
        <w:pStyle w:val="Heading3"/>
        <w:numPr>
          <w:ilvl w:val="0"/>
          <w:numId w:val="56"/>
        </w:numPr>
      </w:pPr>
      <w:r w:rsidRPr="008B24A0">
        <w:t>Average Heat Rates</w:t>
      </w:r>
      <w:r w:rsidRPr="008B24A0" w:rsidR="00E327CA">
        <w:t xml:space="preserve">  </w:t>
      </w:r>
      <w:r w:rsidRPr="008B24A0">
        <w:t xml:space="preserve"> </w:t>
      </w:r>
    </w:p>
    <w:p w:rsidR="00C230B4" w:rsidP="00B90170" w:rsidRDefault="006A6AE3" w14:paraId="4B341640" w14:textId="2AD5FF44">
      <w:pPr>
        <w:pStyle w:val="BodyText"/>
        <w:ind w:firstLine="0"/>
      </w:pPr>
      <w:r>
        <w:t xml:space="preserve">A heat rate measures the efficiency of </w:t>
      </w:r>
      <w:r w:rsidR="00A35CF6">
        <w:t xml:space="preserve">a resource to convert </w:t>
      </w:r>
      <w:r w:rsidR="00833C93">
        <w:t xml:space="preserve">thermal power </w:t>
      </w:r>
      <w:r w:rsidR="00A35CF6">
        <w:t xml:space="preserve">into electric power. </w:t>
      </w:r>
      <w:r w:rsidR="00C230B4">
        <w:t xml:space="preserve"> A heat rate</w:t>
      </w:r>
      <w:r w:rsidR="00A35CF6">
        <w:t xml:space="preserve"> can be calculated as the quotient of the thermal power input </w:t>
      </w:r>
      <w:r w:rsidR="00833C93">
        <w:t xml:space="preserve">divided by electric power produced.  </w:t>
      </w:r>
      <w:r w:rsidR="00700F27">
        <w:t>Trends</w:t>
      </w:r>
      <w:r w:rsidR="00C13685">
        <w:t xml:space="preserve"> in aggregate heat rates across technologies may indicate changes in the efficiency of fuel consumption.  </w:t>
      </w:r>
    </w:p>
    <w:p w:rsidR="001E44EA" w:rsidP="00B90170" w:rsidRDefault="00C519BE" w14:paraId="1E47D22D" w14:textId="28465F81">
      <w:pPr>
        <w:pStyle w:val="BodyText"/>
        <w:ind w:firstLine="0"/>
      </w:pPr>
      <w:r>
        <w:t xml:space="preserve">The equation at the top of </w:t>
      </w:r>
      <w:r w:rsidR="00B1634D">
        <w:t>t</w:t>
      </w:r>
      <w:r>
        <w:t xml:space="preserve">he </w:t>
      </w:r>
      <w:r w:rsidR="00EF19D4">
        <w:t xml:space="preserve">data </w:t>
      </w:r>
      <w:r>
        <w:t>worksheet describes th</w:t>
      </w:r>
      <w:r w:rsidR="00B90170">
        <w:t>e</w:t>
      </w:r>
      <w:r>
        <w:t xml:space="preserve"> calculation </w:t>
      </w:r>
      <w:r w:rsidR="00711DAE">
        <w:t>of average heat rates over five technology types (oil-fired steam, natural-gas fired steam, coal-fired generation, combustion turbines</w:t>
      </w:r>
      <w:r w:rsidR="00EF19D4">
        <w:t>,</w:t>
      </w:r>
      <w:r w:rsidR="00711DAE">
        <w:t xml:space="preserve"> and combined cycles</w:t>
      </w:r>
      <w:r w:rsidR="00B90170">
        <w:t>)</w:t>
      </w:r>
      <w:r w:rsidR="00711DAE">
        <w:t xml:space="preserve"> </w:t>
      </w:r>
      <w:r w:rsidR="001E44EA">
        <w:t>based on</w:t>
      </w:r>
      <w:r w:rsidR="00333151">
        <w:t xml:space="preserve"> the</w:t>
      </w:r>
      <w:r w:rsidR="00711DAE">
        <w:t>ir</w:t>
      </w:r>
      <w:r w:rsidR="00333151">
        <w:t xml:space="preserve"> installed capacity of the b</w:t>
      </w:r>
      <w:r w:rsidR="001E44EA">
        <w:t xml:space="preserve">alancing </w:t>
      </w:r>
      <w:r w:rsidR="00333151">
        <w:t>a</w:t>
      </w:r>
      <w:r w:rsidR="001E44EA">
        <w:t xml:space="preserve">uthority </w:t>
      </w:r>
      <w:r w:rsidR="00333151">
        <w:t>a</w:t>
      </w:r>
      <w:r w:rsidR="001E44EA">
        <w:t>rea.</w:t>
      </w:r>
    </w:p>
    <w:p w:rsidR="009649D6" w:rsidP="00B90170" w:rsidRDefault="00A9565F" w14:paraId="495A6D79" w14:textId="565A1145">
      <w:pPr>
        <w:pStyle w:val="BodyText"/>
        <w:ind w:firstLine="0"/>
      </w:pPr>
      <w:r w:rsidRPr="00A9565F">
        <w:t xml:space="preserve">For all </w:t>
      </w:r>
      <w:r>
        <w:t xml:space="preserve">dual-fueled units, </w:t>
      </w:r>
      <w:r w:rsidR="00EF19D4">
        <w:t xml:space="preserve">respondents should </w:t>
      </w:r>
      <w:r>
        <w:t xml:space="preserve">calculate the </w:t>
      </w:r>
      <w:r w:rsidR="00792060">
        <w:t>a</w:t>
      </w:r>
      <w:r>
        <w:t xml:space="preserve">verage </w:t>
      </w:r>
      <w:r w:rsidR="00792060">
        <w:t>h</w:t>
      </w:r>
      <w:r>
        <w:t xml:space="preserve">eat </w:t>
      </w:r>
      <w:r w:rsidR="00792060">
        <w:t>r</w:t>
      </w:r>
      <w:r>
        <w:t xml:space="preserve">ate as if the unit </w:t>
      </w:r>
      <w:r>
        <w:lastRenderedPageBreak/>
        <w:t xml:space="preserve">only used the primary fuel. </w:t>
      </w:r>
      <w:r w:rsidR="000509F8">
        <w:t xml:space="preserve"> </w:t>
      </w:r>
    </w:p>
    <w:p w:rsidR="000509F8" w:rsidP="00B90170" w:rsidRDefault="00C230B4" w14:paraId="20A64F46" w14:textId="27BA3C7D">
      <w:pPr>
        <w:pStyle w:val="BodyText"/>
        <w:ind w:firstLine="0"/>
      </w:pPr>
      <w:r>
        <w:t>R</w:t>
      </w:r>
      <w:r w:rsidR="008609E6">
        <w:t xml:space="preserve">espondents </w:t>
      </w:r>
      <w:r>
        <w:t>should</w:t>
      </w:r>
      <w:r w:rsidR="008609E6">
        <w:t xml:space="preserve"> use the fuel and generation output data from Energy Information Administration </w:t>
      </w:r>
      <w:r w:rsidR="00EF19D4">
        <w:t xml:space="preserve">(EIA) </w:t>
      </w:r>
      <w:r w:rsidR="009649D6">
        <w:t>F</w:t>
      </w:r>
      <w:r w:rsidR="008609E6">
        <w:t>orm 923 to calculate this metric.</w:t>
      </w:r>
    </w:p>
    <w:p w:rsidRPr="008B24A0" w:rsidR="00D2640E" w:rsidP="00BA1ED4" w:rsidRDefault="00A9565F" w14:paraId="0566E6A4" w14:textId="7A241DC6">
      <w:pPr>
        <w:pStyle w:val="Heading3"/>
        <w:numPr>
          <w:ilvl w:val="0"/>
          <w:numId w:val="56"/>
        </w:numPr>
      </w:pPr>
      <w:r>
        <w:t>Fuel Diversity</w:t>
      </w:r>
    </w:p>
    <w:p w:rsidR="00645C3A" w:rsidP="00B56AE5" w:rsidRDefault="00700F27" w14:paraId="53DFB025" w14:textId="424CC256">
      <w:pPr>
        <w:pStyle w:val="BodyText"/>
        <w:ind w:firstLine="0"/>
      </w:pPr>
      <w:r>
        <w:rPr>
          <w:szCs w:val="26"/>
        </w:rPr>
        <w:t>Th</w:t>
      </w:r>
      <w:r w:rsidR="00833C93">
        <w:rPr>
          <w:szCs w:val="26"/>
        </w:rPr>
        <w:t>e fuel diversity</w:t>
      </w:r>
      <w:r>
        <w:rPr>
          <w:szCs w:val="26"/>
        </w:rPr>
        <w:t xml:space="preserve"> metric </w:t>
      </w:r>
      <w:r w:rsidR="00833C93">
        <w:rPr>
          <w:szCs w:val="26"/>
        </w:rPr>
        <w:t xml:space="preserve">represents </w:t>
      </w:r>
      <w:r>
        <w:rPr>
          <w:szCs w:val="26"/>
        </w:rPr>
        <w:t xml:space="preserve">the different </w:t>
      </w:r>
      <w:r w:rsidR="00833C93">
        <w:rPr>
          <w:szCs w:val="26"/>
        </w:rPr>
        <w:t xml:space="preserve">amounts </w:t>
      </w:r>
      <w:r>
        <w:rPr>
          <w:szCs w:val="26"/>
        </w:rPr>
        <w:t xml:space="preserve">of </w:t>
      </w:r>
      <w:r w:rsidR="00833C93">
        <w:rPr>
          <w:szCs w:val="26"/>
        </w:rPr>
        <w:t xml:space="preserve">installed </w:t>
      </w:r>
      <w:r>
        <w:rPr>
          <w:szCs w:val="26"/>
        </w:rPr>
        <w:t>generating capacity</w:t>
      </w:r>
      <w:r w:rsidR="00833C93">
        <w:rPr>
          <w:szCs w:val="26"/>
        </w:rPr>
        <w:t xml:space="preserve"> and the different quantities of energy produced by various technology types</w:t>
      </w:r>
      <w:r>
        <w:rPr>
          <w:szCs w:val="26"/>
        </w:rPr>
        <w:t xml:space="preserve">. </w:t>
      </w:r>
      <w:r w:rsidR="00EF19D4">
        <w:rPr>
          <w:szCs w:val="26"/>
        </w:rPr>
        <w:t xml:space="preserve"> </w:t>
      </w:r>
      <w:r w:rsidR="00EF19D4">
        <w:t>Respondents should p</w:t>
      </w:r>
      <w:r w:rsidR="00C519BE">
        <w:t xml:space="preserve">rovide the </w:t>
      </w:r>
      <w:r w:rsidR="00EF19D4">
        <w:t>s</w:t>
      </w:r>
      <w:r w:rsidR="00C519BE">
        <w:t xml:space="preserve">ummer </w:t>
      </w:r>
      <w:r w:rsidR="00EF19D4">
        <w:t>c</w:t>
      </w:r>
      <w:r w:rsidR="00C519BE">
        <w:t xml:space="preserve">apacity rating (MW) defined by the </w:t>
      </w:r>
      <w:r w:rsidR="00EF19D4">
        <w:t>EIA</w:t>
      </w:r>
      <w:r w:rsidR="00C519BE">
        <w:t xml:space="preserve"> and the </w:t>
      </w:r>
      <w:r w:rsidR="00792060">
        <w:t>net e</w:t>
      </w:r>
      <w:r w:rsidR="00C519BE">
        <w:t xml:space="preserve">nergy </w:t>
      </w:r>
      <w:r w:rsidR="00792060">
        <w:t>g</w:t>
      </w:r>
      <w:r w:rsidR="00C519BE">
        <w:t xml:space="preserve">enerated in </w:t>
      </w:r>
      <w:r w:rsidR="00904423">
        <w:t>Megawatt-hours (</w:t>
      </w:r>
      <w:r w:rsidR="00C519BE">
        <w:t>MWh</w:t>
      </w:r>
      <w:r w:rsidR="00904423">
        <w:t>)</w:t>
      </w:r>
      <w:r w:rsidR="00C519BE">
        <w:t xml:space="preserve"> by the listed fuel types.  </w:t>
      </w:r>
      <w:r w:rsidR="00DA4616">
        <w:t xml:space="preserve">There are two recommended sources for </w:t>
      </w:r>
      <w:r w:rsidR="00C519BE">
        <w:t xml:space="preserve">respondents </w:t>
      </w:r>
      <w:r w:rsidR="00DA4616">
        <w:t xml:space="preserve">to </w:t>
      </w:r>
      <w:r w:rsidR="00645C3A">
        <w:t xml:space="preserve">map </w:t>
      </w:r>
      <w:r w:rsidR="00C1312E">
        <w:t>fuel</w:t>
      </w:r>
      <w:r w:rsidR="00645C3A">
        <w:t xml:space="preserve"> codes to the requested </w:t>
      </w:r>
      <w:r w:rsidR="00C519BE">
        <w:t>f</w:t>
      </w:r>
      <w:r w:rsidR="00645C3A">
        <w:t>uel codes in Metric #3.</w:t>
      </w:r>
    </w:p>
    <w:p w:rsidRPr="009027FE" w:rsidR="00645C3A" w:rsidP="00BA1ED4" w:rsidRDefault="00645C3A" w14:paraId="56C5731F" w14:textId="75D56090">
      <w:pPr>
        <w:pStyle w:val="BodyText"/>
        <w:numPr>
          <w:ilvl w:val="0"/>
          <w:numId w:val="25"/>
        </w:numPr>
        <w:rPr>
          <w:b/>
          <w:i/>
        </w:rPr>
      </w:pPr>
      <w:r>
        <w:t>S&amp;P Global Market Intelligence uses the 10 fuel codes listed</w:t>
      </w:r>
      <w:r w:rsidR="005719E5">
        <w:t xml:space="preserve"> in the worksheet</w:t>
      </w:r>
      <w:r w:rsidR="00EF19D4">
        <w:t>.</w:t>
      </w:r>
      <w:r w:rsidR="00C230B4">
        <w:rPr>
          <w:rStyle w:val="FootnoteReference"/>
        </w:rPr>
        <w:footnoteReference w:id="5"/>
      </w:r>
      <w:r>
        <w:t xml:space="preserve">  </w:t>
      </w:r>
    </w:p>
    <w:p w:rsidR="00792060" w:rsidP="00BA1ED4" w:rsidRDefault="009027FE" w14:paraId="3BC3B9CF" w14:textId="6F54D8BF">
      <w:pPr>
        <w:pStyle w:val="BodyText"/>
        <w:numPr>
          <w:ilvl w:val="0"/>
          <w:numId w:val="25"/>
        </w:numPr>
      </w:pPr>
      <w:r>
        <w:t>EIA collects data by summer capacity in EIA Form 860</w:t>
      </w:r>
      <w:r w:rsidR="00A75FFC">
        <w:t>.</w:t>
      </w:r>
      <w:r w:rsidR="00C230B4">
        <w:rPr>
          <w:rStyle w:val="FootnoteReference"/>
        </w:rPr>
        <w:footnoteReference w:id="6"/>
      </w:r>
      <w:r w:rsidR="00A75FFC">
        <w:t xml:space="preserve">  EIA collects data on </w:t>
      </w:r>
      <w:r w:rsidR="00CC1CD4">
        <w:t>energy produced in EIA Form 923.</w:t>
      </w:r>
      <w:r w:rsidR="00C230B4">
        <w:rPr>
          <w:rStyle w:val="FootnoteReference"/>
        </w:rPr>
        <w:footnoteReference w:id="7"/>
      </w:r>
      <w:r w:rsidR="00CC1CD4">
        <w:t xml:space="preserve">  Each </w:t>
      </w:r>
      <w:r w:rsidR="008117A8">
        <w:t xml:space="preserve">EIA form </w:t>
      </w:r>
      <w:r w:rsidR="00A75FFC">
        <w:t xml:space="preserve">requires that </w:t>
      </w:r>
      <w:r w:rsidR="00CC1CD4">
        <w:t xml:space="preserve">data </w:t>
      </w:r>
      <w:r w:rsidR="00A75FFC">
        <w:t xml:space="preserve">be collected </w:t>
      </w:r>
      <w:r w:rsidR="00CC1CD4">
        <w:t>under a</w:t>
      </w:r>
      <w:r w:rsidR="008117A8">
        <w:t xml:space="preserve">n </w:t>
      </w:r>
      <w:r w:rsidR="00CC1CD4">
        <w:t xml:space="preserve">EIA </w:t>
      </w:r>
      <w:r w:rsidR="00EA08CA">
        <w:t>f</w:t>
      </w:r>
      <w:r w:rsidR="00CC1CD4">
        <w:t xml:space="preserve">uel </w:t>
      </w:r>
      <w:r w:rsidR="00EA08CA">
        <w:t>c</w:t>
      </w:r>
      <w:r w:rsidR="00CC1CD4">
        <w:t>ode</w:t>
      </w:r>
      <w:r w:rsidR="008117A8">
        <w:t xml:space="preserve">.  Those codes </w:t>
      </w:r>
      <w:r w:rsidR="00CC1CD4">
        <w:t xml:space="preserve">are reproduced </w:t>
      </w:r>
      <w:r w:rsidR="00EF19D4">
        <w:t xml:space="preserve">in Appendix B, </w:t>
      </w:r>
      <w:r w:rsidR="00CC1CD4">
        <w:t>mapp</w:t>
      </w:r>
      <w:r w:rsidR="00EF19D4">
        <w:t>ed</w:t>
      </w:r>
      <w:r w:rsidR="00CC1CD4">
        <w:t xml:space="preserve"> to the </w:t>
      </w:r>
      <w:r w:rsidR="00EA08CA">
        <w:t>ten</w:t>
      </w:r>
      <w:r w:rsidR="00CC1CD4">
        <w:t xml:space="preserve"> requested </w:t>
      </w:r>
      <w:r w:rsidR="00C663FD">
        <w:t>fuel codes in the worksheet</w:t>
      </w:r>
      <w:r w:rsidR="00CC1CD4">
        <w:t>.</w:t>
      </w:r>
      <w:r w:rsidRPr="00CC1CD4" w:rsidDel="009B2C92" w:rsidR="009B2C92">
        <w:rPr>
          <w:b/>
          <w:i/>
        </w:rPr>
        <w:t xml:space="preserve"> </w:t>
      </w:r>
    </w:p>
    <w:p w:rsidR="00792060" w:rsidP="00BA1ED4" w:rsidRDefault="00792060" w14:paraId="3ECD789F" w14:textId="23152D43">
      <w:pPr>
        <w:pStyle w:val="BodyText"/>
        <w:ind w:firstLine="0"/>
      </w:pPr>
      <w:r>
        <w:t>Net energy should be</w:t>
      </w:r>
      <w:r w:rsidR="001E6279">
        <w:t xml:space="preserve"> reported from</w:t>
      </w:r>
      <w:r>
        <w:t xml:space="preserve"> </w:t>
      </w:r>
      <w:r w:rsidR="001E6279">
        <w:t xml:space="preserve">the resource’s </w:t>
      </w:r>
      <w:r>
        <w:t xml:space="preserve">metered generation. </w:t>
      </w:r>
      <w:r w:rsidR="00697C0B">
        <w:t xml:space="preserve"> </w:t>
      </w:r>
    </w:p>
    <w:p w:rsidR="00CC1CD4" w:rsidP="00BA1ED4" w:rsidRDefault="0037724D" w14:paraId="3A3D0F14" w14:textId="1B03EE45">
      <w:pPr>
        <w:pStyle w:val="BodyText"/>
        <w:ind w:firstLine="0"/>
      </w:pPr>
      <w:r w:rsidRPr="0037724D">
        <w:t>Net summer capacity</w:t>
      </w:r>
      <w:r w:rsidR="006A7884">
        <w:t xml:space="preserve"> represents t</w:t>
      </w:r>
      <w:r w:rsidRPr="0037724D">
        <w:t>he maximum output, commonly expressed in megawatts (MW), that generating equipment can supply to system load, as demonstrated by a multi-hour test, at the time of summer peak demand (period of June 1 through September 30)</w:t>
      </w:r>
      <w:r w:rsidR="00C230B4">
        <w:t xml:space="preserve">. </w:t>
      </w:r>
      <w:r w:rsidRPr="0037724D">
        <w:t xml:space="preserve"> </w:t>
      </w:r>
      <w:r w:rsidRPr="0037724D">
        <w:lastRenderedPageBreak/>
        <w:t>This output reflects a reduction in capacity due to electricity use for station service or auxiliaries.</w:t>
      </w:r>
      <w:r w:rsidR="00C230B4">
        <w:rPr>
          <w:rStyle w:val="FootnoteReference"/>
        </w:rPr>
        <w:footnoteReference w:id="8"/>
      </w:r>
    </w:p>
    <w:p w:rsidR="00D43D7B" w:rsidP="005970F9" w:rsidRDefault="00D43D7B" w14:paraId="38150987" w14:textId="5C9E35FD">
      <w:pPr>
        <w:pStyle w:val="Heading3"/>
        <w:numPr>
          <w:ilvl w:val="0"/>
          <w:numId w:val="56"/>
        </w:numPr>
      </w:pPr>
      <w:bookmarkStart w:name="_Ref514254187" w:id="17"/>
      <w:r w:rsidRPr="008B24A0">
        <w:t>Capacity Factor by Technology Type</w:t>
      </w:r>
    </w:p>
    <w:p w:rsidR="002E7809" w:rsidP="004230C6" w:rsidRDefault="00700F27" w14:paraId="1B59C657" w14:textId="5C4E8399">
      <w:pPr>
        <w:widowControl/>
        <w:autoSpaceDE/>
        <w:autoSpaceDN/>
        <w:adjustRightInd/>
      </w:pPr>
      <w:r>
        <w:t>Th</w:t>
      </w:r>
      <w:r w:rsidR="002E7809">
        <w:t xml:space="preserve">e capacity factor </w:t>
      </w:r>
      <w:r>
        <w:t xml:space="preserve">metric </w:t>
      </w:r>
      <w:r w:rsidR="002E7809">
        <w:t>measures the actual energy produced</w:t>
      </w:r>
      <w:r>
        <w:t xml:space="preserve"> </w:t>
      </w:r>
      <w:r w:rsidR="002E7809">
        <w:t xml:space="preserve">at a generation station as a fraction of the maximum possible energy that could have been produced if it were operating at full capacity 24 hours a day, 365 days </w:t>
      </w:r>
      <w:r w:rsidR="00BD504F">
        <w:t xml:space="preserve">a </w:t>
      </w:r>
      <w:r w:rsidR="002E7809">
        <w:t>year.  This metric aggregates generator output by generati</w:t>
      </w:r>
      <w:r w:rsidR="00CA3B82">
        <w:t>on</w:t>
      </w:r>
      <w:r w:rsidR="002E7809">
        <w:t xml:space="preserve"> technology types and provides </w:t>
      </w:r>
      <w:r>
        <w:t>insight into changes in the utilization rate of generati</w:t>
      </w:r>
      <w:r w:rsidR="00455340">
        <w:t>on</w:t>
      </w:r>
      <w:r>
        <w:t xml:space="preserve"> technology types.</w:t>
      </w:r>
    </w:p>
    <w:p w:rsidR="00A7571B" w:rsidP="004230C6" w:rsidRDefault="00A7571B" w14:paraId="4B1B7CC4" w14:textId="4A3955FB">
      <w:pPr>
        <w:widowControl/>
        <w:autoSpaceDE/>
        <w:autoSpaceDN/>
        <w:adjustRightInd/>
      </w:pPr>
    </w:p>
    <w:p w:rsidR="00A7571B" w:rsidP="004230C6" w:rsidRDefault="00A7571B" w14:paraId="14A4510F" w14:textId="372CB183">
      <w:pPr>
        <w:widowControl/>
        <w:autoSpaceDE/>
        <w:autoSpaceDN/>
        <w:adjustRightInd/>
      </w:pPr>
      <w:r>
        <w:t xml:space="preserve">The capacity factor is a percentage displayed in decimal terms.  Generally, a given capacity factor will range between </w:t>
      </w:r>
      <w:r w:rsidR="00FF325F">
        <w:t>zero</w:t>
      </w:r>
      <w:r>
        <w:t xml:space="preserve"> and </w:t>
      </w:r>
      <w:r w:rsidR="00FF325F">
        <w:t>one</w:t>
      </w:r>
      <w:r>
        <w:t xml:space="preserve">, and the spreadsheet will display value with up to two decimal places.  A capacity factor of 0.89, for example, would indicate capacity factor of </w:t>
      </w:r>
      <w:r w:rsidR="00FF325F">
        <w:t>eighty-nine</w:t>
      </w:r>
      <w:r>
        <w:t xml:space="preserve"> percent.</w:t>
      </w:r>
    </w:p>
    <w:p w:rsidR="00FE6765" w:rsidP="00FE6765" w:rsidRDefault="002E7809" w14:paraId="0991079D" w14:textId="58E05C18">
      <w:pPr>
        <w:widowControl/>
        <w:autoSpaceDE/>
        <w:autoSpaceDN/>
        <w:adjustRightInd/>
      </w:pPr>
      <w:r>
        <w:t xml:space="preserve"> </w:t>
      </w:r>
    </w:p>
    <w:p w:rsidRPr="008B24A0" w:rsidR="00993B90" w:rsidP="00BA1ED4" w:rsidRDefault="00125BDB" w14:paraId="52D87668" w14:textId="4DA093B7">
      <w:pPr>
        <w:pStyle w:val="Heading3"/>
        <w:numPr>
          <w:ilvl w:val="0"/>
          <w:numId w:val="56"/>
        </w:numPr>
      </w:pPr>
      <w:r>
        <w:t>Energy Emergency Alerts (EEA</w:t>
      </w:r>
      <w:r w:rsidR="00257F65">
        <w:t xml:space="preserve"> Level 1 </w:t>
      </w:r>
      <w:r w:rsidR="00E2046E">
        <w:t>or</w:t>
      </w:r>
      <w:r w:rsidR="00257F65">
        <w:t xml:space="preserve"> </w:t>
      </w:r>
      <w:r w:rsidR="00857ECE">
        <w:t>Higher</w:t>
      </w:r>
      <w:r>
        <w:t xml:space="preserve">) </w:t>
      </w:r>
      <w:bookmarkEnd w:id="17"/>
      <w:r w:rsidRPr="008B24A0" w:rsidR="00993B90">
        <w:t xml:space="preserve"> </w:t>
      </w:r>
    </w:p>
    <w:p w:rsidR="00993B90" w:rsidP="00434112" w:rsidRDefault="00B56AE5" w14:paraId="6066EE6E" w14:textId="42BCC2DE">
      <w:pPr>
        <w:pStyle w:val="BodyText"/>
        <w:ind w:firstLine="0"/>
      </w:pPr>
      <w:bookmarkStart w:name="OLE_LINK2" w:id="18"/>
      <w:r>
        <w:t>The energy emergency</w:t>
      </w:r>
      <w:r w:rsidR="00700F27">
        <w:t xml:space="preserve"> metric provides information on the</w:t>
      </w:r>
      <w:r w:rsidR="002165CB">
        <w:t xml:space="preserve"> frequency of </w:t>
      </w:r>
      <w:r w:rsidR="002E7809">
        <w:t xml:space="preserve">energy </w:t>
      </w:r>
      <w:r w:rsidR="002165CB">
        <w:t>emergenc</w:t>
      </w:r>
      <w:r w:rsidR="00434112">
        <w:t xml:space="preserve">ies.  </w:t>
      </w:r>
      <w:r w:rsidRPr="008B24A0" w:rsidR="00993B90">
        <w:t xml:space="preserve">For the purposes of this </w:t>
      </w:r>
      <w:r w:rsidRPr="008B24A0" w:rsidR="005A6650">
        <w:t>I</w:t>
      </w:r>
      <w:r w:rsidRPr="008B24A0" w:rsidR="002874A7">
        <w:t xml:space="preserve">nformation </w:t>
      </w:r>
      <w:r w:rsidRPr="008B24A0" w:rsidR="005A6650">
        <w:t>C</w:t>
      </w:r>
      <w:r w:rsidRPr="008B24A0" w:rsidR="002874A7">
        <w:t>ollection</w:t>
      </w:r>
      <w:r w:rsidR="00125BDB">
        <w:t xml:space="preserve">, </w:t>
      </w:r>
      <w:r w:rsidR="009B2C92">
        <w:t xml:space="preserve">respondents should </w:t>
      </w:r>
      <w:r w:rsidR="00125BDB">
        <w:t xml:space="preserve">report the number of </w:t>
      </w:r>
      <w:r w:rsidR="00884A99">
        <w:t xml:space="preserve">Energy Emergency Alerts (EEA) Level 1 or </w:t>
      </w:r>
      <w:r w:rsidR="00B2160F">
        <w:t>Higher</w:t>
      </w:r>
      <w:bookmarkEnd w:id="18"/>
      <w:r w:rsidR="00884A99">
        <w:t xml:space="preserve"> in each reporting period.</w:t>
      </w:r>
      <w:r w:rsidR="00D45D6E">
        <w:rPr>
          <w:rStyle w:val="FootnoteReference"/>
        </w:rPr>
        <w:footnoteReference w:id="9"/>
      </w:r>
      <w:r w:rsidR="00884A99">
        <w:t xml:space="preserve"> </w:t>
      </w:r>
    </w:p>
    <w:p w:rsidR="00884A99" w:rsidP="00434112" w:rsidRDefault="00884A99" w14:paraId="0B8AB179" w14:textId="3F30F4BB">
      <w:pPr>
        <w:pStyle w:val="BodyText"/>
        <w:ind w:firstLine="0"/>
      </w:pPr>
      <w:r>
        <w:t>An overview of the three levels of EEA is provided below</w:t>
      </w:r>
      <w:r w:rsidR="00D45D6E">
        <w:t>:</w:t>
      </w:r>
    </w:p>
    <w:p w:rsidR="00884A99" w:rsidP="00F21FFF" w:rsidRDefault="00884A99" w14:paraId="4717A10B" w14:textId="0DD132E1">
      <w:pPr>
        <w:pStyle w:val="BodyText"/>
        <w:numPr>
          <w:ilvl w:val="0"/>
          <w:numId w:val="29"/>
        </w:numPr>
      </w:pPr>
      <w:r w:rsidRPr="00C90C21">
        <w:rPr>
          <w:b/>
        </w:rPr>
        <w:t xml:space="preserve">EEA </w:t>
      </w:r>
      <w:r w:rsidRPr="00C90C21" w:rsidR="00C27B7E">
        <w:rPr>
          <w:b/>
        </w:rPr>
        <w:t>Level</w:t>
      </w:r>
      <w:r w:rsidRPr="00C90C21">
        <w:rPr>
          <w:b/>
        </w:rPr>
        <w:t xml:space="preserve"> 1 — All available resources in use.</w:t>
      </w:r>
      <w:r w:rsidR="00545C64">
        <w:t xml:space="preserve">  </w:t>
      </w:r>
      <w:r w:rsidR="00C27B7E">
        <w:br/>
      </w:r>
      <w:r w:rsidR="00C27B7E">
        <w:br/>
      </w:r>
      <w:r>
        <w:t>Circumstances:</w:t>
      </w:r>
    </w:p>
    <w:p w:rsidR="00884A99" w:rsidP="00F21FFF" w:rsidRDefault="00884A99" w14:paraId="13365F53" w14:textId="5176F24E">
      <w:pPr>
        <w:pStyle w:val="BodyText"/>
        <w:numPr>
          <w:ilvl w:val="0"/>
          <w:numId w:val="26"/>
        </w:numPr>
      </w:pPr>
      <w:r>
        <w:t xml:space="preserve">The </w:t>
      </w:r>
      <w:r w:rsidR="009B2C92">
        <w:t>b</w:t>
      </w:r>
      <w:r>
        <w:t xml:space="preserve">alancing </w:t>
      </w:r>
      <w:r w:rsidR="009B2C92">
        <w:t>a</w:t>
      </w:r>
      <w:r>
        <w:t>uthority is experiencing conditions where all available generation</w:t>
      </w:r>
      <w:r w:rsidR="00545C64">
        <w:t xml:space="preserve"> </w:t>
      </w:r>
      <w:r>
        <w:t xml:space="preserve">resources are committed to meet firm </w:t>
      </w:r>
      <w:r w:rsidR="009B2C92">
        <w:t>l</w:t>
      </w:r>
      <w:r>
        <w:t>oad, firm transactions, and reserve</w:t>
      </w:r>
      <w:r w:rsidR="00545C64">
        <w:t xml:space="preserve"> </w:t>
      </w:r>
      <w:r>
        <w:t xml:space="preserve">commitments, and is concerned about sustaining its required </w:t>
      </w:r>
      <w:r w:rsidR="009B2C92">
        <w:lastRenderedPageBreak/>
        <w:t>c</w:t>
      </w:r>
      <w:r>
        <w:t xml:space="preserve">ontingency </w:t>
      </w:r>
      <w:r w:rsidR="009B2C92">
        <w:t>r</w:t>
      </w:r>
      <w:r>
        <w:t>eserves.</w:t>
      </w:r>
    </w:p>
    <w:p w:rsidR="00884A99" w:rsidP="00F21FFF" w:rsidRDefault="00884A99" w14:paraId="4C545D3E" w14:textId="5D707FB1">
      <w:pPr>
        <w:pStyle w:val="BodyText"/>
        <w:numPr>
          <w:ilvl w:val="0"/>
          <w:numId w:val="26"/>
        </w:numPr>
      </w:pPr>
      <w:r>
        <w:t>Non-firm wholesale energy sales (other than those that are recallable to meet reserve</w:t>
      </w:r>
      <w:r w:rsidR="00545C64">
        <w:t xml:space="preserve"> </w:t>
      </w:r>
      <w:r>
        <w:t>requirements) have been curtailed.</w:t>
      </w:r>
    </w:p>
    <w:p w:rsidRPr="008117A8" w:rsidR="00884A99" w:rsidP="00F21FFF" w:rsidRDefault="00884A99" w14:paraId="554CDB7E" w14:textId="3A2A2BDE">
      <w:pPr>
        <w:pStyle w:val="BodyText"/>
        <w:numPr>
          <w:ilvl w:val="0"/>
          <w:numId w:val="29"/>
        </w:numPr>
      </w:pPr>
      <w:r w:rsidRPr="00C90C21">
        <w:rPr>
          <w:b/>
        </w:rPr>
        <w:t xml:space="preserve">EEA </w:t>
      </w:r>
      <w:r w:rsidRPr="00C90C21" w:rsidR="00C27B7E">
        <w:rPr>
          <w:b/>
        </w:rPr>
        <w:t>Level</w:t>
      </w:r>
      <w:r w:rsidRPr="00C90C21">
        <w:rPr>
          <w:b/>
        </w:rPr>
        <w:t xml:space="preserve"> 2 — Load management procedures in effect.</w:t>
      </w:r>
      <w:r w:rsidRPr="008117A8" w:rsidR="00545C64">
        <w:t xml:space="preserve">  </w:t>
      </w:r>
      <w:r w:rsidR="00C27B7E">
        <w:br/>
      </w:r>
      <w:r w:rsidR="00C27B7E">
        <w:br/>
      </w:r>
      <w:r w:rsidRPr="008117A8">
        <w:t>Circumstances:</w:t>
      </w:r>
    </w:p>
    <w:p w:rsidR="00884A99" w:rsidP="00F21FFF" w:rsidRDefault="00884A99" w14:paraId="469404CB" w14:textId="731C144B">
      <w:pPr>
        <w:pStyle w:val="BodyText"/>
        <w:numPr>
          <w:ilvl w:val="0"/>
          <w:numId w:val="27"/>
        </w:numPr>
      </w:pPr>
      <w:r>
        <w:t xml:space="preserve">The </w:t>
      </w:r>
      <w:r w:rsidR="009B2C92">
        <w:t>b</w:t>
      </w:r>
      <w:r>
        <w:t xml:space="preserve">alancing </w:t>
      </w:r>
      <w:r w:rsidR="009B2C92">
        <w:t>a</w:t>
      </w:r>
      <w:r>
        <w:t>uthority is no longer able to provide its expected energy</w:t>
      </w:r>
      <w:r w:rsidR="00545C64">
        <w:t xml:space="preserve"> </w:t>
      </w:r>
      <w:r>
        <w:t>requirements</w:t>
      </w:r>
      <w:r w:rsidR="00545C64">
        <w:t xml:space="preserve"> </w:t>
      </w:r>
      <w:r>
        <w:t xml:space="preserve">and is an energy deficient </w:t>
      </w:r>
      <w:r w:rsidR="009B2C92">
        <w:t>b</w:t>
      </w:r>
      <w:r>
        <w:t xml:space="preserve">alancing </w:t>
      </w:r>
      <w:r w:rsidR="009B2C92">
        <w:t>a</w:t>
      </w:r>
      <w:r>
        <w:t>uthority.</w:t>
      </w:r>
    </w:p>
    <w:p w:rsidR="00884A99" w:rsidP="00F21FFF" w:rsidRDefault="00884A99" w14:paraId="1560F451" w14:textId="101E3B7E">
      <w:pPr>
        <w:pStyle w:val="BodyText"/>
        <w:numPr>
          <w:ilvl w:val="0"/>
          <w:numId w:val="27"/>
        </w:numPr>
      </w:pPr>
      <w:r>
        <w:t xml:space="preserve">An energy deficient </w:t>
      </w:r>
      <w:r w:rsidR="009B2C92">
        <w:t>b</w:t>
      </w:r>
      <w:r>
        <w:t xml:space="preserve">alancing </w:t>
      </w:r>
      <w:r w:rsidR="009B2C92">
        <w:t>a</w:t>
      </w:r>
      <w:r>
        <w:t xml:space="preserve">uthority has implemented its </w:t>
      </w:r>
      <w:r w:rsidR="009B2C92">
        <w:t>o</w:t>
      </w:r>
      <w:r>
        <w:t xml:space="preserve">perating </w:t>
      </w:r>
      <w:r w:rsidR="009B2C92">
        <w:t>p</w:t>
      </w:r>
      <w:r>
        <w:t>lan(s) to</w:t>
      </w:r>
      <w:r w:rsidR="00545C64">
        <w:t xml:space="preserve"> </w:t>
      </w:r>
      <w:r>
        <w:t xml:space="preserve">mitigate </w:t>
      </w:r>
      <w:r w:rsidR="009B2C92">
        <w:t>e</w:t>
      </w:r>
      <w:r>
        <w:t>mergencies.</w:t>
      </w:r>
    </w:p>
    <w:p w:rsidRPr="008B24A0" w:rsidR="00884A99" w:rsidP="00F21FFF" w:rsidRDefault="00884A99" w14:paraId="4091301E" w14:textId="3DBEBFA2">
      <w:pPr>
        <w:pStyle w:val="BodyText"/>
        <w:numPr>
          <w:ilvl w:val="0"/>
          <w:numId w:val="27"/>
        </w:numPr>
      </w:pPr>
      <w:r>
        <w:t xml:space="preserve">An energy deficient </w:t>
      </w:r>
      <w:r w:rsidR="009B2C92">
        <w:t>b</w:t>
      </w:r>
      <w:r>
        <w:t xml:space="preserve">alancing </w:t>
      </w:r>
      <w:r w:rsidR="009B2C92">
        <w:t>a</w:t>
      </w:r>
      <w:r>
        <w:t xml:space="preserve">uthority is still able to maintain minimum </w:t>
      </w:r>
      <w:r w:rsidR="009B2C92">
        <w:t>c</w:t>
      </w:r>
      <w:r>
        <w:t>ontingency</w:t>
      </w:r>
      <w:r w:rsidR="00545C64">
        <w:t xml:space="preserve"> </w:t>
      </w:r>
      <w:r w:rsidR="009B2C92">
        <w:t>r</w:t>
      </w:r>
      <w:r>
        <w:t>eserve requirements.</w:t>
      </w:r>
    </w:p>
    <w:p w:rsidRPr="008117A8" w:rsidR="00545C64" w:rsidP="00F21FFF" w:rsidRDefault="00545C64" w14:paraId="2B0331A3" w14:textId="30EA4447">
      <w:pPr>
        <w:pStyle w:val="BodyText"/>
        <w:numPr>
          <w:ilvl w:val="0"/>
          <w:numId w:val="29"/>
        </w:numPr>
      </w:pPr>
      <w:r w:rsidRPr="00C90C21">
        <w:rPr>
          <w:b/>
        </w:rPr>
        <w:t xml:space="preserve">EEA </w:t>
      </w:r>
      <w:r w:rsidRPr="00C90C21" w:rsidR="00C27B7E">
        <w:rPr>
          <w:b/>
        </w:rPr>
        <w:t>Level</w:t>
      </w:r>
      <w:r w:rsidRPr="00C90C21">
        <w:rPr>
          <w:b/>
        </w:rPr>
        <w:t xml:space="preserve"> 3 —</w:t>
      </w:r>
      <w:r w:rsidRPr="00C90C21" w:rsidR="009B2C92">
        <w:rPr>
          <w:b/>
        </w:rPr>
        <w:t xml:space="preserve"> </w:t>
      </w:r>
      <w:r w:rsidRPr="00C90C21">
        <w:rPr>
          <w:b/>
        </w:rPr>
        <w:t xml:space="preserve">Firm </w:t>
      </w:r>
      <w:r w:rsidRPr="00C90C21" w:rsidR="009B2C92">
        <w:rPr>
          <w:b/>
        </w:rPr>
        <w:t>l</w:t>
      </w:r>
      <w:r w:rsidRPr="00C90C21">
        <w:rPr>
          <w:b/>
        </w:rPr>
        <w:t>oad interruption is imminent or in progress.</w:t>
      </w:r>
      <w:r w:rsidRPr="008117A8">
        <w:t xml:space="preserve">  </w:t>
      </w:r>
      <w:r w:rsidR="00C27B7E">
        <w:br/>
      </w:r>
      <w:r w:rsidR="00C27B7E">
        <w:br/>
      </w:r>
      <w:r w:rsidRPr="008117A8">
        <w:t>Circumstances:</w:t>
      </w:r>
    </w:p>
    <w:p w:rsidRPr="00125BDB" w:rsidR="00C630AB" w:rsidP="00F21FFF" w:rsidRDefault="00545C64" w14:paraId="17C9D047" w14:textId="32A01025">
      <w:pPr>
        <w:pStyle w:val="BodyText"/>
        <w:numPr>
          <w:ilvl w:val="0"/>
          <w:numId w:val="28"/>
        </w:numPr>
        <w:ind w:firstLine="0"/>
      </w:pPr>
      <w:r>
        <w:t xml:space="preserve">The energy deficient </w:t>
      </w:r>
      <w:r w:rsidR="009B2C92">
        <w:t>b</w:t>
      </w:r>
      <w:r>
        <w:t xml:space="preserve">alancing </w:t>
      </w:r>
      <w:r w:rsidR="009B2C92">
        <w:t>a</w:t>
      </w:r>
      <w:r>
        <w:t>uth</w:t>
      </w:r>
      <w:r w:rsidR="00257F65">
        <w:t xml:space="preserve">ority is unable to meet minimum </w:t>
      </w:r>
      <w:r w:rsidR="00257F65">
        <w:tab/>
      </w:r>
      <w:r w:rsidR="009B2C92">
        <w:t>c</w:t>
      </w:r>
      <w:r>
        <w:t xml:space="preserve">ontingency </w:t>
      </w:r>
      <w:r w:rsidR="009B2C92">
        <w:t>r</w:t>
      </w:r>
      <w:r>
        <w:t>eserve requirements.</w:t>
      </w:r>
      <w:r w:rsidR="00D45D6E">
        <w:rPr>
          <w:rStyle w:val="FootnoteReference"/>
        </w:rPr>
        <w:footnoteReference w:id="10"/>
      </w:r>
      <w:r>
        <w:t xml:space="preserve"> </w:t>
      </w:r>
    </w:p>
    <w:p w:rsidRPr="00D43D7B" w:rsidR="00D43D7B" w:rsidP="00967663" w:rsidRDefault="00D43D7B" w14:paraId="4DA7BFBC" w14:textId="233485EE">
      <w:pPr>
        <w:pStyle w:val="Heading3"/>
        <w:numPr>
          <w:ilvl w:val="0"/>
          <w:numId w:val="56"/>
        </w:numPr>
        <w:ind w:left="1440" w:firstLine="0"/>
      </w:pPr>
      <w:r w:rsidRPr="0015510B">
        <w:t xml:space="preserve">Performance by Technology Type during EEA Level 1 or </w:t>
      </w:r>
      <w:r>
        <w:t>Higher</w:t>
      </w:r>
    </w:p>
    <w:p w:rsidR="00D45D6E" w:rsidP="00434112" w:rsidRDefault="00B13541" w14:paraId="5DCF180E" w14:textId="462A9F2A">
      <w:r>
        <w:t xml:space="preserve">The performance by technology type </w:t>
      </w:r>
      <w:r w:rsidR="000C26C1">
        <w:t xml:space="preserve">under </w:t>
      </w:r>
      <w:r w:rsidR="00F00DB8">
        <w:t xml:space="preserve">the </w:t>
      </w:r>
      <w:r w:rsidR="000C26C1">
        <w:t xml:space="preserve">shortage </w:t>
      </w:r>
      <w:r w:rsidR="002165CB">
        <w:t>metric provides information on aggregate performance of technologies during</w:t>
      </w:r>
      <w:r w:rsidR="002E7809">
        <w:t xml:space="preserve"> EEA Level 1 or higher</w:t>
      </w:r>
      <w:r w:rsidR="0080657E">
        <w:t xml:space="preserve"> alerts</w:t>
      </w:r>
      <w:r w:rsidR="002E7809">
        <w:t xml:space="preserve"> by measuring the total </w:t>
      </w:r>
      <w:r w:rsidR="00FA4BF1">
        <w:t>five</w:t>
      </w:r>
      <w:r w:rsidR="002E7809">
        <w:t>-minute intervals when an alert is present and how the generator</w:t>
      </w:r>
      <w:r w:rsidR="00D45D6E">
        <w:t>s, by technology type, performed</w:t>
      </w:r>
      <w:r w:rsidR="002165CB">
        <w:t xml:space="preserve">.  </w:t>
      </w:r>
      <w:r w:rsidR="00B1634D">
        <w:t>The equation at the top of the worksheet describes this calculation</w:t>
      </w:r>
      <w:r w:rsidR="00D45D6E">
        <w:t xml:space="preserve"> in more detail</w:t>
      </w:r>
      <w:r w:rsidR="00B1634D">
        <w:t xml:space="preserve">.  </w:t>
      </w:r>
    </w:p>
    <w:p w:rsidR="0002542D" w:rsidP="00BA1ED4" w:rsidRDefault="0002542D" w14:paraId="043A30CD" w14:textId="36D9DD6E">
      <w:pPr>
        <w:pStyle w:val="Heading3"/>
        <w:numPr>
          <w:ilvl w:val="0"/>
          <w:numId w:val="56"/>
        </w:numPr>
        <w:autoSpaceDE/>
        <w:autoSpaceDN/>
        <w:adjustRightInd/>
        <w:spacing w:before="240"/>
      </w:pPr>
      <w:r w:rsidRPr="008B24A0">
        <w:lastRenderedPageBreak/>
        <w:t>Resource Availability (EFORd)</w:t>
      </w:r>
    </w:p>
    <w:p w:rsidR="00D45D6E" w:rsidP="00434112" w:rsidRDefault="00D45D6E" w14:paraId="72FA99AF" w14:textId="232CBC0F">
      <w:pPr>
        <w:rPr>
          <w:szCs w:val="26"/>
        </w:rPr>
      </w:pPr>
      <w:r>
        <w:rPr>
          <w:szCs w:val="26"/>
        </w:rPr>
        <w:t>The r</w:t>
      </w:r>
      <w:r w:rsidR="0037364C">
        <w:rPr>
          <w:szCs w:val="26"/>
        </w:rPr>
        <w:t xml:space="preserve">esource availability </w:t>
      </w:r>
      <w:r>
        <w:rPr>
          <w:szCs w:val="26"/>
        </w:rPr>
        <w:t xml:space="preserve">metric </w:t>
      </w:r>
      <w:r w:rsidR="0037364C">
        <w:rPr>
          <w:szCs w:val="26"/>
        </w:rPr>
        <w:t>measure</w:t>
      </w:r>
      <w:r>
        <w:rPr>
          <w:szCs w:val="26"/>
        </w:rPr>
        <w:t>s the forced outage rates across different technology types</w:t>
      </w:r>
      <w:r w:rsidR="0037364C">
        <w:rPr>
          <w:szCs w:val="26"/>
        </w:rPr>
        <w:t>.</w:t>
      </w:r>
      <w:r w:rsidR="00791599">
        <w:rPr>
          <w:szCs w:val="26"/>
        </w:rPr>
        <w:t xml:space="preserve"> </w:t>
      </w:r>
      <w:r w:rsidR="0037364C">
        <w:rPr>
          <w:szCs w:val="26"/>
        </w:rPr>
        <w:t xml:space="preserve"> </w:t>
      </w:r>
      <w:r w:rsidR="00757662">
        <w:rPr>
          <w:szCs w:val="26"/>
        </w:rPr>
        <w:t>A forced outage occurs when a generator is unavailable to provide energy for all or part of its capacity.</w:t>
      </w:r>
      <w:r w:rsidR="00525235">
        <w:rPr>
          <w:szCs w:val="26"/>
        </w:rPr>
        <w:t xml:space="preserve">  </w:t>
      </w:r>
    </w:p>
    <w:p w:rsidRPr="00A80D2F" w:rsidR="00E43A3B" w:rsidP="00434112" w:rsidRDefault="005A2B56" w14:paraId="58FE3D05" w14:textId="3E119613">
      <w:pPr>
        <w:rPr>
          <w:rStyle w:val="Hyperlink"/>
          <w:szCs w:val="26"/>
        </w:rPr>
      </w:pPr>
      <w:r>
        <w:rPr>
          <w:rStyle w:val="Hyperlink"/>
          <w:szCs w:val="26"/>
        </w:rPr>
        <w:t xml:space="preserve">  </w:t>
      </w:r>
    </w:p>
    <w:p w:rsidRPr="00697C0B" w:rsidR="00E52B49" w:rsidP="00434112" w:rsidRDefault="00525235" w14:paraId="5F1F7C1A" w14:textId="07BFEA27">
      <w:r>
        <w:t>There are three main measurements for forced outage</w:t>
      </w:r>
      <w:r w:rsidR="00B6146D">
        <w:t>s</w:t>
      </w:r>
      <w:r>
        <w:t xml:space="preserve">, which include: </w:t>
      </w:r>
      <w:r w:rsidR="00E52B49">
        <w:t>Forced Outage Rate (</w:t>
      </w:r>
      <w:r w:rsidR="00E43A3B">
        <w:t>FOR</w:t>
      </w:r>
      <w:r w:rsidR="00E52B49">
        <w:t>)</w:t>
      </w:r>
      <w:r w:rsidR="00E43A3B">
        <w:t xml:space="preserve">, </w:t>
      </w:r>
      <w:r w:rsidR="00E52B49">
        <w:t>Equivalent Forced Outage Rate (</w:t>
      </w:r>
      <w:r w:rsidR="00E43A3B">
        <w:t>EFOR</w:t>
      </w:r>
      <w:r w:rsidR="00E52B49">
        <w:t>)</w:t>
      </w:r>
      <w:r w:rsidR="00791599">
        <w:t>,</w:t>
      </w:r>
      <w:r w:rsidR="00E43A3B">
        <w:t xml:space="preserve"> and </w:t>
      </w:r>
      <w:r>
        <w:t>Equivalent Forced Outage Rate demand (</w:t>
      </w:r>
      <w:r w:rsidR="00E43A3B">
        <w:t>EFORd</w:t>
      </w:r>
      <w:r>
        <w:t>)</w:t>
      </w:r>
      <w:r w:rsidR="00E43A3B">
        <w:t xml:space="preserve">.  </w:t>
      </w:r>
      <w:r w:rsidRPr="00697C0B" w:rsidR="00E52B49">
        <w:t xml:space="preserve">FOR and EFOR are intermediate metrics used to calculate EFORd and are included as reference </w:t>
      </w:r>
      <w:r w:rsidRPr="00697C0B" w:rsidR="007E624F">
        <w:t xml:space="preserve">to compute the final </w:t>
      </w:r>
      <w:r w:rsidRPr="00697C0B" w:rsidR="00E52B49">
        <w:t>EFORd metric.</w:t>
      </w:r>
      <w:r>
        <w:rPr>
          <w:rStyle w:val="FootnoteReference"/>
        </w:rPr>
        <w:footnoteReference w:id="11"/>
      </w:r>
      <w:r>
        <w:t xml:space="preserve">  For the purposes of this metric, respondents must only submit the EFORd calculation.</w:t>
      </w:r>
      <w:r w:rsidR="00180E53">
        <w:t xml:space="preserve">  Additional information on the calculation of EFORd may be found in Appendix C.</w:t>
      </w:r>
    </w:p>
    <w:p w:rsidR="00B73405" w:rsidP="00BA1ED4" w:rsidRDefault="00B73405" w14:paraId="74637EEB" w14:textId="77777777"/>
    <w:p w:rsidR="00DA158D" w:rsidP="00BA1ED4" w:rsidRDefault="00DA158D" w14:paraId="659B00DD" w14:textId="6C28DF2E">
      <w:pPr>
        <w:pStyle w:val="Heading3"/>
        <w:numPr>
          <w:ilvl w:val="0"/>
          <w:numId w:val="56"/>
        </w:numPr>
      </w:pPr>
      <w:r w:rsidRPr="008B24A0">
        <w:t>Num</w:t>
      </w:r>
      <w:r w:rsidRPr="008B24A0" w:rsidR="00DE343C">
        <w:t>ber</w:t>
      </w:r>
      <w:r w:rsidRPr="008B24A0" w:rsidR="00067A32">
        <w:t xml:space="preserve"> and </w:t>
      </w:r>
      <w:r w:rsidRPr="008B24A0" w:rsidR="00DE343C">
        <w:t>Capacity</w:t>
      </w:r>
      <w:r w:rsidRPr="008B24A0" w:rsidR="00BD6A08">
        <w:t xml:space="preserve"> </w:t>
      </w:r>
      <w:r w:rsidRPr="008B24A0" w:rsidR="00DE343C">
        <w:t>of R</w:t>
      </w:r>
      <w:r w:rsidRPr="008B24A0" w:rsidR="00D64CBA">
        <w:t xml:space="preserve">eliability </w:t>
      </w:r>
      <w:r w:rsidRPr="008B24A0" w:rsidR="00DE343C">
        <w:t>M</w:t>
      </w:r>
      <w:r w:rsidRPr="008B24A0" w:rsidR="00D64CBA">
        <w:t>ust</w:t>
      </w:r>
      <w:r w:rsidR="002976C3">
        <w:t>-</w:t>
      </w:r>
      <w:r w:rsidRPr="008B24A0" w:rsidR="00DE343C">
        <w:t>R</w:t>
      </w:r>
      <w:r w:rsidRPr="008B24A0" w:rsidR="00D64CBA">
        <w:t>un</w:t>
      </w:r>
      <w:r w:rsidRPr="008B24A0" w:rsidR="00DE343C">
        <w:t xml:space="preserve"> </w:t>
      </w:r>
      <w:r w:rsidR="00893823">
        <w:t>Units</w:t>
      </w:r>
    </w:p>
    <w:p w:rsidR="000F0DE8" w:rsidP="0056057A" w:rsidRDefault="005A225F" w14:paraId="7776C889" w14:textId="100C212E">
      <w:r>
        <w:rPr>
          <w:szCs w:val="26"/>
        </w:rPr>
        <w:t xml:space="preserve">The reliability must-run (RMR) metric provides a measure of the </w:t>
      </w:r>
      <w:r w:rsidR="00D45D6E">
        <w:rPr>
          <w:szCs w:val="26"/>
        </w:rPr>
        <w:t>number and capacity of units that</w:t>
      </w:r>
      <w:r>
        <w:rPr>
          <w:szCs w:val="26"/>
        </w:rPr>
        <w:t xml:space="preserve"> an RTO</w:t>
      </w:r>
      <w:r w:rsidR="00791599">
        <w:rPr>
          <w:szCs w:val="26"/>
        </w:rPr>
        <w:t>/</w:t>
      </w:r>
      <w:r>
        <w:rPr>
          <w:szCs w:val="26"/>
        </w:rPr>
        <w:t xml:space="preserve">ISO must depend on </w:t>
      </w:r>
      <w:r w:rsidR="00D45D6E">
        <w:rPr>
          <w:szCs w:val="26"/>
        </w:rPr>
        <w:t xml:space="preserve">to </w:t>
      </w:r>
      <w:r>
        <w:rPr>
          <w:szCs w:val="26"/>
        </w:rPr>
        <w:t xml:space="preserve">support critical facilities </w:t>
      </w:r>
      <w:r w:rsidR="00D45D6E">
        <w:rPr>
          <w:szCs w:val="26"/>
        </w:rPr>
        <w:t xml:space="preserve">and </w:t>
      </w:r>
      <w:r>
        <w:rPr>
          <w:szCs w:val="26"/>
        </w:rPr>
        <w:t xml:space="preserve">to maintain reliability. </w:t>
      </w:r>
      <w:r w:rsidR="00D45D6E">
        <w:rPr>
          <w:szCs w:val="26"/>
        </w:rPr>
        <w:t xml:space="preserve"> RMR units are typically procured </w:t>
      </w:r>
      <w:r w:rsidR="00F9073F">
        <w:rPr>
          <w:szCs w:val="26"/>
        </w:rPr>
        <w:t xml:space="preserve">through </w:t>
      </w:r>
      <w:r w:rsidR="00D45D6E">
        <w:rPr>
          <w:szCs w:val="26"/>
        </w:rPr>
        <w:t>out-of-market</w:t>
      </w:r>
      <w:r w:rsidR="00F9073F">
        <w:rPr>
          <w:szCs w:val="26"/>
        </w:rPr>
        <w:t xml:space="preserve"> actions</w:t>
      </w:r>
      <w:r w:rsidR="00D45D6E">
        <w:rPr>
          <w:szCs w:val="26"/>
        </w:rPr>
        <w:t>.</w:t>
      </w:r>
      <w:r w:rsidR="00F9073F">
        <w:rPr>
          <w:szCs w:val="26"/>
        </w:rPr>
        <w:t xml:space="preserve">  </w:t>
      </w:r>
      <w:r w:rsidR="007E624F">
        <w:t xml:space="preserve">RMR </w:t>
      </w:r>
      <w:r w:rsidR="000F0DE8">
        <w:t>contracts are defined differently by each RTO/ISO</w:t>
      </w:r>
      <w:r w:rsidR="00B21E0D">
        <w:t xml:space="preserve"> but </w:t>
      </w:r>
      <w:r w:rsidRPr="00B21E0D" w:rsidR="00B21E0D">
        <w:t xml:space="preserve">typically </w:t>
      </w:r>
      <w:r w:rsidR="00B21E0D">
        <w:t xml:space="preserve">refer to </w:t>
      </w:r>
      <w:r w:rsidRPr="00B21E0D" w:rsidR="00B21E0D">
        <w:t>unit</w:t>
      </w:r>
      <w:r w:rsidR="00791599">
        <w:t>s</w:t>
      </w:r>
      <w:r w:rsidRPr="00B21E0D" w:rsidR="00B21E0D">
        <w:t xml:space="preserve"> that continue to operate under a temporary contract after a planned retirement decision in order to resolve a reliability need.</w:t>
      </w:r>
      <w:r w:rsidR="000F0DE8">
        <w:t xml:space="preserve"> </w:t>
      </w:r>
      <w:r w:rsidR="00B21E0D">
        <w:t xml:space="preserve"> </w:t>
      </w:r>
      <w:r w:rsidR="005B309C">
        <w:t xml:space="preserve">Not every RTO/ISO has </w:t>
      </w:r>
      <w:r w:rsidR="00C90C21">
        <w:t>these</w:t>
      </w:r>
      <w:r w:rsidR="005B309C">
        <w:t xml:space="preserve"> agreements, and </w:t>
      </w:r>
      <w:r w:rsidR="00B21E0D">
        <w:t>RTOs/IS</w:t>
      </w:r>
      <w:r w:rsidRPr="00B21E0D" w:rsidR="00B21E0D">
        <w:t xml:space="preserve">Os use various terms </w:t>
      </w:r>
      <w:r w:rsidR="00B21E0D">
        <w:t>to refer to such arrangements</w:t>
      </w:r>
      <w:r w:rsidR="005B309C">
        <w:t xml:space="preserve">. </w:t>
      </w:r>
      <w:r w:rsidR="00B21E0D">
        <w:t xml:space="preserve"> </w:t>
      </w:r>
      <w:r w:rsidR="005B309C">
        <w:t>F</w:t>
      </w:r>
      <w:r w:rsidRPr="00B21E0D" w:rsidR="00B21E0D">
        <w:t xml:space="preserve">or the purposes of this </w:t>
      </w:r>
      <w:r w:rsidR="00791599">
        <w:t>Information Collection</w:t>
      </w:r>
      <w:r w:rsidRPr="00B21E0D" w:rsidR="00B21E0D">
        <w:t xml:space="preserve">, </w:t>
      </w:r>
      <w:r w:rsidR="00B21E0D">
        <w:t xml:space="preserve">these agreements are </w:t>
      </w:r>
      <w:r w:rsidRPr="00B21E0D" w:rsidR="00B21E0D">
        <w:t>collectively referred to as RMR</w:t>
      </w:r>
      <w:r w:rsidR="00B21E0D">
        <w:t xml:space="preserve"> agreements.</w:t>
      </w:r>
      <w:r w:rsidR="000F0DE8">
        <w:t xml:space="preserve"> </w:t>
      </w:r>
      <w:r w:rsidR="00B21E0D">
        <w:t xml:space="preserve"> </w:t>
      </w:r>
      <w:r w:rsidR="00DC0DFC">
        <w:t>In defining what constitutes an RMR unit, e</w:t>
      </w:r>
      <w:r w:rsidR="00D765DF">
        <w:t xml:space="preserve">ach </w:t>
      </w:r>
      <w:r w:rsidR="000F0DE8">
        <w:t xml:space="preserve">RTO/ISO </w:t>
      </w:r>
      <w:r w:rsidR="00D765DF">
        <w:t xml:space="preserve">should </w:t>
      </w:r>
      <w:r w:rsidR="00DC0DFC">
        <w:t xml:space="preserve">follow the definitions provided </w:t>
      </w:r>
      <w:r w:rsidR="00A3568F">
        <w:t xml:space="preserve">in </w:t>
      </w:r>
      <w:r w:rsidR="00D765DF">
        <w:t>its tariff</w:t>
      </w:r>
      <w:r w:rsidR="005B309C">
        <w:t>.</w:t>
      </w:r>
      <w:r w:rsidR="00D765DF">
        <w:t xml:space="preserve">  General </w:t>
      </w:r>
      <w:r w:rsidR="00DC0DFC">
        <w:t xml:space="preserve">naming conventions for each RTO/ISO </w:t>
      </w:r>
      <w:r w:rsidR="00D765DF">
        <w:t xml:space="preserve">are </w:t>
      </w:r>
      <w:r w:rsidR="00DC0DFC">
        <w:t xml:space="preserve">provided </w:t>
      </w:r>
      <w:r w:rsidR="00D765DF">
        <w:t>below</w:t>
      </w:r>
      <w:r w:rsidR="00E87DB3">
        <w:t>:</w:t>
      </w:r>
      <w:r w:rsidR="00D765DF">
        <w:t xml:space="preserve"> </w:t>
      </w:r>
    </w:p>
    <w:p w:rsidR="000F0DE8" w:rsidP="000F0DE8" w:rsidRDefault="000F0DE8" w14:paraId="644B54DA" w14:textId="77777777"/>
    <w:p w:rsidR="000F0DE8" w:rsidP="00837C09" w:rsidRDefault="000F0DE8" w14:paraId="22F814ED" w14:textId="6BE573F7">
      <w:pPr>
        <w:pStyle w:val="ListParagraph"/>
        <w:numPr>
          <w:ilvl w:val="0"/>
          <w:numId w:val="52"/>
        </w:numPr>
      </w:pPr>
      <w:r>
        <w:t>PJM:</w:t>
      </w:r>
      <w:r w:rsidR="00F62AC8">
        <w:t xml:space="preserve"> </w:t>
      </w:r>
      <w:r>
        <w:t xml:space="preserve"> Must-Run for Reliability Generation</w:t>
      </w:r>
    </w:p>
    <w:p w:rsidR="000F0DE8" w:rsidP="000F0DE8" w:rsidRDefault="000F0DE8" w14:paraId="234A9119" w14:textId="77777777"/>
    <w:p w:rsidR="000F0DE8" w:rsidP="00837C09" w:rsidRDefault="000F0DE8" w14:paraId="224783F8" w14:textId="13D22096">
      <w:pPr>
        <w:pStyle w:val="ListParagraph"/>
        <w:numPr>
          <w:ilvl w:val="0"/>
          <w:numId w:val="52"/>
        </w:numPr>
      </w:pPr>
      <w:r>
        <w:t>CAISO:  R</w:t>
      </w:r>
      <w:r w:rsidR="00DC0DFC">
        <w:t xml:space="preserve">eliability </w:t>
      </w:r>
      <w:r>
        <w:t>M</w:t>
      </w:r>
      <w:r w:rsidR="00DC0DFC">
        <w:t>ust-</w:t>
      </w:r>
      <w:r>
        <w:t>R</w:t>
      </w:r>
      <w:r w:rsidR="00DC0DFC">
        <w:t>un</w:t>
      </w:r>
      <w:r>
        <w:t xml:space="preserve"> Generation</w:t>
      </w:r>
    </w:p>
    <w:p w:rsidR="000F0DE8" w:rsidP="000F0DE8" w:rsidRDefault="000F0DE8" w14:paraId="7EAD42C5" w14:textId="77777777"/>
    <w:p w:rsidR="000F0DE8" w:rsidP="00837C09" w:rsidRDefault="000F0DE8" w14:paraId="2C9E7997" w14:textId="030245AF">
      <w:pPr>
        <w:pStyle w:val="ListParagraph"/>
        <w:numPr>
          <w:ilvl w:val="0"/>
          <w:numId w:val="52"/>
        </w:numPr>
      </w:pPr>
      <w:r>
        <w:t xml:space="preserve">MISO: </w:t>
      </w:r>
      <w:r w:rsidR="00F62AC8">
        <w:t xml:space="preserve"> </w:t>
      </w:r>
      <w:r>
        <w:t xml:space="preserve">System Support Resources </w:t>
      </w:r>
    </w:p>
    <w:p w:rsidR="000F0DE8" w:rsidP="000F0DE8" w:rsidRDefault="000F0DE8" w14:paraId="57E785D6" w14:textId="77777777"/>
    <w:p w:rsidR="000F0DE8" w:rsidP="00837C09" w:rsidRDefault="000F0DE8" w14:paraId="09A9942F" w14:textId="40B56340">
      <w:pPr>
        <w:pStyle w:val="ListParagraph"/>
        <w:numPr>
          <w:ilvl w:val="0"/>
          <w:numId w:val="52"/>
        </w:numPr>
      </w:pPr>
      <w:r>
        <w:t>NYISO:  Reliability Must Run</w:t>
      </w:r>
    </w:p>
    <w:p w:rsidR="00B91E50" w:rsidP="000F0DE8" w:rsidRDefault="00B91E50" w14:paraId="12030E74" w14:textId="77777777"/>
    <w:p w:rsidRPr="000F0DE8" w:rsidR="000F0DE8" w:rsidP="005D73B2" w:rsidRDefault="000F0DE8" w14:paraId="79FCF82E" w14:textId="0BF4EDF7">
      <w:pPr>
        <w:pStyle w:val="ListParagraph"/>
        <w:numPr>
          <w:ilvl w:val="0"/>
          <w:numId w:val="52"/>
        </w:numPr>
        <w:spacing w:after="260"/>
      </w:pPr>
      <w:r>
        <w:t xml:space="preserve">ISO-NE: </w:t>
      </w:r>
      <w:r w:rsidR="00F62AC8">
        <w:t xml:space="preserve"> </w:t>
      </w:r>
      <w:r w:rsidR="00DC0DFC">
        <w:t>De-list Bids</w:t>
      </w:r>
      <w:r w:rsidR="0091079A">
        <w:t>. These are resources that have requested retirement but are compensated to be maintained for reliability purposes.</w:t>
      </w:r>
    </w:p>
    <w:p w:rsidR="00134DA9" w:rsidP="0091079A" w:rsidRDefault="00134DA9" w14:paraId="361D2B42" w14:textId="7706C824">
      <w:pPr>
        <w:pStyle w:val="Heading3"/>
        <w:numPr>
          <w:ilvl w:val="0"/>
          <w:numId w:val="56"/>
        </w:numPr>
      </w:pPr>
      <w:bookmarkStart w:name="_Ref526522893" w:id="19"/>
      <w:r w:rsidRPr="008B24A0">
        <w:t>Reliability Must</w:t>
      </w:r>
      <w:r w:rsidR="002976C3">
        <w:t>-</w:t>
      </w:r>
      <w:r w:rsidRPr="008B24A0">
        <w:t xml:space="preserve">Run Contract Usage </w:t>
      </w:r>
      <w:bookmarkEnd w:id="19"/>
    </w:p>
    <w:p w:rsidRPr="00A80D2F" w:rsidR="003A773C" w:rsidP="0056057A" w:rsidRDefault="00DC0DFC" w14:paraId="15AA2681" w14:textId="00020068">
      <w:pPr>
        <w:pStyle w:val="BodyText"/>
        <w:ind w:firstLine="0"/>
        <w:rPr>
          <w:b/>
        </w:rPr>
      </w:pPr>
      <w:r>
        <w:t xml:space="preserve">The RMR contract usage metric measures </w:t>
      </w:r>
      <w:r w:rsidR="005A225F">
        <w:t xml:space="preserve">the usage of </w:t>
      </w:r>
      <w:r w:rsidR="00C03F2A">
        <w:t>RMR</w:t>
      </w:r>
      <w:r w:rsidR="005A225F">
        <w:t xml:space="preserve"> contracts.  </w:t>
      </w:r>
      <w:r w:rsidRPr="00A80D2F" w:rsidR="003A773C">
        <w:t xml:space="preserve">This metric should include </w:t>
      </w:r>
      <w:r w:rsidR="007E624F">
        <w:t xml:space="preserve">information from </w:t>
      </w:r>
      <w:r w:rsidRPr="00A80D2F" w:rsidR="003A773C">
        <w:t xml:space="preserve">contracts that </w:t>
      </w:r>
      <w:r w:rsidR="007E624F">
        <w:t xml:space="preserve">are in effect </w:t>
      </w:r>
      <w:r w:rsidRPr="00A80D2F" w:rsidR="003A773C">
        <w:t xml:space="preserve">in any portion of the </w:t>
      </w:r>
      <w:r w:rsidR="003E498F">
        <w:t>reporting period</w:t>
      </w:r>
      <w:r w:rsidRPr="00A80D2F" w:rsidR="003A773C">
        <w:t>.  If a</w:t>
      </w:r>
      <w:r w:rsidR="00C03F2A">
        <w:t>n RMR</w:t>
      </w:r>
      <w:r w:rsidRPr="00A80D2F" w:rsidR="003A773C">
        <w:t xml:space="preserve"> contract </w:t>
      </w:r>
      <w:r w:rsidR="002F6683">
        <w:t>is in effect in part of</w:t>
      </w:r>
      <w:r w:rsidRPr="00A80D2F" w:rsidR="003A773C">
        <w:t xml:space="preserve"> </w:t>
      </w:r>
      <w:r w:rsidR="00FF2C3E">
        <w:t>a</w:t>
      </w:r>
      <w:r w:rsidRPr="00A80D2F" w:rsidR="00FF2C3E">
        <w:t xml:space="preserve"> </w:t>
      </w:r>
      <w:r w:rsidR="003E498F">
        <w:t>reporting period</w:t>
      </w:r>
      <w:r w:rsidRPr="00A80D2F" w:rsidR="003A773C">
        <w:t xml:space="preserve">, include </w:t>
      </w:r>
      <w:r w:rsidR="002F6683">
        <w:t>inf</w:t>
      </w:r>
      <w:r w:rsidR="00837C09">
        <w:t>or</w:t>
      </w:r>
      <w:r w:rsidR="002F6683">
        <w:t>m</w:t>
      </w:r>
      <w:r w:rsidR="00837C09">
        <w:t>a</w:t>
      </w:r>
      <w:r w:rsidR="002F6683">
        <w:t xml:space="preserve">tion from the contract </w:t>
      </w:r>
      <w:r w:rsidRPr="00A80D2F" w:rsidR="003A773C">
        <w:t xml:space="preserve">in </w:t>
      </w:r>
      <w:r w:rsidR="00FF2C3E">
        <w:t>that</w:t>
      </w:r>
      <w:r w:rsidRPr="00A80D2F" w:rsidR="00FF2C3E">
        <w:t xml:space="preserve"> </w:t>
      </w:r>
      <w:r w:rsidRPr="00A80D2F" w:rsidR="003A773C">
        <w:t>period.</w:t>
      </w:r>
      <w:r w:rsidR="00FF2C3E">
        <w:t xml:space="preserve">  If the RMR contract is in effect for parts of two reporting periods, include </w:t>
      </w:r>
      <w:r w:rsidR="007018AA">
        <w:t xml:space="preserve">the appropriate </w:t>
      </w:r>
      <w:r w:rsidR="00FF2C3E">
        <w:t xml:space="preserve">information from that RMR contract in </w:t>
      </w:r>
      <w:r w:rsidR="00F9073F">
        <w:t>each</w:t>
      </w:r>
      <w:r w:rsidR="007018AA">
        <w:t xml:space="preserve"> reporting</w:t>
      </w:r>
      <w:r w:rsidR="00FF2C3E">
        <w:t xml:space="preserve"> period.</w:t>
      </w:r>
      <w:r w:rsidR="002F6683">
        <w:t xml:space="preserve">  R</w:t>
      </w:r>
      <w:r w:rsidR="00FF2C3E">
        <w:t>espondents should r</w:t>
      </w:r>
      <w:r w:rsidR="002F6683">
        <w:t>eport the hours the RMR units were used, the total MWh provided by the units</w:t>
      </w:r>
      <w:r w:rsidR="00FF2C3E">
        <w:t>,</w:t>
      </w:r>
      <w:r w:rsidR="002F6683">
        <w:t xml:space="preserve"> and the cost of the contract in the </w:t>
      </w:r>
      <w:r w:rsidR="003E498F">
        <w:t>reporting period</w:t>
      </w:r>
      <w:r w:rsidR="002F6683">
        <w:t xml:space="preserve">. </w:t>
      </w:r>
      <w:r w:rsidR="007018AA">
        <w:t xml:space="preserve"> In the explanatory text, respondents can provide any other relevant retails that may be relevant (such as start and end dates for the RMR contracts).</w:t>
      </w:r>
    </w:p>
    <w:p w:rsidR="00DA158D" w:rsidP="0091079A" w:rsidRDefault="00DA158D" w14:paraId="659B00E2" w14:textId="0464B145">
      <w:pPr>
        <w:pStyle w:val="Heading3"/>
        <w:numPr>
          <w:ilvl w:val="0"/>
          <w:numId w:val="56"/>
        </w:numPr>
      </w:pPr>
      <w:bookmarkStart w:name="_Ref526523032" w:id="20"/>
      <w:r w:rsidRPr="008B24A0">
        <w:t>Demand Response Capa</w:t>
      </w:r>
      <w:r w:rsidR="001F3A25">
        <w:t>bility</w:t>
      </w:r>
      <w:r w:rsidRPr="008B24A0">
        <w:t xml:space="preserve"> </w:t>
      </w:r>
      <w:bookmarkEnd w:id="20"/>
    </w:p>
    <w:p w:rsidR="00C90C21" w:rsidP="006007B7" w:rsidRDefault="00EF6C65" w14:paraId="39B5BD63" w14:textId="77777777">
      <w:pPr>
        <w:pStyle w:val="FERCparanumber"/>
        <w:numPr>
          <w:ilvl w:val="0"/>
          <w:numId w:val="0"/>
        </w:numPr>
      </w:pPr>
      <w:r>
        <w:t xml:space="preserve">The demand response capability metric measures the total amount of demand response available to the RTO/ISO.  </w:t>
      </w:r>
    </w:p>
    <w:p w:rsidRPr="00837C09" w:rsidR="006007B7" w:rsidP="006007B7" w:rsidRDefault="006007B7" w14:paraId="555D41F1" w14:textId="10ED0AA3">
      <w:pPr>
        <w:pStyle w:val="FERCparanumber"/>
        <w:numPr>
          <w:ilvl w:val="0"/>
          <w:numId w:val="0"/>
        </w:numPr>
        <w:rPr>
          <w:rFonts w:eastAsiaTheme="majorEastAsia"/>
          <w:kern w:val="32"/>
        </w:rPr>
      </w:pPr>
      <w:r w:rsidRPr="00837C09">
        <w:rPr>
          <w:rFonts w:eastAsiaTheme="majorEastAsia"/>
          <w:kern w:val="32"/>
        </w:rPr>
        <w:t>For purposes of th</w:t>
      </w:r>
      <w:r w:rsidRPr="00837C09" w:rsidR="002F6683">
        <w:rPr>
          <w:rFonts w:eastAsiaTheme="majorEastAsia"/>
          <w:kern w:val="32"/>
        </w:rPr>
        <w:t>is</w:t>
      </w:r>
      <w:r w:rsidRPr="00837C09">
        <w:rPr>
          <w:rFonts w:eastAsiaTheme="majorEastAsia"/>
          <w:kern w:val="32"/>
        </w:rPr>
        <w:t xml:space="preserve"> Information Collection, </w:t>
      </w:r>
      <w:r w:rsidRPr="00837C09" w:rsidR="002F6683">
        <w:rPr>
          <w:rFonts w:eastAsiaTheme="majorEastAsia"/>
          <w:kern w:val="32"/>
        </w:rPr>
        <w:t xml:space="preserve">provide the total </w:t>
      </w:r>
      <w:r w:rsidRPr="00837C09" w:rsidR="00097692">
        <w:rPr>
          <w:rFonts w:eastAsiaTheme="majorEastAsia"/>
          <w:kern w:val="32"/>
        </w:rPr>
        <w:t>MW</w:t>
      </w:r>
      <w:r w:rsidRPr="00837C09" w:rsidR="000D0195">
        <w:rPr>
          <w:rFonts w:eastAsiaTheme="majorEastAsia"/>
          <w:kern w:val="32"/>
        </w:rPr>
        <w:t xml:space="preserve"> values for </w:t>
      </w:r>
      <w:r w:rsidRPr="00837C09" w:rsidR="00097692">
        <w:rPr>
          <w:rFonts w:eastAsiaTheme="majorEastAsia"/>
          <w:kern w:val="32"/>
        </w:rPr>
        <w:t xml:space="preserve">all RTO/ISO-registered and </w:t>
      </w:r>
      <w:r w:rsidR="00FF2C3E">
        <w:rPr>
          <w:rFonts w:eastAsiaTheme="majorEastAsia"/>
          <w:kern w:val="32"/>
        </w:rPr>
        <w:t>-</w:t>
      </w:r>
      <w:r w:rsidRPr="00837C09" w:rsidR="00097692">
        <w:rPr>
          <w:rFonts w:eastAsiaTheme="majorEastAsia"/>
          <w:kern w:val="32"/>
        </w:rPr>
        <w:t>controlled resources</w:t>
      </w:r>
      <w:r w:rsidR="00F62AC8">
        <w:rPr>
          <w:rFonts w:eastAsiaTheme="majorEastAsia"/>
          <w:kern w:val="32"/>
        </w:rPr>
        <w:t>,</w:t>
      </w:r>
      <w:r w:rsidRPr="00837C09" w:rsidR="00097692">
        <w:rPr>
          <w:rFonts w:eastAsiaTheme="majorEastAsia"/>
          <w:kern w:val="32"/>
        </w:rPr>
        <w:t xml:space="preserve"> including behind the meter resources that participate in the wholesale market. </w:t>
      </w:r>
      <w:r w:rsidRPr="00837C09" w:rsidR="002F6683">
        <w:rPr>
          <w:rFonts w:eastAsiaTheme="majorEastAsia"/>
          <w:kern w:val="32"/>
        </w:rPr>
        <w:t xml:space="preserve"> </w:t>
      </w:r>
      <w:r w:rsidR="00FF2C3E">
        <w:rPr>
          <w:rFonts w:eastAsiaTheme="majorEastAsia"/>
          <w:kern w:val="32"/>
        </w:rPr>
        <w:t>Respondents should i</w:t>
      </w:r>
      <w:r w:rsidRPr="00837C09" w:rsidR="00097692">
        <w:rPr>
          <w:rFonts w:eastAsiaTheme="majorEastAsia"/>
          <w:kern w:val="32"/>
        </w:rPr>
        <w:t xml:space="preserve">nclude </w:t>
      </w:r>
      <w:r w:rsidRPr="00837C09">
        <w:rPr>
          <w:rFonts w:eastAsiaTheme="majorEastAsia"/>
          <w:kern w:val="32"/>
        </w:rPr>
        <w:t>emergency demand response programs</w:t>
      </w:r>
      <w:r w:rsidRPr="00837C09" w:rsidR="00097692">
        <w:rPr>
          <w:rFonts w:eastAsiaTheme="majorEastAsia"/>
          <w:kern w:val="32"/>
        </w:rPr>
        <w:t xml:space="preserve">.  </w:t>
      </w:r>
      <w:r w:rsidR="00FF2C3E">
        <w:rPr>
          <w:rFonts w:eastAsiaTheme="majorEastAsia"/>
          <w:kern w:val="32"/>
        </w:rPr>
        <w:t>Respondents should</w:t>
      </w:r>
      <w:r w:rsidRPr="00837C09" w:rsidR="00097692">
        <w:rPr>
          <w:rFonts w:eastAsiaTheme="majorEastAsia"/>
          <w:kern w:val="32"/>
        </w:rPr>
        <w:t xml:space="preserve"> </w:t>
      </w:r>
      <w:r w:rsidRPr="00837C09">
        <w:rPr>
          <w:rFonts w:eastAsiaTheme="majorEastAsia"/>
          <w:kern w:val="32"/>
        </w:rPr>
        <w:t xml:space="preserve">not include energy efficiency programs </w:t>
      </w:r>
      <w:r w:rsidR="00FF2C3E">
        <w:rPr>
          <w:rFonts w:eastAsiaTheme="majorEastAsia"/>
          <w:kern w:val="32"/>
        </w:rPr>
        <w:t>or</w:t>
      </w:r>
      <w:r w:rsidRPr="00837C09">
        <w:rPr>
          <w:rFonts w:eastAsiaTheme="majorEastAsia"/>
          <w:kern w:val="32"/>
        </w:rPr>
        <w:t xml:space="preserve"> resources or other passive resources</w:t>
      </w:r>
      <w:r w:rsidRPr="00837C09" w:rsidR="00B67F89">
        <w:rPr>
          <w:rFonts w:eastAsiaTheme="majorEastAsia"/>
          <w:kern w:val="32"/>
        </w:rPr>
        <w:t>.</w:t>
      </w:r>
    </w:p>
    <w:p w:rsidR="00BF57CF" w:rsidP="0091079A" w:rsidRDefault="006948C3" w14:paraId="2749C4C7" w14:textId="202AEFDC">
      <w:pPr>
        <w:pStyle w:val="Heading3"/>
        <w:numPr>
          <w:ilvl w:val="0"/>
          <w:numId w:val="56"/>
        </w:numPr>
        <w:spacing w:before="240"/>
      </w:pPr>
      <w:r w:rsidRPr="008B24A0">
        <w:t>Unit Hours Mitigated</w:t>
      </w:r>
    </w:p>
    <w:p w:rsidR="00EF6C65" w:rsidP="00A34BA2" w:rsidRDefault="00171C7E" w14:paraId="5204ED8B" w14:textId="3F326A3A">
      <w:pPr>
        <w:pStyle w:val="FERCparanumber"/>
        <w:numPr>
          <w:ilvl w:val="0"/>
          <w:numId w:val="0"/>
        </w:numPr>
        <w:rPr>
          <w:szCs w:val="26"/>
        </w:rPr>
      </w:pPr>
      <w:r>
        <w:rPr>
          <w:szCs w:val="26"/>
        </w:rPr>
        <w:t>Th</w:t>
      </w:r>
      <w:r w:rsidR="00EF6C65">
        <w:rPr>
          <w:szCs w:val="26"/>
        </w:rPr>
        <w:t xml:space="preserve">e number of unit hours mitigated </w:t>
      </w:r>
      <w:r>
        <w:rPr>
          <w:szCs w:val="26"/>
        </w:rPr>
        <w:t xml:space="preserve">metric provides an indication of the </w:t>
      </w:r>
      <w:r w:rsidR="00EF6C65">
        <w:rPr>
          <w:szCs w:val="26"/>
        </w:rPr>
        <w:t xml:space="preserve">frequency and </w:t>
      </w:r>
      <w:r>
        <w:rPr>
          <w:szCs w:val="26"/>
        </w:rPr>
        <w:t xml:space="preserve">magnitude </w:t>
      </w:r>
      <w:r w:rsidR="00EF6C65">
        <w:rPr>
          <w:szCs w:val="26"/>
        </w:rPr>
        <w:t xml:space="preserve">that resources have been </w:t>
      </w:r>
      <w:r>
        <w:rPr>
          <w:szCs w:val="26"/>
        </w:rPr>
        <w:t>mitigat</w:t>
      </w:r>
      <w:r w:rsidR="00EF6C65">
        <w:rPr>
          <w:szCs w:val="26"/>
        </w:rPr>
        <w:t>ed to protect against the exercise of market power</w:t>
      </w:r>
      <w:r>
        <w:rPr>
          <w:szCs w:val="26"/>
        </w:rPr>
        <w:t xml:space="preserve">. </w:t>
      </w:r>
      <w:r w:rsidR="00FF2C3E">
        <w:rPr>
          <w:szCs w:val="26"/>
        </w:rPr>
        <w:t xml:space="preserve"> </w:t>
      </w:r>
      <w:r>
        <w:rPr>
          <w:szCs w:val="26"/>
        </w:rPr>
        <w:t xml:space="preserve">  </w:t>
      </w:r>
    </w:p>
    <w:p w:rsidR="00E65186" w:rsidP="00A34BA2" w:rsidRDefault="00EF6C65" w14:paraId="22D4D800" w14:textId="787D3E94">
      <w:pPr>
        <w:pStyle w:val="FERCparanumber"/>
        <w:numPr>
          <w:ilvl w:val="0"/>
          <w:numId w:val="0"/>
        </w:numPr>
      </w:pPr>
      <w:r>
        <w:rPr>
          <w:szCs w:val="26"/>
        </w:rPr>
        <w:t xml:space="preserve">Please </w:t>
      </w:r>
      <w:r>
        <w:t>n</w:t>
      </w:r>
      <w:r w:rsidR="00B3428C">
        <w:t xml:space="preserve">ote that </w:t>
      </w:r>
      <w:r w:rsidRPr="00AC678B" w:rsidR="00AC678B">
        <w:t xml:space="preserve">2016 is a </w:t>
      </w:r>
      <w:r w:rsidR="00FF2C3E">
        <w:t>l</w:t>
      </w:r>
      <w:r w:rsidRPr="00AC678B" w:rsidR="00AC678B">
        <w:t xml:space="preserve">eap </w:t>
      </w:r>
      <w:r w:rsidR="00FF2C3E">
        <w:t>y</w:t>
      </w:r>
      <w:r w:rsidRPr="00AC678B" w:rsidR="00AC678B">
        <w:t xml:space="preserve">ear and </w:t>
      </w:r>
      <w:r w:rsidR="00B3428C">
        <w:t xml:space="preserve">the automatic calculation </w:t>
      </w:r>
      <w:r w:rsidR="00FF2C3E">
        <w:t>for data element</w:t>
      </w:r>
      <w:r w:rsidR="00B3428C">
        <w:t xml:space="preserve"> </w:t>
      </w:r>
      <w:r w:rsidRPr="00AC678B" w:rsidR="00AC678B">
        <w:t>11.03 divides by 8784 hours</w:t>
      </w:r>
      <w:r w:rsidR="00B3428C">
        <w:t xml:space="preserve">, the number of hours in a </w:t>
      </w:r>
      <w:r w:rsidR="00FF2C3E">
        <w:t>l</w:t>
      </w:r>
      <w:r w:rsidR="00B3428C">
        <w:t xml:space="preserve">eap </w:t>
      </w:r>
      <w:r w:rsidR="00FF2C3E">
        <w:t>y</w:t>
      </w:r>
      <w:r w:rsidR="00B3428C">
        <w:t>ear,</w:t>
      </w:r>
      <w:r w:rsidRPr="00AC678B" w:rsidR="00AC678B">
        <w:t xml:space="preserve"> instead of 8760</w:t>
      </w:r>
      <w:r w:rsidR="00B3428C">
        <w:t>.</w:t>
      </w:r>
    </w:p>
    <w:p w:rsidR="00857ECE" w:rsidP="00F21FFF" w:rsidRDefault="00857ECE" w14:paraId="4455E5E9" w14:textId="77D6B3BD">
      <w:pPr>
        <w:pStyle w:val="FERCparanumber"/>
        <w:numPr>
          <w:ilvl w:val="0"/>
          <w:numId w:val="0"/>
        </w:numPr>
      </w:pPr>
      <w:r>
        <w:t xml:space="preserve">Definitions for </w:t>
      </w:r>
      <w:r w:rsidR="006D6132">
        <w:t xml:space="preserve">Metric </w:t>
      </w:r>
      <w:r>
        <w:t xml:space="preserve">#11 </w:t>
      </w:r>
      <w:r w:rsidR="00FF2C3E">
        <w:t>are as follows:</w:t>
      </w:r>
    </w:p>
    <w:p w:rsidR="00857ECE" w:rsidP="00B2160F" w:rsidRDefault="00857ECE" w14:paraId="46DBDC3E" w14:textId="588922CE">
      <w:pPr>
        <w:pStyle w:val="FERCparanumber"/>
        <w:numPr>
          <w:ilvl w:val="0"/>
          <w:numId w:val="47"/>
        </w:numPr>
      </w:pPr>
      <w:r>
        <w:t xml:space="preserve">Unit hours: </w:t>
      </w:r>
      <w:r w:rsidR="0013291C">
        <w:t xml:space="preserve"> </w:t>
      </w:r>
      <w:r w:rsidR="006D6132">
        <w:t>O</w:t>
      </w:r>
      <w:r>
        <w:t>ne unit for one hour is one unit hour (</w:t>
      </w:r>
      <w:r w:rsidR="006D6132">
        <w:t>d</w:t>
      </w:r>
      <w:r w:rsidR="00646CDA">
        <w:t>ay-ahead</w:t>
      </w:r>
      <w:r>
        <w:t>).</w:t>
      </w:r>
    </w:p>
    <w:p w:rsidR="00857ECE" w:rsidP="00B2160F" w:rsidRDefault="00857ECE" w14:paraId="7B9D1322" w14:textId="4E675EED">
      <w:pPr>
        <w:pStyle w:val="FERCparanumber"/>
        <w:numPr>
          <w:ilvl w:val="0"/>
          <w:numId w:val="47"/>
        </w:numPr>
      </w:pPr>
      <w:r>
        <w:lastRenderedPageBreak/>
        <w:t>Unit interval</w:t>
      </w:r>
      <w:r w:rsidR="0013291C">
        <w:t>s</w:t>
      </w:r>
      <w:r>
        <w:t xml:space="preserve">: </w:t>
      </w:r>
      <w:r w:rsidR="0013291C">
        <w:t xml:space="preserve"> </w:t>
      </w:r>
      <w:r w:rsidR="006D6132">
        <w:t>O</w:t>
      </w:r>
      <w:r>
        <w:t>ne unit for one inter</w:t>
      </w:r>
      <w:r w:rsidR="00646CDA">
        <w:t>val is one unit interval (</w:t>
      </w:r>
      <w:r w:rsidR="006D6132">
        <w:t>r</w:t>
      </w:r>
      <w:r w:rsidR="00646CDA">
        <w:t xml:space="preserve">eal-time). </w:t>
      </w:r>
    </w:p>
    <w:p w:rsidR="00857ECE" w:rsidP="00B2160F" w:rsidRDefault="00857ECE" w14:paraId="53F3ECAC" w14:textId="4CDF4851">
      <w:pPr>
        <w:pStyle w:val="FERCparanumber"/>
        <w:numPr>
          <w:ilvl w:val="0"/>
          <w:numId w:val="47"/>
        </w:numPr>
      </w:pPr>
      <w:r>
        <w:t xml:space="preserve">Hours of mitigation: </w:t>
      </w:r>
      <w:r w:rsidR="0013291C">
        <w:t xml:space="preserve"> </w:t>
      </w:r>
      <w:r>
        <w:t>Any hour (</w:t>
      </w:r>
      <w:r w:rsidR="006D6132">
        <w:t>d</w:t>
      </w:r>
      <w:r w:rsidR="00646CDA">
        <w:t>ay-ahead</w:t>
      </w:r>
      <w:r>
        <w:t>) or interval (</w:t>
      </w:r>
      <w:r w:rsidR="006D6132">
        <w:t>r</w:t>
      </w:r>
      <w:r w:rsidR="00646CDA">
        <w:t>eal-time</w:t>
      </w:r>
      <w:r>
        <w:t>) in which any resource is mitigated is considered an hour of mitigation</w:t>
      </w:r>
      <w:r w:rsidR="006D6132">
        <w:t>.</w:t>
      </w:r>
    </w:p>
    <w:p w:rsidR="00857ECE" w:rsidP="00B2160F" w:rsidRDefault="00857ECE" w14:paraId="2A9C37C2" w14:textId="7C4DD5DF">
      <w:pPr>
        <w:pStyle w:val="FERCparanumber"/>
        <w:numPr>
          <w:ilvl w:val="0"/>
          <w:numId w:val="47"/>
        </w:numPr>
      </w:pPr>
      <w:r>
        <w:t xml:space="preserve">MW </w:t>
      </w:r>
      <w:r w:rsidR="006D6132">
        <w:t>h</w:t>
      </w:r>
      <w:r>
        <w:t>ours of mitigation</w:t>
      </w:r>
      <w:r w:rsidR="00646CDA">
        <w:t>:</w:t>
      </w:r>
      <w:r>
        <w:t xml:space="preserve"> </w:t>
      </w:r>
      <w:r w:rsidR="0013291C">
        <w:t xml:space="preserve"> </w:t>
      </w:r>
      <w:r w:rsidR="006D6132">
        <w:t>O</w:t>
      </w:r>
      <w:r>
        <w:t>ne MW mitigated for one hour is one MW hour mitigated.</w:t>
      </w:r>
    </w:p>
    <w:p w:rsidR="005A67CE" w:rsidP="005A67CE" w:rsidRDefault="005A67CE" w14:paraId="56E82886" w14:textId="7F490592">
      <w:pPr>
        <w:pStyle w:val="FERCparanumber"/>
        <w:numPr>
          <w:ilvl w:val="0"/>
          <w:numId w:val="47"/>
        </w:numPr>
      </w:pPr>
      <w:r>
        <w:t>RTOs/ISOs that have a multi</w:t>
      </w:r>
      <w:r w:rsidR="006D6132">
        <w:t>-</w:t>
      </w:r>
      <w:r>
        <w:t xml:space="preserve">day commitment period and use a conduct and impact test to mitigate </w:t>
      </w:r>
      <w:r w:rsidR="00837C09">
        <w:t xml:space="preserve">the offers of such </w:t>
      </w:r>
      <w:r>
        <w:t>resources during their minimum run times for future days should report these unit hours as mitigated</w:t>
      </w:r>
      <w:r w:rsidRPr="005A67CE">
        <w:t>.</w:t>
      </w:r>
    </w:p>
    <w:p w:rsidRPr="008B24A0" w:rsidR="007C2847" w:rsidP="0091079A" w:rsidRDefault="007C2847" w14:paraId="5A3A63BE" w14:textId="2A408FB5">
      <w:pPr>
        <w:pStyle w:val="Heading3"/>
        <w:numPr>
          <w:ilvl w:val="0"/>
          <w:numId w:val="56"/>
        </w:numPr>
      </w:pPr>
      <w:r w:rsidRPr="008B24A0">
        <w:t>Wholesale Power Costs by Charge Type</w:t>
      </w:r>
      <w:r w:rsidRPr="008B24A0" w:rsidR="00010DA7">
        <w:t xml:space="preserve"> </w:t>
      </w:r>
    </w:p>
    <w:p w:rsidR="00BF57CF" w:rsidP="00A34BA2" w:rsidRDefault="00385E40" w14:paraId="76BBD210" w14:textId="1CD8B1BC">
      <w:pPr>
        <w:pStyle w:val="BodyText"/>
        <w:ind w:firstLine="0"/>
      </w:pPr>
      <w:r>
        <w:rPr>
          <w:szCs w:val="26"/>
        </w:rPr>
        <w:t>Th</w:t>
      </w:r>
      <w:r w:rsidR="000C26C1">
        <w:rPr>
          <w:szCs w:val="26"/>
        </w:rPr>
        <w:t>e wholesale power cost</w:t>
      </w:r>
      <w:r>
        <w:rPr>
          <w:szCs w:val="26"/>
        </w:rPr>
        <w:t xml:space="preserve"> m</w:t>
      </w:r>
      <w:r w:rsidR="006A475D">
        <w:rPr>
          <w:szCs w:val="26"/>
        </w:rPr>
        <w:t>etric</w:t>
      </w:r>
      <w:r w:rsidR="00CD6893">
        <w:rPr>
          <w:szCs w:val="26"/>
        </w:rPr>
        <w:t xml:space="preserve"> </w:t>
      </w:r>
      <w:r w:rsidR="006A475D">
        <w:rPr>
          <w:szCs w:val="26"/>
        </w:rPr>
        <w:t>disaggregates costs paid by load, thereby providing an assessment of RTO</w:t>
      </w:r>
      <w:r w:rsidR="00CD6893">
        <w:rPr>
          <w:szCs w:val="26"/>
        </w:rPr>
        <w:t>/</w:t>
      </w:r>
      <w:r w:rsidR="006A475D">
        <w:rPr>
          <w:szCs w:val="26"/>
        </w:rPr>
        <w:t>ISO market costs.</w:t>
      </w:r>
      <w:r w:rsidRPr="008B24A0" w:rsidR="006A475D">
        <w:t xml:space="preserve"> </w:t>
      </w:r>
      <w:r w:rsidR="006A475D">
        <w:t xml:space="preserve"> In order to be expressed in a per MW</w:t>
      </w:r>
      <w:r w:rsidR="00CD6893">
        <w:t>h</w:t>
      </w:r>
      <w:r w:rsidR="006A475D">
        <w:t xml:space="preserve"> </w:t>
      </w:r>
      <w:r w:rsidR="00DB3102">
        <w:t>basis,</w:t>
      </w:r>
      <w:r w:rsidR="006A475D">
        <w:t xml:space="preserve"> </w:t>
      </w:r>
      <w:r w:rsidR="00CD6893">
        <w:t>this</w:t>
      </w:r>
      <w:r w:rsidRPr="008B24A0" w:rsidR="007C2847">
        <w:t xml:space="preserve"> metric requires </w:t>
      </w:r>
      <w:r w:rsidR="00CD6893">
        <w:t xml:space="preserve">that respondents provide </w:t>
      </w:r>
      <w:r w:rsidRPr="008B24A0" w:rsidR="007C2847">
        <w:t xml:space="preserve">a value for the </w:t>
      </w:r>
      <w:r w:rsidR="0091079A">
        <w:t>data element Net</w:t>
      </w:r>
      <w:r w:rsidRPr="008B24A0" w:rsidR="007C2847">
        <w:t xml:space="preserve"> </w:t>
      </w:r>
      <w:r w:rsidR="0091079A">
        <w:t>E</w:t>
      </w:r>
      <w:r w:rsidRPr="008B24A0" w:rsidR="007C2847">
        <w:t xml:space="preserve">nergy </w:t>
      </w:r>
      <w:r w:rsidR="0091079A">
        <w:t>for L</w:t>
      </w:r>
      <w:r w:rsidRPr="008B24A0" w:rsidR="007C2847">
        <w:t>oad</w:t>
      </w:r>
      <w:r w:rsidR="00CD6893">
        <w:t xml:space="preserve"> </w:t>
      </w:r>
      <w:r w:rsidR="009F1ED1">
        <w:t>(</w:t>
      </w:r>
      <w:r w:rsidRPr="004A724C" w:rsidR="004A724C">
        <w:t>12.00</w:t>
      </w:r>
      <w:r w:rsidR="009F1ED1">
        <w:t>)</w:t>
      </w:r>
      <w:r w:rsidR="00DB3102">
        <w:t xml:space="preserve">, </w:t>
      </w:r>
      <w:r w:rsidR="00CD6893">
        <w:t>which is used in the calculation of</w:t>
      </w:r>
      <w:r w:rsidR="00DB3102">
        <w:t xml:space="preserve"> other metrics</w:t>
      </w:r>
      <w:r w:rsidRPr="008B24A0" w:rsidR="007C2847">
        <w:t xml:space="preserve">.  </w:t>
      </w:r>
      <w:r w:rsidR="00CD6893">
        <w:t>Respondents should u</w:t>
      </w:r>
      <w:r w:rsidR="004A724C">
        <w:t xml:space="preserve">se the </w:t>
      </w:r>
      <w:r w:rsidR="00CD6893">
        <w:t xml:space="preserve">MWh </w:t>
      </w:r>
      <w:r w:rsidR="004A724C">
        <w:t xml:space="preserve">values </w:t>
      </w:r>
      <w:r w:rsidRPr="008B24A0" w:rsidR="007C2847">
        <w:t xml:space="preserve">provided </w:t>
      </w:r>
      <w:r w:rsidR="003959AC">
        <w:t xml:space="preserve">in FERC Form No. 714 </w:t>
      </w:r>
      <w:r w:rsidRPr="00A34BA2" w:rsidR="007C2847">
        <w:t>Net Energy for Load</w:t>
      </w:r>
      <w:r w:rsidRPr="008B24A0" w:rsidR="007C2847">
        <w:t>, defined as</w:t>
      </w:r>
      <w:r w:rsidR="00CD6893">
        <w:t>:</w:t>
      </w:r>
      <w:r w:rsidR="00EB0CB9">
        <w:t xml:space="preserve">  </w:t>
      </w:r>
      <w:r w:rsidRPr="008B24A0" w:rsidR="007C2847">
        <w:t xml:space="preserve">Total </w:t>
      </w:r>
      <w:r w:rsidR="00CD6893">
        <w:t>g</w:t>
      </w:r>
      <w:r w:rsidRPr="008B24A0" w:rsidR="007C2847">
        <w:t xml:space="preserve">eneration plus </w:t>
      </w:r>
      <w:r w:rsidR="00CD6893">
        <w:t>i</w:t>
      </w:r>
      <w:r w:rsidRPr="008B24A0" w:rsidR="007C2847">
        <w:t xml:space="preserve">mports minus </w:t>
      </w:r>
      <w:r w:rsidR="00CD6893">
        <w:t>e</w:t>
      </w:r>
      <w:r w:rsidRPr="008B24A0" w:rsidR="007C2847">
        <w:t>xports</w:t>
      </w:r>
      <w:r w:rsidR="00CD6893">
        <w:t xml:space="preserve"> </w:t>
      </w:r>
      <w:r w:rsidRPr="008B24A0" w:rsidR="007C2847">
        <w:t>minus losses</w:t>
      </w:r>
      <w:r w:rsidRPr="008B24A0" w:rsidR="002D6F39">
        <w:t>.</w:t>
      </w:r>
      <w:r w:rsidRPr="008B24A0" w:rsidR="002D6F39">
        <w:rPr>
          <w:rStyle w:val="FootnoteReference"/>
        </w:rPr>
        <w:footnoteReference w:id="12"/>
      </w:r>
      <w:r w:rsidR="00BF57CF">
        <w:t xml:space="preserve">  </w:t>
      </w:r>
    </w:p>
    <w:p w:rsidR="000860E7" w:rsidP="00A34BA2" w:rsidRDefault="001D0C56" w14:paraId="66BDA76B" w14:textId="5319C998">
      <w:pPr>
        <w:pStyle w:val="BodyText"/>
        <w:ind w:firstLine="0"/>
      </w:pPr>
      <w:r>
        <w:t>RTOs/IS</w:t>
      </w:r>
      <w:r w:rsidR="0008749D">
        <w:t>O</w:t>
      </w:r>
      <w:r>
        <w:t xml:space="preserve">s with </w:t>
      </w:r>
      <w:r w:rsidR="00405F0E">
        <w:t xml:space="preserve">centralized </w:t>
      </w:r>
      <w:r>
        <w:t xml:space="preserve">capacity markets </w:t>
      </w:r>
      <w:r w:rsidR="00122170">
        <w:t xml:space="preserve">should </w:t>
      </w:r>
      <w:r>
        <w:t xml:space="preserve">report by the </w:t>
      </w:r>
      <w:r w:rsidR="003E498F">
        <w:t xml:space="preserve">reporting </w:t>
      </w:r>
      <w:r>
        <w:t xml:space="preserve">period associated with the </w:t>
      </w:r>
      <w:r w:rsidR="003E498F">
        <w:t xml:space="preserve">corresponding </w:t>
      </w:r>
      <w:r>
        <w:t>binding auction</w:t>
      </w:r>
      <w:r w:rsidR="000860E7">
        <w:t xml:space="preserve">.  Use </w:t>
      </w:r>
      <w:r>
        <w:t>the monthly values from two consecutive FERC Form No. 714 repor</w:t>
      </w:r>
      <w:r w:rsidR="0008749D">
        <w:t>ting</w:t>
      </w:r>
      <w:r>
        <w:t xml:space="preserve"> years and create </w:t>
      </w:r>
      <w:r w:rsidR="0008749D">
        <w:t xml:space="preserve">a </w:t>
      </w:r>
      <w:r>
        <w:t xml:space="preserve">Net Energy for Load </w:t>
      </w:r>
      <w:r w:rsidR="0008749D">
        <w:t>v</w:t>
      </w:r>
      <w:r>
        <w:t>alue in MW</w:t>
      </w:r>
      <w:r w:rsidR="0008749D">
        <w:t>h</w:t>
      </w:r>
      <w:r>
        <w:t xml:space="preserve"> for that repor</w:t>
      </w:r>
      <w:r w:rsidR="0008749D">
        <w:t>ting</w:t>
      </w:r>
      <w:r>
        <w:t xml:space="preserve"> period</w:t>
      </w:r>
      <w:r w:rsidR="000860E7">
        <w:t xml:space="preserve"> (which is the delivery period of the auction)</w:t>
      </w:r>
      <w:r>
        <w:t xml:space="preserve">.  </w:t>
      </w:r>
    </w:p>
    <w:p w:rsidR="007C2847" w:rsidP="00A34BA2" w:rsidRDefault="00122170" w14:paraId="6F9B434B" w14:textId="287008AE">
      <w:pPr>
        <w:pStyle w:val="BodyText"/>
        <w:ind w:firstLine="0"/>
      </w:pPr>
      <w:r>
        <w:t xml:space="preserve">Non-RTO/ISO </w:t>
      </w:r>
      <w:r w:rsidR="000860E7">
        <w:t xml:space="preserve">utilities and </w:t>
      </w:r>
      <w:r w:rsidR="001D0C56">
        <w:t>RTOs/IS</w:t>
      </w:r>
      <w:r w:rsidR="0008749D">
        <w:t>O</w:t>
      </w:r>
      <w:r w:rsidR="001D0C56">
        <w:t>s without capacity markets</w:t>
      </w:r>
      <w:r>
        <w:t xml:space="preserve"> should </w:t>
      </w:r>
      <w:r w:rsidR="001D0C56">
        <w:t>use the calendar year FERC Form No. 714 assoc</w:t>
      </w:r>
      <w:r w:rsidR="0008749D">
        <w:t>iated</w:t>
      </w:r>
      <w:r w:rsidR="001D0C56">
        <w:t xml:space="preserve"> with the </w:t>
      </w:r>
      <w:r w:rsidR="003E498F">
        <w:t>reporting period</w:t>
      </w:r>
      <w:r w:rsidR="001D0C56">
        <w:t xml:space="preserve">. </w:t>
      </w:r>
    </w:p>
    <w:p w:rsidRPr="008B24A0" w:rsidR="0055575E" w:rsidP="00E16D6F" w:rsidRDefault="00122170" w14:paraId="3359F7ED" w14:textId="4CF16A4B">
      <w:pPr>
        <w:pStyle w:val="BodyText"/>
        <w:ind w:firstLine="0"/>
      </w:pPr>
      <w:r w:rsidRPr="00A34BA2">
        <w:t xml:space="preserve">For </w:t>
      </w:r>
      <w:r w:rsidRPr="00A34BA2" w:rsidR="001563B9">
        <w:t>Transmission Component of Total Wholesale Power Cost</w:t>
      </w:r>
      <w:r w:rsidRPr="00A34BA2">
        <w:t xml:space="preserve"> (12.03), respondents should</w:t>
      </w:r>
      <w:r>
        <w:t xml:space="preserve"> r</w:t>
      </w:r>
      <w:r w:rsidRPr="001563B9" w:rsidR="001563B9">
        <w:t xml:space="preserve">eport the total FERC-approved </w:t>
      </w:r>
      <w:r>
        <w:t>t</w:t>
      </w:r>
      <w:r w:rsidRPr="001563B9" w:rsidR="001563B9">
        <w:t xml:space="preserve">ransmission </w:t>
      </w:r>
      <w:r>
        <w:t>c</w:t>
      </w:r>
      <w:r w:rsidRPr="001563B9" w:rsidR="001563B9">
        <w:t xml:space="preserve">harges paid by load for each reporting period. </w:t>
      </w:r>
      <w:r>
        <w:t xml:space="preserve"> Respondents should </w:t>
      </w:r>
      <w:r w:rsidR="001563B9">
        <w:t>i</w:t>
      </w:r>
      <w:r w:rsidRPr="001563B9" w:rsidR="001563B9">
        <w:t xml:space="preserve">nclude costs assigned to </w:t>
      </w:r>
      <w:r>
        <w:t>t</w:t>
      </w:r>
      <w:r w:rsidRPr="001563B9" w:rsidR="001563B9">
        <w:t xml:space="preserve">ransmission </w:t>
      </w:r>
      <w:r>
        <w:t>s</w:t>
      </w:r>
      <w:r w:rsidRPr="001563B9" w:rsidR="001563B9">
        <w:t xml:space="preserve">ervice charges, </w:t>
      </w:r>
      <w:r>
        <w:t>t</w:t>
      </w:r>
      <w:r w:rsidRPr="001563B9" w:rsidR="001563B9">
        <w:t xml:space="preserve">ransmission </w:t>
      </w:r>
      <w:r>
        <w:t>f</w:t>
      </w:r>
      <w:r w:rsidRPr="001563B9" w:rsidR="001563B9">
        <w:t xml:space="preserve">acility charges, losses, </w:t>
      </w:r>
      <w:r>
        <w:t>n</w:t>
      </w:r>
      <w:r w:rsidRPr="001563B9" w:rsidR="001563B9">
        <w:t xml:space="preserve">etwork </w:t>
      </w:r>
      <w:r>
        <w:t>i</w:t>
      </w:r>
      <w:r w:rsidRPr="001563B9" w:rsidR="001563B9">
        <w:t xml:space="preserve">ntegration </w:t>
      </w:r>
      <w:r>
        <w:t>t</w:t>
      </w:r>
      <w:r w:rsidRPr="001563B9" w:rsidR="001563B9">
        <w:t xml:space="preserve">ransmission </w:t>
      </w:r>
      <w:r>
        <w:t>s</w:t>
      </w:r>
      <w:r w:rsidRPr="001563B9" w:rsidR="001563B9">
        <w:t>ervice, etc.</w:t>
      </w:r>
      <w:r w:rsidR="001563B9">
        <w:t xml:space="preserve">  </w:t>
      </w:r>
      <w:r>
        <w:t>Respondents should</w:t>
      </w:r>
      <w:r w:rsidRPr="001563B9">
        <w:t xml:space="preserve"> </w:t>
      </w:r>
      <w:r w:rsidRPr="001563B9" w:rsidR="001563B9">
        <w:t xml:space="preserve">not net out or subtract any Auction Revenue Rights or Financial </w:t>
      </w:r>
      <w:r w:rsidRPr="001563B9" w:rsidR="001563B9">
        <w:lastRenderedPageBreak/>
        <w:t>Transmission Right</w:t>
      </w:r>
      <w:r w:rsidR="0055652A">
        <w:t xml:space="preserve"> </w:t>
      </w:r>
      <w:r w:rsidRPr="001563B9" w:rsidR="001563B9">
        <w:t>(F</w:t>
      </w:r>
      <w:r w:rsidR="00C74B51">
        <w:t>inancial Transmission Right</w:t>
      </w:r>
      <w:r w:rsidR="000933A2">
        <w:t>, C</w:t>
      </w:r>
      <w:r w:rsidR="0055652A">
        <w:t>ongestion Revenue Right</w:t>
      </w:r>
      <w:r w:rsidR="000933A2">
        <w:t>, or equivalent</w:t>
      </w:r>
      <w:r w:rsidRPr="001563B9" w:rsidR="001563B9">
        <w:t>) revenues that may have been returned to Load Serving Entitie</w:t>
      </w:r>
      <w:r w:rsidR="001563B9">
        <w:t>s.</w:t>
      </w:r>
    </w:p>
    <w:p w:rsidR="00673462" w:rsidP="0091079A" w:rsidRDefault="00673462" w14:paraId="64864EB2" w14:textId="3DE57787">
      <w:pPr>
        <w:pStyle w:val="Heading3"/>
        <w:numPr>
          <w:ilvl w:val="0"/>
          <w:numId w:val="56"/>
        </w:numPr>
        <w:spacing w:before="240"/>
      </w:pPr>
      <w:r>
        <w:t xml:space="preserve">Price Cost </w:t>
      </w:r>
      <w:r w:rsidR="00CD6893">
        <w:t>M</w:t>
      </w:r>
      <w:r>
        <w:t>arkup</w:t>
      </w:r>
    </w:p>
    <w:p w:rsidR="00A73E94" w:rsidP="00C90C21" w:rsidRDefault="00385E40" w14:paraId="62D2ED22" w14:textId="09D5E2DB">
      <w:pPr>
        <w:pStyle w:val="BodyText"/>
        <w:ind w:firstLine="0"/>
        <w:rPr>
          <w:szCs w:val="26"/>
        </w:rPr>
      </w:pPr>
      <w:r>
        <w:rPr>
          <w:szCs w:val="26"/>
        </w:rPr>
        <w:t>Th</w:t>
      </w:r>
      <w:r w:rsidR="00A73E94">
        <w:rPr>
          <w:szCs w:val="26"/>
        </w:rPr>
        <w:t>e price cost markup</w:t>
      </w:r>
      <w:r>
        <w:rPr>
          <w:szCs w:val="26"/>
        </w:rPr>
        <w:t xml:space="preserve"> metric</w:t>
      </w:r>
      <w:r w:rsidR="00A73E94">
        <w:rPr>
          <w:szCs w:val="26"/>
        </w:rPr>
        <w:t xml:space="preserve"> measures </w:t>
      </w:r>
      <w:r w:rsidR="005F292C">
        <w:rPr>
          <w:szCs w:val="26"/>
        </w:rPr>
        <w:t xml:space="preserve">the difference in </w:t>
      </w:r>
      <w:r w:rsidR="003C61A6">
        <w:rPr>
          <w:szCs w:val="26"/>
        </w:rPr>
        <w:t xml:space="preserve">system-wide </w:t>
      </w:r>
      <w:r w:rsidR="005F292C">
        <w:rPr>
          <w:szCs w:val="26"/>
        </w:rPr>
        <w:t>price that would result from using</w:t>
      </w:r>
      <w:r w:rsidR="00DB3102">
        <w:rPr>
          <w:szCs w:val="26"/>
        </w:rPr>
        <w:t xml:space="preserve"> </w:t>
      </w:r>
      <w:r w:rsidR="005F292C">
        <w:rPr>
          <w:szCs w:val="26"/>
        </w:rPr>
        <w:t xml:space="preserve">as-submitted </w:t>
      </w:r>
      <w:r w:rsidR="00DB3102">
        <w:rPr>
          <w:szCs w:val="26"/>
        </w:rPr>
        <w:t>offer</w:t>
      </w:r>
      <w:r w:rsidR="005F292C">
        <w:rPr>
          <w:szCs w:val="26"/>
        </w:rPr>
        <w:t>s</w:t>
      </w:r>
      <w:r w:rsidR="00DB3102">
        <w:rPr>
          <w:szCs w:val="26"/>
        </w:rPr>
        <w:t xml:space="preserve"> and cost-based offer</w:t>
      </w:r>
      <w:r w:rsidR="005F292C">
        <w:rPr>
          <w:szCs w:val="26"/>
        </w:rPr>
        <w:t>s</w:t>
      </w:r>
      <w:r w:rsidR="00A73E94">
        <w:rPr>
          <w:szCs w:val="26"/>
        </w:rPr>
        <w:t>/reference levels</w:t>
      </w:r>
      <w:r w:rsidR="005F292C">
        <w:rPr>
          <w:szCs w:val="26"/>
        </w:rPr>
        <w:t xml:space="preserve">. </w:t>
      </w:r>
      <w:r w:rsidR="00A73E94">
        <w:rPr>
          <w:szCs w:val="26"/>
        </w:rPr>
        <w:t xml:space="preserve"> This metric also examines average markups in the top and bottom ten percent of hours based on system-wide energy prices.</w:t>
      </w:r>
    </w:p>
    <w:p w:rsidR="004A724C" w:rsidP="001666BB" w:rsidRDefault="004A724C" w14:paraId="16B3F96B" w14:textId="50E02E1B">
      <w:pPr>
        <w:pStyle w:val="BodyText"/>
        <w:ind w:firstLine="0"/>
      </w:pPr>
      <w:r>
        <w:t>There is an equation at the top of this worksheet that provides a concise description of how to calculate this metric.</w:t>
      </w:r>
    </w:p>
    <w:p w:rsidR="00673462" w:rsidP="001666BB" w:rsidRDefault="00673462" w14:paraId="39DAB881" w14:textId="6D6CA5B3">
      <w:pPr>
        <w:pStyle w:val="BodyText"/>
        <w:ind w:firstLine="0"/>
      </w:pPr>
      <w:r>
        <w:t xml:space="preserve">The calculation for the Price Cost Margin </w:t>
      </w:r>
      <w:r w:rsidR="00016531">
        <w:t xml:space="preserve">(13.00) </w:t>
      </w:r>
      <w:r>
        <w:t>requires the construction of two differ</w:t>
      </w:r>
      <w:r w:rsidR="00992A8E">
        <w:t>ent supply curves for each five-</w:t>
      </w:r>
      <w:r>
        <w:t xml:space="preserve">minute interval in the reporting period.  One supply curve is based on the generation offers and </w:t>
      </w:r>
      <w:r w:rsidR="00405F0E">
        <w:t>the</w:t>
      </w:r>
      <w:r>
        <w:t xml:space="preserve"> second curve is based on the RTO/ISO reference cost for each unit.  The intersection of each </w:t>
      </w:r>
      <w:r w:rsidR="0068010A">
        <w:t xml:space="preserve">such supply </w:t>
      </w:r>
      <w:r>
        <w:t>curve with the demand curve provides a price for that five</w:t>
      </w:r>
      <w:r w:rsidR="00E179E0">
        <w:t>-</w:t>
      </w:r>
      <w:r>
        <w:t>minute interval.</w:t>
      </w:r>
    </w:p>
    <w:p w:rsidR="00673462" w:rsidP="001666BB" w:rsidRDefault="00673462" w14:paraId="16E51205" w14:textId="1CB8E049">
      <w:pPr>
        <w:pStyle w:val="BodyText"/>
        <w:ind w:firstLine="0"/>
      </w:pPr>
      <w:r>
        <w:t>The intersection of the demand curve and the offer</w:t>
      </w:r>
      <w:r w:rsidR="009952E4">
        <w:t>-</w:t>
      </w:r>
      <w:r>
        <w:t>based supply curve provides the “price” for that interval.   The intersection of the demand curve and the reference cost</w:t>
      </w:r>
      <w:r w:rsidR="009952E4">
        <w:t>-</w:t>
      </w:r>
      <w:r>
        <w:t>based supply curve provides the “cost” for that interval.   The difference between the calculated “price” and the “cost” provides the Price Cost Margin for that interval which is then averaged across the reporting period.</w:t>
      </w:r>
    </w:p>
    <w:p w:rsidR="00673462" w:rsidP="001666BB" w:rsidRDefault="00673462" w14:paraId="6CF10588" w14:textId="14B81E75">
      <w:pPr>
        <w:pStyle w:val="BodyText"/>
        <w:ind w:firstLine="0"/>
      </w:pPr>
      <w:r>
        <w:t xml:space="preserve">The calculation of each supply curve does not consider transmission constraints or ramping limitations.  A visual representation of the calculation is show in </w:t>
      </w:r>
      <w:r w:rsidR="00CE468D">
        <w:fldChar w:fldCharType="begin"/>
      </w:r>
      <w:r w:rsidR="00CE468D">
        <w:instrText xml:space="preserve"> REF _Ref8394499 \h </w:instrText>
      </w:r>
      <w:r w:rsidR="00CE468D">
        <w:fldChar w:fldCharType="separate"/>
      </w:r>
      <w:r w:rsidR="00C00098">
        <w:t xml:space="preserve">Figure </w:t>
      </w:r>
      <w:r w:rsidR="00C00098">
        <w:rPr>
          <w:noProof/>
        </w:rPr>
        <w:t>1</w:t>
      </w:r>
      <w:r w:rsidR="00CE468D">
        <w:fldChar w:fldCharType="end"/>
      </w:r>
      <w:r>
        <w:t xml:space="preserve"> below. </w:t>
      </w:r>
    </w:p>
    <w:p w:rsidR="00673462" w:rsidP="00673462" w:rsidRDefault="00673462" w14:paraId="756E29B0" w14:textId="77777777">
      <w:pPr>
        <w:pStyle w:val="BodyText"/>
        <w:ind w:firstLine="0"/>
      </w:pPr>
    </w:p>
    <w:p w:rsidR="00673462" w:rsidP="00673462" w:rsidRDefault="00673462" w14:paraId="1E424BBC" w14:textId="640D65E5">
      <w:pPr>
        <w:pStyle w:val="Caption"/>
        <w:keepNext/>
      </w:pPr>
      <w:bookmarkStart w:name="_Ref8394499" w:id="21"/>
      <w:r>
        <w:lastRenderedPageBreak/>
        <w:t xml:space="preserve">Figure </w:t>
      </w:r>
      <w:r w:rsidR="004A3CB6">
        <w:rPr>
          <w:noProof/>
        </w:rPr>
        <w:fldChar w:fldCharType="begin"/>
      </w:r>
      <w:r w:rsidR="004A3CB6">
        <w:rPr>
          <w:noProof/>
        </w:rPr>
        <w:instrText xml:space="preserve"> SEQ Figure \* ARABIC </w:instrText>
      </w:r>
      <w:r w:rsidR="004A3CB6">
        <w:rPr>
          <w:noProof/>
        </w:rPr>
        <w:fldChar w:fldCharType="separate"/>
      </w:r>
      <w:r w:rsidR="00C00098">
        <w:rPr>
          <w:noProof/>
        </w:rPr>
        <w:t>1</w:t>
      </w:r>
      <w:r w:rsidR="004A3CB6">
        <w:rPr>
          <w:noProof/>
        </w:rPr>
        <w:fldChar w:fldCharType="end"/>
      </w:r>
      <w:bookmarkEnd w:id="21"/>
      <w:r w:rsidR="00CE468D">
        <w:t>. Price Cost Markup</w:t>
      </w:r>
    </w:p>
    <w:p w:rsidR="00673462" w:rsidP="00673462" w:rsidRDefault="00F67F8E" w14:paraId="70603C71" w14:textId="0598830B">
      <w:pPr>
        <w:pStyle w:val="BodyText"/>
        <w:ind w:firstLine="0"/>
      </w:pPr>
      <w:r>
        <w:rPr>
          <w:noProof/>
        </w:rPr>
        <mc:AlternateContent>
          <mc:Choice Requires="wpg">
            <w:drawing>
              <wp:anchor distT="0" distB="0" distL="114300" distR="114300" simplePos="0" relativeHeight="251658752" behindDoc="0" locked="0" layoutInCell="1" allowOverlap="1" wp14:editId="595B3A20" wp14:anchorId="46E7E8E7">
                <wp:simplePos x="0" y="0"/>
                <wp:positionH relativeFrom="column">
                  <wp:posOffset>2981739</wp:posOffset>
                </wp:positionH>
                <wp:positionV relativeFrom="paragraph">
                  <wp:posOffset>796318</wp:posOffset>
                </wp:positionV>
                <wp:extent cx="381663" cy="1065474"/>
                <wp:effectExtent l="38100" t="0" r="18415" b="20955"/>
                <wp:wrapNone/>
                <wp:docPr id="13" name="Group 13"/>
                <wp:cNvGraphicFramePr/>
                <a:graphic xmlns:a="http://schemas.openxmlformats.org/drawingml/2006/main">
                  <a:graphicData uri="http://schemas.microsoft.com/office/word/2010/wordprocessingGroup">
                    <wpg:wgp>
                      <wpg:cNvGrpSpPr/>
                      <wpg:grpSpPr>
                        <a:xfrm>
                          <a:off x="0" y="0"/>
                          <a:ext cx="381663" cy="1065474"/>
                          <a:chOff x="0" y="0"/>
                          <a:chExt cx="381663" cy="1065474"/>
                        </a:xfrm>
                      </wpg:grpSpPr>
                      <wps:wsp>
                        <wps:cNvPr id="2" name="Straight Arrow Connector 2"/>
                        <wps:cNvCnPr/>
                        <wps:spPr>
                          <a:xfrm flipH="1">
                            <a:off x="0" y="0"/>
                            <a:ext cx="246490" cy="1431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flipV="1">
                            <a:off x="55659" y="803081"/>
                            <a:ext cx="326004" cy="26239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 style="position:absolute;margin-left:234.8pt;margin-top:62.7pt;width:30.05pt;height:83.9pt;z-index:251658752" coordsize="3816,10654" o:spid="_x0000_s1026" w14:anchorId="319EC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">
                <v:shapetype id="_x0000_t32" coordsize="21600,21600" o:oned="t" filled="f" o:spt="32" path="m,l21600,21600e">
                  <v:path fillok="f" arrowok="t" o:connecttype="none"/>
                  <o:lock v:ext="edit" shapetype="t"/>
                </v:shapetype>
                <v:shape id="Straight Arrow Connector 2" style="position:absolute;width:2464;height:1431;flip:x;visibility:visible;mso-wrap-style:square" o:spid="_x0000_s1027"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">
                  <v:stroke endarrow="block"/>
                </v:shape>
                <v:shape id="Straight Arrow Connector 11" style="position:absolute;left:556;top:8030;width:3260;height:2624;flip:x y;visibility:visible;mso-wrap-style:square" o:spid="_x0000_s1028"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">
                  <v:stroke endarrow="block"/>
                </v:shape>
              </v:group>
            </w:pict>
          </mc:Fallback>
        </mc:AlternateContent>
      </w:r>
      <w:r w:rsidRPr="00C350A6" w:rsidR="00673462">
        <w:rPr>
          <w:noProof/>
        </w:rPr>
        <w:drawing>
          <wp:inline distT="0" distB="0" distL="0" distR="0" wp14:anchorId="36FBB064" wp14:editId="69306E42">
            <wp:extent cx="4886325" cy="2486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2486025"/>
                    </a:xfrm>
                    <a:prstGeom prst="rect">
                      <a:avLst/>
                    </a:prstGeom>
                    <a:noFill/>
                    <a:ln>
                      <a:noFill/>
                    </a:ln>
                  </pic:spPr>
                </pic:pic>
              </a:graphicData>
            </a:graphic>
          </wp:inline>
        </w:drawing>
      </w:r>
    </w:p>
    <w:p w:rsidRPr="002450FE" w:rsidR="00673462" w:rsidP="00C90C21" w:rsidRDefault="00A73E94" w14:paraId="337C226D" w14:textId="6DF3C940">
      <w:pPr>
        <w:pStyle w:val="BodyText"/>
        <w:ind w:firstLine="0"/>
      </w:pPr>
      <w:r>
        <w:t>Please n</w:t>
      </w:r>
      <w:r w:rsidRPr="002450FE" w:rsidR="00FA4AAD">
        <w:t xml:space="preserve">ote that there is a </w:t>
      </w:r>
      <w:r w:rsidRPr="002450FE" w:rsidR="00916502">
        <w:t>mechanism</w:t>
      </w:r>
      <w:r w:rsidRPr="002450FE" w:rsidR="00FA4AAD">
        <w:t xml:space="preserve"> to </w:t>
      </w:r>
      <w:r w:rsidRPr="002450FE" w:rsidR="00916502">
        <w:t xml:space="preserve">create rows to </w:t>
      </w:r>
      <w:r w:rsidRPr="002450FE" w:rsidR="00FA4AAD">
        <w:t xml:space="preserve">report this information on a zonal basis if the RTO/ISO desires to report on a more granular level, but this is optional. </w:t>
      </w:r>
      <w:r w:rsidR="00655C67">
        <w:t xml:space="preserve"> If respondents choose to add information on a zonal basis, please provide any relevant information in the explanatory text field (such as why the zonal information is relevant).</w:t>
      </w:r>
    </w:p>
    <w:p w:rsidR="00C83C81" w:rsidP="00181960" w:rsidRDefault="006244EE" w14:paraId="572C428D" w14:textId="09540E18">
      <w:pPr>
        <w:pStyle w:val="Heading3"/>
        <w:numPr>
          <w:ilvl w:val="0"/>
          <w:numId w:val="56"/>
        </w:numPr>
        <w:spacing w:before="240"/>
      </w:pPr>
      <w:r w:rsidRPr="008B24A0">
        <w:t xml:space="preserve">Fuel Adjusted </w:t>
      </w:r>
      <w:r w:rsidRPr="008B24A0" w:rsidR="00302C84">
        <w:t xml:space="preserve">Wholesale </w:t>
      </w:r>
      <w:r w:rsidR="008E068E">
        <w:t xml:space="preserve">Energy </w:t>
      </w:r>
      <w:r w:rsidRPr="008B24A0">
        <w:t>Price</w:t>
      </w:r>
    </w:p>
    <w:p w:rsidR="00655C67" w:rsidP="000B467B" w:rsidRDefault="009D41D1" w14:paraId="6D194DAE" w14:textId="2B7BD9B3">
      <w:pPr>
        <w:pStyle w:val="BodyText"/>
        <w:ind w:firstLine="0"/>
        <w:rPr>
          <w:szCs w:val="26"/>
        </w:rPr>
      </w:pPr>
      <w:r>
        <w:rPr>
          <w:szCs w:val="26"/>
        </w:rPr>
        <w:t xml:space="preserve">The load-weighted, fuel-adjusted locational marginal price </w:t>
      </w:r>
      <w:r w:rsidR="00655C67">
        <w:rPr>
          <w:szCs w:val="26"/>
        </w:rPr>
        <w:t xml:space="preserve">metric measures the wholesale price of energy across the RTO/ISO for a given </w:t>
      </w:r>
      <w:r w:rsidR="003E498F">
        <w:rPr>
          <w:szCs w:val="26"/>
        </w:rPr>
        <w:t>reporting period</w:t>
      </w:r>
      <w:r w:rsidR="00655C67">
        <w:rPr>
          <w:szCs w:val="26"/>
        </w:rPr>
        <w:t xml:space="preserve"> and </w:t>
      </w:r>
      <w:r>
        <w:rPr>
          <w:szCs w:val="26"/>
        </w:rPr>
        <w:t xml:space="preserve">is derived by holding fuel costs constant over a defined time period. </w:t>
      </w:r>
      <w:r w:rsidR="00385E40">
        <w:rPr>
          <w:szCs w:val="26"/>
        </w:rPr>
        <w:t xml:space="preserve"> </w:t>
      </w:r>
      <w:r>
        <w:rPr>
          <w:szCs w:val="26"/>
        </w:rPr>
        <w:t xml:space="preserve">This metric allows </w:t>
      </w:r>
      <w:r w:rsidR="005A423B">
        <w:rPr>
          <w:szCs w:val="26"/>
        </w:rPr>
        <w:t xml:space="preserve">for price </w:t>
      </w:r>
      <w:r>
        <w:rPr>
          <w:szCs w:val="26"/>
        </w:rPr>
        <w:t xml:space="preserve">comparisons while removing fuel price volatility.  </w:t>
      </w:r>
    </w:p>
    <w:p w:rsidRPr="00A80D2F" w:rsidR="003A773C" w:rsidP="000B467B" w:rsidRDefault="00706D2A" w14:paraId="4FE42FB6" w14:textId="4FF14E0F">
      <w:pPr>
        <w:pStyle w:val="BodyText"/>
        <w:ind w:firstLine="0"/>
      </w:pPr>
      <w:r w:rsidRPr="00706D2A">
        <w:t>There is an equation at the top of this worksheet that provides a concise description of how to calculate this metric.</w:t>
      </w:r>
      <w:r>
        <w:t xml:space="preserve">  Please note that there are </w:t>
      </w:r>
      <w:r w:rsidR="009E57F4">
        <w:t xml:space="preserve">entries for </w:t>
      </w:r>
      <w:r>
        <w:t xml:space="preserve">two </w:t>
      </w:r>
      <w:r w:rsidR="009E57F4">
        <w:t xml:space="preserve">possible marginal </w:t>
      </w:r>
      <w:r>
        <w:t>fuels</w:t>
      </w:r>
      <w:r w:rsidR="009E57F4">
        <w:t xml:space="preserve"> (coal and natural gas).</w:t>
      </w:r>
      <w:r w:rsidR="00A46380">
        <w:t xml:space="preserve">  </w:t>
      </w:r>
      <w:r w:rsidR="00655C67">
        <w:t>Please select</w:t>
      </w:r>
      <w:r w:rsidR="009E57F4">
        <w:t xml:space="preserve"> one base </w:t>
      </w:r>
      <w:r w:rsidR="00A46380">
        <w:t xml:space="preserve">year </w:t>
      </w:r>
      <w:r w:rsidR="009E57F4">
        <w:t>for both fuel</w:t>
      </w:r>
      <w:r w:rsidR="00A46380">
        <w:t>s</w:t>
      </w:r>
      <w:r w:rsidR="009E57F4">
        <w:t xml:space="preserve"> and </w:t>
      </w:r>
      <w:r w:rsidRPr="00A80D2F" w:rsidR="003A773C">
        <w:t>adjust</w:t>
      </w:r>
      <w:r w:rsidR="00A46380">
        <w:t xml:space="preserve"> the annual prices</w:t>
      </w:r>
      <w:r w:rsidRPr="00A80D2F" w:rsidR="003A773C">
        <w:t xml:space="preserve"> to th</w:t>
      </w:r>
      <w:r w:rsidR="00655C67">
        <w:t>at</w:t>
      </w:r>
      <w:r w:rsidRPr="00A80D2F" w:rsidR="003A773C">
        <w:t xml:space="preserve"> base year. </w:t>
      </w:r>
    </w:p>
    <w:p w:rsidR="002E74C3" w:rsidP="00181960" w:rsidRDefault="002E74C3" w14:paraId="77F11D13" w14:textId="3D9BC5E8">
      <w:pPr>
        <w:pStyle w:val="Heading3"/>
        <w:numPr>
          <w:ilvl w:val="0"/>
          <w:numId w:val="56"/>
        </w:numPr>
        <w:spacing w:before="240"/>
      </w:pPr>
      <w:r w:rsidRPr="008B24A0">
        <w:t>Energy Market P</w:t>
      </w:r>
      <w:r w:rsidRPr="008B24A0" w:rsidR="002A07C0">
        <w:t xml:space="preserve">rice Convergence      </w:t>
      </w:r>
    </w:p>
    <w:p w:rsidR="005A423B" w:rsidP="000B467B" w:rsidRDefault="005A423B" w14:paraId="755529C5" w14:textId="0910A84D">
      <w:pPr>
        <w:pStyle w:val="BodyText"/>
        <w:ind w:firstLine="0"/>
        <w:rPr>
          <w:szCs w:val="26"/>
        </w:rPr>
      </w:pPr>
      <w:r>
        <w:rPr>
          <w:szCs w:val="26"/>
        </w:rPr>
        <w:t xml:space="preserve">The </w:t>
      </w:r>
      <w:r w:rsidR="00BE3333">
        <w:rPr>
          <w:szCs w:val="26"/>
        </w:rPr>
        <w:t>e</w:t>
      </w:r>
      <w:r>
        <w:rPr>
          <w:szCs w:val="26"/>
        </w:rPr>
        <w:t xml:space="preserve">nergy </w:t>
      </w:r>
      <w:r w:rsidR="00BE3333">
        <w:rPr>
          <w:szCs w:val="26"/>
        </w:rPr>
        <w:t>m</w:t>
      </w:r>
      <w:r>
        <w:rPr>
          <w:szCs w:val="26"/>
        </w:rPr>
        <w:t xml:space="preserve">arket </w:t>
      </w:r>
      <w:r w:rsidR="00BE3333">
        <w:rPr>
          <w:szCs w:val="26"/>
        </w:rPr>
        <w:t>p</w:t>
      </w:r>
      <w:r>
        <w:rPr>
          <w:szCs w:val="26"/>
        </w:rPr>
        <w:t xml:space="preserve">rice </w:t>
      </w:r>
      <w:r w:rsidR="00BE3333">
        <w:rPr>
          <w:szCs w:val="26"/>
        </w:rPr>
        <w:t>c</w:t>
      </w:r>
      <w:r>
        <w:rPr>
          <w:szCs w:val="26"/>
        </w:rPr>
        <w:t xml:space="preserve">onvergence metric measures how closely the </w:t>
      </w:r>
      <w:r w:rsidR="001E5291">
        <w:rPr>
          <w:szCs w:val="26"/>
        </w:rPr>
        <w:t>day</w:t>
      </w:r>
      <w:r w:rsidR="00695F09">
        <w:rPr>
          <w:szCs w:val="26"/>
        </w:rPr>
        <w:t xml:space="preserve">-ahead and </w:t>
      </w:r>
      <w:r w:rsidR="001E5291">
        <w:rPr>
          <w:szCs w:val="26"/>
        </w:rPr>
        <w:t>real</w:t>
      </w:r>
      <w:r w:rsidR="00EF1E71">
        <w:rPr>
          <w:szCs w:val="26"/>
        </w:rPr>
        <w:t>-time energy prices</w:t>
      </w:r>
      <w:r>
        <w:rPr>
          <w:szCs w:val="26"/>
        </w:rPr>
        <w:t xml:space="preserve"> align</w:t>
      </w:r>
      <w:r w:rsidR="00EF1E71">
        <w:rPr>
          <w:szCs w:val="26"/>
        </w:rPr>
        <w:t xml:space="preserve">.  </w:t>
      </w:r>
    </w:p>
    <w:p w:rsidR="009E57F4" w:rsidP="000B467B" w:rsidRDefault="009E57F4" w14:paraId="5B235CB5" w14:textId="5F304FCB">
      <w:pPr>
        <w:pStyle w:val="BodyText"/>
        <w:ind w:firstLine="0"/>
      </w:pPr>
      <w:r w:rsidRPr="00706D2A">
        <w:t xml:space="preserve">There </w:t>
      </w:r>
      <w:r>
        <w:t xml:space="preserve">are four </w:t>
      </w:r>
      <w:r w:rsidRPr="00706D2A">
        <w:t>equation</w:t>
      </w:r>
      <w:r>
        <w:t>s</w:t>
      </w:r>
      <w:r w:rsidRPr="00706D2A">
        <w:t xml:space="preserve"> at the top of this worksheet that provide a concise description of how to calculate this metric.</w:t>
      </w:r>
      <w:r>
        <w:t xml:space="preserve">  </w:t>
      </w:r>
    </w:p>
    <w:p w:rsidRPr="00A60611" w:rsidR="009E57F4" w:rsidP="000B467B" w:rsidRDefault="009E57F4" w14:paraId="0B1C4162" w14:textId="74E944C9">
      <w:pPr>
        <w:pStyle w:val="BodyText"/>
        <w:ind w:firstLine="0"/>
      </w:pPr>
      <w:r>
        <w:lastRenderedPageBreak/>
        <w:t xml:space="preserve">This computation should be done at the nodal level for five minute-intervals for all RTOs/ISOs.  </w:t>
      </w:r>
      <w:r w:rsidR="006D68C9">
        <w:t xml:space="preserve">However, for CAISO, do not include imbalance market nodes. </w:t>
      </w:r>
    </w:p>
    <w:p w:rsidR="008C2367" w:rsidP="00181960" w:rsidRDefault="00F648E3" w14:paraId="21610ABF" w14:textId="0C617DF6">
      <w:pPr>
        <w:pStyle w:val="Heading3"/>
        <w:numPr>
          <w:ilvl w:val="0"/>
          <w:numId w:val="56"/>
        </w:numPr>
      </w:pPr>
      <w:r w:rsidRPr="008B24A0">
        <w:t>Congestion Management</w:t>
      </w:r>
      <w:r w:rsidRPr="008B24A0" w:rsidR="00C83C81">
        <w:t xml:space="preserve"> </w:t>
      </w:r>
      <w:r w:rsidRPr="008B24A0" w:rsidR="00C83C81">
        <w:rPr>
          <w:u w:val="none"/>
        </w:rPr>
        <w:tab/>
      </w:r>
      <w:r w:rsidRPr="008B24A0">
        <w:t xml:space="preserve">    </w:t>
      </w:r>
    </w:p>
    <w:p w:rsidR="00AB76D6" w:rsidP="00EB59E2" w:rsidRDefault="00961AAA" w14:paraId="5C41FC3E" w14:textId="64878BD2">
      <w:pPr>
        <w:pStyle w:val="BodyText"/>
        <w:ind w:firstLine="0"/>
        <w:rPr>
          <w:szCs w:val="26"/>
        </w:rPr>
      </w:pPr>
      <w:r>
        <w:rPr>
          <w:szCs w:val="26"/>
        </w:rPr>
        <w:t xml:space="preserve">Congestion represents the cost to customers of paying for more expensive energy because physical transmission line limits do not allow full delivery of </w:t>
      </w:r>
      <w:r w:rsidR="003908F7">
        <w:rPr>
          <w:szCs w:val="26"/>
        </w:rPr>
        <w:t xml:space="preserve">the </w:t>
      </w:r>
      <w:r>
        <w:rPr>
          <w:szCs w:val="26"/>
        </w:rPr>
        <w:t>least-cost energy</w:t>
      </w:r>
      <w:r w:rsidR="003908F7">
        <w:rPr>
          <w:szCs w:val="26"/>
        </w:rPr>
        <w:t xml:space="preserve"> resources</w:t>
      </w:r>
      <w:r>
        <w:rPr>
          <w:szCs w:val="26"/>
        </w:rPr>
        <w:t xml:space="preserve">. </w:t>
      </w:r>
      <w:r w:rsidR="00385E40">
        <w:rPr>
          <w:szCs w:val="26"/>
        </w:rPr>
        <w:t xml:space="preserve"> </w:t>
      </w:r>
      <w:r w:rsidR="001917AD">
        <w:rPr>
          <w:szCs w:val="26"/>
        </w:rPr>
        <w:t>Th</w:t>
      </w:r>
      <w:r w:rsidR="003908F7">
        <w:rPr>
          <w:szCs w:val="26"/>
        </w:rPr>
        <w:t xml:space="preserve">e </w:t>
      </w:r>
      <w:r w:rsidR="00A515AE">
        <w:rPr>
          <w:szCs w:val="26"/>
        </w:rPr>
        <w:t>c</w:t>
      </w:r>
      <w:r w:rsidR="003908F7">
        <w:rPr>
          <w:szCs w:val="26"/>
        </w:rPr>
        <w:t xml:space="preserve">ongestion </w:t>
      </w:r>
      <w:r w:rsidR="00A515AE">
        <w:rPr>
          <w:szCs w:val="26"/>
        </w:rPr>
        <w:t>m</w:t>
      </w:r>
      <w:r w:rsidR="003908F7">
        <w:rPr>
          <w:szCs w:val="26"/>
        </w:rPr>
        <w:t>anagement</w:t>
      </w:r>
      <w:r w:rsidR="001917AD">
        <w:rPr>
          <w:szCs w:val="26"/>
        </w:rPr>
        <w:t xml:space="preserve"> metric reflects the amount of congestion normalized by the RTOs/ISOs’ load.  </w:t>
      </w:r>
      <w:r>
        <w:rPr>
          <w:szCs w:val="26"/>
        </w:rPr>
        <w:t xml:space="preserve">Financial </w:t>
      </w:r>
      <w:r w:rsidR="001917AD">
        <w:rPr>
          <w:szCs w:val="26"/>
        </w:rPr>
        <w:t xml:space="preserve">Transmission Rights are </w:t>
      </w:r>
      <w:r w:rsidR="003908F7">
        <w:rPr>
          <w:szCs w:val="26"/>
        </w:rPr>
        <w:t xml:space="preserve">a financial product that </w:t>
      </w:r>
      <w:r w:rsidR="001917AD">
        <w:rPr>
          <w:szCs w:val="26"/>
        </w:rPr>
        <w:t xml:space="preserve">provide a hedge against congestion. </w:t>
      </w:r>
      <w:r w:rsidR="003908F7">
        <w:rPr>
          <w:szCs w:val="26"/>
        </w:rPr>
        <w:t xml:space="preserve"> </w:t>
      </w:r>
      <w:r w:rsidR="00AB76D6">
        <w:rPr>
          <w:szCs w:val="26"/>
        </w:rPr>
        <w:t xml:space="preserve">The metric also estimates the value of such hedges. </w:t>
      </w:r>
    </w:p>
    <w:p w:rsidRPr="00A80D2F" w:rsidR="00EB59E2" w:rsidP="00EB59E2" w:rsidRDefault="00EB59E2" w14:paraId="41971D0C" w14:textId="470BC680">
      <w:pPr>
        <w:pStyle w:val="BodyText"/>
        <w:ind w:firstLine="0"/>
      </w:pPr>
      <w:r w:rsidRPr="00A80D2F">
        <w:t xml:space="preserve">Financial </w:t>
      </w:r>
      <w:r w:rsidR="00C74B51">
        <w:t>T</w:t>
      </w:r>
      <w:r w:rsidRPr="00A80D2F">
        <w:t xml:space="preserve">ransmission </w:t>
      </w:r>
      <w:r w:rsidR="00C74B51">
        <w:t>R</w:t>
      </w:r>
      <w:r w:rsidRPr="00A80D2F">
        <w:t>ights are known by various terms across the RTOs</w:t>
      </w:r>
      <w:r w:rsidR="00382E0D">
        <w:t>/ISOs</w:t>
      </w:r>
      <w:r w:rsidRPr="00A80D2F">
        <w:t>.</w:t>
      </w:r>
    </w:p>
    <w:p w:rsidRPr="00A80D2F" w:rsidR="00EB59E2" w:rsidP="00EB59E2" w:rsidRDefault="00EB59E2" w14:paraId="5D4222C2" w14:textId="4367DC38">
      <w:pPr>
        <w:pStyle w:val="BodyText"/>
        <w:ind w:firstLine="0"/>
      </w:pPr>
      <w:r w:rsidRPr="00A80D2F">
        <w:t xml:space="preserve">CAISO: </w:t>
      </w:r>
      <w:r w:rsidR="005F7193">
        <w:t xml:space="preserve"> </w:t>
      </w:r>
      <w:r w:rsidRPr="00A80D2F">
        <w:t xml:space="preserve">Congestion Revenue Rights </w:t>
      </w:r>
    </w:p>
    <w:p w:rsidRPr="00A80D2F" w:rsidR="00EB59E2" w:rsidP="00EB59E2" w:rsidRDefault="00EB59E2" w14:paraId="4D3C5EAB" w14:textId="2C71303A">
      <w:pPr>
        <w:pStyle w:val="BodyText"/>
        <w:ind w:firstLine="0"/>
      </w:pPr>
      <w:r w:rsidRPr="00A80D2F">
        <w:t xml:space="preserve">NYISO: </w:t>
      </w:r>
      <w:r w:rsidR="005F7193">
        <w:t xml:space="preserve"> </w:t>
      </w:r>
      <w:r w:rsidRPr="00A80D2F">
        <w:t xml:space="preserve">Transmission Congestion Contracts </w:t>
      </w:r>
    </w:p>
    <w:p w:rsidR="003908F7" w:rsidP="00EB59E2" w:rsidRDefault="00EB59E2" w14:paraId="4BA2AA51" w14:textId="7E06E0C4">
      <w:pPr>
        <w:pStyle w:val="BodyText"/>
        <w:ind w:firstLine="0"/>
      </w:pPr>
      <w:r w:rsidRPr="00A80D2F">
        <w:t>MISO</w:t>
      </w:r>
      <w:r w:rsidR="003908F7">
        <w:t xml:space="preserve">: </w:t>
      </w:r>
      <w:r w:rsidR="005F7193">
        <w:t xml:space="preserve"> </w:t>
      </w:r>
      <w:r w:rsidRPr="00A80D2F" w:rsidR="003908F7">
        <w:t xml:space="preserve">Financial Transmission Rights </w:t>
      </w:r>
    </w:p>
    <w:p w:rsidR="003908F7" w:rsidP="00EB59E2" w:rsidRDefault="00EB59E2" w14:paraId="61FD6FD2" w14:textId="0A86E620">
      <w:pPr>
        <w:pStyle w:val="BodyText"/>
        <w:ind w:firstLine="0"/>
      </w:pPr>
      <w:r w:rsidRPr="00A80D2F">
        <w:t>PJM</w:t>
      </w:r>
      <w:r w:rsidR="003908F7">
        <w:t>:</w:t>
      </w:r>
      <w:r w:rsidR="005F7193">
        <w:t xml:space="preserve"> </w:t>
      </w:r>
      <w:r w:rsidR="003908F7">
        <w:t xml:space="preserve"> </w:t>
      </w:r>
      <w:r w:rsidRPr="00A80D2F" w:rsidR="003908F7">
        <w:t xml:space="preserve">Financial Transmission Rights </w:t>
      </w:r>
    </w:p>
    <w:p w:rsidRPr="00A80D2F" w:rsidR="00EB59E2" w:rsidP="00EB59E2" w:rsidRDefault="00EB59E2" w14:paraId="20089912" w14:textId="299F3700">
      <w:pPr>
        <w:pStyle w:val="BodyText"/>
        <w:ind w:firstLine="0"/>
      </w:pPr>
      <w:r w:rsidRPr="00A80D2F">
        <w:t>ISO-NE:</w:t>
      </w:r>
      <w:r w:rsidR="005F7193">
        <w:t xml:space="preserve"> </w:t>
      </w:r>
      <w:r w:rsidRPr="00A80D2F">
        <w:t xml:space="preserve"> Financial Transmission Rights </w:t>
      </w:r>
    </w:p>
    <w:p w:rsidRPr="00A80D2F" w:rsidR="00EB59E2" w:rsidP="00EB59E2" w:rsidRDefault="00EB59E2" w14:paraId="04E4FDF1" w14:textId="608589FC">
      <w:pPr>
        <w:pStyle w:val="BodyText"/>
        <w:ind w:firstLine="0"/>
      </w:pPr>
      <w:r w:rsidRPr="00A80D2F">
        <w:t>SPP:</w:t>
      </w:r>
      <w:r w:rsidR="005F7193">
        <w:t xml:space="preserve"> </w:t>
      </w:r>
      <w:r w:rsidRPr="00A80D2F">
        <w:t xml:space="preserve"> Transmission Congestion Rights </w:t>
      </w:r>
    </w:p>
    <w:p w:rsidRPr="008B24A0" w:rsidR="00733DA5" w:rsidP="00181960" w:rsidRDefault="00587C72" w14:paraId="171AFF1F" w14:textId="36B23566">
      <w:pPr>
        <w:pStyle w:val="Heading3"/>
        <w:numPr>
          <w:ilvl w:val="0"/>
          <w:numId w:val="56"/>
        </w:numPr>
      </w:pPr>
      <w:r>
        <w:t>A</w:t>
      </w:r>
      <w:r w:rsidRPr="008B24A0" w:rsidR="00733DA5">
        <w:t xml:space="preserve">dministrative Costs  </w:t>
      </w:r>
    </w:p>
    <w:p w:rsidR="00557FD6" w:rsidP="000B467B" w:rsidRDefault="00A515AE" w14:paraId="34758C64" w14:textId="15A73588">
      <w:pPr>
        <w:pStyle w:val="BodyText"/>
        <w:spacing w:before="240"/>
        <w:ind w:firstLine="0"/>
        <w:rPr>
          <w:szCs w:val="26"/>
        </w:rPr>
      </w:pPr>
      <w:r>
        <w:rPr>
          <w:szCs w:val="26"/>
        </w:rPr>
        <w:t>The administrative c</w:t>
      </w:r>
      <w:r w:rsidR="00EF682A">
        <w:rPr>
          <w:szCs w:val="26"/>
        </w:rPr>
        <w:t>ost</w:t>
      </w:r>
      <w:r w:rsidR="00E31B80">
        <w:rPr>
          <w:szCs w:val="26"/>
        </w:rPr>
        <w:t>s</w:t>
      </w:r>
      <w:r w:rsidR="00EF682A">
        <w:rPr>
          <w:szCs w:val="26"/>
        </w:rPr>
        <w:t xml:space="preserve"> metric </w:t>
      </w:r>
      <w:r w:rsidR="007A105E">
        <w:rPr>
          <w:szCs w:val="26"/>
        </w:rPr>
        <w:t xml:space="preserve">examines the total financial cost of operating the RTO/ISO and </w:t>
      </w:r>
      <w:r w:rsidR="00EF682A">
        <w:rPr>
          <w:szCs w:val="26"/>
        </w:rPr>
        <w:t>measures the ability of RTOs</w:t>
      </w:r>
      <w:r w:rsidR="00E31B80">
        <w:rPr>
          <w:szCs w:val="26"/>
        </w:rPr>
        <w:t>/</w:t>
      </w:r>
      <w:r w:rsidR="00EF682A">
        <w:rPr>
          <w:szCs w:val="26"/>
        </w:rPr>
        <w:t xml:space="preserve">ISOs to manage the growth rate of administrative costs </w:t>
      </w:r>
      <w:r w:rsidR="00696A81">
        <w:rPr>
          <w:szCs w:val="26"/>
        </w:rPr>
        <w:t xml:space="preserve">as </w:t>
      </w:r>
      <w:r w:rsidR="00EF682A">
        <w:rPr>
          <w:szCs w:val="26"/>
        </w:rPr>
        <w:t>the growth rate of system load</w:t>
      </w:r>
      <w:r w:rsidR="00696A81">
        <w:rPr>
          <w:szCs w:val="26"/>
        </w:rPr>
        <w:t xml:space="preserve"> changes</w:t>
      </w:r>
      <w:r w:rsidR="000618F7">
        <w:rPr>
          <w:szCs w:val="26"/>
        </w:rPr>
        <w:t xml:space="preserve">. </w:t>
      </w:r>
      <w:r w:rsidR="00EF682A">
        <w:rPr>
          <w:szCs w:val="26"/>
        </w:rPr>
        <w:t xml:space="preserve"> </w:t>
      </w:r>
    </w:p>
    <w:p w:rsidR="00415CE4" w:rsidP="00181960" w:rsidRDefault="00385E40" w14:paraId="640A4D8B" w14:textId="0C244330">
      <w:pPr>
        <w:pStyle w:val="BodyText"/>
        <w:spacing w:before="240"/>
        <w:ind w:firstLine="0"/>
      </w:pPr>
      <w:r>
        <w:rPr>
          <w:szCs w:val="26"/>
        </w:rPr>
        <w:t xml:space="preserve">This </w:t>
      </w:r>
      <w:r>
        <w:t>m</w:t>
      </w:r>
      <w:r w:rsidRPr="00CE468D" w:rsidR="00C008F2">
        <w:t xml:space="preserve">etric </w:t>
      </w:r>
      <w:r w:rsidR="00B229F6">
        <w:t>requires two different values</w:t>
      </w:r>
      <w:r w:rsidR="00C008F2">
        <w:t xml:space="preserve"> of administrative costs to be entered</w:t>
      </w:r>
      <w:r w:rsidR="00CE468D">
        <w:t>:</w:t>
      </w:r>
      <w:r w:rsidR="00C008F2">
        <w:t xml:space="preserve"> </w:t>
      </w:r>
      <w:r w:rsidR="00A22217">
        <w:t>(</w:t>
      </w:r>
      <w:r w:rsidR="00CE468D">
        <w:t xml:space="preserve">1) </w:t>
      </w:r>
      <w:r w:rsidR="00C008F2">
        <w:t xml:space="preserve">the sum of capital </w:t>
      </w:r>
      <w:r w:rsidR="00415CE4">
        <w:t>and</w:t>
      </w:r>
      <w:r w:rsidR="00C008F2">
        <w:t xml:space="preserve"> non-capital administrative costs </w:t>
      </w:r>
      <w:r w:rsidRPr="00CE468D" w:rsidR="00415CE4">
        <w:rPr>
          <w:i/>
        </w:rPr>
        <w:t>billed</w:t>
      </w:r>
      <w:r w:rsidR="00415CE4">
        <w:t xml:space="preserve"> by the RTO/ISO and </w:t>
      </w:r>
      <w:r w:rsidR="00A22217">
        <w:t>(</w:t>
      </w:r>
      <w:r w:rsidR="00CE468D">
        <w:t xml:space="preserve">2) </w:t>
      </w:r>
      <w:r w:rsidR="00415CE4">
        <w:t>the administrative costs reported on the FERC Form No. 1</w:t>
      </w:r>
      <w:r w:rsidR="00AD25DE">
        <w:t xml:space="preserve">, </w:t>
      </w:r>
      <w:r w:rsidR="00E13D1D">
        <w:t>TOTAL Administrative &amp; General Expenses (row 197) page 323 from the last quarter of the filing for the reporting period which is a calendar year.</w:t>
      </w:r>
      <w:r w:rsidR="00415CE4">
        <w:t xml:space="preserve"> </w:t>
      </w:r>
    </w:p>
    <w:p w:rsidR="006756D8" w:rsidP="00181960" w:rsidRDefault="006756D8" w14:paraId="7FCB2D8D" w14:textId="5C6B9C9B">
      <w:pPr>
        <w:pStyle w:val="Heading3"/>
        <w:numPr>
          <w:ilvl w:val="0"/>
          <w:numId w:val="56"/>
        </w:numPr>
        <w:rPr>
          <w:u w:val="none"/>
        </w:rPr>
      </w:pPr>
      <w:r w:rsidRPr="008B24A0">
        <w:t>New Entrant Net Revenues</w:t>
      </w:r>
      <w:r w:rsidRPr="008B24A0" w:rsidR="003E6832">
        <w:rPr>
          <w:u w:val="none"/>
        </w:rPr>
        <w:tab/>
      </w:r>
    </w:p>
    <w:p w:rsidR="00806A40" w:rsidP="00552DF1" w:rsidRDefault="007A105E" w14:paraId="70095A58" w14:textId="113989EF">
      <w:pPr>
        <w:pStyle w:val="BodyText"/>
        <w:ind w:firstLine="0"/>
      </w:pPr>
      <w:r>
        <w:t xml:space="preserve">The </w:t>
      </w:r>
      <w:r w:rsidR="00A515AE">
        <w:t>n</w:t>
      </w:r>
      <w:r>
        <w:t xml:space="preserve">ew </w:t>
      </w:r>
      <w:r w:rsidR="00A515AE">
        <w:t>e</w:t>
      </w:r>
      <w:r>
        <w:t xml:space="preserve">ntrant </w:t>
      </w:r>
      <w:r w:rsidR="00A515AE">
        <w:t>n</w:t>
      </w:r>
      <w:r>
        <w:t xml:space="preserve">et </w:t>
      </w:r>
      <w:r w:rsidR="00A515AE">
        <w:t>r</w:t>
      </w:r>
      <w:r>
        <w:t xml:space="preserve">evenues metric measures the </w:t>
      </w:r>
      <w:r w:rsidR="00806A40">
        <w:t xml:space="preserve">total revenues from the energy and </w:t>
      </w:r>
      <w:r w:rsidR="00806A40">
        <w:lastRenderedPageBreak/>
        <w:t>ancillary services</w:t>
      </w:r>
      <w:r w:rsidRPr="00791384" w:rsidR="00806A40">
        <w:t xml:space="preserve"> </w:t>
      </w:r>
      <w:r w:rsidRPr="00791384" w:rsidR="00CA6CDE">
        <w:t xml:space="preserve">(as defined in the RTO/ISO Tariff) </w:t>
      </w:r>
      <w:r w:rsidR="00806A40">
        <w:t xml:space="preserve">markets that a new entrant could be expected to receive, based on proxy resources, for both a combustion turbine and a combined cycle.  </w:t>
      </w:r>
      <w:r w:rsidR="00551D6B">
        <w:t>This metric can be an indicator of whether revenues are sufficient to attract new investment</w:t>
      </w:r>
      <w:r w:rsidR="004D2483">
        <w:t>.</w:t>
      </w:r>
    </w:p>
    <w:p w:rsidR="00904F25" w:rsidP="00552DF1" w:rsidRDefault="00B229F6" w14:paraId="7D933571" w14:textId="65FD5A4E">
      <w:pPr>
        <w:pStyle w:val="BodyText"/>
        <w:ind w:firstLine="0"/>
      </w:pPr>
      <w:r>
        <w:t xml:space="preserve">This metric requires </w:t>
      </w:r>
      <w:r w:rsidR="00EB4FB3">
        <w:t xml:space="preserve">information on </w:t>
      </w:r>
      <w:r>
        <w:t>the size</w:t>
      </w:r>
      <w:r w:rsidR="004334D3">
        <w:t xml:space="preserve">, </w:t>
      </w:r>
      <w:r w:rsidR="00552DF1">
        <w:t xml:space="preserve">production </w:t>
      </w:r>
      <w:r w:rsidR="004334D3">
        <w:t>cost</w:t>
      </w:r>
      <w:r w:rsidR="00EB4FB3">
        <w:t>,</w:t>
      </w:r>
      <w:r w:rsidR="004334D3">
        <w:t xml:space="preserve"> and revenue </w:t>
      </w:r>
      <w:r>
        <w:t>estimate</w:t>
      </w:r>
      <w:r w:rsidR="004334D3">
        <w:t>s</w:t>
      </w:r>
      <w:r>
        <w:t xml:space="preserve"> for the prototypical new entrant plant for the </w:t>
      </w:r>
      <w:r w:rsidR="003E498F">
        <w:t>reporting period</w:t>
      </w:r>
      <w:r>
        <w:t xml:space="preserve">. </w:t>
      </w:r>
      <w:r w:rsidR="004334D3">
        <w:t xml:space="preserve"> </w:t>
      </w:r>
      <w:r w:rsidR="00EB4FB3">
        <w:t>The calculation</w:t>
      </w:r>
      <w:r w:rsidR="00F5590D">
        <w:t xml:space="preserve"> of this metric will require an estimate of the fraction of time when the prototypical resource will be economic over the reporting period. </w:t>
      </w:r>
      <w:r w:rsidR="00806A40">
        <w:t xml:space="preserve"> </w:t>
      </w:r>
      <w:r w:rsidR="004334D3">
        <w:t>Revenue reflects the revenue received when the resource is marginal or infra-marginal</w:t>
      </w:r>
      <w:r w:rsidR="00F5590D">
        <w:t xml:space="preserve"> during the reporting period</w:t>
      </w:r>
      <w:r w:rsidR="004334D3">
        <w:t xml:space="preserve">. </w:t>
      </w:r>
      <w:r w:rsidR="00F5590D">
        <w:t xml:space="preserve"> Costs reflect total production cost (including fuel costs) over the reporting period. </w:t>
      </w:r>
      <w:r>
        <w:t xml:space="preserve"> </w:t>
      </w:r>
      <w:r w:rsidR="00806A40">
        <w:t>Capacity market revenues should be omitted from this metric.</w:t>
      </w:r>
    </w:p>
    <w:p w:rsidR="00A80DB2" w:rsidP="00967663" w:rsidRDefault="00857ECE" w14:paraId="5FF15B90" w14:textId="13763BDF">
      <w:pPr>
        <w:pStyle w:val="Heading3"/>
        <w:numPr>
          <w:ilvl w:val="0"/>
          <w:numId w:val="56"/>
        </w:numPr>
        <w:ind w:left="1440" w:firstLine="0"/>
      </w:pPr>
      <w:r>
        <w:t>Order No. 825 Shortage Interval</w:t>
      </w:r>
      <w:r w:rsidR="00673462">
        <w:t xml:space="preserve">s and Reserve Price Impacts </w:t>
      </w:r>
      <w:r w:rsidRPr="008B24A0" w:rsidR="00C17E17">
        <w:t xml:space="preserve"> </w:t>
      </w:r>
    </w:p>
    <w:p w:rsidR="00806A40" w:rsidP="00552DF1" w:rsidRDefault="00A515AE" w14:paraId="4BD7B9C8" w14:textId="6B2B7654">
      <w:pPr>
        <w:pStyle w:val="BodyText"/>
        <w:ind w:firstLine="0"/>
      </w:pPr>
      <w:r>
        <w:t xml:space="preserve">The shortage </w:t>
      </w:r>
      <w:r w:rsidR="00C37E24">
        <w:t xml:space="preserve">intervals </w:t>
      </w:r>
      <w:r>
        <w:t>and reserve price impact</w:t>
      </w:r>
      <w:r w:rsidR="00EF32FA">
        <w:t xml:space="preserve"> metric </w:t>
      </w:r>
      <w:r w:rsidR="00806A40">
        <w:t xml:space="preserve">measures </w:t>
      </w:r>
      <w:r w:rsidR="00EF32FA">
        <w:t>the size, duration</w:t>
      </w:r>
      <w:r w:rsidR="00806A40">
        <w:t>,</w:t>
      </w:r>
      <w:r w:rsidR="00EF32FA">
        <w:t xml:space="preserve"> and impact that shortage events will have on </w:t>
      </w:r>
      <w:r w:rsidR="00806A40">
        <w:t xml:space="preserve">reserve </w:t>
      </w:r>
      <w:r w:rsidR="00EF32FA">
        <w:t>market</w:t>
      </w:r>
      <w:r w:rsidR="00806A40">
        <w:t xml:space="preserve"> clearing price</w:t>
      </w:r>
      <w:r w:rsidR="00EF32FA">
        <w:t xml:space="preserve">s. </w:t>
      </w:r>
    </w:p>
    <w:p w:rsidR="000F7F9E" w:rsidP="00552DF1" w:rsidRDefault="00844C89" w14:paraId="30D8933A" w14:textId="7996FF5B">
      <w:pPr>
        <w:pStyle w:val="BodyText"/>
        <w:ind w:firstLine="0"/>
      </w:pPr>
      <w:r>
        <w:t>The Commission’s regulations define an operating reserve shortage as “a period when the amount of available supply falls short of demand plus the operating reserve requirement.”</w:t>
      </w:r>
      <w:r>
        <w:rPr>
          <w:rStyle w:val="FootnoteReference"/>
        </w:rPr>
        <w:footnoteReference w:id="13"/>
      </w:r>
      <w:r>
        <w:t xml:space="preserve"> </w:t>
      </w:r>
      <w:r w:rsidR="00D10F21">
        <w:t xml:space="preserve"> The regulations require an RTO/ISO to “trigger shortage pricing for any interval in which a shortage of energy or operating reserves is indicated during the pricing of resources for that interval.”</w:t>
      </w:r>
      <w:r w:rsidR="00D10F21">
        <w:rPr>
          <w:rStyle w:val="FootnoteReference"/>
        </w:rPr>
        <w:footnoteReference w:id="14"/>
      </w:r>
      <w:r w:rsidR="00D10F21">
        <w:t xml:space="preserve">  </w:t>
      </w:r>
      <w:r w:rsidR="00E20F78">
        <w:t xml:space="preserve">Specifically, </w:t>
      </w:r>
      <w:r w:rsidR="00EB4FB3">
        <w:t>O</w:t>
      </w:r>
      <w:r w:rsidR="00B32288">
        <w:t xml:space="preserve">rder </w:t>
      </w:r>
      <w:r w:rsidR="00EB4FB3">
        <w:t xml:space="preserve">No. 825 </w:t>
      </w:r>
      <w:r w:rsidR="00D10F21">
        <w:t xml:space="preserve">describes </w:t>
      </w:r>
      <w:r>
        <w:t xml:space="preserve">the requirement for triggering shortage pricing:  </w:t>
      </w:r>
    </w:p>
    <w:p w:rsidR="000F1C01" w:rsidP="005970F9" w:rsidRDefault="000F1C01" w14:paraId="2AFBDDBB" w14:textId="17A9C9B1">
      <w:pPr>
        <w:ind w:left="720" w:right="720"/>
        <w:jc w:val="both"/>
      </w:pPr>
      <w:r>
        <w:t xml:space="preserve">Specifically, we require each RTO/ISO to trigger shortage pricing for any interval in which a shortage of energy or operating reserves is indicated during the pricing of resources for that interval. </w:t>
      </w:r>
      <w:r w:rsidR="00CE1FA9">
        <w:t xml:space="preserve">... </w:t>
      </w:r>
      <w:r>
        <w:t xml:space="preserve">Under this requirement, whenever a shortage of energy or operating reserves is indicated in an RTO’s/ISO’s pricing run software for a particular pricing interval, shortage pricing should be invoked even if during that period resources are ramping </w:t>
      </w:r>
      <w:r>
        <w:lastRenderedPageBreak/>
        <w:t>up to a particular level they are likely to reach in a few minutes.</w:t>
      </w:r>
      <w:r w:rsidR="00EB4FB3">
        <w:rPr>
          <w:rStyle w:val="FootnoteReference"/>
        </w:rPr>
        <w:footnoteReference w:id="15"/>
      </w:r>
    </w:p>
    <w:p w:rsidR="00EB4FB3" w:rsidP="00C90C21" w:rsidRDefault="00EB4FB3" w14:paraId="3BAEF473" w14:textId="699217DA"/>
    <w:p w:rsidR="00E20F78" w:rsidP="006608D6" w:rsidRDefault="00E20F78" w14:paraId="70A854BC" w14:textId="64EDC9DC">
      <w:pPr>
        <w:pStyle w:val="BodyText"/>
        <w:ind w:firstLine="0"/>
      </w:pPr>
      <w:r>
        <w:t xml:space="preserve">As used in the data </w:t>
      </w:r>
      <w:r w:rsidR="00B53AE4">
        <w:t>work</w:t>
      </w:r>
      <w:r>
        <w:t xml:space="preserve">sheet, a Shortage Event is any event in which an RTO/ISO triggers shortage pricing under this regulation and </w:t>
      </w:r>
      <w:r w:rsidR="00341318">
        <w:t xml:space="preserve">the </w:t>
      </w:r>
      <w:r>
        <w:t>Order No</w:t>
      </w:r>
      <w:r w:rsidR="00991568">
        <w:t>.</w:t>
      </w:r>
      <w:r>
        <w:t xml:space="preserve"> 825 definition.  </w:t>
      </w:r>
    </w:p>
    <w:p w:rsidRPr="000F7F9E" w:rsidR="000F7F9E" w:rsidP="006608D6" w:rsidRDefault="00EB4FB3" w14:paraId="7F1BC32B" w14:textId="35EE03CA">
      <w:pPr>
        <w:pStyle w:val="BodyText"/>
        <w:ind w:firstLine="0"/>
      </w:pPr>
      <w:r w:rsidRPr="00706D2A">
        <w:t xml:space="preserve">There </w:t>
      </w:r>
      <w:r>
        <w:t xml:space="preserve">are definitions at </w:t>
      </w:r>
      <w:r w:rsidRPr="00706D2A">
        <w:t xml:space="preserve">the top of this worksheet </w:t>
      </w:r>
      <w:r>
        <w:t xml:space="preserve">and equations embedded </w:t>
      </w:r>
      <w:r w:rsidR="00CE1252">
        <w:t xml:space="preserve">in </w:t>
      </w:r>
      <w:r w:rsidR="004D2483">
        <w:t xml:space="preserve">certain </w:t>
      </w:r>
      <w:r>
        <w:t xml:space="preserve">data items that </w:t>
      </w:r>
      <w:r w:rsidRPr="00706D2A">
        <w:t xml:space="preserve">provide a concise description of how to calculate </w:t>
      </w:r>
      <w:r>
        <w:t xml:space="preserve">the components of </w:t>
      </w:r>
      <w:r w:rsidRPr="00706D2A">
        <w:t>this metric.</w:t>
      </w:r>
      <w:r>
        <w:t xml:space="preserve">  </w:t>
      </w:r>
    </w:p>
    <w:p w:rsidRPr="008B24A0" w:rsidR="00A80DB2" w:rsidP="00181960" w:rsidRDefault="000821DD" w14:paraId="47D4AD8C" w14:textId="67AB50E8">
      <w:pPr>
        <w:pStyle w:val="Heading3"/>
        <w:numPr>
          <w:ilvl w:val="0"/>
          <w:numId w:val="56"/>
        </w:numPr>
      </w:pPr>
      <w:r>
        <w:t xml:space="preserve">Net </w:t>
      </w:r>
      <w:r w:rsidR="00A80DB2">
        <w:t xml:space="preserve">Cost of New Entry (Net </w:t>
      </w:r>
      <w:r w:rsidRPr="008B24A0" w:rsidR="00A80DB2">
        <w:t>CONE</w:t>
      </w:r>
      <w:r w:rsidR="00A80DB2">
        <w:t>)</w:t>
      </w:r>
      <w:r w:rsidRPr="008B24A0" w:rsidR="00A80DB2">
        <w:t xml:space="preserve"> </w:t>
      </w:r>
      <w:r w:rsidR="00045FD3">
        <w:t>V</w:t>
      </w:r>
      <w:r w:rsidRPr="008B24A0" w:rsidR="00A80DB2">
        <w:t>alue</w:t>
      </w:r>
    </w:p>
    <w:p w:rsidR="004F1D65" w:rsidP="004F1D65" w:rsidRDefault="000821DD" w14:paraId="36702581" w14:textId="324BCAAB">
      <w:pPr>
        <w:pStyle w:val="BodyText"/>
        <w:ind w:firstLine="0"/>
      </w:pPr>
      <w:r>
        <w:t xml:space="preserve">The </w:t>
      </w:r>
      <w:r w:rsidR="00FD369C">
        <w:t>N</w:t>
      </w:r>
      <w:r>
        <w:t>et CONE metric represents the revenues a resource could be expected to earn in the capacity market after netting out revenues from the energy and ancillary services market.  The Net CONE metric is usually based on a proxy resource, such as a combined cycle or combustion turbine.</w:t>
      </w:r>
      <w:r w:rsidR="004F1D65">
        <w:t xml:space="preserve">  </w:t>
      </w:r>
    </w:p>
    <w:p w:rsidRPr="008B24A0" w:rsidR="004F1D65" w:rsidP="004F1D65" w:rsidRDefault="004F1D65" w14:paraId="18DB155A" w14:textId="60578B29">
      <w:pPr>
        <w:pStyle w:val="BodyText"/>
        <w:ind w:firstLine="0"/>
      </w:pPr>
      <w:r>
        <w:t>If the RTO/ISO does not produce a Net CONE value for the capacity market, please provide an estimate based on the data in the metric for the New Entrant Net Revenues.</w:t>
      </w:r>
    </w:p>
    <w:p w:rsidR="00C17E17" w:rsidP="00F21FFF" w:rsidRDefault="004F1D65" w14:paraId="4B968292" w14:textId="1608F9D0">
      <w:pPr>
        <w:pStyle w:val="BodyText"/>
        <w:ind w:firstLine="0"/>
      </w:pPr>
      <w:r>
        <w:t xml:space="preserve">Some RTOs/ISOs calculate Net CONE values for specific zones or sub-RTO regions.  </w:t>
      </w:r>
      <w:r w:rsidR="00753642">
        <w:t xml:space="preserve">The </w:t>
      </w:r>
      <w:r>
        <w:t>t</w:t>
      </w:r>
      <w:r w:rsidR="00753642">
        <w:t xml:space="preserve">erm “Zone Name” </w:t>
      </w:r>
      <w:r>
        <w:t xml:space="preserve">used in the worksheet </w:t>
      </w:r>
      <w:r w:rsidR="00753642">
        <w:t xml:space="preserve">may reflect a larger area in some RTOs/ISOs than </w:t>
      </w:r>
      <w:r>
        <w:t xml:space="preserve">just </w:t>
      </w:r>
      <w:r w:rsidR="00753642">
        <w:t xml:space="preserve">a single zone.  </w:t>
      </w:r>
      <w:r>
        <w:t xml:space="preserve">The worksheet </w:t>
      </w:r>
      <w:r w:rsidR="00753642">
        <w:t>include</w:t>
      </w:r>
      <w:r>
        <w:t>s</w:t>
      </w:r>
      <w:r w:rsidR="00753642">
        <w:t xml:space="preserve"> all known areas that the RTOs</w:t>
      </w:r>
      <w:r>
        <w:t>/ISOs</w:t>
      </w:r>
      <w:r w:rsidR="00753642">
        <w:t xml:space="preserve"> have used to calculate Net C</w:t>
      </w:r>
      <w:r w:rsidR="007D3156">
        <w:t>ONE</w:t>
      </w:r>
      <w:r w:rsidR="00753642">
        <w:t xml:space="preserve"> values </w:t>
      </w:r>
      <w:r>
        <w:t xml:space="preserve">to date </w:t>
      </w:r>
      <w:r w:rsidR="00753642">
        <w:t>and users should use the same procedure and choose the respective areas for the Net C</w:t>
      </w:r>
      <w:r w:rsidR="007D3156">
        <w:t>ONE</w:t>
      </w:r>
      <w:r w:rsidR="00753642">
        <w:t xml:space="preserve"> calculations in the drop down list from the macro. </w:t>
      </w:r>
      <w:r w:rsidR="00FE6E9B">
        <w:t xml:space="preserve"> </w:t>
      </w:r>
    </w:p>
    <w:p w:rsidR="00E843A9" w:rsidP="00181960" w:rsidRDefault="00E843A9" w14:paraId="53F1B792" w14:textId="2035C0A8">
      <w:pPr>
        <w:pStyle w:val="Heading3"/>
        <w:numPr>
          <w:ilvl w:val="0"/>
          <w:numId w:val="56"/>
        </w:numPr>
      </w:pPr>
      <w:r>
        <w:t xml:space="preserve">Resource Deliverability </w:t>
      </w:r>
      <w:r w:rsidRPr="008B24A0">
        <w:t xml:space="preserve">  </w:t>
      </w:r>
    </w:p>
    <w:p w:rsidRPr="00A80D2F" w:rsidR="00DC70A6" w:rsidP="00DC70A6" w:rsidRDefault="006D2B56" w14:paraId="1173F638" w14:textId="00A1B50B">
      <w:pPr>
        <w:pStyle w:val="BodyText"/>
        <w:ind w:firstLine="0"/>
      </w:pPr>
      <w:r>
        <w:t xml:space="preserve">The </w:t>
      </w:r>
      <w:r w:rsidR="00A515AE">
        <w:t>r</w:t>
      </w:r>
      <w:r>
        <w:t xml:space="preserve">esource </w:t>
      </w:r>
      <w:r w:rsidR="00A515AE">
        <w:t>d</w:t>
      </w:r>
      <w:r>
        <w:t xml:space="preserve">eliverability metric measures the import </w:t>
      </w:r>
      <w:r w:rsidR="001F6C81">
        <w:t>limitation</w:t>
      </w:r>
      <w:r>
        <w:t>s into the RTO/ISO or sub-RTO/ISO zone, taking into account any local generation requirements in the sub-RTO/ISO region.  RTOs/ISOs that use central</w:t>
      </w:r>
      <w:r w:rsidR="005D675C">
        <w:t>ized</w:t>
      </w:r>
      <w:r>
        <w:t xml:space="preserve"> capacity markets typically have a similar measurement that is </w:t>
      </w:r>
      <w:r w:rsidRPr="00A80D2F" w:rsidR="00DC70A6">
        <w:t xml:space="preserve">analogous </w:t>
      </w:r>
      <w:r>
        <w:t xml:space="preserve">to a </w:t>
      </w:r>
      <w:r w:rsidRPr="00A80D2F" w:rsidR="00DC70A6">
        <w:t>transfer capability</w:t>
      </w:r>
      <w:r>
        <w:t xml:space="preserve"> and/or a local generation requirement</w:t>
      </w:r>
      <w:r w:rsidRPr="00A80D2F" w:rsidR="00DC70A6">
        <w:t xml:space="preserve">. </w:t>
      </w:r>
      <w:r>
        <w:t xml:space="preserve"> The following may refer to the RTO/ISO-specific terminology for such measurements:</w:t>
      </w:r>
    </w:p>
    <w:p w:rsidRPr="00A80D2F" w:rsidR="00DC70A6" w:rsidP="00DC70A6" w:rsidRDefault="00DC70A6" w14:paraId="28B98123" w14:textId="430DB5D1">
      <w:pPr>
        <w:pStyle w:val="BodyText"/>
        <w:ind w:firstLine="0"/>
      </w:pPr>
      <w:r w:rsidRPr="00A80D2F">
        <w:lastRenderedPageBreak/>
        <w:t>PJM:</w:t>
      </w:r>
      <w:r w:rsidR="00045FD3">
        <w:t xml:space="preserve"> </w:t>
      </w:r>
      <w:r w:rsidRPr="00A80D2F">
        <w:t xml:space="preserve"> Capacity Emergency Transfer Limit (CETL)</w:t>
      </w:r>
      <w:r w:rsidR="001F6C81">
        <w:t xml:space="preserve"> and </w:t>
      </w:r>
      <w:r w:rsidRPr="00A80D2F">
        <w:t>Capacity Emergency Transfer Objective (CETO)</w:t>
      </w:r>
    </w:p>
    <w:p w:rsidRPr="00A80D2F" w:rsidR="00DC70A6" w:rsidP="00DC70A6" w:rsidRDefault="00DC70A6" w14:paraId="6F9BD76E" w14:textId="405FCA06">
      <w:pPr>
        <w:pStyle w:val="BodyText"/>
        <w:ind w:firstLine="0"/>
      </w:pPr>
      <w:r w:rsidRPr="00A80D2F">
        <w:t>NYISO:</w:t>
      </w:r>
      <w:r w:rsidR="00495365">
        <w:t xml:space="preserve">  </w:t>
      </w:r>
      <w:r w:rsidRPr="00E27D6F" w:rsidR="00E27D6F">
        <w:t>Locational Minimum Installed Capacity Requirements</w:t>
      </w:r>
    </w:p>
    <w:p w:rsidRPr="00A80D2F" w:rsidR="00B77AC6" w:rsidP="00B77AC6" w:rsidRDefault="00DC70A6" w14:paraId="785479A0" w14:textId="419D86CD">
      <w:pPr>
        <w:pStyle w:val="BodyText"/>
        <w:ind w:firstLine="0"/>
      </w:pPr>
      <w:r w:rsidRPr="00A80D2F">
        <w:t>ISO-NE:</w:t>
      </w:r>
      <w:r w:rsidR="00045FD3">
        <w:t xml:space="preserve"> </w:t>
      </w:r>
      <w:r w:rsidR="00B77AC6">
        <w:t xml:space="preserve"> </w:t>
      </w:r>
      <w:r w:rsidRPr="001D6742" w:rsidR="001D6742">
        <w:t>Capacity Interface Transfer Capability</w:t>
      </w:r>
    </w:p>
    <w:p w:rsidRPr="00DC70A6" w:rsidR="00DC70A6" w:rsidP="00990EEE" w:rsidRDefault="00DC70A6" w14:paraId="0BCCAF90" w14:textId="65FFAE9C">
      <w:pPr>
        <w:pStyle w:val="BodyText"/>
        <w:ind w:firstLine="0"/>
      </w:pPr>
      <w:r w:rsidRPr="00A80D2F">
        <w:t xml:space="preserve">MISO: </w:t>
      </w:r>
      <w:r w:rsidR="00045FD3">
        <w:t xml:space="preserve"> </w:t>
      </w:r>
      <w:r w:rsidRPr="00A80D2F">
        <w:t xml:space="preserve">Local Clearing Requirement (LCR): </w:t>
      </w:r>
      <w:r w:rsidR="004746F0">
        <w:t xml:space="preserve"> </w:t>
      </w:r>
      <w:r w:rsidRPr="00A80D2F">
        <w:t>The minimum amount of Unforced Capacity that</w:t>
      </w:r>
      <w:r w:rsidR="00B77AC6">
        <w:t xml:space="preserve"> is physically located within a</w:t>
      </w:r>
      <w:r w:rsidRPr="00A80D2F">
        <w:t xml:space="preserve"> Local Reserve Zone (LRZ) that is required to meet the Loss of Load Expectation (LOLE) while fully using the Capacity Import Limit for such LRZ associated with the applicable Planning Resource Auction (PRA) or Forward Resource Auction (FRA).</w:t>
      </w:r>
      <w:r w:rsidR="00045FD3">
        <w:t xml:space="preserve"> </w:t>
      </w:r>
      <w:r w:rsidRPr="00A80D2F">
        <w:t xml:space="preserve"> Report the LCR/ Unforced Capacity in the </w:t>
      </w:r>
      <w:r w:rsidR="00045FD3">
        <w:t>z</w:t>
      </w:r>
      <w:r w:rsidRPr="00A80D2F">
        <w:t xml:space="preserve">one. </w:t>
      </w:r>
      <w:r w:rsidR="00B77AC6">
        <w:t xml:space="preserve"> </w:t>
      </w:r>
    </w:p>
    <w:p w:rsidR="00E72FDE" w:rsidP="00181960" w:rsidRDefault="00E72FDE" w14:paraId="6958CBEC" w14:textId="7953C052">
      <w:pPr>
        <w:pStyle w:val="Heading3"/>
        <w:numPr>
          <w:ilvl w:val="0"/>
          <w:numId w:val="56"/>
        </w:numPr>
        <w:spacing w:before="240"/>
      </w:pPr>
      <w:r w:rsidRPr="008B24A0">
        <w:t>New Capacity (Entry)</w:t>
      </w:r>
    </w:p>
    <w:p w:rsidRPr="00A21213" w:rsidR="00A21213" w:rsidP="00A617E8" w:rsidRDefault="00A21213" w14:paraId="7EC5BFAF" w14:textId="58BD240D">
      <w:pPr>
        <w:pStyle w:val="BodyText"/>
        <w:ind w:firstLine="0"/>
      </w:pPr>
      <w:r>
        <w:t xml:space="preserve">The </w:t>
      </w:r>
      <w:r w:rsidR="00A515AE">
        <w:t>n</w:t>
      </w:r>
      <w:r>
        <w:t xml:space="preserve">ew </w:t>
      </w:r>
      <w:r w:rsidR="00A515AE">
        <w:t>c</w:t>
      </w:r>
      <w:r>
        <w:t xml:space="preserve">apacity metric measures whether there has been any new capacity </w:t>
      </w:r>
      <w:r w:rsidR="006E1645">
        <w:t xml:space="preserve">added </w:t>
      </w:r>
      <w:r>
        <w:t>in the RTO/ISO since the previous capacity auction, measured by both RTO/ISO-wide and for specific sub-RTO/ISO regions that were modeled separately from the rest of the RTO/ISO.</w:t>
      </w:r>
    </w:p>
    <w:p w:rsidR="00125674" w:rsidP="00181960" w:rsidRDefault="001A03ED" w14:paraId="593D59A0" w14:textId="1AA25906">
      <w:pPr>
        <w:pStyle w:val="Heading3"/>
        <w:numPr>
          <w:ilvl w:val="0"/>
          <w:numId w:val="56"/>
        </w:numPr>
      </w:pPr>
      <w:r>
        <w:t>C</w:t>
      </w:r>
      <w:r w:rsidRPr="008B24A0" w:rsidR="00125674">
        <w:t>apacity Retirement (Exit)</w:t>
      </w:r>
    </w:p>
    <w:p w:rsidR="001F6C81" w:rsidP="00A617E8" w:rsidRDefault="001F6C81" w14:paraId="43A5A17E" w14:textId="357D0F2E">
      <w:pPr>
        <w:pStyle w:val="BodyText"/>
        <w:ind w:firstLine="0"/>
      </w:pPr>
      <w:r>
        <w:t xml:space="preserve">The </w:t>
      </w:r>
      <w:r w:rsidR="00A515AE">
        <w:t>c</w:t>
      </w:r>
      <w:r>
        <w:t xml:space="preserve">apacity </w:t>
      </w:r>
      <w:r w:rsidR="00A515AE">
        <w:t>r</w:t>
      </w:r>
      <w:r>
        <w:t xml:space="preserve">etirement metric measures whether there has been any capacity that has been taken out of service since the last capacity auction.  </w:t>
      </w:r>
    </w:p>
    <w:p w:rsidRPr="00A80D2F" w:rsidR="00EB59E2" w:rsidP="00A617E8" w:rsidRDefault="001F6C81" w14:paraId="69886384" w14:textId="29CAF524">
      <w:pPr>
        <w:pStyle w:val="BodyText"/>
        <w:ind w:firstLine="0"/>
      </w:pPr>
      <w:r>
        <w:t>The definition of r</w:t>
      </w:r>
      <w:r w:rsidRPr="00A80D2F" w:rsidR="00EB59E2">
        <w:t xml:space="preserve">etirement should be consistent with </w:t>
      </w:r>
      <w:r>
        <w:t xml:space="preserve">that used in the </w:t>
      </w:r>
      <w:r w:rsidRPr="00A80D2F" w:rsidR="00EB59E2">
        <w:t xml:space="preserve">EIA’s Annual Electric Generator Report, </w:t>
      </w:r>
      <w:r>
        <w:t xml:space="preserve">specifically the </w:t>
      </w:r>
      <w:r w:rsidRPr="00A80D2F" w:rsidR="00EB59E2">
        <w:t xml:space="preserve">categories </w:t>
      </w:r>
      <w:r>
        <w:t xml:space="preserve">of </w:t>
      </w:r>
      <w:r w:rsidRPr="00A80D2F" w:rsidR="00EB59E2">
        <w:t>“standby” and “retired</w:t>
      </w:r>
      <w:r w:rsidR="004746F0">
        <w:t>.</w:t>
      </w:r>
      <w:r w:rsidRPr="00A80D2F" w:rsidR="00EB59E2">
        <w:t>”</w:t>
      </w:r>
    </w:p>
    <w:p w:rsidRPr="008B24A0" w:rsidR="00E72FDE" w:rsidP="00181960" w:rsidRDefault="00E72FDE" w14:paraId="61A48262" w14:textId="29514567">
      <w:pPr>
        <w:pStyle w:val="Heading3"/>
        <w:numPr>
          <w:ilvl w:val="0"/>
          <w:numId w:val="56"/>
        </w:numPr>
      </w:pPr>
      <w:r w:rsidRPr="008B24A0">
        <w:t xml:space="preserve">Forecasted Demand </w:t>
      </w:r>
    </w:p>
    <w:p w:rsidR="00B526F2" w:rsidP="00CF571E" w:rsidRDefault="00B526F2" w14:paraId="65F9E5C9" w14:textId="55B9BE8E">
      <w:pPr>
        <w:pStyle w:val="BodyText"/>
        <w:ind w:firstLine="0"/>
      </w:pPr>
      <w:r>
        <w:t xml:space="preserve">The </w:t>
      </w:r>
      <w:r w:rsidR="00A515AE">
        <w:t>f</w:t>
      </w:r>
      <w:r>
        <w:t xml:space="preserve">orecasted </w:t>
      </w:r>
      <w:r w:rsidR="00A515AE">
        <w:t>d</w:t>
      </w:r>
      <w:r>
        <w:t>emand metric measures the coincidental peak demand of a sub-RTO/ISO region at the time of the last binding auction and compares it to the realized coincidental peak demand for that reporting period.</w:t>
      </w:r>
    </w:p>
    <w:p w:rsidR="00FE7698" w:rsidP="00181960" w:rsidRDefault="00FE7698" w14:paraId="2D0E9932" w14:textId="6C9A3E15">
      <w:pPr>
        <w:pStyle w:val="Heading3"/>
        <w:numPr>
          <w:ilvl w:val="0"/>
          <w:numId w:val="56"/>
        </w:numPr>
      </w:pPr>
      <w:r w:rsidRPr="008B24A0">
        <w:t xml:space="preserve">Capacity </w:t>
      </w:r>
      <w:r w:rsidR="00A323C3">
        <w:t xml:space="preserve">Market </w:t>
      </w:r>
      <w:r w:rsidRPr="008B24A0" w:rsidR="002A64E2">
        <w:t xml:space="preserve">Procurement and </w:t>
      </w:r>
      <w:r w:rsidRPr="008B24A0">
        <w:t xml:space="preserve">Prices  </w:t>
      </w:r>
    </w:p>
    <w:p w:rsidR="00126F2B" w:rsidP="00F21FFF" w:rsidRDefault="00126F2B" w14:paraId="383DD82F" w14:textId="78AAC011">
      <w:pPr>
        <w:pStyle w:val="BodyText"/>
        <w:ind w:firstLine="0"/>
      </w:pPr>
      <w:r>
        <w:t>Th</w:t>
      </w:r>
      <w:r w:rsidR="00A515AE">
        <w:t xml:space="preserve">e capacity market procurement </w:t>
      </w:r>
      <w:r>
        <w:t xml:space="preserve">metric measures the total capacity </w:t>
      </w:r>
      <w:r w:rsidR="006629DC">
        <w:t xml:space="preserve">offered and </w:t>
      </w:r>
      <w:r>
        <w:t>procured through the central capacity market a</w:t>
      </w:r>
      <w:r w:rsidR="006629DC">
        <w:t xml:space="preserve">s well as </w:t>
      </w:r>
      <w:r>
        <w:t>the associated capacity price on an RTO</w:t>
      </w:r>
      <w:r w:rsidR="00284512">
        <w:t>/ISO</w:t>
      </w:r>
      <w:r>
        <w:t xml:space="preserve">-wide basis, as well as per individual zones that were modeled and/or cleared differently from the rest of the RTO/ISO.  </w:t>
      </w:r>
    </w:p>
    <w:p w:rsidR="00126F2B" w:rsidP="00F21FFF" w:rsidRDefault="00126F2B" w14:paraId="5C064F34" w14:textId="442EB413">
      <w:pPr>
        <w:pStyle w:val="BodyText"/>
        <w:ind w:firstLine="0"/>
      </w:pPr>
      <w:r>
        <w:lastRenderedPageBreak/>
        <w:t xml:space="preserve">This metric includes relevant information, such as the date of the capacity auction and the start date of the delivery period.  </w:t>
      </w:r>
      <w:r w:rsidR="00A971D5">
        <w:t>T</w:t>
      </w:r>
      <w:r>
        <w:t xml:space="preserve">he explanatory text </w:t>
      </w:r>
      <w:r w:rsidR="00A617E8">
        <w:t xml:space="preserve">box </w:t>
      </w:r>
      <w:r w:rsidR="00A971D5">
        <w:t xml:space="preserve">may be used </w:t>
      </w:r>
      <w:r>
        <w:t xml:space="preserve">to provide important details, such as why an auction date appears incongruent from other auction dates in the </w:t>
      </w:r>
      <w:r w:rsidR="003E498F">
        <w:t>reporting period</w:t>
      </w:r>
      <w:r>
        <w:t>.</w:t>
      </w:r>
    </w:p>
    <w:p w:rsidRPr="00FB491C" w:rsidR="0080632E" w:rsidP="00F21FFF" w:rsidRDefault="006629DC" w14:paraId="7135EE0E" w14:textId="0E3FEA4B">
      <w:pPr>
        <w:pStyle w:val="BodyText"/>
        <w:ind w:firstLine="0"/>
      </w:pPr>
      <w:r>
        <w:t>Please note that i</w:t>
      </w:r>
      <w:r w:rsidR="007E2239">
        <w:t xml:space="preserve">f there is no price separation </w:t>
      </w:r>
      <w:r w:rsidR="001B48D0">
        <w:t xml:space="preserve">over the entire </w:t>
      </w:r>
      <w:r>
        <w:t>five reporting period</w:t>
      </w:r>
      <w:r w:rsidR="004D6BD4">
        <w:t>s</w:t>
      </w:r>
      <w:r>
        <w:t>, then</w:t>
      </w:r>
      <w:r w:rsidR="007E2239">
        <w:t xml:space="preserve"> only </w:t>
      </w:r>
      <w:r>
        <w:t xml:space="preserve">report </w:t>
      </w:r>
      <w:r w:rsidR="007E2239">
        <w:t xml:space="preserve">one price in the first </w:t>
      </w:r>
      <w:r w:rsidR="001B48D0">
        <w:t>section (RTO</w:t>
      </w:r>
      <w:r w:rsidR="007618EF">
        <w:t>/ISO</w:t>
      </w:r>
      <w:r w:rsidR="001B48D0">
        <w:t>-</w:t>
      </w:r>
      <w:r w:rsidR="007618EF">
        <w:t>w</w:t>
      </w:r>
      <w:r w:rsidR="001B48D0">
        <w:t>ide)</w:t>
      </w:r>
      <w:r w:rsidR="00126F2B">
        <w:t>.</w:t>
      </w:r>
      <w:r w:rsidR="001B48D0">
        <w:t xml:space="preserve"> </w:t>
      </w:r>
    </w:p>
    <w:p w:rsidR="001E4EC5" w:rsidP="00EE6251" w:rsidRDefault="001E4EC5" w14:paraId="0C289BEE" w14:textId="5F00F716">
      <w:pPr>
        <w:pStyle w:val="Heading3"/>
        <w:numPr>
          <w:ilvl w:val="0"/>
          <w:numId w:val="56"/>
        </w:numPr>
        <w:ind w:left="1440" w:firstLine="0"/>
      </w:pPr>
      <w:r w:rsidRPr="00781454">
        <w:t>Capacity Obligations and Performance Assessment Events</w:t>
      </w:r>
    </w:p>
    <w:p w:rsidR="006629DC" w:rsidP="00A617E8" w:rsidRDefault="006629DC" w14:paraId="6F7844CD" w14:textId="1165E48D">
      <w:pPr>
        <w:pStyle w:val="BodyText"/>
        <w:ind w:firstLine="0"/>
      </w:pPr>
      <w:r>
        <w:t>Th</w:t>
      </w:r>
      <w:r w:rsidR="00A617E8">
        <w:t>e capacity obligation</w:t>
      </w:r>
      <w:r w:rsidR="00045FD3">
        <w:t>s</w:t>
      </w:r>
      <w:r w:rsidR="00A617E8">
        <w:t xml:space="preserve"> and performance </w:t>
      </w:r>
      <w:r>
        <w:t xml:space="preserve">metric measures the total </w:t>
      </w:r>
      <w:r w:rsidR="007618EF">
        <w:t xml:space="preserve">cleared </w:t>
      </w:r>
      <w:r>
        <w:t xml:space="preserve">capacity </w:t>
      </w:r>
      <w:r w:rsidR="007618EF">
        <w:t xml:space="preserve">eligible for bonus payments for over-performance and subject to penalties for under-performance, along </w:t>
      </w:r>
      <w:r>
        <w:t>with the number and duration of performance events</w:t>
      </w:r>
      <w:r w:rsidR="007618EF">
        <w:t xml:space="preserve">. </w:t>
      </w:r>
      <w:r w:rsidR="000622E5">
        <w:t xml:space="preserve"> This metric applies to RTOs/ISOs in which a resource with a capacity supply obligation is expected to perform in a </w:t>
      </w:r>
      <w:r w:rsidR="00A76899">
        <w:t xml:space="preserve">given </w:t>
      </w:r>
      <w:r w:rsidR="000622E5">
        <w:t xml:space="preserve">delivery period.  </w:t>
      </w:r>
      <w:r w:rsidR="007618EF">
        <w:t>This metric</w:t>
      </w:r>
      <w:r>
        <w:t xml:space="preserve"> </w:t>
      </w:r>
      <w:r w:rsidR="000622E5">
        <w:t xml:space="preserve">is reported </w:t>
      </w:r>
      <w:r>
        <w:t xml:space="preserve">both RTO/ISO-wide and by zone.  </w:t>
      </w:r>
    </w:p>
    <w:p w:rsidR="006629DC" w:rsidP="00A617E8" w:rsidRDefault="00A76899" w14:paraId="342D550D" w14:textId="135BE4CC">
      <w:pPr>
        <w:pStyle w:val="BodyText"/>
        <w:ind w:firstLine="0"/>
      </w:pPr>
      <w:r>
        <w:t xml:space="preserve">RTOs/ISOs that use </w:t>
      </w:r>
      <w:r w:rsidR="00084B68">
        <w:t xml:space="preserve">Performance Assessment Events </w:t>
      </w:r>
      <w:r>
        <w:t xml:space="preserve">or Capacity Scarcity Conditions </w:t>
      </w:r>
      <w:r w:rsidR="00067A56">
        <w:t xml:space="preserve">to determine performance </w:t>
      </w:r>
      <w:r w:rsidR="00084B68">
        <w:t xml:space="preserve">should </w:t>
      </w:r>
      <w:r w:rsidR="00067A56">
        <w:t xml:space="preserve">use the time periods that </w:t>
      </w:r>
      <w:r w:rsidR="00084B68">
        <w:t>correspond determine whether capacity resources are available at expected levels during</w:t>
      </w:r>
      <w:r w:rsidR="006629DC">
        <w:t xml:space="preserve"> performance intervals, as defined by each RTO/ISO</w:t>
      </w:r>
      <w:r w:rsidR="00084B68">
        <w:t>.</w:t>
      </w:r>
      <w:r w:rsidR="005919E7">
        <w:t xml:space="preserve">  </w:t>
      </w:r>
      <w:r w:rsidR="006629DC">
        <w:t>For the purposes of this Information Collection, the following types of performance events should be considered:</w:t>
      </w:r>
    </w:p>
    <w:p w:rsidR="006629DC" w:rsidP="009D73A6" w:rsidRDefault="006629DC" w14:paraId="7CFAD548" w14:textId="7D456D49">
      <w:pPr>
        <w:pStyle w:val="BodyText"/>
        <w:ind w:firstLine="0"/>
      </w:pPr>
      <w:r>
        <w:t xml:space="preserve">PJM: </w:t>
      </w:r>
      <w:r w:rsidR="00045FD3">
        <w:t xml:space="preserve"> </w:t>
      </w:r>
      <w:r>
        <w:t>Performance Assessment Interval</w:t>
      </w:r>
    </w:p>
    <w:p w:rsidR="006629DC" w:rsidP="00C90C21" w:rsidRDefault="006629DC" w14:paraId="35889E9F" w14:textId="29D5C4B9">
      <w:pPr>
        <w:pStyle w:val="BodyText"/>
        <w:ind w:firstLine="0"/>
      </w:pPr>
      <w:r>
        <w:t>ISO-NE:</w:t>
      </w:r>
      <w:r w:rsidR="00045FD3">
        <w:t xml:space="preserve"> </w:t>
      </w:r>
      <w:r w:rsidR="00734F20">
        <w:t xml:space="preserve"> Capacity Scarcity Condition</w:t>
      </w:r>
    </w:p>
    <w:p w:rsidR="00084B68" w:rsidP="006608D6" w:rsidRDefault="006629DC" w14:paraId="2C1A629B" w14:textId="42EE6940">
      <w:pPr>
        <w:pStyle w:val="BodyText"/>
        <w:ind w:firstLine="0"/>
      </w:pPr>
      <w:r>
        <w:t xml:space="preserve">MISO: </w:t>
      </w:r>
      <w:r w:rsidR="00045FD3">
        <w:t xml:space="preserve"> </w:t>
      </w:r>
      <w:r w:rsidR="00CC1187">
        <w:t xml:space="preserve">Include events in which a </w:t>
      </w:r>
      <w:r w:rsidR="005919E7">
        <w:t xml:space="preserve">Load Modifying Resource </w:t>
      </w:r>
      <w:r w:rsidR="00CC1187">
        <w:t>may be expected to perform</w:t>
      </w:r>
      <w:r w:rsidR="005919E7">
        <w:t xml:space="preserve"> </w:t>
      </w:r>
    </w:p>
    <w:p w:rsidRPr="00084B68" w:rsidR="00335CC0" w:rsidP="006608D6" w:rsidRDefault="00335CC0" w14:paraId="672A43D9" w14:textId="0955B4B6">
      <w:pPr>
        <w:pStyle w:val="BodyText"/>
        <w:ind w:firstLine="0"/>
      </w:pPr>
      <w:r>
        <w:t xml:space="preserve">NYISO: </w:t>
      </w:r>
      <w:r w:rsidR="0061431B">
        <w:t xml:space="preserve"> </w:t>
      </w:r>
      <w:r w:rsidR="005F51B6">
        <w:t>Requirements Applicable to Installed Capacity Suppliers:</w:t>
      </w:r>
      <w:r w:rsidR="004746F0">
        <w:t xml:space="preserve"> </w:t>
      </w:r>
      <w:r w:rsidR="005F51B6">
        <w:t xml:space="preserve"> </w:t>
      </w:r>
      <w:r w:rsidRPr="00335CC0">
        <w:t>Sanctions for Failing to Comply with Scheduling, Bidding, and Notification Requirements</w:t>
      </w:r>
    </w:p>
    <w:p w:rsidRPr="00E908DD" w:rsidR="00791762" w:rsidP="00CC1187" w:rsidRDefault="00962FAB" w14:paraId="6C5816B5" w14:textId="47651251">
      <w:pPr>
        <w:pStyle w:val="Heading3"/>
        <w:numPr>
          <w:ilvl w:val="0"/>
          <w:numId w:val="56"/>
        </w:numPr>
      </w:pPr>
      <w:r>
        <w:t>Capacity</w:t>
      </w:r>
      <w:r w:rsidR="00391564">
        <w:t xml:space="preserve"> </w:t>
      </w:r>
      <w:r w:rsidRPr="00E908DD" w:rsidR="00D0243B">
        <w:t>Over</w:t>
      </w:r>
      <w:r w:rsidR="00F51F28">
        <w:t>-</w:t>
      </w:r>
      <w:r w:rsidRPr="00E908DD" w:rsidR="00F77089">
        <w:t xml:space="preserve">Performance  </w:t>
      </w:r>
    </w:p>
    <w:p w:rsidR="005D438B" w:rsidP="008E25C3" w:rsidRDefault="005D438B" w14:paraId="1C4C39AE" w14:textId="3BEC7698">
      <w:pPr>
        <w:pStyle w:val="BodyText"/>
        <w:ind w:firstLine="0"/>
        <w:rPr>
          <w:bCs/>
        </w:rPr>
      </w:pPr>
      <w:r>
        <w:rPr>
          <w:bCs/>
        </w:rPr>
        <w:t>Th</w:t>
      </w:r>
      <w:r w:rsidR="005C75FC">
        <w:rPr>
          <w:bCs/>
        </w:rPr>
        <w:t xml:space="preserve">e </w:t>
      </w:r>
      <w:r w:rsidR="00BE3333">
        <w:rPr>
          <w:bCs/>
        </w:rPr>
        <w:t>c</w:t>
      </w:r>
      <w:r w:rsidR="00757662">
        <w:rPr>
          <w:bCs/>
        </w:rPr>
        <w:t xml:space="preserve">apacity </w:t>
      </w:r>
      <w:r w:rsidR="00BE3333">
        <w:rPr>
          <w:bCs/>
        </w:rPr>
        <w:t>o</w:t>
      </w:r>
      <w:r w:rsidR="00757662">
        <w:rPr>
          <w:bCs/>
        </w:rPr>
        <w:t>ver</w:t>
      </w:r>
      <w:r w:rsidR="00045FD3">
        <w:rPr>
          <w:bCs/>
        </w:rPr>
        <w:t>-</w:t>
      </w:r>
      <w:r w:rsidR="00BE3333">
        <w:rPr>
          <w:bCs/>
        </w:rPr>
        <w:t>p</w:t>
      </w:r>
      <w:r w:rsidR="00757662">
        <w:rPr>
          <w:bCs/>
        </w:rPr>
        <w:t>erformance</w:t>
      </w:r>
      <w:r>
        <w:rPr>
          <w:bCs/>
        </w:rPr>
        <w:t xml:space="preserve"> metric measures the total number of units that over-performed during a performance assessment period (as defined in Metric #26).  </w:t>
      </w:r>
      <w:r w:rsidR="00277541">
        <w:rPr>
          <w:bCs/>
        </w:rPr>
        <w:t xml:space="preserve"> </w:t>
      </w:r>
    </w:p>
    <w:p w:rsidR="003F3080" w:rsidP="008E25C3" w:rsidRDefault="00A46380" w14:paraId="58960B04" w14:textId="334D7CBD">
      <w:pPr>
        <w:pStyle w:val="BodyText"/>
        <w:ind w:firstLine="0"/>
      </w:pPr>
      <w:r w:rsidRPr="00E908DD">
        <w:rPr>
          <w:bCs/>
        </w:rPr>
        <w:t xml:space="preserve">The equation at the top of this worksheet provides a concise description of how to calculate this metric.  </w:t>
      </w:r>
      <w:r w:rsidRPr="00E908DD" w:rsidR="00562DBD">
        <w:t>For the formulas in this metric</w:t>
      </w:r>
      <w:r w:rsidRPr="00E908DD" w:rsidR="003F3080">
        <w:t>:</w:t>
      </w:r>
      <w:r w:rsidR="00562DBD">
        <w:t xml:space="preserve"> </w:t>
      </w:r>
    </w:p>
    <w:p w:rsidR="003F3080" w:rsidP="008E25C3" w:rsidRDefault="00562DBD" w14:paraId="7895866C" w14:textId="77777777">
      <w:pPr>
        <w:pStyle w:val="BodyText"/>
      </w:pPr>
      <w:r>
        <w:lastRenderedPageBreak/>
        <w:t xml:space="preserve">Capacity = MW amount that responded; </w:t>
      </w:r>
    </w:p>
    <w:p w:rsidR="003F3080" w:rsidP="008E25C3" w:rsidRDefault="00562DBD" w14:paraId="52E0DC0F" w14:textId="77777777">
      <w:pPr>
        <w:pStyle w:val="BodyText"/>
      </w:pPr>
      <w:r>
        <w:t xml:space="preserve">Duration </w:t>
      </w:r>
      <w:r w:rsidR="00730CEF">
        <w:t xml:space="preserve">= </w:t>
      </w:r>
      <w:r>
        <w:t xml:space="preserve">duration of event; </w:t>
      </w:r>
    </w:p>
    <w:p w:rsidR="00562DBD" w:rsidP="00525235" w:rsidRDefault="00562DBD" w14:paraId="7A2CEFD6" w14:textId="26AA9DF4">
      <w:pPr>
        <w:pStyle w:val="BodyText"/>
        <w:rPr>
          <w:highlight w:val="yellow"/>
        </w:rPr>
      </w:pPr>
      <w:r>
        <w:t>n = number of individual performance events</w:t>
      </w:r>
    </w:p>
    <w:p w:rsidRPr="005E4E10" w:rsidR="00593C0E" w:rsidP="00CC1187" w:rsidRDefault="00962FAB" w14:paraId="2657C354" w14:textId="7F9A917B">
      <w:pPr>
        <w:pStyle w:val="Heading3"/>
        <w:numPr>
          <w:ilvl w:val="0"/>
          <w:numId w:val="56"/>
        </w:numPr>
      </w:pPr>
      <w:r>
        <w:t xml:space="preserve">Capacity </w:t>
      </w:r>
      <w:r w:rsidR="006B6559">
        <w:t>Under-Performance</w:t>
      </w:r>
    </w:p>
    <w:p w:rsidR="00EC5610" w:rsidP="00EC5610" w:rsidRDefault="00EC5610" w14:paraId="63B1516E" w14:textId="798E7F0E">
      <w:pPr>
        <w:pStyle w:val="BodyText"/>
        <w:ind w:firstLine="0"/>
        <w:rPr>
          <w:bCs/>
        </w:rPr>
      </w:pPr>
      <w:r>
        <w:rPr>
          <w:bCs/>
        </w:rPr>
        <w:t>T</w:t>
      </w:r>
      <w:r w:rsidR="009D73A6">
        <w:rPr>
          <w:bCs/>
        </w:rPr>
        <w:t xml:space="preserve">he </w:t>
      </w:r>
      <w:r w:rsidR="00BE3333">
        <w:rPr>
          <w:bCs/>
        </w:rPr>
        <w:t>c</w:t>
      </w:r>
      <w:r w:rsidR="00757662">
        <w:rPr>
          <w:bCs/>
        </w:rPr>
        <w:t xml:space="preserve">apacity </w:t>
      </w:r>
      <w:r w:rsidR="00BE3333">
        <w:rPr>
          <w:bCs/>
        </w:rPr>
        <w:t>u</w:t>
      </w:r>
      <w:r w:rsidR="00757662">
        <w:rPr>
          <w:bCs/>
        </w:rPr>
        <w:t>nder-</w:t>
      </w:r>
      <w:r w:rsidR="00BE3333">
        <w:rPr>
          <w:bCs/>
        </w:rPr>
        <w:t>p</w:t>
      </w:r>
      <w:r w:rsidR="00757662">
        <w:rPr>
          <w:bCs/>
        </w:rPr>
        <w:t xml:space="preserve">erformance </w:t>
      </w:r>
      <w:r w:rsidR="009D73A6">
        <w:rPr>
          <w:bCs/>
        </w:rPr>
        <w:t>metric</w:t>
      </w:r>
      <w:r>
        <w:rPr>
          <w:bCs/>
        </w:rPr>
        <w:t xml:space="preserve"> measures the total number of units that under-performed during a performance assessment period (as defined in Metric #26).  </w:t>
      </w:r>
    </w:p>
    <w:p w:rsidR="003F3080" w:rsidP="009D73A6" w:rsidRDefault="00A46380" w14:paraId="218A4AAF" w14:textId="6AAD341E">
      <w:pPr>
        <w:pStyle w:val="BodyText"/>
        <w:ind w:firstLine="0"/>
      </w:pPr>
      <w:r>
        <w:rPr>
          <w:bCs/>
        </w:rPr>
        <w:t>The</w:t>
      </w:r>
      <w:r w:rsidRPr="00A46380">
        <w:rPr>
          <w:bCs/>
        </w:rPr>
        <w:t xml:space="preserve"> equation at the top of this worksheet provides a concise description of how to calculate this metric. </w:t>
      </w:r>
      <w:r w:rsidR="008E25C3">
        <w:rPr>
          <w:bCs/>
        </w:rPr>
        <w:t xml:space="preserve"> </w:t>
      </w:r>
      <w:r w:rsidR="003F3080">
        <w:t xml:space="preserve">For the formulas in this metric: </w:t>
      </w:r>
    </w:p>
    <w:p w:rsidR="003F3080" w:rsidP="008E25C3" w:rsidRDefault="00F05896" w14:paraId="66A4D437" w14:textId="77777777">
      <w:pPr>
        <w:pStyle w:val="BodyText"/>
      </w:pPr>
      <w:r>
        <w:t xml:space="preserve">Capacity = MW amount that </w:t>
      </w:r>
      <w:r w:rsidR="001D6742">
        <w:t xml:space="preserve">did not </w:t>
      </w:r>
      <w:r>
        <w:t xml:space="preserve">respond; </w:t>
      </w:r>
    </w:p>
    <w:p w:rsidR="003F3080" w:rsidP="008E25C3" w:rsidRDefault="00F05896" w14:paraId="0B9AA603" w14:textId="77777777">
      <w:pPr>
        <w:pStyle w:val="BodyText"/>
      </w:pPr>
      <w:r>
        <w:t xml:space="preserve">Duration </w:t>
      </w:r>
      <w:r w:rsidR="001D6742">
        <w:t xml:space="preserve">= </w:t>
      </w:r>
      <w:r>
        <w:t>duration of event</w:t>
      </w:r>
      <w:r w:rsidR="00BA034D">
        <w:t xml:space="preserve"> in hours</w:t>
      </w:r>
      <w:r>
        <w:t xml:space="preserve">; </w:t>
      </w:r>
    </w:p>
    <w:p w:rsidR="00F05896" w:rsidP="008E25C3" w:rsidRDefault="00F05896" w14:paraId="2613AA5B" w14:textId="46DF67AE">
      <w:pPr>
        <w:pStyle w:val="BodyText"/>
      </w:pPr>
      <w:r>
        <w:t>n = number of individual performance events</w:t>
      </w:r>
    </w:p>
    <w:p w:rsidR="00791762" w:rsidDel="00A323C3" w:rsidP="00CC1187" w:rsidRDefault="009565C3" w14:paraId="4763E1CE" w14:textId="0B69227C">
      <w:pPr>
        <w:pStyle w:val="Heading3"/>
        <w:numPr>
          <w:ilvl w:val="0"/>
          <w:numId w:val="56"/>
        </w:numPr>
      </w:pPr>
      <w:r w:rsidDel="00A323C3">
        <w:t xml:space="preserve">Total </w:t>
      </w:r>
      <w:r w:rsidR="00962FAB">
        <w:t>Capacity</w:t>
      </w:r>
      <w:r w:rsidDel="00A323C3" w:rsidR="00962FAB">
        <w:t xml:space="preserve"> </w:t>
      </w:r>
      <w:r w:rsidR="00962FAB">
        <w:t>Bonus</w:t>
      </w:r>
      <w:r w:rsidDel="00A323C3">
        <w:t xml:space="preserve"> </w:t>
      </w:r>
      <w:r w:rsidR="003F42D3">
        <w:t xml:space="preserve">Payments </w:t>
      </w:r>
      <w:r w:rsidDel="00A323C3">
        <w:t>and Penalties</w:t>
      </w:r>
    </w:p>
    <w:p w:rsidRPr="00353337" w:rsidR="00353337" w:rsidDel="00A323C3" w:rsidP="00557FD6" w:rsidRDefault="009D73A6" w14:paraId="6E09D50D" w14:textId="11B562CE">
      <w:pPr>
        <w:pStyle w:val="BodyText"/>
        <w:ind w:firstLine="0"/>
      </w:pPr>
      <w:r>
        <w:t xml:space="preserve">The total </w:t>
      </w:r>
      <w:r w:rsidR="00F4717A">
        <w:t xml:space="preserve">capacity </w:t>
      </w:r>
      <w:r>
        <w:t>bonus payment</w:t>
      </w:r>
      <w:r w:rsidR="00F4717A">
        <w:t>s and penalties</w:t>
      </w:r>
      <w:r>
        <w:t xml:space="preserve"> </w:t>
      </w:r>
      <w:r w:rsidR="00353337">
        <w:t>metric</w:t>
      </w:r>
      <w:r w:rsidR="00E73B75">
        <w:t xml:space="preserve"> measures the total bonus payments and penalties charged to capacity resources with supply obligations that under-performed or over-performed during a performance assessment period (as defined in Metric #26).</w:t>
      </w:r>
      <w:r w:rsidR="00353337">
        <w:t xml:space="preserve"> </w:t>
      </w:r>
    </w:p>
    <w:p w:rsidR="004F5E0E" w:rsidRDefault="004F5E0E" w14:paraId="3B744817" w14:textId="77777777">
      <w:pPr>
        <w:widowControl/>
        <w:autoSpaceDE/>
        <w:autoSpaceDN/>
        <w:adjustRightInd/>
        <w:rPr>
          <w:b/>
          <w:bCs/>
          <w:iCs/>
          <w:kern w:val="32"/>
          <w:szCs w:val="28"/>
          <w:u w:val="single"/>
        </w:rPr>
      </w:pPr>
      <w:bookmarkStart w:name="_Ref526511702" w:id="22"/>
      <w:r>
        <w:br w:type="page"/>
      </w:r>
    </w:p>
    <w:p w:rsidRPr="008B24A0" w:rsidR="00C83573" w:rsidP="00EF19D4" w:rsidRDefault="00697320" w14:paraId="659B0116" w14:textId="5234B182">
      <w:pPr>
        <w:pStyle w:val="Heading2"/>
        <w:numPr>
          <w:ilvl w:val="0"/>
          <w:numId w:val="0"/>
        </w:numPr>
      </w:pPr>
      <w:bookmarkStart w:name="_Toc29457641" w:id="23"/>
      <w:r w:rsidRPr="008B24A0">
        <w:lastRenderedPageBreak/>
        <w:t>A</w:t>
      </w:r>
      <w:r w:rsidR="00EF19D4">
        <w:t>ppendix A</w:t>
      </w:r>
      <w:r w:rsidR="004F5E0E">
        <w:t xml:space="preserve"> - </w:t>
      </w:r>
      <w:r w:rsidRPr="008B24A0" w:rsidR="00A64D5E">
        <w:t>Entering Zonal Data</w:t>
      </w:r>
      <w:bookmarkEnd w:id="22"/>
      <w:bookmarkEnd w:id="23"/>
    </w:p>
    <w:p w:rsidRPr="008B24A0" w:rsidR="00A64D5E" w:rsidRDefault="00A64D5E" w14:paraId="3EB9A13C" w14:textId="17F39B30">
      <w:pPr>
        <w:pStyle w:val="BodyText"/>
      </w:pPr>
      <w:r w:rsidRPr="008B24A0">
        <w:t>Each sheet with zonal data will have a button:</w:t>
      </w:r>
    </w:p>
    <w:p w:rsidRPr="008B24A0" w:rsidR="00067A32" w:rsidP="00067A32" w:rsidRDefault="00A64D5E" w14:paraId="37AA4FAD" w14:textId="7C5E0ACD">
      <w:pPr>
        <w:pStyle w:val="BodyText"/>
      </w:pPr>
      <w:r w:rsidRPr="00701343">
        <w:rPr>
          <w:noProof/>
        </w:rPr>
        <w:drawing>
          <wp:inline distT="0" distB="0" distL="0" distR="0" wp14:anchorId="0E7E71FD" wp14:editId="578EC434">
            <wp:extent cx="11620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pic:spPr>
                </pic:pic>
              </a:graphicData>
            </a:graphic>
          </wp:inline>
        </w:drawing>
      </w:r>
    </w:p>
    <w:p w:rsidRPr="008B24A0" w:rsidR="00A64D5E" w:rsidP="00067A32" w:rsidRDefault="003B21DE" w14:paraId="18B1E9AB" w14:textId="28F9E9BA">
      <w:pPr>
        <w:pStyle w:val="BodyText"/>
      </w:pPr>
      <w:r w:rsidRPr="00701343">
        <w:rPr>
          <w:noProof/>
        </w:rPr>
        <w:drawing>
          <wp:anchor distT="0" distB="0" distL="114300" distR="114300" simplePos="0" relativeHeight="251656704" behindDoc="0" locked="0" layoutInCell="1" allowOverlap="1" wp14:editId="1B09D908" wp14:anchorId="2AA0D369">
            <wp:simplePos x="0" y="0"/>
            <wp:positionH relativeFrom="column">
              <wp:posOffset>510540</wp:posOffset>
            </wp:positionH>
            <wp:positionV relativeFrom="paragraph">
              <wp:posOffset>342265</wp:posOffset>
            </wp:positionV>
            <wp:extent cx="2446020" cy="215372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46020" cy="2153728"/>
                    </a:xfrm>
                    <a:prstGeom prst="rect">
                      <a:avLst/>
                    </a:prstGeom>
                  </pic:spPr>
                </pic:pic>
              </a:graphicData>
            </a:graphic>
          </wp:anchor>
        </w:drawing>
      </w:r>
      <w:r w:rsidRPr="008B24A0" w:rsidR="00A64D5E">
        <w:t>Clicking on this button will display a form:</w:t>
      </w:r>
    </w:p>
    <w:p w:rsidR="005B0992" w:rsidP="00067A32" w:rsidRDefault="005B0992" w14:paraId="77953C9A" w14:textId="0FFAF0F0">
      <w:pPr>
        <w:pStyle w:val="BodyText"/>
      </w:pPr>
    </w:p>
    <w:p w:rsidRPr="005B0992" w:rsidR="005B0992" w:rsidP="009C218C" w:rsidRDefault="005B0992" w14:paraId="2F339B0D" w14:textId="77777777"/>
    <w:p w:rsidRPr="00A87ED1" w:rsidR="005B0992" w:rsidP="009C218C" w:rsidRDefault="005B0992" w14:paraId="6FC114DA" w14:textId="77777777"/>
    <w:p w:rsidRPr="005B0992" w:rsidR="005B0992" w:rsidP="009C218C" w:rsidRDefault="005B0992" w14:paraId="77C295C3" w14:textId="77777777"/>
    <w:p w:rsidRPr="005B0992" w:rsidR="005B0992" w:rsidP="009C218C" w:rsidRDefault="005B0992" w14:paraId="18165028" w14:textId="77777777"/>
    <w:p w:rsidRPr="005B0992" w:rsidR="005B0992" w:rsidP="009C218C" w:rsidRDefault="005B0992" w14:paraId="4D64EF88" w14:textId="77777777"/>
    <w:p w:rsidRPr="005B0992" w:rsidR="005B0992" w:rsidP="009C218C" w:rsidRDefault="005B0992" w14:paraId="7EDC95B6" w14:textId="77777777"/>
    <w:p w:rsidR="005B0992" w:rsidP="009C218C" w:rsidRDefault="005B0992" w14:paraId="32B42DD1" w14:textId="38DA0052">
      <w:pPr>
        <w:pStyle w:val="BodyText"/>
        <w:tabs>
          <w:tab w:val="left" w:pos="5268"/>
        </w:tabs>
      </w:pPr>
      <w:r>
        <w:tab/>
      </w:r>
      <w:r>
        <w:tab/>
      </w:r>
      <w:r>
        <w:tab/>
      </w:r>
      <w:r>
        <w:tab/>
      </w:r>
      <w:r>
        <w:tab/>
      </w:r>
      <w:r>
        <w:tab/>
      </w:r>
      <w:r>
        <w:tab/>
      </w:r>
    </w:p>
    <w:p w:rsidRPr="008B24A0" w:rsidR="00A64D5E" w:rsidP="00067A32" w:rsidRDefault="005B0992" w14:paraId="11289F5F" w14:textId="77777777">
      <w:pPr>
        <w:pStyle w:val="BodyText"/>
      </w:pPr>
      <w:r>
        <w:br w:type="textWrapping" w:clear="all"/>
      </w:r>
    </w:p>
    <w:p w:rsidRPr="008B24A0" w:rsidR="00BF30BC" w:rsidP="00BA1ED4" w:rsidRDefault="00BF30BC" w14:paraId="5F815246" w14:textId="769C2EA2">
      <w:pPr>
        <w:pStyle w:val="BodyText"/>
      </w:pPr>
      <w:r w:rsidRPr="008B24A0">
        <w:t xml:space="preserve">Clicking on the arrow from the </w:t>
      </w:r>
      <w:r w:rsidRPr="008B24A0" w:rsidR="00777550">
        <w:t xml:space="preserve">RTO </w:t>
      </w:r>
      <w:r w:rsidRPr="008B24A0">
        <w:t>drop-down box will yield a list of RTOs</w:t>
      </w:r>
      <w:r w:rsidR="00F4717A">
        <w:t>:</w:t>
      </w:r>
    </w:p>
    <w:p w:rsidRPr="008B24A0" w:rsidR="00B36093" w:rsidP="00067A32" w:rsidRDefault="001A4DDC" w14:paraId="3B4E3FE4" w14:textId="5763271D">
      <w:pPr>
        <w:pStyle w:val="BodyText"/>
      </w:pPr>
      <w:r w:rsidRPr="00701343">
        <w:rPr>
          <w:noProof/>
        </w:rPr>
        <w:drawing>
          <wp:inline distT="0" distB="0" distL="0" distR="0" wp14:anchorId="0D195BB3" wp14:editId="11E05702">
            <wp:extent cx="2446020" cy="21396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6556" cy="2148845"/>
                    </a:xfrm>
                    <a:prstGeom prst="rect">
                      <a:avLst/>
                    </a:prstGeom>
                  </pic:spPr>
                </pic:pic>
              </a:graphicData>
            </a:graphic>
          </wp:inline>
        </w:drawing>
      </w:r>
    </w:p>
    <w:p w:rsidRPr="008B24A0" w:rsidR="00B36093" w:rsidP="00067A32" w:rsidRDefault="007625FC" w14:paraId="7B48E5FF" w14:textId="60B5E6B9">
      <w:pPr>
        <w:pStyle w:val="BodyText"/>
      </w:pPr>
      <w:r w:rsidRPr="008B24A0">
        <w:t xml:space="preserve">Clicking on an entry from </w:t>
      </w:r>
      <w:r w:rsidRPr="008B24A0" w:rsidR="00B36093">
        <w:t>the RTO dropdown box</w:t>
      </w:r>
      <w:r w:rsidR="00F4717A">
        <w:t>,</w:t>
      </w:r>
      <w:r w:rsidRPr="008B24A0" w:rsidR="00B36093">
        <w:t xml:space="preserve"> </w:t>
      </w:r>
      <w:r w:rsidRPr="008B24A0" w:rsidR="000217ED">
        <w:t>as shown above</w:t>
      </w:r>
      <w:r w:rsidR="00F4717A">
        <w:t>,</w:t>
      </w:r>
      <w:r w:rsidRPr="008B24A0" w:rsidR="000217ED">
        <w:t xml:space="preserve"> </w:t>
      </w:r>
      <w:r w:rsidRPr="008B24A0" w:rsidR="00B36093">
        <w:t xml:space="preserve">will </w:t>
      </w:r>
      <w:r w:rsidRPr="008B24A0" w:rsidR="00BF30BC">
        <w:t>give the following message</w:t>
      </w:r>
      <w:r w:rsidR="00F4717A">
        <w:t>:</w:t>
      </w:r>
    </w:p>
    <w:p w:rsidRPr="008B24A0" w:rsidR="00BF30BC" w:rsidP="00067A32" w:rsidRDefault="00BF30BC" w14:paraId="5D213B54" w14:textId="7A20E81D">
      <w:pPr>
        <w:pStyle w:val="BodyText"/>
      </w:pPr>
      <w:r w:rsidRPr="00701343">
        <w:rPr>
          <w:noProof/>
        </w:rPr>
        <w:lastRenderedPageBreak/>
        <w:drawing>
          <wp:inline distT="0" distB="0" distL="0" distR="0" wp14:anchorId="683ED7C5" wp14:editId="6AC1C343">
            <wp:extent cx="1882140" cy="1610984"/>
            <wp:effectExtent l="0" t="0" r="381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86218" cy="1614474"/>
                    </a:xfrm>
                    <a:prstGeom prst="rect">
                      <a:avLst/>
                    </a:prstGeom>
                  </pic:spPr>
                </pic:pic>
              </a:graphicData>
            </a:graphic>
          </wp:inline>
        </w:drawing>
      </w:r>
    </w:p>
    <w:p w:rsidRPr="008B24A0" w:rsidR="00BF30BC" w:rsidP="00067A32" w:rsidRDefault="00BF30BC" w14:paraId="5DE643AF" w14:textId="77777777">
      <w:pPr>
        <w:pStyle w:val="BodyText"/>
      </w:pPr>
    </w:p>
    <w:p w:rsidRPr="008B24A0" w:rsidR="002F6298" w:rsidP="00620F94" w:rsidRDefault="002F6298" w14:paraId="6FD26DAA" w14:textId="3D613A5F">
      <w:pPr>
        <w:pStyle w:val="BodyText"/>
      </w:pPr>
      <w:r w:rsidRPr="008B24A0">
        <w:t>C</w:t>
      </w:r>
      <w:r w:rsidRPr="008B24A0" w:rsidR="007625FC">
        <w:t>licking on the arrow from the “Add Zone</w:t>
      </w:r>
      <w:r w:rsidRPr="008B24A0">
        <w:t>” drop-down box will yield a list of regions</w:t>
      </w:r>
      <w:r w:rsidR="00F4717A">
        <w:t>:</w:t>
      </w:r>
    </w:p>
    <w:p w:rsidRPr="008B24A0" w:rsidR="002F6298" w:rsidP="00067A32" w:rsidRDefault="002F6298" w14:paraId="233D6DE2" w14:textId="77777777">
      <w:pPr>
        <w:pStyle w:val="BodyText"/>
      </w:pPr>
    </w:p>
    <w:p w:rsidRPr="008B24A0" w:rsidR="00B36093" w:rsidP="00067A32" w:rsidRDefault="000217ED" w14:paraId="70B14823" w14:textId="76C5F463">
      <w:pPr>
        <w:pStyle w:val="BodyText"/>
      </w:pPr>
      <w:r w:rsidRPr="00701343">
        <w:rPr>
          <w:noProof/>
        </w:rPr>
        <w:drawing>
          <wp:inline distT="0" distB="0" distL="0" distR="0" wp14:anchorId="5CF60F12" wp14:editId="22882A2C">
            <wp:extent cx="2459736" cy="2139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59736" cy="2139696"/>
                    </a:xfrm>
                    <a:prstGeom prst="rect">
                      <a:avLst/>
                    </a:prstGeom>
                  </pic:spPr>
                </pic:pic>
              </a:graphicData>
            </a:graphic>
          </wp:inline>
        </w:drawing>
      </w:r>
    </w:p>
    <w:p w:rsidRPr="008B24A0" w:rsidR="00B36093" w:rsidP="00067A32" w:rsidRDefault="00B36093" w14:paraId="4CB32B08" w14:textId="56092F51">
      <w:pPr>
        <w:pStyle w:val="BodyText"/>
      </w:pPr>
    </w:p>
    <w:p w:rsidRPr="008B24A0" w:rsidR="002F6298" w:rsidP="002F6298" w:rsidRDefault="007625FC" w14:paraId="6AF32BD1" w14:textId="39692A57">
      <w:pPr>
        <w:pStyle w:val="BodyText"/>
      </w:pPr>
      <w:r w:rsidRPr="008B24A0">
        <w:t>Clicking on an entry from the “Add Zone</w:t>
      </w:r>
      <w:r w:rsidRPr="008B24A0" w:rsidR="002F6298">
        <w:t>” dropdown box</w:t>
      </w:r>
      <w:r w:rsidR="00F4717A">
        <w:t>,</w:t>
      </w:r>
      <w:r w:rsidRPr="008B24A0" w:rsidR="002F6298">
        <w:t xml:space="preserve"> as shown above</w:t>
      </w:r>
      <w:r w:rsidR="00F4717A">
        <w:t>,</w:t>
      </w:r>
      <w:r w:rsidRPr="008B24A0" w:rsidR="002F6298">
        <w:t xml:space="preserve"> will give the following message</w:t>
      </w:r>
      <w:r w:rsidR="00F4717A">
        <w:t>:</w:t>
      </w:r>
    </w:p>
    <w:p w:rsidRPr="008B24A0" w:rsidR="00B36093" w:rsidP="00067A32" w:rsidRDefault="007625FC" w14:paraId="5E69042B" w14:textId="1F0FA3C0">
      <w:pPr>
        <w:pStyle w:val="BodyText"/>
      </w:pPr>
      <w:r w:rsidRPr="00701343">
        <w:rPr>
          <w:noProof/>
        </w:rPr>
        <w:lastRenderedPageBreak/>
        <w:drawing>
          <wp:inline distT="0" distB="0" distL="0" distR="0" wp14:anchorId="3609B313" wp14:editId="5D101B66">
            <wp:extent cx="2118360" cy="145995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8094" cy="1466659"/>
                    </a:xfrm>
                    <a:prstGeom prst="rect">
                      <a:avLst/>
                    </a:prstGeom>
                  </pic:spPr>
                </pic:pic>
              </a:graphicData>
            </a:graphic>
          </wp:inline>
        </w:drawing>
      </w:r>
    </w:p>
    <w:p w:rsidRPr="008B24A0" w:rsidR="00B36093" w:rsidP="00067A32" w:rsidRDefault="002F6298" w14:paraId="5D3DCC98" w14:textId="128A255F">
      <w:pPr>
        <w:pStyle w:val="BodyText"/>
      </w:pPr>
      <w:r w:rsidRPr="008B24A0">
        <w:t>Clicking on the “Add Zone Row” Button will add the next region</w:t>
      </w:r>
      <w:r w:rsidR="00367C97">
        <w:t>:</w:t>
      </w:r>
    </w:p>
    <w:p w:rsidRPr="008B24A0" w:rsidR="002F6298" w:rsidP="00067A32" w:rsidRDefault="002F6298" w14:paraId="14469F6E" w14:textId="75AE0EB7">
      <w:pPr>
        <w:pStyle w:val="BodyText"/>
      </w:pPr>
      <w:r w:rsidRPr="00701343">
        <w:rPr>
          <w:noProof/>
        </w:rPr>
        <w:drawing>
          <wp:inline distT="0" distB="0" distL="0" distR="0" wp14:anchorId="6B02D81F" wp14:editId="38CD1E46">
            <wp:extent cx="2459736" cy="20665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59736" cy="2066544"/>
                    </a:xfrm>
                    <a:prstGeom prst="rect">
                      <a:avLst/>
                    </a:prstGeom>
                  </pic:spPr>
                </pic:pic>
              </a:graphicData>
            </a:graphic>
          </wp:inline>
        </w:drawing>
      </w:r>
    </w:p>
    <w:p w:rsidR="00EF19D4" w:rsidP="00067A32" w:rsidRDefault="002F6298" w14:paraId="5509D7F1" w14:textId="2572E1EE">
      <w:pPr>
        <w:pStyle w:val="BodyText"/>
      </w:pPr>
      <w:r w:rsidRPr="008B24A0">
        <w:t>Clicking on the “Exit” button will exit the form.</w:t>
      </w:r>
    </w:p>
    <w:p w:rsidR="00EF19D4" w:rsidRDefault="00EF19D4" w14:paraId="43522F78" w14:textId="77777777">
      <w:pPr>
        <w:widowControl/>
        <w:autoSpaceDE/>
        <w:autoSpaceDN/>
        <w:adjustRightInd/>
      </w:pPr>
      <w:r>
        <w:br w:type="page"/>
      </w:r>
    </w:p>
    <w:p w:rsidRPr="008B24A0" w:rsidR="00EB1DD9" w:rsidP="00EB1DD9" w:rsidRDefault="00EB1DD9" w14:paraId="7B1C3E7A" w14:textId="6902CEE8">
      <w:pPr>
        <w:pStyle w:val="Heading2"/>
        <w:numPr>
          <w:ilvl w:val="0"/>
          <w:numId w:val="0"/>
        </w:numPr>
      </w:pPr>
      <w:bookmarkStart w:name="_Toc29457642" w:id="24"/>
      <w:r w:rsidRPr="008B24A0">
        <w:lastRenderedPageBreak/>
        <w:t>A</w:t>
      </w:r>
      <w:r>
        <w:t xml:space="preserve">ppendix B </w:t>
      </w:r>
      <w:r w:rsidRPr="00967663">
        <w:rPr>
          <w:b w:val="0"/>
        </w:rPr>
        <w:t xml:space="preserve">- </w:t>
      </w:r>
      <w:r w:rsidRPr="00967663">
        <w:rPr>
          <w:rStyle w:val="Heading2Char"/>
          <w:b/>
        </w:rPr>
        <w:t>EIA Fuel Code</w:t>
      </w:r>
      <w:r w:rsidRPr="00967663">
        <w:rPr>
          <w:b w:val="0"/>
        </w:rPr>
        <w:t>s</w:t>
      </w:r>
      <w:bookmarkEnd w:id="24"/>
    </w:p>
    <w:p w:rsidR="00EF19D4" w:rsidP="00B21F70" w:rsidRDefault="00EF19D4" w14:paraId="475119D8" w14:textId="09122362">
      <w:pPr>
        <w:pStyle w:val="BodyText"/>
        <w:ind w:firstLine="0"/>
      </w:pPr>
      <w:r w:rsidRPr="00A75FFC">
        <w:rPr>
          <w:noProof/>
        </w:rPr>
        <w:drawing>
          <wp:inline distT="0" distB="0" distL="0" distR="0" wp14:anchorId="0C462A1F" wp14:editId="3273FB0D">
            <wp:extent cx="5954690" cy="691642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823" cy="6921221"/>
                    </a:xfrm>
                    <a:prstGeom prst="rect">
                      <a:avLst/>
                    </a:prstGeom>
                    <a:noFill/>
                    <a:ln>
                      <a:noFill/>
                    </a:ln>
                  </pic:spPr>
                </pic:pic>
              </a:graphicData>
            </a:graphic>
          </wp:inline>
        </w:drawing>
      </w:r>
    </w:p>
    <w:p w:rsidRPr="00BA1ED4" w:rsidR="00525235" w:rsidP="00EB1DD9" w:rsidRDefault="00525235" w14:paraId="14CCCFB9" w14:textId="4291832C">
      <w:pPr>
        <w:pStyle w:val="Heading2"/>
        <w:numPr>
          <w:ilvl w:val="0"/>
          <w:numId w:val="0"/>
        </w:numPr>
      </w:pPr>
      <w:bookmarkStart w:name="_Toc29457643" w:id="25"/>
      <w:r w:rsidRPr="00BA1ED4">
        <w:lastRenderedPageBreak/>
        <w:t xml:space="preserve">Appendix C </w:t>
      </w:r>
      <w:r w:rsidR="00E444E6">
        <w:t>-</w:t>
      </w:r>
      <w:r w:rsidRPr="00BA1ED4">
        <w:t xml:space="preserve"> Forced Outage Calculations</w:t>
      </w:r>
      <w:bookmarkEnd w:id="25"/>
    </w:p>
    <w:p w:rsidR="00525235" w:rsidP="00525235" w:rsidRDefault="00525235" w14:paraId="77346391" w14:textId="77777777"/>
    <w:p w:rsidR="00525235" w:rsidP="00525235" w:rsidRDefault="00525235" w14:paraId="4DB059D7" w14:textId="1049B86A">
      <w:pPr>
        <w:rPr>
          <w:szCs w:val="26"/>
          <w:u w:val="single"/>
        </w:rPr>
      </w:pPr>
      <w:r w:rsidRPr="007C1DA4">
        <w:rPr>
          <w:szCs w:val="26"/>
          <w:u w:val="single"/>
        </w:rPr>
        <w:t xml:space="preserve">Forced Outage Rate – FOR </w:t>
      </w:r>
    </w:p>
    <w:p w:rsidRPr="007C1DA4" w:rsidR="00525235" w:rsidP="00525235" w:rsidRDefault="00525235" w14:paraId="01736659" w14:textId="77777777">
      <w:pPr>
        <w:ind w:firstLine="720"/>
        <w:rPr>
          <w:szCs w:val="26"/>
          <w:u w:val="single"/>
        </w:rPr>
      </w:pPr>
    </w:p>
    <w:p w:rsidRPr="008B24A0" w:rsidR="00525235" w:rsidP="00525235" w:rsidRDefault="00525235" w14:paraId="432A249F" w14:textId="77777777">
      <w:r w:rsidRPr="008B24A0">
        <w:t xml:space="preserve">FOR = (FOH / FOH + SH + Synchronous Hrs + Pumping Hrs) x 100% </w:t>
      </w:r>
    </w:p>
    <w:p w:rsidRPr="00A80D2F" w:rsidR="00525235" w:rsidP="00525235" w:rsidRDefault="00525235" w14:paraId="42CBBBC2" w14:textId="77777777"/>
    <w:p w:rsidRPr="008B24A0" w:rsidR="00525235" w:rsidP="00525235" w:rsidRDefault="00525235" w14:paraId="1CEED82C" w14:textId="77777777">
      <w:pPr>
        <w:pStyle w:val="ListParagraph"/>
        <w:numPr>
          <w:ilvl w:val="0"/>
          <w:numId w:val="21"/>
        </w:numPr>
        <w:autoSpaceDE/>
        <w:autoSpaceDN/>
        <w:adjustRightInd/>
      </w:pPr>
      <w:r w:rsidRPr="008B24A0">
        <w:t>FOH is Forced Outage Hours</w:t>
      </w:r>
      <w:r>
        <w:t>, which is the s</w:t>
      </w:r>
      <w:r w:rsidRPr="008B24A0">
        <w:t>um of all hours experienced during Forced Outages (U1, U2, U3) + Startup Failures (SF)</w:t>
      </w:r>
      <w:r>
        <w:t>.</w:t>
      </w:r>
      <w:r w:rsidRPr="008B24A0">
        <w:t xml:space="preserve"> </w:t>
      </w:r>
    </w:p>
    <w:p w:rsidR="00525235" w:rsidP="00525235" w:rsidRDefault="00525235" w14:paraId="11E7C988" w14:textId="77777777">
      <w:pPr>
        <w:pStyle w:val="ListParagraph"/>
        <w:numPr>
          <w:ilvl w:val="0"/>
          <w:numId w:val="21"/>
        </w:numPr>
        <w:tabs>
          <w:tab w:val="num" w:pos="2880"/>
        </w:tabs>
        <w:autoSpaceDE/>
        <w:autoSpaceDN/>
        <w:adjustRightInd/>
      </w:pPr>
      <w:r w:rsidRPr="008B24A0">
        <w:t xml:space="preserve">SH is </w:t>
      </w:r>
      <w:r>
        <w:t>the s</w:t>
      </w:r>
      <w:r w:rsidRPr="008B24A0">
        <w:t>um of all Unit Service Hours.</w:t>
      </w:r>
    </w:p>
    <w:p w:rsidR="00525235" w:rsidP="00525235" w:rsidRDefault="00525235" w14:paraId="042B2D11" w14:textId="77777777">
      <w:pPr>
        <w:pStyle w:val="ListParagraph"/>
        <w:numPr>
          <w:ilvl w:val="0"/>
          <w:numId w:val="21"/>
        </w:numPr>
        <w:tabs>
          <w:tab w:val="num" w:pos="2880"/>
        </w:tabs>
        <w:autoSpaceDE/>
        <w:autoSpaceDN/>
        <w:adjustRightInd/>
      </w:pPr>
      <w:r w:rsidRPr="008B24A0">
        <w:t>Synchronous Hrs</w:t>
      </w:r>
      <w:r>
        <w:t xml:space="preserve"> is the s</w:t>
      </w:r>
      <w:r w:rsidRPr="008B24A0">
        <w:t>um of all hours the unit is in the synchronous condensing mode. The units are considered to be in a non-generating service operation.</w:t>
      </w:r>
      <w:r>
        <w:t xml:space="preserve"> </w:t>
      </w:r>
    </w:p>
    <w:p w:rsidR="00525235" w:rsidP="00525235" w:rsidRDefault="00525235" w14:paraId="076CA3AB" w14:textId="77777777">
      <w:pPr>
        <w:pStyle w:val="ListParagraph"/>
        <w:widowControl/>
        <w:numPr>
          <w:ilvl w:val="0"/>
          <w:numId w:val="21"/>
        </w:numPr>
        <w:autoSpaceDE/>
        <w:autoSpaceDN/>
        <w:adjustRightInd/>
        <w:spacing w:after="160" w:line="259" w:lineRule="auto"/>
      </w:pPr>
      <w:r w:rsidRPr="00495365">
        <w:t>Pumping Hrs</w:t>
      </w:r>
      <w:r>
        <w:t xml:space="preserve"> is the s</w:t>
      </w:r>
      <w:r w:rsidRPr="00495365">
        <w:t>um of all hours the pumped storage unit is in pumping mode.  The units are considered to be in a non-generating service opera</w:t>
      </w:r>
      <w:r>
        <w:t>tion.</w:t>
      </w:r>
    </w:p>
    <w:p w:rsidRPr="00434112" w:rsidR="00525235" w:rsidP="00525235" w:rsidRDefault="00525235" w14:paraId="6DCF9D54" w14:textId="77777777">
      <w:pPr>
        <w:widowControl/>
        <w:tabs>
          <w:tab w:val="num" w:pos="2880"/>
        </w:tabs>
        <w:autoSpaceDE/>
        <w:autoSpaceDN/>
        <w:adjustRightInd/>
        <w:spacing w:after="160" w:line="259" w:lineRule="auto"/>
        <w:rPr>
          <w:u w:val="single"/>
        </w:rPr>
      </w:pPr>
      <w:r w:rsidRPr="00434112">
        <w:rPr>
          <w:u w:val="single"/>
        </w:rPr>
        <w:t xml:space="preserve">Equivalent Forced Outage Rate – EFOR </w:t>
      </w:r>
    </w:p>
    <w:p w:rsidR="00525235" w:rsidP="00525235" w:rsidRDefault="00525235" w14:paraId="50D380EC" w14:textId="25359034">
      <w:pPr>
        <w:widowControl/>
        <w:autoSpaceDE/>
        <w:autoSpaceDN/>
        <w:adjustRightInd/>
        <w:spacing w:after="160" w:line="259" w:lineRule="auto"/>
      </w:pPr>
      <w:r w:rsidRPr="008B24A0">
        <w:t>EFOR = [(FOH + EFDH) / (FOH + SH + Synchronous Hrs + Pumping Hrs + EFDHRS)] x 100%</w:t>
      </w:r>
      <w:r>
        <w:t xml:space="preserve"> </w:t>
      </w:r>
    </w:p>
    <w:p w:rsidR="002773A1" w:rsidP="002773A1" w:rsidRDefault="002773A1" w14:paraId="640F56EA" w14:textId="7545E320">
      <w:pPr>
        <w:pStyle w:val="ListParagraph"/>
        <w:numPr>
          <w:ilvl w:val="0"/>
          <w:numId w:val="21"/>
        </w:numPr>
        <w:autoSpaceDE/>
        <w:autoSpaceDN/>
        <w:adjustRightInd/>
      </w:pPr>
      <w:r>
        <w:t>EFDH</w:t>
      </w:r>
      <w:r w:rsidRPr="008B24A0" w:rsidR="0034524C">
        <w:t xml:space="preserve"> is </w:t>
      </w:r>
      <w:r>
        <w:t xml:space="preserve">Equivalent Forced Derating Hours, which is each individual forced derating (D1, D2, and D3) transformed into equivalent full outage hour(s).  This variable is calculated by multiplying the actual duration of the derating (hours) by the size of the reduction (MW) and dividing by the Net Maximum Capacity (NMC). These equivalent hour(s) are then summed. </w:t>
      </w:r>
    </w:p>
    <w:p w:rsidR="002773A1" w:rsidP="002773A1" w:rsidRDefault="002773A1" w14:paraId="152726CF" w14:textId="432E5817">
      <w:pPr>
        <w:autoSpaceDE/>
        <w:autoSpaceDN/>
        <w:adjustRightInd/>
      </w:pPr>
    </w:p>
    <w:p w:rsidR="002773A1" w:rsidP="00F95771" w:rsidRDefault="00AB6C76" w14:paraId="63F633B5" w14:textId="4B32503C">
      <w:pPr>
        <w:autoSpaceDE/>
        <w:autoSpaceDN/>
        <w:adjustRightInd/>
      </w:pPr>
      <m:oMathPara>
        <m:oMath>
          <m:nary>
            <m:naryPr>
              <m:chr m:val="∑"/>
              <m:limLoc m:val="undOvr"/>
              <m:supHide m:val="1"/>
              <m:ctrlPr>
                <w:rPr>
                  <w:rFonts w:ascii="Cambria Math" w:hAnsi="Cambria Math"/>
                  <w:i/>
                </w:rPr>
              </m:ctrlPr>
            </m:naryPr>
            <m:sub>
              <m:r>
                <w:rPr>
                  <w:rFonts w:ascii="Cambria Math" w:hAnsi="Cambria Math"/>
                </w:rPr>
                <m:t>equivalent hours</m:t>
              </m:r>
            </m:sub>
            <m:sup/>
            <m:e>
              <m:f>
                <m:fPr>
                  <m:ctrlPr>
                    <w:rPr>
                      <w:rFonts w:ascii="Cambria Math" w:hAnsi="Cambria Math"/>
                      <w:i/>
                    </w:rPr>
                  </m:ctrlPr>
                </m:fPr>
                <m:num>
                  <m:r>
                    <w:rPr>
                      <w:rFonts w:ascii="Cambria Math" w:hAnsi="Cambria Math"/>
                    </w:rPr>
                    <m:t>Derating Hours During All Events*Size of MW Reduction</m:t>
                  </m:r>
                </m:num>
                <m:den>
                  <m:r>
                    <w:rPr>
                      <w:rFonts w:ascii="Cambria Math" w:hAnsi="Cambria Math"/>
                    </w:rPr>
                    <m:t>NMC</m:t>
                  </m:r>
                </m:den>
              </m:f>
            </m:e>
          </m:nary>
        </m:oMath>
      </m:oMathPara>
    </w:p>
    <w:p w:rsidR="002773A1" w:rsidP="002773A1" w:rsidRDefault="002773A1" w14:paraId="66D62F49" w14:textId="77777777">
      <w:pPr>
        <w:pStyle w:val="ListParagraph"/>
        <w:autoSpaceDE/>
        <w:autoSpaceDN/>
        <w:adjustRightInd/>
        <w:ind w:left="360"/>
      </w:pPr>
    </w:p>
    <w:p w:rsidR="00266A0E" w:rsidP="002773A1" w:rsidRDefault="002773A1" w14:paraId="28792EE7" w14:textId="77777777">
      <w:pPr>
        <w:pStyle w:val="ListParagraph"/>
        <w:autoSpaceDE/>
        <w:autoSpaceDN/>
        <w:adjustRightInd/>
        <w:ind w:left="360"/>
      </w:pPr>
      <w:r>
        <w:t>EFDH includes Forced Deratings (D1, D2, and D3) during Reserve Shutdowns (RS)</w:t>
      </w:r>
      <w:r w:rsidR="00266A0E">
        <w:t>.</w:t>
      </w:r>
    </w:p>
    <w:p w:rsidR="00266A0E" w:rsidP="002773A1" w:rsidRDefault="00266A0E" w14:paraId="1502761C" w14:textId="77777777">
      <w:pPr>
        <w:pStyle w:val="ListParagraph"/>
        <w:autoSpaceDE/>
        <w:autoSpaceDN/>
        <w:adjustRightInd/>
        <w:ind w:left="360"/>
      </w:pPr>
    </w:p>
    <w:p w:rsidR="00266A0E" w:rsidP="002773A1" w:rsidRDefault="00266A0E" w14:paraId="50783941" w14:textId="19E81BB4">
      <w:pPr>
        <w:pStyle w:val="ListParagraph"/>
        <w:autoSpaceDE/>
        <w:autoSpaceDN/>
        <w:adjustRightInd/>
        <w:ind w:left="360"/>
      </w:pPr>
      <w:r>
        <w:t>Note: The s</w:t>
      </w:r>
      <w:r w:rsidRPr="00266A0E">
        <w:t xml:space="preserve">ize of </w:t>
      </w:r>
      <w:r>
        <w:t>the MW r</w:t>
      </w:r>
      <w:r w:rsidRPr="00266A0E">
        <w:t xml:space="preserve">eduction is determined by subtracting the Net Available Capacity (NAC) from the Net Dependable Capacity (NDC). </w:t>
      </w:r>
      <w:r>
        <w:t xml:space="preserve"> </w:t>
      </w:r>
      <w:r w:rsidRPr="00266A0E">
        <w:t xml:space="preserve">In cases of multiple deratings, the </w:t>
      </w:r>
      <w:r>
        <w:t>s</w:t>
      </w:r>
      <w:r w:rsidRPr="00266A0E">
        <w:t xml:space="preserve">ize of </w:t>
      </w:r>
      <w:r>
        <w:t>the r</w:t>
      </w:r>
      <w:r w:rsidRPr="00266A0E">
        <w:t xml:space="preserve">eduction of each derating </w:t>
      </w:r>
      <w:r>
        <w:t xml:space="preserve">is </w:t>
      </w:r>
      <w:r w:rsidRPr="00266A0E">
        <w:t xml:space="preserve">determined by the difference in the </w:t>
      </w:r>
      <w:r>
        <w:t>NAC</w:t>
      </w:r>
      <w:r w:rsidRPr="00266A0E">
        <w:t xml:space="preserve"> of the unit prior to the derating and the reported </w:t>
      </w:r>
      <w:r>
        <w:t>NAC</w:t>
      </w:r>
      <w:r w:rsidRPr="00266A0E">
        <w:t xml:space="preserve"> as a result of the derating.</w:t>
      </w:r>
    </w:p>
    <w:p w:rsidRPr="008B24A0" w:rsidR="0034524C" w:rsidP="00F95771" w:rsidRDefault="0034524C" w14:paraId="77A6093C" w14:textId="708B7CD8">
      <w:pPr>
        <w:tabs>
          <w:tab w:val="left" w:pos="2302"/>
        </w:tabs>
        <w:autoSpaceDE/>
        <w:autoSpaceDN/>
        <w:adjustRightInd/>
      </w:pPr>
    </w:p>
    <w:p w:rsidR="00266A0E" w:rsidP="00266A0E" w:rsidRDefault="00266A0E" w14:paraId="01333C53" w14:textId="2A605AF8">
      <w:pPr>
        <w:pStyle w:val="ListParagraph"/>
        <w:numPr>
          <w:ilvl w:val="0"/>
          <w:numId w:val="21"/>
        </w:numPr>
        <w:autoSpaceDE/>
        <w:autoSpaceDN/>
        <w:adjustRightInd/>
      </w:pPr>
      <w:r>
        <w:t>EFDHRS</w:t>
      </w:r>
      <w:r w:rsidRPr="008B24A0" w:rsidR="0034524C">
        <w:t xml:space="preserve"> is </w:t>
      </w:r>
      <w:r w:rsidRPr="00266A0E">
        <w:t>Equivalent Forced Derated Hours During Reserve Shutdowns</w:t>
      </w:r>
      <w:r w:rsidR="0034524C">
        <w:t xml:space="preserve">, which is </w:t>
      </w:r>
      <w:r>
        <w:lastRenderedPageBreak/>
        <w:t>each individual Forced Derating (D1, D2, and D3), or the portion of any Forced Derating which occurred during a</w:t>
      </w:r>
      <w:r w:rsidR="000D3D68">
        <w:t>n</w:t>
      </w:r>
      <w:r>
        <w:t xml:space="preserve"> RS, transformed into equivalent full outage hour(s). </w:t>
      </w:r>
      <w:r w:rsidR="000D3D68">
        <w:t xml:space="preserve"> </w:t>
      </w:r>
      <w:r>
        <w:t>This variable is calculated by multiplying the actual duration of the derating (hours) by the</w:t>
      </w:r>
      <w:r w:rsidR="00DB65F1">
        <w:t xml:space="preserve"> </w:t>
      </w:r>
      <w:r>
        <w:t xml:space="preserve">size of the </w:t>
      </w:r>
      <w:r w:rsidR="00DB65F1">
        <w:t xml:space="preserve">MW </w:t>
      </w:r>
      <w:r>
        <w:t xml:space="preserve">reduction and dividing by the NMC. </w:t>
      </w:r>
      <w:r w:rsidR="000D3D68">
        <w:t xml:space="preserve"> </w:t>
      </w:r>
      <w:r>
        <w:t xml:space="preserve">These equivalent hour(s) are then summed. </w:t>
      </w:r>
    </w:p>
    <w:p w:rsidR="00DB65F1" w:rsidP="00DB65F1" w:rsidRDefault="00DB65F1" w14:paraId="636BF219" w14:textId="1334C717">
      <w:pPr>
        <w:autoSpaceDE/>
        <w:autoSpaceDN/>
        <w:adjustRightInd/>
      </w:pPr>
    </w:p>
    <w:p w:rsidRPr="00F95771" w:rsidR="00DB65F1" w:rsidP="00DB65F1" w:rsidRDefault="00AB6C76" w14:paraId="6AC6886E" w14:textId="7D81819C">
      <w:pPr>
        <w:autoSpaceDE/>
        <w:autoSpaceDN/>
        <w:adjustRightInd/>
      </w:pPr>
      <m:oMathPara>
        <m:oMath>
          <m:nary>
            <m:naryPr>
              <m:chr m:val="∑"/>
              <m:limLoc m:val="undOvr"/>
              <m:supHide m:val="1"/>
              <m:ctrlPr>
                <w:rPr>
                  <w:rFonts w:ascii="Cambria Math" w:hAnsi="Cambria Math"/>
                  <w:i/>
                </w:rPr>
              </m:ctrlPr>
            </m:naryPr>
            <m:sub>
              <m:r>
                <w:rPr>
                  <w:rFonts w:ascii="Cambria Math" w:hAnsi="Cambria Math"/>
                </w:rPr>
                <m:t>equivalent hours</m:t>
              </m:r>
            </m:sub>
            <m:sup/>
            <m:e>
              <m:f>
                <m:fPr>
                  <m:ctrlPr>
                    <w:rPr>
                      <w:rFonts w:ascii="Cambria Math" w:hAnsi="Cambria Math"/>
                      <w:i/>
                    </w:rPr>
                  </m:ctrlPr>
                </m:fPr>
                <m:num>
                  <m:r>
                    <w:rPr>
                      <w:rFonts w:ascii="Cambria Math" w:hAnsi="Cambria Math"/>
                    </w:rPr>
                    <m:t>Derating Hours During RS*Size of MW Reduction</m:t>
                  </m:r>
                </m:num>
                <m:den>
                  <m:r>
                    <w:rPr>
                      <w:rFonts w:ascii="Cambria Math" w:hAnsi="Cambria Math"/>
                    </w:rPr>
                    <m:t>NMC</m:t>
                  </m:r>
                </m:den>
              </m:f>
            </m:e>
          </m:nary>
        </m:oMath>
      </m:oMathPara>
    </w:p>
    <w:p w:rsidRPr="00DB65F1" w:rsidR="00DB65F1" w:rsidP="00F95771" w:rsidRDefault="00DB65F1" w14:paraId="50D57A00" w14:textId="77777777">
      <w:pPr>
        <w:autoSpaceDE/>
        <w:autoSpaceDN/>
        <w:adjustRightInd/>
      </w:pPr>
    </w:p>
    <w:p w:rsidRPr="00DB65F1" w:rsidR="00DB65F1" w:rsidP="00DB65F1" w:rsidRDefault="00DB65F1" w14:paraId="535FA8E5" w14:textId="6EE990CD">
      <w:r>
        <w:t>Note: The s</w:t>
      </w:r>
      <w:r w:rsidRPr="00DB65F1">
        <w:t xml:space="preserve">ize of </w:t>
      </w:r>
      <w:r>
        <w:t>MW r</w:t>
      </w:r>
      <w:r w:rsidRPr="00DB65F1">
        <w:t xml:space="preserve">eduction is determined by subtracting the </w:t>
      </w:r>
      <w:r>
        <w:t>NAC</w:t>
      </w:r>
      <w:r w:rsidRPr="00DB65F1">
        <w:t xml:space="preserve"> from the NDC.</w:t>
      </w:r>
      <w:r w:rsidR="000D3D68">
        <w:t xml:space="preserve"> </w:t>
      </w:r>
      <w:r w:rsidRPr="00DB65F1">
        <w:t xml:space="preserve"> In cases of multiple deratings, the </w:t>
      </w:r>
      <w:r>
        <w:t>s</w:t>
      </w:r>
      <w:r w:rsidRPr="00DB65F1">
        <w:t xml:space="preserve">ize of </w:t>
      </w:r>
      <w:r>
        <w:t>MW r</w:t>
      </w:r>
      <w:r w:rsidRPr="00DB65F1">
        <w:t xml:space="preserve">eduction of each derating will be determined by the difference in the </w:t>
      </w:r>
      <w:r>
        <w:t>NAC</w:t>
      </w:r>
      <w:r w:rsidRPr="00DB65F1">
        <w:t xml:space="preserve"> of the unit prior to the derating and the reported </w:t>
      </w:r>
      <w:r>
        <w:t>NAC</w:t>
      </w:r>
      <w:r w:rsidRPr="00DB65F1">
        <w:t xml:space="preserve"> as a result of the derating. </w:t>
      </w:r>
    </w:p>
    <w:p w:rsidR="00DB65F1" w:rsidP="00525235" w:rsidRDefault="00DB65F1" w14:paraId="03AE700C" w14:textId="36CE64E4">
      <w:pPr>
        <w:widowControl/>
        <w:autoSpaceDE/>
        <w:autoSpaceDN/>
        <w:adjustRightInd/>
        <w:spacing w:after="160" w:line="259" w:lineRule="auto"/>
      </w:pPr>
    </w:p>
    <w:p w:rsidRPr="00434112" w:rsidR="00525235" w:rsidP="00525235" w:rsidRDefault="00525235" w14:paraId="5D05BCAB" w14:textId="77777777">
      <w:pPr>
        <w:widowControl/>
        <w:autoSpaceDE/>
        <w:autoSpaceDN/>
        <w:adjustRightInd/>
        <w:spacing w:after="160" w:line="259" w:lineRule="auto"/>
        <w:rPr>
          <w:u w:val="single"/>
        </w:rPr>
      </w:pPr>
      <w:r w:rsidRPr="00434112">
        <w:rPr>
          <w:u w:val="single"/>
        </w:rPr>
        <w:t xml:space="preserve">Equivalent Forced Outage Rate demand – EFORd </w:t>
      </w:r>
    </w:p>
    <w:p w:rsidRPr="008B24A0" w:rsidR="00525235" w:rsidP="00525235" w:rsidRDefault="00525235" w14:paraId="4023CB48" w14:textId="68869F40">
      <w:r w:rsidRPr="008B24A0">
        <w:t>EFORd = [(FOHd + EFDHd) / (SH + FOHd)] x 100%</w:t>
      </w:r>
    </w:p>
    <w:p w:rsidRPr="00A80D2F" w:rsidR="00525235" w:rsidP="00525235" w:rsidRDefault="00525235" w14:paraId="383A56DC" w14:textId="77777777"/>
    <w:p w:rsidRPr="008B24A0" w:rsidR="00525235" w:rsidP="00F95771" w:rsidRDefault="00F51F28" w14:paraId="257487CE" w14:textId="50ABA5CE">
      <w:r w:rsidRPr="00F95771">
        <w:t>Where</w:t>
      </w:r>
      <w:r w:rsidRPr="00F95771" w:rsidR="00525235">
        <w:t xml:space="preserve">: </w:t>
      </w:r>
    </w:p>
    <w:p w:rsidR="00E938C3" w:rsidP="001D1C8C" w:rsidRDefault="00525235" w14:paraId="26F0A943" w14:textId="77777777">
      <w:pPr>
        <w:pStyle w:val="ListParagraph"/>
        <w:numPr>
          <w:ilvl w:val="0"/>
          <w:numId w:val="21"/>
        </w:numPr>
      </w:pPr>
      <w:r w:rsidRPr="001D1C8C">
        <w:t xml:space="preserve">FOHd </w:t>
      </w:r>
      <w:r w:rsidRPr="008B24A0">
        <w:t>= f x FOH</w:t>
      </w:r>
    </w:p>
    <w:p w:rsidR="00F85253" w:rsidP="001D1C8C" w:rsidRDefault="00525235" w14:paraId="1913A881" w14:textId="1EEEBE74">
      <w:pPr>
        <w:pStyle w:val="ListParagraph"/>
        <w:numPr>
          <w:ilvl w:val="0"/>
          <w:numId w:val="21"/>
        </w:numPr>
      </w:pPr>
      <w:r w:rsidRPr="008B24A0">
        <w:t xml:space="preserve">EFDHd = (EFDH – EFDHRS) if reserve shutdown events reported, or = (fp x EFDH) if no reserve shutdown events reported </w:t>
      </w:r>
      <w:r w:rsidR="00E938C3">
        <w:t>(</w:t>
      </w:r>
      <w:r w:rsidRPr="008B24A0">
        <w:t>an approximation</w:t>
      </w:r>
      <w:r w:rsidR="00E938C3">
        <w:t>)</w:t>
      </w:r>
      <w:r w:rsidR="00737606">
        <w:t xml:space="preserve">.  </w:t>
      </w:r>
      <w:r w:rsidRPr="008B24A0">
        <w:t xml:space="preserve">The FOHd is the number of hours a unit was in a U1, U2, U3, or SF </w:t>
      </w:r>
      <w:r w:rsidRPr="00F95771">
        <w:rPr>
          <w:strike/>
          <w:color w:val="FF0000"/>
        </w:rPr>
        <w:t>AND</w:t>
      </w:r>
      <w:r w:rsidR="001D1C8C">
        <w:t>and</w:t>
      </w:r>
      <w:r w:rsidRPr="008B24A0">
        <w:t xml:space="preserve"> the unit would have operated had it been available.</w:t>
      </w:r>
    </w:p>
    <w:p w:rsidR="00737606" w:rsidP="001D1C8C" w:rsidRDefault="00737606" w14:paraId="46FAD73F" w14:textId="3978D41D">
      <w:pPr>
        <w:pStyle w:val="ListParagraph"/>
        <w:numPr>
          <w:ilvl w:val="0"/>
          <w:numId w:val="21"/>
        </w:numPr>
      </w:pPr>
      <w:r>
        <w:t xml:space="preserve">f is the demand factor, denoted as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FOH</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SH</m:t>
                </m:r>
              </m:den>
            </m:f>
          </m:e>
        </m:d>
      </m:oMath>
      <w:r>
        <w:t>.  The variable T is average reserve shutdown time.</w:t>
      </w:r>
    </w:p>
    <w:p w:rsidR="00737606" w:rsidP="001D1C8C" w:rsidRDefault="00737606" w14:paraId="21982807" w14:textId="60293A4A">
      <w:pPr>
        <w:pStyle w:val="ListParagraph"/>
        <w:numPr>
          <w:ilvl w:val="0"/>
          <w:numId w:val="21"/>
        </w:numPr>
      </w:pPr>
      <w:r w:rsidRPr="008B24A0">
        <w:t>fp = (SH/AH)</w:t>
      </w:r>
      <w:r>
        <w:t>.</w:t>
      </w:r>
    </w:p>
    <w:p w:rsidRPr="008B24A0" w:rsidR="00525235" w:rsidP="00F95771" w:rsidRDefault="00F85253" w14:paraId="3C120A09" w14:textId="7128A983">
      <w:pPr>
        <w:pStyle w:val="ListParagraph"/>
        <w:numPr>
          <w:ilvl w:val="0"/>
          <w:numId w:val="21"/>
        </w:numPr>
      </w:pPr>
      <w:r>
        <w:t xml:space="preserve">AH is Available Hours, calculated as the sum of </w:t>
      </w:r>
      <w:r w:rsidRPr="00F85253">
        <w:t>Sum of SH + Reserve Shutdown Hours (RSH) + Pumping Hours + Synchronous Condensing Hours</w:t>
      </w:r>
      <w:r w:rsidR="00737606">
        <w:t>.</w:t>
      </w:r>
    </w:p>
    <w:sectPr w:rsidRPr="008B24A0" w:rsidR="00525235" w:rsidSect="00583DF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D884B" w14:textId="77777777" w:rsidR="00AB6C76" w:rsidRPr="008B24A0" w:rsidRDefault="00AB6C76">
      <w:r w:rsidRPr="008B24A0">
        <w:separator/>
      </w:r>
    </w:p>
  </w:endnote>
  <w:endnote w:type="continuationSeparator" w:id="0">
    <w:p w14:paraId="0235208A" w14:textId="77777777" w:rsidR="00AB6C76" w:rsidRPr="008B24A0" w:rsidRDefault="00AB6C76">
      <w:r w:rsidRPr="008B24A0">
        <w:continuationSeparator/>
      </w:r>
    </w:p>
  </w:endnote>
  <w:endnote w:type="continuationNotice" w:id="1">
    <w:p w14:paraId="3E54171B" w14:textId="77777777" w:rsidR="00AB6C76" w:rsidRPr="008B24A0" w:rsidRDefault="00AB6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9F4B" w14:textId="77777777" w:rsidR="003C3ED9" w:rsidRDefault="003C3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039134"/>
      <w:docPartObj>
        <w:docPartGallery w:val="Page Numbers (Bottom of Page)"/>
        <w:docPartUnique/>
      </w:docPartObj>
    </w:sdtPr>
    <w:sdtEndPr>
      <w:rPr>
        <w:noProof/>
      </w:rPr>
    </w:sdtEndPr>
    <w:sdtContent>
      <w:p w14:paraId="3F58071B" w14:textId="62421C7D" w:rsidR="00E444E6" w:rsidRPr="008B24A0" w:rsidRDefault="00E444E6">
        <w:pPr>
          <w:pStyle w:val="Footer"/>
          <w:jc w:val="right"/>
        </w:pPr>
        <w:r w:rsidRPr="008B24A0">
          <w:fldChar w:fldCharType="begin"/>
        </w:r>
        <w:r w:rsidRPr="008B24A0">
          <w:instrText xml:space="preserve"> PAGE   \* MERGEFORMAT </w:instrText>
        </w:r>
        <w:r w:rsidRPr="008B24A0">
          <w:fldChar w:fldCharType="separate"/>
        </w:r>
        <w:r>
          <w:rPr>
            <w:noProof/>
          </w:rPr>
          <w:t>19</w:t>
        </w:r>
        <w:r w:rsidRPr="008B24A0">
          <w:rPr>
            <w:noProof/>
          </w:rPr>
          <w:fldChar w:fldCharType="end"/>
        </w:r>
      </w:p>
    </w:sdtContent>
  </w:sdt>
  <w:p w14:paraId="59C44EDA" w14:textId="77777777" w:rsidR="00E444E6" w:rsidRPr="008B24A0" w:rsidRDefault="00E44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2208" w14:textId="77777777" w:rsidR="003C3ED9" w:rsidRDefault="003C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114BF" w14:textId="77777777" w:rsidR="00AB6C76" w:rsidRPr="008B24A0" w:rsidRDefault="00AB6C76">
      <w:r w:rsidRPr="008B24A0">
        <w:separator/>
      </w:r>
    </w:p>
  </w:footnote>
  <w:footnote w:type="continuationSeparator" w:id="0">
    <w:p w14:paraId="7E1961A7" w14:textId="77777777" w:rsidR="00AB6C76" w:rsidRPr="008B24A0" w:rsidRDefault="00AB6C76">
      <w:r w:rsidRPr="008B24A0">
        <w:continuationSeparator/>
      </w:r>
    </w:p>
  </w:footnote>
  <w:footnote w:type="continuationNotice" w:id="1">
    <w:p w14:paraId="382DADA0" w14:textId="77777777" w:rsidR="00AB6C76" w:rsidRPr="008B24A0" w:rsidRDefault="00AB6C76" w:rsidP="009E2C52">
      <w:pPr>
        <w:pStyle w:val="Footer"/>
      </w:pPr>
      <w:r w:rsidRPr="008B24A0">
        <w:rPr>
          <w:i/>
        </w:rPr>
        <w:t>(continued ...)</w:t>
      </w:r>
    </w:p>
  </w:footnote>
  <w:footnote w:id="2">
    <w:p w14:paraId="442ED8DA" w14:textId="58C9961E" w:rsidR="00E444E6" w:rsidRDefault="00E444E6">
      <w:pPr>
        <w:pStyle w:val="FootnoteText"/>
      </w:pPr>
      <w:r>
        <w:rPr>
          <w:rStyle w:val="FootnoteReference"/>
        </w:rPr>
        <w:footnoteRef/>
      </w:r>
      <w:r>
        <w:t xml:space="preserve"> When referenced below, these data elements will be designated in parenthesis and correspond to the Input Spreadsheet.</w:t>
      </w:r>
    </w:p>
  </w:footnote>
  <w:footnote w:id="3">
    <w:p w14:paraId="3CBA23CC" w14:textId="446F0783" w:rsidR="00E444E6" w:rsidRPr="00A251E2" w:rsidRDefault="00E444E6" w:rsidP="00FF79C2">
      <w:pPr>
        <w:pStyle w:val="FootnoteText"/>
        <w:rPr>
          <w:szCs w:val="26"/>
        </w:rPr>
      </w:pPr>
      <w:r>
        <w:rPr>
          <w:rStyle w:val="FootnoteReference"/>
        </w:rPr>
        <w:footnoteRef/>
      </w:r>
      <w:r>
        <w:t xml:space="preserve"> </w:t>
      </w:r>
      <w:r w:rsidRPr="00A251E2">
        <w:rPr>
          <w:szCs w:val="26"/>
        </w:rPr>
        <w:t xml:space="preserve">NYISO has two </w:t>
      </w:r>
      <w:r>
        <w:rPr>
          <w:szCs w:val="26"/>
        </w:rPr>
        <w:t>consecutive six-</w:t>
      </w:r>
      <w:r w:rsidRPr="00A251E2">
        <w:rPr>
          <w:szCs w:val="26"/>
        </w:rPr>
        <w:t>month delivery</w:t>
      </w:r>
      <w:r>
        <w:rPr>
          <w:szCs w:val="26"/>
        </w:rPr>
        <w:t xml:space="preserve"> </w:t>
      </w:r>
      <w:r w:rsidRPr="00A251E2">
        <w:rPr>
          <w:szCs w:val="26"/>
        </w:rPr>
        <w:t>periods which should be concatenated to create a</w:t>
      </w:r>
      <w:r>
        <w:rPr>
          <w:szCs w:val="26"/>
        </w:rPr>
        <w:t xml:space="preserve"> </w:t>
      </w:r>
      <w:r w:rsidR="007A33E4">
        <w:rPr>
          <w:szCs w:val="26"/>
        </w:rPr>
        <w:t>twelve</w:t>
      </w:r>
      <w:r>
        <w:rPr>
          <w:szCs w:val="26"/>
        </w:rPr>
        <w:t>-</w:t>
      </w:r>
      <w:r w:rsidRPr="00A251E2">
        <w:rPr>
          <w:szCs w:val="26"/>
        </w:rPr>
        <w:t xml:space="preserve">month delivery period. </w:t>
      </w:r>
    </w:p>
  </w:footnote>
  <w:footnote w:id="4">
    <w:p w14:paraId="753AD6E4" w14:textId="5E77C614" w:rsidR="00E444E6" w:rsidRDefault="00E444E6">
      <w:pPr>
        <w:pStyle w:val="FootnoteText"/>
      </w:pPr>
      <w:r>
        <w:rPr>
          <w:rStyle w:val="FootnoteReference"/>
        </w:rPr>
        <w:footnoteRef/>
      </w:r>
      <w:r>
        <w:t xml:space="preserve"> N</w:t>
      </w:r>
      <w:r w:rsidR="007A33E4">
        <w:t>.</w:t>
      </w:r>
      <w:r>
        <w:t xml:space="preserve"> Am</w:t>
      </w:r>
      <w:r w:rsidR="007A33E4">
        <w:t>.</w:t>
      </w:r>
      <w:r>
        <w:t xml:space="preserve"> Electric Reliability Corp</w:t>
      </w:r>
      <w:r w:rsidR="007A33E4">
        <w:t>.</w:t>
      </w:r>
      <w:r>
        <w:t xml:space="preserve">, </w:t>
      </w:r>
      <w:r w:rsidR="007A33E4">
        <w:rPr>
          <w:i/>
        </w:rPr>
        <w:t>M-1 Reserve Margin</w:t>
      </w:r>
      <w:r w:rsidR="007A33E4">
        <w:t xml:space="preserve"> (2017), </w:t>
      </w:r>
      <w:hyperlink r:id="rId1" w:history="1">
        <w:r w:rsidR="007A33E4" w:rsidRPr="007A33E4">
          <w:rPr>
            <w:rStyle w:val="Hyperlink"/>
          </w:rPr>
          <w:t>https://www.nerc.com/pa/RAPA/ri/Pages/PlanningReserveMargin.aspx</w:t>
        </w:r>
      </w:hyperlink>
      <w:r>
        <w:t>.</w:t>
      </w:r>
    </w:p>
  </w:footnote>
  <w:footnote w:id="5">
    <w:p w14:paraId="138C57CF" w14:textId="3996A790" w:rsidR="00E444E6" w:rsidRDefault="00E444E6">
      <w:pPr>
        <w:pStyle w:val="FootnoteText"/>
      </w:pPr>
      <w:r>
        <w:rPr>
          <w:rStyle w:val="FootnoteReference"/>
        </w:rPr>
        <w:footnoteRef/>
      </w:r>
      <w:r>
        <w:t xml:space="preserve"> Summer capacity values for these fuel codes can be found at </w:t>
      </w:r>
      <w:hyperlink r:id="rId2" w:anchor="industry/historicalFutureCapacity" w:history="1">
        <w:r w:rsidRPr="00491FB0">
          <w:rPr>
            <w:rStyle w:val="Hyperlink"/>
          </w:rPr>
          <w:t>https://www.snl.com/web/client?auth=inherit#industry/historicalFutureCapacity</w:t>
        </w:r>
      </w:hyperlink>
      <w:r>
        <w:t xml:space="preserve">.  Energy produced by these fuel codes can be found at </w:t>
      </w:r>
      <w:hyperlink r:id="rId3" w:anchor="industry/monthlyGeneration" w:history="1">
        <w:r w:rsidRPr="006D4C58">
          <w:rPr>
            <w:rStyle w:val="Hyperlink"/>
          </w:rPr>
          <w:t>https://www.snl.com/web/client?auth=inherit#industry/monthlyGeneration</w:t>
        </w:r>
      </w:hyperlink>
      <w:r>
        <w:rPr>
          <w:rStyle w:val="Hyperlink"/>
        </w:rPr>
        <w:t>.</w:t>
      </w:r>
    </w:p>
  </w:footnote>
  <w:footnote w:id="6">
    <w:p w14:paraId="449FAE28" w14:textId="30EDB995" w:rsidR="00E444E6" w:rsidRDefault="00E444E6" w:rsidP="00EA08CA">
      <w:pPr>
        <w:pStyle w:val="FootnoteText"/>
      </w:pPr>
      <w:r>
        <w:rPr>
          <w:rStyle w:val="FootnoteReference"/>
        </w:rPr>
        <w:footnoteRef/>
      </w:r>
      <w:r>
        <w:t xml:space="preserve"> </w:t>
      </w:r>
      <w:r w:rsidRPr="00BA1ED4">
        <w:rPr>
          <w:i/>
        </w:rPr>
        <w:t>See</w:t>
      </w:r>
      <w:r>
        <w:t xml:space="preserve"> </w:t>
      </w:r>
      <w:r w:rsidR="00EA08CA">
        <w:t xml:space="preserve">U.S. Energy Info. Admin., </w:t>
      </w:r>
      <w:r w:rsidR="00EA08CA">
        <w:rPr>
          <w:i/>
        </w:rPr>
        <w:t>Form EIA-860 Detailed Data With Previous Form Data</w:t>
      </w:r>
      <w:r w:rsidR="00EA08CA">
        <w:t xml:space="preserve"> (2019), </w:t>
      </w:r>
      <w:hyperlink r:id="rId4" w:history="1">
        <w:r w:rsidR="00EA08CA" w:rsidRPr="00EA08CA">
          <w:rPr>
            <w:rStyle w:val="Hyperlink"/>
          </w:rPr>
          <w:t>https://www.eia.gov/electricity/data/eia860/</w:t>
        </w:r>
      </w:hyperlink>
      <w:r w:rsidR="00EA08CA">
        <w:t xml:space="preserve"> (see spreadsheet 3_1_GeneratorYyyyy).</w:t>
      </w:r>
    </w:p>
  </w:footnote>
  <w:footnote w:id="7">
    <w:p w14:paraId="03C1C39E" w14:textId="2AF54752" w:rsidR="00E444E6" w:rsidRDefault="00E444E6">
      <w:pPr>
        <w:pStyle w:val="FootnoteText"/>
      </w:pPr>
      <w:r>
        <w:rPr>
          <w:rStyle w:val="FootnoteReference"/>
        </w:rPr>
        <w:footnoteRef/>
      </w:r>
      <w:r>
        <w:t xml:space="preserve"> </w:t>
      </w:r>
      <w:r w:rsidRPr="00BA1ED4">
        <w:rPr>
          <w:i/>
        </w:rPr>
        <w:t>See</w:t>
      </w:r>
      <w:r>
        <w:t xml:space="preserve"> </w:t>
      </w:r>
      <w:r w:rsidR="00EA08CA">
        <w:t xml:space="preserve">U.S. Energy Info. Admin., </w:t>
      </w:r>
      <w:r w:rsidR="00EA08CA">
        <w:rPr>
          <w:i/>
        </w:rPr>
        <w:t xml:space="preserve">Form EIA-923 Detailed Data With Previous Form Data </w:t>
      </w:r>
      <w:r w:rsidR="00EA08CA">
        <w:t>(2019),</w:t>
      </w:r>
      <w:r>
        <w:t xml:space="preserve"> </w:t>
      </w:r>
      <w:hyperlink r:id="rId5" w:history="1">
        <w:r w:rsidRPr="006D4C58">
          <w:rPr>
            <w:rStyle w:val="Hyperlink"/>
          </w:rPr>
          <w:t>https://www.eia.gov/electricity/data/eia923/</w:t>
        </w:r>
      </w:hyperlink>
      <w:r w:rsidRPr="00967663">
        <w:rPr>
          <w:rStyle w:val="Hyperlink"/>
          <w:color w:val="auto"/>
          <w:u w:val="none"/>
        </w:rPr>
        <w:t>.</w:t>
      </w:r>
    </w:p>
  </w:footnote>
  <w:footnote w:id="8">
    <w:p w14:paraId="219E7E63" w14:textId="54154234" w:rsidR="00E444E6" w:rsidRDefault="00E444E6">
      <w:pPr>
        <w:pStyle w:val="FootnoteText"/>
      </w:pPr>
      <w:r>
        <w:rPr>
          <w:rStyle w:val="FootnoteReference"/>
        </w:rPr>
        <w:footnoteRef/>
      </w:r>
      <w:r>
        <w:t xml:space="preserve"> For more information </w:t>
      </w:r>
      <w:r w:rsidRPr="00FF325F">
        <w:t>s</w:t>
      </w:r>
      <w:r w:rsidRPr="00967663">
        <w:t>ee</w:t>
      </w:r>
      <w:r w:rsidRPr="00BA1ED4">
        <w:rPr>
          <w:i/>
        </w:rPr>
        <w:t xml:space="preserve"> </w:t>
      </w:r>
      <w:hyperlink r:id="rId6" w:history="1">
        <w:r w:rsidRPr="00F50538">
          <w:rPr>
            <w:rStyle w:val="Hyperlink"/>
          </w:rPr>
          <w:t>https://www.eia.gov/tools/glossary/index.php?id=net%20summer%20capacity</w:t>
        </w:r>
      </w:hyperlink>
      <w:r w:rsidRPr="00FF325F">
        <w:t>.</w:t>
      </w:r>
    </w:p>
  </w:footnote>
  <w:footnote w:id="9">
    <w:p w14:paraId="2AA9D31F" w14:textId="1EBDE57D" w:rsidR="00E444E6" w:rsidRDefault="00E444E6" w:rsidP="00C90C21">
      <w:pPr>
        <w:pStyle w:val="BodyText"/>
      </w:pPr>
      <w:r>
        <w:rPr>
          <w:rStyle w:val="FootnoteReference"/>
        </w:rPr>
        <w:footnoteRef/>
      </w:r>
      <w:r>
        <w:t xml:space="preserve"> Information on </w:t>
      </w:r>
      <w:r w:rsidR="00FF325F">
        <w:t>EEAs</w:t>
      </w:r>
      <w:r>
        <w:t xml:space="preserve"> is available at </w:t>
      </w:r>
      <w:hyperlink r:id="rId7" w:history="1">
        <w:r w:rsidRPr="006D4C58">
          <w:rPr>
            <w:rStyle w:val="Hyperlink"/>
          </w:rPr>
          <w:t>https://www.nerc.com/pa/rrm/ea/Pages/Energy-Emergency-Alerts.aspx</w:t>
        </w:r>
      </w:hyperlink>
      <w:r>
        <w:t>.</w:t>
      </w:r>
    </w:p>
  </w:footnote>
  <w:footnote w:id="10">
    <w:p w14:paraId="159B31C5" w14:textId="7D3D5729" w:rsidR="00E444E6" w:rsidRDefault="00E444E6">
      <w:pPr>
        <w:pStyle w:val="FootnoteText"/>
      </w:pPr>
      <w:r>
        <w:rPr>
          <w:rStyle w:val="FootnoteReference"/>
        </w:rPr>
        <w:footnoteRef/>
      </w:r>
      <w:r>
        <w:t xml:space="preserve"> For more information see </w:t>
      </w:r>
      <w:hyperlink r:id="rId8" w:history="1">
        <w:r w:rsidR="00FF325F" w:rsidRPr="004204D6">
          <w:rPr>
            <w:rStyle w:val="Hyperlink"/>
          </w:rPr>
          <w:t>https://www.nerc.com/pa/Stand/Reliability%20Standards/EOP-011-1.pdf</w:t>
        </w:r>
      </w:hyperlink>
      <w:r w:rsidR="00FF325F">
        <w:t xml:space="preserve">. </w:t>
      </w:r>
    </w:p>
  </w:footnote>
  <w:footnote w:id="11">
    <w:p w14:paraId="372A9944" w14:textId="56B0AC74" w:rsidR="00E444E6" w:rsidRDefault="00E444E6">
      <w:pPr>
        <w:pStyle w:val="FootnoteText"/>
      </w:pPr>
      <w:r>
        <w:rPr>
          <w:rStyle w:val="FootnoteReference"/>
        </w:rPr>
        <w:footnoteRef/>
      </w:r>
      <w:r>
        <w:t xml:space="preserve"> For more information </w:t>
      </w:r>
      <w:r w:rsidRPr="00967663">
        <w:t>see</w:t>
      </w:r>
      <w:r w:rsidRPr="00FF325F">
        <w:t xml:space="preserve"> </w:t>
      </w:r>
      <w:hyperlink r:id="rId9" w:history="1">
        <w:r w:rsidRPr="00A80D2F">
          <w:rPr>
            <w:rStyle w:val="Hyperlink"/>
            <w:szCs w:val="26"/>
          </w:rPr>
          <w:t>https://www.nerc.com/pa/RAPA/gads/Pages/Reports.aspx</w:t>
        </w:r>
      </w:hyperlink>
      <w:r w:rsidRPr="00967663">
        <w:rPr>
          <w:rStyle w:val="Hyperlink"/>
          <w:color w:val="auto"/>
          <w:szCs w:val="26"/>
          <w:u w:val="none"/>
        </w:rPr>
        <w:t>.</w:t>
      </w:r>
    </w:p>
  </w:footnote>
  <w:footnote w:id="12">
    <w:p w14:paraId="3A931157" w14:textId="7619B7EF" w:rsidR="00E444E6" w:rsidRPr="008B24A0" w:rsidRDefault="00E444E6">
      <w:pPr>
        <w:pStyle w:val="FootnoteText"/>
      </w:pPr>
      <w:r w:rsidRPr="008B24A0">
        <w:rPr>
          <w:rStyle w:val="FootnoteReference"/>
        </w:rPr>
        <w:footnoteRef/>
      </w:r>
      <w:r w:rsidRPr="008B24A0">
        <w:t xml:space="preserve"> </w:t>
      </w:r>
      <w:r w:rsidRPr="008B24A0">
        <w:rPr>
          <w:i/>
        </w:rPr>
        <w:t>See</w:t>
      </w:r>
      <w:r w:rsidRPr="008B24A0">
        <w:t xml:space="preserve"> </w:t>
      </w:r>
      <w:r w:rsidR="005D73B2">
        <w:t xml:space="preserve">Fed. Energy Regulatory Comm’n, </w:t>
      </w:r>
      <w:r w:rsidRPr="00967663">
        <w:rPr>
          <w:i/>
        </w:rPr>
        <w:t>Form No. 714</w:t>
      </w:r>
      <w:r w:rsidR="005D73B2" w:rsidRPr="00967663">
        <w:rPr>
          <w:i/>
        </w:rPr>
        <w:t xml:space="preserve"> - Annual Electric Balancing Authority Area and Planning Area Report</w:t>
      </w:r>
      <w:r w:rsidRPr="008B24A0">
        <w:t xml:space="preserve">, </w:t>
      </w:r>
      <w:r w:rsidR="005D73B2">
        <w:t xml:space="preserve">at </w:t>
      </w:r>
      <w:r w:rsidRPr="008B24A0">
        <w:t>Schedule 3, Balancing Authority Net Energy for Load and Peak Demand Sources by Month, Net Energy for Load, (MWh), Column (e), Line 13</w:t>
      </w:r>
      <w:r w:rsidR="005D73B2">
        <w:t xml:space="preserve"> (2019), </w:t>
      </w:r>
      <w:hyperlink r:id="rId10" w:history="1">
        <w:r w:rsidR="005D73B2" w:rsidRPr="005D73B2">
          <w:rPr>
            <w:rStyle w:val="Hyperlink"/>
          </w:rPr>
          <w:t>https://www.ferc.gov/docs-filing/forms/form-714/data.asp</w:t>
        </w:r>
      </w:hyperlink>
      <w:r w:rsidRPr="008B24A0">
        <w:t>.</w:t>
      </w:r>
    </w:p>
  </w:footnote>
  <w:footnote w:id="13">
    <w:p w14:paraId="169DA965" w14:textId="151ACA06" w:rsidR="00E444E6" w:rsidRDefault="00E444E6">
      <w:pPr>
        <w:pStyle w:val="FootnoteText"/>
      </w:pPr>
      <w:r>
        <w:rPr>
          <w:rStyle w:val="FootnoteReference"/>
        </w:rPr>
        <w:footnoteRef/>
      </w:r>
      <w:r>
        <w:t xml:space="preserve"> 18 C.F.R. § 35.28(b)(6) (2019).</w:t>
      </w:r>
    </w:p>
  </w:footnote>
  <w:footnote w:id="14">
    <w:p w14:paraId="26D17D54" w14:textId="0B6FF395" w:rsidR="00E444E6" w:rsidRDefault="00E444E6">
      <w:pPr>
        <w:pStyle w:val="FootnoteText"/>
      </w:pPr>
      <w:r>
        <w:rPr>
          <w:rStyle w:val="FootnoteReference"/>
        </w:rPr>
        <w:footnoteRef/>
      </w:r>
      <w:r>
        <w:t xml:space="preserve"> 18 C.F.R. § 35.28(g)(1)(iv)(A) (2019).</w:t>
      </w:r>
    </w:p>
  </w:footnote>
  <w:footnote w:id="15">
    <w:p w14:paraId="050FE4DF" w14:textId="335DB225" w:rsidR="00E444E6" w:rsidRDefault="00E444E6">
      <w:pPr>
        <w:pStyle w:val="FootnoteText"/>
      </w:pPr>
      <w:r>
        <w:rPr>
          <w:rStyle w:val="FootnoteReference"/>
        </w:rPr>
        <w:footnoteRef/>
      </w:r>
      <w:r>
        <w:t xml:space="preserve"> </w:t>
      </w:r>
      <w:r w:rsidRPr="00EB1DD9">
        <w:rPr>
          <w:i/>
        </w:rPr>
        <w:t>Settlement Intervals and Shortage Pricing in Mkts</w:t>
      </w:r>
      <w:r w:rsidR="004746F0">
        <w:rPr>
          <w:i/>
        </w:rPr>
        <w:t>.</w:t>
      </w:r>
      <w:r w:rsidRPr="00EB1DD9">
        <w:rPr>
          <w:i/>
        </w:rPr>
        <w:t xml:space="preserve"> Operated by Reg</w:t>
      </w:r>
      <w:r w:rsidR="004746F0">
        <w:rPr>
          <w:i/>
        </w:rPr>
        <w:t>’</w:t>
      </w:r>
      <w:r w:rsidRPr="00EB1DD9">
        <w:rPr>
          <w:i/>
        </w:rPr>
        <w:t>l Transmission Orgs</w:t>
      </w:r>
      <w:r w:rsidR="004746F0">
        <w:rPr>
          <w:i/>
        </w:rPr>
        <w:t>.</w:t>
      </w:r>
      <w:r w:rsidRPr="00EB1DD9">
        <w:rPr>
          <w:i/>
        </w:rPr>
        <w:t xml:space="preserve"> and Indep</w:t>
      </w:r>
      <w:r w:rsidR="004746F0">
        <w:rPr>
          <w:i/>
        </w:rPr>
        <w:t>.</w:t>
      </w:r>
      <w:r w:rsidRPr="00EB1DD9">
        <w:rPr>
          <w:i/>
        </w:rPr>
        <w:t xml:space="preserve"> Sys</w:t>
      </w:r>
      <w:r w:rsidR="004746F0">
        <w:rPr>
          <w:i/>
        </w:rPr>
        <w:t>.</w:t>
      </w:r>
      <w:r w:rsidRPr="00EB1DD9">
        <w:rPr>
          <w:i/>
        </w:rPr>
        <w:t xml:space="preserve"> Operators</w:t>
      </w:r>
      <w:r>
        <w:t xml:space="preserve">, Order No. 825, </w:t>
      </w:r>
      <w:r w:rsidRPr="000F7F9E">
        <w:t>155 FERC ¶ 61,276</w:t>
      </w:r>
      <w:r>
        <w:t>, at P 162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8793" w14:textId="77777777" w:rsidR="003C3ED9" w:rsidRDefault="003C3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121CF" w14:textId="65339245" w:rsidR="00E444E6" w:rsidRDefault="00E444E6" w:rsidP="00015A3F">
    <w:pPr>
      <w:pStyle w:val="Header"/>
      <w:jc w:val="center"/>
    </w:pPr>
    <w:r>
      <w:rPr>
        <w:noProof/>
        <w:color w:val="FF0000"/>
      </w:rPr>
      <mc:AlternateContent>
        <mc:Choice Requires="wps">
          <w:drawing>
            <wp:anchor distT="0" distB="0" distL="114300" distR="114300" simplePos="0" relativeHeight="251657728" behindDoc="0" locked="0" layoutInCell="0" allowOverlap="1" wp14:anchorId="3C826954" wp14:editId="57FDBFDB">
              <wp:simplePos x="0" y="0"/>
              <wp:positionH relativeFrom="page">
                <wp:posOffset>0</wp:posOffset>
              </wp:positionH>
              <wp:positionV relativeFrom="page">
                <wp:posOffset>190500</wp:posOffset>
              </wp:positionV>
              <wp:extent cx="7772400" cy="266700"/>
              <wp:effectExtent l="0" t="0" r="0" b="0"/>
              <wp:wrapNone/>
              <wp:docPr id="4" name="MSIPCM050a4c4f9a1724e634e6b944"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D25C4" w14:textId="7AD8DCEB" w:rsidR="00E444E6" w:rsidRPr="00015A3F" w:rsidRDefault="00E444E6" w:rsidP="00015A3F">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826954" id="_x0000_t202" coordsize="21600,21600" o:spt="202" path="m,l,21600r21600,l21600,xe">
              <v:stroke joinstyle="miter"/>
              <v:path gradientshapeok="t" o:connecttype="rect"/>
            </v:shapetype>
            <v:shape id="MSIPCM050a4c4f9a1724e634e6b944" o:spid="_x0000_s1026" type="#_x0000_t202" alt="{&quot;HashCode&quot;:-175139966,&quot;Height&quot;:792.0,&quot;Width&quot;:612.0,&quot;Placement&quot;:&quot;Header&quot;,&quot;Index&quot;:&quot;Primary&quot;,&quot;Section&quot;:1,&quot;Top&quot;:0.0,&quot;Left&quot;:0.0}" style="position:absolute;left:0;text-align:left;margin-left:0;margin-top:15pt;width:612pt;height:21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" o:allowincell="f" filled="f" stroked="f" strokeweight=".5pt">
              <v:textbox inset=",0,,0">
                <w:txbxContent>
                  <w:p w14:paraId="597D25C4" w14:textId="7AD8DCEB" w:rsidR="00E444E6" w:rsidRPr="00015A3F" w:rsidRDefault="00E444E6" w:rsidP="00015A3F">
                    <w:pPr>
                      <w:jc w:val="center"/>
                      <w:rPr>
                        <w:color w:val="A80000"/>
                      </w:rPr>
                    </w:pPr>
                  </w:p>
                </w:txbxContent>
              </v:textbox>
              <w10:wrap anchorx="page" anchory="page"/>
            </v:shape>
          </w:pict>
        </mc:Fallback>
      </mc:AlternateContent>
    </w:r>
  </w:p>
  <w:p w14:paraId="155ADB24" w14:textId="30D09728" w:rsidR="00E444E6" w:rsidRDefault="00E444E6" w:rsidP="00EE6251">
    <w:pPr>
      <w:pStyle w:val="Header"/>
      <w:tabs>
        <w:tab w:val="clear" w:pos="8640"/>
      </w:tabs>
    </w:pPr>
    <w:r w:rsidRPr="008B24A0">
      <w:t>Federal Energy Regulatory Commission</w:t>
    </w:r>
    <w:r>
      <w:t xml:space="preserve">                                </w:t>
    </w:r>
    <w:r>
      <w:tab/>
      <w:t xml:space="preserve">  Docket No. AD19-16-000</w:t>
    </w:r>
  </w:p>
  <w:p w14:paraId="3D2A25BD" w14:textId="77777777" w:rsidR="00E444E6" w:rsidRPr="00EE6251" w:rsidRDefault="00E444E6" w:rsidP="00EE6251">
    <w:pPr>
      <w:pStyle w:val="Header"/>
      <w:tabs>
        <w:tab w:val="left" w:pos="5040"/>
      </w:tabs>
      <w:rPr>
        <w:b/>
        <w:bCs/>
      </w:rPr>
    </w:pPr>
    <w:r w:rsidRPr="00EE6251">
      <w:rPr>
        <w:b/>
        <w:bCs/>
      </w:rPr>
      <w:t xml:space="preserve">FERC-922 (OMB Control No. 1902-0262) </w:t>
    </w:r>
    <w:r>
      <w:rPr>
        <w:b/>
        <w:bCs/>
      </w:rPr>
      <w:t xml:space="preserve">            </w:t>
    </w:r>
    <w:r w:rsidRPr="00EE6251">
      <w:rPr>
        <w:b/>
        <w:bCs/>
      </w:rPr>
      <w:t>Expiration Date:  to be determined</w:t>
    </w:r>
  </w:p>
  <w:p w14:paraId="6E53D61F" w14:textId="77777777" w:rsidR="00E444E6" w:rsidRDefault="00E444E6" w:rsidP="00015A3F">
    <w:pPr>
      <w:pStyle w:val="Header"/>
    </w:pPr>
  </w:p>
  <w:p w14:paraId="5995BEDB" w14:textId="77777777" w:rsidR="00E444E6" w:rsidRPr="008B24A0" w:rsidRDefault="00E444E6" w:rsidP="00015A3F">
    <w:pPr>
      <w:pStyle w:val="Header"/>
      <w:jc w:val="center"/>
    </w:pPr>
    <w:r>
      <w:t>C</w:t>
    </w:r>
    <w:r w:rsidRPr="008B24A0">
      <w:t xml:space="preserve">ommon Metrics Information Collection </w:t>
    </w:r>
    <w:r>
      <w:t xml:space="preserve">User Guide Version 1.0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0DB5" w14:textId="5988075C" w:rsidR="00E444E6" w:rsidRDefault="00E444E6" w:rsidP="00967663">
    <w:pPr>
      <w:pStyle w:val="Header"/>
      <w:tabs>
        <w:tab w:val="clear" w:pos="8640"/>
        <w:tab w:val="left" w:pos="5040"/>
      </w:tabs>
    </w:pPr>
    <w:r w:rsidRPr="008B24A0">
      <w:t>Federal Energy Regulatory Commission</w:t>
    </w:r>
    <w:r>
      <w:t xml:space="preserve">             </w:t>
    </w:r>
    <w:r>
      <w:tab/>
      <w:t xml:space="preserve">             Docket No. AD19-16-000</w:t>
    </w:r>
  </w:p>
  <w:p w14:paraId="7E054624" w14:textId="0EB8F139" w:rsidR="00E444E6" w:rsidRPr="00EE6251" w:rsidRDefault="00E444E6" w:rsidP="00EE6251">
    <w:pPr>
      <w:pStyle w:val="Header"/>
      <w:tabs>
        <w:tab w:val="left" w:pos="5040"/>
      </w:tabs>
      <w:rPr>
        <w:b/>
        <w:bCs/>
      </w:rPr>
    </w:pPr>
    <w:r w:rsidRPr="00EE6251">
      <w:rPr>
        <w:b/>
        <w:bCs/>
      </w:rPr>
      <w:t xml:space="preserve">FERC-922 (OMB Control No. 1902-0262) </w:t>
    </w:r>
    <w:r>
      <w:rPr>
        <w:b/>
        <w:bCs/>
      </w:rPr>
      <w:t xml:space="preserve">            </w:t>
    </w:r>
    <w:r w:rsidRPr="00EE6251">
      <w:rPr>
        <w:b/>
        <w:bCs/>
      </w:rPr>
      <w:t>Expiration Date:  to be determined</w:t>
    </w:r>
  </w:p>
  <w:p w14:paraId="659B0155" w14:textId="54002D4C" w:rsidR="00E444E6" w:rsidRPr="008B24A0" w:rsidRDefault="00E444E6" w:rsidP="00F2015C">
    <w:pPr>
      <w:pStyle w:val="Header"/>
      <w:jc w:val="center"/>
    </w:pPr>
    <w:r>
      <w:t>C</w:t>
    </w:r>
    <w:r w:rsidRPr="008B24A0">
      <w:t xml:space="preserve">ommon Metrics Information Collection </w:t>
    </w:r>
    <w:r>
      <w:t xml:space="preserve">User Guide Version 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5434CF"/>
    <w:multiLevelType w:val="hybridMultilevel"/>
    <w:tmpl w:val="D94CFC40"/>
    <w:lvl w:ilvl="0" w:tplc="397EE6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E20F9A"/>
    <w:multiLevelType w:val="hybridMultilevel"/>
    <w:tmpl w:val="90BAD62C"/>
    <w:lvl w:ilvl="0" w:tplc="0409001B">
      <w:start w:val="1"/>
      <w:numFmt w:val="lowerRoman"/>
      <w:lvlText w:val="%1."/>
      <w:lvlJc w:val="righ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FA30C14"/>
    <w:multiLevelType w:val="hybridMultilevel"/>
    <w:tmpl w:val="F430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43036F"/>
    <w:multiLevelType w:val="hybridMultilevel"/>
    <w:tmpl w:val="DBB4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D9034F"/>
    <w:multiLevelType w:val="hybridMultilevel"/>
    <w:tmpl w:val="41664E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3E3959"/>
    <w:multiLevelType w:val="hybridMultilevel"/>
    <w:tmpl w:val="840432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00CCF"/>
    <w:multiLevelType w:val="multilevel"/>
    <w:tmpl w:val="11F2E3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D56F40"/>
    <w:multiLevelType w:val="hybridMultilevel"/>
    <w:tmpl w:val="8D7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21D51"/>
    <w:multiLevelType w:val="hybridMultilevel"/>
    <w:tmpl w:val="A5EE3172"/>
    <w:lvl w:ilvl="0" w:tplc="0374D588">
      <w:start w:val="1"/>
      <w:numFmt w:val="upperLetter"/>
      <w:pStyle w:val="Heading2"/>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056769"/>
    <w:multiLevelType w:val="hybridMultilevel"/>
    <w:tmpl w:val="235A7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9E67FC"/>
    <w:multiLevelType w:val="hybridMultilevel"/>
    <w:tmpl w:val="817603C2"/>
    <w:lvl w:ilvl="0" w:tplc="7160F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1E1829"/>
    <w:multiLevelType w:val="hybridMultilevel"/>
    <w:tmpl w:val="0054DA10"/>
    <w:lvl w:ilvl="0" w:tplc="2D220048">
      <w:start w:val="1"/>
      <w:numFmt w:val="decimal"/>
      <w:pStyle w:val="Heading3"/>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5537D5E"/>
    <w:multiLevelType w:val="hybridMultilevel"/>
    <w:tmpl w:val="38428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0652C"/>
    <w:multiLevelType w:val="hybridMultilevel"/>
    <w:tmpl w:val="0E94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B0DF1"/>
    <w:multiLevelType w:val="hybridMultilevel"/>
    <w:tmpl w:val="F14A3C24"/>
    <w:lvl w:ilvl="0" w:tplc="6A0CABB2">
      <w:start w:val="4"/>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16742"/>
    <w:multiLevelType w:val="hybridMultilevel"/>
    <w:tmpl w:val="3878B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15116"/>
    <w:multiLevelType w:val="hybridMultilevel"/>
    <w:tmpl w:val="6E76F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22B41"/>
    <w:multiLevelType w:val="hybridMultilevel"/>
    <w:tmpl w:val="334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32B5A"/>
    <w:multiLevelType w:val="hybridMultilevel"/>
    <w:tmpl w:val="8A289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DA47D6"/>
    <w:multiLevelType w:val="hybridMultilevel"/>
    <w:tmpl w:val="65247D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504888"/>
    <w:multiLevelType w:val="hybridMultilevel"/>
    <w:tmpl w:val="2B6C30B2"/>
    <w:lvl w:ilvl="0" w:tplc="F8F80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B3125"/>
    <w:multiLevelType w:val="hybridMultilevel"/>
    <w:tmpl w:val="393AC4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C50FBB"/>
    <w:multiLevelType w:val="hybridMultilevel"/>
    <w:tmpl w:val="E7043CEA"/>
    <w:lvl w:ilvl="0" w:tplc="7C68407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491F8C"/>
    <w:multiLevelType w:val="hybridMultilevel"/>
    <w:tmpl w:val="04E897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490A8F"/>
    <w:multiLevelType w:val="hybridMultilevel"/>
    <w:tmpl w:val="ED708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F43"/>
    <w:multiLevelType w:val="hybridMultilevel"/>
    <w:tmpl w:val="C21E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E75CF"/>
    <w:multiLevelType w:val="hybridMultilevel"/>
    <w:tmpl w:val="00C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586052"/>
    <w:multiLevelType w:val="hybridMultilevel"/>
    <w:tmpl w:val="29C82A34"/>
    <w:lvl w:ilvl="0" w:tplc="659C8754">
      <w:start w:val="1"/>
      <w:numFmt w:val="decimal"/>
      <w:lvlText w:val="Metric # %1."/>
      <w:lvlJc w:val="left"/>
      <w:pPr>
        <w:ind w:left="720" w:hanging="360"/>
      </w:pPr>
      <w:rPr>
        <w:rFonts w:hint="default"/>
        <w:i w:val="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DB69E6"/>
    <w:multiLevelType w:val="hybridMultilevel"/>
    <w:tmpl w:val="D1F6845E"/>
    <w:lvl w:ilvl="0" w:tplc="0409000F">
      <w:start w:val="1"/>
      <w:numFmt w:val="decimal"/>
      <w:lvlText w:val="%1."/>
      <w:lvlJc w:val="left"/>
      <w:pPr>
        <w:ind w:left="720" w:hanging="360"/>
      </w:pPr>
      <w:rPr>
        <w:rFonts w:hint="default"/>
        <w:b w:val="0"/>
        <w:i w:val="0"/>
      </w:rPr>
    </w:lvl>
    <w:lvl w:ilvl="1" w:tplc="79540C6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33574"/>
    <w:multiLevelType w:val="hybridMultilevel"/>
    <w:tmpl w:val="293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5244F"/>
    <w:multiLevelType w:val="hybridMultilevel"/>
    <w:tmpl w:val="2FF6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F479A"/>
    <w:multiLevelType w:val="hybridMultilevel"/>
    <w:tmpl w:val="612A0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17CD2"/>
    <w:multiLevelType w:val="hybridMultilevel"/>
    <w:tmpl w:val="754A1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193B2A"/>
    <w:multiLevelType w:val="hybridMultilevel"/>
    <w:tmpl w:val="E0802A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F508B"/>
    <w:multiLevelType w:val="hybridMultilevel"/>
    <w:tmpl w:val="A372E96A"/>
    <w:lvl w:ilvl="0" w:tplc="0FF20422">
      <w:start w:val="1"/>
      <w:numFmt w:val="decimal"/>
      <w:lvlText w:val="%1."/>
      <w:lvlJc w:val="left"/>
      <w:pPr>
        <w:ind w:left="720" w:hanging="360"/>
      </w:pPr>
      <w:rPr>
        <w:rFonts w:hint="default"/>
        <w:b/>
        <w:i w:val="0"/>
      </w:rPr>
    </w:lvl>
    <w:lvl w:ilvl="1" w:tplc="79540C6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42FBA"/>
    <w:multiLevelType w:val="hybridMultilevel"/>
    <w:tmpl w:val="A9FE0F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7B7A6F"/>
    <w:multiLevelType w:val="hybridMultilevel"/>
    <w:tmpl w:val="A604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B2EE1"/>
    <w:multiLevelType w:val="hybridMultilevel"/>
    <w:tmpl w:val="4942E7F2"/>
    <w:lvl w:ilvl="0" w:tplc="6956A1DE">
      <w:start w:val="1"/>
      <w:numFmt w:val="decimal"/>
      <w:lvlText w:val="Metric # %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DFF7256"/>
    <w:multiLevelType w:val="hybridMultilevel"/>
    <w:tmpl w:val="1EFCF8EC"/>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E485E7B"/>
    <w:multiLevelType w:val="hybridMultilevel"/>
    <w:tmpl w:val="1E446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4E4DD3"/>
    <w:multiLevelType w:val="hybridMultilevel"/>
    <w:tmpl w:val="41B8A956"/>
    <w:lvl w:ilvl="0" w:tplc="CE1A5BA4">
      <w:start w:val="1"/>
      <w:numFmt w:val="decimal"/>
      <w:pStyle w:val="FERCparanumber"/>
      <w:lvlText w:val="%1."/>
      <w:lvlJc w:val="left"/>
      <w:pPr>
        <w:tabs>
          <w:tab w:val="num" w:pos="1440"/>
        </w:tabs>
        <w:ind w:left="720" w:firstLine="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7"/>
  </w:num>
  <w:num w:numId="14">
    <w:abstractNumId w:val="40"/>
  </w:num>
  <w:num w:numId="15">
    <w:abstractNumId w:val="29"/>
  </w:num>
  <w:num w:numId="16">
    <w:abstractNumId w:val="41"/>
  </w:num>
  <w:num w:numId="17">
    <w:abstractNumId w:val="33"/>
  </w:num>
  <w:num w:numId="18">
    <w:abstractNumId w:val="13"/>
  </w:num>
  <w:num w:numId="19">
    <w:abstractNumId w:val="28"/>
  </w:num>
  <w:num w:numId="20">
    <w:abstractNumId w:val="14"/>
  </w:num>
  <w:num w:numId="21">
    <w:abstractNumId w:val="20"/>
  </w:num>
  <w:num w:numId="22">
    <w:abstractNumId w:val="22"/>
  </w:num>
  <w:num w:numId="23">
    <w:abstractNumId w:val="22"/>
    <w:lvlOverride w:ilvl="0">
      <w:startOverride w:val="29"/>
    </w:lvlOverride>
  </w:num>
  <w:num w:numId="24">
    <w:abstractNumId w:val="46"/>
  </w:num>
  <w:num w:numId="25">
    <w:abstractNumId w:val="39"/>
  </w:num>
  <w:num w:numId="26">
    <w:abstractNumId w:val="50"/>
  </w:num>
  <w:num w:numId="27">
    <w:abstractNumId w:val="43"/>
  </w:num>
  <w:num w:numId="28">
    <w:abstractNumId w:val="18"/>
  </w:num>
  <w:num w:numId="29">
    <w:abstractNumId w:val="45"/>
  </w:num>
  <w:num w:numId="30">
    <w:abstractNumId w:val="26"/>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5"/>
  </w:num>
  <w:num w:numId="42">
    <w:abstractNumId w:val="49"/>
  </w:num>
  <w:num w:numId="43">
    <w:abstractNumId w:val="25"/>
  </w:num>
  <w:num w:numId="44">
    <w:abstractNumId w:val="21"/>
  </w:num>
  <w:num w:numId="45">
    <w:abstractNumId w:val="11"/>
  </w:num>
  <w:num w:numId="46">
    <w:abstractNumId w:val="31"/>
  </w:num>
  <w:num w:numId="47">
    <w:abstractNumId w:val="36"/>
  </w:num>
  <w:num w:numId="48">
    <w:abstractNumId w:val="24"/>
  </w:num>
  <w:num w:numId="49">
    <w:abstractNumId w:val="37"/>
  </w:num>
  <w:num w:numId="50">
    <w:abstractNumId w:val="19"/>
  </w:num>
  <w:num w:numId="51">
    <w:abstractNumId w:val="19"/>
    <w:lvlOverride w:ilvl="0">
      <w:startOverride w:val="1"/>
    </w:lvlOverride>
  </w:num>
  <w:num w:numId="52">
    <w:abstractNumId w:val="47"/>
  </w:num>
  <w:num w:numId="53">
    <w:abstractNumId w:val="22"/>
    <w:lvlOverride w:ilvl="0">
      <w:startOverride w:val="1"/>
    </w:lvlOverride>
  </w:num>
  <w:num w:numId="54">
    <w:abstractNumId w:val="22"/>
    <w:lvlOverride w:ilvl="0">
      <w:startOverride w:val="1"/>
    </w:lvlOverride>
  </w:num>
  <w:num w:numId="55">
    <w:abstractNumId w:val="12"/>
  </w:num>
  <w:num w:numId="56">
    <w:abstractNumId w:val="48"/>
  </w:num>
  <w:num w:numId="57">
    <w:abstractNumId w:val="30"/>
  </w:num>
  <w:num w:numId="58">
    <w:abstractNumId w:val="16"/>
  </w:num>
  <w:num w:numId="59">
    <w:abstractNumId w:val="42"/>
  </w:num>
  <w:num w:numId="60">
    <w:abstractNumId w:val="35"/>
  </w:num>
  <w:num w:numId="61">
    <w:abstractNumId w:val="34"/>
  </w:num>
  <w:num w:numId="62">
    <w:abstractNumId w:val="44"/>
  </w:num>
  <w:num w:numId="63">
    <w:abstractNumId w:val="22"/>
    <w:lvlOverride w:ilvl="0">
      <w:startOverride w:val="1"/>
    </w:lvlOverride>
  </w:num>
  <w:num w:numId="64">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848"/>
    <w:rsid w:val="00000C75"/>
    <w:rsid w:val="000014CF"/>
    <w:rsid w:val="00001722"/>
    <w:rsid w:val="000019DF"/>
    <w:rsid w:val="0000233B"/>
    <w:rsid w:val="00003B3F"/>
    <w:rsid w:val="0000487A"/>
    <w:rsid w:val="000049F0"/>
    <w:rsid w:val="00005299"/>
    <w:rsid w:val="000060FC"/>
    <w:rsid w:val="00006247"/>
    <w:rsid w:val="00006E79"/>
    <w:rsid w:val="00007013"/>
    <w:rsid w:val="00007FAE"/>
    <w:rsid w:val="00010DA7"/>
    <w:rsid w:val="0001111E"/>
    <w:rsid w:val="00011365"/>
    <w:rsid w:val="00011C74"/>
    <w:rsid w:val="00011F5F"/>
    <w:rsid w:val="00013F2C"/>
    <w:rsid w:val="00015A3F"/>
    <w:rsid w:val="00015BA4"/>
    <w:rsid w:val="000164FF"/>
    <w:rsid w:val="00016531"/>
    <w:rsid w:val="000170ED"/>
    <w:rsid w:val="00017731"/>
    <w:rsid w:val="00017BC9"/>
    <w:rsid w:val="00020927"/>
    <w:rsid w:val="00021327"/>
    <w:rsid w:val="000217ED"/>
    <w:rsid w:val="0002233B"/>
    <w:rsid w:val="000223E6"/>
    <w:rsid w:val="00022481"/>
    <w:rsid w:val="00022B8F"/>
    <w:rsid w:val="00023938"/>
    <w:rsid w:val="00024BF7"/>
    <w:rsid w:val="000250B2"/>
    <w:rsid w:val="0002542D"/>
    <w:rsid w:val="000259D4"/>
    <w:rsid w:val="00025DD9"/>
    <w:rsid w:val="00027861"/>
    <w:rsid w:val="000304A2"/>
    <w:rsid w:val="000306AF"/>
    <w:rsid w:val="00030F81"/>
    <w:rsid w:val="00031036"/>
    <w:rsid w:val="000312A6"/>
    <w:rsid w:val="000312F1"/>
    <w:rsid w:val="00033247"/>
    <w:rsid w:val="00033A3C"/>
    <w:rsid w:val="00033F00"/>
    <w:rsid w:val="00033F84"/>
    <w:rsid w:val="00034E87"/>
    <w:rsid w:val="000353EC"/>
    <w:rsid w:val="000354F3"/>
    <w:rsid w:val="00035DF7"/>
    <w:rsid w:val="00036021"/>
    <w:rsid w:val="00036A98"/>
    <w:rsid w:val="000370C3"/>
    <w:rsid w:val="000371F6"/>
    <w:rsid w:val="00037A1F"/>
    <w:rsid w:val="00037B9C"/>
    <w:rsid w:val="00040660"/>
    <w:rsid w:val="00040B85"/>
    <w:rsid w:val="00040C9F"/>
    <w:rsid w:val="00041440"/>
    <w:rsid w:val="00042751"/>
    <w:rsid w:val="00042BCC"/>
    <w:rsid w:val="00043F4D"/>
    <w:rsid w:val="00044589"/>
    <w:rsid w:val="00044AF4"/>
    <w:rsid w:val="00045C55"/>
    <w:rsid w:val="00045FD3"/>
    <w:rsid w:val="00045FDA"/>
    <w:rsid w:val="00046EC9"/>
    <w:rsid w:val="000475FE"/>
    <w:rsid w:val="000509F8"/>
    <w:rsid w:val="00050B1D"/>
    <w:rsid w:val="0005102F"/>
    <w:rsid w:val="0005177E"/>
    <w:rsid w:val="00051910"/>
    <w:rsid w:val="00051E06"/>
    <w:rsid w:val="0005260D"/>
    <w:rsid w:val="0005406C"/>
    <w:rsid w:val="0005467E"/>
    <w:rsid w:val="00055331"/>
    <w:rsid w:val="000556F7"/>
    <w:rsid w:val="00055B09"/>
    <w:rsid w:val="000566D0"/>
    <w:rsid w:val="000569F4"/>
    <w:rsid w:val="00056E88"/>
    <w:rsid w:val="000577A3"/>
    <w:rsid w:val="00057B0E"/>
    <w:rsid w:val="0006026A"/>
    <w:rsid w:val="00060797"/>
    <w:rsid w:val="000608E9"/>
    <w:rsid w:val="00060AEC"/>
    <w:rsid w:val="00061023"/>
    <w:rsid w:val="000618C6"/>
    <w:rsid w:val="000618F7"/>
    <w:rsid w:val="00061A44"/>
    <w:rsid w:val="00061F05"/>
    <w:rsid w:val="000622E5"/>
    <w:rsid w:val="000630E3"/>
    <w:rsid w:val="000630E5"/>
    <w:rsid w:val="00063363"/>
    <w:rsid w:val="00063919"/>
    <w:rsid w:val="00063BF7"/>
    <w:rsid w:val="00063D84"/>
    <w:rsid w:val="00064232"/>
    <w:rsid w:val="00064D88"/>
    <w:rsid w:val="0006579A"/>
    <w:rsid w:val="00065921"/>
    <w:rsid w:val="00065B4B"/>
    <w:rsid w:val="00065B91"/>
    <w:rsid w:val="0006768F"/>
    <w:rsid w:val="00067A32"/>
    <w:rsid w:val="00067A56"/>
    <w:rsid w:val="000700A0"/>
    <w:rsid w:val="00071BD2"/>
    <w:rsid w:val="00072456"/>
    <w:rsid w:val="00072835"/>
    <w:rsid w:val="00074450"/>
    <w:rsid w:val="0007493C"/>
    <w:rsid w:val="00075797"/>
    <w:rsid w:val="00075BE6"/>
    <w:rsid w:val="00076339"/>
    <w:rsid w:val="0007775B"/>
    <w:rsid w:val="000777C1"/>
    <w:rsid w:val="0008001D"/>
    <w:rsid w:val="000821DD"/>
    <w:rsid w:val="000839EF"/>
    <w:rsid w:val="00084B68"/>
    <w:rsid w:val="000852CE"/>
    <w:rsid w:val="00085C14"/>
    <w:rsid w:val="000860E7"/>
    <w:rsid w:val="000865AF"/>
    <w:rsid w:val="0008733B"/>
    <w:rsid w:val="0008749D"/>
    <w:rsid w:val="00087D5C"/>
    <w:rsid w:val="000904A1"/>
    <w:rsid w:val="00090600"/>
    <w:rsid w:val="0009093C"/>
    <w:rsid w:val="00091434"/>
    <w:rsid w:val="00091678"/>
    <w:rsid w:val="00092585"/>
    <w:rsid w:val="0009283B"/>
    <w:rsid w:val="00092E54"/>
    <w:rsid w:val="000932B0"/>
    <w:rsid w:val="000933A2"/>
    <w:rsid w:val="00093DA7"/>
    <w:rsid w:val="00094059"/>
    <w:rsid w:val="00094BB3"/>
    <w:rsid w:val="00094CA5"/>
    <w:rsid w:val="0009580A"/>
    <w:rsid w:val="00095AAE"/>
    <w:rsid w:val="000964CE"/>
    <w:rsid w:val="00096F85"/>
    <w:rsid w:val="000973D0"/>
    <w:rsid w:val="00097692"/>
    <w:rsid w:val="00097EE5"/>
    <w:rsid w:val="000A054B"/>
    <w:rsid w:val="000A12DF"/>
    <w:rsid w:val="000A1B01"/>
    <w:rsid w:val="000A1DCC"/>
    <w:rsid w:val="000A23F0"/>
    <w:rsid w:val="000A2AE8"/>
    <w:rsid w:val="000A2B59"/>
    <w:rsid w:val="000A2FF5"/>
    <w:rsid w:val="000A3B50"/>
    <w:rsid w:val="000A423D"/>
    <w:rsid w:val="000A500F"/>
    <w:rsid w:val="000A6B6B"/>
    <w:rsid w:val="000A7F56"/>
    <w:rsid w:val="000B0EBF"/>
    <w:rsid w:val="000B1F9F"/>
    <w:rsid w:val="000B1FF6"/>
    <w:rsid w:val="000B2BB2"/>
    <w:rsid w:val="000B32DC"/>
    <w:rsid w:val="000B3597"/>
    <w:rsid w:val="000B3933"/>
    <w:rsid w:val="000B3BB4"/>
    <w:rsid w:val="000B45B7"/>
    <w:rsid w:val="000B467B"/>
    <w:rsid w:val="000B49D4"/>
    <w:rsid w:val="000B49E6"/>
    <w:rsid w:val="000B5FB2"/>
    <w:rsid w:val="000B6FFA"/>
    <w:rsid w:val="000C187F"/>
    <w:rsid w:val="000C26C1"/>
    <w:rsid w:val="000C2DC7"/>
    <w:rsid w:val="000C3449"/>
    <w:rsid w:val="000C3615"/>
    <w:rsid w:val="000C3D13"/>
    <w:rsid w:val="000C4292"/>
    <w:rsid w:val="000C47BF"/>
    <w:rsid w:val="000C5989"/>
    <w:rsid w:val="000C7E26"/>
    <w:rsid w:val="000D0195"/>
    <w:rsid w:val="000D0AB6"/>
    <w:rsid w:val="000D0B8C"/>
    <w:rsid w:val="000D0F08"/>
    <w:rsid w:val="000D1B7B"/>
    <w:rsid w:val="000D1D77"/>
    <w:rsid w:val="000D2716"/>
    <w:rsid w:val="000D2FEA"/>
    <w:rsid w:val="000D3262"/>
    <w:rsid w:val="000D376F"/>
    <w:rsid w:val="000D381D"/>
    <w:rsid w:val="000D3D68"/>
    <w:rsid w:val="000D4E31"/>
    <w:rsid w:val="000D6533"/>
    <w:rsid w:val="000D709F"/>
    <w:rsid w:val="000D7520"/>
    <w:rsid w:val="000E019F"/>
    <w:rsid w:val="000E0D77"/>
    <w:rsid w:val="000E22D9"/>
    <w:rsid w:val="000E3113"/>
    <w:rsid w:val="000E314D"/>
    <w:rsid w:val="000E3D5C"/>
    <w:rsid w:val="000E4F40"/>
    <w:rsid w:val="000E54B0"/>
    <w:rsid w:val="000E59DE"/>
    <w:rsid w:val="000E5DA1"/>
    <w:rsid w:val="000E61C9"/>
    <w:rsid w:val="000E6DE7"/>
    <w:rsid w:val="000E6E42"/>
    <w:rsid w:val="000E6E74"/>
    <w:rsid w:val="000E733C"/>
    <w:rsid w:val="000F0DE8"/>
    <w:rsid w:val="000F181C"/>
    <w:rsid w:val="000F18AF"/>
    <w:rsid w:val="000F1A65"/>
    <w:rsid w:val="000F1C01"/>
    <w:rsid w:val="000F253E"/>
    <w:rsid w:val="000F283A"/>
    <w:rsid w:val="000F3537"/>
    <w:rsid w:val="000F3A76"/>
    <w:rsid w:val="000F40DE"/>
    <w:rsid w:val="000F4A90"/>
    <w:rsid w:val="000F4D53"/>
    <w:rsid w:val="000F5B65"/>
    <w:rsid w:val="000F637F"/>
    <w:rsid w:val="000F6BFD"/>
    <w:rsid w:val="000F6CAA"/>
    <w:rsid w:val="000F7EE9"/>
    <w:rsid w:val="000F7F9E"/>
    <w:rsid w:val="0010099F"/>
    <w:rsid w:val="00100E28"/>
    <w:rsid w:val="00101119"/>
    <w:rsid w:val="00101744"/>
    <w:rsid w:val="001018A4"/>
    <w:rsid w:val="00103CF3"/>
    <w:rsid w:val="001041A3"/>
    <w:rsid w:val="00105825"/>
    <w:rsid w:val="00106845"/>
    <w:rsid w:val="00107D5A"/>
    <w:rsid w:val="0011005F"/>
    <w:rsid w:val="0011071E"/>
    <w:rsid w:val="0011073F"/>
    <w:rsid w:val="00110822"/>
    <w:rsid w:val="00110C3B"/>
    <w:rsid w:val="00111B03"/>
    <w:rsid w:val="00111BED"/>
    <w:rsid w:val="00112878"/>
    <w:rsid w:val="001128A5"/>
    <w:rsid w:val="0011470B"/>
    <w:rsid w:val="00114F8A"/>
    <w:rsid w:val="0011549F"/>
    <w:rsid w:val="0011560A"/>
    <w:rsid w:val="00115C91"/>
    <w:rsid w:val="00115E6D"/>
    <w:rsid w:val="00120778"/>
    <w:rsid w:val="00121224"/>
    <w:rsid w:val="00122170"/>
    <w:rsid w:val="00122A82"/>
    <w:rsid w:val="00122EF4"/>
    <w:rsid w:val="00123F66"/>
    <w:rsid w:val="00124756"/>
    <w:rsid w:val="00125674"/>
    <w:rsid w:val="00125BDB"/>
    <w:rsid w:val="00126BAD"/>
    <w:rsid w:val="00126F2B"/>
    <w:rsid w:val="0012760C"/>
    <w:rsid w:val="001278B8"/>
    <w:rsid w:val="001278BF"/>
    <w:rsid w:val="00127B80"/>
    <w:rsid w:val="00127BDF"/>
    <w:rsid w:val="00130484"/>
    <w:rsid w:val="00131D62"/>
    <w:rsid w:val="001321A1"/>
    <w:rsid w:val="001325B5"/>
    <w:rsid w:val="0013289A"/>
    <w:rsid w:val="0013291C"/>
    <w:rsid w:val="00132A0B"/>
    <w:rsid w:val="00132A7A"/>
    <w:rsid w:val="001338BD"/>
    <w:rsid w:val="00134295"/>
    <w:rsid w:val="001346F8"/>
    <w:rsid w:val="00134DA9"/>
    <w:rsid w:val="00135393"/>
    <w:rsid w:val="00136B69"/>
    <w:rsid w:val="00137A17"/>
    <w:rsid w:val="00137A30"/>
    <w:rsid w:val="0014077F"/>
    <w:rsid w:val="00140DC1"/>
    <w:rsid w:val="00140E5D"/>
    <w:rsid w:val="00140F26"/>
    <w:rsid w:val="00141E26"/>
    <w:rsid w:val="00142A1C"/>
    <w:rsid w:val="00143C84"/>
    <w:rsid w:val="00143ED7"/>
    <w:rsid w:val="0014446D"/>
    <w:rsid w:val="00144766"/>
    <w:rsid w:val="001450B0"/>
    <w:rsid w:val="00145BF3"/>
    <w:rsid w:val="001460E5"/>
    <w:rsid w:val="00146A35"/>
    <w:rsid w:val="00146ADB"/>
    <w:rsid w:val="00146EA1"/>
    <w:rsid w:val="00147246"/>
    <w:rsid w:val="00147943"/>
    <w:rsid w:val="00150428"/>
    <w:rsid w:val="0015044E"/>
    <w:rsid w:val="0015084A"/>
    <w:rsid w:val="00150D48"/>
    <w:rsid w:val="001525D7"/>
    <w:rsid w:val="00153121"/>
    <w:rsid w:val="001541A7"/>
    <w:rsid w:val="00154D1D"/>
    <w:rsid w:val="0015507A"/>
    <w:rsid w:val="0015510B"/>
    <w:rsid w:val="00155DB7"/>
    <w:rsid w:val="001563B9"/>
    <w:rsid w:val="00157D6A"/>
    <w:rsid w:val="00157FD1"/>
    <w:rsid w:val="0016020B"/>
    <w:rsid w:val="00160ECC"/>
    <w:rsid w:val="00160FF2"/>
    <w:rsid w:val="001619AF"/>
    <w:rsid w:val="00162576"/>
    <w:rsid w:val="0016295A"/>
    <w:rsid w:val="001643EF"/>
    <w:rsid w:val="00165124"/>
    <w:rsid w:val="001666BB"/>
    <w:rsid w:val="001668A9"/>
    <w:rsid w:val="001701EA"/>
    <w:rsid w:val="00171970"/>
    <w:rsid w:val="00171C7E"/>
    <w:rsid w:val="001722C4"/>
    <w:rsid w:val="001722E3"/>
    <w:rsid w:val="00173091"/>
    <w:rsid w:val="00173678"/>
    <w:rsid w:val="001739EC"/>
    <w:rsid w:val="00176897"/>
    <w:rsid w:val="00176FE3"/>
    <w:rsid w:val="00177264"/>
    <w:rsid w:val="00177390"/>
    <w:rsid w:val="00180A02"/>
    <w:rsid w:val="00180D7D"/>
    <w:rsid w:val="00180E53"/>
    <w:rsid w:val="00180F41"/>
    <w:rsid w:val="00181877"/>
    <w:rsid w:val="00181960"/>
    <w:rsid w:val="00182BFE"/>
    <w:rsid w:val="001832AC"/>
    <w:rsid w:val="001834C7"/>
    <w:rsid w:val="00183FD6"/>
    <w:rsid w:val="00184915"/>
    <w:rsid w:val="00184CBD"/>
    <w:rsid w:val="0018529B"/>
    <w:rsid w:val="001853F5"/>
    <w:rsid w:val="00186715"/>
    <w:rsid w:val="00186EA2"/>
    <w:rsid w:val="00187606"/>
    <w:rsid w:val="00187800"/>
    <w:rsid w:val="001917AD"/>
    <w:rsid w:val="001928F3"/>
    <w:rsid w:val="00192CF5"/>
    <w:rsid w:val="00193528"/>
    <w:rsid w:val="0019443E"/>
    <w:rsid w:val="00195179"/>
    <w:rsid w:val="001954FF"/>
    <w:rsid w:val="00195C97"/>
    <w:rsid w:val="0019628D"/>
    <w:rsid w:val="001965F5"/>
    <w:rsid w:val="001967B0"/>
    <w:rsid w:val="00196908"/>
    <w:rsid w:val="0019719C"/>
    <w:rsid w:val="00197B22"/>
    <w:rsid w:val="00197DD1"/>
    <w:rsid w:val="001A03ED"/>
    <w:rsid w:val="001A0D1C"/>
    <w:rsid w:val="001A12DE"/>
    <w:rsid w:val="001A25C5"/>
    <w:rsid w:val="001A2ED4"/>
    <w:rsid w:val="001A3237"/>
    <w:rsid w:val="001A4108"/>
    <w:rsid w:val="001A41A4"/>
    <w:rsid w:val="001A4BFE"/>
    <w:rsid w:val="001A4C5E"/>
    <w:rsid w:val="001A4DDC"/>
    <w:rsid w:val="001A509E"/>
    <w:rsid w:val="001A55C3"/>
    <w:rsid w:val="001A59DA"/>
    <w:rsid w:val="001A5D72"/>
    <w:rsid w:val="001A68C8"/>
    <w:rsid w:val="001A6D08"/>
    <w:rsid w:val="001A7693"/>
    <w:rsid w:val="001A7F32"/>
    <w:rsid w:val="001B05DC"/>
    <w:rsid w:val="001B190E"/>
    <w:rsid w:val="001B1ABA"/>
    <w:rsid w:val="001B26FC"/>
    <w:rsid w:val="001B2979"/>
    <w:rsid w:val="001B2DCC"/>
    <w:rsid w:val="001B395C"/>
    <w:rsid w:val="001B3AD3"/>
    <w:rsid w:val="001B48D0"/>
    <w:rsid w:val="001B4AF8"/>
    <w:rsid w:val="001B4D9E"/>
    <w:rsid w:val="001B60C9"/>
    <w:rsid w:val="001B6423"/>
    <w:rsid w:val="001B753B"/>
    <w:rsid w:val="001B7BF7"/>
    <w:rsid w:val="001C04AA"/>
    <w:rsid w:val="001C1230"/>
    <w:rsid w:val="001C139A"/>
    <w:rsid w:val="001C17A3"/>
    <w:rsid w:val="001C1B0C"/>
    <w:rsid w:val="001C2ADC"/>
    <w:rsid w:val="001C2F7E"/>
    <w:rsid w:val="001C38DA"/>
    <w:rsid w:val="001C4ACB"/>
    <w:rsid w:val="001C5246"/>
    <w:rsid w:val="001C5E36"/>
    <w:rsid w:val="001C66D1"/>
    <w:rsid w:val="001C6794"/>
    <w:rsid w:val="001C6F83"/>
    <w:rsid w:val="001C7032"/>
    <w:rsid w:val="001C7561"/>
    <w:rsid w:val="001C79F2"/>
    <w:rsid w:val="001C7F4A"/>
    <w:rsid w:val="001D0604"/>
    <w:rsid w:val="001D089C"/>
    <w:rsid w:val="001D0C56"/>
    <w:rsid w:val="001D1978"/>
    <w:rsid w:val="001D1C8C"/>
    <w:rsid w:val="001D2EBF"/>
    <w:rsid w:val="001D2EC8"/>
    <w:rsid w:val="001D3275"/>
    <w:rsid w:val="001D33E8"/>
    <w:rsid w:val="001D3568"/>
    <w:rsid w:val="001D4A3D"/>
    <w:rsid w:val="001D5E60"/>
    <w:rsid w:val="001D6113"/>
    <w:rsid w:val="001D6742"/>
    <w:rsid w:val="001D6B4B"/>
    <w:rsid w:val="001D6E92"/>
    <w:rsid w:val="001D7016"/>
    <w:rsid w:val="001D75C1"/>
    <w:rsid w:val="001D7E23"/>
    <w:rsid w:val="001D7F9B"/>
    <w:rsid w:val="001E1B1A"/>
    <w:rsid w:val="001E1DDA"/>
    <w:rsid w:val="001E1F8C"/>
    <w:rsid w:val="001E21EE"/>
    <w:rsid w:val="001E2D62"/>
    <w:rsid w:val="001E3199"/>
    <w:rsid w:val="001E3B8B"/>
    <w:rsid w:val="001E44EA"/>
    <w:rsid w:val="001E4A4D"/>
    <w:rsid w:val="001E4A71"/>
    <w:rsid w:val="001E4EC5"/>
    <w:rsid w:val="001E5291"/>
    <w:rsid w:val="001E6279"/>
    <w:rsid w:val="001F02DD"/>
    <w:rsid w:val="001F2067"/>
    <w:rsid w:val="001F276D"/>
    <w:rsid w:val="001F2EEF"/>
    <w:rsid w:val="001F388C"/>
    <w:rsid w:val="001F3934"/>
    <w:rsid w:val="001F3958"/>
    <w:rsid w:val="001F3A25"/>
    <w:rsid w:val="001F4397"/>
    <w:rsid w:val="001F4B85"/>
    <w:rsid w:val="001F5531"/>
    <w:rsid w:val="001F67EA"/>
    <w:rsid w:val="001F6C81"/>
    <w:rsid w:val="001F7FC3"/>
    <w:rsid w:val="002009DA"/>
    <w:rsid w:val="00200B82"/>
    <w:rsid w:val="002012CD"/>
    <w:rsid w:val="0020154E"/>
    <w:rsid w:val="002015D0"/>
    <w:rsid w:val="00202082"/>
    <w:rsid w:val="00202422"/>
    <w:rsid w:val="00202562"/>
    <w:rsid w:val="00202C80"/>
    <w:rsid w:val="00204512"/>
    <w:rsid w:val="00204869"/>
    <w:rsid w:val="00206745"/>
    <w:rsid w:val="00206D7D"/>
    <w:rsid w:val="002106AD"/>
    <w:rsid w:val="00210A21"/>
    <w:rsid w:val="00211CCD"/>
    <w:rsid w:val="00214C9E"/>
    <w:rsid w:val="0021519D"/>
    <w:rsid w:val="0021523F"/>
    <w:rsid w:val="0021591C"/>
    <w:rsid w:val="00215AC5"/>
    <w:rsid w:val="00215DA9"/>
    <w:rsid w:val="00216299"/>
    <w:rsid w:val="00216374"/>
    <w:rsid w:val="002165CB"/>
    <w:rsid w:val="00220A13"/>
    <w:rsid w:val="0022230A"/>
    <w:rsid w:val="002223BF"/>
    <w:rsid w:val="00222A25"/>
    <w:rsid w:val="00222B5C"/>
    <w:rsid w:val="00223CD6"/>
    <w:rsid w:val="0022422D"/>
    <w:rsid w:val="002246EF"/>
    <w:rsid w:val="002249CA"/>
    <w:rsid w:val="00227132"/>
    <w:rsid w:val="00227237"/>
    <w:rsid w:val="002306F9"/>
    <w:rsid w:val="00230829"/>
    <w:rsid w:val="00230DF2"/>
    <w:rsid w:val="00231B2D"/>
    <w:rsid w:val="00232B88"/>
    <w:rsid w:val="002336B3"/>
    <w:rsid w:val="0023489A"/>
    <w:rsid w:val="00234C33"/>
    <w:rsid w:val="00234FEB"/>
    <w:rsid w:val="00235A41"/>
    <w:rsid w:val="00236901"/>
    <w:rsid w:val="002375ED"/>
    <w:rsid w:val="00237AE0"/>
    <w:rsid w:val="00240066"/>
    <w:rsid w:val="00242402"/>
    <w:rsid w:val="002426C3"/>
    <w:rsid w:val="00242841"/>
    <w:rsid w:val="0024285D"/>
    <w:rsid w:val="0024296A"/>
    <w:rsid w:val="00243A8E"/>
    <w:rsid w:val="00244F11"/>
    <w:rsid w:val="002450FE"/>
    <w:rsid w:val="002455CE"/>
    <w:rsid w:val="00245A3E"/>
    <w:rsid w:val="002468A2"/>
    <w:rsid w:val="00247D36"/>
    <w:rsid w:val="00247DEA"/>
    <w:rsid w:val="00247FD9"/>
    <w:rsid w:val="00250417"/>
    <w:rsid w:val="002505AA"/>
    <w:rsid w:val="00250E08"/>
    <w:rsid w:val="00251B24"/>
    <w:rsid w:val="00252420"/>
    <w:rsid w:val="00252506"/>
    <w:rsid w:val="0025400C"/>
    <w:rsid w:val="002540BD"/>
    <w:rsid w:val="0025426E"/>
    <w:rsid w:val="002553AC"/>
    <w:rsid w:val="00255663"/>
    <w:rsid w:val="00255E07"/>
    <w:rsid w:val="00256CC6"/>
    <w:rsid w:val="0025704A"/>
    <w:rsid w:val="0025744B"/>
    <w:rsid w:val="00257652"/>
    <w:rsid w:val="00257714"/>
    <w:rsid w:val="0025775A"/>
    <w:rsid w:val="0025783E"/>
    <w:rsid w:val="00257C2E"/>
    <w:rsid w:val="00257F65"/>
    <w:rsid w:val="0026169D"/>
    <w:rsid w:val="00262197"/>
    <w:rsid w:val="00263738"/>
    <w:rsid w:val="0026424F"/>
    <w:rsid w:val="00264564"/>
    <w:rsid w:val="002647B2"/>
    <w:rsid w:val="0026544C"/>
    <w:rsid w:val="00265D9F"/>
    <w:rsid w:val="00266085"/>
    <w:rsid w:val="00266808"/>
    <w:rsid w:val="00266A0E"/>
    <w:rsid w:val="00266A6A"/>
    <w:rsid w:val="0027093A"/>
    <w:rsid w:val="00271A54"/>
    <w:rsid w:val="00272E37"/>
    <w:rsid w:val="0027388C"/>
    <w:rsid w:val="002738E3"/>
    <w:rsid w:val="002747B3"/>
    <w:rsid w:val="002756B8"/>
    <w:rsid w:val="0027572D"/>
    <w:rsid w:val="0027704A"/>
    <w:rsid w:val="002773A1"/>
    <w:rsid w:val="00277541"/>
    <w:rsid w:val="00277556"/>
    <w:rsid w:val="00277D1A"/>
    <w:rsid w:val="00277D96"/>
    <w:rsid w:val="00280451"/>
    <w:rsid w:val="0028049B"/>
    <w:rsid w:val="002812C4"/>
    <w:rsid w:val="0028132C"/>
    <w:rsid w:val="0028133C"/>
    <w:rsid w:val="00281B3C"/>
    <w:rsid w:val="0028239B"/>
    <w:rsid w:val="002823AB"/>
    <w:rsid w:val="00282B1D"/>
    <w:rsid w:val="00282D15"/>
    <w:rsid w:val="0028447B"/>
    <w:rsid w:val="00284512"/>
    <w:rsid w:val="00284C48"/>
    <w:rsid w:val="00284FF1"/>
    <w:rsid w:val="002852E3"/>
    <w:rsid w:val="002856D3"/>
    <w:rsid w:val="00285F0E"/>
    <w:rsid w:val="00285F47"/>
    <w:rsid w:val="002862F5"/>
    <w:rsid w:val="00286918"/>
    <w:rsid w:val="0028697E"/>
    <w:rsid w:val="002874A7"/>
    <w:rsid w:val="002875D8"/>
    <w:rsid w:val="00287B45"/>
    <w:rsid w:val="00290DCF"/>
    <w:rsid w:val="00291716"/>
    <w:rsid w:val="002922D2"/>
    <w:rsid w:val="00292A1F"/>
    <w:rsid w:val="002931A0"/>
    <w:rsid w:val="00293817"/>
    <w:rsid w:val="002947F9"/>
    <w:rsid w:val="00294E17"/>
    <w:rsid w:val="002956EF"/>
    <w:rsid w:val="002958DD"/>
    <w:rsid w:val="002959F3"/>
    <w:rsid w:val="00296753"/>
    <w:rsid w:val="002976C3"/>
    <w:rsid w:val="00297B43"/>
    <w:rsid w:val="00297E18"/>
    <w:rsid w:val="002A07C0"/>
    <w:rsid w:val="002A0F57"/>
    <w:rsid w:val="002A156E"/>
    <w:rsid w:val="002A23C4"/>
    <w:rsid w:val="002A2C5B"/>
    <w:rsid w:val="002A5520"/>
    <w:rsid w:val="002A64E2"/>
    <w:rsid w:val="002A79DA"/>
    <w:rsid w:val="002B0506"/>
    <w:rsid w:val="002B0C7A"/>
    <w:rsid w:val="002B1049"/>
    <w:rsid w:val="002B15C5"/>
    <w:rsid w:val="002B1C03"/>
    <w:rsid w:val="002B2781"/>
    <w:rsid w:val="002B3FCF"/>
    <w:rsid w:val="002B4F91"/>
    <w:rsid w:val="002B6391"/>
    <w:rsid w:val="002B6530"/>
    <w:rsid w:val="002B68B7"/>
    <w:rsid w:val="002B7CCA"/>
    <w:rsid w:val="002B7D27"/>
    <w:rsid w:val="002B7D6E"/>
    <w:rsid w:val="002C096A"/>
    <w:rsid w:val="002C0DE5"/>
    <w:rsid w:val="002C1064"/>
    <w:rsid w:val="002C1875"/>
    <w:rsid w:val="002C1C5D"/>
    <w:rsid w:val="002C356E"/>
    <w:rsid w:val="002C3700"/>
    <w:rsid w:val="002C4EF3"/>
    <w:rsid w:val="002C566E"/>
    <w:rsid w:val="002C5CAD"/>
    <w:rsid w:val="002C638B"/>
    <w:rsid w:val="002C76D8"/>
    <w:rsid w:val="002D0AFD"/>
    <w:rsid w:val="002D0D7C"/>
    <w:rsid w:val="002D0F89"/>
    <w:rsid w:val="002D1319"/>
    <w:rsid w:val="002D1571"/>
    <w:rsid w:val="002D1796"/>
    <w:rsid w:val="002D26AB"/>
    <w:rsid w:val="002D2983"/>
    <w:rsid w:val="002D299A"/>
    <w:rsid w:val="002D36C6"/>
    <w:rsid w:val="002D3B73"/>
    <w:rsid w:val="002D4B14"/>
    <w:rsid w:val="002D52AE"/>
    <w:rsid w:val="002D5529"/>
    <w:rsid w:val="002D6385"/>
    <w:rsid w:val="002D6F39"/>
    <w:rsid w:val="002D7103"/>
    <w:rsid w:val="002D7D08"/>
    <w:rsid w:val="002E1691"/>
    <w:rsid w:val="002E1943"/>
    <w:rsid w:val="002E1CDB"/>
    <w:rsid w:val="002E1E26"/>
    <w:rsid w:val="002E25A4"/>
    <w:rsid w:val="002E4290"/>
    <w:rsid w:val="002E6453"/>
    <w:rsid w:val="002E6C23"/>
    <w:rsid w:val="002E6F69"/>
    <w:rsid w:val="002E7495"/>
    <w:rsid w:val="002E74C3"/>
    <w:rsid w:val="002E75D3"/>
    <w:rsid w:val="002E770C"/>
    <w:rsid w:val="002E7809"/>
    <w:rsid w:val="002E7C77"/>
    <w:rsid w:val="002F04E7"/>
    <w:rsid w:val="002F0514"/>
    <w:rsid w:val="002F1364"/>
    <w:rsid w:val="002F1FFB"/>
    <w:rsid w:val="002F2045"/>
    <w:rsid w:val="002F2636"/>
    <w:rsid w:val="002F2AF7"/>
    <w:rsid w:val="002F2C6F"/>
    <w:rsid w:val="002F3D6A"/>
    <w:rsid w:val="002F4058"/>
    <w:rsid w:val="002F453A"/>
    <w:rsid w:val="002F59AF"/>
    <w:rsid w:val="002F6209"/>
    <w:rsid w:val="002F6298"/>
    <w:rsid w:val="002F6683"/>
    <w:rsid w:val="002F69FB"/>
    <w:rsid w:val="002F7858"/>
    <w:rsid w:val="00300A0C"/>
    <w:rsid w:val="00301152"/>
    <w:rsid w:val="003023C7"/>
    <w:rsid w:val="00302619"/>
    <w:rsid w:val="003026AF"/>
    <w:rsid w:val="00302B84"/>
    <w:rsid w:val="00302C84"/>
    <w:rsid w:val="0030311A"/>
    <w:rsid w:val="003038A0"/>
    <w:rsid w:val="00303ECA"/>
    <w:rsid w:val="0030424D"/>
    <w:rsid w:val="00304B0F"/>
    <w:rsid w:val="003060D1"/>
    <w:rsid w:val="0030699D"/>
    <w:rsid w:val="00306E0F"/>
    <w:rsid w:val="003073F3"/>
    <w:rsid w:val="003079EC"/>
    <w:rsid w:val="003105B7"/>
    <w:rsid w:val="00310623"/>
    <w:rsid w:val="00310E29"/>
    <w:rsid w:val="00311B1B"/>
    <w:rsid w:val="00312209"/>
    <w:rsid w:val="0031237E"/>
    <w:rsid w:val="00312BEE"/>
    <w:rsid w:val="00312F4B"/>
    <w:rsid w:val="003139C3"/>
    <w:rsid w:val="0031453B"/>
    <w:rsid w:val="003146D7"/>
    <w:rsid w:val="003154C2"/>
    <w:rsid w:val="003155CC"/>
    <w:rsid w:val="003159A5"/>
    <w:rsid w:val="00315B1E"/>
    <w:rsid w:val="00315BDC"/>
    <w:rsid w:val="00315D37"/>
    <w:rsid w:val="0031611A"/>
    <w:rsid w:val="003167F7"/>
    <w:rsid w:val="0031714E"/>
    <w:rsid w:val="00320442"/>
    <w:rsid w:val="003205A7"/>
    <w:rsid w:val="00320784"/>
    <w:rsid w:val="003212C1"/>
    <w:rsid w:val="00321AED"/>
    <w:rsid w:val="00321C00"/>
    <w:rsid w:val="00321F89"/>
    <w:rsid w:val="003234D8"/>
    <w:rsid w:val="00324004"/>
    <w:rsid w:val="00324028"/>
    <w:rsid w:val="0032503E"/>
    <w:rsid w:val="0032511F"/>
    <w:rsid w:val="0032649B"/>
    <w:rsid w:val="00327980"/>
    <w:rsid w:val="003303B3"/>
    <w:rsid w:val="003306F1"/>
    <w:rsid w:val="00330C7E"/>
    <w:rsid w:val="00331286"/>
    <w:rsid w:val="0033292D"/>
    <w:rsid w:val="00332D03"/>
    <w:rsid w:val="00332F57"/>
    <w:rsid w:val="0033309E"/>
    <w:rsid w:val="00333151"/>
    <w:rsid w:val="003334BF"/>
    <w:rsid w:val="00334E13"/>
    <w:rsid w:val="003350BC"/>
    <w:rsid w:val="003350C5"/>
    <w:rsid w:val="00335162"/>
    <w:rsid w:val="0033571D"/>
    <w:rsid w:val="00335CC0"/>
    <w:rsid w:val="0033629D"/>
    <w:rsid w:val="003363E0"/>
    <w:rsid w:val="00340B64"/>
    <w:rsid w:val="00340B76"/>
    <w:rsid w:val="00341318"/>
    <w:rsid w:val="00341DB7"/>
    <w:rsid w:val="003420DE"/>
    <w:rsid w:val="00343542"/>
    <w:rsid w:val="0034397E"/>
    <w:rsid w:val="00343D0B"/>
    <w:rsid w:val="00344D1C"/>
    <w:rsid w:val="003450BC"/>
    <w:rsid w:val="0034524C"/>
    <w:rsid w:val="00345B19"/>
    <w:rsid w:val="00345B8F"/>
    <w:rsid w:val="003465A6"/>
    <w:rsid w:val="003479CB"/>
    <w:rsid w:val="00347EA8"/>
    <w:rsid w:val="00350924"/>
    <w:rsid w:val="00351D52"/>
    <w:rsid w:val="00352C04"/>
    <w:rsid w:val="00353337"/>
    <w:rsid w:val="0035406D"/>
    <w:rsid w:val="0035446A"/>
    <w:rsid w:val="00354CA4"/>
    <w:rsid w:val="00355DD4"/>
    <w:rsid w:val="00356443"/>
    <w:rsid w:val="00356DE0"/>
    <w:rsid w:val="003607FD"/>
    <w:rsid w:val="003613C0"/>
    <w:rsid w:val="003616F2"/>
    <w:rsid w:val="003618AE"/>
    <w:rsid w:val="003619EF"/>
    <w:rsid w:val="00362723"/>
    <w:rsid w:val="003630C9"/>
    <w:rsid w:val="003632DD"/>
    <w:rsid w:val="003639FF"/>
    <w:rsid w:val="00364288"/>
    <w:rsid w:val="00364335"/>
    <w:rsid w:val="00364F05"/>
    <w:rsid w:val="0036510E"/>
    <w:rsid w:val="00365C9D"/>
    <w:rsid w:val="00366415"/>
    <w:rsid w:val="003666C5"/>
    <w:rsid w:val="00367087"/>
    <w:rsid w:val="003673A0"/>
    <w:rsid w:val="003673F4"/>
    <w:rsid w:val="00367C97"/>
    <w:rsid w:val="0037130D"/>
    <w:rsid w:val="00371567"/>
    <w:rsid w:val="00371B0A"/>
    <w:rsid w:val="003720E6"/>
    <w:rsid w:val="00373279"/>
    <w:rsid w:val="00373389"/>
    <w:rsid w:val="003734FE"/>
    <w:rsid w:val="0037364C"/>
    <w:rsid w:val="00373B1A"/>
    <w:rsid w:val="00373DA7"/>
    <w:rsid w:val="00374219"/>
    <w:rsid w:val="00375A13"/>
    <w:rsid w:val="00375EED"/>
    <w:rsid w:val="00376F17"/>
    <w:rsid w:val="0037724D"/>
    <w:rsid w:val="00377BBA"/>
    <w:rsid w:val="00380088"/>
    <w:rsid w:val="00381F65"/>
    <w:rsid w:val="00382125"/>
    <w:rsid w:val="00382564"/>
    <w:rsid w:val="00382E0D"/>
    <w:rsid w:val="0038475E"/>
    <w:rsid w:val="00385471"/>
    <w:rsid w:val="00385528"/>
    <w:rsid w:val="00385D85"/>
    <w:rsid w:val="00385E40"/>
    <w:rsid w:val="00386BAB"/>
    <w:rsid w:val="00386D96"/>
    <w:rsid w:val="00387B47"/>
    <w:rsid w:val="00387FB2"/>
    <w:rsid w:val="003908F7"/>
    <w:rsid w:val="00390F72"/>
    <w:rsid w:val="00391564"/>
    <w:rsid w:val="00392703"/>
    <w:rsid w:val="00393F9B"/>
    <w:rsid w:val="00394596"/>
    <w:rsid w:val="00395457"/>
    <w:rsid w:val="00395734"/>
    <w:rsid w:val="00395991"/>
    <w:rsid w:val="003959AC"/>
    <w:rsid w:val="00395C8C"/>
    <w:rsid w:val="00395E13"/>
    <w:rsid w:val="00396563"/>
    <w:rsid w:val="00396AF6"/>
    <w:rsid w:val="00396E52"/>
    <w:rsid w:val="00397864"/>
    <w:rsid w:val="003A056C"/>
    <w:rsid w:val="003A16CB"/>
    <w:rsid w:val="003A1859"/>
    <w:rsid w:val="003A1A81"/>
    <w:rsid w:val="003A21F0"/>
    <w:rsid w:val="003A28AA"/>
    <w:rsid w:val="003A3988"/>
    <w:rsid w:val="003A3A1A"/>
    <w:rsid w:val="003A4FB8"/>
    <w:rsid w:val="003A6E0D"/>
    <w:rsid w:val="003A7663"/>
    <w:rsid w:val="003A76B7"/>
    <w:rsid w:val="003A773C"/>
    <w:rsid w:val="003A7F9A"/>
    <w:rsid w:val="003B0BF6"/>
    <w:rsid w:val="003B130D"/>
    <w:rsid w:val="003B1415"/>
    <w:rsid w:val="003B21DE"/>
    <w:rsid w:val="003B2A77"/>
    <w:rsid w:val="003B32CF"/>
    <w:rsid w:val="003B33F2"/>
    <w:rsid w:val="003B5CE4"/>
    <w:rsid w:val="003B5E01"/>
    <w:rsid w:val="003B624D"/>
    <w:rsid w:val="003B6B2E"/>
    <w:rsid w:val="003B6BEE"/>
    <w:rsid w:val="003B6E86"/>
    <w:rsid w:val="003B708B"/>
    <w:rsid w:val="003C026C"/>
    <w:rsid w:val="003C0DCA"/>
    <w:rsid w:val="003C1B3D"/>
    <w:rsid w:val="003C1F3D"/>
    <w:rsid w:val="003C31A8"/>
    <w:rsid w:val="003C3D00"/>
    <w:rsid w:val="003C3ED9"/>
    <w:rsid w:val="003C5019"/>
    <w:rsid w:val="003C52C4"/>
    <w:rsid w:val="003C596E"/>
    <w:rsid w:val="003C61A6"/>
    <w:rsid w:val="003C786D"/>
    <w:rsid w:val="003D17E7"/>
    <w:rsid w:val="003D1A16"/>
    <w:rsid w:val="003D1CC8"/>
    <w:rsid w:val="003D2244"/>
    <w:rsid w:val="003D22A9"/>
    <w:rsid w:val="003D3065"/>
    <w:rsid w:val="003D3C01"/>
    <w:rsid w:val="003D3C82"/>
    <w:rsid w:val="003D3D01"/>
    <w:rsid w:val="003D3D23"/>
    <w:rsid w:val="003D3DF0"/>
    <w:rsid w:val="003D3EF2"/>
    <w:rsid w:val="003D5078"/>
    <w:rsid w:val="003D51BB"/>
    <w:rsid w:val="003D5C8A"/>
    <w:rsid w:val="003D5FD9"/>
    <w:rsid w:val="003D6BFB"/>
    <w:rsid w:val="003D6DBD"/>
    <w:rsid w:val="003D6E6F"/>
    <w:rsid w:val="003E02B9"/>
    <w:rsid w:val="003E2230"/>
    <w:rsid w:val="003E2519"/>
    <w:rsid w:val="003E36DD"/>
    <w:rsid w:val="003E39AC"/>
    <w:rsid w:val="003E44BB"/>
    <w:rsid w:val="003E498F"/>
    <w:rsid w:val="003E5C8D"/>
    <w:rsid w:val="003E5ECF"/>
    <w:rsid w:val="003E6832"/>
    <w:rsid w:val="003E77FD"/>
    <w:rsid w:val="003E7F74"/>
    <w:rsid w:val="003F0105"/>
    <w:rsid w:val="003F011D"/>
    <w:rsid w:val="003F0247"/>
    <w:rsid w:val="003F02DD"/>
    <w:rsid w:val="003F038A"/>
    <w:rsid w:val="003F1C51"/>
    <w:rsid w:val="003F3080"/>
    <w:rsid w:val="003F42D3"/>
    <w:rsid w:val="003F4D0B"/>
    <w:rsid w:val="003F54F3"/>
    <w:rsid w:val="003F590E"/>
    <w:rsid w:val="003F610B"/>
    <w:rsid w:val="003F6EDE"/>
    <w:rsid w:val="003F6F33"/>
    <w:rsid w:val="003F77B9"/>
    <w:rsid w:val="00400327"/>
    <w:rsid w:val="0040233E"/>
    <w:rsid w:val="00402C57"/>
    <w:rsid w:val="004036E5"/>
    <w:rsid w:val="00403CD3"/>
    <w:rsid w:val="00403F6C"/>
    <w:rsid w:val="00404511"/>
    <w:rsid w:val="00405F0E"/>
    <w:rsid w:val="00406415"/>
    <w:rsid w:val="00406478"/>
    <w:rsid w:val="00406598"/>
    <w:rsid w:val="00406DA6"/>
    <w:rsid w:val="0040712A"/>
    <w:rsid w:val="00407AA2"/>
    <w:rsid w:val="00410457"/>
    <w:rsid w:val="0041083F"/>
    <w:rsid w:val="00411A8C"/>
    <w:rsid w:val="0041255A"/>
    <w:rsid w:val="004130CA"/>
    <w:rsid w:val="004133C4"/>
    <w:rsid w:val="00414103"/>
    <w:rsid w:val="00414B73"/>
    <w:rsid w:val="00415142"/>
    <w:rsid w:val="00415CE4"/>
    <w:rsid w:val="00415CEC"/>
    <w:rsid w:val="00416F89"/>
    <w:rsid w:val="00417571"/>
    <w:rsid w:val="004201F4"/>
    <w:rsid w:val="0042079B"/>
    <w:rsid w:val="004210A2"/>
    <w:rsid w:val="00421350"/>
    <w:rsid w:val="00421BB6"/>
    <w:rsid w:val="00421FFE"/>
    <w:rsid w:val="00422457"/>
    <w:rsid w:val="00422C88"/>
    <w:rsid w:val="004230C6"/>
    <w:rsid w:val="00423354"/>
    <w:rsid w:val="004233C9"/>
    <w:rsid w:val="004233E5"/>
    <w:rsid w:val="00423D6B"/>
    <w:rsid w:val="004249CA"/>
    <w:rsid w:val="00424C69"/>
    <w:rsid w:val="00425E46"/>
    <w:rsid w:val="00426207"/>
    <w:rsid w:val="004262B5"/>
    <w:rsid w:val="00426813"/>
    <w:rsid w:val="00426D49"/>
    <w:rsid w:val="00427DEC"/>
    <w:rsid w:val="00430CC3"/>
    <w:rsid w:val="004312B0"/>
    <w:rsid w:val="00431386"/>
    <w:rsid w:val="0043266B"/>
    <w:rsid w:val="004334D3"/>
    <w:rsid w:val="0043382D"/>
    <w:rsid w:val="00434112"/>
    <w:rsid w:val="0043427F"/>
    <w:rsid w:val="004344C8"/>
    <w:rsid w:val="00434591"/>
    <w:rsid w:val="00435317"/>
    <w:rsid w:val="00435F5E"/>
    <w:rsid w:val="004363EC"/>
    <w:rsid w:val="004375CE"/>
    <w:rsid w:val="004378CE"/>
    <w:rsid w:val="00437964"/>
    <w:rsid w:val="00440311"/>
    <w:rsid w:val="00440D21"/>
    <w:rsid w:val="00440E05"/>
    <w:rsid w:val="004417B6"/>
    <w:rsid w:val="00443B68"/>
    <w:rsid w:val="00443FF0"/>
    <w:rsid w:val="004441D5"/>
    <w:rsid w:val="00444FC9"/>
    <w:rsid w:val="004456FB"/>
    <w:rsid w:val="004457FF"/>
    <w:rsid w:val="00446DFB"/>
    <w:rsid w:val="00447165"/>
    <w:rsid w:val="0044751B"/>
    <w:rsid w:val="004504FE"/>
    <w:rsid w:val="00450972"/>
    <w:rsid w:val="004519D2"/>
    <w:rsid w:val="00451E34"/>
    <w:rsid w:val="00451F4E"/>
    <w:rsid w:val="00453AA9"/>
    <w:rsid w:val="00453E26"/>
    <w:rsid w:val="0045406D"/>
    <w:rsid w:val="00454FD0"/>
    <w:rsid w:val="00455002"/>
    <w:rsid w:val="00455340"/>
    <w:rsid w:val="00456173"/>
    <w:rsid w:val="004561CC"/>
    <w:rsid w:val="00456DF6"/>
    <w:rsid w:val="00460CB5"/>
    <w:rsid w:val="00461399"/>
    <w:rsid w:val="00461873"/>
    <w:rsid w:val="00461B52"/>
    <w:rsid w:val="00461C78"/>
    <w:rsid w:val="0046225D"/>
    <w:rsid w:val="004622F6"/>
    <w:rsid w:val="00463A19"/>
    <w:rsid w:val="00466747"/>
    <w:rsid w:val="004675D3"/>
    <w:rsid w:val="004703BD"/>
    <w:rsid w:val="00470C41"/>
    <w:rsid w:val="00470CE0"/>
    <w:rsid w:val="0047147A"/>
    <w:rsid w:val="00472A18"/>
    <w:rsid w:val="00472AED"/>
    <w:rsid w:val="00472C0E"/>
    <w:rsid w:val="004746F0"/>
    <w:rsid w:val="00475B0D"/>
    <w:rsid w:val="0047692A"/>
    <w:rsid w:val="00476E2C"/>
    <w:rsid w:val="004771AF"/>
    <w:rsid w:val="004811D7"/>
    <w:rsid w:val="00481C7E"/>
    <w:rsid w:val="00481C81"/>
    <w:rsid w:val="004827D8"/>
    <w:rsid w:val="004846A7"/>
    <w:rsid w:val="00484D7F"/>
    <w:rsid w:val="004856F7"/>
    <w:rsid w:val="00485DBF"/>
    <w:rsid w:val="00486107"/>
    <w:rsid w:val="004864D3"/>
    <w:rsid w:val="0048733D"/>
    <w:rsid w:val="0048770F"/>
    <w:rsid w:val="00491E0B"/>
    <w:rsid w:val="0049209B"/>
    <w:rsid w:val="00493165"/>
    <w:rsid w:val="00493467"/>
    <w:rsid w:val="0049353F"/>
    <w:rsid w:val="00493A9B"/>
    <w:rsid w:val="0049409A"/>
    <w:rsid w:val="004943A1"/>
    <w:rsid w:val="00494BF5"/>
    <w:rsid w:val="00495365"/>
    <w:rsid w:val="00495B6D"/>
    <w:rsid w:val="00495D49"/>
    <w:rsid w:val="004976A2"/>
    <w:rsid w:val="00497893"/>
    <w:rsid w:val="004A0176"/>
    <w:rsid w:val="004A0C80"/>
    <w:rsid w:val="004A1DDA"/>
    <w:rsid w:val="004A204B"/>
    <w:rsid w:val="004A2E84"/>
    <w:rsid w:val="004A39FB"/>
    <w:rsid w:val="004A3CB6"/>
    <w:rsid w:val="004A41A5"/>
    <w:rsid w:val="004A490F"/>
    <w:rsid w:val="004A724C"/>
    <w:rsid w:val="004A7C59"/>
    <w:rsid w:val="004B10EA"/>
    <w:rsid w:val="004B1C13"/>
    <w:rsid w:val="004B2938"/>
    <w:rsid w:val="004B2FC8"/>
    <w:rsid w:val="004B3433"/>
    <w:rsid w:val="004B49D6"/>
    <w:rsid w:val="004B4F19"/>
    <w:rsid w:val="004B539A"/>
    <w:rsid w:val="004B5932"/>
    <w:rsid w:val="004B5B9D"/>
    <w:rsid w:val="004C0198"/>
    <w:rsid w:val="004C0273"/>
    <w:rsid w:val="004C0376"/>
    <w:rsid w:val="004C03EE"/>
    <w:rsid w:val="004C0B62"/>
    <w:rsid w:val="004C19F4"/>
    <w:rsid w:val="004C21F2"/>
    <w:rsid w:val="004C2C30"/>
    <w:rsid w:val="004C31FE"/>
    <w:rsid w:val="004C3E9C"/>
    <w:rsid w:val="004C4C4C"/>
    <w:rsid w:val="004C5B65"/>
    <w:rsid w:val="004C5DA2"/>
    <w:rsid w:val="004C5F3E"/>
    <w:rsid w:val="004C6D23"/>
    <w:rsid w:val="004D0548"/>
    <w:rsid w:val="004D165B"/>
    <w:rsid w:val="004D1CD6"/>
    <w:rsid w:val="004D21E2"/>
    <w:rsid w:val="004D2483"/>
    <w:rsid w:val="004D3308"/>
    <w:rsid w:val="004D3331"/>
    <w:rsid w:val="004D3F0D"/>
    <w:rsid w:val="004D4D41"/>
    <w:rsid w:val="004D4E97"/>
    <w:rsid w:val="004D5231"/>
    <w:rsid w:val="004D543A"/>
    <w:rsid w:val="004D6694"/>
    <w:rsid w:val="004D6BD4"/>
    <w:rsid w:val="004D723B"/>
    <w:rsid w:val="004D72DE"/>
    <w:rsid w:val="004D79DA"/>
    <w:rsid w:val="004D7ACC"/>
    <w:rsid w:val="004E021C"/>
    <w:rsid w:val="004E0AA2"/>
    <w:rsid w:val="004E0FFD"/>
    <w:rsid w:val="004E11FD"/>
    <w:rsid w:val="004E1261"/>
    <w:rsid w:val="004E14D9"/>
    <w:rsid w:val="004E198D"/>
    <w:rsid w:val="004E1D34"/>
    <w:rsid w:val="004E1EEC"/>
    <w:rsid w:val="004E2765"/>
    <w:rsid w:val="004E2CA2"/>
    <w:rsid w:val="004E3B3F"/>
    <w:rsid w:val="004E3BD3"/>
    <w:rsid w:val="004E507D"/>
    <w:rsid w:val="004E50F6"/>
    <w:rsid w:val="004E550C"/>
    <w:rsid w:val="004E5A1D"/>
    <w:rsid w:val="004E6BAE"/>
    <w:rsid w:val="004E75DB"/>
    <w:rsid w:val="004F06FA"/>
    <w:rsid w:val="004F0FB4"/>
    <w:rsid w:val="004F1CEF"/>
    <w:rsid w:val="004F1D65"/>
    <w:rsid w:val="004F1FC8"/>
    <w:rsid w:val="004F2700"/>
    <w:rsid w:val="004F2D83"/>
    <w:rsid w:val="004F3359"/>
    <w:rsid w:val="004F3B67"/>
    <w:rsid w:val="004F3D9D"/>
    <w:rsid w:val="004F5246"/>
    <w:rsid w:val="004F5618"/>
    <w:rsid w:val="004F5E0E"/>
    <w:rsid w:val="004F748D"/>
    <w:rsid w:val="00500594"/>
    <w:rsid w:val="00500FFC"/>
    <w:rsid w:val="00501081"/>
    <w:rsid w:val="0050115C"/>
    <w:rsid w:val="005013B4"/>
    <w:rsid w:val="00502289"/>
    <w:rsid w:val="0050228A"/>
    <w:rsid w:val="00502A03"/>
    <w:rsid w:val="00502CA5"/>
    <w:rsid w:val="00503EBA"/>
    <w:rsid w:val="00504BCD"/>
    <w:rsid w:val="00504CF6"/>
    <w:rsid w:val="00506353"/>
    <w:rsid w:val="00510866"/>
    <w:rsid w:val="00510FAA"/>
    <w:rsid w:val="00511401"/>
    <w:rsid w:val="005120DC"/>
    <w:rsid w:val="00512F51"/>
    <w:rsid w:val="005147D4"/>
    <w:rsid w:val="00514F1A"/>
    <w:rsid w:val="0051591D"/>
    <w:rsid w:val="00515E19"/>
    <w:rsid w:val="00516375"/>
    <w:rsid w:val="00516401"/>
    <w:rsid w:val="00520902"/>
    <w:rsid w:val="00521030"/>
    <w:rsid w:val="00521AEC"/>
    <w:rsid w:val="00523603"/>
    <w:rsid w:val="0052383E"/>
    <w:rsid w:val="00523861"/>
    <w:rsid w:val="00524469"/>
    <w:rsid w:val="00524CC5"/>
    <w:rsid w:val="0052519E"/>
    <w:rsid w:val="00525235"/>
    <w:rsid w:val="00530096"/>
    <w:rsid w:val="00530B5B"/>
    <w:rsid w:val="00531522"/>
    <w:rsid w:val="00531C65"/>
    <w:rsid w:val="00532850"/>
    <w:rsid w:val="00532AC9"/>
    <w:rsid w:val="005334B1"/>
    <w:rsid w:val="0053381C"/>
    <w:rsid w:val="00534848"/>
    <w:rsid w:val="0053547C"/>
    <w:rsid w:val="00535ECB"/>
    <w:rsid w:val="00537319"/>
    <w:rsid w:val="0053745E"/>
    <w:rsid w:val="00540649"/>
    <w:rsid w:val="0054091F"/>
    <w:rsid w:val="005409FD"/>
    <w:rsid w:val="00540A89"/>
    <w:rsid w:val="005415A6"/>
    <w:rsid w:val="00541A25"/>
    <w:rsid w:val="00542679"/>
    <w:rsid w:val="00542A43"/>
    <w:rsid w:val="00542F37"/>
    <w:rsid w:val="00543ABA"/>
    <w:rsid w:val="00544E7B"/>
    <w:rsid w:val="005450EB"/>
    <w:rsid w:val="00545857"/>
    <w:rsid w:val="00545C64"/>
    <w:rsid w:val="0054621E"/>
    <w:rsid w:val="00546269"/>
    <w:rsid w:val="005462A0"/>
    <w:rsid w:val="00546727"/>
    <w:rsid w:val="00546996"/>
    <w:rsid w:val="005472AE"/>
    <w:rsid w:val="0054767E"/>
    <w:rsid w:val="00550C54"/>
    <w:rsid w:val="00550DB6"/>
    <w:rsid w:val="00551D6B"/>
    <w:rsid w:val="005521AA"/>
    <w:rsid w:val="0055288E"/>
    <w:rsid w:val="00552DF1"/>
    <w:rsid w:val="005531B4"/>
    <w:rsid w:val="00553EFD"/>
    <w:rsid w:val="0055424A"/>
    <w:rsid w:val="005545C0"/>
    <w:rsid w:val="00554A45"/>
    <w:rsid w:val="00554FC1"/>
    <w:rsid w:val="00555578"/>
    <w:rsid w:val="0055575E"/>
    <w:rsid w:val="00555C2F"/>
    <w:rsid w:val="0055652A"/>
    <w:rsid w:val="0055658E"/>
    <w:rsid w:val="00556731"/>
    <w:rsid w:val="00556EBF"/>
    <w:rsid w:val="00557FD6"/>
    <w:rsid w:val="005601CE"/>
    <w:rsid w:val="0056057A"/>
    <w:rsid w:val="00560769"/>
    <w:rsid w:val="00560E86"/>
    <w:rsid w:val="00562212"/>
    <w:rsid w:val="0056269C"/>
    <w:rsid w:val="00562DBD"/>
    <w:rsid w:val="00562EF5"/>
    <w:rsid w:val="00562F81"/>
    <w:rsid w:val="00563897"/>
    <w:rsid w:val="00563982"/>
    <w:rsid w:val="00563B18"/>
    <w:rsid w:val="005661C8"/>
    <w:rsid w:val="005662D9"/>
    <w:rsid w:val="00566B83"/>
    <w:rsid w:val="00567458"/>
    <w:rsid w:val="00570484"/>
    <w:rsid w:val="00570E0E"/>
    <w:rsid w:val="005714C6"/>
    <w:rsid w:val="005719E5"/>
    <w:rsid w:val="00571C90"/>
    <w:rsid w:val="00571F83"/>
    <w:rsid w:val="00572737"/>
    <w:rsid w:val="005729AF"/>
    <w:rsid w:val="005733BC"/>
    <w:rsid w:val="005737E2"/>
    <w:rsid w:val="00574926"/>
    <w:rsid w:val="0057509C"/>
    <w:rsid w:val="005761EE"/>
    <w:rsid w:val="0057697B"/>
    <w:rsid w:val="00576F39"/>
    <w:rsid w:val="00576F77"/>
    <w:rsid w:val="005772BB"/>
    <w:rsid w:val="00577AED"/>
    <w:rsid w:val="00580377"/>
    <w:rsid w:val="005803DB"/>
    <w:rsid w:val="0058266F"/>
    <w:rsid w:val="00582E98"/>
    <w:rsid w:val="00583DFC"/>
    <w:rsid w:val="0058524B"/>
    <w:rsid w:val="005856CB"/>
    <w:rsid w:val="0058571B"/>
    <w:rsid w:val="00585DED"/>
    <w:rsid w:val="00587397"/>
    <w:rsid w:val="00587794"/>
    <w:rsid w:val="00587C72"/>
    <w:rsid w:val="00591182"/>
    <w:rsid w:val="00591531"/>
    <w:rsid w:val="005919E7"/>
    <w:rsid w:val="005938BA"/>
    <w:rsid w:val="00593C0E"/>
    <w:rsid w:val="00593D5D"/>
    <w:rsid w:val="00594446"/>
    <w:rsid w:val="005951E4"/>
    <w:rsid w:val="0059554B"/>
    <w:rsid w:val="0059614F"/>
    <w:rsid w:val="00596482"/>
    <w:rsid w:val="005967E0"/>
    <w:rsid w:val="005970F9"/>
    <w:rsid w:val="00597BE5"/>
    <w:rsid w:val="005A0791"/>
    <w:rsid w:val="005A1771"/>
    <w:rsid w:val="005A17C3"/>
    <w:rsid w:val="005A19F4"/>
    <w:rsid w:val="005A225F"/>
    <w:rsid w:val="005A2523"/>
    <w:rsid w:val="005A2B56"/>
    <w:rsid w:val="005A2D11"/>
    <w:rsid w:val="005A2D6D"/>
    <w:rsid w:val="005A304B"/>
    <w:rsid w:val="005A32D3"/>
    <w:rsid w:val="005A3527"/>
    <w:rsid w:val="005A4011"/>
    <w:rsid w:val="005A423B"/>
    <w:rsid w:val="005A4293"/>
    <w:rsid w:val="005A4299"/>
    <w:rsid w:val="005A476E"/>
    <w:rsid w:val="005A4BB1"/>
    <w:rsid w:val="005A62E0"/>
    <w:rsid w:val="005A65CC"/>
    <w:rsid w:val="005A6650"/>
    <w:rsid w:val="005A67CE"/>
    <w:rsid w:val="005A757B"/>
    <w:rsid w:val="005A77EE"/>
    <w:rsid w:val="005B00F6"/>
    <w:rsid w:val="005B0992"/>
    <w:rsid w:val="005B0B51"/>
    <w:rsid w:val="005B19E1"/>
    <w:rsid w:val="005B267F"/>
    <w:rsid w:val="005B309C"/>
    <w:rsid w:val="005B3629"/>
    <w:rsid w:val="005B4053"/>
    <w:rsid w:val="005B522C"/>
    <w:rsid w:val="005B753F"/>
    <w:rsid w:val="005B7B62"/>
    <w:rsid w:val="005B7E3F"/>
    <w:rsid w:val="005C021C"/>
    <w:rsid w:val="005C0AE2"/>
    <w:rsid w:val="005C0F38"/>
    <w:rsid w:val="005C20E4"/>
    <w:rsid w:val="005C35A0"/>
    <w:rsid w:val="005C38B7"/>
    <w:rsid w:val="005C3D01"/>
    <w:rsid w:val="005C403F"/>
    <w:rsid w:val="005C4D56"/>
    <w:rsid w:val="005C4DE8"/>
    <w:rsid w:val="005C51AA"/>
    <w:rsid w:val="005C5EC8"/>
    <w:rsid w:val="005C6149"/>
    <w:rsid w:val="005C61D5"/>
    <w:rsid w:val="005C708C"/>
    <w:rsid w:val="005C7358"/>
    <w:rsid w:val="005C758E"/>
    <w:rsid w:val="005C75FC"/>
    <w:rsid w:val="005C7EC4"/>
    <w:rsid w:val="005D03A7"/>
    <w:rsid w:val="005D318C"/>
    <w:rsid w:val="005D36C6"/>
    <w:rsid w:val="005D438B"/>
    <w:rsid w:val="005D4DB0"/>
    <w:rsid w:val="005D5A58"/>
    <w:rsid w:val="005D675C"/>
    <w:rsid w:val="005D69CE"/>
    <w:rsid w:val="005D73B2"/>
    <w:rsid w:val="005D751D"/>
    <w:rsid w:val="005E0B8C"/>
    <w:rsid w:val="005E1202"/>
    <w:rsid w:val="005E1847"/>
    <w:rsid w:val="005E1AA5"/>
    <w:rsid w:val="005E212D"/>
    <w:rsid w:val="005E255C"/>
    <w:rsid w:val="005E2870"/>
    <w:rsid w:val="005E34A9"/>
    <w:rsid w:val="005E4E10"/>
    <w:rsid w:val="005E58F7"/>
    <w:rsid w:val="005E5A6D"/>
    <w:rsid w:val="005E62FF"/>
    <w:rsid w:val="005E77AD"/>
    <w:rsid w:val="005E787D"/>
    <w:rsid w:val="005F037C"/>
    <w:rsid w:val="005F0E41"/>
    <w:rsid w:val="005F2062"/>
    <w:rsid w:val="005F25F1"/>
    <w:rsid w:val="005F292C"/>
    <w:rsid w:val="005F29EC"/>
    <w:rsid w:val="005F2B02"/>
    <w:rsid w:val="005F3405"/>
    <w:rsid w:val="005F3AE0"/>
    <w:rsid w:val="005F3CB4"/>
    <w:rsid w:val="005F4421"/>
    <w:rsid w:val="005F4838"/>
    <w:rsid w:val="005F4B16"/>
    <w:rsid w:val="005F51B6"/>
    <w:rsid w:val="005F5571"/>
    <w:rsid w:val="005F5DF1"/>
    <w:rsid w:val="005F6418"/>
    <w:rsid w:val="005F6DAF"/>
    <w:rsid w:val="005F6E7E"/>
    <w:rsid w:val="005F7193"/>
    <w:rsid w:val="005F7A67"/>
    <w:rsid w:val="006003C5"/>
    <w:rsid w:val="006007B7"/>
    <w:rsid w:val="00601471"/>
    <w:rsid w:val="00601CDC"/>
    <w:rsid w:val="00603115"/>
    <w:rsid w:val="006032FA"/>
    <w:rsid w:val="0060348F"/>
    <w:rsid w:val="00603B05"/>
    <w:rsid w:val="00604115"/>
    <w:rsid w:val="006047DF"/>
    <w:rsid w:val="00604FE9"/>
    <w:rsid w:val="00605E2F"/>
    <w:rsid w:val="006061AF"/>
    <w:rsid w:val="00606362"/>
    <w:rsid w:val="0060755E"/>
    <w:rsid w:val="00610202"/>
    <w:rsid w:val="0061075E"/>
    <w:rsid w:val="00610E38"/>
    <w:rsid w:val="0061156A"/>
    <w:rsid w:val="00612A02"/>
    <w:rsid w:val="00613A32"/>
    <w:rsid w:val="00614059"/>
    <w:rsid w:val="0061431B"/>
    <w:rsid w:val="00614445"/>
    <w:rsid w:val="00614465"/>
    <w:rsid w:val="00614994"/>
    <w:rsid w:val="00614B9A"/>
    <w:rsid w:val="006153E0"/>
    <w:rsid w:val="00615B01"/>
    <w:rsid w:val="0061662D"/>
    <w:rsid w:val="00617427"/>
    <w:rsid w:val="00617606"/>
    <w:rsid w:val="006205B1"/>
    <w:rsid w:val="00620938"/>
    <w:rsid w:val="00620F94"/>
    <w:rsid w:val="0062136B"/>
    <w:rsid w:val="00622094"/>
    <w:rsid w:val="00623309"/>
    <w:rsid w:val="006233CE"/>
    <w:rsid w:val="006237B1"/>
    <w:rsid w:val="006239DB"/>
    <w:rsid w:val="00623A80"/>
    <w:rsid w:val="00623EB1"/>
    <w:rsid w:val="006244EC"/>
    <w:rsid w:val="006244EE"/>
    <w:rsid w:val="00624529"/>
    <w:rsid w:val="00625C1F"/>
    <w:rsid w:val="00626ED6"/>
    <w:rsid w:val="00626FDE"/>
    <w:rsid w:val="006276CA"/>
    <w:rsid w:val="00627AF3"/>
    <w:rsid w:val="006304DC"/>
    <w:rsid w:val="00630AB3"/>
    <w:rsid w:val="00630C68"/>
    <w:rsid w:val="00631859"/>
    <w:rsid w:val="00632459"/>
    <w:rsid w:val="00632ABF"/>
    <w:rsid w:val="006330EA"/>
    <w:rsid w:val="006346F7"/>
    <w:rsid w:val="00635B28"/>
    <w:rsid w:val="00636000"/>
    <w:rsid w:val="00636C6F"/>
    <w:rsid w:val="006374F3"/>
    <w:rsid w:val="00640844"/>
    <w:rsid w:val="00641534"/>
    <w:rsid w:val="006426F5"/>
    <w:rsid w:val="00642DE3"/>
    <w:rsid w:val="0064386E"/>
    <w:rsid w:val="00644509"/>
    <w:rsid w:val="00645797"/>
    <w:rsid w:val="006459A2"/>
    <w:rsid w:val="00645B35"/>
    <w:rsid w:val="00645C3A"/>
    <w:rsid w:val="00646CDA"/>
    <w:rsid w:val="00647160"/>
    <w:rsid w:val="00647D65"/>
    <w:rsid w:val="00651847"/>
    <w:rsid w:val="00652B3A"/>
    <w:rsid w:val="00654A48"/>
    <w:rsid w:val="00654EA3"/>
    <w:rsid w:val="00655943"/>
    <w:rsid w:val="00655C67"/>
    <w:rsid w:val="00656F9C"/>
    <w:rsid w:val="006575F9"/>
    <w:rsid w:val="0065776F"/>
    <w:rsid w:val="0066009C"/>
    <w:rsid w:val="0066041F"/>
    <w:rsid w:val="006608D6"/>
    <w:rsid w:val="006629DC"/>
    <w:rsid w:val="006630B7"/>
    <w:rsid w:val="00663BC5"/>
    <w:rsid w:val="006648CB"/>
    <w:rsid w:val="0066511C"/>
    <w:rsid w:val="006657DB"/>
    <w:rsid w:val="006662A2"/>
    <w:rsid w:val="00666626"/>
    <w:rsid w:val="006667AE"/>
    <w:rsid w:val="00667AA4"/>
    <w:rsid w:val="00670EF4"/>
    <w:rsid w:val="00671AA0"/>
    <w:rsid w:val="00672D9E"/>
    <w:rsid w:val="0067317C"/>
    <w:rsid w:val="00673462"/>
    <w:rsid w:val="006754DE"/>
    <w:rsid w:val="006756D8"/>
    <w:rsid w:val="00676722"/>
    <w:rsid w:val="006767A3"/>
    <w:rsid w:val="00676EFA"/>
    <w:rsid w:val="00677583"/>
    <w:rsid w:val="00677F8C"/>
    <w:rsid w:val="0068010A"/>
    <w:rsid w:val="0068073E"/>
    <w:rsid w:val="00680B5A"/>
    <w:rsid w:val="0068159B"/>
    <w:rsid w:val="006818EB"/>
    <w:rsid w:val="0068220A"/>
    <w:rsid w:val="00682D13"/>
    <w:rsid w:val="00683304"/>
    <w:rsid w:val="0068394F"/>
    <w:rsid w:val="0068413C"/>
    <w:rsid w:val="0068564A"/>
    <w:rsid w:val="00685B42"/>
    <w:rsid w:val="00686DC3"/>
    <w:rsid w:val="006877B1"/>
    <w:rsid w:val="006903DD"/>
    <w:rsid w:val="006911C1"/>
    <w:rsid w:val="00691C45"/>
    <w:rsid w:val="006925A1"/>
    <w:rsid w:val="00692769"/>
    <w:rsid w:val="00693007"/>
    <w:rsid w:val="00693805"/>
    <w:rsid w:val="00693C0D"/>
    <w:rsid w:val="0069475C"/>
    <w:rsid w:val="006948C3"/>
    <w:rsid w:val="00695F09"/>
    <w:rsid w:val="006960C2"/>
    <w:rsid w:val="00696526"/>
    <w:rsid w:val="00696A81"/>
    <w:rsid w:val="00696B18"/>
    <w:rsid w:val="00696FD6"/>
    <w:rsid w:val="00696FE4"/>
    <w:rsid w:val="00697129"/>
    <w:rsid w:val="00697320"/>
    <w:rsid w:val="0069780A"/>
    <w:rsid w:val="00697AC7"/>
    <w:rsid w:val="00697C0B"/>
    <w:rsid w:val="006A0444"/>
    <w:rsid w:val="006A0BBF"/>
    <w:rsid w:val="006A2F8F"/>
    <w:rsid w:val="006A3980"/>
    <w:rsid w:val="006A475D"/>
    <w:rsid w:val="006A4A11"/>
    <w:rsid w:val="006A57D4"/>
    <w:rsid w:val="006A6526"/>
    <w:rsid w:val="006A67EF"/>
    <w:rsid w:val="006A6868"/>
    <w:rsid w:val="006A6AE3"/>
    <w:rsid w:val="006A6D6A"/>
    <w:rsid w:val="006A7261"/>
    <w:rsid w:val="006A7718"/>
    <w:rsid w:val="006A775E"/>
    <w:rsid w:val="006A7884"/>
    <w:rsid w:val="006A7AA4"/>
    <w:rsid w:val="006B059A"/>
    <w:rsid w:val="006B17B6"/>
    <w:rsid w:val="006B1866"/>
    <w:rsid w:val="006B19A6"/>
    <w:rsid w:val="006B227E"/>
    <w:rsid w:val="006B2C21"/>
    <w:rsid w:val="006B4B20"/>
    <w:rsid w:val="006B531A"/>
    <w:rsid w:val="006B59F8"/>
    <w:rsid w:val="006B6559"/>
    <w:rsid w:val="006B7234"/>
    <w:rsid w:val="006B7769"/>
    <w:rsid w:val="006B79C8"/>
    <w:rsid w:val="006C01C8"/>
    <w:rsid w:val="006C02D4"/>
    <w:rsid w:val="006C1639"/>
    <w:rsid w:val="006C1966"/>
    <w:rsid w:val="006C19AF"/>
    <w:rsid w:val="006C2389"/>
    <w:rsid w:val="006C2E1E"/>
    <w:rsid w:val="006C3221"/>
    <w:rsid w:val="006C3E65"/>
    <w:rsid w:val="006C4317"/>
    <w:rsid w:val="006C6D6E"/>
    <w:rsid w:val="006C6D90"/>
    <w:rsid w:val="006C7774"/>
    <w:rsid w:val="006D0975"/>
    <w:rsid w:val="006D26C2"/>
    <w:rsid w:val="006D2933"/>
    <w:rsid w:val="006D2B56"/>
    <w:rsid w:val="006D3E4C"/>
    <w:rsid w:val="006D3F37"/>
    <w:rsid w:val="006D442A"/>
    <w:rsid w:val="006D5460"/>
    <w:rsid w:val="006D57FC"/>
    <w:rsid w:val="006D5A1C"/>
    <w:rsid w:val="006D5FF5"/>
    <w:rsid w:val="006D6132"/>
    <w:rsid w:val="006D68C9"/>
    <w:rsid w:val="006D778A"/>
    <w:rsid w:val="006D7B43"/>
    <w:rsid w:val="006D7D46"/>
    <w:rsid w:val="006D7F0A"/>
    <w:rsid w:val="006E031B"/>
    <w:rsid w:val="006E0AFF"/>
    <w:rsid w:val="006E1532"/>
    <w:rsid w:val="006E1645"/>
    <w:rsid w:val="006E1848"/>
    <w:rsid w:val="006E1C49"/>
    <w:rsid w:val="006E1EEA"/>
    <w:rsid w:val="006E28A5"/>
    <w:rsid w:val="006E2A1E"/>
    <w:rsid w:val="006E35A4"/>
    <w:rsid w:val="006E4254"/>
    <w:rsid w:val="006E504B"/>
    <w:rsid w:val="006E5631"/>
    <w:rsid w:val="006E5AF2"/>
    <w:rsid w:val="006E674D"/>
    <w:rsid w:val="006E67EC"/>
    <w:rsid w:val="006E6E90"/>
    <w:rsid w:val="006E76CE"/>
    <w:rsid w:val="006E79FE"/>
    <w:rsid w:val="006F164E"/>
    <w:rsid w:val="006F18D5"/>
    <w:rsid w:val="006F3629"/>
    <w:rsid w:val="006F3994"/>
    <w:rsid w:val="006F4E91"/>
    <w:rsid w:val="006F5A82"/>
    <w:rsid w:val="006F62EE"/>
    <w:rsid w:val="006F776E"/>
    <w:rsid w:val="00700F27"/>
    <w:rsid w:val="00701265"/>
    <w:rsid w:val="00701343"/>
    <w:rsid w:val="007018AA"/>
    <w:rsid w:val="00701D3B"/>
    <w:rsid w:val="00701F57"/>
    <w:rsid w:val="0070296B"/>
    <w:rsid w:val="00702AF8"/>
    <w:rsid w:val="00703025"/>
    <w:rsid w:val="00703DA4"/>
    <w:rsid w:val="00704776"/>
    <w:rsid w:val="007048BB"/>
    <w:rsid w:val="00704F27"/>
    <w:rsid w:val="00705165"/>
    <w:rsid w:val="00705464"/>
    <w:rsid w:val="00705DBE"/>
    <w:rsid w:val="00706D2A"/>
    <w:rsid w:val="00706F67"/>
    <w:rsid w:val="0070707C"/>
    <w:rsid w:val="00707D6A"/>
    <w:rsid w:val="00707F34"/>
    <w:rsid w:val="0071055F"/>
    <w:rsid w:val="00710D66"/>
    <w:rsid w:val="00710EDA"/>
    <w:rsid w:val="007115ED"/>
    <w:rsid w:val="00711DAE"/>
    <w:rsid w:val="00712AF9"/>
    <w:rsid w:val="00713505"/>
    <w:rsid w:val="00713641"/>
    <w:rsid w:val="0071401A"/>
    <w:rsid w:val="0071428A"/>
    <w:rsid w:val="00714E28"/>
    <w:rsid w:val="00715B9A"/>
    <w:rsid w:val="0071772E"/>
    <w:rsid w:val="00717C3A"/>
    <w:rsid w:val="0072027A"/>
    <w:rsid w:val="00720CE7"/>
    <w:rsid w:val="007211B3"/>
    <w:rsid w:val="00721627"/>
    <w:rsid w:val="007232DD"/>
    <w:rsid w:val="00723333"/>
    <w:rsid w:val="007238B2"/>
    <w:rsid w:val="00723A08"/>
    <w:rsid w:val="00723DF5"/>
    <w:rsid w:val="00723E5D"/>
    <w:rsid w:val="00723F3C"/>
    <w:rsid w:val="00724E5E"/>
    <w:rsid w:val="007251C1"/>
    <w:rsid w:val="0072571D"/>
    <w:rsid w:val="007259EF"/>
    <w:rsid w:val="00725F33"/>
    <w:rsid w:val="00726A49"/>
    <w:rsid w:val="00726AB4"/>
    <w:rsid w:val="00727145"/>
    <w:rsid w:val="00727A1C"/>
    <w:rsid w:val="00730373"/>
    <w:rsid w:val="00730CEF"/>
    <w:rsid w:val="007317A2"/>
    <w:rsid w:val="00731A9B"/>
    <w:rsid w:val="00733495"/>
    <w:rsid w:val="007336F3"/>
    <w:rsid w:val="00733DA5"/>
    <w:rsid w:val="00734A04"/>
    <w:rsid w:val="00734F20"/>
    <w:rsid w:val="00735DAE"/>
    <w:rsid w:val="0073645F"/>
    <w:rsid w:val="00736A60"/>
    <w:rsid w:val="00736D18"/>
    <w:rsid w:val="00737606"/>
    <w:rsid w:val="00737D2B"/>
    <w:rsid w:val="00740573"/>
    <w:rsid w:val="00741EBC"/>
    <w:rsid w:val="00744876"/>
    <w:rsid w:val="00744C97"/>
    <w:rsid w:val="00745DCF"/>
    <w:rsid w:val="00746136"/>
    <w:rsid w:val="007463B1"/>
    <w:rsid w:val="0074667A"/>
    <w:rsid w:val="00747AC8"/>
    <w:rsid w:val="00750123"/>
    <w:rsid w:val="007502E9"/>
    <w:rsid w:val="00750CB0"/>
    <w:rsid w:val="00750E6C"/>
    <w:rsid w:val="007513B8"/>
    <w:rsid w:val="00751675"/>
    <w:rsid w:val="00751DC8"/>
    <w:rsid w:val="007520C1"/>
    <w:rsid w:val="007521C1"/>
    <w:rsid w:val="00752303"/>
    <w:rsid w:val="00752656"/>
    <w:rsid w:val="0075306B"/>
    <w:rsid w:val="00753642"/>
    <w:rsid w:val="007541E5"/>
    <w:rsid w:val="0075426B"/>
    <w:rsid w:val="00754431"/>
    <w:rsid w:val="007549E4"/>
    <w:rsid w:val="00755061"/>
    <w:rsid w:val="00755D42"/>
    <w:rsid w:val="00755EC2"/>
    <w:rsid w:val="007560A4"/>
    <w:rsid w:val="00756760"/>
    <w:rsid w:val="007571B8"/>
    <w:rsid w:val="00757662"/>
    <w:rsid w:val="007605A6"/>
    <w:rsid w:val="007605EC"/>
    <w:rsid w:val="00760986"/>
    <w:rsid w:val="007612C7"/>
    <w:rsid w:val="00761496"/>
    <w:rsid w:val="007618EF"/>
    <w:rsid w:val="00762535"/>
    <w:rsid w:val="007625FC"/>
    <w:rsid w:val="00763AB9"/>
    <w:rsid w:val="0076493B"/>
    <w:rsid w:val="00764FAD"/>
    <w:rsid w:val="00765527"/>
    <w:rsid w:val="00765D80"/>
    <w:rsid w:val="00766734"/>
    <w:rsid w:val="00766EED"/>
    <w:rsid w:val="007672A3"/>
    <w:rsid w:val="007672DA"/>
    <w:rsid w:val="00767DDD"/>
    <w:rsid w:val="007703F3"/>
    <w:rsid w:val="0077246A"/>
    <w:rsid w:val="00772B2B"/>
    <w:rsid w:val="0077309E"/>
    <w:rsid w:val="00774190"/>
    <w:rsid w:val="00774324"/>
    <w:rsid w:val="00774BC4"/>
    <w:rsid w:val="00775174"/>
    <w:rsid w:val="00775661"/>
    <w:rsid w:val="00776C14"/>
    <w:rsid w:val="00777550"/>
    <w:rsid w:val="00777A8A"/>
    <w:rsid w:val="00780B6B"/>
    <w:rsid w:val="00780F32"/>
    <w:rsid w:val="00781454"/>
    <w:rsid w:val="00783DE2"/>
    <w:rsid w:val="00783E8F"/>
    <w:rsid w:val="007842AB"/>
    <w:rsid w:val="00784577"/>
    <w:rsid w:val="00784C20"/>
    <w:rsid w:val="00786A1B"/>
    <w:rsid w:val="00786CC1"/>
    <w:rsid w:val="00787140"/>
    <w:rsid w:val="00787348"/>
    <w:rsid w:val="00787B4E"/>
    <w:rsid w:val="007902D3"/>
    <w:rsid w:val="00790B9C"/>
    <w:rsid w:val="00790D91"/>
    <w:rsid w:val="00791384"/>
    <w:rsid w:val="00791599"/>
    <w:rsid w:val="00791762"/>
    <w:rsid w:val="0079195C"/>
    <w:rsid w:val="00792060"/>
    <w:rsid w:val="0079267C"/>
    <w:rsid w:val="007948B0"/>
    <w:rsid w:val="00795775"/>
    <w:rsid w:val="00796FCF"/>
    <w:rsid w:val="007974D5"/>
    <w:rsid w:val="00797B72"/>
    <w:rsid w:val="007A0174"/>
    <w:rsid w:val="007A105E"/>
    <w:rsid w:val="007A1342"/>
    <w:rsid w:val="007A1743"/>
    <w:rsid w:val="007A1B16"/>
    <w:rsid w:val="007A276D"/>
    <w:rsid w:val="007A2E36"/>
    <w:rsid w:val="007A33E4"/>
    <w:rsid w:val="007A412B"/>
    <w:rsid w:val="007A5C60"/>
    <w:rsid w:val="007A684A"/>
    <w:rsid w:val="007A6BE2"/>
    <w:rsid w:val="007A7F7B"/>
    <w:rsid w:val="007B06D8"/>
    <w:rsid w:val="007B113B"/>
    <w:rsid w:val="007B1904"/>
    <w:rsid w:val="007B1D95"/>
    <w:rsid w:val="007B224A"/>
    <w:rsid w:val="007B28B0"/>
    <w:rsid w:val="007B3D9E"/>
    <w:rsid w:val="007B4E2A"/>
    <w:rsid w:val="007B5DF9"/>
    <w:rsid w:val="007B684F"/>
    <w:rsid w:val="007B7761"/>
    <w:rsid w:val="007C0746"/>
    <w:rsid w:val="007C07A4"/>
    <w:rsid w:val="007C0889"/>
    <w:rsid w:val="007C18A6"/>
    <w:rsid w:val="007C1DA4"/>
    <w:rsid w:val="007C2847"/>
    <w:rsid w:val="007C33BB"/>
    <w:rsid w:val="007C53B6"/>
    <w:rsid w:val="007C63EC"/>
    <w:rsid w:val="007C7542"/>
    <w:rsid w:val="007D0129"/>
    <w:rsid w:val="007D0C6A"/>
    <w:rsid w:val="007D2F35"/>
    <w:rsid w:val="007D3043"/>
    <w:rsid w:val="007D3156"/>
    <w:rsid w:val="007D3717"/>
    <w:rsid w:val="007D4408"/>
    <w:rsid w:val="007D5651"/>
    <w:rsid w:val="007D5813"/>
    <w:rsid w:val="007D5B9B"/>
    <w:rsid w:val="007D69DC"/>
    <w:rsid w:val="007D70AC"/>
    <w:rsid w:val="007D7692"/>
    <w:rsid w:val="007D7F58"/>
    <w:rsid w:val="007D7FF4"/>
    <w:rsid w:val="007E0A0E"/>
    <w:rsid w:val="007E0DE8"/>
    <w:rsid w:val="007E11F2"/>
    <w:rsid w:val="007E1AE5"/>
    <w:rsid w:val="007E1F86"/>
    <w:rsid w:val="007E221A"/>
    <w:rsid w:val="007E2239"/>
    <w:rsid w:val="007E26D4"/>
    <w:rsid w:val="007E277D"/>
    <w:rsid w:val="007E353D"/>
    <w:rsid w:val="007E4499"/>
    <w:rsid w:val="007E4851"/>
    <w:rsid w:val="007E5582"/>
    <w:rsid w:val="007E624F"/>
    <w:rsid w:val="007E6763"/>
    <w:rsid w:val="007E6EC4"/>
    <w:rsid w:val="007E75CD"/>
    <w:rsid w:val="007E77C1"/>
    <w:rsid w:val="007E77E5"/>
    <w:rsid w:val="007E784B"/>
    <w:rsid w:val="007E7B19"/>
    <w:rsid w:val="007F026A"/>
    <w:rsid w:val="007F0AB5"/>
    <w:rsid w:val="007F1B56"/>
    <w:rsid w:val="007F318A"/>
    <w:rsid w:val="007F3BAD"/>
    <w:rsid w:val="007F48BA"/>
    <w:rsid w:val="007F5163"/>
    <w:rsid w:val="007F538D"/>
    <w:rsid w:val="007F5B13"/>
    <w:rsid w:val="007F6AA4"/>
    <w:rsid w:val="007F7173"/>
    <w:rsid w:val="007F7D16"/>
    <w:rsid w:val="008002F3"/>
    <w:rsid w:val="00800DA5"/>
    <w:rsid w:val="0080177E"/>
    <w:rsid w:val="008033C9"/>
    <w:rsid w:val="00803B53"/>
    <w:rsid w:val="0080421C"/>
    <w:rsid w:val="0080457E"/>
    <w:rsid w:val="0080632E"/>
    <w:rsid w:val="0080657E"/>
    <w:rsid w:val="00806A40"/>
    <w:rsid w:val="00806ACC"/>
    <w:rsid w:val="008113BF"/>
    <w:rsid w:val="008117A8"/>
    <w:rsid w:val="00811C3E"/>
    <w:rsid w:val="00814126"/>
    <w:rsid w:val="00814337"/>
    <w:rsid w:val="00815525"/>
    <w:rsid w:val="0081554D"/>
    <w:rsid w:val="008157AB"/>
    <w:rsid w:val="008161C6"/>
    <w:rsid w:val="00816209"/>
    <w:rsid w:val="0081770F"/>
    <w:rsid w:val="008179D7"/>
    <w:rsid w:val="008210D5"/>
    <w:rsid w:val="00821851"/>
    <w:rsid w:val="008218E9"/>
    <w:rsid w:val="00821C39"/>
    <w:rsid w:val="00821D0A"/>
    <w:rsid w:val="00823252"/>
    <w:rsid w:val="008232A9"/>
    <w:rsid w:val="00823974"/>
    <w:rsid w:val="00823992"/>
    <w:rsid w:val="00823AD4"/>
    <w:rsid w:val="00823B3F"/>
    <w:rsid w:val="00823C78"/>
    <w:rsid w:val="00823E23"/>
    <w:rsid w:val="0082456E"/>
    <w:rsid w:val="0082506E"/>
    <w:rsid w:val="00825B38"/>
    <w:rsid w:val="00826CAD"/>
    <w:rsid w:val="0082741E"/>
    <w:rsid w:val="00827F8F"/>
    <w:rsid w:val="00830A33"/>
    <w:rsid w:val="00831A78"/>
    <w:rsid w:val="008322A7"/>
    <w:rsid w:val="00832325"/>
    <w:rsid w:val="00832487"/>
    <w:rsid w:val="008330E0"/>
    <w:rsid w:val="0083383A"/>
    <w:rsid w:val="00833C93"/>
    <w:rsid w:val="00834AA1"/>
    <w:rsid w:val="00834CCC"/>
    <w:rsid w:val="00834EC1"/>
    <w:rsid w:val="008351F3"/>
    <w:rsid w:val="00835AAC"/>
    <w:rsid w:val="00837038"/>
    <w:rsid w:val="00837C09"/>
    <w:rsid w:val="00840ED8"/>
    <w:rsid w:val="008414A3"/>
    <w:rsid w:val="00841F97"/>
    <w:rsid w:val="00842CD3"/>
    <w:rsid w:val="00842EC1"/>
    <w:rsid w:val="008436DB"/>
    <w:rsid w:val="008437B4"/>
    <w:rsid w:val="00843E1C"/>
    <w:rsid w:val="00844606"/>
    <w:rsid w:val="00844939"/>
    <w:rsid w:val="00844C89"/>
    <w:rsid w:val="0084534B"/>
    <w:rsid w:val="008459EE"/>
    <w:rsid w:val="00845D81"/>
    <w:rsid w:val="00846BA5"/>
    <w:rsid w:val="00847652"/>
    <w:rsid w:val="008502F7"/>
    <w:rsid w:val="008503DC"/>
    <w:rsid w:val="00850FF0"/>
    <w:rsid w:val="00851CE5"/>
    <w:rsid w:val="00852557"/>
    <w:rsid w:val="008529E6"/>
    <w:rsid w:val="008538BA"/>
    <w:rsid w:val="00853EA2"/>
    <w:rsid w:val="00853F23"/>
    <w:rsid w:val="00854A0A"/>
    <w:rsid w:val="00854B98"/>
    <w:rsid w:val="00854D41"/>
    <w:rsid w:val="00854D88"/>
    <w:rsid w:val="00855B69"/>
    <w:rsid w:val="0085605A"/>
    <w:rsid w:val="008561F2"/>
    <w:rsid w:val="008562D5"/>
    <w:rsid w:val="008565BD"/>
    <w:rsid w:val="0085692C"/>
    <w:rsid w:val="00856D80"/>
    <w:rsid w:val="00857315"/>
    <w:rsid w:val="00857ECE"/>
    <w:rsid w:val="008603F2"/>
    <w:rsid w:val="008609E6"/>
    <w:rsid w:val="0086166B"/>
    <w:rsid w:val="00861920"/>
    <w:rsid w:val="008619F6"/>
    <w:rsid w:val="00861ED1"/>
    <w:rsid w:val="00861EF4"/>
    <w:rsid w:val="00861F53"/>
    <w:rsid w:val="00862A00"/>
    <w:rsid w:val="00862AB4"/>
    <w:rsid w:val="0086305B"/>
    <w:rsid w:val="0086357D"/>
    <w:rsid w:val="0086381E"/>
    <w:rsid w:val="00864064"/>
    <w:rsid w:val="00865762"/>
    <w:rsid w:val="0086665C"/>
    <w:rsid w:val="0087073A"/>
    <w:rsid w:val="00870ABC"/>
    <w:rsid w:val="0087132B"/>
    <w:rsid w:val="008716BA"/>
    <w:rsid w:val="00871891"/>
    <w:rsid w:val="00872517"/>
    <w:rsid w:val="00873C5C"/>
    <w:rsid w:val="0087479D"/>
    <w:rsid w:val="00874B9B"/>
    <w:rsid w:val="0087529D"/>
    <w:rsid w:val="008752D5"/>
    <w:rsid w:val="00875901"/>
    <w:rsid w:val="0087600E"/>
    <w:rsid w:val="00876A75"/>
    <w:rsid w:val="00876C5F"/>
    <w:rsid w:val="008776B4"/>
    <w:rsid w:val="00877C25"/>
    <w:rsid w:val="008803E8"/>
    <w:rsid w:val="008808B3"/>
    <w:rsid w:val="008818A8"/>
    <w:rsid w:val="008823F6"/>
    <w:rsid w:val="00882DEA"/>
    <w:rsid w:val="00882F9A"/>
    <w:rsid w:val="00884856"/>
    <w:rsid w:val="00884A99"/>
    <w:rsid w:val="00885146"/>
    <w:rsid w:val="008852CB"/>
    <w:rsid w:val="00885696"/>
    <w:rsid w:val="00886053"/>
    <w:rsid w:val="0088645D"/>
    <w:rsid w:val="008867D2"/>
    <w:rsid w:val="008869A8"/>
    <w:rsid w:val="008908F2"/>
    <w:rsid w:val="00891E3A"/>
    <w:rsid w:val="0089236D"/>
    <w:rsid w:val="00892652"/>
    <w:rsid w:val="00892ADC"/>
    <w:rsid w:val="00892D0B"/>
    <w:rsid w:val="00893290"/>
    <w:rsid w:val="00893545"/>
    <w:rsid w:val="00893823"/>
    <w:rsid w:val="008939D1"/>
    <w:rsid w:val="00893A8C"/>
    <w:rsid w:val="008943F2"/>
    <w:rsid w:val="00894E16"/>
    <w:rsid w:val="00895908"/>
    <w:rsid w:val="00895DEE"/>
    <w:rsid w:val="008962D8"/>
    <w:rsid w:val="00896875"/>
    <w:rsid w:val="00896950"/>
    <w:rsid w:val="00896B85"/>
    <w:rsid w:val="0089784A"/>
    <w:rsid w:val="008979A9"/>
    <w:rsid w:val="008A02A8"/>
    <w:rsid w:val="008A066D"/>
    <w:rsid w:val="008A0907"/>
    <w:rsid w:val="008A113B"/>
    <w:rsid w:val="008A16A9"/>
    <w:rsid w:val="008A2BA0"/>
    <w:rsid w:val="008A2BBE"/>
    <w:rsid w:val="008A2CAC"/>
    <w:rsid w:val="008A351D"/>
    <w:rsid w:val="008A3608"/>
    <w:rsid w:val="008A52C5"/>
    <w:rsid w:val="008A57C2"/>
    <w:rsid w:val="008A57E5"/>
    <w:rsid w:val="008A6AFA"/>
    <w:rsid w:val="008A6D34"/>
    <w:rsid w:val="008A6F07"/>
    <w:rsid w:val="008A71D8"/>
    <w:rsid w:val="008A7EB0"/>
    <w:rsid w:val="008A7EBF"/>
    <w:rsid w:val="008B0401"/>
    <w:rsid w:val="008B24A0"/>
    <w:rsid w:val="008B2DCB"/>
    <w:rsid w:val="008B2E78"/>
    <w:rsid w:val="008B798C"/>
    <w:rsid w:val="008B7B26"/>
    <w:rsid w:val="008B7CC5"/>
    <w:rsid w:val="008C068B"/>
    <w:rsid w:val="008C0E8F"/>
    <w:rsid w:val="008C1083"/>
    <w:rsid w:val="008C127E"/>
    <w:rsid w:val="008C15A4"/>
    <w:rsid w:val="008C2367"/>
    <w:rsid w:val="008C2719"/>
    <w:rsid w:val="008C28DC"/>
    <w:rsid w:val="008C3082"/>
    <w:rsid w:val="008C3751"/>
    <w:rsid w:val="008C3AD7"/>
    <w:rsid w:val="008C3E9E"/>
    <w:rsid w:val="008C4000"/>
    <w:rsid w:val="008C4CDA"/>
    <w:rsid w:val="008C4E42"/>
    <w:rsid w:val="008C7425"/>
    <w:rsid w:val="008C7C75"/>
    <w:rsid w:val="008D0E38"/>
    <w:rsid w:val="008D1B83"/>
    <w:rsid w:val="008D1B98"/>
    <w:rsid w:val="008D2971"/>
    <w:rsid w:val="008D318A"/>
    <w:rsid w:val="008D3393"/>
    <w:rsid w:val="008D39F0"/>
    <w:rsid w:val="008D54B8"/>
    <w:rsid w:val="008D6DF8"/>
    <w:rsid w:val="008D6E09"/>
    <w:rsid w:val="008D7AF6"/>
    <w:rsid w:val="008D7C5C"/>
    <w:rsid w:val="008E0117"/>
    <w:rsid w:val="008E05EE"/>
    <w:rsid w:val="008E068E"/>
    <w:rsid w:val="008E0D75"/>
    <w:rsid w:val="008E1A68"/>
    <w:rsid w:val="008E2090"/>
    <w:rsid w:val="008E20CF"/>
    <w:rsid w:val="008E25C3"/>
    <w:rsid w:val="008E2726"/>
    <w:rsid w:val="008E2FA0"/>
    <w:rsid w:val="008E3327"/>
    <w:rsid w:val="008E36AB"/>
    <w:rsid w:val="008E3E33"/>
    <w:rsid w:val="008E540A"/>
    <w:rsid w:val="008E5FB1"/>
    <w:rsid w:val="008E687C"/>
    <w:rsid w:val="008E68CC"/>
    <w:rsid w:val="008F0280"/>
    <w:rsid w:val="008F045E"/>
    <w:rsid w:val="008F07B3"/>
    <w:rsid w:val="008F0F86"/>
    <w:rsid w:val="008F1729"/>
    <w:rsid w:val="008F2300"/>
    <w:rsid w:val="008F3326"/>
    <w:rsid w:val="008F35CE"/>
    <w:rsid w:val="008F36DF"/>
    <w:rsid w:val="008F38A4"/>
    <w:rsid w:val="008F39F4"/>
    <w:rsid w:val="008F3FCF"/>
    <w:rsid w:val="008F59ED"/>
    <w:rsid w:val="008F6C84"/>
    <w:rsid w:val="008F7061"/>
    <w:rsid w:val="008F72FF"/>
    <w:rsid w:val="008F77D3"/>
    <w:rsid w:val="008F7E8D"/>
    <w:rsid w:val="0090114D"/>
    <w:rsid w:val="00901840"/>
    <w:rsid w:val="00901B84"/>
    <w:rsid w:val="00901DF2"/>
    <w:rsid w:val="009027FE"/>
    <w:rsid w:val="009028E5"/>
    <w:rsid w:val="009031A2"/>
    <w:rsid w:val="0090339C"/>
    <w:rsid w:val="00903DCC"/>
    <w:rsid w:val="0090401B"/>
    <w:rsid w:val="009040D4"/>
    <w:rsid w:val="0090437F"/>
    <w:rsid w:val="00904423"/>
    <w:rsid w:val="00904F25"/>
    <w:rsid w:val="009052C6"/>
    <w:rsid w:val="009052C9"/>
    <w:rsid w:val="00906095"/>
    <w:rsid w:val="00907891"/>
    <w:rsid w:val="0091079A"/>
    <w:rsid w:val="00910E8F"/>
    <w:rsid w:val="00910ED9"/>
    <w:rsid w:val="00911681"/>
    <w:rsid w:val="009117C9"/>
    <w:rsid w:val="0091237B"/>
    <w:rsid w:val="009123D5"/>
    <w:rsid w:val="0091283F"/>
    <w:rsid w:val="009128AD"/>
    <w:rsid w:val="009129A2"/>
    <w:rsid w:val="009129BF"/>
    <w:rsid w:val="00912F7F"/>
    <w:rsid w:val="0091321E"/>
    <w:rsid w:val="00913CA7"/>
    <w:rsid w:val="00914439"/>
    <w:rsid w:val="00916056"/>
    <w:rsid w:val="00916502"/>
    <w:rsid w:val="009165C9"/>
    <w:rsid w:val="00916F9D"/>
    <w:rsid w:val="009179E9"/>
    <w:rsid w:val="00917A33"/>
    <w:rsid w:val="00917CB7"/>
    <w:rsid w:val="00920955"/>
    <w:rsid w:val="0092158A"/>
    <w:rsid w:val="0092165B"/>
    <w:rsid w:val="00922204"/>
    <w:rsid w:val="00922458"/>
    <w:rsid w:val="0092254B"/>
    <w:rsid w:val="009233ED"/>
    <w:rsid w:val="00923641"/>
    <w:rsid w:val="00923E04"/>
    <w:rsid w:val="009242B4"/>
    <w:rsid w:val="00926267"/>
    <w:rsid w:val="009267DD"/>
    <w:rsid w:val="0093051F"/>
    <w:rsid w:val="009322C2"/>
    <w:rsid w:val="009322F4"/>
    <w:rsid w:val="009323BD"/>
    <w:rsid w:val="009334FD"/>
    <w:rsid w:val="009354C2"/>
    <w:rsid w:val="009354DD"/>
    <w:rsid w:val="00935592"/>
    <w:rsid w:val="00936465"/>
    <w:rsid w:val="00937667"/>
    <w:rsid w:val="009376A0"/>
    <w:rsid w:val="00937C26"/>
    <w:rsid w:val="00940C59"/>
    <w:rsid w:val="00941360"/>
    <w:rsid w:val="00941615"/>
    <w:rsid w:val="00941A88"/>
    <w:rsid w:val="00943EB5"/>
    <w:rsid w:val="00944A60"/>
    <w:rsid w:val="009450DA"/>
    <w:rsid w:val="009453BC"/>
    <w:rsid w:val="00945A86"/>
    <w:rsid w:val="00945D1C"/>
    <w:rsid w:val="00945D4B"/>
    <w:rsid w:val="00946066"/>
    <w:rsid w:val="009460F5"/>
    <w:rsid w:val="009503C6"/>
    <w:rsid w:val="009504D6"/>
    <w:rsid w:val="00950C37"/>
    <w:rsid w:val="00951935"/>
    <w:rsid w:val="00951DEB"/>
    <w:rsid w:val="009539A7"/>
    <w:rsid w:val="009543BF"/>
    <w:rsid w:val="009544F8"/>
    <w:rsid w:val="009545B4"/>
    <w:rsid w:val="00954745"/>
    <w:rsid w:val="00955701"/>
    <w:rsid w:val="009558F3"/>
    <w:rsid w:val="00955DBA"/>
    <w:rsid w:val="009561BE"/>
    <w:rsid w:val="009565C3"/>
    <w:rsid w:val="00956F4A"/>
    <w:rsid w:val="00957449"/>
    <w:rsid w:val="00957EFB"/>
    <w:rsid w:val="009612AE"/>
    <w:rsid w:val="00961780"/>
    <w:rsid w:val="00961AAA"/>
    <w:rsid w:val="00962E38"/>
    <w:rsid w:val="00962FAB"/>
    <w:rsid w:val="00963680"/>
    <w:rsid w:val="00963A95"/>
    <w:rsid w:val="00963CF5"/>
    <w:rsid w:val="009649D6"/>
    <w:rsid w:val="00965EB8"/>
    <w:rsid w:val="009660F9"/>
    <w:rsid w:val="00966138"/>
    <w:rsid w:val="00967663"/>
    <w:rsid w:val="00967D23"/>
    <w:rsid w:val="00971355"/>
    <w:rsid w:val="00971AAF"/>
    <w:rsid w:val="00972AAC"/>
    <w:rsid w:val="009740CE"/>
    <w:rsid w:val="0097498F"/>
    <w:rsid w:val="00974A3B"/>
    <w:rsid w:val="00974D5F"/>
    <w:rsid w:val="009752FE"/>
    <w:rsid w:val="00975C02"/>
    <w:rsid w:val="0097607F"/>
    <w:rsid w:val="009761E4"/>
    <w:rsid w:val="009766EB"/>
    <w:rsid w:val="009770AA"/>
    <w:rsid w:val="0097754B"/>
    <w:rsid w:val="0097764A"/>
    <w:rsid w:val="00980C95"/>
    <w:rsid w:val="00980FE6"/>
    <w:rsid w:val="009818E5"/>
    <w:rsid w:val="00982598"/>
    <w:rsid w:val="00982FCD"/>
    <w:rsid w:val="00983819"/>
    <w:rsid w:val="0098388F"/>
    <w:rsid w:val="00983C9E"/>
    <w:rsid w:val="009844A6"/>
    <w:rsid w:val="00984D7E"/>
    <w:rsid w:val="009851A6"/>
    <w:rsid w:val="009858E9"/>
    <w:rsid w:val="00985B06"/>
    <w:rsid w:val="00987219"/>
    <w:rsid w:val="00987DC7"/>
    <w:rsid w:val="00987E11"/>
    <w:rsid w:val="00987E9E"/>
    <w:rsid w:val="00990EEE"/>
    <w:rsid w:val="00991568"/>
    <w:rsid w:val="00992A8E"/>
    <w:rsid w:val="00993B90"/>
    <w:rsid w:val="00994215"/>
    <w:rsid w:val="009943CC"/>
    <w:rsid w:val="0099514D"/>
    <w:rsid w:val="009952E4"/>
    <w:rsid w:val="009963AE"/>
    <w:rsid w:val="00996BC8"/>
    <w:rsid w:val="00996EF5"/>
    <w:rsid w:val="00996F89"/>
    <w:rsid w:val="00997CC6"/>
    <w:rsid w:val="00997F5D"/>
    <w:rsid w:val="009A04AA"/>
    <w:rsid w:val="009A04C4"/>
    <w:rsid w:val="009A15B4"/>
    <w:rsid w:val="009A1C9E"/>
    <w:rsid w:val="009A2444"/>
    <w:rsid w:val="009A2A73"/>
    <w:rsid w:val="009A2AE8"/>
    <w:rsid w:val="009A3077"/>
    <w:rsid w:val="009A3365"/>
    <w:rsid w:val="009A37C2"/>
    <w:rsid w:val="009A41D0"/>
    <w:rsid w:val="009A4D5B"/>
    <w:rsid w:val="009A5CC1"/>
    <w:rsid w:val="009A6B29"/>
    <w:rsid w:val="009A75A5"/>
    <w:rsid w:val="009A7C00"/>
    <w:rsid w:val="009A7C54"/>
    <w:rsid w:val="009A7EAF"/>
    <w:rsid w:val="009B098D"/>
    <w:rsid w:val="009B0E23"/>
    <w:rsid w:val="009B0E7F"/>
    <w:rsid w:val="009B0EEF"/>
    <w:rsid w:val="009B2C92"/>
    <w:rsid w:val="009B3688"/>
    <w:rsid w:val="009B42E0"/>
    <w:rsid w:val="009B4317"/>
    <w:rsid w:val="009B611C"/>
    <w:rsid w:val="009B66EE"/>
    <w:rsid w:val="009B6BC6"/>
    <w:rsid w:val="009B7082"/>
    <w:rsid w:val="009B734A"/>
    <w:rsid w:val="009B7AE7"/>
    <w:rsid w:val="009B7D12"/>
    <w:rsid w:val="009C0CD7"/>
    <w:rsid w:val="009C156F"/>
    <w:rsid w:val="009C1EC8"/>
    <w:rsid w:val="009C218C"/>
    <w:rsid w:val="009C2623"/>
    <w:rsid w:val="009C34B8"/>
    <w:rsid w:val="009C3BA8"/>
    <w:rsid w:val="009C3EB2"/>
    <w:rsid w:val="009C41E8"/>
    <w:rsid w:val="009C4A98"/>
    <w:rsid w:val="009C52B0"/>
    <w:rsid w:val="009C61C0"/>
    <w:rsid w:val="009C7E82"/>
    <w:rsid w:val="009D2BED"/>
    <w:rsid w:val="009D303A"/>
    <w:rsid w:val="009D38B0"/>
    <w:rsid w:val="009D41D1"/>
    <w:rsid w:val="009D45B1"/>
    <w:rsid w:val="009D4E04"/>
    <w:rsid w:val="009D7253"/>
    <w:rsid w:val="009D73A6"/>
    <w:rsid w:val="009E0976"/>
    <w:rsid w:val="009E0BB5"/>
    <w:rsid w:val="009E2C52"/>
    <w:rsid w:val="009E3279"/>
    <w:rsid w:val="009E3868"/>
    <w:rsid w:val="009E57F4"/>
    <w:rsid w:val="009E6AA4"/>
    <w:rsid w:val="009E71B7"/>
    <w:rsid w:val="009E747E"/>
    <w:rsid w:val="009E74EC"/>
    <w:rsid w:val="009E76D3"/>
    <w:rsid w:val="009F03EA"/>
    <w:rsid w:val="009F104A"/>
    <w:rsid w:val="009F10BE"/>
    <w:rsid w:val="009F1618"/>
    <w:rsid w:val="009F1ED1"/>
    <w:rsid w:val="009F1FD9"/>
    <w:rsid w:val="009F28C9"/>
    <w:rsid w:val="009F2BFD"/>
    <w:rsid w:val="009F3E68"/>
    <w:rsid w:val="009F43D1"/>
    <w:rsid w:val="009F4C47"/>
    <w:rsid w:val="009F5680"/>
    <w:rsid w:val="009F5D50"/>
    <w:rsid w:val="009F5E6D"/>
    <w:rsid w:val="009F64CC"/>
    <w:rsid w:val="009F67F2"/>
    <w:rsid w:val="009F6B92"/>
    <w:rsid w:val="009F6BB0"/>
    <w:rsid w:val="009F6F90"/>
    <w:rsid w:val="009F765D"/>
    <w:rsid w:val="009F76CB"/>
    <w:rsid w:val="009F7845"/>
    <w:rsid w:val="009F7916"/>
    <w:rsid w:val="009F7BB0"/>
    <w:rsid w:val="00A00345"/>
    <w:rsid w:val="00A010A3"/>
    <w:rsid w:val="00A01B71"/>
    <w:rsid w:val="00A01BA1"/>
    <w:rsid w:val="00A0405A"/>
    <w:rsid w:val="00A050F9"/>
    <w:rsid w:val="00A05180"/>
    <w:rsid w:val="00A056F2"/>
    <w:rsid w:val="00A06DC4"/>
    <w:rsid w:val="00A07974"/>
    <w:rsid w:val="00A1021A"/>
    <w:rsid w:val="00A10E1F"/>
    <w:rsid w:val="00A11F20"/>
    <w:rsid w:val="00A122AA"/>
    <w:rsid w:val="00A12971"/>
    <w:rsid w:val="00A136B0"/>
    <w:rsid w:val="00A13B32"/>
    <w:rsid w:val="00A1435E"/>
    <w:rsid w:val="00A152AE"/>
    <w:rsid w:val="00A15765"/>
    <w:rsid w:val="00A157F5"/>
    <w:rsid w:val="00A17DE8"/>
    <w:rsid w:val="00A20F96"/>
    <w:rsid w:val="00A21213"/>
    <w:rsid w:val="00A21AC7"/>
    <w:rsid w:val="00A21BE2"/>
    <w:rsid w:val="00A22217"/>
    <w:rsid w:val="00A236C8"/>
    <w:rsid w:val="00A23F0D"/>
    <w:rsid w:val="00A2434B"/>
    <w:rsid w:val="00A249A4"/>
    <w:rsid w:val="00A2517A"/>
    <w:rsid w:val="00A25CF9"/>
    <w:rsid w:val="00A26BB8"/>
    <w:rsid w:val="00A27804"/>
    <w:rsid w:val="00A27A51"/>
    <w:rsid w:val="00A27AA0"/>
    <w:rsid w:val="00A30557"/>
    <w:rsid w:val="00A30651"/>
    <w:rsid w:val="00A30B24"/>
    <w:rsid w:val="00A30BCA"/>
    <w:rsid w:val="00A30DA2"/>
    <w:rsid w:val="00A30DAD"/>
    <w:rsid w:val="00A31D97"/>
    <w:rsid w:val="00A323C3"/>
    <w:rsid w:val="00A32891"/>
    <w:rsid w:val="00A33271"/>
    <w:rsid w:val="00A3354D"/>
    <w:rsid w:val="00A33BB7"/>
    <w:rsid w:val="00A34988"/>
    <w:rsid w:val="00A34BA2"/>
    <w:rsid w:val="00A34E55"/>
    <w:rsid w:val="00A3568F"/>
    <w:rsid w:val="00A35CF6"/>
    <w:rsid w:val="00A36A83"/>
    <w:rsid w:val="00A36E51"/>
    <w:rsid w:val="00A37508"/>
    <w:rsid w:val="00A4052B"/>
    <w:rsid w:val="00A40827"/>
    <w:rsid w:val="00A40C40"/>
    <w:rsid w:val="00A4200B"/>
    <w:rsid w:val="00A42FB8"/>
    <w:rsid w:val="00A45077"/>
    <w:rsid w:val="00A45B35"/>
    <w:rsid w:val="00A46380"/>
    <w:rsid w:val="00A46B6D"/>
    <w:rsid w:val="00A46EAF"/>
    <w:rsid w:val="00A509AD"/>
    <w:rsid w:val="00A50D3E"/>
    <w:rsid w:val="00A515AE"/>
    <w:rsid w:val="00A51AA5"/>
    <w:rsid w:val="00A51CD4"/>
    <w:rsid w:val="00A54253"/>
    <w:rsid w:val="00A54C3C"/>
    <w:rsid w:val="00A54EBE"/>
    <w:rsid w:val="00A54FE6"/>
    <w:rsid w:val="00A5506F"/>
    <w:rsid w:val="00A55C3F"/>
    <w:rsid w:val="00A55D29"/>
    <w:rsid w:val="00A55F43"/>
    <w:rsid w:val="00A56502"/>
    <w:rsid w:val="00A5652D"/>
    <w:rsid w:val="00A56F4F"/>
    <w:rsid w:val="00A57079"/>
    <w:rsid w:val="00A57830"/>
    <w:rsid w:val="00A60611"/>
    <w:rsid w:val="00A60B91"/>
    <w:rsid w:val="00A60D63"/>
    <w:rsid w:val="00A610FC"/>
    <w:rsid w:val="00A617E8"/>
    <w:rsid w:val="00A61A3A"/>
    <w:rsid w:val="00A61E75"/>
    <w:rsid w:val="00A6218F"/>
    <w:rsid w:val="00A62722"/>
    <w:rsid w:val="00A62BFC"/>
    <w:rsid w:val="00A63CCE"/>
    <w:rsid w:val="00A64D5E"/>
    <w:rsid w:val="00A64EF9"/>
    <w:rsid w:val="00A65395"/>
    <w:rsid w:val="00A65ED2"/>
    <w:rsid w:val="00A67E7C"/>
    <w:rsid w:val="00A7072D"/>
    <w:rsid w:val="00A70B34"/>
    <w:rsid w:val="00A717E0"/>
    <w:rsid w:val="00A71E6D"/>
    <w:rsid w:val="00A722CB"/>
    <w:rsid w:val="00A73467"/>
    <w:rsid w:val="00A73E94"/>
    <w:rsid w:val="00A74225"/>
    <w:rsid w:val="00A7447E"/>
    <w:rsid w:val="00A7571B"/>
    <w:rsid w:val="00A75726"/>
    <w:rsid w:val="00A75A54"/>
    <w:rsid w:val="00A75FFC"/>
    <w:rsid w:val="00A76513"/>
    <w:rsid w:val="00A76842"/>
    <w:rsid w:val="00A76899"/>
    <w:rsid w:val="00A76BA6"/>
    <w:rsid w:val="00A80968"/>
    <w:rsid w:val="00A80DB2"/>
    <w:rsid w:val="00A81A60"/>
    <w:rsid w:val="00A82034"/>
    <w:rsid w:val="00A8226E"/>
    <w:rsid w:val="00A82891"/>
    <w:rsid w:val="00A82963"/>
    <w:rsid w:val="00A84892"/>
    <w:rsid w:val="00A85234"/>
    <w:rsid w:val="00A8524A"/>
    <w:rsid w:val="00A85F1B"/>
    <w:rsid w:val="00A864C8"/>
    <w:rsid w:val="00A870E0"/>
    <w:rsid w:val="00A878C3"/>
    <w:rsid w:val="00A87CD3"/>
    <w:rsid w:val="00A87ED1"/>
    <w:rsid w:val="00A9034D"/>
    <w:rsid w:val="00A90A30"/>
    <w:rsid w:val="00A913BC"/>
    <w:rsid w:val="00A9290A"/>
    <w:rsid w:val="00A93DF9"/>
    <w:rsid w:val="00A9423B"/>
    <w:rsid w:val="00A94540"/>
    <w:rsid w:val="00A94C8B"/>
    <w:rsid w:val="00A9533C"/>
    <w:rsid w:val="00A955EA"/>
    <w:rsid w:val="00A9565F"/>
    <w:rsid w:val="00A95B54"/>
    <w:rsid w:val="00A96723"/>
    <w:rsid w:val="00A971D5"/>
    <w:rsid w:val="00A97874"/>
    <w:rsid w:val="00AA0105"/>
    <w:rsid w:val="00AA03AD"/>
    <w:rsid w:val="00AA13E6"/>
    <w:rsid w:val="00AA1AC9"/>
    <w:rsid w:val="00AA1BC3"/>
    <w:rsid w:val="00AA3A20"/>
    <w:rsid w:val="00AA44FA"/>
    <w:rsid w:val="00AA4919"/>
    <w:rsid w:val="00AA6A8A"/>
    <w:rsid w:val="00AA7390"/>
    <w:rsid w:val="00AA7A31"/>
    <w:rsid w:val="00AA7FA1"/>
    <w:rsid w:val="00AB16BD"/>
    <w:rsid w:val="00AB196F"/>
    <w:rsid w:val="00AB1A40"/>
    <w:rsid w:val="00AB2BD5"/>
    <w:rsid w:val="00AB3363"/>
    <w:rsid w:val="00AB4491"/>
    <w:rsid w:val="00AB53F7"/>
    <w:rsid w:val="00AB54CC"/>
    <w:rsid w:val="00AB5565"/>
    <w:rsid w:val="00AB60D7"/>
    <w:rsid w:val="00AB6328"/>
    <w:rsid w:val="00AB66F8"/>
    <w:rsid w:val="00AB686A"/>
    <w:rsid w:val="00AB6C76"/>
    <w:rsid w:val="00AB74F6"/>
    <w:rsid w:val="00AB76D6"/>
    <w:rsid w:val="00AC060A"/>
    <w:rsid w:val="00AC0CC2"/>
    <w:rsid w:val="00AC0DB9"/>
    <w:rsid w:val="00AC1079"/>
    <w:rsid w:val="00AC1654"/>
    <w:rsid w:val="00AC22F3"/>
    <w:rsid w:val="00AC2652"/>
    <w:rsid w:val="00AC2ACD"/>
    <w:rsid w:val="00AC3AAE"/>
    <w:rsid w:val="00AC3AB4"/>
    <w:rsid w:val="00AC4910"/>
    <w:rsid w:val="00AC4AF3"/>
    <w:rsid w:val="00AC4D29"/>
    <w:rsid w:val="00AC624C"/>
    <w:rsid w:val="00AC64A9"/>
    <w:rsid w:val="00AC678B"/>
    <w:rsid w:val="00AC70F2"/>
    <w:rsid w:val="00AC73A1"/>
    <w:rsid w:val="00AC7971"/>
    <w:rsid w:val="00AC7A8B"/>
    <w:rsid w:val="00AD0802"/>
    <w:rsid w:val="00AD16A6"/>
    <w:rsid w:val="00AD1BD3"/>
    <w:rsid w:val="00AD256E"/>
    <w:rsid w:val="00AD25DE"/>
    <w:rsid w:val="00AD2FFD"/>
    <w:rsid w:val="00AD3336"/>
    <w:rsid w:val="00AD4246"/>
    <w:rsid w:val="00AD463A"/>
    <w:rsid w:val="00AD4EDB"/>
    <w:rsid w:val="00AD5047"/>
    <w:rsid w:val="00AD537E"/>
    <w:rsid w:val="00AD5A2D"/>
    <w:rsid w:val="00AD5DB3"/>
    <w:rsid w:val="00AD621A"/>
    <w:rsid w:val="00AD6352"/>
    <w:rsid w:val="00AD75AA"/>
    <w:rsid w:val="00AE0264"/>
    <w:rsid w:val="00AE080B"/>
    <w:rsid w:val="00AE12C7"/>
    <w:rsid w:val="00AE17E3"/>
    <w:rsid w:val="00AE217F"/>
    <w:rsid w:val="00AE25D1"/>
    <w:rsid w:val="00AE2AF2"/>
    <w:rsid w:val="00AE457D"/>
    <w:rsid w:val="00AE4B74"/>
    <w:rsid w:val="00AE4F90"/>
    <w:rsid w:val="00AE5140"/>
    <w:rsid w:val="00AE55C0"/>
    <w:rsid w:val="00AE5846"/>
    <w:rsid w:val="00AE592E"/>
    <w:rsid w:val="00AE59F6"/>
    <w:rsid w:val="00AE617C"/>
    <w:rsid w:val="00AE7F24"/>
    <w:rsid w:val="00AF0029"/>
    <w:rsid w:val="00AF0565"/>
    <w:rsid w:val="00AF09BD"/>
    <w:rsid w:val="00AF0A6E"/>
    <w:rsid w:val="00AF1D9D"/>
    <w:rsid w:val="00AF21A8"/>
    <w:rsid w:val="00AF3D5C"/>
    <w:rsid w:val="00AF3DFE"/>
    <w:rsid w:val="00AF47D5"/>
    <w:rsid w:val="00AF59E1"/>
    <w:rsid w:val="00AF6DFA"/>
    <w:rsid w:val="00B00051"/>
    <w:rsid w:val="00B0040E"/>
    <w:rsid w:val="00B00791"/>
    <w:rsid w:val="00B021E6"/>
    <w:rsid w:val="00B0276D"/>
    <w:rsid w:val="00B027D7"/>
    <w:rsid w:val="00B02B03"/>
    <w:rsid w:val="00B02F39"/>
    <w:rsid w:val="00B0364F"/>
    <w:rsid w:val="00B03C7F"/>
    <w:rsid w:val="00B04BEC"/>
    <w:rsid w:val="00B0536F"/>
    <w:rsid w:val="00B05CF6"/>
    <w:rsid w:val="00B06834"/>
    <w:rsid w:val="00B070B7"/>
    <w:rsid w:val="00B072C8"/>
    <w:rsid w:val="00B10EAB"/>
    <w:rsid w:val="00B110D3"/>
    <w:rsid w:val="00B118F2"/>
    <w:rsid w:val="00B11C60"/>
    <w:rsid w:val="00B1260E"/>
    <w:rsid w:val="00B12D54"/>
    <w:rsid w:val="00B13168"/>
    <w:rsid w:val="00B13541"/>
    <w:rsid w:val="00B1371D"/>
    <w:rsid w:val="00B13E21"/>
    <w:rsid w:val="00B1496F"/>
    <w:rsid w:val="00B161E1"/>
    <w:rsid w:val="00B1634D"/>
    <w:rsid w:val="00B16BCF"/>
    <w:rsid w:val="00B17721"/>
    <w:rsid w:val="00B207BF"/>
    <w:rsid w:val="00B2160F"/>
    <w:rsid w:val="00B21E0D"/>
    <w:rsid w:val="00B21F70"/>
    <w:rsid w:val="00B229F6"/>
    <w:rsid w:val="00B22A30"/>
    <w:rsid w:val="00B2403C"/>
    <w:rsid w:val="00B2426C"/>
    <w:rsid w:val="00B25206"/>
    <w:rsid w:val="00B25E8E"/>
    <w:rsid w:val="00B263F8"/>
    <w:rsid w:val="00B26B06"/>
    <w:rsid w:val="00B30196"/>
    <w:rsid w:val="00B313AF"/>
    <w:rsid w:val="00B31F27"/>
    <w:rsid w:val="00B32288"/>
    <w:rsid w:val="00B32525"/>
    <w:rsid w:val="00B3428C"/>
    <w:rsid w:val="00B342B6"/>
    <w:rsid w:val="00B34438"/>
    <w:rsid w:val="00B34594"/>
    <w:rsid w:val="00B34C0F"/>
    <w:rsid w:val="00B35024"/>
    <w:rsid w:val="00B35203"/>
    <w:rsid w:val="00B3544A"/>
    <w:rsid w:val="00B36093"/>
    <w:rsid w:val="00B36886"/>
    <w:rsid w:val="00B36DA3"/>
    <w:rsid w:val="00B3707F"/>
    <w:rsid w:val="00B40ED9"/>
    <w:rsid w:val="00B42D09"/>
    <w:rsid w:val="00B439D7"/>
    <w:rsid w:val="00B43CF4"/>
    <w:rsid w:val="00B43D75"/>
    <w:rsid w:val="00B44677"/>
    <w:rsid w:val="00B44E66"/>
    <w:rsid w:val="00B45AE2"/>
    <w:rsid w:val="00B46180"/>
    <w:rsid w:val="00B4657E"/>
    <w:rsid w:val="00B46C23"/>
    <w:rsid w:val="00B46D7E"/>
    <w:rsid w:val="00B47977"/>
    <w:rsid w:val="00B47E41"/>
    <w:rsid w:val="00B5051A"/>
    <w:rsid w:val="00B50DD0"/>
    <w:rsid w:val="00B51B9E"/>
    <w:rsid w:val="00B51BF3"/>
    <w:rsid w:val="00B51FA0"/>
    <w:rsid w:val="00B521DD"/>
    <w:rsid w:val="00B526F2"/>
    <w:rsid w:val="00B52CBB"/>
    <w:rsid w:val="00B53562"/>
    <w:rsid w:val="00B53AE4"/>
    <w:rsid w:val="00B55308"/>
    <w:rsid w:val="00B56AE5"/>
    <w:rsid w:val="00B56FF3"/>
    <w:rsid w:val="00B6146D"/>
    <w:rsid w:val="00B61D78"/>
    <w:rsid w:val="00B61DED"/>
    <w:rsid w:val="00B621DA"/>
    <w:rsid w:val="00B62929"/>
    <w:rsid w:val="00B63C36"/>
    <w:rsid w:val="00B63F9B"/>
    <w:rsid w:val="00B64CBC"/>
    <w:rsid w:val="00B65B09"/>
    <w:rsid w:val="00B65B55"/>
    <w:rsid w:val="00B66B58"/>
    <w:rsid w:val="00B67C34"/>
    <w:rsid w:val="00B67F89"/>
    <w:rsid w:val="00B70967"/>
    <w:rsid w:val="00B70AF4"/>
    <w:rsid w:val="00B70C77"/>
    <w:rsid w:val="00B71034"/>
    <w:rsid w:val="00B7194B"/>
    <w:rsid w:val="00B71F03"/>
    <w:rsid w:val="00B73405"/>
    <w:rsid w:val="00B73C1F"/>
    <w:rsid w:val="00B75412"/>
    <w:rsid w:val="00B763F1"/>
    <w:rsid w:val="00B76C04"/>
    <w:rsid w:val="00B77606"/>
    <w:rsid w:val="00B77873"/>
    <w:rsid w:val="00B77AC6"/>
    <w:rsid w:val="00B77FBE"/>
    <w:rsid w:val="00B802A1"/>
    <w:rsid w:val="00B8043A"/>
    <w:rsid w:val="00B81032"/>
    <w:rsid w:val="00B81533"/>
    <w:rsid w:val="00B820A9"/>
    <w:rsid w:val="00B82DF0"/>
    <w:rsid w:val="00B83AAF"/>
    <w:rsid w:val="00B84CED"/>
    <w:rsid w:val="00B84D92"/>
    <w:rsid w:val="00B86965"/>
    <w:rsid w:val="00B86FDD"/>
    <w:rsid w:val="00B90170"/>
    <w:rsid w:val="00B9066E"/>
    <w:rsid w:val="00B91E4E"/>
    <w:rsid w:val="00B91E50"/>
    <w:rsid w:val="00B923EE"/>
    <w:rsid w:val="00B92F6B"/>
    <w:rsid w:val="00B939E3"/>
    <w:rsid w:val="00B948CE"/>
    <w:rsid w:val="00B948D8"/>
    <w:rsid w:val="00B96262"/>
    <w:rsid w:val="00B96E02"/>
    <w:rsid w:val="00B96E0E"/>
    <w:rsid w:val="00B977AC"/>
    <w:rsid w:val="00BA0130"/>
    <w:rsid w:val="00BA034D"/>
    <w:rsid w:val="00BA0FE6"/>
    <w:rsid w:val="00BA13AF"/>
    <w:rsid w:val="00BA1434"/>
    <w:rsid w:val="00BA1ED4"/>
    <w:rsid w:val="00BA23E3"/>
    <w:rsid w:val="00BA327C"/>
    <w:rsid w:val="00BA377D"/>
    <w:rsid w:val="00BA6430"/>
    <w:rsid w:val="00BA668D"/>
    <w:rsid w:val="00BA6703"/>
    <w:rsid w:val="00BA6DB1"/>
    <w:rsid w:val="00BA791E"/>
    <w:rsid w:val="00BA79BD"/>
    <w:rsid w:val="00BB103E"/>
    <w:rsid w:val="00BB213A"/>
    <w:rsid w:val="00BB2441"/>
    <w:rsid w:val="00BB272B"/>
    <w:rsid w:val="00BB2E79"/>
    <w:rsid w:val="00BB2F45"/>
    <w:rsid w:val="00BB3406"/>
    <w:rsid w:val="00BB3493"/>
    <w:rsid w:val="00BB3D98"/>
    <w:rsid w:val="00BB494C"/>
    <w:rsid w:val="00BB50A7"/>
    <w:rsid w:val="00BB5AB5"/>
    <w:rsid w:val="00BB5E02"/>
    <w:rsid w:val="00BB6420"/>
    <w:rsid w:val="00BB6965"/>
    <w:rsid w:val="00BB6B42"/>
    <w:rsid w:val="00BB6C4F"/>
    <w:rsid w:val="00BB7AC9"/>
    <w:rsid w:val="00BC02B9"/>
    <w:rsid w:val="00BC04E8"/>
    <w:rsid w:val="00BC0FA4"/>
    <w:rsid w:val="00BC3971"/>
    <w:rsid w:val="00BC3EE3"/>
    <w:rsid w:val="00BC418A"/>
    <w:rsid w:val="00BC44A8"/>
    <w:rsid w:val="00BC6C76"/>
    <w:rsid w:val="00BC741E"/>
    <w:rsid w:val="00BD003C"/>
    <w:rsid w:val="00BD06C6"/>
    <w:rsid w:val="00BD0CF8"/>
    <w:rsid w:val="00BD0E45"/>
    <w:rsid w:val="00BD1BCB"/>
    <w:rsid w:val="00BD1EBD"/>
    <w:rsid w:val="00BD23D0"/>
    <w:rsid w:val="00BD2B87"/>
    <w:rsid w:val="00BD2E9E"/>
    <w:rsid w:val="00BD3198"/>
    <w:rsid w:val="00BD33D5"/>
    <w:rsid w:val="00BD3686"/>
    <w:rsid w:val="00BD38C9"/>
    <w:rsid w:val="00BD3D92"/>
    <w:rsid w:val="00BD4801"/>
    <w:rsid w:val="00BD4848"/>
    <w:rsid w:val="00BD504F"/>
    <w:rsid w:val="00BD6329"/>
    <w:rsid w:val="00BD64F5"/>
    <w:rsid w:val="00BD688D"/>
    <w:rsid w:val="00BD6925"/>
    <w:rsid w:val="00BD6A08"/>
    <w:rsid w:val="00BD704D"/>
    <w:rsid w:val="00BD730E"/>
    <w:rsid w:val="00BD7383"/>
    <w:rsid w:val="00BD7404"/>
    <w:rsid w:val="00BD751B"/>
    <w:rsid w:val="00BD791D"/>
    <w:rsid w:val="00BE0A81"/>
    <w:rsid w:val="00BE0FDE"/>
    <w:rsid w:val="00BE140B"/>
    <w:rsid w:val="00BE1584"/>
    <w:rsid w:val="00BE17FC"/>
    <w:rsid w:val="00BE203D"/>
    <w:rsid w:val="00BE2BFE"/>
    <w:rsid w:val="00BE3333"/>
    <w:rsid w:val="00BE3855"/>
    <w:rsid w:val="00BE4094"/>
    <w:rsid w:val="00BE468C"/>
    <w:rsid w:val="00BE5080"/>
    <w:rsid w:val="00BE50EF"/>
    <w:rsid w:val="00BE5614"/>
    <w:rsid w:val="00BE5F6A"/>
    <w:rsid w:val="00BE6816"/>
    <w:rsid w:val="00BE6CEE"/>
    <w:rsid w:val="00BE7B80"/>
    <w:rsid w:val="00BE7FC0"/>
    <w:rsid w:val="00BF0A72"/>
    <w:rsid w:val="00BF1ED0"/>
    <w:rsid w:val="00BF2331"/>
    <w:rsid w:val="00BF2DF8"/>
    <w:rsid w:val="00BF2E4D"/>
    <w:rsid w:val="00BF30BC"/>
    <w:rsid w:val="00BF4F90"/>
    <w:rsid w:val="00BF50CD"/>
    <w:rsid w:val="00BF5344"/>
    <w:rsid w:val="00BF553E"/>
    <w:rsid w:val="00BF57CF"/>
    <w:rsid w:val="00BF7510"/>
    <w:rsid w:val="00BF7A79"/>
    <w:rsid w:val="00C0003C"/>
    <w:rsid w:val="00C00098"/>
    <w:rsid w:val="00C008F2"/>
    <w:rsid w:val="00C00969"/>
    <w:rsid w:val="00C014F6"/>
    <w:rsid w:val="00C01DA2"/>
    <w:rsid w:val="00C0270E"/>
    <w:rsid w:val="00C02C39"/>
    <w:rsid w:val="00C02FFE"/>
    <w:rsid w:val="00C03015"/>
    <w:rsid w:val="00C03429"/>
    <w:rsid w:val="00C03F2A"/>
    <w:rsid w:val="00C04438"/>
    <w:rsid w:val="00C04BFE"/>
    <w:rsid w:val="00C05D1A"/>
    <w:rsid w:val="00C06C1B"/>
    <w:rsid w:val="00C06CAD"/>
    <w:rsid w:val="00C071AD"/>
    <w:rsid w:val="00C07813"/>
    <w:rsid w:val="00C07A32"/>
    <w:rsid w:val="00C07E8D"/>
    <w:rsid w:val="00C110D4"/>
    <w:rsid w:val="00C11B80"/>
    <w:rsid w:val="00C11C1A"/>
    <w:rsid w:val="00C1280B"/>
    <w:rsid w:val="00C1312E"/>
    <w:rsid w:val="00C13685"/>
    <w:rsid w:val="00C1388F"/>
    <w:rsid w:val="00C138C4"/>
    <w:rsid w:val="00C13960"/>
    <w:rsid w:val="00C163B6"/>
    <w:rsid w:val="00C16A9E"/>
    <w:rsid w:val="00C16CFA"/>
    <w:rsid w:val="00C17835"/>
    <w:rsid w:val="00C17E17"/>
    <w:rsid w:val="00C17E47"/>
    <w:rsid w:val="00C208F7"/>
    <w:rsid w:val="00C20BB2"/>
    <w:rsid w:val="00C20D04"/>
    <w:rsid w:val="00C21D9F"/>
    <w:rsid w:val="00C22A24"/>
    <w:rsid w:val="00C22AB7"/>
    <w:rsid w:val="00C22E39"/>
    <w:rsid w:val="00C230B4"/>
    <w:rsid w:val="00C231FB"/>
    <w:rsid w:val="00C23226"/>
    <w:rsid w:val="00C2391F"/>
    <w:rsid w:val="00C24528"/>
    <w:rsid w:val="00C2456D"/>
    <w:rsid w:val="00C24994"/>
    <w:rsid w:val="00C255A6"/>
    <w:rsid w:val="00C25C65"/>
    <w:rsid w:val="00C25FA9"/>
    <w:rsid w:val="00C27A03"/>
    <w:rsid w:val="00C27AC2"/>
    <w:rsid w:val="00C27B7E"/>
    <w:rsid w:val="00C27C27"/>
    <w:rsid w:val="00C315B9"/>
    <w:rsid w:val="00C31BFE"/>
    <w:rsid w:val="00C32156"/>
    <w:rsid w:val="00C3216B"/>
    <w:rsid w:val="00C325B1"/>
    <w:rsid w:val="00C32BD5"/>
    <w:rsid w:val="00C32F04"/>
    <w:rsid w:val="00C33DB8"/>
    <w:rsid w:val="00C34176"/>
    <w:rsid w:val="00C34193"/>
    <w:rsid w:val="00C342FC"/>
    <w:rsid w:val="00C350A6"/>
    <w:rsid w:val="00C35603"/>
    <w:rsid w:val="00C35CF5"/>
    <w:rsid w:val="00C360CF"/>
    <w:rsid w:val="00C363BB"/>
    <w:rsid w:val="00C367F9"/>
    <w:rsid w:val="00C36E0E"/>
    <w:rsid w:val="00C378E2"/>
    <w:rsid w:val="00C37E24"/>
    <w:rsid w:val="00C411D5"/>
    <w:rsid w:val="00C418DC"/>
    <w:rsid w:val="00C41973"/>
    <w:rsid w:val="00C41BFD"/>
    <w:rsid w:val="00C4261F"/>
    <w:rsid w:val="00C4291A"/>
    <w:rsid w:val="00C42E95"/>
    <w:rsid w:val="00C44EF2"/>
    <w:rsid w:val="00C45720"/>
    <w:rsid w:val="00C45A22"/>
    <w:rsid w:val="00C45E1F"/>
    <w:rsid w:val="00C45E27"/>
    <w:rsid w:val="00C46919"/>
    <w:rsid w:val="00C46CBF"/>
    <w:rsid w:val="00C472FD"/>
    <w:rsid w:val="00C4736E"/>
    <w:rsid w:val="00C47F89"/>
    <w:rsid w:val="00C506C2"/>
    <w:rsid w:val="00C50D7C"/>
    <w:rsid w:val="00C50FF9"/>
    <w:rsid w:val="00C51085"/>
    <w:rsid w:val="00C517DF"/>
    <w:rsid w:val="00C519BE"/>
    <w:rsid w:val="00C5256F"/>
    <w:rsid w:val="00C52D48"/>
    <w:rsid w:val="00C532CB"/>
    <w:rsid w:val="00C5364C"/>
    <w:rsid w:val="00C53C55"/>
    <w:rsid w:val="00C53C9C"/>
    <w:rsid w:val="00C54098"/>
    <w:rsid w:val="00C56EE4"/>
    <w:rsid w:val="00C574CB"/>
    <w:rsid w:val="00C60032"/>
    <w:rsid w:val="00C601D5"/>
    <w:rsid w:val="00C60723"/>
    <w:rsid w:val="00C608E1"/>
    <w:rsid w:val="00C6106D"/>
    <w:rsid w:val="00C630AB"/>
    <w:rsid w:val="00C6311E"/>
    <w:rsid w:val="00C65442"/>
    <w:rsid w:val="00C65861"/>
    <w:rsid w:val="00C658BA"/>
    <w:rsid w:val="00C6601E"/>
    <w:rsid w:val="00C663FD"/>
    <w:rsid w:val="00C664C9"/>
    <w:rsid w:val="00C66527"/>
    <w:rsid w:val="00C673F9"/>
    <w:rsid w:val="00C67DC0"/>
    <w:rsid w:val="00C67E23"/>
    <w:rsid w:val="00C72071"/>
    <w:rsid w:val="00C72A7C"/>
    <w:rsid w:val="00C7399D"/>
    <w:rsid w:val="00C7403C"/>
    <w:rsid w:val="00C7435E"/>
    <w:rsid w:val="00C74B51"/>
    <w:rsid w:val="00C75576"/>
    <w:rsid w:val="00C7582A"/>
    <w:rsid w:val="00C7680E"/>
    <w:rsid w:val="00C768FB"/>
    <w:rsid w:val="00C7695A"/>
    <w:rsid w:val="00C7728C"/>
    <w:rsid w:val="00C77431"/>
    <w:rsid w:val="00C7772C"/>
    <w:rsid w:val="00C802C1"/>
    <w:rsid w:val="00C80A49"/>
    <w:rsid w:val="00C82013"/>
    <w:rsid w:val="00C822C2"/>
    <w:rsid w:val="00C82BF4"/>
    <w:rsid w:val="00C82DF6"/>
    <w:rsid w:val="00C82E09"/>
    <w:rsid w:val="00C83018"/>
    <w:rsid w:val="00C83573"/>
    <w:rsid w:val="00C83C81"/>
    <w:rsid w:val="00C8402B"/>
    <w:rsid w:val="00C84B33"/>
    <w:rsid w:val="00C84D3B"/>
    <w:rsid w:val="00C8506F"/>
    <w:rsid w:val="00C86407"/>
    <w:rsid w:val="00C90C21"/>
    <w:rsid w:val="00C9149E"/>
    <w:rsid w:val="00C92874"/>
    <w:rsid w:val="00C92FBD"/>
    <w:rsid w:val="00C939AB"/>
    <w:rsid w:val="00C93B2C"/>
    <w:rsid w:val="00C944FF"/>
    <w:rsid w:val="00C948F4"/>
    <w:rsid w:val="00C94B78"/>
    <w:rsid w:val="00C94D56"/>
    <w:rsid w:val="00C95242"/>
    <w:rsid w:val="00C9559E"/>
    <w:rsid w:val="00C95AD0"/>
    <w:rsid w:val="00C966FA"/>
    <w:rsid w:val="00C96AD2"/>
    <w:rsid w:val="00C97833"/>
    <w:rsid w:val="00C97C0E"/>
    <w:rsid w:val="00CA05C9"/>
    <w:rsid w:val="00CA083A"/>
    <w:rsid w:val="00CA1673"/>
    <w:rsid w:val="00CA1765"/>
    <w:rsid w:val="00CA199C"/>
    <w:rsid w:val="00CA2CBD"/>
    <w:rsid w:val="00CA2FF8"/>
    <w:rsid w:val="00CA3B82"/>
    <w:rsid w:val="00CA3E23"/>
    <w:rsid w:val="00CA4B3F"/>
    <w:rsid w:val="00CA4DFC"/>
    <w:rsid w:val="00CA5E96"/>
    <w:rsid w:val="00CA6CDE"/>
    <w:rsid w:val="00CA7A5F"/>
    <w:rsid w:val="00CB0661"/>
    <w:rsid w:val="00CB1209"/>
    <w:rsid w:val="00CB1A09"/>
    <w:rsid w:val="00CB36C9"/>
    <w:rsid w:val="00CB3BBD"/>
    <w:rsid w:val="00CB3E06"/>
    <w:rsid w:val="00CB4E8B"/>
    <w:rsid w:val="00CB514E"/>
    <w:rsid w:val="00CB583A"/>
    <w:rsid w:val="00CB5B01"/>
    <w:rsid w:val="00CB626A"/>
    <w:rsid w:val="00CB647B"/>
    <w:rsid w:val="00CB7018"/>
    <w:rsid w:val="00CB7B52"/>
    <w:rsid w:val="00CB7E8F"/>
    <w:rsid w:val="00CC097E"/>
    <w:rsid w:val="00CC1187"/>
    <w:rsid w:val="00CC1CD4"/>
    <w:rsid w:val="00CC1D83"/>
    <w:rsid w:val="00CC2521"/>
    <w:rsid w:val="00CC2BB7"/>
    <w:rsid w:val="00CC2ED0"/>
    <w:rsid w:val="00CC2F3C"/>
    <w:rsid w:val="00CC39D2"/>
    <w:rsid w:val="00CC425F"/>
    <w:rsid w:val="00CC493A"/>
    <w:rsid w:val="00CC5275"/>
    <w:rsid w:val="00CC57A0"/>
    <w:rsid w:val="00CC599C"/>
    <w:rsid w:val="00CC7222"/>
    <w:rsid w:val="00CC735C"/>
    <w:rsid w:val="00CD04F8"/>
    <w:rsid w:val="00CD24EE"/>
    <w:rsid w:val="00CD2859"/>
    <w:rsid w:val="00CD3301"/>
    <w:rsid w:val="00CD3738"/>
    <w:rsid w:val="00CD5047"/>
    <w:rsid w:val="00CD6893"/>
    <w:rsid w:val="00CE040E"/>
    <w:rsid w:val="00CE0BFD"/>
    <w:rsid w:val="00CE0DA0"/>
    <w:rsid w:val="00CE0E74"/>
    <w:rsid w:val="00CE1252"/>
    <w:rsid w:val="00CE1547"/>
    <w:rsid w:val="00CE1FA9"/>
    <w:rsid w:val="00CE261D"/>
    <w:rsid w:val="00CE4235"/>
    <w:rsid w:val="00CE468D"/>
    <w:rsid w:val="00CE4D11"/>
    <w:rsid w:val="00CE4DE3"/>
    <w:rsid w:val="00CE5A75"/>
    <w:rsid w:val="00CE7DE7"/>
    <w:rsid w:val="00CE7E0C"/>
    <w:rsid w:val="00CF01B4"/>
    <w:rsid w:val="00CF0886"/>
    <w:rsid w:val="00CF13E1"/>
    <w:rsid w:val="00CF15D4"/>
    <w:rsid w:val="00CF1759"/>
    <w:rsid w:val="00CF393D"/>
    <w:rsid w:val="00CF39A3"/>
    <w:rsid w:val="00CF3BF9"/>
    <w:rsid w:val="00CF571E"/>
    <w:rsid w:val="00CF59F1"/>
    <w:rsid w:val="00CF62B0"/>
    <w:rsid w:val="00CF721F"/>
    <w:rsid w:val="00CF7223"/>
    <w:rsid w:val="00CF7F61"/>
    <w:rsid w:val="00D00A95"/>
    <w:rsid w:val="00D00F19"/>
    <w:rsid w:val="00D00F99"/>
    <w:rsid w:val="00D01359"/>
    <w:rsid w:val="00D0237A"/>
    <w:rsid w:val="00D0243B"/>
    <w:rsid w:val="00D026CF"/>
    <w:rsid w:val="00D030A0"/>
    <w:rsid w:val="00D03772"/>
    <w:rsid w:val="00D052C6"/>
    <w:rsid w:val="00D05FAA"/>
    <w:rsid w:val="00D07AF5"/>
    <w:rsid w:val="00D1062D"/>
    <w:rsid w:val="00D10F21"/>
    <w:rsid w:val="00D117B7"/>
    <w:rsid w:val="00D12EFE"/>
    <w:rsid w:val="00D1322E"/>
    <w:rsid w:val="00D1365D"/>
    <w:rsid w:val="00D13958"/>
    <w:rsid w:val="00D157A3"/>
    <w:rsid w:val="00D15898"/>
    <w:rsid w:val="00D169AE"/>
    <w:rsid w:val="00D179C3"/>
    <w:rsid w:val="00D17C3F"/>
    <w:rsid w:val="00D204F2"/>
    <w:rsid w:val="00D204F5"/>
    <w:rsid w:val="00D206F5"/>
    <w:rsid w:val="00D20BE0"/>
    <w:rsid w:val="00D2376A"/>
    <w:rsid w:val="00D23C8D"/>
    <w:rsid w:val="00D23FF7"/>
    <w:rsid w:val="00D24990"/>
    <w:rsid w:val="00D258EC"/>
    <w:rsid w:val="00D25BB2"/>
    <w:rsid w:val="00D25FF9"/>
    <w:rsid w:val="00D2640E"/>
    <w:rsid w:val="00D2641A"/>
    <w:rsid w:val="00D264E3"/>
    <w:rsid w:val="00D27403"/>
    <w:rsid w:val="00D2774A"/>
    <w:rsid w:val="00D277F9"/>
    <w:rsid w:val="00D300D3"/>
    <w:rsid w:val="00D30230"/>
    <w:rsid w:val="00D303E7"/>
    <w:rsid w:val="00D305C0"/>
    <w:rsid w:val="00D31228"/>
    <w:rsid w:val="00D3301D"/>
    <w:rsid w:val="00D3402D"/>
    <w:rsid w:val="00D35084"/>
    <w:rsid w:val="00D35695"/>
    <w:rsid w:val="00D35EEF"/>
    <w:rsid w:val="00D36F44"/>
    <w:rsid w:val="00D37611"/>
    <w:rsid w:val="00D405E9"/>
    <w:rsid w:val="00D4088F"/>
    <w:rsid w:val="00D40C0E"/>
    <w:rsid w:val="00D4363F"/>
    <w:rsid w:val="00D43BC8"/>
    <w:rsid w:val="00D43D7B"/>
    <w:rsid w:val="00D45D6E"/>
    <w:rsid w:val="00D463C2"/>
    <w:rsid w:val="00D469DC"/>
    <w:rsid w:val="00D46A71"/>
    <w:rsid w:val="00D471EA"/>
    <w:rsid w:val="00D47843"/>
    <w:rsid w:val="00D47AC8"/>
    <w:rsid w:val="00D5068C"/>
    <w:rsid w:val="00D5082E"/>
    <w:rsid w:val="00D5255A"/>
    <w:rsid w:val="00D52A8B"/>
    <w:rsid w:val="00D54904"/>
    <w:rsid w:val="00D54BF9"/>
    <w:rsid w:val="00D54D89"/>
    <w:rsid w:val="00D54FA2"/>
    <w:rsid w:val="00D55555"/>
    <w:rsid w:val="00D55B21"/>
    <w:rsid w:val="00D564FF"/>
    <w:rsid w:val="00D565D4"/>
    <w:rsid w:val="00D566A9"/>
    <w:rsid w:val="00D5731C"/>
    <w:rsid w:val="00D60238"/>
    <w:rsid w:val="00D60633"/>
    <w:rsid w:val="00D615FF"/>
    <w:rsid w:val="00D6233F"/>
    <w:rsid w:val="00D63205"/>
    <w:rsid w:val="00D64560"/>
    <w:rsid w:val="00D64CBA"/>
    <w:rsid w:val="00D66C52"/>
    <w:rsid w:val="00D674C2"/>
    <w:rsid w:val="00D67F2F"/>
    <w:rsid w:val="00D701BE"/>
    <w:rsid w:val="00D71C0F"/>
    <w:rsid w:val="00D729D5"/>
    <w:rsid w:val="00D72C7B"/>
    <w:rsid w:val="00D738C2"/>
    <w:rsid w:val="00D73C44"/>
    <w:rsid w:val="00D765DF"/>
    <w:rsid w:val="00D76BA0"/>
    <w:rsid w:val="00D76C24"/>
    <w:rsid w:val="00D76F43"/>
    <w:rsid w:val="00D772C6"/>
    <w:rsid w:val="00D77722"/>
    <w:rsid w:val="00D8037F"/>
    <w:rsid w:val="00D80393"/>
    <w:rsid w:val="00D803C3"/>
    <w:rsid w:val="00D811FB"/>
    <w:rsid w:val="00D8140E"/>
    <w:rsid w:val="00D81869"/>
    <w:rsid w:val="00D819C7"/>
    <w:rsid w:val="00D81BFF"/>
    <w:rsid w:val="00D82A40"/>
    <w:rsid w:val="00D83AF9"/>
    <w:rsid w:val="00D8410D"/>
    <w:rsid w:val="00D8478D"/>
    <w:rsid w:val="00D853F7"/>
    <w:rsid w:val="00D85C63"/>
    <w:rsid w:val="00D8790A"/>
    <w:rsid w:val="00D90A02"/>
    <w:rsid w:val="00D91634"/>
    <w:rsid w:val="00D91B9F"/>
    <w:rsid w:val="00D92085"/>
    <w:rsid w:val="00D92644"/>
    <w:rsid w:val="00D93E04"/>
    <w:rsid w:val="00D93F2A"/>
    <w:rsid w:val="00D94A41"/>
    <w:rsid w:val="00D95461"/>
    <w:rsid w:val="00D975A6"/>
    <w:rsid w:val="00D97F9C"/>
    <w:rsid w:val="00DA04DB"/>
    <w:rsid w:val="00DA0B6B"/>
    <w:rsid w:val="00DA0D86"/>
    <w:rsid w:val="00DA12E3"/>
    <w:rsid w:val="00DA158D"/>
    <w:rsid w:val="00DA1A4D"/>
    <w:rsid w:val="00DA1A71"/>
    <w:rsid w:val="00DA2267"/>
    <w:rsid w:val="00DA2B69"/>
    <w:rsid w:val="00DA455A"/>
    <w:rsid w:val="00DA4616"/>
    <w:rsid w:val="00DA4F6D"/>
    <w:rsid w:val="00DA5A7B"/>
    <w:rsid w:val="00DA65F5"/>
    <w:rsid w:val="00DA78F3"/>
    <w:rsid w:val="00DA7990"/>
    <w:rsid w:val="00DB05D2"/>
    <w:rsid w:val="00DB0626"/>
    <w:rsid w:val="00DB144E"/>
    <w:rsid w:val="00DB14C8"/>
    <w:rsid w:val="00DB292C"/>
    <w:rsid w:val="00DB2B1E"/>
    <w:rsid w:val="00DB2CA6"/>
    <w:rsid w:val="00DB3102"/>
    <w:rsid w:val="00DB3338"/>
    <w:rsid w:val="00DB58F7"/>
    <w:rsid w:val="00DB6156"/>
    <w:rsid w:val="00DB65F1"/>
    <w:rsid w:val="00DB674A"/>
    <w:rsid w:val="00DB6EEF"/>
    <w:rsid w:val="00DB6FAA"/>
    <w:rsid w:val="00DB7789"/>
    <w:rsid w:val="00DC0018"/>
    <w:rsid w:val="00DC034C"/>
    <w:rsid w:val="00DC0359"/>
    <w:rsid w:val="00DC09AA"/>
    <w:rsid w:val="00DC0A85"/>
    <w:rsid w:val="00DC0DED"/>
    <w:rsid w:val="00DC0DFC"/>
    <w:rsid w:val="00DC1133"/>
    <w:rsid w:val="00DC1EE7"/>
    <w:rsid w:val="00DC1F00"/>
    <w:rsid w:val="00DC1F67"/>
    <w:rsid w:val="00DC2237"/>
    <w:rsid w:val="00DC2482"/>
    <w:rsid w:val="00DC2CE0"/>
    <w:rsid w:val="00DC2ED9"/>
    <w:rsid w:val="00DC30CC"/>
    <w:rsid w:val="00DC3F09"/>
    <w:rsid w:val="00DC454F"/>
    <w:rsid w:val="00DC49B5"/>
    <w:rsid w:val="00DC5974"/>
    <w:rsid w:val="00DC5CAB"/>
    <w:rsid w:val="00DC6E57"/>
    <w:rsid w:val="00DC70A6"/>
    <w:rsid w:val="00DD11B3"/>
    <w:rsid w:val="00DD1977"/>
    <w:rsid w:val="00DD1C67"/>
    <w:rsid w:val="00DD2298"/>
    <w:rsid w:val="00DD270A"/>
    <w:rsid w:val="00DD2C64"/>
    <w:rsid w:val="00DD3C65"/>
    <w:rsid w:val="00DD4757"/>
    <w:rsid w:val="00DD56E0"/>
    <w:rsid w:val="00DD5B6C"/>
    <w:rsid w:val="00DD6365"/>
    <w:rsid w:val="00DD6F64"/>
    <w:rsid w:val="00DD72E4"/>
    <w:rsid w:val="00DD7707"/>
    <w:rsid w:val="00DD77CD"/>
    <w:rsid w:val="00DD7EDB"/>
    <w:rsid w:val="00DE0986"/>
    <w:rsid w:val="00DE2503"/>
    <w:rsid w:val="00DE2D2F"/>
    <w:rsid w:val="00DE30EA"/>
    <w:rsid w:val="00DE343C"/>
    <w:rsid w:val="00DE3E2B"/>
    <w:rsid w:val="00DE4158"/>
    <w:rsid w:val="00DE4B34"/>
    <w:rsid w:val="00DE50B4"/>
    <w:rsid w:val="00DE5DEE"/>
    <w:rsid w:val="00DE635F"/>
    <w:rsid w:val="00DF0B39"/>
    <w:rsid w:val="00DF0CB9"/>
    <w:rsid w:val="00DF27A5"/>
    <w:rsid w:val="00DF29AF"/>
    <w:rsid w:val="00DF34C7"/>
    <w:rsid w:val="00DF3CC7"/>
    <w:rsid w:val="00DF3DFB"/>
    <w:rsid w:val="00DF4935"/>
    <w:rsid w:val="00DF5DDB"/>
    <w:rsid w:val="00DF5F91"/>
    <w:rsid w:val="00DF63B3"/>
    <w:rsid w:val="00DF7752"/>
    <w:rsid w:val="00DF7F53"/>
    <w:rsid w:val="00E00111"/>
    <w:rsid w:val="00E03436"/>
    <w:rsid w:val="00E036D6"/>
    <w:rsid w:val="00E03BD5"/>
    <w:rsid w:val="00E044E9"/>
    <w:rsid w:val="00E04992"/>
    <w:rsid w:val="00E04CFE"/>
    <w:rsid w:val="00E05618"/>
    <w:rsid w:val="00E0566E"/>
    <w:rsid w:val="00E06124"/>
    <w:rsid w:val="00E0768D"/>
    <w:rsid w:val="00E105BA"/>
    <w:rsid w:val="00E111F6"/>
    <w:rsid w:val="00E1159E"/>
    <w:rsid w:val="00E11767"/>
    <w:rsid w:val="00E11BD0"/>
    <w:rsid w:val="00E1319D"/>
    <w:rsid w:val="00E13229"/>
    <w:rsid w:val="00E1347D"/>
    <w:rsid w:val="00E1372E"/>
    <w:rsid w:val="00E13D1D"/>
    <w:rsid w:val="00E14900"/>
    <w:rsid w:val="00E14A60"/>
    <w:rsid w:val="00E14F22"/>
    <w:rsid w:val="00E15580"/>
    <w:rsid w:val="00E156FA"/>
    <w:rsid w:val="00E16A64"/>
    <w:rsid w:val="00E16D6F"/>
    <w:rsid w:val="00E16EC5"/>
    <w:rsid w:val="00E179E0"/>
    <w:rsid w:val="00E2046E"/>
    <w:rsid w:val="00E20766"/>
    <w:rsid w:val="00E20929"/>
    <w:rsid w:val="00E209FA"/>
    <w:rsid w:val="00E20B75"/>
    <w:rsid w:val="00E20E06"/>
    <w:rsid w:val="00E20F78"/>
    <w:rsid w:val="00E21D9C"/>
    <w:rsid w:val="00E2244D"/>
    <w:rsid w:val="00E23609"/>
    <w:rsid w:val="00E24691"/>
    <w:rsid w:val="00E25692"/>
    <w:rsid w:val="00E25B2A"/>
    <w:rsid w:val="00E277A6"/>
    <w:rsid w:val="00E27D6F"/>
    <w:rsid w:val="00E31B80"/>
    <w:rsid w:val="00E31E33"/>
    <w:rsid w:val="00E327CA"/>
    <w:rsid w:val="00E32B56"/>
    <w:rsid w:val="00E358A2"/>
    <w:rsid w:val="00E36052"/>
    <w:rsid w:val="00E36421"/>
    <w:rsid w:val="00E3674B"/>
    <w:rsid w:val="00E36958"/>
    <w:rsid w:val="00E36BCA"/>
    <w:rsid w:val="00E378AD"/>
    <w:rsid w:val="00E408C4"/>
    <w:rsid w:val="00E41D4D"/>
    <w:rsid w:val="00E42345"/>
    <w:rsid w:val="00E43444"/>
    <w:rsid w:val="00E43867"/>
    <w:rsid w:val="00E43A3B"/>
    <w:rsid w:val="00E44066"/>
    <w:rsid w:val="00E444E6"/>
    <w:rsid w:val="00E44655"/>
    <w:rsid w:val="00E457A7"/>
    <w:rsid w:val="00E4656A"/>
    <w:rsid w:val="00E46AEA"/>
    <w:rsid w:val="00E500A7"/>
    <w:rsid w:val="00E506E6"/>
    <w:rsid w:val="00E51F56"/>
    <w:rsid w:val="00E52096"/>
    <w:rsid w:val="00E524CF"/>
    <w:rsid w:val="00E524EF"/>
    <w:rsid w:val="00E52B49"/>
    <w:rsid w:val="00E52B65"/>
    <w:rsid w:val="00E53BE9"/>
    <w:rsid w:val="00E54328"/>
    <w:rsid w:val="00E54A4F"/>
    <w:rsid w:val="00E552B8"/>
    <w:rsid w:val="00E5591E"/>
    <w:rsid w:val="00E566B1"/>
    <w:rsid w:val="00E56704"/>
    <w:rsid w:val="00E56E32"/>
    <w:rsid w:val="00E6027D"/>
    <w:rsid w:val="00E60B3E"/>
    <w:rsid w:val="00E60B7C"/>
    <w:rsid w:val="00E62BE3"/>
    <w:rsid w:val="00E6355F"/>
    <w:rsid w:val="00E6359B"/>
    <w:rsid w:val="00E63C15"/>
    <w:rsid w:val="00E64826"/>
    <w:rsid w:val="00E65186"/>
    <w:rsid w:val="00E651AF"/>
    <w:rsid w:val="00E66099"/>
    <w:rsid w:val="00E66623"/>
    <w:rsid w:val="00E67323"/>
    <w:rsid w:val="00E677C4"/>
    <w:rsid w:val="00E67851"/>
    <w:rsid w:val="00E67B64"/>
    <w:rsid w:val="00E67B8E"/>
    <w:rsid w:val="00E70F43"/>
    <w:rsid w:val="00E7256D"/>
    <w:rsid w:val="00E72873"/>
    <w:rsid w:val="00E72FDE"/>
    <w:rsid w:val="00E7315A"/>
    <w:rsid w:val="00E73B75"/>
    <w:rsid w:val="00E74C79"/>
    <w:rsid w:val="00E75A6B"/>
    <w:rsid w:val="00E75CEC"/>
    <w:rsid w:val="00E75CED"/>
    <w:rsid w:val="00E75DC7"/>
    <w:rsid w:val="00E7774A"/>
    <w:rsid w:val="00E77D8A"/>
    <w:rsid w:val="00E80D57"/>
    <w:rsid w:val="00E8172D"/>
    <w:rsid w:val="00E83E2E"/>
    <w:rsid w:val="00E843A9"/>
    <w:rsid w:val="00E843CE"/>
    <w:rsid w:val="00E84C3D"/>
    <w:rsid w:val="00E85C2C"/>
    <w:rsid w:val="00E8611A"/>
    <w:rsid w:val="00E86870"/>
    <w:rsid w:val="00E87CDF"/>
    <w:rsid w:val="00E87DB3"/>
    <w:rsid w:val="00E87DDA"/>
    <w:rsid w:val="00E9063A"/>
    <w:rsid w:val="00E908DD"/>
    <w:rsid w:val="00E9151D"/>
    <w:rsid w:val="00E91547"/>
    <w:rsid w:val="00E9182F"/>
    <w:rsid w:val="00E92139"/>
    <w:rsid w:val="00E9249F"/>
    <w:rsid w:val="00E92EBF"/>
    <w:rsid w:val="00E93235"/>
    <w:rsid w:val="00E9362D"/>
    <w:rsid w:val="00E936A4"/>
    <w:rsid w:val="00E938C3"/>
    <w:rsid w:val="00E93B37"/>
    <w:rsid w:val="00E9408A"/>
    <w:rsid w:val="00E960FD"/>
    <w:rsid w:val="00E97212"/>
    <w:rsid w:val="00E972A9"/>
    <w:rsid w:val="00E976C5"/>
    <w:rsid w:val="00E9773F"/>
    <w:rsid w:val="00E97F78"/>
    <w:rsid w:val="00EA00A6"/>
    <w:rsid w:val="00EA08CA"/>
    <w:rsid w:val="00EA199F"/>
    <w:rsid w:val="00EA20AC"/>
    <w:rsid w:val="00EA31C6"/>
    <w:rsid w:val="00EA36FD"/>
    <w:rsid w:val="00EA387B"/>
    <w:rsid w:val="00EA3B0E"/>
    <w:rsid w:val="00EA3D3C"/>
    <w:rsid w:val="00EA3F21"/>
    <w:rsid w:val="00EA448D"/>
    <w:rsid w:val="00EA46C3"/>
    <w:rsid w:val="00EA484B"/>
    <w:rsid w:val="00EA6359"/>
    <w:rsid w:val="00EA6575"/>
    <w:rsid w:val="00EA6B33"/>
    <w:rsid w:val="00EB0255"/>
    <w:rsid w:val="00EB0CB9"/>
    <w:rsid w:val="00EB1B62"/>
    <w:rsid w:val="00EB1BD3"/>
    <w:rsid w:val="00EB1D5E"/>
    <w:rsid w:val="00EB1D78"/>
    <w:rsid w:val="00EB1DD9"/>
    <w:rsid w:val="00EB244D"/>
    <w:rsid w:val="00EB25AB"/>
    <w:rsid w:val="00EB26F0"/>
    <w:rsid w:val="00EB2E2E"/>
    <w:rsid w:val="00EB4FB3"/>
    <w:rsid w:val="00EB5428"/>
    <w:rsid w:val="00EB55B9"/>
    <w:rsid w:val="00EB5912"/>
    <w:rsid w:val="00EB5961"/>
    <w:rsid w:val="00EB59E2"/>
    <w:rsid w:val="00EB6D73"/>
    <w:rsid w:val="00EB737C"/>
    <w:rsid w:val="00EB78C6"/>
    <w:rsid w:val="00EB7EC8"/>
    <w:rsid w:val="00EC0650"/>
    <w:rsid w:val="00EC23EA"/>
    <w:rsid w:val="00EC25B8"/>
    <w:rsid w:val="00EC27D4"/>
    <w:rsid w:val="00EC31E3"/>
    <w:rsid w:val="00EC367A"/>
    <w:rsid w:val="00EC39CD"/>
    <w:rsid w:val="00EC433C"/>
    <w:rsid w:val="00EC4A8C"/>
    <w:rsid w:val="00EC4B4B"/>
    <w:rsid w:val="00EC52B1"/>
    <w:rsid w:val="00EC5610"/>
    <w:rsid w:val="00EC6926"/>
    <w:rsid w:val="00EC6E3A"/>
    <w:rsid w:val="00ED0CBC"/>
    <w:rsid w:val="00ED12A3"/>
    <w:rsid w:val="00ED1321"/>
    <w:rsid w:val="00ED191A"/>
    <w:rsid w:val="00ED327D"/>
    <w:rsid w:val="00ED3E07"/>
    <w:rsid w:val="00ED427E"/>
    <w:rsid w:val="00ED4549"/>
    <w:rsid w:val="00ED469D"/>
    <w:rsid w:val="00ED5A73"/>
    <w:rsid w:val="00ED5C4B"/>
    <w:rsid w:val="00ED5EE8"/>
    <w:rsid w:val="00ED6904"/>
    <w:rsid w:val="00ED7C7F"/>
    <w:rsid w:val="00ED7FDE"/>
    <w:rsid w:val="00EE01CF"/>
    <w:rsid w:val="00EE1A9E"/>
    <w:rsid w:val="00EE37A4"/>
    <w:rsid w:val="00EE416E"/>
    <w:rsid w:val="00EE4898"/>
    <w:rsid w:val="00EE5D4A"/>
    <w:rsid w:val="00EE6251"/>
    <w:rsid w:val="00EE6D7D"/>
    <w:rsid w:val="00EE7DC5"/>
    <w:rsid w:val="00EF0089"/>
    <w:rsid w:val="00EF0333"/>
    <w:rsid w:val="00EF07EC"/>
    <w:rsid w:val="00EF0C46"/>
    <w:rsid w:val="00EF19D4"/>
    <w:rsid w:val="00EF1E71"/>
    <w:rsid w:val="00EF20AC"/>
    <w:rsid w:val="00EF32FA"/>
    <w:rsid w:val="00EF37A8"/>
    <w:rsid w:val="00EF38D3"/>
    <w:rsid w:val="00EF3A95"/>
    <w:rsid w:val="00EF3C60"/>
    <w:rsid w:val="00EF3D8F"/>
    <w:rsid w:val="00EF3DA6"/>
    <w:rsid w:val="00EF40ED"/>
    <w:rsid w:val="00EF545B"/>
    <w:rsid w:val="00EF5CA1"/>
    <w:rsid w:val="00EF5CFE"/>
    <w:rsid w:val="00EF682A"/>
    <w:rsid w:val="00EF6C65"/>
    <w:rsid w:val="00EF6E72"/>
    <w:rsid w:val="00EF740C"/>
    <w:rsid w:val="00EF79E4"/>
    <w:rsid w:val="00F00298"/>
    <w:rsid w:val="00F003F7"/>
    <w:rsid w:val="00F00411"/>
    <w:rsid w:val="00F00DB8"/>
    <w:rsid w:val="00F01B05"/>
    <w:rsid w:val="00F01EC6"/>
    <w:rsid w:val="00F0520F"/>
    <w:rsid w:val="00F05896"/>
    <w:rsid w:val="00F05AED"/>
    <w:rsid w:val="00F06E72"/>
    <w:rsid w:val="00F07C57"/>
    <w:rsid w:val="00F10084"/>
    <w:rsid w:val="00F117A6"/>
    <w:rsid w:val="00F11FC1"/>
    <w:rsid w:val="00F120CB"/>
    <w:rsid w:val="00F12842"/>
    <w:rsid w:val="00F12BAD"/>
    <w:rsid w:val="00F12F8F"/>
    <w:rsid w:val="00F133DB"/>
    <w:rsid w:val="00F13C63"/>
    <w:rsid w:val="00F14374"/>
    <w:rsid w:val="00F14470"/>
    <w:rsid w:val="00F158AD"/>
    <w:rsid w:val="00F16154"/>
    <w:rsid w:val="00F174EF"/>
    <w:rsid w:val="00F17C65"/>
    <w:rsid w:val="00F2015C"/>
    <w:rsid w:val="00F20575"/>
    <w:rsid w:val="00F20C03"/>
    <w:rsid w:val="00F21C13"/>
    <w:rsid w:val="00F21FFF"/>
    <w:rsid w:val="00F23A30"/>
    <w:rsid w:val="00F23BB5"/>
    <w:rsid w:val="00F246F4"/>
    <w:rsid w:val="00F24DA4"/>
    <w:rsid w:val="00F25F92"/>
    <w:rsid w:val="00F2768A"/>
    <w:rsid w:val="00F2787D"/>
    <w:rsid w:val="00F307A1"/>
    <w:rsid w:val="00F30B10"/>
    <w:rsid w:val="00F30BE7"/>
    <w:rsid w:val="00F31058"/>
    <w:rsid w:val="00F312EE"/>
    <w:rsid w:val="00F32664"/>
    <w:rsid w:val="00F32AED"/>
    <w:rsid w:val="00F331BD"/>
    <w:rsid w:val="00F33561"/>
    <w:rsid w:val="00F346F0"/>
    <w:rsid w:val="00F35709"/>
    <w:rsid w:val="00F3701F"/>
    <w:rsid w:val="00F37057"/>
    <w:rsid w:val="00F37380"/>
    <w:rsid w:val="00F37D5B"/>
    <w:rsid w:val="00F37ED4"/>
    <w:rsid w:val="00F37FCB"/>
    <w:rsid w:val="00F411E6"/>
    <w:rsid w:val="00F41220"/>
    <w:rsid w:val="00F41D1B"/>
    <w:rsid w:val="00F42A56"/>
    <w:rsid w:val="00F42F41"/>
    <w:rsid w:val="00F43A74"/>
    <w:rsid w:val="00F46B5A"/>
    <w:rsid w:val="00F4717A"/>
    <w:rsid w:val="00F476DC"/>
    <w:rsid w:val="00F50502"/>
    <w:rsid w:val="00F50538"/>
    <w:rsid w:val="00F5068F"/>
    <w:rsid w:val="00F50B9A"/>
    <w:rsid w:val="00F512B1"/>
    <w:rsid w:val="00F517AC"/>
    <w:rsid w:val="00F51868"/>
    <w:rsid w:val="00F51F28"/>
    <w:rsid w:val="00F531A0"/>
    <w:rsid w:val="00F53281"/>
    <w:rsid w:val="00F533CB"/>
    <w:rsid w:val="00F54BF3"/>
    <w:rsid w:val="00F54EC5"/>
    <w:rsid w:val="00F554F8"/>
    <w:rsid w:val="00F5585D"/>
    <w:rsid w:val="00F5590D"/>
    <w:rsid w:val="00F55D0C"/>
    <w:rsid w:val="00F56C9F"/>
    <w:rsid w:val="00F570E6"/>
    <w:rsid w:val="00F5769D"/>
    <w:rsid w:val="00F577F0"/>
    <w:rsid w:val="00F57DE2"/>
    <w:rsid w:val="00F60035"/>
    <w:rsid w:val="00F608C8"/>
    <w:rsid w:val="00F60996"/>
    <w:rsid w:val="00F60AAC"/>
    <w:rsid w:val="00F60EBC"/>
    <w:rsid w:val="00F61026"/>
    <w:rsid w:val="00F610F0"/>
    <w:rsid w:val="00F612D6"/>
    <w:rsid w:val="00F6201D"/>
    <w:rsid w:val="00F62208"/>
    <w:rsid w:val="00F6290F"/>
    <w:rsid w:val="00F62AC8"/>
    <w:rsid w:val="00F62DBD"/>
    <w:rsid w:val="00F63C31"/>
    <w:rsid w:val="00F648E3"/>
    <w:rsid w:val="00F64E55"/>
    <w:rsid w:val="00F65884"/>
    <w:rsid w:val="00F65D0F"/>
    <w:rsid w:val="00F65F09"/>
    <w:rsid w:val="00F6761B"/>
    <w:rsid w:val="00F67F8E"/>
    <w:rsid w:val="00F702D6"/>
    <w:rsid w:val="00F70607"/>
    <w:rsid w:val="00F71143"/>
    <w:rsid w:val="00F725D4"/>
    <w:rsid w:val="00F727D0"/>
    <w:rsid w:val="00F72B34"/>
    <w:rsid w:val="00F730B3"/>
    <w:rsid w:val="00F73535"/>
    <w:rsid w:val="00F73B00"/>
    <w:rsid w:val="00F74662"/>
    <w:rsid w:val="00F74F3B"/>
    <w:rsid w:val="00F755CE"/>
    <w:rsid w:val="00F76184"/>
    <w:rsid w:val="00F77089"/>
    <w:rsid w:val="00F77C18"/>
    <w:rsid w:val="00F8077D"/>
    <w:rsid w:val="00F80C43"/>
    <w:rsid w:val="00F816D2"/>
    <w:rsid w:val="00F81A35"/>
    <w:rsid w:val="00F81CC1"/>
    <w:rsid w:val="00F828FB"/>
    <w:rsid w:val="00F82BDC"/>
    <w:rsid w:val="00F82C2A"/>
    <w:rsid w:val="00F840E4"/>
    <w:rsid w:val="00F85253"/>
    <w:rsid w:val="00F854B1"/>
    <w:rsid w:val="00F8682C"/>
    <w:rsid w:val="00F86F58"/>
    <w:rsid w:val="00F8784F"/>
    <w:rsid w:val="00F87F8E"/>
    <w:rsid w:val="00F90686"/>
    <w:rsid w:val="00F9073F"/>
    <w:rsid w:val="00F9087D"/>
    <w:rsid w:val="00F910F7"/>
    <w:rsid w:val="00F922D6"/>
    <w:rsid w:val="00F92415"/>
    <w:rsid w:val="00F929B7"/>
    <w:rsid w:val="00F929FA"/>
    <w:rsid w:val="00F93681"/>
    <w:rsid w:val="00F94388"/>
    <w:rsid w:val="00F94BE2"/>
    <w:rsid w:val="00F9543E"/>
    <w:rsid w:val="00F95625"/>
    <w:rsid w:val="00F95771"/>
    <w:rsid w:val="00F96041"/>
    <w:rsid w:val="00F9624D"/>
    <w:rsid w:val="00F9643C"/>
    <w:rsid w:val="00F97367"/>
    <w:rsid w:val="00F977E9"/>
    <w:rsid w:val="00F9793D"/>
    <w:rsid w:val="00F97FF4"/>
    <w:rsid w:val="00FA0BC7"/>
    <w:rsid w:val="00FA1F51"/>
    <w:rsid w:val="00FA21D3"/>
    <w:rsid w:val="00FA225D"/>
    <w:rsid w:val="00FA2296"/>
    <w:rsid w:val="00FA2942"/>
    <w:rsid w:val="00FA3139"/>
    <w:rsid w:val="00FA3749"/>
    <w:rsid w:val="00FA4412"/>
    <w:rsid w:val="00FA4AAD"/>
    <w:rsid w:val="00FA4BF1"/>
    <w:rsid w:val="00FA590E"/>
    <w:rsid w:val="00FA59B4"/>
    <w:rsid w:val="00FA69A4"/>
    <w:rsid w:val="00FA69AE"/>
    <w:rsid w:val="00FA72BE"/>
    <w:rsid w:val="00FA7419"/>
    <w:rsid w:val="00FA7818"/>
    <w:rsid w:val="00FB008F"/>
    <w:rsid w:val="00FB0E70"/>
    <w:rsid w:val="00FB1AA7"/>
    <w:rsid w:val="00FB1EFE"/>
    <w:rsid w:val="00FB21E1"/>
    <w:rsid w:val="00FB3618"/>
    <w:rsid w:val="00FB40FF"/>
    <w:rsid w:val="00FB47F9"/>
    <w:rsid w:val="00FB491C"/>
    <w:rsid w:val="00FB4CB0"/>
    <w:rsid w:val="00FB50AA"/>
    <w:rsid w:val="00FB561E"/>
    <w:rsid w:val="00FB5BBB"/>
    <w:rsid w:val="00FB5F2F"/>
    <w:rsid w:val="00FB69E4"/>
    <w:rsid w:val="00FB781F"/>
    <w:rsid w:val="00FB7CBD"/>
    <w:rsid w:val="00FC20FD"/>
    <w:rsid w:val="00FC3B9B"/>
    <w:rsid w:val="00FC40C6"/>
    <w:rsid w:val="00FC591D"/>
    <w:rsid w:val="00FC5A69"/>
    <w:rsid w:val="00FD01D8"/>
    <w:rsid w:val="00FD169E"/>
    <w:rsid w:val="00FD1B85"/>
    <w:rsid w:val="00FD2585"/>
    <w:rsid w:val="00FD2D63"/>
    <w:rsid w:val="00FD369C"/>
    <w:rsid w:val="00FD6DC4"/>
    <w:rsid w:val="00FE17C0"/>
    <w:rsid w:val="00FE2412"/>
    <w:rsid w:val="00FE28A7"/>
    <w:rsid w:val="00FE2EBA"/>
    <w:rsid w:val="00FE2F29"/>
    <w:rsid w:val="00FE3122"/>
    <w:rsid w:val="00FE4C34"/>
    <w:rsid w:val="00FE53E8"/>
    <w:rsid w:val="00FE6765"/>
    <w:rsid w:val="00FE6AD3"/>
    <w:rsid w:val="00FE6E2A"/>
    <w:rsid w:val="00FE6E9B"/>
    <w:rsid w:val="00FE7698"/>
    <w:rsid w:val="00FF071B"/>
    <w:rsid w:val="00FF0C1D"/>
    <w:rsid w:val="00FF17C3"/>
    <w:rsid w:val="00FF251F"/>
    <w:rsid w:val="00FF290A"/>
    <w:rsid w:val="00FF294E"/>
    <w:rsid w:val="00FF2C3E"/>
    <w:rsid w:val="00FF3034"/>
    <w:rsid w:val="00FF325F"/>
    <w:rsid w:val="00FF3E30"/>
    <w:rsid w:val="00FF447F"/>
    <w:rsid w:val="00FF4C81"/>
    <w:rsid w:val="00FF4EDD"/>
    <w:rsid w:val="00FF569F"/>
    <w:rsid w:val="00FF5F86"/>
    <w:rsid w:val="00FF6817"/>
    <w:rsid w:val="00FF6CD1"/>
    <w:rsid w:val="00FF6E7E"/>
    <w:rsid w:val="00FF74D5"/>
    <w:rsid w:val="00FF79C2"/>
    <w:rsid w:val="00FF7E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9A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BodyText"/>
    <w:link w:val="Heading1Char"/>
    <w:qFormat/>
    <w:rsid w:val="00FA69AE"/>
    <w:pPr>
      <w:keepNext/>
      <w:keepLines/>
      <w:widowControl/>
      <w:tabs>
        <w:tab w:val="num" w:pos="720"/>
      </w:tabs>
      <w:spacing w:after="260"/>
      <w:ind w:left="720" w:hanging="720"/>
      <w:outlineLvl w:val="0"/>
    </w:pPr>
    <w:rPr>
      <w:b/>
      <w:bCs/>
      <w:kern w:val="32"/>
      <w:szCs w:val="32"/>
      <w:u w:val="single"/>
    </w:rPr>
  </w:style>
  <w:style w:type="paragraph" w:styleId="Heading2">
    <w:name w:val="heading 2"/>
    <w:basedOn w:val="Normal"/>
    <w:next w:val="BodyText"/>
    <w:link w:val="Heading2Char"/>
    <w:qFormat/>
    <w:rsid w:val="00FA69AE"/>
    <w:pPr>
      <w:keepNext/>
      <w:keepLines/>
      <w:widowControl/>
      <w:numPr>
        <w:numId w:val="50"/>
      </w:numPr>
      <w:tabs>
        <w:tab w:val="num" w:pos="1440"/>
      </w:tabs>
      <w:spacing w:after="260"/>
      <w:outlineLvl w:val="1"/>
    </w:pPr>
    <w:rPr>
      <w:b/>
      <w:bCs/>
      <w:iCs/>
      <w:kern w:val="32"/>
      <w:szCs w:val="28"/>
      <w:u w:val="single"/>
    </w:rPr>
  </w:style>
  <w:style w:type="paragraph" w:styleId="Heading3">
    <w:name w:val="heading 3"/>
    <w:basedOn w:val="Normal"/>
    <w:next w:val="BodyText"/>
    <w:link w:val="Heading3Char"/>
    <w:qFormat/>
    <w:rsid w:val="00232B88"/>
    <w:pPr>
      <w:keepNext/>
      <w:keepLines/>
      <w:widowControl/>
      <w:numPr>
        <w:numId w:val="22"/>
      </w:numPr>
      <w:spacing w:after="260"/>
      <w:ind w:left="2880" w:hanging="1440"/>
      <w:outlineLvl w:val="2"/>
    </w:pPr>
    <w:rPr>
      <w:b/>
      <w:bCs/>
      <w:kern w:val="32"/>
      <w:szCs w:val="26"/>
      <w:u w:val="single"/>
    </w:rPr>
  </w:style>
  <w:style w:type="paragraph" w:styleId="Heading4">
    <w:name w:val="heading 4"/>
    <w:basedOn w:val="Normal"/>
    <w:next w:val="BodyText"/>
    <w:qFormat/>
    <w:rsid w:val="00FA69AE"/>
    <w:pPr>
      <w:keepNext/>
      <w:keepLines/>
      <w:widowControl/>
      <w:tabs>
        <w:tab w:val="num" w:pos="2880"/>
      </w:tabs>
      <w:spacing w:after="260"/>
      <w:ind w:left="2880" w:hanging="720"/>
      <w:outlineLvl w:val="3"/>
    </w:pPr>
    <w:rPr>
      <w:b/>
      <w:bCs/>
      <w:kern w:val="32"/>
      <w:szCs w:val="28"/>
      <w:u w:val="single"/>
    </w:rPr>
  </w:style>
  <w:style w:type="paragraph" w:styleId="Heading5">
    <w:name w:val="heading 5"/>
    <w:basedOn w:val="Normal"/>
    <w:next w:val="BodyText"/>
    <w:qFormat/>
    <w:rsid w:val="00FA69AE"/>
    <w:pPr>
      <w:keepNext/>
      <w:keepLines/>
      <w:widowControl/>
      <w:tabs>
        <w:tab w:val="num" w:pos="3600"/>
      </w:tabs>
      <w:spacing w:after="260"/>
      <w:ind w:left="3600" w:hanging="720"/>
      <w:outlineLvl w:val="4"/>
    </w:pPr>
    <w:rPr>
      <w:b/>
      <w:bCs/>
      <w:iCs/>
      <w:kern w:val="32"/>
      <w:szCs w:val="26"/>
      <w:u w:val="single"/>
    </w:rPr>
  </w:style>
  <w:style w:type="paragraph" w:styleId="Heading6">
    <w:name w:val="heading 6"/>
    <w:basedOn w:val="Normal"/>
    <w:next w:val="BodyText"/>
    <w:qFormat/>
    <w:rsid w:val="00FA69AE"/>
    <w:pPr>
      <w:keepNext/>
      <w:keepLines/>
      <w:widowControl/>
      <w:tabs>
        <w:tab w:val="num" w:pos="4320"/>
      </w:tabs>
      <w:spacing w:after="260"/>
      <w:ind w:left="4320" w:hanging="720"/>
      <w:outlineLvl w:val="5"/>
    </w:pPr>
    <w:rPr>
      <w:b/>
      <w:bCs/>
      <w:kern w:val="32"/>
      <w:szCs w:val="22"/>
      <w:u w:val="single"/>
    </w:rPr>
  </w:style>
  <w:style w:type="paragraph" w:styleId="Heading7">
    <w:name w:val="heading 7"/>
    <w:basedOn w:val="Normal"/>
    <w:next w:val="BodyText"/>
    <w:qFormat/>
    <w:rsid w:val="00FA69AE"/>
    <w:pPr>
      <w:keepNext/>
      <w:keepLines/>
      <w:widowControl/>
      <w:tabs>
        <w:tab w:val="num" w:pos="5040"/>
      </w:tabs>
      <w:spacing w:after="260"/>
      <w:ind w:left="5040" w:hanging="720"/>
      <w:outlineLvl w:val="6"/>
    </w:pPr>
    <w:rPr>
      <w:b/>
      <w:kern w:val="32"/>
      <w:u w:val="single"/>
    </w:rPr>
  </w:style>
  <w:style w:type="paragraph" w:styleId="Heading8">
    <w:name w:val="heading 8"/>
    <w:basedOn w:val="Normal"/>
    <w:next w:val="BlockText"/>
    <w:qFormat/>
    <w:rsid w:val="00FA69AE"/>
    <w:pPr>
      <w:keepNext/>
      <w:keepLines/>
      <w:widowControl/>
      <w:tabs>
        <w:tab w:val="num" w:pos="5760"/>
      </w:tabs>
      <w:spacing w:after="260"/>
      <w:ind w:left="5760" w:hanging="720"/>
      <w:outlineLvl w:val="7"/>
    </w:pPr>
    <w:rPr>
      <w:b/>
      <w:iCs/>
      <w:kern w:val="32"/>
      <w:u w:val="single"/>
    </w:rPr>
  </w:style>
  <w:style w:type="paragraph" w:styleId="Heading9">
    <w:name w:val="heading 9"/>
    <w:basedOn w:val="Normal"/>
    <w:next w:val="BodyText"/>
    <w:qFormat/>
    <w:rsid w:val="00FA69AE"/>
    <w:pPr>
      <w:keepNext/>
      <w:keepLines/>
      <w:widowControl/>
      <w:tabs>
        <w:tab w:val="num" w:pos="6480"/>
      </w:tabs>
      <w:spacing w:after="260"/>
      <w:ind w:left="6480" w:hanging="72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link w:val="FooterChar"/>
    <w:uiPriority w:val="99"/>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uiPriority w:val="39"/>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rsid w:val="00301152"/>
    <w:pPr>
      <w:spacing w:after="260"/>
      <w:ind w:firstLine="720"/>
    </w:pPr>
    <w:rPr>
      <w:szCs w:val="20"/>
    </w:rPr>
  </w:style>
  <w:style w:type="character" w:customStyle="1" w:styleId="12">
    <w:name w:val="12"/>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2511F"/>
    <w:pPr>
      <w:spacing w:after="240"/>
      <w:ind w:firstLine="720"/>
    </w:pPr>
  </w:style>
  <w:style w:type="character" w:customStyle="1" w:styleId="BodyTextChar">
    <w:name w:val="Body Text Char"/>
    <w:basedOn w:val="DefaultParagraphFont"/>
    <w:link w:val="BodyText"/>
    <w:rsid w:val="0032511F"/>
    <w:rPr>
      <w:sz w:val="26"/>
      <w:szCs w:val="24"/>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509E"/>
    <w:pPr>
      <w:widowControl/>
      <w:numPr>
        <w:numId w:val="1"/>
      </w:numPr>
      <w:spacing w:after="240"/>
    </w:pPr>
  </w:style>
  <w:style w:type="character" w:customStyle="1" w:styleId="11">
    <w:name w:val="11"/>
    <w:basedOn w:val="DefaultParagraphFont"/>
    <w:rsid w:val="001A509E"/>
    <w:rPr>
      <w:b/>
      <w:bCs/>
      <w:kern w:val="32"/>
      <w:sz w:val="26"/>
      <w:szCs w:val="32"/>
      <w:u w:val="single"/>
      <w:lang w:bidi="ar-SA"/>
    </w:rPr>
  </w:style>
  <w:style w:type="character" w:customStyle="1" w:styleId="10">
    <w:name w:val="10"/>
    <w:basedOn w:val="DefaultParagraphFont"/>
    <w:rsid w:val="001A509E"/>
    <w:rPr>
      <w:b/>
      <w:bCs/>
      <w:iCs/>
      <w:kern w:val="32"/>
      <w:sz w:val="26"/>
      <w:szCs w:val="28"/>
      <w:u w:val="single"/>
      <w:lang w:bidi="ar-SA"/>
    </w:rPr>
  </w:style>
  <w:style w:type="character" w:customStyle="1" w:styleId="9">
    <w:name w:val="9"/>
    <w:basedOn w:val="DefaultParagraphFont"/>
    <w:rsid w:val="001A509E"/>
    <w:rPr>
      <w:b/>
      <w:bCs/>
      <w:kern w:val="32"/>
      <w:sz w:val="26"/>
      <w:szCs w:val="26"/>
      <w:u w:val="single"/>
      <w:lang w:bidi="ar-SA"/>
    </w:rPr>
  </w:style>
  <w:style w:type="character" w:customStyle="1" w:styleId="8">
    <w:name w:val="8"/>
    <w:basedOn w:val="DefaultParagraphFont"/>
    <w:rsid w:val="001A509E"/>
    <w:rPr>
      <w:b/>
      <w:bCs/>
      <w:kern w:val="32"/>
      <w:sz w:val="26"/>
      <w:szCs w:val="28"/>
      <w:u w:val="single"/>
      <w:lang w:bidi="ar-SA"/>
    </w:rPr>
  </w:style>
  <w:style w:type="character" w:customStyle="1" w:styleId="7">
    <w:name w:val="7"/>
    <w:basedOn w:val="DefaultParagraphFont"/>
    <w:rsid w:val="001A509E"/>
    <w:rPr>
      <w:b/>
      <w:bCs/>
      <w:iCs/>
      <w:kern w:val="32"/>
      <w:sz w:val="26"/>
      <w:szCs w:val="26"/>
      <w:u w:val="single"/>
      <w:lang w:bidi="ar-SA"/>
    </w:rPr>
  </w:style>
  <w:style w:type="character" w:customStyle="1" w:styleId="6">
    <w:name w:val="6"/>
    <w:basedOn w:val="DefaultParagraphFont"/>
    <w:rsid w:val="001A509E"/>
    <w:rPr>
      <w:b/>
      <w:bCs/>
      <w:kern w:val="32"/>
      <w:sz w:val="26"/>
      <w:szCs w:val="22"/>
      <w:u w:val="single"/>
      <w:lang w:bidi="ar-SA"/>
    </w:rPr>
  </w:style>
  <w:style w:type="character" w:customStyle="1" w:styleId="5">
    <w:name w:val="5"/>
    <w:basedOn w:val="DefaultParagraphFont"/>
    <w:rsid w:val="001A509E"/>
    <w:rPr>
      <w:b/>
      <w:kern w:val="32"/>
      <w:sz w:val="26"/>
      <w:szCs w:val="24"/>
      <w:u w:val="single"/>
      <w:lang w:bidi="ar-SA"/>
    </w:rPr>
  </w:style>
  <w:style w:type="character" w:customStyle="1" w:styleId="4">
    <w:name w:val="4"/>
    <w:basedOn w:val="DefaultParagraphFont"/>
    <w:rsid w:val="001A509E"/>
    <w:rPr>
      <w:b/>
      <w:iCs/>
      <w:kern w:val="32"/>
      <w:sz w:val="26"/>
      <w:szCs w:val="24"/>
      <w:u w:val="single"/>
      <w:lang w:bidi="ar-SA"/>
    </w:rPr>
  </w:style>
  <w:style w:type="character" w:customStyle="1" w:styleId="3">
    <w:name w:val="3"/>
    <w:basedOn w:val="DefaultParagraphFont"/>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2">
    <w:name w:val="2"/>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1">
    <w:name w:val="1"/>
    <w:basedOn w:val="DefaultParagraphFont"/>
    <w:rsid w:val="0005260D"/>
    <w:rPr>
      <w:b/>
      <w:bCs/>
      <w:kern w:val="32"/>
      <w:sz w:val="26"/>
      <w:szCs w:val="32"/>
      <w:u w:val="single"/>
      <w:lang w:bidi="ar-SA"/>
    </w:rPr>
  </w:style>
  <w:style w:type="character" w:customStyle="1" w:styleId="Heading1Char">
    <w:name w:val="Heading 1 Char"/>
    <w:basedOn w:val="DefaultParagraphFont"/>
    <w:link w:val="Heading1"/>
    <w:rsid w:val="00563982"/>
    <w:rPr>
      <w:b/>
      <w:bCs/>
      <w:kern w:val="32"/>
      <w:sz w:val="26"/>
      <w:szCs w:val="32"/>
      <w:u w:val="single"/>
      <w:lang w:bidi="ar-SA"/>
    </w:rPr>
  </w:style>
  <w:style w:type="character" w:customStyle="1" w:styleId="FooterChar">
    <w:name w:val="Footer Char"/>
    <w:basedOn w:val="DefaultParagraphFont"/>
    <w:link w:val="Footer"/>
    <w:uiPriority w:val="99"/>
    <w:rsid w:val="00D55555"/>
    <w:rPr>
      <w:sz w:val="26"/>
      <w:szCs w:val="24"/>
      <w:lang w:bidi="ar-SA"/>
    </w:rPr>
  </w:style>
  <w:style w:type="paragraph" w:styleId="BodyText2">
    <w:name w:val="Body Text 2"/>
    <w:basedOn w:val="Normal"/>
    <w:link w:val="BodyText2Char"/>
    <w:semiHidden/>
    <w:unhideWhenUsed/>
    <w:rsid w:val="00BB3493"/>
    <w:pPr>
      <w:spacing w:after="120" w:line="480" w:lineRule="auto"/>
    </w:pPr>
  </w:style>
  <w:style w:type="character" w:customStyle="1" w:styleId="BodyText2Char">
    <w:name w:val="Body Text 2 Char"/>
    <w:basedOn w:val="DefaultParagraphFont"/>
    <w:link w:val="BodyText2"/>
    <w:semiHidden/>
    <w:rsid w:val="00BB3493"/>
    <w:rPr>
      <w:sz w:val="26"/>
      <w:szCs w:val="24"/>
      <w:lang w:bidi="ar-SA"/>
    </w:rPr>
  </w:style>
  <w:style w:type="paragraph" w:styleId="BodyText3">
    <w:name w:val="Body Text 3"/>
    <w:basedOn w:val="Normal"/>
    <w:link w:val="BodyText3Char"/>
    <w:semiHidden/>
    <w:unhideWhenUsed/>
    <w:rsid w:val="00BB3493"/>
    <w:pPr>
      <w:spacing w:after="120"/>
    </w:pPr>
    <w:rPr>
      <w:sz w:val="16"/>
      <w:szCs w:val="16"/>
    </w:rPr>
  </w:style>
  <w:style w:type="character" w:customStyle="1" w:styleId="BodyText3Char">
    <w:name w:val="Body Text 3 Char"/>
    <w:basedOn w:val="DefaultParagraphFont"/>
    <w:link w:val="BodyText3"/>
    <w:semiHidden/>
    <w:rsid w:val="00BB3493"/>
    <w:rPr>
      <w:sz w:val="16"/>
      <w:szCs w:val="16"/>
      <w:lang w:bidi="ar-SA"/>
    </w:rPr>
  </w:style>
  <w:style w:type="paragraph" w:styleId="BodyTextFirstIndent">
    <w:name w:val="Body Text First Indent"/>
    <w:basedOn w:val="BodyText"/>
    <w:link w:val="BodyTextFirstIndentChar"/>
    <w:semiHidden/>
    <w:unhideWhenUsed/>
    <w:rsid w:val="00BB3493"/>
    <w:pPr>
      <w:spacing w:after="0"/>
      <w:ind w:firstLine="360"/>
    </w:pPr>
  </w:style>
  <w:style w:type="character" w:customStyle="1" w:styleId="BodyTextFirstIndentChar">
    <w:name w:val="Body Text First Indent Char"/>
    <w:basedOn w:val="BodyTextChar"/>
    <w:link w:val="BodyTextFirstIndent"/>
    <w:semiHidden/>
    <w:rsid w:val="00BB3493"/>
    <w:rPr>
      <w:sz w:val="26"/>
      <w:szCs w:val="24"/>
      <w:lang w:bidi="ar-SA"/>
    </w:rPr>
  </w:style>
  <w:style w:type="paragraph" w:styleId="BodyTextIndent">
    <w:name w:val="Body Text Indent"/>
    <w:basedOn w:val="Normal"/>
    <w:link w:val="BodyTextIndentChar"/>
    <w:semiHidden/>
    <w:unhideWhenUsed/>
    <w:rsid w:val="00BB3493"/>
    <w:pPr>
      <w:spacing w:after="120"/>
      <w:ind w:left="360"/>
    </w:pPr>
  </w:style>
  <w:style w:type="character" w:customStyle="1" w:styleId="BodyTextIndentChar">
    <w:name w:val="Body Text Indent Char"/>
    <w:basedOn w:val="DefaultParagraphFont"/>
    <w:link w:val="BodyTextIndent"/>
    <w:semiHidden/>
    <w:rsid w:val="00BB3493"/>
    <w:rPr>
      <w:sz w:val="26"/>
      <w:szCs w:val="24"/>
      <w:lang w:bidi="ar-SA"/>
    </w:rPr>
  </w:style>
  <w:style w:type="paragraph" w:styleId="BodyTextFirstIndent2">
    <w:name w:val="Body Text First Indent 2"/>
    <w:basedOn w:val="BodyTextIndent"/>
    <w:link w:val="BodyTextFirstIndent2Char"/>
    <w:semiHidden/>
    <w:unhideWhenUsed/>
    <w:rsid w:val="00BB3493"/>
    <w:pPr>
      <w:spacing w:after="0"/>
      <w:ind w:firstLine="360"/>
    </w:pPr>
  </w:style>
  <w:style w:type="character" w:customStyle="1" w:styleId="BodyTextFirstIndent2Char">
    <w:name w:val="Body Text First Indent 2 Char"/>
    <w:basedOn w:val="BodyTextIndentChar"/>
    <w:link w:val="BodyTextFirstIndent2"/>
    <w:semiHidden/>
    <w:rsid w:val="00BB3493"/>
    <w:rPr>
      <w:sz w:val="26"/>
      <w:szCs w:val="24"/>
      <w:lang w:bidi="ar-SA"/>
    </w:rPr>
  </w:style>
  <w:style w:type="paragraph" w:styleId="BodyTextIndent2">
    <w:name w:val="Body Text Indent 2"/>
    <w:basedOn w:val="Normal"/>
    <w:link w:val="BodyTextIndent2Char"/>
    <w:semiHidden/>
    <w:unhideWhenUsed/>
    <w:rsid w:val="00BB3493"/>
    <w:pPr>
      <w:spacing w:after="120" w:line="480" w:lineRule="auto"/>
      <w:ind w:left="360"/>
    </w:pPr>
  </w:style>
  <w:style w:type="character" w:customStyle="1" w:styleId="BodyTextIndent2Char">
    <w:name w:val="Body Text Indent 2 Char"/>
    <w:basedOn w:val="DefaultParagraphFont"/>
    <w:link w:val="BodyTextIndent2"/>
    <w:semiHidden/>
    <w:rsid w:val="00BB3493"/>
    <w:rPr>
      <w:sz w:val="26"/>
      <w:szCs w:val="24"/>
      <w:lang w:bidi="ar-SA"/>
    </w:rPr>
  </w:style>
  <w:style w:type="paragraph" w:styleId="BodyTextIndent3">
    <w:name w:val="Body Text Indent 3"/>
    <w:basedOn w:val="Normal"/>
    <w:link w:val="BodyTextIndent3Char"/>
    <w:semiHidden/>
    <w:unhideWhenUsed/>
    <w:rsid w:val="00BB3493"/>
    <w:pPr>
      <w:spacing w:after="120"/>
      <w:ind w:left="360"/>
    </w:pPr>
    <w:rPr>
      <w:sz w:val="16"/>
      <w:szCs w:val="16"/>
    </w:rPr>
  </w:style>
  <w:style w:type="character" w:customStyle="1" w:styleId="BodyTextIndent3Char">
    <w:name w:val="Body Text Indent 3 Char"/>
    <w:basedOn w:val="DefaultParagraphFont"/>
    <w:link w:val="BodyTextIndent3"/>
    <w:semiHidden/>
    <w:rsid w:val="00BB3493"/>
    <w:rPr>
      <w:sz w:val="16"/>
      <w:szCs w:val="16"/>
      <w:lang w:bidi="ar-SA"/>
    </w:rPr>
  </w:style>
  <w:style w:type="character" w:styleId="CommentReference">
    <w:name w:val="annotation reference"/>
    <w:basedOn w:val="DefaultParagraphFont"/>
    <w:semiHidden/>
    <w:unhideWhenUsed/>
    <w:rsid w:val="0072027A"/>
    <w:rPr>
      <w:sz w:val="16"/>
      <w:szCs w:val="16"/>
    </w:rPr>
  </w:style>
  <w:style w:type="paragraph" w:customStyle="1" w:styleId="Default">
    <w:name w:val="Default"/>
    <w:rsid w:val="00C56EE4"/>
    <w:pPr>
      <w:autoSpaceDE w:val="0"/>
      <w:autoSpaceDN w:val="0"/>
      <w:adjustRightInd w:val="0"/>
    </w:pPr>
    <w:rPr>
      <w:rFonts w:ascii="Arial" w:hAnsi="Arial" w:cs="Arial"/>
      <w:color w:val="000000"/>
      <w:sz w:val="24"/>
      <w:szCs w:val="24"/>
      <w:lang w:bidi="ar-SA"/>
    </w:rPr>
  </w:style>
  <w:style w:type="character" w:styleId="Strong">
    <w:name w:val="Strong"/>
    <w:basedOn w:val="DefaultParagraphFont"/>
    <w:uiPriority w:val="22"/>
    <w:qFormat/>
    <w:rsid w:val="00A07974"/>
    <w:rPr>
      <w:b/>
      <w:bCs/>
    </w:rPr>
  </w:style>
  <w:style w:type="character" w:styleId="FollowedHyperlink">
    <w:name w:val="FollowedHyperlink"/>
    <w:basedOn w:val="DefaultParagraphFont"/>
    <w:uiPriority w:val="99"/>
    <w:semiHidden/>
    <w:unhideWhenUsed/>
    <w:rsid w:val="004B2FC8"/>
    <w:rPr>
      <w:color w:val="800080" w:themeColor="followedHyperlink"/>
      <w:u w:val="single"/>
    </w:rPr>
  </w:style>
  <w:style w:type="character" w:customStyle="1" w:styleId="Heading3Char">
    <w:name w:val="Heading 3 Char"/>
    <w:basedOn w:val="DefaultParagraphFont"/>
    <w:link w:val="Heading3"/>
    <w:rsid w:val="00232B88"/>
    <w:rPr>
      <w:b/>
      <w:bCs/>
      <w:kern w:val="32"/>
      <w:sz w:val="26"/>
      <w:szCs w:val="26"/>
      <w:u w:val="single"/>
      <w:lang w:bidi="ar-SA"/>
    </w:rPr>
  </w:style>
  <w:style w:type="paragraph" w:styleId="Revision">
    <w:name w:val="Revision"/>
    <w:hidden/>
    <w:uiPriority w:val="99"/>
    <w:semiHidden/>
    <w:rsid w:val="008F3FCF"/>
    <w:rPr>
      <w:sz w:val="26"/>
      <w:szCs w:val="24"/>
      <w:lang w:bidi="ar-SA"/>
    </w:rPr>
  </w:style>
  <w:style w:type="character" w:customStyle="1" w:styleId="FERCparanumberChar">
    <w:name w:val="FERC paranumber Char"/>
    <w:basedOn w:val="DefaultParagraphFont"/>
    <w:link w:val="FERCparanumber"/>
    <w:rsid w:val="00755D42"/>
    <w:rPr>
      <w:sz w:val="26"/>
      <w:szCs w:val="24"/>
      <w:lang w:bidi="ar-SA"/>
    </w:rPr>
  </w:style>
  <w:style w:type="character" w:customStyle="1" w:styleId="Heading2Char">
    <w:name w:val="Heading 2 Char"/>
    <w:basedOn w:val="DefaultParagraphFont"/>
    <w:link w:val="Heading2"/>
    <w:rsid w:val="008C0E8F"/>
    <w:rPr>
      <w:b/>
      <w:bCs/>
      <w:iCs/>
      <w:kern w:val="32"/>
      <w:sz w:val="26"/>
      <w:szCs w:val="28"/>
      <w:u w:val="single"/>
      <w:lang w:bidi="ar-SA"/>
    </w:rPr>
  </w:style>
  <w:style w:type="character" w:styleId="UnresolvedMention">
    <w:name w:val="Unresolved Mention"/>
    <w:basedOn w:val="DefaultParagraphFont"/>
    <w:uiPriority w:val="99"/>
    <w:semiHidden/>
    <w:unhideWhenUsed/>
    <w:rsid w:val="007A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6227">
      <w:bodyDiv w:val="1"/>
      <w:marLeft w:val="0"/>
      <w:marRight w:val="0"/>
      <w:marTop w:val="0"/>
      <w:marBottom w:val="0"/>
      <w:divBdr>
        <w:top w:val="none" w:sz="0" w:space="0" w:color="auto"/>
        <w:left w:val="none" w:sz="0" w:space="0" w:color="auto"/>
        <w:bottom w:val="none" w:sz="0" w:space="0" w:color="auto"/>
        <w:right w:val="none" w:sz="0" w:space="0" w:color="auto"/>
      </w:divBdr>
    </w:div>
    <w:div w:id="402410375">
      <w:bodyDiv w:val="1"/>
      <w:marLeft w:val="0"/>
      <w:marRight w:val="0"/>
      <w:marTop w:val="0"/>
      <w:marBottom w:val="0"/>
      <w:divBdr>
        <w:top w:val="none" w:sz="0" w:space="0" w:color="auto"/>
        <w:left w:val="none" w:sz="0" w:space="0" w:color="auto"/>
        <w:bottom w:val="none" w:sz="0" w:space="0" w:color="auto"/>
        <w:right w:val="none" w:sz="0" w:space="0" w:color="auto"/>
      </w:divBdr>
    </w:div>
    <w:div w:id="551235804">
      <w:bodyDiv w:val="1"/>
      <w:marLeft w:val="0"/>
      <w:marRight w:val="0"/>
      <w:marTop w:val="0"/>
      <w:marBottom w:val="0"/>
      <w:divBdr>
        <w:top w:val="none" w:sz="0" w:space="0" w:color="auto"/>
        <w:left w:val="none" w:sz="0" w:space="0" w:color="auto"/>
        <w:bottom w:val="none" w:sz="0" w:space="0" w:color="auto"/>
        <w:right w:val="none" w:sz="0" w:space="0" w:color="auto"/>
      </w:divBdr>
    </w:div>
    <w:div w:id="623579241">
      <w:bodyDiv w:val="1"/>
      <w:marLeft w:val="0"/>
      <w:marRight w:val="0"/>
      <w:marTop w:val="0"/>
      <w:marBottom w:val="0"/>
      <w:divBdr>
        <w:top w:val="none" w:sz="0" w:space="0" w:color="auto"/>
        <w:left w:val="none" w:sz="0" w:space="0" w:color="auto"/>
        <w:bottom w:val="none" w:sz="0" w:space="0" w:color="auto"/>
        <w:right w:val="none" w:sz="0" w:space="0" w:color="auto"/>
      </w:divBdr>
    </w:div>
    <w:div w:id="801725731">
      <w:bodyDiv w:val="1"/>
      <w:marLeft w:val="0"/>
      <w:marRight w:val="0"/>
      <w:marTop w:val="0"/>
      <w:marBottom w:val="0"/>
      <w:divBdr>
        <w:top w:val="none" w:sz="0" w:space="0" w:color="auto"/>
        <w:left w:val="none" w:sz="0" w:space="0" w:color="auto"/>
        <w:bottom w:val="none" w:sz="0" w:space="0" w:color="auto"/>
        <w:right w:val="none" w:sz="0" w:space="0" w:color="auto"/>
      </w:divBdr>
    </w:div>
    <w:div w:id="1171337072">
      <w:bodyDiv w:val="1"/>
      <w:marLeft w:val="0"/>
      <w:marRight w:val="0"/>
      <w:marTop w:val="0"/>
      <w:marBottom w:val="0"/>
      <w:divBdr>
        <w:top w:val="none" w:sz="0" w:space="0" w:color="auto"/>
        <w:left w:val="none" w:sz="0" w:space="0" w:color="auto"/>
        <w:bottom w:val="none" w:sz="0" w:space="0" w:color="auto"/>
        <w:right w:val="none" w:sz="0" w:space="0" w:color="auto"/>
      </w:divBdr>
    </w:div>
    <w:div w:id="1215628251">
      <w:bodyDiv w:val="1"/>
      <w:marLeft w:val="0"/>
      <w:marRight w:val="0"/>
      <w:marTop w:val="0"/>
      <w:marBottom w:val="0"/>
      <w:divBdr>
        <w:top w:val="none" w:sz="0" w:space="0" w:color="auto"/>
        <w:left w:val="none" w:sz="0" w:space="0" w:color="auto"/>
        <w:bottom w:val="none" w:sz="0" w:space="0" w:color="auto"/>
        <w:right w:val="none" w:sz="0" w:space="0" w:color="auto"/>
      </w:divBdr>
    </w:div>
    <w:div w:id="1264262845">
      <w:bodyDiv w:val="1"/>
      <w:marLeft w:val="0"/>
      <w:marRight w:val="0"/>
      <w:marTop w:val="0"/>
      <w:marBottom w:val="0"/>
      <w:divBdr>
        <w:top w:val="none" w:sz="0" w:space="0" w:color="auto"/>
        <w:left w:val="none" w:sz="0" w:space="0" w:color="auto"/>
        <w:bottom w:val="none" w:sz="0" w:space="0" w:color="auto"/>
        <w:right w:val="none" w:sz="0" w:space="0" w:color="auto"/>
      </w:divBdr>
    </w:div>
    <w:div w:id="1275137162">
      <w:bodyDiv w:val="1"/>
      <w:marLeft w:val="0"/>
      <w:marRight w:val="0"/>
      <w:marTop w:val="0"/>
      <w:marBottom w:val="0"/>
      <w:divBdr>
        <w:top w:val="none" w:sz="0" w:space="0" w:color="auto"/>
        <w:left w:val="none" w:sz="0" w:space="0" w:color="auto"/>
        <w:bottom w:val="none" w:sz="0" w:space="0" w:color="auto"/>
        <w:right w:val="none" w:sz="0" w:space="0" w:color="auto"/>
      </w:divBdr>
    </w:div>
    <w:div w:id="1351183947">
      <w:bodyDiv w:val="1"/>
      <w:marLeft w:val="0"/>
      <w:marRight w:val="0"/>
      <w:marTop w:val="0"/>
      <w:marBottom w:val="0"/>
      <w:divBdr>
        <w:top w:val="none" w:sz="0" w:space="0" w:color="auto"/>
        <w:left w:val="none" w:sz="0" w:space="0" w:color="auto"/>
        <w:bottom w:val="none" w:sz="0" w:space="0" w:color="auto"/>
        <w:right w:val="none" w:sz="0" w:space="0" w:color="auto"/>
      </w:divBdr>
    </w:div>
    <w:div w:id="1442846490">
      <w:bodyDiv w:val="1"/>
      <w:marLeft w:val="0"/>
      <w:marRight w:val="0"/>
      <w:marTop w:val="0"/>
      <w:marBottom w:val="0"/>
      <w:divBdr>
        <w:top w:val="none" w:sz="0" w:space="0" w:color="auto"/>
        <w:left w:val="none" w:sz="0" w:space="0" w:color="auto"/>
        <w:bottom w:val="none" w:sz="0" w:space="0" w:color="auto"/>
        <w:right w:val="none" w:sz="0" w:space="0" w:color="auto"/>
      </w:divBdr>
    </w:div>
    <w:div w:id="1481464944">
      <w:bodyDiv w:val="1"/>
      <w:marLeft w:val="0"/>
      <w:marRight w:val="0"/>
      <w:marTop w:val="0"/>
      <w:marBottom w:val="0"/>
      <w:divBdr>
        <w:top w:val="none" w:sz="0" w:space="0" w:color="auto"/>
        <w:left w:val="none" w:sz="0" w:space="0" w:color="auto"/>
        <w:bottom w:val="none" w:sz="0" w:space="0" w:color="auto"/>
        <w:right w:val="none" w:sz="0" w:space="0" w:color="auto"/>
      </w:divBdr>
    </w:div>
    <w:div w:id="1504541324">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584100373">
      <w:bodyDiv w:val="1"/>
      <w:marLeft w:val="0"/>
      <w:marRight w:val="0"/>
      <w:marTop w:val="0"/>
      <w:marBottom w:val="0"/>
      <w:divBdr>
        <w:top w:val="none" w:sz="0" w:space="0" w:color="auto"/>
        <w:left w:val="none" w:sz="0" w:space="0" w:color="auto"/>
        <w:bottom w:val="none" w:sz="0" w:space="0" w:color="auto"/>
        <w:right w:val="none" w:sz="0" w:space="0" w:color="auto"/>
      </w:divBdr>
    </w:div>
    <w:div w:id="1760172534">
      <w:bodyDiv w:val="1"/>
      <w:marLeft w:val="0"/>
      <w:marRight w:val="0"/>
      <w:marTop w:val="0"/>
      <w:marBottom w:val="0"/>
      <w:divBdr>
        <w:top w:val="none" w:sz="0" w:space="0" w:color="auto"/>
        <w:left w:val="none" w:sz="0" w:space="0" w:color="auto"/>
        <w:bottom w:val="none" w:sz="0" w:space="0" w:color="auto"/>
        <w:right w:val="none" w:sz="0" w:space="0" w:color="auto"/>
      </w:divBdr>
    </w:div>
    <w:div w:id="1783643840">
      <w:bodyDiv w:val="1"/>
      <w:marLeft w:val="0"/>
      <w:marRight w:val="0"/>
      <w:marTop w:val="0"/>
      <w:marBottom w:val="0"/>
      <w:divBdr>
        <w:top w:val="none" w:sz="0" w:space="0" w:color="auto"/>
        <w:left w:val="none" w:sz="0" w:space="0" w:color="auto"/>
        <w:bottom w:val="none" w:sz="0" w:space="0" w:color="auto"/>
        <w:right w:val="none" w:sz="0" w:space="0" w:color="auto"/>
      </w:divBdr>
    </w:div>
    <w:div w:id="1908761785">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 w:id="20891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rc.gov/docs-filing/efiling.asp" TargetMode="Externa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etricsDL@ferc.gov"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image" Target="media/image1.emf"/><Relationship Id="rId19" Type="http://schemas.openxmlformats.org/officeDocument/2006/relationships/header" Target="header1.xml"/><Relationship Id="rId31"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hyperlink" Target="https://www.ferc.gov/docs-filing/elibrary.asp" TargetMode="Externa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nerc.com/pa/Stand/Reliability%20Standards/EOP-011-1.pdf" TargetMode="External"/><Relationship Id="rId3" Type="http://schemas.openxmlformats.org/officeDocument/2006/relationships/hyperlink" Target="https://www.snl.com/web/client?auth=inherit" TargetMode="External"/><Relationship Id="rId7" Type="http://schemas.openxmlformats.org/officeDocument/2006/relationships/hyperlink" Target="https://www.nerc.com/pa/rrm/ea/Pages/Energy-Emergency-Alerts.aspx" TargetMode="External"/><Relationship Id="rId2" Type="http://schemas.openxmlformats.org/officeDocument/2006/relationships/hyperlink" Target="https://www.snl.com/web/client?auth=inherit" TargetMode="External"/><Relationship Id="rId1" Type="http://schemas.openxmlformats.org/officeDocument/2006/relationships/hyperlink" Target="https://www.nerc.com/pa/RAPA/ri/Pages/PlanningReserveMargin.aspx" TargetMode="External"/><Relationship Id="rId6" Type="http://schemas.openxmlformats.org/officeDocument/2006/relationships/hyperlink" Target="https://www.eia.gov/tools/glossary/index.php?id=net%20summer%20capacity" TargetMode="External"/><Relationship Id="rId5" Type="http://schemas.openxmlformats.org/officeDocument/2006/relationships/hyperlink" Target="https://www.eia.gov/electricity/data/eia923/" TargetMode="External"/><Relationship Id="rId10" Type="http://schemas.openxmlformats.org/officeDocument/2006/relationships/hyperlink" Target="https://www.ferc.gov/docs-filing/forms/form-714/data.asp" TargetMode="External"/><Relationship Id="rId4" Type="http://schemas.openxmlformats.org/officeDocument/2006/relationships/hyperlink" Target="https://www.eia.gov/electricity/data/eia860/" TargetMode="External"/><Relationship Id="rId9" Type="http://schemas.openxmlformats.org/officeDocument/2006/relationships/hyperlink" Target="https://www.nerc.com/pa/RAPA/gads/Pages/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Data Instrument</Rulemaking_x0020_Document_x0020_Type>
    <_x0033__x002e__x0020_Docket_x0020_Number xmlns="d6eefc7d-9817-4fa6-84d5-3bc009be21b8" xsi:nil="true"/>
    <_x0031__x002e__x0020_Collection_x0020_Number xmlns="d6eefc7d-9817-4fa6-84d5-3bc009be21b8">922</_x0031__x002e__x0020_Collection_x0020_Number>
    <Date xmlns="d6eefc7d-9817-4fa6-84d5-3bc009be21b8">2020-01-24T05:00:00+00:00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AD19-16</_x0031__x002e__x0020_Docket_x0020_Number>
    <_x0033__x002e__x0020_Collection_x0020_Number xmlns="d6eefc7d-9817-4fa6-84d5-3bc009be21b8" xsi:nil="true"/>
  </documentManagement>
</p: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7E503769-EA26-4439-A193-ADAFE2A5B33A}"/>
</file>

<file path=customXml/itemProps2.xml><?xml version="1.0" encoding="utf-8"?>
<ds:datastoreItem xmlns:ds="http://schemas.openxmlformats.org/officeDocument/2006/customXml" ds:itemID="{9C49D361-FDC8-402C-9821-A669146647CE}"/>
</file>

<file path=customXml/itemProps3.xml><?xml version="1.0" encoding="utf-8"?>
<ds:datastoreItem xmlns:ds="http://schemas.openxmlformats.org/officeDocument/2006/customXml" ds:itemID="{7EA12329-84FC-45A2-ACDD-000FBF92E354}"/>
</file>

<file path=customXml/itemProps4.xml><?xml version="1.0" encoding="utf-8"?>
<ds:datastoreItem xmlns:ds="http://schemas.openxmlformats.org/officeDocument/2006/customXml" ds:itemID="{E652B1E8-C4C1-42FD-B549-150F4C0F0BC9}"/>
</file>

<file path=customXml/itemProps5.xml><?xml version="1.0" encoding="utf-8"?>
<ds:datastoreItem xmlns:ds="http://schemas.openxmlformats.org/officeDocument/2006/customXml" ds:itemID="{30C077BB-7C94-4F5F-9514-008F20E6FC13}"/>
</file>

<file path=docProps/app.xml><?xml version="1.0" encoding="utf-8"?>
<ap:Properties xmlns:vt="http://schemas.openxmlformats.org/officeDocument/2006/docPropsVTypes" xmlns:ap="http://schemas.openxmlformats.org/officeDocument/2006/extended-properties">
  <ap:TotalTime>0</ap:TotalTime>
  <ap:Pages>30</ap:Pages>
  <ap:Words>6955</ap:Words>
  <ap:Characters>39646</ap:Characters>
  <ap:Application>Microsoft Office Word</ap:Application>
  <ap:DocSecurity>0</ap:DocSecurity>
  <ap:Lines>330</ap:Lines>
  <ap:Paragraphs>93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46508</ap:CharactersWithSpaces>
  <ap:SharedDoc>false</ap:SharedDoc>
  <ap:HyperlinksChanged>false</ap:HyperlinksChanged>
  <ap:AppVersion>16.0000</ap:AppVersion>
  <ap:Manager/>
  <ap:Company/>
  <ap:HyperlinkBase/>
  <ap:Templ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dcterms:created xsi:type="dcterms:W3CDTF">2020-01-24T16:32:00Z</dcterms:created>
  <dcterms:modified xsi:type="dcterms:W3CDTF">2020-01-24T16:32:00Z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