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39F14EF8" w14:textId="43BD0EFC">
      <w:pPr>
        <w:jc w:val="center"/>
      </w:pPr>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5A3A02EA">
      <w:pPr>
        <w:jc w:val="center"/>
      </w:pPr>
      <w:r w:rsidRPr="00AC750B">
        <w:t xml:space="preserve">[Docket No. </w:t>
      </w:r>
      <w:r w:rsidR="00FB3955">
        <w:t>AD19-16</w:t>
      </w:r>
      <w:r w:rsidR="002E0351">
        <w:t>-000</w:t>
      </w:r>
      <w:r w:rsidRPr="00AC750B">
        <w:t>]</w:t>
      </w:r>
    </w:p>
    <w:p w:rsidR="00A2604E" w:rsidP="00A2604E" w:rsidRDefault="00A2604E" w14:paraId="37A99FB4" w14:textId="77777777"/>
    <w:p w:rsidR="00A2604E" w:rsidP="00A2604E" w:rsidRDefault="00A2604E" w14:paraId="0160830D" w14:textId="607ED1DB">
      <w:pPr>
        <w:jc w:val="center"/>
      </w:pPr>
      <w:r>
        <w:t>COMMISSION INFORMATION COLLECTION ACTIVITIES (</w:t>
      </w:r>
      <w:r w:rsidR="0000594A">
        <w:t>FERC-922</w:t>
      </w:r>
      <w:r>
        <w:t>);</w:t>
      </w:r>
    </w:p>
    <w:p w:rsidR="00A2604E" w:rsidP="00A2604E" w:rsidRDefault="00A2604E" w14:paraId="6E904836" w14:textId="7D267FC0">
      <w:pPr>
        <w:jc w:val="center"/>
      </w:pPr>
      <w:r>
        <w:t>COMMENT REQUEST</w:t>
      </w:r>
    </w:p>
    <w:p w:rsidR="00810D18" w:rsidP="00810D18" w:rsidRDefault="00810D18" w14:paraId="6FC67CE5" w14:textId="1157AFF8"/>
    <w:p w:rsidR="006E10F4" w:rsidP="002F398E" w:rsidRDefault="002F398E" w14:paraId="05CFF23D" w14:textId="0BC7BA54">
      <w:pPr>
        <w:jc w:val="center"/>
        <w:rPr>
          <w:highlight w:val="yellow"/>
        </w:rPr>
      </w:pPr>
      <w:r w:rsidRPr="002F398E">
        <w:t>(January 24, 2020)</w:t>
      </w:r>
    </w:p>
    <w:p w:rsidRPr="002F398E" w:rsidR="002F398E" w:rsidP="002F398E" w:rsidRDefault="002F398E" w14:paraId="0843CE95"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66DF94B1">
      <w:pPr>
        <w:spacing w:line="480" w:lineRule="auto"/>
      </w:pPr>
      <w:r w:rsidRPr="00CE64F2">
        <w:rPr>
          <w:b/>
        </w:rPr>
        <w:t>SUMMARY:</w:t>
      </w:r>
      <w:r>
        <w:t xml:space="preserve">  </w:t>
      </w:r>
      <w:r w:rsidRPr="00070441" w:rsidR="00070441">
        <w:t xml:space="preserve">In compliance with the requirements of the Paperwork Reduction Act of 1995, the Federal Energy Regulatory Commission (Commission or FERC) staff is soliciting public comment on the reinstatement and revision of the FERC-922, </w:t>
      </w:r>
      <w:bookmarkStart w:name="_Hlk26445616" w:id="0"/>
      <w:r w:rsidRPr="00070441" w:rsidR="00070441">
        <w:t>Performance Metrics for ISOs, RTOs, and Regions Outside ISOs and RTOs</w:t>
      </w:r>
      <w:bookmarkEnd w:id="0"/>
      <w:r w:rsidR="00070441">
        <w:t xml:space="preserve">.  The Commission </w:t>
      </w:r>
      <w:r w:rsidR="0023614D">
        <w:t>is</w:t>
      </w:r>
      <w:r w:rsidRPr="004C232C" w:rsidR="00642602">
        <w:t xml:space="preserve"> submitting the information collection to the Office of Management and Budget (OMB) for review.  Any interested person may file comments directly with OMB and should address a copy of those comments to the Commission</w:t>
      </w:r>
      <w:r w:rsidR="00C04377">
        <w:t>,</w:t>
      </w:r>
      <w:r w:rsidRPr="004C232C" w:rsidR="00642602">
        <w:t xml:space="preserve"> as explained below</w:t>
      </w:r>
      <w:r w:rsidRPr="004C19E9" w:rsidR="00642602">
        <w:t xml:space="preserve">. </w:t>
      </w:r>
      <w:r w:rsidR="0023614D">
        <w:t xml:space="preserve"> </w:t>
      </w:r>
    </w:p>
    <w:p w:rsidRPr="007C1916" w:rsidR="007C1916" w:rsidP="007C1916" w:rsidRDefault="00A2604E" w14:paraId="442CCE36" w14:textId="383533F3">
      <w:pPr>
        <w:spacing w:line="480" w:lineRule="auto"/>
      </w:pPr>
      <w:r w:rsidRPr="00CE64F2">
        <w:rPr>
          <w:b/>
        </w:rPr>
        <w:t>DATES:</w:t>
      </w:r>
      <w:r>
        <w:t xml:space="preserve">  Comments on the </w:t>
      </w:r>
      <w:r w:rsidR="003A7B19">
        <w:t xml:space="preserve">information </w:t>
      </w:r>
      <w:r>
        <w:t xml:space="preserve">collection are due </w:t>
      </w:r>
      <w:bookmarkStart w:name="OLE_LINK1" w:id="1"/>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p>
    <w:p w:rsidRPr="007C1916" w:rsidR="007C1916" w:rsidP="007C1916" w:rsidRDefault="007C1916" w14:paraId="5B1CC12A" w14:textId="64BE111F">
      <w:pPr>
        <w:spacing w:line="480" w:lineRule="auto"/>
      </w:pPr>
      <w:r w:rsidRPr="007C1916">
        <w:rPr>
          <w:b/>
        </w:rPr>
        <w:t>ADDRESSES:</w:t>
      </w:r>
      <w:r w:rsidRPr="007C1916">
        <w:t xml:space="preserve">  Comments filed with OMB, identified by OMB Control No. </w:t>
      </w:r>
      <w:r w:rsidR="003A1327">
        <w:t>1902-0262</w:t>
      </w:r>
      <w:r w:rsidRPr="007C1916">
        <w:t xml:space="preserve">, </w:t>
      </w:r>
      <w:r w:rsidR="001E6510">
        <w:t xml:space="preserve">should be sent via email to the </w:t>
      </w:r>
      <w:r w:rsidRPr="007C1916">
        <w:t>Office of Information and Regulatory Affairs:</w:t>
      </w:r>
      <w:r w:rsidR="00757043">
        <w:t xml:space="preserve"> </w:t>
      </w:r>
      <w:r w:rsidRPr="007C1916">
        <w:t xml:space="preserve"> </w:t>
      </w:r>
      <w:hyperlink w:history="1" r:id="rId11">
        <w:r w:rsidRPr="007C1916">
          <w:rPr>
            <w:rStyle w:val="Hyperlink"/>
          </w:rPr>
          <w:t>oira_submission@omb.gov</w:t>
        </w:r>
      </w:hyperlink>
      <w:r w:rsidRPr="007C1916">
        <w:t xml:space="preserve">.  Attention: </w:t>
      </w:r>
      <w:r w:rsidR="00992636">
        <w:t xml:space="preserve"> </w:t>
      </w:r>
      <w:r w:rsidRPr="007C1916">
        <w:t xml:space="preserve">Federal Energy Regulatory Commission Desk Officer.  A copy of the comments should also be sent to the </w:t>
      </w:r>
      <w:r w:rsidRPr="007C1916">
        <w:lastRenderedPageBreak/>
        <w:t xml:space="preserve">Commission, </w:t>
      </w:r>
      <w:r w:rsidR="00992636">
        <w:t xml:space="preserve">identified by </w:t>
      </w:r>
      <w:r w:rsidRPr="007C1916">
        <w:t xml:space="preserve">Docket No. </w:t>
      </w:r>
      <w:r w:rsidR="00FB3955">
        <w:t>AD19-16</w:t>
      </w:r>
      <w:r w:rsidR="000D4D21">
        <w:t>-000</w:t>
      </w:r>
      <w:r w:rsidRPr="007C1916">
        <w:t>, by either of the following methods:</w:t>
      </w:r>
    </w:p>
    <w:p w:rsidRPr="007C1916" w:rsidR="007C1916" w:rsidP="007C1916" w:rsidRDefault="007C1916" w14:paraId="792B5B58" w14:textId="25F18FEC">
      <w:pPr>
        <w:numPr>
          <w:ilvl w:val="0"/>
          <w:numId w:val="2"/>
        </w:numPr>
        <w:tabs>
          <w:tab w:val="num" w:pos="1080"/>
        </w:tabs>
        <w:spacing w:line="480" w:lineRule="auto"/>
      </w:pPr>
      <w:r w:rsidRPr="007C1916">
        <w:t xml:space="preserve">eFiling at Commission’s Web Site: </w:t>
      </w:r>
      <w:r w:rsidR="00992636">
        <w:t xml:space="preserve"> </w:t>
      </w:r>
      <w:hyperlink w:history="1" r:id="rId12">
        <w:r w:rsidRPr="00992636" w:rsidR="00992636">
          <w:rPr>
            <w:rStyle w:val="Hyperlink"/>
          </w:rPr>
          <w:t>http://www.ferc.gov/docs-filing/efiling.asp</w:t>
        </w:r>
      </w:hyperlink>
      <w:r w:rsidR="00992636">
        <w:t>, or</w:t>
      </w:r>
    </w:p>
    <w:p w:rsidRPr="007C1916" w:rsidR="007C1916" w:rsidP="007C1916" w:rsidRDefault="007C1916" w14:paraId="0F5C3F2D" w14:textId="2D22C392">
      <w:pPr>
        <w:numPr>
          <w:ilvl w:val="0"/>
          <w:numId w:val="2"/>
        </w:numPr>
        <w:tabs>
          <w:tab w:val="num" w:pos="1080"/>
        </w:tabs>
        <w:spacing w:line="480" w:lineRule="auto"/>
      </w:pPr>
      <w:r w:rsidRPr="007C1916">
        <w:t xml:space="preserve">Mail/Hand Delivery/Courier: </w:t>
      </w:r>
      <w:r w:rsidR="00992636">
        <w:t xml:space="preserve"> </w:t>
      </w:r>
      <w:r w:rsidRPr="007C1916">
        <w:t>Federal Energy Regulatory Commission, Secretary of the Commission, 888 First Street, NE, Washington, DC 20426.</w:t>
      </w:r>
    </w:p>
    <w:p w:rsidR="00A2604E" w:rsidP="007C1916" w:rsidRDefault="00A2604E" w14:paraId="72FFFB84" w14:textId="30AAD33F">
      <w:pPr>
        <w:spacing w:line="480" w:lineRule="auto"/>
      </w:pPr>
      <w:r>
        <w:rPr>
          <w:i/>
        </w:rPr>
        <w:t>Instructions:</w:t>
      </w:r>
      <w:r w:rsidR="00757043">
        <w:rPr>
          <w:i/>
        </w:rPr>
        <w:t xml:space="preserve"> </w:t>
      </w:r>
      <w:r>
        <w:rPr>
          <w:i/>
        </w:rPr>
        <w:t xml:space="preserve"> </w:t>
      </w:r>
      <w:r>
        <w:t xml:space="preserve">All submissions </w:t>
      </w:r>
      <w:r w:rsidR="003A7B19">
        <w:t xml:space="preserve">to the Commission </w:t>
      </w:r>
      <w:r>
        <w:t>must be formatted and filed in accordance with submission guidelines at:</w:t>
      </w:r>
      <w:r w:rsidR="00992636">
        <w:t xml:space="preserve"> </w:t>
      </w:r>
      <w:r>
        <w:t xml:space="preserve"> </w:t>
      </w:r>
      <w:hyperlink w:history="1" r:id="rId13">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rsidRPr="00241BFD" w:rsidR="00A2604E" w:rsidP="00A2604E" w:rsidRDefault="00A2604E" w14:paraId="6160E432" w14:textId="0459E2F5">
      <w:pPr>
        <w:spacing w:line="480" w:lineRule="auto"/>
      </w:pPr>
      <w:r>
        <w:rPr>
          <w:i/>
        </w:rPr>
        <w:t>Docket:</w:t>
      </w:r>
      <w:r w:rsidR="00757043">
        <w:rPr>
          <w:i/>
        </w:rPr>
        <w:t xml:space="preserve"> </w:t>
      </w:r>
      <w:r>
        <w:t xml:space="preserve"> Users interested in receiving automatic notification of activity in this docket or in viewing/downloading comments and issuances in this docket may do so at </w:t>
      </w:r>
      <w:hyperlink w:history="1" r:id="rId14">
        <w:r w:rsidRPr="0057675D">
          <w:rPr>
            <w:rStyle w:val="Hyperlink"/>
          </w:rPr>
          <w:t>http://www.ferc.gov/docs-filing/docs-filing.asp</w:t>
        </w:r>
      </w:hyperlink>
      <w:r>
        <w:t xml:space="preserve">. </w:t>
      </w:r>
    </w:p>
    <w:bookmarkEnd w:id="1"/>
    <w:p w:rsidRPr="004C19E9" w:rsidR="00A2604E" w:rsidP="00DD7A98" w:rsidRDefault="00A2604E" w14:paraId="6614759F" w14:textId="2D63679B">
      <w:pPr>
        <w:spacing w:line="480" w:lineRule="auto"/>
      </w:pPr>
      <w:r w:rsidRPr="00656DF0">
        <w:rPr>
          <w:b/>
        </w:rPr>
        <w:t>FOR FURTHER INFORMATION</w:t>
      </w:r>
      <w:r w:rsidR="00B56882">
        <w:rPr>
          <w:b/>
        </w:rPr>
        <w:t xml:space="preserve"> CONTACT</w:t>
      </w:r>
      <w:r w:rsidRPr="00656DF0">
        <w:rPr>
          <w:b/>
        </w:rPr>
        <w:t>:</w:t>
      </w:r>
      <w:r>
        <w:t xml:space="preserve">  </w:t>
      </w:r>
      <w:r w:rsidRPr="00DD7A98" w:rsidR="00DD7A98">
        <w:t xml:space="preserve">Darren Sheets may be reached </w:t>
      </w:r>
      <w:r w:rsidR="00992636">
        <w:t xml:space="preserve">by e-mail </w:t>
      </w:r>
      <w:r w:rsidRPr="00DD7A98" w:rsidR="00DD7A98">
        <w:t xml:space="preserve">at </w:t>
      </w:r>
      <w:hyperlink w:history="1" r:id="rId15">
        <w:r w:rsidRPr="002762FC" w:rsidR="00992636">
          <w:rPr>
            <w:rStyle w:val="Hyperlink"/>
          </w:rPr>
          <w:t>Darren.Sheets@FERC.gov</w:t>
        </w:r>
      </w:hyperlink>
      <w:r w:rsidR="00992636">
        <w:t>, or</w:t>
      </w:r>
      <w:r w:rsidRPr="00DD7A98" w:rsidR="00DD7A98">
        <w:t xml:space="preserve"> by telephone at (202) 502-8742. </w:t>
      </w:r>
      <w:r>
        <w:t xml:space="preserve"> </w:t>
      </w:r>
      <w:r w:rsidRPr="004C19E9">
        <w:rPr>
          <w:b/>
        </w:rPr>
        <w:t>SUPPLEMENTARY INFORMATION:</w:t>
      </w:r>
      <w:r w:rsidRPr="004C19E9">
        <w:t xml:space="preserve">  </w:t>
      </w:r>
    </w:p>
    <w:p w:rsidRPr="00304734" w:rsidR="00AA4050" w:rsidP="009E5557" w:rsidRDefault="00AA4050" w14:paraId="1828F029" w14:textId="394354D8">
      <w:pPr>
        <w:spacing w:line="480" w:lineRule="auto"/>
        <w:rPr>
          <w:i/>
        </w:rPr>
      </w:pPr>
      <w:r w:rsidRPr="004C19E9">
        <w:rPr>
          <w:i/>
        </w:rPr>
        <w:t>Title:</w:t>
      </w:r>
      <w:r w:rsidR="00757043">
        <w:rPr>
          <w:i/>
        </w:rPr>
        <w:t xml:space="preserve"> </w:t>
      </w:r>
      <w:r w:rsidRPr="004C19E9">
        <w:rPr>
          <w:i/>
        </w:rPr>
        <w:t xml:space="preserve"> </w:t>
      </w:r>
      <w:r w:rsidR="0000594A">
        <w:t>FERC-922</w:t>
      </w:r>
      <w:r w:rsidRPr="004C19E9" w:rsidR="002F1F96">
        <w:t xml:space="preserve"> (</w:t>
      </w:r>
      <w:r w:rsidRPr="00DD7A98" w:rsidR="00DD7A98">
        <w:t>Performance Metrics for ISOs, RTOs, and Regions Outside ISOs and RTOs</w:t>
      </w:r>
      <w:r w:rsidRPr="004C19E9" w:rsidR="002F1F96">
        <w:t>)</w:t>
      </w:r>
      <w:r w:rsidRPr="00304734" w:rsidR="00A8690F">
        <w:t>.</w:t>
      </w:r>
    </w:p>
    <w:p w:rsidR="00AA4050" w:rsidP="00AA4050" w:rsidRDefault="00AA4050" w14:paraId="75921495" w14:textId="1CB9F895">
      <w:pPr>
        <w:spacing w:line="480" w:lineRule="auto"/>
      </w:pPr>
      <w:r w:rsidRPr="00304734">
        <w:rPr>
          <w:i/>
        </w:rPr>
        <w:lastRenderedPageBreak/>
        <w:t>OMB Control No.:</w:t>
      </w:r>
      <w:r w:rsidR="003E0FDD">
        <w:rPr>
          <w:i/>
        </w:rPr>
        <w:t xml:space="preserve"> </w:t>
      </w:r>
      <w:r w:rsidRPr="00304734">
        <w:t xml:space="preserve"> </w:t>
      </w:r>
      <w:r w:rsidR="003A1327">
        <w:t>1902-0262</w:t>
      </w:r>
      <w:r w:rsidR="00B95139">
        <w:rPr>
          <w:rStyle w:val="FootnoteReference"/>
        </w:rPr>
        <w:footnoteReference w:id="2"/>
      </w:r>
    </w:p>
    <w:p w:rsidRPr="000836D6" w:rsidR="000836D6" w:rsidP="000836D6" w:rsidRDefault="000836D6" w14:paraId="217530F3" w14:textId="39B15C5B">
      <w:pPr>
        <w:spacing w:line="480" w:lineRule="auto"/>
        <w:rPr>
          <w:rFonts w:eastAsia="Calibri"/>
          <w:szCs w:val="26"/>
        </w:rPr>
      </w:pPr>
      <w:r w:rsidRPr="000836D6">
        <w:rPr>
          <w:rFonts w:eastAsia="Calibri"/>
          <w:i/>
          <w:szCs w:val="26"/>
        </w:rPr>
        <w:t>Type of Request:</w:t>
      </w:r>
      <w:r w:rsidR="003E0FDD">
        <w:rPr>
          <w:rFonts w:eastAsia="Calibri"/>
          <w:i/>
          <w:szCs w:val="26"/>
        </w:rPr>
        <w:t xml:space="preserve"> </w:t>
      </w:r>
      <w:r w:rsidRPr="000836D6">
        <w:rPr>
          <w:rFonts w:eastAsia="Calibri"/>
          <w:szCs w:val="26"/>
        </w:rPr>
        <w:t xml:space="preserve"> </w:t>
      </w:r>
      <w:r w:rsidRPr="00DD7A98" w:rsidR="00DD7A98">
        <w:rPr>
          <w:rFonts w:eastAsia="Calibri"/>
          <w:szCs w:val="26"/>
        </w:rPr>
        <w:t>Reinstatement of the FERC-922 information collection, with revisions</w:t>
      </w:r>
      <w:r w:rsidRPr="000836D6">
        <w:rPr>
          <w:rFonts w:eastAsia="Calibri"/>
          <w:szCs w:val="26"/>
        </w:rPr>
        <w:t xml:space="preserve">, as discussed in Docket No. </w:t>
      </w:r>
      <w:r w:rsidR="00FB3955">
        <w:rPr>
          <w:rFonts w:eastAsia="Calibri"/>
          <w:szCs w:val="26"/>
        </w:rPr>
        <w:t>AD19-16</w:t>
      </w:r>
      <w:r w:rsidRPr="000836D6">
        <w:rPr>
          <w:rFonts w:eastAsia="Calibri"/>
          <w:szCs w:val="26"/>
        </w:rPr>
        <w:t>-000.</w:t>
      </w:r>
    </w:p>
    <w:p w:rsidR="00E8477A" w:rsidP="002D305C" w:rsidRDefault="002D305C" w14:paraId="2C5D2037" w14:textId="76174B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CE60A1">
        <w:rPr>
          <w:rFonts w:eastAsia="Calibri"/>
          <w:i/>
          <w:color w:val="000000"/>
          <w:szCs w:val="26"/>
        </w:rPr>
        <w:t>Abstract:</w:t>
      </w:r>
      <w:r w:rsidRPr="002D305C">
        <w:rPr>
          <w:rFonts w:eastAsia="Calibri"/>
          <w:color w:val="000000"/>
          <w:szCs w:val="26"/>
        </w:rPr>
        <w:t xml:space="preserve">  </w:t>
      </w:r>
      <w:r w:rsidRPr="004C19E9" w:rsidR="00E8477A">
        <w:t xml:space="preserve">On </w:t>
      </w:r>
      <w:r w:rsidR="00E8477A">
        <w:t>July 10</w:t>
      </w:r>
      <w:r w:rsidRPr="004C19E9" w:rsidR="00E8477A">
        <w:t xml:space="preserve">, 2019, the Commission published a </w:t>
      </w:r>
      <w:r w:rsidR="00E8477A">
        <w:t>n</w:t>
      </w:r>
      <w:r w:rsidRPr="004C19E9" w:rsidR="00E8477A">
        <w:t xml:space="preserve">otice in the Federal Register in Docket No. </w:t>
      </w:r>
      <w:r w:rsidR="00E8477A">
        <w:t>AD19-16</w:t>
      </w:r>
      <w:r w:rsidRPr="004C19E9" w:rsidR="00E8477A">
        <w:t>-000 requesting comment</w:t>
      </w:r>
      <w:r w:rsidR="00E8477A">
        <w:t xml:space="preserve"> on the proposed information collection.  </w:t>
      </w:r>
      <w:r w:rsidRPr="00F6799C" w:rsidR="00E8477A">
        <w:t>The Commission received eight comments on the proposed reinstatement and revision of the FERC-922.  Commission staff addresses these comments in this notice and in its submittal to OMB.</w:t>
      </w:r>
      <w:r w:rsidR="00E8477A">
        <w:t xml:space="preserve">  In addition to addressing the comments received, Commission staff also has updated the attachments to the notice of information collection to reflect the correction of certain typographical and formatting errors.  </w:t>
      </w:r>
    </w:p>
    <w:p w:rsidR="00E8477A" w:rsidP="002D305C" w:rsidRDefault="00E8477A" w14:paraId="404E50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p>
    <w:p w:rsidRPr="002D305C" w:rsidR="002D305C" w:rsidP="002D305C" w:rsidRDefault="002D305C" w14:paraId="16C71822" w14:textId="25DD92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2D305C">
        <w:rPr>
          <w:rFonts w:eastAsia="Calibri"/>
          <w:color w:val="000000"/>
          <w:szCs w:val="26"/>
        </w:rPr>
        <w:t xml:space="preserve">In September 2008, the United States Government Accountability Office (GAO) issued a report recommending that the Commission, among other actions, work with Regional Transmission Organizations (RTOs), Independent System Operators (ISOs), stakeholders, and other experts to develop standardized metrics to track the performance of RTO/ISO operations and markets and publicly report </w:t>
      </w:r>
      <w:r w:rsidRPr="002D305C">
        <w:rPr>
          <w:rFonts w:eastAsia="Calibri"/>
          <w:color w:val="000000"/>
          <w:szCs w:val="26"/>
        </w:rPr>
        <w:lastRenderedPageBreak/>
        <w:t>those metrics.</w:t>
      </w:r>
      <w:r w:rsidR="003E0FDD">
        <w:rPr>
          <w:rStyle w:val="FootnoteReference"/>
          <w:rFonts w:eastAsia="Calibri"/>
          <w:color w:val="000000"/>
        </w:rPr>
        <w:footnoteReference w:id="3"/>
      </w:r>
      <w:r w:rsidRPr="002D305C">
        <w:rPr>
          <w:rFonts w:eastAsia="Calibri"/>
          <w:color w:val="000000"/>
          <w:szCs w:val="26"/>
        </w:rPr>
        <w:t xml:space="preserve">  In accordance with the 2008 GAO Report, Commission staff developed a set of standardized metrics (the Common Metrics), sought and received OMB approval to collect information on those metrics from RTOs/ISOs, and later non-RTO/ISO</w:t>
      </w:r>
      <w:r w:rsidR="00E332BA">
        <w:rPr>
          <w:rFonts w:eastAsia="Calibri"/>
          <w:color w:val="000000"/>
          <w:szCs w:val="26"/>
        </w:rPr>
        <w:t xml:space="preserve"> utilitie</w:t>
      </w:r>
      <w:r w:rsidRPr="002D305C">
        <w:rPr>
          <w:rFonts w:eastAsia="Calibri"/>
          <w:color w:val="000000"/>
          <w:szCs w:val="26"/>
        </w:rPr>
        <w:t>s, and ultimately issued five public reports (Common Metrics Reports).</w:t>
      </w:r>
      <w:r w:rsidR="003E0FDD">
        <w:rPr>
          <w:rStyle w:val="FootnoteReference"/>
          <w:rFonts w:eastAsia="Calibri"/>
          <w:color w:val="000000"/>
        </w:rPr>
        <w:footnoteReference w:id="4"/>
      </w:r>
      <w:r w:rsidRPr="002D305C">
        <w:rPr>
          <w:rFonts w:eastAsia="Calibri"/>
          <w:color w:val="000000"/>
          <w:szCs w:val="26"/>
        </w:rPr>
        <w:t xml:space="preserve"> </w:t>
      </w:r>
    </w:p>
    <w:p w:rsidRPr="002D305C" w:rsidR="002D305C" w:rsidP="002D305C" w:rsidRDefault="002D305C" w14:paraId="6EF595F5" w14:textId="637B72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2D305C">
        <w:rPr>
          <w:rFonts w:eastAsia="Calibri"/>
          <w:color w:val="000000"/>
          <w:szCs w:val="26"/>
        </w:rPr>
        <w:tab/>
        <w:t>In December 2017, the GAO issued a report on the RTOs/ISOs with centralized capacity markets.</w:t>
      </w:r>
      <w:r w:rsidR="003E0FDD">
        <w:rPr>
          <w:rStyle w:val="FootnoteReference"/>
          <w:rFonts w:eastAsia="Calibri"/>
          <w:color w:val="000000"/>
        </w:rPr>
        <w:footnoteReference w:id="5"/>
      </w:r>
      <w:r w:rsidRPr="002D305C">
        <w:rPr>
          <w:rFonts w:eastAsia="Calibri"/>
          <w:color w:val="000000"/>
          <w:szCs w:val="26"/>
        </w:rPr>
        <w:t xml:space="preserve">  Among other recommendations, the GAO found that the Commission should take steps to improve the quality of the data collected for its Common Metrics Report</w:t>
      </w:r>
      <w:r w:rsidR="004C2E11">
        <w:rPr>
          <w:rFonts w:eastAsia="Calibri"/>
          <w:color w:val="000000"/>
          <w:szCs w:val="26"/>
        </w:rPr>
        <w:t>s</w:t>
      </w:r>
      <w:r w:rsidRPr="002D305C">
        <w:rPr>
          <w:rFonts w:eastAsia="Calibri"/>
          <w:color w:val="000000"/>
          <w:szCs w:val="26"/>
        </w:rPr>
        <w:t xml:space="preserve">, such as implementing improved data quality checks and, where feasible, ensuring </w:t>
      </w:r>
      <w:r w:rsidR="00C35B7B">
        <w:rPr>
          <w:rFonts w:eastAsia="Calibri"/>
          <w:color w:val="000000"/>
          <w:szCs w:val="26"/>
        </w:rPr>
        <w:t xml:space="preserve">that </w:t>
      </w:r>
      <w:r w:rsidRPr="002D305C">
        <w:rPr>
          <w:rFonts w:eastAsia="Calibri"/>
          <w:color w:val="000000"/>
          <w:szCs w:val="26"/>
        </w:rPr>
        <w:t xml:space="preserve">RTOs/ISOs </w:t>
      </w:r>
      <w:r w:rsidR="00C35B7B">
        <w:rPr>
          <w:rFonts w:eastAsia="Calibri"/>
          <w:color w:val="000000"/>
          <w:szCs w:val="26"/>
        </w:rPr>
        <w:t>report</w:t>
      </w:r>
      <w:r w:rsidRPr="002D305C">
        <w:rPr>
          <w:rFonts w:eastAsia="Calibri"/>
          <w:color w:val="000000"/>
          <w:szCs w:val="26"/>
        </w:rPr>
        <w:t xml:space="preserve"> consistent metrics over time by standardizing definitions</w:t>
      </w:r>
      <w:r w:rsidR="00C35B7B">
        <w:rPr>
          <w:rFonts w:eastAsia="Calibri"/>
          <w:color w:val="000000"/>
          <w:szCs w:val="26"/>
        </w:rPr>
        <w:t xml:space="preserve">.  Furthermore, the GAO recommended </w:t>
      </w:r>
      <w:r w:rsidRPr="002D305C">
        <w:rPr>
          <w:rFonts w:eastAsia="Calibri"/>
          <w:color w:val="000000"/>
          <w:szCs w:val="26"/>
        </w:rPr>
        <w:t xml:space="preserve">that the Commission develop and document an approach to regularly identify, assess, and respond to risks that capacity markets face.  </w:t>
      </w:r>
    </w:p>
    <w:p w:rsidR="001652BE" w:rsidP="002D305C" w:rsidRDefault="001652BE" w14:paraId="2FE03D9B" w14:textId="3D63BD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Pr>
          <w:rFonts w:eastAsia="Calibri"/>
          <w:color w:val="000000"/>
          <w:szCs w:val="26"/>
        </w:rPr>
        <w:lastRenderedPageBreak/>
        <w:tab/>
      </w:r>
      <w:r w:rsidRPr="002D305C" w:rsidR="002D305C">
        <w:rPr>
          <w:rFonts w:eastAsia="Calibri"/>
          <w:color w:val="000000"/>
          <w:szCs w:val="26"/>
        </w:rPr>
        <w:t xml:space="preserve">In response to the 2017 GAO Report, Commission staff has proposed changes to the Common Metrics information collection.  First, Commission staff proposes to improve the data collection process by creating a standardized information collection Input Spreadsheet </w:t>
      </w:r>
      <w:r w:rsidR="000B48D3">
        <w:rPr>
          <w:rFonts w:eastAsia="Calibri"/>
          <w:color w:val="000000"/>
          <w:szCs w:val="26"/>
        </w:rPr>
        <w:t xml:space="preserve">(i.e., the reporting form) </w:t>
      </w:r>
      <w:r w:rsidRPr="002D305C" w:rsidR="002D305C">
        <w:rPr>
          <w:rFonts w:eastAsia="Calibri"/>
          <w:color w:val="000000"/>
          <w:szCs w:val="26"/>
        </w:rPr>
        <w:t>and an updated, more detailed User Guide, which will provide guidance on completing the information collection</w:t>
      </w:r>
      <w:r w:rsidR="000B48D3">
        <w:rPr>
          <w:rFonts w:eastAsia="Calibri"/>
          <w:color w:val="000000"/>
          <w:szCs w:val="26"/>
        </w:rPr>
        <w:t xml:space="preserve"> request</w:t>
      </w:r>
      <w:r w:rsidRPr="002D305C" w:rsidR="002D305C">
        <w:rPr>
          <w:rFonts w:eastAsia="Calibri"/>
          <w:color w:val="000000"/>
          <w:szCs w:val="26"/>
        </w:rPr>
        <w:t>, including information about who should respond</w:t>
      </w:r>
      <w:r w:rsidR="000B48D3">
        <w:rPr>
          <w:rFonts w:eastAsia="Calibri"/>
          <w:color w:val="000000"/>
          <w:szCs w:val="26"/>
        </w:rPr>
        <w:t>;</w:t>
      </w:r>
      <w:r w:rsidRPr="002D305C" w:rsidR="000B48D3">
        <w:rPr>
          <w:rFonts w:eastAsia="Calibri"/>
          <w:color w:val="000000"/>
          <w:szCs w:val="26"/>
        </w:rPr>
        <w:t xml:space="preserve"> </w:t>
      </w:r>
      <w:r w:rsidRPr="002D305C" w:rsidR="002D305C">
        <w:rPr>
          <w:rFonts w:eastAsia="Calibri"/>
          <w:color w:val="000000"/>
          <w:szCs w:val="26"/>
        </w:rPr>
        <w:t>the timeline for responses</w:t>
      </w:r>
      <w:r w:rsidR="000B48D3">
        <w:rPr>
          <w:rFonts w:eastAsia="Calibri"/>
          <w:color w:val="000000"/>
          <w:szCs w:val="26"/>
        </w:rPr>
        <w:t>;</w:t>
      </w:r>
      <w:r w:rsidRPr="002D305C" w:rsidR="000B48D3">
        <w:rPr>
          <w:rFonts w:eastAsia="Calibri"/>
          <w:color w:val="000000"/>
          <w:szCs w:val="26"/>
        </w:rPr>
        <w:t xml:space="preserve"> </w:t>
      </w:r>
      <w:r w:rsidRPr="002D305C" w:rsidR="002D305C">
        <w:rPr>
          <w:rFonts w:eastAsia="Calibri"/>
          <w:color w:val="000000"/>
          <w:szCs w:val="26"/>
        </w:rPr>
        <w:t>the metrics being collected, including important definitions and a description of the types of metrics and their structure in the information collection</w:t>
      </w:r>
      <w:r w:rsidR="000B48D3">
        <w:rPr>
          <w:rFonts w:eastAsia="Calibri"/>
          <w:color w:val="000000"/>
          <w:szCs w:val="26"/>
        </w:rPr>
        <w:t>;</w:t>
      </w:r>
      <w:r w:rsidRPr="002D305C" w:rsidR="000B48D3">
        <w:rPr>
          <w:rFonts w:eastAsia="Calibri"/>
          <w:color w:val="000000"/>
          <w:szCs w:val="26"/>
        </w:rPr>
        <w:t xml:space="preserve"> </w:t>
      </w:r>
      <w:r w:rsidRPr="002D305C" w:rsidR="002D305C">
        <w:rPr>
          <w:rFonts w:eastAsia="Calibri"/>
          <w:color w:val="000000"/>
          <w:szCs w:val="26"/>
        </w:rPr>
        <w:t xml:space="preserve">and how to properly use the reporting form.  Also, Commission staff proposes to update the list of Common Metrics to focus on centrally-organized energy markets and capacity markets, which involves adding capacity market metrics.  </w:t>
      </w:r>
    </w:p>
    <w:p w:rsidRPr="002D305C" w:rsidR="002D305C" w:rsidP="002D305C" w:rsidRDefault="001652BE" w14:paraId="5E86CE64" w14:textId="70FD60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Pr>
          <w:rFonts w:eastAsia="Calibri"/>
          <w:color w:val="000000"/>
          <w:szCs w:val="26"/>
        </w:rPr>
        <w:tab/>
      </w:r>
      <w:r w:rsidRPr="002D305C" w:rsidR="002D305C">
        <w:rPr>
          <w:rFonts w:eastAsia="Calibri"/>
          <w:color w:val="000000"/>
          <w:szCs w:val="26"/>
        </w:rPr>
        <w:t xml:space="preserve">The update </w:t>
      </w:r>
      <w:r w:rsidR="00F43250">
        <w:rPr>
          <w:rFonts w:eastAsia="Calibri"/>
          <w:color w:val="000000"/>
          <w:szCs w:val="26"/>
        </w:rPr>
        <w:t>eliminates</w:t>
      </w:r>
      <w:r w:rsidRPr="002D305C" w:rsidR="002D305C">
        <w:rPr>
          <w:rFonts w:eastAsia="Calibri"/>
          <w:color w:val="000000"/>
          <w:szCs w:val="26"/>
        </w:rPr>
        <w:t xml:space="preserve"> </w:t>
      </w:r>
      <w:r w:rsidRPr="002D305C" w:rsidR="00F43250">
        <w:rPr>
          <w:rFonts w:eastAsia="Calibri"/>
          <w:color w:val="000000"/>
          <w:szCs w:val="26"/>
        </w:rPr>
        <w:t>previously</w:t>
      </w:r>
      <w:r w:rsidR="00F43250">
        <w:rPr>
          <w:rFonts w:eastAsia="Calibri"/>
          <w:color w:val="000000"/>
          <w:szCs w:val="26"/>
        </w:rPr>
        <w:t>-</w:t>
      </w:r>
      <w:r w:rsidRPr="002D305C" w:rsidR="002D305C">
        <w:rPr>
          <w:rFonts w:eastAsia="Calibri"/>
          <w:color w:val="000000"/>
          <w:szCs w:val="26"/>
        </w:rPr>
        <w:t>collected metrics on reliability, RTO/ISO billing controls and customer satisfaction, interconnection and transmission processes, and system lambda.  Commission staff proposes eliminating these metrics because they provide limited information, do not significantly help Commission staff or the public draw any conclusions regarding the benefits of an RTO/ISO</w:t>
      </w:r>
      <w:r w:rsidR="00D13EC3">
        <w:rPr>
          <w:rFonts w:eastAsia="Calibri"/>
          <w:color w:val="000000"/>
          <w:szCs w:val="26"/>
        </w:rPr>
        <w:t>, and</w:t>
      </w:r>
      <w:r w:rsidRPr="00D13EC3" w:rsidR="00D13EC3">
        <w:rPr>
          <w:rFonts w:eastAsia="Calibri"/>
          <w:color w:val="000000"/>
          <w:szCs w:val="26"/>
        </w:rPr>
        <w:t xml:space="preserve"> </w:t>
      </w:r>
      <w:r w:rsidR="00D13EC3">
        <w:rPr>
          <w:rFonts w:eastAsia="Calibri"/>
          <w:color w:val="000000"/>
          <w:szCs w:val="26"/>
        </w:rPr>
        <w:t>to reduce the reporting burden for respondents</w:t>
      </w:r>
      <w:r w:rsidRPr="002D305C" w:rsidR="002D305C">
        <w:rPr>
          <w:rFonts w:eastAsia="Calibri"/>
          <w:color w:val="000000"/>
          <w:szCs w:val="26"/>
        </w:rPr>
        <w:t xml:space="preserve">.  The revised data collection, after additions and deletions, consists of </w:t>
      </w:r>
      <w:r w:rsidR="00E77708">
        <w:rPr>
          <w:rFonts w:eastAsia="Calibri"/>
          <w:color w:val="000000"/>
          <w:szCs w:val="26"/>
        </w:rPr>
        <w:t>twenty-nine</w:t>
      </w:r>
      <w:r w:rsidRPr="002D305C" w:rsidR="002D305C">
        <w:rPr>
          <w:rFonts w:eastAsia="Calibri"/>
          <w:color w:val="000000"/>
          <w:szCs w:val="26"/>
        </w:rPr>
        <w:t xml:space="preserve"> Common Metrics.  </w:t>
      </w:r>
    </w:p>
    <w:p w:rsidR="00514CB6" w:rsidP="002D305C" w:rsidRDefault="001652BE" w14:paraId="79B44B65" w14:textId="791465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Pr>
          <w:rFonts w:eastAsia="Calibri"/>
          <w:color w:val="000000"/>
          <w:szCs w:val="26"/>
        </w:rPr>
        <w:tab/>
      </w:r>
      <w:r w:rsidRPr="002D305C" w:rsidR="002D305C">
        <w:rPr>
          <w:rFonts w:eastAsia="Calibri"/>
          <w:color w:val="000000"/>
          <w:szCs w:val="26"/>
        </w:rPr>
        <w:t>In addition to eliminating certain metrics and adding new ones, the Common Metrics are now organized into three groups</w:t>
      </w:r>
      <w:r w:rsidR="00514CB6">
        <w:rPr>
          <w:rFonts w:eastAsia="Calibri"/>
          <w:color w:val="000000"/>
          <w:szCs w:val="26"/>
        </w:rPr>
        <w:t>:</w:t>
      </w:r>
      <w:r w:rsidRPr="002D305C" w:rsidR="002D305C">
        <w:rPr>
          <w:rFonts w:eastAsia="Calibri"/>
          <w:color w:val="000000"/>
          <w:szCs w:val="26"/>
        </w:rPr>
        <w:t xml:space="preserve">  </w:t>
      </w:r>
    </w:p>
    <w:p w:rsidRPr="00514CB6" w:rsidR="001652BE" w:rsidP="00EA1BF2" w:rsidRDefault="002D305C" w14:paraId="2CAE0C95" w14:textId="4820994E">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7E6091">
        <w:rPr>
          <w:rFonts w:eastAsia="Calibri"/>
          <w:color w:val="000000"/>
          <w:szCs w:val="26"/>
        </w:rPr>
        <w:lastRenderedPageBreak/>
        <w:t>Group 1 metrics are designed to be collected from all respondents (i.e.,  RTOs/ISOs and non-RTO/ISO utilities).</w:t>
      </w:r>
      <w:r w:rsidRPr="00514CB6" w:rsidR="00514CB6">
        <w:rPr>
          <w:rFonts w:eastAsia="Calibri"/>
          <w:color w:val="000000"/>
          <w:szCs w:val="26"/>
        </w:rPr>
        <w:t xml:space="preserve">  </w:t>
      </w:r>
      <w:r w:rsidRPr="00514CB6">
        <w:rPr>
          <w:rFonts w:eastAsia="Calibri"/>
          <w:color w:val="000000"/>
          <w:szCs w:val="26"/>
        </w:rPr>
        <w:t xml:space="preserve">There are seven Group 1 metrics: Reserve Margins, Average Heat Rates, Fuel Diversity, Capacity Factor by Technology Type, Energy Emergency Alerts (EEA Level 1 or Higher), Performance by Technology Type during EEA Level 1 or Higher, and Resource Availability (Equivalent Forced Outage Rate Demand (EFORd)).  </w:t>
      </w:r>
    </w:p>
    <w:p w:rsidR="00514CB6" w:rsidP="001652BE" w:rsidRDefault="002D305C" w14:paraId="60EB0620" w14:textId="1815C0E6">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CE60A1">
        <w:rPr>
          <w:rFonts w:eastAsia="Calibri"/>
          <w:color w:val="000000"/>
          <w:szCs w:val="26"/>
        </w:rPr>
        <w:t>Gr</w:t>
      </w:r>
      <w:r w:rsidR="00914401">
        <w:rPr>
          <w:rFonts w:eastAsia="Calibri"/>
          <w:color w:val="000000"/>
          <w:szCs w:val="26"/>
        </w:rPr>
        <w:t>oup</w:t>
      </w:r>
      <w:r w:rsidRPr="00CE60A1">
        <w:rPr>
          <w:rFonts w:eastAsia="Calibri"/>
          <w:color w:val="000000"/>
          <w:szCs w:val="26"/>
        </w:rPr>
        <w:t xml:space="preserve"> 2 metrics pertain to organized energy markets and</w:t>
      </w:r>
      <w:r w:rsidR="000C2D70">
        <w:rPr>
          <w:rFonts w:eastAsia="Calibri"/>
          <w:color w:val="000000"/>
          <w:szCs w:val="26"/>
        </w:rPr>
        <w:t>,</w:t>
      </w:r>
      <w:r w:rsidRPr="00CE60A1">
        <w:rPr>
          <w:rFonts w:eastAsia="Calibri"/>
          <w:color w:val="000000"/>
          <w:szCs w:val="26"/>
        </w:rPr>
        <w:t xml:space="preserve"> thus</w:t>
      </w:r>
      <w:r w:rsidR="000C2D70">
        <w:rPr>
          <w:rFonts w:eastAsia="Calibri"/>
          <w:color w:val="000000"/>
          <w:szCs w:val="26"/>
        </w:rPr>
        <w:t>,</w:t>
      </w:r>
      <w:r w:rsidRPr="00CE60A1">
        <w:rPr>
          <w:rFonts w:eastAsia="Calibri"/>
          <w:color w:val="000000"/>
          <w:szCs w:val="26"/>
        </w:rPr>
        <w:t xml:space="preserve"> are designed to be collected only from respondents with such energy markets (i.e., all RTOs/ISOs).  There are </w:t>
      </w:r>
      <w:r w:rsidR="005279C6">
        <w:rPr>
          <w:rFonts w:eastAsia="Calibri"/>
          <w:color w:val="000000"/>
          <w:szCs w:val="26"/>
        </w:rPr>
        <w:t>twelve</w:t>
      </w:r>
      <w:r w:rsidRPr="00CE60A1">
        <w:rPr>
          <w:rFonts w:eastAsia="Calibri"/>
          <w:color w:val="000000"/>
          <w:szCs w:val="26"/>
        </w:rPr>
        <w:t xml:space="preserve"> Group 2 metrics:  Number and Capacity of Reliability Must-Run Units, Reliability Must-Run Contract Usage, Demand Response Capability, Unit Hours Mitigated, Wholesale Power Costs by Charge Type, Price Cost Markup, Fuel Adjusted Wholesale Energy Price, Energy Market Price Convergence, Congestion Management, Administrative Cost</w:t>
      </w:r>
      <w:r w:rsidR="0030138E">
        <w:rPr>
          <w:rFonts w:eastAsia="Calibri"/>
          <w:color w:val="000000"/>
          <w:szCs w:val="26"/>
        </w:rPr>
        <w:t>s</w:t>
      </w:r>
      <w:r w:rsidRPr="00CE60A1">
        <w:rPr>
          <w:rFonts w:eastAsia="Calibri"/>
          <w:color w:val="000000"/>
          <w:szCs w:val="26"/>
        </w:rPr>
        <w:t>, New Entrant Net Revenues, and Order No. 825</w:t>
      </w:r>
      <w:r w:rsidR="00F851A6">
        <w:rPr>
          <w:rStyle w:val="FootnoteReference"/>
          <w:rFonts w:eastAsia="Calibri"/>
          <w:color w:val="000000"/>
        </w:rPr>
        <w:footnoteReference w:id="6"/>
      </w:r>
      <w:r w:rsidRPr="00CE60A1">
        <w:rPr>
          <w:rFonts w:eastAsia="Calibri"/>
          <w:color w:val="000000"/>
          <w:szCs w:val="26"/>
        </w:rPr>
        <w:t xml:space="preserve"> Shortage Intervals and Reserve Price Impacts.   </w:t>
      </w:r>
    </w:p>
    <w:p w:rsidRPr="00514CB6" w:rsidR="001652BE" w:rsidP="00EA1BF2" w:rsidRDefault="002D305C" w14:paraId="451E9052" w14:textId="3F605F98">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514CB6">
        <w:rPr>
          <w:rFonts w:eastAsia="Calibri"/>
          <w:color w:val="000000"/>
          <w:szCs w:val="26"/>
        </w:rPr>
        <w:t xml:space="preserve">Finally, </w:t>
      </w:r>
      <w:r w:rsidR="00FA1825">
        <w:rPr>
          <w:rFonts w:eastAsia="Calibri"/>
          <w:color w:val="000000"/>
          <w:szCs w:val="26"/>
        </w:rPr>
        <w:t>the new</w:t>
      </w:r>
      <w:r w:rsidRPr="00514CB6">
        <w:rPr>
          <w:rFonts w:eastAsia="Calibri"/>
          <w:color w:val="000000"/>
          <w:szCs w:val="26"/>
        </w:rPr>
        <w:t xml:space="preserve"> Group 3</w:t>
      </w:r>
      <w:r w:rsidR="008D4353">
        <w:rPr>
          <w:rFonts w:eastAsia="Calibri"/>
          <w:color w:val="000000"/>
          <w:szCs w:val="26"/>
        </w:rPr>
        <w:t xml:space="preserve"> metrics</w:t>
      </w:r>
      <w:r w:rsidRPr="00514CB6">
        <w:rPr>
          <w:rFonts w:eastAsia="Calibri"/>
          <w:color w:val="000000"/>
          <w:szCs w:val="26"/>
        </w:rPr>
        <w:t xml:space="preserve"> pertain to organized capacity markets and</w:t>
      </w:r>
      <w:r w:rsidR="000C2D70">
        <w:rPr>
          <w:rFonts w:eastAsia="Calibri"/>
          <w:color w:val="000000"/>
          <w:szCs w:val="26"/>
        </w:rPr>
        <w:t>,</w:t>
      </w:r>
      <w:r w:rsidRPr="00514CB6">
        <w:rPr>
          <w:rFonts w:eastAsia="Calibri"/>
          <w:color w:val="000000"/>
          <w:szCs w:val="26"/>
        </w:rPr>
        <w:t xml:space="preserve"> thus</w:t>
      </w:r>
      <w:r w:rsidR="000C2D70">
        <w:rPr>
          <w:rFonts w:eastAsia="Calibri"/>
          <w:color w:val="000000"/>
          <w:szCs w:val="26"/>
        </w:rPr>
        <w:t>,</w:t>
      </w:r>
      <w:r w:rsidRPr="00514CB6">
        <w:rPr>
          <w:rFonts w:eastAsia="Calibri"/>
          <w:color w:val="000000"/>
          <w:szCs w:val="26"/>
        </w:rPr>
        <w:t xml:space="preserve"> are designed to be collected only from respondents with such capacity markets (i.e., all RTOs/ISOs with capacity markets).  There are </w:t>
      </w:r>
      <w:r w:rsidR="00E77708">
        <w:rPr>
          <w:rFonts w:eastAsia="Calibri"/>
          <w:color w:val="000000"/>
          <w:szCs w:val="26"/>
        </w:rPr>
        <w:t>ten</w:t>
      </w:r>
      <w:r w:rsidRPr="00514CB6">
        <w:rPr>
          <w:rFonts w:eastAsia="Calibri"/>
          <w:color w:val="000000"/>
          <w:szCs w:val="26"/>
        </w:rPr>
        <w:t xml:space="preserve"> Group 3 metrics:  Net Cost of New Entry (Net CONE) Value, Resource </w:t>
      </w:r>
      <w:r w:rsidRPr="00514CB6">
        <w:rPr>
          <w:rFonts w:eastAsia="Calibri"/>
          <w:color w:val="000000"/>
          <w:szCs w:val="26"/>
        </w:rPr>
        <w:lastRenderedPageBreak/>
        <w:t xml:space="preserve">Deliverability, New Capacity (Entry), Capacity Retirement (Exit), Forecasted Demand, Capacity Market Procurement and Prices, Capacity Obligations and Performance Assessment Events, Capacity Over-Performance, Capacity Under-Performance, </w:t>
      </w:r>
      <w:r w:rsidR="000C2D70">
        <w:rPr>
          <w:rFonts w:eastAsia="Calibri"/>
          <w:color w:val="000000"/>
          <w:szCs w:val="26"/>
        </w:rPr>
        <w:t xml:space="preserve">and </w:t>
      </w:r>
      <w:r w:rsidRPr="00514CB6">
        <w:rPr>
          <w:rFonts w:eastAsia="Calibri"/>
          <w:color w:val="000000"/>
          <w:szCs w:val="26"/>
        </w:rPr>
        <w:t xml:space="preserve">Total Capacity Bonus Payments and Penalties.  </w:t>
      </w:r>
    </w:p>
    <w:p w:rsidRPr="00CE60A1" w:rsidR="001A3BAB" w:rsidP="00CE60A1" w:rsidRDefault="003E0D13" w14:paraId="3C8D831D" w14:textId="68AB97ED">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rPr>
          <w:rFonts w:eastAsia="Calibri"/>
          <w:color w:val="000000"/>
          <w:szCs w:val="26"/>
        </w:rPr>
      </w:pPr>
      <w:r>
        <w:rPr>
          <w:rFonts w:eastAsia="Calibri"/>
          <w:color w:val="000000"/>
          <w:szCs w:val="26"/>
        </w:rPr>
        <w:tab/>
      </w:r>
      <w:r w:rsidRPr="00CE60A1" w:rsidR="002D305C">
        <w:rPr>
          <w:rFonts w:eastAsia="Calibri"/>
          <w:color w:val="000000"/>
          <w:szCs w:val="26"/>
        </w:rPr>
        <w:t xml:space="preserve">A table showing the revised Common Metrics organized by the three groups can be found at the </w:t>
      </w:r>
      <w:r w:rsidR="000C2D70">
        <w:rPr>
          <w:rFonts w:eastAsia="Calibri"/>
          <w:color w:val="000000"/>
          <w:szCs w:val="26"/>
        </w:rPr>
        <w:t>end</w:t>
      </w:r>
      <w:r w:rsidRPr="00CE60A1" w:rsidR="000C2D70">
        <w:rPr>
          <w:rFonts w:eastAsia="Calibri"/>
          <w:color w:val="000000"/>
          <w:szCs w:val="26"/>
        </w:rPr>
        <w:t xml:space="preserve"> </w:t>
      </w:r>
      <w:r w:rsidRPr="00CE60A1" w:rsidR="002D305C">
        <w:rPr>
          <w:rFonts w:eastAsia="Calibri"/>
          <w:color w:val="000000"/>
          <w:szCs w:val="26"/>
        </w:rPr>
        <w:t xml:space="preserve">of this </w:t>
      </w:r>
      <w:r w:rsidR="00D05E66">
        <w:rPr>
          <w:rFonts w:eastAsia="Calibri"/>
          <w:color w:val="000000"/>
          <w:szCs w:val="26"/>
        </w:rPr>
        <w:t>n</w:t>
      </w:r>
      <w:r w:rsidRPr="00CE60A1" w:rsidR="002D305C">
        <w:rPr>
          <w:rFonts w:eastAsia="Calibri"/>
          <w:color w:val="000000"/>
          <w:szCs w:val="26"/>
        </w:rPr>
        <w:t xml:space="preserve">otice. </w:t>
      </w:r>
    </w:p>
    <w:p w:rsidRPr="002D305C" w:rsidR="002D305C" w:rsidP="002D305C" w:rsidRDefault="001652BE" w14:paraId="74A8ABDD" w14:textId="17389E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Pr>
          <w:rFonts w:eastAsia="Calibri"/>
          <w:color w:val="000000"/>
          <w:szCs w:val="26"/>
        </w:rPr>
        <w:tab/>
        <w:t>T</w:t>
      </w:r>
      <w:r w:rsidRPr="002D305C" w:rsidR="002D305C">
        <w:rPr>
          <w:rFonts w:eastAsia="Calibri"/>
          <w:color w:val="000000"/>
          <w:szCs w:val="26"/>
        </w:rPr>
        <w:t xml:space="preserve">he updated User Guide for the information collection, </w:t>
      </w:r>
      <w:r w:rsidR="000C2D70">
        <w:rPr>
          <w:rFonts w:eastAsia="Calibri"/>
          <w:color w:val="000000"/>
          <w:szCs w:val="26"/>
        </w:rPr>
        <w:t>as well as</w:t>
      </w:r>
      <w:r w:rsidRPr="002D305C" w:rsidR="000C2D70">
        <w:rPr>
          <w:rFonts w:eastAsia="Calibri"/>
          <w:color w:val="000000"/>
          <w:szCs w:val="26"/>
        </w:rPr>
        <w:t xml:space="preserve"> </w:t>
      </w:r>
      <w:r w:rsidRPr="002D305C" w:rsidR="002D305C">
        <w:rPr>
          <w:rFonts w:eastAsia="Calibri"/>
          <w:color w:val="000000"/>
          <w:szCs w:val="26"/>
        </w:rPr>
        <w:t>the standardized information collection reporting form</w:t>
      </w:r>
      <w:r w:rsidR="000C2D70">
        <w:rPr>
          <w:rFonts w:eastAsia="Calibri"/>
          <w:color w:val="000000"/>
          <w:szCs w:val="26"/>
        </w:rPr>
        <w:t>,</w:t>
      </w:r>
      <w:r w:rsidRPr="002D305C" w:rsidR="002D305C">
        <w:rPr>
          <w:rFonts w:eastAsia="Calibri"/>
          <w:color w:val="000000"/>
          <w:szCs w:val="26"/>
        </w:rPr>
        <w:t xml:space="preserve"> are </w:t>
      </w:r>
      <w:r w:rsidR="00E77708">
        <w:rPr>
          <w:rFonts w:eastAsia="Calibri"/>
          <w:color w:val="000000"/>
          <w:szCs w:val="26"/>
        </w:rPr>
        <w:t xml:space="preserve">also </w:t>
      </w:r>
      <w:r w:rsidRPr="002D305C" w:rsidR="002D305C">
        <w:rPr>
          <w:rFonts w:eastAsia="Calibri"/>
          <w:color w:val="000000"/>
          <w:szCs w:val="26"/>
        </w:rPr>
        <w:t xml:space="preserve">attached to this </w:t>
      </w:r>
      <w:r w:rsidR="00D05E66">
        <w:rPr>
          <w:rFonts w:eastAsia="Calibri"/>
          <w:color w:val="000000"/>
          <w:szCs w:val="26"/>
        </w:rPr>
        <w:t>n</w:t>
      </w:r>
      <w:r w:rsidRPr="002D305C" w:rsidR="002D305C">
        <w:rPr>
          <w:rFonts w:eastAsia="Calibri"/>
          <w:color w:val="000000"/>
          <w:szCs w:val="26"/>
        </w:rPr>
        <w:t>otice.  These attachments will not be published in the Federal Register but will be available as part of this notice in the Commission’s eLibrary system</w:t>
      </w:r>
      <w:r w:rsidR="00514CB6">
        <w:rPr>
          <w:rFonts w:eastAsia="Calibri"/>
          <w:color w:val="000000"/>
          <w:szCs w:val="26"/>
        </w:rPr>
        <w:t xml:space="preserve"> under Docket No. AD19-16-000</w:t>
      </w:r>
      <w:r w:rsidRPr="002D305C" w:rsidR="002D305C">
        <w:rPr>
          <w:rFonts w:eastAsia="Calibri"/>
          <w:color w:val="000000"/>
          <w:szCs w:val="26"/>
        </w:rPr>
        <w:t>.</w:t>
      </w:r>
    </w:p>
    <w:p w:rsidR="002D305C" w:rsidP="000836D6" w:rsidRDefault="001652BE" w14:paraId="3B4C8810" w14:textId="0AAD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Pr>
          <w:rFonts w:eastAsia="Calibri"/>
          <w:color w:val="000000"/>
          <w:szCs w:val="26"/>
        </w:rPr>
        <w:tab/>
      </w:r>
      <w:r w:rsidRPr="002D305C" w:rsidR="002D305C">
        <w:rPr>
          <w:rFonts w:eastAsia="Calibri"/>
          <w:color w:val="000000"/>
          <w:szCs w:val="26"/>
        </w:rPr>
        <w:t>Commission staff has assured itself, by means of internal review, that there is specific, objective support for the burden estimates associated with the information collection requirements.</w:t>
      </w:r>
    </w:p>
    <w:p w:rsidRPr="000836D6" w:rsidR="000836D6" w:rsidP="000836D6" w:rsidRDefault="000836D6" w14:paraId="60C1CB46" w14:textId="291860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szCs w:val="26"/>
        </w:rPr>
      </w:pPr>
      <w:r w:rsidRPr="000836D6">
        <w:rPr>
          <w:rFonts w:eastAsia="Calibri"/>
          <w:i/>
          <w:szCs w:val="26"/>
        </w:rPr>
        <w:t xml:space="preserve">Type of Respondents: </w:t>
      </w:r>
      <w:r w:rsidR="00514CB6">
        <w:rPr>
          <w:rFonts w:eastAsia="Calibri"/>
          <w:i/>
          <w:szCs w:val="26"/>
        </w:rPr>
        <w:t xml:space="preserve"> </w:t>
      </w:r>
      <w:r w:rsidRPr="0037603F" w:rsidR="00514CB6">
        <w:rPr>
          <w:rFonts w:eastAsia="Calibri"/>
          <w:szCs w:val="26"/>
        </w:rPr>
        <w:t xml:space="preserve">ISOs, RTOs, and </w:t>
      </w:r>
      <w:r w:rsidRPr="0037603F" w:rsidR="00E332BA">
        <w:rPr>
          <w:rFonts w:eastAsia="Calibri"/>
          <w:szCs w:val="26"/>
        </w:rPr>
        <w:t>non-RTO/ISO</w:t>
      </w:r>
      <w:r w:rsidRPr="0037603F" w:rsidR="00514CB6">
        <w:rPr>
          <w:rFonts w:eastAsia="Calibri"/>
          <w:szCs w:val="26"/>
        </w:rPr>
        <w:t xml:space="preserve"> utilities.</w:t>
      </w:r>
    </w:p>
    <w:p w:rsidR="004C232C" w:rsidP="00AE1F12" w:rsidRDefault="004C232C" w14:paraId="2D6307FE" w14:textId="39E21F7B">
      <w:pPr>
        <w:spacing w:line="480" w:lineRule="auto"/>
        <w:rPr>
          <w:szCs w:val="26"/>
        </w:rPr>
      </w:pPr>
      <w:r w:rsidRPr="003B1D59">
        <w:rPr>
          <w:i/>
          <w:szCs w:val="26"/>
        </w:rPr>
        <w:t>Estimate of Annual Burden</w:t>
      </w:r>
      <w:r>
        <w:rPr>
          <w:i/>
          <w:szCs w:val="26"/>
        </w:rPr>
        <w:t>:</w:t>
      </w:r>
      <w:r w:rsidRPr="007E6091">
        <w:rPr>
          <w:rStyle w:val="FootnoteReference"/>
        </w:rPr>
        <w:footnoteReference w:id="7"/>
      </w:r>
      <w:r w:rsidR="00514CB6">
        <w:rPr>
          <w:i/>
          <w:szCs w:val="26"/>
        </w:rPr>
        <w:t xml:space="preserve"> </w:t>
      </w:r>
      <w:r w:rsidR="002D305C">
        <w:rPr>
          <w:i/>
          <w:szCs w:val="26"/>
        </w:rPr>
        <w:t xml:space="preserve"> </w:t>
      </w:r>
      <w:r w:rsidRPr="002D305C" w:rsidR="002D305C">
        <w:rPr>
          <w:szCs w:val="26"/>
        </w:rPr>
        <w:t xml:space="preserve">Commission staff expects that respondents will submit information on the Common Metrics every two years.  Commission staff </w:t>
      </w:r>
      <w:r w:rsidR="006461AA">
        <w:rPr>
          <w:szCs w:val="26"/>
        </w:rPr>
        <w:t>is</w:t>
      </w:r>
      <w:r w:rsidRPr="002D305C" w:rsidR="002D305C">
        <w:rPr>
          <w:szCs w:val="26"/>
        </w:rPr>
        <w:t xml:space="preserve"> </w:t>
      </w:r>
      <w:r w:rsidRPr="002D305C" w:rsidR="002D305C">
        <w:rPr>
          <w:szCs w:val="26"/>
        </w:rPr>
        <w:lastRenderedPageBreak/>
        <w:t>request</w:t>
      </w:r>
      <w:r w:rsidR="006461AA">
        <w:rPr>
          <w:szCs w:val="26"/>
        </w:rPr>
        <w:t>ing</w:t>
      </w:r>
      <w:r w:rsidRPr="002D305C" w:rsidR="002D305C">
        <w:rPr>
          <w:szCs w:val="26"/>
        </w:rPr>
        <w:t xml:space="preserve"> a three-year approval from OMB, so the voluntary information collection would happen in Year 1 and </w:t>
      </w:r>
      <w:r w:rsidR="00AD1236">
        <w:rPr>
          <w:szCs w:val="26"/>
        </w:rPr>
        <w:t xml:space="preserve">Year </w:t>
      </w:r>
      <w:r w:rsidRPr="002D305C" w:rsidR="002D305C">
        <w:rPr>
          <w:szCs w:val="26"/>
        </w:rPr>
        <w:t>3.</w:t>
      </w:r>
      <w:r w:rsidR="002D305C">
        <w:rPr>
          <w:rStyle w:val="FootnoteReference"/>
        </w:rPr>
        <w:footnoteReference w:id="8"/>
      </w:r>
      <w:r w:rsidRPr="002D305C" w:rsidR="002D305C">
        <w:rPr>
          <w:szCs w:val="26"/>
        </w:rPr>
        <w:t xml:space="preserve">  The following table sets forth the estimated annual burden and cost</w:t>
      </w:r>
      <w:r w:rsidR="002D305C">
        <w:rPr>
          <w:rStyle w:val="FootnoteReference"/>
        </w:rPr>
        <w:footnoteReference w:id="9"/>
      </w:r>
      <w:r w:rsidRPr="002D305C" w:rsidR="002D305C">
        <w:rPr>
          <w:szCs w:val="26"/>
        </w:rPr>
        <w:t xml:space="preserve"> for this information collection:  </w:t>
      </w:r>
    </w:p>
    <w:p w:rsidR="00DD01FF" w:rsidP="00AE1F12" w:rsidRDefault="00C4022E" w14:paraId="32DE72BA" w14:textId="1C2B75FB">
      <w:pPr>
        <w:spacing w:line="480" w:lineRule="auto"/>
        <w:rPr>
          <w:szCs w:val="26"/>
        </w:rPr>
      </w:pPr>
      <w:r>
        <w:rPr>
          <w:noProof/>
        </w:rPr>
        <w:drawing>
          <wp:inline distT="0" distB="0" distL="0" distR="0" wp14:anchorId="4A59D94D" wp14:editId="45BEDB7E">
            <wp:extent cx="5158740" cy="322839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67027" cy="3233578"/>
                    </a:xfrm>
                    <a:prstGeom prst="rect">
                      <a:avLst/>
                    </a:prstGeom>
                  </pic:spPr>
                </pic:pic>
              </a:graphicData>
            </a:graphic>
          </wp:inline>
        </w:drawing>
      </w:r>
    </w:p>
    <w:p w:rsidR="003E0D13" w:rsidP="00726F7E" w:rsidRDefault="003E0D13" w14:paraId="663256C6" w14:textId="77777777">
      <w:pPr>
        <w:widowControl w:val="0"/>
        <w:autoSpaceDE w:val="0"/>
        <w:autoSpaceDN w:val="0"/>
        <w:adjustRightInd w:val="0"/>
        <w:spacing w:line="480" w:lineRule="auto"/>
        <w:rPr>
          <w:rFonts w:eastAsiaTheme="minorHAnsi"/>
          <w:color w:val="000000"/>
          <w:szCs w:val="22"/>
        </w:rPr>
      </w:pPr>
    </w:p>
    <w:p w:rsidRPr="00726F7E" w:rsidR="00726F7E" w:rsidP="00726F7E" w:rsidRDefault="00726F7E" w14:paraId="678CF121" w14:textId="6AD41B90">
      <w:pPr>
        <w:widowControl w:val="0"/>
        <w:autoSpaceDE w:val="0"/>
        <w:autoSpaceDN w:val="0"/>
        <w:adjustRightInd w:val="0"/>
        <w:spacing w:line="480" w:lineRule="auto"/>
        <w:rPr>
          <w:rFonts w:eastAsiaTheme="minorHAnsi"/>
          <w:color w:val="000000"/>
          <w:szCs w:val="22"/>
        </w:rPr>
      </w:pPr>
      <w:r w:rsidRPr="00726F7E">
        <w:rPr>
          <w:rFonts w:eastAsiaTheme="minorHAnsi"/>
          <w:color w:val="000000"/>
          <w:szCs w:val="22"/>
        </w:rPr>
        <w:lastRenderedPageBreak/>
        <w:t xml:space="preserve">Explanation of the Table: </w:t>
      </w:r>
    </w:p>
    <w:p w:rsidR="00825446" w:rsidP="00726F7E" w:rsidRDefault="00726F7E" w14:paraId="5A1DEE7D" w14:textId="0CDA2519">
      <w:pPr>
        <w:widowControl w:val="0"/>
        <w:autoSpaceDE w:val="0"/>
        <w:autoSpaceDN w:val="0"/>
        <w:adjustRightInd w:val="0"/>
        <w:spacing w:line="480" w:lineRule="auto"/>
        <w:ind w:firstLine="720"/>
        <w:rPr>
          <w:rFonts w:eastAsiaTheme="minorHAnsi"/>
          <w:color w:val="000000"/>
          <w:szCs w:val="22"/>
        </w:rPr>
      </w:pPr>
      <w:r w:rsidRPr="00726F7E">
        <w:rPr>
          <w:rFonts w:eastAsiaTheme="minorHAnsi"/>
          <w:color w:val="000000"/>
          <w:szCs w:val="22"/>
        </w:rPr>
        <w:t xml:space="preserve">The Number of Respondents (1) in the first column varies by Group </w:t>
      </w:r>
      <w:r w:rsidR="00825446">
        <w:rPr>
          <w:rFonts w:eastAsiaTheme="minorHAnsi"/>
          <w:color w:val="000000"/>
          <w:szCs w:val="22"/>
        </w:rPr>
        <w:t>because</w:t>
      </w:r>
      <w:r w:rsidRPr="00726F7E" w:rsidR="00825446">
        <w:rPr>
          <w:rFonts w:eastAsiaTheme="minorHAnsi"/>
          <w:color w:val="000000"/>
          <w:szCs w:val="22"/>
        </w:rPr>
        <w:t xml:space="preserve"> </w:t>
      </w:r>
      <w:r w:rsidRPr="00726F7E">
        <w:rPr>
          <w:rFonts w:eastAsiaTheme="minorHAnsi"/>
          <w:color w:val="000000"/>
          <w:szCs w:val="22"/>
        </w:rPr>
        <w:t xml:space="preserve">all respondents do not provide information on each of the </w:t>
      </w:r>
      <w:r w:rsidR="00E77708">
        <w:rPr>
          <w:rFonts w:eastAsiaTheme="minorHAnsi"/>
          <w:color w:val="000000"/>
          <w:szCs w:val="22"/>
        </w:rPr>
        <w:t>twenty-nine</w:t>
      </w:r>
      <w:r w:rsidRPr="00726F7E" w:rsidR="00E77708">
        <w:rPr>
          <w:rFonts w:eastAsiaTheme="minorHAnsi"/>
          <w:color w:val="000000"/>
          <w:szCs w:val="22"/>
        </w:rPr>
        <w:t xml:space="preserve"> </w:t>
      </w:r>
      <w:r w:rsidRPr="00726F7E">
        <w:rPr>
          <w:rFonts w:eastAsiaTheme="minorHAnsi"/>
          <w:color w:val="000000"/>
          <w:szCs w:val="22"/>
        </w:rPr>
        <w:t xml:space="preserve">Common Metrics.  </w:t>
      </w:r>
    </w:p>
    <w:p w:rsidRPr="00726F7E" w:rsidR="00726F7E" w:rsidP="00726F7E" w:rsidRDefault="00726F7E" w14:paraId="250B633F" w14:textId="54C25CAC">
      <w:pPr>
        <w:widowControl w:val="0"/>
        <w:autoSpaceDE w:val="0"/>
        <w:autoSpaceDN w:val="0"/>
        <w:adjustRightInd w:val="0"/>
        <w:spacing w:line="480" w:lineRule="auto"/>
        <w:ind w:firstLine="720"/>
        <w:rPr>
          <w:rFonts w:eastAsiaTheme="minorHAnsi"/>
          <w:color w:val="000000"/>
          <w:szCs w:val="22"/>
        </w:rPr>
      </w:pPr>
      <w:r w:rsidRPr="00726F7E">
        <w:rPr>
          <w:rFonts w:eastAsiaTheme="minorHAnsi"/>
          <w:color w:val="000000"/>
          <w:szCs w:val="22"/>
        </w:rPr>
        <w:t>Commission staff has estimated the number of respondents for the first three Groups based on the assumption that the six jurisdictional RTOs/ISOs and the five non-RTO/ISO utilities (</w:t>
      </w:r>
      <w:r w:rsidR="0015252F">
        <w:rPr>
          <w:rFonts w:eastAsiaTheme="minorHAnsi"/>
          <w:color w:val="000000"/>
          <w:szCs w:val="22"/>
        </w:rPr>
        <w:t>eleven</w:t>
      </w:r>
      <w:r w:rsidRPr="00726F7E">
        <w:rPr>
          <w:rFonts w:eastAsiaTheme="minorHAnsi"/>
          <w:color w:val="000000"/>
          <w:szCs w:val="22"/>
        </w:rPr>
        <w:t xml:space="preserve"> total respondents) that previously responded to the FERC-922 information collection will provide responses to this revised FERC-922 information collection.  Therefore, the estimated number of respondents in Group 1 is </w:t>
      </w:r>
      <w:r w:rsidR="00AB1499">
        <w:rPr>
          <w:rFonts w:eastAsiaTheme="minorHAnsi"/>
          <w:color w:val="000000"/>
          <w:szCs w:val="22"/>
        </w:rPr>
        <w:t>eleven</w:t>
      </w:r>
      <w:r w:rsidRPr="00726F7E">
        <w:rPr>
          <w:rFonts w:eastAsiaTheme="minorHAnsi"/>
          <w:color w:val="000000"/>
          <w:szCs w:val="22"/>
        </w:rPr>
        <w:t xml:space="preserve">, because all respondents </w:t>
      </w:r>
      <w:r w:rsidR="002001DE">
        <w:rPr>
          <w:rFonts w:eastAsiaTheme="minorHAnsi"/>
          <w:color w:val="000000"/>
          <w:szCs w:val="22"/>
        </w:rPr>
        <w:t>can</w:t>
      </w:r>
      <w:r w:rsidR="00F6799C">
        <w:rPr>
          <w:rFonts w:eastAsiaTheme="minorHAnsi"/>
          <w:color w:val="000000"/>
          <w:szCs w:val="22"/>
        </w:rPr>
        <w:t xml:space="preserve"> </w:t>
      </w:r>
      <w:r w:rsidRPr="00726F7E">
        <w:rPr>
          <w:rFonts w:eastAsiaTheme="minorHAnsi"/>
          <w:color w:val="000000"/>
          <w:szCs w:val="22"/>
        </w:rPr>
        <w:t xml:space="preserve">report on the Group 1 metrics.  The estimated number of respondents for Group 2 is six because only the jurisdictional RTOs/ISOs with energy markets </w:t>
      </w:r>
      <w:r w:rsidR="009E717E">
        <w:rPr>
          <w:rFonts w:eastAsiaTheme="minorHAnsi"/>
          <w:color w:val="000000"/>
          <w:szCs w:val="22"/>
        </w:rPr>
        <w:t xml:space="preserve">can </w:t>
      </w:r>
      <w:r w:rsidRPr="00726F7E">
        <w:rPr>
          <w:rFonts w:eastAsiaTheme="minorHAnsi"/>
          <w:color w:val="000000"/>
          <w:szCs w:val="22"/>
        </w:rPr>
        <w:t xml:space="preserve">respond to the Group 2 metrics.  Likewise, the estimated number of respondents in Group 3 is four because only the jurisdictional RTOs/ISOs with capacity markets </w:t>
      </w:r>
      <w:r w:rsidR="009E717E">
        <w:rPr>
          <w:rFonts w:eastAsiaTheme="minorHAnsi"/>
          <w:color w:val="000000"/>
          <w:szCs w:val="22"/>
        </w:rPr>
        <w:t xml:space="preserve">can </w:t>
      </w:r>
      <w:r w:rsidRPr="00726F7E">
        <w:rPr>
          <w:rFonts w:eastAsiaTheme="minorHAnsi"/>
          <w:color w:val="000000"/>
          <w:szCs w:val="22"/>
        </w:rPr>
        <w:t xml:space="preserve">respond to the Group 3 metrics.  Finally, the table includes a burden estimate for potential new respondents.  </w:t>
      </w:r>
      <w:r w:rsidR="00777708">
        <w:rPr>
          <w:rFonts w:eastAsiaTheme="minorHAnsi"/>
          <w:color w:val="000000"/>
          <w:szCs w:val="22"/>
        </w:rPr>
        <w:t>Since</w:t>
      </w:r>
      <w:r w:rsidRPr="00726F7E" w:rsidR="00777708">
        <w:rPr>
          <w:rFonts w:eastAsiaTheme="minorHAnsi"/>
          <w:color w:val="000000"/>
          <w:szCs w:val="22"/>
        </w:rPr>
        <w:t xml:space="preserve"> </w:t>
      </w:r>
      <w:r w:rsidRPr="00726F7E" w:rsidR="0020405E">
        <w:rPr>
          <w:rFonts w:eastAsiaTheme="minorHAnsi"/>
          <w:color w:val="000000"/>
          <w:szCs w:val="22"/>
        </w:rPr>
        <w:t>all</w:t>
      </w:r>
      <w:r w:rsidR="00777708">
        <w:rPr>
          <w:rFonts w:eastAsiaTheme="minorHAnsi"/>
          <w:color w:val="000000"/>
          <w:szCs w:val="22"/>
        </w:rPr>
        <w:t xml:space="preserve"> </w:t>
      </w:r>
      <w:r w:rsidRPr="00726F7E">
        <w:rPr>
          <w:rFonts w:eastAsiaTheme="minorHAnsi"/>
          <w:color w:val="000000"/>
          <w:szCs w:val="22"/>
        </w:rPr>
        <w:t xml:space="preserve">the jurisdictional RTOs/ISOs previously responded to FERC-922, any potential new respondent would be a non-RTO/ISO </w:t>
      </w:r>
      <w:r w:rsidR="00096D11">
        <w:rPr>
          <w:rFonts w:eastAsiaTheme="minorHAnsi"/>
          <w:color w:val="000000"/>
          <w:szCs w:val="22"/>
        </w:rPr>
        <w:t xml:space="preserve">utility </w:t>
      </w:r>
      <w:r w:rsidRPr="00726F7E">
        <w:rPr>
          <w:rFonts w:eastAsiaTheme="minorHAnsi"/>
          <w:color w:val="000000"/>
          <w:szCs w:val="22"/>
        </w:rPr>
        <w:t>and</w:t>
      </w:r>
      <w:r w:rsidR="00777708">
        <w:rPr>
          <w:rFonts w:eastAsiaTheme="minorHAnsi"/>
          <w:color w:val="000000"/>
          <w:szCs w:val="22"/>
        </w:rPr>
        <w:t>,</w:t>
      </w:r>
      <w:r w:rsidRPr="00726F7E">
        <w:rPr>
          <w:rFonts w:eastAsiaTheme="minorHAnsi"/>
          <w:color w:val="000000"/>
          <w:szCs w:val="22"/>
        </w:rPr>
        <w:t xml:space="preserve"> thus</w:t>
      </w:r>
      <w:r w:rsidR="00777708">
        <w:rPr>
          <w:rFonts w:eastAsiaTheme="minorHAnsi"/>
          <w:color w:val="000000"/>
          <w:szCs w:val="22"/>
        </w:rPr>
        <w:t>,</w:t>
      </w:r>
      <w:r w:rsidRPr="00726F7E">
        <w:rPr>
          <w:rFonts w:eastAsiaTheme="minorHAnsi"/>
          <w:color w:val="000000"/>
          <w:szCs w:val="22"/>
        </w:rPr>
        <w:t xml:space="preserve"> would only </w:t>
      </w:r>
      <w:r w:rsidR="00777708">
        <w:rPr>
          <w:rFonts w:eastAsiaTheme="minorHAnsi"/>
          <w:color w:val="000000"/>
          <w:szCs w:val="22"/>
        </w:rPr>
        <w:t>submit</w:t>
      </w:r>
      <w:r w:rsidRPr="00726F7E">
        <w:rPr>
          <w:rFonts w:eastAsiaTheme="minorHAnsi"/>
          <w:color w:val="000000"/>
          <w:szCs w:val="22"/>
        </w:rPr>
        <w:t xml:space="preserve"> responses to the Group 1 metrics</w:t>
      </w:r>
      <w:r w:rsidR="009B43D4">
        <w:rPr>
          <w:rFonts w:eastAsiaTheme="minorHAnsi"/>
          <w:color w:val="000000"/>
          <w:szCs w:val="22"/>
        </w:rPr>
        <w:t xml:space="preserve">. </w:t>
      </w:r>
      <w:r w:rsidR="00A46A85">
        <w:rPr>
          <w:rFonts w:eastAsiaTheme="minorHAnsi"/>
          <w:color w:val="000000"/>
          <w:szCs w:val="22"/>
        </w:rPr>
        <w:t xml:space="preserve"> </w:t>
      </w:r>
      <w:r w:rsidR="009B43D4">
        <w:rPr>
          <w:rFonts w:eastAsiaTheme="minorHAnsi"/>
          <w:color w:val="000000"/>
          <w:szCs w:val="22"/>
        </w:rPr>
        <w:t xml:space="preserve">The burden estimate </w:t>
      </w:r>
      <w:r w:rsidR="009E717E">
        <w:rPr>
          <w:rFonts w:eastAsiaTheme="minorHAnsi"/>
          <w:color w:val="000000"/>
          <w:szCs w:val="22"/>
        </w:rPr>
        <w:t xml:space="preserve">for new respondents </w:t>
      </w:r>
      <w:r w:rsidR="009B43D4">
        <w:rPr>
          <w:rFonts w:eastAsiaTheme="minorHAnsi"/>
          <w:color w:val="000000"/>
          <w:szCs w:val="22"/>
        </w:rPr>
        <w:t xml:space="preserve">reflects the fact that a potential new respondent would be submitting </w:t>
      </w:r>
      <w:r w:rsidRPr="00726F7E">
        <w:rPr>
          <w:rFonts w:eastAsiaTheme="minorHAnsi"/>
          <w:color w:val="000000"/>
          <w:szCs w:val="22"/>
        </w:rPr>
        <w:t>for the first time</w:t>
      </w:r>
      <w:r w:rsidR="00AB1499">
        <w:rPr>
          <w:rFonts w:eastAsiaTheme="minorHAnsi"/>
          <w:color w:val="000000"/>
          <w:szCs w:val="22"/>
        </w:rPr>
        <w:t>,</w:t>
      </w:r>
      <w:r w:rsidR="009E717E">
        <w:rPr>
          <w:rFonts w:eastAsiaTheme="minorHAnsi"/>
          <w:color w:val="000000"/>
          <w:szCs w:val="22"/>
        </w:rPr>
        <w:t xml:space="preserve"> therefore requiring more hours and cost per new response</w:t>
      </w:r>
      <w:r w:rsidRPr="00726F7E">
        <w:rPr>
          <w:rFonts w:eastAsiaTheme="minorHAnsi"/>
          <w:color w:val="000000"/>
          <w:szCs w:val="22"/>
        </w:rPr>
        <w:t xml:space="preserve">.  Commission staff conservatively estimates that one new non-RTO/ISO utility </w:t>
      </w:r>
      <w:r w:rsidR="00C44B1F">
        <w:rPr>
          <w:rFonts w:eastAsiaTheme="minorHAnsi"/>
          <w:color w:val="000000"/>
          <w:szCs w:val="22"/>
        </w:rPr>
        <w:t xml:space="preserve">may </w:t>
      </w:r>
      <w:r w:rsidRPr="00726F7E">
        <w:rPr>
          <w:rFonts w:eastAsiaTheme="minorHAnsi"/>
          <w:color w:val="000000"/>
          <w:szCs w:val="22"/>
        </w:rPr>
        <w:t>respond to this revised FERC-922 information collection.</w:t>
      </w:r>
    </w:p>
    <w:p w:rsidRPr="00726F7E" w:rsidR="00726F7E" w:rsidP="00726F7E" w:rsidRDefault="00726F7E" w14:paraId="40EB1CB6" w14:textId="656A5B06">
      <w:pPr>
        <w:widowControl w:val="0"/>
        <w:autoSpaceDE w:val="0"/>
        <w:autoSpaceDN w:val="0"/>
        <w:adjustRightInd w:val="0"/>
        <w:spacing w:line="480" w:lineRule="auto"/>
        <w:ind w:firstLine="720"/>
        <w:rPr>
          <w:rFonts w:eastAsiaTheme="minorHAnsi"/>
          <w:color w:val="000000"/>
          <w:szCs w:val="22"/>
        </w:rPr>
      </w:pPr>
      <w:r w:rsidRPr="00726F7E">
        <w:rPr>
          <w:rFonts w:eastAsiaTheme="minorHAnsi"/>
          <w:color w:val="000000"/>
          <w:szCs w:val="22"/>
        </w:rPr>
        <w:lastRenderedPageBreak/>
        <w:t>The second column</w:t>
      </w:r>
      <w:r w:rsidR="00825446">
        <w:rPr>
          <w:rFonts w:eastAsiaTheme="minorHAnsi"/>
          <w:color w:val="000000"/>
          <w:szCs w:val="22"/>
        </w:rPr>
        <w:t xml:space="preserve"> </w:t>
      </w:r>
      <w:r w:rsidRPr="00726F7E" w:rsidR="00825446">
        <w:rPr>
          <w:rFonts w:eastAsiaTheme="minorHAnsi"/>
          <w:color w:val="000000"/>
          <w:szCs w:val="22"/>
        </w:rPr>
        <w:t>(2)</w:t>
      </w:r>
      <w:r w:rsidRPr="00726F7E">
        <w:rPr>
          <w:rFonts w:eastAsiaTheme="minorHAnsi"/>
          <w:color w:val="000000"/>
          <w:szCs w:val="22"/>
        </w:rPr>
        <w:t>, Number of Responses in Years 1 &amp; 3</w:t>
      </w:r>
      <w:r w:rsidR="007C536C">
        <w:rPr>
          <w:rFonts w:eastAsiaTheme="minorHAnsi"/>
          <w:color w:val="000000"/>
          <w:szCs w:val="22"/>
        </w:rPr>
        <w:t>,</w:t>
      </w:r>
      <w:r w:rsidRPr="00726F7E">
        <w:rPr>
          <w:rFonts w:eastAsiaTheme="minorHAnsi"/>
          <w:color w:val="000000"/>
          <w:szCs w:val="22"/>
        </w:rPr>
        <w:t xml:space="preserve"> is characterized by the number of Balancing Authority Areas (BAAs) each respondent would be reporting on, as the respondent would provide a response to each metric for each of its BAAs.  Each RTO/ISO is a single BAA and</w:t>
      </w:r>
      <w:r w:rsidR="007C536C">
        <w:rPr>
          <w:rFonts w:eastAsiaTheme="minorHAnsi"/>
          <w:color w:val="000000"/>
          <w:szCs w:val="22"/>
        </w:rPr>
        <w:t>,</w:t>
      </w:r>
      <w:r w:rsidRPr="00726F7E">
        <w:rPr>
          <w:rFonts w:eastAsiaTheme="minorHAnsi"/>
          <w:color w:val="000000"/>
          <w:szCs w:val="22"/>
        </w:rPr>
        <w:t xml:space="preserve"> therefore</w:t>
      </w:r>
      <w:r w:rsidR="007C536C">
        <w:rPr>
          <w:rFonts w:eastAsiaTheme="minorHAnsi"/>
          <w:color w:val="000000"/>
          <w:szCs w:val="22"/>
        </w:rPr>
        <w:t>,</w:t>
      </w:r>
      <w:r w:rsidRPr="00726F7E">
        <w:rPr>
          <w:rFonts w:eastAsiaTheme="minorHAnsi"/>
          <w:color w:val="000000"/>
          <w:szCs w:val="22"/>
        </w:rPr>
        <w:t xml:space="preserve"> will only provide responses to each metric for one BAA</w:t>
      </w:r>
      <w:r w:rsidR="00AB1499">
        <w:rPr>
          <w:rFonts w:eastAsiaTheme="minorHAnsi"/>
          <w:color w:val="000000"/>
          <w:szCs w:val="22"/>
        </w:rPr>
        <w:t>,</w:t>
      </w:r>
      <w:r w:rsidR="00C47C34">
        <w:rPr>
          <w:rFonts w:eastAsiaTheme="minorHAnsi"/>
          <w:color w:val="000000"/>
          <w:szCs w:val="22"/>
        </w:rPr>
        <w:t xml:space="preserve"> but</w:t>
      </w:r>
      <w:r w:rsidRPr="00726F7E">
        <w:rPr>
          <w:rFonts w:eastAsiaTheme="minorHAnsi"/>
          <w:color w:val="000000"/>
          <w:szCs w:val="22"/>
        </w:rPr>
        <w:t xml:space="preserve"> non-RTO/ISO </w:t>
      </w:r>
      <w:r w:rsidR="00096D11">
        <w:rPr>
          <w:rFonts w:eastAsiaTheme="minorHAnsi"/>
          <w:color w:val="000000"/>
          <w:szCs w:val="22"/>
        </w:rPr>
        <w:t>utilities</w:t>
      </w:r>
      <w:r w:rsidRPr="00726F7E">
        <w:rPr>
          <w:rFonts w:eastAsiaTheme="minorHAnsi"/>
          <w:color w:val="000000"/>
          <w:szCs w:val="22"/>
        </w:rPr>
        <w:t xml:space="preserve"> </w:t>
      </w:r>
      <w:r w:rsidR="00C47C34">
        <w:rPr>
          <w:rFonts w:eastAsiaTheme="minorHAnsi"/>
          <w:color w:val="000000"/>
          <w:szCs w:val="22"/>
        </w:rPr>
        <w:t>may report for multiple BAAs</w:t>
      </w:r>
      <w:r w:rsidRPr="00726F7E">
        <w:rPr>
          <w:rFonts w:eastAsiaTheme="minorHAnsi"/>
          <w:color w:val="000000"/>
          <w:szCs w:val="22"/>
        </w:rPr>
        <w:t xml:space="preserve">.  Therefore, the estimated number of responses for Group 1 (all RTOs/ISOs and non-RTO/ISO utilities) is the number of BAAs in the RTOs/ISOs </w:t>
      </w:r>
      <w:r w:rsidR="00C47C34">
        <w:rPr>
          <w:rFonts w:eastAsiaTheme="minorHAnsi"/>
          <w:color w:val="000000"/>
          <w:szCs w:val="22"/>
        </w:rPr>
        <w:t>(</w:t>
      </w:r>
      <w:r w:rsidRPr="00726F7E">
        <w:rPr>
          <w:rFonts w:eastAsiaTheme="minorHAnsi"/>
          <w:color w:val="000000"/>
          <w:szCs w:val="22"/>
        </w:rPr>
        <w:t>i.e., six</w:t>
      </w:r>
      <w:r w:rsidR="00C47C34">
        <w:rPr>
          <w:rFonts w:eastAsiaTheme="minorHAnsi"/>
          <w:color w:val="000000"/>
          <w:szCs w:val="22"/>
        </w:rPr>
        <w:t>)</w:t>
      </w:r>
      <w:r w:rsidRPr="00726F7E">
        <w:rPr>
          <w:rFonts w:eastAsiaTheme="minorHAnsi"/>
          <w:color w:val="000000"/>
          <w:szCs w:val="22"/>
        </w:rPr>
        <w:t xml:space="preserve">, plus the number of non-RTO/ISO BAAs </w:t>
      </w:r>
      <w:r w:rsidR="00C47C34">
        <w:rPr>
          <w:rFonts w:eastAsiaTheme="minorHAnsi"/>
          <w:color w:val="000000"/>
          <w:szCs w:val="22"/>
        </w:rPr>
        <w:t>(</w:t>
      </w:r>
      <w:r w:rsidRPr="00726F7E">
        <w:rPr>
          <w:rFonts w:eastAsiaTheme="minorHAnsi"/>
          <w:color w:val="000000"/>
          <w:szCs w:val="22"/>
        </w:rPr>
        <w:t xml:space="preserve">i.e., </w:t>
      </w:r>
      <w:r w:rsidR="00100952">
        <w:rPr>
          <w:rFonts w:eastAsiaTheme="minorHAnsi"/>
          <w:color w:val="000000"/>
          <w:szCs w:val="22"/>
        </w:rPr>
        <w:t>ten</w:t>
      </w:r>
      <w:r w:rsidR="00C47C34">
        <w:rPr>
          <w:rFonts w:eastAsiaTheme="minorHAnsi"/>
          <w:color w:val="000000"/>
          <w:szCs w:val="22"/>
        </w:rPr>
        <w:t>)</w:t>
      </w:r>
      <w:r w:rsidRPr="00726F7E">
        <w:rPr>
          <w:rFonts w:eastAsiaTheme="minorHAnsi"/>
          <w:color w:val="000000"/>
          <w:szCs w:val="22"/>
        </w:rPr>
        <w:t xml:space="preserve">, which equals </w:t>
      </w:r>
      <w:r w:rsidR="00AB1499">
        <w:rPr>
          <w:rFonts w:eastAsiaTheme="minorHAnsi"/>
          <w:color w:val="000000"/>
          <w:szCs w:val="22"/>
        </w:rPr>
        <w:t>sixteen</w:t>
      </w:r>
      <w:r w:rsidRPr="00726F7E">
        <w:rPr>
          <w:rFonts w:eastAsiaTheme="minorHAnsi"/>
          <w:color w:val="000000"/>
          <w:szCs w:val="22"/>
        </w:rPr>
        <w:t xml:space="preserve"> total responses.  The estimated number of responses for Group 2 (all RTOs/ISOs with energy markets) is the same as the number of respondents </w:t>
      </w:r>
      <w:r w:rsidR="00C47C34">
        <w:rPr>
          <w:rFonts w:eastAsiaTheme="minorHAnsi"/>
          <w:color w:val="000000"/>
          <w:szCs w:val="22"/>
        </w:rPr>
        <w:t>(</w:t>
      </w:r>
      <w:r w:rsidRPr="00726F7E">
        <w:rPr>
          <w:rFonts w:eastAsiaTheme="minorHAnsi"/>
          <w:color w:val="000000"/>
          <w:szCs w:val="22"/>
        </w:rPr>
        <w:t>i.e., six</w:t>
      </w:r>
      <w:r w:rsidR="00C47C34">
        <w:rPr>
          <w:rFonts w:eastAsiaTheme="minorHAnsi"/>
          <w:color w:val="000000"/>
          <w:szCs w:val="22"/>
        </w:rPr>
        <w:t>)</w:t>
      </w:r>
      <w:r w:rsidRPr="00726F7E">
        <w:rPr>
          <w:rFonts w:eastAsiaTheme="minorHAnsi"/>
          <w:color w:val="000000"/>
          <w:szCs w:val="22"/>
        </w:rPr>
        <w:t xml:space="preserve">, as only the RTOs/ISOs respond and they each have </w:t>
      </w:r>
      <w:r w:rsidR="00C47C34">
        <w:rPr>
          <w:rFonts w:eastAsiaTheme="minorHAnsi"/>
          <w:color w:val="000000"/>
          <w:szCs w:val="22"/>
        </w:rPr>
        <w:t xml:space="preserve">only </w:t>
      </w:r>
      <w:r w:rsidRPr="00726F7E">
        <w:rPr>
          <w:rFonts w:eastAsiaTheme="minorHAnsi"/>
          <w:color w:val="000000"/>
          <w:szCs w:val="22"/>
        </w:rPr>
        <w:t>one BAA.  The estimated number of responses for Group 3 (all RTOs/ISOs with capacity markets) is the same as the number of respondents</w:t>
      </w:r>
      <w:r w:rsidR="00C47C34">
        <w:rPr>
          <w:rFonts w:eastAsiaTheme="minorHAnsi"/>
          <w:color w:val="000000"/>
          <w:szCs w:val="22"/>
        </w:rPr>
        <w:t xml:space="preserve"> (</w:t>
      </w:r>
      <w:r w:rsidRPr="00726F7E">
        <w:rPr>
          <w:rFonts w:eastAsiaTheme="minorHAnsi"/>
          <w:color w:val="000000"/>
          <w:szCs w:val="22"/>
        </w:rPr>
        <w:t>i.e., four</w:t>
      </w:r>
      <w:r w:rsidR="00C47C34">
        <w:rPr>
          <w:rFonts w:eastAsiaTheme="minorHAnsi"/>
          <w:color w:val="000000"/>
          <w:szCs w:val="22"/>
        </w:rPr>
        <w:t>)</w:t>
      </w:r>
      <w:r w:rsidRPr="00726F7E">
        <w:rPr>
          <w:rFonts w:eastAsiaTheme="minorHAnsi"/>
          <w:color w:val="000000"/>
          <w:szCs w:val="22"/>
        </w:rPr>
        <w:t xml:space="preserve">, as only the four RTOs/ISOs with capacity markets </w:t>
      </w:r>
      <w:r w:rsidR="00F6799C">
        <w:rPr>
          <w:rFonts w:eastAsiaTheme="minorHAnsi"/>
          <w:color w:val="000000"/>
          <w:szCs w:val="22"/>
        </w:rPr>
        <w:t>can</w:t>
      </w:r>
      <w:r w:rsidR="00C47C34">
        <w:rPr>
          <w:rFonts w:eastAsiaTheme="minorHAnsi"/>
          <w:color w:val="000000"/>
          <w:szCs w:val="22"/>
        </w:rPr>
        <w:t xml:space="preserve"> </w:t>
      </w:r>
      <w:r w:rsidRPr="00726F7E">
        <w:rPr>
          <w:rFonts w:eastAsiaTheme="minorHAnsi"/>
          <w:color w:val="000000"/>
          <w:szCs w:val="22"/>
        </w:rPr>
        <w:t xml:space="preserve">respond and they each have </w:t>
      </w:r>
      <w:r w:rsidR="00C47C34">
        <w:rPr>
          <w:rFonts w:eastAsiaTheme="minorHAnsi"/>
          <w:color w:val="000000"/>
          <w:szCs w:val="22"/>
        </w:rPr>
        <w:t xml:space="preserve">only </w:t>
      </w:r>
      <w:r w:rsidRPr="00726F7E">
        <w:rPr>
          <w:rFonts w:eastAsiaTheme="minorHAnsi"/>
          <w:color w:val="000000"/>
          <w:szCs w:val="22"/>
        </w:rPr>
        <w:t xml:space="preserve">one BAA.  Finally, there is only estimated to be one non-RTO/ISO utility as a potential new respondent, </w:t>
      </w:r>
      <w:r w:rsidR="00505192">
        <w:rPr>
          <w:rFonts w:eastAsiaTheme="minorHAnsi"/>
          <w:color w:val="000000"/>
          <w:szCs w:val="22"/>
        </w:rPr>
        <w:t>which</w:t>
      </w:r>
      <w:r w:rsidRPr="00726F7E">
        <w:rPr>
          <w:rFonts w:eastAsiaTheme="minorHAnsi"/>
          <w:color w:val="000000"/>
          <w:szCs w:val="22"/>
        </w:rPr>
        <w:t xml:space="preserve"> would only respond to the Group 1 metrics that apply to all respondents.  </w:t>
      </w:r>
    </w:p>
    <w:p w:rsidRPr="00726F7E" w:rsidR="00726F7E" w:rsidP="00726F7E" w:rsidRDefault="00726F7E" w14:paraId="16B94E22" w14:textId="537211F8">
      <w:pPr>
        <w:widowControl w:val="0"/>
        <w:autoSpaceDE w:val="0"/>
        <w:autoSpaceDN w:val="0"/>
        <w:adjustRightInd w:val="0"/>
        <w:spacing w:line="480" w:lineRule="auto"/>
        <w:ind w:firstLine="720"/>
        <w:rPr>
          <w:rFonts w:eastAsiaTheme="minorHAnsi"/>
          <w:color w:val="000000"/>
          <w:szCs w:val="22"/>
        </w:rPr>
      </w:pPr>
      <w:r w:rsidRPr="00726F7E">
        <w:rPr>
          <w:rFonts w:eastAsiaTheme="minorHAnsi"/>
          <w:color w:val="000000"/>
          <w:szCs w:val="22"/>
        </w:rPr>
        <w:t>The Annual Frequency of Filings (3) is 0.67 for all groups.  This fraction reflects that there will be two information collections</w:t>
      </w:r>
      <w:r w:rsidR="00C47C34">
        <w:rPr>
          <w:rFonts w:eastAsiaTheme="minorHAnsi"/>
          <w:color w:val="000000"/>
          <w:szCs w:val="22"/>
        </w:rPr>
        <w:t>,</w:t>
      </w:r>
      <w:r w:rsidRPr="00726F7E">
        <w:rPr>
          <w:rFonts w:eastAsiaTheme="minorHAnsi"/>
          <w:color w:val="000000"/>
          <w:szCs w:val="22"/>
        </w:rPr>
        <w:t xml:space="preserve"> one each during Year 1 and </w:t>
      </w:r>
      <w:r w:rsidR="00C47C34">
        <w:rPr>
          <w:rFonts w:eastAsiaTheme="minorHAnsi"/>
          <w:color w:val="000000"/>
          <w:szCs w:val="22"/>
        </w:rPr>
        <w:t xml:space="preserve">Year </w:t>
      </w:r>
      <w:r w:rsidRPr="00726F7E">
        <w:rPr>
          <w:rFonts w:eastAsiaTheme="minorHAnsi"/>
          <w:color w:val="000000"/>
          <w:szCs w:val="22"/>
        </w:rPr>
        <w:t>3 of the three-year OMB authorization period</w:t>
      </w:r>
      <w:r w:rsidR="00C47C34">
        <w:rPr>
          <w:rFonts w:eastAsiaTheme="minorHAnsi"/>
          <w:color w:val="000000"/>
          <w:szCs w:val="22"/>
        </w:rPr>
        <w:t>.  Therefore</w:t>
      </w:r>
      <w:r w:rsidRPr="00726F7E">
        <w:rPr>
          <w:rFonts w:eastAsiaTheme="minorHAnsi"/>
          <w:color w:val="000000"/>
          <w:szCs w:val="22"/>
        </w:rPr>
        <w:t>, 2/3 or 0.67 is the adjustment to reflect a</w:t>
      </w:r>
      <w:r w:rsidR="00825446">
        <w:rPr>
          <w:rFonts w:eastAsiaTheme="minorHAnsi"/>
          <w:color w:val="000000"/>
          <w:szCs w:val="22"/>
        </w:rPr>
        <w:t>n average</w:t>
      </w:r>
      <w:r w:rsidRPr="00726F7E">
        <w:rPr>
          <w:rFonts w:eastAsiaTheme="minorHAnsi"/>
          <w:color w:val="000000"/>
          <w:szCs w:val="22"/>
        </w:rPr>
        <w:t xml:space="preserve"> yearly value for the burden. </w:t>
      </w:r>
    </w:p>
    <w:p w:rsidRPr="00726F7E" w:rsidR="00726F7E" w:rsidP="00726F7E" w:rsidRDefault="00726F7E" w14:paraId="5DF723EC" w14:textId="2262FCA4">
      <w:pPr>
        <w:widowControl w:val="0"/>
        <w:autoSpaceDE w:val="0"/>
        <w:autoSpaceDN w:val="0"/>
        <w:adjustRightInd w:val="0"/>
        <w:spacing w:line="480" w:lineRule="auto"/>
        <w:ind w:firstLine="720"/>
        <w:rPr>
          <w:rFonts w:eastAsiaTheme="minorHAnsi"/>
          <w:color w:val="000000"/>
          <w:szCs w:val="22"/>
        </w:rPr>
      </w:pPr>
      <w:r w:rsidRPr="00726F7E">
        <w:rPr>
          <w:rFonts w:eastAsiaTheme="minorHAnsi"/>
          <w:color w:val="000000"/>
          <w:szCs w:val="22"/>
        </w:rPr>
        <w:t xml:space="preserve">The Total Number of Annual Responses (4) is the product of the second </w:t>
      </w:r>
      <w:r w:rsidRPr="00726F7E">
        <w:rPr>
          <w:rFonts w:eastAsiaTheme="minorHAnsi"/>
          <w:color w:val="000000"/>
          <w:szCs w:val="22"/>
        </w:rPr>
        <w:lastRenderedPageBreak/>
        <w:t>column, Number of Responses in Years 1 and 3 (2), multiplied by the third</w:t>
      </w:r>
      <w:r w:rsidR="00FF2E56">
        <w:rPr>
          <w:rFonts w:eastAsiaTheme="minorHAnsi"/>
          <w:color w:val="000000"/>
          <w:szCs w:val="22"/>
        </w:rPr>
        <w:t xml:space="preserve"> column</w:t>
      </w:r>
      <w:r w:rsidRPr="00726F7E">
        <w:rPr>
          <w:rFonts w:eastAsiaTheme="minorHAnsi"/>
          <w:color w:val="000000"/>
          <w:szCs w:val="22"/>
        </w:rPr>
        <w:t>, the Annual Frequency of Filings (3).  Thus</w:t>
      </w:r>
      <w:r w:rsidR="00FF2E56">
        <w:rPr>
          <w:rFonts w:eastAsiaTheme="minorHAnsi"/>
          <w:color w:val="000000"/>
          <w:szCs w:val="22"/>
        </w:rPr>
        <w:t>,</w:t>
      </w:r>
      <w:r w:rsidRPr="00726F7E">
        <w:rPr>
          <w:rFonts w:eastAsiaTheme="minorHAnsi"/>
          <w:color w:val="000000"/>
          <w:szCs w:val="22"/>
        </w:rPr>
        <w:t xml:space="preserve"> for the first group</w:t>
      </w:r>
      <w:r w:rsidR="00876CA8">
        <w:rPr>
          <w:rFonts w:eastAsiaTheme="minorHAnsi"/>
          <w:color w:val="000000"/>
          <w:szCs w:val="22"/>
        </w:rPr>
        <w:t xml:space="preserve"> of respondents</w:t>
      </w:r>
      <w:r w:rsidRPr="00726F7E">
        <w:rPr>
          <w:rFonts w:eastAsiaTheme="minorHAnsi"/>
          <w:color w:val="000000"/>
          <w:szCs w:val="22"/>
        </w:rPr>
        <w:t>, this value is 16 × 0.67</w:t>
      </w:r>
      <w:r w:rsidR="0092786B">
        <w:rPr>
          <w:rFonts w:eastAsiaTheme="minorHAnsi"/>
          <w:color w:val="000000"/>
          <w:szCs w:val="22"/>
        </w:rPr>
        <w:t>,</w:t>
      </w:r>
      <w:r w:rsidRPr="00726F7E">
        <w:rPr>
          <w:rFonts w:eastAsiaTheme="minorHAnsi"/>
          <w:color w:val="000000"/>
          <w:szCs w:val="22"/>
        </w:rPr>
        <w:t xml:space="preserve"> or 10.72.  </w:t>
      </w:r>
    </w:p>
    <w:p w:rsidRPr="00726F7E" w:rsidR="00726F7E" w:rsidP="00726F7E" w:rsidRDefault="00726F7E" w14:paraId="6D2A1010" w14:textId="078700DA">
      <w:pPr>
        <w:widowControl w:val="0"/>
        <w:autoSpaceDE w:val="0"/>
        <w:autoSpaceDN w:val="0"/>
        <w:adjustRightInd w:val="0"/>
        <w:spacing w:line="480" w:lineRule="auto"/>
        <w:ind w:firstLine="720"/>
        <w:rPr>
          <w:rFonts w:eastAsiaTheme="minorHAnsi"/>
          <w:color w:val="000000"/>
          <w:szCs w:val="22"/>
        </w:rPr>
      </w:pPr>
      <w:r w:rsidRPr="00726F7E">
        <w:rPr>
          <w:rFonts w:eastAsiaTheme="minorHAnsi"/>
          <w:color w:val="000000"/>
          <w:szCs w:val="22"/>
        </w:rPr>
        <w:t xml:space="preserve">The Estimated Burden Hours per Response (5) reflects the total number of estimated burden hours, separated into the three reporting categories (collect, write, review) for </w:t>
      </w:r>
      <w:r w:rsidR="00911CB1">
        <w:rPr>
          <w:rFonts w:eastAsiaTheme="minorHAnsi"/>
          <w:color w:val="000000"/>
          <w:szCs w:val="22"/>
        </w:rPr>
        <w:t>each group</w:t>
      </w:r>
      <w:r w:rsidRPr="00726F7E">
        <w:rPr>
          <w:rFonts w:eastAsiaTheme="minorHAnsi"/>
          <w:color w:val="000000"/>
          <w:szCs w:val="22"/>
        </w:rPr>
        <w:t xml:space="preserve"> of respondents.  The total estimated burden hours for the first </w:t>
      </w:r>
      <w:r w:rsidR="00100952">
        <w:rPr>
          <w:rFonts w:eastAsiaTheme="minorHAnsi"/>
          <w:color w:val="000000"/>
          <w:szCs w:val="22"/>
        </w:rPr>
        <w:t>3</w:t>
      </w:r>
      <w:r w:rsidRPr="00726F7E">
        <w:rPr>
          <w:rFonts w:eastAsiaTheme="minorHAnsi"/>
          <w:color w:val="000000"/>
          <w:szCs w:val="22"/>
        </w:rPr>
        <w:t xml:space="preserve"> groups of respondents are the same </w:t>
      </w:r>
      <w:r w:rsidR="00911CB1">
        <w:rPr>
          <w:rFonts w:eastAsiaTheme="minorHAnsi"/>
          <w:color w:val="000000"/>
          <w:szCs w:val="22"/>
        </w:rPr>
        <w:t xml:space="preserve">(401 hours) </w:t>
      </w:r>
      <w:r w:rsidRPr="00726F7E">
        <w:rPr>
          <w:rFonts w:eastAsiaTheme="minorHAnsi"/>
          <w:color w:val="000000"/>
          <w:szCs w:val="22"/>
        </w:rPr>
        <w:t xml:space="preserve">as </w:t>
      </w:r>
      <w:r w:rsidR="00911CB1">
        <w:rPr>
          <w:rFonts w:eastAsiaTheme="minorHAnsi"/>
          <w:color w:val="000000"/>
          <w:szCs w:val="22"/>
        </w:rPr>
        <w:t>determined in</w:t>
      </w:r>
      <w:r w:rsidRPr="00726F7E">
        <w:rPr>
          <w:rFonts w:eastAsiaTheme="minorHAnsi"/>
          <w:color w:val="000000"/>
          <w:szCs w:val="22"/>
        </w:rPr>
        <w:t xml:space="preserve"> the previous FERC-922 information collection burden estimates.  An increased estimate of the burden hours, 427 hours, is for Potential New Respondents, in recognition of the fact that the burden on a new respondent is likely higher.  The number of hours in each reporting category has been adjusted in this collection, as compared to the previous FERC-922 collection burden estimate, to reflect less emphasis on the writing category, as Commission staff has developed a structured data collection tool </w:t>
      </w:r>
      <w:r w:rsidR="00911CB1">
        <w:rPr>
          <w:rFonts w:eastAsiaTheme="minorHAnsi"/>
          <w:color w:val="000000"/>
          <w:szCs w:val="22"/>
        </w:rPr>
        <w:t>that</w:t>
      </w:r>
      <w:r w:rsidRPr="00726F7E" w:rsidR="00911CB1">
        <w:rPr>
          <w:rFonts w:eastAsiaTheme="minorHAnsi"/>
          <w:color w:val="000000"/>
          <w:szCs w:val="22"/>
        </w:rPr>
        <w:t xml:space="preserve"> </w:t>
      </w:r>
      <w:r w:rsidRPr="00726F7E">
        <w:rPr>
          <w:rFonts w:eastAsiaTheme="minorHAnsi"/>
          <w:color w:val="000000"/>
          <w:szCs w:val="22"/>
        </w:rPr>
        <w:t>will decrease the amount of written text that respondents will provide in the information collection.</w:t>
      </w:r>
      <w:r w:rsidRPr="00726F7E">
        <w:rPr>
          <w:rFonts w:eastAsiaTheme="minorHAnsi"/>
          <w:b/>
          <w:color w:val="000000"/>
          <w:szCs w:val="22"/>
          <w:vertAlign w:val="superscript"/>
        </w:rPr>
        <w:footnoteReference w:id="10"/>
      </w:r>
      <w:r w:rsidRPr="00726F7E">
        <w:rPr>
          <w:rFonts w:eastAsiaTheme="minorHAnsi"/>
          <w:color w:val="000000"/>
          <w:szCs w:val="22"/>
        </w:rPr>
        <w:t xml:space="preserve"> </w:t>
      </w:r>
    </w:p>
    <w:p w:rsidRPr="00726F7E" w:rsidR="00726F7E" w:rsidP="00726F7E" w:rsidRDefault="00726F7E" w14:paraId="01B73545" w14:textId="6EFE7F83">
      <w:pPr>
        <w:widowControl w:val="0"/>
        <w:autoSpaceDE w:val="0"/>
        <w:autoSpaceDN w:val="0"/>
        <w:adjustRightInd w:val="0"/>
        <w:spacing w:line="480" w:lineRule="auto"/>
        <w:ind w:firstLine="720"/>
        <w:rPr>
          <w:rFonts w:eastAsiaTheme="minorHAnsi"/>
          <w:color w:val="000000"/>
          <w:szCs w:val="22"/>
        </w:rPr>
      </w:pPr>
      <w:r w:rsidRPr="00726F7E">
        <w:rPr>
          <w:rFonts w:eastAsiaTheme="minorHAnsi"/>
          <w:color w:val="000000"/>
          <w:szCs w:val="22"/>
        </w:rPr>
        <w:t xml:space="preserve">The Estimated Cost per Response (6) is the product of the </w:t>
      </w:r>
      <w:r w:rsidR="00911CB1">
        <w:rPr>
          <w:rFonts w:eastAsiaTheme="minorHAnsi"/>
          <w:color w:val="000000"/>
          <w:szCs w:val="22"/>
        </w:rPr>
        <w:t xml:space="preserve">following </w:t>
      </w:r>
      <w:r w:rsidRPr="00726F7E">
        <w:rPr>
          <w:rFonts w:eastAsiaTheme="minorHAnsi"/>
          <w:color w:val="000000"/>
          <w:szCs w:val="22"/>
        </w:rPr>
        <w:t xml:space="preserve">three variables:  the Estimated Burden Hours per Response (5) for a category, multiplied by the labor rate (wages plus benefits) for each category (which is not shown in </w:t>
      </w:r>
      <w:r w:rsidRPr="00726F7E">
        <w:rPr>
          <w:rFonts w:eastAsiaTheme="minorHAnsi"/>
          <w:color w:val="000000"/>
          <w:szCs w:val="22"/>
        </w:rPr>
        <w:lastRenderedPageBreak/>
        <w:t xml:space="preserve">the table), multiplied by the proportion of total hours attributable to </w:t>
      </w:r>
      <w:r w:rsidR="00911CB1">
        <w:rPr>
          <w:rFonts w:eastAsiaTheme="minorHAnsi"/>
          <w:color w:val="000000"/>
          <w:szCs w:val="22"/>
        </w:rPr>
        <w:t xml:space="preserve">a given </w:t>
      </w:r>
      <w:r w:rsidRPr="00726F7E">
        <w:rPr>
          <w:rFonts w:eastAsiaTheme="minorHAnsi"/>
          <w:color w:val="000000"/>
          <w:szCs w:val="22"/>
        </w:rPr>
        <w:t>Group</w:t>
      </w:r>
      <w:r w:rsidR="00954372">
        <w:rPr>
          <w:rFonts w:eastAsiaTheme="minorHAnsi"/>
          <w:color w:val="000000"/>
          <w:szCs w:val="22"/>
        </w:rPr>
        <w:t xml:space="preserve"> that reports</w:t>
      </w:r>
      <w:r w:rsidRPr="00726F7E">
        <w:rPr>
          <w:rFonts w:eastAsiaTheme="minorHAnsi"/>
          <w:color w:val="000000"/>
          <w:szCs w:val="22"/>
        </w:rPr>
        <w:t xml:space="preserve"> on a category, e.g., the number of metrics in that Group divided by the total number of metrics (also not shown in table).  </w:t>
      </w:r>
      <w:bookmarkStart w:name="_Hlk30750358" w:id="4"/>
      <w:r w:rsidRPr="00726F7E">
        <w:rPr>
          <w:rFonts w:eastAsiaTheme="minorHAnsi"/>
          <w:color w:val="000000"/>
          <w:szCs w:val="22"/>
        </w:rPr>
        <w:t>An example in the first row is that for Group 1, Metrics Data Collection category, the $</w:t>
      </w:r>
      <w:r w:rsidR="00C4022E">
        <w:rPr>
          <w:rFonts w:eastAsiaTheme="minorHAnsi"/>
          <w:color w:val="000000"/>
          <w:szCs w:val="22"/>
        </w:rPr>
        <w:t>5,391</w:t>
      </w:r>
      <w:r w:rsidRPr="00726F7E">
        <w:rPr>
          <w:rFonts w:eastAsiaTheme="minorHAnsi"/>
          <w:color w:val="000000"/>
          <w:szCs w:val="22"/>
        </w:rPr>
        <w:t xml:space="preserve"> is the product of 271 hours in column (5) multiplied by the weighted average labor rate for that category ($</w:t>
      </w:r>
      <w:r w:rsidR="00C4022E">
        <w:rPr>
          <w:rFonts w:eastAsiaTheme="minorHAnsi"/>
          <w:color w:val="000000"/>
          <w:szCs w:val="22"/>
        </w:rPr>
        <w:t>82.42</w:t>
      </w:r>
      <w:r w:rsidRPr="00726F7E">
        <w:rPr>
          <w:rFonts w:eastAsiaTheme="minorHAnsi"/>
          <w:color w:val="000000"/>
          <w:szCs w:val="22"/>
        </w:rPr>
        <w:t xml:space="preserve">) multiplied by 0.242 (the ratio of metrics in </w:t>
      </w:r>
      <w:r w:rsidR="00560439">
        <w:rPr>
          <w:rFonts w:eastAsiaTheme="minorHAnsi"/>
          <w:color w:val="000000"/>
          <w:szCs w:val="22"/>
        </w:rPr>
        <w:t>Group 1</w:t>
      </w:r>
      <w:r w:rsidRPr="00726F7E">
        <w:rPr>
          <w:rFonts w:eastAsiaTheme="minorHAnsi"/>
          <w:color w:val="000000"/>
          <w:szCs w:val="22"/>
        </w:rPr>
        <w:t xml:space="preserve">, </w:t>
      </w:r>
      <w:r w:rsidR="00223E67">
        <w:rPr>
          <w:rFonts w:eastAsiaTheme="minorHAnsi"/>
          <w:color w:val="000000"/>
          <w:szCs w:val="22"/>
        </w:rPr>
        <w:t>7</w:t>
      </w:r>
      <w:r w:rsidRPr="00726F7E">
        <w:rPr>
          <w:rFonts w:eastAsiaTheme="minorHAnsi"/>
          <w:color w:val="000000"/>
          <w:szCs w:val="22"/>
        </w:rPr>
        <w:t>, to the total number of metrics, 29 or 7÷29).  This fraction is not displayed in the table.</w:t>
      </w:r>
      <w:r w:rsidRPr="00726F7E">
        <w:rPr>
          <w:rFonts w:eastAsiaTheme="minorHAnsi"/>
          <w:b/>
          <w:color w:val="000000"/>
          <w:szCs w:val="22"/>
          <w:vertAlign w:val="superscript"/>
        </w:rPr>
        <w:footnoteReference w:id="11"/>
      </w:r>
      <w:r w:rsidRPr="00726F7E">
        <w:rPr>
          <w:rFonts w:eastAsiaTheme="minorHAnsi"/>
          <w:color w:val="000000"/>
          <w:szCs w:val="22"/>
        </w:rPr>
        <w:t xml:space="preserve"> </w:t>
      </w:r>
      <w:bookmarkEnd w:id="4"/>
    </w:p>
    <w:p w:rsidRPr="00726F7E" w:rsidR="00726F7E" w:rsidP="00726F7E" w:rsidRDefault="00726F7E" w14:paraId="6C834A7E" w14:textId="107628E9">
      <w:pPr>
        <w:widowControl w:val="0"/>
        <w:autoSpaceDE w:val="0"/>
        <w:autoSpaceDN w:val="0"/>
        <w:adjustRightInd w:val="0"/>
        <w:spacing w:line="480" w:lineRule="auto"/>
        <w:ind w:firstLine="720"/>
        <w:rPr>
          <w:rFonts w:eastAsiaTheme="minorHAnsi"/>
          <w:color w:val="000000"/>
          <w:szCs w:val="22"/>
        </w:rPr>
      </w:pPr>
      <w:r w:rsidRPr="00726F7E">
        <w:rPr>
          <w:rFonts w:eastAsiaTheme="minorHAnsi"/>
          <w:color w:val="000000"/>
          <w:szCs w:val="22"/>
        </w:rPr>
        <w:t xml:space="preserve">The Estimated Total Annual Burden Hours (7) is the product of the Total Number of Annual Responses (4) </w:t>
      </w:r>
      <w:r w:rsidRPr="00726F7E" w:rsidDel="004E3B78">
        <w:rPr>
          <w:rFonts w:eastAsiaTheme="minorHAnsi"/>
          <w:color w:val="000000"/>
          <w:szCs w:val="22"/>
        </w:rPr>
        <w:t>times</w:t>
      </w:r>
      <w:r w:rsidRPr="00726F7E">
        <w:rPr>
          <w:rFonts w:eastAsiaTheme="minorHAnsi"/>
          <w:color w:val="000000"/>
          <w:szCs w:val="22"/>
        </w:rPr>
        <w:t xml:space="preserve"> the Estimated Burden Hours per Response (5).  For the first row of the first group </w:t>
      </w:r>
      <w:r w:rsidR="00954372">
        <w:rPr>
          <w:rFonts w:eastAsiaTheme="minorHAnsi"/>
          <w:color w:val="000000"/>
          <w:szCs w:val="22"/>
        </w:rPr>
        <w:t xml:space="preserve">of respondents, </w:t>
      </w:r>
      <w:r w:rsidRPr="00726F7E">
        <w:rPr>
          <w:rFonts w:eastAsiaTheme="minorHAnsi"/>
          <w:color w:val="000000"/>
          <w:szCs w:val="22"/>
        </w:rPr>
        <w:t xml:space="preserve">this value is 2,905 hours </w:t>
      </w:r>
      <w:r w:rsidR="0025236B">
        <w:rPr>
          <w:rFonts w:eastAsiaTheme="minorHAnsi"/>
          <w:color w:val="000000"/>
          <w:szCs w:val="22"/>
        </w:rPr>
        <w:t xml:space="preserve">(or </w:t>
      </w:r>
      <w:r w:rsidRPr="00726F7E">
        <w:rPr>
          <w:rFonts w:eastAsiaTheme="minorHAnsi"/>
          <w:color w:val="000000"/>
          <w:szCs w:val="22"/>
        </w:rPr>
        <w:t>10.72 × 271 hours</w:t>
      </w:r>
      <w:r w:rsidR="0025236B">
        <w:rPr>
          <w:rFonts w:eastAsiaTheme="minorHAnsi"/>
          <w:color w:val="000000"/>
          <w:szCs w:val="22"/>
        </w:rPr>
        <w:t>)</w:t>
      </w:r>
      <w:r w:rsidRPr="00726F7E">
        <w:rPr>
          <w:rFonts w:eastAsiaTheme="minorHAnsi"/>
          <w:color w:val="000000"/>
          <w:szCs w:val="22"/>
        </w:rPr>
        <w:t xml:space="preserve">. </w:t>
      </w:r>
    </w:p>
    <w:p w:rsidRPr="00726F7E" w:rsidR="00726F7E" w:rsidP="00726F7E" w:rsidRDefault="00726F7E" w14:paraId="03CDA6FC" w14:textId="55F67BAF">
      <w:pPr>
        <w:widowControl w:val="0"/>
        <w:autoSpaceDE w:val="0"/>
        <w:autoSpaceDN w:val="0"/>
        <w:adjustRightInd w:val="0"/>
        <w:spacing w:line="480" w:lineRule="auto"/>
        <w:ind w:firstLine="720"/>
        <w:rPr>
          <w:rFonts w:eastAsiaTheme="minorHAnsi"/>
          <w:color w:val="000000"/>
          <w:szCs w:val="22"/>
        </w:rPr>
      </w:pPr>
      <w:r w:rsidRPr="00726F7E">
        <w:rPr>
          <w:rFonts w:eastAsiaTheme="minorHAnsi"/>
          <w:color w:val="000000"/>
          <w:szCs w:val="22"/>
        </w:rPr>
        <w:t>Finally, the Estimated Total Annual Cost (8) reflects the total burden to the industry and is calculated by multiplying the Total Number of Annual Responses (4) times the Estimated Cost per Response (6) for each category for all groups and produces an estimated total cost in the last row of the table.  The wage rates utilized in this burden estimate have been updated to recent Bureau of Labor Statistics estimates for the same categories as used in the prior burden estimates for the FERC-922 information collection (i.e., Computer Systems Analysts, Lawyers, Electrical Engineers, Economists, and the category Chief Executive)</w:t>
      </w:r>
      <w:r w:rsidR="001A59E3">
        <w:rPr>
          <w:rFonts w:eastAsiaTheme="minorHAnsi"/>
          <w:color w:val="000000"/>
          <w:szCs w:val="22"/>
        </w:rPr>
        <w:t xml:space="preserve"> in </w:t>
      </w:r>
      <w:r w:rsidR="001A59E3">
        <w:rPr>
          <w:rFonts w:eastAsiaTheme="minorHAnsi"/>
          <w:color w:val="000000"/>
          <w:szCs w:val="22"/>
        </w:rPr>
        <w:lastRenderedPageBreak/>
        <w:t>the Electric Power Generation, Transmission, and Distribution industry</w:t>
      </w:r>
      <w:r w:rsidRPr="00726F7E">
        <w:rPr>
          <w:rFonts w:eastAsiaTheme="minorHAnsi"/>
          <w:color w:val="000000"/>
          <w:szCs w:val="22"/>
        </w:rPr>
        <w:t>.  Wage estimates use the</w:t>
      </w:r>
      <w:r w:rsidR="001A59E3">
        <w:rPr>
          <w:rFonts w:eastAsiaTheme="minorHAnsi"/>
          <w:color w:val="000000"/>
          <w:szCs w:val="22"/>
        </w:rPr>
        <w:t xml:space="preserve"> hourly mean</w:t>
      </w:r>
      <w:r w:rsidRPr="00726F7E">
        <w:rPr>
          <w:rFonts w:eastAsiaTheme="minorHAnsi"/>
          <w:color w:val="000000"/>
          <w:szCs w:val="22"/>
        </w:rPr>
        <w:t xml:space="preserve"> wage from the </w:t>
      </w:r>
      <w:r w:rsidR="006461AA">
        <w:rPr>
          <w:rFonts w:eastAsiaTheme="minorHAnsi"/>
          <w:color w:val="000000"/>
          <w:szCs w:val="22"/>
        </w:rPr>
        <w:t>Bureau of Labor Statistics</w:t>
      </w:r>
      <w:r w:rsidR="002C1725">
        <w:rPr>
          <w:rFonts w:eastAsiaTheme="minorHAnsi"/>
          <w:color w:val="000000"/>
          <w:szCs w:val="22"/>
        </w:rPr>
        <w:t xml:space="preserve"> data</w:t>
      </w:r>
      <w:r w:rsidRPr="00726F7E">
        <w:rPr>
          <w:rFonts w:eastAsiaTheme="minorHAnsi"/>
          <w:color w:val="000000"/>
          <w:szCs w:val="22"/>
        </w:rPr>
        <w:t xml:space="preserve">, adjusted upward for the private industry benefits of </w:t>
      </w:r>
      <w:r w:rsidR="00806C4B">
        <w:rPr>
          <w:rFonts w:eastAsiaTheme="minorHAnsi"/>
          <w:color w:val="000000"/>
          <w:szCs w:val="22"/>
        </w:rPr>
        <w:t xml:space="preserve">29.9 </w:t>
      </w:r>
      <w:r w:rsidRPr="00726F7E">
        <w:rPr>
          <w:rFonts w:eastAsiaTheme="minorHAnsi"/>
          <w:color w:val="000000"/>
          <w:szCs w:val="22"/>
        </w:rPr>
        <w:t>percent, and are a</w:t>
      </w:r>
      <w:r w:rsidR="00A0285F">
        <w:rPr>
          <w:rFonts w:eastAsiaTheme="minorHAnsi"/>
          <w:color w:val="000000"/>
          <w:szCs w:val="22"/>
        </w:rPr>
        <w:t>n</w:t>
      </w:r>
      <w:r w:rsidRPr="00726F7E">
        <w:rPr>
          <w:rFonts w:eastAsiaTheme="minorHAnsi"/>
          <w:color w:val="000000"/>
          <w:szCs w:val="22"/>
        </w:rPr>
        <w:t xml:space="preserve"> average of those categories.  </w:t>
      </w:r>
    </w:p>
    <w:p w:rsidRPr="008D7A7D" w:rsidR="008D7A7D" w:rsidP="008D7A7D" w:rsidRDefault="00333B73" w14:paraId="2CA8F3B5" w14:textId="75FC51E1">
      <w:pPr>
        <w:spacing w:line="480" w:lineRule="auto"/>
        <w:rPr>
          <w:i/>
        </w:rPr>
      </w:pPr>
      <w:r>
        <w:rPr>
          <w:i/>
        </w:rPr>
        <w:t xml:space="preserve">Public </w:t>
      </w:r>
      <w:r w:rsidR="00AE1F12">
        <w:rPr>
          <w:i/>
        </w:rPr>
        <w:t>Comment</w:t>
      </w:r>
      <w:r w:rsidR="007E6091">
        <w:rPr>
          <w:i/>
        </w:rPr>
        <w:t>s</w:t>
      </w:r>
      <w:r>
        <w:rPr>
          <w:i/>
        </w:rPr>
        <w:t xml:space="preserve"> and </w:t>
      </w:r>
      <w:r w:rsidR="007E6091">
        <w:rPr>
          <w:i/>
        </w:rPr>
        <w:t>Commission Staff</w:t>
      </w:r>
      <w:r>
        <w:rPr>
          <w:i/>
        </w:rPr>
        <w:t>’s Responses</w:t>
      </w:r>
      <w:r w:rsidR="00AE1F12">
        <w:rPr>
          <w:i/>
        </w:rPr>
        <w:t>:</w:t>
      </w:r>
      <w:r w:rsidR="008D7A7D">
        <w:rPr>
          <w:i/>
        </w:rPr>
        <w:t xml:space="preserve">  </w:t>
      </w:r>
      <w:r>
        <w:t xml:space="preserve">Comments were filed by the public in response to the </w:t>
      </w:r>
      <w:r w:rsidR="00486CBE">
        <w:t>July 10</w:t>
      </w:r>
      <w:r w:rsidRPr="004C19E9" w:rsidR="00486CBE">
        <w:t>, 2019</w:t>
      </w:r>
      <w:r w:rsidR="00486CBE">
        <w:t xml:space="preserve"> </w:t>
      </w:r>
      <w:r w:rsidR="007E6091">
        <w:t>notice</w:t>
      </w:r>
      <w:r w:rsidRPr="004C19E9">
        <w:t xml:space="preserve"> </w:t>
      </w:r>
      <w:r>
        <w:t>published by the Commission in the Federal Register</w:t>
      </w:r>
      <w:r w:rsidR="007E6091">
        <w:t xml:space="preserve">, </w:t>
      </w:r>
      <w:r w:rsidRPr="00B141B5" w:rsidR="00541174">
        <w:t>84</w:t>
      </w:r>
      <w:r w:rsidR="00541174">
        <w:t xml:space="preserve"> FR 32,908 (July 10, 2019).</w:t>
      </w:r>
      <w:r>
        <w:t xml:space="preserve">  Commission</w:t>
      </w:r>
      <w:r w:rsidR="00E34158">
        <w:t xml:space="preserve"> staff</w:t>
      </w:r>
      <w:r>
        <w:t>’s responses to those comments are provided below.</w:t>
      </w:r>
    </w:p>
    <w:p w:rsidRPr="00E34158" w:rsidR="00333B73" w:rsidP="00AE1F12" w:rsidRDefault="00DF594C" w14:paraId="25C5306C" w14:textId="7E0213A4">
      <w:pPr>
        <w:spacing w:line="480" w:lineRule="auto"/>
        <w:rPr>
          <w:i/>
        </w:rPr>
      </w:pPr>
      <w:bookmarkStart w:name="_Hlk26458054" w:id="5"/>
      <w:r>
        <w:rPr>
          <w:i/>
        </w:rPr>
        <w:t>General Comments on Reinstatement and Revision of FERC-922 Information Collection</w:t>
      </w:r>
    </w:p>
    <w:p w:rsidRPr="00DF594C" w:rsidR="00333B73" w:rsidP="00AE1F12" w:rsidRDefault="00333B73" w14:paraId="428500FA" w14:textId="508FC47E">
      <w:pPr>
        <w:spacing w:line="480" w:lineRule="auto"/>
      </w:pPr>
      <w:r w:rsidRPr="00DF594C">
        <w:rPr>
          <w:i/>
        </w:rPr>
        <w:tab/>
      </w:r>
      <w:r w:rsidR="00DF594C">
        <w:t>In general, commenters</w:t>
      </w:r>
      <w:r w:rsidR="007149F8">
        <w:t>, including APPA</w:t>
      </w:r>
      <w:r w:rsidR="00E77708">
        <w:t>,</w:t>
      </w:r>
      <w:r w:rsidR="007149F8">
        <w:t xml:space="preserve"> California Independent System Operator Corporation (CAISO),</w:t>
      </w:r>
      <w:r w:rsidR="00DF594C">
        <w:t xml:space="preserve"> </w:t>
      </w:r>
      <w:r w:rsidR="00C91A48">
        <w:t>Midcontinent Independent System Operator</w:t>
      </w:r>
      <w:r w:rsidR="00A46A85">
        <w:t>, Inc.</w:t>
      </w:r>
      <w:r w:rsidR="00C91A48">
        <w:t xml:space="preserve"> (MISO), </w:t>
      </w:r>
      <w:r w:rsidR="00370E9C">
        <w:t>the PJM Interconnection, L.L.C. Independent Market Monitor (PJM</w:t>
      </w:r>
      <w:r w:rsidR="001B19FF">
        <w:t xml:space="preserve"> market monitor</w:t>
      </w:r>
      <w:r w:rsidR="00370E9C">
        <w:t xml:space="preserve">), </w:t>
      </w:r>
      <w:r w:rsidR="00CF3E87">
        <w:t>the ISO/RTO Council (</w:t>
      </w:r>
      <w:r w:rsidR="00797FA2">
        <w:t>IRC</w:t>
      </w:r>
      <w:r w:rsidR="00CF3E87">
        <w:t>)</w:t>
      </w:r>
      <w:r w:rsidR="00797FA2">
        <w:t xml:space="preserve">, </w:t>
      </w:r>
      <w:r w:rsidR="00677F4C">
        <w:t xml:space="preserve">Transmission Access Policy Study Group (TAPS), </w:t>
      </w:r>
      <w:r w:rsidR="00370E9C">
        <w:t xml:space="preserve">and </w:t>
      </w:r>
      <w:r w:rsidR="00677F4C">
        <w:t>the Competitive Transmission Developers,</w:t>
      </w:r>
      <w:r w:rsidR="00677F4C">
        <w:rPr>
          <w:rStyle w:val="FootnoteReference"/>
        </w:rPr>
        <w:footnoteReference w:id="12"/>
      </w:r>
      <w:r w:rsidR="00677F4C">
        <w:t xml:space="preserve"> </w:t>
      </w:r>
      <w:r w:rsidR="00DF594C">
        <w:t>support Commission staff’s efforts to reinstate the FERC-922 information collection</w:t>
      </w:r>
      <w:r w:rsidR="00797FA2">
        <w:t xml:space="preserve"> and to improve it by adding the Group 3 capacity market metrics, and</w:t>
      </w:r>
      <w:r w:rsidR="00F122DB">
        <w:t xml:space="preserve"> by</w:t>
      </w:r>
      <w:r w:rsidR="00797FA2">
        <w:t xml:space="preserve"> providing a new User Guide and </w:t>
      </w:r>
      <w:r w:rsidR="00A257B0">
        <w:t>I</w:t>
      </w:r>
      <w:r w:rsidR="00797FA2">
        <w:t xml:space="preserve">nput </w:t>
      </w:r>
      <w:r w:rsidR="00A257B0">
        <w:t>S</w:t>
      </w:r>
      <w:r w:rsidR="00797FA2">
        <w:t>preadsheet</w:t>
      </w:r>
      <w:r w:rsidR="00DF594C">
        <w:t>.</w:t>
      </w:r>
      <w:r w:rsidR="00797FA2">
        <w:t xml:space="preserve">  </w:t>
      </w:r>
      <w:r w:rsidR="00C130CB">
        <w:t xml:space="preserve">APPA further notes its support of Commission staff’s proposal to eliminate the metrics on reliability, RTO/ISO billing controls, interconnection and transmission processes, and system lambda.  </w:t>
      </w:r>
      <w:r w:rsidR="00DF594C">
        <w:lastRenderedPageBreak/>
        <w:t xml:space="preserve">To further improve the value of the information collection, APPA </w:t>
      </w:r>
      <w:r w:rsidR="00677F4C">
        <w:t xml:space="preserve">and the Competitive Transmission Developers </w:t>
      </w:r>
      <w:r w:rsidR="00DF594C">
        <w:t>comment that the metrics collected should not be limited to information that is already collected and published by RTOs/ISOs.</w:t>
      </w:r>
      <w:r w:rsidR="00E24ED7">
        <w:t xml:space="preserve">  APPA </w:t>
      </w:r>
      <w:r w:rsidR="00677F4C">
        <w:t>and the Competitive Transmission Develope</w:t>
      </w:r>
      <w:r w:rsidR="00370E9C">
        <w:t>r</w:t>
      </w:r>
      <w:r w:rsidR="00677F4C">
        <w:t xml:space="preserve">s </w:t>
      </w:r>
      <w:r w:rsidR="00E24ED7">
        <w:t>also comment that Commission staff should increase the quality checks it performs on the data submitted in response to the information collection and undertake critical analysis of the data submitted</w:t>
      </w:r>
      <w:r w:rsidR="00F2404F">
        <w:t>, including identifying opportunities for comparisons between RTO</w:t>
      </w:r>
      <w:r w:rsidR="00096D11">
        <w:t>s</w:t>
      </w:r>
      <w:r w:rsidR="00F2404F">
        <w:t>/ISO</w:t>
      </w:r>
      <w:r w:rsidR="00096D11">
        <w:t>s</w:t>
      </w:r>
      <w:r w:rsidR="00F2404F">
        <w:t xml:space="preserve"> and non-RTO/ISO </w:t>
      </w:r>
      <w:r w:rsidR="00096D11">
        <w:t>utilities</w:t>
      </w:r>
      <w:r w:rsidR="00E24ED7">
        <w:t xml:space="preserve">.  </w:t>
      </w:r>
      <w:r w:rsidR="00797FA2">
        <w:t xml:space="preserve">IRC requests a reasonable </w:t>
      </w:r>
      <w:r w:rsidR="00F6799C">
        <w:t>period</w:t>
      </w:r>
      <w:r w:rsidR="00797FA2">
        <w:t xml:space="preserve"> to submit information in response to the information collection.</w:t>
      </w:r>
    </w:p>
    <w:bookmarkEnd w:id="5"/>
    <w:p w:rsidRPr="00E34158" w:rsidR="00333B73" w:rsidP="00AE1F12" w:rsidRDefault="00333B73" w14:paraId="116C9AAF" w14:textId="36C05419">
      <w:pPr>
        <w:spacing w:line="480" w:lineRule="auto"/>
        <w:rPr>
          <w:i/>
        </w:rPr>
      </w:pPr>
      <w:r w:rsidRPr="00E34158">
        <w:tab/>
      </w:r>
      <w:r w:rsidR="00BD2953">
        <w:rPr>
          <w:i/>
        </w:rPr>
        <w:t>Commission</w:t>
      </w:r>
      <w:r w:rsidRPr="00E34158">
        <w:rPr>
          <w:i/>
        </w:rPr>
        <w:t xml:space="preserve"> </w:t>
      </w:r>
      <w:r w:rsidRPr="00E34158" w:rsidR="00E34158">
        <w:rPr>
          <w:i/>
        </w:rPr>
        <w:t xml:space="preserve">Staff </w:t>
      </w:r>
      <w:r w:rsidRPr="00E34158">
        <w:rPr>
          <w:i/>
        </w:rPr>
        <w:t xml:space="preserve">Response:  </w:t>
      </w:r>
      <w:r w:rsidRPr="00A10623" w:rsidR="00DF594C">
        <w:t xml:space="preserve">Commission staff </w:t>
      </w:r>
      <w:r w:rsidR="00F122DB">
        <w:t xml:space="preserve">believes </w:t>
      </w:r>
      <w:r w:rsidR="006D3BBA">
        <w:t xml:space="preserve">that </w:t>
      </w:r>
      <w:r w:rsidR="00F122DB">
        <w:t xml:space="preserve">staff deliberations, combined with </w:t>
      </w:r>
      <w:r w:rsidR="008837A2">
        <w:t>significant public</w:t>
      </w:r>
      <w:r w:rsidR="00F122DB">
        <w:t xml:space="preserve"> outreach, have resulted in the development of </w:t>
      </w:r>
      <w:r w:rsidR="004433A1">
        <w:t>twenty-nine</w:t>
      </w:r>
      <w:r w:rsidR="00F122DB">
        <w:t xml:space="preserve"> Common Metrics</w:t>
      </w:r>
      <w:r w:rsidR="000B1079">
        <w:t xml:space="preserve">, </w:t>
      </w:r>
      <w:r w:rsidR="0009542D">
        <w:t>as well as</w:t>
      </w:r>
      <w:r w:rsidR="000B1079">
        <w:t xml:space="preserve"> the associated User Guide and </w:t>
      </w:r>
      <w:r w:rsidR="00A257B0">
        <w:t>I</w:t>
      </w:r>
      <w:r w:rsidR="000B1079">
        <w:t xml:space="preserve">nput </w:t>
      </w:r>
      <w:r w:rsidR="00A257B0">
        <w:t>S</w:t>
      </w:r>
      <w:r w:rsidR="000B1079">
        <w:t>preadsheet,</w:t>
      </w:r>
      <w:r w:rsidR="00F122DB">
        <w:t xml:space="preserve"> </w:t>
      </w:r>
      <w:r w:rsidR="008837A2">
        <w:t xml:space="preserve">that </w:t>
      </w:r>
      <w:r w:rsidR="00F122DB">
        <w:t xml:space="preserve">address </w:t>
      </w:r>
      <w:r w:rsidR="008837A2">
        <w:t>many</w:t>
      </w:r>
      <w:r w:rsidR="00F122DB">
        <w:t xml:space="preserve"> of the concerns raised by the GAO</w:t>
      </w:r>
      <w:r w:rsidR="008837A2">
        <w:t xml:space="preserve"> in the 2017 GAO Report</w:t>
      </w:r>
      <w:r w:rsidR="00F122DB">
        <w:t xml:space="preserve">, and </w:t>
      </w:r>
      <w:r w:rsidR="00C30CC8">
        <w:t>that</w:t>
      </w:r>
      <w:r w:rsidR="008837A2">
        <w:t xml:space="preserve"> </w:t>
      </w:r>
      <w:r w:rsidR="00F122DB">
        <w:t>will allow for meaningful evaluations of</w:t>
      </w:r>
      <w:r w:rsidRPr="00A10623" w:rsidR="00DF594C">
        <w:t xml:space="preserve"> </w:t>
      </w:r>
      <w:r w:rsidR="00F122DB">
        <w:t xml:space="preserve">the performance and reliability of RTOs/ISOs and </w:t>
      </w:r>
      <w:r w:rsidR="00096D11">
        <w:t>non-RTO/ISO utilities</w:t>
      </w:r>
      <w:r w:rsidR="00F122DB">
        <w:t xml:space="preserve">.  </w:t>
      </w:r>
      <w:r w:rsidRPr="00A10623" w:rsidR="00DF594C">
        <w:t>Commission staff has not limited the information collection to metrics that are already collected and/or published by the RTOs/ISOs or their market monitors.</w:t>
      </w:r>
      <w:r w:rsidRPr="00A10623" w:rsidR="00797FA2">
        <w:t xml:space="preserve">  </w:t>
      </w:r>
      <w:r w:rsidR="008837A2">
        <w:t>If and when th</w:t>
      </w:r>
      <w:r w:rsidRPr="00A10623" w:rsidR="00797FA2">
        <w:t xml:space="preserve">e information collection is approved by OMB, Commission staff will </w:t>
      </w:r>
      <w:r w:rsidR="009F16F8">
        <w:t xml:space="preserve">issue a formal request for information, seeking responses to the information collection within </w:t>
      </w:r>
      <w:r w:rsidR="0048228C">
        <w:t>ninety</w:t>
      </w:r>
      <w:r w:rsidR="009F16F8">
        <w:t xml:space="preserve"> days, which staff believes is</w:t>
      </w:r>
      <w:r w:rsidRPr="00A10623" w:rsidR="00797FA2">
        <w:t xml:space="preserve"> </w:t>
      </w:r>
      <w:r w:rsidR="00A257B0">
        <w:t xml:space="preserve">a </w:t>
      </w:r>
      <w:r w:rsidRPr="00A10623" w:rsidR="00797FA2">
        <w:t>reasonable period of time to respond.</w:t>
      </w:r>
      <w:r w:rsidR="00E24ED7">
        <w:rPr>
          <w:i/>
        </w:rPr>
        <w:t xml:space="preserve">  </w:t>
      </w:r>
      <w:r w:rsidR="00E24ED7">
        <w:t>Once responses are received, Commission staff intends to undertake additional</w:t>
      </w:r>
      <w:r w:rsidR="00FC638C">
        <w:t>, improved</w:t>
      </w:r>
      <w:r w:rsidR="00E24ED7">
        <w:t xml:space="preserve"> quality checks on the data, as recommended by GAO</w:t>
      </w:r>
      <w:r w:rsidR="00D875A3">
        <w:t>.</w:t>
      </w:r>
      <w:r w:rsidR="00E24ED7">
        <w:t xml:space="preserve"> </w:t>
      </w:r>
    </w:p>
    <w:p w:rsidRPr="009A1244" w:rsidR="00333B73" w:rsidP="00333B73" w:rsidRDefault="004D7AFD" w14:paraId="6A6FB2C9" w14:textId="1AF10AA3">
      <w:pPr>
        <w:spacing w:line="480" w:lineRule="auto"/>
        <w:rPr>
          <w:i/>
        </w:rPr>
      </w:pPr>
      <w:r>
        <w:rPr>
          <w:i/>
        </w:rPr>
        <w:lastRenderedPageBreak/>
        <w:t xml:space="preserve">Comments </w:t>
      </w:r>
      <w:r w:rsidRPr="009A1244" w:rsidR="00DF594C">
        <w:rPr>
          <w:i/>
        </w:rPr>
        <w:t>Request</w:t>
      </w:r>
      <w:r>
        <w:rPr>
          <w:i/>
        </w:rPr>
        <w:t xml:space="preserve">ing </w:t>
      </w:r>
      <w:r w:rsidR="00D45A23">
        <w:rPr>
          <w:i/>
        </w:rPr>
        <w:t xml:space="preserve">Modification of Proposed Metrics and </w:t>
      </w:r>
      <w:r w:rsidRPr="009A1244" w:rsidR="00DF594C">
        <w:rPr>
          <w:i/>
        </w:rPr>
        <w:t>Inclu</w:t>
      </w:r>
      <w:r>
        <w:rPr>
          <w:i/>
        </w:rPr>
        <w:t>sion of</w:t>
      </w:r>
      <w:r w:rsidRPr="009A1244" w:rsidR="00DF594C">
        <w:rPr>
          <w:i/>
        </w:rPr>
        <w:t xml:space="preserve"> Additional Metrics</w:t>
      </w:r>
    </w:p>
    <w:p w:rsidR="00333B73" w:rsidP="00333B73" w:rsidRDefault="00333B73" w14:paraId="5A2AC89F" w14:textId="6DC20EA3">
      <w:pPr>
        <w:spacing w:line="480" w:lineRule="auto"/>
      </w:pPr>
      <w:r w:rsidRPr="00DF594C">
        <w:rPr>
          <w:i/>
        </w:rPr>
        <w:tab/>
      </w:r>
      <w:r w:rsidR="006058C7">
        <w:t>The CAISO Department of Market Monitoring (</w:t>
      </w:r>
      <w:r w:rsidR="001B19FF">
        <w:t>CAISO market monitor</w:t>
      </w:r>
      <w:r w:rsidR="006058C7">
        <w:t xml:space="preserve">) requests the addition of four additional Group 2 metrics regarding the efficiency of congestion revenue rights (CRR) auctions.  </w:t>
      </w:r>
      <w:r w:rsidR="00D751DE">
        <w:t xml:space="preserve">APPA </w:t>
      </w:r>
      <w:r w:rsidR="00CD6B85">
        <w:t xml:space="preserve">requests additional Group 2 and </w:t>
      </w:r>
      <w:r w:rsidR="007E169F">
        <w:t>Group</w:t>
      </w:r>
      <w:r w:rsidR="00CD6B85">
        <w:t xml:space="preserve"> 3 metrics, including</w:t>
      </w:r>
      <w:r w:rsidR="00C130CB">
        <w:t>:</w:t>
      </w:r>
      <w:r w:rsidR="00CD6B85">
        <w:t xml:space="preserve"> </w:t>
      </w:r>
      <w:r w:rsidR="00C130CB">
        <w:t xml:space="preserve"> </w:t>
      </w:r>
      <w:r w:rsidR="00A46A85">
        <w:t>(</w:t>
      </w:r>
      <w:r w:rsidR="00C130CB">
        <w:t xml:space="preserve">1) </w:t>
      </w:r>
      <w:r w:rsidR="00CD6B85">
        <w:t>a metric</w:t>
      </w:r>
      <w:r w:rsidR="00C130CB">
        <w:t xml:space="preserve"> addressing transmission costs comprehensively</w:t>
      </w:r>
      <w:r w:rsidR="00511EB6">
        <w:t>;</w:t>
      </w:r>
      <w:r w:rsidR="00CD6B85">
        <w:t xml:space="preserve"> </w:t>
      </w:r>
      <w:r w:rsidR="00A46A85">
        <w:t>(</w:t>
      </w:r>
      <w:r w:rsidR="00C130CB">
        <w:t xml:space="preserve">2) </w:t>
      </w:r>
      <w:r w:rsidR="00CD6B85">
        <w:t xml:space="preserve">a metric </w:t>
      </w:r>
      <w:r w:rsidR="00C130CB">
        <w:t>addressing whether existing capacity is over- or under-recovering its costs in the RTO/ISO-operated markets</w:t>
      </w:r>
      <w:r w:rsidR="00511EB6">
        <w:t>;</w:t>
      </w:r>
      <w:r w:rsidR="00C130CB">
        <w:t xml:space="preserve"> </w:t>
      </w:r>
      <w:r w:rsidR="00A46A85">
        <w:t>(</w:t>
      </w:r>
      <w:r w:rsidR="00C130CB">
        <w:t>3) a metric addressing the concentration of ownership of capacity resources</w:t>
      </w:r>
      <w:r w:rsidR="00511EB6">
        <w:t>;</w:t>
      </w:r>
      <w:r w:rsidR="00C130CB">
        <w:t xml:space="preserve"> and </w:t>
      </w:r>
      <w:r w:rsidR="00A46A85">
        <w:t>(</w:t>
      </w:r>
      <w:r w:rsidR="00C130CB">
        <w:t xml:space="preserve">4) a metric regarding the participation and profitability of financial entities in RTO/ISO-operated markets.  APPA also recommends that Commission staff retain the RTO/ISO governance metric it proposed deleting from the information collection.  </w:t>
      </w:r>
      <w:r w:rsidR="00677F4C">
        <w:t>The Competitive Transmission Developers recommend inclusion of a transmission metric on constructions costs, comparing initial RTO/ISO cost estimates to actual costs at</w:t>
      </w:r>
      <w:r w:rsidR="006538C4">
        <w:t xml:space="preserve"> the time the project went</w:t>
      </w:r>
      <w:r w:rsidR="00677F4C">
        <w:t xml:space="preserve"> in</w:t>
      </w:r>
      <w:r w:rsidR="006538C4">
        <w:t xml:space="preserve">to </w:t>
      </w:r>
      <w:r w:rsidR="00677F4C">
        <w:t xml:space="preserve">service, and identifying whether a project was competitive or designated to incumbents.  </w:t>
      </w:r>
      <w:r w:rsidR="006538C4">
        <w:t xml:space="preserve">In contrast, </w:t>
      </w:r>
      <w:r w:rsidR="00797FA2">
        <w:t>IRC does not believe that expansion of the metrics beyond Commission staff’s proposal is warranted.</w:t>
      </w:r>
    </w:p>
    <w:p w:rsidRPr="00DF594C" w:rsidR="00D45A23" w:rsidP="00333B73" w:rsidRDefault="00D45A23" w14:paraId="0B60197A" w14:textId="2EA7486C">
      <w:pPr>
        <w:spacing w:line="480" w:lineRule="auto"/>
      </w:pPr>
      <w:r>
        <w:tab/>
        <w:t xml:space="preserve">APPA recommends substantive changes to Metrics #13, #16, #18, #22, and #25 on the basis that its proposed changes would increase the accuracy of the metrics, increase comparability, or otherwise add useful data to the information collection.  TAPS recommends that </w:t>
      </w:r>
      <w:r w:rsidR="007E169F">
        <w:t xml:space="preserve">sub-part </w:t>
      </w:r>
      <w:r w:rsidR="00A257B0">
        <w:t xml:space="preserve">ten </w:t>
      </w:r>
      <w:r w:rsidR="007E169F">
        <w:t xml:space="preserve">of </w:t>
      </w:r>
      <w:r>
        <w:t xml:space="preserve">Metric #25 be expanded to include data on generation capacity owned by load serving entities, to allow for </w:t>
      </w:r>
      <w:r>
        <w:lastRenderedPageBreak/>
        <w:t xml:space="preserve">greater comparability across markets.  The PJM </w:t>
      </w:r>
      <w:r w:rsidR="009A51A3">
        <w:t>market monitor</w:t>
      </w:r>
      <w:r>
        <w:t xml:space="preserve"> recommends substantive changes to Metrics #3, #5, #6, #10, #11, </w:t>
      </w:r>
      <w:r w:rsidRPr="004B46B0">
        <w:t>#16,</w:t>
      </w:r>
      <w:r>
        <w:t xml:space="preserve"> #19, #20, and #26, on the basis that its proposed changes would enhance the metrics, better align them with the</w:t>
      </w:r>
      <w:r w:rsidR="00006FF9">
        <w:t xml:space="preserve"> PJM</w:t>
      </w:r>
      <w:r>
        <w:t xml:space="preserve"> </w:t>
      </w:r>
      <w:r w:rsidR="00052E12">
        <w:t>market monitor</w:t>
      </w:r>
      <w:r>
        <w:t xml:space="preserve">’s own calculations, or otherwise add useful data to the information collection.  The PJM </w:t>
      </w:r>
      <w:r w:rsidR="00052E12">
        <w:t>market monitor</w:t>
      </w:r>
      <w:r>
        <w:t xml:space="preserve"> argues that Metrics #13 and #14 are not useful measures of market performance.</w:t>
      </w:r>
    </w:p>
    <w:p w:rsidR="009F4FC9" w:rsidP="00333B73" w:rsidRDefault="00333B73" w14:paraId="399D12D1" w14:textId="660C6D22">
      <w:pPr>
        <w:spacing w:line="480" w:lineRule="auto"/>
      </w:pPr>
      <w:r w:rsidRPr="00E34158">
        <w:tab/>
      </w:r>
      <w:r w:rsidR="00BD2953">
        <w:rPr>
          <w:i/>
        </w:rPr>
        <w:t>Commission</w:t>
      </w:r>
      <w:r w:rsidRPr="00E34158">
        <w:rPr>
          <w:i/>
        </w:rPr>
        <w:t xml:space="preserve"> </w:t>
      </w:r>
      <w:r w:rsidRPr="00E34158" w:rsidR="00E34158">
        <w:rPr>
          <w:i/>
        </w:rPr>
        <w:t xml:space="preserve">Staff </w:t>
      </w:r>
      <w:r w:rsidRPr="00E34158">
        <w:rPr>
          <w:i/>
        </w:rPr>
        <w:t>Response</w:t>
      </w:r>
      <w:r w:rsidR="00BD2953">
        <w:rPr>
          <w:i/>
        </w:rPr>
        <w:t xml:space="preserve">:  </w:t>
      </w:r>
      <w:r w:rsidR="00BD2953">
        <w:t>Commission staff agrees with IRC that an expansion of the</w:t>
      </w:r>
      <w:r w:rsidR="00052E12">
        <w:t>se</w:t>
      </w:r>
      <w:r w:rsidR="00BD2953">
        <w:t xml:space="preserve"> metrics is not warranted at this time.  </w:t>
      </w:r>
      <w:r w:rsidR="00931D1D">
        <w:t>S</w:t>
      </w:r>
      <w:r w:rsidR="007D45A5">
        <w:t xml:space="preserve">ome of the additional metrics recommended </w:t>
      </w:r>
      <w:r w:rsidR="007E169F">
        <w:t>by commenters</w:t>
      </w:r>
      <w:r w:rsidR="007D45A5">
        <w:t xml:space="preserve"> may be calculated by certain RTOs/ISOs </w:t>
      </w:r>
      <w:r w:rsidR="007E169F">
        <w:t>or non-RTO/ISO utilities</w:t>
      </w:r>
      <w:r w:rsidR="007D45A5">
        <w:t xml:space="preserve"> but not by others, thus losing the commonality </w:t>
      </w:r>
      <w:r w:rsidR="007E169F">
        <w:t xml:space="preserve">and comparability </w:t>
      </w:r>
      <w:r w:rsidR="007D45A5">
        <w:t xml:space="preserve">of the </w:t>
      </w:r>
      <w:r w:rsidR="00A257B0">
        <w:t>Common M</w:t>
      </w:r>
      <w:r w:rsidR="007D45A5">
        <w:t xml:space="preserve">etrics desired by Commission staff.  </w:t>
      </w:r>
      <w:r w:rsidR="00052E12">
        <w:t>In many instances, commenters have requested further granularity of</w:t>
      </w:r>
      <w:r w:rsidR="00412339">
        <w:t xml:space="preserve"> specific</w:t>
      </w:r>
      <w:r w:rsidR="00052E12">
        <w:t xml:space="preserve"> metrics – either at a sub-RTO/ISO level</w:t>
      </w:r>
      <w:r w:rsidR="00412339">
        <w:t>, further</w:t>
      </w:r>
      <w:r w:rsidR="00052E12">
        <w:t xml:space="preserve"> divisibility of the metric</w:t>
      </w:r>
      <w:r w:rsidR="00412339">
        <w:t>, or for information based on individual resources or resource owners</w:t>
      </w:r>
      <w:r w:rsidR="00052E12">
        <w:t xml:space="preserve">.  However, Commission staff notes that the Common Metrics collection is aimed at data applicable at the RTO/ISO-level </w:t>
      </w:r>
      <w:r w:rsidR="009F4FC9">
        <w:t xml:space="preserve">or non-RTO/ISO utility-level based on data that could be calculated using “common” methodologies </w:t>
      </w:r>
      <w:r w:rsidR="00052E12">
        <w:t>and not designed for granularity at the individual resource or resource owner level</w:t>
      </w:r>
      <w:r w:rsidR="009F4FC9">
        <w:t xml:space="preserve"> or further split in a manner that loses the commonality for each region</w:t>
      </w:r>
      <w:r w:rsidR="00052E12">
        <w:t xml:space="preserve">. </w:t>
      </w:r>
      <w:r w:rsidR="009F4FC9">
        <w:t xml:space="preserve"> </w:t>
      </w:r>
    </w:p>
    <w:p w:rsidR="00333B73" w:rsidP="005D1F6E" w:rsidRDefault="00584102" w14:paraId="365F626A" w14:textId="5485D262">
      <w:pPr>
        <w:spacing w:line="480" w:lineRule="auto"/>
        <w:ind w:firstLine="720"/>
      </w:pPr>
      <w:r>
        <w:t xml:space="preserve">Commission staff </w:t>
      </w:r>
      <w:r w:rsidR="009F4FC9">
        <w:t xml:space="preserve">also </w:t>
      </w:r>
      <w:r>
        <w:t>believes that adding some of the proposed additional metrics, without allowing significant time for further research</w:t>
      </w:r>
      <w:r w:rsidR="00CB3269">
        <w:t>, outreach, and</w:t>
      </w:r>
      <w:r>
        <w:t xml:space="preserve"> refinement, would be premature.  However</w:t>
      </w:r>
      <w:r w:rsidR="00BD2953">
        <w:t xml:space="preserve">, staff </w:t>
      </w:r>
      <w:r>
        <w:t>commits to continuing</w:t>
      </w:r>
      <w:r w:rsidR="00BD2953">
        <w:t xml:space="preserve"> </w:t>
      </w:r>
      <w:r>
        <w:t xml:space="preserve">to </w:t>
      </w:r>
      <w:r>
        <w:lastRenderedPageBreak/>
        <w:t>research and discuss</w:t>
      </w:r>
      <w:r w:rsidR="00BD2953">
        <w:t xml:space="preserve"> additional metrics of interest to commenters in the ongoing voluntary and collaborative process with participating RTOs/ISOs and non-RTO/ISO utilities</w:t>
      </w:r>
      <w:r>
        <w:t>, and to consider adding additional metrics to the next iteration of this information collection</w:t>
      </w:r>
      <w:r w:rsidR="00BD2953">
        <w:t xml:space="preserve">.  </w:t>
      </w:r>
    </w:p>
    <w:p w:rsidR="004D61FD" w:rsidP="00333B73" w:rsidRDefault="004D61FD" w14:paraId="60075966" w14:textId="0B6720F9">
      <w:pPr>
        <w:spacing w:line="480" w:lineRule="auto"/>
      </w:pPr>
      <w:r>
        <w:tab/>
        <w:t xml:space="preserve">Commission staff does not agree with APPA that the customer satisfaction metric staff proposed </w:t>
      </w:r>
      <w:r w:rsidR="00777849">
        <w:t xml:space="preserve">to </w:t>
      </w:r>
      <w:r>
        <w:t>eliminat</w:t>
      </w:r>
      <w:r w:rsidR="00777849">
        <w:t>e</w:t>
      </w:r>
      <w:r>
        <w:t xml:space="preserve"> should be retained.  Historically, responses to this metric have not provided meaningful data, and therefore the metric has served only to increase the </w:t>
      </w:r>
      <w:r w:rsidR="007E169F">
        <w:t xml:space="preserve">reporting </w:t>
      </w:r>
      <w:r>
        <w:t xml:space="preserve">burden on respondents. </w:t>
      </w:r>
      <w:r w:rsidRPr="005D1F6E" w:rsidR="005D1F6E">
        <w:t xml:space="preserve"> </w:t>
      </w:r>
      <w:r w:rsidR="005D1F6E">
        <w:t>Staff commits to continuing to research and discuss additional metrics of interest to commenters in the ongoing voluntary and collaborative process, which could include organizational effectiveness.</w:t>
      </w:r>
    </w:p>
    <w:p w:rsidRPr="00E34158" w:rsidR="00D45A23" w:rsidP="00F6799C" w:rsidRDefault="00D45A23" w14:paraId="0F01D7D9" w14:textId="3CDBE4A6">
      <w:pPr>
        <w:spacing w:line="480" w:lineRule="auto"/>
        <w:ind w:firstLine="720"/>
        <w:rPr>
          <w:i/>
        </w:rPr>
      </w:pPr>
      <w:r>
        <w:t xml:space="preserve">Commission staff has reviewed the substantive changes recommended by commenters </w:t>
      </w:r>
      <w:r w:rsidR="00CB3269">
        <w:t xml:space="preserve">to the proposed metrics </w:t>
      </w:r>
      <w:r>
        <w:t xml:space="preserve">and has determined not to make significant modifications to the metrics at this time.  Among other considerations, Commission staff believes </w:t>
      </w:r>
      <w:r w:rsidR="00A93BDA">
        <w:t>some</w:t>
      </w:r>
      <w:r>
        <w:t xml:space="preserve"> of the proposed change</w:t>
      </w:r>
      <w:r w:rsidR="00CB3269">
        <w:t>s:  (1)</w:t>
      </w:r>
      <w:r>
        <w:t xml:space="preserve"> </w:t>
      </w:r>
      <w:r w:rsidR="00CB3269">
        <w:t xml:space="preserve">would </w:t>
      </w:r>
      <w:r>
        <w:t>significantly increase the data collection and reporting burden on respondents</w:t>
      </w:r>
      <w:r w:rsidR="007E169F">
        <w:t>;</w:t>
      </w:r>
      <w:r>
        <w:t xml:space="preserve"> </w:t>
      </w:r>
      <w:r w:rsidR="00CB3269">
        <w:t xml:space="preserve">(2) would </w:t>
      </w:r>
      <w:r>
        <w:t>undermine the c</w:t>
      </w:r>
      <w:r w:rsidR="007E169F">
        <w:t xml:space="preserve">ommonality and </w:t>
      </w:r>
      <w:r>
        <w:t>comparability of certain metrics across RTOs/ISOs and non-RTO</w:t>
      </w:r>
      <w:r w:rsidR="00E332BA">
        <w:t>/ISO</w:t>
      </w:r>
      <w:r>
        <w:t xml:space="preserve"> utilities</w:t>
      </w:r>
      <w:r w:rsidR="007E169F">
        <w:t>;</w:t>
      </w:r>
      <w:r>
        <w:t xml:space="preserve"> and</w:t>
      </w:r>
      <w:r w:rsidR="00CB3269">
        <w:t xml:space="preserve"> (3) do not support the general purpose of the Common Metrics </w:t>
      </w:r>
      <w:r w:rsidR="00A93CA1">
        <w:t>i</w:t>
      </w:r>
      <w:r w:rsidR="00CB3269">
        <w:t xml:space="preserve">nformation </w:t>
      </w:r>
      <w:r w:rsidR="00A93CA1">
        <w:t>c</w:t>
      </w:r>
      <w:r w:rsidR="00CB3269">
        <w:t>ollection.</w:t>
      </w:r>
      <w:r w:rsidR="004D61FD">
        <w:rPr>
          <w:rStyle w:val="FootnoteReference"/>
        </w:rPr>
        <w:footnoteReference w:id="13"/>
      </w:r>
      <w:r>
        <w:t xml:space="preserve"> </w:t>
      </w:r>
      <w:r w:rsidR="004D61FD">
        <w:t xml:space="preserve"> </w:t>
      </w:r>
      <w:r w:rsidR="00CB3269">
        <w:t xml:space="preserve">Further, Commission staff </w:t>
      </w:r>
      <w:r w:rsidR="00CB3269">
        <w:lastRenderedPageBreak/>
        <w:t xml:space="preserve">believes that certain other refinements would be premature to implement at this time, without additional research, outreach, and refinement.  </w:t>
      </w:r>
      <w:r>
        <w:t xml:space="preserve">However, </w:t>
      </w:r>
      <w:r w:rsidR="00A46A85">
        <w:t xml:space="preserve">Commission </w:t>
      </w:r>
      <w:r>
        <w:t xml:space="preserve">staff </w:t>
      </w:r>
      <w:r w:rsidR="00CB3269">
        <w:t xml:space="preserve">commits to </w:t>
      </w:r>
      <w:r>
        <w:t>continue discussing ways to improve the metrics and make them more meaningful in the ongoing voluntary and collaborative process with participating RTOs/ISOs and non-RTO/ISO utilities</w:t>
      </w:r>
      <w:r w:rsidR="00CB3269">
        <w:t>, and to consider additional refinements to the metrics in the next iteration of this information collection</w:t>
      </w:r>
      <w:r>
        <w:t>.</w:t>
      </w:r>
    </w:p>
    <w:p w:rsidRPr="009A1244" w:rsidR="009A1244" w:rsidP="009A1244" w:rsidRDefault="004D7AFD" w14:paraId="6D672456" w14:textId="66CF2BB0">
      <w:pPr>
        <w:spacing w:line="480" w:lineRule="auto"/>
        <w:rPr>
          <w:i/>
        </w:rPr>
      </w:pPr>
      <w:r>
        <w:rPr>
          <w:i/>
        </w:rPr>
        <w:t xml:space="preserve">Comments Requesting </w:t>
      </w:r>
      <w:r w:rsidRPr="009A1244" w:rsidR="009A1244">
        <w:rPr>
          <w:i/>
        </w:rPr>
        <w:t>Clarification</w:t>
      </w:r>
      <w:r>
        <w:rPr>
          <w:i/>
        </w:rPr>
        <w:t xml:space="preserve"> of Proposed</w:t>
      </w:r>
      <w:r w:rsidRPr="009A1244" w:rsidR="009A1244">
        <w:rPr>
          <w:i/>
        </w:rPr>
        <w:t xml:space="preserve"> Metrics </w:t>
      </w:r>
    </w:p>
    <w:p w:rsidRPr="005D3574" w:rsidR="009A1244" w:rsidP="00370E9C" w:rsidRDefault="009A1244" w14:paraId="28E9D9ED" w14:textId="01B4CD68">
      <w:pPr>
        <w:spacing w:line="480" w:lineRule="auto"/>
      </w:pPr>
      <w:r w:rsidRPr="005D3574">
        <w:rPr>
          <w:i/>
        </w:rPr>
        <w:tab/>
      </w:r>
      <w:r w:rsidR="00A10623">
        <w:t>Commenters</w:t>
      </w:r>
      <w:r w:rsidR="00C91A48">
        <w:t xml:space="preserve">, including CAISO, MISO, </w:t>
      </w:r>
      <w:r w:rsidR="004B46B0">
        <w:t xml:space="preserve">the </w:t>
      </w:r>
      <w:r w:rsidR="00623923">
        <w:t xml:space="preserve">PJM </w:t>
      </w:r>
      <w:r w:rsidR="00D875A3">
        <w:t>market monitor</w:t>
      </w:r>
      <w:r w:rsidR="00623923">
        <w:t xml:space="preserve">, </w:t>
      </w:r>
      <w:r w:rsidR="00C91A48">
        <w:t>and IRC</w:t>
      </w:r>
      <w:r w:rsidR="00505192">
        <w:t>,</w:t>
      </w:r>
      <w:r w:rsidR="00A10623">
        <w:t xml:space="preserve"> note that certain respondents may not be able to provide </w:t>
      </w:r>
      <w:r w:rsidR="00AA533A">
        <w:t>responsive information or data for each</w:t>
      </w:r>
      <w:r w:rsidR="00A10623">
        <w:t xml:space="preserve"> metric </w:t>
      </w:r>
      <w:r w:rsidR="00AA533A">
        <w:t>addressed</w:t>
      </w:r>
      <w:r w:rsidR="00A10623">
        <w:t xml:space="preserve"> in the information collection, or may </w:t>
      </w:r>
      <w:r w:rsidR="00AA533A">
        <w:t>c</w:t>
      </w:r>
      <w:r w:rsidR="00511EB6">
        <w:t>ollect</w:t>
      </w:r>
      <w:r w:rsidR="00AA533A">
        <w:t xml:space="preserve"> data in a manner that deviates from the metric as requested</w:t>
      </w:r>
      <w:r w:rsidR="00A10623">
        <w:t xml:space="preserve">.  </w:t>
      </w:r>
      <w:r w:rsidR="00797FA2">
        <w:t xml:space="preserve">IRC comments that the wording of Metric #17 implies that </w:t>
      </w:r>
      <w:r w:rsidR="00B578E9">
        <w:t xml:space="preserve">the ability of RTOs/ISOs to manage the growth rate of </w:t>
      </w:r>
      <w:r w:rsidR="00797FA2">
        <w:t>administrative costs</w:t>
      </w:r>
      <w:r w:rsidR="00A93BDA">
        <w:t xml:space="preserve"> will be </w:t>
      </w:r>
      <w:r w:rsidRPr="00A93BDA" w:rsidR="00797FA2">
        <w:t>commensurate</w:t>
      </w:r>
      <w:r w:rsidR="00797FA2">
        <w:t xml:space="preserve"> with the growth rate of system load—a </w:t>
      </w:r>
      <w:r w:rsidR="00714869">
        <w:t xml:space="preserve">presumption </w:t>
      </w:r>
      <w:r w:rsidR="00777849">
        <w:t xml:space="preserve">with which </w:t>
      </w:r>
      <w:r w:rsidR="00797FA2">
        <w:t>IRC disagrees.</w:t>
      </w:r>
      <w:r w:rsidR="00F2404F">
        <w:t xml:space="preserve">  APPA </w:t>
      </w:r>
      <w:r w:rsidR="00370E9C">
        <w:t xml:space="preserve">and TAPS both </w:t>
      </w:r>
      <w:r w:rsidR="00F2404F">
        <w:t>recommend certain clarifying edits to the description and calculation of Metric #16</w:t>
      </w:r>
      <w:r w:rsidR="00370E9C">
        <w:t xml:space="preserve">.  Specifically, with regard to Metric #16, TAPS recommends that Commission staff:  </w:t>
      </w:r>
      <w:r w:rsidR="003D2690">
        <w:t>(</w:t>
      </w:r>
      <w:r w:rsidR="00370E9C">
        <w:t>1) clarify the definition of “congestion revenue”</w:t>
      </w:r>
      <w:r w:rsidR="003D2690">
        <w:t>;</w:t>
      </w:r>
      <w:r w:rsidR="00370E9C">
        <w:t xml:space="preserve"> </w:t>
      </w:r>
      <w:r w:rsidR="003D2690">
        <w:t>(</w:t>
      </w:r>
      <w:r w:rsidR="00370E9C">
        <w:t xml:space="preserve">2) clarify the definition </w:t>
      </w:r>
      <w:r w:rsidR="00370E9C">
        <w:lastRenderedPageBreak/>
        <w:t>of “congestion charge”</w:t>
      </w:r>
      <w:r w:rsidR="00777849">
        <w:t>;</w:t>
      </w:r>
      <w:r w:rsidR="00370E9C">
        <w:t xml:space="preserve"> </w:t>
      </w:r>
      <w:r w:rsidR="003D2690">
        <w:t>(</w:t>
      </w:r>
      <w:r w:rsidR="00E213D1">
        <w:t>3) clarify the information to be submitted in sub-</w:t>
      </w:r>
      <w:r w:rsidR="00A148AB">
        <w:t>part 5 of Metric</w:t>
      </w:r>
      <w:r w:rsidR="00E213D1">
        <w:t xml:space="preserve"> #16</w:t>
      </w:r>
      <w:r w:rsidR="00A148AB">
        <w:t>;</w:t>
      </w:r>
      <w:r w:rsidR="00E213D1">
        <w:t xml:space="preserve"> and </w:t>
      </w:r>
      <w:r w:rsidR="003D2690">
        <w:t>(</w:t>
      </w:r>
      <w:r w:rsidR="00E213D1">
        <w:t xml:space="preserve">4) clarify that in reporting congestion revenues returned to load, RTOs should take into account all revenues </w:t>
      </w:r>
      <w:r w:rsidRPr="009F7A6B" w:rsidR="00E213D1">
        <w:t>and charges</w:t>
      </w:r>
      <w:r w:rsidR="00E213D1">
        <w:t xml:space="preserve"> associated with </w:t>
      </w:r>
      <w:r w:rsidR="00841FE4">
        <w:t>Financial Transmission Rights (</w:t>
      </w:r>
      <w:r w:rsidR="00E213D1">
        <w:t>FTRs</w:t>
      </w:r>
      <w:r w:rsidR="00841FE4">
        <w:t>)</w:t>
      </w:r>
      <w:r w:rsidR="00E213D1">
        <w:t xml:space="preserve"> and </w:t>
      </w:r>
      <w:r w:rsidR="00841FE4">
        <w:t>Auction Revenue Rights (</w:t>
      </w:r>
      <w:r w:rsidR="00E213D1">
        <w:t>ARRs</w:t>
      </w:r>
      <w:r w:rsidR="00841FE4">
        <w:t>)</w:t>
      </w:r>
      <w:r w:rsidR="00541174">
        <w:t>.</w:t>
      </w:r>
      <w:r w:rsidR="00C24B25">
        <w:t xml:space="preserve">  </w:t>
      </w:r>
      <w:r w:rsidR="000D538C">
        <w:t xml:space="preserve">APPA supports TAPS’ </w:t>
      </w:r>
      <w:r w:rsidR="00C95E28">
        <w:t xml:space="preserve">comments </w:t>
      </w:r>
      <w:r w:rsidR="00A148AB">
        <w:t>requesting</w:t>
      </w:r>
      <w:r w:rsidR="00C95E28">
        <w:t xml:space="preserve"> an improved definition of </w:t>
      </w:r>
      <w:r w:rsidR="00A148AB">
        <w:t>c</w:t>
      </w:r>
      <w:r w:rsidR="00C95E28">
        <w:t xml:space="preserve">ongestion </w:t>
      </w:r>
      <w:r w:rsidR="00A148AB">
        <w:t>r</w:t>
      </w:r>
      <w:r w:rsidR="00C95E28">
        <w:t xml:space="preserve">evenue and </w:t>
      </w:r>
      <w:r w:rsidR="00A148AB">
        <w:t>c</w:t>
      </w:r>
      <w:r w:rsidR="00C95E28">
        <w:t xml:space="preserve">ongestion </w:t>
      </w:r>
      <w:r w:rsidR="00A148AB">
        <w:t>c</w:t>
      </w:r>
      <w:r w:rsidR="00C95E28">
        <w:t>harges and also recommend</w:t>
      </w:r>
      <w:r w:rsidR="00563112">
        <w:t>s</w:t>
      </w:r>
      <w:r w:rsidR="00C95E28">
        <w:t xml:space="preserve"> reversing the numerator and denominator of </w:t>
      </w:r>
      <w:r w:rsidR="00835442">
        <w:t>the</w:t>
      </w:r>
      <w:r w:rsidR="00C95E28">
        <w:t xml:space="preserve"> calculation in </w:t>
      </w:r>
      <w:r w:rsidR="00A148AB">
        <w:t xml:space="preserve">sub-part 5 of </w:t>
      </w:r>
      <w:r w:rsidR="00C95E28">
        <w:t>Metric #16</w:t>
      </w:r>
      <w:r w:rsidR="00835442">
        <w:t>.</w:t>
      </w:r>
      <w:r w:rsidR="00066F32">
        <w:t xml:space="preserve"> </w:t>
      </w:r>
      <w:r w:rsidR="00C95E28">
        <w:t xml:space="preserve"> </w:t>
      </w:r>
      <w:r w:rsidR="00563112">
        <w:t xml:space="preserve">APPA also recommends that </w:t>
      </w:r>
      <w:r w:rsidR="00066F32">
        <w:t>M</w:t>
      </w:r>
      <w:r w:rsidR="00563112">
        <w:t xml:space="preserve">etric #16 document how the payments for FTRs that are purchased in an auction compare to the revenues paid to the instrument holders. </w:t>
      </w:r>
      <w:r w:rsidR="0046745B">
        <w:t xml:space="preserve"> </w:t>
      </w:r>
      <w:r w:rsidR="007D2273">
        <w:t xml:space="preserve">The PJM </w:t>
      </w:r>
      <w:r w:rsidR="00671689">
        <w:t>market monitor</w:t>
      </w:r>
      <w:r w:rsidR="007D2273">
        <w:t xml:space="preserve"> recommends that Commission staff clarify</w:t>
      </w:r>
      <w:r w:rsidR="00D26CFF">
        <w:t xml:space="preserve">:  </w:t>
      </w:r>
      <w:r w:rsidR="003D2690">
        <w:t>(</w:t>
      </w:r>
      <w:r w:rsidR="00D26CFF">
        <w:t xml:space="preserve">1) </w:t>
      </w:r>
      <w:r w:rsidR="007D2273">
        <w:t>the method of calculating new entrant net revenues in Metric #18</w:t>
      </w:r>
      <w:r w:rsidR="00A148AB">
        <w:t>;</w:t>
      </w:r>
      <w:r w:rsidR="00D26CFF">
        <w:t xml:space="preserve"> </w:t>
      </w:r>
      <w:r w:rsidR="003D2690">
        <w:t>(</w:t>
      </w:r>
      <w:r w:rsidR="00D26CFF">
        <w:t>2) the intent of Metric #19</w:t>
      </w:r>
      <w:r w:rsidR="00A148AB">
        <w:t>;</w:t>
      </w:r>
      <w:r w:rsidR="00D26CFF">
        <w:t xml:space="preserve"> </w:t>
      </w:r>
      <w:r w:rsidR="003D2690">
        <w:t>(</w:t>
      </w:r>
      <w:r w:rsidR="00D26CFF">
        <w:t>3) whether Metric #21 is intended to include aggregate import and exports limits for the RTO</w:t>
      </w:r>
      <w:r w:rsidR="00841FE4">
        <w:t>/ISO</w:t>
      </w:r>
      <w:r w:rsidR="00D26CFF">
        <w:t xml:space="preserve"> as a whole</w:t>
      </w:r>
      <w:r w:rsidR="00A148AB">
        <w:t>;</w:t>
      </w:r>
      <w:r w:rsidR="00D26CFF">
        <w:t xml:space="preserve"> </w:t>
      </w:r>
      <w:r w:rsidR="00777849">
        <w:t xml:space="preserve">and </w:t>
      </w:r>
      <w:r w:rsidR="003D2690">
        <w:t>(</w:t>
      </w:r>
      <w:r w:rsidR="00D26CFF">
        <w:t>4) whether Metric #24 should be calculated for each L</w:t>
      </w:r>
      <w:r w:rsidR="00523184">
        <w:t xml:space="preserve">ocational </w:t>
      </w:r>
      <w:r w:rsidR="00D26CFF">
        <w:t>D</w:t>
      </w:r>
      <w:r w:rsidR="00523184">
        <w:t xml:space="preserve">eliverability </w:t>
      </w:r>
      <w:r w:rsidR="00D26CFF">
        <w:t>A</w:t>
      </w:r>
      <w:r w:rsidR="00523184">
        <w:t>rea</w:t>
      </w:r>
      <w:r w:rsidR="00D26CFF">
        <w:t xml:space="preserve"> that price separates in PJM and for PJM as a whole.  </w:t>
      </w:r>
    </w:p>
    <w:p w:rsidR="00A55F99" w:rsidP="009A1244" w:rsidRDefault="009A1244" w14:paraId="65E1A339" w14:textId="7C81F664">
      <w:pPr>
        <w:spacing w:line="480" w:lineRule="auto"/>
      </w:pPr>
      <w:r w:rsidRPr="00E34158">
        <w:tab/>
      </w:r>
      <w:r w:rsidR="004B46B0">
        <w:rPr>
          <w:i/>
        </w:rPr>
        <w:t>Commission S</w:t>
      </w:r>
      <w:r w:rsidRPr="00E34158">
        <w:rPr>
          <w:i/>
        </w:rPr>
        <w:t>taff Response</w:t>
      </w:r>
      <w:r w:rsidR="00797FA2">
        <w:rPr>
          <w:i/>
        </w:rPr>
        <w:t xml:space="preserve">:  </w:t>
      </w:r>
      <w:r w:rsidR="00A10623">
        <w:t xml:space="preserve">Commission staff </w:t>
      </w:r>
      <w:r w:rsidR="00AA533A">
        <w:t xml:space="preserve">acknowledges </w:t>
      </w:r>
      <w:r w:rsidR="00A10623">
        <w:t xml:space="preserve">that not all respondents </w:t>
      </w:r>
      <w:r w:rsidR="00AA533A">
        <w:t xml:space="preserve">will have responsive information for all of the </w:t>
      </w:r>
      <w:r w:rsidR="00A10623">
        <w:t>metr</w:t>
      </w:r>
      <w:r w:rsidR="00AA533A">
        <w:t xml:space="preserve">ics, and that some respondents may calculate certain data responsive to a metric in a way that deviates from that requested </w:t>
      </w:r>
      <w:r w:rsidR="00A10623">
        <w:t xml:space="preserve">due </w:t>
      </w:r>
      <w:r w:rsidRPr="00AA533A" w:rsidR="00A10623">
        <w:t>to administrative and/or structural differences across</w:t>
      </w:r>
      <w:r w:rsidR="00A10623">
        <w:t xml:space="preserve"> the different RTO</w:t>
      </w:r>
      <w:r w:rsidR="00AA533A">
        <w:t>s</w:t>
      </w:r>
      <w:r w:rsidR="00A10623">
        <w:t>/ISO</w:t>
      </w:r>
      <w:r w:rsidR="00AA533A">
        <w:t>s</w:t>
      </w:r>
      <w:r w:rsidR="00A10623">
        <w:t xml:space="preserve"> and non-RTO/ISO </w:t>
      </w:r>
      <w:r w:rsidR="00096D11">
        <w:t>utilities</w:t>
      </w:r>
      <w:r w:rsidR="00A10623">
        <w:t xml:space="preserve">.  </w:t>
      </w:r>
      <w:r w:rsidR="00A55F99">
        <w:t xml:space="preserve">Commission staff requests that respondents respond as comprehensively and as close to the form </w:t>
      </w:r>
      <w:r w:rsidR="00A55F99">
        <w:lastRenderedPageBreak/>
        <w:t xml:space="preserve">requested as possible and simply note and explain in the </w:t>
      </w:r>
      <w:r w:rsidRPr="004B46B0" w:rsidR="00A55F99">
        <w:t>“</w:t>
      </w:r>
      <w:r w:rsidR="00C11ACB">
        <w:t>E</w:t>
      </w:r>
      <w:r w:rsidRPr="004B46B0" w:rsidR="00A55F99">
        <w:t xml:space="preserve">xplanatory </w:t>
      </w:r>
      <w:r w:rsidR="00C11ACB">
        <w:t>T</w:t>
      </w:r>
      <w:r w:rsidRPr="004B46B0" w:rsidR="00A55F99">
        <w:t>ext” field</w:t>
      </w:r>
      <w:r w:rsidR="00A55F99">
        <w:t xml:space="preserve"> </w:t>
      </w:r>
      <w:r w:rsidR="006058C7">
        <w:t xml:space="preserve">for each metric </w:t>
      </w:r>
      <w:r w:rsidR="00A55F99">
        <w:t xml:space="preserve">any deviations or omissions. </w:t>
      </w:r>
    </w:p>
    <w:p w:rsidR="00541174" w:rsidP="00D26CFF" w:rsidRDefault="00797FA2" w14:paraId="013034D8" w14:textId="20D6464D">
      <w:pPr>
        <w:spacing w:line="480" w:lineRule="auto"/>
        <w:ind w:firstLine="720"/>
      </w:pPr>
      <w:r w:rsidRPr="00A10623">
        <w:t xml:space="preserve">Commission staff did not intend for </w:t>
      </w:r>
      <w:r w:rsidR="003574C5">
        <w:t xml:space="preserve">the wording of </w:t>
      </w:r>
      <w:r w:rsidRPr="00A10623">
        <w:t>Metric #17 to imply that administrative costs w</w:t>
      </w:r>
      <w:r w:rsidR="003574C5">
        <w:t>ill always</w:t>
      </w:r>
      <w:r w:rsidRPr="00A10623">
        <w:t xml:space="preserve"> be commensurate with the system load growth; therefore, Commission staff has revised Metric #17 to read: </w:t>
      </w:r>
      <w:r w:rsidR="003574C5">
        <w:t xml:space="preserve"> </w:t>
      </w:r>
    </w:p>
    <w:p w:rsidR="00B578E9" w:rsidP="009F7A6B" w:rsidRDefault="00B578E9" w14:paraId="5BF9F3E8" w14:textId="5753C812">
      <w:pPr>
        <w:spacing w:after="260"/>
        <w:ind w:left="720" w:right="1440"/>
        <w:jc w:val="both"/>
      </w:pPr>
      <w:r>
        <w:t xml:space="preserve">the ability of RTOs/ISOs to manage the growth rate of administrative costs </w:t>
      </w:r>
      <w:r w:rsidR="00B27BE5">
        <w:t xml:space="preserve">as </w:t>
      </w:r>
      <w:r>
        <w:t>the growth rate of system load</w:t>
      </w:r>
      <w:r w:rsidR="00B27BE5">
        <w:t xml:space="preserve"> changes</w:t>
      </w:r>
      <w:r w:rsidR="003574C5">
        <w:t>.</w:t>
      </w:r>
    </w:p>
    <w:p w:rsidR="000B0B32" w:rsidP="008D7A7D" w:rsidRDefault="008714C8" w14:paraId="5F59E75C" w14:textId="6BCD067E">
      <w:pPr>
        <w:spacing w:line="480" w:lineRule="auto"/>
        <w:ind w:firstLine="720"/>
      </w:pPr>
      <w:r>
        <w:t xml:space="preserve">Commission staff agrees with APPA and TAPS that enhancing the definitions of </w:t>
      </w:r>
      <w:r w:rsidR="00157595">
        <w:t>“</w:t>
      </w:r>
      <w:r w:rsidR="00841FE4">
        <w:t>c</w:t>
      </w:r>
      <w:r>
        <w:t xml:space="preserve">ongestion </w:t>
      </w:r>
      <w:r w:rsidR="00841FE4">
        <w:t>c</w:t>
      </w:r>
      <w:r>
        <w:t>harges</w:t>
      </w:r>
      <w:r w:rsidR="00841FE4">
        <w:t>”</w:t>
      </w:r>
      <w:r>
        <w:t xml:space="preserve"> and </w:t>
      </w:r>
      <w:r w:rsidR="00841FE4">
        <w:t>“c</w:t>
      </w:r>
      <w:r>
        <w:t xml:space="preserve">ongestion </w:t>
      </w:r>
      <w:r w:rsidR="00841FE4">
        <w:t>r</w:t>
      </w:r>
      <w:r>
        <w:t>evenue</w:t>
      </w:r>
      <w:r w:rsidR="00841FE4">
        <w:t>”</w:t>
      </w:r>
      <w:r>
        <w:t xml:space="preserve"> </w:t>
      </w:r>
      <w:r w:rsidR="00013D3C">
        <w:t xml:space="preserve">in Metric #16 </w:t>
      </w:r>
      <w:r>
        <w:t>would ensure consistent reporting across RTO</w:t>
      </w:r>
      <w:r w:rsidR="00835442">
        <w:t>s</w:t>
      </w:r>
      <w:r>
        <w:t>/ISOs</w:t>
      </w:r>
      <w:r w:rsidR="0037603F">
        <w:t xml:space="preserve">, </w:t>
      </w:r>
      <w:bookmarkStart w:name="_Hlk30677395" w:id="6"/>
      <w:r w:rsidR="0037603F">
        <w:t>and Commission staff has updated the User Guide and Input Spreadsheet accordingly</w:t>
      </w:r>
      <w:r>
        <w:t xml:space="preserve">. </w:t>
      </w:r>
      <w:r w:rsidR="00013D3C">
        <w:t xml:space="preserve"> </w:t>
      </w:r>
      <w:bookmarkEnd w:id="6"/>
      <w:r>
        <w:t>Commission staff also agrees that</w:t>
      </w:r>
      <w:r w:rsidR="007F7698">
        <w:t xml:space="preserve"> adding a line omitted from the original Input Spreadsheet and reversing the numerator and denominator of sub-</w:t>
      </w:r>
      <w:r w:rsidR="00841FE4">
        <w:t xml:space="preserve">part 5 of </w:t>
      </w:r>
      <w:r w:rsidR="00013D3C">
        <w:t>M</w:t>
      </w:r>
      <w:r w:rsidR="007F7698">
        <w:t>etric #16 will improve the metric’s</w:t>
      </w:r>
      <w:r w:rsidR="00AF08FC">
        <w:t xml:space="preserve"> clarity</w:t>
      </w:r>
      <w:bookmarkStart w:name="_Hlk30677419" w:id="7"/>
      <w:r w:rsidR="0037603F">
        <w:t>, and Commission staff has updated the Input Spreadsheet accordingly</w:t>
      </w:r>
      <w:bookmarkEnd w:id="7"/>
      <w:r w:rsidR="007F7698">
        <w:t>.</w:t>
      </w:r>
      <w:r>
        <w:t xml:space="preserve"> </w:t>
      </w:r>
      <w:r w:rsidR="00013D3C">
        <w:t xml:space="preserve"> </w:t>
      </w:r>
      <w:r w:rsidR="0063486A">
        <w:t>Commission staff does not agree that Metric #16 should examine how payments for FTRs that are purchased in an auction compare to the revenues paid to the instrument holders</w:t>
      </w:r>
      <w:r w:rsidDel="007F7698" w:rsidR="0063486A">
        <w:t xml:space="preserve"> </w:t>
      </w:r>
      <w:r w:rsidR="0063486A">
        <w:t>because the Commission does not generally assess the effectiveness of a market by examining how well specific types of market participants are profiting from participation in the market.</w:t>
      </w:r>
      <w:r w:rsidR="002C4AAC">
        <w:t xml:space="preserve"> </w:t>
      </w:r>
      <w:r w:rsidR="00835442">
        <w:t xml:space="preserve"> </w:t>
      </w:r>
      <w:r w:rsidR="002C4AAC">
        <w:t xml:space="preserve">Commission staff also does not agree that congestion charges should be reported separately for the day-ahead and balancing markets </w:t>
      </w:r>
      <w:r w:rsidRPr="009A6664" w:rsidR="002C4AAC">
        <w:t>because only day-ahead congestion is associated with FTRs.</w:t>
      </w:r>
      <w:r w:rsidR="0063486A">
        <w:t xml:space="preserve"> </w:t>
      </w:r>
    </w:p>
    <w:p w:rsidR="00FB7FAF" w:rsidP="00D26CFF" w:rsidRDefault="009D7BF7" w14:paraId="42A60C18" w14:textId="2C1FB47C">
      <w:pPr>
        <w:spacing w:line="480" w:lineRule="auto"/>
        <w:ind w:firstLine="720"/>
      </w:pPr>
      <w:r>
        <w:lastRenderedPageBreak/>
        <w:t>Commission staff recognizes</w:t>
      </w:r>
      <w:r w:rsidR="0051402B">
        <w:t xml:space="preserve"> </w:t>
      </w:r>
      <w:r>
        <w:t>there are varying methodologies for calculating new entrant net revenues</w:t>
      </w:r>
      <w:r w:rsidR="00570AA1">
        <w:t xml:space="preserve"> in Metric #18</w:t>
      </w:r>
      <w:r>
        <w:t xml:space="preserve"> and requests that respondents explain in the “Explanatory Text” field any clarifications </w:t>
      </w:r>
      <w:r w:rsidR="008A0660">
        <w:t>they wish to provide</w:t>
      </w:r>
      <w:r>
        <w:t xml:space="preserve">. </w:t>
      </w:r>
      <w:r w:rsidR="00671689">
        <w:t xml:space="preserve"> </w:t>
      </w:r>
      <w:r>
        <w:t>The intent of Metric #19 is to measure the impact that shortage events will have on reserve market clearing prices</w:t>
      </w:r>
      <w:r w:rsidR="00506BF7">
        <w:t xml:space="preserve">.  </w:t>
      </w:r>
      <w:r w:rsidR="00EC6E47">
        <w:t xml:space="preserve"> </w:t>
      </w:r>
      <w:r w:rsidR="00506BF7">
        <w:t>I</w:t>
      </w:r>
      <w:r w:rsidR="00EC6E47">
        <w:t>f respondents would like to provide more granular data or improvements to the methodology</w:t>
      </w:r>
      <w:r w:rsidR="00157595">
        <w:t>,</w:t>
      </w:r>
      <w:r w:rsidR="00EC6E47">
        <w:t xml:space="preserve"> these </w:t>
      </w:r>
      <w:r w:rsidR="008F5D6A">
        <w:t xml:space="preserve">can be </w:t>
      </w:r>
      <w:r w:rsidR="0015045D">
        <w:t>submitted</w:t>
      </w:r>
      <w:r w:rsidRPr="008F5D6A" w:rsidR="008F5D6A">
        <w:t xml:space="preserve"> </w:t>
      </w:r>
      <w:r w:rsidR="008F5D6A">
        <w:t>in the Input Spreadsheet</w:t>
      </w:r>
      <w:r w:rsidR="0015045D">
        <w:t xml:space="preserve"> and </w:t>
      </w:r>
      <w:r w:rsidR="00EC6E47">
        <w:t>described in the “Explanatory Text” field provided.</w:t>
      </w:r>
      <w:r w:rsidR="002418D0">
        <w:t xml:space="preserve"> </w:t>
      </w:r>
      <w:r w:rsidR="00671689">
        <w:t xml:space="preserve"> </w:t>
      </w:r>
      <w:r w:rsidR="002418D0">
        <w:t>The intent of Metric #21 is to measure the maximum importable external capacity into a capacity zone for the purpose of resource deliverability in the capacity auction and should therefor</w:t>
      </w:r>
      <w:r w:rsidR="00570AA1">
        <w:t>e</w:t>
      </w:r>
      <w:r w:rsidR="002418D0">
        <w:t xml:space="preserve"> focus on imports by zone.</w:t>
      </w:r>
      <w:r w:rsidR="00085974">
        <w:t xml:space="preserve"> </w:t>
      </w:r>
      <w:r w:rsidR="00671689">
        <w:t xml:space="preserve"> </w:t>
      </w:r>
      <w:r w:rsidR="00085974">
        <w:t xml:space="preserve">Commission staff confirms Metric </w:t>
      </w:r>
      <w:r w:rsidR="001850C3">
        <w:t xml:space="preserve">#24 should be calculated </w:t>
      </w:r>
      <w:r w:rsidR="00456093">
        <w:t xml:space="preserve">both </w:t>
      </w:r>
      <w:r w:rsidR="001850C3">
        <w:t xml:space="preserve">by zone and for </w:t>
      </w:r>
      <w:r w:rsidR="00792395">
        <w:t xml:space="preserve">the RTO </w:t>
      </w:r>
      <w:r w:rsidR="001850C3">
        <w:t>as a whole.</w:t>
      </w:r>
    </w:p>
    <w:p w:rsidR="00F11631" w:rsidP="0000517F" w:rsidRDefault="000B0B32" w14:paraId="404CF2E0" w14:textId="042CD8BA">
      <w:pPr>
        <w:spacing w:line="480" w:lineRule="auto"/>
      </w:pPr>
      <w:r>
        <w:tab/>
        <w:t xml:space="preserve">Finally, Commission staff notes that this information collection is a voluntary, collaborative process.  To the extent respondents have outstanding or additional questions about the </w:t>
      </w:r>
      <w:r w:rsidR="00841FE4">
        <w:t>twenty-nine</w:t>
      </w:r>
      <w:r>
        <w:t xml:space="preserve"> Common Metrics, including the relevant definitions and calculations, Commission staff is available to provide guidance</w:t>
      </w:r>
      <w:r w:rsidR="006561F8">
        <w:t>.</w:t>
      </w:r>
    </w:p>
    <w:p w:rsidR="00797A3B" w:rsidP="0000517F" w:rsidRDefault="00797A3B" w14:paraId="2EC74032" w14:textId="74C7CD6B">
      <w:pPr>
        <w:spacing w:line="480" w:lineRule="auto"/>
      </w:pPr>
      <w:r>
        <w:rPr>
          <w:i/>
        </w:rPr>
        <w:t>Further Comments Requested</w:t>
      </w:r>
    </w:p>
    <w:p w:rsidR="00F11631" w:rsidP="00100B4D" w:rsidRDefault="00100B4D" w14:paraId="4C726916" w14:textId="651B83D5">
      <w:pPr>
        <w:spacing w:line="480" w:lineRule="auto"/>
        <w:ind w:firstLine="720"/>
      </w:pPr>
      <w:r w:rsidRPr="00100B4D">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w:t>
      </w:r>
      <w:r w:rsidRPr="00100B4D">
        <w:lastRenderedPageBreak/>
        <w:t>enhance the quality, utility</w:t>
      </w:r>
      <w:r w:rsidR="000E5219">
        <w:t>,</w:t>
      </w:r>
      <w:r w:rsidRPr="00100B4D">
        <w:t xml:space="preserve"> and clarity of the information collection; and (4) ways to minimize the burden of the collection of information on those who are to respond, including the use of automated collection techniques or other forms of information technology.</w:t>
      </w:r>
    </w:p>
    <w:p w:rsidR="00100B4D" w:rsidP="00797A3B" w:rsidRDefault="00100B4D" w14:paraId="26796ECD" w14:textId="77777777">
      <w:pPr>
        <w:spacing w:line="480" w:lineRule="auto"/>
        <w:ind w:firstLine="720"/>
      </w:pPr>
    </w:p>
    <w:p w:rsidRPr="00F11631" w:rsidR="00F11631" w:rsidP="00F11631" w:rsidRDefault="00F11631" w14:paraId="31D03E6F" w14:textId="3773D723">
      <w:pPr>
        <w:ind w:firstLine="2174"/>
        <w:jc w:val="center"/>
      </w:pPr>
      <w:r w:rsidRPr="00F11631">
        <w:t>Kimberly D. Bose,</w:t>
      </w:r>
    </w:p>
    <w:p w:rsidRPr="00F11631" w:rsidR="00F11631" w:rsidP="00F11631" w:rsidRDefault="00F11631" w14:paraId="279D1D3C" w14:textId="72111C19">
      <w:pPr>
        <w:ind w:firstLine="2174"/>
        <w:jc w:val="center"/>
      </w:pPr>
      <w:r w:rsidRPr="00F11631">
        <w:t>Secretary.</w:t>
      </w:r>
    </w:p>
    <w:p w:rsidR="009D4DB1" w:rsidRDefault="009D4DB1" w14:paraId="647D348B" w14:textId="02B233E3">
      <w:pPr>
        <w:spacing w:after="160" w:line="259" w:lineRule="auto"/>
      </w:pPr>
      <w:r>
        <w:br w:type="page"/>
      </w:r>
    </w:p>
    <w:p w:rsidRPr="009D4DB1" w:rsidR="009D4DB1" w:rsidP="009D4DB1" w:rsidRDefault="009D4DB1" w14:paraId="29182397" w14:textId="77777777">
      <w:pPr>
        <w:widowControl w:val="0"/>
        <w:autoSpaceDE w:val="0"/>
        <w:autoSpaceDN w:val="0"/>
        <w:adjustRightInd w:val="0"/>
        <w:spacing w:line="480" w:lineRule="auto"/>
        <w:jc w:val="right"/>
        <w:rPr>
          <w:rFonts w:eastAsiaTheme="minorHAnsi"/>
          <w:b/>
          <w:bCs/>
          <w:color w:val="000000"/>
          <w:szCs w:val="22"/>
        </w:rPr>
      </w:pPr>
      <w:bookmarkStart w:name="_Hlk29456191" w:id="8"/>
      <w:r w:rsidRPr="009D4DB1">
        <w:rPr>
          <w:rFonts w:eastAsiaTheme="minorHAnsi"/>
          <w:b/>
          <w:bCs/>
          <w:color w:val="000000"/>
          <w:szCs w:val="22"/>
        </w:rPr>
        <w:lastRenderedPageBreak/>
        <w:t>FERC-922 (OMB Control No. 1902-0262)</w:t>
      </w:r>
    </w:p>
    <w:p w:rsidRPr="009D4DB1" w:rsidR="009D4DB1" w:rsidP="009D4DB1" w:rsidRDefault="009D4DB1" w14:paraId="1E1A2436" w14:textId="77777777">
      <w:pPr>
        <w:widowControl w:val="0"/>
        <w:autoSpaceDE w:val="0"/>
        <w:autoSpaceDN w:val="0"/>
        <w:adjustRightInd w:val="0"/>
        <w:spacing w:line="480" w:lineRule="auto"/>
        <w:jc w:val="right"/>
        <w:rPr>
          <w:rFonts w:eastAsiaTheme="minorHAnsi"/>
          <w:b/>
          <w:bCs/>
          <w:color w:val="000000"/>
          <w:szCs w:val="22"/>
        </w:rPr>
      </w:pPr>
      <w:r w:rsidRPr="009D4DB1">
        <w:rPr>
          <w:rFonts w:eastAsiaTheme="minorHAnsi"/>
          <w:b/>
          <w:bCs/>
          <w:color w:val="000000"/>
          <w:szCs w:val="22"/>
        </w:rPr>
        <w:t>Expiration Date:  to be determined</w:t>
      </w:r>
    </w:p>
    <w:bookmarkEnd w:id="8"/>
    <w:p w:rsidRPr="009D4DB1" w:rsidR="009D4DB1" w:rsidP="00797A3B" w:rsidRDefault="00684BC4" w14:paraId="53618750" w14:textId="5CE4F0C8">
      <w:pPr>
        <w:widowControl w:val="0"/>
        <w:autoSpaceDE w:val="0"/>
        <w:autoSpaceDN w:val="0"/>
        <w:adjustRightInd w:val="0"/>
        <w:spacing w:line="480" w:lineRule="auto"/>
        <w:jc w:val="center"/>
        <w:rPr>
          <w:rFonts w:eastAsiaTheme="minorHAnsi"/>
          <w:b/>
          <w:bCs/>
          <w:color w:val="000000"/>
          <w:szCs w:val="22"/>
        </w:rPr>
      </w:pPr>
      <w:r w:rsidRPr="00070441">
        <w:t>Performance Metrics for ISOs, RTOs, and Regions Outside ISOs and RTOs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630"/>
        <w:gridCol w:w="8720"/>
      </w:tblGrid>
      <w:tr w:rsidRPr="009D4DB1" w:rsidR="009D4DB1" w:rsidTr="00EA1BF2" w14:paraId="53E0F078" w14:textId="77777777">
        <w:tc>
          <w:tcPr>
            <w:tcW w:w="9350" w:type="dxa"/>
            <w:gridSpan w:val="2"/>
          </w:tcPr>
          <w:p w:rsidRPr="009D4DB1" w:rsidR="009D4DB1" w:rsidP="009D4DB1" w:rsidRDefault="009D4DB1" w14:paraId="5F90DFA7" w14:textId="2CDB68B1">
            <w:pPr>
              <w:spacing w:line="480" w:lineRule="auto"/>
              <w:rPr>
                <w:b/>
                <w:szCs w:val="20"/>
              </w:rPr>
            </w:pPr>
            <w:r w:rsidRPr="009D4DB1">
              <w:rPr>
                <w:b/>
                <w:szCs w:val="20"/>
              </w:rPr>
              <w:t xml:space="preserve">Group 1: </w:t>
            </w:r>
            <w:r w:rsidR="003A09B0">
              <w:rPr>
                <w:b/>
                <w:szCs w:val="20"/>
              </w:rPr>
              <w:t xml:space="preserve"> </w:t>
            </w:r>
            <w:r w:rsidRPr="009D4DB1">
              <w:rPr>
                <w:b/>
                <w:szCs w:val="20"/>
              </w:rPr>
              <w:t xml:space="preserve">RTOs/ISOs and Non-RTO/ISO </w:t>
            </w:r>
            <w:r w:rsidR="00841FE4">
              <w:rPr>
                <w:b/>
                <w:szCs w:val="20"/>
              </w:rPr>
              <w:t xml:space="preserve">Utilities </w:t>
            </w:r>
            <w:r w:rsidRPr="009D4DB1">
              <w:rPr>
                <w:b/>
                <w:szCs w:val="20"/>
              </w:rPr>
              <w:t>(All Respondents)</w:t>
            </w:r>
          </w:p>
        </w:tc>
      </w:tr>
      <w:tr w:rsidRPr="009D4DB1" w:rsidR="009D4DB1" w:rsidTr="00EA1BF2" w14:paraId="0207705F" w14:textId="77777777">
        <w:tc>
          <w:tcPr>
            <w:tcW w:w="630" w:type="dxa"/>
          </w:tcPr>
          <w:p w:rsidRPr="009D4DB1" w:rsidR="009D4DB1" w:rsidP="009D4DB1" w:rsidRDefault="009D4DB1" w14:paraId="77760D86" w14:textId="77777777">
            <w:pPr>
              <w:spacing w:line="480" w:lineRule="auto"/>
              <w:rPr>
                <w:szCs w:val="20"/>
              </w:rPr>
            </w:pPr>
            <w:r w:rsidRPr="009D4DB1">
              <w:rPr>
                <w:szCs w:val="20"/>
              </w:rPr>
              <w:t>1</w:t>
            </w:r>
          </w:p>
        </w:tc>
        <w:tc>
          <w:tcPr>
            <w:tcW w:w="8720" w:type="dxa"/>
          </w:tcPr>
          <w:p w:rsidRPr="009D4DB1" w:rsidR="009D4DB1" w:rsidP="009D4DB1" w:rsidRDefault="009D4DB1" w14:paraId="06F1B708" w14:textId="77777777">
            <w:pPr>
              <w:spacing w:line="480" w:lineRule="auto"/>
              <w:rPr>
                <w:szCs w:val="20"/>
              </w:rPr>
            </w:pPr>
            <w:r w:rsidRPr="009D4DB1">
              <w:rPr>
                <w:szCs w:val="20"/>
              </w:rPr>
              <w:t>Reserve Margins</w:t>
            </w:r>
          </w:p>
        </w:tc>
      </w:tr>
      <w:tr w:rsidRPr="009D4DB1" w:rsidR="009D4DB1" w:rsidTr="00EA1BF2" w14:paraId="13CB7213" w14:textId="77777777">
        <w:tc>
          <w:tcPr>
            <w:tcW w:w="630" w:type="dxa"/>
          </w:tcPr>
          <w:p w:rsidRPr="009D4DB1" w:rsidR="009D4DB1" w:rsidP="009D4DB1" w:rsidRDefault="009D4DB1" w14:paraId="726EA468" w14:textId="77777777">
            <w:pPr>
              <w:spacing w:line="480" w:lineRule="auto"/>
              <w:rPr>
                <w:szCs w:val="20"/>
              </w:rPr>
            </w:pPr>
            <w:r w:rsidRPr="009D4DB1">
              <w:rPr>
                <w:szCs w:val="20"/>
              </w:rPr>
              <w:t>2</w:t>
            </w:r>
          </w:p>
        </w:tc>
        <w:tc>
          <w:tcPr>
            <w:tcW w:w="8720" w:type="dxa"/>
          </w:tcPr>
          <w:p w:rsidRPr="009D4DB1" w:rsidR="009D4DB1" w:rsidP="009D4DB1" w:rsidRDefault="009D4DB1" w14:paraId="19A616F5" w14:textId="77777777">
            <w:pPr>
              <w:spacing w:line="480" w:lineRule="auto"/>
              <w:rPr>
                <w:szCs w:val="20"/>
              </w:rPr>
            </w:pPr>
            <w:r w:rsidRPr="009D4DB1">
              <w:rPr>
                <w:szCs w:val="20"/>
              </w:rPr>
              <w:t>Average Heat Rates</w:t>
            </w:r>
          </w:p>
        </w:tc>
      </w:tr>
      <w:tr w:rsidRPr="009D4DB1" w:rsidR="009D4DB1" w:rsidTr="00EA1BF2" w14:paraId="2A4F7808" w14:textId="77777777">
        <w:tc>
          <w:tcPr>
            <w:tcW w:w="630" w:type="dxa"/>
          </w:tcPr>
          <w:p w:rsidRPr="009D4DB1" w:rsidR="009D4DB1" w:rsidP="009D4DB1" w:rsidRDefault="009D4DB1" w14:paraId="7EE3F7CC" w14:textId="77777777">
            <w:pPr>
              <w:spacing w:line="480" w:lineRule="auto"/>
              <w:rPr>
                <w:szCs w:val="20"/>
              </w:rPr>
            </w:pPr>
            <w:r w:rsidRPr="009D4DB1">
              <w:rPr>
                <w:szCs w:val="20"/>
              </w:rPr>
              <w:t>3</w:t>
            </w:r>
          </w:p>
        </w:tc>
        <w:tc>
          <w:tcPr>
            <w:tcW w:w="8720" w:type="dxa"/>
          </w:tcPr>
          <w:p w:rsidRPr="009D4DB1" w:rsidR="009D4DB1" w:rsidP="009D4DB1" w:rsidRDefault="009D4DB1" w14:paraId="0AA65675" w14:textId="77777777">
            <w:pPr>
              <w:spacing w:line="480" w:lineRule="auto"/>
              <w:rPr>
                <w:szCs w:val="20"/>
              </w:rPr>
            </w:pPr>
            <w:r w:rsidRPr="009D4DB1">
              <w:rPr>
                <w:szCs w:val="20"/>
              </w:rPr>
              <w:t>Fuel Diversity</w:t>
            </w:r>
          </w:p>
        </w:tc>
      </w:tr>
      <w:tr w:rsidRPr="009D4DB1" w:rsidR="009D4DB1" w:rsidTr="00EA1BF2" w14:paraId="3927903B" w14:textId="77777777">
        <w:tc>
          <w:tcPr>
            <w:tcW w:w="630" w:type="dxa"/>
          </w:tcPr>
          <w:p w:rsidRPr="009D4DB1" w:rsidR="009D4DB1" w:rsidP="009D4DB1" w:rsidRDefault="009D4DB1" w14:paraId="45BCA738" w14:textId="77777777">
            <w:pPr>
              <w:spacing w:line="480" w:lineRule="auto"/>
              <w:rPr>
                <w:szCs w:val="20"/>
              </w:rPr>
            </w:pPr>
            <w:r w:rsidRPr="009D4DB1">
              <w:rPr>
                <w:szCs w:val="20"/>
              </w:rPr>
              <w:t>4</w:t>
            </w:r>
          </w:p>
        </w:tc>
        <w:tc>
          <w:tcPr>
            <w:tcW w:w="8720" w:type="dxa"/>
          </w:tcPr>
          <w:p w:rsidRPr="009D4DB1" w:rsidR="009D4DB1" w:rsidP="009D4DB1" w:rsidRDefault="009D4DB1" w14:paraId="7167E0CA" w14:textId="77777777">
            <w:pPr>
              <w:spacing w:line="480" w:lineRule="auto"/>
              <w:rPr>
                <w:szCs w:val="20"/>
              </w:rPr>
            </w:pPr>
            <w:r w:rsidRPr="009D4DB1">
              <w:rPr>
                <w:szCs w:val="20"/>
              </w:rPr>
              <w:t>Capacity Factor by Technology Type</w:t>
            </w:r>
          </w:p>
        </w:tc>
      </w:tr>
      <w:tr w:rsidRPr="009D4DB1" w:rsidR="009D4DB1" w:rsidTr="00EA1BF2" w14:paraId="208A3186" w14:textId="77777777">
        <w:tc>
          <w:tcPr>
            <w:tcW w:w="630" w:type="dxa"/>
          </w:tcPr>
          <w:p w:rsidRPr="009D4DB1" w:rsidR="009D4DB1" w:rsidP="009D4DB1" w:rsidRDefault="009D4DB1" w14:paraId="3DD5022C" w14:textId="77777777">
            <w:pPr>
              <w:spacing w:line="480" w:lineRule="auto"/>
              <w:rPr>
                <w:szCs w:val="20"/>
              </w:rPr>
            </w:pPr>
            <w:r w:rsidRPr="009D4DB1">
              <w:rPr>
                <w:szCs w:val="20"/>
              </w:rPr>
              <w:t>5</w:t>
            </w:r>
          </w:p>
        </w:tc>
        <w:tc>
          <w:tcPr>
            <w:tcW w:w="8720" w:type="dxa"/>
          </w:tcPr>
          <w:p w:rsidRPr="009D4DB1" w:rsidR="009D4DB1" w:rsidP="009D4DB1" w:rsidRDefault="009D4DB1" w14:paraId="2FC12A8D" w14:textId="77777777">
            <w:pPr>
              <w:spacing w:line="480" w:lineRule="auto"/>
              <w:rPr>
                <w:szCs w:val="20"/>
              </w:rPr>
            </w:pPr>
            <w:r w:rsidRPr="009D4DB1">
              <w:rPr>
                <w:szCs w:val="20"/>
              </w:rPr>
              <w:t>Energy Emergency Alerts (EEA Level 1 or Higher)</w:t>
            </w:r>
          </w:p>
        </w:tc>
      </w:tr>
      <w:tr w:rsidRPr="009D4DB1" w:rsidR="009D4DB1" w:rsidTr="00EA1BF2" w14:paraId="10DCADC4" w14:textId="77777777">
        <w:tc>
          <w:tcPr>
            <w:tcW w:w="630" w:type="dxa"/>
          </w:tcPr>
          <w:p w:rsidRPr="009D4DB1" w:rsidR="009D4DB1" w:rsidP="009D4DB1" w:rsidRDefault="009D4DB1" w14:paraId="709AB466" w14:textId="77777777">
            <w:pPr>
              <w:spacing w:line="480" w:lineRule="auto"/>
              <w:rPr>
                <w:szCs w:val="20"/>
              </w:rPr>
            </w:pPr>
            <w:r w:rsidRPr="009D4DB1">
              <w:rPr>
                <w:szCs w:val="20"/>
              </w:rPr>
              <w:t>6</w:t>
            </w:r>
          </w:p>
        </w:tc>
        <w:tc>
          <w:tcPr>
            <w:tcW w:w="8720" w:type="dxa"/>
          </w:tcPr>
          <w:p w:rsidRPr="009D4DB1" w:rsidR="009D4DB1" w:rsidP="009D4DB1" w:rsidRDefault="009D4DB1" w14:paraId="7A079B45" w14:textId="77777777">
            <w:pPr>
              <w:spacing w:line="480" w:lineRule="auto"/>
              <w:rPr>
                <w:szCs w:val="20"/>
              </w:rPr>
            </w:pPr>
            <w:r w:rsidRPr="009D4DB1">
              <w:rPr>
                <w:szCs w:val="20"/>
              </w:rPr>
              <w:t>Performance by Technology Type during EEA Level 1 or Higher</w:t>
            </w:r>
          </w:p>
        </w:tc>
      </w:tr>
      <w:tr w:rsidRPr="009D4DB1" w:rsidR="009D4DB1" w:rsidTr="00EA1BF2" w14:paraId="0B572145" w14:textId="77777777">
        <w:tc>
          <w:tcPr>
            <w:tcW w:w="630" w:type="dxa"/>
          </w:tcPr>
          <w:p w:rsidRPr="009D4DB1" w:rsidR="009D4DB1" w:rsidP="009D4DB1" w:rsidRDefault="009D4DB1" w14:paraId="7D02E9E1" w14:textId="77777777">
            <w:pPr>
              <w:spacing w:line="480" w:lineRule="auto"/>
              <w:rPr>
                <w:szCs w:val="20"/>
              </w:rPr>
            </w:pPr>
            <w:r w:rsidRPr="009D4DB1">
              <w:rPr>
                <w:szCs w:val="20"/>
              </w:rPr>
              <w:t>7</w:t>
            </w:r>
          </w:p>
        </w:tc>
        <w:tc>
          <w:tcPr>
            <w:tcW w:w="8720" w:type="dxa"/>
          </w:tcPr>
          <w:p w:rsidRPr="009D4DB1" w:rsidR="009D4DB1" w:rsidP="009D4DB1" w:rsidRDefault="009D4DB1" w14:paraId="73D346FC" w14:textId="0A87CECF">
            <w:pPr>
              <w:spacing w:line="480" w:lineRule="auto"/>
              <w:rPr>
                <w:szCs w:val="20"/>
              </w:rPr>
            </w:pPr>
            <w:r w:rsidRPr="009D4DB1">
              <w:rPr>
                <w:szCs w:val="20"/>
              </w:rPr>
              <w:t xml:space="preserve">Resource Availability (EFORd) </w:t>
            </w:r>
          </w:p>
        </w:tc>
      </w:tr>
      <w:tr w:rsidRPr="009D4DB1" w:rsidR="009D4DB1" w:rsidTr="003A09B0" w14:paraId="47B0B1A2" w14:textId="77777777">
        <w:trPr>
          <w:trHeight w:val="234"/>
        </w:trPr>
        <w:tc>
          <w:tcPr>
            <w:tcW w:w="630" w:type="dxa"/>
          </w:tcPr>
          <w:p w:rsidRPr="009D4DB1" w:rsidR="009D4DB1" w:rsidP="009D4DB1" w:rsidRDefault="009D4DB1" w14:paraId="28A400F3" w14:textId="77777777">
            <w:pPr>
              <w:spacing w:line="480" w:lineRule="auto"/>
              <w:rPr>
                <w:szCs w:val="20"/>
              </w:rPr>
            </w:pPr>
          </w:p>
        </w:tc>
        <w:tc>
          <w:tcPr>
            <w:tcW w:w="8720" w:type="dxa"/>
          </w:tcPr>
          <w:p w:rsidRPr="009D4DB1" w:rsidR="009D4DB1" w:rsidP="009D4DB1" w:rsidRDefault="009D4DB1" w14:paraId="36C53C8D" w14:textId="77777777">
            <w:pPr>
              <w:spacing w:line="480" w:lineRule="auto"/>
              <w:rPr>
                <w:szCs w:val="20"/>
              </w:rPr>
            </w:pPr>
          </w:p>
        </w:tc>
      </w:tr>
      <w:tr w:rsidRPr="009D4DB1" w:rsidR="009D4DB1" w:rsidTr="00EA1BF2" w14:paraId="44DD5BB5" w14:textId="77777777">
        <w:tc>
          <w:tcPr>
            <w:tcW w:w="9350" w:type="dxa"/>
            <w:gridSpan w:val="2"/>
          </w:tcPr>
          <w:p w:rsidRPr="009D4DB1" w:rsidR="009D4DB1" w:rsidP="009D4DB1" w:rsidRDefault="009D4DB1" w14:paraId="609B6778" w14:textId="6C34F898">
            <w:pPr>
              <w:spacing w:line="480" w:lineRule="auto"/>
              <w:rPr>
                <w:szCs w:val="20"/>
              </w:rPr>
            </w:pPr>
            <w:r w:rsidRPr="009D4DB1">
              <w:rPr>
                <w:b/>
                <w:szCs w:val="20"/>
              </w:rPr>
              <w:t xml:space="preserve">Group 2: </w:t>
            </w:r>
            <w:r w:rsidR="003A09B0">
              <w:rPr>
                <w:b/>
                <w:szCs w:val="20"/>
              </w:rPr>
              <w:t xml:space="preserve"> </w:t>
            </w:r>
            <w:r w:rsidRPr="009D4DB1">
              <w:rPr>
                <w:b/>
                <w:szCs w:val="20"/>
              </w:rPr>
              <w:t>RTOs/ISOs with Energy Markets (Respondents with Energy Markets)</w:t>
            </w:r>
          </w:p>
        </w:tc>
      </w:tr>
      <w:tr w:rsidRPr="009D4DB1" w:rsidR="009D4DB1" w:rsidTr="00EA1BF2" w14:paraId="08D53FA7" w14:textId="77777777">
        <w:tc>
          <w:tcPr>
            <w:tcW w:w="630" w:type="dxa"/>
          </w:tcPr>
          <w:p w:rsidRPr="009D4DB1" w:rsidR="009D4DB1" w:rsidP="009D4DB1" w:rsidRDefault="009D4DB1" w14:paraId="7B1404EB" w14:textId="77777777">
            <w:pPr>
              <w:spacing w:line="480" w:lineRule="auto"/>
              <w:rPr>
                <w:szCs w:val="20"/>
              </w:rPr>
            </w:pPr>
            <w:r w:rsidRPr="009D4DB1">
              <w:rPr>
                <w:szCs w:val="20"/>
              </w:rPr>
              <w:t>8</w:t>
            </w:r>
          </w:p>
        </w:tc>
        <w:tc>
          <w:tcPr>
            <w:tcW w:w="8720" w:type="dxa"/>
          </w:tcPr>
          <w:p w:rsidRPr="009D4DB1" w:rsidR="009D4DB1" w:rsidP="009D4DB1" w:rsidRDefault="009D4DB1" w14:paraId="4A0DA73A" w14:textId="77777777">
            <w:pPr>
              <w:spacing w:line="480" w:lineRule="auto"/>
              <w:rPr>
                <w:szCs w:val="20"/>
              </w:rPr>
            </w:pPr>
            <w:r w:rsidRPr="009D4DB1">
              <w:rPr>
                <w:szCs w:val="20"/>
              </w:rPr>
              <w:t xml:space="preserve">Number and Capacity of Reliability Must-Run Units </w:t>
            </w:r>
          </w:p>
        </w:tc>
      </w:tr>
      <w:tr w:rsidRPr="009D4DB1" w:rsidR="009D4DB1" w:rsidTr="00EA1BF2" w14:paraId="1C410B97" w14:textId="77777777">
        <w:tc>
          <w:tcPr>
            <w:tcW w:w="630" w:type="dxa"/>
          </w:tcPr>
          <w:p w:rsidRPr="009D4DB1" w:rsidR="009D4DB1" w:rsidP="009D4DB1" w:rsidRDefault="009D4DB1" w14:paraId="77F7AC80" w14:textId="77777777">
            <w:pPr>
              <w:spacing w:line="480" w:lineRule="auto"/>
              <w:rPr>
                <w:szCs w:val="20"/>
              </w:rPr>
            </w:pPr>
            <w:r w:rsidRPr="009D4DB1">
              <w:rPr>
                <w:szCs w:val="20"/>
              </w:rPr>
              <w:t>9</w:t>
            </w:r>
          </w:p>
        </w:tc>
        <w:tc>
          <w:tcPr>
            <w:tcW w:w="8720" w:type="dxa"/>
          </w:tcPr>
          <w:p w:rsidRPr="009D4DB1" w:rsidR="009D4DB1" w:rsidP="009D4DB1" w:rsidRDefault="009D4DB1" w14:paraId="73A1AB99" w14:textId="77777777">
            <w:pPr>
              <w:spacing w:line="480" w:lineRule="auto"/>
              <w:rPr>
                <w:szCs w:val="20"/>
              </w:rPr>
            </w:pPr>
            <w:r w:rsidRPr="009D4DB1">
              <w:rPr>
                <w:szCs w:val="20"/>
              </w:rPr>
              <w:t xml:space="preserve">Reliability Must-Run Contract Usage </w:t>
            </w:r>
          </w:p>
        </w:tc>
      </w:tr>
      <w:tr w:rsidRPr="009D4DB1" w:rsidR="009D4DB1" w:rsidTr="00EA1BF2" w14:paraId="649BEA2C" w14:textId="77777777">
        <w:tc>
          <w:tcPr>
            <w:tcW w:w="630" w:type="dxa"/>
          </w:tcPr>
          <w:p w:rsidRPr="009D4DB1" w:rsidR="009D4DB1" w:rsidP="009D4DB1" w:rsidRDefault="009D4DB1" w14:paraId="06664ED7" w14:textId="77777777">
            <w:pPr>
              <w:spacing w:line="480" w:lineRule="auto"/>
              <w:rPr>
                <w:szCs w:val="20"/>
              </w:rPr>
            </w:pPr>
            <w:r w:rsidRPr="009D4DB1">
              <w:rPr>
                <w:szCs w:val="20"/>
              </w:rPr>
              <w:t>10</w:t>
            </w:r>
          </w:p>
        </w:tc>
        <w:tc>
          <w:tcPr>
            <w:tcW w:w="8720" w:type="dxa"/>
          </w:tcPr>
          <w:p w:rsidRPr="009D4DB1" w:rsidR="009D4DB1" w:rsidP="009D4DB1" w:rsidRDefault="009D4DB1" w14:paraId="1DEB3D50" w14:textId="77777777">
            <w:pPr>
              <w:spacing w:line="480" w:lineRule="auto"/>
              <w:rPr>
                <w:szCs w:val="20"/>
              </w:rPr>
            </w:pPr>
            <w:r w:rsidRPr="009D4DB1">
              <w:rPr>
                <w:szCs w:val="20"/>
              </w:rPr>
              <w:t>Demand Response Capability</w:t>
            </w:r>
          </w:p>
        </w:tc>
      </w:tr>
      <w:tr w:rsidRPr="009D4DB1" w:rsidR="009D4DB1" w:rsidTr="00EA1BF2" w14:paraId="3017D850" w14:textId="77777777">
        <w:tc>
          <w:tcPr>
            <w:tcW w:w="630" w:type="dxa"/>
          </w:tcPr>
          <w:p w:rsidRPr="009D4DB1" w:rsidR="009D4DB1" w:rsidP="009D4DB1" w:rsidRDefault="009D4DB1" w14:paraId="4C737818" w14:textId="77777777">
            <w:pPr>
              <w:spacing w:line="480" w:lineRule="auto"/>
              <w:rPr>
                <w:szCs w:val="20"/>
              </w:rPr>
            </w:pPr>
            <w:r w:rsidRPr="009D4DB1">
              <w:rPr>
                <w:szCs w:val="20"/>
              </w:rPr>
              <w:t>11</w:t>
            </w:r>
          </w:p>
        </w:tc>
        <w:tc>
          <w:tcPr>
            <w:tcW w:w="8720" w:type="dxa"/>
          </w:tcPr>
          <w:p w:rsidRPr="009D4DB1" w:rsidR="009D4DB1" w:rsidP="009D4DB1" w:rsidRDefault="009D4DB1" w14:paraId="04D30FF5" w14:textId="77777777">
            <w:pPr>
              <w:spacing w:line="480" w:lineRule="auto"/>
              <w:rPr>
                <w:szCs w:val="20"/>
              </w:rPr>
            </w:pPr>
            <w:r w:rsidRPr="009D4DB1">
              <w:rPr>
                <w:szCs w:val="20"/>
              </w:rPr>
              <w:t xml:space="preserve">Unit Hours Mitigated  </w:t>
            </w:r>
          </w:p>
        </w:tc>
      </w:tr>
      <w:tr w:rsidRPr="009D4DB1" w:rsidR="009D4DB1" w:rsidTr="00EA1BF2" w14:paraId="587C0903" w14:textId="77777777">
        <w:tc>
          <w:tcPr>
            <w:tcW w:w="630" w:type="dxa"/>
          </w:tcPr>
          <w:p w:rsidRPr="009D4DB1" w:rsidR="009D4DB1" w:rsidP="009D4DB1" w:rsidRDefault="009D4DB1" w14:paraId="1DD23248" w14:textId="77777777">
            <w:pPr>
              <w:spacing w:line="480" w:lineRule="auto"/>
              <w:rPr>
                <w:szCs w:val="20"/>
              </w:rPr>
            </w:pPr>
            <w:r w:rsidRPr="009D4DB1">
              <w:rPr>
                <w:szCs w:val="20"/>
              </w:rPr>
              <w:t>12</w:t>
            </w:r>
          </w:p>
        </w:tc>
        <w:tc>
          <w:tcPr>
            <w:tcW w:w="8720" w:type="dxa"/>
          </w:tcPr>
          <w:p w:rsidRPr="009D4DB1" w:rsidR="009D4DB1" w:rsidP="009D4DB1" w:rsidRDefault="009D4DB1" w14:paraId="23DFB6FF" w14:textId="77777777">
            <w:pPr>
              <w:spacing w:line="480" w:lineRule="auto"/>
              <w:rPr>
                <w:szCs w:val="20"/>
              </w:rPr>
            </w:pPr>
            <w:r w:rsidRPr="009D4DB1">
              <w:rPr>
                <w:szCs w:val="20"/>
              </w:rPr>
              <w:t xml:space="preserve">Wholesale Power Costs by Charge Type </w:t>
            </w:r>
          </w:p>
        </w:tc>
      </w:tr>
      <w:tr w:rsidRPr="009D4DB1" w:rsidR="009D4DB1" w:rsidTr="00EA1BF2" w14:paraId="2A6ACE9A" w14:textId="77777777">
        <w:tc>
          <w:tcPr>
            <w:tcW w:w="630" w:type="dxa"/>
          </w:tcPr>
          <w:p w:rsidRPr="009D4DB1" w:rsidR="009D4DB1" w:rsidP="009D4DB1" w:rsidRDefault="009D4DB1" w14:paraId="297290A8" w14:textId="77777777">
            <w:pPr>
              <w:spacing w:line="480" w:lineRule="auto"/>
              <w:rPr>
                <w:szCs w:val="20"/>
              </w:rPr>
            </w:pPr>
            <w:r w:rsidRPr="009D4DB1">
              <w:rPr>
                <w:szCs w:val="20"/>
              </w:rPr>
              <w:t>13</w:t>
            </w:r>
          </w:p>
        </w:tc>
        <w:tc>
          <w:tcPr>
            <w:tcW w:w="8720" w:type="dxa"/>
          </w:tcPr>
          <w:p w:rsidRPr="009D4DB1" w:rsidR="009D4DB1" w:rsidP="009D4DB1" w:rsidRDefault="009D4DB1" w14:paraId="2B244B55" w14:textId="0E7990D7">
            <w:pPr>
              <w:spacing w:line="480" w:lineRule="auto"/>
              <w:rPr>
                <w:szCs w:val="20"/>
              </w:rPr>
            </w:pPr>
            <w:r w:rsidRPr="009D4DB1">
              <w:rPr>
                <w:szCs w:val="20"/>
              </w:rPr>
              <w:t>Price Cost Markup</w:t>
            </w:r>
          </w:p>
        </w:tc>
      </w:tr>
      <w:tr w:rsidRPr="009D4DB1" w:rsidR="009D4DB1" w:rsidTr="00EA1BF2" w14:paraId="2E9164EF" w14:textId="77777777">
        <w:tc>
          <w:tcPr>
            <w:tcW w:w="630" w:type="dxa"/>
          </w:tcPr>
          <w:p w:rsidRPr="009D4DB1" w:rsidR="009D4DB1" w:rsidP="009D4DB1" w:rsidRDefault="009D4DB1" w14:paraId="5E84B1CD" w14:textId="77777777">
            <w:pPr>
              <w:spacing w:line="480" w:lineRule="auto"/>
              <w:rPr>
                <w:szCs w:val="20"/>
              </w:rPr>
            </w:pPr>
            <w:r w:rsidRPr="009D4DB1">
              <w:rPr>
                <w:szCs w:val="20"/>
              </w:rPr>
              <w:t>14</w:t>
            </w:r>
          </w:p>
        </w:tc>
        <w:tc>
          <w:tcPr>
            <w:tcW w:w="8720" w:type="dxa"/>
          </w:tcPr>
          <w:p w:rsidRPr="009D4DB1" w:rsidR="009D4DB1" w:rsidP="009D4DB1" w:rsidRDefault="009D4DB1" w14:paraId="23A5E6BB" w14:textId="77777777">
            <w:pPr>
              <w:spacing w:line="480" w:lineRule="auto"/>
              <w:rPr>
                <w:szCs w:val="20"/>
              </w:rPr>
            </w:pPr>
            <w:r w:rsidRPr="009D4DB1">
              <w:rPr>
                <w:szCs w:val="20"/>
              </w:rPr>
              <w:t>Fuel Adjusted Wholesale Energy Price</w:t>
            </w:r>
          </w:p>
        </w:tc>
      </w:tr>
      <w:tr w:rsidRPr="009D4DB1" w:rsidR="009D4DB1" w:rsidTr="00EA1BF2" w14:paraId="19CC188B" w14:textId="77777777">
        <w:tc>
          <w:tcPr>
            <w:tcW w:w="630" w:type="dxa"/>
          </w:tcPr>
          <w:p w:rsidRPr="009D4DB1" w:rsidR="009D4DB1" w:rsidP="009D4DB1" w:rsidRDefault="009D4DB1" w14:paraId="1AD9E5DD" w14:textId="77777777">
            <w:pPr>
              <w:spacing w:line="480" w:lineRule="auto"/>
              <w:rPr>
                <w:szCs w:val="20"/>
              </w:rPr>
            </w:pPr>
            <w:r w:rsidRPr="009D4DB1">
              <w:rPr>
                <w:szCs w:val="20"/>
              </w:rPr>
              <w:t>15</w:t>
            </w:r>
          </w:p>
        </w:tc>
        <w:tc>
          <w:tcPr>
            <w:tcW w:w="8720" w:type="dxa"/>
          </w:tcPr>
          <w:p w:rsidRPr="009D4DB1" w:rsidR="009D4DB1" w:rsidP="009D4DB1" w:rsidRDefault="009D4DB1" w14:paraId="34541C3D" w14:textId="77777777">
            <w:pPr>
              <w:spacing w:line="480" w:lineRule="auto"/>
              <w:rPr>
                <w:szCs w:val="20"/>
              </w:rPr>
            </w:pPr>
            <w:r w:rsidRPr="009D4DB1">
              <w:rPr>
                <w:szCs w:val="20"/>
              </w:rPr>
              <w:t xml:space="preserve">Energy Market Price Convergence </w:t>
            </w:r>
          </w:p>
        </w:tc>
      </w:tr>
      <w:tr w:rsidRPr="009D4DB1" w:rsidR="009D4DB1" w:rsidTr="00EA1BF2" w14:paraId="75850E5A" w14:textId="77777777">
        <w:tc>
          <w:tcPr>
            <w:tcW w:w="630" w:type="dxa"/>
          </w:tcPr>
          <w:p w:rsidRPr="009D4DB1" w:rsidR="009D4DB1" w:rsidP="009D4DB1" w:rsidRDefault="009D4DB1" w14:paraId="45D651CE" w14:textId="77777777">
            <w:pPr>
              <w:spacing w:line="480" w:lineRule="auto"/>
              <w:rPr>
                <w:szCs w:val="20"/>
              </w:rPr>
            </w:pPr>
            <w:r w:rsidRPr="009D4DB1">
              <w:rPr>
                <w:szCs w:val="20"/>
              </w:rPr>
              <w:lastRenderedPageBreak/>
              <w:t>16</w:t>
            </w:r>
          </w:p>
        </w:tc>
        <w:tc>
          <w:tcPr>
            <w:tcW w:w="8720" w:type="dxa"/>
          </w:tcPr>
          <w:p w:rsidRPr="009D4DB1" w:rsidR="009D4DB1" w:rsidP="009D4DB1" w:rsidRDefault="009D4DB1" w14:paraId="4A0D2659" w14:textId="77777777">
            <w:pPr>
              <w:spacing w:line="480" w:lineRule="auto"/>
              <w:rPr>
                <w:szCs w:val="20"/>
              </w:rPr>
            </w:pPr>
            <w:r w:rsidRPr="009D4DB1">
              <w:rPr>
                <w:szCs w:val="20"/>
              </w:rPr>
              <w:t>Congestion Management</w:t>
            </w:r>
          </w:p>
        </w:tc>
      </w:tr>
      <w:tr w:rsidRPr="009D4DB1" w:rsidR="009D4DB1" w:rsidTr="00EA1BF2" w14:paraId="5F05FDFF" w14:textId="77777777">
        <w:tc>
          <w:tcPr>
            <w:tcW w:w="630" w:type="dxa"/>
          </w:tcPr>
          <w:p w:rsidRPr="009D4DB1" w:rsidR="009D4DB1" w:rsidP="009D4DB1" w:rsidRDefault="009D4DB1" w14:paraId="0C8493BA" w14:textId="77777777">
            <w:pPr>
              <w:spacing w:line="480" w:lineRule="auto"/>
              <w:rPr>
                <w:szCs w:val="20"/>
              </w:rPr>
            </w:pPr>
            <w:r w:rsidRPr="009D4DB1">
              <w:rPr>
                <w:szCs w:val="20"/>
              </w:rPr>
              <w:t>17</w:t>
            </w:r>
          </w:p>
        </w:tc>
        <w:tc>
          <w:tcPr>
            <w:tcW w:w="8720" w:type="dxa"/>
          </w:tcPr>
          <w:p w:rsidRPr="009D4DB1" w:rsidR="009D4DB1" w:rsidP="009D4DB1" w:rsidRDefault="009D4DB1" w14:paraId="5523F1F4" w14:textId="5B6D7C93">
            <w:pPr>
              <w:spacing w:line="480" w:lineRule="auto"/>
              <w:rPr>
                <w:szCs w:val="20"/>
              </w:rPr>
            </w:pPr>
            <w:r w:rsidRPr="009D4DB1">
              <w:rPr>
                <w:szCs w:val="20"/>
              </w:rPr>
              <w:t>Administrative Cost</w:t>
            </w:r>
            <w:r w:rsidR="000C5E24">
              <w:rPr>
                <w:szCs w:val="20"/>
              </w:rPr>
              <w:t>s</w:t>
            </w:r>
            <w:r w:rsidRPr="009D4DB1">
              <w:rPr>
                <w:szCs w:val="20"/>
              </w:rPr>
              <w:t xml:space="preserve">  </w:t>
            </w:r>
          </w:p>
        </w:tc>
      </w:tr>
      <w:tr w:rsidRPr="009D4DB1" w:rsidR="009D4DB1" w:rsidTr="00EA1BF2" w14:paraId="37F36AA5" w14:textId="77777777">
        <w:tc>
          <w:tcPr>
            <w:tcW w:w="630" w:type="dxa"/>
          </w:tcPr>
          <w:p w:rsidRPr="009D4DB1" w:rsidR="009D4DB1" w:rsidP="009D4DB1" w:rsidRDefault="009D4DB1" w14:paraId="03EE101C" w14:textId="77777777">
            <w:pPr>
              <w:spacing w:line="480" w:lineRule="auto"/>
              <w:rPr>
                <w:szCs w:val="20"/>
              </w:rPr>
            </w:pPr>
            <w:r w:rsidRPr="009D4DB1">
              <w:rPr>
                <w:szCs w:val="20"/>
              </w:rPr>
              <w:t>18</w:t>
            </w:r>
          </w:p>
        </w:tc>
        <w:tc>
          <w:tcPr>
            <w:tcW w:w="8720" w:type="dxa"/>
          </w:tcPr>
          <w:p w:rsidRPr="009D4DB1" w:rsidR="009D4DB1" w:rsidP="009D4DB1" w:rsidRDefault="009D4DB1" w14:paraId="5EECA7EF" w14:textId="77777777">
            <w:pPr>
              <w:spacing w:line="480" w:lineRule="auto"/>
              <w:rPr>
                <w:szCs w:val="20"/>
              </w:rPr>
            </w:pPr>
            <w:r w:rsidRPr="009D4DB1">
              <w:rPr>
                <w:szCs w:val="20"/>
              </w:rPr>
              <w:t>New Entrant Net Revenues</w:t>
            </w:r>
          </w:p>
        </w:tc>
      </w:tr>
      <w:tr w:rsidRPr="009D4DB1" w:rsidR="009D4DB1" w:rsidTr="00EA1BF2" w14:paraId="377070B2" w14:textId="77777777">
        <w:tc>
          <w:tcPr>
            <w:tcW w:w="630" w:type="dxa"/>
          </w:tcPr>
          <w:p w:rsidRPr="009D4DB1" w:rsidR="009D4DB1" w:rsidP="009D4DB1" w:rsidRDefault="009D4DB1" w14:paraId="104F0839" w14:textId="77777777">
            <w:pPr>
              <w:spacing w:line="480" w:lineRule="auto"/>
              <w:rPr>
                <w:szCs w:val="20"/>
              </w:rPr>
            </w:pPr>
            <w:r w:rsidRPr="009D4DB1">
              <w:rPr>
                <w:szCs w:val="20"/>
              </w:rPr>
              <w:t>19</w:t>
            </w:r>
          </w:p>
        </w:tc>
        <w:tc>
          <w:tcPr>
            <w:tcW w:w="8720" w:type="dxa"/>
          </w:tcPr>
          <w:p w:rsidRPr="009D4DB1" w:rsidR="009D4DB1" w:rsidP="009D4DB1" w:rsidRDefault="009D4DB1" w14:paraId="42FB22BC" w14:textId="77777777">
            <w:pPr>
              <w:spacing w:line="480" w:lineRule="auto"/>
              <w:rPr>
                <w:szCs w:val="20"/>
              </w:rPr>
            </w:pPr>
            <w:r w:rsidRPr="009D4DB1">
              <w:rPr>
                <w:szCs w:val="20"/>
              </w:rPr>
              <w:t>Order No. 825 Shortage Intervals and Reserve Price Impacts</w:t>
            </w:r>
          </w:p>
        </w:tc>
      </w:tr>
      <w:tr w:rsidRPr="009D4DB1" w:rsidR="009D4DB1" w:rsidTr="00EA1BF2" w14:paraId="7034B13E" w14:textId="77777777">
        <w:tc>
          <w:tcPr>
            <w:tcW w:w="630" w:type="dxa"/>
          </w:tcPr>
          <w:p w:rsidRPr="009D4DB1" w:rsidR="009D4DB1" w:rsidP="009D4DB1" w:rsidRDefault="009D4DB1" w14:paraId="6FA033CE" w14:textId="77777777">
            <w:pPr>
              <w:spacing w:line="480" w:lineRule="auto"/>
              <w:rPr>
                <w:szCs w:val="20"/>
              </w:rPr>
            </w:pPr>
          </w:p>
        </w:tc>
        <w:tc>
          <w:tcPr>
            <w:tcW w:w="8720" w:type="dxa"/>
          </w:tcPr>
          <w:p w:rsidRPr="009D4DB1" w:rsidR="009D4DB1" w:rsidP="009D4DB1" w:rsidRDefault="009D4DB1" w14:paraId="6FF04930" w14:textId="77777777">
            <w:pPr>
              <w:spacing w:line="480" w:lineRule="auto"/>
              <w:rPr>
                <w:szCs w:val="20"/>
              </w:rPr>
            </w:pPr>
          </w:p>
        </w:tc>
      </w:tr>
      <w:tr w:rsidRPr="009D4DB1" w:rsidR="009D4DB1" w:rsidTr="00EA1BF2" w14:paraId="4EA01F75" w14:textId="77777777">
        <w:tc>
          <w:tcPr>
            <w:tcW w:w="9350" w:type="dxa"/>
            <w:gridSpan w:val="2"/>
          </w:tcPr>
          <w:p w:rsidRPr="009D4DB1" w:rsidR="009D4DB1" w:rsidP="009D4DB1" w:rsidRDefault="009D4DB1" w14:paraId="30808CA3" w14:textId="46E7F9FF">
            <w:pPr>
              <w:spacing w:line="480" w:lineRule="auto"/>
              <w:rPr>
                <w:sz w:val="25"/>
                <w:szCs w:val="20"/>
              </w:rPr>
            </w:pPr>
            <w:r w:rsidRPr="009D4DB1">
              <w:rPr>
                <w:b/>
                <w:sz w:val="25"/>
                <w:szCs w:val="20"/>
              </w:rPr>
              <w:t xml:space="preserve">Group 3: </w:t>
            </w:r>
            <w:r w:rsidR="003A09B0">
              <w:rPr>
                <w:b/>
                <w:sz w:val="25"/>
                <w:szCs w:val="20"/>
              </w:rPr>
              <w:t xml:space="preserve"> </w:t>
            </w:r>
            <w:r w:rsidRPr="009D4DB1">
              <w:rPr>
                <w:b/>
                <w:sz w:val="25"/>
                <w:szCs w:val="20"/>
              </w:rPr>
              <w:t>RTOs/ISOs with Capacity Markets</w:t>
            </w:r>
            <w:r w:rsidRPr="009D4DB1">
              <w:rPr>
                <w:b/>
                <w:sz w:val="25"/>
                <w:szCs w:val="25"/>
              </w:rPr>
              <w:t xml:space="preserve"> (Respondents with Capacity Markets)</w:t>
            </w:r>
          </w:p>
        </w:tc>
      </w:tr>
      <w:tr w:rsidRPr="009D4DB1" w:rsidR="009D4DB1" w:rsidTr="00EA1BF2" w14:paraId="68EBD137" w14:textId="77777777">
        <w:tc>
          <w:tcPr>
            <w:tcW w:w="630" w:type="dxa"/>
          </w:tcPr>
          <w:p w:rsidRPr="009D4DB1" w:rsidR="009D4DB1" w:rsidP="009D4DB1" w:rsidRDefault="009D4DB1" w14:paraId="6FE3A7F6" w14:textId="77777777">
            <w:pPr>
              <w:spacing w:line="480" w:lineRule="auto"/>
              <w:rPr>
                <w:szCs w:val="20"/>
              </w:rPr>
            </w:pPr>
            <w:r w:rsidRPr="009D4DB1">
              <w:rPr>
                <w:szCs w:val="20"/>
              </w:rPr>
              <w:t>20</w:t>
            </w:r>
          </w:p>
        </w:tc>
        <w:tc>
          <w:tcPr>
            <w:tcW w:w="8720" w:type="dxa"/>
          </w:tcPr>
          <w:p w:rsidRPr="009D4DB1" w:rsidR="009D4DB1" w:rsidP="009D4DB1" w:rsidRDefault="009D4DB1" w14:paraId="0BAF8E1E" w14:textId="77777777">
            <w:pPr>
              <w:spacing w:line="480" w:lineRule="auto"/>
              <w:rPr>
                <w:szCs w:val="20"/>
              </w:rPr>
            </w:pPr>
            <w:r w:rsidRPr="009D4DB1">
              <w:rPr>
                <w:szCs w:val="20"/>
              </w:rPr>
              <w:t>Net Cost of New Entry (Net CONE) Value</w:t>
            </w:r>
          </w:p>
        </w:tc>
      </w:tr>
      <w:tr w:rsidRPr="009D4DB1" w:rsidR="009D4DB1" w:rsidTr="00EA1BF2" w14:paraId="43A01D67" w14:textId="77777777">
        <w:tc>
          <w:tcPr>
            <w:tcW w:w="630" w:type="dxa"/>
          </w:tcPr>
          <w:p w:rsidRPr="009D4DB1" w:rsidR="009D4DB1" w:rsidP="009D4DB1" w:rsidRDefault="009D4DB1" w14:paraId="39C60D49" w14:textId="77777777">
            <w:pPr>
              <w:spacing w:line="480" w:lineRule="auto"/>
              <w:rPr>
                <w:szCs w:val="20"/>
              </w:rPr>
            </w:pPr>
            <w:r w:rsidRPr="009D4DB1">
              <w:rPr>
                <w:szCs w:val="20"/>
              </w:rPr>
              <w:t>21</w:t>
            </w:r>
          </w:p>
        </w:tc>
        <w:tc>
          <w:tcPr>
            <w:tcW w:w="8720" w:type="dxa"/>
          </w:tcPr>
          <w:p w:rsidRPr="009D4DB1" w:rsidR="009D4DB1" w:rsidP="009D4DB1" w:rsidRDefault="009D4DB1" w14:paraId="7DF88F58" w14:textId="77777777">
            <w:pPr>
              <w:spacing w:line="480" w:lineRule="auto"/>
              <w:rPr>
                <w:szCs w:val="20"/>
              </w:rPr>
            </w:pPr>
            <w:r w:rsidRPr="009D4DB1">
              <w:rPr>
                <w:szCs w:val="20"/>
              </w:rPr>
              <w:t xml:space="preserve">Resource Deliverability </w:t>
            </w:r>
          </w:p>
        </w:tc>
      </w:tr>
      <w:tr w:rsidRPr="009D4DB1" w:rsidR="009D4DB1" w:rsidTr="00EA1BF2" w14:paraId="2FA4FFC7" w14:textId="77777777">
        <w:tc>
          <w:tcPr>
            <w:tcW w:w="630" w:type="dxa"/>
          </w:tcPr>
          <w:p w:rsidRPr="009D4DB1" w:rsidR="009D4DB1" w:rsidP="009D4DB1" w:rsidRDefault="009D4DB1" w14:paraId="7094CAC3" w14:textId="77777777">
            <w:pPr>
              <w:spacing w:line="480" w:lineRule="auto"/>
              <w:rPr>
                <w:szCs w:val="20"/>
              </w:rPr>
            </w:pPr>
            <w:r w:rsidRPr="009D4DB1">
              <w:rPr>
                <w:szCs w:val="20"/>
              </w:rPr>
              <w:t>22</w:t>
            </w:r>
          </w:p>
        </w:tc>
        <w:tc>
          <w:tcPr>
            <w:tcW w:w="8720" w:type="dxa"/>
          </w:tcPr>
          <w:p w:rsidRPr="009D4DB1" w:rsidR="009D4DB1" w:rsidP="009D4DB1" w:rsidRDefault="009D4DB1" w14:paraId="17338C95" w14:textId="77777777">
            <w:pPr>
              <w:spacing w:line="480" w:lineRule="auto"/>
              <w:rPr>
                <w:szCs w:val="20"/>
              </w:rPr>
            </w:pPr>
            <w:r w:rsidRPr="009D4DB1">
              <w:rPr>
                <w:szCs w:val="20"/>
              </w:rPr>
              <w:t>New Capacity (Entry)</w:t>
            </w:r>
          </w:p>
        </w:tc>
      </w:tr>
      <w:tr w:rsidRPr="009D4DB1" w:rsidR="009D4DB1" w:rsidTr="00EA1BF2" w14:paraId="4B0D91DE" w14:textId="77777777">
        <w:tc>
          <w:tcPr>
            <w:tcW w:w="630" w:type="dxa"/>
          </w:tcPr>
          <w:p w:rsidRPr="009D4DB1" w:rsidR="009D4DB1" w:rsidP="009D4DB1" w:rsidRDefault="009D4DB1" w14:paraId="67F5525A" w14:textId="77777777">
            <w:pPr>
              <w:spacing w:line="480" w:lineRule="auto"/>
              <w:rPr>
                <w:szCs w:val="20"/>
              </w:rPr>
            </w:pPr>
            <w:r w:rsidRPr="009D4DB1">
              <w:rPr>
                <w:szCs w:val="20"/>
              </w:rPr>
              <w:t>23</w:t>
            </w:r>
          </w:p>
        </w:tc>
        <w:tc>
          <w:tcPr>
            <w:tcW w:w="8720" w:type="dxa"/>
          </w:tcPr>
          <w:p w:rsidRPr="009D4DB1" w:rsidR="009D4DB1" w:rsidP="009D4DB1" w:rsidRDefault="009D4DB1" w14:paraId="49653776" w14:textId="77777777">
            <w:pPr>
              <w:spacing w:line="480" w:lineRule="auto"/>
              <w:rPr>
                <w:szCs w:val="20"/>
              </w:rPr>
            </w:pPr>
            <w:r w:rsidRPr="009D4DB1">
              <w:rPr>
                <w:szCs w:val="20"/>
              </w:rPr>
              <w:t>Capacity Retirement (Exit)</w:t>
            </w:r>
          </w:p>
        </w:tc>
      </w:tr>
      <w:tr w:rsidRPr="009D4DB1" w:rsidR="009D4DB1" w:rsidTr="00EA1BF2" w14:paraId="55DC6C75" w14:textId="77777777">
        <w:tc>
          <w:tcPr>
            <w:tcW w:w="630" w:type="dxa"/>
          </w:tcPr>
          <w:p w:rsidRPr="009D4DB1" w:rsidR="009D4DB1" w:rsidP="009D4DB1" w:rsidRDefault="009D4DB1" w14:paraId="62A1CFFB" w14:textId="77777777">
            <w:pPr>
              <w:spacing w:line="480" w:lineRule="auto"/>
              <w:rPr>
                <w:szCs w:val="20"/>
              </w:rPr>
            </w:pPr>
            <w:r w:rsidRPr="009D4DB1">
              <w:rPr>
                <w:szCs w:val="20"/>
              </w:rPr>
              <w:t>24</w:t>
            </w:r>
          </w:p>
        </w:tc>
        <w:tc>
          <w:tcPr>
            <w:tcW w:w="8720" w:type="dxa"/>
          </w:tcPr>
          <w:p w:rsidRPr="009D4DB1" w:rsidR="009D4DB1" w:rsidP="009D4DB1" w:rsidRDefault="009D4DB1" w14:paraId="74B4C452" w14:textId="77777777">
            <w:pPr>
              <w:spacing w:line="480" w:lineRule="auto"/>
              <w:rPr>
                <w:szCs w:val="20"/>
              </w:rPr>
            </w:pPr>
            <w:r w:rsidRPr="009D4DB1">
              <w:rPr>
                <w:szCs w:val="20"/>
              </w:rPr>
              <w:t>Forecasted Demand</w:t>
            </w:r>
          </w:p>
        </w:tc>
      </w:tr>
      <w:tr w:rsidRPr="009D4DB1" w:rsidR="009D4DB1" w:rsidTr="00EA1BF2" w14:paraId="70C93C00" w14:textId="77777777">
        <w:tc>
          <w:tcPr>
            <w:tcW w:w="630" w:type="dxa"/>
          </w:tcPr>
          <w:p w:rsidRPr="009D4DB1" w:rsidR="009D4DB1" w:rsidP="009D4DB1" w:rsidRDefault="009D4DB1" w14:paraId="0439A949" w14:textId="77777777">
            <w:pPr>
              <w:spacing w:line="480" w:lineRule="auto"/>
              <w:rPr>
                <w:szCs w:val="20"/>
              </w:rPr>
            </w:pPr>
            <w:r w:rsidRPr="009D4DB1">
              <w:rPr>
                <w:szCs w:val="20"/>
              </w:rPr>
              <w:t>25</w:t>
            </w:r>
          </w:p>
        </w:tc>
        <w:tc>
          <w:tcPr>
            <w:tcW w:w="8720" w:type="dxa"/>
          </w:tcPr>
          <w:p w:rsidRPr="009D4DB1" w:rsidR="009D4DB1" w:rsidP="009D4DB1" w:rsidRDefault="009D4DB1" w14:paraId="332014C3" w14:textId="77777777">
            <w:pPr>
              <w:spacing w:line="480" w:lineRule="auto"/>
              <w:rPr>
                <w:szCs w:val="20"/>
              </w:rPr>
            </w:pPr>
            <w:r w:rsidRPr="009D4DB1">
              <w:rPr>
                <w:szCs w:val="20"/>
              </w:rPr>
              <w:t>Capacity Market Procurement and Prices</w:t>
            </w:r>
          </w:p>
        </w:tc>
      </w:tr>
      <w:tr w:rsidRPr="009D4DB1" w:rsidR="009D4DB1" w:rsidTr="00EA1BF2" w14:paraId="592414A1" w14:textId="77777777">
        <w:tc>
          <w:tcPr>
            <w:tcW w:w="630" w:type="dxa"/>
          </w:tcPr>
          <w:p w:rsidRPr="009D4DB1" w:rsidR="009D4DB1" w:rsidP="009D4DB1" w:rsidRDefault="009D4DB1" w14:paraId="730FD0EC" w14:textId="77777777">
            <w:pPr>
              <w:spacing w:line="480" w:lineRule="auto"/>
              <w:rPr>
                <w:szCs w:val="20"/>
              </w:rPr>
            </w:pPr>
            <w:r w:rsidRPr="009D4DB1">
              <w:rPr>
                <w:szCs w:val="20"/>
              </w:rPr>
              <w:t>26</w:t>
            </w:r>
          </w:p>
        </w:tc>
        <w:tc>
          <w:tcPr>
            <w:tcW w:w="8720" w:type="dxa"/>
          </w:tcPr>
          <w:p w:rsidRPr="009D4DB1" w:rsidR="009D4DB1" w:rsidP="009D4DB1" w:rsidRDefault="009D4DB1" w14:paraId="40CED091" w14:textId="77777777">
            <w:pPr>
              <w:spacing w:line="480" w:lineRule="auto"/>
              <w:rPr>
                <w:szCs w:val="20"/>
              </w:rPr>
            </w:pPr>
            <w:r w:rsidRPr="009D4DB1">
              <w:rPr>
                <w:szCs w:val="20"/>
              </w:rPr>
              <w:t>Capacity Obligations and Performance Assessment Events</w:t>
            </w:r>
          </w:p>
        </w:tc>
      </w:tr>
      <w:tr w:rsidRPr="009D4DB1" w:rsidR="009D4DB1" w:rsidTr="00EA1BF2" w14:paraId="5E02A731" w14:textId="77777777">
        <w:tc>
          <w:tcPr>
            <w:tcW w:w="630" w:type="dxa"/>
          </w:tcPr>
          <w:p w:rsidRPr="009D4DB1" w:rsidR="009D4DB1" w:rsidP="009D4DB1" w:rsidRDefault="009D4DB1" w14:paraId="5838490A" w14:textId="77777777">
            <w:pPr>
              <w:spacing w:line="480" w:lineRule="auto"/>
              <w:rPr>
                <w:szCs w:val="20"/>
              </w:rPr>
            </w:pPr>
            <w:r w:rsidRPr="009D4DB1">
              <w:rPr>
                <w:szCs w:val="20"/>
              </w:rPr>
              <w:t>27</w:t>
            </w:r>
          </w:p>
        </w:tc>
        <w:tc>
          <w:tcPr>
            <w:tcW w:w="8720" w:type="dxa"/>
          </w:tcPr>
          <w:p w:rsidRPr="009D4DB1" w:rsidR="009D4DB1" w:rsidP="009D4DB1" w:rsidRDefault="009D4DB1" w14:paraId="0256FBB3" w14:textId="77777777">
            <w:pPr>
              <w:spacing w:line="480" w:lineRule="auto"/>
              <w:rPr>
                <w:szCs w:val="20"/>
              </w:rPr>
            </w:pPr>
            <w:r w:rsidRPr="009D4DB1">
              <w:rPr>
                <w:szCs w:val="20"/>
              </w:rPr>
              <w:t>Capacity Over-Performance</w:t>
            </w:r>
          </w:p>
        </w:tc>
      </w:tr>
      <w:tr w:rsidRPr="009D4DB1" w:rsidR="009D4DB1" w:rsidTr="00EA1BF2" w14:paraId="7CDD30AF" w14:textId="77777777">
        <w:tc>
          <w:tcPr>
            <w:tcW w:w="630" w:type="dxa"/>
          </w:tcPr>
          <w:p w:rsidRPr="009D4DB1" w:rsidR="009D4DB1" w:rsidP="009D4DB1" w:rsidRDefault="009D4DB1" w14:paraId="26D4E03E" w14:textId="77777777">
            <w:pPr>
              <w:spacing w:line="480" w:lineRule="auto"/>
              <w:rPr>
                <w:szCs w:val="20"/>
              </w:rPr>
            </w:pPr>
            <w:r w:rsidRPr="009D4DB1">
              <w:rPr>
                <w:szCs w:val="20"/>
              </w:rPr>
              <w:t>28</w:t>
            </w:r>
          </w:p>
        </w:tc>
        <w:tc>
          <w:tcPr>
            <w:tcW w:w="8720" w:type="dxa"/>
          </w:tcPr>
          <w:p w:rsidRPr="009D4DB1" w:rsidR="009D4DB1" w:rsidP="009D4DB1" w:rsidRDefault="009D4DB1" w14:paraId="4FAB620B" w14:textId="310ECF00">
            <w:pPr>
              <w:spacing w:line="480" w:lineRule="auto"/>
              <w:rPr>
                <w:szCs w:val="20"/>
              </w:rPr>
            </w:pPr>
            <w:r w:rsidRPr="009D4DB1">
              <w:rPr>
                <w:szCs w:val="20"/>
              </w:rPr>
              <w:t>Capacity Under-Performance</w:t>
            </w:r>
          </w:p>
        </w:tc>
      </w:tr>
      <w:tr w:rsidRPr="009D4DB1" w:rsidR="009D4DB1" w:rsidTr="00EA1BF2" w14:paraId="43FE5A7F" w14:textId="77777777">
        <w:tc>
          <w:tcPr>
            <w:tcW w:w="630" w:type="dxa"/>
          </w:tcPr>
          <w:p w:rsidRPr="009D4DB1" w:rsidR="009D4DB1" w:rsidP="009D4DB1" w:rsidRDefault="009D4DB1" w14:paraId="4CA1B0F8" w14:textId="77777777">
            <w:pPr>
              <w:spacing w:line="480" w:lineRule="auto"/>
              <w:rPr>
                <w:szCs w:val="20"/>
              </w:rPr>
            </w:pPr>
            <w:r w:rsidRPr="009D4DB1">
              <w:rPr>
                <w:szCs w:val="20"/>
              </w:rPr>
              <w:t>29</w:t>
            </w:r>
          </w:p>
        </w:tc>
        <w:tc>
          <w:tcPr>
            <w:tcW w:w="8720" w:type="dxa"/>
          </w:tcPr>
          <w:p w:rsidRPr="009D4DB1" w:rsidR="009D4DB1" w:rsidP="009D4DB1" w:rsidRDefault="009D4DB1" w14:paraId="720EFC9F" w14:textId="77777777">
            <w:pPr>
              <w:spacing w:line="480" w:lineRule="auto"/>
              <w:rPr>
                <w:szCs w:val="20"/>
              </w:rPr>
            </w:pPr>
            <w:r w:rsidRPr="009D4DB1">
              <w:rPr>
                <w:szCs w:val="20"/>
              </w:rPr>
              <w:t>Total Capacity Bonus Payments and Penalties</w:t>
            </w:r>
          </w:p>
        </w:tc>
      </w:tr>
    </w:tbl>
    <w:p w:rsidRPr="009D4DB1" w:rsidR="009D4DB1" w:rsidP="009D4DB1" w:rsidRDefault="009D4DB1" w14:paraId="0FE281FF" w14:textId="77777777">
      <w:pPr>
        <w:widowControl w:val="0"/>
        <w:spacing w:line="480" w:lineRule="auto"/>
        <w:rPr>
          <w:rFonts w:eastAsiaTheme="minorHAnsi"/>
          <w:szCs w:val="22"/>
        </w:rPr>
      </w:pPr>
    </w:p>
    <w:p w:rsidRPr="009D4DB1" w:rsidR="009D4DB1" w:rsidP="009D4DB1" w:rsidRDefault="009D4DB1" w14:paraId="7FA1CE87" w14:textId="77777777">
      <w:pPr>
        <w:widowControl w:val="0"/>
        <w:autoSpaceDE w:val="0"/>
        <w:autoSpaceDN w:val="0"/>
        <w:adjustRightInd w:val="0"/>
        <w:spacing w:line="480" w:lineRule="auto"/>
        <w:rPr>
          <w:rFonts w:eastAsiaTheme="minorHAnsi"/>
          <w:color w:val="000000"/>
          <w:szCs w:val="22"/>
        </w:rPr>
      </w:pPr>
    </w:p>
    <w:p w:rsidRPr="009D4DB1" w:rsidR="009D4DB1" w:rsidP="009D4DB1" w:rsidRDefault="009D4DB1" w14:paraId="7D7D0866" w14:textId="77777777">
      <w:pPr>
        <w:spacing w:after="160" w:line="259" w:lineRule="auto"/>
        <w:rPr>
          <w:rFonts w:eastAsiaTheme="minorHAnsi"/>
          <w:szCs w:val="22"/>
        </w:rPr>
      </w:pPr>
      <w:r w:rsidRPr="009D4DB1">
        <w:rPr>
          <w:rFonts w:eastAsiaTheme="minorHAnsi"/>
          <w:szCs w:val="22"/>
        </w:rPr>
        <w:br w:type="page"/>
      </w:r>
    </w:p>
    <w:p w:rsidRPr="009D4DB1" w:rsidR="009D4DB1" w:rsidP="009D4DB1" w:rsidRDefault="009D4DB1" w14:paraId="40B83EE5" w14:textId="77777777">
      <w:pPr>
        <w:widowControl w:val="0"/>
        <w:autoSpaceDE w:val="0"/>
        <w:autoSpaceDN w:val="0"/>
        <w:adjustRightInd w:val="0"/>
        <w:spacing w:line="480" w:lineRule="auto"/>
        <w:jc w:val="center"/>
        <w:rPr>
          <w:rFonts w:eastAsiaTheme="minorHAnsi"/>
          <w:b/>
          <w:color w:val="000000"/>
          <w:szCs w:val="22"/>
        </w:rPr>
      </w:pPr>
      <w:r w:rsidRPr="009D4DB1">
        <w:rPr>
          <w:rFonts w:eastAsiaTheme="minorHAnsi"/>
          <w:b/>
          <w:color w:val="000000"/>
          <w:szCs w:val="22"/>
        </w:rPr>
        <w:lastRenderedPageBreak/>
        <w:t>ATTACHMENTS</w:t>
      </w:r>
    </w:p>
    <w:p w:rsidRPr="009D4DB1" w:rsidR="009D4DB1" w:rsidP="009D4DB1" w:rsidRDefault="009D4DB1" w14:paraId="7751AB2F" w14:textId="64F17E4D">
      <w:pPr>
        <w:widowControl w:val="0"/>
        <w:autoSpaceDE w:val="0"/>
        <w:autoSpaceDN w:val="0"/>
        <w:adjustRightInd w:val="0"/>
        <w:spacing w:line="480" w:lineRule="auto"/>
        <w:ind w:firstLine="720"/>
        <w:rPr>
          <w:rFonts w:eastAsiaTheme="minorHAnsi"/>
          <w:color w:val="000000"/>
          <w:szCs w:val="22"/>
        </w:rPr>
      </w:pPr>
      <w:r w:rsidRPr="009D4DB1">
        <w:rPr>
          <w:rFonts w:eastAsiaTheme="minorHAnsi"/>
          <w:color w:val="000000"/>
          <w:szCs w:val="22"/>
        </w:rPr>
        <w:t>The attachments will not be published in the Federal Register, but will be available as part of this notice in the Commission’s eLibrary system</w:t>
      </w:r>
      <w:r w:rsidR="003A09B0">
        <w:rPr>
          <w:rFonts w:eastAsiaTheme="minorHAnsi"/>
          <w:color w:val="000000"/>
          <w:szCs w:val="22"/>
        </w:rPr>
        <w:t>, under Docket No. AD19-16-000</w:t>
      </w:r>
      <w:r w:rsidRPr="009D4DB1">
        <w:rPr>
          <w:rFonts w:eastAsiaTheme="minorHAnsi"/>
          <w:color w:val="000000"/>
          <w:szCs w:val="22"/>
        </w:rPr>
        <w:t>.</w:t>
      </w:r>
    </w:p>
    <w:p w:rsidR="009D4DB1" w:rsidP="009D4DB1" w:rsidRDefault="009D4DB1" w14:paraId="782F30AE" w14:textId="7A1014A2">
      <w:pPr>
        <w:widowControl w:val="0"/>
        <w:autoSpaceDE w:val="0"/>
        <w:autoSpaceDN w:val="0"/>
        <w:adjustRightInd w:val="0"/>
        <w:spacing w:line="480" w:lineRule="auto"/>
        <w:rPr>
          <w:rFonts w:eastAsiaTheme="minorHAnsi"/>
          <w:color w:val="000000"/>
          <w:szCs w:val="22"/>
        </w:rPr>
      </w:pPr>
      <w:r w:rsidRPr="009D4DB1">
        <w:rPr>
          <w:rFonts w:eastAsiaTheme="minorHAnsi"/>
          <w:b/>
          <w:color w:val="000000"/>
          <w:szCs w:val="22"/>
        </w:rPr>
        <w:t>Attachment</w:t>
      </w:r>
      <w:r w:rsidRPr="00724CBB">
        <w:rPr>
          <w:rFonts w:eastAsiaTheme="minorHAnsi"/>
          <w:b/>
          <w:color w:val="000000"/>
          <w:szCs w:val="22"/>
        </w:rPr>
        <w:t xml:space="preserve"> A</w:t>
      </w:r>
      <w:r w:rsidR="003A09B0">
        <w:rPr>
          <w:rFonts w:eastAsiaTheme="minorHAnsi"/>
          <w:b/>
          <w:color w:val="000000"/>
          <w:szCs w:val="22"/>
        </w:rPr>
        <w:t>:</w:t>
      </w:r>
      <w:r w:rsidR="00E34158">
        <w:rPr>
          <w:rFonts w:eastAsiaTheme="minorHAnsi"/>
          <w:b/>
          <w:color w:val="000000"/>
          <w:szCs w:val="22"/>
        </w:rPr>
        <w:t xml:space="preserve">  </w:t>
      </w:r>
      <w:r w:rsidR="003A09B0">
        <w:rPr>
          <w:rFonts w:eastAsiaTheme="minorHAnsi"/>
          <w:color w:val="000000"/>
          <w:szCs w:val="22"/>
        </w:rPr>
        <w:t xml:space="preserve">Information Collection </w:t>
      </w:r>
      <w:r w:rsidRPr="009D4DB1">
        <w:rPr>
          <w:rFonts w:eastAsiaTheme="minorHAnsi"/>
          <w:color w:val="000000"/>
          <w:szCs w:val="22"/>
        </w:rPr>
        <w:t>Input Spreadsheet</w:t>
      </w:r>
      <w:r w:rsidR="003A09B0">
        <w:rPr>
          <w:rFonts w:eastAsiaTheme="minorHAnsi"/>
          <w:color w:val="000000"/>
          <w:szCs w:val="22"/>
        </w:rPr>
        <w:t xml:space="preserve"> (pdf)</w:t>
      </w:r>
    </w:p>
    <w:p w:rsidRPr="009D4DB1" w:rsidR="008813F3" w:rsidP="008813F3" w:rsidRDefault="008813F3" w14:paraId="1CA488DC" w14:textId="322ACE91">
      <w:pPr>
        <w:widowControl w:val="0"/>
        <w:autoSpaceDE w:val="0"/>
        <w:autoSpaceDN w:val="0"/>
        <w:adjustRightInd w:val="0"/>
        <w:spacing w:line="480" w:lineRule="auto"/>
        <w:rPr>
          <w:rFonts w:eastAsiaTheme="minorHAnsi"/>
          <w:color w:val="000000"/>
          <w:szCs w:val="22"/>
        </w:rPr>
      </w:pPr>
      <w:r w:rsidRPr="009D4DB1">
        <w:rPr>
          <w:rFonts w:eastAsiaTheme="minorHAnsi"/>
          <w:b/>
          <w:color w:val="000000"/>
          <w:szCs w:val="22"/>
        </w:rPr>
        <w:t>Attachment</w:t>
      </w:r>
      <w:r w:rsidRPr="00724CBB">
        <w:rPr>
          <w:rFonts w:eastAsiaTheme="minorHAnsi"/>
          <w:b/>
          <w:color w:val="000000"/>
          <w:szCs w:val="22"/>
        </w:rPr>
        <w:t xml:space="preserve"> </w:t>
      </w:r>
      <w:r>
        <w:rPr>
          <w:rFonts w:eastAsiaTheme="minorHAnsi"/>
          <w:b/>
          <w:color w:val="000000"/>
          <w:szCs w:val="22"/>
        </w:rPr>
        <w:t xml:space="preserve">B: </w:t>
      </w:r>
      <w:r w:rsidRPr="00724CBB">
        <w:rPr>
          <w:rFonts w:eastAsiaTheme="minorHAnsi"/>
          <w:b/>
          <w:color w:val="000000"/>
          <w:szCs w:val="22"/>
        </w:rPr>
        <w:t xml:space="preserve"> </w:t>
      </w:r>
      <w:r>
        <w:rPr>
          <w:rFonts w:eastAsiaTheme="minorHAnsi"/>
          <w:color w:val="000000"/>
          <w:szCs w:val="22"/>
        </w:rPr>
        <w:t xml:space="preserve">Information Collection </w:t>
      </w:r>
      <w:r w:rsidRPr="009D4DB1">
        <w:rPr>
          <w:rFonts w:eastAsiaTheme="minorHAnsi"/>
          <w:color w:val="000000"/>
          <w:szCs w:val="22"/>
        </w:rPr>
        <w:t>Input Spreadsheet</w:t>
      </w:r>
      <w:r>
        <w:rPr>
          <w:rFonts w:eastAsiaTheme="minorHAnsi"/>
          <w:color w:val="000000"/>
          <w:szCs w:val="22"/>
        </w:rPr>
        <w:t xml:space="preserve"> (excel)</w:t>
      </w:r>
    </w:p>
    <w:p w:rsidRPr="009D4DB1" w:rsidR="008813F3" w:rsidP="008813F3" w:rsidRDefault="008813F3" w14:paraId="769EF244" w14:textId="749C03A1">
      <w:pPr>
        <w:widowControl w:val="0"/>
        <w:autoSpaceDE w:val="0"/>
        <w:autoSpaceDN w:val="0"/>
        <w:adjustRightInd w:val="0"/>
        <w:spacing w:line="480" w:lineRule="auto"/>
        <w:rPr>
          <w:rFonts w:eastAsiaTheme="minorHAnsi"/>
          <w:color w:val="000000"/>
          <w:szCs w:val="22"/>
        </w:rPr>
      </w:pPr>
      <w:r>
        <w:rPr>
          <w:rFonts w:eastAsiaTheme="minorHAnsi"/>
          <w:b/>
          <w:color w:val="000000"/>
          <w:szCs w:val="22"/>
        </w:rPr>
        <w:t xml:space="preserve">Attachment C:  </w:t>
      </w:r>
      <w:r>
        <w:rPr>
          <w:rFonts w:eastAsiaTheme="minorHAnsi"/>
          <w:color w:val="000000"/>
          <w:szCs w:val="22"/>
        </w:rPr>
        <w:t>Information Collection Input Spreadsheet, redline showing changes made to draft included with July 10, 2019 notice (pdf)</w:t>
      </w:r>
    </w:p>
    <w:p w:rsidR="008813F3" w:rsidP="00724CBB" w:rsidRDefault="009D4DB1" w14:paraId="4FAD32B9" w14:textId="2F435443">
      <w:pPr>
        <w:widowControl w:val="0"/>
        <w:autoSpaceDE w:val="0"/>
        <w:autoSpaceDN w:val="0"/>
        <w:adjustRightInd w:val="0"/>
        <w:spacing w:line="480" w:lineRule="auto"/>
        <w:rPr>
          <w:rFonts w:eastAsiaTheme="minorHAnsi"/>
          <w:color w:val="000000"/>
          <w:szCs w:val="22"/>
        </w:rPr>
      </w:pPr>
      <w:r w:rsidRPr="009D4DB1">
        <w:rPr>
          <w:rFonts w:eastAsiaTheme="minorHAnsi"/>
          <w:b/>
          <w:color w:val="000000"/>
          <w:szCs w:val="22"/>
        </w:rPr>
        <w:t xml:space="preserve">Attachment </w:t>
      </w:r>
      <w:r w:rsidR="008813F3">
        <w:rPr>
          <w:rFonts w:eastAsiaTheme="minorHAnsi"/>
          <w:b/>
          <w:color w:val="000000"/>
          <w:szCs w:val="22"/>
        </w:rPr>
        <w:t>D</w:t>
      </w:r>
      <w:r w:rsidR="003A09B0">
        <w:rPr>
          <w:rFonts w:eastAsiaTheme="minorHAnsi"/>
          <w:b/>
          <w:color w:val="000000"/>
          <w:szCs w:val="22"/>
        </w:rPr>
        <w:t>:</w:t>
      </w:r>
      <w:r w:rsidR="00E34158">
        <w:rPr>
          <w:rFonts w:eastAsiaTheme="minorHAnsi"/>
          <w:b/>
          <w:color w:val="000000"/>
          <w:szCs w:val="22"/>
        </w:rPr>
        <w:t xml:space="preserve"> </w:t>
      </w:r>
      <w:r>
        <w:rPr>
          <w:rFonts w:eastAsiaTheme="minorHAnsi"/>
          <w:b/>
          <w:color w:val="000000"/>
          <w:szCs w:val="22"/>
        </w:rPr>
        <w:t xml:space="preserve"> </w:t>
      </w:r>
      <w:r w:rsidR="003A09B0">
        <w:rPr>
          <w:rFonts w:eastAsiaTheme="minorHAnsi"/>
          <w:color w:val="000000"/>
          <w:szCs w:val="22"/>
        </w:rPr>
        <w:t>Information Collection</w:t>
      </w:r>
      <w:r w:rsidRPr="009D4DB1">
        <w:rPr>
          <w:rFonts w:eastAsiaTheme="minorHAnsi"/>
          <w:color w:val="000000"/>
          <w:szCs w:val="22"/>
        </w:rPr>
        <w:t xml:space="preserve"> User Guide</w:t>
      </w:r>
      <w:r w:rsidR="003A09B0">
        <w:rPr>
          <w:rFonts w:eastAsiaTheme="minorHAnsi"/>
          <w:color w:val="000000"/>
          <w:szCs w:val="22"/>
        </w:rPr>
        <w:t xml:space="preserve"> (pdf)</w:t>
      </w:r>
    </w:p>
    <w:p w:rsidRPr="00724CBB" w:rsidR="00F11631" w:rsidP="00724CBB" w:rsidRDefault="008813F3" w14:paraId="097D4E14" w14:textId="6F4943C8">
      <w:pPr>
        <w:widowControl w:val="0"/>
        <w:autoSpaceDE w:val="0"/>
        <w:autoSpaceDN w:val="0"/>
        <w:adjustRightInd w:val="0"/>
        <w:spacing w:line="480" w:lineRule="auto"/>
        <w:rPr>
          <w:rFonts w:eastAsiaTheme="minorHAnsi"/>
          <w:color w:val="000000"/>
          <w:szCs w:val="22"/>
        </w:rPr>
      </w:pPr>
      <w:r>
        <w:rPr>
          <w:rFonts w:eastAsiaTheme="minorHAnsi"/>
          <w:b/>
          <w:color w:val="000000"/>
          <w:szCs w:val="22"/>
        </w:rPr>
        <w:t xml:space="preserve">Attachment E:  </w:t>
      </w:r>
      <w:r w:rsidRPr="008813F3">
        <w:rPr>
          <w:rFonts w:eastAsiaTheme="minorHAnsi"/>
          <w:color w:val="000000"/>
          <w:szCs w:val="22"/>
        </w:rPr>
        <w:t>Information Collection User Guide,</w:t>
      </w:r>
      <w:r>
        <w:rPr>
          <w:rFonts w:eastAsiaTheme="minorHAnsi"/>
          <w:b/>
          <w:color w:val="000000"/>
          <w:szCs w:val="22"/>
        </w:rPr>
        <w:t xml:space="preserve"> </w:t>
      </w:r>
      <w:r>
        <w:rPr>
          <w:rFonts w:eastAsiaTheme="minorHAnsi"/>
          <w:color w:val="000000"/>
          <w:szCs w:val="22"/>
        </w:rPr>
        <w:t>redline showing changes made to draft included with July 10, 2019 notice (pdf)</w:t>
      </w:r>
    </w:p>
    <w:sectPr w:rsidRPr="00724CBB" w:rsidR="00F11631" w:rsidSect="005279C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216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96D78" w14:textId="77777777" w:rsidR="001C23B6" w:rsidRDefault="001C23B6" w:rsidP="00B01B16">
      <w:r>
        <w:separator/>
      </w:r>
    </w:p>
  </w:endnote>
  <w:endnote w:type="continuationSeparator" w:id="0">
    <w:p w14:paraId="42FB49CF" w14:textId="77777777" w:rsidR="001C23B6" w:rsidRDefault="001C23B6" w:rsidP="00B01B16">
      <w:r>
        <w:continuationSeparator/>
      </w:r>
    </w:p>
  </w:endnote>
  <w:endnote w:type="continuationNotice" w:id="1">
    <w:p w14:paraId="12AB09E4" w14:textId="77777777" w:rsidR="001C23B6" w:rsidRDefault="001C2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B1AD" w14:textId="77777777" w:rsidR="0074313B" w:rsidRDefault="00743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E305" w14:textId="77777777" w:rsidR="0074313B" w:rsidRDefault="00743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64A7" w14:textId="77777777" w:rsidR="0074313B" w:rsidRDefault="00743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A8439" w14:textId="77777777" w:rsidR="001C23B6" w:rsidRDefault="001C23B6" w:rsidP="00B01B16">
      <w:r>
        <w:separator/>
      </w:r>
    </w:p>
  </w:footnote>
  <w:footnote w:type="continuationSeparator" w:id="0">
    <w:p w14:paraId="19875389" w14:textId="77777777" w:rsidR="001C23B6" w:rsidRDefault="001C23B6" w:rsidP="00B01B16">
      <w:r>
        <w:continuationSeparator/>
      </w:r>
    </w:p>
  </w:footnote>
  <w:footnote w:type="continuationNotice" w:id="1">
    <w:p w14:paraId="4806FED0" w14:textId="77777777" w:rsidR="001C23B6" w:rsidRDefault="001C23B6"/>
  </w:footnote>
  <w:footnote w:id="2">
    <w:p w14:paraId="25823509" w14:textId="320C4924" w:rsidR="008F3B41" w:rsidRDefault="008F3B41" w:rsidP="00541174">
      <w:pPr>
        <w:pStyle w:val="FootnoteText"/>
        <w:ind w:firstLine="720"/>
        <w:rPr>
          <w:sz w:val="26"/>
          <w:szCs w:val="26"/>
        </w:rPr>
      </w:pPr>
      <w:r w:rsidRPr="00B95139">
        <w:rPr>
          <w:rStyle w:val="FootnoteReference"/>
        </w:rPr>
        <w:footnoteRef/>
      </w:r>
      <w:r w:rsidRPr="00797A3B">
        <w:rPr>
          <w:sz w:val="26"/>
          <w:szCs w:val="26"/>
        </w:rPr>
        <w:t xml:space="preserve"> The Commission previously had </w:t>
      </w:r>
      <w:r>
        <w:rPr>
          <w:sz w:val="26"/>
          <w:szCs w:val="26"/>
        </w:rPr>
        <w:t xml:space="preserve">OMB </w:t>
      </w:r>
      <w:r w:rsidRPr="00797A3B">
        <w:rPr>
          <w:sz w:val="26"/>
          <w:szCs w:val="26"/>
        </w:rPr>
        <w:t>approval for the information collection FERC-922 under OMB Control No. 1902-0262.</w:t>
      </w:r>
      <w:r>
        <w:rPr>
          <w:sz w:val="26"/>
          <w:szCs w:val="26"/>
        </w:rPr>
        <w:t xml:space="preserve">  At the Commission’s request, </w:t>
      </w:r>
      <w:r w:rsidRPr="00797A3B">
        <w:rPr>
          <w:sz w:val="26"/>
          <w:szCs w:val="26"/>
        </w:rPr>
        <w:t>OMB approval for the information collection was discontinued on August 31,</w:t>
      </w:r>
      <w:r>
        <w:rPr>
          <w:sz w:val="26"/>
          <w:szCs w:val="26"/>
        </w:rPr>
        <w:t xml:space="preserve"> </w:t>
      </w:r>
      <w:r w:rsidRPr="00797A3B">
        <w:rPr>
          <w:sz w:val="26"/>
          <w:szCs w:val="26"/>
        </w:rPr>
        <w:t xml:space="preserve">2018. </w:t>
      </w:r>
      <w:r>
        <w:rPr>
          <w:sz w:val="26"/>
          <w:szCs w:val="26"/>
        </w:rPr>
        <w:t xml:space="preserve"> </w:t>
      </w:r>
      <w:r w:rsidRPr="00797A3B">
        <w:rPr>
          <w:sz w:val="26"/>
          <w:szCs w:val="26"/>
        </w:rPr>
        <w:t>Commission staff plans to request authority from OMB to reinstate the</w:t>
      </w:r>
      <w:r>
        <w:rPr>
          <w:sz w:val="26"/>
          <w:szCs w:val="26"/>
        </w:rPr>
        <w:t xml:space="preserve"> </w:t>
      </w:r>
      <w:r w:rsidRPr="00797A3B">
        <w:rPr>
          <w:sz w:val="26"/>
          <w:szCs w:val="26"/>
        </w:rPr>
        <w:t>information collection FERC-922, with certain revisions, as described in more detail</w:t>
      </w:r>
      <w:r>
        <w:rPr>
          <w:sz w:val="26"/>
          <w:szCs w:val="26"/>
        </w:rPr>
        <w:t xml:space="preserve"> </w:t>
      </w:r>
      <w:r w:rsidRPr="00797A3B">
        <w:rPr>
          <w:sz w:val="26"/>
          <w:szCs w:val="26"/>
        </w:rPr>
        <w:t xml:space="preserve">herein. </w:t>
      </w:r>
      <w:r>
        <w:rPr>
          <w:sz w:val="26"/>
          <w:szCs w:val="26"/>
        </w:rPr>
        <w:t xml:space="preserve"> </w:t>
      </w:r>
      <w:r w:rsidRPr="00797A3B">
        <w:rPr>
          <w:i/>
          <w:sz w:val="26"/>
          <w:szCs w:val="26"/>
        </w:rPr>
        <w:t>See</w:t>
      </w:r>
      <w:r w:rsidRPr="00797A3B">
        <w:rPr>
          <w:sz w:val="26"/>
          <w:szCs w:val="26"/>
        </w:rPr>
        <w:t xml:space="preserve"> 44 U.S.C. 3507 (2012).</w:t>
      </w:r>
      <w:r>
        <w:rPr>
          <w:sz w:val="26"/>
          <w:szCs w:val="26"/>
        </w:rPr>
        <w:t xml:space="preserve"> </w:t>
      </w:r>
    </w:p>
    <w:p w14:paraId="4DDBABA4" w14:textId="77777777" w:rsidR="008F3B41" w:rsidRDefault="008F3B41" w:rsidP="00B95139">
      <w:pPr>
        <w:pStyle w:val="FootnoteText"/>
      </w:pPr>
    </w:p>
  </w:footnote>
  <w:footnote w:id="3">
    <w:p w14:paraId="6EB482A7" w14:textId="77E2BED2" w:rsidR="008F3B41" w:rsidRPr="003E0FDD" w:rsidRDefault="008F3B41" w:rsidP="003E0FDD">
      <w:pPr>
        <w:pStyle w:val="FootnoteText"/>
        <w:spacing w:after="240"/>
        <w:ind w:firstLine="720"/>
        <w:rPr>
          <w:sz w:val="26"/>
          <w:szCs w:val="26"/>
        </w:rPr>
      </w:pPr>
      <w:r w:rsidRPr="003E0FDD">
        <w:rPr>
          <w:rStyle w:val="FootnoteReference"/>
        </w:rPr>
        <w:footnoteRef/>
      </w:r>
      <w:r w:rsidRPr="003E0FDD">
        <w:rPr>
          <w:sz w:val="26"/>
          <w:szCs w:val="26"/>
        </w:rPr>
        <w:t xml:space="preserve"> U.S. Gov’t Accountability Off</w:t>
      </w:r>
      <w:r>
        <w:rPr>
          <w:sz w:val="26"/>
          <w:szCs w:val="26"/>
        </w:rPr>
        <w:t>ice</w:t>
      </w:r>
      <w:r w:rsidRPr="003E0FDD">
        <w:rPr>
          <w:sz w:val="26"/>
          <w:szCs w:val="26"/>
        </w:rPr>
        <w:t xml:space="preserve">, GAO-08-987, </w:t>
      </w:r>
      <w:r w:rsidRPr="007E6091">
        <w:rPr>
          <w:i/>
          <w:sz w:val="26"/>
          <w:szCs w:val="26"/>
        </w:rPr>
        <w:t>Report to the Committee on Homeland Security and Governmental Affairs, U.S. Senate; Electricity Restructuring:  FERC Could Take Additional Steps to Analyze Regional Transmission Organizations’ Benefits and Performance</w:t>
      </w:r>
      <w:r w:rsidRPr="003E0FDD">
        <w:rPr>
          <w:sz w:val="26"/>
          <w:szCs w:val="26"/>
        </w:rPr>
        <w:t xml:space="preserve"> (2008), </w:t>
      </w:r>
      <w:hyperlink r:id="rId1" w:history="1">
        <w:r w:rsidRPr="007E6091">
          <w:rPr>
            <w:rStyle w:val="Hyperlink"/>
            <w:sz w:val="26"/>
            <w:szCs w:val="26"/>
          </w:rPr>
          <w:t>https://www.gao.gov/assets/290/281312.pdf</w:t>
        </w:r>
      </w:hyperlink>
      <w:r w:rsidRPr="003E0FDD">
        <w:rPr>
          <w:sz w:val="26"/>
          <w:szCs w:val="26"/>
        </w:rPr>
        <w:t>.</w:t>
      </w:r>
    </w:p>
  </w:footnote>
  <w:footnote w:id="4">
    <w:p w14:paraId="5591E800" w14:textId="1343C5C4" w:rsidR="008F3B41" w:rsidRPr="003E0FDD" w:rsidRDefault="008F3B41" w:rsidP="003E0FDD">
      <w:pPr>
        <w:pStyle w:val="FootnoteText"/>
        <w:spacing w:after="240"/>
        <w:ind w:firstLine="720"/>
        <w:rPr>
          <w:sz w:val="26"/>
          <w:szCs w:val="26"/>
        </w:rPr>
      </w:pPr>
      <w:r w:rsidRPr="003E0FDD">
        <w:rPr>
          <w:rStyle w:val="FootnoteReference"/>
        </w:rPr>
        <w:footnoteRef/>
      </w:r>
      <w:r w:rsidRPr="003E0FDD">
        <w:rPr>
          <w:sz w:val="26"/>
          <w:szCs w:val="26"/>
        </w:rPr>
        <w:t xml:space="preserve"> </w:t>
      </w:r>
      <w:r>
        <w:rPr>
          <w:i/>
          <w:sz w:val="26"/>
          <w:szCs w:val="26"/>
        </w:rPr>
        <w:t>S</w:t>
      </w:r>
      <w:r w:rsidRPr="003E0FDD">
        <w:rPr>
          <w:i/>
          <w:iCs/>
          <w:sz w:val="26"/>
          <w:szCs w:val="26"/>
        </w:rPr>
        <w:t xml:space="preserve">ee </w:t>
      </w:r>
      <w:r w:rsidRPr="003E0FDD">
        <w:rPr>
          <w:sz w:val="26"/>
          <w:szCs w:val="26"/>
        </w:rPr>
        <w:t>Fed</w:t>
      </w:r>
      <w:r>
        <w:rPr>
          <w:sz w:val="26"/>
          <w:szCs w:val="26"/>
        </w:rPr>
        <w:t>.</w:t>
      </w:r>
      <w:r w:rsidRPr="003E0FDD">
        <w:rPr>
          <w:sz w:val="26"/>
          <w:szCs w:val="26"/>
        </w:rPr>
        <w:t xml:space="preserve"> Energy Regulatory Comm</w:t>
      </w:r>
      <w:r>
        <w:rPr>
          <w:sz w:val="26"/>
          <w:szCs w:val="26"/>
        </w:rPr>
        <w:t>’</w:t>
      </w:r>
      <w:r w:rsidRPr="003E0FDD">
        <w:rPr>
          <w:sz w:val="26"/>
          <w:szCs w:val="26"/>
        </w:rPr>
        <w:t xml:space="preserve">n, </w:t>
      </w:r>
      <w:r w:rsidRPr="007E6091">
        <w:rPr>
          <w:i/>
          <w:sz w:val="26"/>
          <w:szCs w:val="26"/>
        </w:rPr>
        <w:t xml:space="preserve">RTO/ISO Performance Metrics </w:t>
      </w:r>
      <w:r w:rsidRPr="003E0FDD">
        <w:rPr>
          <w:sz w:val="26"/>
          <w:szCs w:val="26"/>
        </w:rPr>
        <w:t xml:space="preserve">(last updated Aug. </w:t>
      </w:r>
      <w:r>
        <w:rPr>
          <w:sz w:val="26"/>
          <w:szCs w:val="26"/>
        </w:rPr>
        <w:t>16</w:t>
      </w:r>
      <w:r w:rsidRPr="003E0FDD">
        <w:rPr>
          <w:sz w:val="26"/>
          <w:szCs w:val="26"/>
        </w:rPr>
        <w:t>, 201</w:t>
      </w:r>
      <w:r>
        <w:rPr>
          <w:sz w:val="26"/>
          <w:szCs w:val="26"/>
        </w:rPr>
        <w:t>9</w:t>
      </w:r>
      <w:r w:rsidRPr="003E0FDD">
        <w:rPr>
          <w:sz w:val="26"/>
          <w:szCs w:val="26"/>
        </w:rPr>
        <w:t xml:space="preserve">), </w:t>
      </w:r>
      <w:hyperlink r:id="rId2" w:history="1">
        <w:r w:rsidRPr="005627F5">
          <w:rPr>
            <w:rStyle w:val="Hyperlink"/>
            <w:sz w:val="26"/>
            <w:szCs w:val="26"/>
          </w:rPr>
          <w:t>http://www.ferc.gov/industries/electric/indus-act/rto/rto-iso-performance.asp</w:t>
        </w:r>
      </w:hyperlink>
      <w:r w:rsidRPr="003E0FDD">
        <w:rPr>
          <w:sz w:val="26"/>
          <w:szCs w:val="26"/>
        </w:rPr>
        <w:t>.</w:t>
      </w:r>
    </w:p>
  </w:footnote>
  <w:footnote w:id="5">
    <w:p w14:paraId="364F9814" w14:textId="7B492D7E" w:rsidR="008F3B41" w:rsidRDefault="008F3B41" w:rsidP="007E6091">
      <w:pPr>
        <w:pStyle w:val="FootnoteText"/>
        <w:ind w:firstLine="720"/>
      </w:pPr>
      <w:r w:rsidRPr="003E0FDD">
        <w:rPr>
          <w:rStyle w:val="FootnoteReference"/>
        </w:rPr>
        <w:footnoteRef/>
      </w:r>
      <w:r w:rsidRPr="007E6091">
        <w:rPr>
          <w:sz w:val="26"/>
          <w:szCs w:val="26"/>
        </w:rPr>
        <w:t xml:space="preserve"> U.S. Gov’t Accountability Off</w:t>
      </w:r>
      <w:r>
        <w:rPr>
          <w:sz w:val="26"/>
          <w:szCs w:val="26"/>
        </w:rPr>
        <w:t>ice</w:t>
      </w:r>
      <w:r w:rsidRPr="007E6091">
        <w:rPr>
          <w:sz w:val="26"/>
          <w:szCs w:val="26"/>
        </w:rPr>
        <w:t xml:space="preserve">, GAO-18-131, </w:t>
      </w:r>
      <w:r w:rsidRPr="007E6091">
        <w:rPr>
          <w:i/>
          <w:iCs/>
          <w:sz w:val="26"/>
          <w:szCs w:val="26"/>
        </w:rPr>
        <w:t>Electricity Markets: Four Regions Use Capacity Markets to Help Ensure Adequate Resources, but FERC Has Not Fully Assessed Their Performance</w:t>
      </w:r>
      <w:r>
        <w:rPr>
          <w:i/>
          <w:iCs/>
          <w:sz w:val="26"/>
          <w:szCs w:val="26"/>
        </w:rPr>
        <w:t xml:space="preserve"> </w:t>
      </w:r>
      <w:r w:rsidRPr="007E6091">
        <w:rPr>
          <w:sz w:val="26"/>
          <w:szCs w:val="26"/>
        </w:rPr>
        <w:t>(2017), https://www.gao.gov/assets/690/689293.pdf (</w:t>
      </w:r>
      <w:r>
        <w:rPr>
          <w:sz w:val="26"/>
          <w:szCs w:val="26"/>
        </w:rPr>
        <w:t xml:space="preserve">hereinafter </w:t>
      </w:r>
      <w:r w:rsidRPr="007E6091">
        <w:rPr>
          <w:sz w:val="26"/>
          <w:szCs w:val="26"/>
        </w:rPr>
        <w:t>2017 GAO Report).</w:t>
      </w:r>
    </w:p>
  </w:footnote>
  <w:footnote w:id="6">
    <w:p w14:paraId="53380A1E" w14:textId="48044DC6" w:rsidR="00F851A6" w:rsidRPr="0037603F" w:rsidRDefault="00F851A6" w:rsidP="0037603F">
      <w:pPr>
        <w:pStyle w:val="FootnoteText"/>
        <w:ind w:firstLine="720"/>
        <w:rPr>
          <w:sz w:val="26"/>
          <w:szCs w:val="26"/>
        </w:rPr>
      </w:pPr>
      <w:r w:rsidRPr="00F851A6">
        <w:rPr>
          <w:rStyle w:val="FootnoteReference"/>
        </w:rPr>
        <w:footnoteRef/>
      </w:r>
      <w:r w:rsidRPr="0037603F">
        <w:rPr>
          <w:sz w:val="26"/>
          <w:szCs w:val="26"/>
        </w:rPr>
        <w:t xml:space="preserve"> </w:t>
      </w:r>
      <w:bookmarkStart w:id="2" w:name="_Hlk30677067"/>
      <w:r w:rsidRPr="0037603F">
        <w:rPr>
          <w:i/>
          <w:sz w:val="26"/>
          <w:szCs w:val="26"/>
        </w:rPr>
        <w:t>Settlement Intervals and Shortage Pricing in Mkts. Operated by Reg’l Transmission Orgs. &amp; Indep. Sys. Operators</w:t>
      </w:r>
      <w:r w:rsidRPr="0037603F">
        <w:rPr>
          <w:sz w:val="26"/>
          <w:szCs w:val="26"/>
        </w:rPr>
        <w:t>, Order No. 825, 155 FERC ¶ 61,276 (2016).</w:t>
      </w:r>
      <w:bookmarkEnd w:id="2"/>
    </w:p>
  </w:footnote>
  <w:footnote w:id="7">
    <w:p w14:paraId="68854FFE" w14:textId="6C2C4182" w:rsidR="008F3B41" w:rsidRPr="004C19E9" w:rsidRDefault="008F3B41" w:rsidP="007E6091">
      <w:pPr>
        <w:pStyle w:val="FootnoteText"/>
        <w:spacing w:after="240"/>
        <w:ind w:firstLine="720"/>
        <w:rPr>
          <w:sz w:val="26"/>
          <w:szCs w:val="26"/>
        </w:rPr>
      </w:pPr>
      <w:r w:rsidRPr="00A2003C">
        <w:rPr>
          <w:rStyle w:val="FootnoteReference"/>
        </w:rPr>
        <w:footnoteRef/>
      </w:r>
      <w:r w:rsidRPr="004C19E9">
        <w:rPr>
          <w:sz w:val="26"/>
          <w:szCs w:val="26"/>
        </w:rPr>
        <w:t xml:space="preserve"> Burden is defined as the total time, effort, or financial resources expended by persons to generate, maintain, retain, or disclose or provide information to or for a Federal agency. </w:t>
      </w:r>
      <w:r>
        <w:rPr>
          <w:sz w:val="26"/>
          <w:szCs w:val="26"/>
        </w:rPr>
        <w:t xml:space="preserve"> </w:t>
      </w:r>
      <w:r w:rsidRPr="004C19E9">
        <w:rPr>
          <w:sz w:val="26"/>
          <w:szCs w:val="26"/>
        </w:rPr>
        <w:t xml:space="preserve">For further explanation of what is included in the information collection burden, refer to 5 </w:t>
      </w:r>
      <w:r>
        <w:rPr>
          <w:sz w:val="26"/>
          <w:szCs w:val="26"/>
        </w:rPr>
        <w:t>CF</w:t>
      </w:r>
      <w:r w:rsidR="00610ADD">
        <w:rPr>
          <w:sz w:val="26"/>
          <w:szCs w:val="26"/>
        </w:rPr>
        <w:t>R</w:t>
      </w:r>
      <w:bookmarkStart w:id="3" w:name="_GoBack"/>
      <w:bookmarkEnd w:id="3"/>
      <w:r w:rsidRPr="004C19E9">
        <w:rPr>
          <w:sz w:val="26"/>
          <w:szCs w:val="26"/>
        </w:rPr>
        <w:t xml:space="preserve"> 1320.3.</w:t>
      </w:r>
    </w:p>
  </w:footnote>
  <w:footnote w:id="8">
    <w:p w14:paraId="1A405321" w14:textId="5038879F" w:rsidR="008F3B41" w:rsidRDefault="008F3B41" w:rsidP="007E6091">
      <w:pPr>
        <w:pStyle w:val="FootnoteText"/>
        <w:ind w:firstLine="720"/>
        <w:rPr>
          <w:sz w:val="26"/>
          <w:szCs w:val="26"/>
        </w:rPr>
      </w:pPr>
      <w:r w:rsidRPr="002D305C">
        <w:rPr>
          <w:rStyle w:val="FootnoteReference"/>
        </w:rPr>
        <w:footnoteRef/>
      </w:r>
      <w:r w:rsidRPr="00724CBB">
        <w:rPr>
          <w:sz w:val="26"/>
          <w:szCs w:val="26"/>
        </w:rPr>
        <w:t xml:space="preserve"> The OMB approval is for a maximum of three years.</w:t>
      </w:r>
    </w:p>
    <w:p w14:paraId="23B7AE1D" w14:textId="77777777" w:rsidR="008F3B41" w:rsidRPr="00724CBB" w:rsidRDefault="008F3B41" w:rsidP="007E6091">
      <w:pPr>
        <w:pStyle w:val="FootnoteText"/>
        <w:ind w:firstLine="720"/>
        <w:rPr>
          <w:sz w:val="26"/>
          <w:szCs w:val="26"/>
        </w:rPr>
      </w:pPr>
    </w:p>
  </w:footnote>
  <w:footnote w:id="9">
    <w:p w14:paraId="58EEF423" w14:textId="36661729" w:rsidR="008F3B41" w:rsidRDefault="008F3B41" w:rsidP="007E6091">
      <w:pPr>
        <w:pStyle w:val="FootnoteText"/>
        <w:ind w:firstLine="720"/>
      </w:pPr>
      <w:r w:rsidRPr="002D305C">
        <w:rPr>
          <w:rStyle w:val="FootnoteReference"/>
        </w:rPr>
        <w:footnoteRef/>
      </w:r>
      <w:r w:rsidRPr="00724CBB">
        <w:rPr>
          <w:sz w:val="26"/>
          <w:szCs w:val="26"/>
        </w:rPr>
        <w:t xml:space="preserve"> </w:t>
      </w:r>
      <w:r w:rsidRPr="007E6091">
        <w:rPr>
          <w:i/>
          <w:sz w:val="26"/>
          <w:szCs w:val="26"/>
        </w:rPr>
        <w:t>See</w:t>
      </w:r>
      <w:r w:rsidRPr="00724CBB">
        <w:rPr>
          <w:sz w:val="26"/>
          <w:szCs w:val="26"/>
        </w:rPr>
        <w:t xml:space="preserve"> </w:t>
      </w:r>
      <w:r w:rsidRPr="00724CBB">
        <w:rPr>
          <w:i/>
          <w:sz w:val="26"/>
          <w:szCs w:val="26"/>
        </w:rPr>
        <w:t>generally</w:t>
      </w:r>
      <w:r w:rsidRPr="00724CBB">
        <w:rPr>
          <w:sz w:val="26"/>
          <w:szCs w:val="26"/>
        </w:rPr>
        <w:t xml:space="preserve"> Bureau of Labor Statistics, </w:t>
      </w:r>
      <w:r w:rsidRPr="00797A3B">
        <w:rPr>
          <w:i/>
          <w:sz w:val="26"/>
          <w:szCs w:val="26"/>
        </w:rPr>
        <w:t>Occupational Employment and Wages, May 201</w:t>
      </w:r>
      <w:r>
        <w:rPr>
          <w:i/>
          <w:sz w:val="26"/>
          <w:szCs w:val="26"/>
        </w:rPr>
        <w:t>8</w:t>
      </w:r>
      <w:r w:rsidRPr="00797A3B">
        <w:rPr>
          <w:i/>
          <w:sz w:val="26"/>
          <w:szCs w:val="26"/>
        </w:rPr>
        <w:t xml:space="preserve"> </w:t>
      </w:r>
      <w:r w:rsidRPr="009F7A6B">
        <w:rPr>
          <w:sz w:val="26"/>
          <w:szCs w:val="26"/>
        </w:rPr>
        <w:t xml:space="preserve">(last modified Mar. </w:t>
      </w:r>
      <w:r>
        <w:rPr>
          <w:sz w:val="26"/>
          <w:szCs w:val="26"/>
        </w:rPr>
        <w:t>29</w:t>
      </w:r>
      <w:r w:rsidRPr="009F7A6B">
        <w:rPr>
          <w:sz w:val="26"/>
          <w:szCs w:val="26"/>
        </w:rPr>
        <w:t>, 201</w:t>
      </w:r>
      <w:r>
        <w:rPr>
          <w:sz w:val="26"/>
          <w:szCs w:val="26"/>
        </w:rPr>
        <w:t>9</w:t>
      </w:r>
      <w:r w:rsidRPr="009F7A6B">
        <w:rPr>
          <w:sz w:val="26"/>
          <w:szCs w:val="26"/>
        </w:rPr>
        <w:t>)</w:t>
      </w:r>
      <w:r w:rsidRPr="00724CBB">
        <w:rPr>
          <w:sz w:val="26"/>
          <w:szCs w:val="26"/>
        </w:rPr>
        <w:t xml:space="preserve">, available at:  </w:t>
      </w:r>
      <w:r w:rsidRPr="00797A3B">
        <w:rPr>
          <w:i/>
          <w:sz w:val="26"/>
          <w:szCs w:val="26"/>
        </w:rPr>
        <w:t>Computer Systems Analysts (15-1121)</w:t>
      </w:r>
      <w:r>
        <w:rPr>
          <w:sz w:val="26"/>
          <w:szCs w:val="26"/>
        </w:rPr>
        <w:t>,</w:t>
      </w:r>
      <w:r w:rsidRPr="00724CBB">
        <w:rPr>
          <w:sz w:val="26"/>
          <w:szCs w:val="26"/>
        </w:rPr>
        <w:t xml:space="preserve"> </w:t>
      </w:r>
      <w:hyperlink r:id="rId3" w:history="1">
        <w:r w:rsidRPr="004204D6">
          <w:rPr>
            <w:rStyle w:val="Hyperlink"/>
            <w:sz w:val="26"/>
            <w:szCs w:val="26"/>
          </w:rPr>
          <w:t>https://www.bls.gov/oes/current/oes151121.htm</w:t>
        </w:r>
      </w:hyperlink>
      <w:r w:rsidRPr="00724CBB">
        <w:rPr>
          <w:sz w:val="26"/>
          <w:szCs w:val="26"/>
        </w:rPr>
        <w:t xml:space="preserve">; </w:t>
      </w:r>
      <w:r w:rsidRPr="00797A3B">
        <w:rPr>
          <w:i/>
          <w:sz w:val="26"/>
          <w:szCs w:val="26"/>
        </w:rPr>
        <w:t>Lawyers</w:t>
      </w:r>
      <w:r w:rsidRPr="00724CBB">
        <w:rPr>
          <w:sz w:val="26"/>
          <w:szCs w:val="26"/>
        </w:rPr>
        <w:t xml:space="preserve"> (23-1011)</w:t>
      </w:r>
      <w:r>
        <w:rPr>
          <w:sz w:val="26"/>
          <w:szCs w:val="26"/>
        </w:rPr>
        <w:t>,</w:t>
      </w:r>
      <w:r w:rsidRPr="00724CBB">
        <w:rPr>
          <w:sz w:val="26"/>
          <w:szCs w:val="26"/>
        </w:rPr>
        <w:t xml:space="preserve"> </w:t>
      </w:r>
      <w:hyperlink r:id="rId4" w:history="1">
        <w:r w:rsidRPr="004204D6">
          <w:rPr>
            <w:rStyle w:val="Hyperlink"/>
            <w:sz w:val="26"/>
            <w:szCs w:val="26"/>
          </w:rPr>
          <w:t>https://www.bls.gov/oes/current/oes231011.htm</w:t>
        </w:r>
      </w:hyperlink>
      <w:r w:rsidRPr="00724CBB">
        <w:rPr>
          <w:sz w:val="26"/>
          <w:szCs w:val="26"/>
        </w:rPr>
        <w:t xml:space="preserve">; </w:t>
      </w:r>
      <w:r w:rsidRPr="00797A3B">
        <w:rPr>
          <w:i/>
          <w:sz w:val="26"/>
          <w:szCs w:val="26"/>
        </w:rPr>
        <w:t>Electrical Engineers</w:t>
      </w:r>
      <w:r w:rsidRPr="00724CBB">
        <w:rPr>
          <w:sz w:val="26"/>
          <w:szCs w:val="26"/>
        </w:rPr>
        <w:t xml:space="preserve"> (17-2071)</w:t>
      </w:r>
      <w:r>
        <w:rPr>
          <w:sz w:val="26"/>
          <w:szCs w:val="26"/>
        </w:rPr>
        <w:t>,</w:t>
      </w:r>
      <w:r w:rsidRPr="00724CBB">
        <w:rPr>
          <w:sz w:val="26"/>
          <w:szCs w:val="26"/>
        </w:rPr>
        <w:t xml:space="preserve"> </w:t>
      </w:r>
      <w:hyperlink r:id="rId5" w:history="1">
        <w:r w:rsidRPr="004204D6">
          <w:rPr>
            <w:rStyle w:val="Hyperlink"/>
            <w:sz w:val="26"/>
            <w:szCs w:val="26"/>
          </w:rPr>
          <w:t>https://www.bls.gov/oes/current/oes172071.htm</w:t>
        </w:r>
      </w:hyperlink>
      <w:r w:rsidRPr="00724CBB">
        <w:rPr>
          <w:sz w:val="26"/>
          <w:szCs w:val="26"/>
        </w:rPr>
        <w:t xml:space="preserve">; </w:t>
      </w:r>
      <w:r w:rsidRPr="00797A3B">
        <w:rPr>
          <w:i/>
          <w:sz w:val="26"/>
          <w:szCs w:val="26"/>
        </w:rPr>
        <w:t xml:space="preserve">Economists </w:t>
      </w:r>
      <w:r w:rsidRPr="00724CBB">
        <w:rPr>
          <w:sz w:val="26"/>
          <w:szCs w:val="26"/>
        </w:rPr>
        <w:t>(19-3011)</w:t>
      </w:r>
      <w:r>
        <w:rPr>
          <w:sz w:val="26"/>
          <w:szCs w:val="26"/>
        </w:rPr>
        <w:t>,</w:t>
      </w:r>
      <w:r w:rsidRPr="00724CBB">
        <w:rPr>
          <w:sz w:val="26"/>
          <w:szCs w:val="26"/>
        </w:rPr>
        <w:t xml:space="preserve"> </w:t>
      </w:r>
      <w:hyperlink r:id="rId6" w:history="1">
        <w:r w:rsidRPr="004204D6">
          <w:rPr>
            <w:rStyle w:val="Hyperlink"/>
            <w:sz w:val="26"/>
            <w:szCs w:val="26"/>
          </w:rPr>
          <w:t>https://www.bls.gov/oes/current/oes193011.htm</w:t>
        </w:r>
      </w:hyperlink>
      <w:r>
        <w:rPr>
          <w:sz w:val="26"/>
          <w:szCs w:val="26"/>
        </w:rPr>
        <w:t>;</w:t>
      </w:r>
      <w:r w:rsidRPr="00724CBB">
        <w:rPr>
          <w:sz w:val="26"/>
          <w:szCs w:val="26"/>
        </w:rPr>
        <w:t xml:space="preserve"> </w:t>
      </w:r>
      <w:r w:rsidRPr="00797A3B">
        <w:rPr>
          <w:i/>
          <w:sz w:val="26"/>
          <w:szCs w:val="26"/>
        </w:rPr>
        <w:t>Chief Executives</w:t>
      </w:r>
      <w:r w:rsidRPr="00724CBB">
        <w:rPr>
          <w:sz w:val="26"/>
          <w:szCs w:val="26"/>
        </w:rPr>
        <w:t xml:space="preserve"> (11-1011)</w:t>
      </w:r>
      <w:r>
        <w:rPr>
          <w:sz w:val="26"/>
          <w:szCs w:val="26"/>
        </w:rPr>
        <w:t>,</w:t>
      </w:r>
      <w:r w:rsidRPr="00724CBB">
        <w:rPr>
          <w:sz w:val="26"/>
          <w:szCs w:val="26"/>
        </w:rPr>
        <w:t xml:space="preserve"> </w:t>
      </w:r>
      <w:hyperlink r:id="rId7" w:history="1">
        <w:r w:rsidRPr="004204D6">
          <w:rPr>
            <w:rStyle w:val="Hyperlink"/>
            <w:sz w:val="26"/>
            <w:szCs w:val="26"/>
          </w:rPr>
          <w:t>https://www.bls.gov/oes/current/oes111011.htm</w:t>
        </w:r>
      </w:hyperlink>
      <w:r>
        <w:rPr>
          <w:sz w:val="26"/>
          <w:szCs w:val="26"/>
        </w:rPr>
        <w:t>;</w:t>
      </w:r>
      <w:r w:rsidRPr="00724CBB">
        <w:rPr>
          <w:sz w:val="26"/>
          <w:szCs w:val="26"/>
        </w:rPr>
        <w:t xml:space="preserve"> </w:t>
      </w:r>
      <w:r>
        <w:rPr>
          <w:i/>
          <w:sz w:val="26"/>
          <w:szCs w:val="26"/>
        </w:rPr>
        <w:t>s</w:t>
      </w:r>
      <w:r w:rsidRPr="00797A3B">
        <w:rPr>
          <w:i/>
          <w:sz w:val="26"/>
          <w:szCs w:val="26"/>
        </w:rPr>
        <w:t>ee</w:t>
      </w:r>
      <w:r>
        <w:rPr>
          <w:i/>
          <w:sz w:val="26"/>
          <w:szCs w:val="26"/>
        </w:rPr>
        <w:t xml:space="preserve"> also</w:t>
      </w:r>
      <w:r w:rsidRPr="00724CBB">
        <w:rPr>
          <w:sz w:val="26"/>
          <w:szCs w:val="26"/>
        </w:rPr>
        <w:t xml:space="preserve"> Bureau of Labor Statistics, </w:t>
      </w:r>
      <w:r w:rsidRPr="00724CBB">
        <w:rPr>
          <w:i/>
          <w:sz w:val="26"/>
          <w:szCs w:val="26"/>
        </w:rPr>
        <w:t>Employer Costs for Employee Compensation,</w:t>
      </w:r>
      <w:r w:rsidRPr="00724CBB">
        <w:rPr>
          <w:sz w:val="26"/>
          <w:szCs w:val="26"/>
        </w:rPr>
        <w:t xml:space="preserve"> News Release USDL-1</w:t>
      </w:r>
      <w:r>
        <w:rPr>
          <w:sz w:val="26"/>
          <w:szCs w:val="26"/>
        </w:rPr>
        <w:t>9</w:t>
      </w:r>
      <w:r w:rsidRPr="00724CBB">
        <w:rPr>
          <w:sz w:val="26"/>
          <w:szCs w:val="26"/>
        </w:rPr>
        <w:t>-</w:t>
      </w:r>
      <w:r>
        <w:rPr>
          <w:sz w:val="26"/>
          <w:szCs w:val="26"/>
        </w:rPr>
        <w:t>2195</w:t>
      </w:r>
      <w:r w:rsidRPr="00724CBB">
        <w:rPr>
          <w:sz w:val="26"/>
          <w:szCs w:val="26"/>
        </w:rPr>
        <w:t xml:space="preserve"> (Dec. 1</w:t>
      </w:r>
      <w:r>
        <w:rPr>
          <w:sz w:val="26"/>
          <w:szCs w:val="26"/>
        </w:rPr>
        <w:t>8</w:t>
      </w:r>
      <w:r w:rsidRPr="00724CBB">
        <w:rPr>
          <w:sz w:val="26"/>
          <w:szCs w:val="26"/>
        </w:rPr>
        <w:t>, 201</w:t>
      </w:r>
      <w:r>
        <w:rPr>
          <w:sz w:val="26"/>
          <w:szCs w:val="26"/>
        </w:rPr>
        <w:t>9</w:t>
      </w:r>
      <w:r w:rsidRPr="00724CBB">
        <w:rPr>
          <w:sz w:val="26"/>
          <w:szCs w:val="26"/>
        </w:rPr>
        <w:t xml:space="preserve">), </w:t>
      </w:r>
      <w:hyperlink r:id="rId8" w:history="1">
        <w:r w:rsidRPr="004204D6">
          <w:rPr>
            <w:rStyle w:val="Hyperlink"/>
            <w:sz w:val="26"/>
            <w:szCs w:val="26"/>
          </w:rPr>
          <w:t>https://www.bls.gov/news.release/ecec.nr0.htm</w:t>
        </w:r>
      </w:hyperlink>
      <w:r w:rsidRPr="00724CBB">
        <w:rPr>
          <w:sz w:val="26"/>
          <w:szCs w:val="26"/>
        </w:rPr>
        <w:t xml:space="preserve">.  Those </w:t>
      </w:r>
      <w:r>
        <w:rPr>
          <w:sz w:val="26"/>
          <w:szCs w:val="26"/>
        </w:rPr>
        <w:t xml:space="preserve">estimated average </w:t>
      </w:r>
      <w:r w:rsidRPr="00724CBB">
        <w:rPr>
          <w:sz w:val="26"/>
          <w:szCs w:val="26"/>
        </w:rPr>
        <w:t xml:space="preserve">hourly wages (plus benefits) are: </w:t>
      </w:r>
      <w:r w:rsidR="000B727A">
        <w:rPr>
          <w:sz w:val="26"/>
          <w:szCs w:val="26"/>
        </w:rPr>
        <w:t>$82.42</w:t>
      </w:r>
      <w:r w:rsidRPr="00724CBB">
        <w:rPr>
          <w:sz w:val="26"/>
          <w:szCs w:val="26"/>
        </w:rPr>
        <w:t xml:space="preserve"> for the Metrics Data Collection and Write Performance Analysis categories, and </w:t>
      </w:r>
      <w:r w:rsidR="000B727A">
        <w:rPr>
          <w:sz w:val="26"/>
          <w:szCs w:val="26"/>
        </w:rPr>
        <w:t>$156.99</w:t>
      </w:r>
      <w:r w:rsidRPr="00724CBB">
        <w:rPr>
          <w:sz w:val="26"/>
          <w:szCs w:val="26"/>
        </w:rPr>
        <w:t xml:space="preserve"> for the Management Review component </w:t>
      </w:r>
      <w:r>
        <w:rPr>
          <w:sz w:val="26"/>
          <w:szCs w:val="26"/>
        </w:rPr>
        <w:t>(</w:t>
      </w:r>
      <w:r w:rsidRPr="00724CBB">
        <w:rPr>
          <w:sz w:val="26"/>
          <w:szCs w:val="26"/>
        </w:rPr>
        <w:t>which is solely based on the Chief Executive wage rates</w:t>
      </w:r>
      <w:r>
        <w:rPr>
          <w:sz w:val="26"/>
          <w:szCs w:val="26"/>
        </w:rPr>
        <w:t>)</w:t>
      </w:r>
      <w:r w:rsidRPr="00724CBB">
        <w:rPr>
          <w:sz w:val="26"/>
          <w:szCs w:val="26"/>
        </w:rPr>
        <w:t>.</w:t>
      </w:r>
    </w:p>
  </w:footnote>
  <w:footnote w:id="10">
    <w:p w14:paraId="038BC8A0" w14:textId="15C9C9DC" w:rsidR="008F3B41" w:rsidRPr="00724CBB" w:rsidRDefault="008F3B41" w:rsidP="00797A3B">
      <w:pPr>
        <w:pStyle w:val="FootnoteText"/>
        <w:spacing w:after="240"/>
        <w:ind w:firstLine="720"/>
        <w:rPr>
          <w:sz w:val="26"/>
          <w:szCs w:val="26"/>
        </w:rPr>
      </w:pPr>
      <w:r w:rsidRPr="00726F7E">
        <w:rPr>
          <w:rStyle w:val="FootnoteReference"/>
        </w:rPr>
        <w:footnoteRef/>
      </w:r>
      <w:r w:rsidRPr="00724CBB">
        <w:rPr>
          <w:sz w:val="26"/>
          <w:szCs w:val="26"/>
        </w:rPr>
        <w:t xml:space="preserve"> The estimated hours per response has increased for:  (a) “Metrics Data Collection” component to 271 hours (from 229 hours), and (b) “Management Review” component to 60 hours (from 33 hours).  The estimated hours per response for “Write Performance Analysis” has decreased to 70 hours (from 139 hours).</w:t>
      </w:r>
    </w:p>
  </w:footnote>
  <w:footnote w:id="11">
    <w:p w14:paraId="249C42A5" w14:textId="032F7632" w:rsidR="008F3B41" w:rsidRDefault="008F3B41" w:rsidP="00797A3B">
      <w:pPr>
        <w:pStyle w:val="FootnoteText"/>
        <w:ind w:firstLine="720"/>
      </w:pPr>
      <w:r w:rsidRPr="00726F7E">
        <w:rPr>
          <w:rStyle w:val="FootnoteReference"/>
        </w:rPr>
        <w:footnoteRef/>
      </w:r>
      <w:r w:rsidRPr="00724CBB">
        <w:rPr>
          <w:sz w:val="26"/>
          <w:szCs w:val="26"/>
        </w:rPr>
        <w:t xml:space="preserve"> The fraction for Group 1 and the Potential New Respondents is 0.242 (the seven metrics in </w:t>
      </w:r>
      <w:r>
        <w:rPr>
          <w:sz w:val="26"/>
          <w:szCs w:val="26"/>
        </w:rPr>
        <w:t>Group 1</w:t>
      </w:r>
      <w:r w:rsidRPr="00724CBB">
        <w:rPr>
          <w:sz w:val="26"/>
          <w:szCs w:val="26"/>
        </w:rPr>
        <w:t xml:space="preserve"> divided by the total number of metrics, </w:t>
      </w:r>
      <w:r>
        <w:rPr>
          <w:sz w:val="26"/>
          <w:szCs w:val="26"/>
        </w:rPr>
        <w:t>twenty-nine</w:t>
      </w:r>
      <w:r w:rsidRPr="00724CBB">
        <w:rPr>
          <w:sz w:val="26"/>
          <w:szCs w:val="26"/>
        </w:rPr>
        <w:t>); for Group 2 the fraction is 0.414 (</w:t>
      </w:r>
      <w:r>
        <w:rPr>
          <w:sz w:val="26"/>
          <w:szCs w:val="26"/>
        </w:rPr>
        <w:t>twelve</w:t>
      </w:r>
      <w:r w:rsidRPr="00724CBB">
        <w:rPr>
          <w:sz w:val="26"/>
          <w:szCs w:val="26"/>
        </w:rPr>
        <w:t xml:space="preserve"> divided by </w:t>
      </w:r>
      <w:r>
        <w:rPr>
          <w:sz w:val="26"/>
          <w:szCs w:val="26"/>
        </w:rPr>
        <w:t>twenty-nine</w:t>
      </w:r>
      <w:r w:rsidRPr="00724CBB">
        <w:rPr>
          <w:sz w:val="26"/>
          <w:szCs w:val="26"/>
        </w:rPr>
        <w:t>); for Group 3 the fraction is 0.345 (</w:t>
      </w:r>
      <w:r>
        <w:rPr>
          <w:sz w:val="26"/>
          <w:szCs w:val="26"/>
        </w:rPr>
        <w:t>ten</w:t>
      </w:r>
      <w:r w:rsidRPr="00724CBB">
        <w:rPr>
          <w:sz w:val="26"/>
          <w:szCs w:val="26"/>
        </w:rPr>
        <w:t xml:space="preserve"> divided by </w:t>
      </w:r>
      <w:r>
        <w:rPr>
          <w:sz w:val="26"/>
          <w:szCs w:val="26"/>
        </w:rPr>
        <w:t>twenty-nine</w:t>
      </w:r>
      <w:r w:rsidRPr="00724CBB">
        <w:rPr>
          <w:sz w:val="26"/>
          <w:szCs w:val="26"/>
        </w:rPr>
        <w:t>).</w:t>
      </w:r>
    </w:p>
  </w:footnote>
  <w:footnote w:id="12">
    <w:p w14:paraId="6E21D7B9" w14:textId="7FC5AB30" w:rsidR="008F3B41" w:rsidRPr="00677F4C" w:rsidRDefault="008F3B41" w:rsidP="00797A3B">
      <w:pPr>
        <w:pStyle w:val="FootnoteText"/>
        <w:ind w:firstLine="720"/>
        <w:rPr>
          <w:sz w:val="26"/>
          <w:szCs w:val="26"/>
        </w:rPr>
      </w:pPr>
      <w:r w:rsidRPr="00677F4C">
        <w:rPr>
          <w:rStyle w:val="FootnoteReference"/>
        </w:rPr>
        <w:footnoteRef/>
      </w:r>
      <w:r w:rsidRPr="00677F4C">
        <w:rPr>
          <w:sz w:val="26"/>
          <w:szCs w:val="26"/>
        </w:rPr>
        <w:t xml:space="preserve"> The Competitive Transmission Developers include GridLiance Holdco, LP, LSP Transmission Holdings II, LLC, and BHE U.S. Transmission, LLC.</w:t>
      </w:r>
    </w:p>
  </w:footnote>
  <w:footnote w:id="13">
    <w:p w14:paraId="1E2C7F20" w14:textId="05934D4D" w:rsidR="008F3B41" w:rsidRPr="00A93BDA" w:rsidRDefault="008F3B41" w:rsidP="00797A3B">
      <w:pPr>
        <w:pStyle w:val="FootnoteText"/>
        <w:ind w:firstLine="720"/>
        <w:rPr>
          <w:sz w:val="26"/>
          <w:szCs w:val="26"/>
        </w:rPr>
      </w:pPr>
      <w:r w:rsidRPr="002608C6">
        <w:rPr>
          <w:rStyle w:val="FootnoteReference"/>
        </w:rPr>
        <w:footnoteRef/>
      </w:r>
      <w:r w:rsidRPr="00A93BDA">
        <w:rPr>
          <w:sz w:val="26"/>
          <w:szCs w:val="26"/>
        </w:rPr>
        <w:t xml:space="preserve"> Commission staff notes that individual RTOs/ISOs, non-RTO/ISO utilities, and market monitors may consider developing more granular metrics specific to their markets for their own reporting purposes.  The Common Metrics </w:t>
      </w:r>
      <w:r>
        <w:rPr>
          <w:sz w:val="26"/>
          <w:szCs w:val="26"/>
        </w:rPr>
        <w:t>i</w:t>
      </w:r>
      <w:r w:rsidRPr="00A93BDA">
        <w:rPr>
          <w:sz w:val="26"/>
          <w:szCs w:val="26"/>
        </w:rPr>
        <w:t xml:space="preserve">nformation </w:t>
      </w:r>
      <w:r>
        <w:rPr>
          <w:sz w:val="26"/>
          <w:szCs w:val="26"/>
        </w:rPr>
        <w:t>c</w:t>
      </w:r>
      <w:r w:rsidRPr="00A93BDA">
        <w:rPr>
          <w:sz w:val="26"/>
          <w:szCs w:val="26"/>
        </w:rPr>
        <w:t>ollection is not meant to be a comprehensive information collection for all RTOs/ISOs</w:t>
      </w:r>
      <w:r>
        <w:rPr>
          <w:sz w:val="26"/>
          <w:szCs w:val="26"/>
        </w:rPr>
        <w:t xml:space="preserve"> and non-RTO/ISO utilities</w:t>
      </w:r>
      <w:r w:rsidRPr="00A93BDA">
        <w:rPr>
          <w:sz w:val="26"/>
          <w:szCs w:val="26"/>
        </w:rPr>
        <w:t xml:space="preserve">.  Rather, it is meant to focus on metrics that are “common” and comparable across the different regions.  Staff believes that earlier outreach efforts and extensive internal staff deliberations have resulted in meaningful “common” metrics that meet this objective.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282D3" w14:textId="77777777" w:rsidR="0074313B" w:rsidRDefault="00743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597F" w14:textId="73B9ED8F" w:rsidR="008F3B41" w:rsidRDefault="008F3B41" w:rsidP="009F7A6B">
    <w:pPr>
      <w:pStyle w:val="Header"/>
      <w:tabs>
        <w:tab w:val="left" w:pos="4605"/>
      </w:tabs>
    </w:pPr>
    <w:r>
      <w:t>Docket No. AD19-16-000</w:t>
    </w:r>
    <w:r>
      <w:tab/>
    </w:r>
    <w:r>
      <w:tab/>
    </w:r>
    <w:r>
      <w:tab/>
    </w:r>
    <w:sdt>
      <w:sdtPr>
        <w:id w:val="5259842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77849">
          <w:rPr>
            <w:noProof/>
          </w:rPr>
          <w:t>- 21 -</w:t>
        </w:r>
        <w:r>
          <w:rPr>
            <w:noProof/>
          </w:rPr>
          <w:fldChar w:fldCharType="end"/>
        </w:r>
      </w:sdtContent>
    </w:sdt>
  </w:p>
  <w:p w14:paraId="10170C13" w14:textId="76D2DB34" w:rsidR="008F3B41" w:rsidRDefault="008F3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0A841" w14:textId="77777777" w:rsidR="0074313B" w:rsidRDefault="00743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84ACA"/>
    <w:multiLevelType w:val="hybridMultilevel"/>
    <w:tmpl w:val="297A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604D35F1"/>
    <w:multiLevelType w:val="hybridMultilevel"/>
    <w:tmpl w:val="446A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ED4CD0"/>
    <w:multiLevelType w:val="hybridMultilevel"/>
    <w:tmpl w:val="F980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517F"/>
    <w:rsid w:val="0000594A"/>
    <w:rsid w:val="00006F17"/>
    <w:rsid w:val="00006FF9"/>
    <w:rsid w:val="00010437"/>
    <w:rsid w:val="00010858"/>
    <w:rsid w:val="000122E1"/>
    <w:rsid w:val="00013D3C"/>
    <w:rsid w:val="00023EA9"/>
    <w:rsid w:val="000241AE"/>
    <w:rsid w:val="000459B6"/>
    <w:rsid w:val="00050257"/>
    <w:rsid w:val="00052E12"/>
    <w:rsid w:val="00056C5D"/>
    <w:rsid w:val="00062427"/>
    <w:rsid w:val="00066F32"/>
    <w:rsid w:val="00070441"/>
    <w:rsid w:val="00074263"/>
    <w:rsid w:val="000836D6"/>
    <w:rsid w:val="00083950"/>
    <w:rsid w:val="00085974"/>
    <w:rsid w:val="0009542D"/>
    <w:rsid w:val="00096D11"/>
    <w:rsid w:val="000A0250"/>
    <w:rsid w:val="000A7E68"/>
    <w:rsid w:val="000B0B32"/>
    <w:rsid w:val="000B1079"/>
    <w:rsid w:val="000B48D3"/>
    <w:rsid w:val="000B4FBF"/>
    <w:rsid w:val="000B727A"/>
    <w:rsid w:val="000C2D70"/>
    <w:rsid w:val="000C5E24"/>
    <w:rsid w:val="000D4D21"/>
    <w:rsid w:val="000D538C"/>
    <w:rsid w:val="000E131C"/>
    <w:rsid w:val="000E17FF"/>
    <w:rsid w:val="000E2568"/>
    <w:rsid w:val="000E5219"/>
    <w:rsid w:val="000F410D"/>
    <w:rsid w:val="00100952"/>
    <w:rsid w:val="00100B4D"/>
    <w:rsid w:val="0010214D"/>
    <w:rsid w:val="00116041"/>
    <w:rsid w:val="001249C5"/>
    <w:rsid w:val="00125E05"/>
    <w:rsid w:val="00142584"/>
    <w:rsid w:val="0015045D"/>
    <w:rsid w:val="0015252F"/>
    <w:rsid w:val="001529AA"/>
    <w:rsid w:val="0015578A"/>
    <w:rsid w:val="00156BBB"/>
    <w:rsid w:val="00157595"/>
    <w:rsid w:val="001600DF"/>
    <w:rsid w:val="001652BE"/>
    <w:rsid w:val="00171725"/>
    <w:rsid w:val="001816D1"/>
    <w:rsid w:val="00181BF7"/>
    <w:rsid w:val="001850C3"/>
    <w:rsid w:val="001971D4"/>
    <w:rsid w:val="001A3BAB"/>
    <w:rsid w:val="001A59E3"/>
    <w:rsid w:val="001A6AD6"/>
    <w:rsid w:val="001B009B"/>
    <w:rsid w:val="001B19FF"/>
    <w:rsid w:val="001B6BD6"/>
    <w:rsid w:val="001B78B8"/>
    <w:rsid w:val="001C23B6"/>
    <w:rsid w:val="001D2D4C"/>
    <w:rsid w:val="001E6510"/>
    <w:rsid w:val="002001DE"/>
    <w:rsid w:val="0020405E"/>
    <w:rsid w:val="00204111"/>
    <w:rsid w:val="002232AB"/>
    <w:rsid w:val="00223E67"/>
    <w:rsid w:val="00224BF2"/>
    <w:rsid w:val="0023614D"/>
    <w:rsid w:val="002370A2"/>
    <w:rsid w:val="00237DFA"/>
    <w:rsid w:val="002418D0"/>
    <w:rsid w:val="0025236B"/>
    <w:rsid w:val="0025308F"/>
    <w:rsid w:val="002608C6"/>
    <w:rsid w:val="00265348"/>
    <w:rsid w:val="00270F1B"/>
    <w:rsid w:val="0027452E"/>
    <w:rsid w:val="00277BD0"/>
    <w:rsid w:val="00282132"/>
    <w:rsid w:val="00286EB7"/>
    <w:rsid w:val="00293D56"/>
    <w:rsid w:val="002A3327"/>
    <w:rsid w:val="002B3E08"/>
    <w:rsid w:val="002B7AA8"/>
    <w:rsid w:val="002C1725"/>
    <w:rsid w:val="002C4AAC"/>
    <w:rsid w:val="002D305C"/>
    <w:rsid w:val="002D5237"/>
    <w:rsid w:val="002E0351"/>
    <w:rsid w:val="002E45FF"/>
    <w:rsid w:val="002E618E"/>
    <w:rsid w:val="002F1F96"/>
    <w:rsid w:val="002F24E8"/>
    <w:rsid w:val="002F398E"/>
    <w:rsid w:val="002F5101"/>
    <w:rsid w:val="002F697A"/>
    <w:rsid w:val="0030138E"/>
    <w:rsid w:val="00304734"/>
    <w:rsid w:val="003050EB"/>
    <w:rsid w:val="003060F0"/>
    <w:rsid w:val="00311D90"/>
    <w:rsid w:val="003149BC"/>
    <w:rsid w:val="00333B73"/>
    <w:rsid w:val="00336DDE"/>
    <w:rsid w:val="0034195C"/>
    <w:rsid w:val="00347056"/>
    <w:rsid w:val="00351C97"/>
    <w:rsid w:val="003574C5"/>
    <w:rsid w:val="00361371"/>
    <w:rsid w:val="003629D4"/>
    <w:rsid w:val="00363638"/>
    <w:rsid w:val="00366BB3"/>
    <w:rsid w:val="003673EC"/>
    <w:rsid w:val="00370E9C"/>
    <w:rsid w:val="00375772"/>
    <w:rsid w:val="0037603F"/>
    <w:rsid w:val="00376525"/>
    <w:rsid w:val="00382FAE"/>
    <w:rsid w:val="00383318"/>
    <w:rsid w:val="0038482D"/>
    <w:rsid w:val="003960E0"/>
    <w:rsid w:val="003A09B0"/>
    <w:rsid w:val="003A1327"/>
    <w:rsid w:val="003A1A72"/>
    <w:rsid w:val="003A2CD8"/>
    <w:rsid w:val="003A3189"/>
    <w:rsid w:val="003A7B19"/>
    <w:rsid w:val="003B23A3"/>
    <w:rsid w:val="003B2D14"/>
    <w:rsid w:val="003B4240"/>
    <w:rsid w:val="003B4691"/>
    <w:rsid w:val="003C3E7A"/>
    <w:rsid w:val="003C7BC3"/>
    <w:rsid w:val="003D190A"/>
    <w:rsid w:val="003D2690"/>
    <w:rsid w:val="003E0D13"/>
    <w:rsid w:val="003E0FDD"/>
    <w:rsid w:val="003E44AD"/>
    <w:rsid w:val="00402692"/>
    <w:rsid w:val="0040718A"/>
    <w:rsid w:val="00407E3A"/>
    <w:rsid w:val="00412339"/>
    <w:rsid w:val="00422EB6"/>
    <w:rsid w:val="00443282"/>
    <w:rsid w:val="004433A1"/>
    <w:rsid w:val="00454653"/>
    <w:rsid w:val="00456093"/>
    <w:rsid w:val="004565B0"/>
    <w:rsid w:val="0045734B"/>
    <w:rsid w:val="00462D92"/>
    <w:rsid w:val="0046486A"/>
    <w:rsid w:val="0046745B"/>
    <w:rsid w:val="004710ED"/>
    <w:rsid w:val="004759C4"/>
    <w:rsid w:val="0048228C"/>
    <w:rsid w:val="00485A51"/>
    <w:rsid w:val="00486CBE"/>
    <w:rsid w:val="0049480F"/>
    <w:rsid w:val="004B2046"/>
    <w:rsid w:val="004B46B0"/>
    <w:rsid w:val="004B734D"/>
    <w:rsid w:val="004C19E9"/>
    <w:rsid w:val="004C232C"/>
    <w:rsid w:val="004C2E11"/>
    <w:rsid w:val="004C70C8"/>
    <w:rsid w:val="004C77EF"/>
    <w:rsid w:val="004D25F7"/>
    <w:rsid w:val="004D27A2"/>
    <w:rsid w:val="004D4D87"/>
    <w:rsid w:val="004D61FD"/>
    <w:rsid w:val="004D7AFD"/>
    <w:rsid w:val="004D7C47"/>
    <w:rsid w:val="004F02EE"/>
    <w:rsid w:val="004F26DA"/>
    <w:rsid w:val="004F42F5"/>
    <w:rsid w:val="005005A8"/>
    <w:rsid w:val="00505192"/>
    <w:rsid w:val="00506BF7"/>
    <w:rsid w:val="00511EB6"/>
    <w:rsid w:val="00512363"/>
    <w:rsid w:val="00513DA8"/>
    <w:rsid w:val="0051402B"/>
    <w:rsid w:val="00514B50"/>
    <w:rsid w:val="00514CB6"/>
    <w:rsid w:val="00516493"/>
    <w:rsid w:val="00516515"/>
    <w:rsid w:val="00523184"/>
    <w:rsid w:val="005279C6"/>
    <w:rsid w:val="005307E6"/>
    <w:rsid w:val="00533DBE"/>
    <w:rsid w:val="0054073B"/>
    <w:rsid w:val="00541174"/>
    <w:rsid w:val="0054746C"/>
    <w:rsid w:val="00560439"/>
    <w:rsid w:val="005612EE"/>
    <w:rsid w:val="00563112"/>
    <w:rsid w:val="00564E5A"/>
    <w:rsid w:val="00570AA1"/>
    <w:rsid w:val="005769E8"/>
    <w:rsid w:val="00577811"/>
    <w:rsid w:val="00584102"/>
    <w:rsid w:val="00585F73"/>
    <w:rsid w:val="00595F19"/>
    <w:rsid w:val="005A0148"/>
    <w:rsid w:val="005A2F24"/>
    <w:rsid w:val="005A3F56"/>
    <w:rsid w:val="005A5C89"/>
    <w:rsid w:val="005B4DA4"/>
    <w:rsid w:val="005C6D4E"/>
    <w:rsid w:val="005D16A1"/>
    <w:rsid w:val="005D1F6E"/>
    <w:rsid w:val="005E6D8A"/>
    <w:rsid w:val="005F3DAA"/>
    <w:rsid w:val="005F5312"/>
    <w:rsid w:val="005F726F"/>
    <w:rsid w:val="00603346"/>
    <w:rsid w:val="006058C7"/>
    <w:rsid w:val="00606BC0"/>
    <w:rsid w:val="00610AC1"/>
    <w:rsid w:val="00610ADD"/>
    <w:rsid w:val="006128A5"/>
    <w:rsid w:val="006144F3"/>
    <w:rsid w:val="00623923"/>
    <w:rsid w:val="0062415A"/>
    <w:rsid w:val="00625EFD"/>
    <w:rsid w:val="00634374"/>
    <w:rsid w:val="0063486A"/>
    <w:rsid w:val="00637F43"/>
    <w:rsid w:val="00642602"/>
    <w:rsid w:val="0064377E"/>
    <w:rsid w:val="00644A1B"/>
    <w:rsid w:val="006461AA"/>
    <w:rsid w:val="00650FA1"/>
    <w:rsid w:val="006536D8"/>
    <w:rsid w:val="006538C4"/>
    <w:rsid w:val="00654BA4"/>
    <w:rsid w:val="00655720"/>
    <w:rsid w:val="006561F8"/>
    <w:rsid w:val="00671689"/>
    <w:rsid w:val="00675549"/>
    <w:rsid w:val="00677F4C"/>
    <w:rsid w:val="00680D78"/>
    <w:rsid w:val="00684BC4"/>
    <w:rsid w:val="00690A5B"/>
    <w:rsid w:val="00695E65"/>
    <w:rsid w:val="006963BC"/>
    <w:rsid w:val="006A34AE"/>
    <w:rsid w:val="006A423E"/>
    <w:rsid w:val="006C5B8B"/>
    <w:rsid w:val="006C6B0C"/>
    <w:rsid w:val="006C7227"/>
    <w:rsid w:val="006D3BBA"/>
    <w:rsid w:val="006E10F4"/>
    <w:rsid w:val="006E6D78"/>
    <w:rsid w:val="006E75AA"/>
    <w:rsid w:val="006E7CBB"/>
    <w:rsid w:val="006F201E"/>
    <w:rsid w:val="00711FF0"/>
    <w:rsid w:val="00714869"/>
    <w:rsid w:val="007149F8"/>
    <w:rsid w:val="00714F57"/>
    <w:rsid w:val="007177AF"/>
    <w:rsid w:val="00720262"/>
    <w:rsid w:val="00721F68"/>
    <w:rsid w:val="00724CBB"/>
    <w:rsid w:val="00726F7E"/>
    <w:rsid w:val="00727C5E"/>
    <w:rsid w:val="00741C80"/>
    <w:rsid w:val="0074313B"/>
    <w:rsid w:val="0075009F"/>
    <w:rsid w:val="00757043"/>
    <w:rsid w:val="00771A19"/>
    <w:rsid w:val="00777708"/>
    <w:rsid w:val="00777849"/>
    <w:rsid w:val="00782ACA"/>
    <w:rsid w:val="00782DAB"/>
    <w:rsid w:val="00785F95"/>
    <w:rsid w:val="00790990"/>
    <w:rsid w:val="00792395"/>
    <w:rsid w:val="00795472"/>
    <w:rsid w:val="00797A3B"/>
    <w:rsid w:val="00797FA2"/>
    <w:rsid w:val="007B588C"/>
    <w:rsid w:val="007C1916"/>
    <w:rsid w:val="007C536C"/>
    <w:rsid w:val="007C637B"/>
    <w:rsid w:val="007C6AC2"/>
    <w:rsid w:val="007C729C"/>
    <w:rsid w:val="007D2273"/>
    <w:rsid w:val="007D45A5"/>
    <w:rsid w:val="007D579F"/>
    <w:rsid w:val="007E1656"/>
    <w:rsid w:val="007E169F"/>
    <w:rsid w:val="007E6091"/>
    <w:rsid w:val="007F7698"/>
    <w:rsid w:val="0080181C"/>
    <w:rsid w:val="00803CA2"/>
    <w:rsid w:val="00806C4B"/>
    <w:rsid w:val="00807333"/>
    <w:rsid w:val="00807CAC"/>
    <w:rsid w:val="00810D18"/>
    <w:rsid w:val="008115BF"/>
    <w:rsid w:val="00812B30"/>
    <w:rsid w:val="00813304"/>
    <w:rsid w:val="00817968"/>
    <w:rsid w:val="00824D81"/>
    <w:rsid w:val="00825446"/>
    <w:rsid w:val="008275BF"/>
    <w:rsid w:val="0083196D"/>
    <w:rsid w:val="00835442"/>
    <w:rsid w:val="00836DF9"/>
    <w:rsid w:val="0084145F"/>
    <w:rsid w:val="00841FE4"/>
    <w:rsid w:val="008438B2"/>
    <w:rsid w:val="00853ABC"/>
    <w:rsid w:val="00870585"/>
    <w:rsid w:val="008714C8"/>
    <w:rsid w:val="00872645"/>
    <w:rsid w:val="00876CA8"/>
    <w:rsid w:val="008813F3"/>
    <w:rsid w:val="00881405"/>
    <w:rsid w:val="008816F3"/>
    <w:rsid w:val="008817B3"/>
    <w:rsid w:val="008836C1"/>
    <w:rsid w:val="008837A2"/>
    <w:rsid w:val="0089069F"/>
    <w:rsid w:val="0089122A"/>
    <w:rsid w:val="00895DA2"/>
    <w:rsid w:val="00897359"/>
    <w:rsid w:val="008A020E"/>
    <w:rsid w:val="008A0660"/>
    <w:rsid w:val="008B6E06"/>
    <w:rsid w:val="008C1F45"/>
    <w:rsid w:val="008C572B"/>
    <w:rsid w:val="008D21CD"/>
    <w:rsid w:val="008D25B7"/>
    <w:rsid w:val="008D300A"/>
    <w:rsid w:val="008D4353"/>
    <w:rsid w:val="008D5479"/>
    <w:rsid w:val="008D7A7D"/>
    <w:rsid w:val="008E0DF5"/>
    <w:rsid w:val="008E3273"/>
    <w:rsid w:val="008F3B41"/>
    <w:rsid w:val="008F5D6A"/>
    <w:rsid w:val="00905533"/>
    <w:rsid w:val="00911CB1"/>
    <w:rsid w:val="00914401"/>
    <w:rsid w:val="0091709A"/>
    <w:rsid w:val="009179E9"/>
    <w:rsid w:val="00922533"/>
    <w:rsid w:val="0092786B"/>
    <w:rsid w:val="00931D1D"/>
    <w:rsid w:val="00937284"/>
    <w:rsid w:val="00940C0F"/>
    <w:rsid w:val="0094367F"/>
    <w:rsid w:val="0094599E"/>
    <w:rsid w:val="0095311D"/>
    <w:rsid w:val="00954372"/>
    <w:rsid w:val="00954CCB"/>
    <w:rsid w:val="00954DEF"/>
    <w:rsid w:val="009636C1"/>
    <w:rsid w:val="00972433"/>
    <w:rsid w:val="009744C8"/>
    <w:rsid w:val="009755E3"/>
    <w:rsid w:val="00981886"/>
    <w:rsid w:val="00983EF9"/>
    <w:rsid w:val="00990FEC"/>
    <w:rsid w:val="00992636"/>
    <w:rsid w:val="00995D47"/>
    <w:rsid w:val="009A1244"/>
    <w:rsid w:val="009A1B08"/>
    <w:rsid w:val="009A4796"/>
    <w:rsid w:val="009A51A3"/>
    <w:rsid w:val="009A6E91"/>
    <w:rsid w:val="009B43D4"/>
    <w:rsid w:val="009B4450"/>
    <w:rsid w:val="009B7E58"/>
    <w:rsid w:val="009C25C4"/>
    <w:rsid w:val="009C4A13"/>
    <w:rsid w:val="009D3745"/>
    <w:rsid w:val="009D4DB1"/>
    <w:rsid w:val="009D7BF7"/>
    <w:rsid w:val="009E5557"/>
    <w:rsid w:val="009E66F8"/>
    <w:rsid w:val="009E717E"/>
    <w:rsid w:val="009F142E"/>
    <w:rsid w:val="009F16F8"/>
    <w:rsid w:val="009F4421"/>
    <w:rsid w:val="009F4FC9"/>
    <w:rsid w:val="009F7A6B"/>
    <w:rsid w:val="009F7DE3"/>
    <w:rsid w:val="00A02163"/>
    <w:rsid w:val="00A0285F"/>
    <w:rsid w:val="00A038F9"/>
    <w:rsid w:val="00A10623"/>
    <w:rsid w:val="00A148AB"/>
    <w:rsid w:val="00A1755E"/>
    <w:rsid w:val="00A2003C"/>
    <w:rsid w:val="00A257B0"/>
    <w:rsid w:val="00A2604E"/>
    <w:rsid w:val="00A335DC"/>
    <w:rsid w:val="00A43A4A"/>
    <w:rsid w:val="00A46A85"/>
    <w:rsid w:val="00A507F0"/>
    <w:rsid w:val="00A54EFC"/>
    <w:rsid w:val="00A55F99"/>
    <w:rsid w:val="00A605B1"/>
    <w:rsid w:val="00A64DD6"/>
    <w:rsid w:val="00A66019"/>
    <w:rsid w:val="00A664DF"/>
    <w:rsid w:val="00A713D0"/>
    <w:rsid w:val="00A72814"/>
    <w:rsid w:val="00A759B3"/>
    <w:rsid w:val="00A82A29"/>
    <w:rsid w:val="00A8690F"/>
    <w:rsid w:val="00A86D9E"/>
    <w:rsid w:val="00A93BDA"/>
    <w:rsid w:val="00A93CA1"/>
    <w:rsid w:val="00AA04E5"/>
    <w:rsid w:val="00AA26A3"/>
    <w:rsid w:val="00AA4050"/>
    <w:rsid w:val="00AA516A"/>
    <w:rsid w:val="00AA533A"/>
    <w:rsid w:val="00AA5B0E"/>
    <w:rsid w:val="00AB1499"/>
    <w:rsid w:val="00AB1E8A"/>
    <w:rsid w:val="00AB48BF"/>
    <w:rsid w:val="00AB5435"/>
    <w:rsid w:val="00AC750B"/>
    <w:rsid w:val="00AC77B8"/>
    <w:rsid w:val="00AD1236"/>
    <w:rsid w:val="00AD1FB8"/>
    <w:rsid w:val="00AD4128"/>
    <w:rsid w:val="00AE1F12"/>
    <w:rsid w:val="00AE3A78"/>
    <w:rsid w:val="00AE4155"/>
    <w:rsid w:val="00AE4B7C"/>
    <w:rsid w:val="00AE6503"/>
    <w:rsid w:val="00AF08FC"/>
    <w:rsid w:val="00AF349B"/>
    <w:rsid w:val="00AF4EBB"/>
    <w:rsid w:val="00AF5703"/>
    <w:rsid w:val="00AF6838"/>
    <w:rsid w:val="00B01B16"/>
    <w:rsid w:val="00B1379C"/>
    <w:rsid w:val="00B141B5"/>
    <w:rsid w:val="00B15004"/>
    <w:rsid w:val="00B22DCB"/>
    <w:rsid w:val="00B25EB7"/>
    <w:rsid w:val="00B27BE5"/>
    <w:rsid w:val="00B447D7"/>
    <w:rsid w:val="00B46F03"/>
    <w:rsid w:val="00B5066A"/>
    <w:rsid w:val="00B529E8"/>
    <w:rsid w:val="00B56882"/>
    <w:rsid w:val="00B578E9"/>
    <w:rsid w:val="00B65A09"/>
    <w:rsid w:val="00B76A1F"/>
    <w:rsid w:val="00B82F8C"/>
    <w:rsid w:val="00B93A2E"/>
    <w:rsid w:val="00B95139"/>
    <w:rsid w:val="00BA0FBC"/>
    <w:rsid w:val="00BA5479"/>
    <w:rsid w:val="00BB31EE"/>
    <w:rsid w:val="00BB43DB"/>
    <w:rsid w:val="00BB664A"/>
    <w:rsid w:val="00BB7D82"/>
    <w:rsid w:val="00BC200B"/>
    <w:rsid w:val="00BD2953"/>
    <w:rsid w:val="00BD4525"/>
    <w:rsid w:val="00BD74AE"/>
    <w:rsid w:val="00BE3B3E"/>
    <w:rsid w:val="00BE3FE7"/>
    <w:rsid w:val="00BF29D8"/>
    <w:rsid w:val="00BF2D74"/>
    <w:rsid w:val="00BF38BC"/>
    <w:rsid w:val="00BF4CC8"/>
    <w:rsid w:val="00BF56FC"/>
    <w:rsid w:val="00C04377"/>
    <w:rsid w:val="00C04A08"/>
    <w:rsid w:val="00C1124F"/>
    <w:rsid w:val="00C11ACB"/>
    <w:rsid w:val="00C130CB"/>
    <w:rsid w:val="00C1771A"/>
    <w:rsid w:val="00C24B25"/>
    <w:rsid w:val="00C25066"/>
    <w:rsid w:val="00C30CC8"/>
    <w:rsid w:val="00C31C39"/>
    <w:rsid w:val="00C35B7B"/>
    <w:rsid w:val="00C37BFF"/>
    <w:rsid w:val="00C4022E"/>
    <w:rsid w:val="00C40A2D"/>
    <w:rsid w:val="00C44B1F"/>
    <w:rsid w:val="00C44EF7"/>
    <w:rsid w:val="00C47C34"/>
    <w:rsid w:val="00C51458"/>
    <w:rsid w:val="00C53580"/>
    <w:rsid w:val="00C55838"/>
    <w:rsid w:val="00C55D16"/>
    <w:rsid w:val="00C728C5"/>
    <w:rsid w:val="00C744C7"/>
    <w:rsid w:val="00C77EF7"/>
    <w:rsid w:val="00C81A97"/>
    <w:rsid w:val="00C820F1"/>
    <w:rsid w:val="00C91512"/>
    <w:rsid w:val="00C91A48"/>
    <w:rsid w:val="00C95816"/>
    <w:rsid w:val="00C95E28"/>
    <w:rsid w:val="00CA6636"/>
    <w:rsid w:val="00CA6D76"/>
    <w:rsid w:val="00CA7E8F"/>
    <w:rsid w:val="00CB3269"/>
    <w:rsid w:val="00CC02AB"/>
    <w:rsid w:val="00CD37C7"/>
    <w:rsid w:val="00CD57EB"/>
    <w:rsid w:val="00CD5C97"/>
    <w:rsid w:val="00CD6B85"/>
    <w:rsid w:val="00CD786C"/>
    <w:rsid w:val="00CE3598"/>
    <w:rsid w:val="00CE60A1"/>
    <w:rsid w:val="00CF3E87"/>
    <w:rsid w:val="00CF4753"/>
    <w:rsid w:val="00CF71E0"/>
    <w:rsid w:val="00D0083B"/>
    <w:rsid w:val="00D03AC6"/>
    <w:rsid w:val="00D05E66"/>
    <w:rsid w:val="00D13EC3"/>
    <w:rsid w:val="00D207BB"/>
    <w:rsid w:val="00D2147E"/>
    <w:rsid w:val="00D2508C"/>
    <w:rsid w:val="00D26CFF"/>
    <w:rsid w:val="00D31445"/>
    <w:rsid w:val="00D32EC9"/>
    <w:rsid w:val="00D369B8"/>
    <w:rsid w:val="00D37A52"/>
    <w:rsid w:val="00D40AFF"/>
    <w:rsid w:val="00D42209"/>
    <w:rsid w:val="00D44183"/>
    <w:rsid w:val="00D45A23"/>
    <w:rsid w:val="00D5029C"/>
    <w:rsid w:val="00D50D40"/>
    <w:rsid w:val="00D56B96"/>
    <w:rsid w:val="00D65ED4"/>
    <w:rsid w:val="00D70AFD"/>
    <w:rsid w:val="00D751DE"/>
    <w:rsid w:val="00D81666"/>
    <w:rsid w:val="00D875A3"/>
    <w:rsid w:val="00D93492"/>
    <w:rsid w:val="00D9533A"/>
    <w:rsid w:val="00D9761F"/>
    <w:rsid w:val="00DA3838"/>
    <w:rsid w:val="00DA529F"/>
    <w:rsid w:val="00DB224D"/>
    <w:rsid w:val="00DB2A51"/>
    <w:rsid w:val="00DB4C22"/>
    <w:rsid w:val="00DB6781"/>
    <w:rsid w:val="00DC5017"/>
    <w:rsid w:val="00DD01FF"/>
    <w:rsid w:val="00DD24F0"/>
    <w:rsid w:val="00DD2ED3"/>
    <w:rsid w:val="00DD5337"/>
    <w:rsid w:val="00DD7A98"/>
    <w:rsid w:val="00DD7F1B"/>
    <w:rsid w:val="00DE0B1C"/>
    <w:rsid w:val="00DE157E"/>
    <w:rsid w:val="00DE3034"/>
    <w:rsid w:val="00DE35D7"/>
    <w:rsid w:val="00DE4294"/>
    <w:rsid w:val="00DF594C"/>
    <w:rsid w:val="00DF64D1"/>
    <w:rsid w:val="00E024B6"/>
    <w:rsid w:val="00E13A02"/>
    <w:rsid w:val="00E213D1"/>
    <w:rsid w:val="00E24ED7"/>
    <w:rsid w:val="00E332BA"/>
    <w:rsid w:val="00E34158"/>
    <w:rsid w:val="00E34382"/>
    <w:rsid w:val="00E41122"/>
    <w:rsid w:val="00E41DB9"/>
    <w:rsid w:val="00E52B16"/>
    <w:rsid w:val="00E762BB"/>
    <w:rsid w:val="00E77708"/>
    <w:rsid w:val="00E77B33"/>
    <w:rsid w:val="00E8477A"/>
    <w:rsid w:val="00E8661B"/>
    <w:rsid w:val="00E919D5"/>
    <w:rsid w:val="00E95527"/>
    <w:rsid w:val="00E95B82"/>
    <w:rsid w:val="00EA1BF2"/>
    <w:rsid w:val="00EA689F"/>
    <w:rsid w:val="00EB59B3"/>
    <w:rsid w:val="00EC6E47"/>
    <w:rsid w:val="00EC7407"/>
    <w:rsid w:val="00ED0EAB"/>
    <w:rsid w:val="00ED16D1"/>
    <w:rsid w:val="00ED7ED0"/>
    <w:rsid w:val="00EE6D50"/>
    <w:rsid w:val="00EF20E4"/>
    <w:rsid w:val="00EF2866"/>
    <w:rsid w:val="00EF33BE"/>
    <w:rsid w:val="00EF68C3"/>
    <w:rsid w:val="00F0383C"/>
    <w:rsid w:val="00F05ED0"/>
    <w:rsid w:val="00F05F02"/>
    <w:rsid w:val="00F105D8"/>
    <w:rsid w:val="00F11631"/>
    <w:rsid w:val="00F122DB"/>
    <w:rsid w:val="00F14287"/>
    <w:rsid w:val="00F2404F"/>
    <w:rsid w:val="00F24AB0"/>
    <w:rsid w:val="00F251E4"/>
    <w:rsid w:val="00F309CB"/>
    <w:rsid w:val="00F43250"/>
    <w:rsid w:val="00F44A0E"/>
    <w:rsid w:val="00F51433"/>
    <w:rsid w:val="00F55BC1"/>
    <w:rsid w:val="00F566D4"/>
    <w:rsid w:val="00F6799C"/>
    <w:rsid w:val="00F713DF"/>
    <w:rsid w:val="00F807A5"/>
    <w:rsid w:val="00F851A6"/>
    <w:rsid w:val="00F8646E"/>
    <w:rsid w:val="00F907B0"/>
    <w:rsid w:val="00F91CF9"/>
    <w:rsid w:val="00F9675E"/>
    <w:rsid w:val="00FA1825"/>
    <w:rsid w:val="00FA7FEB"/>
    <w:rsid w:val="00FB3955"/>
    <w:rsid w:val="00FB7FAF"/>
    <w:rsid w:val="00FC3F00"/>
    <w:rsid w:val="00FC638C"/>
    <w:rsid w:val="00FC63F9"/>
    <w:rsid w:val="00FC7E5C"/>
    <w:rsid w:val="00FE4B8E"/>
    <w:rsid w:val="00FE72F2"/>
    <w:rsid w:val="00FF1D71"/>
    <w:rsid w:val="00FF2E56"/>
    <w:rsid w:val="00FF317E"/>
    <w:rsid w:val="00FF45CE"/>
    <w:rsid w:val="00FF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table" w:styleId="TableGrid">
    <w:name w:val="Table Grid"/>
    <w:basedOn w:val="TableNormal"/>
    <w:uiPriority w:val="39"/>
    <w:rsid w:val="009D4DB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2BE"/>
    <w:pPr>
      <w:ind w:left="720"/>
      <w:contextualSpacing/>
    </w:pPr>
  </w:style>
  <w:style w:type="character" w:customStyle="1" w:styleId="UnresolvedMention1">
    <w:name w:val="Unresolved Mention1"/>
    <w:basedOn w:val="DefaultParagraphFont"/>
    <w:uiPriority w:val="99"/>
    <w:semiHidden/>
    <w:unhideWhenUsed/>
    <w:rsid w:val="0099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help/submission-guide.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ferc.gov/docs-filing/efiling.asp" TargetMode="External"/><Relationship Id="rId17" Type="http://schemas.openxmlformats.org/officeDocument/2006/relationships/header" Target="head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ira_submission@omb.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rren.Sheets@FERC.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docs-filing/docs-filing.asp"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news.release/ecec.nr0.htm" TargetMode="External"/><Relationship Id="rId3" Type="http://schemas.openxmlformats.org/officeDocument/2006/relationships/hyperlink" Target="https://www.bls.gov/oes/current/oes151121.htm" TargetMode="External"/><Relationship Id="rId7" Type="http://schemas.openxmlformats.org/officeDocument/2006/relationships/hyperlink" Target="https://www.bls.gov/oes/current/oes111011.htm" TargetMode="External"/><Relationship Id="rId2" Type="http://schemas.openxmlformats.org/officeDocument/2006/relationships/hyperlink" Target="http://www.ferc.gov/industries/electric/indus-act/rto/rto-iso-performance.asp" TargetMode="External"/><Relationship Id="rId1" Type="http://schemas.openxmlformats.org/officeDocument/2006/relationships/hyperlink" Target="https://www.gao.gov/assets/290/281312.pdf" TargetMode="External"/><Relationship Id="rId6" Type="http://schemas.openxmlformats.org/officeDocument/2006/relationships/hyperlink" Target="https://www.bls.gov/oes/current/oes193011.htm" TargetMode="External"/><Relationship Id="rId5" Type="http://schemas.openxmlformats.org/officeDocument/2006/relationships/hyperlink" Target="https://www.bls.gov/oes/current/oes172071.htm" TargetMode="External"/><Relationship Id="rId4" Type="http://schemas.openxmlformats.org/officeDocument/2006/relationships/hyperlink" Target="https://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Data Instrument</Rulemaking_x0020_Document_x0020_Type>
    <_x0033__x002e__x0020_Docket_x0020_Number xmlns="d6eefc7d-9817-4fa6-84d5-3bc009be21b8" xsi:nil="true"/>
    <_x0031__x002e__x0020_Collection_x0020_Number xmlns="d6eefc7d-9817-4fa6-84d5-3bc009be21b8">922</_x0031__x002e__x0020_Collection_x0020_Number>
    <Date xmlns="d6eefc7d-9817-4fa6-84d5-3bc009be21b8">2020-01-24T05:00:00+00:00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AD19-16</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828F33E9-202A-44BF-B265-BF5E30CF653B}"/>
</file>

<file path=customXml/itemProps2.xml><?xml version="1.0" encoding="utf-8"?>
<ds:datastoreItem xmlns:ds="http://schemas.openxmlformats.org/officeDocument/2006/customXml" ds:itemID="{9CB32A14-2279-4552-90AB-9A38894A8EF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936B98E-3DC2-4399-8231-6C3AF275882D}">
  <ds:schemaRefs>
    <ds:schemaRef ds:uri="http://schemas.microsoft.com/sharepoint/v3/contenttype/forms"/>
  </ds:schemaRefs>
</ds:datastoreItem>
</file>

<file path=customXml/itemProps4.xml><?xml version="1.0" encoding="utf-8"?>
<ds:datastoreItem xmlns:ds="http://schemas.openxmlformats.org/officeDocument/2006/customXml" ds:itemID="{EF63CD1C-102A-4FD5-80E5-02A276FC987A}">
  <ds:schemaRefs>
    <ds:schemaRef ds:uri="Microsoft.SharePoint.Taxonomy.ContentTypeSync"/>
  </ds:schemaRefs>
</ds:datastoreItem>
</file>

<file path=customXml/itemProps5.xml><?xml version="1.0" encoding="utf-8"?>
<ds:datastoreItem xmlns:ds="http://schemas.openxmlformats.org/officeDocument/2006/customXml" ds:itemID="{C3801526-815A-429F-87F3-F311B23A7FDA}"/>
</file>

<file path=docProps/app.xml><?xml version="1.0" encoding="utf-8"?>
<ap:Properties xmlns:vt="http://schemas.openxmlformats.org/officeDocument/2006/docPropsVTypes" xmlns:ap="http://schemas.openxmlformats.org/officeDocument/2006/extended-properties">
  <ap:TotalTime>0</ap:TotalTime>
  <ap:Pages>25</ap:Pages>
  <ap:Words>4635</ap:Words>
  <ap:Characters>26421</ap:Characters>
  <ap:Application>Microsoft Office Word</ap:Application>
  <ap:DocSecurity>0</ap:DocSecurity>
  <ap:Lines>220</ap:Lines>
  <ap:Paragraphs>61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30995</ap:CharactersWithSpaces>
  <ap:SharedDoc>false</ap:SharedDoc>
  <ap:HyperlinksChanged>false</ap:HyperlinksChanged>
  <ap:AppVersion>16.0000</ap:AppVersion>
  <ap:Manager/>
  <ap:Company/>
  <ap:HyperlinkBase/>
  <ap:Templ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
  <dcterms:created xsi:type="dcterms:W3CDTF">2020-01-24T18:34:00Z</dcterms:created>
  <dcterms:modified xsi:type="dcterms:W3CDTF">2020-01-24T19:01:00Z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