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364" w:rsidRDefault="005D1369" w14:paraId="02C70537" w14:textId="77777777">
      <w:pPr>
        <w:jc w:val="center"/>
        <w:rPr>
          <w:b/>
          <w:bCs/>
          <w:sz w:val="26"/>
          <w:szCs w:val="26"/>
        </w:rPr>
      </w:pPr>
      <w:r>
        <w:rPr>
          <w:bCs/>
          <w:sz w:val="26"/>
          <w:szCs w:val="26"/>
        </w:rPr>
        <w:t>Supporting Statement</w:t>
      </w:r>
    </w:p>
    <w:p w:rsidR="00074364" w:rsidRDefault="005D1369" w14:paraId="281FBF50" w14:textId="77777777">
      <w:pPr>
        <w:jc w:val="center"/>
        <w:rPr>
          <w:b/>
          <w:bCs/>
          <w:sz w:val="26"/>
          <w:szCs w:val="26"/>
        </w:rPr>
      </w:pPr>
      <w:r>
        <w:rPr>
          <w:b/>
          <w:bCs/>
          <w:sz w:val="26"/>
          <w:szCs w:val="26"/>
        </w:rPr>
        <w:t xml:space="preserve">FERC Form 549D: </w:t>
      </w:r>
      <w:r>
        <w:rPr>
          <w:b/>
          <w:sz w:val="26"/>
          <w:szCs w:val="26"/>
        </w:rPr>
        <w:t>Quarterly Transportation and Storage Report for Intrastate Natural Gas and Hinshaw Pipelines</w:t>
      </w:r>
    </w:p>
    <w:p w:rsidR="00074364" w:rsidRDefault="00074364" w14:paraId="64FB199C" w14:textId="77777777">
      <w:pPr>
        <w:rPr>
          <w:bCs/>
          <w:sz w:val="26"/>
          <w:szCs w:val="26"/>
          <w:u w:val="single"/>
        </w:rPr>
      </w:pPr>
      <w:bookmarkStart w:name="_GoBack" w:id="0"/>
      <w:bookmarkEnd w:id="0"/>
    </w:p>
    <w:p w:rsidR="00074364" w:rsidRDefault="005D1369" w14:paraId="10125356" w14:textId="77777777">
      <w:pPr>
        <w:rPr>
          <w:sz w:val="26"/>
          <w:szCs w:val="26"/>
        </w:rPr>
      </w:pPr>
      <w:r>
        <w:rPr>
          <w:sz w:val="26"/>
          <w:szCs w:val="26"/>
        </w:rPr>
        <w:t>The Federal Energy Regulatory Commission (FERC or Commission) requests that the Office of Management and Budget (OMB) review and approve the FERC Form No. 549D (Quarterly Transportation and Storage Report for Intrastate Natural Gas and Hinshaw Pipelines) for a three year period under OMB Control Number 1902-0253.  FERC-549D is an existing data collection.</w:t>
      </w:r>
    </w:p>
    <w:p w:rsidR="00074364" w:rsidRDefault="00074364" w14:paraId="2A13BFAB" w14:textId="77777777">
      <w:pPr>
        <w:tabs>
          <w:tab w:val="left" w:pos="-1440"/>
        </w:tabs>
        <w:ind w:left="720" w:hanging="720"/>
        <w:rPr>
          <w:b/>
          <w:bCs/>
          <w:sz w:val="26"/>
          <w:szCs w:val="26"/>
        </w:rPr>
      </w:pPr>
    </w:p>
    <w:p w:rsidR="00074364" w:rsidRDefault="005D1369" w14:paraId="52ACCA27" w14:textId="77777777">
      <w:pPr>
        <w:tabs>
          <w:tab w:val="left" w:pos="-1440"/>
        </w:tabs>
        <w:ind w:left="720" w:hanging="720"/>
        <w:rPr>
          <w:b/>
          <w:bCs/>
          <w:sz w:val="26"/>
          <w:szCs w:val="26"/>
        </w:rPr>
      </w:pPr>
      <w:r>
        <w:rPr>
          <w:b/>
          <w:bCs/>
          <w:sz w:val="26"/>
          <w:szCs w:val="26"/>
        </w:rPr>
        <w:t>1.</w:t>
      </w:r>
      <w:r>
        <w:rPr>
          <w:b/>
          <w:bCs/>
          <w:sz w:val="26"/>
          <w:szCs w:val="26"/>
        </w:rPr>
        <w:tab/>
        <w:t>CIRCUMSTANCES THAT MAKE THE COLLECTION OF INFORMATION NECESSARY</w:t>
      </w:r>
    </w:p>
    <w:p w:rsidR="00074364" w:rsidRDefault="00074364" w14:paraId="49D41B80" w14:textId="77777777">
      <w:pPr>
        <w:rPr>
          <w:sz w:val="26"/>
          <w:szCs w:val="26"/>
        </w:rPr>
      </w:pPr>
    </w:p>
    <w:p w:rsidR="00074364" w:rsidRDefault="005D1369" w14:paraId="692FD577" w14:textId="77777777">
      <w:pPr>
        <w:rPr>
          <w:sz w:val="26"/>
          <w:szCs w:val="26"/>
        </w:rPr>
      </w:pPr>
      <w:r>
        <w:rPr>
          <w:sz w:val="26"/>
          <w:szCs w:val="26"/>
        </w:rPr>
        <w:t>The reporting requirements under FERC Form No. 549D</w:t>
      </w:r>
      <w:r>
        <w:rPr>
          <w:rStyle w:val="FootnoteReference"/>
          <w:sz w:val="26"/>
          <w:szCs w:val="26"/>
          <w:vertAlign w:val="superscript"/>
        </w:rPr>
        <w:footnoteReference w:id="1"/>
      </w:r>
      <w:r>
        <w:rPr>
          <w:sz w:val="26"/>
          <w:szCs w:val="26"/>
          <w:vertAlign w:val="superscript"/>
        </w:rPr>
        <w:t xml:space="preserve"> </w:t>
      </w:r>
      <w:r>
        <w:rPr>
          <w:sz w:val="26"/>
          <w:szCs w:val="26"/>
        </w:rPr>
        <w:t>set forth the Commission's policies in accordance with the general authority in Section 1(c) of the Natural Gas Act (NGA)</w:t>
      </w:r>
      <w:r>
        <w:rPr>
          <w:rStyle w:val="FootnoteReference"/>
          <w:sz w:val="26"/>
          <w:szCs w:val="26"/>
          <w:vertAlign w:val="superscript"/>
        </w:rPr>
        <w:footnoteReference w:id="2"/>
      </w:r>
      <w:r>
        <w:rPr>
          <w:sz w:val="26"/>
          <w:szCs w:val="26"/>
        </w:rPr>
        <w:t>, and Section 311 of the Natural Gas Policy Act of 1978 (NGPA)</w:t>
      </w:r>
      <w:r>
        <w:rPr>
          <w:rStyle w:val="FootnoteReference"/>
          <w:sz w:val="26"/>
          <w:szCs w:val="26"/>
          <w:vertAlign w:val="superscript"/>
        </w:rPr>
        <w:t xml:space="preserve"> </w:t>
      </w:r>
      <w:r>
        <w:rPr>
          <w:rStyle w:val="FootnoteReference"/>
          <w:sz w:val="26"/>
          <w:szCs w:val="26"/>
          <w:vertAlign w:val="superscript"/>
        </w:rPr>
        <w:footnoteReference w:id="3"/>
      </w:r>
    </w:p>
    <w:p w:rsidR="00074364" w:rsidRDefault="00074364" w14:paraId="6B1D1982" w14:textId="77777777">
      <w:pPr>
        <w:rPr>
          <w:sz w:val="26"/>
          <w:szCs w:val="26"/>
        </w:rPr>
      </w:pPr>
    </w:p>
    <w:p w:rsidR="0064682A" w:rsidRDefault="005D1369" w14:paraId="566883EA" w14:textId="4C37612E">
      <w:pPr>
        <w:rPr>
          <w:sz w:val="26"/>
          <w:szCs w:val="26"/>
        </w:rPr>
      </w:pPr>
      <w:r>
        <w:rPr>
          <w:sz w:val="26"/>
          <w:szCs w:val="26"/>
        </w:rPr>
        <w:t>Subpart C of the Commission’s open access regulations</w:t>
      </w:r>
      <w:r>
        <w:rPr>
          <w:rStyle w:val="FootnoteReference"/>
          <w:sz w:val="26"/>
          <w:szCs w:val="26"/>
          <w:vertAlign w:val="superscript"/>
        </w:rPr>
        <w:footnoteReference w:id="4"/>
      </w:r>
      <w:r>
        <w:rPr>
          <w:sz w:val="26"/>
          <w:szCs w:val="26"/>
          <w:vertAlign w:val="superscript"/>
        </w:rPr>
        <w:t xml:space="preserve"> </w:t>
      </w:r>
      <w:r>
        <w:rPr>
          <w:sz w:val="26"/>
          <w:szCs w:val="26"/>
        </w:rPr>
        <w:t>implements the provisions of NGPA</w:t>
      </w:r>
      <w:r>
        <w:rPr>
          <w:rStyle w:val="FootnoteReference"/>
          <w:sz w:val="26"/>
          <w:szCs w:val="26"/>
          <w:vertAlign w:val="superscript"/>
        </w:rPr>
        <w:t xml:space="preserve"> </w:t>
      </w:r>
      <w:r>
        <w:rPr>
          <w:sz w:val="26"/>
          <w:szCs w:val="26"/>
        </w:rPr>
        <w:t xml:space="preserve"> Section 311 concerning transportation by intrastate pipelines.  18 CFR Section 284.224 provides for the issuance of blanket certificates to Hinshaw pipelines to provide open access transportation service to the same extent and in the same manner as intrastate pipelines are authorized to perform such service by Subpart C.  Further, the Commission finds that certain types of additional information should be published in order to enable shippers, other market participants and for the Commission to determine the extent to which particular transactions are comparable to one another (a prerequisite for determining the rights of similarly situated shippers and for detecting undue discrimination).  The Commission has not imposed on intrastate pipelines all of the Part 284 requirements imposed on interstate pipelines</w:t>
      </w:r>
      <w:r>
        <w:rPr>
          <w:sz w:val="26"/>
          <w:szCs w:val="26"/>
          <w:vertAlign w:val="superscript"/>
        </w:rPr>
        <w:footnoteReference w:id="5"/>
      </w:r>
      <w:r>
        <w:rPr>
          <w:sz w:val="26"/>
          <w:szCs w:val="26"/>
        </w:rPr>
        <w:t xml:space="preserve"> to remain consistent with the NGPA’s goal of encouraging intrastate pipelines to provide interstate service.</w:t>
      </w:r>
    </w:p>
    <w:p w:rsidR="0064682A" w:rsidRDefault="0064682A" w14:paraId="0397F329" w14:textId="77777777">
      <w:pPr>
        <w:widowControl/>
        <w:autoSpaceDE/>
        <w:autoSpaceDN/>
        <w:adjustRightInd/>
        <w:rPr>
          <w:sz w:val="26"/>
          <w:szCs w:val="26"/>
        </w:rPr>
      </w:pPr>
      <w:r>
        <w:rPr>
          <w:sz w:val="26"/>
          <w:szCs w:val="26"/>
        </w:rPr>
        <w:br w:type="page"/>
      </w:r>
    </w:p>
    <w:p w:rsidR="00074364" w:rsidRDefault="005D1369" w14:paraId="58B21580" w14:textId="77777777">
      <w:pPr>
        <w:rPr>
          <w:sz w:val="26"/>
          <w:szCs w:val="26"/>
        </w:rPr>
      </w:pPr>
      <w:r>
        <w:rPr>
          <w:sz w:val="26"/>
          <w:szCs w:val="26"/>
        </w:rPr>
        <w:lastRenderedPageBreak/>
        <w:t>The requirement of Section 311 intrastate and Hinshaw pipelines to report this additional information concerning each transaction makes the reporting requirements for those pipelines more comparable to the transactional posting requirements for interstate pipelines.  Section 284.13(b)(1) requires interstate pipelines to post similar information concerning contract rates, duration, receipt and delivery points, entitlements to service, and affiliate relationships.</w:t>
      </w:r>
      <w:r>
        <w:rPr>
          <w:sz w:val="26"/>
          <w:szCs w:val="26"/>
          <w:vertAlign w:val="superscript"/>
        </w:rPr>
        <w:footnoteReference w:id="6"/>
      </w:r>
      <w:r>
        <w:rPr>
          <w:sz w:val="26"/>
          <w:szCs w:val="26"/>
        </w:rPr>
        <w:t xml:space="preserve">  Most of the remaining information which Section 284.13(b) requires interstate pipelines to post is not required of Section 311 or Hinshaw pipelines to report. </w:t>
      </w:r>
    </w:p>
    <w:p w:rsidR="00074364" w:rsidRDefault="00074364" w14:paraId="42EFABE4" w14:textId="77777777">
      <w:pPr>
        <w:rPr>
          <w:sz w:val="26"/>
          <w:szCs w:val="26"/>
        </w:rPr>
      </w:pPr>
    </w:p>
    <w:p w:rsidR="00074364" w:rsidRDefault="005D1369" w14:paraId="7FA212E1" w14:textId="77777777">
      <w:pPr>
        <w:tabs>
          <w:tab w:val="left" w:pos="-1440"/>
        </w:tabs>
        <w:ind w:left="720" w:hanging="720"/>
        <w:rPr>
          <w:b/>
          <w:bCs/>
          <w:sz w:val="26"/>
          <w:szCs w:val="26"/>
        </w:rPr>
      </w:pPr>
      <w:r>
        <w:rPr>
          <w:b/>
          <w:bCs/>
          <w:sz w:val="26"/>
          <w:szCs w:val="26"/>
        </w:rPr>
        <w:t>2.</w:t>
      </w:r>
      <w:r>
        <w:rPr>
          <w:b/>
          <w:bCs/>
          <w:sz w:val="26"/>
          <w:szCs w:val="26"/>
        </w:rPr>
        <w:tab/>
        <w:t>HOW, BY WHOM, AND FOR WHAT PURPOSE THE INFORMATION IS TO BE USED AND THE CONSEQUENCES OF NOT COLLECTING THE INFORMATION</w:t>
      </w:r>
    </w:p>
    <w:p w:rsidR="00074364" w:rsidRDefault="00074364" w14:paraId="07BB45C4" w14:textId="77777777">
      <w:pPr>
        <w:rPr>
          <w:bCs/>
          <w:sz w:val="26"/>
          <w:szCs w:val="26"/>
        </w:rPr>
      </w:pPr>
    </w:p>
    <w:p w:rsidR="00074364" w:rsidRDefault="005D1369" w14:paraId="367025C7" w14:textId="77777777">
      <w:pPr>
        <w:rPr>
          <w:sz w:val="26"/>
          <w:szCs w:val="26"/>
        </w:rPr>
      </w:pPr>
      <w:r>
        <w:rPr>
          <w:sz w:val="26"/>
          <w:szCs w:val="26"/>
        </w:rPr>
        <w:t>This collection promotes transparency by collecting and making available intrastate and Hinshaw pipeline transactional information.  The Commission collects the data upon a standardized form with all requirements outlined in 18 CFR 284.126.</w:t>
      </w:r>
    </w:p>
    <w:p w:rsidR="00074364" w:rsidRDefault="005D1369" w14:paraId="07661844" w14:textId="77777777">
      <w:pPr>
        <w:rPr>
          <w:sz w:val="26"/>
          <w:szCs w:val="26"/>
        </w:rPr>
      </w:pPr>
      <w:r>
        <w:rPr>
          <w:sz w:val="26"/>
          <w:szCs w:val="26"/>
        </w:rPr>
        <w:tab/>
      </w:r>
    </w:p>
    <w:p w:rsidR="00074364" w:rsidRDefault="005D1369" w14:paraId="72BD9B6D" w14:textId="77777777">
      <w:pPr>
        <w:rPr>
          <w:sz w:val="26"/>
          <w:szCs w:val="26"/>
        </w:rPr>
      </w:pPr>
      <w:r>
        <w:rPr>
          <w:sz w:val="26"/>
          <w:szCs w:val="26"/>
        </w:rPr>
        <w:t>The FERC Form No. 549D collects the following information:</w:t>
      </w:r>
    </w:p>
    <w:p w:rsidR="00074364" w:rsidRDefault="005D1369" w14:paraId="6F00A3AC" w14:textId="77777777">
      <w:pPr>
        <w:numPr>
          <w:ilvl w:val="0"/>
          <w:numId w:val="31"/>
        </w:numPr>
        <w:rPr>
          <w:sz w:val="26"/>
          <w:szCs w:val="26"/>
        </w:rPr>
      </w:pPr>
      <w:r>
        <w:rPr>
          <w:sz w:val="26"/>
          <w:szCs w:val="26"/>
        </w:rPr>
        <w:t>Full legal name and identification number of the shipper receiving service;</w:t>
      </w:r>
    </w:p>
    <w:p w:rsidR="00074364" w:rsidRDefault="005D1369" w14:paraId="06940017" w14:textId="77777777">
      <w:pPr>
        <w:numPr>
          <w:ilvl w:val="0"/>
          <w:numId w:val="31"/>
        </w:numPr>
        <w:rPr>
          <w:sz w:val="26"/>
          <w:szCs w:val="26"/>
        </w:rPr>
      </w:pPr>
      <w:r>
        <w:rPr>
          <w:sz w:val="26"/>
          <w:szCs w:val="26"/>
        </w:rPr>
        <w:t>Type of service performed for each transaction;</w:t>
      </w:r>
    </w:p>
    <w:p w:rsidR="00074364" w:rsidRDefault="005D1369" w14:paraId="76D4168B" w14:textId="77777777">
      <w:pPr>
        <w:numPr>
          <w:ilvl w:val="0"/>
          <w:numId w:val="31"/>
        </w:numPr>
        <w:rPr>
          <w:sz w:val="26"/>
          <w:szCs w:val="26"/>
        </w:rPr>
      </w:pPr>
      <w:r>
        <w:rPr>
          <w:sz w:val="26"/>
          <w:szCs w:val="26"/>
        </w:rPr>
        <w:t>The rate charged under each transaction;</w:t>
      </w:r>
    </w:p>
    <w:p w:rsidR="00074364" w:rsidRDefault="005D1369" w14:paraId="4171C86F" w14:textId="77777777">
      <w:pPr>
        <w:numPr>
          <w:ilvl w:val="0"/>
          <w:numId w:val="31"/>
        </w:numPr>
        <w:rPr>
          <w:sz w:val="26"/>
          <w:szCs w:val="26"/>
        </w:rPr>
      </w:pPr>
      <w:r>
        <w:rPr>
          <w:sz w:val="26"/>
          <w:szCs w:val="26"/>
        </w:rPr>
        <w:t>The primary receipt and delivery points for the transaction, specifying the rate schedule/name of service and docket were approved;</w:t>
      </w:r>
    </w:p>
    <w:p w:rsidR="00074364" w:rsidRDefault="005D1369" w14:paraId="45232091" w14:textId="77777777">
      <w:pPr>
        <w:numPr>
          <w:ilvl w:val="0"/>
          <w:numId w:val="31"/>
        </w:numPr>
        <w:rPr>
          <w:sz w:val="26"/>
          <w:szCs w:val="26"/>
        </w:rPr>
      </w:pPr>
      <w:r>
        <w:rPr>
          <w:sz w:val="26"/>
          <w:szCs w:val="26"/>
        </w:rPr>
        <w:t>The quantity of natural gas the shipper is entitled to transport, store, and deliver for each transaction;</w:t>
      </w:r>
    </w:p>
    <w:p w:rsidR="00074364" w:rsidRDefault="005D1369" w14:paraId="6FA53722" w14:textId="77777777">
      <w:pPr>
        <w:numPr>
          <w:ilvl w:val="0"/>
          <w:numId w:val="31"/>
        </w:numPr>
        <w:rPr>
          <w:sz w:val="26"/>
          <w:szCs w:val="26"/>
        </w:rPr>
      </w:pPr>
      <w:r>
        <w:rPr>
          <w:sz w:val="26"/>
          <w:szCs w:val="26"/>
        </w:rPr>
        <w:t>The term of the transaction, specifying the beginning and ending month and year of current agreement;</w:t>
      </w:r>
    </w:p>
    <w:p w:rsidR="00074364" w:rsidRDefault="005D1369" w14:paraId="3041191A" w14:textId="77777777">
      <w:pPr>
        <w:numPr>
          <w:ilvl w:val="0"/>
          <w:numId w:val="31"/>
        </w:numPr>
        <w:rPr>
          <w:sz w:val="26"/>
          <w:szCs w:val="26"/>
        </w:rPr>
      </w:pPr>
      <w:r>
        <w:rPr>
          <w:sz w:val="26"/>
          <w:szCs w:val="26"/>
        </w:rPr>
        <w:t>Total volumes transported, stored, injected or withdrawn for the shipper; and</w:t>
      </w:r>
    </w:p>
    <w:p w:rsidR="00074364" w:rsidRDefault="005D1369" w14:paraId="4C6CB6C3" w14:textId="77777777">
      <w:pPr>
        <w:numPr>
          <w:ilvl w:val="0"/>
          <w:numId w:val="31"/>
        </w:numPr>
        <w:rPr>
          <w:sz w:val="26"/>
          <w:szCs w:val="26"/>
        </w:rPr>
      </w:pPr>
      <w:r>
        <w:rPr>
          <w:sz w:val="26"/>
          <w:szCs w:val="26"/>
        </w:rPr>
        <w:t>Annual revenues received for each shipper excluding revenues from storage services.</w:t>
      </w:r>
    </w:p>
    <w:p w:rsidR="00074364" w:rsidRDefault="00074364" w14:paraId="01AC3926" w14:textId="77777777">
      <w:pPr>
        <w:rPr>
          <w:sz w:val="26"/>
          <w:szCs w:val="26"/>
        </w:rPr>
      </w:pPr>
    </w:p>
    <w:p w:rsidR="00074364" w:rsidRDefault="005D1369" w14:paraId="47192645" w14:textId="77777777">
      <w:pPr>
        <w:rPr>
          <w:sz w:val="26"/>
          <w:szCs w:val="26"/>
        </w:rPr>
      </w:pPr>
      <w:r>
        <w:rPr>
          <w:sz w:val="26"/>
          <w:szCs w:val="26"/>
        </w:rPr>
        <w:t xml:space="preserve">Filers submit Form No. 549D on a quarterly basis. The implementation of these data requirements will help the Commission to carry out its responsibilities under both the NGA and the NGPA to monitor the activities and evaluate transactions of the natural gas industry to ensure competitiveness and to assure the improved efficiency of the industry's operations.  The Commission's Office of Energy Market Regulation, Office of Enforcement, and the Office of the General Counsel will use the data in rate proceedings to review rate and tariff changes by natural gas companies for the transportation of gas, </w:t>
      </w:r>
      <w:r>
        <w:rPr>
          <w:sz w:val="26"/>
          <w:szCs w:val="26"/>
        </w:rPr>
        <w:lastRenderedPageBreak/>
        <w:t>for general industry oversight, and to supplement the documentation used during the Commission's audit process.</w:t>
      </w:r>
    </w:p>
    <w:p w:rsidR="00074364" w:rsidRDefault="00074364" w14:paraId="2ADDF924" w14:textId="77777777">
      <w:pPr>
        <w:rPr>
          <w:sz w:val="26"/>
          <w:szCs w:val="26"/>
        </w:rPr>
      </w:pPr>
    </w:p>
    <w:p w:rsidR="00074364" w:rsidRDefault="005D1369" w14:paraId="20AB9CEB" w14:textId="77777777">
      <w:pPr>
        <w:rPr>
          <w:sz w:val="26"/>
          <w:szCs w:val="26"/>
        </w:rPr>
      </w:pPr>
      <w:r>
        <w:rPr>
          <w:sz w:val="26"/>
          <w:szCs w:val="26"/>
        </w:rPr>
        <w:t>The Commission would be unable to monitor and evaluate transactions and operations of interstate pipelines and perform its regulatory functions without collecting these data.</w:t>
      </w:r>
    </w:p>
    <w:p w:rsidR="00074364" w:rsidRDefault="00074364" w14:paraId="72AF97BE" w14:textId="77777777">
      <w:pPr>
        <w:rPr>
          <w:sz w:val="26"/>
          <w:szCs w:val="26"/>
        </w:rPr>
      </w:pPr>
    </w:p>
    <w:p w:rsidR="00074364" w:rsidRDefault="005D1369" w14:paraId="555D52F3" w14:textId="77777777">
      <w:pPr>
        <w:tabs>
          <w:tab w:val="left" w:pos="-1440"/>
        </w:tabs>
        <w:ind w:left="720" w:hanging="720"/>
        <w:rPr>
          <w:b/>
          <w:bCs/>
          <w:sz w:val="26"/>
          <w:szCs w:val="26"/>
        </w:rPr>
      </w:pPr>
      <w:r>
        <w:rPr>
          <w:b/>
          <w:bCs/>
          <w:sz w:val="26"/>
          <w:szCs w:val="26"/>
        </w:rPr>
        <w:t>3.</w:t>
      </w:r>
      <w:r>
        <w:rPr>
          <w:b/>
          <w:bCs/>
          <w:sz w:val="26"/>
          <w:szCs w:val="26"/>
        </w:rPr>
        <w:tab/>
        <w:t>DESCRIBE ANY CONSIDERATION OF THE USE OF IMPROVED INFORMATION TECHNOLOGY TO REDUCE BURDEN AND TECHNICAL OR LEGAL OBSTACLES TO REDUCING BURDEN</w:t>
      </w:r>
    </w:p>
    <w:p w:rsidR="00074364" w:rsidRDefault="00074364" w14:paraId="78442916" w14:textId="77777777">
      <w:pPr>
        <w:widowControl/>
        <w:rPr>
          <w:sz w:val="26"/>
          <w:szCs w:val="26"/>
        </w:rPr>
      </w:pPr>
    </w:p>
    <w:p w:rsidR="00074364" w:rsidRDefault="005D1369" w14:paraId="69E93803" w14:textId="77777777">
      <w:pPr>
        <w:rPr>
          <w:sz w:val="26"/>
          <w:szCs w:val="26"/>
        </w:rPr>
      </w:pPr>
      <w:r>
        <w:rPr>
          <w:sz w:val="26"/>
          <w:szCs w:val="26"/>
        </w:rPr>
        <w:t xml:space="preserve">There is an ongoing effort to increase the use of improved information technology in order to reduce the compliance burden.  The FERC No. 549D may be filed electronically through FERC’s eFiling system.  </w:t>
      </w:r>
    </w:p>
    <w:p w:rsidR="00074364" w:rsidRDefault="00074364" w14:paraId="3316B138" w14:textId="77777777">
      <w:pPr>
        <w:rPr>
          <w:sz w:val="26"/>
          <w:szCs w:val="26"/>
        </w:rPr>
      </w:pPr>
    </w:p>
    <w:p w:rsidR="00074364" w:rsidRDefault="005D1369" w14:paraId="08997AED" w14:textId="77777777">
      <w:pPr>
        <w:rPr>
          <w:sz w:val="26"/>
          <w:szCs w:val="26"/>
        </w:rPr>
      </w:pPr>
      <w:r>
        <w:rPr>
          <w:sz w:val="26"/>
          <w:szCs w:val="26"/>
        </w:rPr>
        <w:t>In general, electronically filed forms and applications:  (1) improve the efficiency and overall management of the filing process, (2) facilitate public access and the FERC’s monitoring of the energy markets, and (3) enhance competition within industries (by providing the customers with electronic means of comparing the rates, terms and conditions, and other provisions applicable to the regulated entities).</w:t>
      </w:r>
    </w:p>
    <w:p w:rsidR="00074364" w:rsidRDefault="00074364" w14:paraId="030D97D0" w14:textId="77777777">
      <w:pPr>
        <w:rPr>
          <w:b/>
          <w:bCs/>
          <w:sz w:val="26"/>
          <w:szCs w:val="26"/>
        </w:rPr>
      </w:pPr>
    </w:p>
    <w:p w:rsidR="00074364" w:rsidRDefault="005D1369" w14:paraId="3B85C581" w14:textId="77777777">
      <w:pPr>
        <w:rPr>
          <w:sz w:val="26"/>
          <w:szCs w:val="26"/>
        </w:rPr>
      </w:pPr>
      <w:r>
        <w:rPr>
          <w:sz w:val="26"/>
          <w:szCs w:val="26"/>
        </w:rPr>
        <w:t>The FERC Form No. 549D must be filed in either a standardized PDF or Extensible Markup Language (XML) format in order to minimize the burden upon respondents by use of a readily available format.</w:t>
      </w:r>
    </w:p>
    <w:p w:rsidR="00074364" w:rsidRDefault="005D1369" w14:paraId="15F6AF86" w14:textId="77777777">
      <w:pPr>
        <w:rPr>
          <w:sz w:val="26"/>
          <w:szCs w:val="26"/>
        </w:rPr>
      </w:pPr>
      <w:r>
        <w:rPr>
          <w:sz w:val="26"/>
          <w:szCs w:val="26"/>
        </w:rPr>
        <w:t xml:space="preserve"> </w:t>
      </w:r>
    </w:p>
    <w:p w:rsidR="00074364" w:rsidRDefault="005D1369" w14:paraId="33B86100" w14:textId="77777777">
      <w:pPr>
        <w:tabs>
          <w:tab w:val="left" w:pos="-1440"/>
        </w:tabs>
        <w:ind w:left="720" w:hanging="720"/>
        <w:rPr>
          <w:b/>
          <w:bCs/>
          <w:sz w:val="26"/>
          <w:szCs w:val="26"/>
        </w:rPr>
      </w:pPr>
      <w:r>
        <w:rPr>
          <w:b/>
          <w:bCs/>
          <w:sz w:val="26"/>
          <w:szCs w:val="26"/>
        </w:rPr>
        <w:t>4.</w:t>
      </w:r>
      <w:r>
        <w:rPr>
          <w:b/>
          <w:bCs/>
          <w:sz w:val="26"/>
          <w:szCs w:val="26"/>
        </w:rPr>
        <w:tab/>
        <w:t>DESCRIBE EFFORTS TO IDENTIFY DUPLICATION AND SHOW SPECIFICALLY WHY ANY SIMILAR INFORMATION ALREADY AVAILABLE CANNOT BE USED OR MODIFIED FOR USE FOR THE PURPOSE(S) DESCRIBED IN INSTRUCTION NO. 2.</w:t>
      </w:r>
    </w:p>
    <w:p w:rsidR="00074364" w:rsidRDefault="00074364" w14:paraId="436E151E" w14:textId="77777777">
      <w:pPr>
        <w:rPr>
          <w:bCs/>
          <w:sz w:val="26"/>
          <w:szCs w:val="26"/>
        </w:rPr>
      </w:pPr>
    </w:p>
    <w:p w:rsidR="00074364" w:rsidRDefault="005D1369" w14:paraId="712CEAC0" w14:textId="77777777">
      <w:pPr>
        <w:rPr>
          <w:bCs/>
          <w:sz w:val="26"/>
          <w:szCs w:val="26"/>
        </w:rPr>
      </w:pPr>
      <w:r>
        <w:rPr>
          <w:bCs/>
          <w:sz w:val="26"/>
          <w:szCs w:val="26"/>
        </w:rPr>
        <w:t>Commission filings and data requirements are periodically reviewed in conjunction with the renewal of OMB clearance expiration dates.  This includes a review of the Commission's regulations and data requirements to identify any duplication.  The Commission, in the Order on Rehearing (Order 735-A), addressed the issue of duplication of reporting requirements and contemporaneously began a rule making process that ultimately resulted in eliminating largely duplicative reporting requirements. To date, no duplication of the data requirements has been found.  The Commission staff is continuously reviewing its various filings in an effort to alleviate duplication.  There are no similar sources of information available that can be used or modified for use.</w:t>
      </w:r>
    </w:p>
    <w:p w:rsidR="00041F12" w:rsidRDefault="00041F12" w14:paraId="6336B332" w14:textId="1DBC19BE">
      <w:pPr>
        <w:widowControl/>
        <w:autoSpaceDE/>
        <w:autoSpaceDN/>
        <w:adjustRightInd/>
        <w:rPr>
          <w:sz w:val="26"/>
          <w:szCs w:val="26"/>
        </w:rPr>
      </w:pPr>
      <w:r>
        <w:rPr>
          <w:sz w:val="26"/>
          <w:szCs w:val="26"/>
        </w:rPr>
        <w:br w:type="page"/>
      </w:r>
    </w:p>
    <w:p w:rsidR="00074364" w:rsidRDefault="00074364" w14:paraId="54345714" w14:textId="77777777">
      <w:pPr>
        <w:rPr>
          <w:sz w:val="26"/>
          <w:szCs w:val="26"/>
        </w:rPr>
      </w:pPr>
    </w:p>
    <w:p w:rsidR="00074364" w:rsidRDefault="005D1369" w14:paraId="44857149" w14:textId="77777777">
      <w:pPr>
        <w:tabs>
          <w:tab w:val="left" w:pos="-1440"/>
        </w:tabs>
        <w:ind w:left="720" w:hanging="720"/>
        <w:rPr>
          <w:sz w:val="26"/>
          <w:szCs w:val="26"/>
        </w:rPr>
      </w:pPr>
      <w:r>
        <w:rPr>
          <w:b/>
          <w:bCs/>
          <w:sz w:val="26"/>
          <w:szCs w:val="26"/>
        </w:rPr>
        <w:t>5.</w:t>
      </w:r>
      <w:r>
        <w:rPr>
          <w:b/>
          <w:bCs/>
          <w:sz w:val="26"/>
          <w:szCs w:val="26"/>
        </w:rPr>
        <w:tab/>
        <w:t>METHODS USED TO MINIMIZE BURDEN IN COLLECTION OF INFORMATION INVOLVING SMALL ENTITIES</w:t>
      </w:r>
    </w:p>
    <w:p w:rsidR="00041F12" w:rsidRDefault="00041F12" w14:paraId="74EE9AE2" w14:textId="77777777">
      <w:pPr>
        <w:tabs>
          <w:tab w:val="left" w:pos="-1440"/>
        </w:tabs>
        <w:rPr>
          <w:sz w:val="26"/>
          <w:szCs w:val="26"/>
        </w:rPr>
      </w:pPr>
    </w:p>
    <w:p w:rsidR="00074364" w:rsidRDefault="005D1369" w14:paraId="4E57DB7B" w14:textId="76FD77EC">
      <w:pPr>
        <w:tabs>
          <w:tab w:val="left" w:pos="-1440"/>
        </w:tabs>
        <w:rPr>
          <w:sz w:val="26"/>
          <w:szCs w:val="26"/>
        </w:rPr>
      </w:pPr>
      <w:r>
        <w:rPr>
          <w:sz w:val="26"/>
          <w:szCs w:val="26"/>
        </w:rPr>
        <w:t>The Commission is not imposing on intrastate and Hinshaw pipelines the same reporting requirements as it imposes on interstate pipelines.  FERC is not requiring the intrastate and Hinshaw pipelines to make daily postings of transactional information on their own websites.  The Commission also recognizes that some respondents (with few transactions) may prefer to use PDF rather than XML.  However, other respondents with a large number of transactions and experience with XML would probably prefer to use XML.  As a result, the Commission will allow respondents to select the method of filing (XML or PDF) that is most appropriate to their circumstances.</w:t>
      </w:r>
    </w:p>
    <w:p w:rsidR="00074364" w:rsidRDefault="00074364" w14:paraId="1B8BCEFC" w14:textId="77777777">
      <w:pPr>
        <w:tabs>
          <w:tab w:val="left" w:pos="-1440"/>
        </w:tabs>
        <w:rPr>
          <w:b/>
          <w:bCs/>
          <w:sz w:val="26"/>
          <w:szCs w:val="26"/>
        </w:rPr>
      </w:pPr>
    </w:p>
    <w:p w:rsidR="00074364" w:rsidRDefault="005D1369" w14:paraId="5D905018" w14:textId="77777777">
      <w:pPr>
        <w:tabs>
          <w:tab w:val="left" w:pos="-1440"/>
        </w:tabs>
        <w:ind w:left="720" w:hanging="720"/>
        <w:rPr>
          <w:b/>
          <w:bCs/>
          <w:sz w:val="26"/>
          <w:szCs w:val="26"/>
        </w:rPr>
      </w:pPr>
      <w:r>
        <w:rPr>
          <w:b/>
          <w:bCs/>
          <w:sz w:val="26"/>
          <w:szCs w:val="26"/>
        </w:rPr>
        <w:t>6.</w:t>
      </w:r>
      <w:r>
        <w:rPr>
          <w:b/>
          <w:bCs/>
          <w:sz w:val="26"/>
          <w:szCs w:val="26"/>
        </w:rPr>
        <w:tab/>
        <w:t>CONSEQUENCE TO FEDERAL PROGRAM IF COLLECTION WERE CONDUCTED LESS FREQUENTLY</w:t>
      </w:r>
    </w:p>
    <w:p w:rsidR="00074364" w:rsidRDefault="00074364" w14:paraId="045D8B8E" w14:textId="77777777">
      <w:pPr>
        <w:rPr>
          <w:bCs/>
          <w:sz w:val="26"/>
          <w:szCs w:val="26"/>
        </w:rPr>
      </w:pPr>
    </w:p>
    <w:p w:rsidR="00074364" w:rsidRDefault="005D1369" w14:paraId="13BF6A1B" w14:textId="77777777">
      <w:pPr>
        <w:rPr>
          <w:sz w:val="26"/>
          <w:szCs w:val="26"/>
        </w:rPr>
      </w:pPr>
      <w:r>
        <w:rPr>
          <w:sz w:val="26"/>
          <w:szCs w:val="26"/>
        </w:rPr>
        <w:t xml:space="preserve">By requiring Section 311 and Hinshaw pipelines to make quarterly transactional reports containing similar information to that reported by interstate pipelines, the Commission has sought to balance the benefits of increased transparency of intrastate and Hinshaw pipeline transactions with the interest in avoiding unduly burdensome requirements for those pipelines.  </w:t>
      </w:r>
    </w:p>
    <w:p w:rsidR="00074364" w:rsidRDefault="00074364" w14:paraId="31564508" w14:textId="77777777">
      <w:pPr>
        <w:rPr>
          <w:sz w:val="26"/>
          <w:szCs w:val="26"/>
        </w:rPr>
      </w:pPr>
    </w:p>
    <w:p w:rsidR="00074364" w:rsidRDefault="005D1369" w14:paraId="55A318B9" w14:textId="77777777">
      <w:pPr>
        <w:rPr>
          <w:sz w:val="26"/>
          <w:szCs w:val="26"/>
        </w:rPr>
      </w:pPr>
      <w:r>
        <w:rPr>
          <w:sz w:val="26"/>
          <w:szCs w:val="26"/>
        </w:rPr>
        <w:t>The quarterly response frequency of the 18 CFR 284.126(b) transactional reports by intrastate and Hinshaw pipelines provides shippers and the Commission with more timely and more useful information concerning the transactions entered into by Section 311 and Hinshaw pipelines.</w:t>
      </w:r>
    </w:p>
    <w:p w:rsidR="00074364" w:rsidRDefault="00074364" w14:paraId="6CF862B9" w14:textId="77777777">
      <w:pPr>
        <w:rPr>
          <w:sz w:val="26"/>
          <w:szCs w:val="26"/>
        </w:rPr>
      </w:pPr>
    </w:p>
    <w:p w:rsidR="00074364" w:rsidRDefault="005D1369" w14:paraId="0FF0342B" w14:textId="77777777">
      <w:pPr>
        <w:tabs>
          <w:tab w:val="left" w:pos="-1440"/>
        </w:tabs>
        <w:ind w:left="720" w:hanging="720"/>
        <w:rPr>
          <w:b/>
          <w:bCs/>
          <w:sz w:val="26"/>
          <w:szCs w:val="26"/>
        </w:rPr>
      </w:pPr>
      <w:r>
        <w:rPr>
          <w:b/>
          <w:bCs/>
          <w:sz w:val="26"/>
          <w:szCs w:val="26"/>
        </w:rPr>
        <w:t>7.</w:t>
      </w:r>
      <w:r>
        <w:rPr>
          <w:b/>
          <w:bCs/>
          <w:sz w:val="26"/>
          <w:szCs w:val="26"/>
        </w:rPr>
        <w:tab/>
        <w:t>EXPLAIN ANY SPECIAL CIRCUMSTANCES RELATING TO THE INFORMATION COLLECTION</w:t>
      </w:r>
    </w:p>
    <w:p w:rsidR="00074364" w:rsidRDefault="00074364" w14:paraId="0D0E0AE6" w14:textId="77777777">
      <w:pPr>
        <w:rPr>
          <w:bCs/>
          <w:sz w:val="26"/>
          <w:szCs w:val="26"/>
        </w:rPr>
      </w:pPr>
    </w:p>
    <w:p w:rsidR="00074364" w:rsidRDefault="005D1369" w14:paraId="6EC4D2A6" w14:textId="77777777">
      <w:pPr>
        <w:tabs>
          <w:tab w:val="left" w:pos="-1440"/>
        </w:tabs>
        <w:ind w:left="720" w:hanging="720"/>
        <w:rPr>
          <w:sz w:val="26"/>
          <w:szCs w:val="26"/>
        </w:rPr>
      </w:pPr>
      <w:r>
        <w:rPr>
          <w:sz w:val="26"/>
          <w:szCs w:val="26"/>
        </w:rPr>
        <w:t>There are no special circumstances related to the information collection.</w:t>
      </w:r>
    </w:p>
    <w:p w:rsidR="00074364" w:rsidRDefault="00074364" w14:paraId="0FD213E2" w14:textId="77777777">
      <w:pPr>
        <w:tabs>
          <w:tab w:val="left" w:pos="-1440"/>
        </w:tabs>
        <w:ind w:left="720" w:hanging="720"/>
        <w:rPr>
          <w:bCs/>
          <w:sz w:val="26"/>
          <w:szCs w:val="26"/>
        </w:rPr>
      </w:pPr>
    </w:p>
    <w:p w:rsidR="00074364" w:rsidRDefault="005D1369" w14:paraId="09517609" w14:textId="77777777">
      <w:pPr>
        <w:tabs>
          <w:tab w:val="left" w:pos="-1440"/>
        </w:tabs>
        <w:ind w:left="720" w:hanging="720"/>
        <w:rPr>
          <w:b/>
          <w:bCs/>
          <w:sz w:val="26"/>
          <w:szCs w:val="26"/>
        </w:rPr>
      </w:pPr>
      <w:r>
        <w:rPr>
          <w:b/>
          <w:bCs/>
          <w:sz w:val="26"/>
          <w:szCs w:val="26"/>
        </w:rPr>
        <w:t>8.</w:t>
      </w:r>
      <w:r>
        <w:rPr>
          <w:b/>
          <w:bCs/>
          <w:sz w:val="26"/>
          <w:szCs w:val="26"/>
        </w:rPr>
        <w:tab/>
        <w:t>DESCRIBE EFFORTS TO CONSULT OUTSIDE THE AGENCY: SUMMARIZE PUBLIC COMMENTS AND THE AGENCY'S RESPONSE TO THESE COMMENTS</w:t>
      </w:r>
    </w:p>
    <w:p w:rsidR="00074364" w:rsidRDefault="00074364" w14:paraId="1529DBD6" w14:textId="77777777">
      <w:pPr>
        <w:rPr>
          <w:sz w:val="26"/>
          <w:szCs w:val="26"/>
        </w:rPr>
      </w:pPr>
    </w:p>
    <w:p w:rsidR="00074364" w:rsidRDefault="005D1369" w14:paraId="01E36CCC" w14:textId="77777777">
      <w:pPr>
        <w:rPr>
          <w:sz w:val="26"/>
          <w:szCs w:val="26"/>
        </w:rPr>
      </w:pPr>
      <w:r>
        <w:rPr>
          <w:sz w:val="26"/>
          <w:szCs w:val="26"/>
        </w:rPr>
        <w:t>In accordance with OMB requirements, the Commission published a 60-day notice</w:t>
      </w:r>
      <w:r>
        <w:rPr>
          <w:rStyle w:val="FootnoteReference"/>
          <w:sz w:val="26"/>
          <w:szCs w:val="26"/>
          <w:vertAlign w:val="superscript"/>
        </w:rPr>
        <w:footnoteReference w:id="7"/>
      </w:r>
      <w:r>
        <w:rPr>
          <w:sz w:val="26"/>
          <w:szCs w:val="26"/>
        </w:rPr>
        <w:t xml:space="preserve"> and a </w:t>
      </w:r>
      <w:r>
        <w:rPr>
          <w:sz w:val="26"/>
          <w:szCs w:val="26"/>
        </w:rPr>
        <w:lastRenderedPageBreak/>
        <w:t>30-day notice</w:t>
      </w:r>
      <w:r>
        <w:rPr>
          <w:rStyle w:val="FootnoteReference"/>
          <w:sz w:val="26"/>
          <w:szCs w:val="26"/>
          <w:vertAlign w:val="superscript"/>
        </w:rPr>
        <w:footnoteReference w:id="8"/>
      </w:r>
      <w:r>
        <w:rPr>
          <w:sz w:val="26"/>
          <w:szCs w:val="26"/>
        </w:rPr>
        <w:t xml:space="preserve"> in Docket No. IC20-9-000 to the public regarding this information collection on March 2, 2020 and May 11,2020 respectively.  Within the public notices, the Commission noted that it would be requesting a three-year extension of the public reporting burden.  The Commission received no comments from the public regarding this information collection.</w:t>
      </w:r>
    </w:p>
    <w:p w:rsidR="00074364" w:rsidRDefault="00074364" w14:paraId="0CD18F9A" w14:textId="77777777">
      <w:pPr>
        <w:rPr>
          <w:sz w:val="26"/>
          <w:szCs w:val="26"/>
        </w:rPr>
      </w:pPr>
    </w:p>
    <w:p w:rsidR="00074364" w:rsidRDefault="005D1369" w14:paraId="5E7EB0FB" w14:textId="77777777">
      <w:pPr>
        <w:tabs>
          <w:tab w:val="left" w:pos="-1440"/>
        </w:tabs>
        <w:ind w:left="720" w:hanging="720"/>
        <w:rPr>
          <w:b/>
          <w:bCs/>
          <w:sz w:val="26"/>
          <w:szCs w:val="26"/>
        </w:rPr>
      </w:pPr>
      <w:r>
        <w:rPr>
          <w:b/>
          <w:bCs/>
          <w:sz w:val="26"/>
          <w:szCs w:val="26"/>
        </w:rPr>
        <w:t>9.</w:t>
      </w:r>
      <w:r>
        <w:rPr>
          <w:b/>
          <w:bCs/>
          <w:sz w:val="26"/>
          <w:szCs w:val="26"/>
        </w:rPr>
        <w:tab/>
        <w:t>EXPLAIN ANY PAYMENT OR GIFTS TO RESPONDENTS</w:t>
      </w:r>
    </w:p>
    <w:p w:rsidR="00074364" w:rsidRDefault="00074364" w14:paraId="3D587A32" w14:textId="77777777">
      <w:pPr>
        <w:rPr>
          <w:bCs/>
          <w:sz w:val="26"/>
          <w:szCs w:val="26"/>
        </w:rPr>
      </w:pPr>
    </w:p>
    <w:p w:rsidR="00074364" w:rsidRDefault="005D1369" w14:paraId="0654A5BC" w14:textId="77777777">
      <w:pPr>
        <w:rPr>
          <w:sz w:val="26"/>
          <w:szCs w:val="26"/>
        </w:rPr>
      </w:pPr>
      <w:r>
        <w:rPr>
          <w:sz w:val="26"/>
          <w:szCs w:val="26"/>
        </w:rPr>
        <w:t>There are no payments or gifts to respondents in the FERC Form No. 549D requirements.</w:t>
      </w:r>
    </w:p>
    <w:p w:rsidR="00074364" w:rsidRDefault="00074364" w14:paraId="7866E167" w14:textId="77777777">
      <w:pPr>
        <w:rPr>
          <w:sz w:val="26"/>
          <w:szCs w:val="26"/>
        </w:rPr>
      </w:pPr>
    </w:p>
    <w:p w:rsidR="00074364" w:rsidRDefault="005D1369" w14:paraId="1DE230E5" w14:textId="77777777">
      <w:pPr>
        <w:tabs>
          <w:tab w:val="left" w:pos="-1440"/>
        </w:tabs>
        <w:ind w:left="720" w:hanging="720"/>
        <w:rPr>
          <w:b/>
          <w:bCs/>
          <w:sz w:val="26"/>
          <w:szCs w:val="26"/>
        </w:rPr>
      </w:pPr>
      <w:r>
        <w:rPr>
          <w:b/>
          <w:bCs/>
          <w:sz w:val="26"/>
          <w:szCs w:val="26"/>
        </w:rPr>
        <w:t>10.</w:t>
      </w:r>
      <w:r>
        <w:rPr>
          <w:b/>
          <w:bCs/>
          <w:sz w:val="26"/>
          <w:szCs w:val="26"/>
        </w:rPr>
        <w:tab/>
        <w:t>DESCRIBE ANY ASSURANCE OF CONFIDENTIALITY PROVIDED TO RESPONDENTS</w:t>
      </w:r>
    </w:p>
    <w:p w:rsidR="00074364" w:rsidRDefault="00074364" w14:paraId="097A7A11" w14:textId="77777777">
      <w:pPr>
        <w:rPr>
          <w:bCs/>
          <w:sz w:val="26"/>
          <w:szCs w:val="26"/>
        </w:rPr>
      </w:pPr>
    </w:p>
    <w:p w:rsidR="00074364" w:rsidRDefault="005D1369" w14:paraId="3AA98C7B" w14:textId="77777777">
      <w:pPr>
        <w:rPr>
          <w:sz w:val="26"/>
          <w:szCs w:val="26"/>
        </w:rPr>
      </w:pPr>
      <w:r>
        <w:rPr>
          <w:sz w:val="26"/>
          <w:szCs w:val="26"/>
        </w:rPr>
        <w:t>The Commission does not consider the information collected in FERC Form No. 549D filings to be confidential.  There are no confidentiality provisions associated with the data requirements of FERC Form No. 549D.</w:t>
      </w:r>
    </w:p>
    <w:p w:rsidR="00074364" w:rsidRDefault="00074364" w14:paraId="157F2E44" w14:textId="77777777">
      <w:pPr>
        <w:rPr>
          <w:sz w:val="26"/>
          <w:szCs w:val="26"/>
        </w:rPr>
      </w:pPr>
    </w:p>
    <w:p w:rsidR="00074364" w:rsidRDefault="005D1369" w14:paraId="4B1EA98A" w14:textId="77777777">
      <w:pPr>
        <w:tabs>
          <w:tab w:val="left" w:pos="-1440"/>
        </w:tabs>
        <w:ind w:left="720" w:hanging="720"/>
        <w:rPr>
          <w:b/>
          <w:bCs/>
          <w:sz w:val="26"/>
          <w:szCs w:val="26"/>
        </w:rPr>
      </w:pPr>
      <w:r>
        <w:rPr>
          <w:b/>
          <w:bCs/>
          <w:sz w:val="26"/>
          <w:szCs w:val="26"/>
        </w:rPr>
        <w:t>11.</w:t>
      </w:r>
      <w:r>
        <w:rPr>
          <w:b/>
          <w:bCs/>
          <w:sz w:val="26"/>
          <w:szCs w:val="26"/>
        </w:rPr>
        <w:tab/>
        <w:t>PROVIDE ADDITIONAL JUSTIFICATION FOR ANY QUESTIONS OF A SENSITIVE NATURE THAT ARE CONSIDERED PRIVATE.</w:t>
      </w:r>
    </w:p>
    <w:p w:rsidR="00074364" w:rsidRDefault="00074364" w14:paraId="725AEDDE" w14:textId="77777777">
      <w:pPr>
        <w:rPr>
          <w:b/>
          <w:bCs/>
          <w:sz w:val="26"/>
          <w:szCs w:val="26"/>
        </w:rPr>
      </w:pPr>
    </w:p>
    <w:p w:rsidR="00074364" w:rsidRDefault="005D1369" w14:paraId="25645C94" w14:textId="77777777">
      <w:pPr>
        <w:rPr>
          <w:sz w:val="26"/>
          <w:szCs w:val="26"/>
        </w:rPr>
      </w:pPr>
      <w:r>
        <w:rPr>
          <w:sz w:val="26"/>
          <w:szCs w:val="26"/>
        </w:rPr>
        <w:t>There are no questions of a sensitive nature associated with the FERC Form No. 549D reporting requirements.</w:t>
      </w:r>
    </w:p>
    <w:p w:rsidR="00074364" w:rsidRDefault="00074364" w14:paraId="16406838" w14:textId="77777777">
      <w:pPr>
        <w:tabs>
          <w:tab w:val="left" w:pos="-1440"/>
        </w:tabs>
        <w:rPr>
          <w:bCs/>
          <w:sz w:val="26"/>
          <w:szCs w:val="26"/>
        </w:rPr>
      </w:pPr>
    </w:p>
    <w:p w:rsidR="00074364" w:rsidRDefault="005D1369" w14:paraId="3FEAE6A3" w14:textId="77777777">
      <w:pPr>
        <w:tabs>
          <w:tab w:val="left" w:pos="-1440"/>
        </w:tabs>
        <w:ind w:left="720" w:hanging="720"/>
        <w:rPr>
          <w:b/>
          <w:bCs/>
          <w:sz w:val="26"/>
          <w:szCs w:val="26"/>
        </w:rPr>
      </w:pPr>
      <w:r>
        <w:rPr>
          <w:b/>
          <w:bCs/>
          <w:sz w:val="26"/>
          <w:szCs w:val="26"/>
        </w:rPr>
        <w:t>12.</w:t>
      </w:r>
      <w:r>
        <w:rPr>
          <w:b/>
          <w:bCs/>
          <w:sz w:val="26"/>
          <w:szCs w:val="26"/>
        </w:rPr>
        <w:tab/>
        <w:t>ESTIMATED BURDEN OF COLLECTION OF INFORMATION</w:t>
      </w:r>
    </w:p>
    <w:p w:rsidR="00074364" w:rsidRDefault="00074364" w14:paraId="319EE132" w14:textId="77777777">
      <w:pPr>
        <w:rPr>
          <w:bCs/>
          <w:sz w:val="26"/>
          <w:szCs w:val="26"/>
        </w:rPr>
      </w:pPr>
    </w:p>
    <w:p w:rsidR="00074364" w:rsidRDefault="005D1369" w14:paraId="3731F6CF" w14:textId="77777777">
      <w:pPr>
        <w:rPr>
          <w:sz w:val="26"/>
          <w:szCs w:val="26"/>
        </w:rPr>
      </w:pPr>
      <w:r>
        <w:rPr>
          <w:sz w:val="26"/>
          <w:szCs w:val="26"/>
        </w:rPr>
        <w:t>The Commission estimates the annual public reporting burden</w:t>
      </w:r>
      <w:r>
        <w:rPr>
          <w:rStyle w:val="FootnoteReference"/>
          <w:sz w:val="26"/>
          <w:szCs w:val="26"/>
          <w:vertAlign w:val="superscript"/>
        </w:rPr>
        <w:footnoteReference w:id="9"/>
      </w:r>
      <w:r>
        <w:rPr>
          <w:sz w:val="26"/>
          <w:szCs w:val="26"/>
          <w:vertAlign w:val="superscript"/>
        </w:rPr>
        <w:t xml:space="preserve"> </w:t>
      </w:r>
      <w:r>
        <w:rPr>
          <w:sz w:val="26"/>
          <w:szCs w:val="26"/>
        </w:rPr>
        <w:t xml:space="preserve">and cost for the FERC Form No. 549D information collection as follows: </w:t>
      </w:r>
    </w:p>
    <w:p w:rsidR="00074364" w:rsidRDefault="00074364" w14:paraId="12D62D28" w14:textId="77777777">
      <w:pPr>
        <w:rPr>
          <w:sz w:val="26"/>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11"/>
        <w:gridCol w:w="1377"/>
        <w:gridCol w:w="1461"/>
        <w:gridCol w:w="1377"/>
        <w:gridCol w:w="1278"/>
        <w:gridCol w:w="1284"/>
        <w:gridCol w:w="1331"/>
      </w:tblGrid>
      <w:tr w:rsidR="00074364" w14:paraId="35412AE8" w14:textId="77777777">
        <w:trPr>
          <w:cantSplit/>
        </w:trPr>
        <w:tc>
          <w:tcPr>
            <w:tcW w:w="5000" w:type="pct"/>
            <w:gridSpan w:val="7"/>
            <w:tcBorders>
              <w:bottom w:val="single" w:color="auto" w:sz="4" w:space="0"/>
            </w:tcBorders>
            <w:shd w:val="clear" w:color="auto" w:fill="D9D9D9"/>
          </w:tcPr>
          <w:p w:rsidR="00074364" w:rsidRDefault="005D1369" w14:paraId="3D8F15B9" w14:textId="77777777">
            <w:pPr>
              <w:jc w:val="center"/>
              <w:rPr>
                <w:rFonts w:eastAsia="Calibri"/>
                <w:b/>
                <w:sz w:val="26"/>
                <w:szCs w:val="26"/>
              </w:rPr>
            </w:pPr>
            <w:r>
              <w:rPr>
                <w:rFonts w:eastAsia="Calibri"/>
                <w:b/>
                <w:sz w:val="26"/>
                <w:szCs w:val="26"/>
              </w:rPr>
              <w:t>FERC-549D (Quarterly Transportation and Storage Report for Intrastate Natural Gas and Hinshaw Pipelines)</w:t>
            </w:r>
          </w:p>
        </w:tc>
      </w:tr>
      <w:tr w:rsidR="00074364" w14:paraId="64C86E2D" w14:textId="77777777">
        <w:trPr>
          <w:cantSplit/>
        </w:trPr>
        <w:tc>
          <w:tcPr>
            <w:tcW w:w="954" w:type="pct"/>
            <w:shd w:val="clear" w:color="auto" w:fill="D9D9D9"/>
          </w:tcPr>
          <w:p w:rsidR="00074364" w:rsidRDefault="00074364" w14:paraId="2017D1D0" w14:textId="77777777">
            <w:pPr>
              <w:rPr>
                <w:sz w:val="26"/>
                <w:szCs w:val="26"/>
              </w:rPr>
            </w:pPr>
          </w:p>
        </w:tc>
        <w:tc>
          <w:tcPr>
            <w:tcW w:w="687" w:type="pct"/>
            <w:shd w:val="clear" w:color="auto" w:fill="D9D9D9"/>
            <w:vAlign w:val="bottom"/>
          </w:tcPr>
          <w:p w:rsidR="00074364" w:rsidRDefault="005D1369" w14:paraId="4CD8CFA2" w14:textId="77777777">
            <w:pPr>
              <w:jc w:val="center"/>
              <w:rPr>
                <w:b/>
                <w:sz w:val="26"/>
                <w:szCs w:val="26"/>
              </w:rPr>
            </w:pPr>
            <w:r>
              <w:rPr>
                <w:b/>
                <w:sz w:val="26"/>
                <w:szCs w:val="26"/>
              </w:rPr>
              <w:t>Average Annual Number of Respondents</w:t>
            </w:r>
            <w:r>
              <w:rPr>
                <w:b/>
                <w:sz w:val="26"/>
                <w:szCs w:val="26"/>
              </w:rPr>
              <w:br/>
              <w:t>(1)</w:t>
            </w:r>
          </w:p>
        </w:tc>
        <w:tc>
          <w:tcPr>
            <w:tcW w:w="729" w:type="pct"/>
            <w:shd w:val="clear" w:color="auto" w:fill="D9D9D9"/>
            <w:vAlign w:val="bottom"/>
          </w:tcPr>
          <w:p w:rsidR="00074364" w:rsidRDefault="005D1369" w14:paraId="34A26719" w14:textId="77777777">
            <w:pPr>
              <w:jc w:val="center"/>
              <w:rPr>
                <w:b/>
                <w:sz w:val="26"/>
                <w:szCs w:val="26"/>
              </w:rPr>
            </w:pPr>
            <w:r>
              <w:rPr>
                <w:b/>
                <w:sz w:val="26"/>
                <w:szCs w:val="26"/>
              </w:rPr>
              <w:t>Average Annual Number of Responses per Respondent</w:t>
            </w:r>
          </w:p>
          <w:p w:rsidR="00074364" w:rsidRDefault="005D1369" w14:paraId="5559FD7A" w14:textId="77777777">
            <w:pPr>
              <w:jc w:val="center"/>
              <w:rPr>
                <w:b/>
                <w:sz w:val="26"/>
                <w:szCs w:val="26"/>
              </w:rPr>
            </w:pPr>
            <w:r>
              <w:rPr>
                <w:b/>
                <w:sz w:val="26"/>
                <w:szCs w:val="26"/>
              </w:rPr>
              <w:t>(2)</w:t>
            </w:r>
          </w:p>
        </w:tc>
        <w:tc>
          <w:tcPr>
            <w:tcW w:w="687" w:type="pct"/>
            <w:shd w:val="clear" w:color="auto" w:fill="D9D9D9"/>
            <w:vAlign w:val="bottom"/>
          </w:tcPr>
          <w:p w:rsidR="00074364" w:rsidRDefault="005D1369" w14:paraId="785E1186" w14:textId="77777777">
            <w:pPr>
              <w:jc w:val="center"/>
              <w:rPr>
                <w:b/>
                <w:sz w:val="26"/>
                <w:szCs w:val="26"/>
              </w:rPr>
            </w:pPr>
            <w:r>
              <w:rPr>
                <w:b/>
                <w:sz w:val="26"/>
                <w:szCs w:val="26"/>
              </w:rPr>
              <w:t>Average Annual Total Number of Responses (1)*(2)=(3)</w:t>
            </w:r>
          </w:p>
        </w:tc>
        <w:tc>
          <w:tcPr>
            <w:tcW w:w="638" w:type="pct"/>
            <w:shd w:val="clear" w:color="auto" w:fill="D9D9D9"/>
            <w:vAlign w:val="bottom"/>
          </w:tcPr>
          <w:p w:rsidR="00074364" w:rsidRDefault="005D1369" w14:paraId="4BD34A93" w14:textId="77777777">
            <w:pPr>
              <w:jc w:val="center"/>
              <w:rPr>
                <w:b/>
                <w:sz w:val="26"/>
                <w:szCs w:val="26"/>
              </w:rPr>
            </w:pPr>
            <w:r>
              <w:rPr>
                <w:b/>
                <w:sz w:val="26"/>
                <w:szCs w:val="26"/>
              </w:rPr>
              <w:t>Average Burden Hrs. &amp; Cost ($) Per Response</w:t>
            </w:r>
          </w:p>
          <w:p w:rsidR="00074364" w:rsidRDefault="005D1369" w14:paraId="03E0BDDA" w14:textId="77777777">
            <w:pPr>
              <w:jc w:val="center"/>
              <w:rPr>
                <w:b/>
                <w:sz w:val="26"/>
                <w:szCs w:val="26"/>
              </w:rPr>
            </w:pPr>
            <w:r>
              <w:rPr>
                <w:b/>
                <w:sz w:val="26"/>
                <w:szCs w:val="26"/>
              </w:rPr>
              <w:t>(4)</w:t>
            </w:r>
          </w:p>
        </w:tc>
        <w:tc>
          <w:tcPr>
            <w:tcW w:w="641" w:type="pct"/>
            <w:shd w:val="clear" w:color="auto" w:fill="D9D9D9"/>
            <w:vAlign w:val="bottom"/>
          </w:tcPr>
          <w:p w:rsidR="00074364" w:rsidRDefault="005D1369" w14:paraId="5FDFFC81" w14:textId="77777777">
            <w:pPr>
              <w:jc w:val="center"/>
              <w:rPr>
                <w:b/>
                <w:sz w:val="26"/>
                <w:szCs w:val="26"/>
              </w:rPr>
            </w:pPr>
            <w:r>
              <w:rPr>
                <w:b/>
                <w:sz w:val="26"/>
                <w:szCs w:val="26"/>
              </w:rPr>
              <w:t>Total Annual Burden Hours &amp; Total Annual Cost ($) (rounded)</w:t>
            </w:r>
          </w:p>
          <w:p w:rsidR="00074364" w:rsidRDefault="005D1369" w14:paraId="2EE6D66D" w14:textId="77777777">
            <w:pPr>
              <w:jc w:val="center"/>
              <w:rPr>
                <w:b/>
                <w:sz w:val="26"/>
                <w:szCs w:val="26"/>
              </w:rPr>
            </w:pPr>
            <w:r>
              <w:rPr>
                <w:b/>
                <w:sz w:val="26"/>
                <w:szCs w:val="26"/>
              </w:rPr>
              <w:t>(3)*(4)=(5)</w:t>
            </w:r>
          </w:p>
        </w:tc>
        <w:tc>
          <w:tcPr>
            <w:tcW w:w="663" w:type="pct"/>
            <w:shd w:val="clear" w:color="auto" w:fill="D9D9D9"/>
            <w:vAlign w:val="bottom"/>
          </w:tcPr>
          <w:p w:rsidR="00074364" w:rsidRDefault="005D1369" w14:paraId="68BCED36" w14:textId="77777777">
            <w:pPr>
              <w:jc w:val="center"/>
              <w:rPr>
                <w:b/>
                <w:sz w:val="26"/>
                <w:szCs w:val="26"/>
              </w:rPr>
            </w:pPr>
            <w:r>
              <w:rPr>
                <w:b/>
                <w:sz w:val="26"/>
                <w:szCs w:val="26"/>
              </w:rPr>
              <w:t>Cost per Respondent</w:t>
            </w:r>
          </w:p>
          <w:p w:rsidR="00074364" w:rsidRDefault="005D1369" w14:paraId="32E513C0" w14:textId="77777777">
            <w:pPr>
              <w:jc w:val="center"/>
              <w:rPr>
                <w:b/>
                <w:sz w:val="26"/>
                <w:szCs w:val="26"/>
              </w:rPr>
            </w:pPr>
            <w:r>
              <w:rPr>
                <w:b/>
                <w:sz w:val="26"/>
                <w:szCs w:val="26"/>
              </w:rPr>
              <w:t>($)</w:t>
            </w:r>
          </w:p>
          <w:p w:rsidR="00074364" w:rsidRDefault="005D1369" w14:paraId="19336C24" w14:textId="77777777">
            <w:pPr>
              <w:jc w:val="center"/>
              <w:rPr>
                <w:b/>
                <w:sz w:val="26"/>
                <w:szCs w:val="26"/>
              </w:rPr>
            </w:pPr>
            <w:r>
              <w:rPr>
                <w:b/>
                <w:sz w:val="26"/>
                <w:szCs w:val="26"/>
              </w:rPr>
              <w:t>(5)÷(1)</w:t>
            </w:r>
          </w:p>
        </w:tc>
      </w:tr>
      <w:tr w:rsidR="00074364" w14:paraId="7085BE2D" w14:textId="77777777">
        <w:trPr>
          <w:cantSplit/>
        </w:trPr>
        <w:tc>
          <w:tcPr>
            <w:tcW w:w="954" w:type="pct"/>
          </w:tcPr>
          <w:p w:rsidR="00074364" w:rsidRDefault="005D1369" w14:paraId="7837B106" w14:textId="63057AD0">
            <w:pPr>
              <w:jc w:val="right"/>
              <w:rPr>
                <w:sz w:val="26"/>
                <w:szCs w:val="26"/>
              </w:rPr>
            </w:pPr>
            <w:r>
              <w:rPr>
                <w:sz w:val="26"/>
                <w:szCs w:val="26"/>
              </w:rPr>
              <w:t xml:space="preserve">PDF </w:t>
            </w:r>
            <w:r w:rsidR="00E3081D">
              <w:rPr>
                <w:sz w:val="26"/>
                <w:szCs w:val="26"/>
              </w:rPr>
              <w:t xml:space="preserve"> and </w:t>
            </w:r>
            <w:r w:rsidR="001C2700">
              <w:rPr>
                <w:sz w:val="26"/>
                <w:szCs w:val="26"/>
              </w:rPr>
              <w:t>XML</w:t>
            </w:r>
            <w:r w:rsidR="00E3081D">
              <w:rPr>
                <w:sz w:val="26"/>
                <w:szCs w:val="26"/>
              </w:rPr>
              <w:t xml:space="preserve"> filings</w:t>
            </w:r>
          </w:p>
        </w:tc>
        <w:tc>
          <w:tcPr>
            <w:tcW w:w="687" w:type="pct"/>
          </w:tcPr>
          <w:p w:rsidR="00074364" w:rsidRDefault="005D1369" w14:paraId="0B8F3CFA" w14:textId="77777777">
            <w:pPr>
              <w:jc w:val="right"/>
              <w:rPr>
                <w:sz w:val="26"/>
                <w:szCs w:val="26"/>
              </w:rPr>
            </w:pPr>
            <w:r>
              <w:rPr>
                <w:sz w:val="26"/>
                <w:szCs w:val="26"/>
              </w:rPr>
              <w:t>120</w:t>
            </w:r>
          </w:p>
          <w:p w:rsidR="00074364" w:rsidRDefault="00074364" w14:paraId="1122F7CC" w14:textId="77777777">
            <w:pPr>
              <w:jc w:val="right"/>
              <w:rPr>
                <w:sz w:val="26"/>
                <w:szCs w:val="26"/>
              </w:rPr>
            </w:pPr>
          </w:p>
        </w:tc>
        <w:tc>
          <w:tcPr>
            <w:tcW w:w="729" w:type="pct"/>
          </w:tcPr>
          <w:p w:rsidR="00074364" w:rsidRDefault="005D1369" w14:paraId="058910B3" w14:textId="77777777">
            <w:pPr>
              <w:jc w:val="right"/>
              <w:rPr>
                <w:sz w:val="26"/>
                <w:szCs w:val="26"/>
              </w:rPr>
            </w:pPr>
            <w:r>
              <w:rPr>
                <w:sz w:val="26"/>
                <w:szCs w:val="26"/>
              </w:rPr>
              <w:t>4</w:t>
            </w:r>
          </w:p>
        </w:tc>
        <w:tc>
          <w:tcPr>
            <w:tcW w:w="687" w:type="pct"/>
          </w:tcPr>
          <w:p w:rsidR="00074364" w:rsidRDefault="005D1369" w14:paraId="7652505B" w14:textId="77777777">
            <w:pPr>
              <w:jc w:val="right"/>
              <w:rPr>
                <w:sz w:val="26"/>
                <w:szCs w:val="26"/>
              </w:rPr>
            </w:pPr>
            <w:r>
              <w:rPr>
                <w:sz w:val="26"/>
                <w:szCs w:val="26"/>
              </w:rPr>
              <w:t>480</w:t>
            </w:r>
          </w:p>
          <w:p w:rsidR="00074364" w:rsidRDefault="00074364" w14:paraId="4EE1AF24" w14:textId="77777777">
            <w:pPr>
              <w:jc w:val="right"/>
              <w:rPr>
                <w:sz w:val="26"/>
                <w:szCs w:val="26"/>
              </w:rPr>
            </w:pPr>
          </w:p>
        </w:tc>
        <w:tc>
          <w:tcPr>
            <w:tcW w:w="638" w:type="pct"/>
          </w:tcPr>
          <w:p w:rsidR="00074364" w:rsidRDefault="005D1369" w14:paraId="4308CA20" w14:textId="77777777">
            <w:pPr>
              <w:jc w:val="right"/>
              <w:rPr>
                <w:sz w:val="26"/>
                <w:szCs w:val="26"/>
              </w:rPr>
            </w:pPr>
            <w:r>
              <w:rPr>
                <w:sz w:val="26"/>
                <w:szCs w:val="26"/>
              </w:rPr>
              <w:t xml:space="preserve">12.5 hrs. </w:t>
            </w:r>
          </w:p>
          <w:p w:rsidR="00074364" w:rsidRDefault="005D1369" w14:paraId="433F037E" w14:textId="77777777">
            <w:pPr>
              <w:jc w:val="right"/>
              <w:rPr>
                <w:sz w:val="26"/>
                <w:szCs w:val="26"/>
              </w:rPr>
            </w:pPr>
            <w:r>
              <w:rPr>
                <w:sz w:val="26"/>
                <w:szCs w:val="26"/>
              </w:rPr>
              <w:t>$1,133</w:t>
            </w:r>
          </w:p>
        </w:tc>
        <w:tc>
          <w:tcPr>
            <w:tcW w:w="641" w:type="pct"/>
          </w:tcPr>
          <w:p w:rsidR="00074364" w:rsidRDefault="005D1369" w14:paraId="6375D8C1" w14:textId="77777777">
            <w:pPr>
              <w:jc w:val="right"/>
              <w:rPr>
                <w:sz w:val="26"/>
                <w:szCs w:val="26"/>
              </w:rPr>
            </w:pPr>
            <w:r>
              <w:rPr>
                <w:sz w:val="26"/>
                <w:szCs w:val="26"/>
              </w:rPr>
              <w:t>6,000 hrs. $543,840</w:t>
            </w:r>
          </w:p>
        </w:tc>
        <w:tc>
          <w:tcPr>
            <w:tcW w:w="663" w:type="pct"/>
          </w:tcPr>
          <w:p w:rsidR="00074364" w:rsidRDefault="005D1369" w14:paraId="3B09581A" w14:textId="77777777">
            <w:pPr>
              <w:jc w:val="right"/>
              <w:rPr>
                <w:sz w:val="26"/>
                <w:szCs w:val="26"/>
              </w:rPr>
            </w:pPr>
            <w:r>
              <w:rPr>
                <w:sz w:val="26"/>
                <w:szCs w:val="26"/>
              </w:rPr>
              <w:t>$4,532</w:t>
            </w:r>
          </w:p>
        </w:tc>
      </w:tr>
      <w:tr w:rsidR="00074364" w14:paraId="4BB5B731" w14:textId="77777777">
        <w:trPr>
          <w:cantSplit/>
          <w:trHeight w:val="485"/>
        </w:trPr>
        <w:tc>
          <w:tcPr>
            <w:tcW w:w="954" w:type="pct"/>
            <w:tcBorders>
              <w:bottom w:val="single" w:color="auto" w:sz="4" w:space="0"/>
            </w:tcBorders>
          </w:tcPr>
          <w:p w:rsidR="00074364" w:rsidRDefault="005D1369" w14:paraId="55DDB14B" w14:textId="77777777">
            <w:pPr>
              <w:jc w:val="right"/>
              <w:rPr>
                <w:b/>
                <w:sz w:val="26"/>
                <w:szCs w:val="26"/>
              </w:rPr>
            </w:pPr>
            <w:r>
              <w:rPr>
                <w:b/>
                <w:sz w:val="26"/>
                <w:szCs w:val="26"/>
              </w:rPr>
              <w:t>TOTAL</w:t>
            </w:r>
          </w:p>
        </w:tc>
        <w:tc>
          <w:tcPr>
            <w:tcW w:w="1416" w:type="pct"/>
            <w:gridSpan w:val="2"/>
            <w:tcBorders>
              <w:bottom w:val="single" w:color="auto" w:sz="4" w:space="0"/>
            </w:tcBorders>
            <w:shd w:val="clear" w:color="auto" w:fill="D9D9D9"/>
          </w:tcPr>
          <w:p w:rsidR="00074364" w:rsidRDefault="00074364" w14:paraId="34E76848" w14:textId="77777777">
            <w:pPr>
              <w:jc w:val="right"/>
              <w:rPr>
                <w:sz w:val="26"/>
                <w:szCs w:val="26"/>
              </w:rPr>
            </w:pPr>
          </w:p>
        </w:tc>
        <w:tc>
          <w:tcPr>
            <w:tcW w:w="687" w:type="pct"/>
            <w:tcBorders>
              <w:bottom w:val="single" w:color="auto" w:sz="4" w:space="0"/>
            </w:tcBorders>
            <w:shd w:val="clear" w:color="auto" w:fill="auto"/>
          </w:tcPr>
          <w:p w:rsidR="00074364" w:rsidRDefault="005D1369" w14:paraId="2C986A6C" w14:textId="77777777">
            <w:pPr>
              <w:jc w:val="right"/>
              <w:rPr>
                <w:b/>
                <w:sz w:val="26"/>
                <w:szCs w:val="26"/>
              </w:rPr>
            </w:pPr>
            <w:r>
              <w:rPr>
                <w:b/>
                <w:sz w:val="26"/>
                <w:szCs w:val="26"/>
              </w:rPr>
              <w:t>480</w:t>
            </w:r>
          </w:p>
        </w:tc>
        <w:tc>
          <w:tcPr>
            <w:tcW w:w="638" w:type="pct"/>
            <w:tcBorders>
              <w:bottom w:val="single" w:color="auto" w:sz="4" w:space="0"/>
            </w:tcBorders>
            <w:shd w:val="clear" w:color="auto" w:fill="D9D9D9"/>
          </w:tcPr>
          <w:p w:rsidR="00074364" w:rsidRDefault="00074364" w14:paraId="6E378A06" w14:textId="77777777">
            <w:pPr>
              <w:jc w:val="right"/>
              <w:rPr>
                <w:sz w:val="26"/>
                <w:szCs w:val="26"/>
              </w:rPr>
            </w:pPr>
          </w:p>
        </w:tc>
        <w:tc>
          <w:tcPr>
            <w:tcW w:w="641" w:type="pct"/>
            <w:tcBorders>
              <w:bottom w:val="single" w:color="auto" w:sz="4" w:space="0"/>
            </w:tcBorders>
          </w:tcPr>
          <w:p w:rsidR="00074364" w:rsidRDefault="005D1369" w14:paraId="63B6EB62" w14:textId="77777777">
            <w:pPr>
              <w:jc w:val="right"/>
              <w:rPr>
                <w:b/>
                <w:sz w:val="26"/>
                <w:szCs w:val="26"/>
              </w:rPr>
            </w:pPr>
            <w:r>
              <w:rPr>
                <w:b/>
                <w:sz w:val="26"/>
                <w:szCs w:val="26"/>
              </w:rPr>
              <w:t>6,000 hrs.;</w:t>
            </w:r>
          </w:p>
          <w:p w:rsidR="00074364" w:rsidRDefault="005D1369" w14:paraId="7B70FB52" w14:textId="77777777">
            <w:pPr>
              <w:jc w:val="right"/>
              <w:rPr>
                <w:b/>
                <w:sz w:val="26"/>
                <w:szCs w:val="26"/>
              </w:rPr>
            </w:pPr>
            <w:r>
              <w:rPr>
                <w:b/>
                <w:sz w:val="26"/>
                <w:szCs w:val="26"/>
              </w:rPr>
              <w:t>$543,840</w:t>
            </w:r>
          </w:p>
        </w:tc>
        <w:tc>
          <w:tcPr>
            <w:tcW w:w="663" w:type="pct"/>
            <w:tcBorders>
              <w:bottom w:val="single" w:color="auto" w:sz="4" w:space="0"/>
            </w:tcBorders>
            <w:shd w:val="clear" w:color="auto" w:fill="D9D9D9"/>
          </w:tcPr>
          <w:p w:rsidR="00074364" w:rsidRDefault="00074364" w14:paraId="38666822" w14:textId="77777777">
            <w:pPr>
              <w:jc w:val="right"/>
              <w:rPr>
                <w:b/>
                <w:sz w:val="26"/>
                <w:szCs w:val="26"/>
              </w:rPr>
            </w:pPr>
          </w:p>
        </w:tc>
      </w:tr>
    </w:tbl>
    <w:p w:rsidR="00074364" w:rsidRDefault="00074364" w14:paraId="1541C0A6" w14:textId="77777777">
      <w:pPr>
        <w:jc w:val="right"/>
        <w:rPr>
          <w:sz w:val="26"/>
          <w:szCs w:val="26"/>
        </w:rPr>
      </w:pPr>
    </w:p>
    <w:p w:rsidR="00074364" w:rsidRDefault="005D1369" w14:paraId="08A69E73" w14:textId="77777777">
      <w:pPr>
        <w:rPr>
          <w:sz w:val="26"/>
          <w:szCs w:val="26"/>
        </w:rPr>
      </w:pPr>
      <w:r>
        <w:rPr>
          <w:sz w:val="26"/>
          <w:szCs w:val="26"/>
        </w:rPr>
        <w:t>This burden estimate comprises the entirety of the FERC Form No. 549D information collection burden.  The total annual burden (6,000 hours) includes all of the ongoing burden for this collection.</w:t>
      </w:r>
    </w:p>
    <w:p w:rsidR="00074364" w:rsidRDefault="00074364" w14:paraId="7B1960F0" w14:textId="77777777">
      <w:pPr>
        <w:rPr>
          <w:sz w:val="26"/>
          <w:szCs w:val="26"/>
        </w:rPr>
      </w:pPr>
    </w:p>
    <w:p w:rsidR="00074364" w:rsidRDefault="005D1369" w14:paraId="17A8DC1D" w14:textId="77777777">
      <w:pPr>
        <w:rPr>
          <w:b/>
          <w:sz w:val="26"/>
          <w:szCs w:val="26"/>
        </w:rPr>
      </w:pPr>
      <w:r>
        <w:rPr>
          <w:b/>
          <w:sz w:val="26"/>
          <w:szCs w:val="26"/>
        </w:rPr>
        <w:t>13. ESTIMATE OF THE TOTAL ANNUAL COST BURDEN TO RESPONDENTS</w:t>
      </w:r>
    </w:p>
    <w:p w:rsidR="00074364" w:rsidRDefault="00074364" w14:paraId="44110101" w14:textId="77777777">
      <w:pPr>
        <w:rPr>
          <w:sz w:val="26"/>
          <w:szCs w:val="26"/>
        </w:rPr>
      </w:pPr>
    </w:p>
    <w:p w:rsidR="00074364" w:rsidRDefault="005D1369" w14:paraId="5B604D3E" w14:textId="77777777">
      <w:pPr>
        <w:rPr>
          <w:sz w:val="26"/>
          <w:szCs w:val="26"/>
        </w:rPr>
      </w:pPr>
      <w:r>
        <w:rPr>
          <w:sz w:val="26"/>
          <w:szCs w:val="26"/>
        </w:rPr>
        <w:t>There are no capital or start-up costs associated with this collection.  All of the costs are associated with the burden hours and accounted for in Question #12.</w:t>
      </w:r>
    </w:p>
    <w:p w:rsidR="00074364" w:rsidRDefault="00074364" w14:paraId="1880211D" w14:textId="77777777">
      <w:pPr>
        <w:rPr>
          <w:sz w:val="26"/>
          <w:szCs w:val="26"/>
        </w:rPr>
      </w:pPr>
    </w:p>
    <w:p w:rsidR="00074364" w:rsidRDefault="005D1369" w14:paraId="068303FF" w14:textId="77777777">
      <w:pPr>
        <w:rPr>
          <w:b/>
          <w:sz w:val="26"/>
          <w:szCs w:val="26"/>
        </w:rPr>
      </w:pPr>
      <w:r>
        <w:rPr>
          <w:b/>
          <w:sz w:val="26"/>
          <w:szCs w:val="26"/>
        </w:rPr>
        <w:t>14. ESTIMATE OF THE TOTAL ANNUAL COST TO FEDERAL GOVERNMENT</w:t>
      </w:r>
    </w:p>
    <w:p w:rsidR="00074364" w:rsidRDefault="00074364" w14:paraId="6B3CF26D" w14:textId="77777777">
      <w:pPr>
        <w:spacing w:line="20" w:lineRule="atLeast"/>
        <w:rPr>
          <w:sz w:val="26"/>
          <w:szCs w:val="26"/>
        </w:rPr>
      </w:pPr>
    </w:p>
    <w:p w:rsidR="00074364" w:rsidRDefault="005D1369" w14:paraId="1C2D208F" w14:textId="77777777">
      <w:pPr>
        <w:spacing w:line="20" w:lineRule="atLeast"/>
        <w:rPr>
          <w:sz w:val="26"/>
          <w:szCs w:val="26"/>
        </w:rPr>
      </w:pPr>
      <w:r>
        <w:rPr>
          <w:sz w:val="26"/>
          <w:szCs w:val="26"/>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rsidR="00074364" w:rsidRDefault="00074364" w14:paraId="0A46C33A" w14:textId="77777777">
      <w:pPr>
        <w:spacing w:line="20" w:lineRule="atLeast"/>
        <w:rPr>
          <w:sz w:val="26"/>
          <w:szCs w:val="26"/>
        </w:rPr>
      </w:pPr>
    </w:p>
    <w:p w:rsidR="00074364" w:rsidRDefault="005D1369" w14:paraId="57BC412A" w14:textId="77777777">
      <w:pPr>
        <w:spacing w:line="20" w:lineRule="atLeast"/>
        <w:rPr>
          <w:sz w:val="26"/>
          <w:szCs w:val="26"/>
        </w:rPr>
      </w:pPr>
      <w:r>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074364" w:rsidRDefault="00074364" w14:paraId="6C1CD1D4" w14:textId="77777777">
      <w:pPr>
        <w:tabs>
          <w:tab w:val="left" w:pos="-1440"/>
        </w:tabs>
        <w:rPr>
          <w:b/>
          <w:bCs/>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074364" w14:paraId="0D777F9A"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00074364" w:rsidRDefault="00074364" w14:paraId="28AAAF99" w14:textId="77777777">
            <w:pPr>
              <w:rPr>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074364" w:rsidRDefault="005D1369" w14:paraId="371F448B" w14:textId="77777777">
            <w:pPr>
              <w:rPr>
                <w:b/>
                <w:sz w:val="26"/>
                <w:szCs w:val="26"/>
              </w:rPr>
            </w:pPr>
            <w:r>
              <w:rPr>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074364" w:rsidRDefault="005D1369" w14:paraId="459558AB" w14:textId="77777777">
            <w:pPr>
              <w:rPr>
                <w:b/>
                <w:sz w:val="26"/>
                <w:szCs w:val="26"/>
              </w:rPr>
            </w:pPr>
            <w:r>
              <w:rPr>
                <w:b/>
                <w:sz w:val="26"/>
                <w:szCs w:val="26"/>
              </w:rPr>
              <w:t>Estimated Annual Federal Cost</w:t>
            </w:r>
          </w:p>
        </w:tc>
      </w:tr>
      <w:tr w:rsidR="00074364" w14:paraId="2DCB6FB1" w14:textId="77777777">
        <w:tc>
          <w:tcPr>
            <w:tcW w:w="3182" w:type="dxa"/>
            <w:tcBorders>
              <w:top w:val="single" w:color="auto" w:sz="4" w:space="0"/>
              <w:left w:val="single" w:color="auto" w:sz="4" w:space="0"/>
              <w:bottom w:val="single" w:color="auto" w:sz="4" w:space="0"/>
              <w:right w:val="single" w:color="auto" w:sz="4" w:space="0"/>
            </w:tcBorders>
            <w:hideMark/>
          </w:tcPr>
          <w:p w:rsidR="00074364" w:rsidRDefault="005D1369" w14:paraId="3C66E481" w14:textId="77777777">
            <w:pPr>
              <w:rPr>
                <w:sz w:val="26"/>
                <w:szCs w:val="26"/>
              </w:rPr>
            </w:pPr>
            <w:r>
              <w:rPr>
                <w:sz w:val="26"/>
                <w:szCs w:val="26"/>
              </w:rPr>
              <w:t>Analysis and Processing of filings</w:t>
            </w:r>
            <w:r>
              <w:rPr>
                <w:rStyle w:val="FootnoteReference"/>
                <w:sz w:val="26"/>
                <w:szCs w:val="26"/>
                <w:vertAlign w:val="superscript"/>
              </w:rPr>
              <w:footnoteReference w:id="10"/>
            </w:r>
          </w:p>
        </w:tc>
        <w:tc>
          <w:tcPr>
            <w:tcW w:w="3201" w:type="dxa"/>
            <w:tcBorders>
              <w:top w:val="single" w:color="auto" w:sz="4" w:space="0"/>
              <w:left w:val="single" w:color="auto" w:sz="4" w:space="0"/>
              <w:bottom w:val="single" w:color="auto" w:sz="4" w:space="0"/>
              <w:right w:val="single" w:color="auto" w:sz="4" w:space="0"/>
            </w:tcBorders>
            <w:vAlign w:val="bottom"/>
            <w:hideMark/>
          </w:tcPr>
          <w:p w:rsidR="00074364" w:rsidRDefault="005D1369" w14:paraId="5258ED1F" w14:textId="77777777">
            <w:pPr>
              <w:jc w:val="right"/>
              <w:rPr>
                <w:sz w:val="26"/>
                <w:szCs w:val="26"/>
              </w:rPr>
            </w:pPr>
            <w:r>
              <w:rPr>
                <w:sz w:val="26"/>
                <w:szCs w:val="26"/>
              </w:rPr>
              <w:t>1</w:t>
            </w:r>
          </w:p>
        </w:tc>
        <w:tc>
          <w:tcPr>
            <w:tcW w:w="2995" w:type="dxa"/>
            <w:tcBorders>
              <w:top w:val="single" w:color="auto" w:sz="4" w:space="0"/>
              <w:left w:val="single" w:color="auto" w:sz="4" w:space="0"/>
              <w:bottom w:val="single" w:color="auto" w:sz="4" w:space="0"/>
              <w:right w:val="single" w:color="auto" w:sz="4" w:space="0"/>
            </w:tcBorders>
            <w:vAlign w:val="bottom"/>
            <w:hideMark/>
          </w:tcPr>
          <w:p w:rsidR="00074364" w:rsidRDefault="005D1369" w14:paraId="388DAA4F" w14:textId="77777777">
            <w:pPr>
              <w:jc w:val="right"/>
              <w:rPr>
                <w:sz w:val="26"/>
                <w:szCs w:val="26"/>
              </w:rPr>
            </w:pPr>
            <w:r>
              <w:rPr>
                <w:sz w:val="26"/>
                <w:szCs w:val="26"/>
              </w:rPr>
              <w:t xml:space="preserve">$167,091  </w:t>
            </w:r>
          </w:p>
        </w:tc>
      </w:tr>
      <w:tr w:rsidR="00074364" w14:paraId="68E53F35" w14:textId="77777777">
        <w:tc>
          <w:tcPr>
            <w:tcW w:w="3182" w:type="dxa"/>
            <w:tcBorders>
              <w:top w:val="single" w:color="auto" w:sz="4" w:space="0"/>
              <w:left w:val="single" w:color="auto" w:sz="4" w:space="0"/>
              <w:bottom w:val="single" w:color="auto" w:sz="4" w:space="0"/>
              <w:right w:val="single" w:color="auto" w:sz="4" w:space="0"/>
            </w:tcBorders>
            <w:hideMark/>
          </w:tcPr>
          <w:p w:rsidR="00074364" w:rsidRDefault="005D1369" w14:paraId="7088AEB7" w14:textId="77777777">
            <w:pPr>
              <w:rPr>
                <w:sz w:val="26"/>
                <w:szCs w:val="26"/>
              </w:rPr>
            </w:pPr>
            <w:r>
              <w:rPr>
                <w:sz w:val="26"/>
                <w:szCs w:val="26"/>
              </w:rPr>
              <w:t>PRA</w:t>
            </w:r>
            <w:r>
              <w:rPr>
                <w:rStyle w:val="FootnoteReference"/>
                <w:sz w:val="26"/>
                <w:szCs w:val="26"/>
                <w:vertAlign w:val="superscript"/>
              </w:rPr>
              <w:footnoteReference w:id="11"/>
            </w:r>
            <w:r>
              <w:rPr>
                <w:sz w:val="26"/>
                <w:szCs w:val="26"/>
              </w:rPr>
              <w:t xml:space="preserve"> Administrative Cost</w:t>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00074364" w:rsidRDefault="00074364" w14:paraId="46A3A561" w14:textId="77777777">
            <w:pPr>
              <w:jc w:val="right"/>
              <w:rPr>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074364" w:rsidRDefault="005D1369" w14:paraId="0F0C60AB" w14:textId="77777777">
            <w:pPr>
              <w:jc w:val="right"/>
              <w:rPr>
                <w:sz w:val="26"/>
                <w:szCs w:val="26"/>
              </w:rPr>
            </w:pPr>
            <w:r>
              <w:rPr>
                <w:sz w:val="26"/>
                <w:szCs w:val="26"/>
              </w:rPr>
              <w:t>$4,832</w:t>
            </w:r>
          </w:p>
        </w:tc>
      </w:tr>
      <w:tr w:rsidR="00074364" w14:paraId="163863CE" w14:textId="77777777">
        <w:tc>
          <w:tcPr>
            <w:tcW w:w="3182" w:type="dxa"/>
            <w:tcBorders>
              <w:top w:val="single" w:color="auto" w:sz="4" w:space="0"/>
              <w:left w:val="single" w:color="auto" w:sz="4" w:space="0"/>
              <w:bottom w:val="single" w:color="auto" w:sz="4" w:space="0"/>
              <w:right w:val="single" w:color="auto" w:sz="4" w:space="0"/>
            </w:tcBorders>
            <w:hideMark/>
          </w:tcPr>
          <w:p w:rsidR="00074364" w:rsidRDefault="005D1369" w14:paraId="3DB6D235" w14:textId="77777777">
            <w:pPr>
              <w:rPr>
                <w:b/>
                <w:sz w:val="26"/>
                <w:szCs w:val="26"/>
              </w:rPr>
            </w:pPr>
            <w:r>
              <w:rPr>
                <w:b/>
                <w:sz w:val="26"/>
                <w:szCs w:val="26"/>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074364" w:rsidRDefault="00074364" w14:paraId="29AB220F" w14:textId="77777777">
            <w:pPr>
              <w:rPr>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074364" w:rsidRDefault="005D1369" w14:paraId="25465505" w14:textId="77777777">
            <w:pPr>
              <w:jc w:val="right"/>
              <w:rPr>
                <w:sz w:val="26"/>
                <w:szCs w:val="26"/>
              </w:rPr>
            </w:pPr>
            <w:r>
              <w:rPr>
                <w:sz w:val="26"/>
                <w:szCs w:val="26"/>
              </w:rPr>
              <w:t xml:space="preserve">$171,923 </w:t>
            </w:r>
          </w:p>
        </w:tc>
      </w:tr>
    </w:tbl>
    <w:p w:rsidR="00074364" w:rsidRDefault="00074364" w14:paraId="0C599827" w14:textId="77777777">
      <w:pPr>
        <w:rPr>
          <w:b/>
          <w:bCs/>
          <w:sz w:val="26"/>
          <w:szCs w:val="26"/>
        </w:rPr>
      </w:pPr>
    </w:p>
    <w:p w:rsidR="00074364" w:rsidRDefault="005D1369" w14:paraId="642EBA20" w14:textId="77777777">
      <w:pPr>
        <w:tabs>
          <w:tab w:val="left" w:pos="-1440"/>
        </w:tabs>
        <w:ind w:left="720" w:hanging="720"/>
        <w:rPr>
          <w:b/>
          <w:bCs/>
          <w:sz w:val="26"/>
          <w:szCs w:val="26"/>
        </w:rPr>
      </w:pPr>
      <w:r>
        <w:rPr>
          <w:b/>
          <w:bCs/>
          <w:sz w:val="26"/>
          <w:szCs w:val="26"/>
        </w:rPr>
        <w:t>15.</w:t>
      </w:r>
      <w:r>
        <w:rPr>
          <w:b/>
          <w:bCs/>
          <w:sz w:val="26"/>
          <w:szCs w:val="26"/>
        </w:rPr>
        <w:tab/>
        <w:t>REASONS FOR CHANGES IN BURDEN INCLUDING THE NEED FOR ANY INCREASE</w:t>
      </w:r>
    </w:p>
    <w:p w:rsidR="00074364" w:rsidRDefault="00074364" w14:paraId="6FA75309" w14:textId="77777777">
      <w:pPr>
        <w:rPr>
          <w:sz w:val="26"/>
          <w:szCs w:val="26"/>
        </w:rPr>
      </w:pPr>
    </w:p>
    <w:p w:rsidR="00B14995" w:rsidP="002A0060" w:rsidRDefault="00B14995" w14:paraId="1E5530B6" w14:textId="3D8ED8E7">
      <w:pPr>
        <w:rPr>
          <w:sz w:val="26"/>
          <w:szCs w:val="26"/>
        </w:rPr>
      </w:pPr>
      <w:r>
        <w:rPr>
          <w:sz w:val="26"/>
          <w:szCs w:val="26"/>
        </w:rPr>
        <w:t xml:space="preserve">There have been two adjustments in the estimated annual burden. </w:t>
      </w:r>
    </w:p>
    <w:p w:rsidR="00B14995" w:rsidP="002A0060" w:rsidRDefault="00B14995" w14:paraId="7064362F" w14:textId="77777777">
      <w:pPr>
        <w:rPr>
          <w:sz w:val="26"/>
          <w:szCs w:val="26"/>
        </w:rPr>
      </w:pPr>
    </w:p>
    <w:p w:rsidR="00130810" w:rsidP="002A0060" w:rsidRDefault="00B14995" w14:paraId="35D1E52D" w14:textId="02C59BD0">
      <w:pPr>
        <w:rPr>
          <w:sz w:val="26"/>
          <w:szCs w:val="26"/>
        </w:rPr>
      </w:pPr>
      <w:r>
        <w:rPr>
          <w:sz w:val="26"/>
          <w:szCs w:val="26"/>
        </w:rPr>
        <w:t>First, t</w:t>
      </w:r>
      <w:r w:rsidRPr="00542489" w:rsidR="008462A2">
        <w:rPr>
          <w:sz w:val="26"/>
          <w:szCs w:val="26"/>
        </w:rPr>
        <w:t xml:space="preserve">he </w:t>
      </w:r>
      <w:r>
        <w:rPr>
          <w:sz w:val="26"/>
          <w:szCs w:val="26"/>
        </w:rPr>
        <w:t xml:space="preserve">estimated </w:t>
      </w:r>
      <w:r w:rsidRPr="00542489" w:rsidR="008462A2">
        <w:rPr>
          <w:sz w:val="26"/>
          <w:szCs w:val="26"/>
        </w:rPr>
        <w:t xml:space="preserve"> number of respondents </w:t>
      </w:r>
      <w:r>
        <w:rPr>
          <w:sz w:val="26"/>
          <w:szCs w:val="26"/>
        </w:rPr>
        <w:t xml:space="preserve">has </w:t>
      </w:r>
      <w:r w:rsidRPr="00542489" w:rsidR="008462A2">
        <w:rPr>
          <w:sz w:val="26"/>
          <w:szCs w:val="26"/>
        </w:rPr>
        <w:t>increased from 109 to 120</w:t>
      </w:r>
      <w:r w:rsidR="00130810">
        <w:rPr>
          <w:sz w:val="26"/>
          <w:szCs w:val="26"/>
        </w:rPr>
        <w:t xml:space="preserve">.  That increase reflects the Commission’s recent experience with this information collection, and is </w:t>
      </w:r>
      <w:r w:rsidRPr="00DF54C5" w:rsidR="002A0060">
        <w:rPr>
          <w:sz w:val="26"/>
          <w:szCs w:val="26"/>
        </w:rPr>
        <w:t xml:space="preserve"> likely due to </w:t>
      </w:r>
      <w:r w:rsidR="00130810">
        <w:rPr>
          <w:sz w:val="26"/>
          <w:szCs w:val="26"/>
        </w:rPr>
        <w:t xml:space="preserve">an </w:t>
      </w:r>
      <w:r w:rsidRPr="00DF54C5" w:rsidR="002A0060">
        <w:rPr>
          <w:sz w:val="26"/>
          <w:szCs w:val="26"/>
        </w:rPr>
        <w:t xml:space="preserve"> increase in Section 311 intrastate and Hinshaw pipelines that have come under FERC jurisdiction over the last three years.</w:t>
      </w:r>
      <w:r w:rsidR="00130810">
        <w:rPr>
          <w:sz w:val="26"/>
          <w:szCs w:val="26"/>
        </w:rPr>
        <w:t xml:space="preserve">  This adjustment results in an increase in the estimated number of responses </w:t>
      </w:r>
      <w:r w:rsidRPr="00DF54C5" w:rsidR="00130810">
        <w:rPr>
          <w:sz w:val="26"/>
          <w:szCs w:val="26"/>
        </w:rPr>
        <w:t xml:space="preserve">from 436 to 480 </w:t>
      </w:r>
      <w:r w:rsidR="00130810">
        <w:rPr>
          <w:sz w:val="26"/>
          <w:szCs w:val="26"/>
        </w:rPr>
        <w:t>annually.</w:t>
      </w:r>
    </w:p>
    <w:p w:rsidR="00130810" w:rsidP="002A0060" w:rsidRDefault="00130810" w14:paraId="6D102310" w14:textId="77777777">
      <w:pPr>
        <w:rPr>
          <w:sz w:val="26"/>
          <w:szCs w:val="26"/>
        </w:rPr>
      </w:pPr>
    </w:p>
    <w:p w:rsidR="00542489" w:rsidP="002A0060" w:rsidRDefault="00B14995" w14:paraId="5F55DC42" w14:textId="5128699D">
      <w:pPr>
        <w:rPr>
          <w:sz w:val="26"/>
          <w:szCs w:val="26"/>
        </w:rPr>
      </w:pPr>
      <w:r>
        <w:rPr>
          <w:sz w:val="26"/>
          <w:szCs w:val="26"/>
        </w:rPr>
        <w:t xml:space="preserve">Second, </w:t>
      </w:r>
      <w:r w:rsidR="00130810">
        <w:rPr>
          <w:sz w:val="26"/>
          <w:szCs w:val="26"/>
        </w:rPr>
        <w:t xml:space="preserve">the Commission has adjusted the number of hours per response.  Three years ago, the Commission estimated </w:t>
      </w:r>
      <w:r w:rsidR="00243F24">
        <w:rPr>
          <w:sz w:val="26"/>
          <w:szCs w:val="26"/>
        </w:rPr>
        <w:t>10 hours per XML</w:t>
      </w:r>
      <w:r w:rsidR="00263CAC">
        <w:rPr>
          <w:sz w:val="26"/>
          <w:szCs w:val="26"/>
        </w:rPr>
        <w:t xml:space="preserve"> response and 12.5 hours per PDF response.  </w:t>
      </w:r>
      <w:r w:rsidR="00243F24">
        <w:rPr>
          <w:sz w:val="26"/>
          <w:szCs w:val="26"/>
        </w:rPr>
        <w:t xml:space="preserve"> </w:t>
      </w:r>
      <w:r w:rsidR="00263CAC">
        <w:rPr>
          <w:sz w:val="26"/>
          <w:szCs w:val="26"/>
        </w:rPr>
        <w:t>The Commission has determined that either type of filing takes 12.5 hours per response, and has adjusted the hours per response accordingly</w:t>
      </w:r>
      <w:r w:rsidR="00FE13C8">
        <w:rPr>
          <w:sz w:val="26"/>
          <w:szCs w:val="26"/>
        </w:rPr>
        <w:t xml:space="preserve">, with </w:t>
      </w:r>
      <w:r w:rsidR="00D72DD2">
        <w:rPr>
          <w:sz w:val="26"/>
          <w:szCs w:val="26"/>
        </w:rPr>
        <w:t>appropriate adjustments in the total burdens</w:t>
      </w:r>
      <w:r w:rsidR="00263CAC">
        <w:rPr>
          <w:sz w:val="26"/>
          <w:szCs w:val="26"/>
        </w:rPr>
        <w:t>.</w:t>
      </w:r>
    </w:p>
    <w:p w:rsidR="00D72DD2" w:rsidP="002A0060" w:rsidRDefault="00D72DD2" w14:paraId="18053D53" w14:textId="1C0E6907">
      <w:pPr>
        <w:rPr>
          <w:sz w:val="26"/>
          <w:szCs w:val="26"/>
        </w:rPr>
      </w:pPr>
    </w:p>
    <w:p w:rsidR="00D72DD2" w:rsidP="00D72DD2" w:rsidRDefault="00D72DD2" w14:paraId="7EFF58D8" w14:textId="77777777">
      <w:pPr>
        <w:rPr>
          <w:sz w:val="26"/>
          <w:szCs w:val="26"/>
        </w:rPr>
      </w:pPr>
      <w:r>
        <w:rPr>
          <w:sz w:val="26"/>
          <w:szCs w:val="26"/>
        </w:rPr>
        <w:t>The adjustments are summarized in the following table.</w:t>
      </w:r>
    </w:p>
    <w:p w:rsidRPr="00542489" w:rsidR="00074364" w:rsidP="002A0060" w:rsidRDefault="002A0060" w14:paraId="01297251" w14:textId="5A393291">
      <w:pPr>
        <w:rPr>
          <w:sz w:val="26"/>
          <w:szCs w:val="26"/>
        </w:rPr>
      </w:pPr>
      <w:r w:rsidRPr="00DF54C5">
        <w:rPr>
          <w:sz w:val="26"/>
          <w:szCs w:val="26"/>
        </w:rPr>
        <w:t xml:space="preserve"> </w:t>
      </w:r>
    </w:p>
    <w:tbl>
      <w:tblPr>
        <w:tblW w:w="10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958"/>
        <w:gridCol w:w="1960"/>
      </w:tblGrid>
      <w:tr w:rsidR="00074364" w14:paraId="3FD0509E" w14:textId="77777777">
        <w:trPr>
          <w:trHeight w:val="870"/>
        </w:trPr>
        <w:tc>
          <w:tcPr>
            <w:tcW w:w="2589" w:type="dxa"/>
            <w:shd w:val="clear" w:color="auto" w:fill="D9D9D9"/>
            <w:vAlign w:val="bottom"/>
          </w:tcPr>
          <w:p w:rsidR="00074364" w:rsidRDefault="005D1369" w14:paraId="454BEEEC" w14:textId="77777777">
            <w:pPr>
              <w:ind w:hanging="18"/>
              <w:jc w:val="center"/>
              <w:rPr>
                <w:b/>
                <w:sz w:val="26"/>
                <w:szCs w:val="26"/>
              </w:rPr>
            </w:pPr>
            <w:r>
              <w:rPr>
                <w:b/>
                <w:sz w:val="26"/>
                <w:szCs w:val="26"/>
              </w:rPr>
              <w:t>FERC Form No. 549D</w:t>
            </w:r>
          </w:p>
        </w:tc>
        <w:tc>
          <w:tcPr>
            <w:tcW w:w="1779" w:type="dxa"/>
            <w:shd w:val="clear" w:color="auto" w:fill="D9D9D9"/>
            <w:vAlign w:val="bottom"/>
          </w:tcPr>
          <w:p w:rsidR="00074364" w:rsidRDefault="005D1369" w14:paraId="0D19BC4D" w14:textId="77777777">
            <w:pPr>
              <w:ind w:firstLine="1"/>
              <w:jc w:val="center"/>
              <w:rPr>
                <w:b/>
                <w:sz w:val="26"/>
                <w:szCs w:val="26"/>
              </w:rPr>
            </w:pPr>
            <w:r>
              <w:rPr>
                <w:b/>
                <w:sz w:val="26"/>
                <w:szCs w:val="26"/>
              </w:rPr>
              <w:t>Total Request</w:t>
            </w:r>
          </w:p>
        </w:tc>
        <w:tc>
          <w:tcPr>
            <w:tcW w:w="1959" w:type="dxa"/>
            <w:shd w:val="clear" w:color="auto" w:fill="D9D9D9"/>
            <w:vAlign w:val="bottom"/>
          </w:tcPr>
          <w:p w:rsidR="00074364" w:rsidRDefault="005D1369" w14:paraId="2F5988A0" w14:textId="77777777">
            <w:pPr>
              <w:jc w:val="center"/>
              <w:rPr>
                <w:b/>
                <w:sz w:val="26"/>
                <w:szCs w:val="26"/>
              </w:rPr>
            </w:pPr>
            <w:r>
              <w:rPr>
                <w:b/>
                <w:sz w:val="26"/>
                <w:szCs w:val="26"/>
              </w:rPr>
              <w:t>Previously Approved</w:t>
            </w:r>
          </w:p>
        </w:tc>
        <w:tc>
          <w:tcPr>
            <w:tcW w:w="1958" w:type="dxa"/>
            <w:shd w:val="clear" w:color="auto" w:fill="D9D9D9"/>
            <w:vAlign w:val="bottom"/>
          </w:tcPr>
          <w:p w:rsidR="00074364" w:rsidRDefault="005D1369" w14:paraId="18DB33E0" w14:textId="77777777">
            <w:pPr>
              <w:jc w:val="center"/>
              <w:rPr>
                <w:b/>
                <w:sz w:val="26"/>
                <w:szCs w:val="26"/>
              </w:rPr>
            </w:pPr>
            <w:r>
              <w:rPr>
                <w:b/>
                <w:sz w:val="26"/>
                <w:szCs w:val="26"/>
              </w:rPr>
              <w:t>Change due to Adjustment in Estimate</w:t>
            </w:r>
          </w:p>
        </w:tc>
        <w:tc>
          <w:tcPr>
            <w:tcW w:w="1960" w:type="dxa"/>
            <w:shd w:val="clear" w:color="auto" w:fill="D9D9D9"/>
            <w:vAlign w:val="bottom"/>
          </w:tcPr>
          <w:p w:rsidR="00074364" w:rsidRDefault="005D1369" w14:paraId="2C61D25F" w14:textId="77777777">
            <w:pPr>
              <w:jc w:val="center"/>
              <w:rPr>
                <w:b/>
                <w:sz w:val="26"/>
                <w:szCs w:val="26"/>
              </w:rPr>
            </w:pPr>
            <w:r>
              <w:rPr>
                <w:b/>
                <w:sz w:val="26"/>
                <w:szCs w:val="26"/>
              </w:rPr>
              <w:t>Change Due to Agency Discretion</w:t>
            </w:r>
          </w:p>
        </w:tc>
      </w:tr>
      <w:tr w:rsidR="00074364" w14:paraId="6E80A16A" w14:textId="77777777">
        <w:trPr>
          <w:trHeight w:val="591"/>
        </w:trPr>
        <w:tc>
          <w:tcPr>
            <w:tcW w:w="2589" w:type="dxa"/>
          </w:tcPr>
          <w:p w:rsidR="00074364" w:rsidRDefault="005D1369" w14:paraId="35B18987" w14:textId="77777777">
            <w:pPr>
              <w:ind w:left="-18"/>
              <w:jc w:val="center"/>
              <w:rPr>
                <w:sz w:val="26"/>
                <w:szCs w:val="26"/>
              </w:rPr>
            </w:pPr>
            <w:r>
              <w:rPr>
                <w:sz w:val="26"/>
                <w:szCs w:val="26"/>
              </w:rPr>
              <w:t xml:space="preserve">Average </w:t>
            </w:r>
          </w:p>
          <w:p w:rsidR="00074364" w:rsidRDefault="005D1369" w14:paraId="76F5C87F" w14:textId="77777777">
            <w:pPr>
              <w:ind w:left="-18"/>
              <w:jc w:val="center"/>
              <w:rPr>
                <w:sz w:val="26"/>
                <w:szCs w:val="26"/>
              </w:rPr>
            </w:pPr>
            <w:r>
              <w:rPr>
                <w:sz w:val="26"/>
                <w:szCs w:val="26"/>
              </w:rPr>
              <w:t>Annual Number of Responses</w:t>
            </w:r>
          </w:p>
        </w:tc>
        <w:tc>
          <w:tcPr>
            <w:tcW w:w="1779" w:type="dxa"/>
            <w:vAlign w:val="center"/>
          </w:tcPr>
          <w:p w:rsidR="00074364" w:rsidRDefault="005D1369" w14:paraId="4E19A2C7" w14:textId="77777777">
            <w:pPr>
              <w:ind w:firstLine="3"/>
              <w:jc w:val="right"/>
              <w:rPr>
                <w:sz w:val="26"/>
                <w:szCs w:val="26"/>
              </w:rPr>
            </w:pPr>
            <w:r>
              <w:rPr>
                <w:sz w:val="26"/>
                <w:szCs w:val="26"/>
              </w:rPr>
              <w:t>480</w:t>
            </w:r>
          </w:p>
        </w:tc>
        <w:tc>
          <w:tcPr>
            <w:tcW w:w="1959" w:type="dxa"/>
            <w:vAlign w:val="center"/>
          </w:tcPr>
          <w:p w:rsidR="00074364" w:rsidRDefault="005D1369" w14:paraId="488682D6" w14:textId="77777777">
            <w:pPr>
              <w:ind w:firstLine="3"/>
              <w:jc w:val="right"/>
              <w:rPr>
                <w:sz w:val="26"/>
                <w:szCs w:val="26"/>
              </w:rPr>
            </w:pPr>
            <w:r>
              <w:rPr>
                <w:sz w:val="26"/>
                <w:szCs w:val="26"/>
              </w:rPr>
              <w:t>436</w:t>
            </w:r>
          </w:p>
        </w:tc>
        <w:tc>
          <w:tcPr>
            <w:tcW w:w="1958" w:type="dxa"/>
            <w:vAlign w:val="center"/>
          </w:tcPr>
          <w:p w:rsidR="00074364" w:rsidRDefault="005D1369" w14:paraId="6B561DB6" w14:textId="77777777">
            <w:pPr>
              <w:ind w:firstLine="3"/>
              <w:jc w:val="right"/>
              <w:rPr>
                <w:sz w:val="26"/>
                <w:szCs w:val="26"/>
              </w:rPr>
            </w:pPr>
            <w:r>
              <w:rPr>
                <w:sz w:val="26"/>
                <w:szCs w:val="26"/>
              </w:rPr>
              <w:t>+44</w:t>
            </w:r>
          </w:p>
        </w:tc>
        <w:tc>
          <w:tcPr>
            <w:tcW w:w="1960" w:type="dxa"/>
            <w:vAlign w:val="center"/>
          </w:tcPr>
          <w:p w:rsidR="00074364" w:rsidRDefault="005D1369" w14:paraId="61BEC461" w14:textId="77777777">
            <w:pPr>
              <w:ind w:firstLine="3"/>
              <w:jc w:val="right"/>
              <w:rPr>
                <w:sz w:val="26"/>
                <w:szCs w:val="26"/>
              </w:rPr>
            </w:pPr>
            <w:r>
              <w:rPr>
                <w:sz w:val="26"/>
                <w:szCs w:val="26"/>
              </w:rPr>
              <w:t>0</w:t>
            </w:r>
          </w:p>
        </w:tc>
      </w:tr>
      <w:tr w:rsidR="00074364" w14:paraId="4D8EF56F" w14:textId="77777777">
        <w:trPr>
          <w:trHeight w:val="575"/>
        </w:trPr>
        <w:tc>
          <w:tcPr>
            <w:tcW w:w="2589" w:type="dxa"/>
          </w:tcPr>
          <w:p w:rsidR="00074364" w:rsidRDefault="005D1369" w14:paraId="57BD5A17" w14:textId="77777777">
            <w:pPr>
              <w:jc w:val="center"/>
              <w:rPr>
                <w:sz w:val="26"/>
                <w:szCs w:val="26"/>
              </w:rPr>
            </w:pPr>
            <w:r>
              <w:rPr>
                <w:sz w:val="26"/>
                <w:szCs w:val="26"/>
              </w:rPr>
              <w:t xml:space="preserve">Average </w:t>
            </w:r>
          </w:p>
          <w:p w:rsidR="00074364" w:rsidRDefault="005D1369" w14:paraId="1636047E" w14:textId="77777777">
            <w:pPr>
              <w:jc w:val="center"/>
              <w:rPr>
                <w:sz w:val="26"/>
                <w:szCs w:val="26"/>
              </w:rPr>
            </w:pPr>
            <w:r>
              <w:rPr>
                <w:sz w:val="26"/>
                <w:szCs w:val="26"/>
              </w:rPr>
              <w:t>Annual Time Burden (Hr)</w:t>
            </w:r>
          </w:p>
        </w:tc>
        <w:tc>
          <w:tcPr>
            <w:tcW w:w="1779" w:type="dxa"/>
            <w:vAlign w:val="center"/>
          </w:tcPr>
          <w:p w:rsidR="00074364" w:rsidRDefault="005D1369" w14:paraId="31570AF9" w14:textId="77777777">
            <w:pPr>
              <w:ind w:firstLine="3"/>
              <w:jc w:val="right"/>
              <w:rPr>
                <w:sz w:val="26"/>
                <w:szCs w:val="26"/>
              </w:rPr>
            </w:pPr>
            <w:r>
              <w:rPr>
                <w:sz w:val="26"/>
                <w:szCs w:val="26"/>
              </w:rPr>
              <w:t>6,000</w:t>
            </w:r>
          </w:p>
        </w:tc>
        <w:tc>
          <w:tcPr>
            <w:tcW w:w="1959" w:type="dxa"/>
            <w:vAlign w:val="center"/>
          </w:tcPr>
          <w:p w:rsidR="00074364" w:rsidRDefault="005D1369" w14:paraId="734CCAF2" w14:textId="77777777">
            <w:pPr>
              <w:ind w:firstLine="3"/>
              <w:jc w:val="right"/>
              <w:rPr>
                <w:sz w:val="26"/>
                <w:szCs w:val="26"/>
              </w:rPr>
            </w:pPr>
            <w:r>
              <w:rPr>
                <w:sz w:val="26"/>
                <w:szCs w:val="26"/>
              </w:rPr>
              <w:t>5,120</w:t>
            </w:r>
          </w:p>
        </w:tc>
        <w:tc>
          <w:tcPr>
            <w:tcW w:w="1958" w:type="dxa"/>
            <w:vAlign w:val="center"/>
          </w:tcPr>
          <w:p w:rsidR="00074364" w:rsidRDefault="005D1369" w14:paraId="6412939B" w14:textId="77777777">
            <w:pPr>
              <w:ind w:firstLine="3"/>
              <w:jc w:val="right"/>
              <w:rPr>
                <w:sz w:val="26"/>
                <w:szCs w:val="26"/>
              </w:rPr>
            </w:pPr>
            <w:r>
              <w:rPr>
                <w:sz w:val="26"/>
                <w:szCs w:val="26"/>
              </w:rPr>
              <w:t>+880</w:t>
            </w:r>
          </w:p>
        </w:tc>
        <w:tc>
          <w:tcPr>
            <w:tcW w:w="1960" w:type="dxa"/>
            <w:vAlign w:val="center"/>
          </w:tcPr>
          <w:p w:rsidR="00074364" w:rsidRDefault="005D1369" w14:paraId="37B59E84" w14:textId="77777777">
            <w:pPr>
              <w:ind w:firstLine="3"/>
              <w:jc w:val="right"/>
              <w:rPr>
                <w:sz w:val="26"/>
                <w:szCs w:val="26"/>
              </w:rPr>
            </w:pPr>
            <w:r>
              <w:rPr>
                <w:sz w:val="26"/>
                <w:szCs w:val="26"/>
              </w:rPr>
              <w:t>0</w:t>
            </w:r>
          </w:p>
        </w:tc>
      </w:tr>
    </w:tbl>
    <w:p w:rsidR="00074364" w:rsidRDefault="00074364" w14:paraId="150801AB" w14:textId="77777777">
      <w:pPr>
        <w:rPr>
          <w:sz w:val="26"/>
          <w:szCs w:val="26"/>
        </w:rPr>
      </w:pPr>
    </w:p>
    <w:p w:rsidR="00074364" w:rsidRDefault="005D1369" w14:paraId="6F34ACD9" w14:textId="77777777">
      <w:pPr>
        <w:tabs>
          <w:tab w:val="left" w:pos="-1440"/>
        </w:tabs>
        <w:ind w:left="720" w:hanging="720"/>
        <w:rPr>
          <w:b/>
          <w:bCs/>
          <w:sz w:val="26"/>
          <w:szCs w:val="26"/>
        </w:rPr>
      </w:pPr>
      <w:r>
        <w:rPr>
          <w:b/>
          <w:bCs/>
          <w:sz w:val="26"/>
          <w:szCs w:val="26"/>
        </w:rPr>
        <w:t>16.</w:t>
      </w:r>
      <w:r>
        <w:rPr>
          <w:b/>
          <w:bCs/>
          <w:sz w:val="26"/>
          <w:szCs w:val="26"/>
        </w:rPr>
        <w:tab/>
        <w:t>TIME SCHEDULE FOR THE PUBLICATION OF DATA</w:t>
      </w:r>
    </w:p>
    <w:p w:rsidR="00074364" w:rsidRDefault="00074364" w14:paraId="52D7F5B8" w14:textId="77777777">
      <w:pPr>
        <w:widowControl/>
        <w:autoSpaceDE/>
        <w:autoSpaceDN/>
        <w:adjustRightInd/>
        <w:rPr>
          <w:rFonts w:eastAsia="Calibri"/>
          <w:sz w:val="26"/>
          <w:szCs w:val="26"/>
        </w:rPr>
      </w:pPr>
    </w:p>
    <w:p w:rsidR="00074364" w:rsidRDefault="005D1369" w14:paraId="41FA7B78" w14:textId="77777777">
      <w:pPr>
        <w:widowControl/>
        <w:autoSpaceDE/>
        <w:autoSpaceDN/>
        <w:adjustRightInd/>
        <w:rPr>
          <w:rFonts w:eastAsia="Calibri"/>
          <w:sz w:val="26"/>
          <w:szCs w:val="26"/>
        </w:rPr>
      </w:pPr>
      <w:r>
        <w:rPr>
          <w:rFonts w:eastAsia="Calibri"/>
          <w:sz w:val="26"/>
          <w:szCs w:val="26"/>
        </w:rPr>
        <w:t>There are no publication plans for the collection of information.  The data are used for regulatory purposes only.</w:t>
      </w:r>
    </w:p>
    <w:p w:rsidR="00074364" w:rsidRDefault="00074364" w14:paraId="415F8C73" w14:textId="77777777">
      <w:pPr>
        <w:rPr>
          <w:sz w:val="26"/>
          <w:szCs w:val="26"/>
        </w:rPr>
      </w:pPr>
    </w:p>
    <w:p w:rsidR="00074364" w:rsidRDefault="005D1369" w14:paraId="099BFA29" w14:textId="77777777">
      <w:pPr>
        <w:tabs>
          <w:tab w:val="left" w:pos="-1440"/>
        </w:tabs>
        <w:ind w:left="720" w:hanging="720"/>
        <w:rPr>
          <w:b/>
          <w:bCs/>
          <w:sz w:val="26"/>
          <w:szCs w:val="26"/>
        </w:rPr>
      </w:pPr>
      <w:r>
        <w:rPr>
          <w:b/>
          <w:bCs/>
          <w:sz w:val="26"/>
          <w:szCs w:val="26"/>
        </w:rPr>
        <w:t>17.</w:t>
      </w:r>
      <w:r>
        <w:rPr>
          <w:b/>
          <w:bCs/>
          <w:sz w:val="26"/>
          <w:szCs w:val="26"/>
        </w:rPr>
        <w:tab/>
        <w:t>DISPLAY OF EXPIRATION DATE</w:t>
      </w:r>
    </w:p>
    <w:p w:rsidR="00074364" w:rsidRDefault="00074364" w14:paraId="3FD8BD54" w14:textId="77777777">
      <w:pPr>
        <w:rPr>
          <w:b/>
          <w:bCs/>
          <w:sz w:val="26"/>
          <w:szCs w:val="26"/>
        </w:rPr>
      </w:pPr>
    </w:p>
    <w:p w:rsidR="00074364" w:rsidRDefault="005D1369" w14:paraId="78E40F76" w14:textId="5DF4839B">
      <w:pPr>
        <w:rPr>
          <w:sz w:val="26"/>
          <w:szCs w:val="26"/>
        </w:rPr>
      </w:pPr>
      <w:r>
        <w:rPr>
          <w:sz w:val="26"/>
          <w:szCs w:val="26"/>
        </w:rPr>
        <w:t xml:space="preserve">The Commission collects FERC Form 549D data on a standard, preprinted form which displays the expiration date in the upper right-hand portion of each page of the form. </w:t>
      </w:r>
    </w:p>
    <w:p w:rsidR="00074364" w:rsidRDefault="00074364" w14:paraId="60321ACD" w14:textId="77777777">
      <w:pPr>
        <w:rPr>
          <w:sz w:val="26"/>
          <w:szCs w:val="26"/>
        </w:rPr>
      </w:pPr>
    </w:p>
    <w:p w:rsidR="00074364" w:rsidRDefault="005D1369" w14:paraId="7D3B0AE7" w14:textId="77777777">
      <w:pPr>
        <w:tabs>
          <w:tab w:val="left" w:pos="-1440"/>
        </w:tabs>
        <w:ind w:left="720" w:hanging="720"/>
        <w:rPr>
          <w:b/>
          <w:bCs/>
          <w:sz w:val="26"/>
          <w:szCs w:val="26"/>
        </w:rPr>
      </w:pPr>
      <w:r>
        <w:rPr>
          <w:b/>
          <w:bCs/>
          <w:sz w:val="26"/>
          <w:szCs w:val="26"/>
        </w:rPr>
        <w:t>18.</w:t>
      </w:r>
      <w:r>
        <w:rPr>
          <w:b/>
          <w:bCs/>
          <w:sz w:val="26"/>
          <w:szCs w:val="26"/>
        </w:rPr>
        <w:tab/>
        <w:t>EXCEPTIONS TO THE CERTIFICATION STATEMENT</w:t>
      </w:r>
    </w:p>
    <w:p w:rsidR="00074364" w:rsidRDefault="00074364" w14:paraId="5D1E375A" w14:textId="77777777">
      <w:pPr>
        <w:rPr>
          <w:b/>
          <w:bCs/>
          <w:sz w:val="26"/>
          <w:szCs w:val="26"/>
        </w:rPr>
      </w:pPr>
    </w:p>
    <w:p w:rsidR="00074364" w:rsidRDefault="005D1369" w14:paraId="6B3E6636" w14:textId="77777777">
      <w:pPr>
        <w:rPr>
          <w:sz w:val="26"/>
          <w:szCs w:val="26"/>
        </w:rPr>
      </w:pPr>
      <w:r>
        <w:rPr>
          <w:sz w:val="26"/>
          <w:szCs w:val="26"/>
        </w:rPr>
        <w:t>There are no exceptions.</w:t>
      </w:r>
    </w:p>
    <w:sectPr w:rsidR="0007436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166" w:footer="108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EFCF1" w14:textId="77777777" w:rsidR="003D615A" w:rsidRDefault="003D615A">
      <w:r>
        <w:separator/>
      </w:r>
    </w:p>
  </w:endnote>
  <w:endnote w:type="continuationSeparator" w:id="0">
    <w:p w14:paraId="4C4C23B5" w14:textId="77777777" w:rsidR="003D615A" w:rsidRDefault="003D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4581" w14:textId="77777777" w:rsidR="00AB3D0C" w:rsidRDefault="00AB3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2CE9" w14:textId="77777777" w:rsidR="00074364" w:rsidRDefault="005D1369">
    <w:pPr>
      <w:pStyle w:val="Footer"/>
      <w:jc w:val="center"/>
    </w:pPr>
    <w:r>
      <w:fldChar w:fldCharType="begin"/>
    </w:r>
    <w:r>
      <w:instrText xml:space="preserve"> PAGE   \* MERGEFORMAT </w:instrText>
    </w:r>
    <w:r>
      <w:fldChar w:fldCharType="separate"/>
    </w:r>
    <w:r>
      <w:rPr>
        <w:noProof/>
      </w:rPr>
      <w:t>- 7 -</w:t>
    </w:r>
    <w:r>
      <w:rPr>
        <w:noProof/>
      </w:rPr>
      <w:fldChar w:fldCharType="end"/>
    </w:r>
  </w:p>
  <w:p w14:paraId="661EAA9A" w14:textId="77777777" w:rsidR="00074364" w:rsidRDefault="00074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3AE2" w14:textId="77777777" w:rsidR="00AB3D0C" w:rsidRDefault="00AB3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4BF5" w14:textId="77777777" w:rsidR="003D615A" w:rsidRDefault="003D615A">
      <w:r>
        <w:separator/>
      </w:r>
    </w:p>
  </w:footnote>
  <w:footnote w:type="continuationSeparator" w:id="0">
    <w:p w14:paraId="18A2D13E" w14:textId="77777777" w:rsidR="003D615A" w:rsidRDefault="003D615A">
      <w:r>
        <w:continuationSeparator/>
      </w:r>
    </w:p>
  </w:footnote>
  <w:footnote w:id="1">
    <w:p w14:paraId="434F4283"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18 CFR 284.126</w:t>
      </w:r>
    </w:p>
  </w:footnote>
  <w:footnote w:id="2">
    <w:p w14:paraId="52B761CC"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15 USC 717-817w</w:t>
      </w:r>
    </w:p>
  </w:footnote>
  <w:footnote w:id="3">
    <w:p w14:paraId="602FB084"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15 USC 3301-3432</w:t>
      </w:r>
    </w:p>
  </w:footnote>
  <w:footnote w:id="4">
    <w:p w14:paraId="209396E4"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18 CFR Part 284</w:t>
      </w:r>
    </w:p>
  </w:footnote>
  <w:footnote w:id="5">
    <w:p w14:paraId="5910619F" w14:textId="77777777" w:rsidR="00074364" w:rsidRDefault="005D1369">
      <w:pPr>
        <w:pStyle w:val="FootnoteText"/>
        <w:rPr>
          <w:sz w:val="26"/>
          <w:szCs w:val="26"/>
        </w:rPr>
      </w:pPr>
      <w:r>
        <w:rPr>
          <w:sz w:val="26"/>
          <w:szCs w:val="26"/>
          <w:vertAlign w:val="superscript"/>
        </w:rPr>
        <w:footnoteRef/>
      </w:r>
      <w:r>
        <w:rPr>
          <w:sz w:val="26"/>
          <w:szCs w:val="26"/>
        </w:rPr>
        <w:t xml:space="preserve"> Associated Gas Distributors v. FERC, 824 F.2d 981, 1002-1003 (D.C, Cir. 1987)(AGD); Mustang Energy Corp. v. Federal Energy Regulatory Commission, 859 F.2d 1447, 1457 (10th Cir. 1988), cert. denied, 490 U.S. 1019 (1988); see also EPGT Texas Pipeline, 99 FERC ¶ 61,295 (2002).</w:t>
      </w:r>
    </w:p>
  </w:footnote>
  <w:footnote w:id="6">
    <w:p w14:paraId="647E04D3" w14:textId="77777777" w:rsidR="00074364" w:rsidRDefault="005D1369">
      <w:pPr>
        <w:pStyle w:val="FootnoteText"/>
      </w:pPr>
      <w:r>
        <w:rPr>
          <w:rStyle w:val="FootnoteReference"/>
        </w:rPr>
        <w:footnoteRef/>
      </w:r>
      <w:r>
        <w:t xml:space="preserve"> </w:t>
      </w:r>
      <w:r>
        <w:rPr>
          <w:sz w:val="26"/>
          <w:szCs w:val="26"/>
        </w:rPr>
        <w:t>See 18CFR 284.13(b)(1)(ii), (iv), (v), and (vii) and (2)(iv)(v)(vi) and (ix).</w:t>
      </w:r>
    </w:p>
  </w:footnote>
  <w:footnote w:id="7">
    <w:p w14:paraId="518BFA5A"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w:t>
      </w:r>
      <w:r>
        <w:rPr>
          <w:color w:val="333333"/>
          <w:sz w:val="26"/>
          <w:szCs w:val="26"/>
        </w:rPr>
        <w:t>85 FR 12281, March 2, 2020</w:t>
      </w:r>
    </w:p>
  </w:footnote>
  <w:footnote w:id="8">
    <w:p w14:paraId="02103786"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85 FR 27738, May 11, 2020</w:t>
      </w:r>
    </w:p>
  </w:footnote>
  <w:footnote w:id="9">
    <w:p w14:paraId="432EC794" w14:textId="77777777" w:rsidR="00074364" w:rsidRDefault="005D1369">
      <w:pPr>
        <w:pStyle w:val="FootnoteText"/>
        <w:rPr>
          <w:sz w:val="26"/>
          <w:szCs w:val="26"/>
        </w:rPr>
      </w:pPr>
      <w:r>
        <w:rPr>
          <w:rStyle w:val="FootnoteReference"/>
        </w:rPr>
        <w:footnoteRef/>
      </w:r>
      <w:r>
        <w:t xml:space="preserve"> </w:t>
      </w:r>
      <w:r>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14:paraId="74AB3F93" w14:textId="77777777" w:rsidR="00074364" w:rsidRDefault="00074364">
      <w:pPr>
        <w:pStyle w:val="FootnoteText"/>
      </w:pPr>
    </w:p>
  </w:footnote>
  <w:footnote w:id="10">
    <w:p w14:paraId="68B2CDD4"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Based upon 2019 FTE average salary plus benefits ($167,091)</w:t>
      </w:r>
    </w:p>
  </w:footnote>
  <w:footnote w:id="11">
    <w:p w14:paraId="2E8F3FB8"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1A57" w14:textId="77777777" w:rsidR="00AB3D0C" w:rsidRDefault="00AB3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6F12" w14:textId="77777777" w:rsidR="00074364" w:rsidRDefault="005D1369">
    <w:pPr>
      <w:pStyle w:val="Header"/>
    </w:pPr>
    <w:r>
      <w:t>FERC Form 549D (OMB No. 1902-0253)</w:t>
    </w:r>
  </w:p>
  <w:p w14:paraId="349ACBF9" w14:textId="77777777" w:rsidR="00074364" w:rsidRDefault="005D1369">
    <w:pPr>
      <w:pStyle w:val="Header"/>
    </w:pPr>
    <w:r>
      <w:tab/>
    </w:r>
    <w:r>
      <w:tab/>
    </w:r>
  </w:p>
  <w:p w14:paraId="318FDF68" w14:textId="77777777" w:rsidR="00074364" w:rsidRDefault="00074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8929" w14:textId="77777777" w:rsidR="00074364" w:rsidRDefault="005D1369">
    <w:pPr>
      <w:pStyle w:val="Header"/>
      <w:rPr>
        <w:sz w:val="26"/>
        <w:szCs w:val="26"/>
      </w:rPr>
    </w:pPr>
    <w:r>
      <w:rPr>
        <w:sz w:val="26"/>
        <w:szCs w:val="26"/>
      </w:rPr>
      <w:t>FERC Form 549D (OMB Control No. 1902-0253)</w:t>
    </w:r>
  </w:p>
  <w:p w14:paraId="11C2DB1D" w14:textId="28F34E75" w:rsidR="00074364" w:rsidRDefault="005D1369">
    <w:pPr>
      <w:pStyle w:val="Header"/>
      <w:rPr>
        <w:sz w:val="26"/>
        <w:szCs w:val="26"/>
      </w:rPr>
    </w:pPr>
    <w:r>
      <w:rPr>
        <w:sz w:val="26"/>
        <w:szCs w:val="26"/>
      </w:rPr>
      <w:t>Docket No. IC20-9-000</w:t>
    </w:r>
  </w:p>
  <w:p w14:paraId="1915ABFC" w14:textId="3FDD4512" w:rsidR="00AB3D0C" w:rsidRDefault="00AB3D0C">
    <w:pPr>
      <w:pStyle w:val="Header"/>
      <w:rPr>
        <w:sz w:val="26"/>
        <w:szCs w:val="26"/>
      </w:rPr>
    </w:pPr>
    <w:r>
      <w:rPr>
        <w:sz w:val="26"/>
        <w:szCs w:val="26"/>
      </w:rPr>
      <w:t>(updated 10/22/2020)</w:t>
    </w:r>
  </w:p>
  <w:p w14:paraId="7B5CACB1" w14:textId="77777777" w:rsidR="00074364" w:rsidRDefault="00074364">
    <w:pPr>
      <w:pStyle w:val="Header"/>
    </w:pPr>
  </w:p>
  <w:p w14:paraId="2D59F53E" w14:textId="77777777" w:rsidR="00074364" w:rsidRDefault="00074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4BEBE"/>
    <w:multiLevelType w:val="hybridMultilevel"/>
    <w:tmpl w:val="640D5B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E2B856"/>
    <w:multiLevelType w:val="hybridMultilevel"/>
    <w:tmpl w:val="BD923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214C"/>
    <w:multiLevelType w:val="hybridMultilevel"/>
    <w:tmpl w:val="9AD67B92"/>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01A89"/>
    <w:multiLevelType w:val="hybridMultilevel"/>
    <w:tmpl w:val="68C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7F75"/>
    <w:multiLevelType w:val="hybridMultilevel"/>
    <w:tmpl w:val="BB9C09D4"/>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C21E7"/>
    <w:multiLevelType w:val="hybridMultilevel"/>
    <w:tmpl w:val="B2DE8BAA"/>
    <w:lvl w:ilvl="0" w:tplc="C926472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94FCE"/>
    <w:multiLevelType w:val="hybridMultilevel"/>
    <w:tmpl w:val="A46E7FA0"/>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D1BAA"/>
    <w:multiLevelType w:val="hybridMultilevel"/>
    <w:tmpl w:val="FDDA60A0"/>
    <w:lvl w:ilvl="0" w:tplc="6594672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C3529F"/>
    <w:multiLevelType w:val="hybridMultilevel"/>
    <w:tmpl w:val="F8741D1C"/>
    <w:lvl w:ilvl="0" w:tplc="4A5E8DCC">
      <w:start w:val="7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92BE0"/>
    <w:multiLevelType w:val="hybridMultilevel"/>
    <w:tmpl w:val="055AA072"/>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B67B3"/>
    <w:multiLevelType w:val="hybridMultilevel"/>
    <w:tmpl w:val="F0AEE946"/>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D7723"/>
    <w:multiLevelType w:val="hybridMultilevel"/>
    <w:tmpl w:val="47D294DC"/>
    <w:lvl w:ilvl="0" w:tplc="6EE25A1C">
      <w:start w:val="2"/>
      <w:numFmt w:val="low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3" w15:restartNumberingAfterBreak="0">
    <w:nsid w:val="32CD1BC9"/>
    <w:multiLevelType w:val="hybridMultilevel"/>
    <w:tmpl w:val="5620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3FD383E"/>
    <w:multiLevelType w:val="hybridMultilevel"/>
    <w:tmpl w:val="14A2ED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D710A"/>
    <w:multiLevelType w:val="hybridMultilevel"/>
    <w:tmpl w:val="BDA4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D2C53"/>
    <w:multiLevelType w:val="hybridMultilevel"/>
    <w:tmpl w:val="324E6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941EDE"/>
    <w:multiLevelType w:val="hybridMultilevel"/>
    <w:tmpl w:val="01C09E0C"/>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B1E49"/>
    <w:multiLevelType w:val="hybridMultilevel"/>
    <w:tmpl w:val="05B444C0"/>
    <w:lvl w:ilvl="0" w:tplc="5E0A358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B46D11"/>
    <w:multiLevelType w:val="hybridMultilevel"/>
    <w:tmpl w:val="E556CAC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55031C89"/>
    <w:multiLevelType w:val="hybridMultilevel"/>
    <w:tmpl w:val="87647D04"/>
    <w:lvl w:ilvl="0" w:tplc="61125720">
      <w:start w:val="1"/>
      <w:numFmt w:val="bullet"/>
      <w:lvlText w:val=""/>
      <w:lvlJc w:val="left"/>
      <w:pPr>
        <w:tabs>
          <w:tab w:val="num" w:pos="360"/>
        </w:tabs>
        <w:ind w:left="576" w:hanging="216"/>
      </w:pPr>
      <w:rPr>
        <w:rFonts w:ascii="Symbol" w:hAnsi="Symbol"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A33788"/>
    <w:multiLevelType w:val="hybridMultilevel"/>
    <w:tmpl w:val="39909D64"/>
    <w:lvl w:ilvl="0" w:tplc="8B8AC3EA">
      <w:start w:val="2"/>
      <w:numFmt w:val="decimal"/>
      <w:lvlText w:val="%1."/>
      <w:lvlJc w:val="left"/>
      <w:pPr>
        <w:tabs>
          <w:tab w:val="num" w:pos="2810"/>
        </w:tabs>
        <w:ind w:left="2810" w:hanging="360"/>
      </w:pPr>
      <w:rPr>
        <w:rFonts w:hint="default"/>
      </w:rPr>
    </w:lvl>
    <w:lvl w:ilvl="1" w:tplc="8ECE11FC">
      <w:start w:val="2"/>
      <w:numFmt w:val="lowerLetter"/>
      <w:lvlText w:val="%2."/>
      <w:lvlJc w:val="left"/>
      <w:pPr>
        <w:tabs>
          <w:tab w:val="num" w:pos="3530"/>
        </w:tabs>
        <w:ind w:left="3530" w:hanging="360"/>
      </w:pPr>
      <w:rPr>
        <w:rFonts w:hint="default"/>
      </w:rPr>
    </w:lvl>
    <w:lvl w:ilvl="2" w:tplc="0409001B" w:tentative="1">
      <w:start w:val="1"/>
      <w:numFmt w:val="lowerRoman"/>
      <w:lvlText w:val="%3."/>
      <w:lvlJc w:val="right"/>
      <w:pPr>
        <w:tabs>
          <w:tab w:val="num" w:pos="4250"/>
        </w:tabs>
        <w:ind w:left="4250" w:hanging="180"/>
      </w:pPr>
    </w:lvl>
    <w:lvl w:ilvl="3" w:tplc="0409000F" w:tentative="1">
      <w:start w:val="1"/>
      <w:numFmt w:val="decimal"/>
      <w:lvlText w:val="%4."/>
      <w:lvlJc w:val="left"/>
      <w:pPr>
        <w:tabs>
          <w:tab w:val="num" w:pos="4970"/>
        </w:tabs>
        <w:ind w:left="4970" w:hanging="360"/>
      </w:pPr>
    </w:lvl>
    <w:lvl w:ilvl="4" w:tplc="04090019" w:tentative="1">
      <w:start w:val="1"/>
      <w:numFmt w:val="lowerLetter"/>
      <w:lvlText w:val="%5."/>
      <w:lvlJc w:val="left"/>
      <w:pPr>
        <w:tabs>
          <w:tab w:val="num" w:pos="5690"/>
        </w:tabs>
        <w:ind w:left="5690" w:hanging="360"/>
      </w:pPr>
    </w:lvl>
    <w:lvl w:ilvl="5" w:tplc="0409001B" w:tentative="1">
      <w:start w:val="1"/>
      <w:numFmt w:val="lowerRoman"/>
      <w:lvlText w:val="%6."/>
      <w:lvlJc w:val="right"/>
      <w:pPr>
        <w:tabs>
          <w:tab w:val="num" w:pos="6410"/>
        </w:tabs>
        <w:ind w:left="6410" w:hanging="180"/>
      </w:pPr>
    </w:lvl>
    <w:lvl w:ilvl="6" w:tplc="0409000F" w:tentative="1">
      <w:start w:val="1"/>
      <w:numFmt w:val="decimal"/>
      <w:lvlText w:val="%7."/>
      <w:lvlJc w:val="left"/>
      <w:pPr>
        <w:tabs>
          <w:tab w:val="num" w:pos="7130"/>
        </w:tabs>
        <w:ind w:left="7130" w:hanging="360"/>
      </w:pPr>
    </w:lvl>
    <w:lvl w:ilvl="7" w:tplc="04090019" w:tentative="1">
      <w:start w:val="1"/>
      <w:numFmt w:val="lowerLetter"/>
      <w:lvlText w:val="%8."/>
      <w:lvlJc w:val="left"/>
      <w:pPr>
        <w:tabs>
          <w:tab w:val="num" w:pos="7850"/>
        </w:tabs>
        <w:ind w:left="7850" w:hanging="360"/>
      </w:pPr>
    </w:lvl>
    <w:lvl w:ilvl="8" w:tplc="0409001B" w:tentative="1">
      <w:start w:val="1"/>
      <w:numFmt w:val="lowerRoman"/>
      <w:lvlText w:val="%9."/>
      <w:lvlJc w:val="right"/>
      <w:pPr>
        <w:tabs>
          <w:tab w:val="num" w:pos="8570"/>
        </w:tabs>
        <w:ind w:left="8570" w:hanging="180"/>
      </w:pPr>
    </w:lvl>
  </w:abstractNum>
  <w:abstractNum w:abstractNumId="24" w15:restartNumberingAfterBreak="0">
    <w:nsid w:val="5A246766"/>
    <w:multiLevelType w:val="hybridMultilevel"/>
    <w:tmpl w:val="580E891E"/>
    <w:lvl w:ilvl="0" w:tplc="F86A95EE">
      <w:start w:val="2010"/>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5" w15:restartNumberingAfterBreak="0">
    <w:nsid w:val="65412D59"/>
    <w:multiLevelType w:val="hybridMultilevel"/>
    <w:tmpl w:val="8580E6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11790"/>
    <w:multiLevelType w:val="hybridMultilevel"/>
    <w:tmpl w:val="C4DA5566"/>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3C1A128A">
      <w:start w:val="1"/>
      <w:numFmt w:val="bullet"/>
      <w:lvlText w:val=""/>
      <w:lvlJc w:val="left"/>
      <w:pPr>
        <w:tabs>
          <w:tab w:val="num" w:pos="1800"/>
        </w:tabs>
        <w:ind w:left="2016" w:hanging="216"/>
      </w:pPr>
      <w:rPr>
        <w:rFonts w:ascii="Symbol" w:hAnsi="Symbol" w:cs="Times New Roman"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A6FA0"/>
    <w:multiLevelType w:val="hybridMultilevel"/>
    <w:tmpl w:val="B68C87D4"/>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764AC1"/>
    <w:multiLevelType w:val="hybridMultilevel"/>
    <w:tmpl w:val="EEC241E4"/>
    <w:lvl w:ilvl="0" w:tplc="04090001">
      <w:start w:val="1"/>
      <w:numFmt w:val="bullet"/>
      <w:lvlText w:val=""/>
      <w:lvlJc w:val="left"/>
      <w:pPr>
        <w:tabs>
          <w:tab w:val="num" w:pos="720"/>
        </w:tabs>
        <w:ind w:left="720" w:hanging="360"/>
      </w:pPr>
      <w:rPr>
        <w:rFonts w:ascii="Symbol" w:hAnsi="Symbol" w:hint="default"/>
      </w:rPr>
    </w:lvl>
    <w:lvl w:ilvl="1" w:tplc="61125720">
      <w:start w:val="1"/>
      <w:numFmt w:val="bullet"/>
      <w:lvlText w:val=""/>
      <w:lvlJc w:val="left"/>
      <w:pPr>
        <w:tabs>
          <w:tab w:val="num" w:pos="1080"/>
        </w:tabs>
        <w:ind w:left="1296" w:hanging="216"/>
      </w:pPr>
      <w:rPr>
        <w:rFonts w:ascii="Symbol" w:hAnsi="Symbol"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2138E"/>
    <w:multiLevelType w:val="hybridMultilevel"/>
    <w:tmpl w:val="A8D8EF0C"/>
    <w:lvl w:ilvl="0" w:tplc="4858A6B0">
      <w:start w:val="1"/>
      <w:numFmt w:val="bullet"/>
      <w:lvlText w:val=""/>
      <w:lvlJc w:val="left"/>
      <w:pPr>
        <w:tabs>
          <w:tab w:val="num" w:pos="360"/>
        </w:tabs>
        <w:ind w:left="576" w:hanging="216"/>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1A5133"/>
    <w:multiLevelType w:val="hybridMultilevel"/>
    <w:tmpl w:val="3FD653A8"/>
    <w:lvl w:ilvl="0" w:tplc="F86A95EE">
      <w:start w:val="20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8"/>
  </w:num>
  <w:num w:numId="4">
    <w:abstractNumId w:val="17"/>
  </w:num>
  <w:num w:numId="5">
    <w:abstractNumId w:val="23"/>
  </w:num>
  <w:num w:numId="6">
    <w:abstractNumId w:val="8"/>
  </w:num>
  <w:num w:numId="7">
    <w:abstractNumId w:val="22"/>
  </w:num>
  <w:num w:numId="8">
    <w:abstractNumId w:val="11"/>
  </w:num>
  <w:num w:numId="9">
    <w:abstractNumId w:val="7"/>
  </w:num>
  <w:num w:numId="10">
    <w:abstractNumId w:val="12"/>
  </w:num>
  <w:num w:numId="11">
    <w:abstractNumId w:val="0"/>
  </w:num>
  <w:num w:numId="12">
    <w:abstractNumId w:val="27"/>
  </w:num>
  <w:num w:numId="13">
    <w:abstractNumId w:val="10"/>
  </w:num>
  <w:num w:numId="14">
    <w:abstractNumId w:val="26"/>
  </w:num>
  <w:num w:numId="15">
    <w:abstractNumId w:val="25"/>
  </w:num>
  <w:num w:numId="16">
    <w:abstractNumId w:val="15"/>
  </w:num>
  <w:num w:numId="17">
    <w:abstractNumId w:val="14"/>
  </w:num>
  <w:num w:numId="18">
    <w:abstractNumId w:val="30"/>
  </w:num>
  <w:num w:numId="19">
    <w:abstractNumId w:val="1"/>
  </w:num>
  <w:num w:numId="20">
    <w:abstractNumId w:val="24"/>
  </w:num>
  <w:num w:numId="21">
    <w:abstractNumId w:val="18"/>
  </w:num>
  <w:num w:numId="22">
    <w:abstractNumId w:val="29"/>
  </w:num>
  <w:num w:numId="23">
    <w:abstractNumId w:val="6"/>
  </w:num>
  <w:num w:numId="24">
    <w:abstractNumId w:val="2"/>
  </w:num>
  <w:num w:numId="25">
    <w:abstractNumId w:val="19"/>
  </w:num>
  <w:num w:numId="26">
    <w:abstractNumId w:val="5"/>
  </w:num>
  <w:num w:numId="27">
    <w:abstractNumId w:val="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6"/>
  </w:num>
  <w:num w:numId="31">
    <w:abstractNumId w:val="3"/>
  </w:num>
  <w:num w:numId="32">
    <w:abstractNumId w:val="1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64"/>
    <w:rsid w:val="00020CD5"/>
    <w:rsid w:val="00037C0B"/>
    <w:rsid w:val="00041F12"/>
    <w:rsid w:val="00074364"/>
    <w:rsid w:val="000F13F9"/>
    <w:rsid w:val="00130810"/>
    <w:rsid w:val="00145122"/>
    <w:rsid w:val="001C2700"/>
    <w:rsid w:val="0021255F"/>
    <w:rsid w:val="00243F24"/>
    <w:rsid w:val="00263CAC"/>
    <w:rsid w:val="002A0060"/>
    <w:rsid w:val="003D615A"/>
    <w:rsid w:val="005255D5"/>
    <w:rsid w:val="00542489"/>
    <w:rsid w:val="005D1369"/>
    <w:rsid w:val="0064682A"/>
    <w:rsid w:val="00755E58"/>
    <w:rsid w:val="008462A2"/>
    <w:rsid w:val="008A3A8C"/>
    <w:rsid w:val="009950AD"/>
    <w:rsid w:val="00A26263"/>
    <w:rsid w:val="00AB3D0C"/>
    <w:rsid w:val="00AF1DD8"/>
    <w:rsid w:val="00B14995"/>
    <w:rsid w:val="00B256D7"/>
    <w:rsid w:val="00C015A6"/>
    <w:rsid w:val="00C77D5B"/>
    <w:rsid w:val="00D478EA"/>
    <w:rsid w:val="00D72DD2"/>
    <w:rsid w:val="00DF54C5"/>
    <w:rsid w:val="00E3081D"/>
    <w:rsid w:val="00EF0818"/>
    <w:rsid w:val="00EF4B1D"/>
    <w:rsid w:val="00F4337B"/>
    <w:rsid w:val="00F45991"/>
    <w:rsid w:val="00F512C2"/>
    <w:rsid w:val="00FE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1B376C0"/>
  <w15:chartTrackingRefBased/>
  <w15:docId w15:val="{8A025109-B0EA-43BF-8824-D5DBBF97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f"/>
    <w:basedOn w:val="Normal"/>
    <w:link w:val="FootnoteTextChar2"/>
    <w:qFormat/>
    <w:rPr>
      <w:sz w:val="20"/>
      <w:szCs w:val="20"/>
    </w:rPr>
  </w:style>
  <w:style w:type="paragraph" w:customStyle="1" w:styleId="Style5">
    <w:name w:val="Style 5"/>
    <w:basedOn w:val="Normal"/>
    <w:pPr>
      <w:autoSpaceDE/>
      <w:autoSpaceDN/>
      <w:adjustRightInd/>
      <w:spacing w:line="480" w:lineRule="auto"/>
      <w:ind w:firstLine="720"/>
    </w:pPr>
    <w:rPr>
      <w:noProof/>
      <w:color w:val="000000"/>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widowControl/>
      <w:autoSpaceDE/>
      <w:autoSpaceDN/>
      <w:adjustRightInd/>
      <w:spacing w:before="100" w:beforeAutospacing="1" w:after="100" w:afterAutospacing="1"/>
    </w:p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t Char,f Char"/>
    <w:link w:val="FootnoteText"/>
    <w:rPr>
      <w:lang w:val="en-US" w:eastAsia="en-US" w:bidi="ar-SA"/>
    </w:rPr>
  </w:style>
  <w:style w:type="character" w:customStyle="1" w:styleId="ptext-2">
    <w:name w:val="ptext-2"/>
    <w:basedOn w:val="DefaultParagraphFont"/>
  </w:style>
  <w:style w:type="paragraph" w:customStyle="1" w:styleId="CM10">
    <w:name w:val="CM10"/>
    <w:basedOn w:val="Default"/>
    <w:next w:val="Default"/>
    <w:rPr>
      <w:rFonts w:ascii="Times New Roman" w:hAnsi="Times New Roman" w:cs="Times New Roman"/>
      <w:color w:val="auto"/>
    </w:rPr>
  </w:style>
  <w:style w:type="paragraph" w:customStyle="1" w:styleId="CM11">
    <w:name w:val="CM11"/>
    <w:basedOn w:val="Default"/>
    <w:next w:val="Default"/>
    <w:rPr>
      <w:rFonts w:ascii="Times New Roman" w:hAnsi="Times New Roman" w:cs="Times New Roman"/>
      <w:color w:val="auto"/>
    </w:rPr>
  </w:style>
  <w:style w:type="paragraph" w:customStyle="1" w:styleId="CM12">
    <w:name w:val="CM12"/>
    <w:basedOn w:val="Default"/>
    <w:next w:val="Default"/>
    <w:rPr>
      <w:rFonts w:ascii="Times New Roman" w:hAnsi="Times New Roman" w:cs="Times New Roman"/>
      <w:color w:val="auto"/>
    </w:rPr>
  </w:style>
  <w:style w:type="paragraph" w:customStyle="1" w:styleId="CM2">
    <w:name w:val="CM2"/>
    <w:basedOn w:val="Default"/>
    <w:next w:val="Default"/>
    <w:pPr>
      <w:spacing w:line="526" w:lineRule="atLeast"/>
    </w:pPr>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customStyle="1" w:styleId="CM13">
    <w:name w:val="CM13"/>
    <w:basedOn w:val="Default"/>
    <w:next w:val="Default"/>
    <w:rPr>
      <w:rFonts w:ascii="Times New Roman" w:hAnsi="Times New Roman" w:cs="Times New Roman"/>
      <w:color w:val="auto"/>
    </w:rPr>
  </w:style>
  <w:style w:type="paragraph" w:customStyle="1" w:styleId="CM4">
    <w:name w:val="CM4"/>
    <w:basedOn w:val="Default"/>
    <w:next w:val="Default"/>
    <w:pPr>
      <w:spacing w:line="220" w:lineRule="atLeast"/>
    </w:pPr>
    <w:rPr>
      <w:rFonts w:ascii="Times New Roman" w:hAnsi="Times New Roman" w:cs="Times New Roman"/>
      <w:color w:val="auto"/>
    </w:rPr>
  </w:style>
  <w:style w:type="paragraph" w:customStyle="1" w:styleId="CM14">
    <w:name w:val="CM14"/>
    <w:basedOn w:val="Default"/>
    <w:next w:val="Default"/>
    <w:rPr>
      <w:rFonts w:ascii="Times New Roman" w:hAnsi="Times New Roman" w:cs="Times New Roman"/>
      <w:color w:val="auto"/>
    </w:rPr>
  </w:style>
  <w:style w:type="paragraph" w:customStyle="1" w:styleId="CM5">
    <w:name w:val="CM5"/>
    <w:basedOn w:val="Default"/>
    <w:next w:val="Default"/>
    <w:rPr>
      <w:rFonts w:ascii="Times New Roman" w:hAnsi="Times New Roman" w:cs="Times New Roman"/>
      <w:color w:val="auto"/>
    </w:rPr>
  </w:style>
  <w:style w:type="paragraph" w:customStyle="1" w:styleId="CM6">
    <w:name w:val="CM6"/>
    <w:basedOn w:val="Default"/>
    <w:next w:val="Default"/>
    <w:pPr>
      <w:spacing w:line="528" w:lineRule="atLeast"/>
    </w:pPr>
    <w:rPr>
      <w:rFonts w:ascii="Times New Roman" w:hAnsi="Times New Roman" w:cs="Times New Roman"/>
      <w:color w:val="auto"/>
    </w:rPr>
  </w:style>
  <w:style w:type="paragraph" w:customStyle="1" w:styleId="CM15">
    <w:name w:val="CM15"/>
    <w:basedOn w:val="Default"/>
    <w:next w:val="Default"/>
    <w:rPr>
      <w:rFonts w:ascii="Times New Roman" w:hAnsi="Times New Roman" w:cs="Times New Roman"/>
      <w:color w:val="auto"/>
    </w:rPr>
  </w:style>
  <w:style w:type="paragraph" w:customStyle="1" w:styleId="CM9">
    <w:name w:val="CM9"/>
    <w:basedOn w:val="Default"/>
    <w:next w:val="Default"/>
    <w:pPr>
      <w:spacing w:line="526" w:lineRule="atLeast"/>
    </w:pPr>
    <w:rPr>
      <w:rFonts w:ascii="Times New Roman" w:hAnsi="Times New Roman" w:cs="Times New Roman"/>
      <w:color w:val="auto"/>
    </w:rPr>
  </w:style>
  <w:style w:type="paragraph" w:customStyle="1" w:styleId="CM16">
    <w:name w:val="CM16"/>
    <w:basedOn w:val="Default"/>
    <w:next w:val="Default"/>
    <w:rPr>
      <w:rFonts w:ascii="Times New Roman" w:hAnsi="Times New Roman" w:cs="Times New Roman"/>
      <w:color w:val="auto"/>
    </w:rPr>
  </w:style>
  <w:style w:type="paragraph" w:customStyle="1" w:styleId="BodyFootnote">
    <w:name w:val="Body Footnote"/>
    <w:basedOn w:val="FootnoteText"/>
    <w:autoRedefine/>
    <w:pPr>
      <w:ind w:firstLine="720"/>
    </w:pPr>
    <w:rPr>
      <w:rFonts w:ascii="Arial" w:hAnsi="Arial" w:cs="Arial"/>
      <w:sz w:val="16"/>
      <w:szCs w:val="26"/>
    </w:rPr>
  </w:style>
  <w:style w:type="paragraph" w:styleId="ListContinue">
    <w:name w:val="List Continue"/>
    <w:basedOn w:val="Normal"/>
    <w:uiPriority w:val="99"/>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pPr>
      <w:numPr>
        <w:numId w:val="18"/>
      </w:numPr>
    </w:pPr>
    <w:rPr>
      <w:rFonts w:ascii="Arial" w:hAnsi="Arial" w:cs="Arial"/>
      <w:sz w:val="16"/>
      <w:szCs w:val="16"/>
    </w:rPr>
  </w:style>
  <w:style w:type="character" w:styleId="FollowedHyperlink">
    <w:name w:val="FollowedHyperlink"/>
    <w:rPr>
      <w:color w:val="800080"/>
      <w:u w:val="single"/>
    </w:rPr>
  </w:style>
  <w:style w:type="character" w:customStyle="1" w:styleId="st1">
    <w:name w:val="st1"/>
  </w:style>
  <w:style w:type="paragraph" w:styleId="PlainText">
    <w:name w:val="Plain Text"/>
    <w:basedOn w:val="Normal"/>
    <w:link w:val="PlainTextChar"/>
    <w:uiPriority w:val="99"/>
    <w:unhideWhenUsed/>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Pr>
      <w:rFonts w:eastAsia="Calibri"/>
      <w:sz w:val="26"/>
      <w:szCs w:val="26"/>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Char Char1"/>
    <w:locked/>
  </w:style>
  <w:style w:type="paragraph" w:styleId="Revision">
    <w:name w:val="Revision"/>
    <w:hidden/>
    <w:uiPriority w:val="99"/>
    <w:semiHidden/>
    <w:rPr>
      <w:sz w:val="24"/>
      <w:szCs w:val="24"/>
    </w:rPr>
  </w:style>
  <w:style w:type="character" w:customStyle="1" w:styleId="FooterChar">
    <w:name w:val="Footer Char"/>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301876">
      <w:bodyDiv w:val="1"/>
      <w:marLeft w:val="0"/>
      <w:marRight w:val="0"/>
      <w:marTop w:val="0"/>
      <w:marBottom w:val="0"/>
      <w:divBdr>
        <w:top w:val="none" w:sz="0" w:space="0" w:color="auto"/>
        <w:left w:val="none" w:sz="0" w:space="0" w:color="auto"/>
        <w:bottom w:val="none" w:sz="0" w:space="0" w:color="auto"/>
        <w:right w:val="none" w:sz="0" w:space="0" w:color="auto"/>
      </w:divBdr>
    </w:div>
    <w:div w:id="668799177">
      <w:bodyDiv w:val="1"/>
      <w:marLeft w:val="0"/>
      <w:marRight w:val="0"/>
      <w:marTop w:val="0"/>
      <w:marBottom w:val="0"/>
      <w:divBdr>
        <w:top w:val="none" w:sz="0" w:space="0" w:color="auto"/>
        <w:left w:val="none" w:sz="0" w:space="0" w:color="auto"/>
        <w:bottom w:val="none" w:sz="0" w:space="0" w:color="auto"/>
        <w:right w:val="none" w:sz="0" w:space="0" w:color="auto"/>
      </w:divBdr>
    </w:div>
    <w:div w:id="808401727">
      <w:bodyDiv w:val="1"/>
      <w:marLeft w:val="0"/>
      <w:marRight w:val="0"/>
      <w:marTop w:val="0"/>
      <w:marBottom w:val="0"/>
      <w:divBdr>
        <w:top w:val="none" w:sz="0" w:space="0" w:color="auto"/>
        <w:left w:val="none" w:sz="0" w:space="0" w:color="auto"/>
        <w:bottom w:val="none" w:sz="0" w:space="0" w:color="auto"/>
        <w:right w:val="none" w:sz="0" w:space="0" w:color="auto"/>
      </w:divBdr>
    </w:div>
    <w:div w:id="1296764518">
      <w:bodyDiv w:val="1"/>
      <w:marLeft w:val="0"/>
      <w:marRight w:val="0"/>
      <w:marTop w:val="0"/>
      <w:marBottom w:val="0"/>
      <w:divBdr>
        <w:top w:val="none" w:sz="0" w:space="0" w:color="auto"/>
        <w:left w:val="none" w:sz="0" w:space="0" w:color="auto"/>
        <w:bottom w:val="none" w:sz="0" w:space="0" w:color="auto"/>
        <w:right w:val="none" w:sz="0" w:space="0" w:color="auto"/>
      </w:divBdr>
    </w:div>
    <w:div w:id="20573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549D</_x0031__x002e__x0020_Collection_x0020_Number>
    <Date xmlns="d6eefc7d-9817-4fa6-84d5-3bc009be21b8">2020-10-22T04:00:00+00:00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IC20-9</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7B229-E4C1-4F18-94C2-F669FA782F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2.xml><?xml version="1.0" encoding="utf-8"?>
<ds:datastoreItem xmlns:ds="http://schemas.openxmlformats.org/officeDocument/2006/customXml" ds:itemID="{909CF2E5-F8B5-44C0-B9B6-4820F5621FCF}">
  <ds:schemaRefs>
    <ds:schemaRef ds:uri="Microsoft.SharePoint.Taxonomy.ContentTypeSync"/>
  </ds:schemaRefs>
</ds:datastoreItem>
</file>

<file path=customXml/itemProps3.xml><?xml version="1.0" encoding="utf-8"?>
<ds:datastoreItem xmlns:ds="http://schemas.openxmlformats.org/officeDocument/2006/customXml" ds:itemID="{E8F899BF-DE41-4E83-A5A2-33AD68354963}">
  <ds:schemaRefs>
    <ds:schemaRef ds:uri="http://schemas.microsoft.com/sharepoint/v3/contenttype/forms"/>
  </ds:schemaRefs>
</ds:datastoreItem>
</file>

<file path=customXml/itemProps4.xml><?xml version="1.0" encoding="utf-8"?>
<ds:datastoreItem xmlns:ds="http://schemas.openxmlformats.org/officeDocument/2006/customXml" ds:itemID="{6E8DB578-3702-4C13-8AC3-F42DA8DC7D88}">
  <ds:schemaRefs>
    <ds:schemaRef ds:uri="http://schemas.microsoft.com/office/2006/metadata/longProperties"/>
  </ds:schemaRefs>
</ds:datastoreItem>
</file>

<file path=customXml/itemProps5.xml><?xml version="1.0" encoding="utf-8"?>
<ds:datastoreItem xmlns:ds="http://schemas.openxmlformats.org/officeDocument/2006/customXml" ds:itemID="{DD5FB95C-3FE1-4526-BD8C-77DDF0C2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BD84D-8812-418E-B64B-CFE43FA00CDD}">
  <ds:schemaRefs>
    <ds:schemaRef ds:uri="http://schemas.microsoft.com/office/2006/metadata/customXsn"/>
  </ds:schemaRefs>
</ds:datastoreItem>
</file>

<file path=customXml/itemProps7.xml><?xml version="1.0" encoding="utf-8"?>
<ds:datastoreItem xmlns:ds="http://schemas.openxmlformats.org/officeDocument/2006/customXml" ds:itemID="{7F5CDC2F-6025-4074-BD2B-3547C2F9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1901</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Quarterly Transportation and Storage Report for Intrastate Natural Gas and Hinshaw Pipelines</vt:lpstr>
    </vt:vector>
  </TitlesOfParts>
  <Company>Federal Energy Regulatory Commission</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Transportation and Storage Report for Intrastate Natural Gas and Hinshaw Pipelines</dc:title>
  <dc:subject/>
  <dc:creator>ferc</dc:creator>
  <cp:keywords/>
  <dc:description/>
  <cp:lastModifiedBy>Ellen Brown</cp:lastModifiedBy>
  <cp:revision>2</cp:revision>
  <cp:lastPrinted>2014-02-24T16:09:00Z</cp:lastPrinted>
  <dcterms:created xsi:type="dcterms:W3CDTF">2020-10-22T14:08:00Z</dcterms:created>
  <dcterms:modified xsi:type="dcterms:W3CDTF">2020-10-22T14:08:00Z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0x0101001EA51C0686BDB848B772F285AB6866B0</vt:lpwstr>
  </property>
  <property fmtid="{D5CDD505-2E9C-101B-9397-08002B2CF9AE}" pid="5" name="MSIP_Label_6155a89b-0f08-4a93-8ea2-8a916d6643b5_Enabled">
    <vt:lpwstr>True</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Owner">
    <vt:lpwstr>Jean.Sonneman@ferc.gov</vt:lpwstr>
  </property>
  <property fmtid="{D5CDD505-2E9C-101B-9397-08002B2CF9AE}" pid="8" name="MSIP_Label_6155a89b-0f08-4a93-8ea2-8a916d6643b5_SetDate">
    <vt:lpwstr>2020-10-16T17:25:06.5214924Z</vt:lpwstr>
  </property>
  <property fmtid="{D5CDD505-2E9C-101B-9397-08002B2CF9AE}" pid="9" name="MSIP_Label_6155a89b-0f08-4a93-8ea2-8a916d6643b5_Name">
    <vt:lpwstr>General</vt:lpwstr>
  </property>
  <property fmtid="{D5CDD505-2E9C-101B-9397-08002B2CF9AE}" pid="10" name="MSIP_Label_6155a89b-0f08-4a93-8ea2-8a916d6643b5_Application">
    <vt:lpwstr>Microsoft Azure Information Protection</vt:lpwstr>
  </property>
  <property fmtid="{D5CDD505-2E9C-101B-9397-08002B2CF9AE}" pid="11" name="MSIP_Label_6155a89b-0f08-4a93-8ea2-8a916d6643b5_ActionId">
    <vt:lpwstr>f0902fdb-b50c-44dc-8152-a2cd2d60e562</vt:lpwstr>
  </property>
  <property fmtid="{D5CDD505-2E9C-101B-9397-08002B2CF9AE}" pid="12" name="MSIP_Label_6155a89b-0f08-4a93-8ea2-8a916d6643b5_Extended_MSFT_Method">
    <vt:lpwstr>Manual</vt:lpwstr>
  </property>
  <property fmtid="{D5CDD505-2E9C-101B-9397-08002B2CF9AE}" pid="13" name="Sensitivity">
    <vt:lpwstr>General</vt:lpwstr>
  </property>
</Properties>
</file>