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body>
    <w:p w:rsidR="00B6609B" w:rsidP="00B6609B" w:rsidRDefault="00B6609B">
      <w:pPr>
        <w:pStyle w:val="Footer"/>
        <w:tabs>
          <w:tab w:val="clear" w:pos="216pt"/>
          <w:tab w:val="clear" w:pos="432pt"/>
          <w:tab w:val="center" w:pos="234pt"/>
        </w:tabs>
        <w:jc w:val="center"/>
        <w:rPr>
          <w:rFonts w:ascii="Times New Roman" w:hAnsi="Times New Roman"/>
          <w:b/>
          <w:bCs/>
          <w:sz w:val="24"/>
        </w:rPr>
      </w:pPr>
      <w:r>
        <w:rPr>
          <w:rFonts w:ascii="Times New Roman" w:hAnsi="Times New Roman"/>
          <w:b/>
          <w:bCs/>
          <w:sz w:val="24"/>
        </w:rPr>
        <w:t>Office of the Comptroller of the Currency</w:t>
      </w:r>
    </w:p>
    <w:p w:rsidR="003A78D9" w:rsidP="00B6609B" w:rsidRDefault="003A78D9">
      <w:pPr>
        <w:pStyle w:val="Footer"/>
        <w:tabs>
          <w:tab w:val="clear" w:pos="216pt"/>
          <w:tab w:val="clear" w:pos="432pt"/>
          <w:tab w:val="center" w:pos="234pt"/>
        </w:tabs>
        <w:jc w:val="center"/>
        <w:rPr>
          <w:rFonts w:ascii="Times New Roman" w:hAnsi="Times New Roman"/>
          <w:b/>
          <w:bCs/>
          <w:sz w:val="24"/>
        </w:rPr>
      </w:pPr>
      <w:r>
        <w:rPr>
          <w:rFonts w:ascii="Times New Roman" w:hAnsi="Times New Roman"/>
          <w:b/>
          <w:bCs/>
          <w:sz w:val="24"/>
        </w:rPr>
        <w:t>Supporting Statement</w:t>
      </w:r>
    </w:p>
    <w:p w:rsidR="003A78D9" w:rsidP="00744D1C" w:rsidRDefault="003A78D9">
      <w:pPr>
        <w:tabs>
          <w:tab w:val="center" w:pos="234pt"/>
        </w:tabs>
        <w:rPr>
          <w:rFonts w:ascii="Times New Roman" w:hAnsi="Times New Roman"/>
          <w:b/>
          <w:bCs/>
          <w:sz w:val="24"/>
        </w:rPr>
      </w:pPr>
      <w:r>
        <w:rPr>
          <w:rFonts w:ascii="Times New Roman" w:hAnsi="Times New Roman"/>
          <w:b/>
          <w:bCs/>
          <w:sz w:val="24"/>
        </w:rPr>
        <w:tab/>
        <w:t>Bank Act</w:t>
      </w:r>
      <w:r w:rsidR="00253C7D">
        <w:rPr>
          <w:rFonts w:ascii="Times New Roman" w:hAnsi="Times New Roman"/>
          <w:b/>
          <w:bCs/>
          <w:sz w:val="24"/>
        </w:rPr>
        <w:t>ivities and Operations</w:t>
      </w:r>
      <w:r w:rsidR="00D777AF">
        <w:rPr>
          <w:rFonts w:ascii="Times New Roman" w:hAnsi="Times New Roman"/>
          <w:b/>
          <w:bCs/>
          <w:sz w:val="24"/>
        </w:rPr>
        <w:t xml:space="preserve">; </w:t>
      </w:r>
      <w:r w:rsidR="00253C7D">
        <w:rPr>
          <w:rFonts w:ascii="Times New Roman" w:hAnsi="Times New Roman"/>
          <w:b/>
          <w:bCs/>
          <w:sz w:val="24"/>
        </w:rPr>
        <w:t>Investment in Bank Premises</w:t>
      </w:r>
    </w:p>
    <w:p w:rsidR="00B6609B" w:rsidP="00B6609B" w:rsidRDefault="00B6609B">
      <w:pPr>
        <w:tabs>
          <w:tab w:val="center" w:pos="234pt"/>
        </w:tabs>
        <w:jc w:val="center"/>
        <w:rPr>
          <w:rFonts w:ascii="Times New Roman" w:hAnsi="Times New Roman"/>
          <w:b/>
          <w:bCs/>
          <w:sz w:val="24"/>
        </w:rPr>
      </w:pPr>
      <w:r>
        <w:rPr>
          <w:rFonts w:ascii="Times New Roman" w:hAnsi="Times New Roman"/>
          <w:b/>
          <w:bCs/>
          <w:sz w:val="24"/>
        </w:rPr>
        <w:t>OMB Control No. 1557-0204</w:t>
      </w:r>
    </w:p>
    <w:p w:rsidR="003A78D9" w:rsidRDefault="003A78D9">
      <w:pPr>
        <w:rPr>
          <w:rFonts w:ascii="Times New Roman" w:hAnsi="Times New Roman"/>
          <w:sz w:val="24"/>
        </w:rPr>
      </w:pPr>
    </w:p>
    <w:p w:rsidR="003A78D9" w:rsidRDefault="005F7AB0">
      <w:pPr>
        <w:rPr>
          <w:rFonts w:ascii="Times New Roman" w:hAnsi="Times New Roman"/>
          <w:b/>
          <w:bCs/>
          <w:sz w:val="24"/>
        </w:rPr>
      </w:pPr>
      <w:r>
        <w:rPr>
          <w:rFonts w:ascii="Times New Roman" w:hAnsi="Times New Roman"/>
          <w:b/>
          <w:bCs/>
          <w:sz w:val="24"/>
        </w:rPr>
        <w:t xml:space="preserve">A.  </w:t>
      </w:r>
      <w:r w:rsidRPr="005F7AB0" w:rsidR="003A78D9">
        <w:rPr>
          <w:rFonts w:ascii="Times New Roman" w:hAnsi="Times New Roman"/>
          <w:b/>
          <w:bCs/>
          <w:sz w:val="24"/>
          <w:u w:val="single"/>
        </w:rPr>
        <w:t>Justification</w:t>
      </w:r>
      <w:r w:rsidR="00063B68">
        <w:rPr>
          <w:rFonts w:ascii="Times New Roman" w:hAnsi="Times New Roman"/>
          <w:b/>
          <w:bCs/>
          <w:sz w:val="24"/>
          <w:u w:val="single"/>
        </w:rPr>
        <w:t>.</w:t>
      </w:r>
    </w:p>
    <w:p w:rsidR="000E72E7" w:rsidRDefault="000E72E7">
      <w:pPr>
        <w:rPr>
          <w:rFonts w:ascii="Times New Roman" w:hAnsi="Times New Roman"/>
          <w:sz w:val="24"/>
        </w:rPr>
      </w:pPr>
    </w:p>
    <w:p w:rsidR="000E72E7" w:rsidRDefault="000E72E7">
      <w:pPr>
        <w:rPr>
          <w:rFonts w:ascii="Times New Roman" w:hAnsi="Times New Roman"/>
          <w:sz w:val="24"/>
        </w:rPr>
      </w:pPr>
      <w:r>
        <w:rPr>
          <w:rFonts w:ascii="Times New Roman" w:hAnsi="Times New Roman"/>
          <w:sz w:val="24"/>
        </w:rPr>
        <w:tab/>
        <w:t>This supporting statement is being submitted in connection with a notice of proposed rulemaking.  The new information collection requirements are outlined in #2 below.</w:t>
      </w:r>
    </w:p>
    <w:p w:rsidR="000E72E7" w:rsidRDefault="000E72E7">
      <w:pPr>
        <w:rPr>
          <w:rFonts w:ascii="Times New Roman" w:hAnsi="Times New Roman"/>
          <w:sz w:val="24"/>
        </w:rPr>
      </w:pPr>
    </w:p>
    <w:p w:rsidR="003A78D9" w:rsidRDefault="005F7AB0">
      <w:pPr>
        <w:rPr>
          <w:rFonts w:ascii="Times New Roman" w:hAnsi="Times New Roman"/>
          <w:b/>
          <w:bCs/>
          <w:i/>
          <w:iCs/>
          <w:sz w:val="24"/>
        </w:rPr>
      </w:pPr>
      <w:r>
        <w:rPr>
          <w:rFonts w:ascii="Times New Roman" w:hAnsi="Times New Roman"/>
          <w:b/>
          <w:bCs/>
          <w:i/>
          <w:iCs/>
          <w:sz w:val="24"/>
        </w:rPr>
        <w:t xml:space="preserve">1. </w:t>
      </w:r>
      <w:r w:rsidR="003A78D9">
        <w:rPr>
          <w:rFonts w:ascii="Times New Roman" w:hAnsi="Times New Roman"/>
          <w:b/>
          <w:bCs/>
          <w:i/>
          <w:iCs/>
          <w:sz w:val="24"/>
        </w:rPr>
        <w:t>Circumstances that make the collection necessary:</w:t>
      </w:r>
    </w:p>
    <w:p w:rsidR="003A78D9" w:rsidRDefault="003A78D9">
      <w:pPr>
        <w:rPr>
          <w:rFonts w:ascii="Times New Roman" w:hAnsi="Times New Roman"/>
          <w:sz w:val="24"/>
        </w:rPr>
      </w:pPr>
    </w:p>
    <w:p w:rsidR="003A78D9" w:rsidRDefault="005F7AB0">
      <w:pPr>
        <w:rPr>
          <w:rFonts w:ascii="Times New Roman" w:hAnsi="Times New Roman"/>
          <w:sz w:val="24"/>
        </w:rPr>
      </w:pPr>
      <w:r>
        <w:rPr>
          <w:rFonts w:ascii="Times New Roman" w:hAnsi="Times New Roman"/>
          <w:sz w:val="24"/>
        </w:rPr>
        <w:t xml:space="preserve">          </w:t>
      </w:r>
      <w:r w:rsidR="008809B9">
        <w:rPr>
          <w:rFonts w:ascii="Times New Roman" w:hAnsi="Times New Roman"/>
          <w:sz w:val="24"/>
        </w:rPr>
        <w:t>Institutions</w:t>
      </w:r>
      <w:r w:rsidR="003A78D9">
        <w:rPr>
          <w:rFonts w:ascii="Times New Roman" w:hAnsi="Times New Roman"/>
          <w:sz w:val="24"/>
        </w:rPr>
        <w:t xml:space="preserve"> need these collections of information to ensure that they conduct their operations in a safe and sound manner and in accordance with applicable </w:t>
      </w:r>
      <w:r w:rsidR="0035183C">
        <w:rPr>
          <w:rFonts w:ascii="Times New Roman" w:hAnsi="Times New Roman"/>
          <w:sz w:val="24"/>
        </w:rPr>
        <w:t>f</w:t>
      </w:r>
      <w:r w:rsidR="003A78D9">
        <w:rPr>
          <w:rFonts w:ascii="Times New Roman" w:hAnsi="Times New Roman"/>
          <w:sz w:val="24"/>
        </w:rPr>
        <w:t>ederal banking law and regulations.  The collec</w:t>
      </w:r>
      <w:r w:rsidR="00D777AF">
        <w:rPr>
          <w:rFonts w:ascii="Times New Roman" w:hAnsi="Times New Roman"/>
          <w:sz w:val="24"/>
        </w:rPr>
        <w:t xml:space="preserve">tions of information </w:t>
      </w:r>
      <w:r w:rsidR="003A78D9">
        <w:rPr>
          <w:rFonts w:ascii="Times New Roman" w:hAnsi="Times New Roman"/>
          <w:sz w:val="24"/>
        </w:rPr>
        <w:t>provide needed inform</w:t>
      </w:r>
      <w:r w:rsidR="00C1661B">
        <w:rPr>
          <w:rFonts w:ascii="Times New Roman" w:hAnsi="Times New Roman"/>
          <w:sz w:val="24"/>
        </w:rPr>
        <w:t xml:space="preserve">ation for examiners and offer </w:t>
      </w:r>
      <w:r w:rsidR="003A78D9">
        <w:rPr>
          <w:rFonts w:ascii="Times New Roman" w:hAnsi="Times New Roman"/>
          <w:sz w:val="24"/>
        </w:rPr>
        <w:t xml:space="preserve">protections for </w:t>
      </w:r>
      <w:r w:rsidR="008809B9">
        <w:rPr>
          <w:rFonts w:ascii="Times New Roman" w:hAnsi="Times New Roman"/>
          <w:sz w:val="24"/>
        </w:rPr>
        <w:t>institutions.</w:t>
      </w:r>
      <w:r w:rsidR="003A78D9">
        <w:rPr>
          <w:rFonts w:ascii="Times New Roman" w:hAnsi="Times New Roman"/>
          <w:sz w:val="24"/>
        </w:rPr>
        <w:t xml:space="preserve">  The collections are necessary for regulatory and examination purposes and for national banks to ensure their compliance with </w:t>
      </w:r>
      <w:r w:rsidR="0035183C">
        <w:rPr>
          <w:rFonts w:ascii="Times New Roman" w:hAnsi="Times New Roman"/>
          <w:sz w:val="24"/>
        </w:rPr>
        <w:t>f</w:t>
      </w:r>
      <w:r w:rsidR="003A78D9">
        <w:rPr>
          <w:rFonts w:ascii="Times New Roman" w:hAnsi="Times New Roman"/>
          <w:sz w:val="24"/>
        </w:rPr>
        <w:t>ederal law and regulations.</w:t>
      </w:r>
    </w:p>
    <w:p w:rsidR="003A78D9" w:rsidRDefault="003A78D9">
      <w:pPr>
        <w:rPr>
          <w:rFonts w:ascii="Times New Roman" w:hAnsi="Times New Roman"/>
          <w:sz w:val="24"/>
        </w:rPr>
      </w:pPr>
    </w:p>
    <w:p w:rsidR="003A78D9" w:rsidRDefault="005F7AB0">
      <w:pPr>
        <w:rPr>
          <w:rFonts w:ascii="Times New Roman" w:hAnsi="Times New Roman"/>
          <w:b/>
          <w:bCs/>
          <w:i/>
          <w:iCs/>
          <w:sz w:val="24"/>
        </w:rPr>
      </w:pPr>
      <w:r>
        <w:rPr>
          <w:rFonts w:ascii="Times New Roman" w:hAnsi="Times New Roman"/>
          <w:b/>
          <w:bCs/>
          <w:i/>
          <w:iCs/>
          <w:sz w:val="24"/>
        </w:rPr>
        <w:t xml:space="preserve">2. </w:t>
      </w:r>
      <w:r w:rsidR="003A78D9">
        <w:rPr>
          <w:rFonts w:ascii="Times New Roman" w:hAnsi="Times New Roman"/>
          <w:b/>
          <w:bCs/>
          <w:i/>
          <w:iCs/>
          <w:sz w:val="24"/>
        </w:rPr>
        <w:t>Use of the information:</w:t>
      </w:r>
    </w:p>
    <w:p w:rsidR="003A78D9" w:rsidRDefault="003A78D9">
      <w:pPr>
        <w:rPr>
          <w:rFonts w:ascii="Times New Roman" w:hAnsi="Times New Roman"/>
          <w:sz w:val="24"/>
        </w:rPr>
      </w:pPr>
    </w:p>
    <w:p w:rsidR="000E72E7" w:rsidP="000E72E7" w:rsidRDefault="000E72E7">
      <w:pPr>
        <w:rPr>
          <w:rFonts w:ascii="Times New Roman" w:hAnsi="Times New Roman"/>
          <w:sz w:val="24"/>
          <w:szCs w:val="24"/>
        </w:rPr>
      </w:pPr>
      <w:r>
        <w:rPr>
          <w:rFonts w:ascii="Times New Roman" w:hAnsi="Times New Roman"/>
          <w:sz w:val="24"/>
          <w:szCs w:val="24"/>
        </w:rPr>
        <w:t xml:space="preserve">             </w:t>
      </w:r>
      <w:r w:rsidRPr="007F62AA">
        <w:rPr>
          <w:rFonts w:ascii="Times New Roman" w:hAnsi="Times New Roman"/>
          <w:sz w:val="24"/>
          <w:szCs w:val="24"/>
        </w:rPr>
        <w:t>The</w:t>
      </w:r>
      <w:r>
        <w:rPr>
          <w:rFonts w:ascii="Times New Roman" w:hAnsi="Times New Roman"/>
          <w:sz w:val="24"/>
          <w:szCs w:val="24"/>
        </w:rPr>
        <w:t xml:space="preserve"> new</w:t>
      </w:r>
      <w:r w:rsidRPr="007F62AA">
        <w:rPr>
          <w:rFonts w:ascii="Times New Roman" w:hAnsi="Times New Roman"/>
          <w:sz w:val="24"/>
          <w:szCs w:val="24"/>
        </w:rPr>
        <w:t xml:space="preserve"> </w:t>
      </w:r>
      <w:r>
        <w:rPr>
          <w:rFonts w:ascii="Times New Roman" w:hAnsi="Times New Roman"/>
          <w:sz w:val="24"/>
          <w:szCs w:val="24"/>
        </w:rPr>
        <w:t>information collection requirements under the notice of proposed rulemaking are as follows:</w:t>
      </w:r>
    </w:p>
    <w:p w:rsidRPr="007F62AA" w:rsidR="000E72E7" w:rsidP="000E72E7" w:rsidRDefault="000E72E7">
      <w:pPr>
        <w:rPr>
          <w:rFonts w:ascii="Times New Roman" w:hAnsi="Times New Roman"/>
          <w:sz w:val="24"/>
          <w:szCs w:val="24"/>
        </w:rPr>
      </w:pPr>
    </w:p>
    <w:p w:rsidRPr="000E72E7" w:rsidR="000E72E7" w:rsidP="000E72E7" w:rsidRDefault="000E72E7">
      <w:pPr>
        <w:numPr>
          <w:ilvl w:val="0"/>
          <w:numId w:val="28"/>
        </w:numPr>
        <w:spacing w:after="8pt"/>
        <w:rPr>
          <w:rFonts w:ascii="Times New Roman" w:hAnsi="Times New Roman"/>
          <w:sz w:val="24"/>
          <w:szCs w:val="24"/>
        </w:rPr>
      </w:pPr>
      <w:r w:rsidRPr="000E72E7">
        <w:rPr>
          <w:rFonts w:ascii="Times New Roman" w:hAnsi="Times New Roman"/>
          <w:bCs/>
          <w:i/>
          <w:iCs/>
          <w:sz w:val="24"/>
          <w:szCs w:val="24"/>
        </w:rPr>
        <w:t xml:space="preserve">Tax Equity Finance Transactions – </w:t>
      </w:r>
      <w:r w:rsidRPr="000E72E7">
        <w:rPr>
          <w:rFonts w:ascii="Times New Roman" w:hAnsi="Times New Roman"/>
          <w:bCs/>
          <w:iCs/>
          <w:sz w:val="24"/>
          <w:szCs w:val="24"/>
        </w:rPr>
        <w:t>Written requests are required for waivers to participate in a renewable energy tax equity finance transaction exceeding the aggregate investment limit.  Prior written notification to OCC is required for each renewable energy tax equity finance transaction.</w:t>
      </w:r>
      <w:r w:rsidRPr="000E72E7">
        <w:rPr>
          <w:rFonts w:ascii="Times New Roman" w:hAnsi="Times New Roman"/>
          <w:sz w:val="24"/>
          <w:szCs w:val="24"/>
        </w:rPr>
        <w:t xml:space="preserve">  § 7.1025.</w:t>
      </w:r>
    </w:p>
    <w:p w:rsidRPr="000E72E7" w:rsidR="000E72E7" w:rsidP="000E72E7" w:rsidRDefault="000E72E7">
      <w:pPr>
        <w:numPr>
          <w:ilvl w:val="0"/>
          <w:numId w:val="28"/>
        </w:numPr>
        <w:spacing w:after="8pt"/>
        <w:rPr>
          <w:rFonts w:ascii="Times New Roman" w:hAnsi="Times New Roman"/>
          <w:sz w:val="24"/>
          <w:szCs w:val="24"/>
        </w:rPr>
      </w:pPr>
      <w:r w:rsidRPr="000E72E7">
        <w:rPr>
          <w:rFonts w:ascii="Times New Roman" w:hAnsi="Times New Roman"/>
          <w:bCs/>
          <w:i/>
          <w:iCs/>
          <w:sz w:val="24"/>
          <w:szCs w:val="24"/>
        </w:rPr>
        <w:t xml:space="preserve">Payment Systems – </w:t>
      </w:r>
      <w:r w:rsidRPr="000E72E7">
        <w:rPr>
          <w:rFonts w:ascii="Times New Roman" w:hAnsi="Times New Roman"/>
          <w:bCs/>
          <w:iCs/>
          <w:sz w:val="24"/>
          <w:szCs w:val="24"/>
        </w:rPr>
        <w:t>Thirty (30) days advance written notice is required before joining a payment system that would expose the institution to open-end liability.  An after-the-fact written notice must be filed within 30 days of becoming a member of a payment system that does not expose the institution to open-end liabilities with certain representations.  Both notices must include safety and soundness representations.</w:t>
      </w:r>
      <w:r w:rsidRPr="000E72E7">
        <w:rPr>
          <w:rFonts w:ascii="Times New Roman" w:hAnsi="Times New Roman"/>
          <w:sz w:val="24"/>
          <w:szCs w:val="24"/>
        </w:rPr>
        <w:t xml:space="preserve">  § 7.1026.</w:t>
      </w:r>
    </w:p>
    <w:p w:rsidRPr="000E72E7" w:rsidR="000E72E7" w:rsidP="000E72E7" w:rsidRDefault="000E72E7">
      <w:pPr>
        <w:ind w:start="18pt"/>
        <w:rPr>
          <w:rFonts w:ascii="Times New Roman" w:hAnsi="Times New Roman"/>
          <w:sz w:val="24"/>
          <w:szCs w:val="24"/>
        </w:rPr>
      </w:pPr>
    </w:p>
    <w:p w:rsidRPr="000E72E7" w:rsidR="000E72E7" w:rsidP="000E72E7" w:rsidRDefault="000E72E7">
      <w:pPr>
        <w:numPr>
          <w:ilvl w:val="0"/>
          <w:numId w:val="28"/>
        </w:numPr>
        <w:spacing w:after="8pt"/>
        <w:rPr>
          <w:rFonts w:ascii="Times New Roman" w:hAnsi="Times New Roman"/>
          <w:sz w:val="24"/>
          <w:szCs w:val="24"/>
        </w:rPr>
      </w:pPr>
      <w:r w:rsidRPr="000E72E7">
        <w:rPr>
          <w:rFonts w:ascii="Times New Roman" w:hAnsi="Times New Roman"/>
          <w:bCs/>
          <w:i/>
          <w:iCs/>
          <w:sz w:val="24"/>
          <w:szCs w:val="24"/>
        </w:rPr>
        <w:t>Derivatives Activities</w:t>
      </w:r>
      <w:r w:rsidRPr="000E72E7">
        <w:rPr>
          <w:rFonts w:ascii="Times New Roman" w:hAnsi="Times New Roman"/>
          <w:bCs/>
          <w:iCs/>
          <w:sz w:val="24"/>
          <w:szCs w:val="24"/>
        </w:rPr>
        <w:t xml:space="preserve"> –</w:t>
      </w:r>
      <w:r w:rsidRPr="000E72E7">
        <w:rPr>
          <w:rFonts w:ascii="Times New Roman" w:hAnsi="Times New Roman"/>
          <w:sz w:val="24"/>
          <w:szCs w:val="24"/>
        </w:rPr>
        <w:t xml:space="preserve"> A w</w:t>
      </w:r>
      <w:r w:rsidRPr="000E72E7">
        <w:rPr>
          <w:rFonts w:ascii="Times New Roman" w:hAnsi="Times New Roman"/>
          <w:bCs/>
          <w:iCs/>
          <w:sz w:val="24"/>
          <w:szCs w:val="24"/>
        </w:rPr>
        <w:t>ritten application to engage in new derivatives activities not specified in the regulation is required. Written policies and procedures for effective governance are required. Records must be maintained demonstrating compliance.</w:t>
      </w:r>
      <w:r w:rsidRPr="000E72E7">
        <w:rPr>
          <w:rFonts w:ascii="Times New Roman" w:hAnsi="Times New Roman"/>
          <w:sz w:val="24"/>
          <w:szCs w:val="24"/>
        </w:rPr>
        <w:t xml:space="preserve"> Thirty (30) days prior written notice is required before engaging in certain derivatives hedging activities, expanding derivatives hedging activities to include a new category of underlying, engaging in certain customer-driven financial intermediation derivatives activities, and expanding customer-driven financial intermediation derivatives activities to include a new category of underlying specified in regulation.  § 7.1030.</w:t>
      </w:r>
    </w:p>
    <w:p w:rsidRPr="000E72E7" w:rsidR="000E72E7" w:rsidP="000E72E7" w:rsidRDefault="000E72E7">
      <w:pPr>
        <w:numPr>
          <w:ilvl w:val="0"/>
          <w:numId w:val="28"/>
        </w:numPr>
        <w:spacing w:after="8pt"/>
        <w:rPr>
          <w:rFonts w:ascii="Times New Roman" w:hAnsi="Times New Roman"/>
          <w:sz w:val="24"/>
          <w:szCs w:val="24"/>
        </w:rPr>
      </w:pPr>
      <w:r w:rsidRPr="000E72E7">
        <w:rPr>
          <w:rFonts w:ascii="Times New Roman" w:hAnsi="Times New Roman"/>
          <w:bCs/>
          <w:i/>
          <w:iCs/>
          <w:sz w:val="24"/>
          <w:szCs w:val="24"/>
        </w:rPr>
        <w:t>State Corporate Governance</w:t>
      </w:r>
      <w:r w:rsidRPr="000E72E7">
        <w:rPr>
          <w:rFonts w:ascii="Times New Roman" w:hAnsi="Times New Roman"/>
          <w:bCs/>
          <w:iCs/>
          <w:sz w:val="24"/>
          <w:szCs w:val="24"/>
        </w:rPr>
        <w:t xml:space="preserve"> –</w:t>
      </w:r>
      <w:r w:rsidRPr="000E72E7">
        <w:rPr>
          <w:rFonts w:ascii="Times New Roman" w:hAnsi="Times New Roman"/>
          <w:sz w:val="24"/>
          <w:szCs w:val="24"/>
        </w:rPr>
        <w:t xml:space="preserve"> </w:t>
      </w:r>
      <w:r w:rsidRPr="000E72E7">
        <w:rPr>
          <w:rFonts w:ascii="Times New Roman" w:hAnsi="Times New Roman"/>
          <w:bCs/>
          <w:iCs/>
          <w:sz w:val="24"/>
          <w:szCs w:val="24"/>
        </w:rPr>
        <w:t xml:space="preserve">Requests for OCC’s staff position on the ability of national bank to engage </w:t>
      </w:r>
      <w:proofErr w:type="gramStart"/>
      <w:r w:rsidRPr="000E72E7">
        <w:rPr>
          <w:rFonts w:ascii="Times New Roman" w:hAnsi="Times New Roman"/>
          <w:bCs/>
          <w:iCs/>
          <w:sz w:val="24"/>
          <w:szCs w:val="24"/>
        </w:rPr>
        <w:t>in particular State</w:t>
      </w:r>
      <w:proofErr w:type="gramEnd"/>
      <w:r w:rsidRPr="000E72E7">
        <w:rPr>
          <w:rFonts w:ascii="Times New Roman" w:hAnsi="Times New Roman"/>
          <w:bCs/>
          <w:iCs/>
          <w:sz w:val="24"/>
          <w:szCs w:val="24"/>
        </w:rPr>
        <w:t xml:space="preserve"> corporate governance procedure must include name, citations, discussion of similarly suited State banks, identification of Federal banking statutes </w:t>
      </w:r>
      <w:r w:rsidRPr="000E72E7">
        <w:rPr>
          <w:rFonts w:ascii="Times New Roman" w:hAnsi="Times New Roman"/>
          <w:bCs/>
          <w:iCs/>
          <w:sz w:val="24"/>
          <w:szCs w:val="24"/>
        </w:rPr>
        <w:lastRenderedPageBreak/>
        <w:t>and regulations, and analysis of consistency with statutes, regulations, and safety and soundness.</w:t>
      </w:r>
      <w:r w:rsidRPr="000E72E7">
        <w:rPr>
          <w:rFonts w:ascii="Times New Roman" w:hAnsi="Times New Roman"/>
          <w:sz w:val="24"/>
          <w:szCs w:val="24"/>
        </w:rPr>
        <w:t xml:space="preserve">  § 7.2000.</w:t>
      </w:r>
    </w:p>
    <w:p w:rsidRPr="000E72E7" w:rsidR="000E72E7" w:rsidP="000E72E7" w:rsidRDefault="000E72E7">
      <w:pPr>
        <w:numPr>
          <w:ilvl w:val="0"/>
          <w:numId w:val="28"/>
        </w:numPr>
        <w:spacing w:after="8pt"/>
        <w:rPr>
          <w:rFonts w:ascii="Times New Roman" w:hAnsi="Times New Roman"/>
          <w:sz w:val="24"/>
          <w:szCs w:val="24"/>
        </w:rPr>
      </w:pPr>
      <w:r w:rsidRPr="000E72E7">
        <w:rPr>
          <w:rFonts w:ascii="Times New Roman" w:hAnsi="Times New Roman"/>
          <w:bCs/>
          <w:i/>
          <w:iCs/>
          <w:sz w:val="24"/>
          <w:szCs w:val="24"/>
        </w:rPr>
        <w:t xml:space="preserve">Indemnification of institution-affiliated parties – Administrative proceeding or civil actions not initiated by a federal banking agency – </w:t>
      </w:r>
      <w:r w:rsidRPr="000E72E7">
        <w:rPr>
          <w:rFonts w:ascii="Times New Roman" w:hAnsi="Times New Roman"/>
          <w:bCs/>
          <w:iCs/>
          <w:sz w:val="24"/>
          <w:szCs w:val="24"/>
        </w:rPr>
        <w:t xml:space="preserve">A written agreement that an IAP will reimburse the institution for any portion of non-reimbursed indemnification that the IAP is found not entitled to is required before advancing funds to an IAP.  </w:t>
      </w:r>
      <w:r w:rsidRPr="000E72E7">
        <w:rPr>
          <w:rFonts w:ascii="Times New Roman" w:hAnsi="Times New Roman"/>
          <w:sz w:val="24"/>
          <w:szCs w:val="24"/>
        </w:rPr>
        <w:t>§ 7.2014.</w:t>
      </w:r>
    </w:p>
    <w:p w:rsidRPr="000E72E7" w:rsidR="000E72E7" w:rsidP="000E72E7" w:rsidRDefault="000E72E7">
      <w:pPr>
        <w:numPr>
          <w:ilvl w:val="0"/>
          <w:numId w:val="28"/>
        </w:numPr>
        <w:spacing w:after="8pt"/>
        <w:rPr>
          <w:rFonts w:ascii="Times New Roman" w:hAnsi="Times New Roman"/>
          <w:sz w:val="24"/>
          <w:szCs w:val="24"/>
        </w:rPr>
      </w:pPr>
      <w:r w:rsidRPr="000E72E7">
        <w:rPr>
          <w:rFonts w:ascii="Times New Roman" w:hAnsi="Times New Roman"/>
          <w:bCs/>
          <w:i/>
          <w:iCs/>
          <w:sz w:val="24"/>
          <w:szCs w:val="24"/>
        </w:rPr>
        <w:t xml:space="preserve">Issuing Stock in Certificate Form – </w:t>
      </w:r>
      <w:r w:rsidRPr="000E72E7">
        <w:rPr>
          <w:rFonts w:ascii="Times New Roman" w:hAnsi="Times New Roman"/>
          <w:bCs/>
          <w:iCs/>
          <w:sz w:val="24"/>
          <w:szCs w:val="24"/>
        </w:rPr>
        <w:t>National banks must include certain information, signatures and seal when issuing stock in certificate form.  § 7.2016.</w:t>
      </w:r>
    </w:p>
    <w:p w:rsidR="003A78D9" w:rsidRDefault="005F7AB0">
      <w:pPr>
        <w:rPr>
          <w:rFonts w:ascii="Times New Roman" w:hAnsi="Times New Roman"/>
          <w:b/>
          <w:bCs/>
          <w:i/>
          <w:iCs/>
          <w:sz w:val="24"/>
        </w:rPr>
      </w:pPr>
      <w:r>
        <w:rPr>
          <w:rFonts w:ascii="Times New Roman" w:hAnsi="Times New Roman"/>
          <w:b/>
          <w:bCs/>
          <w:i/>
          <w:iCs/>
          <w:sz w:val="24"/>
        </w:rPr>
        <w:t xml:space="preserve">3. </w:t>
      </w:r>
      <w:r w:rsidR="003A78D9">
        <w:rPr>
          <w:rFonts w:ascii="Times New Roman" w:hAnsi="Times New Roman"/>
          <w:b/>
          <w:bCs/>
          <w:i/>
          <w:iCs/>
          <w:sz w:val="24"/>
        </w:rPr>
        <w:t>Consideration of the use of information technology:</w:t>
      </w:r>
    </w:p>
    <w:p w:rsidR="003A78D9" w:rsidRDefault="003A78D9">
      <w:pPr>
        <w:rPr>
          <w:rFonts w:ascii="Times New Roman" w:hAnsi="Times New Roman"/>
          <w:sz w:val="24"/>
        </w:rPr>
      </w:pPr>
    </w:p>
    <w:p w:rsidR="003A78D9" w:rsidRDefault="005F7AB0">
      <w:pPr>
        <w:rPr>
          <w:rFonts w:ascii="Times New Roman" w:hAnsi="Times New Roman"/>
          <w:sz w:val="24"/>
        </w:rPr>
      </w:pPr>
      <w:r>
        <w:rPr>
          <w:rFonts w:ascii="Times New Roman" w:hAnsi="Times New Roman"/>
          <w:sz w:val="24"/>
        </w:rPr>
        <w:t xml:space="preserve">          </w:t>
      </w:r>
      <w:r w:rsidR="003A78D9">
        <w:rPr>
          <w:rFonts w:ascii="Times New Roman" w:hAnsi="Times New Roman"/>
          <w:sz w:val="24"/>
        </w:rPr>
        <w:t xml:space="preserve">The information requirements are recordkeeping requirements.  </w:t>
      </w:r>
      <w:r w:rsidR="008809B9">
        <w:rPr>
          <w:rFonts w:ascii="Times New Roman" w:hAnsi="Times New Roman"/>
          <w:sz w:val="24"/>
        </w:rPr>
        <w:t>Institutions</w:t>
      </w:r>
      <w:r w:rsidR="003A78D9">
        <w:rPr>
          <w:rFonts w:ascii="Times New Roman" w:hAnsi="Times New Roman"/>
          <w:sz w:val="24"/>
        </w:rPr>
        <w:t xml:space="preserve"> may</w:t>
      </w:r>
      <w:r w:rsidR="008809B9">
        <w:rPr>
          <w:rFonts w:ascii="Times New Roman" w:hAnsi="Times New Roman"/>
          <w:sz w:val="24"/>
        </w:rPr>
        <w:t xml:space="preserve"> use any information </w:t>
      </w:r>
      <w:r w:rsidR="003A78D9">
        <w:rPr>
          <w:rFonts w:ascii="Times New Roman" w:hAnsi="Times New Roman"/>
          <w:sz w:val="24"/>
        </w:rPr>
        <w:t>technology that permits retrieval for review by OCC examiners.</w:t>
      </w:r>
    </w:p>
    <w:p w:rsidR="003A78D9" w:rsidRDefault="003A78D9">
      <w:pPr>
        <w:rPr>
          <w:rFonts w:ascii="Times New Roman" w:hAnsi="Times New Roman"/>
          <w:sz w:val="24"/>
        </w:rPr>
      </w:pPr>
    </w:p>
    <w:p w:rsidR="003A78D9" w:rsidRDefault="005F7AB0">
      <w:pPr>
        <w:rPr>
          <w:rFonts w:ascii="Times New Roman" w:hAnsi="Times New Roman"/>
          <w:b/>
          <w:bCs/>
          <w:i/>
          <w:iCs/>
          <w:sz w:val="24"/>
        </w:rPr>
      </w:pPr>
      <w:r>
        <w:rPr>
          <w:rFonts w:ascii="Times New Roman" w:hAnsi="Times New Roman"/>
          <w:b/>
          <w:bCs/>
          <w:i/>
          <w:iCs/>
          <w:sz w:val="24"/>
        </w:rPr>
        <w:t xml:space="preserve">4. </w:t>
      </w:r>
      <w:r w:rsidR="003A78D9">
        <w:rPr>
          <w:rFonts w:ascii="Times New Roman" w:hAnsi="Times New Roman"/>
          <w:b/>
          <w:bCs/>
          <w:i/>
          <w:iCs/>
          <w:sz w:val="24"/>
        </w:rPr>
        <w:t>Efforts to identify duplication:</w:t>
      </w:r>
    </w:p>
    <w:p w:rsidR="003A78D9" w:rsidRDefault="003A78D9">
      <w:pPr>
        <w:rPr>
          <w:rFonts w:ascii="Times New Roman" w:hAnsi="Times New Roman"/>
          <w:sz w:val="24"/>
        </w:rPr>
      </w:pPr>
    </w:p>
    <w:p w:rsidR="003A78D9" w:rsidRDefault="005F7AB0">
      <w:pPr>
        <w:rPr>
          <w:rFonts w:ascii="Times New Roman" w:hAnsi="Times New Roman"/>
          <w:sz w:val="24"/>
        </w:rPr>
      </w:pPr>
      <w:r>
        <w:rPr>
          <w:rFonts w:ascii="Times New Roman" w:hAnsi="Times New Roman"/>
          <w:sz w:val="24"/>
        </w:rPr>
        <w:t xml:space="preserve">          </w:t>
      </w:r>
      <w:r w:rsidR="003A78D9">
        <w:rPr>
          <w:rFonts w:ascii="Times New Roman" w:hAnsi="Times New Roman"/>
          <w:sz w:val="24"/>
        </w:rPr>
        <w:t xml:space="preserve">This information collection is unique to the </w:t>
      </w:r>
      <w:r w:rsidR="008809B9">
        <w:rPr>
          <w:rFonts w:ascii="Times New Roman" w:hAnsi="Times New Roman"/>
          <w:sz w:val="24"/>
        </w:rPr>
        <w:t>institution</w:t>
      </w:r>
      <w:r w:rsidR="003A78D9">
        <w:rPr>
          <w:rFonts w:ascii="Times New Roman" w:hAnsi="Times New Roman"/>
          <w:sz w:val="24"/>
        </w:rPr>
        <w:t>.  It is not duplicated anywhere</w:t>
      </w:r>
      <w:r w:rsidR="00C1661B">
        <w:rPr>
          <w:rFonts w:ascii="Times New Roman" w:hAnsi="Times New Roman"/>
          <w:sz w:val="24"/>
        </w:rPr>
        <w:t xml:space="preserve"> else</w:t>
      </w:r>
      <w:r w:rsidR="003A78D9">
        <w:rPr>
          <w:rFonts w:ascii="Times New Roman" w:hAnsi="Times New Roman"/>
          <w:sz w:val="24"/>
        </w:rPr>
        <w:t>.</w:t>
      </w:r>
    </w:p>
    <w:p w:rsidR="003A78D9" w:rsidRDefault="003A78D9">
      <w:pPr>
        <w:rPr>
          <w:rFonts w:ascii="Times New Roman" w:hAnsi="Times New Roman"/>
          <w:sz w:val="24"/>
        </w:rPr>
      </w:pPr>
    </w:p>
    <w:p w:rsidR="00146E90" w:rsidP="00146E90" w:rsidRDefault="00146E90">
      <w:pPr>
        <w:pStyle w:val="BodyText"/>
        <w:widowControl w:val="0"/>
        <w:ind w:start="5pt" w:end="43.05pt"/>
        <w:rPr>
          <w:rFonts w:ascii="Times New Roman" w:hAnsi="Times New Roman"/>
          <w:b/>
          <w:i/>
          <w:u w:val="none"/>
        </w:rPr>
      </w:pPr>
      <w:r>
        <w:rPr>
          <w:rFonts w:ascii="Times New Roman" w:hAnsi="Times New Roman"/>
          <w:b/>
          <w:bCs/>
          <w:i/>
          <w:iCs/>
          <w:u w:val="none"/>
        </w:rPr>
        <w:t>5.</w:t>
      </w:r>
      <w:r>
        <w:rPr>
          <w:rFonts w:ascii="Times New Roman" w:hAnsi="Times New Roman"/>
          <w:b/>
          <w:bCs/>
          <w:i/>
          <w:iCs/>
          <w:u w:val="none"/>
        </w:rPr>
        <w:tab/>
      </w:r>
      <w:r>
        <w:rPr>
          <w:rFonts w:ascii="Times New Roman" w:hAnsi="Times New Roman"/>
          <w:b/>
          <w:i/>
          <w:spacing w:val="-2"/>
          <w:u w:val="none"/>
        </w:rPr>
        <w:t>If</w:t>
      </w:r>
      <w:r>
        <w:rPr>
          <w:rFonts w:ascii="Times New Roman" w:hAnsi="Times New Roman"/>
          <w:b/>
          <w:i/>
          <w:spacing w:val="-8"/>
          <w:u w:val="none"/>
        </w:rPr>
        <w:t xml:space="preserve"> </w:t>
      </w:r>
      <w:r>
        <w:rPr>
          <w:rFonts w:ascii="Times New Roman" w:hAnsi="Times New Roman"/>
          <w:b/>
          <w:i/>
          <w:u w:val="none"/>
        </w:rPr>
        <w:t>the</w:t>
      </w:r>
      <w:r>
        <w:rPr>
          <w:rFonts w:ascii="Times New Roman" w:hAnsi="Times New Roman"/>
          <w:b/>
          <w:i/>
          <w:spacing w:val="-7"/>
          <w:u w:val="none"/>
        </w:rPr>
        <w:t xml:space="preserve"> </w:t>
      </w:r>
      <w:r>
        <w:rPr>
          <w:rFonts w:ascii="Times New Roman" w:hAnsi="Times New Roman"/>
          <w:b/>
          <w:i/>
          <w:spacing w:val="-1"/>
          <w:u w:val="none"/>
        </w:rPr>
        <w:t>collection</w:t>
      </w:r>
      <w:r>
        <w:rPr>
          <w:rFonts w:ascii="Times New Roman" w:hAnsi="Times New Roman"/>
          <w:b/>
          <w:i/>
          <w:spacing w:val="-7"/>
          <w:u w:val="none"/>
        </w:rPr>
        <w:t xml:space="preserve"> </w:t>
      </w:r>
      <w:r>
        <w:rPr>
          <w:rFonts w:ascii="Times New Roman" w:hAnsi="Times New Roman"/>
          <w:b/>
          <w:i/>
          <w:u w:val="none"/>
        </w:rPr>
        <w:t>of</w:t>
      </w:r>
      <w:r>
        <w:rPr>
          <w:rFonts w:ascii="Times New Roman" w:hAnsi="Times New Roman"/>
          <w:b/>
          <w:i/>
          <w:spacing w:val="-8"/>
          <w:u w:val="none"/>
        </w:rPr>
        <w:t xml:space="preserve"> </w:t>
      </w:r>
      <w:r>
        <w:rPr>
          <w:rFonts w:ascii="Times New Roman" w:hAnsi="Times New Roman"/>
          <w:b/>
          <w:i/>
          <w:spacing w:val="-1"/>
          <w:u w:val="none"/>
        </w:rPr>
        <w:t>information</w:t>
      </w:r>
      <w:r>
        <w:rPr>
          <w:rFonts w:ascii="Times New Roman" w:hAnsi="Times New Roman"/>
          <w:b/>
          <w:i/>
          <w:spacing w:val="-7"/>
          <w:u w:val="none"/>
        </w:rPr>
        <w:t xml:space="preserve"> </w:t>
      </w:r>
      <w:r>
        <w:rPr>
          <w:rFonts w:ascii="Times New Roman" w:hAnsi="Times New Roman"/>
          <w:b/>
          <w:i/>
          <w:spacing w:val="-1"/>
          <w:u w:val="none"/>
        </w:rPr>
        <w:t>impacts</w:t>
      </w:r>
      <w:r>
        <w:rPr>
          <w:rFonts w:ascii="Times New Roman" w:hAnsi="Times New Roman"/>
          <w:b/>
          <w:i/>
          <w:spacing w:val="-6"/>
          <w:u w:val="none"/>
        </w:rPr>
        <w:t xml:space="preserve"> </w:t>
      </w:r>
      <w:r>
        <w:rPr>
          <w:rFonts w:ascii="Times New Roman" w:hAnsi="Times New Roman"/>
          <w:b/>
          <w:i/>
          <w:spacing w:val="-1"/>
          <w:u w:val="none"/>
        </w:rPr>
        <w:t>small</w:t>
      </w:r>
      <w:r>
        <w:rPr>
          <w:rFonts w:ascii="Times New Roman" w:hAnsi="Times New Roman"/>
          <w:b/>
          <w:i/>
          <w:spacing w:val="-7"/>
          <w:u w:val="none"/>
        </w:rPr>
        <w:t xml:space="preserve"> </w:t>
      </w:r>
      <w:r>
        <w:rPr>
          <w:rFonts w:ascii="Times New Roman" w:hAnsi="Times New Roman"/>
          <w:b/>
          <w:i/>
          <w:spacing w:val="-1"/>
          <w:u w:val="none"/>
        </w:rPr>
        <w:t>businesses</w:t>
      </w:r>
      <w:r>
        <w:rPr>
          <w:rFonts w:ascii="Times New Roman" w:hAnsi="Times New Roman"/>
          <w:b/>
          <w:i/>
          <w:spacing w:val="-6"/>
          <w:u w:val="none"/>
        </w:rPr>
        <w:t xml:space="preserve"> </w:t>
      </w:r>
      <w:r>
        <w:rPr>
          <w:rFonts w:ascii="Times New Roman" w:hAnsi="Times New Roman"/>
          <w:b/>
          <w:i/>
          <w:u w:val="none"/>
        </w:rPr>
        <w:t>or</w:t>
      </w:r>
      <w:r>
        <w:rPr>
          <w:rFonts w:ascii="Times New Roman" w:hAnsi="Times New Roman"/>
          <w:b/>
          <w:i/>
          <w:spacing w:val="-8"/>
          <w:u w:val="none"/>
        </w:rPr>
        <w:t xml:space="preserve"> </w:t>
      </w:r>
      <w:r>
        <w:rPr>
          <w:rFonts w:ascii="Times New Roman" w:hAnsi="Times New Roman"/>
          <w:b/>
          <w:i/>
          <w:spacing w:val="1"/>
          <w:u w:val="none"/>
        </w:rPr>
        <w:t>other</w:t>
      </w:r>
      <w:r>
        <w:rPr>
          <w:rFonts w:ascii="Times New Roman" w:hAnsi="Times New Roman"/>
          <w:b/>
          <w:i/>
          <w:spacing w:val="-7"/>
          <w:u w:val="none"/>
        </w:rPr>
        <w:t xml:space="preserve"> </w:t>
      </w:r>
      <w:r>
        <w:rPr>
          <w:rFonts w:ascii="Times New Roman" w:hAnsi="Times New Roman"/>
          <w:b/>
          <w:i/>
          <w:spacing w:val="-1"/>
          <w:u w:val="none"/>
        </w:rPr>
        <w:t>small</w:t>
      </w:r>
      <w:r>
        <w:rPr>
          <w:rFonts w:ascii="Times New Roman" w:hAnsi="Times New Roman"/>
          <w:b/>
          <w:i/>
          <w:spacing w:val="-6"/>
          <w:u w:val="none"/>
        </w:rPr>
        <w:t xml:space="preserve"> </w:t>
      </w:r>
      <w:r>
        <w:rPr>
          <w:rFonts w:ascii="Times New Roman" w:hAnsi="Times New Roman"/>
          <w:b/>
          <w:i/>
          <w:u w:val="none"/>
        </w:rPr>
        <w:t>entities, describe</w:t>
      </w:r>
      <w:r>
        <w:rPr>
          <w:rFonts w:ascii="Times New Roman" w:hAnsi="Times New Roman"/>
          <w:b/>
          <w:i/>
          <w:spacing w:val="-7"/>
          <w:u w:val="none"/>
        </w:rPr>
        <w:t xml:space="preserve"> </w:t>
      </w:r>
      <w:r>
        <w:rPr>
          <w:rFonts w:ascii="Times New Roman" w:hAnsi="Times New Roman"/>
          <w:b/>
          <w:i/>
          <w:spacing w:val="1"/>
          <w:u w:val="none"/>
        </w:rPr>
        <w:t>any</w:t>
      </w:r>
      <w:r>
        <w:rPr>
          <w:rFonts w:ascii="Times New Roman" w:hAnsi="Times New Roman"/>
          <w:b/>
          <w:i/>
          <w:spacing w:val="-11"/>
          <w:u w:val="none"/>
        </w:rPr>
        <w:t xml:space="preserve"> </w:t>
      </w:r>
      <w:r>
        <w:rPr>
          <w:rFonts w:ascii="Times New Roman" w:hAnsi="Times New Roman"/>
          <w:b/>
          <w:i/>
          <w:spacing w:val="-1"/>
          <w:u w:val="none"/>
        </w:rPr>
        <w:t>methods</w:t>
      </w:r>
      <w:r>
        <w:rPr>
          <w:rFonts w:ascii="Times New Roman" w:hAnsi="Times New Roman"/>
          <w:b/>
          <w:i/>
          <w:spacing w:val="-8"/>
          <w:u w:val="none"/>
        </w:rPr>
        <w:t xml:space="preserve"> </w:t>
      </w:r>
      <w:r>
        <w:rPr>
          <w:rFonts w:ascii="Times New Roman" w:hAnsi="Times New Roman"/>
          <w:b/>
          <w:i/>
          <w:spacing w:val="-1"/>
          <w:u w:val="none"/>
        </w:rPr>
        <w:t>used</w:t>
      </w:r>
      <w:r>
        <w:rPr>
          <w:rFonts w:ascii="Times New Roman" w:hAnsi="Times New Roman"/>
          <w:b/>
          <w:i/>
          <w:spacing w:val="-8"/>
          <w:u w:val="none"/>
        </w:rPr>
        <w:t xml:space="preserve"> </w:t>
      </w:r>
      <w:r>
        <w:rPr>
          <w:rFonts w:ascii="Times New Roman" w:hAnsi="Times New Roman"/>
          <w:b/>
          <w:i/>
          <w:u w:val="none"/>
        </w:rPr>
        <w:t>to</w:t>
      </w:r>
      <w:r>
        <w:rPr>
          <w:rFonts w:ascii="Times New Roman" w:hAnsi="Times New Roman"/>
          <w:b/>
          <w:i/>
          <w:spacing w:val="-8"/>
          <w:u w:val="none"/>
        </w:rPr>
        <w:t xml:space="preserve"> </w:t>
      </w:r>
      <w:r>
        <w:rPr>
          <w:rFonts w:ascii="Times New Roman" w:hAnsi="Times New Roman"/>
          <w:b/>
          <w:i/>
          <w:u w:val="none"/>
        </w:rPr>
        <w:t>minimize</w:t>
      </w:r>
      <w:r>
        <w:rPr>
          <w:rFonts w:ascii="Times New Roman" w:hAnsi="Times New Roman"/>
          <w:b/>
          <w:i/>
          <w:spacing w:val="-8"/>
          <w:u w:val="none"/>
        </w:rPr>
        <w:t xml:space="preserve"> </w:t>
      </w:r>
      <w:r>
        <w:rPr>
          <w:rFonts w:ascii="Times New Roman" w:hAnsi="Times New Roman"/>
          <w:b/>
          <w:i/>
          <w:spacing w:val="-1"/>
          <w:u w:val="none"/>
        </w:rPr>
        <w:t>burden.</w:t>
      </w:r>
    </w:p>
    <w:p w:rsidR="00146E90" w:rsidP="00146E90" w:rsidRDefault="00146E90"/>
    <w:p w:rsidRPr="00146E90" w:rsidR="00146E90" w:rsidP="00146E90" w:rsidRDefault="00146E90">
      <w:pPr>
        <w:ind w:firstLine="36pt"/>
        <w:rPr>
          <w:rFonts w:ascii="Times New Roman" w:hAnsi="Times New Roman"/>
          <w:color w:val="000000"/>
          <w:sz w:val="24"/>
          <w:szCs w:val="24"/>
        </w:rPr>
      </w:pPr>
      <w:r w:rsidRPr="00146E90">
        <w:rPr>
          <w:rFonts w:ascii="Times New Roman" w:hAnsi="Times New Roman"/>
          <w:color w:val="000000"/>
          <w:sz w:val="24"/>
          <w:szCs w:val="24"/>
        </w:rPr>
        <w:t>There are no alternatives that would result in lowering the burden on small institutions, while still accomplishing the purpose</w:t>
      </w:r>
      <w:r>
        <w:rPr>
          <w:rFonts w:ascii="Times New Roman" w:hAnsi="Times New Roman"/>
          <w:color w:val="000000"/>
          <w:sz w:val="24"/>
          <w:szCs w:val="24"/>
        </w:rPr>
        <w:t>s</w:t>
      </w:r>
      <w:r w:rsidRPr="00146E90">
        <w:rPr>
          <w:rFonts w:ascii="Times New Roman" w:hAnsi="Times New Roman"/>
          <w:color w:val="000000"/>
          <w:sz w:val="24"/>
          <w:szCs w:val="24"/>
        </w:rPr>
        <w:t xml:space="preserve"> of the rule</w:t>
      </w:r>
      <w:r>
        <w:rPr>
          <w:rFonts w:ascii="Times New Roman" w:hAnsi="Times New Roman"/>
          <w:color w:val="000000"/>
          <w:sz w:val="24"/>
          <w:szCs w:val="24"/>
        </w:rPr>
        <w:t>s</w:t>
      </w:r>
      <w:r w:rsidRPr="00146E90">
        <w:rPr>
          <w:rFonts w:ascii="Times New Roman" w:hAnsi="Times New Roman"/>
          <w:color w:val="000000"/>
          <w:sz w:val="24"/>
          <w:szCs w:val="24"/>
        </w:rPr>
        <w:t>.</w:t>
      </w:r>
    </w:p>
    <w:p w:rsidR="003A78D9" w:rsidRDefault="003A78D9">
      <w:pPr>
        <w:rPr>
          <w:rFonts w:ascii="Times New Roman" w:hAnsi="Times New Roman"/>
          <w:sz w:val="24"/>
        </w:rPr>
      </w:pPr>
    </w:p>
    <w:p w:rsidR="003A78D9" w:rsidRDefault="005F7AB0">
      <w:pPr>
        <w:rPr>
          <w:rFonts w:ascii="Times New Roman" w:hAnsi="Times New Roman"/>
          <w:b/>
          <w:bCs/>
          <w:i/>
          <w:iCs/>
          <w:sz w:val="24"/>
        </w:rPr>
      </w:pPr>
      <w:r>
        <w:rPr>
          <w:rFonts w:ascii="Times New Roman" w:hAnsi="Times New Roman"/>
          <w:b/>
          <w:bCs/>
          <w:i/>
          <w:iCs/>
          <w:sz w:val="24"/>
        </w:rPr>
        <w:t xml:space="preserve">6. </w:t>
      </w:r>
      <w:r w:rsidR="003A78D9">
        <w:rPr>
          <w:rFonts w:ascii="Times New Roman" w:hAnsi="Times New Roman"/>
          <w:b/>
          <w:bCs/>
          <w:i/>
          <w:iCs/>
          <w:sz w:val="24"/>
        </w:rPr>
        <w:t xml:space="preserve">Consequences to the </w:t>
      </w:r>
      <w:r w:rsidR="0035183C">
        <w:rPr>
          <w:rFonts w:ascii="Times New Roman" w:hAnsi="Times New Roman"/>
          <w:b/>
          <w:bCs/>
          <w:i/>
          <w:iCs/>
          <w:sz w:val="24"/>
        </w:rPr>
        <w:t>f</w:t>
      </w:r>
      <w:r w:rsidR="003A78D9">
        <w:rPr>
          <w:rFonts w:ascii="Times New Roman" w:hAnsi="Times New Roman"/>
          <w:b/>
          <w:bCs/>
          <w:i/>
          <w:iCs/>
          <w:sz w:val="24"/>
        </w:rPr>
        <w:t>ederal program if the collection were conducted less frequently:</w:t>
      </w:r>
    </w:p>
    <w:p w:rsidR="003A78D9" w:rsidRDefault="003A78D9">
      <w:pPr>
        <w:rPr>
          <w:rFonts w:ascii="Times New Roman" w:hAnsi="Times New Roman"/>
          <w:sz w:val="24"/>
        </w:rPr>
      </w:pPr>
    </w:p>
    <w:p w:rsidR="003A78D9" w:rsidRDefault="005F7AB0">
      <w:pPr>
        <w:rPr>
          <w:rFonts w:ascii="Times New Roman" w:hAnsi="Times New Roman"/>
          <w:sz w:val="24"/>
        </w:rPr>
      </w:pPr>
      <w:r>
        <w:rPr>
          <w:rFonts w:ascii="Times New Roman" w:hAnsi="Times New Roman"/>
          <w:sz w:val="24"/>
        </w:rPr>
        <w:t xml:space="preserve">          </w:t>
      </w:r>
      <w:r w:rsidR="003A78D9">
        <w:rPr>
          <w:rFonts w:ascii="Times New Roman" w:hAnsi="Times New Roman"/>
          <w:sz w:val="24"/>
        </w:rPr>
        <w:t>The information is collected infrequently, as covered situations arise.  Less frequent collection could impair OCC’s supervisory activities</w:t>
      </w:r>
      <w:r w:rsidR="00744D1C">
        <w:rPr>
          <w:rFonts w:ascii="Times New Roman" w:hAnsi="Times New Roman"/>
          <w:sz w:val="24"/>
        </w:rPr>
        <w:t>,</w:t>
      </w:r>
      <w:r w:rsidR="003A78D9">
        <w:rPr>
          <w:rFonts w:ascii="Times New Roman" w:hAnsi="Times New Roman"/>
          <w:sz w:val="24"/>
        </w:rPr>
        <w:t xml:space="preserve"> limit the utility of the information to </w:t>
      </w:r>
      <w:r w:rsidR="00B15731">
        <w:rPr>
          <w:rFonts w:ascii="Times New Roman" w:hAnsi="Times New Roman"/>
          <w:sz w:val="24"/>
        </w:rPr>
        <w:t>institution</w:t>
      </w:r>
      <w:r w:rsidR="003A78D9">
        <w:rPr>
          <w:rFonts w:ascii="Times New Roman" w:hAnsi="Times New Roman"/>
          <w:sz w:val="24"/>
        </w:rPr>
        <w:t xml:space="preserve"> management</w:t>
      </w:r>
      <w:r w:rsidR="00744D1C">
        <w:rPr>
          <w:rFonts w:ascii="Times New Roman" w:hAnsi="Times New Roman"/>
          <w:sz w:val="24"/>
        </w:rPr>
        <w:t>, and</w:t>
      </w:r>
      <w:r w:rsidR="003A78D9">
        <w:rPr>
          <w:rFonts w:ascii="Times New Roman" w:hAnsi="Times New Roman"/>
          <w:sz w:val="24"/>
        </w:rPr>
        <w:t xml:space="preserve"> result in unsafe and unsound operations.</w:t>
      </w:r>
    </w:p>
    <w:p w:rsidR="000E72E7" w:rsidRDefault="000E72E7">
      <w:pPr>
        <w:rPr>
          <w:rFonts w:ascii="Times New Roman" w:hAnsi="Times New Roman"/>
          <w:sz w:val="24"/>
        </w:rPr>
      </w:pPr>
    </w:p>
    <w:p w:rsidR="003A78D9" w:rsidRDefault="005F7AB0">
      <w:pPr>
        <w:rPr>
          <w:rFonts w:ascii="Times New Roman" w:hAnsi="Times New Roman"/>
          <w:b/>
          <w:bCs/>
          <w:i/>
          <w:iCs/>
          <w:sz w:val="24"/>
        </w:rPr>
      </w:pPr>
      <w:r>
        <w:rPr>
          <w:rFonts w:ascii="Times New Roman" w:hAnsi="Times New Roman"/>
          <w:b/>
          <w:bCs/>
          <w:i/>
          <w:iCs/>
          <w:sz w:val="24"/>
        </w:rPr>
        <w:t xml:space="preserve">7. </w:t>
      </w:r>
      <w:r w:rsidR="003A78D9">
        <w:rPr>
          <w:rFonts w:ascii="Times New Roman" w:hAnsi="Times New Roman"/>
          <w:b/>
          <w:bCs/>
          <w:i/>
          <w:iCs/>
          <w:sz w:val="24"/>
        </w:rPr>
        <w:t>Special circumstances necessitating coll</w:t>
      </w:r>
      <w:r w:rsidR="00E37C7D">
        <w:rPr>
          <w:rFonts w:ascii="Times New Roman" w:hAnsi="Times New Roman"/>
          <w:b/>
          <w:bCs/>
          <w:i/>
          <w:iCs/>
          <w:sz w:val="24"/>
        </w:rPr>
        <w:t>ection inconsistent with 5 CFR p</w:t>
      </w:r>
      <w:r w:rsidR="003A78D9">
        <w:rPr>
          <w:rFonts w:ascii="Times New Roman" w:hAnsi="Times New Roman"/>
          <w:b/>
          <w:bCs/>
          <w:i/>
          <w:iCs/>
          <w:sz w:val="24"/>
        </w:rPr>
        <w:t>art 1320:</w:t>
      </w:r>
    </w:p>
    <w:p w:rsidR="003A78D9" w:rsidRDefault="003A78D9">
      <w:pPr>
        <w:rPr>
          <w:rFonts w:ascii="Times New Roman" w:hAnsi="Times New Roman"/>
          <w:sz w:val="24"/>
        </w:rPr>
      </w:pPr>
    </w:p>
    <w:p w:rsidR="003A78D9" w:rsidRDefault="005F7AB0">
      <w:pPr>
        <w:rPr>
          <w:rFonts w:ascii="Times New Roman" w:hAnsi="Times New Roman"/>
          <w:sz w:val="24"/>
        </w:rPr>
      </w:pPr>
      <w:r>
        <w:rPr>
          <w:rFonts w:ascii="Times New Roman" w:hAnsi="Times New Roman"/>
          <w:sz w:val="24"/>
        </w:rPr>
        <w:t xml:space="preserve">          </w:t>
      </w:r>
      <w:r w:rsidR="003A78D9">
        <w:rPr>
          <w:rFonts w:ascii="Times New Roman" w:hAnsi="Times New Roman"/>
          <w:sz w:val="24"/>
        </w:rPr>
        <w:t xml:space="preserve">This information collection is conducted in accordance with OMB guidelines in 5 CFR </w:t>
      </w:r>
      <w:r w:rsidR="00DB486D">
        <w:rPr>
          <w:rFonts w:ascii="Times New Roman" w:hAnsi="Times New Roman"/>
          <w:sz w:val="24"/>
        </w:rPr>
        <w:t xml:space="preserve">part </w:t>
      </w:r>
      <w:r w:rsidR="003A78D9">
        <w:rPr>
          <w:rFonts w:ascii="Times New Roman" w:hAnsi="Times New Roman"/>
          <w:sz w:val="24"/>
        </w:rPr>
        <w:t>1320.</w:t>
      </w:r>
    </w:p>
    <w:p w:rsidR="003A78D9" w:rsidRDefault="003A78D9">
      <w:pPr>
        <w:rPr>
          <w:rFonts w:ascii="Times New Roman" w:hAnsi="Times New Roman"/>
          <w:sz w:val="24"/>
        </w:rPr>
      </w:pPr>
    </w:p>
    <w:p w:rsidR="003A78D9" w:rsidRDefault="005F7AB0">
      <w:pPr>
        <w:rPr>
          <w:rFonts w:ascii="Times New Roman" w:hAnsi="Times New Roman"/>
          <w:b/>
          <w:bCs/>
          <w:i/>
          <w:iCs/>
          <w:sz w:val="24"/>
        </w:rPr>
      </w:pPr>
      <w:r>
        <w:rPr>
          <w:rFonts w:ascii="Times New Roman" w:hAnsi="Times New Roman"/>
          <w:b/>
          <w:bCs/>
          <w:i/>
          <w:iCs/>
          <w:sz w:val="24"/>
        </w:rPr>
        <w:t xml:space="preserve">8. </w:t>
      </w:r>
      <w:r w:rsidR="003A78D9">
        <w:rPr>
          <w:rFonts w:ascii="Times New Roman" w:hAnsi="Times New Roman"/>
          <w:b/>
          <w:bCs/>
          <w:i/>
          <w:iCs/>
          <w:sz w:val="24"/>
        </w:rPr>
        <w:t>Efforts to consult with persons outside the agency:</w:t>
      </w:r>
    </w:p>
    <w:p w:rsidR="003A78D9" w:rsidRDefault="003A78D9">
      <w:pPr>
        <w:rPr>
          <w:rFonts w:ascii="Times New Roman" w:hAnsi="Times New Roman"/>
          <w:sz w:val="24"/>
        </w:rPr>
      </w:pPr>
    </w:p>
    <w:p w:rsidR="003A78D9" w:rsidRDefault="005F7AB0">
      <w:pPr>
        <w:rPr>
          <w:rFonts w:ascii="Times New Roman" w:hAnsi="Times New Roman"/>
          <w:sz w:val="24"/>
        </w:rPr>
      </w:pPr>
      <w:r>
        <w:rPr>
          <w:rFonts w:ascii="Times New Roman" w:hAnsi="Times New Roman"/>
          <w:sz w:val="24"/>
        </w:rPr>
        <w:t xml:space="preserve">          </w:t>
      </w:r>
      <w:r w:rsidR="003A78D9">
        <w:rPr>
          <w:rFonts w:ascii="Times New Roman" w:hAnsi="Times New Roman"/>
          <w:sz w:val="24"/>
        </w:rPr>
        <w:t xml:space="preserve">The OCC </w:t>
      </w:r>
      <w:r w:rsidR="00DB486D">
        <w:rPr>
          <w:rFonts w:ascii="Times New Roman" w:hAnsi="Times New Roman"/>
          <w:sz w:val="24"/>
        </w:rPr>
        <w:t>issued a notice</w:t>
      </w:r>
      <w:r w:rsidR="003A78D9">
        <w:rPr>
          <w:rFonts w:ascii="Times New Roman" w:hAnsi="Times New Roman"/>
          <w:sz w:val="24"/>
        </w:rPr>
        <w:t xml:space="preserve"> </w:t>
      </w:r>
      <w:r w:rsidR="000E72E7">
        <w:rPr>
          <w:rFonts w:ascii="Times New Roman" w:hAnsi="Times New Roman"/>
          <w:sz w:val="24"/>
        </w:rPr>
        <w:t>of proposed rulemaking containing the collection on _____ __, 2020, 85 FR _____.</w:t>
      </w:r>
    </w:p>
    <w:p w:rsidR="003A78D9" w:rsidRDefault="003A78D9">
      <w:pPr>
        <w:rPr>
          <w:rFonts w:ascii="Times New Roman" w:hAnsi="Times New Roman"/>
          <w:sz w:val="24"/>
        </w:rPr>
      </w:pPr>
    </w:p>
    <w:p w:rsidR="003A78D9" w:rsidRDefault="005F7AB0">
      <w:pPr>
        <w:rPr>
          <w:rFonts w:ascii="Times New Roman" w:hAnsi="Times New Roman"/>
          <w:b/>
          <w:bCs/>
          <w:i/>
          <w:iCs/>
          <w:sz w:val="24"/>
        </w:rPr>
      </w:pPr>
      <w:r>
        <w:rPr>
          <w:rFonts w:ascii="Times New Roman" w:hAnsi="Times New Roman"/>
          <w:b/>
          <w:bCs/>
          <w:i/>
          <w:iCs/>
          <w:sz w:val="24"/>
        </w:rPr>
        <w:t xml:space="preserve">9. </w:t>
      </w:r>
      <w:r w:rsidR="003A78D9">
        <w:rPr>
          <w:rFonts w:ascii="Times New Roman" w:hAnsi="Times New Roman"/>
          <w:b/>
          <w:bCs/>
          <w:i/>
          <w:iCs/>
          <w:sz w:val="24"/>
        </w:rPr>
        <w:t>Payment to respondents:</w:t>
      </w:r>
    </w:p>
    <w:p w:rsidR="003A78D9" w:rsidRDefault="003A78D9">
      <w:pPr>
        <w:rPr>
          <w:rFonts w:ascii="Times New Roman" w:hAnsi="Times New Roman"/>
          <w:sz w:val="24"/>
        </w:rPr>
      </w:pPr>
    </w:p>
    <w:p w:rsidR="003A78D9" w:rsidRDefault="005F7AB0">
      <w:pPr>
        <w:rPr>
          <w:rFonts w:ascii="Times New Roman" w:hAnsi="Times New Roman"/>
          <w:sz w:val="24"/>
        </w:rPr>
      </w:pPr>
      <w:r>
        <w:rPr>
          <w:rFonts w:ascii="Times New Roman" w:hAnsi="Times New Roman"/>
          <w:sz w:val="24"/>
        </w:rPr>
        <w:t xml:space="preserve">          </w:t>
      </w:r>
      <w:r w:rsidR="003A78D9">
        <w:rPr>
          <w:rFonts w:ascii="Times New Roman" w:hAnsi="Times New Roman"/>
          <w:sz w:val="24"/>
        </w:rPr>
        <w:t>None.</w:t>
      </w:r>
    </w:p>
    <w:p w:rsidR="003A78D9" w:rsidRDefault="003A78D9">
      <w:pPr>
        <w:rPr>
          <w:rFonts w:ascii="Times New Roman" w:hAnsi="Times New Roman"/>
          <w:sz w:val="24"/>
        </w:rPr>
      </w:pPr>
    </w:p>
    <w:p w:rsidR="000E72E7" w:rsidRDefault="000E72E7">
      <w:pPr>
        <w:rPr>
          <w:rFonts w:ascii="Times New Roman" w:hAnsi="Times New Roman"/>
          <w:sz w:val="24"/>
        </w:rPr>
      </w:pPr>
    </w:p>
    <w:p w:rsidR="000E72E7" w:rsidRDefault="000E72E7">
      <w:pPr>
        <w:rPr>
          <w:rFonts w:ascii="Times New Roman" w:hAnsi="Times New Roman"/>
          <w:sz w:val="24"/>
        </w:rPr>
      </w:pPr>
    </w:p>
    <w:p w:rsidR="003A78D9" w:rsidRDefault="005F7AB0">
      <w:pPr>
        <w:rPr>
          <w:rFonts w:ascii="Times New Roman" w:hAnsi="Times New Roman"/>
          <w:b/>
          <w:bCs/>
          <w:i/>
          <w:iCs/>
          <w:sz w:val="24"/>
        </w:rPr>
      </w:pPr>
      <w:r>
        <w:rPr>
          <w:rFonts w:ascii="Times New Roman" w:hAnsi="Times New Roman"/>
          <w:b/>
          <w:bCs/>
          <w:i/>
          <w:iCs/>
          <w:sz w:val="24"/>
        </w:rPr>
        <w:lastRenderedPageBreak/>
        <w:t xml:space="preserve">10. </w:t>
      </w:r>
      <w:r w:rsidR="003A78D9">
        <w:rPr>
          <w:rFonts w:ascii="Times New Roman" w:hAnsi="Times New Roman"/>
          <w:b/>
          <w:bCs/>
          <w:i/>
          <w:iCs/>
          <w:sz w:val="24"/>
        </w:rPr>
        <w:t>Any assurance of confidentiality:</w:t>
      </w:r>
    </w:p>
    <w:p w:rsidR="003A78D9" w:rsidRDefault="003A78D9">
      <w:pPr>
        <w:rPr>
          <w:rFonts w:ascii="Times New Roman" w:hAnsi="Times New Roman"/>
          <w:sz w:val="24"/>
        </w:rPr>
      </w:pPr>
    </w:p>
    <w:p w:rsidR="003A78D9" w:rsidRDefault="005F7AB0">
      <w:pPr>
        <w:rPr>
          <w:rFonts w:ascii="Times New Roman" w:hAnsi="Times New Roman"/>
          <w:sz w:val="24"/>
        </w:rPr>
      </w:pPr>
      <w:r>
        <w:rPr>
          <w:rFonts w:ascii="Times New Roman" w:hAnsi="Times New Roman"/>
          <w:sz w:val="24"/>
        </w:rPr>
        <w:t xml:space="preserve">          </w:t>
      </w:r>
      <w:r w:rsidR="003A78D9">
        <w:rPr>
          <w:rFonts w:ascii="Times New Roman" w:hAnsi="Times New Roman"/>
          <w:sz w:val="24"/>
        </w:rPr>
        <w:t>None.</w:t>
      </w:r>
    </w:p>
    <w:p w:rsidR="003A78D9" w:rsidRDefault="003A78D9">
      <w:pPr>
        <w:rPr>
          <w:rFonts w:ascii="Times New Roman" w:hAnsi="Times New Roman"/>
          <w:sz w:val="24"/>
        </w:rPr>
      </w:pPr>
    </w:p>
    <w:p w:rsidR="003A78D9" w:rsidRDefault="005F7AB0">
      <w:pPr>
        <w:rPr>
          <w:rFonts w:ascii="Times New Roman" w:hAnsi="Times New Roman"/>
          <w:b/>
          <w:bCs/>
          <w:i/>
          <w:iCs/>
          <w:sz w:val="24"/>
        </w:rPr>
      </w:pPr>
      <w:r>
        <w:rPr>
          <w:rFonts w:ascii="Times New Roman" w:hAnsi="Times New Roman"/>
          <w:b/>
          <w:bCs/>
          <w:i/>
          <w:iCs/>
          <w:sz w:val="24"/>
        </w:rPr>
        <w:t xml:space="preserve">11. </w:t>
      </w:r>
      <w:r w:rsidR="003A78D9">
        <w:rPr>
          <w:rFonts w:ascii="Times New Roman" w:hAnsi="Times New Roman"/>
          <w:b/>
          <w:bCs/>
          <w:i/>
          <w:iCs/>
          <w:sz w:val="24"/>
        </w:rPr>
        <w:t>Justification for questions of a sensitive nature:</w:t>
      </w:r>
    </w:p>
    <w:p w:rsidR="003A78D9" w:rsidRDefault="003A78D9">
      <w:pPr>
        <w:rPr>
          <w:rFonts w:ascii="Times New Roman" w:hAnsi="Times New Roman"/>
          <w:sz w:val="24"/>
        </w:rPr>
      </w:pPr>
    </w:p>
    <w:p w:rsidR="0029077F" w:rsidRDefault="005F7AB0">
      <w:pPr>
        <w:rPr>
          <w:rFonts w:ascii="Times New Roman" w:hAnsi="Times New Roman"/>
          <w:sz w:val="24"/>
        </w:rPr>
      </w:pPr>
      <w:r>
        <w:rPr>
          <w:rFonts w:ascii="Times New Roman" w:hAnsi="Times New Roman"/>
          <w:sz w:val="24"/>
        </w:rPr>
        <w:t xml:space="preserve">          </w:t>
      </w:r>
      <w:r w:rsidR="00871DA1">
        <w:rPr>
          <w:rFonts w:ascii="Times New Roman" w:hAnsi="Times New Roman"/>
          <w:sz w:val="24"/>
        </w:rPr>
        <w:t>Not applicable.  No personally identifiable information is collected.</w:t>
      </w:r>
    </w:p>
    <w:p w:rsidR="0029077F" w:rsidRDefault="0029077F">
      <w:pPr>
        <w:rPr>
          <w:rFonts w:ascii="Times New Roman" w:hAnsi="Times New Roman"/>
          <w:sz w:val="24"/>
        </w:rPr>
      </w:pPr>
    </w:p>
    <w:p w:rsidR="003A78D9" w:rsidRDefault="003A78D9">
      <w:pPr>
        <w:rPr>
          <w:rFonts w:ascii="Times New Roman" w:hAnsi="Times New Roman"/>
          <w:b/>
          <w:bCs/>
          <w:i/>
          <w:iCs/>
          <w:sz w:val="24"/>
        </w:rPr>
      </w:pPr>
      <w:r>
        <w:rPr>
          <w:rFonts w:ascii="Times New Roman" w:hAnsi="Times New Roman"/>
          <w:b/>
          <w:bCs/>
          <w:i/>
          <w:iCs/>
          <w:sz w:val="24"/>
        </w:rPr>
        <w:t>12.  Burden estimate:</w:t>
      </w:r>
    </w:p>
    <w:p w:rsidR="003A78D9" w:rsidRDefault="003A78D9">
      <w:pPr>
        <w:rPr>
          <w:rFonts w:ascii="Times New Roman" w:hAnsi="Times New Roman"/>
          <w:sz w:val="24"/>
        </w:rPr>
      </w:pPr>
    </w:p>
    <w:p w:rsidR="000E72E7" w:rsidP="000E72E7" w:rsidRDefault="000E72E7">
      <w:pPr>
        <w:rPr>
          <w:rFonts w:ascii="Times New Roman" w:hAnsi="Times New Roman"/>
          <w:b/>
          <w:bCs/>
          <w:i/>
          <w:iCs/>
          <w:sz w:val="24"/>
        </w:rPr>
      </w:pPr>
    </w:p>
    <w:p w:rsidR="000E72E7" w:rsidP="000E72E7" w:rsidRDefault="000E72E7">
      <w:pPr>
        <w:rPr>
          <w:rFonts w:ascii="Times New Roman" w:hAnsi="Times New Roman"/>
          <w:sz w:val="24"/>
        </w:rPr>
      </w:pPr>
    </w:p>
    <w:tbl>
      <w:tblPr>
        <w:tblW w:w="522pt" w:type="dxa"/>
        <w:tblInd w:w="-45.25pt" w:type="dxa"/>
        <w:tblBorders>
          <w:top w:val="single" w:color="auto" w:sz="4" w:space="0"/>
          <w:start w:val="single" w:color="auto" w:sz="4" w:space="0"/>
          <w:bottom w:val="single" w:color="auto" w:sz="4" w:space="0"/>
          <w:end w:val="single" w:color="auto" w:sz="4" w:space="0"/>
          <w:insideH w:val="single" w:color="auto" w:sz="4" w:space="0"/>
          <w:insideV w:val="single" w:color="auto" w:sz="4" w:space="0"/>
        </w:tblBorders>
        <w:tblLook w:val="04a0"/>
      </w:tblPr>
      <w:tblGrid>
        <w:gridCol w:w="1800"/>
        <w:gridCol w:w="5220"/>
        <w:gridCol w:w="1320"/>
        <w:gridCol w:w="1017"/>
        <w:gridCol w:w="1083"/>
      </w:tblGrid>
      <w:tr w:rsidR="000E72E7" w:rsidTr="00E02F88">
        <w:trPr>
          <w:tblHeader/>
        </w:trPr>
        <w:tc>
          <w:tcPr>
            <w:tcW w:w="90pt" w:type="dxa"/>
            <w:tcBorders>
              <w:top w:val="single" w:color="auto" w:sz="4" w:space="0"/>
              <w:start w:val="single" w:color="auto" w:sz="4" w:space="0"/>
              <w:bottom w:val="single" w:color="auto" w:sz="4" w:space="0"/>
              <w:end w:val="single" w:color="auto" w:sz="4" w:space="0"/>
            </w:tcBorders>
            <w:hideMark/>
          </w:tcPr>
          <w:p w:rsidR="000E72E7" w:rsidP="00E02F88" w:rsidRDefault="000E72E7">
            <w:pPr>
              <w:pStyle w:val="ArticleNumber"/>
              <w:numPr>
                <w:ilvl w:val="0"/>
                <w:numId w:val="0"/>
              </w:numPr>
              <w:spacing w:line="12pt" w:lineRule="auto"/>
              <w:rPr>
                <w:rFonts w:ascii="Times New Roman" w:hAnsi="Times New Roman"/>
                <w:b/>
                <w:bCs/>
              </w:rPr>
            </w:pPr>
            <w:r>
              <w:rPr>
                <w:rFonts w:ascii="Times New Roman" w:hAnsi="Times New Roman"/>
                <w:b/>
                <w:bCs/>
              </w:rPr>
              <w:t>Cite</w:t>
            </w:r>
          </w:p>
          <w:p w:rsidR="000E72E7" w:rsidP="00E02F88" w:rsidRDefault="000E72E7">
            <w:pPr>
              <w:jc w:val="center"/>
              <w:rPr>
                <w:rFonts w:ascii="Times New Roman" w:hAnsi="Times New Roman"/>
                <w:b/>
                <w:bCs/>
              </w:rPr>
            </w:pPr>
            <w:r>
              <w:rPr>
                <w:rFonts w:ascii="Times New Roman" w:hAnsi="Times New Roman"/>
                <w:b/>
                <w:bCs/>
              </w:rPr>
              <w:t>and</w:t>
            </w:r>
          </w:p>
          <w:p w:rsidR="000E72E7" w:rsidP="00E02F88" w:rsidRDefault="000E72E7">
            <w:pPr>
              <w:jc w:val="center"/>
              <w:rPr>
                <w:rFonts w:ascii="Times New Roman" w:hAnsi="Times New Roman"/>
                <w:b/>
                <w:bCs/>
              </w:rPr>
            </w:pPr>
            <w:r>
              <w:rPr>
                <w:rFonts w:ascii="Times New Roman" w:hAnsi="Times New Roman"/>
                <w:b/>
                <w:bCs/>
              </w:rPr>
              <w:t>Burden Type</w:t>
            </w:r>
          </w:p>
        </w:tc>
        <w:tc>
          <w:tcPr>
            <w:tcW w:w="261pt" w:type="dxa"/>
            <w:tcBorders>
              <w:top w:val="single" w:color="auto" w:sz="4" w:space="0"/>
              <w:start w:val="single" w:color="auto" w:sz="4" w:space="0"/>
              <w:bottom w:val="single" w:color="auto" w:sz="4" w:space="0"/>
              <w:end w:val="single" w:color="auto" w:sz="4" w:space="0"/>
            </w:tcBorders>
          </w:tcPr>
          <w:p w:rsidR="000E72E7" w:rsidP="00E02F88" w:rsidRDefault="000E72E7">
            <w:pPr>
              <w:jc w:val="center"/>
              <w:rPr>
                <w:rFonts w:ascii="Times New Roman" w:hAnsi="Times New Roman"/>
                <w:b/>
                <w:bCs/>
              </w:rPr>
            </w:pPr>
            <w:r>
              <w:rPr>
                <w:rFonts w:ascii="Times New Roman" w:hAnsi="Times New Roman"/>
                <w:b/>
                <w:bCs/>
              </w:rPr>
              <w:t>Information Collection Requirement</w:t>
            </w:r>
          </w:p>
          <w:p w:rsidR="000E72E7" w:rsidP="00E02F88" w:rsidRDefault="000E72E7">
            <w:pPr>
              <w:jc w:val="center"/>
              <w:rPr>
                <w:rFonts w:ascii="Times New Roman" w:hAnsi="Times New Roman"/>
                <w:b/>
                <w:bCs/>
              </w:rPr>
            </w:pPr>
          </w:p>
        </w:tc>
        <w:tc>
          <w:tcPr>
            <w:tcW w:w="66pt" w:type="dxa"/>
            <w:tcBorders>
              <w:top w:val="single" w:color="auto" w:sz="4" w:space="0"/>
              <w:start w:val="single" w:color="auto" w:sz="4" w:space="0"/>
              <w:bottom w:val="single" w:color="auto" w:sz="4" w:space="0"/>
              <w:end w:val="single" w:color="auto" w:sz="4" w:space="0"/>
            </w:tcBorders>
            <w:hideMark/>
          </w:tcPr>
          <w:p w:rsidR="000E72E7" w:rsidP="00E02F88" w:rsidRDefault="000E72E7">
            <w:pPr>
              <w:pStyle w:val="ArticleNumber"/>
              <w:numPr>
                <w:ilvl w:val="0"/>
                <w:numId w:val="0"/>
              </w:numPr>
              <w:spacing w:line="12pt" w:lineRule="auto"/>
              <w:rPr>
                <w:rFonts w:ascii="Times New Roman" w:hAnsi="Times New Roman"/>
                <w:b/>
                <w:bCs/>
              </w:rPr>
            </w:pPr>
            <w:r>
              <w:rPr>
                <w:rFonts w:ascii="Times New Roman" w:hAnsi="Times New Roman"/>
                <w:b/>
                <w:bCs/>
              </w:rPr>
              <w:t>Number</w:t>
            </w:r>
          </w:p>
          <w:p w:rsidR="000E72E7" w:rsidP="00E02F88" w:rsidRDefault="000E72E7">
            <w:pPr>
              <w:pStyle w:val="ArticleNumber"/>
              <w:numPr>
                <w:ilvl w:val="0"/>
                <w:numId w:val="0"/>
              </w:numPr>
              <w:spacing w:line="12pt" w:lineRule="auto"/>
              <w:rPr>
                <w:rFonts w:ascii="Times New Roman" w:hAnsi="Times New Roman"/>
                <w:b/>
                <w:bCs/>
              </w:rPr>
            </w:pPr>
            <w:r>
              <w:rPr>
                <w:rFonts w:ascii="Times New Roman" w:hAnsi="Times New Roman"/>
                <w:b/>
                <w:bCs/>
              </w:rPr>
              <w:t>of</w:t>
            </w:r>
          </w:p>
          <w:p w:rsidR="000E72E7" w:rsidP="00E02F88" w:rsidRDefault="000E72E7">
            <w:pPr>
              <w:pStyle w:val="ArticleNumber"/>
              <w:numPr>
                <w:ilvl w:val="0"/>
                <w:numId w:val="0"/>
              </w:numPr>
              <w:spacing w:line="12pt" w:lineRule="auto"/>
              <w:rPr>
                <w:rFonts w:ascii="Times New Roman" w:hAnsi="Times New Roman"/>
                <w:b/>
                <w:bCs/>
              </w:rPr>
            </w:pPr>
            <w:r>
              <w:rPr>
                <w:rFonts w:ascii="Times New Roman" w:hAnsi="Times New Roman"/>
                <w:b/>
                <w:bCs/>
              </w:rPr>
              <w:t>Respondents</w:t>
            </w:r>
          </w:p>
        </w:tc>
        <w:tc>
          <w:tcPr>
            <w:tcW w:w="50.85pt" w:type="dxa"/>
            <w:tcBorders>
              <w:top w:val="single" w:color="auto" w:sz="4" w:space="0"/>
              <w:start w:val="single" w:color="auto" w:sz="4" w:space="0"/>
              <w:bottom w:val="single" w:color="auto" w:sz="4" w:space="0"/>
              <w:end w:val="single" w:color="auto" w:sz="4" w:space="0"/>
            </w:tcBorders>
            <w:hideMark/>
          </w:tcPr>
          <w:p w:rsidR="000E72E7" w:rsidP="00E02F88" w:rsidRDefault="000E72E7">
            <w:pPr>
              <w:pStyle w:val="ArticleNumber"/>
              <w:numPr>
                <w:ilvl w:val="0"/>
                <w:numId w:val="0"/>
              </w:numPr>
              <w:spacing w:line="12pt" w:lineRule="auto"/>
              <w:rPr>
                <w:rFonts w:ascii="Times New Roman" w:hAnsi="Times New Roman"/>
                <w:b/>
                <w:bCs/>
              </w:rPr>
            </w:pPr>
            <w:r>
              <w:rPr>
                <w:rFonts w:ascii="Times New Roman" w:hAnsi="Times New Roman"/>
                <w:b/>
                <w:bCs/>
              </w:rPr>
              <w:t>Average</w:t>
            </w:r>
          </w:p>
          <w:p w:rsidR="000E72E7" w:rsidP="00E02F88" w:rsidRDefault="000E72E7">
            <w:pPr>
              <w:jc w:val="center"/>
              <w:rPr>
                <w:rFonts w:ascii="Times New Roman" w:hAnsi="Times New Roman"/>
                <w:b/>
                <w:bCs/>
              </w:rPr>
            </w:pPr>
            <w:r>
              <w:rPr>
                <w:rFonts w:ascii="Times New Roman" w:hAnsi="Times New Roman"/>
                <w:b/>
                <w:bCs/>
              </w:rPr>
              <w:t>Hours Per</w:t>
            </w:r>
          </w:p>
          <w:p w:rsidR="000E72E7" w:rsidP="00E02F88" w:rsidRDefault="000E72E7">
            <w:pPr>
              <w:jc w:val="center"/>
              <w:rPr>
                <w:rFonts w:ascii="Times New Roman" w:hAnsi="Times New Roman"/>
                <w:b/>
                <w:bCs/>
              </w:rPr>
            </w:pPr>
            <w:r>
              <w:rPr>
                <w:rFonts w:ascii="Times New Roman" w:hAnsi="Times New Roman"/>
                <w:b/>
                <w:bCs/>
              </w:rPr>
              <w:t>Response</w:t>
            </w:r>
          </w:p>
        </w:tc>
        <w:tc>
          <w:tcPr>
            <w:tcW w:w="54.15pt" w:type="dxa"/>
            <w:tcBorders>
              <w:top w:val="single" w:color="auto" w:sz="4" w:space="0"/>
              <w:start w:val="single" w:color="auto" w:sz="4" w:space="0"/>
              <w:bottom w:val="single" w:color="auto" w:sz="4" w:space="0"/>
              <w:end w:val="single" w:color="auto" w:sz="4" w:space="0"/>
            </w:tcBorders>
            <w:hideMark/>
          </w:tcPr>
          <w:p w:rsidR="000E72E7" w:rsidP="00E02F88" w:rsidRDefault="000E72E7">
            <w:pPr>
              <w:pStyle w:val="ArticleNumber"/>
              <w:numPr>
                <w:ilvl w:val="0"/>
                <w:numId w:val="0"/>
              </w:numPr>
              <w:spacing w:line="12pt" w:lineRule="auto"/>
              <w:rPr>
                <w:rFonts w:ascii="Times New Roman" w:hAnsi="Times New Roman"/>
                <w:b/>
                <w:bCs/>
              </w:rPr>
            </w:pPr>
            <w:r>
              <w:rPr>
                <w:rFonts w:ascii="Times New Roman" w:hAnsi="Times New Roman"/>
                <w:b/>
                <w:bCs/>
              </w:rPr>
              <w:t>Estimated</w:t>
            </w:r>
          </w:p>
          <w:p w:rsidR="000E72E7" w:rsidP="00E02F88" w:rsidRDefault="000E72E7">
            <w:pPr>
              <w:jc w:val="center"/>
              <w:rPr>
                <w:rFonts w:ascii="Times New Roman" w:hAnsi="Times New Roman"/>
                <w:b/>
                <w:bCs/>
              </w:rPr>
            </w:pPr>
            <w:r>
              <w:rPr>
                <w:rFonts w:ascii="Times New Roman" w:hAnsi="Times New Roman"/>
                <w:b/>
                <w:bCs/>
              </w:rPr>
              <w:t>Burden</w:t>
            </w:r>
          </w:p>
          <w:p w:rsidR="000E72E7" w:rsidP="00E02F88" w:rsidRDefault="000E72E7">
            <w:pPr>
              <w:jc w:val="center"/>
              <w:rPr>
                <w:rFonts w:ascii="Times New Roman" w:hAnsi="Times New Roman"/>
                <w:b/>
                <w:bCs/>
              </w:rPr>
            </w:pPr>
            <w:r>
              <w:rPr>
                <w:rFonts w:ascii="Times New Roman" w:hAnsi="Times New Roman"/>
                <w:b/>
                <w:bCs/>
              </w:rPr>
              <w:t>Hours</w:t>
            </w:r>
          </w:p>
        </w:tc>
      </w:tr>
      <w:tr w:rsidRPr="000E72E7" w:rsidR="000E72E7" w:rsidTr="00E02F88">
        <w:tc>
          <w:tcPr>
            <w:tcW w:w="90pt" w:type="dxa"/>
            <w:tcBorders>
              <w:top w:val="single" w:color="auto" w:sz="4" w:space="0"/>
              <w:start w:val="single" w:color="auto" w:sz="4" w:space="0"/>
              <w:bottom w:val="single" w:color="auto" w:sz="4" w:space="0"/>
              <w:end w:val="single" w:color="auto" w:sz="4" w:space="0"/>
            </w:tcBorders>
            <w:hideMark/>
          </w:tcPr>
          <w:p w:rsidR="000E72E7" w:rsidP="00E02F88" w:rsidRDefault="000E72E7">
            <w:pPr>
              <w:rPr>
                <w:rFonts w:ascii="Times New Roman" w:hAnsi="Times New Roman"/>
              </w:rPr>
            </w:pPr>
            <w:r>
              <w:rPr>
                <w:rFonts w:ascii="Times New Roman" w:hAnsi="Times New Roman"/>
              </w:rPr>
              <w:t>12 CFR 5.37</w:t>
            </w:r>
          </w:p>
          <w:p w:rsidR="000E72E7" w:rsidP="00E02F88" w:rsidRDefault="000E72E7">
            <w:pPr>
              <w:rPr>
                <w:rFonts w:ascii="Times New Roman" w:hAnsi="Times New Roman"/>
              </w:rPr>
            </w:pPr>
            <w:r>
              <w:rPr>
                <w:rFonts w:ascii="Times New Roman" w:hAnsi="Times New Roman"/>
              </w:rPr>
              <w:t>Reporting</w:t>
            </w:r>
          </w:p>
        </w:tc>
        <w:tc>
          <w:tcPr>
            <w:tcW w:w="261pt" w:type="dxa"/>
            <w:tcBorders>
              <w:top w:val="single" w:color="auto" w:sz="4" w:space="0"/>
              <w:start w:val="single" w:color="auto" w:sz="4" w:space="0"/>
              <w:bottom w:val="single" w:color="auto" w:sz="4" w:space="0"/>
              <w:end w:val="single" w:color="auto" w:sz="4" w:space="0"/>
            </w:tcBorders>
            <w:hideMark/>
          </w:tcPr>
          <w:p w:rsidR="000E72E7" w:rsidP="00E02F88" w:rsidRDefault="000E72E7">
            <w:pPr>
              <w:rPr>
                <w:rFonts w:ascii="Times New Roman" w:hAnsi="Times New Roman"/>
                <w:bCs/>
                <w:iCs/>
              </w:rPr>
            </w:pPr>
            <w:r>
              <w:rPr>
                <w:rFonts w:ascii="Times New Roman" w:hAnsi="Times New Roman"/>
                <w:b/>
                <w:bCs/>
                <w:i/>
                <w:iCs/>
              </w:rPr>
              <w:t xml:space="preserve">Investment in national bank or federal savings association premises </w:t>
            </w:r>
            <w:r>
              <w:rPr>
                <w:rFonts w:ascii="Times New Roman" w:hAnsi="Times New Roman"/>
                <w:bCs/>
                <w:iCs/>
              </w:rPr>
              <w:t xml:space="preserve">– A national bank or federal savings association may invest in banking premises and other premises-related investments, loans, or indebtedness by filing an </w:t>
            </w:r>
            <w:r>
              <w:rPr>
                <w:rFonts w:ascii="Times New Roman" w:hAnsi="Times New Roman"/>
              </w:rPr>
              <w:t xml:space="preserve">application for prior approval whenever its investment in bank premises will cause it to exceed its capital stock.  The application must describe the present and proposed investment and the business reason for exceeding the limit.  A bank with a composite 1 or 2 CAMELS rating entering a transaction that increases its aggregate bank premises investment to not more than 150 percent of its capital and surplus may proceed without prior OCC approval, but must provide an after-the-fact notice.  </w:t>
            </w:r>
          </w:p>
        </w:tc>
        <w:tc>
          <w:tcPr>
            <w:tcW w:w="66pt" w:type="dxa"/>
            <w:tcBorders>
              <w:top w:val="single" w:color="auto" w:sz="4" w:space="0"/>
              <w:start w:val="single" w:color="auto" w:sz="4" w:space="0"/>
              <w:bottom w:val="single" w:color="auto" w:sz="4" w:space="0"/>
              <w:end w:val="single" w:color="auto" w:sz="4" w:space="0"/>
            </w:tcBorders>
            <w:hideMark/>
          </w:tcPr>
          <w:p w:rsidR="000E72E7" w:rsidP="00E02F88" w:rsidRDefault="000E72E7">
            <w:pPr>
              <w:jc w:val="right"/>
              <w:rPr>
                <w:rFonts w:ascii="Times New Roman" w:hAnsi="Times New Roman"/>
              </w:rPr>
            </w:pPr>
            <w:r>
              <w:rPr>
                <w:rFonts w:ascii="Times New Roman" w:hAnsi="Times New Roman"/>
              </w:rPr>
              <w:t>150</w:t>
            </w:r>
          </w:p>
        </w:tc>
        <w:tc>
          <w:tcPr>
            <w:tcW w:w="50.85pt" w:type="dxa"/>
            <w:tcBorders>
              <w:top w:val="single" w:color="auto" w:sz="4" w:space="0"/>
              <w:start w:val="single" w:color="auto" w:sz="4" w:space="0"/>
              <w:bottom w:val="single" w:color="auto" w:sz="4" w:space="0"/>
              <w:end w:val="single" w:color="auto" w:sz="4" w:space="0"/>
            </w:tcBorders>
            <w:hideMark/>
          </w:tcPr>
          <w:p w:rsidR="000E72E7" w:rsidP="00E02F88" w:rsidRDefault="000E72E7">
            <w:pPr>
              <w:jc w:val="right"/>
              <w:rPr>
                <w:rFonts w:ascii="Times New Roman" w:hAnsi="Times New Roman"/>
              </w:rPr>
            </w:pPr>
            <w:r>
              <w:rPr>
                <w:rFonts w:ascii="Times New Roman" w:hAnsi="Times New Roman"/>
              </w:rPr>
              <w:t>1.30</w:t>
            </w:r>
          </w:p>
        </w:tc>
        <w:tc>
          <w:tcPr>
            <w:tcW w:w="54.15pt" w:type="dxa"/>
            <w:tcBorders>
              <w:top w:val="single" w:color="auto" w:sz="4" w:space="0"/>
              <w:start w:val="single" w:color="auto" w:sz="4" w:space="0"/>
              <w:bottom w:val="single" w:color="auto" w:sz="4" w:space="0"/>
              <w:end w:val="single" w:color="auto" w:sz="4" w:space="0"/>
            </w:tcBorders>
            <w:hideMark/>
          </w:tcPr>
          <w:p w:rsidRPr="000E72E7" w:rsidR="000E72E7" w:rsidP="00E02F88" w:rsidRDefault="000E72E7">
            <w:pPr>
              <w:jc w:val="right"/>
              <w:rPr>
                <w:rFonts w:ascii="Times New Roman" w:hAnsi="Times New Roman"/>
              </w:rPr>
            </w:pPr>
            <w:r w:rsidRPr="000E72E7">
              <w:rPr>
                <w:rFonts w:ascii="Times New Roman" w:hAnsi="Times New Roman"/>
              </w:rPr>
              <w:t xml:space="preserve">195 </w:t>
            </w:r>
          </w:p>
        </w:tc>
      </w:tr>
      <w:tr w:rsidRPr="000E72E7" w:rsidR="000E72E7" w:rsidTr="00E02F88">
        <w:tc>
          <w:tcPr>
            <w:tcW w:w="90pt" w:type="dxa"/>
            <w:tcBorders>
              <w:top w:val="single" w:color="auto" w:sz="4" w:space="0"/>
              <w:start w:val="single" w:color="auto" w:sz="4" w:space="0"/>
              <w:bottom w:val="single" w:color="auto" w:sz="4" w:space="0"/>
              <w:end w:val="single" w:color="auto" w:sz="4" w:space="0"/>
            </w:tcBorders>
            <w:hideMark/>
          </w:tcPr>
          <w:p w:rsidR="000E72E7" w:rsidP="00E02F88" w:rsidRDefault="000E72E7">
            <w:pPr>
              <w:rPr>
                <w:rFonts w:ascii="Times New Roman" w:hAnsi="Times New Roman"/>
              </w:rPr>
            </w:pPr>
            <w:r>
              <w:rPr>
                <w:rFonts w:ascii="Times New Roman" w:hAnsi="Times New Roman"/>
              </w:rPr>
              <w:t>12 CFR 7.1014</w:t>
            </w:r>
          </w:p>
          <w:p w:rsidR="000E72E7" w:rsidP="00E02F88" w:rsidRDefault="000E72E7">
            <w:pPr>
              <w:rPr>
                <w:rFonts w:ascii="Times New Roman" w:hAnsi="Times New Roman"/>
              </w:rPr>
            </w:pPr>
            <w:r>
              <w:rPr>
                <w:rFonts w:ascii="Times New Roman" w:hAnsi="Times New Roman"/>
              </w:rPr>
              <w:t>Recordkeeping</w:t>
            </w:r>
          </w:p>
        </w:tc>
        <w:tc>
          <w:tcPr>
            <w:tcW w:w="261pt" w:type="dxa"/>
            <w:tcBorders>
              <w:top w:val="single" w:color="auto" w:sz="4" w:space="0"/>
              <w:start w:val="single" w:color="auto" w:sz="4" w:space="0"/>
              <w:bottom w:val="single" w:color="auto" w:sz="4" w:space="0"/>
              <w:end w:val="single" w:color="auto" w:sz="4" w:space="0"/>
            </w:tcBorders>
            <w:hideMark/>
          </w:tcPr>
          <w:p w:rsidR="000E72E7" w:rsidP="00E02F88" w:rsidRDefault="000E72E7">
            <w:pPr>
              <w:rPr>
                <w:rFonts w:ascii="Times New Roman" w:hAnsi="Times New Roman"/>
              </w:rPr>
            </w:pPr>
            <w:smartTag w:uri="urn:schemas-microsoft-com:office:smarttags" w:element="City">
              <w:smartTag w:uri="urn:schemas-microsoft-com:office:smarttags" w:element="place">
                <w:r>
                  <w:rPr>
                    <w:rFonts w:ascii="Times New Roman" w:hAnsi="Times New Roman"/>
                    <w:b/>
                    <w:bCs/>
                    <w:i/>
                    <w:iCs/>
                  </w:rPr>
                  <w:t>Sale</w:t>
                </w:r>
              </w:smartTag>
            </w:smartTag>
            <w:r>
              <w:rPr>
                <w:rFonts w:ascii="Times New Roman" w:hAnsi="Times New Roman"/>
                <w:b/>
                <w:bCs/>
                <w:i/>
                <w:iCs/>
              </w:rPr>
              <w:t xml:space="preserve"> of money orders at nonbanking outlets</w:t>
            </w:r>
            <w:r>
              <w:rPr>
                <w:rFonts w:ascii="Times New Roman" w:hAnsi="Times New Roman"/>
              </w:rPr>
              <w:t xml:space="preserve"> – A national bank may designate bonded agents to sell the bank’s money orders at nonbanking outlets.  The responsibility of both the bank and its agent should be defined in a written agreement setting forth the duties of both parties and providing for remuneration of the agent.</w:t>
            </w:r>
          </w:p>
        </w:tc>
        <w:tc>
          <w:tcPr>
            <w:tcW w:w="66pt" w:type="dxa"/>
            <w:tcBorders>
              <w:top w:val="single" w:color="auto" w:sz="4" w:space="0"/>
              <w:start w:val="single" w:color="auto" w:sz="4" w:space="0"/>
              <w:bottom w:val="single" w:color="auto" w:sz="4" w:space="0"/>
              <w:end w:val="single" w:color="auto" w:sz="4" w:space="0"/>
            </w:tcBorders>
            <w:hideMark/>
          </w:tcPr>
          <w:p w:rsidR="000E72E7" w:rsidP="00E02F88" w:rsidRDefault="000E72E7">
            <w:pPr>
              <w:pStyle w:val="FootnoteText"/>
              <w:jc w:val="right"/>
              <w:rPr>
                <w:rFonts w:ascii="Times New Roman" w:hAnsi="Times New Roman"/>
              </w:rPr>
            </w:pPr>
            <w:r>
              <w:rPr>
                <w:rFonts w:ascii="Times New Roman" w:hAnsi="Times New Roman"/>
              </w:rPr>
              <w:t>15</w:t>
            </w:r>
          </w:p>
        </w:tc>
        <w:tc>
          <w:tcPr>
            <w:tcW w:w="50.85pt" w:type="dxa"/>
            <w:tcBorders>
              <w:top w:val="single" w:color="auto" w:sz="4" w:space="0"/>
              <w:start w:val="single" w:color="auto" w:sz="4" w:space="0"/>
              <w:bottom w:val="single" w:color="auto" w:sz="4" w:space="0"/>
              <w:end w:val="single" w:color="auto" w:sz="4" w:space="0"/>
            </w:tcBorders>
            <w:hideMark/>
          </w:tcPr>
          <w:p w:rsidR="000E72E7" w:rsidP="00E02F88" w:rsidRDefault="000E72E7">
            <w:pPr>
              <w:jc w:val="right"/>
              <w:rPr>
                <w:rFonts w:ascii="Times New Roman" w:hAnsi="Times New Roman"/>
              </w:rPr>
            </w:pPr>
            <w:r>
              <w:rPr>
                <w:rFonts w:ascii="Times New Roman" w:hAnsi="Times New Roman"/>
              </w:rPr>
              <w:t xml:space="preserve">1 </w:t>
            </w:r>
          </w:p>
        </w:tc>
        <w:tc>
          <w:tcPr>
            <w:tcW w:w="54.15pt" w:type="dxa"/>
            <w:tcBorders>
              <w:top w:val="single" w:color="auto" w:sz="4" w:space="0"/>
              <w:start w:val="single" w:color="auto" w:sz="4" w:space="0"/>
              <w:bottom w:val="single" w:color="auto" w:sz="4" w:space="0"/>
              <w:end w:val="single" w:color="auto" w:sz="4" w:space="0"/>
            </w:tcBorders>
            <w:hideMark/>
          </w:tcPr>
          <w:p w:rsidRPr="000E72E7" w:rsidR="000E72E7" w:rsidP="00E02F88" w:rsidRDefault="000E72E7">
            <w:pPr>
              <w:jc w:val="right"/>
              <w:rPr>
                <w:rFonts w:ascii="Times New Roman" w:hAnsi="Times New Roman"/>
              </w:rPr>
            </w:pPr>
            <w:r w:rsidRPr="000E72E7">
              <w:rPr>
                <w:rFonts w:ascii="Times New Roman" w:hAnsi="Times New Roman"/>
              </w:rPr>
              <w:t xml:space="preserve">15 </w:t>
            </w:r>
          </w:p>
        </w:tc>
      </w:tr>
      <w:tr w:rsidRPr="000E72E7" w:rsidR="000E72E7" w:rsidTr="00E02F88">
        <w:tc>
          <w:tcPr>
            <w:tcW w:w="90pt" w:type="dxa"/>
            <w:tcBorders>
              <w:top w:val="single" w:color="auto" w:sz="4" w:space="0"/>
              <w:start w:val="single" w:color="auto" w:sz="4" w:space="0"/>
              <w:bottom w:val="single" w:color="auto" w:sz="4" w:space="0"/>
              <w:end w:val="single" w:color="auto" w:sz="4" w:space="0"/>
            </w:tcBorders>
          </w:tcPr>
          <w:p w:rsidR="000E72E7" w:rsidP="00E02F88" w:rsidRDefault="000E72E7">
            <w:pPr>
              <w:rPr>
                <w:rFonts w:ascii="Times New Roman" w:hAnsi="Times New Roman"/>
              </w:rPr>
            </w:pPr>
            <w:r>
              <w:rPr>
                <w:rFonts w:ascii="Times New Roman" w:hAnsi="Times New Roman"/>
              </w:rPr>
              <w:t>12 CFR 7.1025</w:t>
            </w:r>
          </w:p>
          <w:p w:rsidR="000E72E7" w:rsidP="00E02F88" w:rsidRDefault="000E72E7">
            <w:pPr>
              <w:rPr>
                <w:rFonts w:ascii="Times New Roman" w:hAnsi="Times New Roman"/>
              </w:rPr>
            </w:pPr>
            <w:r>
              <w:rPr>
                <w:rFonts w:ascii="Times New Roman" w:hAnsi="Times New Roman"/>
              </w:rPr>
              <w:t>Reporting</w:t>
            </w:r>
          </w:p>
        </w:tc>
        <w:tc>
          <w:tcPr>
            <w:tcW w:w="261pt" w:type="dxa"/>
            <w:tcBorders>
              <w:top w:val="single" w:color="auto" w:sz="4" w:space="0"/>
              <w:start w:val="single" w:color="auto" w:sz="4" w:space="0"/>
              <w:bottom w:val="single" w:color="auto" w:sz="4" w:space="0"/>
              <w:end w:val="single" w:color="auto" w:sz="4" w:space="0"/>
            </w:tcBorders>
          </w:tcPr>
          <w:p w:rsidRPr="00176B35" w:rsidR="000E72E7" w:rsidP="00E02F88" w:rsidRDefault="000E72E7">
            <w:pPr>
              <w:rPr>
                <w:rFonts w:ascii="Times New Roman" w:hAnsi="Times New Roman"/>
                <w:bCs/>
                <w:iCs/>
              </w:rPr>
            </w:pPr>
            <w:r>
              <w:rPr>
                <w:rFonts w:ascii="Times New Roman" w:hAnsi="Times New Roman"/>
                <w:b/>
                <w:bCs/>
                <w:i/>
                <w:iCs/>
              </w:rPr>
              <w:t xml:space="preserve">Tax Equity Finance Transactions – </w:t>
            </w:r>
            <w:r>
              <w:rPr>
                <w:rFonts w:ascii="Times New Roman" w:hAnsi="Times New Roman"/>
                <w:bCs/>
                <w:iCs/>
              </w:rPr>
              <w:t>Written requests required for waiver to participate in a renewable energy tax equity finance transaction exceeding the aggregate investment limit.  Prior written notification to OCC required for each renewable energy tax equity finance transaction.</w:t>
            </w:r>
          </w:p>
        </w:tc>
        <w:tc>
          <w:tcPr>
            <w:tcW w:w="66pt" w:type="dxa"/>
            <w:tcBorders>
              <w:top w:val="single" w:color="auto" w:sz="4" w:space="0"/>
              <w:start w:val="single" w:color="auto" w:sz="4" w:space="0"/>
              <w:bottom w:val="single" w:color="auto" w:sz="4" w:space="0"/>
              <w:end w:val="single" w:color="auto" w:sz="4" w:space="0"/>
            </w:tcBorders>
          </w:tcPr>
          <w:p w:rsidR="000E72E7" w:rsidP="00E02F88" w:rsidRDefault="000E72E7">
            <w:pPr>
              <w:pStyle w:val="FootnoteText"/>
              <w:jc w:val="right"/>
              <w:rPr>
                <w:rFonts w:ascii="Times New Roman" w:hAnsi="Times New Roman"/>
              </w:rPr>
            </w:pPr>
            <w:r>
              <w:rPr>
                <w:rFonts w:ascii="Times New Roman" w:hAnsi="Times New Roman"/>
              </w:rPr>
              <w:t>50</w:t>
            </w:r>
          </w:p>
        </w:tc>
        <w:tc>
          <w:tcPr>
            <w:tcW w:w="50.85pt" w:type="dxa"/>
            <w:tcBorders>
              <w:top w:val="single" w:color="auto" w:sz="4" w:space="0"/>
              <w:start w:val="single" w:color="auto" w:sz="4" w:space="0"/>
              <w:bottom w:val="single" w:color="auto" w:sz="4" w:space="0"/>
              <w:end w:val="single" w:color="auto" w:sz="4" w:space="0"/>
            </w:tcBorders>
          </w:tcPr>
          <w:p w:rsidR="000E72E7" w:rsidP="00E02F88" w:rsidRDefault="000E72E7">
            <w:pPr>
              <w:jc w:val="right"/>
              <w:rPr>
                <w:rFonts w:ascii="Times New Roman" w:hAnsi="Times New Roman"/>
              </w:rPr>
            </w:pPr>
            <w:r>
              <w:rPr>
                <w:rFonts w:ascii="Times New Roman" w:hAnsi="Times New Roman"/>
              </w:rPr>
              <w:t>1</w:t>
            </w:r>
          </w:p>
        </w:tc>
        <w:tc>
          <w:tcPr>
            <w:tcW w:w="54.15pt" w:type="dxa"/>
            <w:tcBorders>
              <w:top w:val="single" w:color="auto" w:sz="4" w:space="0"/>
              <w:start w:val="single" w:color="auto" w:sz="4" w:space="0"/>
              <w:bottom w:val="single" w:color="auto" w:sz="4" w:space="0"/>
              <w:end w:val="single" w:color="auto" w:sz="4" w:space="0"/>
            </w:tcBorders>
          </w:tcPr>
          <w:p w:rsidRPr="000E72E7" w:rsidR="000E72E7" w:rsidP="00E02F88" w:rsidRDefault="000E72E7">
            <w:pPr>
              <w:jc w:val="right"/>
              <w:rPr>
                <w:rFonts w:ascii="Times New Roman" w:hAnsi="Times New Roman"/>
              </w:rPr>
            </w:pPr>
            <w:r w:rsidRPr="000E72E7">
              <w:rPr>
                <w:rFonts w:ascii="Times New Roman" w:hAnsi="Times New Roman"/>
              </w:rPr>
              <w:t xml:space="preserve">50 </w:t>
            </w:r>
          </w:p>
        </w:tc>
      </w:tr>
      <w:tr w:rsidRPr="000E72E7" w:rsidR="000E72E7" w:rsidTr="00E02F88">
        <w:tc>
          <w:tcPr>
            <w:tcW w:w="90pt" w:type="dxa"/>
            <w:tcBorders>
              <w:top w:val="single" w:color="auto" w:sz="4" w:space="0"/>
              <w:start w:val="single" w:color="auto" w:sz="4" w:space="0"/>
              <w:bottom w:val="single" w:color="auto" w:sz="4" w:space="0"/>
              <w:end w:val="single" w:color="auto" w:sz="4" w:space="0"/>
            </w:tcBorders>
          </w:tcPr>
          <w:p w:rsidR="000E72E7" w:rsidP="00E02F88" w:rsidRDefault="000E72E7">
            <w:pPr>
              <w:rPr>
                <w:rFonts w:ascii="Times New Roman" w:hAnsi="Times New Roman"/>
              </w:rPr>
            </w:pPr>
            <w:r>
              <w:rPr>
                <w:rFonts w:ascii="Times New Roman" w:hAnsi="Times New Roman"/>
              </w:rPr>
              <w:t>12 CFR 7.1026</w:t>
            </w:r>
          </w:p>
          <w:p w:rsidR="000E72E7" w:rsidP="00E02F88" w:rsidRDefault="000E72E7">
            <w:pPr>
              <w:rPr>
                <w:rFonts w:ascii="Times New Roman" w:hAnsi="Times New Roman"/>
              </w:rPr>
            </w:pPr>
            <w:r>
              <w:rPr>
                <w:rFonts w:ascii="Times New Roman" w:hAnsi="Times New Roman"/>
              </w:rPr>
              <w:t>Reporting</w:t>
            </w:r>
          </w:p>
        </w:tc>
        <w:tc>
          <w:tcPr>
            <w:tcW w:w="261pt" w:type="dxa"/>
            <w:tcBorders>
              <w:top w:val="single" w:color="auto" w:sz="4" w:space="0"/>
              <w:start w:val="single" w:color="auto" w:sz="4" w:space="0"/>
              <w:bottom w:val="single" w:color="auto" w:sz="4" w:space="0"/>
              <w:end w:val="single" w:color="auto" w:sz="4" w:space="0"/>
            </w:tcBorders>
          </w:tcPr>
          <w:p w:rsidRPr="007B3E66" w:rsidR="000E72E7" w:rsidP="00E02F88" w:rsidRDefault="000E72E7">
            <w:pPr>
              <w:rPr>
                <w:rFonts w:ascii="Times New Roman" w:hAnsi="Times New Roman"/>
                <w:bCs/>
                <w:iCs/>
              </w:rPr>
            </w:pPr>
            <w:r>
              <w:rPr>
                <w:rFonts w:ascii="Times New Roman" w:hAnsi="Times New Roman"/>
                <w:b/>
                <w:bCs/>
                <w:i/>
                <w:iCs/>
              </w:rPr>
              <w:t xml:space="preserve">Payment Systems – </w:t>
            </w:r>
            <w:r w:rsidRPr="007B3E66">
              <w:rPr>
                <w:rFonts w:ascii="Times New Roman" w:hAnsi="Times New Roman"/>
                <w:bCs/>
                <w:iCs/>
              </w:rPr>
              <w:t>30 days advance written notice</w:t>
            </w:r>
            <w:r>
              <w:rPr>
                <w:rFonts w:ascii="Times New Roman" w:hAnsi="Times New Roman"/>
                <w:bCs/>
                <w:iCs/>
              </w:rPr>
              <w:t xml:space="preserve"> required before joining a payment system that would expose the institution to open-end liability.  After-the-fact written notice must be filed within 30 days of becoming a member of a payment system that does not expose the institution to open-end liabilities with certain representations.  Both notices must include safety and soundness representations.</w:t>
            </w:r>
          </w:p>
        </w:tc>
        <w:tc>
          <w:tcPr>
            <w:tcW w:w="66pt" w:type="dxa"/>
            <w:tcBorders>
              <w:top w:val="single" w:color="auto" w:sz="4" w:space="0"/>
              <w:start w:val="single" w:color="auto" w:sz="4" w:space="0"/>
              <w:bottom w:val="single" w:color="auto" w:sz="4" w:space="0"/>
              <w:end w:val="single" w:color="auto" w:sz="4" w:space="0"/>
            </w:tcBorders>
          </w:tcPr>
          <w:p w:rsidR="000E72E7" w:rsidP="00E02F88" w:rsidRDefault="000E72E7">
            <w:pPr>
              <w:pStyle w:val="FootnoteText"/>
              <w:jc w:val="right"/>
              <w:rPr>
                <w:rFonts w:ascii="Times New Roman" w:hAnsi="Times New Roman"/>
              </w:rPr>
            </w:pPr>
            <w:r>
              <w:rPr>
                <w:rFonts w:ascii="Times New Roman" w:hAnsi="Times New Roman"/>
              </w:rPr>
              <w:t>81</w:t>
            </w:r>
          </w:p>
        </w:tc>
        <w:tc>
          <w:tcPr>
            <w:tcW w:w="50.85pt" w:type="dxa"/>
            <w:tcBorders>
              <w:top w:val="single" w:color="auto" w:sz="4" w:space="0"/>
              <w:start w:val="single" w:color="auto" w:sz="4" w:space="0"/>
              <w:bottom w:val="single" w:color="auto" w:sz="4" w:space="0"/>
              <w:end w:val="single" w:color="auto" w:sz="4" w:space="0"/>
            </w:tcBorders>
          </w:tcPr>
          <w:p w:rsidR="000E72E7" w:rsidP="00E02F88" w:rsidRDefault="000E72E7">
            <w:pPr>
              <w:jc w:val="right"/>
              <w:rPr>
                <w:rFonts w:ascii="Times New Roman" w:hAnsi="Times New Roman"/>
              </w:rPr>
            </w:pPr>
            <w:r>
              <w:rPr>
                <w:rFonts w:ascii="Times New Roman" w:hAnsi="Times New Roman"/>
              </w:rPr>
              <w:t xml:space="preserve">1 </w:t>
            </w:r>
          </w:p>
        </w:tc>
        <w:tc>
          <w:tcPr>
            <w:tcW w:w="54.15pt" w:type="dxa"/>
            <w:tcBorders>
              <w:top w:val="single" w:color="auto" w:sz="4" w:space="0"/>
              <w:start w:val="single" w:color="auto" w:sz="4" w:space="0"/>
              <w:bottom w:val="single" w:color="auto" w:sz="4" w:space="0"/>
              <w:end w:val="single" w:color="auto" w:sz="4" w:space="0"/>
            </w:tcBorders>
          </w:tcPr>
          <w:p w:rsidRPr="000E72E7" w:rsidR="000E72E7" w:rsidP="00E02F88" w:rsidRDefault="000E72E7">
            <w:pPr>
              <w:jc w:val="right"/>
              <w:rPr>
                <w:rFonts w:ascii="Times New Roman" w:hAnsi="Times New Roman"/>
              </w:rPr>
            </w:pPr>
            <w:r w:rsidRPr="000E72E7">
              <w:rPr>
                <w:rFonts w:ascii="Times New Roman" w:hAnsi="Times New Roman"/>
              </w:rPr>
              <w:t xml:space="preserve">81 </w:t>
            </w:r>
          </w:p>
        </w:tc>
      </w:tr>
      <w:tr w:rsidRPr="000E72E7" w:rsidR="000E72E7" w:rsidTr="00E02F88">
        <w:tc>
          <w:tcPr>
            <w:tcW w:w="90pt" w:type="dxa"/>
            <w:tcBorders>
              <w:top w:val="single" w:color="auto" w:sz="4" w:space="0"/>
              <w:start w:val="single" w:color="auto" w:sz="4" w:space="0"/>
              <w:bottom w:val="single" w:color="auto" w:sz="4" w:space="0"/>
              <w:end w:val="single" w:color="auto" w:sz="4" w:space="0"/>
            </w:tcBorders>
          </w:tcPr>
          <w:p w:rsidR="000E72E7" w:rsidP="00E02F88" w:rsidRDefault="000E72E7">
            <w:pPr>
              <w:rPr>
                <w:rFonts w:ascii="Times New Roman" w:hAnsi="Times New Roman"/>
              </w:rPr>
            </w:pPr>
            <w:r>
              <w:rPr>
                <w:rFonts w:ascii="Times New Roman" w:hAnsi="Times New Roman"/>
              </w:rPr>
              <w:t>12 CFR 7.1030</w:t>
            </w:r>
          </w:p>
          <w:p w:rsidR="000E72E7" w:rsidP="00E02F88" w:rsidRDefault="000E72E7">
            <w:pPr>
              <w:rPr>
                <w:rFonts w:ascii="Times New Roman" w:hAnsi="Times New Roman"/>
              </w:rPr>
            </w:pPr>
            <w:r>
              <w:rPr>
                <w:rFonts w:ascii="Times New Roman" w:hAnsi="Times New Roman"/>
              </w:rPr>
              <w:t>Reporting</w:t>
            </w:r>
          </w:p>
        </w:tc>
        <w:tc>
          <w:tcPr>
            <w:tcW w:w="261pt" w:type="dxa"/>
            <w:tcBorders>
              <w:top w:val="single" w:color="auto" w:sz="4" w:space="0"/>
              <w:start w:val="single" w:color="auto" w:sz="4" w:space="0"/>
              <w:bottom w:val="single" w:color="auto" w:sz="4" w:space="0"/>
              <w:end w:val="single" w:color="auto" w:sz="4" w:space="0"/>
            </w:tcBorders>
          </w:tcPr>
          <w:p w:rsidR="000E72E7" w:rsidP="00E02F88" w:rsidRDefault="000E72E7">
            <w:pPr>
              <w:rPr>
                <w:rFonts w:ascii="Times New Roman" w:hAnsi="Times New Roman"/>
                <w:b/>
                <w:bCs/>
                <w:i/>
                <w:iCs/>
              </w:rPr>
            </w:pPr>
            <w:r>
              <w:rPr>
                <w:rFonts w:ascii="Times New Roman" w:hAnsi="Times New Roman"/>
                <w:b/>
                <w:bCs/>
                <w:i/>
                <w:iCs/>
              </w:rPr>
              <w:t>Derivatives Activities –</w:t>
            </w:r>
          </w:p>
          <w:p w:rsidR="000E72E7" w:rsidP="00E02F88" w:rsidRDefault="000E72E7">
            <w:pPr>
              <w:rPr>
                <w:rFonts w:ascii="Times New Roman" w:hAnsi="Times New Roman"/>
                <w:bCs/>
                <w:iCs/>
              </w:rPr>
            </w:pPr>
            <w:r>
              <w:rPr>
                <w:rFonts w:ascii="Times New Roman" w:hAnsi="Times New Roman"/>
                <w:bCs/>
                <w:iCs/>
              </w:rPr>
              <w:t>Written application to engage in new derivatives activities not specified in regulation.</w:t>
            </w:r>
          </w:p>
        </w:tc>
        <w:tc>
          <w:tcPr>
            <w:tcW w:w="66pt" w:type="dxa"/>
            <w:tcBorders>
              <w:top w:val="single" w:color="auto" w:sz="4" w:space="0"/>
              <w:start w:val="single" w:color="auto" w:sz="4" w:space="0"/>
              <w:bottom w:val="single" w:color="auto" w:sz="4" w:space="0"/>
              <w:end w:val="single" w:color="auto" w:sz="4" w:space="0"/>
            </w:tcBorders>
          </w:tcPr>
          <w:p w:rsidR="000E72E7" w:rsidP="00E02F88" w:rsidRDefault="000E72E7">
            <w:pPr>
              <w:jc w:val="right"/>
              <w:rPr>
                <w:rFonts w:ascii="Times New Roman" w:hAnsi="Times New Roman"/>
              </w:rPr>
            </w:pPr>
            <w:r>
              <w:rPr>
                <w:rFonts w:ascii="Times New Roman" w:hAnsi="Times New Roman"/>
              </w:rPr>
              <w:t>5</w:t>
            </w:r>
          </w:p>
        </w:tc>
        <w:tc>
          <w:tcPr>
            <w:tcW w:w="50.85pt" w:type="dxa"/>
            <w:tcBorders>
              <w:top w:val="single" w:color="auto" w:sz="4" w:space="0"/>
              <w:start w:val="single" w:color="auto" w:sz="4" w:space="0"/>
              <w:bottom w:val="single" w:color="auto" w:sz="4" w:space="0"/>
              <w:end w:val="single" w:color="auto" w:sz="4" w:space="0"/>
            </w:tcBorders>
          </w:tcPr>
          <w:p w:rsidR="000E72E7" w:rsidP="00E02F88" w:rsidRDefault="000E72E7">
            <w:pPr>
              <w:jc w:val="right"/>
              <w:rPr>
                <w:rFonts w:ascii="Times New Roman" w:hAnsi="Times New Roman"/>
              </w:rPr>
            </w:pPr>
            <w:r>
              <w:rPr>
                <w:rFonts w:ascii="Times New Roman" w:hAnsi="Times New Roman"/>
              </w:rPr>
              <w:t>40</w:t>
            </w:r>
          </w:p>
        </w:tc>
        <w:tc>
          <w:tcPr>
            <w:tcW w:w="54.15pt" w:type="dxa"/>
            <w:tcBorders>
              <w:top w:val="single" w:color="auto" w:sz="4" w:space="0"/>
              <w:start w:val="single" w:color="auto" w:sz="4" w:space="0"/>
              <w:bottom w:val="single" w:color="auto" w:sz="4" w:space="0"/>
              <w:end w:val="single" w:color="auto" w:sz="4" w:space="0"/>
            </w:tcBorders>
          </w:tcPr>
          <w:p w:rsidRPr="000E72E7" w:rsidR="000E72E7" w:rsidP="00E02F88" w:rsidRDefault="000E72E7">
            <w:pPr>
              <w:jc w:val="right"/>
              <w:rPr>
                <w:rFonts w:ascii="Times New Roman" w:hAnsi="Times New Roman"/>
              </w:rPr>
            </w:pPr>
            <w:r w:rsidRPr="000E72E7">
              <w:rPr>
                <w:rFonts w:ascii="Times New Roman" w:hAnsi="Times New Roman"/>
              </w:rPr>
              <w:t>200</w:t>
            </w:r>
          </w:p>
        </w:tc>
      </w:tr>
      <w:tr w:rsidRPr="000E72E7" w:rsidR="000E72E7" w:rsidTr="00E02F88">
        <w:tc>
          <w:tcPr>
            <w:tcW w:w="90pt" w:type="dxa"/>
            <w:tcBorders>
              <w:top w:val="single" w:color="auto" w:sz="4" w:space="0"/>
              <w:start w:val="single" w:color="auto" w:sz="4" w:space="0"/>
              <w:bottom w:val="single" w:color="auto" w:sz="4" w:space="0"/>
              <w:end w:val="single" w:color="auto" w:sz="4" w:space="0"/>
            </w:tcBorders>
          </w:tcPr>
          <w:p w:rsidR="000E72E7" w:rsidP="00E02F88" w:rsidRDefault="000E72E7">
            <w:pPr>
              <w:rPr>
                <w:rFonts w:ascii="Times New Roman" w:hAnsi="Times New Roman"/>
              </w:rPr>
            </w:pPr>
            <w:r>
              <w:rPr>
                <w:rFonts w:ascii="Times New Roman" w:hAnsi="Times New Roman"/>
              </w:rPr>
              <w:t>12 CFR 7.1030</w:t>
            </w:r>
          </w:p>
          <w:p w:rsidR="000E72E7" w:rsidP="00E02F88" w:rsidRDefault="000E72E7">
            <w:pPr>
              <w:rPr>
                <w:rFonts w:ascii="Times New Roman" w:hAnsi="Times New Roman"/>
              </w:rPr>
            </w:pPr>
            <w:r>
              <w:rPr>
                <w:rFonts w:ascii="Times New Roman" w:hAnsi="Times New Roman"/>
              </w:rPr>
              <w:t>Recordkeeping</w:t>
            </w:r>
          </w:p>
        </w:tc>
        <w:tc>
          <w:tcPr>
            <w:tcW w:w="261pt" w:type="dxa"/>
            <w:tcBorders>
              <w:top w:val="single" w:color="auto" w:sz="4" w:space="0"/>
              <w:start w:val="single" w:color="auto" w:sz="4" w:space="0"/>
              <w:bottom w:val="single" w:color="auto" w:sz="4" w:space="0"/>
              <w:end w:val="single" w:color="auto" w:sz="4" w:space="0"/>
            </w:tcBorders>
          </w:tcPr>
          <w:p w:rsidR="000E72E7" w:rsidP="00E02F88" w:rsidRDefault="000E72E7">
            <w:pPr>
              <w:rPr>
                <w:rFonts w:ascii="Times New Roman" w:hAnsi="Times New Roman"/>
                <w:b/>
                <w:bCs/>
                <w:i/>
                <w:iCs/>
              </w:rPr>
            </w:pPr>
            <w:r>
              <w:rPr>
                <w:rFonts w:ascii="Times New Roman" w:hAnsi="Times New Roman"/>
                <w:b/>
                <w:bCs/>
                <w:i/>
                <w:iCs/>
              </w:rPr>
              <w:t>Derivatives Activities –</w:t>
            </w:r>
          </w:p>
          <w:p w:rsidR="000E72E7" w:rsidP="00E02F88" w:rsidRDefault="000E72E7">
            <w:pPr>
              <w:rPr>
                <w:rFonts w:ascii="Times New Roman" w:hAnsi="Times New Roman"/>
                <w:bCs/>
                <w:iCs/>
              </w:rPr>
            </w:pPr>
            <w:r>
              <w:rPr>
                <w:rFonts w:ascii="Times New Roman" w:hAnsi="Times New Roman"/>
                <w:bCs/>
                <w:iCs/>
              </w:rPr>
              <w:t>Written policies and procedures for effective governance.</w:t>
            </w:r>
          </w:p>
        </w:tc>
        <w:tc>
          <w:tcPr>
            <w:tcW w:w="66pt" w:type="dxa"/>
            <w:tcBorders>
              <w:top w:val="single" w:color="auto" w:sz="4" w:space="0"/>
              <w:start w:val="single" w:color="auto" w:sz="4" w:space="0"/>
              <w:bottom w:val="single" w:color="auto" w:sz="4" w:space="0"/>
              <w:end w:val="single" w:color="auto" w:sz="4" w:space="0"/>
            </w:tcBorders>
          </w:tcPr>
          <w:p w:rsidR="000E72E7" w:rsidP="00E02F88" w:rsidRDefault="000E72E7">
            <w:pPr>
              <w:jc w:val="right"/>
              <w:rPr>
                <w:rFonts w:ascii="Times New Roman" w:hAnsi="Times New Roman"/>
              </w:rPr>
            </w:pPr>
            <w:r>
              <w:rPr>
                <w:rFonts w:ascii="Times New Roman" w:hAnsi="Times New Roman"/>
              </w:rPr>
              <w:t>216</w:t>
            </w:r>
          </w:p>
        </w:tc>
        <w:tc>
          <w:tcPr>
            <w:tcW w:w="50.85pt" w:type="dxa"/>
            <w:tcBorders>
              <w:top w:val="single" w:color="auto" w:sz="4" w:space="0"/>
              <w:start w:val="single" w:color="auto" w:sz="4" w:space="0"/>
              <w:bottom w:val="single" w:color="auto" w:sz="4" w:space="0"/>
              <w:end w:val="single" w:color="auto" w:sz="4" w:space="0"/>
            </w:tcBorders>
          </w:tcPr>
          <w:p w:rsidR="000E72E7" w:rsidP="00E02F88" w:rsidRDefault="000E72E7">
            <w:pPr>
              <w:jc w:val="right"/>
              <w:rPr>
                <w:rFonts w:ascii="Times New Roman" w:hAnsi="Times New Roman"/>
              </w:rPr>
            </w:pPr>
            <w:r>
              <w:rPr>
                <w:rFonts w:ascii="Times New Roman" w:hAnsi="Times New Roman"/>
              </w:rPr>
              <w:t>2</w:t>
            </w:r>
          </w:p>
        </w:tc>
        <w:tc>
          <w:tcPr>
            <w:tcW w:w="54.15pt" w:type="dxa"/>
            <w:tcBorders>
              <w:top w:val="single" w:color="auto" w:sz="4" w:space="0"/>
              <w:start w:val="single" w:color="auto" w:sz="4" w:space="0"/>
              <w:bottom w:val="single" w:color="auto" w:sz="4" w:space="0"/>
              <w:end w:val="single" w:color="auto" w:sz="4" w:space="0"/>
            </w:tcBorders>
          </w:tcPr>
          <w:p w:rsidRPr="000E72E7" w:rsidR="000E72E7" w:rsidP="00E02F88" w:rsidRDefault="000E72E7">
            <w:pPr>
              <w:jc w:val="right"/>
              <w:rPr>
                <w:rFonts w:ascii="Times New Roman" w:hAnsi="Times New Roman"/>
              </w:rPr>
            </w:pPr>
            <w:r w:rsidRPr="000E72E7">
              <w:rPr>
                <w:rFonts w:ascii="Times New Roman" w:hAnsi="Times New Roman"/>
              </w:rPr>
              <w:t>432</w:t>
            </w:r>
          </w:p>
        </w:tc>
      </w:tr>
      <w:tr w:rsidRPr="000E72E7" w:rsidR="000E72E7" w:rsidTr="00E02F88">
        <w:tc>
          <w:tcPr>
            <w:tcW w:w="90pt" w:type="dxa"/>
            <w:tcBorders>
              <w:top w:val="single" w:color="auto" w:sz="4" w:space="0"/>
              <w:start w:val="single" w:color="auto" w:sz="4" w:space="0"/>
              <w:bottom w:val="single" w:color="auto" w:sz="4" w:space="0"/>
              <w:end w:val="single" w:color="auto" w:sz="4" w:space="0"/>
            </w:tcBorders>
          </w:tcPr>
          <w:p w:rsidR="000E72E7" w:rsidP="00E02F88" w:rsidRDefault="000E72E7">
            <w:pPr>
              <w:rPr>
                <w:rFonts w:ascii="Times New Roman" w:hAnsi="Times New Roman"/>
              </w:rPr>
            </w:pPr>
            <w:r>
              <w:rPr>
                <w:rFonts w:ascii="Times New Roman" w:hAnsi="Times New Roman"/>
              </w:rPr>
              <w:t>12 CFR 7.1030</w:t>
            </w:r>
          </w:p>
          <w:p w:rsidR="000E72E7" w:rsidP="00E02F88" w:rsidRDefault="000E72E7">
            <w:pPr>
              <w:rPr>
                <w:rFonts w:ascii="Times New Roman" w:hAnsi="Times New Roman"/>
              </w:rPr>
            </w:pPr>
            <w:r>
              <w:rPr>
                <w:rFonts w:ascii="Times New Roman" w:hAnsi="Times New Roman"/>
              </w:rPr>
              <w:t>Recordkeeping</w:t>
            </w:r>
          </w:p>
        </w:tc>
        <w:tc>
          <w:tcPr>
            <w:tcW w:w="261pt" w:type="dxa"/>
            <w:tcBorders>
              <w:top w:val="single" w:color="auto" w:sz="4" w:space="0"/>
              <w:start w:val="single" w:color="auto" w:sz="4" w:space="0"/>
              <w:bottom w:val="single" w:color="auto" w:sz="4" w:space="0"/>
              <w:end w:val="single" w:color="auto" w:sz="4" w:space="0"/>
            </w:tcBorders>
          </w:tcPr>
          <w:p w:rsidR="000E72E7" w:rsidP="00E02F88" w:rsidRDefault="000E72E7">
            <w:pPr>
              <w:rPr>
                <w:rFonts w:ascii="Times New Roman" w:hAnsi="Times New Roman"/>
                <w:b/>
                <w:bCs/>
                <w:i/>
                <w:iCs/>
              </w:rPr>
            </w:pPr>
            <w:r>
              <w:rPr>
                <w:rFonts w:ascii="Times New Roman" w:hAnsi="Times New Roman"/>
                <w:b/>
                <w:bCs/>
                <w:i/>
                <w:iCs/>
              </w:rPr>
              <w:t>Derivatives Activities –</w:t>
            </w:r>
          </w:p>
          <w:p w:rsidR="000E72E7" w:rsidP="00E02F88" w:rsidRDefault="000E72E7">
            <w:pPr>
              <w:rPr>
                <w:rFonts w:ascii="Times New Roman" w:hAnsi="Times New Roman"/>
                <w:bCs/>
                <w:iCs/>
              </w:rPr>
            </w:pPr>
            <w:r>
              <w:rPr>
                <w:rFonts w:ascii="Times New Roman" w:hAnsi="Times New Roman"/>
                <w:bCs/>
                <w:iCs/>
              </w:rPr>
              <w:t>Maintenance of records demonstrating compliance.</w:t>
            </w:r>
          </w:p>
        </w:tc>
        <w:tc>
          <w:tcPr>
            <w:tcW w:w="66pt" w:type="dxa"/>
            <w:tcBorders>
              <w:top w:val="single" w:color="auto" w:sz="4" w:space="0"/>
              <w:start w:val="single" w:color="auto" w:sz="4" w:space="0"/>
              <w:bottom w:val="single" w:color="auto" w:sz="4" w:space="0"/>
              <w:end w:val="single" w:color="auto" w:sz="4" w:space="0"/>
            </w:tcBorders>
          </w:tcPr>
          <w:p w:rsidR="000E72E7" w:rsidP="00E02F88" w:rsidRDefault="000E72E7">
            <w:pPr>
              <w:jc w:val="right"/>
              <w:rPr>
                <w:rFonts w:ascii="Times New Roman" w:hAnsi="Times New Roman"/>
              </w:rPr>
            </w:pPr>
            <w:r>
              <w:rPr>
                <w:rFonts w:ascii="Times New Roman" w:hAnsi="Times New Roman"/>
              </w:rPr>
              <w:t>216</w:t>
            </w:r>
          </w:p>
        </w:tc>
        <w:tc>
          <w:tcPr>
            <w:tcW w:w="50.85pt" w:type="dxa"/>
            <w:tcBorders>
              <w:top w:val="single" w:color="auto" w:sz="4" w:space="0"/>
              <w:start w:val="single" w:color="auto" w:sz="4" w:space="0"/>
              <w:bottom w:val="single" w:color="auto" w:sz="4" w:space="0"/>
              <w:end w:val="single" w:color="auto" w:sz="4" w:space="0"/>
            </w:tcBorders>
          </w:tcPr>
          <w:p w:rsidR="000E72E7" w:rsidP="00E02F88" w:rsidRDefault="000E72E7">
            <w:pPr>
              <w:jc w:val="right"/>
              <w:rPr>
                <w:rFonts w:ascii="Times New Roman" w:hAnsi="Times New Roman"/>
              </w:rPr>
            </w:pPr>
            <w:r>
              <w:rPr>
                <w:rFonts w:ascii="Times New Roman" w:hAnsi="Times New Roman"/>
              </w:rPr>
              <w:t>2</w:t>
            </w:r>
          </w:p>
        </w:tc>
        <w:tc>
          <w:tcPr>
            <w:tcW w:w="54.15pt" w:type="dxa"/>
            <w:tcBorders>
              <w:top w:val="single" w:color="auto" w:sz="4" w:space="0"/>
              <w:start w:val="single" w:color="auto" w:sz="4" w:space="0"/>
              <w:bottom w:val="single" w:color="auto" w:sz="4" w:space="0"/>
              <w:end w:val="single" w:color="auto" w:sz="4" w:space="0"/>
            </w:tcBorders>
          </w:tcPr>
          <w:p w:rsidRPr="000E72E7" w:rsidR="000E72E7" w:rsidP="00E02F88" w:rsidRDefault="000E72E7">
            <w:pPr>
              <w:jc w:val="right"/>
              <w:rPr>
                <w:rFonts w:ascii="Times New Roman" w:hAnsi="Times New Roman"/>
              </w:rPr>
            </w:pPr>
            <w:r w:rsidRPr="000E72E7">
              <w:rPr>
                <w:rFonts w:ascii="Times New Roman" w:hAnsi="Times New Roman"/>
              </w:rPr>
              <w:t>432</w:t>
            </w:r>
          </w:p>
        </w:tc>
      </w:tr>
      <w:tr w:rsidRPr="000E72E7" w:rsidR="000E72E7" w:rsidTr="00E02F88">
        <w:tc>
          <w:tcPr>
            <w:tcW w:w="90pt" w:type="dxa"/>
            <w:tcBorders>
              <w:top w:val="single" w:color="auto" w:sz="4" w:space="0"/>
              <w:start w:val="single" w:color="auto" w:sz="4" w:space="0"/>
              <w:bottom w:val="single" w:color="auto" w:sz="4" w:space="0"/>
              <w:end w:val="single" w:color="auto" w:sz="4" w:space="0"/>
            </w:tcBorders>
          </w:tcPr>
          <w:p w:rsidR="000E72E7" w:rsidP="00E02F88" w:rsidRDefault="000E72E7">
            <w:pPr>
              <w:rPr>
                <w:rFonts w:ascii="Times New Roman" w:hAnsi="Times New Roman"/>
              </w:rPr>
            </w:pPr>
            <w:r>
              <w:rPr>
                <w:rFonts w:ascii="Times New Roman" w:hAnsi="Times New Roman"/>
              </w:rPr>
              <w:lastRenderedPageBreak/>
              <w:t>12 CFR 7.1030</w:t>
            </w:r>
          </w:p>
          <w:p w:rsidR="000E72E7" w:rsidP="00E02F88" w:rsidRDefault="000E72E7">
            <w:pPr>
              <w:rPr>
                <w:rFonts w:ascii="Times New Roman" w:hAnsi="Times New Roman"/>
              </w:rPr>
            </w:pPr>
            <w:r>
              <w:rPr>
                <w:rFonts w:ascii="Times New Roman" w:hAnsi="Times New Roman"/>
              </w:rPr>
              <w:t>Reporting</w:t>
            </w:r>
          </w:p>
        </w:tc>
        <w:tc>
          <w:tcPr>
            <w:tcW w:w="261pt" w:type="dxa"/>
            <w:tcBorders>
              <w:top w:val="single" w:color="auto" w:sz="4" w:space="0"/>
              <w:start w:val="single" w:color="auto" w:sz="4" w:space="0"/>
              <w:bottom w:val="single" w:color="auto" w:sz="4" w:space="0"/>
              <w:end w:val="single" w:color="auto" w:sz="4" w:space="0"/>
            </w:tcBorders>
          </w:tcPr>
          <w:p w:rsidR="000E72E7" w:rsidP="00E02F88" w:rsidRDefault="000E72E7">
            <w:pPr>
              <w:rPr>
                <w:rFonts w:ascii="Times New Roman" w:hAnsi="Times New Roman"/>
                <w:b/>
                <w:bCs/>
                <w:i/>
                <w:iCs/>
              </w:rPr>
            </w:pPr>
            <w:r>
              <w:rPr>
                <w:rFonts w:ascii="Times New Roman" w:hAnsi="Times New Roman"/>
                <w:b/>
                <w:bCs/>
                <w:i/>
                <w:iCs/>
              </w:rPr>
              <w:t>Derivatives Activities –</w:t>
            </w:r>
          </w:p>
          <w:p w:rsidR="000E72E7" w:rsidP="00E02F88" w:rsidRDefault="000E72E7">
            <w:pPr>
              <w:rPr>
                <w:rFonts w:ascii="Times New Roman" w:hAnsi="Times New Roman"/>
                <w:b/>
                <w:bCs/>
                <w:i/>
                <w:iCs/>
              </w:rPr>
            </w:pPr>
            <w:r>
              <w:rPr>
                <w:rFonts w:ascii="Times New Roman" w:hAnsi="Times New Roman"/>
              </w:rPr>
              <w:t xml:space="preserve">30 days prior written notice before engaging in certain derivatives hedging activities, expanding the bank’s derivatives hedging activities to include a new category of underlying, engaging in </w:t>
            </w:r>
            <w:bookmarkStart w:name="_Hlk26458469" w:id="0"/>
            <w:r>
              <w:rPr>
                <w:rFonts w:ascii="Times New Roman" w:hAnsi="Times New Roman"/>
              </w:rPr>
              <w:t>certain customer-driven financial intermediation derivatives activities</w:t>
            </w:r>
            <w:bookmarkEnd w:id="0"/>
            <w:r>
              <w:rPr>
                <w:rFonts w:ascii="Times New Roman" w:hAnsi="Times New Roman"/>
              </w:rPr>
              <w:t>, and expanding the bank’s customer-driven financial intermediation derivatives activities to include a new category of underlying specified in regulation.</w:t>
            </w:r>
          </w:p>
        </w:tc>
        <w:tc>
          <w:tcPr>
            <w:tcW w:w="66pt" w:type="dxa"/>
            <w:tcBorders>
              <w:top w:val="single" w:color="auto" w:sz="4" w:space="0"/>
              <w:start w:val="single" w:color="auto" w:sz="4" w:space="0"/>
              <w:bottom w:val="single" w:color="auto" w:sz="4" w:space="0"/>
              <w:end w:val="single" w:color="auto" w:sz="4" w:space="0"/>
            </w:tcBorders>
          </w:tcPr>
          <w:p w:rsidR="000E72E7" w:rsidP="00E02F88" w:rsidRDefault="000E72E7">
            <w:pPr>
              <w:jc w:val="right"/>
              <w:rPr>
                <w:rFonts w:ascii="Times New Roman" w:hAnsi="Times New Roman"/>
              </w:rPr>
            </w:pPr>
            <w:r>
              <w:rPr>
                <w:rFonts w:ascii="Times New Roman" w:hAnsi="Times New Roman"/>
              </w:rPr>
              <w:t>10</w:t>
            </w:r>
          </w:p>
        </w:tc>
        <w:tc>
          <w:tcPr>
            <w:tcW w:w="50.85pt" w:type="dxa"/>
            <w:tcBorders>
              <w:top w:val="single" w:color="auto" w:sz="4" w:space="0"/>
              <w:start w:val="single" w:color="auto" w:sz="4" w:space="0"/>
              <w:bottom w:val="single" w:color="auto" w:sz="4" w:space="0"/>
              <w:end w:val="single" w:color="auto" w:sz="4" w:space="0"/>
            </w:tcBorders>
          </w:tcPr>
          <w:p w:rsidR="000E72E7" w:rsidP="00E02F88" w:rsidRDefault="000E72E7">
            <w:pPr>
              <w:jc w:val="right"/>
              <w:rPr>
                <w:rFonts w:ascii="Times New Roman" w:hAnsi="Times New Roman"/>
              </w:rPr>
            </w:pPr>
            <w:r>
              <w:rPr>
                <w:rFonts w:ascii="Times New Roman" w:hAnsi="Times New Roman"/>
              </w:rPr>
              <w:t>20</w:t>
            </w:r>
          </w:p>
        </w:tc>
        <w:tc>
          <w:tcPr>
            <w:tcW w:w="54.15pt" w:type="dxa"/>
            <w:tcBorders>
              <w:top w:val="single" w:color="auto" w:sz="4" w:space="0"/>
              <w:start w:val="single" w:color="auto" w:sz="4" w:space="0"/>
              <w:bottom w:val="single" w:color="auto" w:sz="4" w:space="0"/>
              <w:end w:val="single" w:color="auto" w:sz="4" w:space="0"/>
            </w:tcBorders>
          </w:tcPr>
          <w:p w:rsidRPr="000E72E7" w:rsidR="000E72E7" w:rsidP="00E02F88" w:rsidRDefault="000E72E7">
            <w:pPr>
              <w:jc w:val="right"/>
              <w:rPr>
                <w:rFonts w:ascii="Times New Roman" w:hAnsi="Times New Roman"/>
              </w:rPr>
            </w:pPr>
            <w:r w:rsidRPr="000E72E7">
              <w:rPr>
                <w:rFonts w:ascii="Times New Roman" w:hAnsi="Times New Roman"/>
              </w:rPr>
              <w:t>200</w:t>
            </w:r>
          </w:p>
        </w:tc>
      </w:tr>
      <w:tr w:rsidRPr="000E72E7" w:rsidR="000E72E7" w:rsidTr="00E02F88">
        <w:tc>
          <w:tcPr>
            <w:tcW w:w="90pt" w:type="dxa"/>
            <w:tcBorders>
              <w:top w:val="single" w:color="auto" w:sz="4" w:space="0"/>
              <w:start w:val="single" w:color="auto" w:sz="4" w:space="0"/>
              <w:bottom w:val="single" w:color="auto" w:sz="4" w:space="0"/>
              <w:end w:val="single" w:color="auto" w:sz="4" w:space="0"/>
            </w:tcBorders>
          </w:tcPr>
          <w:p w:rsidR="000E72E7" w:rsidP="00E02F88" w:rsidRDefault="000E72E7">
            <w:pPr>
              <w:rPr>
                <w:rFonts w:ascii="Times New Roman" w:hAnsi="Times New Roman"/>
              </w:rPr>
            </w:pPr>
            <w:r>
              <w:rPr>
                <w:rFonts w:ascii="Times New Roman" w:hAnsi="Times New Roman"/>
              </w:rPr>
              <w:t>12 CFR 7.2000</w:t>
            </w:r>
          </w:p>
          <w:p w:rsidR="000E72E7" w:rsidP="00E02F88" w:rsidRDefault="000E72E7">
            <w:pPr>
              <w:rPr>
                <w:rFonts w:ascii="Times New Roman" w:hAnsi="Times New Roman"/>
              </w:rPr>
            </w:pPr>
            <w:r>
              <w:rPr>
                <w:rFonts w:ascii="Times New Roman" w:hAnsi="Times New Roman"/>
              </w:rPr>
              <w:t>Reporting</w:t>
            </w:r>
          </w:p>
        </w:tc>
        <w:tc>
          <w:tcPr>
            <w:tcW w:w="261pt" w:type="dxa"/>
            <w:tcBorders>
              <w:top w:val="single" w:color="auto" w:sz="4" w:space="0"/>
              <w:start w:val="single" w:color="auto" w:sz="4" w:space="0"/>
              <w:bottom w:val="single" w:color="auto" w:sz="4" w:space="0"/>
              <w:end w:val="single" w:color="auto" w:sz="4" w:space="0"/>
            </w:tcBorders>
          </w:tcPr>
          <w:p w:rsidR="000E72E7" w:rsidP="00E02F88" w:rsidRDefault="000E72E7">
            <w:pPr>
              <w:rPr>
                <w:rFonts w:ascii="Times New Roman" w:hAnsi="Times New Roman"/>
                <w:b/>
                <w:bCs/>
                <w:i/>
                <w:iCs/>
              </w:rPr>
            </w:pPr>
            <w:r>
              <w:rPr>
                <w:rFonts w:ascii="Times New Roman" w:hAnsi="Times New Roman"/>
                <w:b/>
                <w:bCs/>
                <w:i/>
                <w:iCs/>
              </w:rPr>
              <w:t xml:space="preserve">State Corporate Governance – </w:t>
            </w:r>
          </w:p>
          <w:p w:rsidRPr="00A41B9A" w:rsidR="000E72E7" w:rsidP="00E02F88" w:rsidRDefault="000E72E7">
            <w:pPr>
              <w:rPr>
                <w:rFonts w:ascii="Times New Roman" w:hAnsi="Times New Roman"/>
                <w:bCs/>
                <w:iCs/>
              </w:rPr>
            </w:pPr>
            <w:r>
              <w:rPr>
                <w:rFonts w:ascii="Times New Roman" w:hAnsi="Times New Roman"/>
                <w:bCs/>
                <w:iCs/>
              </w:rPr>
              <w:t xml:space="preserve">Requests for OCC’s staff position on ability of national bank to engage </w:t>
            </w:r>
            <w:proofErr w:type="gramStart"/>
            <w:r>
              <w:rPr>
                <w:rFonts w:ascii="Times New Roman" w:hAnsi="Times New Roman"/>
                <w:bCs/>
                <w:iCs/>
              </w:rPr>
              <w:t>in particular State</w:t>
            </w:r>
            <w:proofErr w:type="gramEnd"/>
            <w:r>
              <w:rPr>
                <w:rFonts w:ascii="Times New Roman" w:hAnsi="Times New Roman"/>
                <w:bCs/>
                <w:iCs/>
              </w:rPr>
              <w:t xml:space="preserve"> corporate governance procedure must include name, citations, discussion of similarly suited State banks, identification of Federal banking statutes and regulations, and analysis of consistency with statutes, regulations, and safety and soundness.</w:t>
            </w:r>
          </w:p>
        </w:tc>
        <w:tc>
          <w:tcPr>
            <w:tcW w:w="66pt" w:type="dxa"/>
            <w:tcBorders>
              <w:top w:val="single" w:color="auto" w:sz="4" w:space="0"/>
              <w:start w:val="single" w:color="auto" w:sz="4" w:space="0"/>
              <w:bottom w:val="single" w:color="auto" w:sz="4" w:space="0"/>
              <w:end w:val="single" w:color="auto" w:sz="4" w:space="0"/>
            </w:tcBorders>
          </w:tcPr>
          <w:p w:rsidR="000E72E7" w:rsidP="00E02F88" w:rsidRDefault="000E72E7">
            <w:pPr>
              <w:pStyle w:val="FootnoteText"/>
              <w:jc w:val="right"/>
              <w:rPr>
                <w:rFonts w:ascii="Times New Roman" w:hAnsi="Times New Roman"/>
              </w:rPr>
            </w:pPr>
            <w:r>
              <w:rPr>
                <w:rFonts w:ascii="Times New Roman" w:hAnsi="Times New Roman"/>
              </w:rPr>
              <w:t>12</w:t>
            </w:r>
          </w:p>
        </w:tc>
        <w:tc>
          <w:tcPr>
            <w:tcW w:w="50.85pt" w:type="dxa"/>
            <w:tcBorders>
              <w:top w:val="single" w:color="auto" w:sz="4" w:space="0"/>
              <w:start w:val="single" w:color="auto" w:sz="4" w:space="0"/>
              <w:bottom w:val="single" w:color="auto" w:sz="4" w:space="0"/>
              <w:end w:val="single" w:color="auto" w:sz="4" w:space="0"/>
            </w:tcBorders>
          </w:tcPr>
          <w:p w:rsidR="000E72E7" w:rsidP="00E02F88" w:rsidRDefault="000E72E7">
            <w:pPr>
              <w:jc w:val="right"/>
              <w:rPr>
                <w:rFonts w:ascii="Times New Roman" w:hAnsi="Times New Roman"/>
              </w:rPr>
            </w:pPr>
            <w:r>
              <w:rPr>
                <w:rFonts w:ascii="Times New Roman" w:hAnsi="Times New Roman"/>
              </w:rPr>
              <w:t xml:space="preserve">2.5 </w:t>
            </w:r>
          </w:p>
        </w:tc>
        <w:tc>
          <w:tcPr>
            <w:tcW w:w="54.15pt" w:type="dxa"/>
            <w:tcBorders>
              <w:top w:val="single" w:color="auto" w:sz="4" w:space="0"/>
              <w:start w:val="single" w:color="auto" w:sz="4" w:space="0"/>
              <w:bottom w:val="single" w:color="auto" w:sz="4" w:space="0"/>
              <w:end w:val="single" w:color="auto" w:sz="4" w:space="0"/>
            </w:tcBorders>
          </w:tcPr>
          <w:p w:rsidRPr="000E72E7" w:rsidR="000E72E7" w:rsidP="00E02F88" w:rsidRDefault="000E72E7">
            <w:pPr>
              <w:jc w:val="right"/>
              <w:rPr>
                <w:rFonts w:ascii="Times New Roman" w:hAnsi="Times New Roman"/>
              </w:rPr>
            </w:pPr>
            <w:r w:rsidRPr="000E72E7">
              <w:rPr>
                <w:rFonts w:ascii="Times New Roman" w:hAnsi="Times New Roman"/>
              </w:rPr>
              <w:t xml:space="preserve">30 </w:t>
            </w:r>
          </w:p>
        </w:tc>
      </w:tr>
      <w:tr w:rsidRPr="000E72E7" w:rsidR="000E72E7" w:rsidTr="00E02F88">
        <w:trPr>
          <w:cantSplit/>
        </w:trPr>
        <w:tc>
          <w:tcPr>
            <w:tcW w:w="90pt" w:type="dxa"/>
            <w:tcBorders>
              <w:top w:val="single" w:color="auto" w:sz="4" w:space="0"/>
              <w:start w:val="single" w:color="auto" w:sz="4" w:space="0"/>
              <w:bottom w:val="single" w:color="auto" w:sz="4" w:space="0"/>
              <w:end w:val="single" w:color="auto" w:sz="4" w:space="0"/>
            </w:tcBorders>
            <w:hideMark/>
          </w:tcPr>
          <w:p w:rsidR="000E72E7" w:rsidP="00E02F88" w:rsidRDefault="000E72E7">
            <w:pPr>
              <w:rPr>
                <w:rFonts w:ascii="Times New Roman" w:hAnsi="Times New Roman"/>
              </w:rPr>
            </w:pPr>
            <w:r>
              <w:rPr>
                <w:rFonts w:ascii="Times New Roman" w:hAnsi="Times New Roman"/>
              </w:rPr>
              <w:t>12 CFR 7.2000(b)</w:t>
            </w:r>
          </w:p>
          <w:p w:rsidR="000E72E7" w:rsidP="00E02F88" w:rsidRDefault="000E72E7">
            <w:pPr>
              <w:rPr>
                <w:rFonts w:ascii="Times New Roman" w:hAnsi="Times New Roman"/>
              </w:rPr>
            </w:pPr>
            <w:r>
              <w:rPr>
                <w:rFonts w:ascii="Times New Roman" w:hAnsi="Times New Roman"/>
              </w:rPr>
              <w:t>Recordkeeping</w:t>
            </w:r>
          </w:p>
        </w:tc>
        <w:tc>
          <w:tcPr>
            <w:tcW w:w="261pt" w:type="dxa"/>
            <w:tcBorders>
              <w:top w:val="single" w:color="auto" w:sz="4" w:space="0"/>
              <w:start w:val="single" w:color="auto" w:sz="4" w:space="0"/>
              <w:bottom w:val="single" w:color="auto" w:sz="4" w:space="0"/>
              <w:end w:val="single" w:color="auto" w:sz="4" w:space="0"/>
            </w:tcBorders>
            <w:hideMark/>
          </w:tcPr>
          <w:p w:rsidR="000E72E7" w:rsidP="00E02F88" w:rsidRDefault="000E72E7">
            <w:pPr>
              <w:rPr>
                <w:rFonts w:ascii="Times New Roman" w:hAnsi="Times New Roman"/>
              </w:rPr>
            </w:pPr>
            <w:r>
              <w:rPr>
                <w:rFonts w:ascii="Times New Roman" w:hAnsi="Times New Roman"/>
                <w:b/>
                <w:bCs/>
                <w:i/>
                <w:iCs/>
              </w:rPr>
              <w:t>Corporate governance procedures – Other sources of guidance</w:t>
            </w:r>
            <w:r>
              <w:rPr>
                <w:rFonts w:ascii="Times New Roman" w:hAnsi="Times New Roman"/>
              </w:rPr>
              <w:t xml:space="preserve"> – A national bank shall designate in its bylaws the body of law selected for its corporate governance procedures.</w:t>
            </w:r>
          </w:p>
        </w:tc>
        <w:tc>
          <w:tcPr>
            <w:tcW w:w="66pt" w:type="dxa"/>
            <w:tcBorders>
              <w:top w:val="single" w:color="auto" w:sz="4" w:space="0"/>
              <w:start w:val="single" w:color="auto" w:sz="4" w:space="0"/>
              <w:bottom w:val="single" w:color="auto" w:sz="4" w:space="0"/>
              <w:end w:val="single" w:color="auto" w:sz="4" w:space="0"/>
            </w:tcBorders>
            <w:hideMark/>
          </w:tcPr>
          <w:p w:rsidR="000E72E7" w:rsidP="00E02F88" w:rsidRDefault="000E72E7">
            <w:pPr>
              <w:jc w:val="right"/>
              <w:rPr>
                <w:rFonts w:ascii="Times New Roman" w:hAnsi="Times New Roman"/>
              </w:rPr>
            </w:pPr>
            <w:r>
              <w:rPr>
                <w:rFonts w:ascii="Times New Roman" w:hAnsi="Times New Roman"/>
              </w:rPr>
              <w:t>35</w:t>
            </w:r>
          </w:p>
        </w:tc>
        <w:tc>
          <w:tcPr>
            <w:tcW w:w="50.85pt" w:type="dxa"/>
            <w:tcBorders>
              <w:top w:val="single" w:color="auto" w:sz="4" w:space="0"/>
              <w:start w:val="single" w:color="auto" w:sz="4" w:space="0"/>
              <w:bottom w:val="single" w:color="auto" w:sz="4" w:space="0"/>
              <w:end w:val="single" w:color="auto" w:sz="4" w:space="0"/>
            </w:tcBorders>
            <w:hideMark/>
          </w:tcPr>
          <w:p w:rsidR="000E72E7" w:rsidP="00E02F88" w:rsidRDefault="000E72E7">
            <w:pPr>
              <w:jc w:val="right"/>
              <w:rPr>
                <w:rFonts w:ascii="Times New Roman" w:hAnsi="Times New Roman"/>
              </w:rPr>
            </w:pPr>
            <w:r>
              <w:rPr>
                <w:rFonts w:ascii="Times New Roman" w:hAnsi="Times New Roman"/>
              </w:rPr>
              <w:t xml:space="preserve">0.25 </w:t>
            </w:r>
          </w:p>
        </w:tc>
        <w:tc>
          <w:tcPr>
            <w:tcW w:w="54.15pt" w:type="dxa"/>
            <w:tcBorders>
              <w:top w:val="single" w:color="auto" w:sz="4" w:space="0"/>
              <w:start w:val="single" w:color="auto" w:sz="4" w:space="0"/>
              <w:bottom w:val="single" w:color="auto" w:sz="4" w:space="0"/>
              <w:end w:val="single" w:color="auto" w:sz="4" w:space="0"/>
            </w:tcBorders>
            <w:hideMark/>
          </w:tcPr>
          <w:p w:rsidRPr="000E72E7" w:rsidR="000E72E7" w:rsidP="00E02F88" w:rsidRDefault="000E72E7">
            <w:pPr>
              <w:jc w:val="right"/>
              <w:rPr>
                <w:rFonts w:ascii="Times New Roman" w:hAnsi="Times New Roman"/>
              </w:rPr>
            </w:pPr>
            <w:r w:rsidRPr="000E72E7">
              <w:rPr>
                <w:rFonts w:ascii="Times New Roman" w:hAnsi="Times New Roman"/>
              </w:rPr>
              <w:t>8.75</w:t>
            </w:r>
          </w:p>
        </w:tc>
      </w:tr>
      <w:tr w:rsidRPr="000E72E7" w:rsidR="000E72E7" w:rsidTr="00E02F88">
        <w:tc>
          <w:tcPr>
            <w:tcW w:w="90pt" w:type="dxa"/>
            <w:tcBorders>
              <w:top w:val="single" w:color="auto" w:sz="4" w:space="0"/>
              <w:start w:val="single" w:color="auto" w:sz="4" w:space="0"/>
              <w:bottom w:val="single" w:color="auto" w:sz="4" w:space="0"/>
              <w:end w:val="single" w:color="auto" w:sz="4" w:space="0"/>
            </w:tcBorders>
            <w:hideMark/>
          </w:tcPr>
          <w:p w:rsidR="000E72E7" w:rsidP="00E02F88" w:rsidRDefault="000E72E7">
            <w:pPr>
              <w:rPr>
                <w:rFonts w:ascii="Times New Roman" w:hAnsi="Times New Roman"/>
              </w:rPr>
            </w:pPr>
            <w:r>
              <w:rPr>
                <w:rFonts w:ascii="Times New Roman" w:hAnsi="Times New Roman"/>
              </w:rPr>
              <w:t>12 CFR 7.2004</w:t>
            </w:r>
          </w:p>
          <w:p w:rsidR="000E72E7" w:rsidP="00E02F88" w:rsidRDefault="000E72E7">
            <w:pPr>
              <w:rPr>
                <w:rFonts w:ascii="Times New Roman" w:hAnsi="Times New Roman"/>
              </w:rPr>
            </w:pPr>
            <w:r>
              <w:rPr>
                <w:rFonts w:ascii="Times New Roman" w:hAnsi="Times New Roman"/>
              </w:rPr>
              <w:t>Recordkeeping</w:t>
            </w:r>
          </w:p>
        </w:tc>
        <w:tc>
          <w:tcPr>
            <w:tcW w:w="261pt" w:type="dxa"/>
            <w:tcBorders>
              <w:top w:val="single" w:color="auto" w:sz="4" w:space="0"/>
              <w:start w:val="single" w:color="auto" w:sz="4" w:space="0"/>
              <w:bottom w:val="single" w:color="auto" w:sz="4" w:space="0"/>
              <w:end w:val="single" w:color="auto" w:sz="4" w:space="0"/>
            </w:tcBorders>
            <w:hideMark/>
          </w:tcPr>
          <w:p w:rsidR="000E72E7" w:rsidP="00E02F88" w:rsidRDefault="000E72E7">
            <w:pPr>
              <w:rPr>
                <w:rFonts w:ascii="Times New Roman" w:hAnsi="Times New Roman"/>
              </w:rPr>
            </w:pPr>
            <w:r>
              <w:rPr>
                <w:rFonts w:ascii="Times New Roman" w:hAnsi="Times New Roman"/>
                <w:b/>
                <w:bCs/>
                <w:i/>
                <w:iCs/>
              </w:rPr>
              <w:t>Honorary directors or advisory boards</w:t>
            </w:r>
            <w:r>
              <w:rPr>
                <w:rFonts w:ascii="Times New Roman" w:hAnsi="Times New Roman"/>
                <w:i/>
                <w:iCs/>
              </w:rPr>
              <w:t xml:space="preserve"> –</w:t>
            </w:r>
            <w:r>
              <w:rPr>
                <w:rFonts w:ascii="Times New Roman" w:hAnsi="Times New Roman"/>
              </w:rPr>
              <w:t xml:space="preserve"> Any listing of a national bank’s honorary or advisory directors must distinguish between those directors and the bank’s board of directors or indicate their advisory status.</w:t>
            </w:r>
          </w:p>
        </w:tc>
        <w:tc>
          <w:tcPr>
            <w:tcW w:w="66pt" w:type="dxa"/>
            <w:tcBorders>
              <w:top w:val="single" w:color="auto" w:sz="4" w:space="0"/>
              <w:start w:val="single" w:color="auto" w:sz="4" w:space="0"/>
              <w:bottom w:val="single" w:color="auto" w:sz="4" w:space="0"/>
              <w:end w:val="single" w:color="auto" w:sz="4" w:space="0"/>
            </w:tcBorders>
            <w:hideMark/>
          </w:tcPr>
          <w:p w:rsidR="000E72E7" w:rsidP="00E02F88" w:rsidRDefault="000E72E7">
            <w:pPr>
              <w:pStyle w:val="FootnoteText"/>
              <w:jc w:val="right"/>
              <w:rPr>
                <w:rFonts w:ascii="Times New Roman" w:hAnsi="Times New Roman"/>
              </w:rPr>
            </w:pPr>
            <w:r>
              <w:rPr>
                <w:rFonts w:ascii="Times New Roman" w:hAnsi="Times New Roman"/>
              </w:rPr>
              <w:t>1,294</w:t>
            </w:r>
          </w:p>
        </w:tc>
        <w:tc>
          <w:tcPr>
            <w:tcW w:w="50.85pt" w:type="dxa"/>
            <w:tcBorders>
              <w:top w:val="single" w:color="auto" w:sz="4" w:space="0"/>
              <w:start w:val="single" w:color="auto" w:sz="4" w:space="0"/>
              <w:bottom w:val="single" w:color="auto" w:sz="4" w:space="0"/>
              <w:end w:val="single" w:color="auto" w:sz="4" w:space="0"/>
            </w:tcBorders>
            <w:hideMark/>
          </w:tcPr>
          <w:p w:rsidR="000E72E7" w:rsidP="00E02F88" w:rsidRDefault="000E72E7">
            <w:pPr>
              <w:jc w:val="right"/>
              <w:rPr>
                <w:rFonts w:ascii="Times New Roman" w:hAnsi="Times New Roman"/>
              </w:rPr>
            </w:pPr>
            <w:r>
              <w:rPr>
                <w:rFonts w:ascii="Times New Roman" w:hAnsi="Times New Roman"/>
              </w:rPr>
              <w:t xml:space="preserve">0.25 </w:t>
            </w:r>
          </w:p>
        </w:tc>
        <w:tc>
          <w:tcPr>
            <w:tcW w:w="54.15pt" w:type="dxa"/>
            <w:tcBorders>
              <w:top w:val="single" w:color="auto" w:sz="4" w:space="0"/>
              <w:start w:val="single" w:color="auto" w:sz="4" w:space="0"/>
              <w:bottom w:val="single" w:color="auto" w:sz="4" w:space="0"/>
              <w:end w:val="single" w:color="auto" w:sz="4" w:space="0"/>
            </w:tcBorders>
            <w:hideMark/>
          </w:tcPr>
          <w:p w:rsidRPr="000E72E7" w:rsidR="000E72E7" w:rsidP="00E02F88" w:rsidRDefault="000E72E7">
            <w:pPr>
              <w:jc w:val="right"/>
              <w:rPr>
                <w:rFonts w:ascii="Times New Roman" w:hAnsi="Times New Roman"/>
              </w:rPr>
            </w:pPr>
            <w:r w:rsidRPr="000E72E7">
              <w:rPr>
                <w:rFonts w:ascii="Times New Roman" w:hAnsi="Times New Roman"/>
              </w:rPr>
              <w:t>323.5</w:t>
            </w:r>
          </w:p>
        </w:tc>
      </w:tr>
      <w:tr w:rsidRPr="000E72E7" w:rsidR="000E72E7" w:rsidTr="00E02F88">
        <w:tc>
          <w:tcPr>
            <w:tcW w:w="90pt" w:type="dxa"/>
            <w:tcBorders>
              <w:top w:val="single" w:color="auto" w:sz="4" w:space="0"/>
              <w:start w:val="single" w:color="auto" w:sz="4" w:space="0"/>
              <w:bottom w:val="single" w:color="auto" w:sz="4" w:space="0"/>
              <w:end w:val="single" w:color="auto" w:sz="4" w:space="0"/>
            </w:tcBorders>
            <w:hideMark/>
          </w:tcPr>
          <w:p w:rsidR="000E72E7" w:rsidP="00E02F88" w:rsidRDefault="000E72E7">
            <w:pPr>
              <w:rPr>
                <w:rFonts w:ascii="Times New Roman" w:hAnsi="Times New Roman"/>
              </w:rPr>
            </w:pPr>
            <w:r>
              <w:rPr>
                <w:rFonts w:ascii="Times New Roman" w:hAnsi="Times New Roman"/>
              </w:rPr>
              <w:t>12 CFR 7.2014(b)</w:t>
            </w:r>
          </w:p>
          <w:p w:rsidR="000E72E7" w:rsidP="00E02F88" w:rsidRDefault="000E72E7">
            <w:pPr>
              <w:rPr>
                <w:rFonts w:ascii="Times New Roman" w:hAnsi="Times New Roman"/>
              </w:rPr>
            </w:pPr>
            <w:r>
              <w:rPr>
                <w:rFonts w:ascii="Times New Roman" w:hAnsi="Times New Roman"/>
              </w:rPr>
              <w:t>Recordkeeping</w:t>
            </w:r>
          </w:p>
        </w:tc>
        <w:tc>
          <w:tcPr>
            <w:tcW w:w="261pt" w:type="dxa"/>
            <w:tcBorders>
              <w:top w:val="single" w:color="auto" w:sz="4" w:space="0"/>
              <w:start w:val="single" w:color="auto" w:sz="4" w:space="0"/>
              <w:bottom w:val="single" w:color="auto" w:sz="4" w:space="0"/>
              <w:end w:val="single" w:color="auto" w:sz="4" w:space="0"/>
            </w:tcBorders>
            <w:hideMark/>
          </w:tcPr>
          <w:p w:rsidR="000E72E7" w:rsidP="00E02F88" w:rsidRDefault="000E72E7">
            <w:pPr>
              <w:rPr>
                <w:rFonts w:ascii="Times New Roman" w:hAnsi="Times New Roman"/>
              </w:rPr>
            </w:pPr>
            <w:r>
              <w:rPr>
                <w:rFonts w:ascii="Times New Roman" w:hAnsi="Times New Roman"/>
                <w:b/>
                <w:bCs/>
                <w:i/>
                <w:iCs/>
              </w:rPr>
              <w:t>Indemnification of institution-affiliated parties (IAPs) – Administrative proceeding or civil actions not initiated by a federal banking agency – General</w:t>
            </w:r>
            <w:r>
              <w:rPr>
                <w:rFonts w:ascii="Times New Roman" w:hAnsi="Times New Roman"/>
                <w:i/>
                <w:iCs/>
              </w:rPr>
              <w:t xml:space="preserve"> –</w:t>
            </w:r>
            <w:r>
              <w:rPr>
                <w:rFonts w:ascii="Times New Roman" w:hAnsi="Times New Roman"/>
              </w:rPr>
              <w:t xml:space="preserve"> A national bank shall designate in its bylaws the body of law selected for making indemnification payments under this paragraph.</w:t>
            </w:r>
          </w:p>
        </w:tc>
        <w:tc>
          <w:tcPr>
            <w:tcW w:w="66pt" w:type="dxa"/>
            <w:tcBorders>
              <w:top w:val="single" w:color="auto" w:sz="4" w:space="0"/>
              <w:start w:val="single" w:color="auto" w:sz="4" w:space="0"/>
              <w:bottom w:val="single" w:color="auto" w:sz="4" w:space="0"/>
              <w:end w:val="single" w:color="auto" w:sz="4" w:space="0"/>
            </w:tcBorders>
            <w:hideMark/>
          </w:tcPr>
          <w:p w:rsidR="000E72E7" w:rsidP="00E02F88" w:rsidRDefault="000E72E7">
            <w:pPr>
              <w:pStyle w:val="FootnoteText"/>
              <w:jc w:val="right"/>
              <w:rPr>
                <w:rFonts w:ascii="Times New Roman" w:hAnsi="Times New Roman"/>
              </w:rPr>
            </w:pPr>
            <w:r>
              <w:rPr>
                <w:rFonts w:ascii="Times New Roman" w:hAnsi="Times New Roman"/>
              </w:rPr>
              <w:t>35</w:t>
            </w:r>
          </w:p>
        </w:tc>
        <w:tc>
          <w:tcPr>
            <w:tcW w:w="50.85pt" w:type="dxa"/>
            <w:tcBorders>
              <w:top w:val="single" w:color="auto" w:sz="4" w:space="0"/>
              <w:start w:val="single" w:color="auto" w:sz="4" w:space="0"/>
              <w:bottom w:val="single" w:color="auto" w:sz="4" w:space="0"/>
              <w:end w:val="single" w:color="auto" w:sz="4" w:space="0"/>
            </w:tcBorders>
            <w:hideMark/>
          </w:tcPr>
          <w:p w:rsidR="000E72E7" w:rsidP="00E02F88" w:rsidRDefault="000E72E7">
            <w:pPr>
              <w:jc w:val="right"/>
              <w:rPr>
                <w:rFonts w:ascii="Times New Roman" w:hAnsi="Times New Roman"/>
              </w:rPr>
            </w:pPr>
            <w:r>
              <w:rPr>
                <w:rFonts w:ascii="Times New Roman" w:hAnsi="Times New Roman"/>
              </w:rPr>
              <w:t xml:space="preserve">0.25 </w:t>
            </w:r>
          </w:p>
        </w:tc>
        <w:tc>
          <w:tcPr>
            <w:tcW w:w="54.15pt" w:type="dxa"/>
            <w:tcBorders>
              <w:top w:val="single" w:color="auto" w:sz="4" w:space="0"/>
              <w:start w:val="single" w:color="auto" w:sz="4" w:space="0"/>
              <w:bottom w:val="single" w:color="auto" w:sz="4" w:space="0"/>
              <w:end w:val="single" w:color="auto" w:sz="4" w:space="0"/>
            </w:tcBorders>
            <w:hideMark/>
          </w:tcPr>
          <w:p w:rsidRPr="000E72E7" w:rsidR="000E72E7" w:rsidP="00E02F88" w:rsidRDefault="000E72E7">
            <w:pPr>
              <w:jc w:val="right"/>
              <w:rPr>
                <w:rFonts w:ascii="Times New Roman" w:hAnsi="Times New Roman"/>
              </w:rPr>
            </w:pPr>
            <w:r w:rsidRPr="000E72E7">
              <w:rPr>
                <w:rFonts w:ascii="Times New Roman" w:hAnsi="Times New Roman"/>
              </w:rPr>
              <w:t xml:space="preserve">8.75 </w:t>
            </w:r>
          </w:p>
        </w:tc>
      </w:tr>
      <w:tr w:rsidRPr="000E72E7" w:rsidR="000E72E7" w:rsidTr="00E02F88">
        <w:tc>
          <w:tcPr>
            <w:tcW w:w="90pt" w:type="dxa"/>
            <w:tcBorders>
              <w:top w:val="single" w:color="auto" w:sz="4" w:space="0"/>
              <w:start w:val="single" w:color="auto" w:sz="4" w:space="0"/>
              <w:bottom w:val="single" w:color="auto" w:sz="4" w:space="0"/>
              <w:end w:val="single" w:color="auto" w:sz="4" w:space="0"/>
            </w:tcBorders>
          </w:tcPr>
          <w:p w:rsidR="000E72E7" w:rsidP="00E02F88" w:rsidRDefault="000E72E7">
            <w:pPr>
              <w:rPr>
                <w:rFonts w:ascii="Times New Roman" w:hAnsi="Times New Roman"/>
              </w:rPr>
            </w:pPr>
            <w:r>
              <w:rPr>
                <w:rFonts w:ascii="Times New Roman" w:hAnsi="Times New Roman"/>
              </w:rPr>
              <w:t>12 CFR 7.2014</w:t>
            </w:r>
          </w:p>
          <w:p w:rsidR="000E72E7" w:rsidP="00E02F88" w:rsidRDefault="000E72E7">
            <w:pPr>
              <w:rPr>
                <w:rFonts w:ascii="Times New Roman" w:hAnsi="Times New Roman"/>
              </w:rPr>
            </w:pPr>
            <w:r>
              <w:rPr>
                <w:rFonts w:ascii="Times New Roman" w:hAnsi="Times New Roman"/>
              </w:rPr>
              <w:t>Recordkeeping</w:t>
            </w:r>
          </w:p>
        </w:tc>
        <w:tc>
          <w:tcPr>
            <w:tcW w:w="261pt" w:type="dxa"/>
            <w:tcBorders>
              <w:top w:val="single" w:color="auto" w:sz="4" w:space="0"/>
              <w:start w:val="single" w:color="auto" w:sz="4" w:space="0"/>
              <w:bottom w:val="single" w:color="auto" w:sz="4" w:space="0"/>
              <w:end w:val="single" w:color="auto" w:sz="4" w:space="0"/>
            </w:tcBorders>
          </w:tcPr>
          <w:p w:rsidR="000E72E7" w:rsidP="00E02F88" w:rsidRDefault="000E72E7">
            <w:pPr>
              <w:rPr>
                <w:rFonts w:ascii="Times New Roman" w:hAnsi="Times New Roman"/>
              </w:rPr>
            </w:pPr>
            <w:r>
              <w:rPr>
                <w:rFonts w:ascii="Times New Roman" w:hAnsi="Times New Roman"/>
                <w:b/>
                <w:bCs/>
                <w:i/>
                <w:iCs/>
              </w:rPr>
              <w:t xml:space="preserve">Indemnification of institution-affiliated parties – Administrative proceeding or civil actions not initiated by a federal banking agency – </w:t>
            </w:r>
            <w:r w:rsidRPr="00D53B53">
              <w:rPr>
                <w:rFonts w:ascii="Times New Roman" w:hAnsi="Times New Roman"/>
                <w:bCs/>
                <w:iCs/>
              </w:rPr>
              <w:t>A written agreement that an IAP will reimburse the institution for any portion of non-reimbursed indemnification that the IAP is found not entitled to before advancing funds to an IAP.</w:t>
            </w:r>
          </w:p>
        </w:tc>
        <w:tc>
          <w:tcPr>
            <w:tcW w:w="66pt" w:type="dxa"/>
            <w:tcBorders>
              <w:top w:val="single" w:color="auto" w:sz="4" w:space="0"/>
              <w:start w:val="single" w:color="auto" w:sz="4" w:space="0"/>
              <w:bottom w:val="single" w:color="auto" w:sz="4" w:space="0"/>
              <w:end w:val="single" w:color="auto" w:sz="4" w:space="0"/>
            </w:tcBorders>
          </w:tcPr>
          <w:p w:rsidR="000E72E7" w:rsidP="00E02F88" w:rsidRDefault="000E72E7">
            <w:pPr>
              <w:pStyle w:val="FootnoteText"/>
              <w:jc w:val="right"/>
              <w:rPr>
                <w:rFonts w:ascii="Times New Roman" w:hAnsi="Times New Roman"/>
              </w:rPr>
            </w:pPr>
            <w:r>
              <w:rPr>
                <w:rFonts w:ascii="Times New Roman" w:hAnsi="Times New Roman"/>
              </w:rPr>
              <w:t>50</w:t>
            </w:r>
          </w:p>
        </w:tc>
        <w:tc>
          <w:tcPr>
            <w:tcW w:w="50.85pt" w:type="dxa"/>
            <w:tcBorders>
              <w:top w:val="single" w:color="auto" w:sz="4" w:space="0"/>
              <w:start w:val="single" w:color="auto" w:sz="4" w:space="0"/>
              <w:bottom w:val="single" w:color="auto" w:sz="4" w:space="0"/>
              <w:end w:val="single" w:color="auto" w:sz="4" w:space="0"/>
            </w:tcBorders>
          </w:tcPr>
          <w:p w:rsidR="000E72E7" w:rsidP="00E02F88" w:rsidRDefault="000E72E7">
            <w:pPr>
              <w:jc w:val="right"/>
              <w:rPr>
                <w:rFonts w:ascii="Times New Roman" w:hAnsi="Times New Roman"/>
              </w:rPr>
            </w:pPr>
            <w:r>
              <w:rPr>
                <w:rFonts w:ascii="Times New Roman" w:hAnsi="Times New Roman"/>
              </w:rPr>
              <w:t xml:space="preserve">4 </w:t>
            </w:r>
          </w:p>
        </w:tc>
        <w:tc>
          <w:tcPr>
            <w:tcW w:w="54.15pt" w:type="dxa"/>
            <w:tcBorders>
              <w:top w:val="single" w:color="auto" w:sz="4" w:space="0"/>
              <w:start w:val="single" w:color="auto" w:sz="4" w:space="0"/>
              <w:bottom w:val="single" w:color="auto" w:sz="4" w:space="0"/>
              <w:end w:val="single" w:color="auto" w:sz="4" w:space="0"/>
            </w:tcBorders>
          </w:tcPr>
          <w:p w:rsidRPr="000E72E7" w:rsidR="000E72E7" w:rsidP="00E02F88" w:rsidRDefault="000E72E7">
            <w:pPr>
              <w:jc w:val="right"/>
              <w:rPr>
                <w:rFonts w:ascii="Times New Roman" w:hAnsi="Times New Roman"/>
              </w:rPr>
            </w:pPr>
            <w:r w:rsidRPr="000E72E7">
              <w:rPr>
                <w:rFonts w:ascii="Times New Roman" w:hAnsi="Times New Roman"/>
              </w:rPr>
              <w:t xml:space="preserve">200 </w:t>
            </w:r>
          </w:p>
        </w:tc>
      </w:tr>
      <w:tr w:rsidR="000E72E7" w:rsidTr="00E02F88">
        <w:tc>
          <w:tcPr>
            <w:tcW w:w="90pt" w:type="dxa"/>
            <w:tcBorders>
              <w:top w:val="single" w:color="auto" w:sz="4" w:space="0"/>
              <w:start w:val="single" w:color="auto" w:sz="4" w:space="0"/>
              <w:bottom w:val="single" w:color="auto" w:sz="4" w:space="0"/>
              <w:end w:val="single" w:color="auto" w:sz="4" w:space="0"/>
            </w:tcBorders>
          </w:tcPr>
          <w:p w:rsidR="000E72E7" w:rsidP="00E02F88" w:rsidRDefault="000E72E7">
            <w:pPr>
              <w:rPr>
                <w:rFonts w:ascii="Times New Roman" w:hAnsi="Times New Roman"/>
              </w:rPr>
            </w:pPr>
            <w:r>
              <w:rPr>
                <w:rFonts w:ascii="Times New Roman" w:hAnsi="Times New Roman"/>
              </w:rPr>
              <w:t>12 CFR 7.2016</w:t>
            </w:r>
          </w:p>
          <w:p w:rsidR="000E72E7" w:rsidP="00E02F88" w:rsidRDefault="000E72E7">
            <w:pPr>
              <w:rPr>
                <w:rFonts w:ascii="Times New Roman" w:hAnsi="Times New Roman"/>
              </w:rPr>
            </w:pPr>
            <w:r>
              <w:rPr>
                <w:rFonts w:ascii="Times New Roman" w:hAnsi="Times New Roman"/>
              </w:rPr>
              <w:t>Recordkeeping</w:t>
            </w:r>
          </w:p>
        </w:tc>
        <w:tc>
          <w:tcPr>
            <w:tcW w:w="261pt" w:type="dxa"/>
            <w:tcBorders>
              <w:top w:val="single" w:color="auto" w:sz="4" w:space="0"/>
              <w:start w:val="single" w:color="auto" w:sz="4" w:space="0"/>
              <w:bottom w:val="single" w:color="auto" w:sz="4" w:space="0"/>
              <w:end w:val="single" w:color="auto" w:sz="4" w:space="0"/>
            </w:tcBorders>
          </w:tcPr>
          <w:p w:rsidRPr="00402085" w:rsidR="000E72E7" w:rsidP="00E02F88" w:rsidRDefault="000E72E7">
            <w:pPr>
              <w:rPr>
                <w:rFonts w:ascii="Times New Roman" w:hAnsi="Times New Roman"/>
                <w:bCs/>
                <w:iCs/>
              </w:rPr>
            </w:pPr>
            <w:r>
              <w:rPr>
                <w:rFonts w:ascii="Times New Roman" w:hAnsi="Times New Roman"/>
                <w:b/>
                <w:bCs/>
                <w:i/>
                <w:iCs/>
              </w:rPr>
              <w:t xml:space="preserve">Issuing Stock in Certificate Form – </w:t>
            </w:r>
            <w:r>
              <w:rPr>
                <w:rFonts w:ascii="Times New Roman" w:hAnsi="Times New Roman"/>
                <w:bCs/>
                <w:iCs/>
              </w:rPr>
              <w:t>National banks must include certain information, signatures and seal.</w:t>
            </w:r>
          </w:p>
        </w:tc>
        <w:tc>
          <w:tcPr>
            <w:tcW w:w="66pt" w:type="dxa"/>
            <w:tcBorders>
              <w:top w:val="single" w:color="auto" w:sz="4" w:space="0"/>
              <w:start w:val="single" w:color="auto" w:sz="4" w:space="0"/>
              <w:bottom w:val="single" w:color="auto" w:sz="4" w:space="0"/>
              <w:end w:val="single" w:color="auto" w:sz="4" w:space="0"/>
            </w:tcBorders>
          </w:tcPr>
          <w:p w:rsidR="000E72E7" w:rsidP="00E02F88" w:rsidRDefault="000E72E7">
            <w:pPr>
              <w:pStyle w:val="FootnoteText"/>
              <w:jc w:val="right"/>
              <w:rPr>
                <w:rFonts w:ascii="Times New Roman" w:hAnsi="Times New Roman"/>
              </w:rPr>
            </w:pPr>
            <w:r>
              <w:rPr>
                <w:rFonts w:ascii="Times New Roman" w:hAnsi="Times New Roman"/>
              </w:rPr>
              <w:t>10</w:t>
            </w:r>
          </w:p>
        </w:tc>
        <w:tc>
          <w:tcPr>
            <w:tcW w:w="50.85pt" w:type="dxa"/>
            <w:tcBorders>
              <w:top w:val="single" w:color="auto" w:sz="4" w:space="0"/>
              <w:start w:val="single" w:color="auto" w:sz="4" w:space="0"/>
              <w:bottom w:val="single" w:color="auto" w:sz="4" w:space="0"/>
              <w:end w:val="single" w:color="auto" w:sz="4" w:space="0"/>
            </w:tcBorders>
          </w:tcPr>
          <w:p w:rsidR="000E72E7" w:rsidP="00E02F88" w:rsidRDefault="000E72E7">
            <w:pPr>
              <w:jc w:val="right"/>
              <w:rPr>
                <w:rFonts w:ascii="Times New Roman" w:hAnsi="Times New Roman"/>
              </w:rPr>
            </w:pPr>
            <w:r>
              <w:rPr>
                <w:rFonts w:ascii="Times New Roman" w:hAnsi="Times New Roman"/>
              </w:rPr>
              <w:t xml:space="preserve">2.5 </w:t>
            </w:r>
          </w:p>
        </w:tc>
        <w:tc>
          <w:tcPr>
            <w:tcW w:w="54.15pt" w:type="dxa"/>
            <w:tcBorders>
              <w:top w:val="single" w:color="auto" w:sz="4" w:space="0"/>
              <w:start w:val="single" w:color="auto" w:sz="4" w:space="0"/>
              <w:bottom w:val="single" w:color="auto" w:sz="4" w:space="0"/>
              <w:end w:val="single" w:color="auto" w:sz="4" w:space="0"/>
            </w:tcBorders>
          </w:tcPr>
          <w:p w:rsidR="000E72E7" w:rsidP="00E02F88" w:rsidRDefault="000E72E7">
            <w:pPr>
              <w:jc w:val="right"/>
              <w:rPr>
                <w:rFonts w:ascii="Times New Roman" w:hAnsi="Times New Roman"/>
              </w:rPr>
            </w:pPr>
            <w:r>
              <w:rPr>
                <w:rFonts w:ascii="Times New Roman" w:hAnsi="Times New Roman"/>
              </w:rPr>
              <w:t xml:space="preserve">25 </w:t>
            </w:r>
          </w:p>
        </w:tc>
      </w:tr>
      <w:tr w:rsidR="000E72E7" w:rsidTr="00E02F88">
        <w:tc>
          <w:tcPr>
            <w:tcW w:w="90pt" w:type="dxa"/>
            <w:tcBorders>
              <w:top w:val="single" w:color="auto" w:sz="4" w:space="0"/>
              <w:start w:val="single" w:color="auto" w:sz="4" w:space="0"/>
              <w:bottom w:val="single" w:color="auto" w:sz="4" w:space="0"/>
              <w:end w:val="single" w:color="auto" w:sz="4" w:space="0"/>
            </w:tcBorders>
            <w:hideMark/>
          </w:tcPr>
          <w:p w:rsidR="000E72E7" w:rsidP="00E02F88" w:rsidRDefault="000E72E7">
            <w:pPr>
              <w:rPr>
                <w:rFonts w:ascii="Times New Roman" w:hAnsi="Times New Roman"/>
              </w:rPr>
            </w:pPr>
            <w:r>
              <w:rPr>
                <w:rFonts w:ascii="Times New Roman" w:hAnsi="Times New Roman"/>
              </w:rPr>
              <w:t>12 CFR 7.2024(a)</w:t>
            </w:r>
          </w:p>
          <w:p w:rsidR="000E72E7" w:rsidP="00E02F88" w:rsidRDefault="000E72E7">
            <w:pPr>
              <w:rPr>
                <w:rFonts w:ascii="Times New Roman" w:hAnsi="Times New Roman"/>
              </w:rPr>
            </w:pPr>
            <w:r>
              <w:rPr>
                <w:rFonts w:ascii="Times New Roman" w:hAnsi="Times New Roman"/>
              </w:rPr>
              <w:t>Reporting</w:t>
            </w:r>
          </w:p>
        </w:tc>
        <w:tc>
          <w:tcPr>
            <w:tcW w:w="261pt" w:type="dxa"/>
            <w:tcBorders>
              <w:top w:val="single" w:color="auto" w:sz="4" w:space="0"/>
              <w:start w:val="single" w:color="auto" w:sz="4" w:space="0"/>
              <w:bottom w:val="single" w:color="auto" w:sz="4" w:space="0"/>
              <w:end w:val="single" w:color="auto" w:sz="4" w:space="0"/>
            </w:tcBorders>
            <w:hideMark/>
          </w:tcPr>
          <w:p w:rsidR="000E72E7" w:rsidP="00E02F88" w:rsidRDefault="000E72E7">
            <w:pPr>
              <w:rPr>
                <w:rFonts w:ascii="Times New Roman" w:hAnsi="Times New Roman"/>
              </w:rPr>
            </w:pPr>
            <w:r>
              <w:rPr>
                <w:rFonts w:ascii="Times New Roman" w:hAnsi="Times New Roman"/>
                <w:b/>
                <w:bCs/>
                <w:i/>
                <w:iCs/>
              </w:rPr>
              <w:t xml:space="preserve">Staggered terms for national bank directors – </w:t>
            </w:r>
            <w:r>
              <w:rPr>
                <w:rFonts w:ascii="Times New Roman" w:hAnsi="Times New Roman"/>
              </w:rPr>
              <w:t>Any national bank may adopt bylaws that provide for staggering the terms of its directors.  National banks shall provide the OCC with copies of any bylaws so amended.</w:t>
            </w:r>
            <w:r>
              <w:rPr>
                <w:rFonts w:ascii="Times New Roman" w:hAnsi="Times New Roman"/>
                <w:b/>
                <w:bCs/>
                <w:i/>
                <w:iCs/>
              </w:rPr>
              <w:t xml:space="preserve"> </w:t>
            </w:r>
          </w:p>
        </w:tc>
        <w:tc>
          <w:tcPr>
            <w:tcW w:w="66pt" w:type="dxa"/>
            <w:tcBorders>
              <w:top w:val="single" w:color="auto" w:sz="4" w:space="0"/>
              <w:start w:val="single" w:color="auto" w:sz="4" w:space="0"/>
              <w:bottom w:val="single" w:color="auto" w:sz="4" w:space="0"/>
              <w:end w:val="single" w:color="auto" w:sz="4" w:space="0"/>
            </w:tcBorders>
            <w:hideMark/>
          </w:tcPr>
          <w:p w:rsidRPr="000E72E7" w:rsidR="000E72E7" w:rsidP="00E02F88" w:rsidRDefault="000E72E7">
            <w:pPr>
              <w:pStyle w:val="FootnoteText"/>
              <w:jc w:val="right"/>
              <w:rPr>
                <w:rFonts w:ascii="Times New Roman" w:hAnsi="Times New Roman"/>
              </w:rPr>
            </w:pPr>
            <w:r w:rsidRPr="000E72E7">
              <w:rPr>
                <w:rFonts w:ascii="Times New Roman" w:hAnsi="Times New Roman"/>
              </w:rPr>
              <w:t>10</w:t>
            </w:r>
          </w:p>
        </w:tc>
        <w:tc>
          <w:tcPr>
            <w:tcW w:w="50.85pt" w:type="dxa"/>
            <w:tcBorders>
              <w:top w:val="single" w:color="auto" w:sz="4" w:space="0"/>
              <w:start w:val="single" w:color="auto" w:sz="4" w:space="0"/>
              <w:bottom w:val="single" w:color="auto" w:sz="4" w:space="0"/>
              <w:end w:val="single" w:color="auto" w:sz="4" w:space="0"/>
            </w:tcBorders>
            <w:hideMark/>
          </w:tcPr>
          <w:p w:rsidRPr="000E72E7" w:rsidR="000E72E7" w:rsidP="00E02F88" w:rsidRDefault="000E72E7">
            <w:pPr>
              <w:jc w:val="right"/>
              <w:rPr>
                <w:rFonts w:ascii="Times New Roman" w:hAnsi="Times New Roman"/>
              </w:rPr>
            </w:pPr>
            <w:r w:rsidRPr="000E72E7">
              <w:rPr>
                <w:rFonts w:ascii="Times New Roman" w:hAnsi="Times New Roman"/>
              </w:rPr>
              <w:t xml:space="preserve">0.5 </w:t>
            </w:r>
          </w:p>
        </w:tc>
        <w:tc>
          <w:tcPr>
            <w:tcW w:w="54.15pt" w:type="dxa"/>
            <w:tcBorders>
              <w:top w:val="single" w:color="auto" w:sz="4" w:space="0"/>
              <w:start w:val="single" w:color="auto" w:sz="4" w:space="0"/>
              <w:bottom w:val="single" w:color="auto" w:sz="4" w:space="0"/>
              <w:end w:val="single" w:color="auto" w:sz="4" w:space="0"/>
            </w:tcBorders>
            <w:hideMark/>
          </w:tcPr>
          <w:p w:rsidRPr="000E72E7" w:rsidR="000E72E7" w:rsidP="00E02F88" w:rsidRDefault="000E72E7">
            <w:pPr>
              <w:jc w:val="right"/>
              <w:rPr>
                <w:rFonts w:ascii="Times New Roman" w:hAnsi="Times New Roman"/>
              </w:rPr>
            </w:pPr>
            <w:r w:rsidRPr="000E72E7">
              <w:rPr>
                <w:rFonts w:ascii="Times New Roman" w:hAnsi="Times New Roman"/>
              </w:rPr>
              <w:t xml:space="preserve">5 </w:t>
            </w:r>
          </w:p>
        </w:tc>
      </w:tr>
      <w:tr w:rsidR="000E72E7" w:rsidTr="00E02F88">
        <w:tc>
          <w:tcPr>
            <w:tcW w:w="90pt" w:type="dxa"/>
            <w:tcBorders>
              <w:top w:val="single" w:color="auto" w:sz="4" w:space="0"/>
              <w:start w:val="single" w:color="auto" w:sz="4" w:space="0"/>
              <w:bottom w:val="single" w:color="auto" w:sz="4" w:space="0"/>
              <w:end w:val="single" w:color="auto" w:sz="4" w:space="0"/>
            </w:tcBorders>
            <w:hideMark/>
          </w:tcPr>
          <w:p w:rsidR="000E72E7" w:rsidP="00E02F88" w:rsidRDefault="000E72E7">
            <w:pPr>
              <w:rPr>
                <w:rFonts w:ascii="Times New Roman" w:hAnsi="Times New Roman"/>
              </w:rPr>
            </w:pPr>
            <w:r>
              <w:rPr>
                <w:rFonts w:ascii="Times New Roman" w:hAnsi="Times New Roman"/>
              </w:rPr>
              <w:t>12 CFR 7.2024(c)</w:t>
            </w:r>
          </w:p>
          <w:p w:rsidR="000E72E7" w:rsidP="00E02F88" w:rsidRDefault="000E72E7">
            <w:pPr>
              <w:rPr>
                <w:rFonts w:ascii="Times New Roman" w:hAnsi="Times New Roman"/>
              </w:rPr>
            </w:pPr>
            <w:r>
              <w:rPr>
                <w:rFonts w:ascii="Times New Roman" w:hAnsi="Times New Roman"/>
              </w:rPr>
              <w:t>Reporting</w:t>
            </w:r>
          </w:p>
        </w:tc>
        <w:tc>
          <w:tcPr>
            <w:tcW w:w="261pt" w:type="dxa"/>
            <w:tcBorders>
              <w:top w:val="single" w:color="auto" w:sz="4" w:space="0"/>
              <w:start w:val="single" w:color="auto" w:sz="4" w:space="0"/>
              <w:bottom w:val="single" w:color="auto" w:sz="4" w:space="0"/>
              <w:end w:val="single" w:color="auto" w:sz="4" w:space="0"/>
            </w:tcBorders>
            <w:hideMark/>
          </w:tcPr>
          <w:p w:rsidR="000E72E7" w:rsidP="00E02F88" w:rsidRDefault="000E72E7">
            <w:pPr>
              <w:pStyle w:val="Heading7"/>
              <w:rPr>
                <w:b w:val="0"/>
                <w:bCs w:val="0"/>
                <w:i w:val="0"/>
                <w:iCs w:val="0"/>
              </w:rPr>
            </w:pPr>
            <w:r>
              <w:t xml:space="preserve">Size of bank board – </w:t>
            </w:r>
            <w:r>
              <w:rPr>
                <w:b w:val="0"/>
                <w:bCs w:val="0"/>
                <w:i w:val="0"/>
                <w:iCs w:val="0"/>
              </w:rPr>
              <w:t>A national bank seeking to increase the number of its directors must notify the OCC any time the proposed size would exceed 25 directors.</w:t>
            </w:r>
          </w:p>
        </w:tc>
        <w:tc>
          <w:tcPr>
            <w:tcW w:w="66pt" w:type="dxa"/>
            <w:tcBorders>
              <w:top w:val="single" w:color="auto" w:sz="4" w:space="0"/>
              <w:start w:val="single" w:color="auto" w:sz="4" w:space="0"/>
              <w:bottom w:val="single" w:color="auto" w:sz="4" w:space="0"/>
              <w:end w:val="single" w:color="auto" w:sz="4" w:space="0"/>
            </w:tcBorders>
            <w:hideMark/>
          </w:tcPr>
          <w:p w:rsidRPr="000E72E7" w:rsidR="000E72E7" w:rsidP="00E02F88" w:rsidRDefault="000E72E7">
            <w:pPr>
              <w:pStyle w:val="FootnoteText"/>
              <w:jc w:val="right"/>
              <w:rPr>
                <w:rFonts w:ascii="Times New Roman" w:hAnsi="Times New Roman"/>
              </w:rPr>
            </w:pPr>
            <w:r w:rsidRPr="000E72E7">
              <w:rPr>
                <w:rFonts w:ascii="Times New Roman" w:hAnsi="Times New Roman"/>
              </w:rPr>
              <w:t>10</w:t>
            </w:r>
          </w:p>
        </w:tc>
        <w:tc>
          <w:tcPr>
            <w:tcW w:w="50.85pt" w:type="dxa"/>
            <w:tcBorders>
              <w:top w:val="single" w:color="auto" w:sz="4" w:space="0"/>
              <w:start w:val="single" w:color="auto" w:sz="4" w:space="0"/>
              <w:bottom w:val="single" w:color="auto" w:sz="4" w:space="0"/>
              <w:end w:val="single" w:color="auto" w:sz="4" w:space="0"/>
            </w:tcBorders>
            <w:hideMark/>
          </w:tcPr>
          <w:p w:rsidRPr="000E72E7" w:rsidR="000E72E7" w:rsidP="00E02F88" w:rsidRDefault="000E72E7">
            <w:pPr>
              <w:jc w:val="right"/>
              <w:rPr>
                <w:rFonts w:ascii="Times New Roman" w:hAnsi="Times New Roman"/>
              </w:rPr>
            </w:pPr>
            <w:r w:rsidRPr="000E72E7">
              <w:rPr>
                <w:rFonts w:ascii="Times New Roman" w:hAnsi="Times New Roman"/>
              </w:rPr>
              <w:t xml:space="preserve">0.5 </w:t>
            </w:r>
          </w:p>
        </w:tc>
        <w:tc>
          <w:tcPr>
            <w:tcW w:w="54.15pt" w:type="dxa"/>
            <w:tcBorders>
              <w:top w:val="single" w:color="auto" w:sz="4" w:space="0"/>
              <w:start w:val="single" w:color="auto" w:sz="4" w:space="0"/>
              <w:bottom w:val="single" w:color="auto" w:sz="4" w:space="0"/>
              <w:end w:val="single" w:color="auto" w:sz="4" w:space="0"/>
            </w:tcBorders>
            <w:hideMark/>
          </w:tcPr>
          <w:p w:rsidRPr="000E72E7" w:rsidR="000E72E7" w:rsidP="00E02F88" w:rsidRDefault="000E72E7">
            <w:pPr>
              <w:jc w:val="right"/>
              <w:rPr>
                <w:rFonts w:ascii="Times New Roman" w:hAnsi="Times New Roman"/>
              </w:rPr>
            </w:pPr>
            <w:r w:rsidRPr="000E72E7">
              <w:rPr>
                <w:rFonts w:ascii="Times New Roman" w:hAnsi="Times New Roman"/>
              </w:rPr>
              <w:t xml:space="preserve">5 </w:t>
            </w:r>
          </w:p>
        </w:tc>
      </w:tr>
      <w:tr w:rsidR="000E72E7" w:rsidTr="00E02F88">
        <w:tc>
          <w:tcPr>
            <w:tcW w:w="90pt" w:type="dxa"/>
            <w:tcBorders>
              <w:top w:val="single" w:color="auto" w:sz="4" w:space="0"/>
              <w:start w:val="single" w:color="auto" w:sz="4" w:space="0"/>
              <w:bottom w:val="single" w:color="auto" w:sz="4" w:space="0"/>
              <w:end w:val="single" w:color="auto" w:sz="4" w:space="0"/>
            </w:tcBorders>
          </w:tcPr>
          <w:p w:rsidR="000E72E7" w:rsidP="00E02F88" w:rsidRDefault="000E72E7">
            <w:pPr>
              <w:rPr>
                <w:rFonts w:ascii="Times New Roman" w:hAnsi="Times New Roman"/>
                <w:b/>
              </w:rPr>
            </w:pPr>
            <w:r w:rsidRPr="00547C19">
              <w:rPr>
                <w:rFonts w:ascii="Times New Roman" w:hAnsi="Times New Roman"/>
                <w:b/>
              </w:rPr>
              <w:t>Total for Rule</w:t>
            </w:r>
          </w:p>
          <w:p w:rsidRPr="00547C19" w:rsidR="000E72E7" w:rsidP="00E02F88" w:rsidRDefault="000E72E7">
            <w:pPr>
              <w:rPr>
                <w:rFonts w:ascii="Times New Roman" w:hAnsi="Times New Roman"/>
                <w:b/>
              </w:rPr>
            </w:pPr>
          </w:p>
        </w:tc>
        <w:tc>
          <w:tcPr>
            <w:tcW w:w="261pt" w:type="dxa"/>
            <w:tcBorders>
              <w:top w:val="single" w:color="auto" w:sz="4" w:space="0"/>
              <w:start w:val="single" w:color="auto" w:sz="4" w:space="0"/>
              <w:bottom w:val="single" w:color="auto" w:sz="4" w:space="0"/>
              <w:end w:val="single" w:color="auto" w:sz="4" w:space="0"/>
            </w:tcBorders>
          </w:tcPr>
          <w:p w:rsidR="000E72E7" w:rsidP="00E02F88" w:rsidRDefault="000E72E7">
            <w:pPr>
              <w:rPr>
                <w:rFonts w:ascii="Times New Roman" w:hAnsi="Times New Roman"/>
              </w:rPr>
            </w:pPr>
          </w:p>
        </w:tc>
        <w:tc>
          <w:tcPr>
            <w:tcW w:w="66pt" w:type="dxa"/>
            <w:tcBorders>
              <w:top w:val="single" w:color="auto" w:sz="4" w:space="0"/>
              <w:start w:val="single" w:color="auto" w:sz="4" w:space="0"/>
              <w:bottom w:val="single" w:color="auto" w:sz="4" w:space="0"/>
              <w:end w:val="single" w:color="auto" w:sz="4" w:space="0"/>
            </w:tcBorders>
          </w:tcPr>
          <w:p w:rsidRPr="000E72E7" w:rsidR="000E72E7" w:rsidP="00E02F88" w:rsidRDefault="000E72E7">
            <w:pPr>
              <w:jc w:val="right"/>
              <w:rPr>
                <w:rFonts w:ascii="Times New Roman" w:hAnsi="Times New Roman"/>
                <w:b/>
              </w:rPr>
            </w:pPr>
            <w:r w:rsidRPr="000E72E7">
              <w:rPr>
                <w:rFonts w:ascii="Times New Roman" w:hAnsi="Times New Roman"/>
                <w:b/>
              </w:rPr>
              <w:t>650</w:t>
            </w:r>
          </w:p>
        </w:tc>
        <w:tc>
          <w:tcPr>
            <w:tcW w:w="50.85pt" w:type="dxa"/>
            <w:tcBorders>
              <w:top w:val="single" w:color="auto" w:sz="4" w:space="0"/>
              <w:start w:val="single" w:color="auto" w:sz="4" w:space="0"/>
              <w:bottom w:val="single" w:color="auto" w:sz="4" w:space="0"/>
              <w:end w:val="single" w:color="auto" w:sz="4" w:space="0"/>
            </w:tcBorders>
          </w:tcPr>
          <w:p w:rsidRPr="000E72E7" w:rsidR="000E72E7" w:rsidP="00E02F88" w:rsidRDefault="000E72E7">
            <w:pPr>
              <w:rPr>
                <w:rFonts w:ascii="Times New Roman" w:hAnsi="Times New Roman"/>
              </w:rPr>
            </w:pPr>
          </w:p>
        </w:tc>
        <w:tc>
          <w:tcPr>
            <w:tcW w:w="54.15pt" w:type="dxa"/>
            <w:tcBorders>
              <w:top w:val="single" w:color="auto" w:sz="4" w:space="0"/>
              <w:start w:val="single" w:color="auto" w:sz="4" w:space="0"/>
              <w:bottom w:val="single" w:color="auto" w:sz="4" w:space="0"/>
              <w:end w:val="single" w:color="auto" w:sz="4" w:space="0"/>
            </w:tcBorders>
          </w:tcPr>
          <w:p w:rsidRPr="000E72E7" w:rsidR="000E72E7" w:rsidP="00E02F88" w:rsidRDefault="000E72E7">
            <w:pPr>
              <w:jc w:val="right"/>
              <w:rPr>
                <w:rFonts w:ascii="Times New Roman" w:hAnsi="Times New Roman"/>
                <w:b/>
              </w:rPr>
            </w:pPr>
            <w:r w:rsidRPr="000E72E7">
              <w:rPr>
                <w:rFonts w:ascii="Times New Roman" w:hAnsi="Times New Roman"/>
                <w:b/>
              </w:rPr>
              <w:t>1,650</w:t>
            </w:r>
          </w:p>
        </w:tc>
      </w:tr>
      <w:tr w:rsidR="000E72E7" w:rsidTr="00E02F88">
        <w:tc>
          <w:tcPr>
            <w:tcW w:w="90pt" w:type="dxa"/>
            <w:tcBorders>
              <w:top w:val="single" w:color="auto" w:sz="4" w:space="0"/>
              <w:start w:val="single" w:color="auto" w:sz="4" w:space="0"/>
              <w:bottom w:val="single" w:color="auto" w:sz="4" w:space="0"/>
              <w:end w:val="single" w:color="auto" w:sz="4" w:space="0"/>
            </w:tcBorders>
            <w:hideMark/>
          </w:tcPr>
          <w:p w:rsidR="000E72E7" w:rsidP="00E02F88" w:rsidRDefault="000E72E7">
            <w:pPr>
              <w:rPr>
                <w:rFonts w:ascii="Times New Roman" w:hAnsi="Times New Roman"/>
                <w:b/>
                <w:bCs/>
              </w:rPr>
            </w:pPr>
            <w:r>
              <w:rPr>
                <w:rFonts w:ascii="Times New Roman" w:hAnsi="Times New Roman"/>
                <w:b/>
                <w:bCs/>
              </w:rPr>
              <w:t>Total for Collection</w:t>
            </w:r>
          </w:p>
        </w:tc>
        <w:tc>
          <w:tcPr>
            <w:tcW w:w="261pt" w:type="dxa"/>
            <w:tcBorders>
              <w:top w:val="single" w:color="auto" w:sz="4" w:space="0"/>
              <w:start w:val="single" w:color="auto" w:sz="4" w:space="0"/>
              <w:bottom w:val="single" w:color="auto" w:sz="4" w:space="0"/>
              <w:end w:val="single" w:color="auto" w:sz="4" w:space="0"/>
            </w:tcBorders>
          </w:tcPr>
          <w:p w:rsidR="000E72E7" w:rsidP="00E02F88" w:rsidRDefault="000E72E7">
            <w:pPr>
              <w:rPr>
                <w:rFonts w:ascii="Times New Roman" w:hAnsi="Times New Roman"/>
                <w:b/>
                <w:bCs/>
              </w:rPr>
            </w:pPr>
          </w:p>
        </w:tc>
        <w:tc>
          <w:tcPr>
            <w:tcW w:w="66pt" w:type="dxa"/>
            <w:tcBorders>
              <w:top w:val="single" w:color="auto" w:sz="4" w:space="0"/>
              <w:start w:val="single" w:color="auto" w:sz="4" w:space="0"/>
              <w:bottom w:val="single" w:color="auto" w:sz="4" w:space="0"/>
              <w:end w:val="single" w:color="auto" w:sz="4" w:space="0"/>
            </w:tcBorders>
          </w:tcPr>
          <w:p w:rsidR="000E72E7" w:rsidP="00E02F88" w:rsidRDefault="000E72E7">
            <w:pPr>
              <w:jc w:val="right"/>
              <w:rPr>
                <w:rFonts w:ascii="Times New Roman" w:hAnsi="Times New Roman"/>
                <w:b/>
                <w:bCs/>
              </w:rPr>
            </w:pPr>
          </w:p>
        </w:tc>
        <w:tc>
          <w:tcPr>
            <w:tcW w:w="50.85pt" w:type="dxa"/>
            <w:tcBorders>
              <w:top w:val="single" w:color="auto" w:sz="4" w:space="0"/>
              <w:start w:val="single" w:color="auto" w:sz="4" w:space="0"/>
              <w:bottom w:val="single" w:color="auto" w:sz="4" w:space="0"/>
              <w:end w:val="single" w:color="auto" w:sz="4" w:space="0"/>
            </w:tcBorders>
          </w:tcPr>
          <w:p w:rsidR="000E72E7" w:rsidP="00E02F88" w:rsidRDefault="000E72E7">
            <w:pPr>
              <w:jc w:val="right"/>
              <w:rPr>
                <w:rFonts w:ascii="Times New Roman" w:hAnsi="Times New Roman"/>
                <w:b/>
                <w:bCs/>
              </w:rPr>
            </w:pPr>
          </w:p>
        </w:tc>
        <w:tc>
          <w:tcPr>
            <w:tcW w:w="54.15pt" w:type="dxa"/>
            <w:tcBorders>
              <w:top w:val="single" w:color="auto" w:sz="4" w:space="0"/>
              <w:start w:val="single" w:color="auto" w:sz="4" w:space="0"/>
              <w:bottom w:val="single" w:color="auto" w:sz="4" w:space="0"/>
              <w:end w:val="single" w:color="auto" w:sz="4" w:space="0"/>
            </w:tcBorders>
          </w:tcPr>
          <w:p w:rsidR="000E72E7" w:rsidP="00E02F88" w:rsidRDefault="000E72E7">
            <w:pPr>
              <w:jc w:val="right"/>
              <w:rPr>
                <w:rFonts w:ascii="Times New Roman" w:hAnsi="Times New Roman"/>
                <w:b/>
                <w:bCs/>
              </w:rPr>
            </w:pPr>
            <w:r>
              <w:rPr>
                <w:rFonts w:ascii="Times New Roman" w:hAnsi="Times New Roman"/>
                <w:b/>
                <w:bCs/>
              </w:rPr>
              <w:t>2,211</w:t>
            </w:r>
          </w:p>
        </w:tc>
      </w:tr>
    </w:tbl>
    <w:p w:rsidR="000E72E7" w:rsidP="000E72E7" w:rsidRDefault="000E72E7"/>
    <w:p w:rsidR="0029077F" w:rsidRDefault="0029077F">
      <w:pPr>
        <w:rPr>
          <w:rFonts w:ascii="Times New Roman" w:hAnsi="Times New Roman"/>
          <w:b/>
          <w:bCs/>
          <w:sz w:val="24"/>
        </w:rPr>
      </w:pPr>
    </w:p>
    <w:p w:rsidR="0029077F" w:rsidRDefault="0029077F">
      <w:pPr>
        <w:rPr>
          <w:rFonts w:ascii="Times New Roman" w:hAnsi="Times New Roman"/>
          <w:b/>
          <w:bCs/>
          <w:sz w:val="24"/>
        </w:rPr>
      </w:pPr>
    </w:p>
    <w:p w:rsidR="00260326" w:rsidRDefault="00260326">
      <w:pPr>
        <w:rPr>
          <w:rFonts w:ascii="Times New Roman" w:hAnsi="Times New Roman"/>
          <w:b/>
          <w:bCs/>
          <w:sz w:val="24"/>
        </w:rPr>
      </w:pPr>
    </w:p>
    <w:p w:rsidR="003A78D9" w:rsidRDefault="003A78D9">
      <w:pPr>
        <w:rPr>
          <w:rFonts w:ascii="Times New Roman" w:hAnsi="Times New Roman"/>
          <w:b/>
          <w:bCs/>
          <w:sz w:val="24"/>
        </w:rPr>
      </w:pPr>
      <w:r>
        <w:rPr>
          <w:rFonts w:ascii="Times New Roman" w:hAnsi="Times New Roman"/>
          <w:b/>
          <w:bCs/>
          <w:sz w:val="24"/>
        </w:rPr>
        <w:lastRenderedPageBreak/>
        <w:t>Cost of Hour Burden to Respondents:</w:t>
      </w:r>
    </w:p>
    <w:p w:rsidR="009C7258" w:rsidRDefault="009C7258">
      <w:pPr>
        <w:rPr>
          <w:rFonts w:ascii="Times New Roman" w:hAnsi="Times New Roman"/>
          <w:b/>
          <w:bCs/>
          <w:sz w:val="24"/>
        </w:rPr>
      </w:pPr>
    </w:p>
    <w:p w:rsidR="009C7258" w:rsidRDefault="00260326">
      <w:pPr>
        <w:rPr>
          <w:rFonts w:ascii="Times New Roman" w:hAnsi="Times New Roman"/>
          <w:b/>
          <w:bCs/>
          <w:sz w:val="24"/>
        </w:rPr>
      </w:pPr>
      <w:r>
        <w:rPr>
          <w:rFonts w:ascii="Times New Roman" w:hAnsi="Times New Roman"/>
          <w:b/>
          <w:bCs/>
          <w:sz w:val="24"/>
        </w:rPr>
        <w:t>2,211</w:t>
      </w:r>
      <w:r w:rsidR="00BC51E5">
        <w:rPr>
          <w:rFonts w:ascii="Times New Roman" w:hAnsi="Times New Roman"/>
          <w:b/>
          <w:bCs/>
          <w:sz w:val="24"/>
        </w:rPr>
        <w:t xml:space="preserve"> x 114 =</w:t>
      </w:r>
      <w:r w:rsidR="00273A03">
        <w:rPr>
          <w:rFonts w:ascii="Times New Roman" w:hAnsi="Times New Roman"/>
          <w:b/>
          <w:bCs/>
          <w:sz w:val="24"/>
        </w:rPr>
        <w:t xml:space="preserve"> $ </w:t>
      </w:r>
      <w:r>
        <w:rPr>
          <w:rFonts w:ascii="Times New Roman" w:hAnsi="Times New Roman"/>
          <w:b/>
          <w:bCs/>
          <w:sz w:val="24"/>
        </w:rPr>
        <w:t>252,054</w:t>
      </w:r>
    </w:p>
    <w:p w:rsidR="003A78D9" w:rsidRDefault="003A78D9">
      <w:pPr>
        <w:rPr>
          <w:rFonts w:ascii="Times New Roman" w:hAnsi="Times New Roman"/>
          <w:b/>
          <w:bCs/>
          <w:sz w:val="24"/>
        </w:rPr>
      </w:pPr>
    </w:p>
    <w:p w:rsidRPr="0064167F" w:rsidR="00260326" w:rsidP="00260326" w:rsidRDefault="00260326">
      <w:pPr>
        <w:rPr>
          <w:rFonts w:ascii="Times New Roman" w:hAnsi="Times New Roman"/>
          <w:sz w:val="24"/>
          <w:szCs w:val="24"/>
        </w:rPr>
      </w:pPr>
      <w:r w:rsidRPr="0064167F">
        <w:rPr>
          <w:rFonts w:ascii="Times New Roman" w:hAnsi="Times New Roman"/>
          <w:sz w:val="24"/>
          <w:szCs w:val="24"/>
        </w:rPr>
        <w:t xml:space="preserve">To estimate wages </w:t>
      </w:r>
      <w:r>
        <w:rPr>
          <w:rFonts w:ascii="Times New Roman" w:hAnsi="Times New Roman"/>
          <w:sz w:val="24"/>
          <w:szCs w:val="24"/>
        </w:rPr>
        <w:t>the OCC</w:t>
      </w:r>
      <w:r w:rsidRPr="0064167F">
        <w:rPr>
          <w:rFonts w:ascii="Times New Roman" w:hAnsi="Times New Roman"/>
          <w:sz w:val="24"/>
          <w:szCs w:val="24"/>
        </w:rPr>
        <w:t xml:space="preserve"> reviewed May 2018 data for wages (by industry and occupation) from the U.S. Bureau of Labor Statistics (BLS) for credit intermediation and related activities excluding </w:t>
      </w:r>
      <w:proofErr w:type="spellStart"/>
      <w:r w:rsidRPr="0064167F">
        <w:rPr>
          <w:rFonts w:ascii="Times New Roman" w:hAnsi="Times New Roman"/>
          <w:sz w:val="24"/>
          <w:szCs w:val="24"/>
        </w:rPr>
        <w:t>nondepository</w:t>
      </w:r>
      <w:proofErr w:type="spellEnd"/>
      <w:r w:rsidRPr="0064167F">
        <w:rPr>
          <w:rFonts w:ascii="Times New Roman" w:hAnsi="Times New Roman"/>
          <w:sz w:val="24"/>
          <w:szCs w:val="24"/>
        </w:rPr>
        <w:t xml:space="preserve"> credit intermediaries (NAICS 5220A1). </w:t>
      </w:r>
      <w:r>
        <w:rPr>
          <w:rFonts w:ascii="Times New Roman" w:hAnsi="Times New Roman"/>
          <w:sz w:val="24"/>
          <w:szCs w:val="24"/>
        </w:rPr>
        <w:t xml:space="preserve"> </w:t>
      </w:r>
      <w:r w:rsidRPr="0064167F">
        <w:rPr>
          <w:rFonts w:ascii="Times New Roman" w:hAnsi="Times New Roman"/>
          <w:sz w:val="24"/>
          <w:szCs w:val="24"/>
        </w:rPr>
        <w:t xml:space="preserve">To estimate compensation costs associated with the rule, </w:t>
      </w:r>
      <w:r>
        <w:rPr>
          <w:rFonts w:ascii="Times New Roman" w:hAnsi="Times New Roman"/>
          <w:sz w:val="24"/>
          <w:szCs w:val="24"/>
        </w:rPr>
        <w:t>the OCC</w:t>
      </w:r>
      <w:r w:rsidRPr="0064167F">
        <w:rPr>
          <w:rFonts w:ascii="Times New Roman" w:hAnsi="Times New Roman"/>
          <w:sz w:val="24"/>
          <w:szCs w:val="24"/>
        </w:rPr>
        <w:t xml:space="preserve"> </w:t>
      </w:r>
      <w:r w:rsidRPr="002A1E23">
        <w:rPr>
          <w:rFonts w:ascii="Times New Roman" w:hAnsi="Times New Roman"/>
          <w:sz w:val="24"/>
          <w:szCs w:val="24"/>
        </w:rPr>
        <w:t>use</w:t>
      </w:r>
      <w:r>
        <w:rPr>
          <w:rFonts w:ascii="Times New Roman" w:hAnsi="Times New Roman"/>
          <w:sz w:val="24"/>
          <w:szCs w:val="24"/>
        </w:rPr>
        <w:t>s</w:t>
      </w:r>
      <w:r w:rsidRPr="002A1E23">
        <w:rPr>
          <w:rFonts w:ascii="Times New Roman" w:hAnsi="Times New Roman"/>
          <w:sz w:val="24"/>
          <w:szCs w:val="24"/>
        </w:rPr>
        <w:t xml:space="preserve"> </w:t>
      </w:r>
      <w:r w:rsidRPr="002A1E23">
        <w:rPr>
          <w:rFonts w:ascii="Times New Roman" w:hAnsi="Times New Roman"/>
          <w:bCs/>
          <w:sz w:val="24"/>
          <w:szCs w:val="24"/>
        </w:rPr>
        <w:t>$114</w:t>
      </w:r>
      <w:r w:rsidRPr="0064167F">
        <w:rPr>
          <w:rFonts w:ascii="Times New Roman" w:hAnsi="Times New Roman"/>
          <w:sz w:val="24"/>
          <w:szCs w:val="24"/>
        </w:rPr>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rsidR="00E37C7D" w:rsidRDefault="00E37C7D">
      <w:pPr>
        <w:tabs>
          <w:tab w:val="left" w:pos="-72pt"/>
        </w:tabs>
        <w:ind w:start="36pt" w:hanging="36pt"/>
        <w:rPr>
          <w:rFonts w:ascii="Times New Roman" w:hAnsi="Times New Roman"/>
          <w:b/>
          <w:bCs/>
          <w:i/>
          <w:iCs/>
          <w:sz w:val="24"/>
        </w:rPr>
      </w:pPr>
    </w:p>
    <w:p w:rsidR="003A78D9" w:rsidRDefault="003A78D9">
      <w:pPr>
        <w:tabs>
          <w:tab w:val="left" w:pos="-72pt"/>
        </w:tabs>
        <w:ind w:start="36pt" w:hanging="36pt"/>
        <w:rPr>
          <w:rFonts w:ascii="Times New Roman" w:hAnsi="Times New Roman"/>
          <w:b/>
          <w:bCs/>
          <w:i/>
          <w:iCs/>
          <w:sz w:val="24"/>
        </w:rPr>
      </w:pPr>
      <w:r>
        <w:rPr>
          <w:rFonts w:ascii="Times New Roman" w:hAnsi="Times New Roman"/>
          <w:b/>
          <w:bCs/>
          <w:i/>
          <w:iCs/>
          <w:sz w:val="24"/>
        </w:rPr>
        <w:t>13.</w:t>
      </w:r>
      <w:r>
        <w:rPr>
          <w:rFonts w:ascii="Times New Roman" w:hAnsi="Times New Roman"/>
          <w:b/>
          <w:bCs/>
          <w:i/>
          <w:iCs/>
          <w:sz w:val="24"/>
        </w:rPr>
        <w:tab/>
        <w:t>Estimates of annualized costs to respondents:</w:t>
      </w:r>
    </w:p>
    <w:p w:rsidR="003A78D9" w:rsidRDefault="003A78D9">
      <w:pPr>
        <w:tabs>
          <w:tab w:val="left" w:pos="-72pt"/>
        </w:tabs>
        <w:ind w:start="36pt" w:hanging="36pt"/>
        <w:rPr>
          <w:rFonts w:ascii="Times New Roman" w:hAnsi="Times New Roman"/>
          <w:sz w:val="24"/>
        </w:rPr>
      </w:pPr>
    </w:p>
    <w:p w:rsidR="003A78D9" w:rsidRDefault="005F7AB0">
      <w:pPr>
        <w:rPr>
          <w:rFonts w:ascii="Times New Roman" w:hAnsi="Times New Roman"/>
          <w:sz w:val="24"/>
        </w:rPr>
      </w:pPr>
      <w:r>
        <w:rPr>
          <w:rFonts w:ascii="Times New Roman" w:hAnsi="Times New Roman"/>
          <w:sz w:val="24"/>
        </w:rPr>
        <w:t xml:space="preserve">          </w:t>
      </w:r>
      <w:r w:rsidR="003A78D9">
        <w:rPr>
          <w:rFonts w:ascii="Times New Roman" w:hAnsi="Times New Roman"/>
          <w:sz w:val="24"/>
        </w:rPr>
        <w:t>Not applicable.</w:t>
      </w:r>
    </w:p>
    <w:p w:rsidR="003A78D9" w:rsidRDefault="003A78D9">
      <w:pPr>
        <w:rPr>
          <w:rFonts w:ascii="Times New Roman" w:hAnsi="Times New Roman"/>
          <w:sz w:val="24"/>
        </w:rPr>
      </w:pPr>
    </w:p>
    <w:p w:rsidR="003A78D9" w:rsidRDefault="003A78D9">
      <w:pPr>
        <w:rPr>
          <w:rFonts w:ascii="Times New Roman" w:hAnsi="Times New Roman"/>
          <w:b/>
          <w:bCs/>
          <w:i/>
          <w:iCs/>
          <w:sz w:val="24"/>
        </w:rPr>
      </w:pPr>
      <w:r>
        <w:rPr>
          <w:rFonts w:ascii="Times New Roman" w:hAnsi="Times New Roman"/>
          <w:b/>
          <w:bCs/>
          <w:i/>
          <w:iCs/>
          <w:sz w:val="24"/>
        </w:rPr>
        <w:t>14.</w:t>
      </w:r>
      <w:r>
        <w:rPr>
          <w:rFonts w:ascii="Times New Roman" w:hAnsi="Times New Roman"/>
          <w:b/>
          <w:bCs/>
          <w:i/>
          <w:iCs/>
          <w:sz w:val="24"/>
        </w:rPr>
        <w:tab/>
        <w:t xml:space="preserve">Estimates of annualized cost to the Federal </w:t>
      </w:r>
      <w:r w:rsidR="0035183C">
        <w:rPr>
          <w:rFonts w:ascii="Times New Roman" w:hAnsi="Times New Roman"/>
          <w:b/>
          <w:bCs/>
          <w:i/>
          <w:iCs/>
          <w:sz w:val="24"/>
        </w:rPr>
        <w:t>G</w:t>
      </w:r>
      <w:r>
        <w:rPr>
          <w:rFonts w:ascii="Times New Roman" w:hAnsi="Times New Roman"/>
          <w:b/>
          <w:bCs/>
          <w:i/>
          <w:iCs/>
          <w:sz w:val="24"/>
        </w:rPr>
        <w:t>overnment:</w:t>
      </w:r>
    </w:p>
    <w:p w:rsidR="003A78D9" w:rsidRDefault="003A78D9">
      <w:pPr>
        <w:rPr>
          <w:rFonts w:ascii="Times New Roman" w:hAnsi="Times New Roman"/>
          <w:sz w:val="24"/>
        </w:rPr>
      </w:pPr>
    </w:p>
    <w:p w:rsidR="003A78D9" w:rsidRDefault="005F7AB0">
      <w:pPr>
        <w:rPr>
          <w:rFonts w:ascii="Times New Roman" w:hAnsi="Times New Roman"/>
          <w:sz w:val="24"/>
        </w:rPr>
      </w:pPr>
      <w:r>
        <w:rPr>
          <w:rFonts w:ascii="Times New Roman" w:hAnsi="Times New Roman"/>
          <w:sz w:val="24"/>
        </w:rPr>
        <w:t xml:space="preserve">          </w:t>
      </w:r>
      <w:r w:rsidR="003A78D9">
        <w:rPr>
          <w:rFonts w:ascii="Times New Roman" w:hAnsi="Times New Roman"/>
          <w:sz w:val="24"/>
        </w:rPr>
        <w:t>Not applicable.</w:t>
      </w:r>
    </w:p>
    <w:p w:rsidR="003A78D9" w:rsidRDefault="003A78D9">
      <w:pPr>
        <w:rPr>
          <w:rFonts w:ascii="Times New Roman" w:hAnsi="Times New Roman"/>
          <w:sz w:val="24"/>
        </w:rPr>
      </w:pPr>
    </w:p>
    <w:p w:rsidR="003A78D9" w:rsidRDefault="003A78D9">
      <w:pPr>
        <w:rPr>
          <w:rFonts w:ascii="Times New Roman" w:hAnsi="Times New Roman"/>
          <w:b/>
          <w:bCs/>
          <w:i/>
          <w:iCs/>
          <w:sz w:val="24"/>
          <w:u w:val="single"/>
        </w:rPr>
      </w:pPr>
      <w:r>
        <w:rPr>
          <w:rFonts w:ascii="Times New Roman" w:hAnsi="Times New Roman"/>
          <w:b/>
          <w:bCs/>
          <w:i/>
          <w:iCs/>
          <w:sz w:val="24"/>
        </w:rPr>
        <w:t>15.</w:t>
      </w:r>
      <w:r>
        <w:rPr>
          <w:rFonts w:ascii="Times New Roman" w:hAnsi="Times New Roman"/>
          <w:b/>
          <w:bCs/>
          <w:i/>
          <w:iCs/>
          <w:sz w:val="24"/>
        </w:rPr>
        <w:tab/>
        <w:t>Changes in burden:</w:t>
      </w:r>
    </w:p>
    <w:p w:rsidR="003A78D9" w:rsidRDefault="003A78D9">
      <w:pPr>
        <w:rPr>
          <w:rFonts w:ascii="Times New Roman" w:hAnsi="Times New Roman"/>
          <w:sz w:val="24"/>
        </w:rPr>
      </w:pPr>
    </w:p>
    <w:p w:rsidR="003A78D9" w:rsidRDefault="005F7AB0">
      <w:pPr>
        <w:rPr>
          <w:rFonts w:ascii="Times New Roman" w:hAnsi="Times New Roman"/>
          <w:sz w:val="24"/>
        </w:rPr>
      </w:pPr>
      <w:r>
        <w:rPr>
          <w:rFonts w:ascii="Times New Roman" w:hAnsi="Times New Roman"/>
          <w:sz w:val="24"/>
        </w:rPr>
        <w:t xml:space="preserve">          </w:t>
      </w:r>
      <w:r w:rsidR="005A7167">
        <w:rPr>
          <w:rFonts w:ascii="Times New Roman" w:hAnsi="Times New Roman"/>
          <w:sz w:val="24"/>
        </w:rPr>
        <w:t xml:space="preserve">Prior Burden:  </w:t>
      </w:r>
      <w:r w:rsidR="000E72E7">
        <w:rPr>
          <w:rFonts w:ascii="Times New Roman" w:hAnsi="Times New Roman"/>
          <w:sz w:val="24"/>
        </w:rPr>
        <w:t>56</w:t>
      </w:r>
      <w:r w:rsidR="00260326">
        <w:rPr>
          <w:rFonts w:ascii="Times New Roman" w:hAnsi="Times New Roman"/>
          <w:sz w:val="24"/>
        </w:rPr>
        <w:t>1</w:t>
      </w:r>
      <w:r w:rsidR="005A7167">
        <w:rPr>
          <w:rFonts w:ascii="Times New Roman" w:hAnsi="Times New Roman"/>
          <w:sz w:val="24"/>
        </w:rPr>
        <w:t xml:space="preserve"> Hours.</w:t>
      </w:r>
    </w:p>
    <w:p w:rsidR="005A7167" w:rsidRDefault="00FC23C9">
      <w:pPr>
        <w:rPr>
          <w:rFonts w:ascii="Times New Roman" w:hAnsi="Times New Roman"/>
          <w:sz w:val="24"/>
        </w:rPr>
      </w:pPr>
      <w:r>
        <w:rPr>
          <w:rFonts w:ascii="Times New Roman" w:hAnsi="Times New Roman"/>
          <w:sz w:val="24"/>
        </w:rPr>
        <w:t xml:space="preserve">          </w:t>
      </w:r>
      <w:r w:rsidR="009C6A95">
        <w:rPr>
          <w:rFonts w:ascii="Times New Roman" w:hAnsi="Times New Roman"/>
          <w:sz w:val="24"/>
        </w:rPr>
        <w:t xml:space="preserve">Current Burden:  </w:t>
      </w:r>
      <w:r w:rsidR="00260326">
        <w:rPr>
          <w:rFonts w:ascii="Times New Roman" w:hAnsi="Times New Roman"/>
          <w:sz w:val="24"/>
        </w:rPr>
        <w:t xml:space="preserve">2,211 </w:t>
      </w:r>
      <w:r w:rsidR="005A7167">
        <w:rPr>
          <w:rFonts w:ascii="Times New Roman" w:hAnsi="Times New Roman"/>
          <w:sz w:val="24"/>
        </w:rPr>
        <w:t>Hours.</w:t>
      </w:r>
    </w:p>
    <w:p w:rsidR="005A7167" w:rsidRDefault="00FC23C9">
      <w:pPr>
        <w:rPr>
          <w:rFonts w:ascii="Times New Roman" w:hAnsi="Times New Roman"/>
          <w:sz w:val="24"/>
        </w:rPr>
      </w:pPr>
      <w:r>
        <w:rPr>
          <w:rFonts w:ascii="Times New Roman" w:hAnsi="Times New Roman"/>
          <w:sz w:val="24"/>
        </w:rPr>
        <w:t xml:space="preserve">          Difference:  </w:t>
      </w:r>
      <w:r w:rsidR="005A7167">
        <w:rPr>
          <w:rFonts w:ascii="Times New Roman" w:hAnsi="Times New Roman"/>
          <w:sz w:val="24"/>
        </w:rPr>
        <w:t xml:space="preserve"> </w:t>
      </w:r>
      <w:r w:rsidR="00260326">
        <w:rPr>
          <w:rFonts w:ascii="Times New Roman" w:hAnsi="Times New Roman"/>
          <w:sz w:val="24"/>
        </w:rPr>
        <w:t xml:space="preserve">+ 1,650 </w:t>
      </w:r>
      <w:r w:rsidR="005A7167">
        <w:rPr>
          <w:rFonts w:ascii="Times New Roman" w:hAnsi="Times New Roman"/>
          <w:sz w:val="24"/>
        </w:rPr>
        <w:t>Hour</w:t>
      </w:r>
      <w:r>
        <w:rPr>
          <w:rFonts w:ascii="Times New Roman" w:hAnsi="Times New Roman"/>
          <w:sz w:val="24"/>
        </w:rPr>
        <w:t>s</w:t>
      </w:r>
      <w:r w:rsidR="005A7167">
        <w:rPr>
          <w:rFonts w:ascii="Times New Roman" w:hAnsi="Times New Roman"/>
          <w:sz w:val="24"/>
        </w:rPr>
        <w:t>.</w:t>
      </w:r>
    </w:p>
    <w:p w:rsidR="00FC23C9" w:rsidRDefault="00FC23C9">
      <w:pPr>
        <w:rPr>
          <w:rFonts w:ascii="Times New Roman" w:hAnsi="Times New Roman"/>
          <w:sz w:val="24"/>
        </w:rPr>
      </w:pPr>
    </w:p>
    <w:p w:rsidRPr="00E61F52" w:rsidR="005A7167" w:rsidP="005A7167" w:rsidRDefault="005A7167">
      <w:pPr>
        <w:tabs>
          <w:tab w:val="left" w:pos="27pt"/>
          <w:tab w:val="left" w:pos="31.50pt"/>
        </w:tabs>
        <w:rPr>
          <w:rFonts w:ascii="Times New Roman" w:hAnsi="Times New Roman"/>
          <w:sz w:val="24"/>
          <w:szCs w:val="24"/>
        </w:rPr>
      </w:pPr>
      <w:r>
        <w:rPr>
          <w:rFonts w:ascii="Times New Roman" w:hAnsi="Times New Roman"/>
          <w:sz w:val="24"/>
        </w:rPr>
        <w:t xml:space="preserve">          The </w:t>
      </w:r>
      <w:r w:rsidR="000E72E7">
        <w:rPr>
          <w:rFonts w:ascii="Times New Roman" w:hAnsi="Times New Roman"/>
          <w:sz w:val="24"/>
        </w:rPr>
        <w:t>in</w:t>
      </w:r>
      <w:r>
        <w:rPr>
          <w:rFonts w:ascii="Times New Roman" w:hAnsi="Times New Roman"/>
          <w:sz w:val="24"/>
        </w:rPr>
        <w:t xml:space="preserve">crease in burden is due to the </w:t>
      </w:r>
      <w:r w:rsidR="000E72E7">
        <w:rPr>
          <w:rFonts w:ascii="Times New Roman" w:hAnsi="Times New Roman"/>
          <w:sz w:val="24"/>
        </w:rPr>
        <w:t>additional requirements contained in the notice of proposed rulemaking</w:t>
      </w:r>
      <w:r>
        <w:rPr>
          <w:rFonts w:ascii="Times New Roman" w:hAnsi="Times New Roman"/>
          <w:sz w:val="24"/>
        </w:rPr>
        <w:t>.</w:t>
      </w:r>
    </w:p>
    <w:p w:rsidR="003A78D9" w:rsidRDefault="003A78D9">
      <w:pPr>
        <w:rPr>
          <w:rFonts w:ascii="Times New Roman" w:hAnsi="Times New Roman"/>
          <w:sz w:val="24"/>
        </w:rPr>
      </w:pPr>
    </w:p>
    <w:p w:rsidR="003A78D9" w:rsidRDefault="003A78D9">
      <w:pPr>
        <w:rPr>
          <w:rFonts w:ascii="Times New Roman" w:hAnsi="Times New Roman"/>
          <w:sz w:val="24"/>
        </w:rPr>
      </w:pPr>
      <w:r>
        <w:rPr>
          <w:rFonts w:ascii="Times New Roman" w:hAnsi="Times New Roman"/>
          <w:sz w:val="24"/>
        </w:rPr>
        <w:t>16.</w:t>
      </w:r>
      <w:r>
        <w:rPr>
          <w:rFonts w:ascii="Times New Roman" w:hAnsi="Times New Roman"/>
          <w:sz w:val="24"/>
        </w:rPr>
        <w:tab/>
      </w:r>
      <w:r>
        <w:rPr>
          <w:rFonts w:ascii="Times New Roman" w:hAnsi="Times New Roman"/>
          <w:b/>
          <w:bCs/>
          <w:i/>
          <w:iCs/>
          <w:sz w:val="24"/>
        </w:rPr>
        <w:t>Information regarding collections whose results are planned to be published for statistical use:</w:t>
      </w:r>
    </w:p>
    <w:p w:rsidR="003A78D9" w:rsidRDefault="003A78D9">
      <w:pPr>
        <w:rPr>
          <w:rFonts w:ascii="Times New Roman" w:hAnsi="Times New Roman"/>
          <w:sz w:val="24"/>
        </w:rPr>
      </w:pPr>
    </w:p>
    <w:p w:rsidR="003A78D9" w:rsidRDefault="005F7AB0">
      <w:pPr>
        <w:rPr>
          <w:rFonts w:ascii="Times New Roman" w:hAnsi="Times New Roman"/>
          <w:sz w:val="24"/>
        </w:rPr>
      </w:pPr>
      <w:r>
        <w:rPr>
          <w:rFonts w:ascii="Times New Roman" w:hAnsi="Times New Roman"/>
          <w:sz w:val="24"/>
        </w:rPr>
        <w:t xml:space="preserve">           </w:t>
      </w:r>
      <w:r w:rsidR="003A78D9">
        <w:rPr>
          <w:rFonts w:ascii="Times New Roman" w:hAnsi="Times New Roman"/>
          <w:sz w:val="24"/>
        </w:rPr>
        <w:t>Not applicable.</w:t>
      </w:r>
    </w:p>
    <w:p w:rsidR="003A78D9" w:rsidRDefault="003A78D9">
      <w:pPr>
        <w:ind w:start="36pt"/>
        <w:rPr>
          <w:rFonts w:ascii="Times New Roman" w:hAnsi="Times New Roman"/>
          <w:sz w:val="24"/>
        </w:rPr>
      </w:pPr>
    </w:p>
    <w:p w:rsidR="003A78D9" w:rsidRDefault="003A78D9">
      <w:pPr>
        <w:rPr>
          <w:rFonts w:ascii="Times New Roman" w:hAnsi="Times New Roman"/>
          <w:sz w:val="24"/>
        </w:rPr>
      </w:pPr>
      <w:r>
        <w:rPr>
          <w:rFonts w:ascii="Times New Roman" w:hAnsi="Times New Roman"/>
          <w:sz w:val="24"/>
        </w:rPr>
        <w:t>17.</w:t>
      </w:r>
      <w:r>
        <w:rPr>
          <w:rFonts w:ascii="Times New Roman" w:hAnsi="Times New Roman"/>
          <w:sz w:val="24"/>
        </w:rPr>
        <w:tab/>
      </w:r>
      <w:r>
        <w:rPr>
          <w:rFonts w:ascii="Times New Roman" w:hAnsi="Times New Roman"/>
          <w:b/>
          <w:bCs/>
          <w:i/>
          <w:iCs/>
          <w:sz w:val="24"/>
        </w:rPr>
        <w:t>Display of expiration date:</w:t>
      </w:r>
      <w:r>
        <w:rPr>
          <w:rFonts w:ascii="Times New Roman" w:hAnsi="Times New Roman"/>
          <w:sz w:val="24"/>
        </w:rPr>
        <w:tab/>
      </w:r>
    </w:p>
    <w:p w:rsidR="003A78D9" w:rsidRDefault="005F7AB0">
      <w:pPr>
        <w:rPr>
          <w:rFonts w:ascii="Times New Roman" w:hAnsi="Times New Roman"/>
          <w:sz w:val="24"/>
        </w:rPr>
      </w:pPr>
      <w:r>
        <w:rPr>
          <w:rFonts w:ascii="Times New Roman" w:hAnsi="Times New Roman"/>
          <w:sz w:val="24"/>
        </w:rPr>
        <w:t xml:space="preserve">  </w:t>
      </w:r>
    </w:p>
    <w:p w:rsidR="003A78D9" w:rsidRDefault="005F7AB0">
      <w:pPr>
        <w:rPr>
          <w:rFonts w:ascii="Times New Roman" w:hAnsi="Times New Roman"/>
          <w:sz w:val="24"/>
        </w:rPr>
      </w:pPr>
      <w:r>
        <w:rPr>
          <w:rFonts w:ascii="Times New Roman" w:hAnsi="Times New Roman"/>
          <w:sz w:val="24"/>
        </w:rPr>
        <w:t xml:space="preserve">          </w:t>
      </w:r>
      <w:r w:rsidR="003A78D9">
        <w:rPr>
          <w:rFonts w:ascii="Times New Roman" w:hAnsi="Times New Roman"/>
          <w:sz w:val="24"/>
        </w:rPr>
        <w:t>Not applicable.</w:t>
      </w:r>
    </w:p>
    <w:p w:rsidR="003A78D9" w:rsidRDefault="003A78D9">
      <w:pPr>
        <w:rPr>
          <w:rFonts w:ascii="Times New Roman" w:hAnsi="Times New Roman"/>
          <w:sz w:val="24"/>
        </w:rPr>
      </w:pPr>
    </w:p>
    <w:p w:rsidR="003A78D9" w:rsidRDefault="003A78D9">
      <w:pPr>
        <w:rPr>
          <w:rFonts w:ascii="Times New Roman" w:hAnsi="Times New Roman"/>
          <w:sz w:val="24"/>
        </w:rPr>
      </w:pPr>
      <w:r>
        <w:rPr>
          <w:rFonts w:ascii="Times New Roman" w:hAnsi="Times New Roman"/>
          <w:sz w:val="24"/>
        </w:rPr>
        <w:t>18.</w:t>
      </w:r>
      <w:r>
        <w:rPr>
          <w:rFonts w:ascii="Times New Roman" w:hAnsi="Times New Roman"/>
          <w:sz w:val="24"/>
        </w:rPr>
        <w:tab/>
      </w:r>
      <w:r>
        <w:rPr>
          <w:rFonts w:ascii="Times New Roman" w:hAnsi="Times New Roman"/>
          <w:b/>
          <w:bCs/>
          <w:i/>
          <w:iCs/>
          <w:sz w:val="24"/>
        </w:rPr>
        <w:t>Exceptions to certification statement:</w:t>
      </w:r>
    </w:p>
    <w:p w:rsidR="003A78D9" w:rsidRDefault="003A78D9">
      <w:pPr>
        <w:rPr>
          <w:rFonts w:ascii="Times New Roman" w:hAnsi="Times New Roman"/>
          <w:sz w:val="24"/>
        </w:rPr>
      </w:pPr>
    </w:p>
    <w:p w:rsidR="003A78D9" w:rsidRDefault="005F7AB0">
      <w:pPr>
        <w:rPr>
          <w:rFonts w:ascii="Times New Roman" w:hAnsi="Times New Roman"/>
          <w:sz w:val="24"/>
        </w:rPr>
      </w:pPr>
      <w:r>
        <w:rPr>
          <w:rFonts w:ascii="Times New Roman" w:hAnsi="Times New Roman"/>
          <w:sz w:val="24"/>
        </w:rPr>
        <w:t xml:space="preserve">          </w:t>
      </w:r>
      <w:r w:rsidR="003A78D9">
        <w:rPr>
          <w:rFonts w:ascii="Times New Roman" w:hAnsi="Times New Roman"/>
          <w:sz w:val="24"/>
        </w:rPr>
        <w:t>Not applicable.</w:t>
      </w:r>
    </w:p>
    <w:p w:rsidR="003A78D9" w:rsidRDefault="003A78D9">
      <w:pPr>
        <w:rPr>
          <w:rFonts w:ascii="Times New Roman" w:hAnsi="Times New Roman"/>
          <w:sz w:val="24"/>
        </w:rPr>
      </w:pPr>
    </w:p>
    <w:p w:rsidR="003A78D9" w:rsidRDefault="003A78D9">
      <w:pPr>
        <w:rPr>
          <w:rFonts w:ascii="Times New Roman" w:hAnsi="Times New Roman"/>
          <w:sz w:val="24"/>
        </w:rPr>
      </w:pPr>
    </w:p>
    <w:sectPr w:rsidR="003A78D9">
      <w:footerReference w:type="even" r:id="rId7"/>
      <w:footerReference w:type="default" r:id="rId8"/>
      <w:pgSz w:w="612pt" w:h="792pt"/>
      <w:pgMar w:top="72pt" w:right="72pt" w:bottom="72pt" w:left="72pt" w:header="36pt" w:footer="36pt" w:gutter="0pt"/>
      <w:cols w:space="36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E02F88" w:rsidRDefault="00E02F88">
      <w:r>
        <w:separator/>
      </w:r>
    </w:p>
  </w:endnote>
  <w:endnote w:type="continuationSeparator" w:id="0">
    <w:p w:rsidR="00E02F88" w:rsidRDefault="00E0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Narrow">
    <w:panose1 w:val="020B0606020202030204"/>
    <w:charset w:characterSet="iso-8859-1"/>
    <w:family w:val="swiss"/>
    <w:pitch w:val="variable"/>
    <w:sig w:usb0="00000287" w:usb1="00000800" w:usb2="00000000" w:usb3="00000000" w:csb0="0000009F" w:csb1="00000000"/>
  </w:font>
  <w:font w:name="Tahoma">
    <w:panose1 w:val="020B0604030504040204"/>
    <w:charset w:characterSet="iso-8859-1"/>
    <w:family w:val="swiss"/>
    <w:pitch w:val="variable"/>
    <w:sig w:usb0="E1002EFF" w:usb1="C000605B" w:usb2="00000029" w:usb3="00000000" w:csb0="000101FF" w:csb1="00000000"/>
  </w:font>
  <w:font w:name="Courier">
    <w:panose1 w:val="02070409020205020404"/>
    <w:charset w:characterSet="iso-8859-1"/>
    <w:family w:val="modern"/>
    <w:pitch w:val="fixed"/>
    <w:sig w:usb0="00000003" w:usb1="00000000" w:usb2="00000000" w:usb3="00000000" w:csb0="00000001" w:csb1="00000000"/>
  </w:font>
  <w:font w:name="Calibri">
    <w:panose1 w:val="020F0502020204030204"/>
    <w:charset w:characterSet="iso-8859-1"/>
    <w:family w:val="swiss"/>
    <w:pitch w:val="variable"/>
    <w:sig w:usb0="E0002AFF" w:usb1="C000247B" w:usb2="00000009" w:usb3="00000000" w:csb0="000001FF" w:csb1="00000000"/>
  </w:font>
  <w:font w:name="Calibri Light">
    <w:panose1 w:val="020F03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793B26" w:rsidRDefault="00793B26">
    <w:pPr>
      <w:pStyle w:val="Footer"/>
      <w:framePr w:wrap="around" w:hAnchor="margin" w:vAnchor="text" w:xAlign="center" w:y="0.05pt"/>
      <w:rPr>
        <w:rStyle w:val="PageNumber"/>
      </w:rPr>
    </w:pPr>
    <w:r>
      <w:rPr>
        <w:rStyle w:val="PageNumber"/>
      </w:rPr>
      <w:fldChar w:fldCharType="begin"/>
    </w:r>
    <w:r>
      <w:rPr>
        <w:rStyle w:val="PageNumber"/>
      </w:rPr>
      <w:instrText xml:space="preserve">PAGE  </w:instrText>
    </w:r>
    <w:r>
      <w:rPr>
        <w:rStyle w:val="PageNumber"/>
      </w:rPr>
      <w:fldChar w:fldCharType="end"/>
    </w:r>
  </w:p>
  <w:p w:rsidR="00793B26" w:rsidRDefault="00793B26">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793B26" w:rsidRDefault="00793B26">
    <w:pPr>
      <w:pStyle w:val="Footer"/>
      <w:framePr w:wrap="around" w:hAnchor="margin" w:vAnchor="text" w:xAlign="center" w:y="0.05pt"/>
      <w:rPr>
        <w:rStyle w:val="PageNumber"/>
      </w:rPr>
    </w:pPr>
    <w:r>
      <w:rPr>
        <w:rStyle w:val="PageNumber"/>
      </w:rPr>
      <w:fldChar w:fldCharType="begin"/>
    </w:r>
    <w:r>
      <w:rPr>
        <w:rStyle w:val="PageNumber"/>
      </w:rPr>
      <w:instrText xml:space="preserve">PAGE  </w:instrText>
    </w:r>
    <w:r>
      <w:rPr>
        <w:rStyle w:val="PageNumber"/>
      </w:rPr>
      <w:fldChar w:fldCharType="separate"/>
    </w:r>
    <w:r w:rsidR="00AC36B0">
      <w:rPr>
        <w:rStyle w:val="PageNumber"/>
        <w:noProof/>
      </w:rPr>
      <w:t>2</w:t>
    </w:r>
    <w:r>
      <w:rPr>
        <w:rStyle w:val="PageNumber"/>
      </w:rPr>
      <w:fldChar w:fldCharType="end"/>
    </w:r>
  </w:p>
  <w:p w:rsidR="00793B26" w:rsidRDefault="00793B26">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E02F88" w:rsidRDefault="00E02F88">
      <w:r>
        <w:separator/>
      </w:r>
    </w:p>
  </w:footnote>
  <w:footnote w:type="continuationSeparator" w:id="0">
    <w:p w:rsidR="00E02F88" w:rsidRDefault="00E02F88">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9180C26"/>
    <w:multiLevelType w:val="multilevel"/>
    <w:tmpl w:val="577EE89A"/>
    <w:lvl w:ilvl="0">
      <w:start w:val="1"/>
      <w:numFmt w:val="upperRoman"/>
      <w:suff w:val="nothing"/>
      <w:lvlText w:val="Article %1"/>
      <w:lvlJc w:val="start"/>
      <w:pPr>
        <w:ind w:start="0pt" w:firstLine="0pt"/>
      </w:pPr>
      <w:rPr>
        <w:b w:val="0"/>
        <w:i w:val="0"/>
      </w:rPr>
    </w:lvl>
    <w:lvl w:ilvl="1">
      <w:start w:val="1"/>
      <w:numFmt w:val="decimal"/>
      <w:lvlText w:val="(%2)"/>
      <w:lvlJc w:val="start"/>
      <w:pPr>
        <w:tabs>
          <w:tab w:val="num" w:pos="18pt"/>
        </w:tabs>
        <w:ind w:start="0pt" w:firstLine="0pt"/>
      </w:pPr>
    </w:lvl>
    <w:lvl w:ilvl="2">
      <w:start w:val="1"/>
      <w:numFmt w:val="lowerLetter"/>
      <w:lvlText w:val="(%3)"/>
      <w:lvlJc w:val="start"/>
      <w:pPr>
        <w:tabs>
          <w:tab w:val="num" w:pos="36pt"/>
        </w:tabs>
        <w:ind w:start="36pt" w:hanging="21.60pt"/>
      </w:pPr>
    </w:lvl>
    <w:lvl w:ilvl="3">
      <w:start w:val="1"/>
      <w:numFmt w:val="lowerRoman"/>
      <w:lvlText w:val="(%4)"/>
      <w:lvlJc w:val="end"/>
      <w:pPr>
        <w:tabs>
          <w:tab w:val="num" w:pos="43.20pt"/>
        </w:tabs>
        <w:ind w:start="43.20pt" w:hanging="7.20pt"/>
      </w:pPr>
    </w:lvl>
    <w:lvl w:ilvl="4">
      <w:start w:val="1"/>
      <w:numFmt w:val="decimal"/>
      <w:lvlText w:val="%5)"/>
      <w:lvlJc w:val="start"/>
      <w:pPr>
        <w:tabs>
          <w:tab w:val="num" w:pos="50.40pt"/>
        </w:tabs>
        <w:ind w:start="50.40pt" w:hanging="21.60pt"/>
      </w:pPr>
    </w:lvl>
    <w:lvl w:ilvl="5">
      <w:start w:val="1"/>
      <w:numFmt w:val="lowerLetter"/>
      <w:lvlText w:val="%6)"/>
      <w:lvlJc w:val="start"/>
      <w:pPr>
        <w:tabs>
          <w:tab w:val="num" w:pos="57.60pt"/>
        </w:tabs>
        <w:ind w:start="57.60pt" w:hanging="21.60pt"/>
      </w:pPr>
    </w:lvl>
    <w:lvl w:ilvl="6">
      <w:start w:val="1"/>
      <w:numFmt w:val="lowerRoman"/>
      <w:lvlText w:val="%7)"/>
      <w:lvlJc w:val="end"/>
      <w:pPr>
        <w:tabs>
          <w:tab w:val="num" w:pos="64.80pt"/>
        </w:tabs>
        <w:ind w:start="64.80pt" w:hanging="14.40pt"/>
      </w:pPr>
    </w:lvl>
    <w:lvl w:ilvl="7">
      <w:start w:val="1"/>
      <w:numFmt w:val="lowerLetter"/>
      <w:lvlText w:val="%8."/>
      <w:lvlJc w:val="start"/>
      <w:pPr>
        <w:tabs>
          <w:tab w:val="num" w:pos="72pt"/>
        </w:tabs>
        <w:ind w:start="72pt" w:hanging="21.60pt"/>
      </w:pPr>
    </w:lvl>
    <w:lvl w:ilvl="8">
      <w:start w:val="1"/>
      <w:numFmt w:val="lowerRoman"/>
      <w:lvlText w:val="%9."/>
      <w:lvlJc w:val="end"/>
      <w:pPr>
        <w:tabs>
          <w:tab w:val="num" w:pos="79.20pt"/>
        </w:tabs>
        <w:ind w:start="79.20pt" w:hanging="7.20pt"/>
      </w:pPr>
    </w:lvl>
  </w:abstractNum>
  <w:abstractNum w:abstractNumId="1" w15:restartNumberingAfterBreak="0">
    <w:nsid w:val="0CCC1986"/>
    <w:multiLevelType w:val="multilevel"/>
    <w:tmpl w:val="CC36E874"/>
    <w:lvl w:ilvl="0">
      <w:start w:val="1"/>
      <w:numFmt w:val="upperRoman"/>
      <w:suff w:val="nothing"/>
      <w:lvlText w:val="Article %1"/>
      <w:lvlJc w:val="start"/>
      <w:pPr>
        <w:ind w:start="0pt" w:firstLine="0pt"/>
      </w:pPr>
      <w:rPr>
        <w:b w:val="0"/>
        <w:i w:val="0"/>
      </w:rPr>
    </w:lvl>
    <w:lvl w:ilvl="1">
      <w:start w:val="1"/>
      <w:numFmt w:val="decimal"/>
      <w:lvlText w:val="(%2)"/>
      <w:lvlJc w:val="start"/>
      <w:pPr>
        <w:tabs>
          <w:tab w:val="num" w:pos="54pt"/>
        </w:tabs>
        <w:ind w:start="0pt" w:firstLine="36pt"/>
      </w:pPr>
    </w:lvl>
    <w:lvl w:ilvl="2">
      <w:start w:val="1"/>
      <w:numFmt w:val="lowerLetter"/>
      <w:lvlText w:val="(%3)"/>
      <w:lvlJc w:val="start"/>
      <w:pPr>
        <w:tabs>
          <w:tab w:val="num" w:pos="72pt"/>
        </w:tabs>
        <w:ind w:start="72pt" w:hanging="36pt"/>
      </w:pPr>
    </w:lvl>
    <w:lvl w:ilvl="3">
      <w:start w:val="1"/>
      <w:numFmt w:val="lowerRoman"/>
      <w:lvlText w:val="(%4)"/>
      <w:lvlJc w:val="start"/>
      <w:pPr>
        <w:tabs>
          <w:tab w:val="num" w:pos="108pt"/>
        </w:tabs>
        <w:ind w:start="108pt" w:hanging="36pt"/>
      </w:pPr>
    </w:lvl>
    <w:lvl w:ilvl="4">
      <w:start w:val="1"/>
      <w:numFmt w:val="decimal"/>
      <w:lvlText w:val="%5)"/>
      <w:lvlJc w:val="start"/>
      <w:pPr>
        <w:tabs>
          <w:tab w:val="num" w:pos="50.40pt"/>
        </w:tabs>
        <w:ind w:start="50.40pt" w:hanging="21.60pt"/>
      </w:pPr>
    </w:lvl>
    <w:lvl w:ilvl="5">
      <w:start w:val="1"/>
      <w:numFmt w:val="lowerLetter"/>
      <w:lvlText w:val="%6)"/>
      <w:lvlJc w:val="start"/>
      <w:pPr>
        <w:tabs>
          <w:tab w:val="num" w:pos="57.60pt"/>
        </w:tabs>
        <w:ind w:start="57.60pt" w:hanging="21.60pt"/>
      </w:pPr>
    </w:lvl>
    <w:lvl w:ilvl="6">
      <w:start w:val="1"/>
      <w:numFmt w:val="lowerRoman"/>
      <w:lvlText w:val="%7)"/>
      <w:lvlJc w:val="end"/>
      <w:pPr>
        <w:tabs>
          <w:tab w:val="num" w:pos="64.80pt"/>
        </w:tabs>
        <w:ind w:start="64.80pt" w:hanging="14.40pt"/>
      </w:pPr>
    </w:lvl>
    <w:lvl w:ilvl="7">
      <w:start w:val="1"/>
      <w:numFmt w:val="lowerLetter"/>
      <w:lvlText w:val="%8."/>
      <w:lvlJc w:val="start"/>
      <w:pPr>
        <w:tabs>
          <w:tab w:val="num" w:pos="72pt"/>
        </w:tabs>
        <w:ind w:start="72pt" w:hanging="21.60pt"/>
      </w:pPr>
    </w:lvl>
    <w:lvl w:ilvl="8">
      <w:start w:val="1"/>
      <w:numFmt w:val="lowerRoman"/>
      <w:lvlText w:val="%9."/>
      <w:lvlJc w:val="end"/>
      <w:pPr>
        <w:tabs>
          <w:tab w:val="num" w:pos="79.20pt"/>
        </w:tabs>
        <w:ind w:start="79.20pt" w:hanging="7.20pt"/>
      </w:pPr>
    </w:lvl>
  </w:abstractNum>
  <w:abstractNum w:abstractNumId="2" w15:restartNumberingAfterBreak="0">
    <w:nsid w:val="15B02C6B"/>
    <w:multiLevelType w:val="hybridMultilevel"/>
    <w:tmpl w:val="72E05BF0"/>
    <w:lvl w:ilvl="0" w:tplc="04090001">
      <w:start w:val="1"/>
      <w:numFmt w:val="bullet"/>
      <w:lvlText w:val=""/>
      <w:lvlJc w:val="start"/>
      <w:pPr>
        <w:tabs>
          <w:tab w:val="num" w:pos="36pt"/>
        </w:tabs>
        <w:ind w:start="36pt" w:hanging="18pt"/>
      </w:pPr>
      <w:rPr>
        <w:rFonts w:hint="default" w:ascii="Symbol" w:hAnsi="Symbol"/>
      </w:rPr>
    </w:lvl>
    <w:lvl w:ilvl="1" w:tplc="04090003" w:tentative="1">
      <w:start w:val="1"/>
      <w:numFmt w:val="bullet"/>
      <w:lvlText w:val="o"/>
      <w:lvlJc w:val="start"/>
      <w:pPr>
        <w:tabs>
          <w:tab w:val="num" w:pos="72pt"/>
        </w:tabs>
        <w:ind w:start="72pt" w:hanging="18pt"/>
      </w:pPr>
      <w:rPr>
        <w:rFonts w:hint="default" w:ascii="Courier New" w:hAnsi="Courier New"/>
      </w:rPr>
    </w:lvl>
    <w:lvl w:ilvl="2" w:tplc="04090005" w:tentative="1">
      <w:start w:val="1"/>
      <w:numFmt w:val="bullet"/>
      <w:lvlText w:val=""/>
      <w:lvlJc w:val="start"/>
      <w:pPr>
        <w:tabs>
          <w:tab w:val="num" w:pos="108pt"/>
        </w:tabs>
        <w:ind w:start="108pt" w:hanging="18pt"/>
      </w:pPr>
      <w:rPr>
        <w:rFonts w:hint="default" w:ascii="Wingdings" w:hAnsi="Wingdings"/>
      </w:rPr>
    </w:lvl>
    <w:lvl w:ilvl="3" w:tplc="04090001" w:tentative="1">
      <w:start w:val="1"/>
      <w:numFmt w:val="bullet"/>
      <w:lvlText w:val=""/>
      <w:lvlJc w:val="start"/>
      <w:pPr>
        <w:tabs>
          <w:tab w:val="num" w:pos="144pt"/>
        </w:tabs>
        <w:ind w:start="144pt" w:hanging="18pt"/>
      </w:pPr>
      <w:rPr>
        <w:rFonts w:hint="default" w:ascii="Symbol" w:hAnsi="Symbol"/>
      </w:rPr>
    </w:lvl>
    <w:lvl w:ilvl="4" w:tplc="04090003" w:tentative="1">
      <w:start w:val="1"/>
      <w:numFmt w:val="bullet"/>
      <w:lvlText w:val="o"/>
      <w:lvlJc w:val="start"/>
      <w:pPr>
        <w:tabs>
          <w:tab w:val="num" w:pos="180pt"/>
        </w:tabs>
        <w:ind w:start="180pt" w:hanging="18pt"/>
      </w:pPr>
      <w:rPr>
        <w:rFonts w:hint="default" w:ascii="Courier New" w:hAnsi="Courier New"/>
      </w:rPr>
    </w:lvl>
    <w:lvl w:ilvl="5" w:tplc="04090005" w:tentative="1">
      <w:start w:val="1"/>
      <w:numFmt w:val="bullet"/>
      <w:lvlText w:val=""/>
      <w:lvlJc w:val="start"/>
      <w:pPr>
        <w:tabs>
          <w:tab w:val="num" w:pos="216pt"/>
        </w:tabs>
        <w:ind w:start="216pt" w:hanging="18pt"/>
      </w:pPr>
      <w:rPr>
        <w:rFonts w:hint="default" w:ascii="Wingdings" w:hAnsi="Wingdings"/>
      </w:rPr>
    </w:lvl>
    <w:lvl w:ilvl="6" w:tplc="04090001" w:tentative="1">
      <w:start w:val="1"/>
      <w:numFmt w:val="bullet"/>
      <w:lvlText w:val=""/>
      <w:lvlJc w:val="start"/>
      <w:pPr>
        <w:tabs>
          <w:tab w:val="num" w:pos="252pt"/>
        </w:tabs>
        <w:ind w:start="252pt" w:hanging="18pt"/>
      </w:pPr>
      <w:rPr>
        <w:rFonts w:hint="default" w:ascii="Symbol" w:hAnsi="Symbol"/>
      </w:rPr>
    </w:lvl>
    <w:lvl w:ilvl="7" w:tplc="04090003" w:tentative="1">
      <w:start w:val="1"/>
      <w:numFmt w:val="bullet"/>
      <w:lvlText w:val="o"/>
      <w:lvlJc w:val="start"/>
      <w:pPr>
        <w:tabs>
          <w:tab w:val="num" w:pos="288pt"/>
        </w:tabs>
        <w:ind w:start="288pt" w:hanging="18pt"/>
      </w:pPr>
      <w:rPr>
        <w:rFonts w:hint="default" w:ascii="Courier New" w:hAnsi="Courier New"/>
      </w:rPr>
    </w:lvl>
    <w:lvl w:ilvl="8" w:tplc="04090005" w:tentative="1">
      <w:start w:val="1"/>
      <w:numFmt w:val="bullet"/>
      <w:lvlText w:val=""/>
      <w:lvlJc w:val="start"/>
      <w:pPr>
        <w:tabs>
          <w:tab w:val="num" w:pos="324pt"/>
        </w:tabs>
        <w:ind w:start="324pt" w:hanging="18pt"/>
      </w:pPr>
      <w:rPr>
        <w:rFonts w:hint="default" w:ascii="Wingdings" w:hAnsi="Wingdings"/>
      </w:rPr>
    </w:lvl>
  </w:abstractNum>
  <w:abstractNum w:abstractNumId="3" w15:restartNumberingAfterBreak="0">
    <w:nsid w:val="17CE7B3B"/>
    <w:multiLevelType w:val="singleLevel"/>
    <w:tmpl w:val="04090001"/>
    <w:lvl w:ilvl="0">
      <w:start w:val="1"/>
      <w:numFmt w:val="bullet"/>
      <w:lvlText w:val=""/>
      <w:lvlJc w:val="start"/>
      <w:pPr>
        <w:tabs>
          <w:tab w:val="num" w:pos="18pt"/>
        </w:tabs>
        <w:ind w:start="18pt" w:hanging="18pt"/>
      </w:pPr>
      <w:rPr>
        <w:rFonts w:hint="default" w:ascii="Symbol" w:hAnsi="Symbol"/>
      </w:rPr>
    </w:lvl>
  </w:abstractNum>
  <w:abstractNum w:abstractNumId="4" w15:restartNumberingAfterBreak="0">
    <w:nsid w:val="2E9A080D"/>
    <w:multiLevelType w:val="singleLevel"/>
    <w:tmpl w:val="04090001"/>
    <w:lvl w:ilvl="0">
      <w:start w:val="1"/>
      <w:numFmt w:val="bullet"/>
      <w:lvlText w:val=""/>
      <w:lvlJc w:val="start"/>
      <w:pPr>
        <w:tabs>
          <w:tab w:val="num" w:pos="18pt"/>
        </w:tabs>
        <w:ind w:start="18pt" w:hanging="18pt"/>
      </w:pPr>
      <w:rPr>
        <w:rFonts w:hint="default" w:ascii="Symbol" w:hAnsi="Symbol"/>
      </w:rPr>
    </w:lvl>
  </w:abstractNum>
  <w:abstractNum w:abstractNumId="5" w15:restartNumberingAfterBreak="0">
    <w:nsid w:val="2F83788D"/>
    <w:multiLevelType w:val="hybridMultilevel"/>
    <w:tmpl w:val="09F8B454"/>
    <w:lvl w:ilvl="0" w:tplc="04090001">
      <w:start w:val="1"/>
      <w:numFmt w:val="bullet"/>
      <w:lvlText w:val=""/>
      <w:lvlJc w:val="start"/>
      <w:pPr>
        <w:tabs>
          <w:tab w:val="num" w:pos="36pt"/>
        </w:tabs>
        <w:ind w:start="36pt" w:hanging="18pt"/>
      </w:pPr>
      <w:rPr>
        <w:rFonts w:hint="default" w:ascii="Symbol" w:hAnsi="Symbol"/>
      </w:rPr>
    </w:lvl>
    <w:lvl w:ilvl="1" w:tplc="04090003" w:tentative="1">
      <w:start w:val="1"/>
      <w:numFmt w:val="bullet"/>
      <w:lvlText w:val="o"/>
      <w:lvlJc w:val="start"/>
      <w:pPr>
        <w:tabs>
          <w:tab w:val="num" w:pos="72pt"/>
        </w:tabs>
        <w:ind w:start="72pt" w:hanging="18pt"/>
      </w:pPr>
      <w:rPr>
        <w:rFonts w:hint="default" w:ascii="Courier New" w:hAnsi="Courier New"/>
      </w:rPr>
    </w:lvl>
    <w:lvl w:ilvl="2" w:tplc="04090005" w:tentative="1">
      <w:start w:val="1"/>
      <w:numFmt w:val="bullet"/>
      <w:lvlText w:val=""/>
      <w:lvlJc w:val="start"/>
      <w:pPr>
        <w:tabs>
          <w:tab w:val="num" w:pos="108pt"/>
        </w:tabs>
        <w:ind w:start="108pt" w:hanging="18pt"/>
      </w:pPr>
      <w:rPr>
        <w:rFonts w:hint="default" w:ascii="Wingdings" w:hAnsi="Wingdings"/>
      </w:rPr>
    </w:lvl>
    <w:lvl w:ilvl="3" w:tplc="04090001" w:tentative="1">
      <w:start w:val="1"/>
      <w:numFmt w:val="bullet"/>
      <w:lvlText w:val=""/>
      <w:lvlJc w:val="start"/>
      <w:pPr>
        <w:tabs>
          <w:tab w:val="num" w:pos="144pt"/>
        </w:tabs>
        <w:ind w:start="144pt" w:hanging="18pt"/>
      </w:pPr>
      <w:rPr>
        <w:rFonts w:hint="default" w:ascii="Symbol" w:hAnsi="Symbol"/>
      </w:rPr>
    </w:lvl>
    <w:lvl w:ilvl="4" w:tplc="04090003" w:tentative="1">
      <w:start w:val="1"/>
      <w:numFmt w:val="bullet"/>
      <w:lvlText w:val="o"/>
      <w:lvlJc w:val="start"/>
      <w:pPr>
        <w:tabs>
          <w:tab w:val="num" w:pos="180pt"/>
        </w:tabs>
        <w:ind w:start="180pt" w:hanging="18pt"/>
      </w:pPr>
      <w:rPr>
        <w:rFonts w:hint="default" w:ascii="Courier New" w:hAnsi="Courier New"/>
      </w:rPr>
    </w:lvl>
    <w:lvl w:ilvl="5" w:tplc="04090005" w:tentative="1">
      <w:start w:val="1"/>
      <w:numFmt w:val="bullet"/>
      <w:lvlText w:val=""/>
      <w:lvlJc w:val="start"/>
      <w:pPr>
        <w:tabs>
          <w:tab w:val="num" w:pos="216pt"/>
        </w:tabs>
        <w:ind w:start="216pt" w:hanging="18pt"/>
      </w:pPr>
      <w:rPr>
        <w:rFonts w:hint="default" w:ascii="Wingdings" w:hAnsi="Wingdings"/>
      </w:rPr>
    </w:lvl>
    <w:lvl w:ilvl="6" w:tplc="04090001" w:tentative="1">
      <w:start w:val="1"/>
      <w:numFmt w:val="bullet"/>
      <w:lvlText w:val=""/>
      <w:lvlJc w:val="start"/>
      <w:pPr>
        <w:tabs>
          <w:tab w:val="num" w:pos="252pt"/>
        </w:tabs>
        <w:ind w:start="252pt" w:hanging="18pt"/>
      </w:pPr>
      <w:rPr>
        <w:rFonts w:hint="default" w:ascii="Symbol" w:hAnsi="Symbol"/>
      </w:rPr>
    </w:lvl>
    <w:lvl w:ilvl="7" w:tplc="04090003" w:tentative="1">
      <w:start w:val="1"/>
      <w:numFmt w:val="bullet"/>
      <w:lvlText w:val="o"/>
      <w:lvlJc w:val="start"/>
      <w:pPr>
        <w:tabs>
          <w:tab w:val="num" w:pos="288pt"/>
        </w:tabs>
        <w:ind w:start="288pt" w:hanging="18pt"/>
      </w:pPr>
      <w:rPr>
        <w:rFonts w:hint="default" w:ascii="Courier New" w:hAnsi="Courier New"/>
      </w:rPr>
    </w:lvl>
    <w:lvl w:ilvl="8" w:tplc="04090005" w:tentative="1">
      <w:start w:val="1"/>
      <w:numFmt w:val="bullet"/>
      <w:lvlText w:val=""/>
      <w:lvlJc w:val="start"/>
      <w:pPr>
        <w:tabs>
          <w:tab w:val="num" w:pos="324pt"/>
        </w:tabs>
        <w:ind w:start="324pt" w:hanging="18pt"/>
      </w:pPr>
      <w:rPr>
        <w:rFonts w:hint="default" w:ascii="Wingdings" w:hAnsi="Wingdings"/>
      </w:rPr>
    </w:lvl>
  </w:abstractNum>
  <w:abstractNum w:abstractNumId="6" w15:restartNumberingAfterBreak="0">
    <w:nsid w:val="38183B22"/>
    <w:multiLevelType w:val="multilevel"/>
    <w:tmpl w:val="E124A508"/>
    <w:lvl w:ilvl="0">
      <w:start w:val="1"/>
      <w:numFmt w:val="upperRoman"/>
      <w:pStyle w:val="ArticleNumber"/>
      <w:suff w:val="nothing"/>
      <w:lvlText w:val="Article %1"/>
      <w:lvlJc w:val="start"/>
      <w:pPr>
        <w:ind w:start="0pt" w:firstLine="0pt"/>
      </w:pPr>
      <w:rPr>
        <w:b w:val="0"/>
        <w:i w:val="0"/>
      </w:rPr>
    </w:lvl>
    <w:lvl w:ilvl="1">
      <w:start w:val="1"/>
      <w:numFmt w:val="decimal"/>
      <w:pStyle w:val="ArticleLevel1"/>
      <w:lvlText w:val="(%2)"/>
      <w:lvlJc w:val="start"/>
      <w:pPr>
        <w:tabs>
          <w:tab w:val="num" w:pos="54pt"/>
        </w:tabs>
        <w:ind w:start="0pt" w:firstLine="36pt"/>
      </w:pPr>
    </w:lvl>
    <w:lvl w:ilvl="2">
      <w:start w:val="1"/>
      <w:numFmt w:val="lowerLetter"/>
      <w:pStyle w:val="ArticleLevela"/>
      <w:lvlText w:val="(%3)"/>
      <w:lvlJc w:val="start"/>
      <w:pPr>
        <w:tabs>
          <w:tab w:val="num" w:pos="72pt"/>
        </w:tabs>
        <w:ind w:start="72pt" w:hanging="36pt"/>
      </w:pPr>
    </w:lvl>
    <w:lvl w:ilvl="3">
      <w:start w:val="1"/>
      <w:numFmt w:val="lowerRoman"/>
      <w:pStyle w:val="ArticleLeveli"/>
      <w:lvlText w:val="(%4)"/>
      <w:lvlJc w:val="start"/>
      <w:pPr>
        <w:tabs>
          <w:tab w:val="num" w:pos="108pt"/>
        </w:tabs>
        <w:ind w:start="108pt" w:hanging="36pt"/>
      </w:pPr>
    </w:lvl>
    <w:lvl w:ilvl="4">
      <w:start w:val="1"/>
      <w:numFmt w:val="decimal"/>
      <w:lvlText w:val="%5)"/>
      <w:lvlJc w:val="start"/>
      <w:pPr>
        <w:tabs>
          <w:tab w:val="num" w:pos="50.40pt"/>
        </w:tabs>
        <w:ind w:start="50.40pt" w:hanging="21.60pt"/>
      </w:pPr>
    </w:lvl>
    <w:lvl w:ilvl="5">
      <w:start w:val="1"/>
      <w:numFmt w:val="lowerLetter"/>
      <w:lvlText w:val="%6)"/>
      <w:lvlJc w:val="start"/>
      <w:pPr>
        <w:tabs>
          <w:tab w:val="num" w:pos="57.60pt"/>
        </w:tabs>
        <w:ind w:start="57.60pt" w:hanging="21.60pt"/>
      </w:pPr>
    </w:lvl>
    <w:lvl w:ilvl="6">
      <w:start w:val="1"/>
      <w:numFmt w:val="lowerRoman"/>
      <w:lvlText w:val="%7)"/>
      <w:lvlJc w:val="end"/>
      <w:pPr>
        <w:tabs>
          <w:tab w:val="num" w:pos="64.80pt"/>
        </w:tabs>
        <w:ind w:start="64.80pt" w:hanging="14.40pt"/>
      </w:pPr>
    </w:lvl>
    <w:lvl w:ilvl="7">
      <w:start w:val="1"/>
      <w:numFmt w:val="lowerLetter"/>
      <w:lvlText w:val="%8."/>
      <w:lvlJc w:val="start"/>
      <w:pPr>
        <w:tabs>
          <w:tab w:val="num" w:pos="72pt"/>
        </w:tabs>
        <w:ind w:start="72pt" w:hanging="21.60pt"/>
      </w:pPr>
    </w:lvl>
    <w:lvl w:ilvl="8">
      <w:start w:val="1"/>
      <w:numFmt w:val="lowerRoman"/>
      <w:lvlText w:val="%9."/>
      <w:lvlJc w:val="end"/>
      <w:pPr>
        <w:tabs>
          <w:tab w:val="num" w:pos="79.20pt"/>
        </w:tabs>
        <w:ind w:start="79.20pt" w:hanging="7.20pt"/>
      </w:pPr>
    </w:lvl>
  </w:abstractNum>
  <w:abstractNum w:abstractNumId="7" w15:restartNumberingAfterBreak="0">
    <w:nsid w:val="383C06E7"/>
    <w:multiLevelType w:val="hybridMultilevel"/>
    <w:tmpl w:val="0F382E08"/>
    <w:lvl w:ilvl="0" w:tplc="04090001">
      <w:start w:val="1"/>
      <w:numFmt w:val="bullet"/>
      <w:lvlText w:val=""/>
      <w:lvlJc w:val="start"/>
      <w:pPr>
        <w:ind w:start="18pt" w:hanging="18pt"/>
      </w:pPr>
      <w:rPr>
        <w:rFonts w:hint="default" w:ascii="Symbol" w:hAnsi="Symbol"/>
      </w:rPr>
    </w:lvl>
    <w:lvl w:ilvl="1" w:tplc="04090003" w:tentative="1">
      <w:start w:val="1"/>
      <w:numFmt w:val="bullet"/>
      <w:lvlText w:val="o"/>
      <w:lvlJc w:val="start"/>
      <w:pPr>
        <w:ind w:start="54pt" w:hanging="18pt"/>
      </w:pPr>
      <w:rPr>
        <w:rFonts w:hint="default" w:ascii="Courier New" w:hAnsi="Courier New" w:cs="Courier New"/>
      </w:rPr>
    </w:lvl>
    <w:lvl w:ilvl="2" w:tplc="04090005" w:tentative="1">
      <w:start w:val="1"/>
      <w:numFmt w:val="bullet"/>
      <w:lvlText w:val=""/>
      <w:lvlJc w:val="start"/>
      <w:pPr>
        <w:ind w:start="90pt" w:hanging="18pt"/>
      </w:pPr>
      <w:rPr>
        <w:rFonts w:hint="default" w:ascii="Wingdings" w:hAnsi="Wingdings"/>
      </w:rPr>
    </w:lvl>
    <w:lvl w:ilvl="3" w:tplc="04090001" w:tentative="1">
      <w:start w:val="1"/>
      <w:numFmt w:val="bullet"/>
      <w:lvlText w:val=""/>
      <w:lvlJc w:val="start"/>
      <w:pPr>
        <w:ind w:start="126pt" w:hanging="18pt"/>
      </w:pPr>
      <w:rPr>
        <w:rFonts w:hint="default" w:ascii="Symbol" w:hAnsi="Symbol"/>
      </w:rPr>
    </w:lvl>
    <w:lvl w:ilvl="4" w:tplc="04090003" w:tentative="1">
      <w:start w:val="1"/>
      <w:numFmt w:val="bullet"/>
      <w:lvlText w:val="o"/>
      <w:lvlJc w:val="start"/>
      <w:pPr>
        <w:ind w:start="162pt" w:hanging="18pt"/>
      </w:pPr>
      <w:rPr>
        <w:rFonts w:hint="default" w:ascii="Courier New" w:hAnsi="Courier New" w:cs="Courier New"/>
      </w:rPr>
    </w:lvl>
    <w:lvl w:ilvl="5" w:tplc="04090005" w:tentative="1">
      <w:start w:val="1"/>
      <w:numFmt w:val="bullet"/>
      <w:lvlText w:val=""/>
      <w:lvlJc w:val="start"/>
      <w:pPr>
        <w:ind w:start="198pt" w:hanging="18pt"/>
      </w:pPr>
      <w:rPr>
        <w:rFonts w:hint="default" w:ascii="Wingdings" w:hAnsi="Wingdings"/>
      </w:rPr>
    </w:lvl>
    <w:lvl w:ilvl="6" w:tplc="04090001" w:tentative="1">
      <w:start w:val="1"/>
      <w:numFmt w:val="bullet"/>
      <w:lvlText w:val=""/>
      <w:lvlJc w:val="start"/>
      <w:pPr>
        <w:ind w:start="234pt" w:hanging="18pt"/>
      </w:pPr>
      <w:rPr>
        <w:rFonts w:hint="default" w:ascii="Symbol" w:hAnsi="Symbol"/>
      </w:rPr>
    </w:lvl>
    <w:lvl w:ilvl="7" w:tplc="04090003" w:tentative="1">
      <w:start w:val="1"/>
      <w:numFmt w:val="bullet"/>
      <w:lvlText w:val="o"/>
      <w:lvlJc w:val="start"/>
      <w:pPr>
        <w:ind w:start="270pt" w:hanging="18pt"/>
      </w:pPr>
      <w:rPr>
        <w:rFonts w:hint="default" w:ascii="Courier New" w:hAnsi="Courier New" w:cs="Courier New"/>
      </w:rPr>
    </w:lvl>
    <w:lvl w:ilvl="8" w:tplc="04090005" w:tentative="1">
      <w:start w:val="1"/>
      <w:numFmt w:val="bullet"/>
      <w:lvlText w:val=""/>
      <w:lvlJc w:val="start"/>
      <w:pPr>
        <w:ind w:start="306pt" w:hanging="18pt"/>
      </w:pPr>
      <w:rPr>
        <w:rFonts w:hint="default" w:ascii="Wingdings" w:hAnsi="Wingdings"/>
      </w:rPr>
    </w:lvl>
  </w:abstractNum>
  <w:abstractNum w:abstractNumId="8" w15:restartNumberingAfterBreak="0">
    <w:nsid w:val="40F0671B"/>
    <w:multiLevelType w:val="hybridMultilevel"/>
    <w:tmpl w:val="6192A6F2"/>
    <w:lvl w:ilvl="0" w:tplc="04090001">
      <w:start w:val="1"/>
      <w:numFmt w:val="bullet"/>
      <w:lvlText w:val=""/>
      <w:lvlJc w:val="start"/>
      <w:pPr>
        <w:tabs>
          <w:tab w:val="num" w:pos="36pt"/>
        </w:tabs>
        <w:ind w:start="36pt" w:hanging="18pt"/>
      </w:pPr>
      <w:rPr>
        <w:rFonts w:hint="default" w:ascii="Symbol" w:hAnsi="Symbol"/>
      </w:rPr>
    </w:lvl>
    <w:lvl w:ilvl="1" w:tplc="04090003" w:tentative="1">
      <w:start w:val="1"/>
      <w:numFmt w:val="bullet"/>
      <w:lvlText w:val="o"/>
      <w:lvlJc w:val="start"/>
      <w:pPr>
        <w:tabs>
          <w:tab w:val="num" w:pos="72pt"/>
        </w:tabs>
        <w:ind w:start="72pt" w:hanging="18pt"/>
      </w:pPr>
      <w:rPr>
        <w:rFonts w:hint="default" w:ascii="Courier New" w:hAnsi="Courier New"/>
      </w:rPr>
    </w:lvl>
    <w:lvl w:ilvl="2" w:tplc="04090005" w:tentative="1">
      <w:start w:val="1"/>
      <w:numFmt w:val="bullet"/>
      <w:lvlText w:val=""/>
      <w:lvlJc w:val="start"/>
      <w:pPr>
        <w:tabs>
          <w:tab w:val="num" w:pos="108pt"/>
        </w:tabs>
        <w:ind w:start="108pt" w:hanging="18pt"/>
      </w:pPr>
      <w:rPr>
        <w:rFonts w:hint="default" w:ascii="Wingdings" w:hAnsi="Wingdings"/>
      </w:rPr>
    </w:lvl>
    <w:lvl w:ilvl="3" w:tplc="04090001" w:tentative="1">
      <w:start w:val="1"/>
      <w:numFmt w:val="bullet"/>
      <w:lvlText w:val=""/>
      <w:lvlJc w:val="start"/>
      <w:pPr>
        <w:tabs>
          <w:tab w:val="num" w:pos="144pt"/>
        </w:tabs>
        <w:ind w:start="144pt" w:hanging="18pt"/>
      </w:pPr>
      <w:rPr>
        <w:rFonts w:hint="default" w:ascii="Symbol" w:hAnsi="Symbol"/>
      </w:rPr>
    </w:lvl>
    <w:lvl w:ilvl="4" w:tplc="04090003" w:tentative="1">
      <w:start w:val="1"/>
      <w:numFmt w:val="bullet"/>
      <w:lvlText w:val="o"/>
      <w:lvlJc w:val="start"/>
      <w:pPr>
        <w:tabs>
          <w:tab w:val="num" w:pos="180pt"/>
        </w:tabs>
        <w:ind w:start="180pt" w:hanging="18pt"/>
      </w:pPr>
      <w:rPr>
        <w:rFonts w:hint="default" w:ascii="Courier New" w:hAnsi="Courier New"/>
      </w:rPr>
    </w:lvl>
    <w:lvl w:ilvl="5" w:tplc="04090005" w:tentative="1">
      <w:start w:val="1"/>
      <w:numFmt w:val="bullet"/>
      <w:lvlText w:val=""/>
      <w:lvlJc w:val="start"/>
      <w:pPr>
        <w:tabs>
          <w:tab w:val="num" w:pos="216pt"/>
        </w:tabs>
        <w:ind w:start="216pt" w:hanging="18pt"/>
      </w:pPr>
      <w:rPr>
        <w:rFonts w:hint="default" w:ascii="Wingdings" w:hAnsi="Wingdings"/>
      </w:rPr>
    </w:lvl>
    <w:lvl w:ilvl="6" w:tplc="04090001" w:tentative="1">
      <w:start w:val="1"/>
      <w:numFmt w:val="bullet"/>
      <w:lvlText w:val=""/>
      <w:lvlJc w:val="start"/>
      <w:pPr>
        <w:tabs>
          <w:tab w:val="num" w:pos="252pt"/>
        </w:tabs>
        <w:ind w:start="252pt" w:hanging="18pt"/>
      </w:pPr>
      <w:rPr>
        <w:rFonts w:hint="default" w:ascii="Symbol" w:hAnsi="Symbol"/>
      </w:rPr>
    </w:lvl>
    <w:lvl w:ilvl="7" w:tplc="04090003" w:tentative="1">
      <w:start w:val="1"/>
      <w:numFmt w:val="bullet"/>
      <w:lvlText w:val="o"/>
      <w:lvlJc w:val="start"/>
      <w:pPr>
        <w:tabs>
          <w:tab w:val="num" w:pos="288pt"/>
        </w:tabs>
        <w:ind w:start="288pt" w:hanging="18pt"/>
      </w:pPr>
      <w:rPr>
        <w:rFonts w:hint="default" w:ascii="Courier New" w:hAnsi="Courier New"/>
      </w:rPr>
    </w:lvl>
    <w:lvl w:ilvl="8" w:tplc="04090005" w:tentative="1">
      <w:start w:val="1"/>
      <w:numFmt w:val="bullet"/>
      <w:lvlText w:val=""/>
      <w:lvlJc w:val="start"/>
      <w:pPr>
        <w:tabs>
          <w:tab w:val="num" w:pos="324pt"/>
        </w:tabs>
        <w:ind w:start="324pt" w:hanging="18pt"/>
      </w:pPr>
      <w:rPr>
        <w:rFonts w:hint="default" w:ascii="Wingdings" w:hAnsi="Wingdings"/>
      </w:rPr>
    </w:lvl>
  </w:abstractNum>
  <w:abstractNum w:abstractNumId="9" w15:restartNumberingAfterBreak="0">
    <w:nsid w:val="54476B3E"/>
    <w:multiLevelType w:val="hybridMultilevel"/>
    <w:tmpl w:val="CFC40DC8"/>
    <w:lvl w:ilvl="0" w:tplc="04090001">
      <w:start w:val="1"/>
      <w:numFmt w:val="bullet"/>
      <w:lvlText w:val=""/>
      <w:lvlJc w:val="start"/>
      <w:pPr>
        <w:tabs>
          <w:tab w:val="num" w:pos="36pt"/>
        </w:tabs>
        <w:ind w:start="36pt" w:hanging="18pt"/>
      </w:pPr>
      <w:rPr>
        <w:rFonts w:hint="default" w:ascii="Symbol" w:hAnsi="Symbol"/>
      </w:rPr>
    </w:lvl>
    <w:lvl w:ilvl="1" w:tplc="04090003" w:tentative="1">
      <w:start w:val="1"/>
      <w:numFmt w:val="bullet"/>
      <w:lvlText w:val="o"/>
      <w:lvlJc w:val="start"/>
      <w:pPr>
        <w:tabs>
          <w:tab w:val="num" w:pos="72pt"/>
        </w:tabs>
        <w:ind w:start="72pt" w:hanging="18pt"/>
      </w:pPr>
      <w:rPr>
        <w:rFonts w:hint="default" w:ascii="Courier New" w:hAnsi="Courier New"/>
      </w:rPr>
    </w:lvl>
    <w:lvl w:ilvl="2" w:tplc="04090005" w:tentative="1">
      <w:start w:val="1"/>
      <w:numFmt w:val="bullet"/>
      <w:lvlText w:val=""/>
      <w:lvlJc w:val="start"/>
      <w:pPr>
        <w:tabs>
          <w:tab w:val="num" w:pos="108pt"/>
        </w:tabs>
        <w:ind w:start="108pt" w:hanging="18pt"/>
      </w:pPr>
      <w:rPr>
        <w:rFonts w:hint="default" w:ascii="Wingdings" w:hAnsi="Wingdings"/>
      </w:rPr>
    </w:lvl>
    <w:lvl w:ilvl="3" w:tplc="04090001" w:tentative="1">
      <w:start w:val="1"/>
      <w:numFmt w:val="bullet"/>
      <w:lvlText w:val=""/>
      <w:lvlJc w:val="start"/>
      <w:pPr>
        <w:tabs>
          <w:tab w:val="num" w:pos="144pt"/>
        </w:tabs>
        <w:ind w:start="144pt" w:hanging="18pt"/>
      </w:pPr>
      <w:rPr>
        <w:rFonts w:hint="default" w:ascii="Symbol" w:hAnsi="Symbol"/>
      </w:rPr>
    </w:lvl>
    <w:lvl w:ilvl="4" w:tplc="04090003" w:tentative="1">
      <w:start w:val="1"/>
      <w:numFmt w:val="bullet"/>
      <w:lvlText w:val="o"/>
      <w:lvlJc w:val="start"/>
      <w:pPr>
        <w:tabs>
          <w:tab w:val="num" w:pos="180pt"/>
        </w:tabs>
        <w:ind w:start="180pt" w:hanging="18pt"/>
      </w:pPr>
      <w:rPr>
        <w:rFonts w:hint="default" w:ascii="Courier New" w:hAnsi="Courier New"/>
      </w:rPr>
    </w:lvl>
    <w:lvl w:ilvl="5" w:tplc="04090005" w:tentative="1">
      <w:start w:val="1"/>
      <w:numFmt w:val="bullet"/>
      <w:lvlText w:val=""/>
      <w:lvlJc w:val="start"/>
      <w:pPr>
        <w:tabs>
          <w:tab w:val="num" w:pos="216pt"/>
        </w:tabs>
        <w:ind w:start="216pt" w:hanging="18pt"/>
      </w:pPr>
      <w:rPr>
        <w:rFonts w:hint="default" w:ascii="Wingdings" w:hAnsi="Wingdings"/>
      </w:rPr>
    </w:lvl>
    <w:lvl w:ilvl="6" w:tplc="04090001" w:tentative="1">
      <w:start w:val="1"/>
      <w:numFmt w:val="bullet"/>
      <w:lvlText w:val=""/>
      <w:lvlJc w:val="start"/>
      <w:pPr>
        <w:tabs>
          <w:tab w:val="num" w:pos="252pt"/>
        </w:tabs>
        <w:ind w:start="252pt" w:hanging="18pt"/>
      </w:pPr>
      <w:rPr>
        <w:rFonts w:hint="default" w:ascii="Symbol" w:hAnsi="Symbol"/>
      </w:rPr>
    </w:lvl>
    <w:lvl w:ilvl="7" w:tplc="04090003" w:tentative="1">
      <w:start w:val="1"/>
      <w:numFmt w:val="bullet"/>
      <w:lvlText w:val="o"/>
      <w:lvlJc w:val="start"/>
      <w:pPr>
        <w:tabs>
          <w:tab w:val="num" w:pos="288pt"/>
        </w:tabs>
        <w:ind w:start="288pt" w:hanging="18pt"/>
      </w:pPr>
      <w:rPr>
        <w:rFonts w:hint="default" w:ascii="Courier New" w:hAnsi="Courier New"/>
      </w:rPr>
    </w:lvl>
    <w:lvl w:ilvl="8" w:tplc="04090005" w:tentative="1">
      <w:start w:val="1"/>
      <w:numFmt w:val="bullet"/>
      <w:lvlText w:val=""/>
      <w:lvlJc w:val="start"/>
      <w:pPr>
        <w:tabs>
          <w:tab w:val="num" w:pos="324pt"/>
        </w:tabs>
        <w:ind w:start="324pt" w:hanging="18pt"/>
      </w:pPr>
      <w:rPr>
        <w:rFonts w:hint="default" w:ascii="Wingdings" w:hAnsi="Wingdings"/>
      </w:rPr>
    </w:lvl>
  </w:abstractNum>
  <w:abstractNum w:abstractNumId="10" w15:restartNumberingAfterBreak="0">
    <w:nsid w:val="60723CF6"/>
    <w:multiLevelType w:val="singleLevel"/>
    <w:tmpl w:val="04090001"/>
    <w:lvl w:ilvl="0">
      <w:start w:val="1"/>
      <w:numFmt w:val="bullet"/>
      <w:lvlText w:val=""/>
      <w:lvlJc w:val="start"/>
      <w:pPr>
        <w:tabs>
          <w:tab w:val="num" w:pos="18pt"/>
        </w:tabs>
        <w:ind w:start="18pt" w:hanging="18pt"/>
      </w:pPr>
      <w:rPr>
        <w:rFonts w:hint="default" w:ascii="Symbol" w:hAnsi="Symbol"/>
      </w:rPr>
    </w:lvl>
  </w:abstractNum>
  <w:abstractNum w:abstractNumId="11" w15:restartNumberingAfterBreak="0">
    <w:nsid w:val="68060C77"/>
    <w:multiLevelType w:val="hybridMultilevel"/>
    <w:tmpl w:val="B310076E"/>
    <w:lvl w:ilvl="0" w:tplc="04090001">
      <w:start w:val="1"/>
      <w:numFmt w:val="bullet"/>
      <w:lvlText w:val=""/>
      <w:lvlJc w:val="start"/>
      <w:pPr>
        <w:tabs>
          <w:tab w:val="num" w:pos="36pt"/>
        </w:tabs>
        <w:ind w:start="36pt" w:hanging="18pt"/>
      </w:pPr>
      <w:rPr>
        <w:rFonts w:hint="default" w:ascii="Symbol" w:hAnsi="Symbol"/>
      </w:rPr>
    </w:lvl>
    <w:lvl w:ilvl="1" w:tplc="04090003" w:tentative="1">
      <w:start w:val="1"/>
      <w:numFmt w:val="bullet"/>
      <w:lvlText w:val="o"/>
      <w:lvlJc w:val="start"/>
      <w:pPr>
        <w:tabs>
          <w:tab w:val="num" w:pos="72pt"/>
        </w:tabs>
        <w:ind w:start="72pt" w:hanging="18pt"/>
      </w:pPr>
      <w:rPr>
        <w:rFonts w:hint="default" w:ascii="Courier New" w:hAnsi="Courier New"/>
      </w:rPr>
    </w:lvl>
    <w:lvl w:ilvl="2" w:tplc="04090005" w:tentative="1">
      <w:start w:val="1"/>
      <w:numFmt w:val="bullet"/>
      <w:lvlText w:val=""/>
      <w:lvlJc w:val="start"/>
      <w:pPr>
        <w:tabs>
          <w:tab w:val="num" w:pos="108pt"/>
        </w:tabs>
        <w:ind w:start="108pt" w:hanging="18pt"/>
      </w:pPr>
      <w:rPr>
        <w:rFonts w:hint="default" w:ascii="Wingdings" w:hAnsi="Wingdings"/>
      </w:rPr>
    </w:lvl>
    <w:lvl w:ilvl="3" w:tplc="04090001" w:tentative="1">
      <w:start w:val="1"/>
      <w:numFmt w:val="bullet"/>
      <w:lvlText w:val=""/>
      <w:lvlJc w:val="start"/>
      <w:pPr>
        <w:tabs>
          <w:tab w:val="num" w:pos="144pt"/>
        </w:tabs>
        <w:ind w:start="144pt" w:hanging="18pt"/>
      </w:pPr>
      <w:rPr>
        <w:rFonts w:hint="default" w:ascii="Symbol" w:hAnsi="Symbol"/>
      </w:rPr>
    </w:lvl>
    <w:lvl w:ilvl="4" w:tplc="04090003" w:tentative="1">
      <w:start w:val="1"/>
      <w:numFmt w:val="bullet"/>
      <w:lvlText w:val="o"/>
      <w:lvlJc w:val="start"/>
      <w:pPr>
        <w:tabs>
          <w:tab w:val="num" w:pos="180pt"/>
        </w:tabs>
        <w:ind w:start="180pt" w:hanging="18pt"/>
      </w:pPr>
      <w:rPr>
        <w:rFonts w:hint="default" w:ascii="Courier New" w:hAnsi="Courier New"/>
      </w:rPr>
    </w:lvl>
    <w:lvl w:ilvl="5" w:tplc="04090005" w:tentative="1">
      <w:start w:val="1"/>
      <w:numFmt w:val="bullet"/>
      <w:lvlText w:val=""/>
      <w:lvlJc w:val="start"/>
      <w:pPr>
        <w:tabs>
          <w:tab w:val="num" w:pos="216pt"/>
        </w:tabs>
        <w:ind w:start="216pt" w:hanging="18pt"/>
      </w:pPr>
      <w:rPr>
        <w:rFonts w:hint="default" w:ascii="Wingdings" w:hAnsi="Wingdings"/>
      </w:rPr>
    </w:lvl>
    <w:lvl w:ilvl="6" w:tplc="04090001" w:tentative="1">
      <w:start w:val="1"/>
      <w:numFmt w:val="bullet"/>
      <w:lvlText w:val=""/>
      <w:lvlJc w:val="start"/>
      <w:pPr>
        <w:tabs>
          <w:tab w:val="num" w:pos="252pt"/>
        </w:tabs>
        <w:ind w:start="252pt" w:hanging="18pt"/>
      </w:pPr>
      <w:rPr>
        <w:rFonts w:hint="default" w:ascii="Symbol" w:hAnsi="Symbol"/>
      </w:rPr>
    </w:lvl>
    <w:lvl w:ilvl="7" w:tplc="04090003" w:tentative="1">
      <w:start w:val="1"/>
      <w:numFmt w:val="bullet"/>
      <w:lvlText w:val="o"/>
      <w:lvlJc w:val="start"/>
      <w:pPr>
        <w:tabs>
          <w:tab w:val="num" w:pos="288pt"/>
        </w:tabs>
        <w:ind w:start="288pt" w:hanging="18pt"/>
      </w:pPr>
      <w:rPr>
        <w:rFonts w:hint="default" w:ascii="Courier New" w:hAnsi="Courier New"/>
      </w:rPr>
    </w:lvl>
    <w:lvl w:ilvl="8" w:tplc="04090005" w:tentative="1">
      <w:start w:val="1"/>
      <w:numFmt w:val="bullet"/>
      <w:lvlText w:val=""/>
      <w:lvlJc w:val="start"/>
      <w:pPr>
        <w:tabs>
          <w:tab w:val="num" w:pos="324pt"/>
        </w:tabs>
        <w:ind w:start="324pt" w:hanging="18pt"/>
      </w:pPr>
      <w:rPr>
        <w:rFonts w:hint="default" w:ascii="Wingdings" w:hAnsi="Wingdings"/>
      </w:rPr>
    </w:lvl>
  </w:abstractNum>
  <w:abstractNum w:abstractNumId="12" w15:restartNumberingAfterBreak="0">
    <w:nsid w:val="7619700F"/>
    <w:multiLevelType w:val="singleLevel"/>
    <w:tmpl w:val="04090001"/>
    <w:lvl w:ilvl="0">
      <w:start w:val="1"/>
      <w:numFmt w:val="bullet"/>
      <w:lvlText w:val=""/>
      <w:lvlJc w:val="start"/>
      <w:pPr>
        <w:tabs>
          <w:tab w:val="num" w:pos="18pt"/>
        </w:tabs>
        <w:ind w:start="18pt" w:hanging="18pt"/>
      </w:pPr>
      <w:rPr>
        <w:rFonts w:hint="default" w:ascii="Symbol" w:hAnsi="Symbol"/>
      </w:rPr>
    </w:lvl>
  </w:abstractNum>
  <w:abstractNum w:abstractNumId="13" w15:restartNumberingAfterBreak="0">
    <w:nsid w:val="78A6577B"/>
    <w:multiLevelType w:val="hybridMultilevel"/>
    <w:tmpl w:val="A3BAB436"/>
    <w:lvl w:ilvl="0" w:tplc="04090001">
      <w:start w:val="1"/>
      <w:numFmt w:val="bullet"/>
      <w:lvlText w:val=""/>
      <w:lvlJc w:val="start"/>
      <w:pPr>
        <w:tabs>
          <w:tab w:val="num" w:pos="38.25pt"/>
        </w:tabs>
        <w:ind w:start="38.25pt" w:hanging="18pt"/>
      </w:pPr>
      <w:rPr>
        <w:rFonts w:hint="default" w:ascii="Symbol" w:hAnsi="Symbol"/>
      </w:rPr>
    </w:lvl>
    <w:lvl w:ilvl="1" w:tplc="04090003" w:tentative="1">
      <w:start w:val="1"/>
      <w:numFmt w:val="bullet"/>
      <w:lvlText w:val="o"/>
      <w:lvlJc w:val="start"/>
      <w:pPr>
        <w:tabs>
          <w:tab w:val="num" w:pos="74.25pt"/>
        </w:tabs>
        <w:ind w:start="74.25pt" w:hanging="18pt"/>
      </w:pPr>
      <w:rPr>
        <w:rFonts w:hint="default" w:ascii="Courier New" w:hAnsi="Courier New"/>
      </w:rPr>
    </w:lvl>
    <w:lvl w:ilvl="2" w:tplc="04090005" w:tentative="1">
      <w:start w:val="1"/>
      <w:numFmt w:val="bullet"/>
      <w:lvlText w:val=""/>
      <w:lvlJc w:val="start"/>
      <w:pPr>
        <w:tabs>
          <w:tab w:val="num" w:pos="110.25pt"/>
        </w:tabs>
        <w:ind w:start="110.25pt" w:hanging="18pt"/>
      </w:pPr>
      <w:rPr>
        <w:rFonts w:hint="default" w:ascii="Wingdings" w:hAnsi="Wingdings"/>
      </w:rPr>
    </w:lvl>
    <w:lvl w:ilvl="3" w:tplc="04090001" w:tentative="1">
      <w:start w:val="1"/>
      <w:numFmt w:val="bullet"/>
      <w:lvlText w:val=""/>
      <w:lvlJc w:val="start"/>
      <w:pPr>
        <w:tabs>
          <w:tab w:val="num" w:pos="146.25pt"/>
        </w:tabs>
        <w:ind w:start="146.25pt" w:hanging="18pt"/>
      </w:pPr>
      <w:rPr>
        <w:rFonts w:hint="default" w:ascii="Symbol" w:hAnsi="Symbol"/>
      </w:rPr>
    </w:lvl>
    <w:lvl w:ilvl="4" w:tplc="04090003" w:tentative="1">
      <w:start w:val="1"/>
      <w:numFmt w:val="bullet"/>
      <w:lvlText w:val="o"/>
      <w:lvlJc w:val="start"/>
      <w:pPr>
        <w:tabs>
          <w:tab w:val="num" w:pos="182.25pt"/>
        </w:tabs>
        <w:ind w:start="182.25pt" w:hanging="18pt"/>
      </w:pPr>
      <w:rPr>
        <w:rFonts w:hint="default" w:ascii="Courier New" w:hAnsi="Courier New"/>
      </w:rPr>
    </w:lvl>
    <w:lvl w:ilvl="5" w:tplc="04090005" w:tentative="1">
      <w:start w:val="1"/>
      <w:numFmt w:val="bullet"/>
      <w:lvlText w:val=""/>
      <w:lvlJc w:val="start"/>
      <w:pPr>
        <w:tabs>
          <w:tab w:val="num" w:pos="218.25pt"/>
        </w:tabs>
        <w:ind w:start="218.25pt" w:hanging="18pt"/>
      </w:pPr>
      <w:rPr>
        <w:rFonts w:hint="default" w:ascii="Wingdings" w:hAnsi="Wingdings"/>
      </w:rPr>
    </w:lvl>
    <w:lvl w:ilvl="6" w:tplc="04090001" w:tentative="1">
      <w:start w:val="1"/>
      <w:numFmt w:val="bullet"/>
      <w:lvlText w:val=""/>
      <w:lvlJc w:val="start"/>
      <w:pPr>
        <w:tabs>
          <w:tab w:val="num" w:pos="254.25pt"/>
        </w:tabs>
        <w:ind w:start="254.25pt" w:hanging="18pt"/>
      </w:pPr>
      <w:rPr>
        <w:rFonts w:hint="default" w:ascii="Symbol" w:hAnsi="Symbol"/>
      </w:rPr>
    </w:lvl>
    <w:lvl w:ilvl="7" w:tplc="04090003" w:tentative="1">
      <w:start w:val="1"/>
      <w:numFmt w:val="bullet"/>
      <w:lvlText w:val="o"/>
      <w:lvlJc w:val="start"/>
      <w:pPr>
        <w:tabs>
          <w:tab w:val="num" w:pos="290.25pt"/>
        </w:tabs>
        <w:ind w:start="290.25pt" w:hanging="18pt"/>
      </w:pPr>
      <w:rPr>
        <w:rFonts w:hint="default" w:ascii="Courier New" w:hAnsi="Courier New"/>
      </w:rPr>
    </w:lvl>
    <w:lvl w:ilvl="8" w:tplc="04090005" w:tentative="1">
      <w:start w:val="1"/>
      <w:numFmt w:val="bullet"/>
      <w:lvlText w:val=""/>
      <w:lvlJc w:val="start"/>
      <w:pPr>
        <w:tabs>
          <w:tab w:val="num" w:pos="326.25pt"/>
        </w:tabs>
        <w:ind w:start="326.25pt" w:hanging="18pt"/>
      </w:pPr>
      <w:rPr>
        <w:rFonts w:hint="default" w:ascii="Wingdings" w:hAnsi="Wingdings"/>
      </w:rPr>
    </w:lvl>
  </w:abstractNum>
  <w:abstractNum w:abstractNumId="14" w15:restartNumberingAfterBreak="0">
    <w:nsid w:val="7D5B58AC"/>
    <w:multiLevelType w:val="multilevel"/>
    <w:tmpl w:val="D45EB7CC"/>
    <w:lvl w:ilvl="0">
      <w:start w:val="1"/>
      <w:numFmt w:val="upperRoman"/>
      <w:suff w:val="nothing"/>
      <w:lvlText w:val="Article %1"/>
      <w:lvlJc w:val="start"/>
      <w:pPr>
        <w:ind w:start="0pt" w:firstLine="0pt"/>
      </w:pPr>
      <w:rPr>
        <w:b/>
        <w:i w:val="0"/>
      </w:rPr>
    </w:lvl>
    <w:lvl w:ilvl="1">
      <w:start w:val="1"/>
      <w:numFmt w:val="decimalZero"/>
      <w:isLgl/>
      <w:lvlText w:val="Section %1.%2"/>
      <w:lvlJc w:val="start"/>
      <w:pPr>
        <w:tabs>
          <w:tab w:val="num" w:pos="54pt"/>
        </w:tabs>
        <w:ind w:start="0pt" w:firstLine="0pt"/>
      </w:pPr>
    </w:lvl>
    <w:lvl w:ilvl="2">
      <w:start w:val="1"/>
      <w:numFmt w:val="decimal"/>
      <w:lvlText w:val="(%3)"/>
      <w:lvlJc w:val="start"/>
      <w:pPr>
        <w:tabs>
          <w:tab w:val="num" w:pos="36pt"/>
        </w:tabs>
        <w:ind w:start="36pt" w:hanging="36pt"/>
      </w:pPr>
    </w:lvl>
    <w:lvl w:ilvl="3">
      <w:start w:val="1"/>
      <w:numFmt w:val="lowerLetter"/>
      <w:lvlText w:val="(%4)"/>
      <w:lvlJc w:val="start"/>
      <w:pPr>
        <w:tabs>
          <w:tab w:val="num" w:pos="54pt"/>
        </w:tabs>
        <w:ind w:start="36pt" w:firstLine="0pt"/>
      </w:pPr>
    </w:lvl>
    <w:lvl w:ilvl="4">
      <w:start w:val="1"/>
      <w:numFmt w:val="lowerRoman"/>
      <w:lvlText w:val="(%5)"/>
      <w:lvlJc w:val="start"/>
      <w:pPr>
        <w:tabs>
          <w:tab w:val="num" w:pos="108pt"/>
        </w:tabs>
        <w:ind w:start="108pt" w:hanging="36pt"/>
      </w:pPr>
    </w:lvl>
    <w:lvl w:ilvl="5">
      <w:start w:val="1"/>
      <w:numFmt w:val="lowerLetter"/>
      <w:lvlText w:val="%6)"/>
      <w:lvlJc w:val="start"/>
      <w:pPr>
        <w:tabs>
          <w:tab w:val="num" w:pos="57.60pt"/>
        </w:tabs>
        <w:ind w:start="57.60pt" w:hanging="21.60pt"/>
      </w:pPr>
    </w:lvl>
    <w:lvl w:ilvl="6">
      <w:start w:val="1"/>
      <w:numFmt w:val="lowerRoman"/>
      <w:lvlText w:val="%7)"/>
      <w:lvlJc w:val="end"/>
      <w:pPr>
        <w:tabs>
          <w:tab w:val="num" w:pos="64.80pt"/>
        </w:tabs>
        <w:ind w:start="64.80pt" w:hanging="14.40pt"/>
      </w:pPr>
    </w:lvl>
    <w:lvl w:ilvl="7">
      <w:start w:val="1"/>
      <w:numFmt w:val="lowerLetter"/>
      <w:lvlText w:val="%8."/>
      <w:lvlJc w:val="start"/>
      <w:pPr>
        <w:tabs>
          <w:tab w:val="num" w:pos="72pt"/>
        </w:tabs>
        <w:ind w:start="72pt" w:hanging="21.60pt"/>
      </w:pPr>
    </w:lvl>
    <w:lvl w:ilvl="8">
      <w:start w:val="1"/>
      <w:numFmt w:val="lowerRoman"/>
      <w:lvlText w:val="%9."/>
      <w:lvlJc w:val="end"/>
      <w:pPr>
        <w:tabs>
          <w:tab w:val="num" w:pos="79.20pt"/>
        </w:tabs>
        <w:ind w:start="79.20pt" w:hanging="7.20pt"/>
      </w:pPr>
    </w:lvl>
  </w:abstractNum>
  <w:num w:numId="1">
    <w:abstractNumId w:val="0"/>
  </w:num>
  <w:num w:numId="2">
    <w:abstractNumId w:val="14"/>
  </w:num>
  <w:num w:numId="3">
    <w:abstractNumId w:val="6"/>
  </w:num>
  <w:num w:numId="4">
    <w:abstractNumId w:val="6"/>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6"/>
  </w:num>
  <w:num w:numId="14">
    <w:abstractNumId w:val="6"/>
  </w:num>
  <w:num w:numId="15">
    <w:abstractNumId w:val="6"/>
  </w:num>
  <w:num w:numId="16">
    <w:abstractNumId w:val="6"/>
  </w:num>
  <w:num w:numId="17">
    <w:abstractNumId w:val="12"/>
  </w:num>
  <w:num w:numId="18">
    <w:abstractNumId w:val="4"/>
  </w:num>
  <w:num w:numId="19">
    <w:abstractNumId w:val="3"/>
  </w:num>
  <w:num w:numId="20">
    <w:abstractNumId w:val="10"/>
  </w:num>
  <w:num w:numId="21">
    <w:abstractNumId w:val="11"/>
  </w:num>
  <w:num w:numId="22">
    <w:abstractNumId w:val="8"/>
  </w:num>
  <w:num w:numId="23">
    <w:abstractNumId w:val="2"/>
  </w:num>
  <w:num w:numId="24">
    <w:abstractNumId w:val="13"/>
  </w:num>
  <w:num w:numId="25">
    <w:abstractNumId w:val="9"/>
  </w:num>
  <w:num w:numId="26">
    <w:abstractNumId w:val="5"/>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pt"/>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425D"/>
    <w:rsid w:val="000276A7"/>
    <w:rsid w:val="00063B68"/>
    <w:rsid w:val="000750D1"/>
    <w:rsid w:val="00086775"/>
    <w:rsid w:val="00090685"/>
    <w:rsid w:val="00090A84"/>
    <w:rsid w:val="000D20BA"/>
    <w:rsid w:val="000E72E7"/>
    <w:rsid w:val="00105603"/>
    <w:rsid w:val="00114134"/>
    <w:rsid w:val="00121D17"/>
    <w:rsid w:val="00146E90"/>
    <w:rsid w:val="00187AA6"/>
    <w:rsid w:val="0019549A"/>
    <w:rsid w:val="002237F4"/>
    <w:rsid w:val="002332E6"/>
    <w:rsid w:val="00253C7D"/>
    <w:rsid w:val="00260326"/>
    <w:rsid w:val="00273A03"/>
    <w:rsid w:val="00290228"/>
    <w:rsid w:val="0029077F"/>
    <w:rsid w:val="002E46B5"/>
    <w:rsid w:val="00310955"/>
    <w:rsid w:val="00322101"/>
    <w:rsid w:val="00341A68"/>
    <w:rsid w:val="0035183C"/>
    <w:rsid w:val="003A78D9"/>
    <w:rsid w:val="003B4D4C"/>
    <w:rsid w:val="003C29CD"/>
    <w:rsid w:val="003C4CF6"/>
    <w:rsid w:val="003E5B2A"/>
    <w:rsid w:val="00427E32"/>
    <w:rsid w:val="004822B0"/>
    <w:rsid w:val="00493865"/>
    <w:rsid w:val="00497A14"/>
    <w:rsid w:val="004D0E8E"/>
    <w:rsid w:val="004F0E7A"/>
    <w:rsid w:val="00535BCE"/>
    <w:rsid w:val="005A7167"/>
    <w:rsid w:val="005B425D"/>
    <w:rsid w:val="005B619D"/>
    <w:rsid w:val="005D4ABF"/>
    <w:rsid w:val="005F7AB0"/>
    <w:rsid w:val="0069778E"/>
    <w:rsid w:val="006B3FC5"/>
    <w:rsid w:val="006E29C8"/>
    <w:rsid w:val="0070645B"/>
    <w:rsid w:val="00722AF3"/>
    <w:rsid w:val="00732C4E"/>
    <w:rsid w:val="007412BB"/>
    <w:rsid w:val="00744D1C"/>
    <w:rsid w:val="00753538"/>
    <w:rsid w:val="00793B26"/>
    <w:rsid w:val="007C4D52"/>
    <w:rsid w:val="00820EA1"/>
    <w:rsid w:val="00871DA1"/>
    <w:rsid w:val="008809B9"/>
    <w:rsid w:val="00931402"/>
    <w:rsid w:val="00966DFF"/>
    <w:rsid w:val="009B4D45"/>
    <w:rsid w:val="009C6A95"/>
    <w:rsid w:val="009C7258"/>
    <w:rsid w:val="00A03D7D"/>
    <w:rsid w:val="00A44A56"/>
    <w:rsid w:val="00A46659"/>
    <w:rsid w:val="00A9191B"/>
    <w:rsid w:val="00AC36B0"/>
    <w:rsid w:val="00AC3C57"/>
    <w:rsid w:val="00AC4309"/>
    <w:rsid w:val="00AE6569"/>
    <w:rsid w:val="00B03E15"/>
    <w:rsid w:val="00B12BED"/>
    <w:rsid w:val="00B15731"/>
    <w:rsid w:val="00B41F72"/>
    <w:rsid w:val="00B6609B"/>
    <w:rsid w:val="00B90954"/>
    <w:rsid w:val="00B919BE"/>
    <w:rsid w:val="00BC51E5"/>
    <w:rsid w:val="00C1661B"/>
    <w:rsid w:val="00C54089"/>
    <w:rsid w:val="00C6414C"/>
    <w:rsid w:val="00C90865"/>
    <w:rsid w:val="00CA78B5"/>
    <w:rsid w:val="00CC7996"/>
    <w:rsid w:val="00D12688"/>
    <w:rsid w:val="00D27FA2"/>
    <w:rsid w:val="00D34E6F"/>
    <w:rsid w:val="00D703BE"/>
    <w:rsid w:val="00D777AF"/>
    <w:rsid w:val="00D83CC4"/>
    <w:rsid w:val="00DA1481"/>
    <w:rsid w:val="00DA6B6E"/>
    <w:rsid w:val="00DA6F95"/>
    <w:rsid w:val="00DB486D"/>
    <w:rsid w:val="00DC596C"/>
    <w:rsid w:val="00DC60B7"/>
    <w:rsid w:val="00DD036D"/>
    <w:rsid w:val="00DF74E7"/>
    <w:rsid w:val="00E02F88"/>
    <w:rsid w:val="00E37C7D"/>
    <w:rsid w:val="00E6006B"/>
    <w:rsid w:val="00E61F52"/>
    <w:rsid w:val="00E7727D"/>
    <w:rsid w:val="00E868DD"/>
    <w:rsid w:val="00E970CF"/>
    <w:rsid w:val="00EC3D3A"/>
    <w:rsid w:val="00F578B6"/>
    <w:rsid w:val="00F67461"/>
    <w:rsid w:val="00F84124"/>
    <w:rsid w:val="00F964CB"/>
    <w:rsid w:val="00FA31B5"/>
    <w:rsid w:val="00FC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decimalSymbol w:val="."/>
  <w:listSeparator w:val=","/>
  <w15:chartTrackingRefBased/>
  <w15:docId w15:val="{201E6FF3-091B-49E0-9128-D75B18C1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rFonts w:ascii="Arial Narrow" w:hAnsi="Arial Narrow"/>
    </w:rPr>
  </w:style>
  <w:style w:type="paragraph" w:styleId="Heading1">
    <w:name w:val="heading 1"/>
    <w:basedOn w:val="Normal"/>
    <w:next w:val="Normal"/>
    <w:qFormat/>
    <w:pPr>
      <w:keepNext/>
      <w:spacing w:before="12pt" w:after="3pt"/>
      <w:outlineLvl w:val="0"/>
    </w:pPr>
    <w:rPr>
      <w:b/>
      <w:kern w:val="28"/>
      <w:sz w:val="28"/>
    </w:rPr>
  </w:style>
  <w:style w:type="paragraph" w:styleId="Heading2">
    <w:name w:val="heading 2"/>
    <w:basedOn w:val="Normal"/>
    <w:next w:val="Normal"/>
    <w:qFormat/>
    <w:pPr>
      <w:keepNext/>
      <w:spacing w:before="12pt" w:after="3pt"/>
      <w:outlineLvl w:val="1"/>
    </w:pPr>
    <w:rPr>
      <w:b/>
    </w:rPr>
  </w:style>
  <w:style w:type="paragraph" w:styleId="Heading3">
    <w:name w:val="heading 3"/>
    <w:basedOn w:val="Normal"/>
    <w:next w:val="Normal"/>
    <w:qFormat/>
    <w:pPr>
      <w:keepNext/>
      <w:spacing w:before="12pt" w:after="3pt"/>
      <w:outlineLvl w:val="2"/>
    </w:pPr>
    <w:rPr>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rFonts w:ascii="Times New Roman" w:hAnsi="Times New Roman"/>
      <w:b/>
      <w:bCs/>
    </w:rPr>
  </w:style>
  <w:style w:type="paragraph" w:styleId="Heading6">
    <w:name w:val="heading 6"/>
    <w:basedOn w:val="Normal"/>
    <w:next w:val="Normal"/>
    <w:qFormat/>
    <w:pPr>
      <w:keepNext/>
      <w:outlineLvl w:val="5"/>
    </w:pPr>
    <w:rPr>
      <w:rFonts w:ascii="Times New Roman" w:hAnsi="Times New Roman"/>
      <w:b/>
      <w:bCs/>
      <w:sz w:val="24"/>
    </w:rPr>
  </w:style>
  <w:style w:type="paragraph" w:styleId="Heading7">
    <w:name w:val="heading 7"/>
    <w:basedOn w:val="Normal"/>
    <w:next w:val="Normal"/>
    <w:link w:val="Heading7Char"/>
    <w:qFormat/>
    <w:pPr>
      <w:keepNext/>
      <w:outlineLvl w:val="6"/>
    </w:pPr>
    <w:rPr>
      <w:rFonts w:ascii="Times New Roman" w:hAnsi="Times New Roman"/>
      <w:b/>
      <w:bCs/>
      <w:i/>
      <w:iCs/>
    </w:rPr>
  </w:style>
  <w:style w:type="character" w:styleId="DefaultParagraphFont" w:default="1">
    <w:name w:val="Default Paragraph Font"/>
    <w:semiHidden/>
  </w:style>
  <w:style w:type="table" w:styleId="TableNormal" w:default="1">
    <w:name w:val="Normal Table"/>
    <w:semiHidden/>
    <w:tblPr>
      <w:tblInd w:w="0pt" w:type="dxa"/>
      <w:tblCellMar>
        <w:top w:w="0pt" w:type="dxa"/>
        <w:start w:w="5.40pt" w:type="dxa"/>
        <w:bottom w:w="0pt" w:type="dxa"/>
        <w:end w:w="5.40pt" w:type="dxa"/>
      </w:tblCellMar>
    </w:tblPr>
  </w:style>
  <w:style w:type="numbering" w:styleId="NoList" w:default="1">
    <w:name w:val="No List"/>
    <w:semiHidden/>
  </w:style>
  <w:style w:type="character" w:styleId="FootnoteReference">
    <w:name w:val="footnote reference"/>
    <w:rPr>
      <w:vertAlign w:val="superscript"/>
    </w:rPr>
  </w:style>
  <w:style w:type="paragraph" w:styleId="FootnoteText">
    <w:name w:val="footnote text"/>
    <w:basedOn w:val="Normal"/>
    <w:link w:val="FootnoteTextChar"/>
  </w:style>
  <w:style w:type="paragraph" w:styleId="ArticleNumber" w:customStyle="1">
    <w:name w:val="Article Number"/>
    <w:basedOn w:val="Normal"/>
    <w:pPr>
      <w:numPr>
        <w:numId w:val="16"/>
      </w:numPr>
      <w:spacing w:line="24pt" w:lineRule="auto"/>
      <w:jc w:val="center"/>
    </w:pPr>
  </w:style>
  <w:style w:type="paragraph" w:styleId="ArticleLevel1" w:customStyle="1">
    <w:name w:val="Article Level (1)"/>
    <w:basedOn w:val="Normal"/>
    <w:pPr>
      <w:numPr>
        <w:ilvl w:val="1"/>
        <w:numId w:val="13"/>
      </w:numPr>
      <w:tabs>
        <w:tab w:val="clear" w:pos="54pt"/>
      </w:tabs>
      <w:spacing w:line="24pt" w:lineRule="auto"/>
    </w:pPr>
  </w:style>
  <w:style w:type="paragraph" w:styleId="ArticleLevela" w:customStyle="1">
    <w:name w:val="Article Level (a)"/>
    <w:basedOn w:val="Normal"/>
    <w:pPr>
      <w:numPr>
        <w:ilvl w:val="2"/>
        <w:numId w:val="14"/>
      </w:numPr>
      <w:tabs>
        <w:tab w:val="clear" w:pos="72pt"/>
      </w:tabs>
      <w:spacing w:line="24pt" w:lineRule="auto"/>
      <w:ind w:start="108pt"/>
    </w:pPr>
  </w:style>
  <w:style w:type="paragraph" w:styleId="ArticleLeveli" w:customStyle="1">
    <w:name w:val="Article Level (i)"/>
    <w:basedOn w:val="Normal"/>
    <w:pPr>
      <w:numPr>
        <w:ilvl w:val="3"/>
        <w:numId w:val="15"/>
      </w:numPr>
      <w:tabs>
        <w:tab w:val="clear" w:pos="108pt"/>
      </w:tabs>
      <w:spacing w:line="24pt" w:lineRule="auto"/>
      <w:ind w:start="144pt"/>
    </w:pPr>
  </w:style>
  <w:style w:type="paragraph" w:styleId="Footer">
    <w:name w:val="footer"/>
    <w:basedOn w:val="Normal"/>
    <w:pPr>
      <w:tabs>
        <w:tab w:val="center" w:pos="216pt"/>
        <w:tab w:val="right" w:pos="432pt"/>
      </w:tabs>
    </w:pPr>
  </w:style>
  <w:style w:type="character" w:styleId="PageNumber">
    <w:name w:val="page number"/>
    <w:basedOn w:val="DefaultParagraphFont"/>
  </w:style>
  <w:style w:type="paragraph" w:styleId="Header">
    <w:name w:val="header"/>
    <w:basedOn w:val="Normal"/>
    <w:pPr>
      <w:tabs>
        <w:tab w:val="center" w:pos="216pt"/>
        <w:tab w:val="right" w:pos="432pt"/>
      </w:tabs>
    </w:pPr>
  </w:style>
  <w:style w:type="paragraph" w:styleId="BodyText">
    <w:name w:val="Body Text"/>
    <w:basedOn w:val="Normal"/>
    <w:link w:val="BodyTextChar"/>
    <w:qFormat/>
    <w:rPr>
      <w:sz w:val="24"/>
      <w:u w:val="single"/>
    </w:rPr>
  </w:style>
  <w:style w:type="paragraph" w:styleId="BodyText2">
    <w:name w:val="Body Text 2"/>
    <w:basedOn w:val="Normal"/>
    <w:rPr>
      <w:sz w:val="24"/>
    </w:rPr>
  </w:style>
  <w:style w:type="paragraph" w:styleId="BodyText3">
    <w:name w:val="Body Text 3"/>
    <w:basedOn w:val="Normal"/>
    <w:rPr>
      <w:rFonts w:ascii="Times New Roman" w:hAnsi="Times New Roman"/>
      <w:b/>
      <w:bCs/>
      <w:sz w:val="24"/>
    </w:rPr>
  </w:style>
  <w:style w:type="paragraph" w:styleId="BalloonText">
    <w:name w:val="Balloon Text"/>
    <w:basedOn w:val="Normal"/>
    <w:semiHidden/>
    <w:rsid w:val="00D83CC4"/>
    <w:rPr>
      <w:rFonts w:ascii="Tahoma" w:hAnsi="Tahoma" w:cs="Tahoma"/>
      <w:sz w:val="16"/>
      <w:szCs w:val="16"/>
    </w:rPr>
  </w:style>
  <w:style w:type="paragraph" w:styleId="ListParagraph">
    <w:name w:val="List Paragraph"/>
    <w:basedOn w:val="Normal"/>
    <w:uiPriority w:val="34"/>
    <w:qFormat/>
    <w:rsid w:val="00EC3D3A"/>
    <w:pPr>
      <w:snapToGrid w:val="0"/>
      <w:ind w:start="36pt"/>
      <w:contextualSpacing/>
    </w:pPr>
    <w:rPr>
      <w:rFonts w:ascii="Courier" w:hAnsi="Courier" w:eastAsia="Calibri"/>
      <w:sz w:val="24"/>
      <w:szCs w:val="24"/>
    </w:rPr>
  </w:style>
  <w:style w:type="character" w:styleId="BodyTextChar" w:customStyle="1">
    <w:name w:val="Body Text Char"/>
    <w:link w:val="BodyText"/>
    <w:rsid w:val="00146E90"/>
    <w:rPr>
      <w:rFonts w:ascii="Arial Narrow" w:hAnsi="Arial Narrow"/>
      <w:sz w:val="24"/>
      <w:u w:val="single"/>
    </w:rPr>
  </w:style>
  <w:style w:type="character" w:styleId="CommentReference">
    <w:name w:val="annotation reference"/>
    <w:rsid w:val="00B919BE"/>
    <w:rPr>
      <w:sz w:val="16"/>
      <w:szCs w:val="16"/>
    </w:rPr>
  </w:style>
  <w:style w:type="paragraph" w:styleId="CommentText">
    <w:name w:val="annotation text"/>
    <w:basedOn w:val="Normal"/>
    <w:link w:val="CommentTextChar"/>
    <w:rsid w:val="00B919BE"/>
  </w:style>
  <w:style w:type="character" w:styleId="CommentTextChar" w:customStyle="1">
    <w:name w:val="Comment Text Char"/>
    <w:link w:val="CommentText"/>
    <w:rsid w:val="00B919BE"/>
    <w:rPr>
      <w:rFonts w:ascii="Arial Narrow" w:hAnsi="Arial Narrow"/>
    </w:rPr>
  </w:style>
  <w:style w:type="paragraph" w:styleId="CommentSubject">
    <w:name w:val="annotation subject"/>
    <w:basedOn w:val="CommentText"/>
    <w:next w:val="CommentText"/>
    <w:link w:val="CommentSubjectChar"/>
    <w:rsid w:val="00B919BE"/>
    <w:rPr>
      <w:b/>
      <w:bCs/>
    </w:rPr>
  </w:style>
  <w:style w:type="character" w:styleId="CommentSubjectChar" w:customStyle="1">
    <w:name w:val="Comment Subject Char"/>
    <w:link w:val="CommentSubject"/>
    <w:rsid w:val="00B919BE"/>
    <w:rPr>
      <w:rFonts w:ascii="Arial Narrow" w:hAnsi="Arial Narrow"/>
      <w:b/>
      <w:bCs/>
    </w:rPr>
  </w:style>
  <w:style w:type="character" w:styleId="Heading7Char" w:customStyle="1">
    <w:name w:val="Heading 7 Char"/>
    <w:link w:val="Heading7"/>
    <w:rsid w:val="000E72E7"/>
    <w:rPr>
      <w:b/>
      <w:bCs/>
      <w:i/>
      <w:iCs/>
    </w:rPr>
  </w:style>
  <w:style w:type="character" w:styleId="FootnoteTextChar" w:customStyle="1">
    <w:name w:val="Footnote Text Char"/>
    <w:link w:val="FootnoteText"/>
    <w:rsid w:val="000E72E7"/>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ap:Template>
  <ap:TotalTime>0</ap:TotalTime>
  <ap:Pages>5</ap:Pages>
  <ap:Words>1712</ap:Words>
  <ap:Characters>9763</ap:Characters>
  <ap:Application>Microsoft Office Word</ap:Application>
  <ap:DocSecurity>0</ap:DocSecurity>
  <ap:Lines>81</ap:Lines>
  <ap:Paragraphs>22</ap:Paragraphs>
  <ap:ScaleCrop>false</ap:ScaleCrop>
  <ap:HeadingPairs>
    <vt:vector baseType="variant" size="2">
      <vt:variant>
        <vt:lpstr>Title</vt:lpstr>
      </vt:variant>
      <vt:variant>
        <vt:i4>1</vt:i4>
      </vt:variant>
    </vt:vector>
  </ap:HeadingPairs>
  <ap:TitlesOfParts>
    <vt:vector baseType="lpstr" size="1">
      <vt:lpstr>Supporting Statement</vt:lpstr>
    </vt:vector>
  </ap:TitlesOfParts>
  <ap:Company>OCC</ap:Company>
  <ap:LinksUpToDate>false</ap:LinksUpToDate>
  <ap:CharactersWithSpaces>11453</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OCC</dc:creator>
  <cp:keywords/>
  <cp:lastModifiedBy>Gottlieb, Mary</cp:lastModifiedBy>
  <cp:revision>2</cp:revision>
  <cp:lastPrinted>2018-01-24T16:12:00Z</cp:lastPrinted>
  <dcterms:created xsi:type="dcterms:W3CDTF">2020-02-25T16:55:00Z</dcterms:created>
  <dcterms:modified xsi:type="dcterms:W3CDTF">2020-02-25T16:55:00Z</dcterms:modified>
</cp:coreProperties>
</file>