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body>
    <w:p w:rsidRPr="00CE1645" w:rsidR="00D70544" w:rsidRDefault="00D70544">
      <w:pPr>
        <w:pStyle w:val="Title"/>
      </w:pPr>
      <w:r w:rsidRPr="00CE1645">
        <w:t>Supporting Statement</w:t>
      </w:r>
    </w:p>
    <w:p w:rsidRPr="004926FD" w:rsidR="004926FD" w:rsidP="005D215A" w:rsidRDefault="004926FD">
      <w:pPr>
        <w:jc w:val="center"/>
        <w:rPr>
          <w:b/>
        </w:rPr>
      </w:pPr>
      <w:r w:rsidRPr="004926FD">
        <w:rPr>
          <w:b/>
        </w:rPr>
        <w:t>Extensions of Credit to Insiders a</w:t>
      </w:r>
      <w:r>
        <w:rPr>
          <w:b/>
        </w:rPr>
        <w:t>nd Transactions with Affiliates</w:t>
      </w:r>
    </w:p>
    <w:p w:rsidRPr="00CE1645" w:rsidR="005D215A" w:rsidP="005D215A" w:rsidRDefault="008405F0">
      <w:pPr>
        <w:jc w:val="center"/>
        <w:rPr>
          <w:b/>
          <w:bCs/>
        </w:rPr>
      </w:pPr>
      <w:r>
        <w:rPr>
          <w:b/>
          <w:bCs/>
        </w:rPr>
        <w:t>OMB Control No. 1557-0336</w:t>
      </w:r>
    </w:p>
    <w:p w:rsidRPr="00AD0ED4" w:rsidR="00AD0ED4" w:rsidP="00AD0ED4" w:rsidRDefault="00AD0ED4">
      <w:pPr>
        <w:pStyle w:val="BodyText"/>
        <w:ind w:firstLine="36pt"/>
        <w:rPr>
          <w:b w:val="0"/>
        </w:rPr>
      </w:pPr>
    </w:p>
    <w:p w:rsidRPr="00CE1645" w:rsidR="00D70544" w:rsidRDefault="00D70544">
      <w:pPr>
        <w:rPr>
          <w:b/>
          <w:bCs/>
        </w:rPr>
      </w:pPr>
      <w:r w:rsidRPr="00CE1645">
        <w:rPr>
          <w:b/>
          <w:bCs/>
        </w:rPr>
        <w:t>A.  Justification</w:t>
      </w:r>
      <w:r w:rsidR="00B47C9C">
        <w:rPr>
          <w:b/>
          <w:bCs/>
        </w:rPr>
        <w:t>.</w:t>
      </w:r>
    </w:p>
    <w:p w:rsidRPr="00CE1645" w:rsidR="00D70544" w:rsidRDefault="00D70544">
      <w:pPr>
        <w:rPr>
          <w:b/>
          <w:bCs/>
        </w:rPr>
      </w:pPr>
    </w:p>
    <w:p w:rsidRPr="00CE1645" w:rsidR="00D70544" w:rsidRDefault="00D70544">
      <w:pPr>
        <w:pStyle w:val="BodyText"/>
        <w:rPr>
          <w:b w:val="0"/>
          <w:bCs w:val="0"/>
        </w:rPr>
      </w:pPr>
      <w:r w:rsidRPr="00CE1645">
        <w:t xml:space="preserve">1.  </w:t>
      </w:r>
      <w:r w:rsidRPr="00CE1645">
        <w:rPr>
          <w:i/>
          <w:iCs/>
        </w:rPr>
        <w:t>Circumstances that make the collection necessary:</w:t>
      </w:r>
    </w:p>
    <w:p w:rsidR="00E17855" w:rsidP="00D20000" w:rsidRDefault="00E17855">
      <w:pPr>
        <w:tabs>
          <w:tab w:val="left" w:pos="36pt"/>
        </w:tabs>
        <w:ind w:firstLine="36pt"/>
      </w:pPr>
    </w:p>
    <w:p w:rsidR="00D20000" w:rsidP="00D20000" w:rsidRDefault="00E17855">
      <w:pPr>
        <w:tabs>
          <w:tab w:val="left" w:pos="36pt"/>
        </w:tabs>
        <w:ind w:firstLine="36pt"/>
      </w:pPr>
      <w:r w:rsidRPr="00694B39">
        <w:t xml:space="preserve">National banks and Federal savings associations must comply with rules of the Federal Reserve Board </w:t>
      </w:r>
      <w:r w:rsidR="00B314D1">
        <w:t xml:space="preserve">(Board) </w:t>
      </w:r>
      <w:r w:rsidRPr="00694B39">
        <w:t>regarding extensions of credit to insiders (Regulation O)</w:t>
      </w:r>
      <w:r w:rsidRPr="00694B39">
        <w:rPr>
          <w:rStyle w:val="FootnoteReference"/>
        </w:rPr>
        <w:footnoteReference w:id="1"/>
      </w:r>
      <w:r w:rsidRPr="00694B39">
        <w:t xml:space="preserve"> and transactions with affiliates (Regulation W),</w:t>
      </w:r>
      <w:r w:rsidRPr="00694B39">
        <w:rPr>
          <w:rStyle w:val="FootnoteReference"/>
        </w:rPr>
        <w:footnoteReference w:id="2"/>
      </w:r>
      <w:r w:rsidRPr="00694B39">
        <w:t xml:space="preserve"> which implement section 22 and sections 23A and 23B, respectively, of the Federal Reserve Act</w:t>
      </w:r>
      <w:r w:rsidR="00884EEF">
        <w:t xml:space="preserve"> (FRA)</w:t>
      </w:r>
      <w:r w:rsidRPr="00694B39">
        <w:t>.</w:t>
      </w:r>
      <w:r w:rsidRPr="00694B39">
        <w:rPr>
          <w:vertAlign w:val="superscript"/>
        </w:rPr>
        <w:footnoteReference w:id="3"/>
      </w:r>
      <w:r w:rsidRPr="00694B39">
        <w:t xml:space="preserve">  Twelve CFR part 31 address</w:t>
      </w:r>
      <w:r w:rsidR="00796C12">
        <w:t>es</w:t>
      </w:r>
      <w:r w:rsidRPr="00694B39">
        <w:t xml:space="preserve"> these transactions for national banks and Federal savings associations</w:t>
      </w:r>
      <w:r w:rsidR="00796C12">
        <w:t>.</w:t>
      </w:r>
      <w:r w:rsidRPr="00694B39">
        <w:t xml:space="preserve">  Specifically, </w:t>
      </w:r>
      <w:r w:rsidR="00B314D1">
        <w:t>12 CFR</w:t>
      </w:r>
      <w:r w:rsidRPr="00694B39">
        <w:t xml:space="preserve"> 31.2 requires national banks </w:t>
      </w:r>
      <w:r w:rsidR="00796C12">
        <w:t xml:space="preserve">and Federal savings associations </w:t>
      </w:r>
      <w:r w:rsidRPr="00694B39">
        <w:t>to comply with Regulation O</w:t>
      </w:r>
      <w:r w:rsidR="00796C12">
        <w:t xml:space="preserve">, and </w:t>
      </w:r>
      <w:r w:rsidR="00B314D1">
        <w:t>12 CFR</w:t>
      </w:r>
      <w:r w:rsidR="00796C12">
        <w:t xml:space="preserve"> 31.3 requires national banks and Federal savings associations to comply with Regulation W</w:t>
      </w:r>
      <w:r w:rsidRPr="00694B39">
        <w:t xml:space="preserve">.  Appendix A to part 31 provides interpretive guidance on the application of Regulation W to deposits between affiliated banks.  </w:t>
      </w:r>
      <w:r w:rsidR="007D4932">
        <w:t xml:space="preserve">Appendix B </w:t>
      </w:r>
      <w:r w:rsidR="007D4932">
        <w:t xml:space="preserve">to part 31 provides a comparison of selected provisions of parts 32 and 215. </w:t>
      </w:r>
      <w:r w:rsidR="007D4932">
        <w:t xml:space="preserve"> </w:t>
      </w:r>
      <w:r w:rsidR="00A84774">
        <w:t>B</w:t>
      </w:r>
      <w:r w:rsidRPr="00694B39">
        <w:t>oth national banks and Federal savings associations must comply with Regulation O and Regulation W</w:t>
      </w:r>
      <w:r w:rsidR="00D20000">
        <w:t>.</w:t>
      </w:r>
      <w:r w:rsidRPr="00694B39">
        <w:t xml:space="preserve"> </w:t>
      </w:r>
    </w:p>
    <w:p w:rsidRPr="00694B39" w:rsidR="00D20000" w:rsidP="00D20000" w:rsidRDefault="00D20000">
      <w:pPr>
        <w:tabs>
          <w:tab w:val="left" w:pos="36pt"/>
        </w:tabs>
        <w:ind w:firstLine="36pt"/>
      </w:pPr>
    </w:p>
    <w:p w:rsidR="00D20000" w:rsidP="00D20000" w:rsidRDefault="007C4945">
      <w:pPr>
        <w:tabs>
          <w:tab w:val="left" w:pos="36pt"/>
        </w:tabs>
        <w:ind w:firstLine="36pt"/>
      </w:pPr>
      <w:r>
        <w:t>Section</w:t>
      </w:r>
      <w:r w:rsidR="00D20000">
        <w:t xml:space="preserve"> 31.3(c) </w:t>
      </w:r>
      <w:r w:rsidRPr="00694B39" w:rsidR="00E17855">
        <w:t>implement</w:t>
      </w:r>
      <w:r w:rsidR="008405F0">
        <w:t>s</w:t>
      </w:r>
      <w:r w:rsidRPr="00694B39" w:rsidR="00E17855">
        <w:t xml:space="preserve"> the statutory standards for authorizing an exemption from section </w:t>
      </w:r>
      <w:r w:rsidRPr="00694B39" w:rsidR="00884EEF">
        <w:t>23A</w:t>
      </w:r>
      <w:r w:rsidR="00884EEF">
        <w:t xml:space="preserve"> of the FRA or section 11 of the Home Owners’ Loan Act (HOLA)</w:t>
      </w:r>
      <w:r w:rsidR="00D33271">
        <w:rPr>
          <w:rStyle w:val="FootnoteReference"/>
        </w:rPr>
        <w:footnoteReference w:id="4"/>
      </w:r>
      <w:r w:rsidR="00884EEF">
        <w:t xml:space="preserve"> </w:t>
      </w:r>
      <w:r w:rsidRPr="00694B39" w:rsidR="00E17855">
        <w:t>in accordance with section 608 of the Dodd</w:t>
      </w:r>
      <w:r w:rsidR="00B314D1">
        <w:t xml:space="preserve"> </w:t>
      </w:r>
      <w:r w:rsidRPr="00694B39" w:rsidR="00E17855">
        <w:t xml:space="preserve">Frank </w:t>
      </w:r>
      <w:r w:rsidR="00B314D1">
        <w:t xml:space="preserve">Wall Street Reform and Consumer Protection </w:t>
      </w:r>
      <w:r w:rsidRPr="00694B39" w:rsidR="00E17855">
        <w:t>Act</w:t>
      </w:r>
      <w:r w:rsidR="00B314D1">
        <w:t xml:space="preserve"> (Dodd-Frank Act)</w:t>
      </w:r>
      <w:r w:rsidRPr="00694B39" w:rsidR="00E17855">
        <w:t xml:space="preserve">.  Section 608, which became effective on July 21, 2012, amends section 23A </w:t>
      </w:r>
      <w:r w:rsidR="00884EEF">
        <w:t xml:space="preserve">of the FRA </w:t>
      </w:r>
      <w:r w:rsidR="00E17855">
        <w:t xml:space="preserve">and section 11 of the HOLA </w:t>
      </w:r>
      <w:r w:rsidRPr="00694B39" w:rsidR="00E17855">
        <w:t>to authorize the OCC to exempt, by order, a transaction of a national bank or Federal savings association</w:t>
      </w:r>
      <w:r w:rsidR="00E17855">
        <w:t>, respectively,</w:t>
      </w:r>
      <w:r w:rsidRPr="00694B39" w:rsidR="00E17855">
        <w:t xml:space="preserve"> from the affiliate transaction requirements of section 23A </w:t>
      </w:r>
      <w:r w:rsidR="00E17855">
        <w:t xml:space="preserve">and section 11 of the HOLA </w:t>
      </w:r>
      <w:r w:rsidRPr="00694B39" w:rsidR="00E17855">
        <w:t xml:space="preserve">if: (1) the OCC and the Board jointly find the exemption to be in the public interest and consistent with the purposes of section 23A </w:t>
      </w:r>
      <w:r w:rsidR="00884EEF">
        <w:t>or section 11</w:t>
      </w:r>
      <w:r w:rsidR="0056789C">
        <w:t>,</w:t>
      </w:r>
      <w:r w:rsidR="00884EEF">
        <w:t xml:space="preserve"> </w:t>
      </w:r>
      <w:r w:rsidRPr="00694B39" w:rsidR="00E17855">
        <w:t>and (2) within 60 days of receiving notice of such finding, the F</w:t>
      </w:r>
      <w:r w:rsidR="0056789C">
        <w:t xml:space="preserve">ederal </w:t>
      </w:r>
      <w:r w:rsidRPr="00694B39" w:rsidR="00E17855">
        <w:t>D</w:t>
      </w:r>
      <w:r w:rsidR="0056789C">
        <w:t xml:space="preserve">eposit </w:t>
      </w:r>
      <w:r w:rsidRPr="00694B39" w:rsidR="00E17855">
        <w:t>I</w:t>
      </w:r>
      <w:r w:rsidR="0056789C">
        <w:t xml:space="preserve">nsurance </w:t>
      </w:r>
      <w:r w:rsidRPr="00694B39" w:rsidR="00E17855">
        <w:t>C</w:t>
      </w:r>
      <w:r w:rsidR="0056789C">
        <w:t>orporation</w:t>
      </w:r>
      <w:r w:rsidRPr="00694B39" w:rsidR="00E17855">
        <w:t xml:space="preserve"> does not object in writing to the finding based on a determination that the exemption presents an unacceptable risk to the Deposit Insurance Fund.</w:t>
      </w:r>
      <w:r w:rsidRPr="00694B39" w:rsidR="00E17855">
        <w:rPr>
          <w:vertAlign w:val="superscript"/>
        </w:rPr>
        <w:footnoteReference w:id="5"/>
      </w:r>
      <w:r w:rsidRPr="00694B39" w:rsidR="00E17855">
        <w:t xml:space="preserve">  </w:t>
      </w:r>
    </w:p>
    <w:p w:rsidR="00D20000" w:rsidP="00D20000" w:rsidRDefault="00D20000">
      <w:pPr>
        <w:tabs>
          <w:tab w:val="left" w:pos="36pt"/>
        </w:tabs>
        <w:ind w:firstLine="36pt"/>
      </w:pPr>
    </w:p>
    <w:p w:rsidR="005D215A" w:rsidP="007C4945" w:rsidRDefault="00D20000">
      <w:pPr>
        <w:tabs>
          <w:tab w:val="left" w:pos="36pt"/>
        </w:tabs>
        <w:ind w:firstLine="36pt"/>
      </w:pPr>
      <w:r>
        <w:t xml:space="preserve">The information collection requirement is found </w:t>
      </w:r>
      <w:r w:rsidR="00DA3627">
        <w:t xml:space="preserve">in </w:t>
      </w:r>
      <w:r w:rsidR="007D4932">
        <w:t>12 CFR</w:t>
      </w:r>
      <w:r w:rsidRPr="00694B39" w:rsidR="00E17855">
        <w:t xml:space="preserve"> 31.3(d), </w:t>
      </w:r>
      <w:r w:rsidR="00405080">
        <w:t>which sets</w:t>
      </w:r>
      <w:r w:rsidR="00E27F14">
        <w:t xml:space="preserve"> forth</w:t>
      </w:r>
      <w:r w:rsidRPr="00694B39" w:rsidR="00E17855">
        <w:t xml:space="preserve"> procedures that a national bank and Federal savings association must follow </w:t>
      </w:r>
      <w:r w:rsidR="00405080">
        <w:t xml:space="preserve">to </w:t>
      </w:r>
      <w:r w:rsidRPr="00694B39" w:rsidR="00E17855">
        <w:t>request such exemption</w:t>
      </w:r>
      <w:r w:rsidR="0018156D">
        <w:t>s</w:t>
      </w:r>
      <w:r w:rsidRPr="00694B39" w:rsidR="00E17855">
        <w:t>.  These procedures are modeled after the Board’s procedures in Regulation W.</w:t>
      </w:r>
    </w:p>
    <w:p w:rsidR="008405F0" w:rsidP="00D20000" w:rsidRDefault="008405F0">
      <w:pPr>
        <w:pStyle w:val="BodyText"/>
        <w:rPr>
          <w:i/>
          <w:iCs/>
        </w:rPr>
      </w:pPr>
    </w:p>
    <w:p w:rsidR="007C4945" w:rsidP="00D20000" w:rsidRDefault="007C4945">
      <w:pPr>
        <w:pStyle w:val="BodyText"/>
        <w:rPr>
          <w:i/>
          <w:iCs/>
        </w:rPr>
      </w:pPr>
    </w:p>
    <w:p w:rsidR="007C4945" w:rsidP="00D20000" w:rsidRDefault="007C4945">
      <w:pPr>
        <w:pStyle w:val="BodyText"/>
        <w:rPr>
          <w:i/>
          <w:iCs/>
        </w:rPr>
      </w:pPr>
    </w:p>
    <w:p w:rsidR="00A84774" w:rsidP="00D20000" w:rsidRDefault="00A84774">
      <w:pPr>
        <w:pStyle w:val="BodyText"/>
        <w:rPr>
          <w:i/>
          <w:iCs/>
        </w:rPr>
      </w:pPr>
    </w:p>
    <w:p w:rsidR="007C4945" w:rsidP="00D20000" w:rsidRDefault="007C4945">
      <w:pPr>
        <w:pStyle w:val="BodyText"/>
        <w:rPr>
          <w:i/>
          <w:iCs/>
        </w:rPr>
      </w:pPr>
    </w:p>
    <w:p w:rsidRPr="00CE1645" w:rsidR="00D20000" w:rsidP="00D20000" w:rsidRDefault="00D20000">
      <w:pPr>
        <w:pStyle w:val="BodyText"/>
        <w:rPr>
          <w:b w:val="0"/>
          <w:bCs w:val="0"/>
        </w:rPr>
      </w:pPr>
      <w:r w:rsidRPr="00CE1645">
        <w:rPr>
          <w:i/>
          <w:iCs/>
        </w:rPr>
        <w:t>2.  Use of the information:</w:t>
      </w:r>
    </w:p>
    <w:p w:rsidR="00D20000" w:rsidP="00D20000" w:rsidRDefault="00D20000">
      <w:pPr>
        <w:tabs>
          <w:tab w:val="left" w:pos="36pt"/>
        </w:tabs>
        <w:ind w:firstLine="36pt"/>
      </w:pPr>
    </w:p>
    <w:p w:rsidR="00D1651A" w:rsidP="00D1651A" w:rsidRDefault="00D1651A">
      <w:pPr>
        <w:ind w:firstLine="36pt"/>
      </w:pPr>
      <w:r w:rsidRPr="00694B39">
        <w:t xml:space="preserve">A national bank or Federal savings association may request an exemption from the requirements of section 23A </w:t>
      </w:r>
      <w:r>
        <w:t xml:space="preserve">or section 11 of the HOLA, as applicable, </w:t>
      </w:r>
      <w:r w:rsidRPr="00694B39">
        <w:t>and 12 CFR part 223 for a national bank or Federal savings association by submitting a written request to the Deputy Comptroller for Licensing with a copy to the appropriate Federal Reserve Bank.  Such a request must:</w:t>
      </w:r>
    </w:p>
    <w:p w:rsidRPr="00694B39" w:rsidR="00D1651A" w:rsidP="00D1651A" w:rsidRDefault="00D1651A">
      <w:pPr>
        <w:ind w:firstLine="36pt"/>
      </w:pPr>
    </w:p>
    <w:p w:rsidR="00D1651A" w:rsidP="00D1651A" w:rsidRDefault="00D1651A">
      <w:pPr>
        <w:ind w:firstLine="36pt"/>
      </w:pPr>
      <w:r w:rsidRPr="00694B39">
        <w:t>(1) Describe in detail the transaction or relationship for which the national bank or Federal savings association seeks exemption;</w:t>
      </w:r>
    </w:p>
    <w:p w:rsidRPr="00694B39" w:rsidR="00D1651A" w:rsidP="00D1651A" w:rsidRDefault="00D1651A">
      <w:pPr>
        <w:ind w:firstLine="36pt"/>
      </w:pPr>
    </w:p>
    <w:p w:rsidR="00D1651A" w:rsidP="00D1651A" w:rsidRDefault="00D1651A">
      <w:pPr>
        <w:ind w:firstLine="36pt"/>
      </w:pPr>
      <w:r w:rsidRPr="00694B39">
        <w:t xml:space="preserve">(2) Explain why the OCC should exempt the transaction or relationship; </w:t>
      </w:r>
    </w:p>
    <w:p w:rsidRPr="00694B39" w:rsidR="00D1651A" w:rsidP="00D1651A" w:rsidRDefault="00D1651A">
      <w:pPr>
        <w:ind w:firstLine="36pt"/>
      </w:pPr>
    </w:p>
    <w:p w:rsidR="00D1651A" w:rsidP="00D1651A" w:rsidRDefault="00D1651A">
      <w:pPr>
        <w:ind w:firstLine="36pt"/>
      </w:pPr>
      <w:r w:rsidRPr="00694B39">
        <w:t>(3) Explain how the exemption would be in the public interest and consistent with the purposes of section 23A</w:t>
      </w:r>
      <w:r>
        <w:t xml:space="preserve"> or section 11 of the HOLA, as applicable</w:t>
      </w:r>
      <w:r w:rsidRPr="00694B39">
        <w:t>; and</w:t>
      </w:r>
    </w:p>
    <w:p w:rsidRPr="00694B39" w:rsidR="00D1651A" w:rsidP="00D1651A" w:rsidRDefault="00D1651A">
      <w:pPr>
        <w:ind w:firstLine="36pt"/>
      </w:pPr>
    </w:p>
    <w:p w:rsidRPr="00694B39" w:rsidR="00D1651A" w:rsidP="00D1651A" w:rsidRDefault="00D1651A">
      <w:pPr>
        <w:ind w:firstLine="36pt"/>
      </w:pPr>
      <w:r w:rsidRPr="00694B39">
        <w:t>(4) Explain why the exemption does not present an unacceptable risk to the Deposit Insurance Fund.</w:t>
      </w:r>
    </w:p>
    <w:p w:rsidRPr="00D20000" w:rsidR="00D20000" w:rsidP="00D20000" w:rsidRDefault="00D20000">
      <w:pPr>
        <w:tabs>
          <w:tab w:val="left" w:pos="36pt"/>
        </w:tabs>
        <w:ind w:firstLine="36pt"/>
      </w:pPr>
    </w:p>
    <w:p w:rsidRPr="00CE1645" w:rsidR="00D70544" w:rsidRDefault="00D70544">
      <w:pPr>
        <w:pStyle w:val="BodyText"/>
        <w:rPr>
          <w:b w:val="0"/>
          <w:bCs w:val="0"/>
        </w:rPr>
      </w:pPr>
      <w:r w:rsidRPr="00CE1645">
        <w:rPr>
          <w:i/>
          <w:iCs/>
        </w:rPr>
        <w:t>3.  Consideration of the use of improved information technology:</w:t>
      </w:r>
    </w:p>
    <w:p w:rsidRPr="00CE1645" w:rsidR="00D70544" w:rsidRDefault="00D70544">
      <w:pPr>
        <w:pStyle w:val="BodyText"/>
        <w:rPr>
          <w:b w:val="0"/>
          <w:bCs w:val="0"/>
        </w:rPr>
      </w:pPr>
    </w:p>
    <w:p w:rsidRPr="00CE1645" w:rsidR="00D70544" w:rsidP="005D215A" w:rsidRDefault="00046B0A">
      <w:pPr>
        <w:pStyle w:val="BodyText"/>
        <w:ind w:firstLine="36pt"/>
        <w:rPr>
          <w:b w:val="0"/>
          <w:bCs w:val="0"/>
        </w:rPr>
      </w:pPr>
      <w:r>
        <w:rPr>
          <w:b w:val="0"/>
          <w:bCs w:val="0"/>
        </w:rPr>
        <w:t xml:space="preserve">An institution </w:t>
      </w:r>
      <w:r w:rsidRPr="00CE1645" w:rsidR="00D70544">
        <w:rPr>
          <w:b w:val="0"/>
          <w:bCs w:val="0"/>
        </w:rPr>
        <w:t xml:space="preserve">may use any improved information technology </w:t>
      </w:r>
      <w:r w:rsidRPr="00CE1645" w:rsidR="006A4597">
        <w:rPr>
          <w:b w:val="0"/>
          <w:bCs w:val="0"/>
        </w:rPr>
        <w:t xml:space="preserve">that meets the requirements of </w:t>
      </w:r>
      <w:r w:rsidR="001E2E82">
        <w:rPr>
          <w:b w:val="0"/>
          <w:bCs w:val="0"/>
        </w:rPr>
        <w:t>p</w:t>
      </w:r>
      <w:r w:rsidRPr="00CE1645" w:rsidR="00D70544">
        <w:rPr>
          <w:b w:val="0"/>
          <w:bCs w:val="0"/>
        </w:rPr>
        <w:t>art</w:t>
      </w:r>
      <w:r w:rsidR="004926FD">
        <w:rPr>
          <w:b w:val="0"/>
          <w:bCs w:val="0"/>
        </w:rPr>
        <w:t xml:space="preserve"> 31.</w:t>
      </w:r>
    </w:p>
    <w:p w:rsidRPr="00CE1645" w:rsidR="00D70544" w:rsidRDefault="00D70544">
      <w:pPr>
        <w:pStyle w:val="BodyText"/>
        <w:rPr>
          <w:b w:val="0"/>
          <w:bCs w:val="0"/>
        </w:rPr>
      </w:pPr>
    </w:p>
    <w:p w:rsidRPr="00CE1645" w:rsidR="00D70544" w:rsidRDefault="00D70544">
      <w:pPr>
        <w:pStyle w:val="BodyText"/>
        <w:rPr>
          <w:b w:val="0"/>
          <w:bCs w:val="0"/>
        </w:rPr>
      </w:pPr>
      <w:r w:rsidRPr="00CE1645">
        <w:rPr>
          <w:i/>
          <w:iCs/>
        </w:rPr>
        <w:t>4.  Efforts to identify duplication:</w:t>
      </w:r>
    </w:p>
    <w:p w:rsidRPr="00CE1645" w:rsidR="00D70544" w:rsidRDefault="00D70544">
      <w:pPr>
        <w:pStyle w:val="BodyText"/>
        <w:rPr>
          <w:b w:val="0"/>
          <w:bCs w:val="0"/>
        </w:rPr>
      </w:pPr>
    </w:p>
    <w:p w:rsidR="00D70544" w:rsidP="005D215A" w:rsidRDefault="00D70544">
      <w:pPr>
        <w:pStyle w:val="BodyText"/>
        <w:ind w:firstLine="36pt"/>
        <w:rPr>
          <w:b w:val="0"/>
          <w:bCs w:val="0"/>
        </w:rPr>
      </w:pPr>
      <w:r w:rsidRPr="00CE1645">
        <w:rPr>
          <w:b w:val="0"/>
          <w:bCs w:val="0"/>
        </w:rPr>
        <w:t xml:space="preserve">The information required is </w:t>
      </w:r>
      <w:r w:rsidR="00B314D1">
        <w:rPr>
          <w:b w:val="0"/>
          <w:bCs w:val="0"/>
        </w:rPr>
        <w:t xml:space="preserve">generally </w:t>
      </w:r>
      <w:r w:rsidRPr="00CE1645">
        <w:rPr>
          <w:b w:val="0"/>
          <w:bCs w:val="0"/>
        </w:rPr>
        <w:t>not</w:t>
      </w:r>
      <w:r w:rsidRPr="00CE1645" w:rsidR="00D46E7E">
        <w:rPr>
          <w:b w:val="0"/>
          <w:bCs w:val="0"/>
        </w:rPr>
        <w:t xml:space="preserve"> </w:t>
      </w:r>
      <w:r w:rsidRPr="00CE1645">
        <w:rPr>
          <w:b w:val="0"/>
          <w:bCs w:val="0"/>
        </w:rPr>
        <w:t>other</w:t>
      </w:r>
      <w:r w:rsidR="00255EC4">
        <w:rPr>
          <w:b w:val="0"/>
          <w:bCs w:val="0"/>
        </w:rPr>
        <w:t>wise available to the public or</w:t>
      </w:r>
      <w:r w:rsidRPr="00CE1645">
        <w:rPr>
          <w:b w:val="0"/>
          <w:bCs w:val="0"/>
        </w:rPr>
        <w:t xml:space="preserve"> the OCC</w:t>
      </w:r>
      <w:r w:rsidRPr="00CE1645" w:rsidR="00D46E7E">
        <w:rPr>
          <w:b w:val="0"/>
          <w:bCs w:val="0"/>
        </w:rPr>
        <w:t xml:space="preserve">.  </w:t>
      </w:r>
    </w:p>
    <w:p w:rsidRPr="00CE1645" w:rsidR="00046B0A" w:rsidP="005D215A" w:rsidRDefault="00046B0A">
      <w:pPr>
        <w:pStyle w:val="BodyText"/>
        <w:ind w:firstLine="36pt"/>
        <w:rPr>
          <w:b w:val="0"/>
          <w:bCs w:val="0"/>
        </w:rPr>
      </w:pPr>
    </w:p>
    <w:p w:rsidRPr="0043589A" w:rsidR="007318CC" w:rsidP="007318CC" w:rsidRDefault="007318CC">
      <w:pPr>
        <w:pStyle w:val="BodyText"/>
        <w:widowControl w:val="0"/>
        <w:ind w:start="5pt" w:end="43.05pt"/>
        <w:rPr>
          <w:i/>
        </w:rPr>
      </w:pPr>
      <w:r w:rsidRPr="0043589A">
        <w:rPr>
          <w:bCs w:val="0"/>
          <w:i/>
          <w:iCs/>
        </w:rPr>
        <w:t>5.</w:t>
      </w:r>
      <w:r w:rsidRPr="0043589A">
        <w:rPr>
          <w:bCs w:val="0"/>
          <w:i/>
          <w:iCs/>
        </w:rPr>
        <w:tab/>
      </w:r>
      <w:r w:rsidRPr="0043589A">
        <w:rPr>
          <w:i/>
          <w:spacing w:val="-2"/>
        </w:rPr>
        <w:t>If</w:t>
      </w:r>
      <w:r w:rsidRPr="0043589A">
        <w:rPr>
          <w:i/>
          <w:spacing w:val="-8"/>
        </w:rPr>
        <w:t xml:space="preserve"> </w:t>
      </w:r>
      <w:r w:rsidRPr="0043589A">
        <w:rPr>
          <w:i/>
        </w:rPr>
        <w:t>the</w:t>
      </w:r>
      <w:r w:rsidRPr="0043589A">
        <w:rPr>
          <w:i/>
          <w:spacing w:val="-7"/>
        </w:rPr>
        <w:t xml:space="preserve"> </w:t>
      </w:r>
      <w:r w:rsidRPr="0043589A">
        <w:rPr>
          <w:i/>
          <w:spacing w:val="-1"/>
        </w:rPr>
        <w:t>collection</w:t>
      </w:r>
      <w:r w:rsidRPr="0043589A">
        <w:rPr>
          <w:i/>
          <w:spacing w:val="-7"/>
        </w:rPr>
        <w:t xml:space="preserve"> </w:t>
      </w:r>
      <w:r w:rsidRPr="0043589A">
        <w:rPr>
          <w:i/>
        </w:rPr>
        <w:t>of</w:t>
      </w:r>
      <w:r w:rsidRPr="0043589A">
        <w:rPr>
          <w:i/>
          <w:spacing w:val="-8"/>
        </w:rPr>
        <w:t xml:space="preserve"> </w:t>
      </w:r>
      <w:r w:rsidRPr="0043589A">
        <w:rPr>
          <w:i/>
          <w:spacing w:val="-1"/>
        </w:rPr>
        <w:t>information</w:t>
      </w:r>
      <w:r w:rsidRPr="0043589A">
        <w:rPr>
          <w:i/>
          <w:spacing w:val="-7"/>
        </w:rPr>
        <w:t xml:space="preserve"> </w:t>
      </w:r>
      <w:r w:rsidRPr="0043589A">
        <w:rPr>
          <w:i/>
          <w:spacing w:val="-1"/>
        </w:rPr>
        <w:t>impacts</w:t>
      </w:r>
      <w:r w:rsidRPr="0043589A">
        <w:rPr>
          <w:i/>
          <w:spacing w:val="-6"/>
        </w:rPr>
        <w:t xml:space="preserve"> </w:t>
      </w:r>
      <w:r w:rsidRPr="0043589A">
        <w:rPr>
          <w:i/>
          <w:spacing w:val="-1"/>
        </w:rPr>
        <w:t>small</w:t>
      </w:r>
      <w:r w:rsidRPr="0043589A">
        <w:rPr>
          <w:i/>
          <w:spacing w:val="-7"/>
        </w:rPr>
        <w:t xml:space="preserve"> </w:t>
      </w:r>
      <w:r w:rsidRPr="0043589A">
        <w:rPr>
          <w:i/>
          <w:spacing w:val="-1"/>
        </w:rPr>
        <w:t>businesses</w:t>
      </w:r>
      <w:r w:rsidRPr="0043589A">
        <w:rPr>
          <w:i/>
          <w:spacing w:val="-6"/>
        </w:rPr>
        <w:t xml:space="preserve"> </w:t>
      </w:r>
      <w:r w:rsidRPr="0043589A">
        <w:rPr>
          <w:i/>
        </w:rPr>
        <w:t>or</w:t>
      </w:r>
      <w:r w:rsidRPr="0043589A">
        <w:rPr>
          <w:i/>
          <w:spacing w:val="-8"/>
        </w:rPr>
        <w:t xml:space="preserve"> </w:t>
      </w:r>
      <w:r w:rsidRPr="0043589A">
        <w:rPr>
          <w:i/>
          <w:spacing w:val="1"/>
        </w:rPr>
        <w:t>other</w:t>
      </w:r>
      <w:r w:rsidRPr="0043589A">
        <w:rPr>
          <w:i/>
          <w:spacing w:val="-7"/>
        </w:rPr>
        <w:t xml:space="preserve"> </w:t>
      </w:r>
      <w:r w:rsidRPr="0043589A">
        <w:rPr>
          <w:i/>
          <w:spacing w:val="-1"/>
        </w:rPr>
        <w:t>small</w:t>
      </w:r>
      <w:r w:rsidRPr="0043589A">
        <w:rPr>
          <w:i/>
          <w:spacing w:val="-6"/>
        </w:rPr>
        <w:t xml:space="preserve"> </w:t>
      </w:r>
      <w:r w:rsidRPr="0043589A">
        <w:rPr>
          <w:i/>
        </w:rPr>
        <w:t>entities, describe</w:t>
      </w:r>
      <w:r w:rsidRPr="0043589A">
        <w:rPr>
          <w:i/>
          <w:spacing w:val="-7"/>
        </w:rPr>
        <w:t xml:space="preserve"> </w:t>
      </w:r>
      <w:r w:rsidRPr="0043589A">
        <w:rPr>
          <w:i/>
          <w:spacing w:val="1"/>
        </w:rPr>
        <w:t>any</w:t>
      </w:r>
      <w:r w:rsidRPr="0043589A">
        <w:rPr>
          <w:i/>
          <w:spacing w:val="-11"/>
        </w:rPr>
        <w:t xml:space="preserve"> </w:t>
      </w:r>
      <w:r w:rsidRPr="0043589A">
        <w:rPr>
          <w:i/>
          <w:spacing w:val="-1"/>
        </w:rPr>
        <w:t>methods</w:t>
      </w:r>
      <w:r w:rsidRPr="0043589A">
        <w:rPr>
          <w:i/>
          <w:spacing w:val="-8"/>
        </w:rPr>
        <w:t xml:space="preserve"> </w:t>
      </w:r>
      <w:r w:rsidRPr="0043589A">
        <w:rPr>
          <w:i/>
          <w:spacing w:val="-1"/>
        </w:rPr>
        <w:t>used</w:t>
      </w:r>
      <w:r w:rsidRPr="0043589A">
        <w:rPr>
          <w:i/>
          <w:spacing w:val="-8"/>
        </w:rPr>
        <w:t xml:space="preserve"> </w:t>
      </w:r>
      <w:r w:rsidRPr="0043589A">
        <w:rPr>
          <w:i/>
        </w:rPr>
        <w:t>to</w:t>
      </w:r>
      <w:r w:rsidRPr="0043589A">
        <w:rPr>
          <w:i/>
          <w:spacing w:val="-8"/>
        </w:rPr>
        <w:t xml:space="preserve"> </w:t>
      </w:r>
      <w:r w:rsidRPr="0043589A">
        <w:rPr>
          <w:i/>
        </w:rPr>
        <w:t>minimize</w:t>
      </w:r>
      <w:r w:rsidRPr="0043589A">
        <w:rPr>
          <w:i/>
          <w:spacing w:val="-8"/>
        </w:rPr>
        <w:t xml:space="preserve"> </w:t>
      </w:r>
      <w:r w:rsidRPr="0043589A">
        <w:rPr>
          <w:i/>
          <w:spacing w:val="-1"/>
        </w:rPr>
        <w:t>burden</w:t>
      </w:r>
      <w:r w:rsidR="00AC3609">
        <w:rPr>
          <w:i/>
          <w:spacing w:val="-1"/>
        </w:rPr>
        <w:t>:</w:t>
      </w:r>
    </w:p>
    <w:p w:rsidR="007318CC" w:rsidP="007318CC" w:rsidRDefault="007318CC"/>
    <w:p w:rsidR="007318CC" w:rsidP="007318CC" w:rsidRDefault="007318CC">
      <w:pPr>
        <w:ind w:firstLine="36pt"/>
        <w:rPr>
          <w:color w:val="000000"/>
        </w:rPr>
      </w:pPr>
      <w:r>
        <w:rPr>
          <w:color w:val="000000"/>
        </w:rPr>
        <w:t>There are no alternatives that would result in further lowering the burden on small institutions while still accomplishing the purpose of the rule.</w:t>
      </w:r>
    </w:p>
    <w:p w:rsidRPr="00CE1645" w:rsidR="00D70544" w:rsidRDefault="00D70544">
      <w:pPr>
        <w:pStyle w:val="BodyText"/>
        <w:rPr>
          <w:b w:val="0"/>
          <w:bCs w:val="0"/>
        </w:rPr>
      </w:pPr>
    </w:p>
    <w:p w:rsidRPr="00CE1645" w:rsidR="00D70544" w:rsidRDefault="00D70544">
      <w:pPr>
        <w:pStyle w:val="BodyText"/>
        <w:rPr>
          <w:b w:val="0"/>
          <w:bCs w:val="0"/>
        </w:rPr>
      </w:pPr>
      <w:r w:rsidRPr="00CE1645">
        <w:rPr>
          <w:i/>
          <w:iCs/>
        </w:rPr>
        <w:t>6.  Consequences to the Federal program if the collection were conducted less frequently:</w:t>
      </w:r>
    </w:p>
    <w:p w:rsidR="00D70544" w:rsidRDefault="00D70544">
      <w:pPr>
        <w:pStyle w:val="BodyText"/>
        <w:rPr>
          <w:b w:val="0"/>
          <w:bCs w:val="0"/>
        </w:rPr>
      </w:pPr>
    </w:p>
    <w:p w:rsidRPr="00CE1645" w:rsidR="0018156D" w:rsidRDefault="00EA6627">
      <w:pPr>
        <w:pStyle w:val="BodyText"/>
        <w:rPr>
          <w:b w:val="0"/>
          <w:bCs w:val="0"/>
        </w:rPr>
      </w:pPr>
      <w:r>
        <w:rPr>
          <w:b w:val="0"/>
          <w:bCs w:val="0"/>
        </w:rPr>
        <w:tab/>
      </w:r>
      <w:r w:rsidR="00F14066">
        <w:rPr>
          <w:b w:val="0"/>
          <w:bCs w:val="0"/>
        </w:rPr>
        <w:t>Not applicable.  The information collected would be one-time submissions, and not periodic filings.</w:t>
      </w:r>
    </w:p>
    <w:p w:rsidRPr="00CE1645" w:rsidR="00D70544" w:rsidRDefault="00D70544">
      <w:pPr>
        <w:pStyle w:val="BodyText"/>
        <w:rPr>
          <w:b w:val="0"/>
          <w:bCs w:val="0"/>
        </w:rPr>
      </w:pPr>
    </w:p>
    <w:p w:rsidRPr="00CE1645" w:rsidR="00D70544" w:rsidRDefault="00D70544">
      <w:pPr>
        <w:pStyle w:val="BodyText"/>
        <w:rPr>
          <w:b w:val="0"/>
          <w:bCs w:val="0"/>
        </w:rPr>
      </w:pPr>
      <w:r w:rsidRPr="00CE1645">
        <w:rPr>
          <w:i/>
          <w:iCs/>
        </w:rPr>
        <w:t xml:space="preserve">7.  Special circumstances </w:t>
      </w:r>
      <w:r w:rsidR="0026488C">
        <w:rPr>
          <w:i/>
          <w:iCs/>
        </w:rPr>
        <w:t xml:space="preserve">that would cause an information collection to be conducted in a manner </w:t>
      </w:r>
      <w:r w:rsidRPr="00CE1645">
        <w:rPr>
          <w:i/>
          <w:iCs/>
        </w:rPr>
        <w:t xml:space="preserve">inconsistent with 5 CFR </w:t>
      </w:r>
      <w:r w:rsidR="006F43AA">
        <w:rPr>
          <w:i/>
          <w:iCs/>
        </w:rPr>
        <w:t>p</w:t>
      </w:r>
      <w:r w:rsidR="0026488C">
        <w:rPr>
          <w:i/>
          <w:iCs/>
        </w:rPr>
        <w:t xml:space="preserve">art </w:t>
      </w:r>
      <w:r w:rsidRPr="00CE1645">
        <w:rPr>
          <w:i/>
          <w:iCs/>
        </w:rPr>
        <w:t>1320:</w:t>
      </w:r>
    </w:p>
    <w:p w:rsidRPr="00CE1645" w:rsidR="00D70544" w:rsidRDefault="00D70544">
      <w:pPr>
        <w:pStyle w:val="BodyText"/>
        <w:rPr>
          <w:b w:val="0"/>
          <w:bCs w:val="0"/>
        </w:rPr>
      </w:pPr>
    </w:p>
    <w:p w:rsidRPr="00CE1645" w:rsidR="00D70544" w:rsidP="005D215A" w:rsidRDefault="00FF629F">
      <w:pPr>
        <w:pStyle w:val="BodyText"/>
        <w:ind w:firstLine="36pt"/>
        <w:rPr>
          <w:b w:val="0"/>
          <w:bCs w:val="0"/>
        </w:rPr>
      </w:pPr>
      <w:r>
        <w:rPr>
          <w:b w:val="0"/>
          <w:bCs w:val="0"/>
        </w:rPr>
        <w:t>Not applicable.</w:t>
      </w:r>
    </w:p>
    <w:p w:rsidR="00D70544" w:rsidRDefault="00D70544">
      <w:pPr>
        <w:pStyle w:val="BodyText"/>
        <w:rPr>
          <w:b w:val="0"/>
          <w:bCs w:val="0"/>
        </w:rPr>
      </w:pPr>
    </w:p>
    <w:p w:rsidR="0026488C" w:rsidRDefault="0026488C">
      <w:pPr>
        <w:pStyle w:val="BodyText"/>
        <w:rPr>
          <w:i/>
          <w:iCs/>
        </w:rPr>
      </w:pPr>
    </w:p>
    <w:p w:rsidR="00E01B3A" w:rsidRDefault="00E01B3A">
      <w:pPr>
        <w:pStyle w:val="BodyText"/>
        <w:rPr>
          <w:i/>
          <w:iCs/>
        </w:rPr>
      </w:pPr>
    </w:p>
    <w:p w:rsidRPr="00CE1645" w:rsidR="00D70544" w:rsidRDefault="00D70544">
      <w:pPr>
        <w:pStyle w:val="BodyText"/>
        <w:rPr>
          <w:b w:val="0"/>
          <w:bCs w:val="0"/>
        </w:rPr>
      </w:pPr>
      <w:r w:rsidRPr="00CE1645">
        <w:rPr>
          <w:i/>
          <w:iCs/>
        </w:rPr>
        <w:t>8.  Efforts to consult with persons outside the agency:</w:t>
      </w:r>
    </w:p>
    <w:p w:rsidRPr="00CE1645" w:rsidR="00D70544" w:rsidRDefault="00D70544">
      <w:pPr>
        <w:pStyle w:val="BodyText"/>
        <w:rPr>
          <w:b w:val="0"/>
          <w:bCs w:val="0"/>
        </w:rPr>
      </w:pPr>
    </w:p>
    <w:p w:rsidR="00D70544" w:rsidP="008405F0" w:rsidRDefault="007C4945">
      <w:pPr>
        <w:pStyle w:val="BodyText"/>
        <w:ind w:firstLine="36pt"/>
        <w:rPr>
          <w:b w:val="0"/>
        </w:rPr>
      </w:pPr>
      <w:r>
        <w:rPr>
          <w:b w:val="0"/>
        </w:rPr>
        <w:t xml:space="preserve">On </w:t>
      </w:r>
      <w:r w:rsidR="00E01B3A">
        <w:rPr>
          <w:b w:val="0"/>
        </w:rPr>
        <w:t>December 12</w:t>
      </w:r>
      <w:r>
        <w:rPr>
          <w:b w:val="0"/>
        </w:rPr>
        <w:t xml:space="preserve">, 2019, the OCC issued a notice for 60 days of comment concerning the collection, 84 FR </w:t>
      </w:r>
      <w:r w:rsidR="00E01B3A">
        <w:rPr>
          <w:b w:val="0"/>
        </w:rPr>
        <w:t>68010</w:t>
      </w:r>
      <w:r>
        <w:rPr>
          <w:b w:val="0"/>
        </w:rPr>
        <w:t xml:space="preserve">.  </w:t>
      </w:r>
      <w:r w:rsidR="00E01B3A">
        <w:rPr>
          <w:b w:val="0"/>
        </w:rPr>
        <w:t>No</w:t>
      </w:r>
      <w:r>
        <w:rPr>
          <w:b w:val="0"/>
        </w:rPr>
        <w:t xml:space="preserve"> comments were received.</w:t>
      </w:r>
    </w:p>
    <w:p w:rsidRPr="00CE1645" w:rsidR="008405F0" w:rsidP="008405F0" w:rsidRDefault="008405F0">
      <w:pPr>
        <w:pStyle w:val="BodyText"/>
        <w:ind w:firstLine="36pt"/>
        <w:rPr>
          <w:b w:val="0"/>
          <w:bCs w:val="0"/>
        </w:rPr>
      </w:pPr>
    </w:p>
    <w:p w:rsidRPr="00CE1645" w:rsidR="00D70544" w:rsidRDefault="00D70544">
      <w:pPr>
        <w:pStyle w:val="BodyText"/>
        <w:rPr>
          <w:b w:val="0"/>
          <w:bCs w:val="0"/>
        </w:rPr>
      </w:pPr>
      <w:r w:rsidRPr="00CE1645">
        <w:rPr>
          <w:i/>
          <w:iCs/>
        </w:rPr>
        <w:t xml:space="preserve">9.  Payment </w:t>
      </w:r>
      <w:r w:rsidR="0026488C">
        <w:rPr>
          <w:i/>
          <w:iCs/>
        </w:rPr>
        <w:t xml:space="preserve">or gift </w:t>
      </w:r>
      <w:r w:rsidRPr="00CE1645">
        <w:rPr>
          <w:i/>
          <w:iCs/>
        </w:rPr>
        <w:t>to respondents:</w:t>
      </w:r>
    </w:p>
    <w:p w:rsidRPr="00CE1645" w:rsidR="00D70544" w:rsidRDefault="00D70544">
      <w:pPr>
        <w:pStyle w:val="BodyText"/>
        <w:rPr>
          <w:b w:val="0"/>
          <w:bCs w:val="0"/>
        </w:rPr>
      </w:pPr>
    </w:p>
    <w:p w:rsidRPr="00CE1645" w:rsidR="00D70544" w:rsidP="005D215A" w:rsidRDefault="006963C5">
      <w:pPr>
        <w:pStyle w:val="BodyText"/>
        <w:ind w:firstLine="36pt"/>
        <w:rPr>
          <w:b w:val="0"/>
          <w:bCs w:val="0"/>
        </w:rPr>
      </w:pPr>
      <w:r>
        <w:rPr>
          <w:b w:val="0"/>
          <w:bCs w:val="0"/>
        </w:rPr>
        <w:t>None</w:t>
      </w:r>
      <w:r w:rsidR="0026488C">
        <w:rPr>
          <w:b w:val="0"/>
          <w:bCs w:val="0"/>
        </w:rPr>
        <w:t>.</w:t>
      </w:r>
    </w:p>
    <w:p w:rsidRPr="00CE1645" w:rsidR="00D70544" w:rsidRDefault="00D70544">
      <w:pPr>
        <w:pStyle w:val="BodyText"/>
        <w:rPr>
          <w:b w:val="0"/>
          <w:bCs w:val="0"/>
        </w:rPr>
      </w:pPr>
    </w:p>
    <w:p w:rsidRPr="00CE1645" w:rsidR="00D70544" w:rsidRDefault="00D70544">
      <w:pPr>
        <w:pStyle w:val="BodyText"/>
        <w:rPr>
          <w:b w:val="0"/>
          <w:bCs w:val="0"/>
        </w:rPr>
      </w:pPr>
      <w:r w:rsidRPr="00CE1645">
        <w:rPr>
          <w:i/>
          <w:iCs/>
        </w:rPr>
        <w:t>10.  Any assurance of confidentiality:</w:t>
      </w:r>
    </w:p>
    <w:p w:rsidRPr="00CE1645" w:rsidR="00D70544" w:rsidRDefault="00D70544">
      <w:pPr>
        <w:pStyle w:val="BodyText"/>
        <w:rPr>
          <w:b w:val="0"/>
          <w:bCs w:val="0"/>
        </w:rPr>
      </w:pPr>
    </w:p>
    <w:p w:rsidRPr="00CE1645" w:rsidR="00D70544" w:rsidP="005D215A" w:rsidRDefault="006963C5">
      <w:pPr>
        <w:pStyle w:val="BodyText"/>
        <w:ind w:firstLine="36pt"/>
        <w:rPr>
          <w:b w:val="0"/>
          <w:bCs w:val="0"/>
        </w:rPr>
      </w:pPr>
      <w:r>
        <w:rPr>
          <w:b w:val="0"/>
          <w:bCs w:val="0"/>
        </w:rPr>
        <w:t>The information is kept private to the extent permitted by law.</w:t>
      </w:r>
    </w:p>
    <w:p w:rsidRPr="00CE1645" w:rsidR="005D215A" w:rsidRDefault="005D215A">
      <w:pPr>
        <w:pStyle w:val="BodyText"/>
        <w:rPr>
          <w:i/>
          <w:iCs/>
        </w:rPr>
      </w:pPr>
    </w:p>
    <w:p w:rsidRPr="00CE1645" w:rsidR="00D70544" w:rsidRDefault="00D70544">
      <w:pPr>
        <w:pStyle w:val="BodyText"/>
        <w:rPr>
          <w:b w:val="0"/>
          <w:bCs w:val="0"/>
        </w:rPr>
      </w:pPr>
      <w:r w:rsidRPr="00CE1645">
        <w:rPr>
          <w:i/>
          <w:iCs/>
        </w:rPr>
        <w:t>11.  Justification for questions of a sensitive nature:</w:t>
      </w:r>
    </w:p>
    <w:p w:rsidRPr="00CE1645" w:rsidR="00D70544" w:rsidRDefault="00D70544">
      <w:pPr>
        <w:pStyle w:val="BodyText"/>
        <w:rPr>
          <w:b w:val="0"/>
          <w:bCs w:val="0"/>
        </w:rPr>
      </w:pPr>
    </w:p>
    <w:p w:rsidRPr="00CE1645" w:rsidR="00D70544" w:rsidP="005D215A" w:rsidRDefault="006963C5">
      <w:pPr>
        <w:pStyle w:val="BodyText"/>
        <w:ind w:firstLine="36pt"/>
        <w:rPr>
          <w:b w:val="0"/>
          <w:bCs w:val="0"/>
        </w:rPr>
      </w:pPr>
      <w:r>
        <w:rPr>
          <w:b w:val="0"/>
          <w:bCs w:val="0"/>
        </w:rPr>
        <w:t>Not applicable.</w:t>
      </w:r>
    </w:p>
    <w:p w:rsidRPr="00CE1645" w:rsidR="00D70544" w:rsidRDefault="00D70544">
      <w:pPr>
        <w:pStyle w:val="BodyText"/>
        <w:rPr>
          <w:b w:val="0"/>
          <w:bCs w:val="0"/>
        </w:rPr>
      </w:pPr>
    </w:p>
    <w:p w:rsidRPr="00CE1645" w:rsidR="00D70544" w:rsidRDefault="00D70544">
      <w:pPr>
        <w:pStyle w:val="BodyText2"/>
      </w:pPr>
      <w:r w:rsidRPr="00CE1645">
        <w:t>12.  Burden estimate:</w:t>
      </w:r>
    </w:p>
    <w:p w:rsidRPr="00CE1645" w:rsidR="00D70544" w:rsidRDefault="00D70544"/>
    <w:p w:rsidR="00662652" w:rsidP="00662652" w:rsidRDefault="00662652">
      <w:pPr>
        <w:ind w:firstLine="36pt"/>
      </w:pPr>
      <w:r>
        <w:rPr>
          <w:u w:val="single"/>
        </w:rPr>
        <w:t>Estimated Number of Respondents</w:t>
      </w:r>
      <w:r>
        <w:t>:  1 respondent.</w:t>
      </w:r>
    </w:p>
    <w:p w:rsidR="00662652" w:rsidP="00662652" w:rsidRDefault="00662652">
      <w:pPr>
        <w:ind w:firstLine="36pt"/>
      </w:pPr>
    </w:p>
    <w:p w:rsidR="00662652" w:rsidP="00662652" w:rsidRDefault="00662652">
      <w:pPr>
        <w:ind w:firstLine="36pt"/>
      </w:pPr>
      <w:r>
        <w:rPr>
          <w:u w:val="single"/>
        </w:rPr>
        <w:t>Estimated Total Annual Burden</w:t>
      </w:r>
      <w:r>
        <w:t>:  10 hours.</w:t>
      </w:r>
    </w:p>
    <w:p w:rsidR="0026488C" w:rsidP="00662652" w:rsidRDefault="0026488C">
      <w:pPr>
        <w:ind w:firstLine="36pt"/>
      </w:pPr>
    </w:p>
    <w:p w:rsidR="0026488C" w:rsidP="00D84B64" w:rsidRDefault="0026488C">
      <w:pPr>
        <w:rPr>
          <w:b/>
        </w:rPr>
      </w:pPr>
      <w:r w:rsidRPr="00D84B64">
        <w:rPr>
          <w:b/>
        </w:rPr>
        <w:t>Cost of Hour Burden to Respondents</w:t>
      </w:r>
    </w:p>
    <w:p w:rsidR="00D84B64" w:rsidP="00D84B64" w:rsidRDefault="00D84B64">
      <w:pPr>
        <w:rPr>
          <w:b/>
        </w:rPr>
      </w:pPr>
    </w:p>
    <w:p w:rsidRPr="00B47C9C" w:rsidR="00D84B64" w:rsidP="00D84B64" w:rsidRDefault="005728F1">
      <w:r>
        <w:t>10 hours x $114 = $1,140</w:t>
      </w:r>
    </w:p>
    <w:p w:rsidR="00D84B64" w:rsidP="00662652" w:rsidRDefault="00D84B64">
      <w:pPr>
        <w:ind w:firstLine="36pt"/>
      </w:pPr>
    </w:p>
    <w:p w:rsidRPr="0064167F" w:rsidR="00C645B5" w:rsidP="00C645B5" w:rsidRDefault="00C645B5">
      <w:pPr>
        <w:rPr>
          <w:szCs w:val="24"/>
        </w:rPr>
      </w:pPr>
      <w:r w:rsidRPr="0064167F">
        <w:rPr>
          <w:szCs w:val="24"/>
        </w:rPr>
        <w:t>To estimate wages</w:t>
      </w:r>
      <w:r w:rsidR="00B314D1">
        <w:rPr>
          <w:szCs w:val="24"/>
        </w:rPr>
        <w:t>,</w:t>
      </w:r>
      <w:r w:rsidRPr="0064167F">
        <w:rPr>
          <w:szCs w:val="24"/>
        </w:rPr>
        <w:t xml:space="preserve"> we reviewed May 2018 data for wages (by industry and occupation) from the U.S. Bureau of Labor Statistics (BLS) for credit intermediation and related activities excluding </w:t>
      </w:r>
      <w:proofErr w:type="spellStart"/>
      <w:r w:rsidRPr="0064167F">
        <w:rPr>
          <w:szCs w:val="24"/>
        </w:rPr>
        <w:t>nondepository</w:t>
      </w:r>
      <w:proofErr w:type="spellEnd"/>
      <w:r w:rsidRPr="0064167F">
        <w:rPr>
          <w:szCs w:val="24"/>
        </w:rPr>
        <w:t xml:space="preserve"> credit intermediaries (NAICS 5220A1). </w:t>
      </w:r>
      <w:r>
        <w:rPr>
          <w:szCs w:val="24"/>
        </w:rPr>
        <w:t xml:space="preserve"> </w:t>
      </w:r>
      <w:r w:rsidRPr="0064167F">
        <w:rPr>
          <w:szCs w:val="24"/>
        </w:rPr>
        <w:t xml:space="preserve">To estimate compensation costs associated with the rule, we </w:t>
      </w:r>
      <w:r w:rsidRPr="002A1E23">
        <w:rPr>
          <w:szCs w:val="24"/>
        </w:rPr>
        <w:t xml:space="preserve">use </w:t>
      </w:r>
      <w:r w:rsidRPr="002A1E23">
        <w:rPr>
          <w:bCs/>
          <w:szCs w:val="24"/>
        </w:rPr>
        <w:t>$114</w:t>
      </w:r>
      <w:r w:rsidRPr="0064167F">
        <w:rPr>
          <w:szCs w:val="24"/>
        </w:rPr>
        <w:t xml:space="preserve"> per hour, which is based on the average of the 90th percentile for nine occupations adjusted for inflation (2.8 percent as of Q1 2019 according to the BLS), plus an additional 33.2 percent for benefits (based on the percent of total compensation allocated to benefits as of Q4 2018 for NAICS 522: credit intermediation and related activities).</w:t>
      </w:r>
    </w:p>
    <w:p w:rsidRPr="00CE1645" w:rsidR="00D70544" w:rsidRDefault="00D70544"/>
    <w:p w:rsidRPr="00CE1645" w:rsidR="00D70544" w:rsidRDefault="00D70544">
      <w:r w:rsidRPr="00CE1645">
        <w:rPr>
          <w:b/>
          <w:bCs/>
          <w:i/>
          <w:iCs/>
        </w:rPr>
        <w:t>13.  Estimate of annualized costs to respondents (excluding the cost of hour burden in Items 12 and 14):</w:t>
      </w:r>
    </w:p>
    <w:p w:rsidRPr="00CE1645" w:rsidR="00D70544" w:rsidRDefault="00D70544"/>
    <w:p w:rsidR="00D70544" w:rsidP="005D215A" w:rsidRDefault="00B47C9C">
      <w:pPr>
        <w:ind w:firstLine="36pt"/>
      </w:pPr>
      <w:r>
        <w:t>None.</w:t>
      </w:r>
    </w:p>
    <w:p w:rsidR="007135A0" w:rsidRDefault="007135A0">
      <w:pPr>
        <w:rPr>
          <w:b/>
          <w:bCs/>
          <w:i/>
          <w:iCs/>
        </w:rPr>
      </w:pPr>
    </w:p>
    <w:p w:rsidRPr="00CE1645" w:rsidR="00D70544" w:rsidRDefault="00D70544">
      <w:r w:rsidRPr="00CE1645">
        <w:rPr>
          <w:b/>
          <w:bCs/>
          <w:i/>
          <w:iCs/>
        </w:rPr>
        <w:t>14.  Estimate of annualized costs to the Federal government:</w:t>
      </w:r>
    </w:p>
    <w:p w:rsidRPr="00CE1645" w:rsidR="00D70544" w:rsidRDefault="00D70544"/>
    <w:p w:rsidRPr="00CE1645" w:rsidR="00D70544" w:rsidP="005D215A" w:rsidRDefault="00B47C9C">
      <w:pPr>
        <w:ind w:firstLine="36pt"/>
      </w:pPr>
      <w:r>
        <w:t>Not applicable.</w:t>
      </w:r>
    </w:p>
    <w:p w:rsidRPr="00CE1645" w:rsidR="00B47C9C" w:rsidRDefault="00B47C9C"/>
    <w:p w:rsidRPr="00CE1645" w:rsidR="00D70544" w:rsidRDefault="00B47C9C">
      <w:r>
        <w:rPr>
          <w:b/>
          <w:bCs/>
          <w:i/>
          <w:iCs/>
        </w:rPr>
        <w:t>15.  Change</w:t>
      </w:r>
      <w:r w:rsidRPr="00CE1645" w:rsidR="00D70544">
        <w:rPr>
          <w:b/>
          <w:bCs/>
          <w:i/>
          <w:iCs/>
        </w:rPr>
        <w:t xml:space="preserve"> in burden:</w:t>
      </w:r>
    </w:p>
    <w:p w:rsidRPr="00CE1645" w:rsidR="00D70544" w:rsidRDefault="00D70544"/>
    <w:p w:rsidRPr="00CE1645" w:rsidR="00D70544" w:rsidP="005D215A" w:rsidRDefault="004926FD">
      <w:pPr>
        <w:ind w:firstLine="36pt"/>
      </w:pPr>
      <w:r>
        <w:t xml:space="preserve">The increase in burden is </w:t>
      </w:r>
      <w:proofErr w:type="gramStart"/>
      <w:r>
        <w:t>due to the fact that</w:t>
      </w:r>
      <w:proofErr w:type="gramEnd"/>
      <w:r>
        <w:t xml:space="preserve"> this is a new collection.</w:t>
      </w:r>
    </w:p>
    <w:p w:rsidRPr="00CE1645" w:rsidR="00D70544" w:rsidRDefault="00D70544"/>
    <w:p w:rsidRPr="00CE1645" w:rsidR="00D70544" w:rsidRDefault="00D70544">
      <w:pPr>
        <w:pStyle w:val="BodyText2"/>
      </w:pPr>
      <w:r w:rsidRPr="00CE1645">
        <w:t>16.  Information regarding collections whose results are to be published for statistical use:</w:t>
      </w:r>
    </w:p>
    <w:p w:rsidRPr="00CE1645" w:rsidR="00D70544" w:rsidRDefault="00D70544"/>
    <w:p w:rsidRPr="00CE1645" w:rsidR="00D70544" w:rsidP="005D215A" w:rsidRDefault="00D70544">
      <w:pPr>
        <w:ind w:firstLine="36pt"/>
      </w:pPr>
      <w:r w:rsidRPr="00CE1645">
        <w:t>Not applicable.</w:t>
      </w:r>
    </w:p>
    <w:p w:rsidRPr="00CE1645" w:rsidR="00D70544" w:rsidRDefault="00D70544"/>
    <w:p w:rsidRPr="00CE1645" w:rsidR="00D70544" w:rsidRDefault="00D70544">
      <w:pPr>
        <w:pStyle w:val="BodyText2"/>
      </w:pPr>
      <w:r w:rsidRPr="00CE1645">
        <w:t>17.  Display of expiration date:</w:t>
      </w:r>
    </w:p>
    <w:p w:rsidRPr="00CE1645" w:rsidR="00D70544" w:rsidRDefault="00D70544">
      <w:pPr>
        <w:rPr>
          <w:b/>
          <w:bCs/>
          <w:i/>
          <w:iCs/>
        </w:rPr>
      </w:pPr>
    </w:p>
    <w:p w:rsidRPr="00CE1645" w:rsidR="00D70544" w:rsidP="005D215A" w:rsidRDefault="00D70544">
      <w:pPr>
        <w:ind w:firstLine="36pt"/>
      </w:pPr>
      <w:r w:rsidRPr="00CE1645">
        <w:t>Not applicable.</w:t>
      </w:r>
    </w:p>
    <w:p w:rsidRPr="00CE1645" w:rsidR="00D70544" w:rsidRDefault="00D70544"/>
    <w:p w:rsidRPr="00CE1645" w:rsidR="00D70544" w:rsidRDefault="00D70544">
      <w:pPr>
        <w:pStyle w:val="BodyText2"/>
      </w:pPr>
      <w:r w:rsidRPr="00CE1645">
        <w:t>18.  Exceptions to certification statement:</w:t>
      </w:r>
    </w:p>
    <w:p w:rsidRPr="00CE1645" w:rsidR="00D70544" w:rsidRDefault="00D70544"/>
    <w:p w:rsidRPr="00CE1645" w:rsidR="00D70544" w:rsidP="005D215A" w:rsidRDefault="00D70544">
      <w:pPr>
        <w:ind w:firstLine="36pt"/>
      </w:pPr>
      <w:r w:rsidRPr="00CE1645">
        <w:t>None.</w:t>
      </w:r>
    </w:p>
    <w:p w:rsidRPr="00CE1645" w:rsidR="00D70544" w:rsidRDefault="00D70544"/>
    <w:p w:rsidRPr="00CE1645" w:rsidR="00D70544" w:rsidRDefault="00D70544">
      <w:pPr>
        <w:pStyle w:val="BodyText"/>
      </w:pPr>
      <w:r w:rsidRPr="00CE1645">
        <w:t>B.  Collections of Information Employing Statistical Methods</w:t>
      </w:r>
      <w:r w:rsidR="006963C5">
        <w:t>.</w:t>
      </w:r>
    </w:p>
    <w:p w:rsidRPr="00CE1645" w:rsidR="00D70544" w:rsidRDefault="00D70544">
      <w:pPr>
        <w:rPr>
          <w:b/>
          <w:bCs/>
          <w:i/>
          <w:iCs/>
        </w:rPr>
      </w:pPr>
    </w:p>
    <w:p w:rsidRPr="00CE1645" w:rsidR="00D70544" w:rsidP="005D215A" w:rsidRDefault="00D70544">
      <w:pPr>
        <w:ind w:firstLine="36pt"/>
      </w:pPr>
      <w:r w:rsidRPr="00CE1645">
        <w:t>Not applicable.</w:t>
      </w:r>
    </w:p>
    <w:p w:rsidRPr="00CE1645" w:rsidR="00D70544" w:rsidRDefault="00D70544">
      <w:pPr>
        <w:pStyle w:val="BodyText"/>
        <w:rPr>
          <w:b w:val="0"/>
          <w:bCs w:val="0"/>
          <w:i/>
          <w:iCs/>
        </w:rPr>
      </w:pPr>
    </w:p>
    <w:sectPr w:rsidRPr="00CE1645" w:rsidR="00D70544">
      <w:footerReference w:type="even" r:id="rId7"/>
      <w:footerReference w:type="default" r:id="rId8"/>
      <w:pgSz w:w="612pt" w:h="792pt" w:code="1"/>
      <w:pgMar w:top="72pt" w:right="72pt" w:bottom="72pt" w:left="72pt" w:header="36pt" w:footer="36pt" w:gutter="0pt"/>
      <w:cols w:space="36pt"/>
      <w:titlePg/>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6D50AE" w:rsidRDefault="006D50AE">
      <w:r>
        <w:separator/>
      </w:r>
    </w:p>
  </w:endnote>
  <w:endnote w:type="continuationSeparator" w:id="0">
    <w:p w:rsidR="006D50AE" w:rsidRDefault="006D5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characterSet="iso-8859-1"/>
    <w:family w:val="roman"/>
    <w:pitch w:val="variable"/>
    <w:sig w:usb0="E0002EFF" w:usb1="C000785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Courier New">
    <w:panose1 w:val="02070309020205020404"/>
    <w:charset w:characterSet="iso-8859-1"/>
    <w:family w:val="modern"/>
    <w:pitch w:val="fixed"/>
    <w:sig w:usb0="E0002EFF" w:usb1="C0007843" w:usb2="00000009" w:usb3="00000000" w:csb0="000001FF" w:csb1="00000000"/>
  </w:font>
  <w:font w:name="Calibri Light">
    <w:panose1 w:val="020F0302020204030204"/>
    <w:charset w:characterSet="iso-8859-1"/>
    <w:family w:val="swiss"/>
    <w:pitch w:val="variable"/>
    <w:sig w:usb0="E0002AFF" w:usb1="C000247B" w:usb2="00000009" w:usb3="00000000" w:csb0="000001FF" w:csb1="00000000"/>
  </w:font>
  <w:font w:name="Calibri">
    <w:panose1 w:val="020F0502020204030204"/>
    <w:charset w:characterSet="iso-8859-1"/>
    <w:family w:val="swiss"/>
    <w:pitch w:val="variable"/>
    <w:sig w:usb0="E0002A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CE1645" w:rsidRDefault="00CE1645">
    <w:pPr>
      <w:pStyle w:val="Footer"/>
      <w:framePr w:wrap="around" w:hAnchor="margin" w:vAnchor="text" w:xAlign="center" w:y="0.05pt"/>
      <w:rPr>
        <w:rStyle w:val="PageNumber"/>
      </w:rPr>
    </w:pPr>
    <w:r>
      <w:rPr>
        <w:rStyle w:val="PageNumber"/>
      </w:rPr>
      <w:fldChar w:fldCharType="begin"/>
    </w:r>
    <w:r>
      <w:rPr>
        <w:rStyle w:val="PageNumber"/>
      </w:rPr>
      <w:instrText xml:space="preserve">PAGE  </w:instrText>
    </w:r>
    <w:r>
      <w:rPr>
        <w:rStyle w:val="PageNumber"/>
      </w:rPr>
      <w:fldChar w:fldCharType="end"/>
    </w:r>
  </w:p>
  <w:p w:rsidR="00CE1645" w:rsidRDefault="00CE1645">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CE1645" w:rsidRDefault="00CE1645">
    <w:pPr>
      <w:pStyle w:val="Footer"/>
      <w:framePr w:wrap="around" w:hAnchor="margin" w:vAnchor="text" w:xAlign="center" w:y="0.05pt"/>
      <w:rPr>
        <w:rStyle w:val="PageNumber"/>
      </w:rPr>
    </w:pPr>
    <w:r>
      <w:rPr>
        <w:rStyle w:val="PageNumber"/>
      </w:rPr>
      <w:fldChar w:fldCharType="begin"/>
    </w:r>
    <w:r>
      <w:rPr>
        <w:rStyle w:val="PageNumber"/>
      </w:rPr>
      <w:instrText xml:space="preserve">PAGE  </w:instrText>
    </w:r>
    <w:r>
      <w:rPr>
        <w:rStyle w:val="PageNumber"/>
      </w:rPr>
      <w:fldChar w:fldCharType="separate"/>
    </w:r>
    <w:r w:rsidR="00A84774">
      <w:rPr>
        <w:rStyle w:val="PageNumber"/>
        <w:noProof/>
      </w:rPr>
      <w:t>2</w:t>
    </w:r>
    <w:r>
      <w:rPr>
        <w:rStyle w:val="PageNumber"/>
      </w:rPr>
      <w:fldChar w:fldCharType="end"/>
    </w:r>
  </w:p>
  <w:p w:rsidR="00CE1645" w:rsidRDefault="00CE1645">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6D50AE" w:rsidRDefault="006D50AE">
      <w:r>
        <w:separator/>
      </w:r>
    </w:p>
  </w:footnote>
  <w:footnote w:type="continuationSeparator" w:id="0">
    <w:p w:rsidR="006D50AE" w:rsidRDefault="006D50AE">
      <w:r>
        <w:continuationSeparator/>
      </w:r>
    </w:p>
  </w:footnote>
  <w:footnote w:id="1">
    <w:p w:rsidR="00B314D1" w:rsidP="00892583" w:rsidRDefault="00E17855">
      <w:pPr>
        <w:pStyle w:val="FootnoteText"/>
        <w:ind w:firstLine="36pt"/>
      </w:pPr>
      <w:r>
        <w:rPr>
          <w:rStyle w:val="FootnoteReference"/>
        </w:rPr>
        <w:footnoteRef/>
      </w:r>
      <w:r>
        <w:t xml:space="preserve"> </w:t>
      </w:r>
      <w:r w:rsidRPr="007A1C40">
        <w:t>12 CFR part 215</w:t>
      </w:r>
      <w:r>
        <w:t>.</w:t>
      </w:r>
    </w:p>
  </w:footnote>
  <w:footnote w:id="2">
    <w:p w:rsidR="00B314D1" w:rsidP="00892583" w:rsidRDefault="00E17855">
      <w:pPr>
        <w:pStyle w:val="FootnoteText"/>
        <w:ind w:firstLine="36pt"/>
      </w:pPr>
      <w:r>
        <w:rPr>
          <w:rStyle w:val="FootnoteReference"/>
        </w:rPr>
        <w:footnoteRef/>
      </w:r>
      <w:r>
        <w:t xml:space="preserve"> </w:t>
      </w:r>
      <w:r w:rsidRPr="007A1C40">
        <w:t>12 CFR part 223</w:t>
      </w:r>
      <w:r>
        <w:t>.</w:t>
      </w:r>
    </w:p>
  </w:footnote>
  <w:footnote w:id="3">
    <w:p w:rsidR="00B314D1" w:rsidP="00892583" w:rsidRDefault="00E17855">
      <w:pPr>
        <w:pStyle w:val="FootnoteText"/>
        <w:ind w:firstLine="36pt"/>
      </w:pPr>
      <w:r>
        <w:rPr>
          <w:rStyle w:val="FootnoteReference"/>
        </w:rPr>
        <w:footnoteRef/>
      </w:r>
      <w:r>
        <w:t xml:space="preserve"> 12 U.S.C. 371c, </w:t>
      </w:r>
      <w:r w:rsidRPr="00114B31">
        <w:t>371c-1</w:t>
      </w:r>
      <w:r>
        <w:t xml:space="preserve">, 375a, and 375b. </w:t>
      </w:r>
      <w:r w:rsidRPr="00EA6627" w:rsidR="00EA6627">
        <w:t xml:space="preserve"> </w:t>
      </w:r>
      <w:r w:rsidR="0056789C">
        <w:t>In addition, s</w:t>
      </w:r>
      <w:r w:rsidR="00EA6627">
        <w:t>ection 11 of the H</w:t>
      </w:r>
      <w:r w:rsidR="0056789C">
        <w:t xml:space="preserve">ome </w:t>
      </w:r>
      <w:r w:rsidR="00EA6627">
        <w:t>O</w:t>
      </w:r>
      <w:r w:rsidR="0056789C">
        <w:t xml:space="preserve">wners’ </w:t>
      </w:r>
      <w:r w:rsidR="00EA6627">
        <w:t>L</w:t>
      </w:r>
      <w:r w:rsidR="0056789C">
        <w:t xml:space="preserve">oan </w:t>
      </w:r>
      <w:r w:rsidR="00EA6627">
        <w:t>A</w:t>
      </w:r>
      <w:r w:rsidR="0056789C">
        <w:t>ct, 12 U.S.C. 1468,</w:t>
      </w:r>
      <w:r w:rsidR="00EA6627">
        <w:t xml:space="preserve"> includes certain restrictions on transactions with affiliates that are not included in FRA section 23A.</w:t>
      </w:r>
    </w:p>
  </w:footnote>
  <w:footnote w:id="4">
    <w:p w:rsidR="00B314D1" w:rsidP="000D25FB" w:rsidRDefault="00D33271">
      <w:pPr>
        <w:pStyle w:val="FootnoteText"/>
        <w:ind w:firstLine="36pt"/>
      </w:pPr>
      <w:r>
        <w:rPr>
          <w:rStyle w:val="FootnoteReference"/>
        </w:rPr>
        <w:footnoteRef/>
      </w:r>
      <w:r>
        <w:t xml:space="preserve"> </w:t>
      </w:r>
      <w:r w:rsidR="0056789C">
        <w:t xml:space="preserve"> 12 U.S.C. 1468.</w:t>
      </w:r>
    </w:p>
  </w:footnote>
  <w:footnote w:id="5">
    <w:p w:rsidR="00E17855" w:rsidP="00892583" w:rsidRDefault="00E17855">
      <w:pPr>
        <w:pStyle w:val="FootnoteText"/>
        <w:ind w:firstLine="36pt"/>
      </w:pPr>
      <w:r>
        <w:rPr>
          <w:rStyle w:val="FootnoteReference"/>
        </w:rPr>
        <w:footnoteRef/>
      </w:r>
      <w:r>
        <w:t xml:space="preserve"> </w:t>
      </w:r>
      <w:r w:rsidRPr="00E01B3A">
        <w:rPr>
          <w:i/>
        </w:rPr>
        <w:t>See</w:t>
      </w:r>
      <w:r w:rsidRPr="00AD3854">
        <w:t xml:space="preserve"> section</w:t>
      </w:r>
      <w:r w:rsidRPr="003369C5">
        <w:t xml:space="preserve"> 608</w:t>
      </w:r>
      <w:r>
        <w:t xml:space="preserve">(a)(4)(A)(iv) of the Dodd-Frank Act (exemptive authority for national banks); </w:t>
      </w:r>
      <w:r w:rsidRPr="00E01B3A">
        <w:rPr>
          <w:i/>
        </w:rPr>
        <w:t>see also</w:t>
      </w:r>
      <w:r w:rsidRPr="00195F75">
        <w:t xml:space="preserve"> </w:t>
      </w:r>
      <w:r>
        <w:t>section 608(c) of the Dodd-Frank Act (exemptive authority for Federal savings associations).</w:t>
      </w:r>
      <w:r>
        <w:br/>
        <w:t xml:space="preserve">  </w:t>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09180C26"/>
    <w:multiLevelType w:val="multilevel"/>
    <w:tmpl w:val="577EE89A"/>
    <w:lvl w:ilvl="0">
      <w:start w:val="1"/>
      <w:numFmt w:val="upperRoman"/>
      <w:suff w:val="nothing"/>
      <w:lvlText w:val="Article %1"/>
      <w:lvlJc w:val="start"/>
      <w:pPr>
        <w:ind w:start="0pt" w:firstLine="0pt"/>
      </w:pPr>
      <w:rPr>
        <w:b w:val="0"/>
        <w:i w:val="0"/>
      </w:rPr>
    </w:lvl>
    <w:lvl w:ilvl="1">
      <w:start w:val="1"/>
      <w:numFmt w:val="decimal"/>
      <w:lvlText w:val="(%2)"/>
      <w:lvlJc w:val="start"/>
      <w:pPr>
        <w:tabs>
          <w:tab w:val="num" w:pos="18pt"/>
        </w:tabs>
        <w:ind w:start="0pt" w:firstLine="0pt"/>
      </w:pPr>
    </w:lvl>
    <w:lvl w:ilvl="2">
      <w:start w:val="1"/>
      <w:numFmt w:val="lowerLetter"/>
      <w:lvlText w:val="(%3)"/>
      <w:lvlJc w:val="start"/>
      <w:pPr>
        <w:tabs>
          <w:tab w:val="num" w:pos="36pt"/>
        </w:tabs>
        <w:ind w:start="36pt" w:hanging="21.60pt"/>
      </w:pPr>
    </w:lvl>
    <w:lvl w:ilvl="3">
      <w:start w:val="1"/>
      <w:numFmt w:val="lowerRoman"/>
      <w:lvlText w:val="(%4)"/>
      <w:lvlJc w:val="end"/>
      <w:pPr>
        <w:tabs>
          <w:tab w:val="num" w:pos="43.20pt"/>
        </w:tabs>
        <w:ind w:start="43.20pt" w:hanging="7.20pt"/>
      </w:pPr>
    </w:lvl>
    <w:lvl w:ilvl="4">
      <w:start w:val="1"/>
      <w:numFmt w:val="decimal"/>
      <w:lvlText w:val="%5)"/>
      <w:lvlJc w:val="start"/>
      <w:pPr>
        <w:tabs>
          <w:tab w:val="num" w:pos="50.40pt"/>
        </w:tabs>
        <w:ind w:start="50.40pt" w:hanging="21.60pt"/>
      </w:pPr>
    </w:lvl>
    <w:lvl w:ilvl="5">
      <w:start w:val="1"/>
      <w:numFmt w:val="lowerLetter"/>
      <w:lvlText w:val="%6)"/>
      <w:lvlJc w:val="start"/>
      <w:pPr>
        <w:tabs>
          <w:tab w:val="num" w:pos="57.60pt"/>
        </w:tabs>
        <w:ind w:start="57.60pt" w:hanging="21.60pt"/>
      </w:pPr>
    </w:lvl>
    <w:lvl w:ilvl="6">
      <w:start w:val="1"/>
      <w:numFmt w:val="lowerRoman"/>
      <w:lvlText w:val="%7)"/>
      <w:lvlJc w:val="end"/>
      <w:pPr>
        <w:tabs>
          <w:tab w:val="num" w:pos="64.80pt"/>
        </w:tabs>
        <w:ind w:start="64.80pt" w:hanging="14.40pt"/>
      </w:pPr>
    </w:lvl>
    <w:lvl w:ilvl="7">
      <w:start w:val="1"/>
      <w:numFmt w:val="lowerLetter"/>
      <w:lvlText w:val="%8."/>
      <w:lvlJc w:val="start"/>
      <w:pPr>
        <w:tabs>
          <w:tab w:val="num" w:pos="72pt"/>
        </w:tabs>
        <w:ind w:start="72pt" w:hanging="21.60pt"/>
      </w:pPr>
    </w:lvl>
    <w:lvl w:ilvl="8">
      <w:start w:val="1"/>
      <w:numFmt w:val="lowerRoman"/>
      <w:lvlText w:val="%9."/>
      <w:lvlJc w:val="end"/>
      <w:pPr>
        <w:tabs>
          <w:tab w:val="num" w:pos="79.20pt"/>
        </w:tabs>
        <w:ind w:start="79.20pt" w:hanging="7.20pt"/>
      </w:pPr>
    </w:lvl>
  </w:abstractNum>
  <w:abstractNum w:abstractNumId="1" w15:restartNumberingAfterBreak="0">
    <w:nsid w:val="0CCC1986"/>
    <w:multiLevelType w:val="multilevel"/>
    <w:tmpl w:val="CC36E874"/>
    <w:lvl w:ilvl="0">
      <w:start w:val="1"/>
      <w:numFmt w:val="upperRoman"/>
      <w:suff w:val="nothing"/>
      <w:lvlText w:val="Article %1"/>
      <w:lvlJc w:val="start"/>
      <w:pPr>
        <w:ind w:start="0pt" w:firstLine="0pt"/>
      </w:pPr>
      <w:rPr>
        <w:b w:val="0"/>
        <w:i w:val="0"/>
      </w:rPr>
    </w:lvl>
    <w:lvl w:ilvl="1">
      <w:start w:val="1"/>
      <w:numFmt w:val="decimal"/>
      <w:lvlText w:val="(%2)"/>
      <w:lvlJc w:val="start"/>
      <w:pPr>
        <w:tabs>
          <w:tab w:val="num" w:pos="54pt"/>
        </w:tabs>
        <w:ind w:start="0pt" w:firstLine="36pt"/>
      </w:pPr>
    </w:lvl>
    <w:lvl w:ilvl="2">
      <w:start w:val="1"/>
      <w:numFmt w:val="lowerLetter"/>
      <w:lvlText w:val="(%3)"/>
      <w:lvlJc w:val="start"/>
      <w:pPr>
        <w:tabs>
          <w:tab w:val="num" w:pos="72pt"/>
        </w:tabs>
        <w:ind w:start="72pt" w:hanging="36pt"/>
      </w:pPr>
    </w:lvl>
    <w:lvl w:ilvl="3">
      <w:start w:val="1"/>
      <w:numFmt w:val="lowerRoman"/>
      <w:lvlText w:val="(%4)"/>
      <w:lvlJc w:val="start"/>
      <w:pPr>
        <w:tabs>
          <w:tab w:val="num" w:pos="108pt"/>
        </w:tabs>
        <w:ind w:start="108pt" w:hanging="36pt"/>
      </w:pPr>
    </w:lvl>
    <w:lvl w:ilvl="4">
      <w:start w:val="1"/>
      <w:numFmt w:val="decimal"/>
      <w:lvlText w:val="%5)"/>
      <w:lvlJc w:val="start"/>
      <w:pPr>
        <w:tabs>
          <w:tab w:val="num" w:pos="50.40pt"/>
        </w:tabs>
        <w:ind w:start="50.40pt" w:hanging="21.60pt"/>
      </w:pPr>
    </w:lvl>
    <w:lvl w:ilvl="5">
      <w:start w:val="1"/>
      <w:numFmt w:val="lowerLetter"/>
      <w:lvlText w:val="%6)"/>
      <w:lvlJc w:val="start"/>
      <w:pPr>
        <w:tabs>
          <w:tab w:val="num" w:pos="57.60pt"/>
        </w:tabs>
        <w:ind w:start="57.60pt" w:hanging="21.60pt"/>
      </w:pPr>
    </w:lvl>
    <w:lvl w:ilvl="6">
      <w:start w:val="1"/>
      <w:numFmt w:val="lowerRoman"/>
      <w:lvlText w:val="%7)"/>
      <w:lvlJc w:val="end"/>
      <w:pPr>
        <w:tabs>
          <w:tab w:val="num" w:pos="64.80pt"/>
        </w:tabs>
        <w:ind w:start="64.80pt" w:hanging="14.40pt"/>
      </w:pPr>
    </w:lvl>
    <w:lvl w:ilvl="7">
      <w:start w:val="1"/>
      <w:numFmt w:val="lowerLetter"/>
      <w:lvlText w:val="%8."/>
      <w:lvlJc w:val="start"/>
      <w:pPr>
        <w:tabs>
          <w:tab w:val="num" w:pos="72pt"/>
        </w:tabs>
        <w:ind w:start="72pt" w:hanging="21.60pt"/>
      </w:pPr>
    </w:lvl>
    <w:lvl w:ilvl="8">
      <w:start w:val="1"/>
      <w:numFmt w:val="lowerRoman"/>
      <w:lvlText w:val="%9."/>
      <w:lvlJc w:val="end"/>
      <w:pPr>
        <w:tabs>
          <w:tab w:val="num" w:pos="79.20pt"/>
        </w:tabs>
        <w:ind w:start="79.20pt" w:hanging="7.20pt"/>
      </w:pPr>
    </w:lvl>
  </w:abstractNum>
  <w:abstractNum w:abstractNumId="2" w15:restartNumberingAfterBreak="0">
    <w:nsid w:val="38183B22"/>
    <w:multiLevelType w:val="multilevel"/>
    <w:tmpl w:val="E124A508"/>
    <w:lvl w:ilvl="0">
      <w:start w:val="1"/>
      <w:numFmt w:val="upperRoman"/>
      <w:pStyle w:val="ArticleNumber"/>
      <w:suff w:val="nothing"/>
      <w:lvlText w:val="Article %1"/>
      <w:lvlJc w:val="start"/>
      <w:pPr>
        <w:ind w:start="0pt" w:firstLine="0pt"/>
      </w:pPr>
      <w:rPr>
        <w:b w:val="0"/>
        <w:i w:val="0"/>
      </w:rPr>
    </w:lvl>
    <w:lvl w:ilvl="1">
      <w:start w:val="1"/>
      <w:numFmt w:val="decimal"/>
      <w:pStyle w:val="ArticleLevel1"/>
      <w:lvlText w:val="(%2)"/>
      <w:lvlJc w:val="start"/>
      <w:pPr>
        <w:tabs>
          <w:tab w:val="num" w:pos="54pt"/>
        </w:tabs>
        <w:ind w:start="0pt" w:firstLine="36pt"/>
      </w:pPr>
    </w:lvl>
    <w:lvl w:ilvl="2">
      <w:start w:val="1"/>
      <w:numFmt w:val="lowerLetter"/>
      <w:pStyle w:val="ArticleLevela"/>
      <w:lvlText w:val="(%3)"/>
      <w:lvlJc w:val="start"/>
      <w:pPr>
        <w:tabs>
          <w:tab w:val="num" w:pos="72pt"/>
        </w:tabs>
        <w:ind w:start="72pt" w:hanging="36pt"/>
      </w:pPr>
    </w:lvl>
    <w:lvl w:ilvl="3">
      <w:start w:val="1"/>
      <w:numFmt w:val="lowerRoman"/>
      <w:pStyle w:val="ArticleLeveli"/>
      <w:lvlText w:val="(%4)"/>
      <w:lvlJc w:val="start"/>
      <w:pPr>
        <w:tabs>
          <w:tab w:val="num" w:pos="108pt"/>
        </w:tabs>
        <w:ind w:start="108pt" w:hanging="36pt"/>
      </w:pPr>
    </w:lvl>
    <w:lvl w:ilvl="4">
      <w:start w:val="1"/>
      <w:numFmt w:val="decimal"/>
      <w:lvlText w:val="%5)"/>
      <w:lvlJc w:val="start"/>
      <w:pPr>
        <w:tabs>
          <w:tab w:val="num" w:pos="50.40pt"/>
        </w:tabs>
        <w:ind w:start="50.40pt" w:hanging="21.60pt"/>
      </w:pPr>
    </w:lvl>
    <w:lvl w:ilvl="5">
      <w:start w:val="1"/>
      <w:numFmt w:val="lowerLetter"/>
      <w:lvlText w:val="%6)"/>
      <w:lvlJc w:val="start"/>
      <w:pPr>
        <w:tabs>
          <w:tab w:val="num" w:pos="57.60pt"/>
        </w:tabs>
        <w:ind w:start="57.60pt" w:hanging="21.60pt"/>
      </w:pPr>
    </w:lvl>
    <w:lvl w:ilvl="6">
      <w:start w:val="1"/>
      <w:numFmt w:val="lowerRoman"/>
      <w:lvlText w:val="%7)"/>
      <w:lvlJc w:val="end"/>
      <w:pPr>
        <w:tabs>
          <w:tab w:val="num" w:pos="64.80pt"/>
        </w:tabs>
        <w:ind w:start="64.80pt" w:hanging="14.40pt"/>
      </w:pPr>
    </w:lvl>
    <w:lvl w:ilvl="7">
      <w:start w:val="1"/>
      <w:numFmt w:val="lowerLetter"/>
      <w:lvlText w:val="%8."/>
      <w:lvlJc w:val="start"/>
      <w:pPr>
        <w:tabs>
          <w:tab w:val="num" w:pos="72pt"/>
        </w:tabs>
        <w:ind w:start="72pt" w:hanging="21.60pt"/>
      </w:pPr>
    </w:lvl>
    <w:lvl w:ilvl="8">
      <w:start w:val="1"/>
      <w:numFmt w:val="lowerRoman"/>
      <w:lvlText w:val="%9."/>
      <w:lvlJc w:val="end"/>
      <w:pPr>
        <w:tabs>
          <w:tab w:val="num" w:pos="79.20pt"/>
        </w:tabs>
        <w:ind w:start="79.20pt" w:hanging="7.20pt"/>
      </w:pPr>
    </w:lvl>
  </w:abstractNum>
  <w:abstractNum w:abstractNumId="3" w15:restartNumberingAfterBreak="0">
    <w:nsid w:val="7D5B58AC"/>
    <w:multiLevelType w:val="multilevel"/>
    <w:tmpl w:val="D45EB7CC"/>
    <w:lvl w:ilvl="0">
      <w:start w:val="1"/>
      <w:numFmt w:val="upperRoman"/>
      <w:suff w:val="nothing"/>
      <w:lvlText w:val="Article %1"/>
      <w:lvlJc w:val="start"/>
      <w:pPr>
        <w:ind w:start="0pt" w:firstLine="0pt"/>
      </w:pPr>
      <w:rPr>
        <w:b/>
        <w:i w:val="0"/>
      </w:rPr>
    </w:lvl>
    <w:lvl w:ilvl="1">
      <w:start w:val="1"/>
      <w:numFmt w:val="decimalZero"/>
      <w:isLgl/>
      <w:lvlText w:val="Section %1.%2"/>
      <w:lvlJc w:val="start"/>
      <w:pPr>
        <w:tabs>
          <w:tab w:val="num" w:pos="54pt"/>
        </w:tabs>
        <w:ind w:start="0pt" w:firstLine="0pt"/>
      </w:pPr>
    </w:lvl>
    <w:lvl w:ilvl="2">
      <w:start w:val="1"/>
      <w:numFmt w:val="decimal"/>
      <w:lvlText w:val="(%3)"/>
      <w:lvlJc w:val="start"/>
      <w:pPr>
        <w:tabs>
          <w:tab w:val="num" w:pos="36pt"/>
        </w:tabs>
        <w:ind w:start="36pt" w:hanging="36pt"/>
      </w:pPr>
    </w:lvl>
    <w:lvl w:ilvl="3">
      <w:start w:val="1"/>
      <w:numFmt w:val="lowerLetter"/>
      <w:lvlText w:val="(%4)"/>
      <w:lvlJc w:val="start"/>
      <w:pPr>
        <w:tabs>
          <w:tab w:val="num" w:pos="54pt"/>
        </w:tabs>
        <w:ind w:start="36pt" w:firstLine="0pt"/>
      </w:pPr>
    </w:lvl>
    <w:lvl w:ilvl="4">
      <w:start w:val="1"/>
      <w:numFmt w:val="lowerRoman"/>
      <w:lvlText w:val="(%5)"/>
      <w:lvlJc w:val="start"/>
      <w:pPr>
        <w:tabs>
          <w:tab w:val="num" w:pos="108pt"/>
        </w:tabs>
        <w:ind w:start="108pt" w:hanging="36pt"/>
      </w:pPr>
    </w:lvl>
    <w:lvl w:ilvl="5">
      <w:start w:val="1"/>
      <w:numFmt w:val="lowerLetter"/>
      <w:lvlText w:val="%6)"/>
      <w:lvlJc w:val="start"/>
      <w:pPr>
        <w:tabs>
          <w:tab w:val="num" w:pos="57.60pt"/>
        </w:tabs>
        <w:ind w:start="57.60pt" w:hanging="21.60pt"/>
      </w:pPr>
    </w:lvl>
    <w:lvl w:ilvl="6">
      <w:start w:val="1"/>
      <w:numFmt w:val="lowerRoman"/>
      <w:lvlText w:val="%7)"/>
      <w:lvlJc w:val="end"/>
      <w:pPr>
        <w:tabs>
          <w:tab w:val="num" w:pos="64.80pt"/>
        </w:tabs>
        <w:ind w:start="64.80pt" w:hanging="14.40pt"/>
      </w:pPr>
    </w:lvl>
    <w:lvl w:ilvl="7">
      <w:start w:val="1"/>
      <w:numFmt w:val="lowerLetter"/>
      <w:lvlText w:val="%8."/>
      <w:lvlJc w:val="start"/>
      <w:pPr>
        <w:tabs>
          <w:tab w:val="num" w:pos="72pt"/>
        </w:tabs>
        <w:ind w:start="72pt" w:hanging="21.60pt"/>
      </w:pPr>
    </w:lvl>
    <w:lvl w:ilvl="8">
      <w:start w:val="1"/>
      <w:numFmt w:val="lowerRoman"/>
      <w:lvlText w:val="%9."/>
      <w:lvlJc w:val="end"/>
      <w:pPr>
        <w:tabs>
          <w:tab w:val="num" w:pos="79.20pt"/>
        </w:tabs>
        <w:ind w:start="79.20pt" w:hanging="7.20pt"/>
      </w:pPr>
    </w:lvl>
  </w:abstractNum>
  <w:num w:numId="1">
    <w:abstractNumId w:val="0"/>
  </w:num>
  <w:num w:numId="2">
    <w:abstractNumId w:val="3"/>
  </w:num>
  <w:num w:numId="3">
    <w:abstractNumId w:val="2"/>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 w:numId="14">
    <w:abstractNumId w:val="2"/>
  </w:num>
  <w:num w:numId="15">
    <w:abstractNumId w:val="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pt"/>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7E69"/>
    <w:rsid w:val="00025A30"/>
    <w:rsid w:val="00026478"/>
    <w:rsid w:val="00030E6F"/>
    <w:rsid w:val="00046B0A"/>
    <w:rsid w:val="00085597"/>
    <w:rsid w:val="000A657F"/>
    <w:rsid w:val="000B615A"/>
    <w:rsid w:val="000D25FB"/>
    <w:rsid w:val="000D4B65"/>
    <w:rsid w:val="000E72B1"/>
    <w:rsid w:val="0018156D"/>
    <w:rsid w:val="001A251B"/>
    <w:rsid w:val="001A2BE1"/>
    <w:rsid w:val="001B0785"/>
    <w:rsid w:val="001C1B3D"/>
    <w:rsid w:val="001E2E82"/>
    <w:rsid w:val="001F25D5"/>
    <w:rsid w:val="002349DB"/>
    <w:rsid w:val="002559A6"/>
    <w:rsid w:val="00255EC4"/>
    <w:rsid w:val="0026488C"/>
    <w:rsid w:val="002833B6"/>
    <w:rsid w:val="002B591D"/>
    <w:rsid w:val="002C0AC2"/>
    <w:rsid w:val="002C1756"/>
    <w:rsid w:val="002E0912"/>
    <w:rsid w:val="003C269B"/>
    <w:rsid w:val="003F08A7"/>
    <w:rsid w:val="00405080"/>
    <w:rsid w:val="004423DE"/>
    <w:rsid w:val="004470D2"/>
    <w:rsid w:val="0045767A"/>
    <w:rsid w:val="00461E7C"/>
    <w:rsid w:val="00472E02"/>
    <w:rsid w:val="00480C57"/>
    <w:rsid w:val="004926FD"/>
    <w:rsid w:val="00494FE8"/>
    <w:rsid w:val="004B4CCA"/>
    <w:rsid w:val="004D6DF3"/>
    <w:rsid w:val="004E69DB"/>
    <w:rsid w:val="00534358"/>
    <w:rsid w:val="00534C81"/>
    <w:rsid w:val="00543DD9"/>
    <w:rsid w:val="00563C57"/>
    <w:rsid w:val="00566F13"/>
    <w:rsid w:val="0056789C"/>
    <w:rsid w:val="005728F1"/>
    <w:rsid w:val="005D215A"/>
    <w:rsid w:val="005F1FF7"/>
    <w:rsid w:val="00603348"/>
    <w:rsid w:val="00624EEB"/>
    <w:rsid w:val="00632A2B"/>
    <w:rsid w:val="00634B97"/>
    <w:rsid w:val="00655BA4"/>
    <w:rsid w:val="006575B1"/>
    <w:rsid w:val="00662652"/>
    <w:rsid w:val="00664389"/>
    <w:rsid w:val="00670DEE"/>
    <w:rsid w:val="00672273"/>
    <w:rsid w:val="006808B8"/>
    <w:rsid w:val="006963C5"/>
    <w:rsid w:val="00696489"/>
    <w:rsid w:val="006A4597"/>
    <w:rsid w:val="006C3633"/>
    <w:rsid w:val="006D50AE"/>
    <w:rsid w:val="006F43AA"/>
    <w:rsid w:val="007135A0"/>
    <w:rsid w:val="007318CC"/>
    <w:rsid w:val="007333AF"/>
    <w:rsid w:val="0077421F"/>
    <w:rsid w:val="00796C12"/>
    <w:rsid w:val="007A514D"/>
    <w:rsid w:val="007A79E0"/>
    <w:rsid w:val="007C4945"/>
    <w:rsid w:val="007D4932"/>
    <w:rsid w:val="007D6FE6"/>
    <w:rsid w:val="00806A16"/>
    <w:rsid w:val="00826F28"/>
    <w:rsid w:val="008405F0"/>
    <w:rsid w:val="00844231"/>
    <w:rsid w:val="008761DC"/>
    <w:rsid w:val="00877263"/>
    <w:rsid w:val="00884EEF"/>
    <w:rsid w:val="00892583"/>
    <w:rsid w:val="008A771E"/>
    <w:rsid w:val="008C5E48"/>
    <w:rsid w:val="008E3E81"/>
    <w:rsid w:val="008F592C"/>
    <w:rsid w:val="00906F94"/>
    <w:rsid w:val="0091367C"/>
    <w:rsid w:val="00954BB6"/>
    <w:rsid w:val="009A1517"/>
    <w:rsid w:val="009A4801"/>
    <w:rsid w:val="009C4ACD"/>
    <w:rsid w:val="009C5B27"/>
    <w:rsid w:val="009E2B72"/>
    <w:rsid w:val="009E41F9"/>
    <w:rsid w:val="009F651F"/>
    <w:rsid w:val="00A03A14"/>
    <w:rsid w:val="00A07AE5"/>
    <w:rsid w:val="00A52D01"/>
    <w:rsid w:val="00A714F7"/>
    <w:rsid w:val="00A7693C"/>
    <w:rsid w:val="00A80FF4"/>
    <w:rsid w:val="00A84774"/>
    <w:rsid w:val="00A918BF"/>
    <w:rsid w:val="00AC3609"/>
    <w:rsid w:val="00AD0ED4"/>
    <w:rsid w:val="00AE4F22"/>
    <w:rsid w:val="00B3042F"/>
    <w:rsid w:val="00B314D1"/>
    <w:rsid w:val="00B47C9C"/>
    <w:rsid w:val="00B50802"/>
    <w:rsid w:val="00B739D3"/>
    <w:rsid w:val="00B84B2A"/>
    <w:rsid w:val="00BF03D6"/>
    <w:rsid w:val="00BF7C3C"/>
    <w:rsid w:val="00C01B24"/>
    <w:rsid w:val="00C06828"/>
    <w:rsid w:val="00C357AB"/>
    <w:rsid w:val="00C517A4"/>
    <w:rsid w:val="00C51D44"/>
    <w:rsid w:val="00C61369"/>
    <w:rsid w:val="00C63983"/>
    <w:rsid w:val="00C645B5"/>
    <w:rsid w:val="00C93ADC"/>
    <w:rsid w:val="00CA126A"/>
    <w:rsid w:val="00CE1645"/>
    <w:rsid w:val="00D03D29"/>
    <w:rsid w:val="00D12B15"/>
    <w:rsid w:val="00D1651A"/>
    <w:rsid w:val="00D20000"/>
    <w:rsid w:val="00D32DE4"/>
    <w:rsid w:val="00D33271"/>
    <w:rsid w:val="00D46E7E"/>
    <w:rsid w:val="00D55D78"/>
    <w:rsid w:val="00D70544"/>
    <w:rsid w:val="00D80639"/>
    <w:rsid w:val="00D84B64"/>
    <w:rsid w:val="00D92E17"/>
    <w:rsid w:val="00DA3627"/>
    <w:rsid w:val="00E01B3A"/>
    <w:rsid w:val="00E17855"/>
    <w:rsid w:val="00E22230"/>
    <w:rsid w:val="00E23988"/>
    <w:rsid w:val="00E27F14"/>
    <w:rsid w:val="00E30204"/>
    <w:rsid w:val="00E7124C"/>
    <w:rsid w:val="00E94DB3"/>
    <w:rsid w:val="00EA6627"/>
    <w:rsid w:val="00EE153F"/>
    <w:rsid w:val="00EE363B"/>
    <w:rsid w:val="00EF2630"/>
    <w:rsid w:val="00EF2D24"/>
    <w:rsid w:val="00EF7EA6"/>
    <w:rsid w:val="00F14066"/>
    <w:rsid w:val="00F24572"/>
    <w:rsid w:val="00F32307"/>
    <w:rsid w:val="00F333C6"/>
    <w:rsid w:val="00F33900"/>
    <w:rsid w:val="00F44668"/>
    <w:rsid w:val="00FA6860"/>
    <w:rsid w:val="00FB1ABF"/>
    <w:rsid w:val="00FB4F4E"/>
    <w:rsid w:val="00FB7E69"/>
    <w:rsid w:val="00FF6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55EDBA6"/>
  <w15:chartTrackingRefBased/>
  <w15:docId w15:val="{97529848-3EF1-49D9-B2B8-6FD04E5D7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sz w:val="24"/>
    </w:rPr>
  </w:style>
  <w:style w:type="paragraph" w:styleId="Heading1">
    <w:name w:val="heading 1"/>
    <w:basedOn w:val="Normal"/>
    <w:next w:val="Normal"/>
    <w:qFormat/>
    <w:pPr>
      <w:keepNext/>
      <w:spacing w:before="12pt" w:after="3pt"/>
      <w:outlineLvl w:val="0"/>
    </w:pPr>
    <w:rPr>
      <w:b/>
      <w:kern w:val="28"/>
      <w:sz w:val="28"/>
    </w:rPr>
  </w:style>
  <w:style w:type="paragraph" w:styleId="Heading2">
    <w:name w:val="heading 2"/>
    <w:basedOn w:val="Normal"/>
    <w:next w:val="Normal"/>
    <w:qFormat/>
    <w:pPr>
      <w:keepNext/>
      <w:spacing w:before="12pt" w:after="3pt"/>
      <w:outlineLvl w:val="1"/>
    </w:pPr>
    <w:rPr>
      <w:b/>
    </w:rPr>
  </w:style>
  <w:style w:type="paragraph" w:styleId="Heading3">
    <w:name w:val="heading 3"/>
    <w:basedOn w:val="Normal"/>
    <w:next w:val="Normal"/>
    <w:qFormat/>
    <w:pPr>
      <w:keepNext/>
      <w:spacing w:before="12pt" w:after="3pt"/>
      <w:outlineLvl w:val="2"/>
    </w:pPr>
    <w:rPr>
      <w:u w:val="single"/>
    </w:rPr>
  </w:style>
  <w:style w:type="paragraph" w:styleId="Heading4">
    <w:name w:val="heading 4"/>
    <w:basedOn w:val="Normal"/>
    <w:next w:val="Normal"/>
    <w:qFormat/>
    <w:pPr>
      <w:keepNext/>
      <w:outlineLvl w:val="3"/>
    </w:pPr>
    <w:rPr>
      <w:b/>
      <w:bCs/>
      <w:i/>
      <w:iCs/>
      <w:sz w:val="20"/>
    </w:rPr>
  </w:style>
  <w:style w:type="character" w:styleId="DefaultParagraphFont" w:default="1">
    <w:name w:val="Default Paragraph Font"/>
    <w:semiHidden/>
  </w:style>
  <w:style w:type="table" w:styleId="TableNormal" w:default="1">
    <w:name w:val="Normal Table"/>
    <w:semiHidden/>
    <w:tblPr>
      <w:tblInd w:w="0pt" w:type="dxa"/>
      <w:tblCellMar>
        <w:top w:w="0pt" w:type="dxa"/>
        <w:start w:w="5.40pt" w:type="dxa"/>
        <w:bottom w:w="0pt" w:type="dxa"/>
        <w:end w:w="5.40pt" w:type="dxa"/>
      </w:tblCellMar>
    </w:tblPr>
  </w:style>
  <w:style w:type="numbering" w:styleId="NoList" w:default="1">
    <w:name w:val="No List"/>
    <w:semiHidden/>
  </w:style>
  <w:style w:type="character" w:styleId="FootnoteReference">
    <w:name w:val="footnote reference"/>
    <w:aliases w:val="fr,12,Style 19,Style 16,Style 35,Nota,Footnote symbol,Footnote,Appel note de bas de p,BVI fnr,SUPERS,Footnote Reference Superscript,(Footnote Reference),Footnote reference number,note TESI,EN Footnote Reference,Voetnootverwijzing"/>
    <w:uiPriority w:val="99"/>
    <w:rPr>
      <w:vertAlign w:val="superscript"/>
    </w:rPr>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Char,Fußnote"/>
    <w:basedOn w:val="Normal"/>
    <w:link w:val="FootnoteTextChar"/>
    <w:uiPriority w:val="99"/>
    <w:rPr>
      <w:sz w:val="20"/>
    </w:rPr>
  </w:style>
  <w:style w:type="paragraph" w:styleId="ArticleNumber" w:customStyle="1">
    <w:name w:val="Article Number"/>
    <w:basedOn w:val="Normal"/>
    <w:pPr>
      <w:numPr>
        <w:numId w:val="16"/>
      </w:numPr>
      <w:spacing w:line="24pt" w:lineRule="auto"/>
      <w:jc w:val="center"/>
    </w:pPr>
  </w:style>
  <w:style w:type="paragraph" w:styleId="ArticleLevel1" w:customStyle="1">
    <w:name w:val="Article Level (1)"/>
    <w:basedOn w:val="Normal"/>
    <w:pPr>
      <w:numPr>
        <w:ilvl w:val="1"/>
        <w:numId w:val="13"/>
      </w:numPr>
      <w:tabs>
        <w:tab w:val="clear" w:pos="54pt"/>
      </w:tabs>
      <w:spacing w:line="24pt" w:lineRule="auto"/>
    </w:pPr>
  </w:style>
  <w:style w:type="paragraph" w:styleId="ArticleLevela" w:customStyle="1">
    <w:name w:val="Article Level (a)"/>
    <w:basedOn w:val="Normal"/>
    <w:pPr>
      <w:numPr>
        <w:ilvl w:val="2"/>
        <w:numId w:val="14"/>
      </w:numPr>
      <w:tabs>
        <w:tab w:val="clear" w:pos="72pt"/>
      </w:tabs>
      <w:spacing w:line="24pt" w:lineRule="auto"/>
      <w:ind w:start="108pt"/>
    </w:pPr>
  </w:style>
  <w:style w:type="paragraph" w:styleId="ArticleLeveli" w:customStyle="1">
    <w:name w:val="Article Level (i)"/>
    <w:basedOn w:val="Normal"/>
    <w:pPr>
      <w:numPr>
        <w:ilvl w:val="3"/>
        <w:numId w:val="15"/>
      </w:numPr>
      <w:tabs>
        <w:tab w:val="clear" w:pos="108pt"/>
      </w:tabs>
      <w:spacing w:line="24pt" w:lineRule="auto"/>
      <w:ind w:start="144pt"/>
    </w:pPr>
  </w:style>
  <w:style w:type="paragraph" w:styleId="Title">
    <w:name w:val="Title"/>
    <w:basedOn w:val="Normal"/>
    <w:qFormat/>
    <w:pPr>
      <w:jc w:val="center"/>
    </w:pPr>
    <w:rPr>
      <w:b/>
      <w:bCs/>
    </w:rPr>
  </w:style>
  <w:style w:type="paragraph" w:styleId="BodyText">
    <w:name w:val="Body Text"/>
    <w:basedOn w:val="Normal"/>
    <w:link w:val="BodyTextChar"/>
    <w:rPr>
      <w:b/>
      <w:bCs/>
    </w:rPr>
  </w:style>
  <w:style w:type="paragraph" w:styleId="BodyText2">
    <w:name w:val="Body Text 2"/>
    <w:basedOn w:val="Normal"/>
    <w:rPr>
      <w:b/>
      <w:bCs/>
      <w:i/>
      <w:iCs/>
    </w:rPr>
  </w:style>
  <w:style w:type="paragraph" w:styleId="Footer">
    <w:name w:val="footer"/>
    <w:basedOn w:val="Normal"/>
    <w:pPr>
      <w:tabs>
        <w:tab w:val="center" w:pos="216pt"/>
        <w:tab w:val="right" w:pos="432pt"/>
      </w:tabs>
    </w:pPr>
  </w:style>
  <w:style w:type="character" w:styleId="PageNumber">
    <w:name w:val="page number"/>
    <w:basedOn w:val="DefaultParagraphFont"/>
  </w:style>
  <w:style w:type="paragraph" w:styleId="BalloonText">
    <w:name w:val="Balloon Text"/>
    <w:basedOn w:val="Normal"/>
    <w:semiHidden/>
    <w:rsid w:val="000E72B1"/>
    <w:rPr>
      <w:rFonts w:ascii="Tahoma" w:hAnsi="Tahoma" w:cs="Tahoma"/>
      <w:sz w:val="16"/>
      <w:szCs w:val="16"/>
    </w:rPr>
  </w:style>
  <w:style w:type="paragraph" w:styleId="HTMLPreformatted">
    <w:name w:val="HTML Preformatted"/>
    <w:basedOn w:val="Normal"/>
    <w:rsid w:val="000B615A"/>
    <w:pPr>
      <w:tabs>
        <w:tab w:val="left" w:pos="45.80pt"/>
        <w:tab w:val="left" w:pos="91.60pt"/>
        <w:tab w:val="left" w:pos="137.40pt"/>
        <w:tab w:val="left" w:pos="183.20pt"/>
        <w:tab w:val="left" w:pos="229pt"/>
        <w:tab w:val="left" w:pos="274.80pt"/>
        <w:tab w:val="left" w:pos="320.60pt"/>
        <w:tab w:val="left" w:pos="366.40pt"/>
        <w:tab w:val="left" w:pos="412.20pt"/>
        <w:tab w:val="left" w:pos="458pt"/>
        <w:tab w:val="left" w:pos="503.80pt"/>
        <w:tab w:val="left" w:pos="549.60pt"/>
        <w:tab w:val="left" w:pos="595.40pt"/>
        <w:tab w:val="left" w:pos="641.20pt"/>
        <w:tab w:val="left" w:pos="687pt"/>
        <w:tab w:val="left" w:pos="732.80pt"/>
      </w:tabs>
    </w:pPr>
    <w:rPr>
      <w:rFonts w:ascii="Courier New" w:hAnsi="Courier New" w:cs="Courier New"/>
      <w:sz w:val="20"/>
      <w:lang w:bidi="he-IL"/>
    </w:rPr>
  </w:style>
  <w:style w:type="paragraph" w:styleId="BodyTextIndent2">
    <w:name w:val="Body Text Indent 2"/>
    <w:basedOn w:val="Normal"/>
    <w:link w:val="BodyTextIndent2Char"/>
    <w:rsid w:val="00046B0A"/>
    <w:pPr>
      <w:spacing w:after="6pt" w:line="24pt" w:lineRule="auto"/>
      <w:ind w:start="18pt"/>
    </w:pPr>
  </w:style>
  <w:style w:type="character" w:styleId="BodyTextIndent2Char" w:customStyle="1">
    <w:name w:val="Body Text Indent 2 Char"/>
    <w:link w:val="BodyTextIndent2"/>
    <w:rsid w:val="00046B0A"/>
    <w:rPr>
      <w:sz w:val="24"/>
    </w:rPr>
  </w:style>
  <w:style w:type="character" w:styleId="BodyTextChar" w:customStyle="1">
    <w:name w:val="Body Text Char"/>
    <w:link w:val="BodyText"/>
    <w:rsid w:val="00046B0A"/>
    <w:rPr>
      <w:b/>
      <w:bCs/>
      <w:sz w:val="24"/>
    </w:rPr>
  </w:style>
  <w:style w:type="character" w:styleId="CommentReference">
    <w:name w:val="annotation reference"/>
    <w:uiPriority w:val="99"/>
    <w:rsid w:val="00E17855"/>
    <w:rPr>
      <w:sz w:val="16"/>
      <w:szCs w:val="16"/>
    </w:rPr>
  </w:style>
  <w:style w:type="character" w:styleId="FootnoteTextChar" w:customStyle="1">
    <w:name w:val="Footnote Text Char"/>
    <w:aliases w:val="Footnote Text Char Char Char,ft Char,fn Char,Footnote Text Char Char Char Char Char Char Char Char Char Char Char Char Char Char Char Char Char Char,Footnote Text Char1 Char Char Char,Footnote Text Char Char Char Char Char,Car Char"/>
    <w:link w:val="FootnoteText"/>
    <w:uiPriority w:val="99"/>
    <w:rsid w:val="00E17855"/>
  </w:style>
  <w:style w:type="paragraph" w:styleId="CommentText">
    <w:name w:val="annotation text"/>
    <w:basedOn w:val="Normal"/>
    <w:link w:val="CommentTextChar"/>
    <w:rsid w:val="00884EEF"/>
    <w:rPr>
      <w:sz w:val="20"/>
    </w:rPr>
  </w:style>
  <w:style w:type="character" w:styleId="CommentTextChar" w:customStyle="1">
    <w:name w:val="Comment Text Char"/>
    <w:basedOn w:val="DefaultParagraphFont"/>
    <w:link w:val="CommentText"/>
    <w:rsid w:val="00884EEF"/>
  </w:style>
  <w:style w:type="paragraph" w:styleId="CommentSubject">
    <w:name w:val="annotation subject"/>
    <w:basedOn w:val="CommentText"/>
    <w:next w:val="CommentText"/>
    <w:link w:val="CommentSubjectChar"/>
    <w:rsid w:val="00884EEF"/>
    <w:rPr>
      <w:b/>
      <w:bCs/>
    </w:rPr>
  </w:style>
  <w:style w:type="character" w:styleId="CommentSubjectChar" w:customStyle="1">
    <w:name w:val="Comment Subject Char"/>
    <w:link w:val="CommentSubject"/>
    <w:rsid w:val="00884E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215064">
      <w:bodyDiv w:val="1"/>
      <w:marLeft w:val="0pt"/>
      <w:marRight w:val="0pt"/>
      <w:marTop w:val="0pt"/>
      <w:marBottom w:val="0pt"/>
      <w:divBdr>
        <w:top w:val="none" w:color="auto" w:sz="0" w:space="0"/>
        <w:left w:val="none" w:color="auto" w:sz="0" w:space="0"/>
        <w:bottom w:val="none" w:color="auto" w:sz="0" w:space="0"/>
        <w:right w:val="none" w:color="auto" w:sz="0" w:space="0"/>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ap:Template>
  <ap:TotalTime>2</ap:TotalTime>
  <ap:Pages>4</ap:Pages>
  <ap:Words>928</ap:Words>
  <ap:Characters>5100</ap:Characters>
  <ap:Application>Microsoft Office Word</ap:Application>
  <ap:DocSecurity>0</ap:DocSecurity>
  <ap:Lines>42</ap:Lines>
  <ap:Paragraphs>12</ap:Paragraphs>
  <ap:ScaleCrop>false</ap:ScaleCrop>
  <ap:HeadingPairs>
    <vt:vector baseType="variant" size="2">
      <vt:variant>
        <vt:lpstr>Title</vt:lpstr>
      </vt:variant>
      <vt:variant>
        <vt:i4>1</vt:i4>
      </vt:variant>
    </vt:vector>
  </ap:HeadingPairs>
  <ap:TitlesOfParts>
    <vt:vector baseType="lpstr" size="1">
      <vt:lpstr>Cite</vt:lpstr>
    </vt:vector>
  </ap:TitlesOfParts>
  <ap:Company>OCC</ap:Company>
  <ap:LinksUpToDate>false</ap:LinksUpToDate>
  <ap:CharactersWithSpaces>6016</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Cite</dc:title>
  <dc:subject/>
  <dc:creator>Administrator</dc:creator>
  <cp:keywords/>
  <cp:lastModifiedBy>Gottlieb, Mary</cp:lastModifiedBy>
  <cp:revision>3</cp:revision>
  <cp:lastPrinted>2019-10-01T19:55:00Z</cp:lastPrinted>
  <dcterms:created xsi:type="dcterms:W3CDTF">2020-03-09T17:19:00Z</dcterms:created>
  <dcterms:modified xsi:type="dcterms:W3CDTF">2020-03-09T17:21:00Z</dcterms:modified>
</cp:coreProperties>
</file>