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27E4" w:rsidR="00E9076D" w:rsidP="00E9076D" w:rsidRDefault="007E2EEB" w14:paraId="61641B7A"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587F09F6"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870CC2" w:rsidR="00870CC2" w:rsidP="00870CC2" w:rsidRDefault="00870CC2" w14:paraId="1CADF8C3" w14:textId="77777777">
      <w:pPr>
        <w:tabs>
          <w:tab w:val="center" w:pos="4680"/>
        </w:tabs>
        <w:jc w:val="center"/>
        <w:rPr>
          <w:rFonts w:ascii="Calibri" w:hAnsi="Calibri" w:cs="Berylium"/>
          <w:b/>
          <w:bCs/>
          <w:sz w:val="22"/>
          <w:szCs w:val="22"/>
        </w:rPr>
      </w:pPr>
      <w:r w:rsidRPr="00870CC2">
        <w:rPr>
          <w:rFonts w:ascii="Calibri" w:hAnsi="Calibri" w:cs="Berylium"/>
          <w:b/>
          <w:bCs/>
          <w:sz w:val="22"/>
          <w:szCs w:val="22"/>
        </w:rPr>
        <w:t xml:space="preserve">Tax Information Authorization and IRS Disclosure Authorization for Victims of Identity Theft </w:t>
      </w:r>
    </w:p>
    <w:p w:rsidR="00870CC2" w:rsidP="00870CC2" w:rsidRDefault="00870CC2" w14:paraId="592D14E0" w14:textId="77777777">
      <w:pPr>
        <w:tabs>
          <w:tab w:val="center" w:pos="4680"/>
        </w:tabs>
        <w:jc w:val="center"/>
        <w:rPr>
          <w:rFonts w:ascii="Calibri" w:hAnsi="Calibri" w:cs="Berylium"/>
          <w:b/>
          <w:bCs/>
          <w:sz w:val="22"/>
          <w:szCs w:val="22"/>
        </w:rPr>
      </w:pPr>
      <w:r w:rsidRPr="00870CC2">
        <w:rPr>
          <w:rFonts w:ascii="Calibri" w:hAnsi="Calibri" w:cs="Berylium"/>
          <w:b/>
          <w:bCs/>
          <w:sz w:val="22"/>
          <w:szCs w:val="22"/>
        </w:rPr>
        <w:t xml:space="preserve"> Form 8821 and Form 8821-A</w:t>
      </w:r>
    </w:p>
    <w:p w:rsidRPr="003127E4" w:rsidR="00E9076D" w:rsidP="00870CC2" w:rsidRDefault="00E9076D" w14:paraId="3186AC85"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OMB Number 1545-</w:t>
      </w:r>
      <w:r w:rsidR="00336BA4">
        <w:rPr>
          <w:rFonts w:ascii="Calibri" w:hAnsi="Calibri" w:cs="Berylium"/>
          <w:b/>
          <w:bCs/>
          <w:sz w:val="22"/>
          <w:szCs w:val="22"/>
        </w:rPr>
        <w:t>1</w:t>
      </w:r>
      <w:r w:rsidR="00870CC2">
        <w:rPr>
          <w:rFonts w:ascii="Calibri" w:hAnsi="Calibri" w:cs="Berylium"/>
          <w:b/>
          <w:bCs/>
          <w:sz w:val="22"/>
          <w:szCs w:val="22"/>
        </w:rPr>
        <w:t>165</w:t>
      </w:r>
    </w:p>
    <w:p w:rsidRPr="003127E4" w:rsidR="007E2EEB" w:rsidRDefault="007E2EEB" w14:paraId="16952750" w14:textId="77777777">
      <w:pPr>
        <w:rPr>
          <w:rFonts w:ascii="Calibri" w:hAnsi="Calibri" w:cs="Berylium"/>
          <w:b/>
          <w:bCs/>
          <w:sz w:val="22"/>
          <w:szCs w:val="22"/>
        </w:rPr>
      </w:pPr>
    </w:p>
    <w:p w:rsidRPr="004F12D2" w:rsidR="007E2EEB" w:rsidRDefault="007E2EEB" w14:paraId="7311D5FE"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0E4B5861" w14:textId="77777777">
      <w:pPr>
        <w:pStyle w:val="Level1"/>
        <w:numPr>
          <w:ilvl w:val="0"/>
          <w:numId w:val="0"/>
        </w:numPr>
        <w:tabs>
          <w:tab w:val="left" w:pos="-1440"/>
        </w:tabs>
        <w:ind w:left="720" w:hanging="720"/>
        <w:rPr>
          <w:rFonts w:ascii="Calibri" w:hAnsi="Calibri"/>
          <w:b/>
          <w:sz w:val="22"/>
          <w:szCs w:val="22"/>
        </w:rPr>
      </w:pPr>
    </w:p>
    <w:p w:rsidRPr="00E877E7" w:rsidR="00E877E7" w:rsidP="00E877E7" w:rsidRDefault="00721CB7" w14:paraId="7B8A3250" w14:textId="33644E08">
      <w:pPr>
        <w:ind w:left="720"/>
        <w:rPr>
          <w:rFonts w:ascii="Calibri" w:hAnsi="Calibri" w:cs="Calibri"/>
          <w:bCs/>
          <w:sz w:val="22"/>
          <w:szCs w:val="22"/>
        </w:rPr>
      </w:pPr>
      <w:bookmarkStart w:name="_Hlk17986999" w:id="0"/>
      <w:bookmarkStart w:name="_Hlk503267997" w:id="1"/>
      <w:r>
        <w:rPr>
          <w:rFonts w:ascii="Calibri" w:hAnsi="Calibri" w:cs="Calibri"/>
          <w:bCs/>
          <w:sz w:val="22"/>
          <w:szCs w:val="22"/>
        </w:rPr>
        <w:t>26 USC</w:t>
      </w:r>
      <w:r w:rsidRPr="00E877E7" w:rsidR="00E877E7">
        <w:rPr>
          <w:rFonts w:ascii="Calibri" w:hAnsi="Calibri" w:cs="Calibri"/>
          <w:bCs/>
          <w:sz w:val="22"/>
          <w:szCs w:val="22"/>
        </w:rPr>
        <w:t xml:space="preserve"> 6103(c) allows the IRS to disclose confidential tax information concerning a taxpayer to a designee of the taxpayer.  This request must be in writing.</w:t>
      </w:r>
    </w:p>
    <w:p w:rsidRPr="00E877E7" w:rsidR="00E877E7" w:rsidP="00E877E7" w:rsidRDefault="00E877E7" w14:paraId="7FB9264A" w14:textId="77777777">
      <w:pPr>
        <w:ind w:left="720"/>
        <w:rPr>
          <w:rFonts w:ascii="Calibri" w:hAnsi="Calibri" w:cs="Calibri"/>
          <w:bCs/>
          <w:sz w:val="22"/>
          <w:szCs w:val="22"/>
        </w:rPr>
      </w:pPr>
    </w:p>
    <w:p w:rsidRPr="00E877E7" w:rsidR="00E877E7" w:rsidP="00E877E7" w:rsidRDefault="00E877E7" w14:paraId="7CFECF34" w14:textId="77777777">
      <w:pPr>
        <w:ind w:left="720"/>
        <w:rPr>
          <w:rFonts w:ascii="Calibri" w:hAnsi="Calibri" w:cs="Calibri"/>
          <w:bCs/>
          <w:sz w:val="22"/>
          <w:szCs w:val="22"/>
        </w:rPr>
      </w:pPr>
      <w:r w:rsidRPr="00E877E7">
        <w:rPr>
          <w:rFonts w:ascii="Calibri" w:hAnsi="Calibri" w:cs="Calibri"/>
          <w:bCs/>
          <w:sz w:val="22"/>
          <w:szCs w:val="22"/>
        </w:rPr>
        <w:t xml:space="preserve">Form 8821 authorizes any individual, corporation, firm, organization, or partnership designated to inspect and/or receive confidential information for the type of tax and the years or periods listed on Form 8821. </w:t>
      </w:r>
    </w:p>
    <w:p w:rsidRPr="00E877E7" w:rsidR="00E877E7" w:rsidP="00E877E7" w:rsidRDefault="00E877E7" w14:paraId="565FF480" w14:textId="77777777">
      <w:pPr>
        <w:ind w:left="720"/>
        <w:rPr>
          <w:rFonts w:ascii="Calibri" w:hAnsi="Calibri" w:cs="Calibri"/>
          <w:bCs/>
          <w:sz w:val="22"/>
          <w:szCs w:val="22"/>
        </w:rPr>
      </w:pPr>
    </w:p>
    <w:p w:rsidRPr="00A134E4" w:rsidR="00A134E4" w:rsidP="00E877E7" w:rsidRDefault="00E877E7" w14:paraId="3A33C105" w14:textId="77777777">
      <w:pPr>
        <w:ind w:left="720"/>
        <w:rPr>
          <w:rFonts w:ascii="Calibri" w:hAnsi="Calibri" w:cs="Calibri"/>
          <w:bCs/>
          <w:sz w:val="22"/>
          <w:szCs w:val="22"/>
        </w:rPr>
      </w:pPr>
      <w:r w:rsidRPr="00E877E7">
        <w:rPr>
          <w:rFonts w:ascii="Calibri" w:hAnsi="Calibri" w:cs="Calibri"/>
          <w:bCs/>
          <w:sz w:val="22"/>
          <w:szCs w:val="22"/>
        </w:rPr>
        <w:t>Form 8821-A is an authorization signed by the taxpayer allowing the IRS to disclose the taxpayer's return, any purported return, and other related return information to state or local law enforcement in the event of possible identity theft. It may not be used for any other purpose.</w:t>
      </w:r>
    </w:p>
    <w:bookmarkEnd w:id="0"/>
    <w:p w:rsidRPr="00764B48" w:rsidR="00010B0A" w:rsidP="004F12D2" w:rsidRDefault="00010B0A" w14:paraId="6E80B395" w14:textId="77777777">
      <w:pPr>
        <w:pStyle w:val="Default"/>
        <w:rPr>
          <w:rFonts w:ascii="Calibri" w:hAnsi="Calibri"/>
          <w:sz w:val="22"/>
          <w:szCs w:val="22"/>
        </w:rPr>
      </w:pPr>
    </w:p>
    <w:bookmarkEnd w:id="1"/>
    <w:p w:rsidRPr="003127E4" w:rsidR="007E2EEB" w:rsidRDefault="007E2EEB" w14:paraId="5A764201"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05CF0957" w14:textId="77777777">
      <w:pPr>
        <w:rPr>
          <w:rFonts w:ascii="Calibri" w:hAnsi="Calibri"/>
          <w:sz w:val="22"/>
          <w:szCs w:val="22"/>
        </w:rPr>
      </w:pPr>
    </w:p>
    <w:p w:rsidR="00E877E7" w:rsidP="00E877E7" w:rsidRDefault="004F12D2" w14:paraId="72A61470" w14:textId="77777777">
      <w:pPr>
        <w:rPr>
          <w:rFonts w:ascii="Calibri" w:hAnsi="Calibri" w:cs="Helvetica World"/>
          <w:color w:val="000000"/>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Pr="00E877E7" w:rsidR="00E877E7">
        <w:rPr>
          <w:rFonts w:ascii="Calibri" w:hAnsi="Calibri" w:cs="Helvetica World"/>
          <w:color w:val="000000"/>
          <w:sz w:val="22"/>
          <w:szCs w:val="22"/>
        </w:rPr>
        <w:t xml:space="preserve">The forms are used by the IRS to identify appointees of a taxpayer and to ensure that an </w:t>
      </w:r>
    </w:p>
    <w:p w:rsidRPr="00010B0A" w:rsidR="00010B0A" w:rsidP="00E877E7" w:rsidRDefault="00E877E7" w14:paraId="686AF19D" w14:textId="77777777">
      <w:pPr>
        <w:rPr>
          <w:rFonts w:ascii="Calibri" w:hAnsi="Calibri"/>
          <w:sz w:val="22"/>
          <w:szCs w:val="22"/>
        </w:rPr>
      </w:pPr>
      <w:r>
        <w:rPr>
          <w:rFonts w:ascii="Calibri" w:hAnsi="Calibri" w:cs="Helvetica World"/>
          <w:color w:val="000000"/>
          <w:sz w:val="22"/>
          <w:szCs w:val="22"/>
        </w:rPr>
        <w:t xml:space="preserve">             </w:t>
      </w:r>
      <w:r w:rsidRPr="00E877E7">
        <w:rPr>
          <w:rFonts w:ascii="Calibri" w:hAnsi="Calibri" w:cs="Helvetica World"/>
          <w:color w:val="000000"/>
          <w:sz w:val="22"/>
          <w:szCs w:val="22"/>
        </w:rPr>
        <w:t>unauthorized disclosure is not made.</w:t>
      </w:r>
      <w:r w:rsidRPr="00DA38BF" w:rsidR="00DA38BF">
        <w:rPr>
          <w:rFonts w:ascii="Calibri" w:hAnsi="Calibri"/>
          <w:sz w:val="22"/>
          <w:szCs w:val="22"/>
        </w:rPr>
        <w:t xml:space="preserve">                               </w:t>
      </w:r>
    </w:p>
    <w:p w:rsidRPr="003127E4" w:rsidR="007E2EEB" w:rsidRDefault="007E2EEB" w14:paraId="69C407A6"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20664F90"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1006FC24" w14:textId="77777777">
      <w:pPr>
        <w:rPr>
          <w:rFonts w:ascii="Calibri" w:hAnsi="Calibri"/>
          <w:sz w:val="22"/>
          <w:szCs w:val="22"/>
        </w:rPr>
      </w:pPr>
    </w:p>
    <w:p w:rsidRPr="00EE1872" w:rsidR="00EE1872" w:rsidP="00EE1872" w:rsidRDefault="000823AA" w14:paraId="65F4D065" w14:textId="372C1B9B">
      <w:pPr>
        <w:ind w:left="720"/>
        <w:rPr>
          <w:rFonts w:ascii="Calibri" w:hAnsi="Calibri"/>
          <w:sz w:val="22"/>
          <w:szCs w:val="22"/>
        </w:rPr>
      </w:pPr>
      <w:r>
        <w:rPr>
          <w:rFonts w:ascii="Calibri" w:hAnsi="Calibri"/>
          <w:sz w:val="22"/>
          <w:szCs w:val="22"/>
        </w:rPr>
        <w:t>Electronic filing is available for Fo</w:t>
      </w:r>
      <w:r w:rsidRPr="00E877E7" w:rsidR="00E877E7">
        <w:rPr>
          <w:rFonts w:ascii="Calibri" w:hAnsi="Calibri"/>
          <w:sz w:val="22"/>
          <w:szCs w:val="22"/>
        </w:rPr>
        <w:t>rm 8821</w:t>
      </w:r>
      <w:r w:rsidR="00E877E7">
        <w:rPr>
          <w:rFonts w:ascii="Calibri" w:hAnsi="Calibri"/>
          <w:sz w:val="22"/>
          <w:szCs w:val="22"/>
        </w:rPr>
        <w:t xml:space="preserve"> and </w:t>
      </w:r>
      <w:r w:rsidR="00017836">
        <w:rPr>
          <w:rFonts w:ascii="Calibri" w:hAnsi="Calibri"/>
          <w:sz w:val="22"/>
          <w:szCs w:val="22"/>
        </w:rPr>
        <w:t>F</w:t>
      </w:r>
      <w:r w:rsidRPr="00017836" w:rsidR="00017836">
        <w:rPr>
          <w:rFonts w:ascii="Calibri" w:hAnsi="Calibri"/>
          <w:sz w:val="22"/>
          <w:szCs w:val="22"/>
        </w:rPr>
        <w:t>orm 88</w:t>
      </w:r>
      <w:r w:rsidR="00E877E7">
        <w:rPr>
          <w:rFonts w:ascii="Calibri" w:hAnsi="Calibri"/>
          <w:sz w:val="22"/>
          <w:szCs w:val="22"/>
        </w:rPr>
        <w:t>2</w:t>
      </w:r>
      <w:r w:rsidRPr="00017836" w:rsidR="00017836">
        <w:rPr>
          <w:rFonts w:ascii="Calibri" w:hAnsi="Calibri"/>
          <w:sz w:val="22"/>
          <w:szCs w:val="22"/>
        </w:rPr>
        <w:t>1</w:t>
      </w:r>
      <w:r w:rsidR="00E877E7">
        <w:rPr>
          <w:rFonts w:ascii="Calibri" w:hAnsi="Calibri"/>
          <w:sz w:val="22"/>
          <w:szCs w:val="22"/>
        </w:rPr>
        <w:t>-A.</w:t>
      </w:r>
      <w:r>
        <w:rPr>
          <w:rFonts w:ascii="Calibri" w:hAnsi="Calibri"/>
          <w:sz w:val="22"/>
          <w:szCs w:val="22"/>
        </w:rPr>
        <w:t xml:space="preserve"> </w:t>
      </w:r>
      <w:r w:rsidR="00EE1872">
        <w:rPr>
          <w:rFonts w:ascii="Calibri" w:hAnsi="Calibri"/>
          <w:sz w:val="22"/>
          <w:szCs w:val="22"/>
        </w:rPr>
        <w:t xml:space="preserve"> Forms 8821 and Form 8821-A are fillable online by accessing irs.gov, can be faxed, and an </w:t>
      </w:r>
      <w:r w:rsidRPr="00EE1872" w:rsidR="00EE1872">
        <w:rPr>
          <w:rFonts w:ascii="Calibri" w:hAnsi="Calibri"/>
          <w:sz w:val="22"/>
          <w:szCs w:val="22"/>
        </w:rPr>
        <w:t>appointee may be able to file Form 8821</w:t>
      </w:r>
    </w:p>
    <w:p w:rsidRPr="003127E4" w:rsidR="007E2EEB" w:rsidP="00EE1872" w:rsidRDefault="00EE1872" w14:paraId="7703A6B9" w14:textId="02C871A4">
      <w:pPr>
        <w:ind w:left="720"/>
        <w:rPr>
          <w:rFonts w:ascii="Calibri" w:hAnsi="Calibri"/>
          <w:sz w:val="22"/>
          <w:szCs w:val="22"/>
        </w:rPr>
      </w:pPr>
      <w:r w:rsidRPr="00EE1872">
        <w:rPr>
          <w:rFonts w:ascii="Calibri" w:hAnsi="Calibri"/>
          <w:sz w:val="22"/>
          <w:szCs w:val="22"/>
        </w:rPr>
        <w:t>electronically with the IRS from the IRS website</w:t>
      </w:r>
      <w:r>
        <w:rPr>
          <w:rFonts w:ascii="Calibri" w:hAnsi="Calibri"/>
          <w:sz w:val="22"/>
          <w:szCs w:val="22"/>
        </w:rPr>
        <w:t xml:space="preserve"> (information can be found on</w:t>
      </w:r>
      <w:r w:rsidRPr="00EE1872">
        <w:rPr>
          <w:rFonts w:ascii="Calibri" w:hAnsi="Calibri"/>
          <w:sz w:val="22"/>
          <w:szCs w:val="22"/>
        </w:rPr>
        <w:t xml:space="preserve"> e-services–Online Tools for Tax Professionals</w:t>
      </w:r>
      <w:r>
        <w:rPr>
          <w:rFonts w:ascii="Calibri" w:hAnsi="Calibri"/>
          <w:sz w:val="22"/>
          <w:szCs w:val="22"/>
        </w:rPr>
        <w:t xml:space="preserve">). </w:t>
      </w:r>
    </w:p>
    <w:p w:rsidRPr="003127E4" w:rsidR="007E2EEB" w:rsidRDefault="007E2EEB" w14:paraId="62200981" w14:textId="77777777">
      <w:pPr>
        <w:rPr>
          <w:rFonts w:ascii="Calibri" w:hAnsi="Calibri"/>
          <w:sz w:val="22"/>
          <w:szCs w:val="22"/>
        </w:rPr>
      </w:pPr>
    </w:p>
    <w:p w:rsidRPr="003127E4" w:rsidR="007E2EEB" w:rsidRDefault="007E2EEB" w14:paraId="0219954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2A805820" w14:textId="77777777">
      <w:pPr>
        <w:rPr>
          <w:rFonts w:ascii="Calibri" w:hAnsi="Calibri"/>
          <w:sz w:val="22"/>
          <w:szCs w:val="22"/>
        </w:rPr>
      </w:pPr>
    </w:p>
    <w:p w:rsidR="0047289C" w:rsidP="002D4886" w:rsidRDefault="00715FFF" w14:paraId="18C19839"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55F98FF5" w14:textId="77777777">
      <w:pPr>
        <w:rPr>
          <w:rFonts w:ascii="Calibri" w:hAnsi="Calibri"/>
          <w:sz w:val="22"/>
          <w:szCs w:val="22"/>
        </w:rPr>
      </w:pPr>
    </w:p>
    <w:p w:rsidRPr="003127E4" w:rsidR="007E2EEB" w:rsidRDefault="007E2EEB" w14:paraId="62148E42" w14:textId="77777777">
      <w:pPr>
        <w:pStyle w:val="Level1"/>
        <w:numPr>
          <w:ilvl w:val="0"/>
          <w:numId w:val="1"/>
        </w:numPr>
        <w:tabs>
          <w:tab w:val="left" w:pos="-1440"/>
          <w:tab w:val="num" w:pos="720"/>
        </w:tabs>
        <w:rPr>
          <w:rFonts w:ascii="Calibri" w:hAnsi="Calibri"/>
          <w:b/>
          <w:sz w:val="22"/>
          <w:szCs w:val="22"/>
        </w:rPr>
      </w:pPr>
      <w:r w:rsidRPr="007F4A12">
        <w:rPr>
          <w:rFonts w:ascii="Calibri" w:hAnsi="Calibri"/>
          <w:b/>
          <w:sz w:val="22"/>
          <w:szCs w:val="22"/>
          <w:u w:val="single"/>
        </w:rPr>
        <w:t>METHO</w:t>
      </w:r>
      <w:r w:rsidRPr="00394E4C">
        <w:rPr>
          <w:rFonts w:ascii="Calibri" w:hAnsi="Calibri"/>
          <w:b/>
          <w:sz w:val="22"/>
          <w:szCs w:val="22"/>
          <w:u w:val="single"/>
        </w:rPr>
        <w:t>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49A2552A" w14:textId="77777777">
      <w:pPr>
        <w:rPr>
          <w:rFonts w:ascii="Calibri" w:hAnsi="Calibri"/>
          <w:sz w:val="22"/>
          <w:szCs w:val="22"/>
        </w:rPr>
      </w:pPr>
    </w:p>
    <w:p w:rsidR="007F4A12" w:rsidP="007F4A12" w:rsidRDefault="007F4A12" w14:paraId="73AA0844" w14:textId="77777777">
      <w:pPr>
        <w:ind w:left="720"/>
        <w:rPr>
          <w:rFonts w:ascii="Calibri" w:hAnsi="Calibri" w:cs="Courier New"/>
          <w:color w:val="000000"/>
          <w:sz w:val="22"/>
          <w:szCs w:val="22"/>
        </w:rPr>
      </w:pPr>
      <w:bookmarkStart w:name="_Hlk43192426" w:id="2"/>
      <w:r>
        <w:rPr>
          <w:rFonts w:ascii="Calibri" w:hAnsi="Calibri" w:cs="Courier New"/>
          <w:color w:val="000000"/>
          <w:sz w:val="22"/>
          <w:szCs w:val="22"/>
        </w:rPr>
        <w:t xml:space="preserve">Small businesses should not be disadvantaged as the requirements are structured to request the </w:t>
      </w:r>
    </w:p>
    <w:p w:rsidR="007F4A12" w:rsidP="007F4A12" w:rsidRDefault="007F4A12" w14:paraId="5D0C1B01" w14:textId="77777777">
      <w:pPr>
        <w:rPr>
          <w:rFonts w:ascii="Calibri" w:hAnsi="Calibri" w:cs="Courier New"/>
          <w:color w:val="000000"/>
          <w:sz w:val="22"/>
          <w:szCs w:val="22"/>
        </w:rPr>
      </w:pPr>
      <w:r>
        <w:rPr>
          <w:rFonts w:ascii="Calibri" w:hAnsi="Calibri" w:cs="Courier New"/>
          <w:color w:val="000000"/>
          <w:sz w:val="22"/>
          <w:szCs w:val="22"/>
        </w:rPr>
        <w:t xml:space="preserve">               least amount of information and still satisfy the requirements of the statute and the needs of </w:t>
      </w:r>
    </w:p>
    <w:p w:rsidR="007F4A12" w:rsidP="007F4A12" w:rsidRDefault="007F4A12" w14:paraId="3474CA68" w14:textId="77777777">
      <w:pPr>
        <w:rPr>
          <w:rFonts w:ascii="Calibri" w:hAnsi="Calibri" w:cs="Calibri"/>
          <w:sz w:val="22"/>
          <w:szCs w:val="22"/>
        </w:rPr>
      </w:pPr>
      <w:r>
        <w:rPr>
          <w:rFonts w:ascii="Calibri" w:hAnsi="Calibri" w:cs="Courier New"/>
          <w:color w:val="000000"/>
          <w:sz w:val="22"/>
          <w:szCs w:val="22"/>
        </w:rPr>
        <w:t xml:space="preserve">               the Service.     </w:t>
      </w:r>
      <w:r>
        <w:rPr>
          <w:rFonts w:ascii="Calibri" w:hAnsi="Calibri" w:cs="Calibri"/>
          <w:sz w:val="22"/>
          <w:szCs w:val="22"/>
        </w:rPr>
        <w:t xml:space="preserve">          </w:t>
      </w:r>
    </w:p>
    <w:p w:rsidRPr="003127E4" w:rsidR="00F669A8" w:rsidRDefault="00F669A8" w14:paraId="7F85D7D6" w14:textId="77777777">
      <w:pPr>
        <w:ind w:left="720"/>
        <w:rPr>
          <w:rFonts w:ascii="Calibri" w:hAnsi="Calibri"/>
          <w:sz w:val="22"/>
          <w:szCs w:val="22"/>
        </w:rPr>
      </w:pPr>
    </w:p>
    <w:bookmarkEnd w:id="2"/>
    <w:p w:rsidRPr="003127E4" w:rsidR="007E2EEB" w:rsidRDefault="007E2EEB" w14:paraId="4CB627B3"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w:t>
      </w:r>
      <w:r w:rsidRPr="007F4A12">
        <w:rPr>
          <w:rFonts w:ascii="Calibri" w:hAnsi="Calibri"/>
          <w:b/>
          <w:sz w:val="22"/>
          <w:szCs w:val="22"/>
          <w:u w:val="single"/>
        </w:rPr>
        <w:t>ONSE</w:t>
      </w:r>
      <w:r w:rsidRPr="00FF03FE">
        <w:rPr>
          <w:rFonts w:ascii="Calibri" w:hAnsi="Calibri"/>
          <w:b/>
          <w:sz w:val="22"/>
          <w:szCs w:val="22"/>
          <w:u w:val="single"/>
        </w:rPr>
        <w:t>QU</w:t>
      </w:r>
      <w:r w:rsidRPr="003127E4">
        <w:rPr>
          <w:rFonts w:ascii="Calibri" w:hAnsi="Calibri"/>
          <w:b/>
          <w:sz w:val="22"/>
          <w:szCs w:val="22"/>
          <w:u w:val="single"/>
        </w:rPr>
        <w:t>ENCES OF LESS FREQUENT COLLECTION ON FEDERAL PROGRAMS OR POLICY ACTIVITIES</w:t>
      </w:r>
    </w:p>
    <w:p w:rsidRPr="003127E4" w:rsidR="007E2EEB" w:rsidRDefault="007E2EEB" w14:paraId="031DDAB8" w14:textId="77777777">
      <w:pPr>
        <w:rPr>
          <w:rFonts w:ascii="Calibri" w:hAnsi="Calibri"/>
          <w:sz w:val="22"/>
          <w:szCs w:val="22"/>
        </w:rPr>
      </w:pPr>
    </w:p>
    <w:p w:rsidRPr="003127E4" w:rsidR="007E2EEB" w:rsidP="00017836" w:rsidRDefault="007F4A12" w14:paraId="2B5C6C68" w14:textId="77777777">
      <w:pPr>
        <w:ind w:left="720"/>
        <w:rPr>
          <w:rFonts w:ascii="Calibri" w:hAnsi="Calibri"/>
          <w:sz w:val="22"/>
          <w:szCs w:val="22"/>
        </w:rPr>
      </w:pPr>
      <w:r w:rsidRPr="007F4A12">
        <w:rPr>
          <w:rFonts w:ascii="Calibri" w:hAnsi="Calibri"/>
          <w:sz w:val="22"/>
          <w:szCs w:val="22"/>
        </w:rPr>
        <w:t xml:space="preserve">The information required is needed to verify compliance with section </w:t>
      </w:r>
      <w:r>
        <w:rPr>
          <w:rFonts w:ascii="Calibri" w:hAnsi="Calibri"/>
          <w:sz w:val="22"/>
          <w:szCs w:val="22"/>
        </w:rPr>
        <w:t>6103</w:t>
      </w:r>
      <w:r w:rsidRPr="007F4A12">
        <w:rPr>
          <w:rFonts w:ascii="Calibri" w:hAnsi="Calibri"/>
          <w:sz w:val="22"/>
          <w:szCs w:val="22"/>
        </w:rPr>
        <w:t xml:space="preserve"> of the Internal </w:t>
      </w:r>
      <w:r w:rsidRPr="007F4A12">
        <w:rPr>
          <w:rFonts w:ascii="Calibri" w:hAnsi="Calibri"/>
          <w:sz w:val="22"/>
          <w:szCs w:val="22"/>
        </w:rPr>
        <w:lastRenderedPageBreak/>
        <w:t>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Pr="003127E4" w:rsidR="007E2EEB" w:rsidRDefault="007E2EEB" w14:paraId="13B7A807" w14:textId="77777777">
      <w:pPr>
        <w:rPr>
          <w:rFonts w:ascii="Calibri" w:hAnsi="Calibri"/>
          <w:sz w:val="22"/>
          <w:szCs w:val="22"/>
        </w:rPr>
      </w:pPr>
    </w:p>
    <w:p w:rsidRPr="003127E4" w:rsidR="007E2EEB" w:rsidRDefault="007E2EEB" w14:paraId="07B5E1A6"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679E4D42" w14:textId="77777777">
      <w:pPr>
        <w:rPr>
          <w:rFonts w:ascii="Calibri" w:hAnsi="Calibri"/>
          <w:sz w:val="22"/>
          <w:szCs w:val="22"/>
        </w:rPr>
      </w:pPr>
    </w:p>
    <w:p w:rsidR="007E2EEB" w:rsidP="00336BA4" w:rsidRDefault="00473D0D" w14:paraId="3F06C068"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0110310C" w14:textId="77777777">
      <w:pPr>
        <w:rPr>
          <w:rFonts w:ascii="Calibri" w:hAnsi="Calibri"/>
          <w:sz w:val="22"/>
          <w:szCs w:val="22"/>
        </w:rPr>
      </w:pPr>
    </w:p>
    <w:p w:rsidRPr="003127E4" w:rsidR="007E2EEB" w:rsidP="00AF1AEA" w:rsidRDefault="00F26675" w14:paraId="653655F9"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521062" w:rsidR="007E2EEB">
        <w:rPr>
          <w:rFonts w:ascii="Calibri" w:hAnsi="Calibri"/>
          <w:b/>
          <w:sz w:val="22"/>
          <w:szCs w:val="22"/>
          <w:u w:val="single"/>
        </w:rPr>
        <w:t>CONS</w:t>
      </w:r>
      <w:r w:rsidRPr="00242885" w:rsidR="007E2EEB">
        <w:rPr>
          <w:rFonts w:ascii="Calibri" w:hAnsi="Calibri"/>
          <w:b/>
          <w:sz w:val="22"/>
          <w:szCs w:val="22"/>
          <w:u w:val="single"/>
        </w:rPr>
        <w:t>ULTA</w:t>
      </w:r>
      <w:r w:rsidRPr="00F26675" w:rsidR="007E2EEB">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708D2FA3" w14:textId="77777777">
      <w:pPr>
        <w:rPr>
          <w:rFonts w:ascii="Calibri" w:hAnsi="Calibri"/>
          <w:sz w:val="22"/>
          <w:szCs w:val="22"/>
        </w:rPr>
      </w:pPr>
    </w:p>
    <w:p w:rsidRPr="003127E4" w:rsidR="007E2EEB" w:rsidRDefault="00044F37" w14:paraId="73696105" w14:textId="77777777">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521062">
        <w:rPr>
          <w:rFonts w:ascii="Calibri" w:hAnsi="Calibri"/>
          <w:sz w:val="22"/>
          <w:szCs w:val="22"/>
        </w:rPr>
        <w:t>February 21, 2020</w:t>
      </w:r>
      <w:r w:rsidR="00E877E7">
        <w:rPr>
          <w:rFonts w:ascii="Calibri" w:hAnsi="Calibri"/>
          <w:sz w:val="22"/>
          <w:szCs w:val="22"/>
        </w:rPr>
        <w:t xml:space="preserve"> </w:t>
      </w:r>
      <w:r w:rsidRPr="00120003">
        <w:rPr>
          <w:rFonts w:ascii="Calibri" w:hAnsi="Calibri"/>
          <w:sz w:val="22"/>
          <w:szCs w:val="22"/>
        </w:rPr>
        <w:t>(8</w:t>
      </w:r>
      <w:r w:rsidR="00E877E7">
        <w:rPr>
          <w:rFonts w:ascii="Calibri" w:hAnsi="Calibri"/>
          <w:sz w:val="22"/>
          <w:szCs w:val="22"/>
        </w:rPr>
        <w:t>5</w:t>
      </w:r>
      <w:r w:rsidRPr="00120003">
        <w:rPr>
          <w:rFonts w:ascii="Calibri" w:hAnsi="Calibri"/>
          <w:sz w:val="22"/>
          <w:szCs w:val="22"/>
        </w:rPr>
        <w:t xml:space="preserve"> FR</w:t>
      </w:r>
      <w:r w:rsidR="00521062">
        <w:rPr>
          <w:rFonts w:ascii="Calibri" w:hAnsi="Calibri"/>
          <w:sz w:val="22"/>
          <w:szCs w:val="22"/>
        </w:rPr>
        <w:t xml:space="preserve"> 10263</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2CBBF0BB" w14:textId="77777777">
      <w:pPr>
        <w:tabs>
          <w:tab w:val="center" w:pos="4680"/>
        </w:tabs>
        <w:rPr>
          <w:rFonts w:ascii="Calibri" w:hAnsi="Calibri"/>
          <w:sz w:val="22"/>
          <w:szCs w:val="22"/>
        </w:rPr>
      </w:pPr>
    </w:p>
    <w:p w:rsidRPr="003127E4" w:rsidR="007E2EEB" w:rsidP="00AF1AEA" w:rsidRDefault="007E2EEB" w14:paraId="410F0FC6"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79DCF099" w14:textId="77777777">
      <w:pPr>
        <w:rPr>
          <w:rFonts w:ascii="Calibri" w:hAnsi="Calibri"/>
          <w:sz w:val="22"/>
          <w:szCs w:val="22"/>
        </w:rPr>
      </w:pPr>
    </w:p>
    <w:p w:rsidRPr="002A31A5" w:rsidR="006E6E53" w:rsidP="006E6E53" w:rsidRDefault="006E6E53" w14:paraId="2C071D56"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27FD3A8B" w14:textId="77777777">
      <w:pPr>
        <w:rPr>
          <w:rFonts w:ascii="Calibri" w:hAnsi="Calibri" w:cs="Calibri"/>
          <w:sz w:val="22"/>
          <w:szCs w:val="22"/>
        </w:rPr>
      </w:pPr>
    </w:p>
    <w:p w:rsidRPr="003127E4" w:rsidR="007E2EEB" w:rsidP="00AF1AEA" w:rsidRDefault="007E2EEB" w14:paraId="38BBB938"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14BD6134" w14:textId="77777777">
      <w:pPr>
        <w:rPr>
          <w:rFonts w:ascii="Calibri" w:hAnsi="Calibri"/>
          <w:sz w:val="22"/>
          <w:szCs w:val="22"/>
        </w:rPr>
      </w:pPr>
    </w:p>
    <w:p w:rsidRPr="003127E4" w:rsidR="007E2EEB" w:rsidRDefault="007E2EEB" w14:paraId="4046C2C9"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75AB6A04" w14:textId="77777777">
      <w:pPr>
        <w:rPr>
          <w:rFonts w:ascii="Calibri" w:hAnsi="Calibri"/>
          <w:sz w:val="22"/>
          <w:szCs w:val="22"/>
        </w:rPr>
      </w:pPr>
    </w:p>
    <w:p w:rsidRPr="003127E4" w:rsidR="007E2EEB" w:rsidP="00AF1AEA" w:rsidRDefault="007E2EEB" w14:paraId="4C0F02DB" w14:textId="77777777">
      <w:pPr>
        <w:pStyle w:val="Level1"/>
        <w:numPr>
          <w:ilvl w:val="0"/>
          <w:numId w:val="4"/>
        </w:numPr>
        <w:tabs>
          <w:tab w:val="left" w:pos="-1440"/>
        </w:tabs>
        <w:rPr>
          <w:rFonts w:ascii="Calibri" w:hAnsi="Calibri"/>
          <w:b/>
          <w:sz w:val="22"/>
          <w:szCs w:val="22"/>
          <w:u w:val="single"/>
        </w:rPr>
      </w:pPr>
      <w:r w:rsidRPr="004823E0">
        <w:rPr>
          <w:rFonts w:ascii="Calibri" w:hAnsi="Calibri"/>
          <w:b/>
          <w:sz w:val="22"/>
          <w:szCs w:val="22"/>
          <w:u w:val="single"/>
        </w:rPr>
        <w:t>JUSTIFIC</w:t>
      </w:r>
      <w:r w:rsidRPr="00295A3A">
        <w:rPr>
          <w:rFonts w:ascii="Calibri" w:hAnsi="Calibri"/>
          <w:b/>
          <w:sz w:val="22"/>
          <w:szCs w:val="22"/>
          <w:u w:val="single"/>
        </w:rPr>
        <w:t>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76ED5882" w14:textId="77777777">
      <w:pPr>
        <w:rPr>
          <w:rFonts w:ascii="Calibri" w:hAnsi="Calibri"/>
          <w:sz w:val="22"/>
          <w:szCs w:val="22"/>
          <w:u w:val="single"/>
        </w:rPr>
      </w:pPr>
    </w:p>
    <w:p w:rsidRPr="004823E0" w:rsidR="004823E0" w:rsidP="004823E0" w:rsidRDefault="004823E0" w14:paraId="0A6961F9" w14:textId="77777777">
      <w:pPr>
        <w:ind w:left="720"/>
        <w:rPr>
          <w:rFonts w:ascii="Calibri" w:hAnsi="Calibri"/>
          <w:sz w:val="22"/>
          <w:szCs w:val="22"/>
        </w:rPr>
      </w:pPr>
      <w:bookmarkStart w:name="_Hlk504987468" w:id="3"/>
      <w:r w:rsidRPr="004823E0">
        <w:rPr>
          <w:rFonts w:ascii="Calibri" w:hAnsi="Calibri"/>
          <w:sz w:val="22"/>
          <w:szCs w:val="22"/>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Pr="004823E0" w:rsidR="004823E0" w:rsidP="004823E0" w:rsidRDefault="004823E0" w14:paraId="07E052EB" w14:textId="77777777">
      <w:pPr>
        <w:ind w:left="720"/>
        <w:rPr>
          <w:rFonts w:ascii="Calibri" w:hAnsi="Calibri"/>
          <w:sz w:val="22"/>
          <w:szCs w:val="22"/>
        </w:rPr>
      </w:pPr>
    </w:p>
    <w:p w:rsidRPr="004823E0" w:rsidR="004823E0" w:rsidP="004823E0" w:rsidRDefault="004823E0" w14:paraId="43D9C375" w14:textId="77777777">
      <w:pPr>
        <w:ind w:left="720"/>
        <w:rPr>
          <w:rFonts w:ascii="Calibri" w:hAnsi="Calibri"/>
          <w:sz w:val="22"/>
          <w:szCs w:val="22"/>
        </w:rPr>
      </w:pPr>
      <w:r w:rsidRPr="004823E0">
        <w:rPr>
          <w:rFonts w:ascii="Calibri" w:hAnsi="Calibr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w:t>
      </w:r>
      <w:r w:rsidRPr="005B58C8">
        <w:rPr>
          <w:rFonts w:ascii="Calibri" w:hAnsi="Calibri"/>
          <w:sz w:val="22"/>
          <w:szCs w:val="22"/>
        </w:rPr>
        <w:t>Individual Master File, formerly Individual Master File, and IRS 34.037--IRS Audit Trail and</w:t>
      </w:r>
      <w:r w:rsidRPr="004823E0">
        <w:rPr>
          <w:rFonts w:ascii="Calibri" w:hAnsi="Calibri"/>
          <w:sz w:val="22"/>
          <w:szCs w:val="22"/>
        </w:rPr>
        <w:t xml:space="preserve"> Security Records System.  The Internal Revenue Service PIAs can be found at </w:t>
      </w:r>
      <w:hyperlink w:history="1" r:id="rId7">
        <w:r w:rsidRPr="005700DA" w:rsidR="00521062">
          <w:rPr>
            <w:rStyle w:val="Hyperlink"/>
            <w:rFonts w:ascii="Calibri" w:hAnsi="Calibri"/>
            <w:sz w:val="22"/>
            <w:szCs w:val="22"/>
          </w:rPr>
          <w:t>https://www.treasury.gov/privacy/PIAs/Pages/default.aspx</w:t>
        </w:r>
      </w:hyperlink>
      <w:r w:rsidR="00521062">
        <w:rPr>
          <w:rFonts w:ascii="Calibri" w:hAnsi="Calibri"/>
          <w:sz w:val="22"/>
          <w:szCs w:val="22"/>
        </w:rPr>
        <w:t xml:space="preserve"> </w:t>
      </w:r>
      <w:r w:rsidRPr="004823E0">
        <w:rPr>
          <w:rFonts w:ascii="Calibri" w:hAnsi="Calibri"/>
          <w:sz w:val="22"/>
          <w:szCs w:val="22"/>
        </w:rPr>
        <w:t xml:space="preserve"> .</w:t>
      </w:r>
    </w:p>
    <w:p w:rsidRPr="004823E0" w:rsidR="004823E0" w:rsidP="004823E0" w:rsidRDefault="004823E0" w14:paraId="142C414A" w14:textId="77777777">
      <w:pPr>
        <w:ind w:left="720"/>
        <w:rPr>
          <w:rFonts w:ascii="Calibri" w:hAnsi="Calibri"/>
          <w:sz w:val="22"/>
          <w:szCs w:val="22"/>
        </w:rPr>
      </w:pPr>
    </w:p>
    <w:p w:rsidR="00DE00E7" w:rsidP="004823E0" w:rsidRDefault="004823E0" w14:paraId="00D168F0" w14:textId="77777777">
      <w:pPr>
        <w:ind w:left="720"/>
        <w:rPr>
          <w:rFonts w:ascii="Calibri" w:hAnsi="Calibri"/>
          <w:sz w:val="22"/>
          <w:szCs w:val="22"/>
        </w:rPr>
      </w:pPr>
      <w:r w:rsidRPr="004823E0">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F711D" w:rsidP="004823E0" w:rsidRDefault="005F711D" w14:paraId="7CB36360" w14:textId="77777777">
      <w:pPr>
        <w:ind w:left="720"/>
        <w:rPr>
          <w:rFonts w:ascii="Calibri" w:hAnsi="Calibri"/>
          <w:sz w:val="22"/>
          <w:szCs w:val="22"/>
        </w:rPr>
      </w:pPr>
    </w:p>
    <w:p w:rsidR="005F711D" w:rsidP="004823E0" w:rsidRDefault="005F711D" w14:paraId="08F84FD1" w14:textId="77777777">
      <w:pPr>
        <w:ind w:left="720"/>
        <w:rPr>
          <w:rFonts w:ascii="Calibri" w:hAnsi="Calibri"/>
          <w:sz w:val="22"/>
          <w:szCs w:val="22"/>
        </w:rPr>
      </w:pPr>
      <w:r w:rsidRPr="005F711D">
        <w:rPr>
          <w:rFonts w:ascii="Calibri" w:hAnsi="Calibri"/>
          <w:sz w:val="22"/>
          <w:szCs w:val="22"/>
        </w:rPr>
        <w:t xml:space="preserve">The Privacy Notice is included in the </w:t>
      </w:r>
      <w:r>
        <w:rPr>
          <w:rFonts w:ascii="Calibri" w:hAnsi="Calibri"/>
          <w:sz w:val="22"/>
          <w:szCs w:val="22"/>
        </w:rPr>
        <w:t>forms instructions.</w:t>
      </w:r>
    </w:p>
    <w:bookmarkEnd w:id="3"/>
    <w:p w:rsidR="003A5A1A" w:rsidP="00044F37" w:rsidRDefault="003A5A1A" w14:paraId="391AC032" w14:textId="77777777">
      <w:pPr>
        <w:ind w:left="720"/>
        <w:rPr>
          <w:rFonts w:ascii="Calibri" w:hAnsi="Calibri"/>
          <w:sz w:val="22"/>
          <w:szCs w:val="22"/>
        </w:rPr>
      </w:pPr>
    </w:p>
    <w:p w:rsidR="007E2EEB" w:rsidP="00AF1AEA" w:rsidRDefault="007E2EEB" w14:paraId="524C0BA4"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14:paraId="4A676560" w14:textId="77777777">
      <w:pPr>
        <w:pStyle w:val="Level1"/>
        <w:numPr>
          <w:ilvl w:val="0"/>
          <w:numId w:val="0"/>
        </w:numPr>
        <w:tabs>
          <w:tab w:val="left" w:pos="-1440"/>
        </w:tabs>
        <w:ind w:left="720" w:hanging="720"/>
        <w:rPr>
          <w:rFonts w:ascii="Calibri" w:hAnsi="Calibri"/>
          <w:b/>
          <w:sz w:val="22"/>
          <w:szCs w:val="22"/>
          <w:u w:val="single"/>
        </w:rPr>
      </w:pPr>
    </w:p>
    <w:p w:rsidRPr="00793EB8" w:rsidR="00E877E7" w:rsidP="00E877E7" w:rsidRDefault="00832AE8" w14:paraId="7BA8E2B2" w14:textId="77777777">
      <w:pPr>
        <w:rPr>
          <w:rFonts w:ascii="Calibri" w:hAnsi="Calibri" w:cs="Calibri"/>
          <w:sz w:val="22"/>
          <w:szCs w:val="22"/>
        </w:rPr>
      </w:pPr>
      <w:r>
        <w:rPr>
          <w:rFonts w:ascii="Calibri" w:hAnsi="Calibri"/>
          <w:sz w:val="22"/>
          <w:szCs w:val="22"/>
        </w:rPr>
        <w:t xml:space="preserve">             </w:t>
      </w:r>
      <w:r w:rsidR="00E877E7">
        <w:rPr>
          <w:rFonts w:ascii="Calibri" w:hAnsi="Calibri"/>
          <w:sz w:val="22"/>
          <w:szCs w:val="22"/>
        </w:rPr>
        <w:t xml:space="preserve"> </w:t>
      </w:r>
      <w:r w:rsidRPr="00793EB8" w:rsidR="00E877E7">
        <w:rPr>
          <w:rFonts w:ascii="Calibri" w:hAnsi="Calibri" w:cs="Calibri"/>
          <w:sz w:val="22"/>
          <w:szCs w:val="22"/>
        </w:rPr>
        <w:t>The burden estimate is as follows:</w:t>
      </w:r>
    </w:p>
    <w:p w:rsidRPr="00793EB8" w:rsidR="00E877E7" w:rsidP="00E877E7" w:rsidRDefault="00E877E7" w14:paraId="190DCA2A" w14:textId="77777777">
      <w:pPr>
        <w:rPr>
          <w:rFonts w:ascii="Calibri" w:hAnsi="Calibri" w:cs="Calibri"/>
          <w:sz w:val="22"/>
          <w:szCs w:val="22"/>
        </w:rPr>
      </w:pPr>
    </w:p>
    <w:p w:rsidRPr="00793EB8" w:rsidR="00E877E7" w:rsidP="00E877E7" w:rsidRDefault="00E877E7" w14:paraId="41117EB5" w14:textId="77777777">
      <w:pPr>
        <w:ind w:firstLine="720"/>
        <w:rPr>
          <w:rFonts w:ascii="Calibri" w:hAnsi="Calibri" w:cs="Calibri"/>
          <w:sz w:val="22"/>
          <w:szCs w:val="22"/>
        </w:rPr>
      </w:pPr>
      <w:r w:rsidRPr="00793EB8">
        <w:rPr>
          <w:rFonts w:ascii="Calibri" w:hAnsi="Calibri" w:cs="Calibri"/>
          <w:sz w:val="22"/>
          <w:szCs w:val="22"/>
        </w:rPr>
        <w:t>Form 8821:</w:t>
      </w:r>
    </w:p>
    <w:p w:rsidRPr="00793EB8" w:rsidR="00E877E7" w:rsidP="00E877E7" w:rsidRDefault="00E877E7" w14:paraId="5736AA3D" w14:textId="77777777">
      <w:pPr>
        <w:ind w:left="720"/>
        <w:rPr>
          <w:rFonts w:ascii="Calibri" w:hAnsi="Calibri" w:cs="Calibri"/>
          <w:sz w:val="22"/>
          <w:szCs w:val="22"/>
        </w:rPr>
      </w:pPr>
      <w:r w:rsidRPr="00793EB8">
        <w:rPr>
          <w:rFonts w:ascii="Calibri" w:hAnsi="Calibri" w:cs="Calibri"/>
          <w:sz w:val="22"/>
          <w:szCs w:val="22"/>
        </w:rPr>
        <w:t>The time needed to complete the form and file this form on paper will vary depending on  individual circumstance</w:t>
      </w:r>
      <w:r w:rsidR="00521062">
        <w:rPr>
          <w:rFonts w:ascii="Calibri" w:hAnsi="Calibri" w:cs="Calibri"/>
          <w:sz w:val="22"/>
          <w:szCs w:val="22"/>
        </w:rPr>
        <w:t>s</w:t>
      </w:r>
      <w:r w:rsidRPr="00793EB8">
        <w:rPr>
          <w:rFonts w:ascii="Calibri" w:hAnsi="Calibri" w:cs="Calibri"/>
          <w:sz w:val="22"/>
          <w:szCs w:val="22"/>
        </w:rPr>
        <w:t>. The estimated average time is: Recordkeeping, 6 min.;                          Learning about the law or the form,12 min.; Preparing the form, 24 min.; Copying and                  sending the form to the IRS, 20 min.</w:t>
      </w:r>
      <w:r w:rsidR="00332065">
        <w:rPr>
          <w:rFonts w:ascii="Calibri" w:hAnsi="Calibri" w:cs="Calibri"/>
          <w:sz w:val="22"/>
          <w:szCs w:val="22"/>
        </w:rPr>
        <w:t xml:space="preserve"> </w:t>
      </w:r>
    </w:p>
    <w:p w:rsidR="00E877E7" w:rsidP="00E877E7" w:rsidRDefault="00E877E7" w14:paraId="672DC0BF" w14:textId="77777777">
      <w:pPr>
        <w:ind w:firstLine="720"/>
        <w:rPr>
          <w:rFonts w:ascii="Times New Roman" w:hAnsi="Times New Roman"/>
        </w:rPr>
      </w:pPr>
    </w:p>
    <w:p w:rsidRPr="00793EB8" w:rsidR="00E877E7" w:rsidP="00E877E7" w:rsidRDefault="00E877E7" w14:paraId="61485060" w14:textId="77777777">
      <w:pPr>
        <w:ind w:firstLine="720"/>
        <w:rPr>
          <w:rFonts w:ascii="Calibri" w:hAnsi="Calibri" w:cs="Calibri"/>
          <w:sz w:val="22"/>
          <w:szCs w:val="22"/>
        </w:rPr>
      </w:pPr>
      <w:r w:rsidRPr="00793EB8">
        <w:rPr>
          <w:rFonts w:ascii="Calibri" w:hAnsi="Calibri" w:cs="Calibri"/>
          <w:sz w:val="22"/>
          <w:szCs w:val="22"/>
        </w:rPr>
        <w:t>Form 8821-A:</w:t>
      </w:r>
    </w:p>
    <w:p w:rsidR="009A3350" w:rsidP="00E877E7" w:rsidRDefault="00E877E7" w14:paraId="2E406FC8" w14:textId="77777777">
      <w:pPr>
        <w:ind w:firstLine="720"/>
        <w:rPr>
          <w:rFonts w:ascii="Times New Roman" w:hAnsi="Times New Roman"/>
        </w:rPr>
      </w:pPr>
      <w:r w:rsidRPr="00793EB8">
        <w:rPr>
          <w:rFonts w:ascii="Calibri" w:hAnsi="Calibri" w:cs="Calibri"/>
          <w:sz w:val="22"/>
          <w:szCs w:val="22"/>
        </w:rPr>
        <w:t xml:space="preserve">The time needed to complete and file this form will vary depending on individual                             </w:t>
      </w:r>
      <w:r w:rsidRPr="00793EB8" w:rsidR="006909F2">
        <w:rPr>
          <w:rFonts w:ascii="Calibri" w:hAnsi="Calibri" w:cs="Calibri"/>
          <w:sz w:val="22"/>
          <w:szCs w:val="22"/>
        </w:rPr>
        <w:t xml:space="preserve">            </w:t>
      </w:r>
      <w:r w:rsidR="00D74CDD">
        <w:rPr>
          <w:rFonts w:ascii="Calibri" w:hAnsi="Calibri" w:cs="Calibri"/>
          <w:sz w:val="22"/>
          <w:szCs w:val="22"/>
        </w:rPr>
        <w:t xml:space="preserve">      </w:t>
      </w:r>
      <w:r w:rsidRPr="00793EB8" w:rsidR="006909F2">
        <w:rPr>
          <w:rFonts w:ascii="Calibri" w:hAnsi="Calibri" w:cs="Calibri"/>
          <w:sz w:val="22"/>
          <w:szCs w:val="22"/>
        </w:rPr>
        <w:t xml:space="preserve"> c</w:t>
      </w:r>
      <w:r w:rsidRPr="00793EB8">
        <w:rPr>
          <w:rFonts w:ascii="Calibri" w:hAnsi="Calibri" w:cs="Calibri"/>
          <w:sz w:val="22"/>
          <w:szCs w:val="22"/>
        </w:rPr>
        <w:t>ircumstances. The estimated average time is 9 minutes</w:t>
      </w:r>
      <w:r>
        <w:rPr>
          <w:rFonts w:ascii="Times New Roman" w:hAnsi="Times New Roman"/>
        </w:rPr>
        <w:t>.</w:t>
      </w:r>
    </w:p>
    <w:p w:rsidRPr="00832AE8" w:rsidR="00832AE8" w:rsidP="00DE00E7" w:rsidRDefault="00832AE8" w14:paraId="790D1DA0" w14:textId="77777777">
      <w:pPr>
        <w:pStyle w:val="Level1"/>
        <w:numPr>
          <w:ilvl w:val="0"/>
          <w:numId w:val="0"/>
        </w:numPr>
        <w:tabs>
          <w:tab w:val="left" w:pos="-1440"/>
        </w:tabs>
        <w:ind w:left="720" w:hanging="720"/>
        <w:rPr>
          <w:rFonts w:ascii="Calibri" w:hAnsi="Calibri"/>
          <w:sz w:val="22"/>
          <w:szCs w:val="22"/>
        </w:rPr>
      </w:pPr>
      <w:r>
        <w:rPr>
          <w:rFonts w:ascii="Calibri" w:hAnsi="Calibri"/>
          <w:sz w:val="22"/>
          <w:szCs w:val="22"/>
        </w:rPr>
        <w:t xml:space="preserve">    </w:t>
      </w:r>
    </w:p>
    <w:p w:rsidR="00CB0D14" w:rsidP="00CB0D14" w:rsidRDefault="00832AE8" w14:paraId="07367864" w14:textId="77777777">
      <w:pPr>
        <w:pStyle w:val="Level1"/>
        <w:numPr>
          <w:ilvl w:val="0"/>
          <w:numId w:val="0"/>
        </w:numPr>
        <w:tabs>
          <w:tab w:val="left" w:pos="-1440"/>
        </w:tabs>
        <w:ind w:left="720" w:hanging="720"/>
        <w:rPr>
          <w:rFonts w:ascii="Calibri" w:hAnsi="Calibri"/>
          <w:b/>
          <w:sz w:val="22"/>
          <w:szCs w:val="22"/>
          <w:u w:val="single"/>
        </w:rPr>
      </w:pPr>
      <w:r>
        <w:rPr>
          <w:rFonts w:ascii="Calibri" w:hAnsi="Calibri"/>
          <w:sz w:val="22"/>
          <w:szCs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CB0D14" w:rsidTr="00CB0D14" w14:paraId="370BB210"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521062" w14:paraId="4FB55225"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Form Number</w:t>
            </w: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14:paraId="7A1D29A8"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4BD41887"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CB0D14" w:rsidRDefault="00CB0D14" w14:paraId="22BDCEAF"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14:paraId="66AEC8AB"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5A5531B2"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14:paraId="116050E2"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r w:rsidR="00521062">
              <w:rPr>
                <w:rFonts w:ascii="Arial Narrow" w:hAnsi="Arial Narrow" w:cs="Calibri"/>
                <w:color w:val="000000"/>
                <w:sz w:val="20"/>
                <w:szCs w:val="20"/>
              </w:rPr>
              <w:t xml:space="preserve"> Hours</w:t>
            </w:r>
          </w:p>
        </w:tc>
      </w:tr>
      <w:tr w:rsidRPr="00C723A3" w:rsidR="00F669A8" w:rsidTr="00AF1AEA" w14:paraId="684BCDF7"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FB13EB" w:rsidRDefault="00521062" w14:paraId="56BADFF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8821</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F669A8" w:rsidP="00AF1AEA" w:rsidRDefault="00521062" w14:paraId="5A2FAE06" w14:textId="77777777">
            <w:pPr>
              <w:keepNext/>
              <w:keepLines/>
              <w:autoSpaceDE/>
              <w:autoSpaceDN/>
              <w:adjustRightInd/>
              <w:rPr>
                <w:rFonts w:ascii="Arial Narrow" w:hAnsi="Arial Narrow" w:cs="Calibri"/>
                <w:color w:val="000000"/>
                <w:sz w:val="20"/>
                <w:szCs w:val="20"/>
              </w:rPr>
            </w:pPr>
            <w:r w:rsidRPr="00521062">
              <w:rPr>
                <w:rFonts w:ascii="Arial Narrow" w:hAnsi="Arial Narrow" w:cs="Calibri"/>
                <w:color w:val="000000"/>
                <w:sz w:val="20"/>
                <w:szCs w:val="20"/>
              </w:rPr>
              <w:t>Tax Information Authorization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521062" w14:paraId="7233F01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672,990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521062" w14:paraId="4D8ED9B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521062" w14:paraId="7C42BA8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672,990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521062" w14:paraId="26FA118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 hr, 3 minutes</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740065" w14:paraId="62801FAB" w14:textId="11501B3F">
            <w:pPr>
              <w:keepNext/>
              <w:keepLines/>
              <w:autoSpaceDE/>
              <w:autoSpaceDN/>
              <w:adjustRightInd/>
              <w:jc w:val="center"/>
              <w:rPr>
                <w:rFonts w:ascii="Arial Narrow" w:hAnsi="Arial Narrow" w:cs="Calibri"/>
                <w:color w:val="000000"/>
                <w:sz w:val="20"/>
                <w:szCs w:val="20"/>
              </w:rPr>
            </w:pPr>
            <w:commentRangeStart w:id="4"/>
            <w:commentRangeEnd w:id="4"/>
            <w:r>
              <w:rPr>
                <w:rFonts w:ascii="Arial Narrow" w:hAnsi="Arial Narrow" w:cs="Calibri"/>
                <w:color w:val="000000"/>
                <w:sz w:val="20"/>
                <w:szCs w:val="20"/>
              </w:rPr>
              <w:t>706,</w:t>
            </w:r>
            <w:r w:rsidR="00B03833">
              <w:rPr>
                <w:rFonts w:ascii="Arial Narrow" w:hAnsi="Arial Narrow" w:cs="Calibri"/>
                <w:color w:val="000000"/>
                <w:sz w:val="20"/>
                <w:szCs w:val="20"/>
              </w:rPr>
              <w:t>640</w:t>
            </w:r>
          </w:p>
        </w:tc>
      </w:tr>
      <w:tr w:rsidRPr="00C723A3" w:rsidR="006909F2" w:rsidTr="00AF1AEA" w14:paraId="0301EF3F"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6909F2" w:rsidP="00FB13EB" w:rsidRDefault="00521062" w14:paraId="3F297DA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8821</w:t>
            </w:r>
            <w:r w:rsidR="00F105CE">
              <w:rPr>
                <w:rFonts w:ascii="Arial Narrow" w:hAnsi="Arial Narrow" w:cs="Calibri"/>
                <w:color w:val="000000"/>
                <w:sz w:val="20"/>
                <w:szCs w:val="20"/>
              </w:rPr>
              <w:t>-</w:t>
            </w:r>
            <w:r>
              <w:rPr>
                <w:rFonts w:ascii="Arial Narrow" w:hAnsi="Arial Narrow" w:cs="Calibri"/>
                <w:color w:val="000000"/>
                <w:sz w:val="20"/>
                <w:szCs w:val="20"/>
              </w:rPr>
              <w:t>A</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6909F2" w:rsidP="00AF1AEA" w:rsidRDefault="00521062" w14:paraId="35C76D34" w14:textId="77777777">
            <w:pPr>
              <w:keepNext/>
              <w:keepLines/>
              <w:autoSpaceDE/>
              <w:autoSpaceDN/>
              <w:adjustRightInd/>
              <w:rPr>
                <w:rFonts w:ascii="Arial Narrow" w:hAnsi="Arial Narrow" w:cs="Calibri"/>
                <w:color w:val="000000"/>
                <w:sz w:val="20"/>
                <w:szCs w:val="20"/>
              </w:rPr>
            </w:pPr>
            <w:r w:rsidRPr="00521062">
              <w:rPr>
                <w:rFonts w:ascii="Arial Narrow" w:hAnsi="Arial Narrow" w:cs="Calibri"/>
                <w:color w:val="000000"/>
                <w:sz w:val="20"/>
                <w:szCs w:val="20"/>
              </w:rPr>
              <w:t>IRS Disclosure Authorization for Victims of Identity Theft</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6909F2" w:rsidP="00AF1AEA" w:rsidRDefault="00521062" w14:paraId="3EB53A6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182</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6909F2" w:rsidP="00AF1AEA" w:rsidRDefault="00521062" w14:paraId="498F864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6909F2" w:rsidP="00AF1AEA" w:rsidRDefault="00521062" w14:paraId="221FE08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182</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6909F2" w:rsidP="00AF1AEA" w:rsidRDefault="00521062" w14:paraId="3BF4BF5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 minutes</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6909F2" w:rsidP="00AF1AEA" w:rsidRDefault="00521062" w14:paraId="375CED2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27</w:t>
            </w:r>
          </w:p>
        </w:tc>
      </w:tr>
      <w:tr w:rsidRPr="00C723A3" w:rsidR="00D46069" w:rsidTr="00406C96" w14:paraId="7A7BD2D5" w14:textId="77777777">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14:paraId="7C43F8B5"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14:paraId="56A93A21"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521062" w14:paraId="3527F70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673,172</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593BB43C"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521062" w14:paraId="627E379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673,172</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1F2774DF"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521062" w14:paraId="47BB60C2" w14:textId="3BC7744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70</w:t>
            </w:r>
            <w:r w:rsidR="00B03833">
              <w:rPr>
                <w:rFonts w:ascii="Arial Narrow" w:hAnsi="Arial Narrow" w:cs="Calibri"/>
                <w:color w:val="000000"/>
                <w:sz w:val="20"/>
                <w:szCs w:val="20"/>
              </w:rPr>
              <w:t>6,667</w:t>
            </w:r>
          </w:p>
        </w:tc>
      </w:tr>
    </w:tbl>
    <w:p w:rsidR="006909F2" w:rsidP="00832AE8" w:rsidRDefault="00D46069" w14:paraId="7B5425D8" w14:textId="77777777">
      <w:pPr>
        <w:rPr>
          <w:rFonts w:ascii="Calibri" w:hAnsi="Calibri"/>
          <w:sz w:val="22"/>
          <w:szCs w:val="22"/>
        </w:rPr>
      </w:pPr>
      <w:r w:rsidRPr="003127E4">
        <w:rPr>
          <w:rFonts w:ascii="Calibri" w:hAnsi="Calibri"/>
          <w:sz w:val="22"/>
          <w:szCs w:val="22"/>
        </w:rPr>
        <w:t xml:space="preserve">                                  </w:t>
      </w:r>
    </w:p>
    <w:p w:rsidR="006909F2" w:rsidP="00832AE8" w:rsidRDefault="006909F2" w14:paraId="663CC208" w14:textId="77777777">
      <w:pPr>
        <w:rPr>
          <w:rFonts w:ascii="Calibri" w:hAnsi="Calibri"/>
          <w:sz w:val="22"/>
          <w:szCs w:val="22"/>
        </w:rPr>
      </w:pPr>
    </w:p>
    <w:p w:rsidRPr="003127E4" w:rsidR="007E2EEB" w:rsidP="00832AE8" w:rsidRDefault="00D46069" w14:paraId="43ECA2C5" w14:textId="77777777">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682D2EB0"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28650EF3" w14:textId="77777777">
      <w:pPr>
        <w:rPr>
          <w:rFonts w:ascii="Calibri" w:hAnsi="Calibri"/>
          <w:b/>
          <w:sz w:val="22"/>
          <w:szCs w:val="22"/>
        </w:rPr>
      </w:pPr>
    </w:p>
    <w:p w:rsidR="00B03833" w:rsidP="00F26675" w:rsidRDefault="00F26675" w14:paraId="1D2F5E80" w14:textId="77777777">
      <w:pPr>
        <w:ind w:left="720"/>
        <w:rPr>
          <w:rFonts w:ascii="Calibri" w:hAnsi="Calibri"/>
          <w:sz w:val="22"/>
          <w:szCs w:val="22"/>
        </w:rPr>
      </w:pPr>
      <w:bookmarkStart w:name="_Hlk34158912" w:id="5"/>
      <w:r w:rsidRPr="00F26675">
        <w:rPr>
          <w:rFonts w:ascii="Calibri" w:hAnsi="Calibri"/>
          <w:sz w:val="22"/>
          <w:szCs w:val="22"/>
        </w:rPr>
        <w:t xml:space="preserve">To ensure more accuracy and consistency across its information collections, IRS is currently in the process of revising the methodology it uses to estimate burden and costs. Once this </w:t>
      </w:r>
    </w:p>
    <w:p w:rsidR="00F26675" w:rsidP="00F26675" w:rsidRDefault="00F26675" w14:paraId="47FB412A" w14:textId="4931F922">
      <w:pPr>
        <w:ind w:left="720"/>
        <w:rPr>
          <w:rFonts w:ascii="Calibri" w:hAnsi="Calibri"/>
          <w:sz w:val="22"/>
          <w:szCs w:val="22"/>
        </w:rPr>
      </w:pPr>
      <w:r w:rsidRPr="00F26675">
        <w:rPr>
          <w:rFonts w:ascii="Calibri" w:hAnsi="Calibri"/>
          <w:sz w:val="22"/>
          <w:szCs w:val="22"/>
        </w:rPr>
        <w:t>methodology is complete, IRS will update this information collection to reflect a more precise estimate of burden and costs.</w:t>
      </w:r>
    </w:p>
    <w:p w:rsidRPr="003127E4" w:rsidR="00D46069" w:rsidP="00F26675" w:rsidRDefault="00D46069" w14:paraId="0CFFCDA4" w14:textId="77777777">
      <w:pPr>
        <w:ind w:left="720"/>
        <w:rPr>
          <w:rFonts w:ascii="Calibri" w:hAnsi="Calibri"/>
          <w:sz w:val="22"/>
          <w:szCs w:val="22"/>
        </w:rPr>
      </w:pPr>
    </w:p>
    <w:bookmarkEnd w:id="5"/>
    <w:p w:rsidR="007E2EEB" w:rsidP="00242885" w:rsidRDefault="007E2EEB" w14:paraId="4C80B6D6" w14:textId="77777777">
      <w:pPr>
        <w:numPr>
          <w:ilvl w:val="0"/>
          <w:numId w:val="4"/>
        </w:numPr>
        <w:tabs>
          <w:tab w:val="left" w:pos="-1440"/>
        </w:tabs>
        <w:rPr>
          <w:rFonts w:ascii="Calibri" w:hAnsi="Calibri"/>
          <w:b/>
          <w:sz w:val="22"/>
          <w:szCs w:val="22"/>
          <w:u w:val="single"/>
        </w:rPr>
      </w:pPr>
      <w:r w:rsidRPr="00663E1E">
        <w:rPr>
          <w:rFonts w:ascii="Calibri" w:hAnsi="Calibri"/>
          <w:b/>
          <w:sz w:val="22"/>
          <w:szCs w:val="22"/>
          <w:u w:val="single"/>
        </w:rPr>
        <w:t>ESTIMAT</w:t>
      </w:r>
      <w:r w:rsidRPr="00B5635A">
        <w:rPr>
          <w:rFonts w:ascii="Calibri" w:hAnsi="Calibri"/>
          <w:b/>
          <w:sz w:val="22"/>
          <w:szCs w:val="22"/>
          <w:u w:val="single"/>
        </w:rPr>
        <w:t>ED ANNUALIZED</w:t>
      </w:r>
      <w:r w:rsidRPr="003127E4">
        <w:rPr>
          <w:rFonts w:ascii="Calibri" w:hAnsi="Calibri"/>
          <w:b/>
          <w:sz w:val="22"/>
          <w:szCs w:val="22"/>
          <w:u w:val="single"/>
        </w:rPr>
        <w:t xml:space="preserve"> COST TO THE FEDERAL GOVERNMENT</w:t>
      </w:r>
    </w:p>
    <w:p w:rsidR="00242885" w:rsidP="00242885" w:rsidRDefault="00242885" w14:paraId="00F31AAB" w14:textId="77777777">
      <w:pPr>
        <w:tabs>
          <w:tab w:val="left" w:pos="-1440"/>
        </w:tabs>
        <w:rPr>
          <w:rFonts w:ascii="Calibri" w:hAnsi="Calibri"/>
          <w:b/>
          <w:sz w:val="22"/>
          <w:szCs w:val="22"/>
          <w:u w:val="single"/>
        </w:rPr>
      </w:pPr>
    </w:p>
    <w:p w:rsidRPr="00832AE8" w:rsidR="00832AE8" w:rsidP="00832AE8" w:rsidRDefault="00832AE8" w14:paraId="0952CD51" w14:textId="77777777">
      <w:pPr>
        <w:ind w:left="720"/>
        <w:rPr>
          <w:rFonts w:ascii="Calibri" w:hAnsi="Calibri"/>
          <w:sz w:val="22"/>
          <w:szCs w:val="22"/>
        </w:rPr>
      </w:pPr>
      <w:r w:rsidRPr="00832AE8">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Pr>
          <w:rFonts w:ascii="Calibri" w:hAnsi="Calibri"/>
          <w:sz w:val="22"/>
          <w:szCs w:val="22"/>
        </w:rPr>
        <w:t>-</w:t>
      </w:r>
      <w:r w:rsidRPr="00832AE8">
        <w:rPr>
          <w:rFonts w:ascii="Calibri" w:hAnsi="Calibri"/>
          <w:sz w:val="22"/>
          <w:szCs w:val="22"/>
        </w:rPr>
        <w:t xml:space="preserve">up expenses, operating and maintenance expenses, and distribution of the product that collects the information.  </w:t>
      </w:r>
    </w:p>
    <w:p w:rsidRPr="00832AE8" w:rsidR="00832AE8" w:rsidP="00832AE8" w:rsidRDefault="00832AE8" w14:paraId="489B62EF" w14:textId="77777777">
      <w:pPr>
        <w:ind w:left="720"/>
        <w:rPr>
          <w:rFonts w:ascii="Calibri" w:hAnsi="Calibri"/>
          <w:sz w:val="22"/>
          <w:szCs w:val="22"/>
        </w:rPr>
      </w:pPr>
    </w:p>
    <w:p w:rsidRPr="00832AE8" w:rsidR="00832AE8" w:rsidP="00832AE8" w:rsidRDefault="00832AE8" w14:paraId="0C2F4D3F" w14:textId="77777777">
      <w:pPr>
        <w:ind w:left="720"/>
        <w:rPr>
          <w:rFonts w:ascii="Calibri" w:hAnsi="Calibri"/>
          <w:sz w:val="22"/>
          <w:szCs w:val="22"/>
        </w:rPr>
      </w:pPr>
      <w:r w:rsidRPr="00832AE8">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w:t>
      </w:r>
      <w:r w:rsidRPr="00832AE8">
        <w:rPr>
          <w:rFonts w:ascii="Calibri" w:hAnsi="Calibri"/>
          <w:sz w:val="22"/>
          <w:szCs w:val="22"/>
        </w:rPr>
        <w:lastRenderedPageBreak/>
        <w:t>added to the cost of shipping and printing each product to IRS offices, National Distribution Center, libraries and other outlets. The result is the Government cost estimate per product.</w:t>
      </w:r>
    </w:p>
    <w:p w:rsidRPr="00832AE8" w:rsidR="00832AE8" w:rsidP="00832AE8" w:rsidRDefault="00832AE8" w14:paraId="0DB32096" w14:textId="77777777">
      <w:pPr>
        <w:ind w:left="720"/>
        <w:rPr>
          <w:rFonts w:ascii="Calibri" w:hAnsi="Calibri"/>
          <w:sz w:val="22"/>
          <w:szCs w:val="22"/>
        </w:rPr>
      </w:pPr>
    </w:p>
    <w:p w:rsidRPr="00663E1E" w:rsidR="00663E1E" w:rsidP="00663E1E" w:rsidRDefault="00832AE8" w14:paraId="2BF5E4E6" w14:textId="77777777">
      <w:pPr>
        <w:ind w:left="720"/>
        <w:rPr>
          <w:rFonts w:ascii="Calibri" w:hAnsi="Calibri"/>
          <w:sz w:val="22"/>
          <w:szCs w:val="22"/>
        </w:rPr>
      </w:pPr>
      <w:r w:rsidRPr="00832AE8">
        <w:rPr>
          <w:rFonts w:ascii="Calibri" w:hAnsi="Calibri"/>
          <w:sz w:val="22"/>
          <w:szCs w:val="22"/>
        </w:rPr>
        <w:t xml:space="preserve">The government cost estimate for </w:t>
      </w:r>
      <w:r w:rsidR="00663E1E">
        <w:rPr>
          <w:rFonts w:ascii="Calibri" w:hAnsi="Calibri"/>
          <w:sz w:val="22"/>
          <w:szCs w:val="22"/>
        </w:rPr>
        <w:t>Form 8821</w:t>
      </w:r>
      <w:r w:rsidRPr="00832AE8">
        <w:rPr>
          <w:rFonts w:ascii="Calibri" w:hAnsi="Calibri"/>
          <w:sz w:val="22"/>
          <w:szCs w:val="22"/>
        </w:rPr>
        <w:t xml:space="preserve"> is summarized in the table below</w:t>
      </w:r>
      <w:r w:rsidR="00663E1E">
        <w:rPr>
          <w:rFonts w:ascii="Calibri" w:hAnsi="Calibri"/>
          <w:sz w:val="22"/>
          <w:szCs w:val="22"/>
        </w:rPr>
        <w:t>, it is not available for Form 8821-A</w:t>
      </w:r>
      <w:r w:rsidRPr="00832AE8">
        <w:rPr>
          <w:rFonts w:ascii="Calibri" w:hAnsi="Calibri"/>
          <w:sz w:val="22"/>
          <w:szCs w:val="22"/>
        </w:rPr>
        <w:t>.</w:t>
      </w:r>
      <w:r w:rsidR="00663E1E">
        <w:rPr>
          <w:rFonts w:ascii="Calibri" w:hAnsi="Calibri"/>
          <w:sz w:val="22"/>
          <w:szCs w:val="22"/>
        </w:rPr>
        <w:t xml:space="preserve"> The IRS is c</w:t>
      </w:r>
      <w:r w:rsidRPr="00663E1E" w:rsidR="00663E1E">
        <w:rPr>
          <w:rFonts w:ascii="Calibri" w:hAnsi="Calibri"/>
          <w:sz w:val="22"/>
          <w:szCs w:val="22"/>
        </w:rPr>
        <w:t>urrently in the process of revising the methodology it uses to estimate burden and costs. Once this methodology is complete, IRS will update this information collection to reflect a more precise estimate of burden and costs.</w:t>
      </w:r>
    </w:p>
    <w:p w:rsidRPr="00832AE8" w:rsidR="00832AE8" w:rsidP="00663E1E" w:rsidRDefault="00832AE8" w14:paraId="135B0D32" w14:textId="77777777">
      <w:pPr>
        <w:ind w:left="720"/>
        <w:rPr>
          <w:rFonts w:ascii="Calibri" w:hAnsi="Calibri"/>
          <w:sz w:val="22"/>
          <w:szCs w:val="22"/>
        </w:rPr>
      </w:pPr>
    </w:p>
    <w:p w:rsidRPr="00832AE8" w:rsidR="00832AE8" w:rsidP="00832AE8" w:rsidRDefault="00832AE8" w14:paraId="2715EF23" w14:textId="77777777">
      <w:pPr>
        <w:ind w:left="72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832AE8" w:rsidTr="00832AE8" w14:paraId="7FD74FFC"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0F83DF7E"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5121AD14"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832AE8" w:rsidRDefault="00832AE8" w14:paraId="13F9BCF9"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6ED354BA"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832AE8" w:rsidRDefault="00832AE8" w14:paraId="3C664D38"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832AE8" w:rsidRDefault="00832AE8" w14:paraId="3BAD3BAE"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832AE8" w:rsidTr="006909F2" w14:paraId="4C1E41CA" w14:textId="77777777">
        <w:tc>
          <w:tcPr>
            <w:tcW w:w="2358" w:type="dxa"/>
            <w:tcBorders>
              <w:top w:val="single" w:color="auto" w:sz="4" w:space="0"/>
              <w:left w:val="single" w:color="auto" w:sz="4" w:space="0"/>
              <w:bottom w:val="single" w:color="auto" w:sz="4" w:space="0"/>
              <w:right w:val="single" w:color="auto" w:sz="4" w:space="0"/>
            </w:tcBorders>
            <w:vAlign w:val="bottom"/>
          </w:tcPr>
          <w:p w:rsidR="00832AE8" w:rsidRDefault="004F3B5C" w14:paraId="02246538" w14:textId="77777777">
            <w:pPr>
              <w:keepNext/>
              <w:keepLines/>
              <w:numPr>
                <w:ilvl w:val="12"/>
                <w:numId w:val="0"/>
              </w:numPr>
              <w:rPr>
                <w:rFonts w:ascii="Arial Narrow" w:hAnsi="Arial Narrow"/>
                <w:sz w:val="18"/>
                <w:szCs w:val="18"/>
              </w:rPr>
            </w:pPr>
            <w:r>
              <w:rPr>
                <w:rFonts w:ascii="Arial Narrow" w:hAnsi="Arial Narrow"/>
                <w:sz w:val="18"/>
                <w:szCs w:val="18"/>
              </w:rPr>
              <w:t>Form 8821</w:t>
            </w:r>
          </w:p>
        </w:tc>
        <w:tc>
          <w:tcPr>
            <w:tcW w:w="1980" w:type="dxa"/>
            <w:tcBorders>
              <w:top w:val="single" w:color="auto" w:sz="4" w:space="0"/>
              <w:left w:val="single" w:color="auto" w:sz="4" w:space="0"/>
              <w:bottom w:val="single" w:color="auto" w:sz="4" w:space="0"/>
              <w:right w:val="single" w:color="auto" w:sz="4" w:space="0"/>
            </w:tcBorders>
            <w:vAlign w:val="bottom"/>
          </w:tcPr>
          <w:p w:rsidR="00832AE8" w:rsidRDefault="000B3AD5" w14:paraId="494BD3C2" w14:textId="77777777">
            <w:pPr>
              <w:keepNext/>
              <w:keepLines/>
              <w:jc w:val="center"/>
              <w:rPr>
                <w:rFonts w:ascii="Arial Narrow" w:hAnsi="Arial Narrow"/>
                <w:sz w:val="18"/>
                <w:szCs w:val="18"/>
              </w:rPr>
            </w:pPr>
            <w:r>
              <w:rPr>
                <w:rFonts w:ascii="Arial Narrow" w:hAnsi="Arial Narrow"/>
                <w:sz w:val="18"/>
                <w:szCs w:val="18"/>
              </w:rPr>
              <w:t>16,586</w:t>
            </w:r>
          </w:p>
        </w:tc>
        <w:tc>
          <w:tcPr>
            <w:tcW w:w="303" w:type="dxa"/>
            <w:tcBorders>
              <w:top w:val="single" w:color="auto" w:sz="4" w:space="0"/>
              <w:left w:val="single" w:color="auto" w:sz="4" w:space="0"/>
              <w:bottom w:val="single" w:color="auto" w:sz="4" w:space="0"/>
              <w:right w:val="single" w:color="auto" w:sz="4" w:space="0"/>
            </w:tcBorders>
          </w:tcPr>
          <w:p w:rsidR="00832AE8" w:rsidRDefault="00832AE8" w14:paraId="7D079F14"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832AE8" w:rsidRDefault="000B3AD5" w14:paraId="286EBECC"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832AE8" w:rsidRDefault="00832AE8" w14:paraId="3B9A6DC1"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832AE8" w:rsidRDefault="000B3AD5" w14:paraId="2E715031" w14:textId="77777777">
            <w:pPr>
              <w:keepNext/>
              <w:keepLines/>
              <w:jc w:val="center"/>
              <w:rPr>
                <w:rFonts w:ascii="Arial Narrow" w:hAnsi="Arial Narrow"/>
                <w:sz w:val="18"/>
                <w:szCs w:val="18"/>
              </w:rPr>
            </w:pPr>
            <w:r>
              <w:rPr>
                <w:rFonts w:ascii="Arial Narrow" w:hAnsi="Arial Narrow"/>
                <w:sz w:val="18"/>
                <w:szCs w:val="18"/>
              </w:rPr>
              <w:t>16,586</w:t>
            </w:r>
          </w:p>
        </w:tc>
      </w:tr>
      <w:tr w:rsidR="000B3AD5" w:rsidTr="00832AE8" w14:paraId="2165261D" w14:textId="77777777">
        <w:tc>
          <w:tcPr>
            <w:tcW w:w="2358" w:type="dxa"/>
            <w:tcBorders>
              <w:top w:val="single" w:color="auto" w:sz="4" w:space="0"/>
              <w:left w:val="single" w:color="auto" w:sz="4" w:space="0"/>
              <w:bottom w:val="single" w:color="auto" w:sz="4" w:space="0"/>
              <w:right w:val="single" w:color="auto" w:sz="4" w:space="0"/>
            </w:tcBorders>
          </w:tcPr>
          <w:p w:rsidRPr="000B3AD5" w:rsidR="000B3AD5" w:rsidRDefault="000B3AD5" w14:paraId="3FCEC1FE" w14:textId="77777777">
            <w:pPr>
              <w:keepNext/>
              <w:keepLines/>
              <w:rPr>
                <w:rFonts w:ascii="Arial Narrow" w:hAnsi="Arial Narrow"/>
                <w:sz w:val="18"/>
                <w:szCs w:val="18"/>
              </w:rPr>
            </w:pPr>
            <w:r w:rsidRPr="000B3AD5">
              <w:rPr>
                <w:rFonts w:ascii="Arial Narrow" w:hAnsi="Arial Narrow"/>
                <w:sz w:val="18"/>
                <w:szCs w:val="18"/>
              </w:rPr>
              <w:t xml:space="preserve">Instructions -Form 8821 </w:t>
            </w:r>
          </w:p>
        </w:tc>
        <w:tc>
          <w:tcPr>
            <w:tcW w:w="1980" w:type="dxa"/>
            <w:tcBorders>
              <w:top w:val="single" w:color="auto" w:sz="4" w:space="0"/>
              <w:left w:val="single" w:color="auto" w:sz="4" w:space="0"/>
              <w:bottom w:val="single" w:color="auto" w:sz="4" w:space="0"/>
              <w:right w:val="single" w:color="auto" w:sz="4" w:space="0"/>
            </w:tcBorders>
          </w:tcPr>
          <w:p w:rsidRPr="000B3AD5" w:rsidR="000B3AD5" w:rsidRDefault="000B3AD5" w14:paraId="79F4FE6B" w14:textId="77777777">
            <w:pPr>
              <w:keepNext/>
              <w:keepLines/>
              <w:jc w:val="center"/>
              <w:rPr>
                <w:rFonts w:ascii="Arial Narrow" w:hAnsi="Arial Narrow"/>
                <w:sz w:val="18"/>
                <w:szCs w:val="18"/>
              </w:rPr>
            </w:pPr>
            <w:r w:rsidRPr="000B3AD5">
              <w:rPr>
                <w:rFonts w:ascii="Arial Narrow" w:hAnsi="Arial Narrow"/>
                <w:sz w:val="18"/>
                <w:szCs w:val="18"/>
              </w:rPr>
              <w:t>2,739</w:t>
            </w:r>
          </w:p>
        </w:tc>
        <w:tc>
          <w:tcPr>
            <w:tcW w:w="303" w:type="dxa"/>
            <w:tcBorders>
              <w:top w:val="single" w:color="auto" w:sz="4" w:space="0"/>
              <w:left w:val="single" w:color="auto" w:sz="4" w:space="0"/>
              <w:bottom w:val="single" w:color="auto" w:sz="4" w:space="0"/>
              <w:right w:val="single" w:color="auto" w:sz="4" w:space="0"/>
            </w:tcBorders>
          </w:tcPr>
          <w:p w:rsidR="000B3AD5" w:rsidRDefault="000B3AD5" w14:paraId="46D14435"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tcPr>
          <w:p w:rsidRPr="000B3AD5" w:rsidR="000B3AD5" w:rsidRDefault="000B3AD5" w14:paraId="65329079" w14:textId="77777777">
            <w:pPr>
              <w:keepNext/>
              <w:keepLines/>
              <w:jc w:val="center"/>
              <w:rPr>
                <w:rFonts w:ascii="Arial Narrow" w:hAnsi="Arial Narrow"/>
                <w:sz w:val="18"/>
                <w:szCs w:val="18"/>
              </w:rPr>
            </w:pPr>
            <w:r w:rsidRPr="000B3AD5">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0B3AD5" w:rsidRDefault="000B3AD5" w14:paraId="5FDD6F63"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tcPr>
          <w:p w:rsidRPr="000B3AD5" w:rsidR="000B3AD5" w:rsidRDefault="000B3AD5" w14:paraId="4D07055A" w14:textId="77777777">
            <w:pPr>
              <w:keepNext/>
              <w:keepLines/>
              <w:jc w:val="center"/>
              <w:rPr>
                <w:rFonts w:ascii="Arial Narrow" w:hAnsi="Arial Narrow"/>
                <w:sz w:val="18"/>
                <w:szCs w:val="18"/>
              </w:rPr>
            </w:pPr>
            <w:r>
              <w:rPr>
                <w:rFonts w:ascii="Arial Narrow" w:hAnsi="Arial Narrow"/>
                <w:sz w:val="18"/>
                <w:szCs w:val="18"/>
              </w:rPr>
              <w:t>2,739</w:t>
            </w:r>
          </w:p>
        </w:tc>
      </w:tr>
      <w:tr w:rsidR="00832AE8" w:rsidTr="00832AE8" w14:paraId="71C5DD1A" w14:textId="77777777">
        <w:tc>
          <w:tcPr>
            <w:tcW w:w="2358" w:type="dxa"/>
            <w:tcBorders>
              <w:top w:val="single" w:color="auto" w:sz="4" w:space="0"/>
              <w:left w:val="single" w:color="auto" w:sz="4" w:space="0"/>
              <w:bottom w:val="single" w:color="auto" w:sz="4" w:space="0"/>
              <w:right w:val="single" w:color="auto" w:sz="4" w:space="0"/>
            </w:tcBorders>
            <w:hideMark/>
          </w:tcPr>
          <w:p w:rsidR="00832AE8" w:rsidRDefault="00832AE8" w14:paraId="4073E6E6"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832AE8" w:rsidRDefault="00663E1E" w14:paraId="396DE085" w14:textId="77777777">
            <w:pPr>
              <w:keepNext/>
              <w:keepLines/>
              <w:jc w:val="center"/>
              <w:rPr>
                <w:rFonts w:ascii="Arial Narrow" w:hAnsi="Arial Narrow"/>
                <w:b/>
                <w:sz w:val="18"/>
                <w:szCs w:val="18"/>
              </w:rPr>
            </w:pPr>
            <w:r>
              <w:rPr>
                <w:rFonts w:ascii="Arial Narrow" w:hAnsi="Arial Narrow"/>
                <w:b/>
                <w:sz w:val="18"/>
                <w:szCs w:val="18"/>
              </w:rPr>
              <w:t>19,325</w:t>
            </w:r>
          </w:p>
        </w:tc>
        <w:tc>
          <w:tcPr>
            <w:tcW w:w="303" w:type="dxa"/>
            <w:tcBorders>
              <w:top w:val="single" w:color="auto" w:sz="4" w:space="0"/>
              <w:left w:val="single" w:color="auto" w:sz="4" w:space="0"/>
              <w:bottom w:val="single" w:color="auto" w:sz="4" w:space="0"/>
              <w:right w:val="single" w:color="auto" w:sz="4" w:space="0"/>
            </w:tcBorders>
          </w:tcPr>
          <w:p w:rsidR="00832AE8" w:rsidRDefault="00832AE8" w14:paraId="474B156C"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832AE8" w:rsidRDefault="00832AE8" w14:paraId="2681B889"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832AE8" w:rsidRDefault="00832AE8" w14:paraId="5991339D"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832AE8" w:rsidRDefault="00663E1E" w14:paraId="3275F1B1" w14:textId="77777777">
            <w:pPr>
              <w:keepNext/>
              <w:keepLines/>
              <w:jc w:val="center"/>
              <w:rPr>
                <w:rFonts w:ascii="Arial Narrow" w:hAnsi="Arial Narrow"/>
                <w:b/>
                <w:sz w:val="18"/>
                <w:szCs w:val="18"/>
              </w:rPr>
            </w:pPr>
            <w:r>
              <w:rPr>
                <w:rFonts w:ascii="Arial Narrow" w:hAnsi="Arial Narrow"/>
                <w:b/>
                <w:sz w:val="18"/>
                <w:szCs w:val="18"/>
              </w:rPr>
              <w:t>19,325</w:t>
            </w:r>
          </w:p>
        </w:tc>
      </w:tr>
      <w:tr w:rsidR="00832AE8" w:rsidTr="00832AE8" w14:paraId="3D4ECD8A"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832AE8" w:rsidRDefault="00832AE8" w14:paraId="4EC02B6D" w14:textId="77777777">
            <w:pPr>
              <w:keepNext/>
              <w:keepLines/>
              <w:rPr>
                <w:rFonts w:ascii="Arial Narrow" w:hAnsi="Arial Narrow"/>
                <w:sz w:val="18"/>
                <w:szCs w:val="18"/>
              </w:rPr>
            </w:pPr>
            <w:r>
              <w:rPr>
                <w:rFonts w:ascii="Arial Narrow" w:hAnsi="Arial Narrow"/>
                <w:sz w:val="18"/>
                <w:szCs w:val="18"/>
              </w:rPr>
              <w:t>Table costs are based on 2016 actuals obtained from IRS Chief Financial Office and Media and Publications</w:t>
            </w:r>
          </w:p>
        </w:tc>
      </w:tr>
      <w:tr w:rsidR="00832AE8" w:rsidTr="00832AE8" w14:paraId="31605C20"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832AE8" w:rsidRDefault="00832AE8" w14:paraId="132FF1EA" w14:textId="77777777">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Pr="003127E4" w:rsidR="007E2EEB" w:rsidP="00242885" w:rsidRDefault="00242885" w14:paraId="58BB015A"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192FCFB6" w14:textId="77777777">
      <w:pPr>
        <w:pStyle w:val="Level1"/>
        <w:tabs>
          <w:tab w:val="left" w:pos="-1440"/>
          <w:tab w:val="num" w:pos="720"/>
        </w:tabs>
        <w:rPr>
          <w:rFonts w:ascii="Calibri" w:hAnsi="Calibri"/>
          <w:b/>
          <w:sz w:val="22"/>
          <w:szCs w:val="22"/>
        </w:rPr>
      </w:pPr>
      <w:r w:rsidRPr="00E35C9E">
        <w:rPr>
          <w:rFonts w:ascii="Calibri" w:hAnsi="Calibri"/>
          <w:b/>
          <w:sz w:val="22"/>
          <w:szCs w:val="22"/>
          <w:u w:val="single"/>
        </w:rPr>
        <w:t>REASONS</w:t>
      </w:r>
      <w:r w:rsidRPr="003127E4">
        <w:rPr>
          <w:rFonts w:ascii="Calibri" w:hAnsi="Calibri"/>
          <w:b/>
          <w:sz w:val="22"/>
          <w:szCs w:val="22"/>
          <w:u w:val="single"/>
        </w:rPr>
        <w:t xml:space="preserve"> FOR CHANGE IN BURDEN</w:t>
      </w:r>
    </w:p>
    <w:p w:rsidR="007E2EEB" w:rsidRDefault="007E2EEB" w14:paraId="5A402FD0" w14:textId="77777777">
      <w:pPr>
        <w:rPr>
          <w:rFonts w:ascii="Calibri" w:hAnsi="Calibri"/>
          <w:sz w:val="22"/>
          <w:szCs w:val="22"/>
        </w:rPr>
      </w:pPr>
    </w:p>
    <w:p w:rsidRPr="003127E4" w:rsidR="006971E1" w:rsidP="006971E1" w:rsidRDefault="00E35C9E" w14:paraId="6B772F54" w14:textId="2B93F2A0">
      <w:pPr>
        <w:ind w:left="720"/>
        <w:rPr>
          <w:rFonts w:ascii="Calibri" w:hAnsi="Calibri"/>
          <w:sz w:val="22"/>
          <w:szCs w:val="22"/>
        </w:rPr>
      </w:pPr>
      <w:r w:rsidRPr="00E35C9E">
        <w:rPr>
          <w:rFonts w:ascii="Calibri" w:hAnsi="Calibri"/>
          <w:sz w:val="22"/>
          <w:szCs w:val="22"/>
        </w:rPr>
        <w:t>There have been no changes to the form</w:t>
      </w:r>
      <w:r w:rsidR="00663E1E">
        <w:rPr>
          <w:rFonts w:ascii="Calibri" w:hAnsi="Calibri"/>
          <w:sz w:val="22"/>
          <w:szCs w:val="22"/>
        </w:rPr>
        <w:t>s</w:t>
      </w:r>
      <w:r w:rsidRPr="00E35C9E">
        <w:rPr>
          <w:rFonts w:ascii="Calibri" w:hAnsi="Calibri"/>
          <w:sz w:val="22"/>
          <w:szCs w:val="22"/>
        </w:rPr>
        <w:t xml:space="preserve"> that would affect burden. </w:t>
      </w:r>
      <w:bookmarkStart w:name="_GoBack" w:id="6"/>
      <w:bookmarkEnd w:id="6"/>
      <w:r w:rsidRPr="00E35C9E">
        <w:rPr>
          <w:rFonts w:ascii="Calibri" w:hAnsi="Calibri"/>
          <w:sz w:val="22"/>
          <w:szCs w:val="22"/>
        </w:rPr>
        <w:t>The number of estimated responses is based on the agencies most recent filing data. Form 8821 estimates have increased by 539,657 responses (133,333 to 672,990</w:t>
      </w:r>
      <w:r w:rsidR="00332065">
        <w:rPr>
          <w:rFonts w:ascii="Calibri" w:hAnsi="Calibri"/>
          <w:sz w:val="22"/>
          <w:szCs w:val="22"/>
        </w:rPr>
        <w:t xml:space="preserve"> responses</w:t>
      </w:r>
      <w:r w:rsidRPr="00E35C9E">
        <w:rPr>
          <w:rFonts w:ascii="Calibri" w:hAnsi="Calibri"/>
          <w:sz w:val="22"/>
          <w:szCs w:val="22"/>
        </w:rPr>
        <w:t>)</w:t>
      </w:r>
      <w:r w:rsidR="00332065">
        <w:rPr>
          <w:rFonts w:ascii="Calibri" w:hAnsi="Calibri"/>
          <w:sz w:val="22"/>
          <w:szCs w:val="22"/>
        </w:rPr>
        <w:t>. The changes in response estimates increased burden from 140,330 hours to 708,154 hours (567,854 hours)</w:t>
      </w:r>
      <w:r w:rsidRPr="00E35C9E">
        <w:rPr>
          <w:rFonts w:ascii="Calibri" w:hAnsi="Calibri"/>
          <w:sz w:val="22"/>
          <w:szCs w:val="22"/>
        </w:rPr>
        <w:t>. Form 8821-A decreased by 49,818 responses (50,000 to 182).</w:t>
      </w:r>
      <w:r w:rsidR="00332065">
        <w:rPr>
          <w:rFonts w:ascii="Calibri" w:hAnsi="Calibri"/>
          <w:sz w:val="22"/>
          <w:szCs w:val="22"/>
        </w:rPr>
        <w:t xml:space="preserve"> The estimates in responses change the overall burden estimates from 15,000 to 27 (7,473).</w:t>
      </w:r>
      <w:r w:rsidRPr="00E35C9E">
        <w:rPr>
          <w:rFonts w:ascii="Calibri" w:hAnsi="Calibri"/>
          <w:sz w:val="22"/>
          <w:szCs w:val="22"/>
        </w:rPr>
        <w:t xml:space="preserve"> These changes result in an overall hourly burden increase of 5</w:t>
      </w:r>
      <w:r w:rsidR="00277033">
        <w:rPr>
          <w:rFonts w:ascii="Calibri" w:hAnsi="Calibri"/>
          <w:sz w:val="22"/>
          <w:szCs w:val="22"/>
        </w:rPr>
        <w:t>58,840</w:t>
      </w:r>
      <w:r w:rsidRPr="00E35C9E">
        <w:rPr>
          <w:rFonts w:ascii="Calibri" w:hAnsi="Calibri"/>
          <w:sz w:val="22"/>
          <w:szCs w:val="22"/>
        </w:rPr>
        <w:t xml:space="preserve"> hours (147,800 to 7</w:t>
      </w:r>
      <w:r w:rsidR="00740065">
        <w:rPr>
          <w:rFonts w:ascii="Calibri" w:hAnsi="Calibri"/>
          <w:sz w:val="22"/>
          <w:szCs w:val="22"/>
        </w:rPr>
        <w:t>06,640</w:t>
      </w:r>
      <w:r w:rsidRPr="00E35C9E">
        <w:rPr>
          <w:rFonts w:ascii="Calibri" w:hAnsi="Calibri"/>
          <w:sz w:val="22"/>
          <w:szCs w:val="22"/>
        </w:rPr>
        <w:t xml:space="preserve">) and response/respondent increase of 489,839 responses (183,333 to 673,172).  </w:t>
      </w:r>
      <w:r w:rsidR="00961F1E">
        <w:rPr>
          <w:rFonts w:ascii="Calibri" w:hAnsi="Calibri"/>
          <w:sz w:val="22"/>
          <w:szCs w:val="22"/>
        </w:rPr>
        <w:t>The difference in Form 8821-A filings is due to an over estimation that never came to fruition</w:t>
      </w:r>
      <w:r w:rsidR="009E02E4">
        <w:rPr>
          <w:rFonts w:ascii="Calibri" w:hAnsi="Calibri"/>
          <w:sz w:val="22"/>
          <w:szCs w:val="22"/>
        </w:rPr>
        <w:t>. T</w:t>
      </w:r>
      <w:r w:rsidR="0065453B">
        <w:rPr>
          <w:rFonts w:ascii="Calibri" w:hAnsi="Calibri"/>
          <w:sz w:val="22"/>
          <w:szCs w:val="22"/>
        </w:rPr>
        <w:t xml:space="preserve">he form is only </w:t>
      </w:r>
      <w:r w:rsidRPr="009E02E4" w:rsidR="009E02E4">
        <w:rPr>
          <w:rFonts w:ascii="Calibri" w:hAnsi="Calibri"/>
          <w:sz w:val="22"/>
          <w:szCs w:val="22"/>
        </w:rPr>
        <w:t>used by CI in their work with other state and local law enforcement agencies</w:t>
      </w:r>
      <w:r w:rsidR="00961F1E">
        <w:rPr>
          <w:rFonts w:ascii="Calibri" w:hAnsi="Calibri"/>
          <w:sz w:val="22"/>
          <w:szCs w:val="22"/>
        </w:rPr>
        <w:t xml:space="preserve">. </w:t>
      </w:r>
    </w:p>
    <w:p w:rsidR="00CB0D14" w:rsidP="00CB0D14" w:rsidRDefault="00CB0D14" w14:paraId="565F9184" w14:textId="77777777">
      <w:pPr>
        <w:ind w:left="720"/>
        <w:rPr>
          <w:rFonts w:ascii="Calibri" w:hAnsi="Calibri"/>
          <w:sz w:val="22"/>
          <w:szCs w:val="22"/>
        </w:rPr>
      </w:pPr>
    </w:p>
    <w:p w:rsidRPr="003127E4" w:rsidR="007E2EEB" w:rsidP="006971E1" w:rsidRDefault="006971E1" w14:paraId="2B5E534A"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5CAE0BA8" w14:textId="77777777">
      <w:pPr>
        <w:rPr>
          <w:rFonts w:ascii="Calibri" w:hAnsi="Calibri"/>
          <w:sz w:val="22"/>
          <w:szCs w:val="22"/>
        </w:rPr>
      </w:pPr>
    </w:p>
    <w:p w:rsidR="00D46069" w:rsidP="006971E1" w:rsidRDefault="006971E1" w14:paraId="1C021AB4"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17C729BC" w14:textId="77777777">
      <w:pPr>
        <w:rPr>
          <w:rFonts w:ascii="Calibri" w:hAnsi="Calibri" w:cs="Calibri"/>
          <w:sz w:val="22"/>
          <w:szCs w:val="22"/>
        </w:rPr>
      </w:pPr>
    </w:p>
    <w:p w:rsidRPr="003127E4" w:rsidR="006971E1" w:rsidP="00D60DD4" w:rsidRDefault="00D60DD4" w14:paraId="4E98C991"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5679A953" w14:textId="77777777">
      <w:pPr>
        <w:rPr>
          <w:rFonts w:ascii="Calibri" w:hAnsi="Calibri"/>
          <w:sz w:val="22"/>
          <w:szCs w:val="22"/>
        </w:rPr>
      </w:pPr>
    </w:p>
    <w:p w:rsidR="00D60DD4" w:rsidP="00242885" w:rsidRDefault="00D60DD4" w14:paraId="1461B357"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0329D073"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762E75F6"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6F704252"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approval and obtain a new expiration date before the old one expires.</w:t>
      </w:r>
    </w:p>
    <w:p w:rsidRPr="003127E4" w:rsidR="00D60DD4" w:rsidP="006971E1" w:rsidRDefault="00D60DD4" w14:paraId="40AD408C" w14:textId="77777777">
      <w:pPr>
        <w:ind w:left="720"/>
        <w:rPr>
          <w:rFonts w:ascii="Calibri" w:hAnsi="Calibri"/>
          <w:sz w:val="22"/>
          <w:szCs w:val="22"/>
        </w:rPr>
      </w:pPr>
    </w:p>
    <w:p w:rsidRPr="003127E4" w:rsidR="007E2EEB" w:rsidP="00D60DD4" w:rsidRDefault="00D60DD4" w14:paraId="5191FEF8"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68EF4E34" w14:textId="77777777">
      <w:pPr>
        <w:rPr>
          <w:rFonts w:ascii="Calibri" w:hAnsi="Calibri"/>
          <w:b/>
          <w:sz w:val="22"/>
          <w:szCs w:val="22"/>
        </w:rPr>
      </w:pPr>
    </w:p>
    <w:p w:rsidR="007E2EEB" w:rsidP="006C2B4A" w:rsidRDefault="006C2B4A" w14:paraId="3F980020"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4549A04B" w14:textId="77777777">
      <w:pPr>
        <w:rPr>
          <w:rFonts w:ascii="Calibri" w:hAnsi="Calibri"/>
          <w:sz w:val="22"/>
          <w:szCs w:val="22"/>
        </w:rPr>
      </w:pPr>
    </w:p>
    <w:p w:rsidRPr="003127E4" w:rsidR="007E2EEB" w:rsidRDefault="007E2EEB" w14:paraId="349740D4"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Pr="003127E4" w:rsidR="007E2EEB" w:rsidRDefault="007E2EEB" w14:paraId="299EC7DA" w14:textId="77777777">
      <w:pPr>
        <w:rPr>
          <w:rFonts w:ascii="Calibri" w:hAnsi="Calibri"/>
          <w:sz w:val="22"/>
          <w:szCs w:val="22"/>
        </w:rPr>
      </w:pPr>
    </w:p>
    <w:p w:rsidRPr="003127E4" w:rsidR="007E2EEB" w:rsidRDefault="007E2EEB" w14:paraId="4B65D0EF" w14:textId="77777777">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14:paraId="1C0D3964"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w:t>
      </w:r>
      <w:r w:rsidRPr="003127E4">
        <w:rPr>
          <w:rFonts w:ascii="Calibri" w:hAnsi="Calibri"/>
          <w:sz w:val="22"/>
          <w:szCs w:val="22"/>
        </w:rPr>
        <w:lastRenderedPageBreak/>
        <w:t>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62BE9" w16cid:durableId="22930EA8"/>
  <w16cid:commentId w16cid:paraId="593A63F7" w16cid:durableId="229316CC"/>
  <w16cid:commentId w16cid:paraId="6DE0F60A" w16cid:durableId="22930EA9"/>
  <w16cid:commentId w16cid:paraId="7A397B21" w16cid:durableId="229316D5"/>
  <w16cid:commentId w16cid:paraId="6C7DD01E" w16cid:durableId="22930EAA"/>
  <w16cid:commentId w16cid:paraId="7ADDE9C2" w16cid:durableId="229316B0"/>
  <w16cid:commentId w16cid:paraId="156EE469" w16cid:durableId="22934A23"/>
  <w16cid:commentId w16cid:paraId="16C289B1" w16cid:durableId="22930EAC"/>
  <w16cid:commentId w16cid:paraId="0B914F8B" w16cid:durableId="22930EAD"/>
  <w16cid:commentId w16cid:paraId="65CFB93E" w16cid:durableId="229319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024F5" w14:textId="77777777" w:rsidR="00D50797" w:rsidRDefault="00D50797">
      <w:r>
        <w:separator/>
      </w:r>
    </w:p>
  </w:endnote>
  <w:endnote w:type="continuationSeparator" w:id="0">
    <w:p w14:paraId="55ED48DA" w14:textId="77777777" w:rsidR="00D50797" w:rsidRDefault="00D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548B" w14:textId="77777777" w:rsidR="00D50797" w:rsidRDefault="00D50797">
      <w:r>
        <w:separator/>
      </w:r>
    </w:p>
  </w:footnote>
  <w:footnote w:type="continuationSeparator" w:id="0">
    <w:p w14:paraId="736A8C08" w14:textId="77777777" w:rsidR="00D50797" w:rsidRDefault="00D5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307A" w14:textId="01269F6E" w:rsidR="00F90F14" w:rsidRDefault="00F90F14">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A30E75">
      <w:rPr>
        <w:rFonts w:cs="Courier"/>
        <w:b/>
        <w:bCs/>
        <w:noProof/>
      </w:rPr>
      <w:t>1</w:t>
    </w:r>
    <w:r>
      <w:rPr>
        <w:rFonts w:cs="Courier"/>
        <w:b/>
        <w:bCs/>
      </w:rPr>
      <w:fldChar w:fldCharType="end"/>
    </w:r>
  </w:p>
  <w:p w14:paraId="68038233" w14:textId="77777777" w:rsidR="00F90F14" w:rsidRDefault="00F90F14"/>
  <w:p w14:paraId="69A6BC1C" w14:textId="77777777" w:rsidR="00F90F14" w:rsidRDefault="00F90F1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EB"/>
    <w:rsid w:val="0000220F"/>
    <w:rsid w:val="00006A19"/>
    <w:rsid w:val="00010B0A"/>
    <w:rsid w:val="00015FCA"/>
    <w:rsid w:val="00017836"/>
    <w:rsid w:val="000220F9"/>
    <w:rsid w:val="00044F37"/>
    <w:rsid w:val="0006300C"/>
    <w:rsid w:val="00066407"/>
    <w:rsid w:val="000823AA"/>
    <w:rsid w:val="000A05E9"/>
    <w:rsid w:val="000A1091"/>
    <w:rsid w:val="000A4339"/>
    <w:rsid w:val="000A7FC1"/>
    <w:rsid w:val="000B3AD5"/>
    <w:rsid w:val="000F3A8B"/>
    <w:rsid w:val="000F67CB"/>
    <w:rsid w:val="00102DBB"/>
    <w:rsid w:val="001135E3"/>
    <w:rsid w:val="00120003"/>
    <w:rsid w:val="0012358F"/>
    <w:rsid w:val="00132AF5"/>
    <w:rsid w:val="001337C1"/>
    <w:rsid w:val="00141203"/>
    <w:rsid w:val="00161268"/>
    <w:rsid w:val="00166349"/>
    <w:rsid w:val="00182F0D"/>
    <w:rsid w:val="001A6F7B"/>
    <w:rsid w:val="001B24BC"/>
    <w:rsid w:val="001B629F"/>
    <w:rsid w:val="001C3D05"/>
    <w:rsid w:val="001F321D"/>
    <w:rsid w:val="00224418"/>
    <w:rsid w:val="0023566C"/>
    <w:rsid w:val="00242885"/>
    <w:rsid w:val="00246391"/>
    <w:rsid w:val="00251ED2"/>
    <w:rsid w:val="00277033"/>
    <w:rsid w:val="00282B0F"/>
    <w:rsid w:val="00293354"/>
    <w:rsid w:val="00295A3A"/>
    <w:rsid w:val="002A243C"/>
    <w:rsid w:val="002B177C"/>
    <w:rsid w:val="002B499E"/>
    <w:rsid w:val="002D4886"/>
    <w:rsid w:val="002E56B9"/>
    <w:rsid w:val="002F1933"/>
    <w:rsid w:val="002F1976"/>
    <w:rsid w:val="002F79AA"/>
    <w:rsid w:val="00305112"/>
    <w:rsid w:val="00305478"/>
    <w:rsid w:val="003127E4"/>
    <w:rsid w:val="00312E36"/>
    <w:rsid w:val="00332065"/>
    <w:rsid w:val="00336BA4"/>
    <w:rsid w:val="00353997"/>
    <w:rsid w:val="00394E4C"/>
    <w:rsid w:val="003A5A1A"/>
    <w:rsid w:val="003B6EFB"/>
    <w:rsid w:val="003F58BB"/>
    <w:rsid w:val="0040164F"/>
    <w:rsid w:val="00406C96"/>
    <w:rsid w:val="00427C16"/>
    <w:rsid w:val="00435CFA"/>
    <w:rsid w:val="004631BE"/>
    <w:rsid w:val="0047289C"/>
    <w:rsid w:val="00473D0D"/>
    <w:rsid w:val="004823E0"/>
    <w:rsid w:val="004B6E0C"/>
    <w:rsid w:val="004C5364"/>
    <w:rsid w:val="004D3707"/>
    <w:rsid w:val="004E2ABF"/>
    <w:rsid w:val="004E668F"/>
    <w:rsid w:val="004F12D2"/>
    <w:rsid w:val="004F3B5C"/>
    <w:rsid w:val="005011E6"/>
    <w:rsid w:val="0051280C"/>
    <w:rsid w:val="00517DF7"/>
    <w:rsid w:val="00520AF6"/>
    <w:rsid w:val="00521062"/>
    <w:rsid w:val="005235D0"/>
    <w:rsid w:val="00525980"/>
    <w:rsid w:val="005649AE"/>
    <w:rsid w:val="005B3EEF"/>
    <w:rsid w:val="005B58C8"/>
    <w:rsid w:val="005C66C6"/>
    <w:rsid w:val="005D3DAB"/>
    <w:rsid w:val="005D6094"/>
    <w:rsid w:val="005D7415"/>
    <w:rsid w:val="005F711D"/>
    <w:rsid w:val="00603FC5"/>
    <w:rsid w:val="00630912"/>
    <w:rsid w:val="006368E6"/>
    <w:rsid w:val="00644338"/>
    <w:rsid w:val="00651559"/>
    <w:rsid w:val="0065453B"/>
    <w:rsid w:val="00663E1E"/>
    <w:rsid w:val="006726A1"/>
    <w:rsid w:val="00680557"/>
    <w:rsid w:val="00681206"/>
    <w:rsid w:val="00681569"/>
    <w:rsid w:val="00683291"/>
    <w:rsid w:val="006909F2"/>
    <w:rsid w:val="006971E1"/>
    <w:rsid w:val="006A0670"/>
    <w:rsid w:val="006A21C2"/>
    <w:rsid w:val="006C2B4A"/>
    <w:rsid w:val="006D1C78"/>
    <w:rsid w:val="006E6E53"/>
    <w:rsid w:val="006E71BC"/>
    <w:rsid w:val="006F66A0"/>
    <w:rsid w:val="00710044"/>
    <w:rsid w:val="00715FFF"/>
    <w:rsid w:val="00720A3B"/>
    <w:rsid w:val="00721CB7"/>
    <w:rsid w:val="00733C60"/>
    <w:rsid w:val="007369BD"/>
    <w:rsid w:val="00740065"/>
    <w:rsid w:val="00752372"/>
    <w:rsid w:val="00763B45"/>
    <w:rsid w:val="00764B48"/>
    <w:rsid w:val="007739EE"/>
    <w:rsid w:val="00793EB8"/>
    <w:rsid w:val="007B041B"/>
    <w:rsid w:val="007B1B8F"/>
    <w:rsid w:val="007B1C01"/>
    <w:rsid w:val="007E0010"/>
    <w:rsid w:val="007E2EEB"/>
    <w:rsid w:val="007E36EA"/>
    <w:rsid w:val="007F12A5"/>
    <w:rsid w:val="007F4A12"/>
    <w:rsid w:val="00800AAD"/>
    <w:rsid w:val="008018A9"/>
    <w:rsid w:val="00801A34"/>
    <w:rsid w:val="00802986"/>
    <w:rsid w:val="008101EF"/>
    <w:rsid w:val="00817D9B"/>
    <w:rsid w:val="00821550"/>
    <w:rsid w:val="0083118D"/>
    <w:rsid w:val="00832AE8"/>
    <w:rsid w:val="00833904"/>
    <w:rsid w:val="008533C4"/>
    <w:rsid w:val="00853C81"/>
    <w:rsid w:val="00870CC2"/>
    <w:rsid w:val="008723DC"/>
    <w:rsid w:val="00876C56"/>
    <w:rsid w:val="00894004"/>
    <w:rsid w:val="008A1CD6"/>
    <w:rsid w:val="008A38A4"/>
    <w:rsid w:val="008A5F74"/>
    <w:rsid w:val="008A7F1B"/>
    <w:rsid w:val="008B0A5D"/>
    <w:rsid w:val="008D1E10"/>
    <w:rsid w:val="00902FB3"/>
    <w:rsid w:val="00914A87"/>
    <w:rsid w:val="00917F24"/>
    <w:rsid w:val="00933CA2"/>
    <w:rsid w:val="009501AC"/>
    <w:rsid w:val="009545DF"/>
    <w:rsid w:val="00961F1E"/>
    <w:rsid w:val="00972A93"/>
    <w:rsid w:val="00974429"/>
    <w:rsid w:val="009846A4"/>
    <w:rsid w:val="00995E2E"/>
    <w:rsid w:val="00997416"/>
    <w:rsid w:val="009978F9"/>
    <w:rsid w:val="009A3350"/>
    <w:rsid w:val="009B6400"/>
    <w:rsid w:val="009C3702"/>
    <w:rsid w:val="009C4E93"/>
    <w:rsid w:val="009D61D4"/>
    <w:rsid w:val="009E02E4"/>
    <w:rsid w:val="009E0FD6"/>
    <w:rsid w:val="009E5544"/>
    <w:rsid w:val="009F31F3"/>
    <w:rsid w:val="00A0207E"/>
    <w:rsid w:val="00A134E4"/>
    <w:rsid w:val="00A14E91"/>
    <w:rsid w:val="00A24082"/>
    <w:rsid w:val="00A30E75"/>
    <w:rsid w:val="00A64D3A"/>
    <w:rsid w:val="00A66296"/>
    <w:rsid w:val="00A70809"/>
    <w:rsid w:val="00A70A0A"/>
    <w:rsid w:val="00A7743D"/>
    <w:rsid w:val="00A90218"/>
    <w:rsid w:val="00AF1AEA"/>
    <w:rsid w:val="00AF5681"/>
    <w:rsid w:val="00B03833"/>
    <w:rsid w:val="00B07E63"/>
    <w:rsid w:val="00B1530E"/>
    <w:rsid w:val="00B318A4"/>
    <w:rsid w:val="00B34FA0"/>
    <w:rsid w:val="00B50ECF"/>
    <w:rsid w:val="00B5635A"/>
    <w:rsid w:val="00B6056A"/>
    <w:rsid w:val="00B65514"/>
    <w:rsid w:val="00B91A50"/>
    <w:rsid w:val="00BA436D"/>
    <w:rsid w:val="00BC0691"/>
    <w:rsid w:val="00BC73AA"/>
    <w:rsid w:val="00BD70F0"/>
    <w:rsid w:val="00C10AC8"/>
    <w:rsid w:val="00C24DD0"/>
    <w:rsid w:val="00C40223"/>
    <w:rsid w:val="00C47A0C"/>
    <w:rsid w:val="00C608BC"/>
    <w:rsid w:val="00C67ECC"/>
    <w:rsid w:val="00C94ED3"/>
    <w:rsid w:val="00CA1998"/>
    <w:rsid w:val="00CA19B0"/>
    <w:rsid w:val="00CA721C"/>
    <w:rsid w:val="00CB0D14"/>
    <w:rsid w:val="00CB4537"/>
    <w:rsid w:val="00CD283E"/>
    <w:rsid w:val="00CD6429"/>
    <w:rsid w:val="00D1793A"/>
    <w:rsid w:val="00D35256"/>
    <w:rsid w:val="00D357EB"/>
    <w:rsid w:val="00D46069"/>
    <w:rsid w:val="00D50797"/>
    <w:rsid w:val="00D5592C"/>
    <w:rsid w:val="00D60DD4"/>
    <w:rsid w:val="00D64B87"/>
    <w:rsid w:val="00D71370"/>
    <w:rsid w:val="00D74CDD"/>
    <w:rsid w:val="00DA38BF"/>
    <w:rsid w:val="00DB6E4A"/>
    <w:rsid w:val="00DC0C44"/>
    <w:rsid w:val="00DE00E7"/>
    <w:rsid w:val="00E11D2D"/>
    <w:rsid w:val="00E35C9E"/>
    <w:rsid w:val="00E6142C"/>
    <w:rsid w:val="00E67DB8"/>
    <w:rsid w:val="00E877E7"/>
    <w:rsid w:val="00E9076D"/>
    <w:rsid w:val="00EC045C"/>
    <w:rsid w:val="00EC668E"/>
    <w:rsid w:val="00ED51E5"/>
    <w:rsid w:val="00EE1872"/>
    <w:rsid w:val="00F00DD1"/>
    <w:rsid w:val="00F105CE"/>
    <w:rsid w:val="00F10C03"/>
    <w:rsid w:val="00F21E84"/>
    <w:rsid w:val="00F2284A"/>
    <w:rsid w:val="00F23C20"/>
    <w:rsid w:val="00F26675"/>
    <w:rsid w:val="00F436AC"/>
    <w:rsid w:val="00F4647C"/>
    <w:rsid w:val="00F63BDE"/>
    <w:rsid w:val="00F669A8"/>
    <w:rsid w:val="00F820B4"/>
    <w:rsid w:val="00F90F14"/>
    <w:rsid w:val="00FA1F7C"/>
    <w:rsid w:val="00FA303E"/>
    <w:rsid w:val="00FB13EB"/>
    <w:rsid w:val="00FD586E"/>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8B5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9C4E93"/>
    <w:rPr>
      <w:sz w:val="16"/>
      <w:szCs w:val="16"/>
    </w:rPr>
  </w:style>
  <w:style w:type="paragraph" w:styleId="CommentText">
    <w:name w:val="annotation text"/>
    <w:basedOn w:val="Normal"/>
    <w:link w:val="CommentTextChar"/>
    <w:rsid w:val="009C4E93"/>
    <w:rPr>
      <w:sz w:val="20"/>
      <w:szCs w:val="20"/>
    </w:rPr>
  </w:style>
  <w:style w:type="character" w:customStyle="1" w:styleId="CommentTextChar">
    <w:name w:val="Comment Text Char"/>
    <w:basedOn w:val="DefaultParagraphFont"/>
    <w:link w:val="CommentText"/>
    <w:rsid w:val="009C4E93"/>
    <w:rPr>
      <w:rFonts w:ascii="Courier" w:hAnsi="Courier"/>
    </w:rPr>
  </w:style>
  <w:style w:type="paragraph" w:styleId="CommentSubject">
    <w:name w:val="annotation subject"/>
    <w:basedOn w:val="CommentText"/>
    <w:next w:val="CommentText"/>
    <w:link w:val="CommentSubjectChar"/>
    <w:rsid w:val="009C4E93"/>
    <w:rPr>
      <w:b/>
      <w:bCs/>
    </w:rPr>
  </w:style>
  <w:style w:type="character" w:customStyle="1" w:styleId="CommentSubjectChar">
    <w:name w:val="Comment Subject Char"/>
    <w:basedOn w:val="CommentTextChar"/>
    <w:link w:val="CommentSubject"/>
    <w:rsid w:val="009C4E93"/>
    <w:rPr>
      <w:rFonts w:ascii="Courier" w:hAnsi="Courier"/>
      <w:b/>
      <w:bCs/>
    </w:rPr>
  </w:style>
  <w:style w:type="character" w:styleId="FollowedHyperlink">
    <w:name w:val="FollowedHyperlink"/>
    <w:basedOn w:val="DefaultParagraphFont"/>
    <w:rsid w:val="009C4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10218</CharactersWithSpaces>
  <SharedDoc>false</SharedDoc>
  <HLinks>
    <vt:vector size="6" baseType="variant">
      <vt:variant>
        <vt:i4>2031642</vt:i4>
      </vt:variant>
      <vt:variant>
        <vt:i4>0</vt:i4>
      </vt:variant>
      <vt:variant>
        <vt:i4>0</vt:i4>
      </vt:variant>
      <vt:variant>
        <vt:i4>5</vt:i4>
      </vt:variant>
      <vt:variant>
        <vt:lpwstr>https://www.treasury.gov/privacy/PIAs/Pages/default.aspx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2020-06-24T15:31:00Z</dcterms:created>
  <dcterms:modified xsi:type="dcterms:W3CDTF">2020-06-24T15:32:00Z</dcterms:modified>
</cp:coreProperties>
</file>