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327E" w:rsidRDefault="0042327E" w14:paraId="53E3D692" w14:textId="77777777">
      <w:pPr>
        <w:tabs>
          <w:tab w:val="center" w:pos="4680"/>
        </w:tabs>
        <w:rPr>
          <w:rFonts w:ascii="Times New Roman" w:hAnsi="Times New Roman"/>
          <w:b/>
          <w:bCs/>
        </w:rPr>
      </w:pPr>
      <w:r w:rsidRPr="00F820CF">
        <w:rPr>
          <w:rFonts w:ascii="Times New Roman" w:hAnsi="Times New Roman"/>
          <w:b/>
          <w:bCs/>
        </w:rPr>
        <w:tab/>
        <w:t>SUPPORTING STATEMENT</w:t>
      </w:r>
    </w:p>
    <w:p w:rsidR="00355396" w:rsidP="00DF48FC" w:rsidRDefault="00355396" w14:paraId="66AB853D" w14:textId="77777777">
      <w:pPr>
        <w:tabs>
          <w:tab w:val="center" w:pos="4680"/>
        </w:tabs>
        <w:jc w:val="center"/>
        <w:rPr>
          <w:rFonts w:ascii="Times New Roman" w:hAnsi="Times New Roman"/>
          <w:bCs/>
        </w:rPr>
      </w:pPr>
      <w:r w:rsidRPr="00355396">
        <w:rPr>
          <w:rFonts w:ascii="Times New Roman" w:hAnsi="Times New Roman"/>
          <w:bCs/>
        </w:rPr>
        <w:t>Internal Revenue Service</w:t>
      </w:r>
    </w:p>
    <w:p w:rsidR="00DF48FC" w:rsidP="00DF48FC" w:rsidRDefault="00DF48FC" w14:paraId="5D236C12" w14:textId="77777777">
      <w:pPr>
        <w:tabs>
          <w:tab w:val="center" w:pos="4680"/>
        </w:tabs>
        <w:jc w:val="center"/>
        <w:rPr>
          <w:rFonts w:ascii="Times New Roman" w:hAnsi="Times New Roman"/>
          <w:bCs/>
        </w:rPr>
      </w:pPr>
      <w:r w:rsidRPr="00DF48FC">
        <w:rPr>
          <w:rFonts w:ascii="Times New Roman" w:hAnsi="Times New Roman"/>
          <w:bCs/>
        </w:rPr>
        <w:t>Returns regarding payments of interest</w:t>
      </w:r>
    </w:p>
    <w:p w:rsidRPr="00F820CF" w:rsidR="0042327E" w:rsidP="00274F60" w:rsidRDefault="0067075A" w14:paraId="32F5D27F" w14:textId="77777777">
      <w:pPr>
        <w:tabs>
          <w:tab w:val="center" w:pos="4680"/>
        </w:tabs>
        <w:rPr>
          <w:rFonts w:ascii="Times New Roman" w:hAnsi="Times New Roman"/>
          <w:b/>
          <w:bCs/>
        </w:rPr>
      </w:pPr>
      <w:r w:rsidRPr="00F820CF">
        <w:rPr>
          <w:rFonts w:ascii="Times New Roman" w:hAnsi="Times New Roman"/>
          <w:b/>
          <w:bCs/>
        </w:rPr>
        <w:tab/>
      </w:r>
      <w:r w:rsidRPr="00BC6ED7">
        <w:rPr>
          <w:rFonts w:ascii="Times New Roman" w:hAnsi="Times New Roman"/>
          <w:bCs/>
        </w:rPr>
        <w:t>OMB #</w:t>
      </w:r>
      <w:r w:rsidRPr="00F820CF">
        <w:rPr>
          <w:rFonts w:ascii="Times New Roman" w:hAnsi="Times New Roman"/>
          <w:b/>
          <w:bCs/>
        </w:rPr>
        <w:t xml:space="preserve"> 1545-</w:t>
      </w:r>
      <w:r w:rsidR="00DF48FC">
        <w:rPr>
          <w:rFonts w:ascii="Times New Roman" w:hAnsi="Times New Roman"/>
          <w:b/>
          <w:bCs/>
        </w:rPr>
        <w:t>0112</w:t>
      </w:r>
    </w:p>
    <w:p w:rsidRPr="00F820CF" w:rsidR="0042327E" w:rsidRDefault="0042327E" w14:paraId="1B991174" w14:textId="77777777">
      <w:pPr>
        <w:rPr>
          <w:rFonts w:ascii="Times New Roman" w:hAnsi="Times New Roman"/>
          <w:b/>
          <w:bCs/>
        </w:rPr>
      </w:pPr>
    </w:p>
    <w:p w:rsidRPr="00F820CF" w:rsidR="0042327E" w:rsidRDefault="0042327E" w14:paraId="5A3F5546" w14:textId="77777777">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CIRCUMSTANCES NECESSITATING COLLECTION OF INFORMATION</w:t>
      </w:r>
    </w:p>
    <w:p w:rsidRPr="00F820CF" w:rsidR="0042327E" w:rsidRDefault="0042327E" w14:paraId="4AB738DE" w14:textId="77777777">
      <w:pPr>
        <w:rPr>
          <w:rFonts w:ascii="Times New Roman" w:hAnsi="Times New Roman"/>
        </w:rPr>
      </w:pPr>
    </w:p>
    <w:p w:rsidRPr="00F820CF" w:rsidR="0042327E" w:rsidRDefault="00DF48FC" w14:paraId="720D7FB3" w14:textId="77777777">
      <w:pPr>
        <w:ind w:left="720"/>
        <w:rPr>
          <w:rFonts w:ascii="Times New Roman" w:hAnsi="Times New Roman"/>
        </w:rPr>
      </w:pPr>
      <w:r w:rsidRPr="00DF48FC">
        <w:rPr>
          <w:rFonts w:ascii="Times New Roman" w:hAnsi="Times New Roman"/>
        </w:rPr>
        <w:t>IRC section 6049 requires payers of interest of $10 or more to file a return showing the aggregate amount of interest paid to a payee.  Regulations sections 1.6049 4 and 1.6049 7 require Form 1099-INT to be used to report this information. IRC section 6041 and Regulations section 1.6041 1 require persons paying interest (that is not covered under section 6049) of $600 or more in the course of their trades or businesses to report that interest on Form 1099-INT</w:t>
      </w:r>
      <w:r w:rsidRPr="00F820CF" w:rsidR="0042327E">
        <w:rPr>
          <w:rFonts w:ascii="Times New Roman" w:hAnsi="Times New Roman"/>
        </w:rPr>
        <w:t>.</w:t>
      </w:r>
    </w:p>
    <w:p w:rsidRPr="00F820CF" w:rsidR="0042327E" w:rsidRDefault="0042327E" w14:paraId="0AE8FB2E" w14:textId="77777777">
      <w:pPr>
        <w:rPr>
          <w:rFonts w:ascii="Times New Roman" w:hAnsi="Times New Roman"/>
        </w:rPr>
      </w:pPr>
      <w:r w:rsidRPr="00F820CF">
        <w:rPr>
          <w:rFonts w:ascii="Times New Roman" w:hAnsi="Times New Roman"/>
        </w:rPr>
        <w:t xml:space="preserve">     </w:t>
      </w:r>
    </w:p>
    <w:p w:rsidRPr="00F820CF" w:rsidR="0042327E" w:rsidRDefault="0042327E" w14:paraId="26F8BEA6" w14:textId="77777777">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USE OF DATA</w:t>
      </w:r>
      <w:r w:rsidRPr="00F820CF">
        <w:rPr>
          <w:rFonts w:ascii="Times New Roman" w:hAnsi="Times New Roman"/>
        </w:rPr>
        <w:t xml:space="preserve">              </w:t>
      </w:r>
    </w:p>
    <w:p w:rsidRPr="00F820CF" w:rsidR="0042327E" w:rsidRDefault="0042327E" w14:paraId="2FB69CDB" w14:textId="77777777">
      <w:pPr>
        <w:rPr>
          <w:rFonts w:ascii="Times New Roman" w:hAnsi="Times New Roman"/>
        </w:rPr>
      </w:pPr>
    </w:p>
    <w:p w:rsidRPr="00F820CF" w:rsidR="0042327E" w:rsidRDefault="007A52E6" w14:paraId="0BAC3A07" w14:textId="77777777">
      <w:pPr>
        <w:ind w:left="720"/>
        <w:rPr>
          <w:rFonts w:ascii="Times New Roman" w:hAnsi="Times New Roman"/>
        </w:rPr>
      </w:pPr>
      <w:r w:rsidRPr="007A52E6">
        <w:rPr>
          <w:rFonts w:ascii="Times New Roman" w:hAnsi="Times New Roman"/>
        </w:rPr>
        <w:t xml:space="preserve">IRS uses </w:t>
      </w:r>
      <w:r>
        <w:rPr>
          <w:rFonts w:ascii="Times New Roman" w:hAnsi="Times New Roman"/>
        </w:rPr>
        <w:t>Form 1099-INT</w:t>
      </w:r>
      <w:r w:rsidRPr="007A52E6">
        <w:rPr>
          <w:rFonts w:ascii="Times New Roman" w:hAnsi="Times New Roman"/>
        </w:rPr>
        <w:t xml:space="preserve"> to verify compliance with the reporting rules and to verify that the recipient has included the proper amount of interest on his or her income tax return</w:t>
      </w:r>
      <w:r w:rsidRPr="00F820CF" w:rsidR="0042327E">
        <w:rPr>
          <w:rFonts w:ascii="Times New Roman" w:hAnsi="Times New Roman"/>
        </w:rPr>
        <w:t>.</w:t>
      </w:r>
    </w:p>
    <w:p w:rsidRPr="00F820CF" w:rsidR="0042327E" w:rsidRDefault="0042327E" w14:paraId="693AE86C" w14:textId="77777777">
      <w:pPr>
        <w:rPr>
          <w:rFonts w:ascii="Times New Roman" w:hAnsi="Times New Roman"/>
        </w:rPr>
      </w:pPr>
      <w:r w:rsidRPr="00F820CF">
        <w:rPr>
          <w:rFonts w:ascii="Times New Roman" w:hAnsi="Times New Roman"/>
        </w:rPr>
        <w:t xml:space="preserve">               </w:t>
      </w:r>
    </w:p>
    <w:p w:rsidRPr="00F820CF" w:rsidR="0042327E" w:rsidRDefault="0042327E" w14:paraId="13F354D3" w14:textId="77777777">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USE OF IMPROVED INFORMATION TECHNOLOGY TO REDUCE BURDEN</w:t>
      </w:r>
    </w:p>
    <w:p w:rsidRPr="00F820CF" w:rsidR="0042327E" w:rsidRDefault="0042327E" w14:paraId="7909D11B" w14:textId="77777777">
      <w:pPr>
        <w:rPr>
          <w:rFonts w:ascii="Times New Roman" w:hAnsi="Times New Roman"/>
        </w:rPr>
      </w:pPr>
    </w:p>
    <w:p w:rsidRPr="00F820CF" w:rsidR="00A66703" w:rsidRDefault="007A52E6" w14:paraId="08A7EA54" w14:textId="4D6997BF">
      <w:pPr>
        <w:ind w:left="720"/>
        <w:rPr>
          <w:rFonts w:ascii="Times New Roman" w:hAnsi="Times New Roman"/>
        </w:rPr>
      </w:pPr>
      <w:r w:rsidRPr="007A52E6">
        <w:rPr>
          <w:rFonts w:ascii="Times New Roman" w:hAnsi="Times New Roman"/>
        </w:rPr>
        <w:t>Form 1099-INT is electronically enabled</w:t>
      </w:r>
      <w:r w:rsidRPr="00F820CF" w:rsidR="0042327E">
        <w:rPr>
          <w:rFonts w:ascii="Times New Roman" w:hAnsi="Times New Roman"/>
        </w:rPr>
        <w:t>.</w:t>
      </w:r>
      <w:r w:rsidR="00386E52">
        <w:rPr>
          <w:rFonts w:ascii="Times New Roman" w:hAnsi="Times New Roman"/>
        </w:rPr>
        <w:t xml:space="preserve">  </w:t>
      </w:r>
      <w:r w:rsidRPr="00386E52" w:rsidR="00386E52">
        <w:rPr>
          <w:rFonts w:ascii="Times New Roman" w:hAnsi="Times New Roman"/>
        </w:rPr>
        <w:t>IRS allows for the electronic collection of data from financial institutions.  Institutions have flexibility in how that information is disclosed to their accountholders.</w:t>
      </w:r>
    </w:p>
    <w:p w:rsidRPr="00F820CF" w:rsidR="0042327E" w:rsidRDefault="0042327E" w14:paraId="2CD55330" w14:textId="77777777">
      <w:pPr>
        <w:ind w:firstLine="720"/>
        <w:rPr>
          <w:rFonts w:ascii="Times New Roman" w:hAnsi="Times New Roman"/>
        </w:rPr>
      </w:pPr>
    </w:p>
    <w:p w:rsidRPr="00F820CF" w:rsidR="0042327E" w:rsidRDefault="0042327E" w14:paraId="0EE51489" w14:textId="77777777">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EFFORTS TO IDENTIFY DUPLICATION</w:t>
      </w:r>
    </w:p>
    <w:p w:rsidRPr="00F820CF" w:rsidR="0042327E" w:rsidRDefault="0042327E" w14:paraId="055172D0" w14:textId="77777777">
      <w:pPr>
        <w:rPr>
          <w:rFonts w:ascii="Times New Roman" w:hAnsi="Times New Roman"/>
        </w:rPr>
      </w:pPr>
    </w:p>
    <w:p w:rsidRPr="00F820CF" w:rsidR="00CF6A91" w:rsidRDefault="008579F2" w14:paraId="20AE3B07" w14:textId="731A709B">
      <w:pPr>
        <w:ind w:left="720"/>
        <w:rPr>
          <w:rFonts w:ascii="Times New Roman" w:hAnsi="Times New Roman"/>
        </w:rPr>
      </w:pPr>
      <w:r>
        <w:rPr>
          <w:rFonts w:ascii="Times New Roman" w:hAnsi="Times New Roman"/>
        </w:rPr>
        <w:t>IRS</w:t>
      </w:r>
      <w:r w:rsidRPr="00F820CF">
        <w:rPr>
          <w:rFonts w:ascii="Times New Roman" w:hAnsi="Times New Roman"/>
        </w:rPr>
        <w:t xml:space="preserve"> </w:t>
      </w:r>
      <w:r w:rsidRPr="00F820CF" w:rsidR="00E64242">
        <w:rPr>
          <w:rFonts w:ascii="Times New Roman" w:hAnsi="Times New Roman"/>
        </w:rPr>
        <w:t>ha</w:t>
      </w:r>
      <w:r w:rsidR="00E64242">
        <w:rPr>
          <w:rFonts w:ascii="Times New Roman" w:hAnsi="Times New Roman"/>
        </w:rPr>
        <w:t>s</w:t>
      </w:r>
      <w:r w:rsidRPr="00F820CF" w:rsidR="00E64242">
        <w:rPr>
          <w:rFonts w:ascii="Times New Roman" w:hAnsi="Times New Roman"/>
        </w:rPr>
        <w:t xml:space="preserve"> </w:t>
      </w:r>
      <w:r w:rsidRPr="00F820CF" w:rsidR="0042327E">
        <w:rPr>
          <w:rFonts w:ascii="Times New Roman" w:hAnsi="Times New Roman"/>
        </w:rPr>
        <w:t xml:space="preserve">attempted to eliminate duplication within the agency wherever possible.  </w:t>
      </w:r>
    </w:p>
    <w:p w:rsidRPr="00F820CF" w:rsidR="0042327E" w:rsidRDefault="0042327E" w14:paraId="571B4E7D" w14:textId="77777777">
      <w:pPr>
        <w:rPr>
          <w:rFonts w:ascii="Times New Roman" w:hAnsi="Times New Roman"/>
        </w:rPr>
      </w:pPr>
    </w:p>
    <w:p w:rsidRPr="00F820CF" w:rsidR="0042327E" w:rsidRDefault="0042327E" w14:paraId="4D9EEE2C" w14:textId="77777777">
      <w:pPr>
        <w:tabs>
          <w:tab w:val="left" w:pos="-1440"/>
        </w:tabs>
        <w:ind w:left="720" w:hanging="720"/>
        <w:rPr>
          <w:rFonts w:ascii="Times New Roman" w:hAnsi="Times New Roman"/>
        </w:rPr>
      </w:pPr>
      <w:r w:rsidRPr="00F820CF">
        <w:rPr>
          <w:rFonts w:ascii="Times New Roman" w:hAnsi="Times New Roman"/>
        </w:rPr>
        <w:t xml:space="preserve">5. </w:t>
      </w:r>
      <w:r w:rsidRPr="00F820CF">
        <w:rPr>
          <w:rFonts w:ascii="Times New Roman" w:hAnsi="Times New Roman"/>
        </w:rPr>
        <w:tab/>
      </w:r>
      <w:r w:rsidRPr="00F820CF">
        <w:rPr>
          <w:rFonts w:ascii="Times New Roman" w:hAnsi="Times New Roman"/>
          <w:u w:val="single"/>
        </w:rPr>
        <w:t>METHODS TO MINIMIZE BURDEN ON SMALL BUSINESSES OR OTHER</w:t>
      </w:r>
      <w:r w:rsidRPr="00F820CF">
        <w:rPr>
          <w:rFonts w:ascii="Times New Roman" w:hAnsi="Times New Roman"/>
        </w:rPr>
        <w:t xml:space="preserve">     </w:t>
      </w:r>
      <w:r w:rsidRPr="00F820CF">
        <w:rPr>
          <w:rFonts w:ascii="Times New Roman" w:hAnsi="Times New Roman"/>
          <w:u w:val="single"/>
        </w:rPr>
        <w:t>SMALL ENTITIES</w:t>
      </w:r>
    </w:p>
    <w:p w:rsidRPr="00F820CF" w:rsidR="0042327E" w:rsidRDefault="0042327E" w14:paraId="6523E2E0" w14:textId="77777777">
      <w:pPr>
        <w:rPr>
          <w:rFonts w:ascii="Times New Roman" w:hAnsi="Times New Roman"/>
        </w:rPr>
      </w:pPr>
    </w:p>
    <w:p w:rsidRPr="00F820CF" w:rsidR="0042327E" w:rsidP="003C7E43" w:rsidRDefault="00386E52" w14:paraId="1B52F09C" w14:textId="125F9863">
      <w:pPr>
        <w:ind w:left="720"/>
        <w:rPr>
          <w:rFonts w:ascii="Times New Roman" w:hAnsi="Times New Roman"/>
        </w:rPr>
      </w:pPr>
      <w:r w:rsidRPr="00911C2F">
        <w:rPr>
          <w:rFonts w:ascii="Times New Roman" w:hAnsi="Times New Roman"/>
        </w:rPr>
        <w:t>There are no methods to minimize burden on small businesses or other small entities. The form has been structured to request the least amount of information and still satisfy the requirements of the statute and the needs of the Service.</w:t>
      </w:r>
    </w:p>
    <w:p w:rsidR="0042327E" w:rsidRDefault="0042327E" w14:paraId="5771BCD4" w14:textId="77777777">
      <w:pPr>
        <w:rPr>
          <w:rFonts w:ascii="Times New Roman" w:hAnsi="Times New Roman"/>
        </w:rPr>
      </w:pPr>
    </w:p>
    <w:p w:rsidRPr="00F820CF" w:rsidR="003C7E43" w:rsidRDefault="003C7E43" w14:paraId="57E54798" w14:textId="33301A67">
      <w:pPr>
        <w:rPr>
          <w:rFonts w:ascii="Times New Roman" w:hAnsi="Times New Roman"/>
        </w:rPr>
        <w:sectPr w:rsidRPr="00F820CF" w:rsidR="003C7E43">
          <w:pgSz w:w="12240" w:h="15840"/>
          <w:pgMar w:top="1440" w:right="1440" w:bottom="1440" w:left="1440" w:header="1440" w:footer="1440" w:gutter="0"/>
          <w:cols w:space="720"/>
          <w:noEndnote/>
        </w:sectPr>
      </w:pPr>
    </w:p>
    <w:p w:rsidRPr="00F820CF" w:rsidR="0042327E" w:rsidRDefault="0042327E" w14:paraId="11F87188" w14:textId="77777777">
      <w:pPr>
        <w:pStyle w:val="Level1"/>
        <w:tabs>
          <w:tab w:val="left" w:pos="-1440"/>
          <w:tab w:val="num" w:pos="720"/>
        </w:tabs>
        <w:rPr>
          <w:rFonts w:ascii="Times New Roman" w:hAnsi="Times New Roman"/>
        </w:rPr>
      </w:pPr>
      <w:r w:rsidRPr="00F820CF">
        <w:rPr>
          <w:rFonts w:ascii="Times New Roman" w:hAnsi="Times New Roman"/>
          <w:u w:val="single"/>
        </w:rPr>
        <w:t>CONSEQUENCES OF LESS FREQUENT COLLECTION ON FEDERAL PROGRAMS OR POLICY ACTIVITIES</w:t>
      </w:r>
    </w:p>
    <w:p w:rsidRPr="00F820CF" w:rsidR="0042327E" w:rsidRDefault="0042327E" w14:paraId="032823AF" w14:textId="77777777">
      <w:pPr>
        <w:rPr>
          <w:rFonts w:ascii="Times New Roman" w:hAnsi="Times New Roman"/>
        </w:rPr>
      </w:pPr>
    </w:p>
    <w:p w:rsidR="0042327E" w:rsidP="005F3C3B" w:rsidRDefault="005F3C3B" w14:paraId="35EDA9AC" w14:textId="5CB71669">
      <w:pPr>
        <w:ind w:left="720"/>
        <w:rPr>
          <w:rFonts w:ascii="Times New Roman" w:hAnsi="Times New Roman"/>
        </w:rPr>
      </w:pPr>
      <w:r w:rsidRPr="00F820CF">
        <w:rPr>
          <w:rFonts w:ascii="Times New Roman" w:hAnsi="Times New Roman"/>
        </w:rPr>
        <w:t xml:space="preserve">A less frequent collection will </w:t>
      </w:r>
      <w:r w:rsidRPr="00F820CF" w:rsidR="008F187B">
        <w:rPr>
          <w:rFonts w:ascii="Times New Roman" w:hAnsi="Times New Roman"/>
        </w:rPr>
        <w:t xml:space="preserve">not enable the IRS to verify </w:t>
      </w:r>
      <w:r w:rsidRPr="007A52E6" w:rsidR="007A52E6">
        <w:rPr>
          <w:rFonts w:ascii="Times New Roman" w:hAnsi="Times New Roman"/>
        </w:rPr>
        <w:t xml:space="preserve">compliance with the reporting rules and to verify </w:t>
      </w:r>
      <w:r w:rsidR="007A52E6">
        <w:rPr>
          <w:rFonts w:ascii="Times New Roman" w:hAnsi="Times New Roman"/>
        </w:rPr>
        <w:t xml:space="preserve">proper reporting of interest by </w:t>
      </w:r>
      <w:r w:rsidRPr="007A52E6" w:rsidR="007A52E6">
        <w:rPr>
          <w:rFonts w:ascii="Times New Roman" w:hAnsi="Times New Roman"/>
        </w:rPr>
        <w:t xml:space="preserve">the recipient on </w:t>
      </w:r>
      <w:r w:rsidR="007A52E6">
        <w:rPr>
          <w:rFonts w:ascii="Times New Roman" w:hAnsi="Times New Roman"/>
        </w:rPr>
        <w:t xml:space="preserve">the appropriate </w:t>
      </w:r>
      <w:r w:rsidRPr="007A52E6" w:rsidR="007A52E6">
        <w:rPr>
          <w:rFonts w:ascii="Times New Roman" w:hAnsi="Times New Roman"/>
        </w:rPr>
        <w:t>income tax return</w:t>
      </w:r>
      <w:r w:rsidRPr="00F820CF" w:rsidR="008F187B">
        <w:rPr>
          <w:rFonts w:ascii="Times New Roman" w:hAnsi="Times New Roman"/>
        </w:rPr>
        <w:t>.</w:t>
      </w:r>
    </w:p>
    <w:p w:rsidR="003C7E43" w:rsidP="005F3C3B" w:rsidRDefault="003C7E43" w14:paraId="76E39627" w14:textId="14045879">
      <w:pPr>
        <w:ind w:left="720"/>
        <w:rPr>
          <w:rFonts w:ascii="Times New Roman" w:hAnsi="Times New Roman"/>
        </w:rPr>
      </w:pPr>
    </w:p>
    <w:p w:rsidR="003C7E43" w:rsidP="005F3C3B" w:rsidRDefault="003C7E43" w14:paraId="05C2C8A4" w14:textId="1C97F547">
      <w:pPr>
        <w:ind w:left="720"/>
        <w:rPr>
          <w:rFonts w:ascii="Times New Roman" w:hAnsi="Times New Roman"/>
        </w:rPr>
      </w:pPr>
    </w:p>
    <w:p w:rsidRPr="00F820CF" w:rsidR="003C7E43" w:rsidP="005F3C3B" w:rsidRDefault="003C7E43" w14:paraId="0CA95307" w14:textId="77777777">
      <w:pPr>
        <w:ind w:left="720"/>
        <w:rPr>
          <w:rFonts w:ascii="Times New Roman" w:hAnsi="Times New Roman"/>
        </w:rPr>
      </w:pPr>
    </w:p>
    <w:p w:rsidRPr="00F820CF" w:rsidR="008F187B" w:rsidP="005F3C3B" w:rsidRDefault="008F187B" w14:paraId="7992EEB2" w14:textId="77777777">
      <w:pPr>
        <w:ind w:left="720"/>
        <w:rPr>
          <w:rFonts w:ascii="Times New Roman" w:hAnsi="Times New Roman"/>
        </w:rPr>
      </w:pPr>
    </w:p>
    <w:p w:rsidRPr="00F820CF" w:rsidR="0042327E" w:rsidRDefault="0042327E" w14:paraId="14DC10E3" w14:textId="77777777">
      <w:pPr>
        <w:pStyle w:val="Level1"/>
        <w:tabs>
          <w:tab w:val="left" w:pos="-1440"/>
          <w:tab w:val="num" w:pos="720"/>
        </w:tabs>
        <w:rPr>
          <w:rFonts w:ascii="Times New Roman" w:hAnsi="Times New Roman"/>
        </w:rPr>
      </w:pPr>
      <w:r w:rsidRPr="00F820CF">
        <w:rPr>
          <w:rFonts w:ascii="Times New Roman" w:hAnsi="Times New Roman"/>
          <w:u w:val="single"/>
        </w:rPr>
        <w:lastRenderedPageBreak/>
        <w:t>SPECIAL CIRCUMSTANCES REQUIRING DATA COLLECTION TO BE</w:t>
      </w:r>
      <w:r w:rsidRPr="00F820CF">
        <w:rPr>
          <w:rFonts w:ascii="Times New Roman" w:hAnsi="Times New Roman"/>
        </w:rPr>
        <w:t xml:space="preserve">     </w:t>
      </w:r>
      <w:r w:rsidRPr="00F820CF">
        <w:rPr>
          <w:rFonts w:ascii="Times New Roman" w:hAnsi="Times New Roman"/>
          <w:u w:val="single"/>
        </w:rPr>
        <w:t>INCONSISTENT WITH GUIDELINES IN 5 CFR 1320.5(d)(2)</w:t>
      </w:r>
    </w:p>
    <w:p w:rsidRPr="00F820CF" w:rsidR="0042327E" w:rsidRDefault="0042327E" w14:paraId="59808F6F" w14:textId="77777777">
      <w:pPr>
        <w:rPr>
          <w:rFonts w:ascii="Times New Roman" w:hAnsi="Times New Roman"/>
        </w:rPr>
      </w:pPr>
    </w:p>
    <w:p w:rsidRPr="00F820CF" w:rsidR="0042327E" w:rsidRDefault="005F3C3B" w14:paraId="340B6D4B" w14:textId="77777777">
      <w:pPr>
        <w:ind w:left="720"/>
        <w:rPr>
          <w:rFonts w:ascii="Times New Roman" w:hAnsi="Times New Roman"/>
        </w:rPr>
      </w:pPr>
      <w:r w:rsidRPr="00F820CF">
        <w:rPr>
          <w:rFonts w:ascii="Times New Roman" w:hAnsi="Times New Roman"/>
        </w:rPr>
        <w:t>There are no special circumstances requiring data collection to be inconsistent with Guidelines in 5 CFR 1320.5(d)(2)</w:t>
      </w:r>
      <w:r w:rsidRPr="00F820CF" w:rsidR="0042327E">
        <w:rPr>
          <w:rFonts w:ascii="Times New Roman" w:hAnsi="Times New Roman"/>
        </w:rPr>
        <w:t>.</w:t>
      </w:r>
    </w:p>
    <w:p w:rsidRPr="00F820CF" w:rsidR="0042327E" w:rsidRDefault="0042327E" w14:paraId="356C932A" w14:textId="77777777">
      <w:pPr>
        <w:rPr>
          <w:rFonts w:ascii="Times New Roman" w:hAnsi="Times New Roman"/>
        </w:rPr>
      </w:pPr>
    </w:p>
    <w:p w:rsidRPr="00F820CF" w:rsidR="0042327E" w:rsidRDefault="0042327E" w14:paraId="21567F96" w14:textId="77777777">
      <w:pPr>
        <w:pStyle w:val="Level1"/>
        <w:tabs>
          <w:tab w:val="left" w:pos="-1440"/>
          <w:tab w:val="num" w:pos="720"/>
        </w:tabs>
        <w:rPr>
          <w:rFonts w:ascii="Times New Roman" w:hAnsi="Times New Roman"/>
        </w:rPr>
      </w:pPr>
      <w:r w:rsidRPr="00F820CF">
        <w:rPr>
          <w:rFonts w:ascii="Times New Roman" w:hAnsi="Times New Roman"/>
          <w:u w:val="single"/>
        </w:rPr>
        <w:t>CONSULTATION WITH INDIVIDUALS OUTSIDE OF THE AGENCY ON</w:t>
      </w:r>
      <w:r w:rsidRPr="00F820CF">
        <w:rPr>
          <w:rFonts w:ascii="Times New Roman" w:hAnsi="Times New Roman"/>
        </w:rPr>
        <w:t xml:space="preserve">     </w:t>
      </w:r>
      <w:r w:rsidRPr="00F820CF">
        <w:rPr>
          <w:rFonts w:ascii="Times New Roman" w:hAnsi="Times New Roman"/>
          <w:u w:val="single"/>
        </w:rPr>
        <w:t>AVAILABILITY OF DATA, FREQUENCY OF COLLECTION, CLARITY OF INSTRUCTIONS AND FORMS, AND DATA ELEMENTS</w:t>
      </w:r>
    </w:p>
    <w:p w:rsidRPr="00F820CF" w:rsidR="0042327E" w:rsidRDefault="0042327E" w14:paraId="0E69625B" w14:textId="77777777">
      <w:pPr>
        <w:rPr>
          <w:rFonts w:ascii="Times New Roman" w:hAnsi="Times New Roman"/>
        </w:rPr>
      </w:pPr>
    </w:p>
    <w:p w:rsidR="005A0AEF" w:rsidP="005A0AEF" w:rsidRDefault="005A0AEF" w14:paraId="7BEEEDC2" w14:textId="77777777">
      <w:pPr>
        <w:ind w:left="720"/>
        <w:rPr>
          <w:rFonts w:ascii="Times New Roman" w:hAnsi="Times New Roman"/>
        </w:rPr>
      </w:pPr>
      <w:r w:rsidRPr="005A0AEF">
        <w:rPr>
          <w:rFonts w:ascii="Times New Roman" w:hAnsi="Times New Roman"/>
        </w:rPr>
        <w:t xml:space="preserve">On </w:t>
      </w:r>
      <w:r>
        <w:rPr>
          <w:rFonts w:ascii="Times New Roman" w:hAnsi="Times New Roman"/>
        </w:rPr>
        <w:t>November 15, 1982</w:t>
      </w:r>
      <w:r w:rsidRPr="005A0AEF">
        <w:rPr>
          <w:rFonts w:ascii="Times New Roman" w:hAnsi="Times New Roman"/>
        </w:rPr>
        <w:t>, the IRS published in the Federal Register a</w:t>
      </w:r>
      <w:r>
        <w:rPr>
          <w:rFonts w:ascii="Times New Roman" w:hAnsi="Times New Roman"/>
        </w:rPr>
        <w:t xml:space="preserve">mendments to the Income Tax Regulations (26 CFR Part 1) under section 6045 of the Internal Revenue Code of 1954 (47 FR 51415) [LR-148-80, 19882-2C.B. 887].  The amendments were proposed to provide rules relating to returns of brokers under section 6045 of the Code.  Section 311 of the Tax Equity and Fiscal Responsibility Act of 1982 (96 Stat.600) [Pub L. 97-248, 1982-2 C.B. 462, 560] amended section 6045.  </w:t>
      </w:r>
      <w:r w:rsidRPr="005A0AEF">
        <w:rPr>
          <w:rFonts w:ascii="Times New Roman" w:hAnsi="Times New Roman"/>
        </w:rPr>
        <w:t xml:space="preserve"> </w:t>
      </w:r>
    </w:p>
    <w:p w:rsidRPr="005A0AEF" w:rsidR="005A0AEF" w:rsidP="005A0AEF" w:rsidRDefault="005A0AEF" w14:paraId="18242E3B" w14:textId="77777777">
      <w:pPr>
        <w:ind w:left="720"/>
        <w:rPr>
          <w:rFonts w:ascii="Times New Roman" w:hAnsi="Times New Roman"/>
        </w:rPr>
      </w:pPr>
    </w:p>
    <w:p w:rsidR="005A0AEF" w:rsidP="0011637B" w:rsidRDefault="005A0AEF" w14:paraId="3F0E3F90" w14:textId="77777777">
      <w:pPr>
        <w:ind w:left="720"/>
        <w:rPr>
          <w:rFonts w:ascii="Times New Roman" w:hAnsi="Times New Roman"/>
        </w:rPr>
      </w:pPr>
      <w:r>
        <w:rPr>
          <w:rFonts w:ascii="Times New Roman" w:hAnsi="Times New Roman"/>
        </w:rPr>
        <w:t xml:space="preserve">A </w:t>
      </w:r>
      <w:r w:rsidRPr="005A0AEF">
        <w:rPr>
          <w:rFonts w:ascii="Times New Roman" w:hAnsi="Times New Roman"/>
        </w:rPr>
        <w:t xml:space="preserve">public hearing </w:t>
      </w:r>
      <w:r>
        <w:rPr>
          <w:rFonts w:ascii="Times New Roman" w:hAnsi="Times New Roman"/>
        </w:rPr>
        <w:t xml:space="preserve">was held on January 27, 1983.  After consideration of all comments regarding the proposed amendments, those amendments were adopted as revised in TD </w:t>
      </w:r>
      <w:r w:rsidR="000C57B2">
        <w:rPr>
          <w:rFonts w:ascii="Times New Roman" w:hAnsi="Times New Roman"/>
        </w:rPr>
        <w:t xml:space="preserve">7873 (1983-1 C.B. 307).  </w:t>
      </w:r>
      <w:r>
        <w:rPr>
          <w:rFonts w:ascii="Times New Roman" w:hAnsi="Times New Roman"/>
        </w:rPr>
        <w:t xml:space="preserve"> </w:t>
      </w:r>
    </w:p>
    <w:p w:rsidR="000C57B2" w:rsidP="0011637B" w:rsidRDefault="000C57B2" w14:paraId="20A93EA5" w14:textId="77777777">
      <w:pPr>
        <w:ind w:left="720"/>
        <w:rPr>
          <w:rFonts w:ascii="Times New Roman" w:hAnsi="Times New Roman"/>
        </w:rPr>
      </w:pPr>
    </w:p>
    <w:p w:rsidRPr="0011637B" w:rsidR="0011637B" w:rsidP="0011637B" w:rsidRDefault="0011637B" w14:paraId="17D516C9" w14:textId="77777777">
      <w:pPr>
        <w:ind w:left="720"/>
        <w:rPr>
          <w:rFonts w:ascii="Times New Roman" w:hAnsi="Times New Roman"/>
        </w:rPr>
      </w:pPr>
      <w:r w:rsidRPr="0011637B">
        <w:rPr>
          <w:rFonts w:ascii="Times New Roman" w:hAnsi="Times New Roman"/>
        </w:rPr>
        <w:t>On May 19, 1999, the IRS published in</w:t>
      </w:r>
      <w:r>
        <w:rPr>
          <w:rFonts w:ascii="Times New Roman" w:hAnsi="Times New Roman"/>
        </w:rPr>
        <w:t xml:space="preserve"> </w:t>
      </w:r>
      <w:r w:rsidRPr="0011637B">
        <w:rPr>
          <w:rFonts w:ascii="Times New Roman" w:hAnsi="Times New Roman"/>
        </w:rPr>
        <w:t>the Federal Register a notice of proposed</w:t>
      </w:r>
      <w:r>
        <w:rPr>
          <w:rFonts w:ascii="Times New Roman" w:hAnsi="Times New Roman"/>
        </w:rPr>
        <w:t xml:space="preserve"> </w:t>
      </w:r>
      <w:r w:rsidRPr="0011637B">
        <w:rPr>
          <w:rFonts w:ascii="Times New Roman" w:hAnsi="Times New Roman"/>
        </w:rPr>
        <w:t>rulemaking (REG–100905–97, 1999–22</w:t>
      </w:r>
      <w:r>
        <w:rPr>
          <w:rFonts w:ascii="Times New Roman" w:hAnsi="Times New Roman"/>
        </w:rPr>
        <w:t xml:space="preserve"> </w:t>
      </w:r>
      <w:r w:rsidRPr="0011637B">
        <w:rPr>
          <w:rFonts w:ascii="Times New Roman" w:hAnsi="Times New Roman"/>
        </w:rPr>
        <w:t>I.R.B. 10 [64 F.R. 27221]) intending to</w:t>
      </w:r>
      <w:r>
        <w:rPr>
          <w:rFonts w:ascii="Times New Roman" w:hAnsi="Times New Roman"/>
        </w:rPr>
        <w:t xml:space="preserve"> </w:t>
      </w:r>
      <w:r w:rsidRPr="0011637B">
        <w:rPr>
          <w:rFonts w:ascii="Times New Roman" w:hAnsi="Times New Roman"/>
        </w:rPr>
        <w:t>eliminate the regulatory requirement that</w:t>
      </w:r>
      <w:r>
        <w:rPr>
          <w:rFonts w:ascii="Times New Roman" w:hAnsi="Times New Roman"/>
        </w:rPr>
        <w:t xml:space="preserve"> </w:t>
      </w:r>
      <w:r w:rsidRPr="0011637B">
        <w:rPr>
          <w:rFonts w:ascii="Times New Roman" w:hAnsi="Times New Roman"/>
        </w:rPr>
        <w:t>certain information be set forth on the face</w:t>
      </w:r>
    </w:p>
    <w:p w:rsidR="0011637B" w:rsidP="0011637B" w:rsidRDefault="0011637B" w14:paraId="64D7E480" w14:textId="77777777">
      <w:pPr>
        <w:ind w:left="720"/>
        <w:rPr>
          <w:rFonts w:ascii="Times New Roman" w:hAnsi="Times New Roman"/>
        </w:rPr>
      </w:pPr>
      <w:r w:rsidRPr="0011637B">
        <w:rPr>
          <w:rFonts w:ascii="Times New Roman" w:hAnsi="Times New Roman"/>
        </w:rPr>
        <w:t>of a certificate representing a CDO or</w:t>
      </w:r>
      <w:r>
        <w:rPr>
          <w:rFonts w:ascii="Times New Roman" w:hAnsi="Times New Roman"/>
        </w:rPr>
        <w:t xml:space="preserve"> </w:t>
      </w:r>
      <w:r w:rsidRPr="0011637B">
        <w:rPr>
          <w:rFonts w:ascii="Times New Roman" w:hAnsi="Times New Roman"/>
        </w:rPr>
        <w:t>REMIC regular interest.</w:t>
      </w:r>
    </w:p>
    <w:p w:rsidRPr="0011637B" w:rsidR="0011637B" w:rsidP="0011637B" w:rsidRDefault="0011637B" w14:paraId="4965E747" w14:textId="77777777">
      <w:pPr>
        <w:ind w:left="720"/>
        <w:rPr>
          <w:rFonts w:ascii="Times New Roman" w:hAnsi="Times New Roman"/>
        </w:rPr>
      </w:pPr>
    </w:p>
    <w:p w:rsidR="0011637B" w:rsidP="0011637B" w:rsidRDefault="0011637B" w14:paraId="65667465" w14:textId="77777777">
      <w:pPr>
        <w:ind w:left="720"/>
        <w:rPr>
          <w:rFonts w:ascii="Times New Roman" w:hAnsi="Times New Roman"/>
        </w:rPr>
      </w:pPr>
      <w:r w:rsidRPr="0011637B">
        <w:rPr>
          <w:rFonts w:ascii="Times New Roman" w:hAnsi="Times New Roman"/>
        </w:rPr>
        <w:t>The public hearing scheduled for September</w:t>
      </w:r>
      <w:r>
        <w:rPr>
          <w:rFonts w:ascii="Times New Roman" w:hAnsi="Times New Roman"/>
        </w:rPr>
        <w:t xml:space="preserve"> </w:t>
      </w:r>
      <w:r w:rsidRPr="0011637B">
        <w:rPr>
          <w:rFonts w:ascii="Times New Roman" w:hAnsi="Times New Roman"/>
        </w:rPr>
        <w:t>13, 1999, was canceled because no</w:t>
      </w:r>
      <w:r>
        <w:rPr>
          <w:rFonts w:ascii="Times New Roman" w:hAnsi="Times New Roman"/>
        </w:rPr>
        <w:t xml:space="preserve"> </w:t>
      </w:r>
      <w:r w:rsidRPr="0011637B">
        <w:rPr>
          <w:rFonts w:ascii="Times New Roman" w:hAnsi="Times New Roman"/>
        </w:rPr>
        <w:t>one requested to speak, and the only written</w:t>
      </w:r>
      <w:r>
        <w:rPr>
          <w:rFonts w:ascii="Times New Roman" w:hAnsi="Times New Roman"/>
        </w:rPr>
        <w:t xml:space="preserve"> </w:t>
      </w:r>
      <w:r w:rsidRPr="0011637B">
        <w:rPr>
          <w:rFonts w:ascii="Times New Roman" w:hAnsi="Times New Roman"/>
        </w:rPr>
        <w:t>comment received supports finalizing the</w:t>
      </w:r>
      <w:r>
        <w:rPr>
          <w:rFonts w:ascii="Times New Roman" w:hAnsi="Times New Roman"/>
        </w:rPr>
        <w:t xml:space="preserve"> </w:t>
      </w:r>
      <w:r w:rsidRPr="0011637B">
        <w:rPr>
          <w:rFonts w:ascii="Times New Roman" w:hAnsi="Times New Roman"/>
        </w:rPr>
        <w:t>regulations in the form proposed. Treasury decision</w:t>
      </w:r>
      <w:r>
        <w:rPr>
          <w:rFonts w:ascii="Times New Roman" w:hAnsi="Times New Roman"/>
        </w:rPr>
        <w:t xml:space="preserve"> 8888</w:t>
      </w:r>
      <w:r w:rsidRPr="0011637B">
        <w:rPr>
          <w:rFonts w:ascii="Times New Roman" w:hAnsi="Times New Roman"/>
        </w:rPr>
        <w:t>, therefore, adopt</w:t>
      </w:r>
      <w:r>
        <w:rPr>
          <w:rFonts w:ascii="Times New Roman" w:hAnsi="Times New Roman"/>
        </w:rPr>
        <w:t>ed</w:t>
      </w:r>
      <w:r w:rsidRPr="0011637B">
        <w:rPr>
          <w:rFonts w:ascii="Times New Roman" w:hAnsi="Times New Roman"/>
        </w:rPr>
        <w:t xml:space="preserve"> the</w:t>
      </w:r>
      <w:r>
        <w:rPr>
          <w:rFonts w:ascii="Times New Roman" w:hAnsi="Times New Roman"/>
        </w:rPr>
        <w:t xml:space="preserve"> </w:t>
      </w:r>
      <w:r w:rsidRPr="0011637B">
        <w:rPr>
          <w:rFonts w:ascii="Times New Roman" w:hAnsi="Times New Roman"/>
        </w:rPr>
        <w:t>proposed regulations with no change</w:t>
      </w:r>
      <w:r>
        <w:rPr>
          <w:rFonts w:ascii="Times New Roman" w:hAnsi="Times New Roman"/>
        </w:rPr>
        <w:t>.</w:t>
      </w:r>
    </w:p>
    <w:p w:rsidR="0011637B" w:rsidP="00BC6ED7" w:rsidRDefault="0011637B" w14:paraId="268C2C39" w14:textId="77777777">
      <w:pPr>
        <w:ind w:left="720"/>
        <w:rPr>
          <w:rFonts w:ascii="Times New Roman" w:hAnsi="Times New Roman"/>
        </w:rPr>
      </w:pPr>
    </w:p>
    <w:p w:rsidR="00BC6ED7" w:rsidP="00BC6ED7" w:rsidRDefault="007A52E6" w14:paraId="6A893EE7" w14:textId="77777777">
      <w:pPr>
        <w:ind w:left="720"/>
        <w:rPr>
          <w:rFonts w:ascii="Times New Roman" w:hAnsi="Times New Roman"/>
        </w:rPr>
      </w:pPr>
      <w:r w:rsidRPr="007A52E6">
        <w:rPr>
          <w:rFonts w:ascii="Times New Roman" w:hAnsi="Times New Roman"/>
        </w:rPr>
        <w:t>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 Form 1099-INT</w:t>
      </w:r>
      <w:r w:rsidRPr="00BC6ED7" w:rsidR="00BC6ED7">
        <w:rPr>
          <w:rFonts w:ascii="Times New Roman" w:hAnsi="Times New Roman"/>
        </w:rPr>
        <w:t>.</w:t>
      </w:r>
    </w:p>
    <w:p w:rsidR="00BC6ED7" w:rsidRDefault="00BC6ED7" w14:paraId="2E3F069A" w14:textId="77777777">
      <w:pPr>
        <w:ind w:left="720"/>
        <w:rPr>
          <w:rFonts w:ascii="Times New Roman" w:hAnsi="Times New Roman"/>
        </w:rPr>
      </w:pPr>
    </w:p>
    <w:p w:rsidRPr="00F820CF" w:rsidR="0042327E" w:rsidRDefault="008579F2" w14:paraId="42ECFDE3" w14:textId="757B1E09">
      <w:pPr>
        <w:ind w:left="720"/>
        <w:rPr>
          <w:rFonts w:ascii="Times New Roman" w:hAnsi="Times New Roman"/>
        </w:rPr>
      </w:pPr>
      <w:r>
        <w:rPr>
          <w:rFonts w:ascii="Times New Roman" w:hAnsi="Times New Roman"/>
        </w:rPr>
        <w:t>IRS</w:t>
      </w:r>
      <w:r w:rsidRPr="00F820CF">
        <w:rPr>
          <w:rFonts w:ascii="Times New Roman" w:hAnsi="Times New Roman"/>
        </w:rPr>
        <w:t xml:space="preserve"> </w:t>
      </w:r>
      <w:r w:rsidRPr="00F820CF" w:rsidR="0042327E">
        <w:rPr>
          <w:rFonts w:ascii="Times New Roman" w:hAnsi="Times New Roman"/>
        </w:rPr>
        <w:t>received no comments during the comment period in response to the</w:t>
      </w:r>
      <w:r w:rsidRPr="00F820CF" w:rsidR="0042327E">
        <w:rPr>
          <w:rFonts w:ascii="Times New Roman" w:hAnsi="Times New Roman"/>
          <w:b/>
          <w:bCs/>
        </w:rPr>
        <w:t xml:space="preserve"> Federal Register</w:t>
      </w:r>
      <w:r w:rsidRPr="00F820CF" w:rsidR="0042327E">
        <w:rPr>
          <w:rFonts w:ascii="Times New Roman" w:hAnsi="Times New Roman"/>
        </w:rPr>
        <w:t xml:space="preserve"> notice</w:t>
      </w:r>
      <w:r w:rsidRPr="00F820CF" w:rsidR="00CF6A91">
        <w:rPr>
          <w:rFonts w:ascii="Times New Roman" w:hAnsi="Times New Roman"/>
        </w:rPr>
        <w:t xml:space="preserve"> (</w:t>
      </w:r>
      <w:r w:rsidRPr="00F820CF" w:rsidR="005F3C3B">
        <w:rPr>
          <w:rFonts w:ascii="Times New Roman" w:hAnsi="Times New Roman"/>
        </w:rPr>
        <w:t>8</w:t>
      </w:r>
      <w:r w:rsidR="00AE66E5">
        <w:rPr>
          <w:rFonts w:ascii="Times New Roman" w:hAnsi="Times New Roman"/>
        </w:rPr>
        <w:t>4</w:t>
      </w:r>
      <w:r w:rsidRPr="00F820CF" w:rsidR="00CF6A91">
        <w:rPr>
          <w:rFonts w:ascii="Times New Roman" w:hAnsi="Times New Roman"/>
        </w:rPr>
        <w:t xml:space="preserve"> FR </w:t>
      </w:r>
      <w:r w:rsidR="003A3849">
        <w:rPr>
          <w:rFonts w:ascii="Times New Roman" w:hAnsi="Times New Roman"/>
        </w:rPr>
        <w:t>65898</w:t>
      </w:r>
      <w:r w:rsidRPr="00F820CF" w:rsidR="00CF6A91">
        <w:rPr>
          <w:rFonts w:ascii="Times New Roman" w:hAnsi="Times New Roman"/>
        </w:rPr>
        <w:t xml:space="preserve">), </w:t>
      </w:r>
      <w:r w:rsidRPr="00F820CF" w:rsidR="0042327E">
        <w:rPr>
          <w:rFonts w:ascii="Times New Roman" w:hAnsi="Times New Roman"/>
        </w:rPr>
        <w:t xml:space="preserve">dated </w:t>
      </w:r>
      <w:r w:rsidR="003A3849">
        <w:rPr>
          <w:rFonts w:ascii="Times New Roman" w:hAnsi="Times New Roman"/>
        </w:rPr>
        <w:t>November 29</w:t>
      </w:r>
      <w:r w:rsidRPr="00F820CF" w:rsidR="00094223">
        <w:rPr>
          <w:rFonts w:ascii="Times New Roman" w:hAnsi="Times New Roman"/>
        </w:rPr>
        <w:t>, 201</w:t>
      </w:r>
      <w:r w:rsidR="00AE66E5">
        <w:rPr>
          <w:rFonts w:ascii="Times New Roman" w:hAnsi="Times New Roman"/>
        </w:rPr>
        <w:t>9</w:t>
      </w:r>
      <w:r w:rsidRPr="00F820CF" w:rsidR="0042327E">
        <w:rPr>
          <w:rFonts w:ascii="Times New Roman" w:hAnsi="Times New Roman"/>
        </w:rPr>
        <w:t xml:space="preserve">. </w:t>
      </w:r>
    </w:p>
    <w:p w:rsidRPr="00F820CF" w:rsidR="0042327E" w:rsidRDefault="0042327E" w14:paraId="18D4D34C" w14:textId="77777777">
      <w:pPr>
        <w:tabs>
          <w:tab w:val="center" w:pos="4680"/>
        </w:tabs>
        <w:rPr>
          <w:rFonts w:ascii="Times New Roman" w:hAnsi="Times New Roman"/>
        </w:rPr>
      </w:pPr>
      <w:r w:rsidRPr="00F820CF">
        <w:rPr>
          <w:rFonts w:ascii="Times New Roman" w:hAnsi="Times New Roman"/>
        </w:rPr>
        <w:tab/>
        <w:t xml:space="preserve"> </w:t>
      </w:r>
    </w:p>
    <w:p w:rsidRPr="00F820CF" w:rsidR="0042327E" w:rsidRDefault="0042327E" w14:paraId="37BAB851" w14:textId="77777777">
      <w:pPr>
        <w:pStyle w:val="Level1"/>
        <w:tabs>
          <w:tab w:val="left" w:pos="-1440"/>
          <w:tab w:val="num" w:pos="720"/>
        </w:tabs>
        <w:rPr>
          <w:rFonts w:ascii="Times New Roman" w:hAnsi="Times New Roman"/>
        </w:rPr>
      </w:pPr>
      <w:r w:rsidRPr="00F820CF">
        <w:rPr>
          <w:rFonts w:ascii="Times New Roman" w:hAnsi="Times New Roman"/>
          <w:u w:val="single"/>
        </w:rPr>
        <w:t>EXPLANATION OF DECISION TO PROVIDE ANY PAYMENT OR GIFT TO</w:t>
      </w:r>
      <w:r w:rsidRPr="00F820CF">
        <w:rPr>
          <w:rFonts w:ascii="Times New Roman" w:hAnsi="Times New Roman"/>
        </w:rPr>
        <w:t xml:space="preserve">   </w:t>
      </w:r>
      <w:r w:rsidRPr="00F820CF">
        <w:rPr>
          <w:rFonts w:ascii="Times New Roman" w:hAnsi="Times New Roman"/>
          <w:u w:val="single"/>
        </w:rPr>
        <w:t>RESPONDENTS</w:t>
      </w:r>
    </w:p>
    <w:p w:rsidRPr="00F820CF" w:rsidR="0042327E" w:rsidRDefault="0042327E" w14:paraId="113DCDA0" w14:textId="77777777">
      <w:pPr>
        <w:rPr>
          <w:rFonts w:ascii="Times New Roman" w:hAnsi="Times New Roman"/>
        </w:rPr>
      </w:pPr>
    </w:p>
    <w:p w:rsidRPr="00F820CF" w:rsidR="0042327E" w:rsidRDefault="008F187B" w14:paraId="0B063092" w14:textId="77777777">
      <w:pPr>
        <w:ind w:left="720"/>
        <w:rPr>
          <w:rFonts w:ascii="Times New Roman" w:hAnsi="Times New Roman"/>
        </w:rPr>
      </w:pPr>
      <w:r w:rsidRPr="00F820CF">
        <w:rPr>
          <w:rFonts w:ascii="Times New Roman" w:hAnsi="Times New Roman"/>
        </w:rPr>
        <w:t>No payment or gift has been provided to any respondents</w:t>
      </w:r>
      <w:r w:rsidRPr="00F820CF" w:rsidR="0042327E">
        <w:rPr>
          <w:rFonts w:ascii="Times New Roman" w:hAnsi="Times New Roman"/>
        </w:rPr>
        <w:t>.</w:t>
      </w:r>
    </w:p>
    <w:p w:rsidRPr="00F820CF" w:rsidR="0042327E" w:rsidRDefault="0042327E" w14:paraId="0782026C" w14:textId="77777777">
      <w:pPr>
        <w:rPr>
          <w:rFonts w:ascii="Times New Roman" w:hAnsi="Times New Roman"/>
        </w:rPr>
      </w:pPr>
    </w:p>
    <w:p w:rsidRPr="00F820CF" w:rsidR="0042327E" w:rsidRDefault="0042327E" w14:paraId="21A39140" w14:textId="77777777">
      <w:pPr>
        <w:pStyle w:val="Level1"/>
        <w:tabs>
          <w:tab w:val="left" w:pos="-1440"/>
          <w:tab w:val="num" w:pos="720"/>
        </w:tabs>
        <w:rPr>
          <w:rFonts w:ascii="Times New Roman" w:hAnsi="Times New Roman"/>
        </w:rPr>
      </w:pPr>
      <w:r w:rsidRPr="00F820CF">
        <w:rPr>
          <w:rFonts w:ascii="Times New Roman" w:hAnsi="Times New Roman"/>
          <w:u w:val="single"/>
        </w:rPr>
        <w:t>ASSURANCE OF CONFIDENTIALITY OF RESPONSES</w:t>
      </w:r>
    </w:p>
    <w:p w:rsidRPr="00F820CF" w:rsidR="0042327E" w:rsidRDefault="0042327E" w14:paraId="1B07F794" w14:textId="77777777">
      <w:pPr>
        <w:rPr>
          <w:rFonts w:ascii="Times New Roman" w:hAnsi="Times New Roman"/>
        </w:rPr>
      </w:pPr>
    </w:p>
    <w:p w:rsidRPr="00F820CF" w:rsidR="0042327E" w:rsidRDefault="0042327E" w14:paraId="1BB1AC81" w14:textId="77777777">
      <w:pPr>
        <w:ind w:left="720"/>
        <w:rPr>
          <w:rFonts w:ascii="Times New Roman" w:hAnsi="Times New Roman"/>
        </w:rPr>
      </w:pPr>
      <w:r w:rsidRPr="00F820CF">
        <w:rPr>
          <w:rFonts w:ascii="Times New Roman" w:hAnsi="Times New Roman"/>
        </w:rPr>
        <w:t>Generally, tax returns and tax return information are confidential as required by 26 USC 6103.</w:t>
      </w:r>
    </w:p>
    <w:p w:rsidRPr="00F820CF" w:rsidR="0042327E" w:rsidRDefault="0042327E" w14:paraId="0A338C23" w14:textId="77777777">
      <w:pPr>
        <w:rPr>
          <w:rFonts w:ascii="Times New Roman" w:hAnsi="Times New Roman"/>
        </w:rPr>
      </w:pPr>
    </w:p>
    <w:p w:rsidRPr="00F820CF" w:rsidR="0042327E" w:rsidRDefault="0042327E" w14:paraId="7693C1D3" w14:textId="77777777">
      <w:pPr>
        <w:pStyle w:val="Level1"/>
        <w:tabs>
          <w:tab w:val="left" w:pos="-1440"/>
          <w:tab w:val="num" w:pos="720"/>
        </w:tabs>
        <w:rPr>
          <w:rFonts w:ascii="Times New Roman" w:hAnsi="Times New Roman"/>
          <w:u w:val="single"/>
        </w:rPr>
      </w:pPr>
      <w:r w:rsidRPr="00F820CF">
        <w:rPr>
          <w:rFonts w:ascii="Times New Roman" w:hAnsi="Times New Roman"/>
          <w:u w:val="single"/>
        </w:rPr>
        <w:t>JUSTIFICATION OF SENSITIVE QUESTIONS</w:t>
      </w:r>
    </w:p>
    <w:p w:rsidRPr="00F820CF" w:rsidR="0042327E" w:rsidRDefault="0042327E" w14:paraId="1D7FB4D0" w14:textId="77777777">
      <w:pPr>
        <w:rPr>
          <w:rFonts w:ascii="Times New Roman" w:hAnsi="Times New Roman"/>
          <w:u w:val="single"/>
        </w:rPr>
      </w:pPr>
    </w:p>
    <w:p w:rsidRPr="00911C2F" w:rsidR="008579F2" w:rsidP="008579F2" w:rsidRDefault="008579F2" w14:paraId="611A1D28" w14:textId="77777777">
      <w:pPr>
        <w:pStyle w:val="Default"/>
        <w:ind w:left="720"/>
        <w:rPr>
          <w:rFonts w:ascii="Times New Roman" w:hAnsi="Times New Roman" w:cs="Times New Roman"/>
        </w:rPr>
      </w:pPr>
      <w:r w:rsidRPr="00911C2F">
        <w:rPr>
          <w:rFonts w:ascii="Times New Roman" w:hAnsi="Times New Roman" w:cs="Times New Roman"/>
          <w:color w:val="auto"/>
        </w:rPr>
        <w:t xml:space="preserve">A privacy impact assessment (PIA) has been conducted for information collected under this request as part of the “Business Master File (BMF)” and Privacy Act System of Records notices (SORN) has been issued for these systems under Treasury/IRS 24.046– Business Master File (BMF); Treasury/IRS 24.030-Customer Account Data Engine Master File; IRS 34.037–IRS Audit Trail and Security Records System.  The Internal Revenue Service PIAs can be found at </w:t>
      </w:r>
      <w:hyperlink w:history="1" r:id="rId8">
        <w:r w:rsidRPr="00911C2F">
          <w:rPr>
            <w:rStyle w:val="Hyperlink"/>
            <w:rFonts w:ascii="Times New Roman" w:hAnsi="Times New Roman" w:cs="Times New Roman"/>
          </w:rPr>
          <w:t>https://www.irs.gov/uac/Privacy-Impact-Assessments-PIA.</w:t>
        </w:r>
      </w:hyperlink>
    </w:p>
    <w:p w:rsidRPr="00911C2F" w:rsidR="008579F2" w:rsidP="008579F2" w:rsidRDefault="008579F2" w14:paraId="41DD6664" w14:textId="77777777">
      <w:pPr>
        <w:ind w:left="720"/>
        <w:rPr>
          <w:rFonts w:ascii="Times New Roman" w:hAnsi="Times New Roman"/>
        </w:rPr>
      </w:pPr>
    </w:p>
    <w:p w:rsidR="0042327E" w:rsidP="003C7E43" w:rsidRDefault="008579F2" w14:paraId="3E5CB8F9" w14:textId="56E2E9CA">
      <w:pPr>
        <w:ind w:left="720"/>
        <w:rPr>
          <w:rFonts w:ascii="Times New Roman" w:hAnsi="Times New Roman"/>
        </w:rPr>
      </w:pPr>
      <w:r w:rsidRPr="00911C2F">
        <w:rPr>
          <w:rFonts w:ascii="Times New Roman" w:hAnsi="Times New Roman"/>
        </w:rPr>
        <w:t>Title 26 USC 6109 requires inclusion of identifying numbers in returns, statements, or other documents for securing proper identification of persons required to make such returns, statements,</w:t>
      </w:r>
      <w:r w:rsidRPr="00911C2F">
        <w:rPr>
          <w:rFonts w:ascii="Times New Roman" w:hAnsi="Times New Roman"/>
          <w:b/>
        </w:rPr>
        <w:t xml:space="preserve"> </w:t>
      </w:r>
      <w:r w:rsidRPr="00911C2F">
        <w:rPr>
          <w:rFonts w:ascii="Times New Roman" w:hAnsi="Times New Roman"/>
        </w:rPr>
        <w:t>or documents and is the authority for social security numbers (SSNs) in IRS systems.</w:t>
      </w:r>
    </w:p>
    <w:p w:rsidRPr="00F820CF" w:rsidR="003C7E43" w:rsidRDefault="003C7E43" w14:paraId="5A2FD7B4" w14:textId="77777777">
      <w:pPr>
        <w:rPr>
          <w:rFonts w:ascii="Times New Roman" w:hAnsi="Times New Roman"/>
        </w:rPr>
      </w:pPr>
    </w:p>
    <w:p w:rsidRPr="00F820CF" w:rsidR="0042327E" w:rsidRDefault="0042327E" w14:paraId="0630F5B6" w14:textId="77777777">
      <w:pPr>
        <w:pStyle w:val="Level1"/>
        <w:tabs>
          <w:tab w:val="left" w:pos="-1440"/>
          <w:tab w:val="num" w:pos="720"/>
        </w:tabs>
        <w:rPr>
          <w:rFonts w:ascii="Times New Roman" w:hAnsi="Times New Roman"/>
          <w:u w:val="single"/>
        </w:rPr>
      </w:pPr>
      <w:r w:rsidRPr="00F820CF">
        <w:rPr>
          <w:rFonts w:ascii="Times New Roman" w:hAnsi="Times New Roman"/>
          <w:u w:val="single"/>
        </w:rPr>
        <w:t>ESTIMATED BURDEN OF INFORMATION COLLECTION</w:t>
      </w:r>
    </w:p>
    <w:p w:rsidRPr="00F820CF" w:rsidR="0042327E" w:rsidRDefault="0042327E" w14:paraId="1F4F0503" w14:textId="77777777">
      <w:pPr>
        <w:rPr>
          <w:rFonts w:ascii="Times New Roman" w:hAnsi="Times New Roman"/>
          <w:u w:val="single"/>
        </w:rPr>
      </w:pPr>
    </w:p>
    <w:p w:rsidRPr="00F820CF" w:rsidR="0042327E" w:rsidRDefault="0042327E" w14:paraId="357FF8EA" w14:textId="77777777">
      <w:pPr>
        <w:rPr>
          <w:rFonts w:ascii="Times New Roman" w:hAnsi="Times New Roman"/>
          <w:u w:val="single"/>
        </w:rPr>
        <w:sectPr w:rsidRPr="00F820CF" w:rsidR="0042327E">
          <w:headerReference w:type="default" r:id="rId9"/>
          <w:type w:val="continuous"/>
          <w:pgSz w:w="12240" w:h="15840"/>
          <w:pgMar w:top="1440" w:right="1440" w:bottom="1440" w:left="1440" w:header="1440" w:footer="1440" w:gutter="0"/>
          <w:cols w:space="720"/>
          <w:noEndnote/>
        </w:sectPr>
      </w:pPr>
    </w:p>
    <w:p w:rsidR="00274F60" w:rsidRDefault="00274F60" w14:paraId="66A5472D" w14:textId="21BC5205">
      <w:pPr>
        <w:ind w:left="720"/>
        <w:rPr>
          <w:rFonts w:ascii="Times New Roman" w:hAnsi="Times New Roman"/>
        </w:rPr>
      </w:pPr>
    </w:p>
    <w:p w:rsidRPr="00F820CF" w:rsidR="0042327E" w:rsidRDefault="0042327E" w14:paraId="6DA8868D" w14:textId="2AE1CA25">
      <w:pPr>
        <w:ind w:left="720"/>
        <w:rPr>
          <w:rFonts w:ascii="Times New Roman" w:hAnsi="Times New Roman"/>
        </w:rPr>
      </w:pPr>
      <w:r w:rsidRPr="007F62D2">
        <w:rPr>
          <w:rFonts w:ascii="Times New Roman" w:hAnsi="Times New Roman"/>
        </w:rPr>
        <w:t xml:space="preserve"> The total </w:t>
      </w:r>
      <w:r w:rsidR="0071292F">
        <w:rPr>
          <w:rFonts w:ascii="Times New Roman" w:hAnsi="Times New Roman"/>
        </w:rPr>
        <w:t xml:space="preserve">estimated annual </w:t>
      </w:r>
      <w:r w:rsidRPr="007F62D2">
        <w:rPr>
          <w:rFonts w:ascii="Times New Roman" w:hAnsi="Times New Roman"/>
        </w:rPr>
        <w:t xml:space="preserve">burden for these requirements is estimated to be </w:t>
      </w:r>
      <w:r w:rsidR="00274F60">
        <w:rPr>
          <w:rFonts w:ascii="Times New Roman" w:hAnsi="Times New Roman"/>
        </w:rPr>
        <w:t>46,403,150</w:t>
      </w:r>
      <w:r w:rsidRPr="007F62D2">
        <w:rPr>
          <w:rFonts w:ascii="Times New Roman" w:hAnsi="Times New Roman"/>
        </w:rPr>
        <w:t xml:space="preserve"> hours</w:t>
      </w:r>
      <w:r w:rsidRPr="00F820CF">
        <w:rPr>
          <w:rFonts w:ascii="Times New Roman" w:hAnsi="Times New Roman"/>
        </w:rPr>
        <w:t>.</w:t>
      </w:r>
    </w:p>
    <w:p w:rsidRPr="00F820CF" w:rsidR="0042327E" w:rsidRDefault="0042327E" w14:paraId="753EBD11" w14:textId="77777777">
      <w:pPr>
        <w:rPr>
          <w:rFonts w:ascii="Times New Roman" w:hAnsi="Times New Roman"/>
        </w:rPr>
      </w:pPr>
    </w:p>
    <w:tbl>
      <w:tblPr>
        <w:tblW w:w="8759" w:type="dxa"/>
        <w:tblInd w:w="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77"/>
        <w:gridCol w:w="1352"/>
        <w:gridCol w:w="1709"/>
        <w:gridCol w:w="1533"/>
        <w:gridCol w:w="1439"/>
        <w:gridCol w:w="1349"/>
      </w:tblGrid>
      <w:tr w:rsidRPr="001172A2" w:rsidR="007A52E6" w:rsidTr="0009308E" w14:paraId="62AD47CD" w14:textId="77777777">
        <w:tc>
          <w:tcPr>
            <w:tcW w:w="1377" w:type="dxa"/>
            <w:tcBorders>
              <w:top w:val="single" w:color="auto" w:sz="4" w:space="0"/>
              <w:left w:val="single" w:color="auto" w:sz="4" w:space="0"/>
              <w:bottom w:val="single" w:color="auto" w:sz="4" w:space="0"/>
              <w:right w:val="single" w:color="auto" w:sz="4" w:space="0"/>
            </w:tcBorders>
            <w:vAlign w:val="bottom"/>
            <w:hideMark/>
          </w:tcPr>
          <w:p w:rsidRPr="001172A2" w:rsidR="007A52E6" w:rsidP="009341B7" w:rsidRDefault="007A52E6" w14:paraId="02E81A1C" w14:textId="77777777">
            <w:pPr>
              <w:keepNext/>
              <w:keepLines/>
              <w:numPr>
                <w:ilvl w:val="12"/>
                <w:numId w:val="0"/>
              </w:numPr>
              <w:jc w:val="center"/>
              <w:rPr>
                <w:rFonts w:ascii="Arial" w:hAnsi="Arial" w:cs="Arial"/>
                <w:b/>
              </w:rPr>
            </w:pPr>
            <w:r w:rsidRPr="001172A2">
              <w:rPr>
                <w:rFonts w:ascii="Arial" w:hAnsi="Arial" w:cs="Arial"/>
                <w:b/>
              </w:rPr>
              <w:t>OMB Collection</w:t>
            </w:r>
          </w:p>
        </w:tc>
        <w:tc>
          <w:tcPr>
            <w:tcW w:w="1352" w:type="dxa"/>
            <w:tcBorders>
              <w:top w:val="single" w:color="auto" w:sz="4" w:space="0"/>
              <w:left w:val="single" w:color="auto" w:sz="4" w:space="0"/>
              <w:bottom w:val="single" w:color="auto" w:sz="4" w:space="0"/>
              <w:right w:val="single" w:color="auto" w:sz="4" w:space="0"/>
            </w:tcBorders>
            <w:vAlign w:val="bottom"/>
            <w:hideMark/>
          </w:tcPr>
          <w:p w:rsidRPr="001172A2" w:rsidR="007A52E6" w:rsidP="009341B7" w:rsidRDefault="007A52E6" w14:paraId="1D3E4B10" w14:textId="77777777">
            <w:pPr>
              <w:keepNext/>
              <w:keepLines/>
              <w:numPr>
                <w:ilvl w:val="12"/>
                <w:numId w:val="0"/>
              </w:numPr>
              <w:jc w:val="center"/>
              <w:rPr>
                <w:rFonts w:ascii="Arial" w:hAnsi="Arial" w:cs="Arial"/>
                <w:b/>
              </w:rPr>
            </w:pPr>
            <w:r w:rsidRPr="001172A2">
              <w:rPr>
                <w:rFonts w:ascii="Arial" w:hAnsi="Arial" w:cs="Arial"/>
                <w:b/>
              </w:rPr>
              <w:t>Authority</w:t>
            </w:r>
          </w:p>
        </w:tc>
        <w:tc>
          <w:tcPr>
            <w:tcW w:w="1709" w:type="dxa"/>
            <w:tcBorders>
              <w:top w:val="single" w:color="auto" w:sz="4" w:space="0"/>
              <w:left w:val="single" w:color="auto" w:sz="4" w:space="0"/>
              <w:bottom w:val="single" w:color="auto" w:sz="4" w:space="0"/>
              <w:right w:val="single" w:color="auto" w:sz="4" w:space="0"/>
            </w:tcBorders>
            <w:vAlign w:val="bottom"/>
            <w:hideMark/>
          </w:tcPr>
          <w:p w:rsidRPr="001172A2" w:rsidR="007A52E6" w:rsidP="009341B7" w:rsidRDefault="007A52E6" w14:paraId="79D262B4" w14:textId="77777777">
            <w:pPr>
              <w:keepNext/>
              <w:keepLines/>
              <w:numPr>
                <w:ilvl w:val="12"/>
                <w:numId w:val="0"/>
              </w:numPr>
              <w:jc w:val="center"/>
              <w:rPr>
                <w:rFonts w:ascii="Arial" w:hAnsi="Arial" w:cs="Arial"/>
                <w:b/>
              </w:rPr>
            </w:pPr>
            <w:r w:rsidRPr="001172A2">
              <w:rPr>
                <w:rFonts w:ascii="Arial" w:hAnsi="Arial" w:cs="Arial"/>
                <w:b/>
              </w:rPr>
              <w:t>Form</w:t>
            </w:r>
          </w:p>
        </w:tc>
        <w:tc>
          <w:tcPr>
            <w:tcW w:w="1533" w:type="dxa"/>
            <w:tcBorders>
              <w:top w:val="single" w:color="auto" w:sz="4" w:space="0"/>
              <w:left w:val="single" w:color="auto" w:sz="4" w:space="0"/>
              <w:bottom w:val="single" w:color="auto" w:sz="4" w:space="0"/>
              <w:right w:val="single" w:color="auto" w:sz="4" w:space="0"/>
            </w:tcBorders>
            <w:vAlign w:val="bottom"/>
            <w:hideMark/>
          </w:tcPr>
          <w:p w:rsidRPr="001172A2" w:rsidR="007A52E6" w:rsidP="009341B7" w:rsidRDefault="0071292F" w14:paraId="17218596" w14:textId="77777777">
            <w:pPr>
              <w:keepNext/>
              <w:keepLines/>
              <w:numPr>
                <w:ilvl w:val="12"/>
                <w:numId w:val="0"/>
              </w:numPr>
              <w:jc w:val="center"/>
              <w:rPr>
                <w:rFonts w:ascii="Arial" w:hAnsi="Arial" w:cs="Arial"/>
                <w:b/>
              </w:rPr>
            </w:pPr>
            <w:proofErr w:type="spellStart"/>
            <w:r>
              <w:rPr>
                <w:rFonts w:ascii="Arial" w:hAnsi="Arial" w:cs="Arial"/>
                <w:b/>
              </w:rPr>
              <w:t>Estimated</w:t>
            </w:r>
            <w:r w:rsidRPr="001172A2" w:rsidR="007A52E6">
              <w:rPr>
                <w:rFonts w:ascii="Arial" w:hAnsi="Arial" w:cs="Arial"/>
                <w:b/>
              </w:rPr>
              <w:t>Annual</w:t>
            </w:r>
            <w:proofErr w:type="spellEnd"/>
            <w:r w:rsidRPr="001172A2" w:rsidR="007A52E6">
              <w:rPr>
                <w:rFonts w:ascii="Arial" w:hAnsi="Arial" w:cs="Arial"/>
                <w:b/>
              </w:rPr>
              <w:t xml:space="preserve"> Responses</w:t>
            </w:r>
          </w:p>
        </w:tc>
        <w:tc>
          <w:tcPr>
            <w:tcW w:w="1439" w:type="dxa"/>
            <w:tcBorders>
              <w:top w:val="single" w:color="auto" w:sz="4" w:space="0"/>
              <w:left w:val="single" w:color="auto" w:sz="4" w:space="0"/>
              <w:bottom w:val="single" w:color="auto" w:sz="4" w:space="0"/>
              <w:right w:val="single" w:color="auto" w:sz="4" w:space="0"/>
            </w:tcBorders>
            <w:vAlign w:val="bottom"/>
            <w:hideMark/>
          </w:tcPr>
          <w:p w:rsidRPr="001172A2" w:rsidR="007A52E6" w:rsidP="009341B7" w:rsidRDefault="007A52E6" w14:paraId="7C0E7812" w14:textId="77777777">
            <w:pPr>
              <w:keepNext/>
              <w:keepLines/>
              <w:numPr>
                <w:ilvl w:val="12"/>
                <w:numId w:val="0"/>
              </w:numPr>
              <w:jc w:val="center"/>
              <w:rPr>
                <w:rFonts w:ascii="Arial" w:hAnsi="Arial" w:cs="Arial"/>
                <w:b/>
              </w:rPr>
            </w:pPr>
            <w:r w:rsidRPr="001172A2">
              <w:rPr>
                <w:rFonts w:ascii="Arial" w:hAnsi="Arial" w:cs="Arial"/>
                <w:b/>
              </w:rPr>
              <w:t>Hours per Response</w:t>
            </w:r>
          </w:p>
        </w:tc>
        <w:tc>
          <w:tcPr>
            <w:tcW w:w="1349" w:type="dxa"/>
            <w:tcBorders>
              <w:top w:val="single" w:color="auto" w:sz="4" w:space="0"/>
              <w:left w:val="single" w:color="auto" w:sz="4" w:space="0"/>
              <w:bottom w:val="single" w:color="auto" w:sz="4" w:space="0"/>
              <w:right w:val="single" w:color="auto" w:sz="4" w:space="0"/>
            </w:tcBorders>
            <w:vAlign w:val="bottom"/>
            <w:hideMark/>
          </w:tcPr>
          <w:p w:rsidRPr="001172A2" w:rsidR="007A52E6" w:rsidP="009341B7" w:rsidRDefault="007A52E6" w14:paraId="52214DAA" w14:textId="77777777">
            <w:pPr>
              <w:keepNext/>
              <w:keepLines/>
              <w:numPr>
                <w:ilvl w:val="12"/>
                <w:numId w:val="0"/>
              </w:numPr>
              <w:jc w:val="center"/>
              <w:rPr>
                <w:rFonts w:ascii="Arial" w:hAnsi="Arial" w:cs="Arial"/>
                <w:b/>
              </w:rPr>
            </w:pPr>
            <w:r w:rsidRPr="001172A2">
              <w:rPr>
                <w:rFonts w:ascii="Arial" w:hAnsi="Arial" w:cs="Arial"/>
                <w:b/>
              </w:rPr>
              <w:t>Total Burden</w:t>
            </w:r>
          </w:p>
        </w:tc>
      </w:tr>
      <w:tr w:rsidRPr="001172A2" w:rsidR="007A52E6" w:rsidTr="0009308E" w14:paraId="7665319E" w14:textId="77777777">
        <w:tc>
          <w:tcPr>
            <w:tcW w:w="1377" w:type="dxa"/>
            <w:tcBorders>
              <w:top w:val="single" w:color="auto" w:sz="4" w:space="0"/>
              <w:left w:val="single" w:color="auto" w:sz="4" w:space="0"/>
              <w:bottom w:val="single" w:color="auto" w:sz="4" w:space="0"/>
              <w:right w:val="single" w:color="auto" w:sz="4" w:space="0"/>
            </w:tcBorders>
          </w:tcPr>
          <w:p w:rsidRPr="001172A2" w:rsidR="007A52E6" w:rsidP="009341B7" w:rsidRDefault="007A52E6" w14:paraId="2CA86388" w14:textId="77777777">
            <w:pPr>
              <w:keepNext/>
              <w:keepLines/>
              <w:numPr>
                <w:ilvl w:val="12"/>
                <w:numId w:val="0"/>
              </w:numPr>
              <w:jc w:val="center"/>
              <w:rPr>
                <w:rFonts w:ascii="Arial" w:hAnsi="Arial" w:cs="Arial"/>
                <w:sz w:val="22"/>
                <w:szCs w:val="22"/>
              </w:rPr>
            </w:pPr>
          </w:p>
        </w:tc>
        <w:tc>
          <w:tcPr>
            <w:tcW w:w="1352" w:type="dxa"/>
            <w:tcBorders>
              <w:top w:val="single" w:color="auto" w:sz="4" w:space="0"/>
              <w:left w:val="single" w:color="auto" w:sz="4" w:space="0"/>
              <w:bottom w:val="single" w:color="auto" w:sz="4" w:space="0"/>
              <w:right w:val="single" w:color="auto" w:sz="4" w:space="0"/>
            </w:tcBorders>
            <w:vAlign w:val="bottom"/>
          </w:tcPr>
          <w:p w:rsidRPr="001172A2" w:rsidR="007A52E6" w:rsidP="009341B7" w:rsidRDefault="007A52E6" w14:paraId="52FF2D00" w14:textId="77777777">
            <w:pPr>
              <w:keepNext/>
              <w:keepLines/>
              <w:numPr>
                <w:ilvl w:val="12"/>
                <w:numId w:val="0"/>
              </w:numPr>
              <w:jc w:val="center"/>
              <w:rPr>
                <w:rFonts w:ascii="Arial" w:hAnsi="Arial" w:cs="Arial"/>
                <w:sz w:val="22"/>
                <w:szCs w:val="22"/>
              </w:rPr>
            </w:pPr>
          </w:p>
        </w:tc>
        <w:tc>
          <w:tcPr>
            <w:tcW w:w="1709" w:type="dxa"/>
            <w:tcBorders>
              <w:top w:val="single" w:color="auto" w:sz="4" w:space="0"/>
              <w:left w:val="single" w:color="auto" w:sz="4" w:space="0"/>
              <w:bottom w:val="single" w:color="auto" w:sz="4" w:space="0"/>
              <w:right w:val="single" w:color="auto" w:sz="4" w:space="0"/>
            </w:tcBorders>
            <w:vAlign w:val="bottom"/>
          </w:tcPr>
          <w:p w:rsidRPr="001172A2" w:rsidR="007A52E6" w:rsidP="009341B7" w:rsidRDefault="007A52E6" w14:paraId="226E359D" w14:textId="77777777">
            <w:pPr>
              <w:keepNext/>
              <w:keepLines/>
              <w:numPr>
                <w:ilvl w:val="12"/>
                <w:numId w:val="0"/>
              </w:numPr>
              <w:jc w:val="center"/>
              <w:rPr>
                <w:rFonts w:ascii="Arial" w:hAnsi="Arial" w:cs="Arial"/>
                <w:sz w:val="22"/>
                <w:szCs w:val="22"/>
              </w:rPr>
            </w:pPr>
          </w:p>
        </w:tc>
        <w:tc>
          <w:tcPr>
            <w:tcW w:w="1533" w:type="dxa"/>
            <w:tcBorders>
              <w:top w:val="single" w:color="auto" w:sz="4" w:space="0"/>
              <w:left w:val="single" w:color="auto" w:sz="4" w:space="0"/>
              <w:bottom w:val="single" w:color="auto" w:sz="4" w:space="0"/>
              <w:right w:val="single" w:color="auto" w:sz="4" w:space="0"/>
            </w:tcBorders>
            <w:vAlign w:val="bottom"/>
          </w:tcPr>
          <w:p w:rsidRPr="001172A2" w:rsidR="007A52E6" w:rsidP="009341B7" w:rsidRDefault="007A52E6" w14:paraId="790B8EFD" w14:textId="77777777">
            <w:pPr>
              <w:keepNext/>
              <w:keepLines/>
              <w:numPr>
                <w:ilvl w:val="12"/>
                <w:numId w:val="0"/>
              </w:numPr>
              <w:jc w:val="center"/>
              <w:rPr>
                <w:rFonts w:ascii="Arial" w:hAnsi="Arial" w:cs="Arial"/>
                <w:sz w:val="22"/>
                <w:szCs w:val="22"/>
              </w:rPr>
            </w:pPr>
          </w:p>
        </w:tc>
        <w:tc>
          <w:tcPr>
            <w:tcW w:w="1439" w:type="dxa"/>
            <w:tcBorders>
              <w:top w:val="single" w:color="auto" w:sz="4" w:space="0"/>
              <w:left w:val="single" w:color="auto" w:sz="4" w:space="0"/>
              <w:bottom w:val="single" w:color="auto" w:sz="4" w:space="0"/>
              <w:right w:val="single" w:color="auto" w:sz="4" w:space="0"/>
            </w:tcBorders>
            <w:vAlign w:val="bottom"/>
          </w:tcPr>
          <w:p w:rsidRPr="001172A2" w:rsidR="007A52E6" w:rsidP="009341B7" w:rsidRDefault="007A52E6" w14:paraId="4B7980A3" w14:textId="77777777">
            <w:pPr>
              <w:keepNext/>
              <w:keepLines/>
              <w:numPr>
                <w:ilvl w:val="12"/>
                <w:numId w:val="0"/>
              </w:numPr>
              <w:jc w:val="center"/>
              <w:rPr>
                <w:rFonts w:ascii="Arial" w:hAnsi="Arial" w:cs="Arial"/>
                <w:sz w:val="22"/>
                <w:szCs w:val="22"/>
              </w:rPr>
            </w:pPr>
          </w:p>
        </w:tc>
        <w:tc>
          <w:tcPr>
            <w:tcW w:w="1349" w:type="dxa"/>
            <w:tcBorders>
              <w:top w:val="single" w:color="auto" w:sz="4" w:space="0"/>
              <w:left w:val="single" w:color="auto" w:sz="4" w:space="0"/>
              <w:bottom w:val="single" w:color="auto" w:sz="4" w:space="0"/>
              <w:right w:val="single" w:color="auto" w:sz="4" w:space="0"/>
            </w:tcBorders>
            <w:vAlign w:val="bottom"/>
          </w:tcPr>
          <w:p w:rsidRPr="001172A2" w:rsidR="007A52E6" w:rsidP="009341B7" w:rsidRDefault="007A52E6" w14:paraId="0F48C974" w14:textId="77777777">
            <w:pPr>
              <w:keepNext/>
              <w:keepLines/>
              <w:numPr>
                <w:ilvl w:val="12"/>
                <w:numId w:val="0"/>
              </w:numPr>
              <w:jc w:val="center"/>
              <w:rPr>
                <w:rFonts w:ascii="Arial" w:hAnsi="Arial" w:cs="Arial"/>
                <w:sz w:val="22"/>
                <w:szCs w:val="22"/>
              </w:rPr>
            </w:pPr>
          </w:p>
        </w:tc>
      </w:tr>
      <w:tr w:rsidRPr="001172A2" w:rsidR="007A52E6" w:rsidTr="0009308E" w14:paraId="20DADE12" w14:textId="77777777">
        <w:tc>
          <w:tcPr>
            <w:tcW w:w="1377" w:type="dxa"/>
            <w:tcBorders>
              <w:top w:val="single" w:color="auto" w:sz="4" w:space="0"/>
              <w:left w:val="single" w:color="auto" w:sz="4" w:space="0"/>
              <w:bottom w:val="single" w:color="auto" w:sz="4" w:space="0"/>
              <w:right w:val="single" w:color="auto" w:sz="4" w:space="0"/>
            </w:tcBorders>
          </w:tcPr>
          <w:p w:rsidRPr="001172A2" w:rsidR="007A52E6" w:rsidP="009341B7" w:rsidRDefault="007A52E6" w14:paraId="232D695F" w14:textId="77777777">
            <w:pPr>
              <w:keepNext/>
              <w:keepLines/>
              <w:numPr>
                <w:ilvl w:val="12"/>
                <w:numId w:val="0"/>
              </w:numPr>
              <w:jc w:val="center"/>
              <w:rPr>
                <w:rFonts w:ascii="Arial" w:hAnsi="Arial" w:cs="Arial"/>
                <w:sz w:val="22"/>
                <w:szCs w:val="22"/>
              </w:rPr>
            </w:pPr>
          </w:p>
          <w:p w:rsidRPr="001172A2" w:rsidR="007A52E6" w:rsidP="009341B7" w:rsidRDefault="007A52E6" w14:paraId="20301570" w14:textId="77777777">
            <w:pPr>
              <w:keepNext/>
              <w:keepLines/>
              <w:numPr>
                <w:ilvl w:val="12"/>
                <w:numId w:val="0"/>
              </w:numPr>
              <w:jc w:val="center"/>
              <w:rPr>
                <w:rFonts w:ascii="Arial" w:hAnsi="Arial" w:cs="Arial"/>
                <w:sz w:val="22"/>
                <w:szCs w:val="22"/>
              </w:rPr>
            </w:pPr>
            <w:r w:rsidRPr="001172A2">
              <w:rPr>
                <w:rFonts w:ascii="Arial" w:hAnsi="Arial" w:cs="Arial"/>
                <w:sz w:val="22"/>
                <w:szCs w:val="22"/>
              </w:rPr>
              <w:t>1545-</w:t>
            </w:r>
            <w:r w:rsidR="0009308E">
              <w:rPr>
                <w:rFonts w:ascii="Arial" w:hAnsi="Arial" w:cs="Arial"/>
                <w:sz w:val="22"/>
                <w:szCs w:val="22"/>
              </w:rPr>
              <w:t>0112</w:t>
            </w:r>
          </w:p>
        </w:tc>
        <w:tc>
          <w:tcPr>
            <w:tcW w:w="1352" w:type="dxa"/>
            <w:tcBorders>
              <w:top w:val="single" w:color="auto" w:sz="4" w:space="0"/>
              <w:left w:val="single" w:color="auto" w:sz="4" w:space="0"/>
              <w:bottom w:val="single" w:color="auto" w:sz="4" w:space="0"/>
              <w:right w:val="single" w:color="auto" w:sz="4" w:space="0"/>
            </w:tcBorders>
            <w:vAlign w:val="bottom"/>
          </w:tcPr>
          <w:p w:rsidRPr="000264DC" w:rsidR="000264DC" w:rsidP="000264DC" w:rsidRDefault="000264DC" w14:paraId="6FB33ECE" w14:textId="77777777">
            <w:pPr>
              <w:keepNext/>
              <w:keepLines/>
              <w:numPr>
                <w:ilvl w:val="12"/>
                <w:numId w:val="0"/>
              </w:numPr>
              <w:jc w:val="center"/>
              <w:rPr>
                <w:rFonts w:ascii="Arial" w:hAnsi="Arial" w:cs="Arial"/>
                <w:sz w:val="22"/>
                <w:szCs w:val="22"/>
              </w:rPr>
            </w:pPr>
            <w:r w:rsidRPr="000264DC">
              <w:rPr>
                <w:rFonts w:ascii="Arial" w:hAnsi="Arial" w:cs="Arial"/>
                <w:sz w:val="22"/>
                <w:szCs w:val="22"/>
              </w:rPr>
              <w:t xml:space="preserve">CFR </w:t>
            </w:r>
          </w:p>
          <w:p w:rsidRPr="00BE7650" w:rsidR="007A52E6" w:rsidP="000264DC" w:rsidRDefault="000264DC" w14:paraId="4A7D4BDD" w14:textId="77777777">
            <w:pPr>
              <w:keepNext/>
              <w:keepLines/>
              <w:numPr>
                <w:ilvl w:val="12"/>
                <w:numId w:val="0"/>
              </w:numPr>
              <w:jc w:val="center"/>
              <w:rPr>
                <w:rFonts w:ascii="Arial" w:hAnsi="Arial" w:cs="Arial"/>
                <w:sz w:val="22"/>
                <w:szCs w:val="22"/>
              </w:rPr>
            </w:pPr>
            <w:r w:rsidRPr="000264DC">
              <w:rPr>
                <w:rFonts w:ascii="Arial" w:hAnsi="Arial" w:cs="Arial"/>
                <w:sz w:val="22"/>
                <w:szCs w:val="22"/>
              </w:rPr>
              <w:t>1.6045-1</w:t>
            </w:r>
          </w:p>
        </w:tc>
        <w:tc>
          <w:tcPr>
            <w:tcW w:w="1709" w:type="dxa"/>
            <w:tcBorders>
              <w:top w:val="single" w:color="auto" w:sz="4" w:space="0"/>
              <w:left w:val="single" w:color="auto" w:sz="4" w:space="0"/>
              <w:bottom w:val="single" w:color="auto" w:sz="4" w:space="0"/>
              <w:right w:val="single" w:color="auto" w:sz="4" w:space="0"/>
            </w:tcBorders>
            <w:vAlign w:val="bottom"/>
          </w:tcPr>
          <w:p w:rsidRPr="001172A2" w:rsidR="007A52E6" w:rsidP="009341B7" w:rsidRDefault="0009308E" w14:paraId="43D42DD5" w14:textId="77777777">
            <w:pPr>
              <w:keepNext/>
              <w:keepLines/>
              <w:numPr>
                <w:ilvl w:val="12"/>
                <w:numId w:val="0"/>
              </w:numPr>
              <w:jc w:val="center"/>
              <w:rPr>
                <w:rFonts w:ascii="Arial" w:hAnsi="Arial" w:cs="Arial"/>
                <w:sz w:val="22"/>
                <w:szCs w:val="22"/>
              </w:rPr>
            </w:pPr>
            <w:r>
              <w:rPr>
                <w:rFonts w:ascii="Arial" w:hAnsi="Arial" w:cs="Arial"/>
                <w:sz w:val="22"/>
                <w:szCs w:val="22"/>
              </w:rPr>
              <w:t>1099-INT</w:t>
            </w:r>
          </w:p>
        </w:tc>
        <w:tc>
          <w:tcPr>
            <w:tcW w:w="1533" w:type="dxa"/>
            <w:tcBorders>
              <w:top w:val="single" w:color="auto" w:sz="4" w:space="0"/>
              <w:left w:val="single" w:color="auto" w:sz="4" w:space="0"/>
              <w:bottom w:val="single" w:color="auto" w:sz="4" w:space="0"/>
              <w:right w:val="single" w:color="auto" w:sz="4" w:space="0"/>
            </w:tcBorders>
            <w:vAlign w:val="bottom"/>
          </w:tcPr>
          <w:p w:rsidRPr="001172A2" w:rsidR="007A52E6" w:rsidP="009341B7" w:rsidRDefault="0009308E" w14:paraId="3DEF2855" w14:textId="77777777">
            <w:pPr>
              <w:keepNext/>
              <w:keepLines/>
              <w:numPr>
                <w:ilvl w:val="12"/>
                <w:numId w:val="0"/>
              </w:numPr>
              <w:jc w:val="center"/>
              <w:rPr>
                <w:rFonts w:ascii="Arial" w:hAnsi="Arial" w:cs="Arial"/>
                <w:sz w:val="22"/>
                <w:szCs w:val="22"/>
              </w:rPr>
            </w:pPr>
            <w:r w:rsidRPr="0009308E">
              <w:rPr>
                <w:rFonts w:ascii="Arial" w:hAnsi="Arial" w:cs="Arial"/>
                <w:sz w:val="22"/>
                <w:szCs w:val="22"/>
              </w:rPr>
              <w:t>140,555,000</w:t>
            </w:r>
          </w:p>
        </w:tc>
        <w:tc>
          <w:tcPr>
            <w:tcW w:w="1439" w:type="dxa"/>
            <w:tcBorders>
              <w:top w:val="single" w:color="auto" w:sz="4" w:space="0"/>
              <w:left w:val="single" w:color="auto" w:sz="4" w:space="0"/>
              <w:bottom w:val="single" w:color="auto" w:sz="4" w:space="0"/>
              <w:right w:val="single" w:color="auto" w:sz="4" w:space="0"/>
            </w:tcBorders>
            <w:vAlign w:val="bottom"/>
          </w:tcPr>
          <w:p w:rsidRPr="001172A2" w:rsidR="007A52E6" w:rsidP="009341B7" w:rsidRDefault="007A52E6" w14:paraId="1AEB2A8F" w14:textId="77777777">
            <w:pPr>
              <w:keepNext/>
              <w:keepLines/>
              <w:numPr>
                <w:ilvl w:val="12"/>
                <w:numId w:val="0"/>
              </w:numPr>
              <w:jc w:val="center"/>
              <w:rPr>
                <w:rFonts w:ascii="Arial" w:hAnsi="Arial" w:cs="Arial"/>
                <w:sz w:val="22"/>
                <w:szCs w:val="22"/>
              </w:rPr>
            </w:pPr>
            <w:r>
              <w:rPr>
                <w:rFonts w:ascii="Arial" w:hAnsi="Arial" w:cs="Arial"/>
                <w:sz w:val="22"/>
                <w:szCs w:val="22"/>
              </w:rPr>
              <w:t>.</w:t>
            </w:r>
            <w:r w:rsidR="0009308E">
              <w:rPr>
                <w:rFonts w:ascii="Arial" w:hAnsi="Arial" w:cs="Arial"/>
                <w:sz w:val="22"/>
                <w:szCs w:val="22"/>
              </w:rPr>
              <w:t>33</w:t>
            </w:r>
          </w:p>
        </w:tc>
        <w:tc>
          <w:tcPr>
            <w:tcW w:w="1349" w:type="dxa"/>
            <w:tcBorders>
              <w:top w:val="single" w:color="auto" w:sz="4" w:space="0"/>
              <w:left w:val="single" w:color="auto" w:sz="4" w:space="0"/>
              <w:bottom w:val="single" w:color="auto" w:sz="4" w:space="0"/>
              <w:right w:val="single" w:color="auto" w:sz="4" w:space="0"/>
            </w:tcBorders>
            <w:vAlign w:val="bottom"/>
          </w:tcPr>
          <w:p w:rsidRPr="001172A2" w:rsidR="007A52E6" w:rsidP="0009308E" w:rsidRDefault="0009308E" w14:paraId="4ACC7615" w14:textId="77777777">
            <w:pPr>
              <w:keepNext/>
              <w:keepLines/>
              <w:numPr>
                <w:ilvl w:val="12"/>
                <w:numId w:val="0"/>
              </w:numPr>
              <w:jc w:val="right"/>
              <w:rPr>
                <w:rFonts w:ascii="Arial" w:hAnsi="Arial" w:cs="Arial"/>
                <w:sz w:val="22"/>
                <w:szCs w:val="22"/>
              </w:rPr>
            </w:pPr>
            <w:r>
              <w:rPr>
                <w:rFonts w:ascii="Arial" w:hAnsi="Arial" w:cs="Arial"/>
                <w:sz w:val="22"/>
                <w:szCs w:val="22"/>
              </w:rPr>
              <w:t>46,383,150</w:t>
            </w:r>
          </w:p>
        </w:tc>
      </w:tr>
      <w:tr w:rsidRPr="001172A2" w:rsidR="007A52E6" w:rsidTr="0009308E" w14:paraId="21821C13" w14:textId="77777777">
        <w:tc>
          <w:tcPr>
            <w:tcW w:w="1377" w:type="dxa"/>
            <w:tcBorders>
              <w:top w:val="single" w:color="auto" w:sz="4" w:space="0"/>
              <w:left w:val="single" w:color="auto" w:sz="4" w:space="0"/>
              <w:bottom w:val="single" w:color="auto" w:sz="4" w:space="0"/>
              <w:right w:val="single" w:color="auto" w:sz="4" w:space="0"/>
            </w:tcBorders>
          </w:tcPr>
          <w:p w:rsidR="007A52E6" w:rsidP="009341B7" w:rsidRDefault="007A52E6" w14:paraId="0786153C" w14:textId="77777777">
            <w:pPr>
              <w:keepNext/>
              <w:keepLines/>
              <w:numPr>
                <w:ilvl w:val="12"/>
                <w:numId w:val="0"/>
              </w:numPr>
              <w:jc w:val="center"/>
              <w:rPr>
                <w:rFonts w:ascii="Arial" w:hAnsi="Arial" w:cs="Arial"/>
                <w:sz w:val="22"/>
                <w:szCs w:val="22"/>
              </w:rPr>
            </w:pPr>
          </w:p>
          <w:p w:rsidRPr="0009308E" w:rsidR="0009308E" w:rsidP="009341B7" w:rsidRDefault="0009308E" w14:paraId="3DE95738" w14:textId="77777777">
            <w:pPr>
              <w:keepNext/>
              <w:keepLines/>
              <w:numPr>
                <w:ilvl w:val="12"/>
                <w:numId w:val="0"/>
              </w:numPr>
              <w:jc w:val="center"/>
              <w:rPr>
                <w:rFonts w:ascii="Arial" w:hAnsi="Arial" w:cs="Arial"/>
                <w:sz w:val="22"/>
                <w:szCs w:val="22"/>
              </w:rPr>
            </w:pPr>
            <w:r>
              <w:rPr>
                <w:rFonts w:ascii="Arial" w:hAnsi="Arial" w:cs="Arial"/>
                <w:sz w:val="22"/>
                <w:szCs w:val="22"/>
              </w:rPr>
              <w:t>1545-0112</w:t>
            </w:r>
          </w:p>
        </w:tc>
        <w:tc>
          <w:tcPr>
            <w:tcW w:w="1352" w:type="dxa"/>
            <w:tcBorders>
              <w:top w:val="single" w:color="auto" w:sz="4" w:space="0"/>
              <w:left w:val="single" w:color="auto" w:sz="4" w:space="0"/>
              <w:bottom w:val="single" w:color="auto" w:sz="4" w:space="0"/>
              <w:right w:val="single" w:color="auto" w:sz="4" w:space="0"/>
            </w:tcBorders>
            <w:vAlign w:val="bottom"/>
          </w:tcPr>
          <w:p w:rsidRPr="0009308E" w:rsidR="0009308E" w:rsidP="009341B7" w:rsidRDefault="0009308E" w14:paraId="3BC3D091" w14:textId="77777777">
            <w:pPr>
              <w:keepNext/>
              <w:keepLines/>
              <w:numPr>
                <w:ilvl w:val="12"/>
                <w:numId w:val="0"/>
              </w:numPr>
              <w:jc w:val="center"/>
              <w:rPr>
                <w:rFonts w:ascii="Arial" w:hAnsi="Arial" w:cs="Arial"/>
                <w:sz w:val="22"/>
                <w:szCs w:val="22"/>
              </w:rPr>
            </w:pPr>
          </w:p>
        </w:tc>
        <w:tc>
          <w:tcPr>
            <w:tcW w:w="1709" w:type="dxa"/>
            <w:tcBorders>
              <w:top w:val="single" w:color="auto" w:sz="4" w:space="0"/>
              <w:left w:val="single" w:color="auto" w:sz="4" w:space="0"/>
              <w:bottom w:val="single" w:color="auto" w:sz="4" w:space="0"/>
              <w:right w:val="single" w:color="auto" w:sz="4" w:space="0"/>
            </w:tcBorders>
            <w:vAlign w:val="bottom"/>
          </w:tcPr>
          <w:p w:rsidR="0009308E" w:rsidP="009341B7" w:rsidRDefault="0009308E" w14:paraId="6225209E" w14:textId="77777777">
            <w:pPr>
              <w:keepNext/>
              <w:keepLines/>
              <w:numPr>
                <w:ilvl w:val="12"/>
                <w:numId w:val="0"/>
              </w:numPr>
              <w:jc w:val="center"/>
              <w:rPr>
                <w:rFonts w:ascii="Arial" w:hAnsi="Arial" w:cs="Arial"/>
                <w:sz w:val="22"/>
                <w:szCs w:val="22"/>
              </w:rPr>
            </w:pPr>
            <w:r w:rsidRPr="0009308E">
              <w:rPr>
                <w:rFonts w:ascii="Arial" w:hAnsi="Arial" w:cs="Arial"/>
                <w:sz w:val="22"/>
                <w:szCs w:val="22"/>
              </w:rPr>
              <w:t>1099-INT</w:t>
            </w:r>
            <w:r>
              <w:rPr>
                <w:rFonts w:ascii="Arial" w:hAnsi="Arial" w:cs="Arial"/>
                <w:sz w:val="22"/>
                <w:szCs w:val="22"/>
              </w:rPr>
              <w:t xml:space="preserve"> </w:t>
            </w:r>
          </w:p>
          <w:p w:rsidRPr="0009308E" w:rsidR="007A52E6" w:rsidP="009341B7" w:rsidRDefault="0009308E" w14:paraId="4561345A" w14:textId="42DB317F">
            <w:pPr>
              <w:keepNext/>
              <w:keepLines/>
              <w:numPr>
                <w:ilvl w:val="12"/>
                <w:numId w:val="0"/>
              </w:numPr>
              <w:jc w:val="center"/>
              <w:rPr>
                <w:rFonts w:ascii="Arial" w:hAnsi="Arial" w:cs="Arial"/>
                <w:sz w:val="22"/>
                <w:szCs w:val="22"/>
              </w:rPr>
            </w:pPr>
            <w:r>
              <w:rPr>
                <w:rFonts w:ascii="Arial" w:hAnsi="Arial" w:cs="Arial"/>
                <w:sz w:val="22"/>
                <w:szCs w:val="22"/>
              </w:rPr>
              <w:t>(Box 5)</w:t>
            </w:r>
            <w:r w:rsidRPr="003435DD" w:rsidR="003435DD">
              <w:rPr>
                <w:rStyle w:val="FootnoteReference"/>
                <w:rFonts w:ascii="Times New Roman" w:hAnsi="Times New Roman"/>
                <w:sz w:val="18"/>
                <w:szCs w:val="18"/>
                <w:vertAlign w:val="superscript"/>
              </w:rPr>
              <w:footnoteReference w:id="1"/>
            </w:r>
          </w:p>
        </w:tc>
        <w:tc>
          <w:tcPr>
            <w:tcW w:w="1533" w:type="dxa"/>
            <w:tcBorders>
              <w:top w:val="single" w:color="auto" w:sz="4" w:space="0"/>
              <w:left w:val="single" w:color="auto" w:sz="4" w:space="0"/>
              <w:bottom w:val="single" w:color="auto" w:sz="4" w:space="0"/>
              <w:right w:val="single" w:color="auto" w:sz="4" w:space="0"/>
            </w:tcBorders>
            <w:vAlign w:val="bottom"/>
          </w:tcPr>
          <w:p w:rsidRPr="0009308E" w:rsidR="007A52E6" w:rsidP="009341B7" w:rsidRDefault="0009308E" w14:paraId="3D222A33" w14:textId="77777777">
            <w:pPr>
              <w:keepNext/>
              <w:keepLines/>
              <w:numPr>
                <w:ilvl w:val="12"/>
                <w:numId w:val="0"/>
              </w:numPr>
              <w:jc w:val="center"/>
              <w:rPr>
                <w:rFonts w:ascii="Arial" w:hAnsi="Arial" w:cs="Arial"/>
                <w:sz w:val="22"/>
                <w:szCs w:val="22"/>
              </w:rPr>
            </w:pPr>
            <w:r>
              <w:rPr>
                <w:rFonts w:ascii="Arial" w:hAnsi="Arial" w:cs="Arial"/>
                <w:sz w:val="22"/>
                <w:szCs w:val="22"/>
              </w:rPr>
              <w:t>1,000,000</w:t>
            </w:r>
          </w:p>
        </w:tc>
        <w:tc>
          <w:tcPr>
            <w:tcW w:w="1439" w:type="dxa"/>
            <w:tcBorders>
              <w:top w:val="single" w:color="auto" w:sz="4" w:space="0"/>
              <w:left w:val="single" w:color="auto" w:sz="4" w:space="0"/>
              <w:bottom w:val="single" w:color="auto" w:sz="4" w:space="0"/>
              <w:right w:val="single" w:color="auto" w:sz="4" w:space="0"/>
            </w:tcBorders>
            <w:vAlign w:val="bottom"/>
          </w:tcPr>
          <w:p w:rsidRPr="0009308E" w:rsidR="007A52E6" w:rsidP="0009308E" w:rsidRDefault="0009308E" w14:paraId="62B9C7A2" w14:textId="77777777">
            <w:pPr>
              <w:jc w:val="center"/>
              <w:rPr>
                <w:rFonts w:ascii="Arial" w:hAnsi="Arial" w:cs="Arial"/>
                <w:sz w:val="22"/>
                <w:szCs w:val="22"/>
              </w:rPr>
            </w:pPr>
            <w:r>
              <w:rPr>
                <w:rFonts w:ascii="Arial" w:hAnsi="Arial" w:cs="Arial"/>
                <w:sz w:val="22"/>
                <w:szCs w:val="22"/>
              </w:rPr>
              <w:t>.02</w:t>
            </w:r>
          </w:p>
        </w:tc>
        <w:tc>
          <w:tcPr>
            <w:tcW w:w="1349" w:type="dxa"/>
            <w:tcBorders>
              <w:top w:val="single" w:color="auto" w:sz="4" w:space="0"/>
              <w:left w:val="single" w:color="auto" w:sz="4" w:space="0"/>
              <w:bottom w:val="single" w:color="auto" w:sz="4" w:space="0"/>
              <w:right w:val="single" w:color="auto" w:sz="4" w:space="0"/>
            </w:tcBorders>
            <w:vAlign w:val="bottom"/>
          </w:tcPr>
          <w:p w:rsidRPr="0009308E" w:rsidR="007A52E6" w:rsidP="0009308E" w:rsidRDefault="0009308E" w14:paraId="0C2C7B47" w14:textId="77777777">
            <w:pPr>
              <w:keepNext/>
              <w:keepLines/>
              <w:numPr>
                <w:ilvl w:val="12"/>
                <w:numId w:val="0"/>
              </w:numPr>
              <w:jc w:val="right"/>
              <w:rPr>
                <w:rFonts w:ascii="Arial" w:hAnsi="Arial" w:cs="Arial"/>
                <w:sz w:val="22"/>
                <w:szCs w:val="22"/>
              </w:rPr>
            </w:pPr>
            <w:r>
              <w:rPr>
                <w:rFonts w:ascii="Arial" w:hAnsi="Arial" w:cs="Arial"/>
                <w:sz w:val="22"/>
                <w:szCs w:val="22"/>
              </w:rPr>
              <w:t>20,000</w:t>
            </w:r>
          </w:p>
        </w:tc>
      </w:tr>
      <w:tr w:rsidRPr="001172A2" w:rsidR="0009308E" w:rsidTr="0009308E" w14:paraId="3BDB8CB1" w14:textId="77777777">
        <w:tc>
          <w:tcPr>
            <w:tcW w:w="1377" w:type="dxa"/>
            <w:tcBorders>
              <w:top w:val="single" w:color="auto" w:sz="4" w:space="0"/>
              <w:left w:val="single" w:color="auto" w:sz="4" w:space="0"/>
              <w:bottom w:val="single" w:color="auto" w:sz="4" w:space="0"/>
              <w:right w:val="single" w:color="auto" w:sz="4" w:space="0"/>
            </w:tcBorders>
          </w:tcPr>
          <w:p w:rsidRPr="001172A2" w:rsidR="0009308E" w:rsidP="0009308E" w:rsidRDefault="0009308E" w14:paraId="177BD11B" w14:textId="77777777">
            <w:pPr>
              <w:keepNext/>
              <w:keepLines/>
              <w:numPr>
                <w:ilvl w:val="12"/>
                <w:numId w:val="0"/>
              </w:numPr>
              <w:jc w:val="center"/>
              <w:rPr>
                <w:rFonts w:ascii="Arial" w:hAnsi="Arial" w:cs="Arial"/>
                <w:b/>
              </w:rPr>
            </w:pPr>
          </w:p>
        </w:tc>
        <w:tc>
          <w:tcPr>
            <w:tcW w:w="1352" w:type="dxa"/>
            <w:tcBorders>
              <w:top w:val="single" w:color="auto" w:sz="4" w:space="0"/>
              <w:left w:val="single" w:color="auto" w:sz="4" w:space="0"/>
              <w:bottom w:val="single" w:color="auto" w:sz="4" w:space="0"/>
              <w:right w:val="single" w:color="auto" w:sz="4" w:space="0"/>
            </w:tcBorders>
            <w:vAlign w:val="bottom"/>
          </w:tcPr>
          <w:p w:rsidRPr="0009308E" w:rsidR="0009308E" w:rsidP="0009308E" w:rsidRDefault="0009308E" w14:paraId="0411C83D" w14:textId="77777777">
            <w:pPr>
              <w:keepNext/>
              <w:keepLines/>
              <w:numPr>
                <w:ilvl w:val="12"/>
                <w:numId w:val="0"/>
              </w:numPr>
              <w:jc w:val="center"/>
              <w:rPr>
                <w:rFonts w:ascii="Arial" w:hAnsi="Arial" w:cs="Arial"/>
                <w:b/>
                <w:sz w:val="22"/>
                <w:szCs w:val="22"/>
              </w:rPr>
            </w:pPr>
            <w:r w:rsidRPr="0009308E">
              <w:rPr>
                <w:rFonts w:ascii="Arial" w:hAnsi="Arial" w:cs="Arial"/>
                <w:b/>
                <w:sz w:val="22"/>
                <w:szCs w:val="22"/>
              </w:rPr>
              <w:t>IRS TOTAL</w:t>
            </w:r>
          </w:p>
        </w:tc>
        <w:tc>
          <w:tcPr>
            <w:tcW w:w="1709" w:type="dxa"/>
            <w:tcBorders>
              <w:top w:val="single" w:color="auto" w:sz="4" w:space="0"/>
              <w:left w:val="single" w:color="auto" w:sz="4" w:space="0"/>
              <w:bottom w:val="single" w:color="auto" w:sz="4" w:space="0"/>
              <w:right w:val="single" w:color="auto" w:sz="4" w:space="0"/>
            </w:tcBorders>
            <w:vAlign w:val="bottom"/>
          </w:tcPr>
          <w:p w:rsidRPr="001172A2" w:rsidR="0009308E" w:rsidP="0009308E" w:rsidRDefault="0009308E" w14:paraId="393B6DF4" w14:textId="77777777">
            <w:pPr>
              <w:keepNext/>
              <w:keepLines/>
              <w:numPr>
                <w:ilvl w:val="12"/>
                <w:numId w:val="0"/>
              </w:numPr>
              <w:jc w:val="center"/>
              <w:rPr>
                <w:rFonts w:ascii="Arial" w:hAnsi="Arial" w:cs="Arial"/>
                <w:b/>
              </w:rPr>
            </w:pPr>
          </w:p>
        </w:tc>
        <w:tc>
          <w:tcPr>
            <w:tcW w:w="1533" w:type="dxa"/>
            <w:tcBorders>
              <w:top w:val="single" w:color="auto" w:sz="4" w:space="0"/>
              <w:left w:val="single" w:color="auto" w:sz="4" w:space="0"/>
              <w:bottom w:val="single" w:color="auto" w:sz="4" w:space="0"/>
              <w:right w:val="single" w:color="auto" w:sz="4" w:space="0"/>
            </w:tcBorders>
            <w:vAlign w:val="bottom"/>
          </w:tcPr>
          <w:p w:rsidRPr="0009308E" w:rsidR="0009308E" w:rsidP="0009308E" w:rsidRDefault="0009308E" w14:paraId="37F60069" w14:textId="77777777">
            <w:pPr>
              <w:keepNext/>
              <w:keepLines/>
              <w:numPr>
                <w:ilvl w:val="12"/>
                <w:numId w:val="0"/>
              </w:numPr>
              <w:jc w:val="center"/>
              <w:rPr>
                <w:rFonts w:ascii="Arial" w:hAnsi="Arial" w:cs="Arial"/>
                <w:b/>
                <w:sz w:val="22"/>
                <w:szCs w:val="22"/>
              </w:rPr>
            </w:pPr>
            <w:r w:rsidRPr="0009308E">
              <w:rPr>
                <w:rFonts w:ascii="Arial" w:hAnsi="Arial" w:cs="Arial"/>
                <w:b/>
                <w:sz w:val="22"/>
                <w:szCs w:val="22"/>
              </w:rPr>
              <w:t>141,555,000</w:t>
            </w:r>
          </w:p>
        </w:tc>
        <w:tc>
          <w:tcPr>
            <w:tcW w:w="1439" w:type="dxa"/>
            <w:tcBorders>
              <w:top w:val="single" w:color="auto" w:sz="4" w:space="0"/>
              <w:left w:val="single" w:color="auto" w:sz="4" w:space="0"/>
              <w:bottom w:val="single" w:color="auto" w:sz="4" w:space="0"/>
              <w:right w:val="single" w:color="auto" w:sz="4" w:space="0"/>
            </w:tcBorders>
            <w:vAlign w:val="bottom"/>
          </w:tcPr>
          <w:p w:rsidRPr="001172A2" w:rsidR="0009308E" w:rsidP="0009308E" w:rsidRDefault="0009308E" w14:paraId="737A7CA8" w14:textId="77777777">
            <w:pPr>
              <w:rPr>
                <w:rFonts w:ascii="Arial" w:hAnsi="Arial" w:cs="Arial"/>
                <w:b/>
              </w:rPr>
            </w:pPr>
          </w:p>
        </w:tc>
        <w:tc>
          <w:tcPr>
            <w:tcW w:w="1349" w:type="dxa"/>
            <w:tcBorders>
              <w:top w:val="single" w:color="auto" w:sz="4" w:space="0"/>
              <w:left w:val="single" w:color="auto" w:sz="4" w:space="0"/>
              <w:bottom w:val="single" w:color="auto" w:sz="4" w:space="0"/>
              <w:right w:val="single" w:color="auto" w:sz="4" w:space="0"/>
            </w:tcBorders>
            <w:vAlign w:val="bottom"/>
          </w:tcPr>
          <w:p w:rsidRPr="0009308E" w:rsidR="0009308E" w:rsidP="0009308E" w:rsidRDefault="0009308E" w14:paraId="3D0D21EE" w14:textId="77777777">
            <w:pPr>
              <w:keepNext/>
              <w:keepLines/>
              <w:numPr>
                <w:ilvl w:val="12"/>
                <w:numId w:val="0"/>
              </w:numPr>
              <w:jc w:val="right"/>
              <w:rPr>
                <w:rFonts w:ascii="Arial" w:hAnsi="Arial" w:cs="Arial"/>
                <w:b/>
                <w:sz w:val="22"/>
                <w:szCs w:val="22"/>
              </w:rPr>
            </w:pPr>
            <w:r>
              <w:rPr>
                <w:rFonts w:ascii="Arial" w:hAnsi="Arial" w:cs="Arial"/>
                <w:b/>
                <w:sz w:val="22"/>
                <w:szCs w:val="22"/>
              </w:rPr>
              <w:t>46,403,150</w:t>
            </w:r>
          </w:p>
        </w:tc>
      </w:tr>
    </w:tbl>
    <w:p w:rsidR="0042327E" w:rsidRDefault="0042327E" w14:paraId="70B124FC" w14:textId="77777777">
      <w:pPr>
        <w:rPr>
          <w:rFonts w:ascii="Times New Roman" w:hAnsi="Times New Roman"/>
        </w:rPr>
      </w:pPr>
      <w:r w:rsidRPr="00F820CF">
        <w:rPr>
          <w:rFonts w:ascii="Times New Roman" w:hAnsi="Times New Roman"/>
        </w:rPr>
        <w:t xml:space="preserve">     </w:t>
      </w:r>
    </w:p>
    <w:p w:rsidRPr="00DF58EE" w:rsidR="00895219" w:rsidP="00895219" w:rsidRDefault="00895219" w14:paraId="56E4CAB6" w14:textId="77777777">
      <w:pPr>
        <w:ind w:left="720"/>
        <w:rPr>
          <w:rFonts w:ascii="Times New Roman" w:hAnsi="Times New Roman"/>
        </w:rPr>
      </w:pPr>
      <w:r w:rsidRPr="00DF58EE">
        <w:rPr>
          <w:rFonts w:ascii="Times New Roman" w:hAnsi="Times New Roman"/>
        </w:rPr>
        <w:t>The following regulation imposes no additional burden. Please continue to assign            OMB number 1545-</w:t>
      </w:r>
      <w:r w:rsidR="00DF48FC">
        <w:rPr>
          <w:rFonts w:ascii="Times New Roman" w:hAnsi="Times New Roman"/>
        </w:rPr>
        <w:t>0112</w:t>
      </w:r>
      <w:r w:rsidRPr="00DF58EE">
        <w:rPr>
          <w:rFonts w:ascii="Times New Roman" w:hAnsi="Times New Roman"/>
        </w:rPr>
        <w:t xml:space="preserve"> to this regulation.</w:t>
      </w:r>
    </w:p>
    <w:p w:rsidRPr="00DF58EE" w:rsidR="00895219" w:rsidP="00895219" w:rsidRDefault="00895219" w14:paraId="22418900" w14:textId="77777777">
      <w:pPr>
        <w:ind w:left="720"/>
        <w:rPr>
          <w:rFonts w:ascii="Times New Roman" w:hAnsi="Times New Roman"/>
        </w:rPr>
      </w:pPr>
      <w:r w:rsidRPr="00DF58EE">
        <w:rPr>
          <w:rFonts w:ascii="Times New Roman" w:hAnsi="Times New Roman"/>
        </w:rPr>
        <w:t xml:space="preserve">     </w:t>
      </w:r>
    </w:p>
    <w:p w:rsidRPr="00DF48FC" w:rsidR="00DF48FC" w:rsidP="00DF48FC" w:rsidRDefault="00895219" w14:paraId="47319985" w14:textId="77777777">
      <w:pPr>
        <w:ind w:left="720"/>
        <w:rPr>
          <w:rFonts w:ascii="Times New Roman" w:hAnsi="Times New Roman"/>
        </w:rPr>
      </w:pPr>
      <w:r w:rsidRPr="00DF58EE">
        <w:rPr>
          <w:rFonts w:ascii="Times New Roman" w:hAnsi="Times New Roman"/>
        </w:rPr>
        <w:lastRenderedPageBreak/>
        <w:t xml:space="preserve">       </w:t>
      </w:r>
      <w:r w:rsidRPr="00DF58EE">
        <w:rPr>
          <w:rFonts w:ascii="Times New Roman" w:hAnsi="Times New Roman"/>
        </w:rPr>
        <w:tab/>
      </w:r>
      <w:r w:rsidRPr="00DF48FC" w:rsidR="00DF48FC">
        <w:rPr>
          <w:rFonts w:ascii="Times New Roman" w:hAnsi="Times New Roman"/>
        </w:rPr>
        <w:t>1.6041‑1</w:t>
      </w:r>
      <w:r w:rsidR="00DF48FC">
        <w:rPr>
          <w:rFonts w:ascii="Times New Roman" w:hAnsi="Times New Roman"/>
        </w:rPr>
        <w:tab/>
      </w:r>
      <w:r w:rsidR="00DF48FC">
        <w:rPr>
          <w:rFonts w:ascii="Times New Roman" w:hAnsi="Times New Roman"/>
        </w:rPr>
        <w:tab/>
      </w:r>
      <w:r w:rsidRPr="00DF48FC" w:rsidR="00DF48FC">
        <w:rPr>
          <w:rFonts w:ascii="Times New Roman" w:hAnsi="Times New Roman"/>
        </w:rPr>
        <w:t>1.6041‑7(a)</w:t>
      </w:r>
      <w:r w:rsidR="00DF48FC">
        <w:rPr>
          <w:rFonts w:ascii="Times New Roman" w:hAnsi="Times New Roman"/>
        </w:rPr>
        <w:tab/>
      </w:r>
      <w:r w:rsidR="00DF48FC">
        <w:rPr>
          <w:rFonts w:ascii="Times New Roman" w:hAnsi="Times New Roman"/>
        </w:rPr>
        <w:tab/>
      </w:r>
      <w:r w:rsidRPr="00DF48FC" w:rsidR="00DF48FC">
        <w:rPr>
          <w:rFonts w:ascii="Times New Roman" w:hAnsi="Times New Roman"/>
        </w:rPr>
        <w:t>1.6041‑7(b)</w:t>
      </w:r>
      <w:r w:rsidR="00DF48FC">
        <w:rPr>
          <w:rFonts w:ascii="Times New Roman" w:hAnsi="Times New Roman"/>
        </w:rPr>
        <w:tab/>
      </w:r>
      <w:r w:rsidR="00DF48FC">
        <w:rPr>
          <w:rFonts w:ascii="Times New Roman" w:hAnsi="Times New Roman"/>
        </w:rPr>
        <w:tab/>
      </w:r>
      <w:r w:rsidRPr="00DF48FC" w:rsidR="00DF48FC">
        <w:rPr>
          <w:rFonts w:ascii="Times New Roman" w:hAnsi="Times New Roman"/>
        </w:rPr>
        <w:t>1.6049‑4</w:t>
      </w:r>
    </w:p>
    <w:p w:rsidRPr="00DF48FC" w:rsidR="00DF48FC" w:rsidP="007A52E6" w:rsidRDefault="00DF48FC" w14:paraId="54DB58F5" w14:textId="24672044">
      <w:pPr>
        <w:ind w:left="720" w:firstLine="720"/>
        <w:rPr>
          <w:rFonts w:ascii="Times New Roman" w:hAnsi="Times New Roman"/>
        </w:rPr>
      </w:pPr>
      <w:r w:rsidRPr="00DF48FC">
        <w:rPr>
          <w:rFonts w:ascii="Times New Roman" w:hAnsi="Times New Roman"/>
        </w:rPr>
        <w:t>1.6049‑5</w:t>
      </w:r>
      <w:r>
        <w:rPr>
          <w:rFonts w:ascii="Times New Roman" w:hAnsi="Times New Roman"/>
        </w:rPr>
        <w:tab/>
      </w:r>
      <w:r>
        <w:rPr>
          <w:rFonts w:ascii="Times New Roman" w:hAnsi="Times New Roman"/>
        </w:rPr>
        <w:tab/>
      </w:r>
      <w:r w:rsidRPr="00DF48FC">
        <w:rPr>
          <w:rFonts w:ascii="Times New Roman" w:hAnsi="Times New Roman"/>
        </w:rPr>
        <w:t>1.6049-7</w:t>
      </w:r>
      <w:r>
        <w:rPr>
          <w:rFonts w:ascii="Times New Roman" w:hAnsi="Times New Roman"/>
        </w:rPr>
        <w:tab/>
      </w:r>
      <w:r>
        <w:rPr>
          <w:rFonts w:ascii="Times New Roman" w:hAnsi="Times New Roman"/>
        </w:rPr>
        <w:tab/>
      </w:r>
      <w:r w:rsidRPr="00DF48FC">
        <w:rPr>
          <w:rFonts w:ascii="Times New Roman" w:hAnsi="Times New Roman"/>
        </w:rPr>
        <w:t>1.67-3T</w:t>
      </w:r>
      <w:r w:rsidR="007A52E6">
        <w:rPr>
          <w:rFonts w:ascii="Times New Roman" w:hAnsi="Times New Roman"/>
        </w:rPr>
        <w:tab/>
      </w:r>
      <w:r w:rsidR="007A52E6">
        <w:rPr>
          <w:rFonts w:ascii="Times New Roman" w:hAnsi="Times New Roman"/>
        </w:rPr>
        <w:tab/>
      </w:r>
      <w:r w:rsidRPr="00DF48FC">
        <w:rPr>
          <w:rFonts w:ascii="Times New Roman" w:hAnsi="Times New Roman"/>
        </w:rPr>
        <w:t>1.860D-1</w:t>
      </w:r>
    </w:p>
    <w:p w:rsidRPr="00DF48FC" w:rsidR="00DF48FC" w:rsidP="007A52E6" w:rsidRDefault="00DF48FC" w14:paraId="7DF0A071" w14:textId="77777777">
      <w:pPr>
        <w:ind w:left="720" w:firstLine="720"/>
        <w:rPr>
          <w:rFonts w:ascii="Times New Roman" w:hAnsi="Times New Roman"/>
        </w:rPr>
      </w:pPr>
      <w:r w:rsidRPr="00DF48FC">
        <w:rPr>
          <w:rFonts w:ascii="Times New Roman" w:hAnsi="Times New Roman"/>
        </w:rPr>
        <w:t>1.860F-4</w:t>
      </w:r>
      <w:r w:rsidR="007A52E6">
        <w:rPr>
          <w:rFonts w:ascii="Times New Roman" w:hAnsi="Times New Roman"/>
        </w:rPr>
        <w:tab/>
      </w:r>
      <w:r w:rsidR="007A52E6">
        <w:rPr>
          <w:rFonts w:ascii="Times New Roman" w:hAnsi="Times New Roman"/>
        </w:rPr>
        <w:tab/>
      </w:r>
      <w:r w:rsidRPr="00DF48FC">
        <w:rPr>
          <w:rFonts w:ascii="Times New Roman" w:hAnsi="Times New Roman"/>
        </w:rPr>
        <w:t>31.3406(a)(b)(c)(d)(e)(g)(h)</w:t>
      </w:r>
      <w:r w:rsidR="007A52E6">
        <w:rPr>
          <w:rFonts w:ascii="Times New Roman" w:hAnsi="Times New Roman"/>
        </w:rPr>
        <w:tab/>
      </w:r>
      <w:r w:rsidR="007A52E6">
        <w:rPr>
          <w:rFonts w:ascii="Times New Roman" w:hAnsi="Times New Roman"/>
        </w:rPr>
        <w:tab/>
      </w:r>
      <w:r w:rsidR="007A52E6">
        <w:rPr>
          <w:rFonts w:ascii="Times New Roman" w:hAnsi="Times New Roman"/>
        </w:rPr>
        <w:tab/>
      </w:r>
      <w:r w:rsidRPr="00DF48FC">
        <w:rPr>
          <w:rFonts w:ascii="Times New Roman" w:hAnsi="Times New Roman"/>
        </w:rPr>
        <w:t>31.6011(a)-10</w:t>
      </w:r>
    </w:p>
    <w:p w:rsidRPr="00DF48FC" w:rsidR="00DF48FC" w:rsidP="00DF48FC" w:rsidRDefault="00DF48FC" w14:paraId="13480F68" w14:textId="77777777">
      <w:pPr>
        <w:ind w:left="720"/>
        <w:rPr>
          <w:rFonts w:ascii="Times New Roman" w:hAnsi="Times New Roman"/>
        </w:rPr>
      </w:pPr>
      <w:r w:rsidRPr="00DF48FC">
        <w:rPr>
          <w:rFonts w:ascii="Times New Roman" w:hAnsi="Times New Roman"/>
        </w:rPr>
        <w:tab/>
        <w:t>31.6051-4</w:t>
      </w:r>
      <w:r w:rsidR="007A52E6">
        <w:rPr>
          <w:rFonts w:ascii="Times New Roman" w:hAnsi="Times New Roman"/>
        </w:rPr>
        <w:tab/>
      </w:r>
      <w:r w:rsidR="007A52E6">
        <w:rPr>
          <w:rFonts w:ascii="Times New Roman" w:hAnsi="Times New Roman"/>
        </w:rPr>
        <w:tab/>
      </w:r>
      <w:r w:rsidRPr="00DF48FC">
        <w:rPr>
          <w:rFonts w:ascii="Times New Roman" w:hAnsi="Times New Roman"/>
        </w:rPr>
        <w:t>31.6302(c)-1</w:t>
      </w:r>
      <w:r w:rsidR="007A52E6">
        <w:rPr>
          <w:rFonts w:ascii="Times New Roman" w:hAnsi="Times New Roman"/>
        </w:rPr>
        <w:tab/>
      </w:r>
      <w:r w:rsidR="007A52E6">
        <w:rPr>
          <w:rFonts w:ascii="Times New Roman" w:hAnsi="Times New Roman"/>
        </w:rPr>
        <w:tab/>
      </w:r>
      <w:r w:rsidRPr="00DF48FC">
        <w:rPr>
          <w:rFonts w:ascii="Times New Roman" w:hAnsi="Times New Roman"/>
        </w:rPr>
        <w:t>31.6413(a)-3</w:t>
      </w:r>
      <w:r w:rsidR="007A52E6">
        <w:rPr>
          <w:rFonts w:ascii="Times New Roman" w:hAnsi="Times New Roman"/>
        </w:rPr>
        <w:tab/>
      </w:r>
      <w:r w:rsidR="007A52E6">
        <w:rPr>
          <w:rFonts w:ascii="Times New Roman" w:hAnsi="Times New Roman"/>
        </w:rPr>
        <w:tab/>
      </w:r>
      <w:r w:rsidRPr="00DF48FC">
        <w:rPr>
          <w:rFonts w:ascii="Times New Roman" w:hAnsi="Times New Roman"/>
        </w:rPr>
        <w:t xml:space="preserve">35a.3406‑2(c) </w:t>
      </w:r>
    </w:p>
    <w:p w:rsidRPr="00DF48FC" w:rsidR="00DF48FC" w:rsidP="007A52E6" w:rsidRDefault="00DF48FC" w14:paraId="4E83C21A" w14:textId="77777777">
      <w:pPr>
        <w:ind w:left="720" w:firstLine="720"/>
        <w:rPr>
          <w:rFonts w:ascii="Times New Roman" w:hAnsi="Times New Roman"/>
        </w:rPr>
      </w:pPr>
      <w:r w:rsidRPr="00DF48FC">
        <w:rPr>
          <w:rFonts w:ascii="Times New Roman" w:hAnsi="Times New Roman"/>
        </w:rPr>
        <w:t xml:space="preserve">35a.3406‑2(g) </w:t>
      </w:r>
      <w:r w:rsidR="007A52E6">
        <w:rPr>
          <w:rFonts w:ascii="Times New Roman" w:hAnsi="Times New Roman"/>
        </w:rPr>
        <w:tab/>
      </w:r>
      <w:r w:rsidR="007A52E6">
        <w:rPr>
          <w:rFonts w:ascii="Times New Roman" w:hAnsi="Times New Roman"/>
        </w:rPr>
        <w:tab/>
      </w:r>
      <w:r w:rsidRPr="00DF48FC">
        <w:rPr>
          <w:rFonts w:ascii="Times New Roman" w:hAnsi="Times New Roman"/>
        </w:rPr>
        <w:t>35a.3406‑2(k)(2)(c)</w:t>
      </w:r>
      <w:r w:rsidR="007A52E6">
        <w:rPr>
          <w:rFonts w:ascii="Times New Roman" w:hAnsi="Times New Roman"/>
        </w:rPr>
        <w:tab/>
      </w:r>
      <w:r w:rsidRPr="00DF48FC">
        <w:rPr>
          <w:rFonts w:ascii="Times New Roman" w:hAnsi="Times New Roman"/>
        </w:rPr>
        <w:t>35a.9999‑3, Q/A 89</w:t>
      </w:r>
      <w:r w:rsidR="007A52E6">
        <w:rPr>
          <w:rFonts w:ascii="Times New Roman" w:hAnsi="Times New Roman"/>
        </w:rPr>
        <w:tab/>
      </w:r>
      <w:r w:rsidRPr="00DF48FC">
        <w:rPr>
          <w:rFonts w:ascii="Times New Roman" w:hAnsi="Times New Roman"/>
        </w:rPr>
        <w:t>LR 233‑82</w:t>
      </w:r>
    </w:p>
    <w:p w:rsidR="00895219" w:rsidP="007A52E6" w:rsidRDefault="00DF48FC" w14:paraId="2FBA3790" w14:textId="0E04D7EA">
      <w:pPr>
        <w:ind w:left="720" w:firstLine="720"/>
        <w:rPr>
          <w:rFonts w:ascii="Times New Roman" w:hAnsi="Times New Roman"/>
        </w:rPr>
      </w:pPr>
      <w:r w:rsidRPr="00DF48FC">
        <w:rPr>
          <w:rFonts w:ascii="Times New Roman" w:hAnsi="Times New Roman"/>
        </w:rPr>
        <w:t>LR 244‑82</w:t>
      </w:r>
      <w:r w:rsidR="007A52E6">
        <w:rPr>
          <w:rFonts w:ascii="Times New Roman" w:hAnsi="Times New Roman"/>
        </w:rPr>
        <w:tab/>
      </w:r>
      <w:r w:rsidR="007A52E6">
        <w:rPr>
          <w:rFonts w:ascii="Times New Roman" w:hAnsi="Times New Roman"/>
        </w:rPr>
        <w:tab/>
      </w:r>
      <w:r w:rsidRPr="00DF48FC">
        <w:rPr>
          <w:rFonts w:ascii="Times New Roman" w:hAnsi="Times New Roman"/>
        </w:rPr>
        <w:t>LR 289‑82</w:t>
      </w:r>
      <w:r w:rsidR="003435DD">
        <w:rPr>
          <w:rFonts w:ascii="Times New Roman" w:hAnsi="Times New Roman"/>
        </w:rPr>
        <w:tab/>
      </w:r>
      <w:r w:rsidR="003435DD">
        <w:rPr>
          <w:rFonts w:ascii="Times New Roman" w:hAnsi="Times New Roman"/>
        </w:rPr>
        <w:tab/>
      </w:r>
      <w:r w:rsidRPr="007F62D2" w:rsidR="003435DD">
        <w:rPr>
          <w:rFonts w:ascii="Times New Roman" w:hAnsi="Times New Roman"/>
        </w:rPr>
        <w:t>1.</w:t>
      </w:r>
      <w:r w:rsidR="003435DD">
        <w:rPr>
          <w:rFonts w:ascii="Times New Roman" w:hAnsi="Times New Roman"/>
        </w:rPr>
        <w:t xml:space="preserve">6045-1 </w:t>
      </w:r>
    </w:p>
    <w:p w:rsidRPr="00FE5C44" w:rsidR="00FE5C44" w:rsidP="003435DD" w:rsidRDefault="00FE5C44" w14:paraId="15F25A2B" w14:textId="77777777">
      <w:pPr>
        <w:pStyle w:val="Level1"/>
        <w:numPr>
          <w:ilvl w:val="0"/>
          <w:numId w:val="0"/>
        </w:numPr>
        <w:tabs>
          <w:tab w:val="left" w:pos="-1440"/>
        </w:tabs>
        <w:rPr>
          <w:rFonts w:ascii="Times New Roman" w:hAnsi="Times New Roman"/>
        </w:rPr>
      </w:pPr>
    </w:p>
    <w:p w:rsidRPr="00F820CF" w:rsidR="0042327E" w:rsidRDefault="0042327E" w14:paraId="0D79E8B5" w14:textId="77777777">
      <w:pPr>
        <w:pStyle w:val="Level1"/>
        <w:tabs>
          <w:tab w:val="left" w:pos="-1440"/>
          <w:tab w:val="num" w:pos="720"/>
        </w:tabs>
        <w:rPr>
          <w:rFonts w:ascii="Times New Roman" w:hAnsi="Times New Roman"/>
        </w:rPr>
      </w:pPr>
      <w:r w:rsidRPr="00F820CF">
        <w:rPr>
          <w:rFonts w:ascii="Times New Roman" w:hAnsi="Times New Roman"/>
          <w:u w:val="single"/>
        </w:rPr>
        <w:t>ESTIMATED TOTAL ANNUAL COST BURDEN TO RESPONDENTS</w:t>
      </w:r>
    </w:p>
    <w:p w:rsidRPr="00F820CF" w:rsidR="0042327E" w:rsidRDefault="0042327E" w14:paraId="18E12D5D" w14:textId="77777777">
      <w:pPr>
        <w:rPr>
          <w:rFonts w:ascii="Times New Roman" w:hAnsi="Times New Roman"/>
        </w:rPr>
      </w:pPr>
    </w:p>
    <w:p w:rsidRPr="00895219" w:rsidR="00895219" w:rsidP="00895219" w:rsidRDefault="00895219" w14:paraId="119618D0" w14:textId="154B941A">
      <w:pPr>
        <w:ind w:left="720"/>
        <w:rPr>
          <w:rFonts w:ascii="Times New Roman" w:hAnsi="Times New Roman"/>
        </w:rPr>
      </w:pPr>
      <w:r w:rsidRPr="00895219">
        <w:rPr>
          <w:rFonts w:ascii="Times New Roman" w:hAnsi="Times New Roman"/>
        </w:rPr>
        <w:t xml:space="preserve">As suggested by OMB, our Federal Register notice dated </w:t>
      </w:r>
      <w:r w:rsidR="003A3849">
        <w:rPr>
          <w:rFonts w:ascii="Times New Roman" w:hAnsi="Times New Roman"/>
        </w:rPr>
        <w:t>Nov</w:t>
      </w:r>
      <w:r w:rsidR="00C76FAC">
        <w:rPr>
          <w:rFonts w:ascii="Times New Roman" w:hAnsi="Times New Roman"/>
        </w:rPr>
        <w:t>ember</w:t>
      </w:r>
      <w:r w:rsidRPr="00895219">
        <w:rPr>
          <w:rFonts w:ascii="Times New Roman" w:hAnsi="Times New Roman"/>
        </w:rPr>
        <w:t xml:space="preserve"> </w:t>
      </w:r>
      <w:r w:rsidR="003A3849">
        <w:rPr>
          <w:rFonts w:ascii="Times New Roman" w:hAnsi="Times New Roman"/>
        </w:rPr>
        <w:t>29</w:t>
      </w:r>
      <w:r w:rsidRPr="00895219">
        <w:rPr>
          <w:rFonts w:ascii="Times New Roman" w:hAnsi="Times New Roman"/>
        </w:rPr>
        <w:t xml:space="preserve">, 2019, requested public comments on estimates of cost burden that are not captured in the estimates of burden hours, i.e., estimates of capital or start-up costs and costs of operation, maintenance, and purchase of services to provide information.  However, </w:t>
      </w:r>
      <w:r w:rsidR="008579F2">
        <w:rPr>
          <w:rFonts w:ascii="Times New Roman" w:hAnsi="Times New Roman"/>
        </w:rPr>
        <w:t>IRS</w:t>
      </w:r>
      <w:r w:rsidRPr="00895219" w:rsidR="008579F2">
        <w:rPr>
          <w:rFonts w:ascii="Times New Roman" w:hAnsi="Times New Roman"/>
        </w:rPr>
        <w:t xml:space="preserve"> </w:t>
      </w:r>
      <w:r w:rsidRPr="00895219">
        <w:rPr>
          <w:rFonts w:ascii="Times New Roman" w:hAnsi="Times New Roman"/>
        </w:rPr>
        <w:t xml:space="preserve">did not receive any responses from taxpayers on this subject.  As a result, estimates of these cost burdens are not available currently.  </w:t>
      </w:r>
    </w:p>
    <w:p w:rsidRPr="00895219" w:rsidR="00895219" w:rsidP="00895219" w:rsidRDefault="00895219" w14:paraId="464296BD" w14:textId="77777777">
      <w:pPr>
        <w:ind w:left="720"/>
        <w:rPr>
          <w:rFonts w:ascii="Times New Roman" w:hAnsi="Times New Roman"/>
        </w:rPr>
      </w:pPr>
    </w:p>
    <w:p w:rsidR="003435DD" w:rsidP="003C7E43" w:rsidRDefault="00895219" w14:paraId="3CA6E7BA" w14:textId="444B0B7F">
      <w:pPr>
        <w:ind w:left="720"/>
        <w:rPr>
          <w:rFonts w:ascii="Times New Roman" w:hAnsi="Times New Roman"/>
        </w:rPr>
      </w:pPr>
      <w:r w:rsidRPr="00895219">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F820CF" w:rsidR="003435DD" w:rsidRDefault="003435DD" w14:paraId="77EC1522" w14:textId="77777777">
      <w:pPr>
        <w:rPr>
          <w:rFonts w:ascii="Times New Roman" w:hAnsi="Times New Roman"/>
        </w:rPr>
      </w:pPr>
    </w:p>
    <w:p w:rsidRPr="00F820CF" w:rsidR="0042327E" w:rsidRDefault="0042327E" w14:paraId="2386BDFD" w14:textId="77777777">
      <w:pPr>
        <w:pStyle w:val="Level1"/>
        <w:tabs>
          <w:tab w:val="left" w:pos="-1440"/>
          <w:tab w:val="num" w:pos="720"/>
        </w:tabs>
        <w:rPr>
          <w:rFonts w:ascii="Times New Roman" w:hAnsi="Times New Roman"/>
        </w:rPr>
      </w:pPr>
      <w:r w:rsidRPr="00F820CF">
        <w:rPr>
          <w:rFonts w:ascii="Times New Roman" w:hAnsi="Times New Roman"/>
          <w:u w:val="single"/>
        </w:rPr>
        <w:t>ESTIMATED ANNUALIZED COST TO THE FEDERAL GOVERNMENT</w:t>
      </w:r>
    </w:p>
    <w:p w:rsidRPr="00F820CF" w:rsidR="0042327E" w:rsidRDefault="0042327E" w14:paraId="03334664" w14:textId="77777777">
      <w:pPr>
        <w:rPr>
          <w:rFonts w:ascii="Times New Roman" w:hAnsi="Times New Roman"/>
        </w:rPr>
      </w:pPr>
    </w:p>
    <w:p w:rsidRPr="0009308E" w:rsidR="0009308E" w:rsidP="0009308E" w:rsidRDefault="0009308E" w14:paraId="612015A3" w14:textId="77777777">
      <w:pPr>
        <w:ind w:left="720"/>
        <w:rPr>
          <w:rFonts w:ascii="Times New Roman" w:hAnsi="Times New Roman"/>
        </w:rPr>
      </w:pPr>
      <w:bookmarkStart w:name="_Hlk523834409" w:id="0"/>
      <w:r w:rsidRPr="0009308E">
        <w:rPr>
          <w:rFonts w:ascii="Times New Roman" w:hAnsi="Times New Roman"/>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Pr="0009308E" w:rsidR="0009308E" w:rsidP="0009308E" w:rsidRDefault="0009308E" w14:paraId="26EAE79C" w14:textId="77777777">
      <w:pPr>
        <w:ind w:left="720"/>
        <w:rPr>
          <w:rFonts w:ascii="Times New Roman" w:hAnsi="Times New Roman"/>
        </w:rPr>
      </w:pPr>
    </w:p>
    <w:p w:rsidR="0009308E" w:rsidP="0009308E" w:rsidRDefault="0009308E" w14:paraId="1CC40A8A" w14:textId="6ADBD823">
      <w:pPr>
        <w:ind w:left="720"/>
        <w:rPr>
          <w:rFonts w:ascii="Times New Roman" w:hAnsi="Times New Roman"/>
        </w:rPr>
      </w:pPr>
      <w:r w:rsidRPr="0009308E">
        <w:rPr>
          <w:rFonts w:ascii="Times New Roman" w:hAnsi="Times New Roman"/>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3C7E43" w:rsidP="0009308E" w:rsidRDefault="003C7E43" w14:paraId="0EFFB665" w14:textId="030507F4">
      <w:pPr>
        <w:ind w:left="720"/>
        <w:rPr>
          <w:rFonts w:ascii="Times New Roman" w:hAnsi="Times New Roman"/>
        </w:rPr>
      </w:pPr>
    </w:p>
    <w:p w:rsidR="003C7E43" w:rsidP="0009308E" w:rsidRDefault="003C7E43" w14:paraId="730EC526" w14:textId="18AE34C7">
      <w:pPr>
        <w:ind w:left="720"/>
        <w:rPr>
          <w:rFonts w:ascii="Times New Roman" w:hAnsi="Times New Roman"/>
        </w:rPr>
      </w:pPr>
    </w:p>
    <w:p w:rsidR="003C7E43" w:rsidP="0009308E" w:rsidRDefault="003C7E43" w14:paraId="6E2B64F9" w14:textId="11CD8485">
      <w:pPr>
        <w:ind w:left="720"/>
        <w:rPr>
          <w:rFonts w:ascii="Times New Roman" w:hAnsi="Times New Roman"/>
        </w:rPr>
      </w:pPr>
    </w:p>
    <w:p w:rsidR="003C7E43" w:rsidP="0009308E" w:rsidRDefault="003C7E43" w14:paraId="146190B3" w14:textId="7DF8E735">
      <w:pPr>
        <w:ind w:left="720"/>
        <w:rPr>
          <w:rFonts w:ascii="Times New Roman" w:hAnsi="Times New Roman"/>
        </w:rPr>
      </w:pPr>
    </w:p>
    <w:p w:rsidRPr="0009308E" w:rsidR="003C7E43" w:rsidP="0009308E" w:rsidRDefault="003C7E43" w14:paraId="50CAE7B2" w14:textId="77777777">
      <w:pPr>
        <w:ind w:left="720"/>
        <w:rPr>
          <w:rFonts w:ascii="Times New Roman" w:hAnsi="Times New Roman"/>
        </w:rPr>
      </w:pPr>
      <w:bookmarkStart w:name="_GoBack" w:id="1"/>
      <w:bookmarkEnd w:id="1"/>
    </w:p>
    <w:p w:rsidRPr="0009308E" w:rsidR="0009308E" w:rsidP="0009308E" w:rsidRDefault="0009308E" w14:paraId="27D512D2" w14:textId="77777777">
      <w:pPr>
        <w:ind w:left="720"/>
        <w:rPr>
          <w:rFonts w:ascii="Times New Roman" w:hAnsi="Times New Roman"/>
        </w:rPr>
      </w:pPr>
    </w:p>
    <w:p w:rsidRPr="0009308E" w:rsidR="0009308E" w:rsidP="0009308E" w:rsidRDefault="0009308E" w14:paraId="343FCF17" w14:textId="77777777">
      <w:pPr>
        <w:ind w:left="720"/>
        <w:rPr>
          <w:rFonts w:ascii="Times New Roman" w:hAnsi="Times New Roman"/>
        </w:rPr>
      </w:pPr>
      <w:r w:rsidRPr="0009308E">
        <w:rPr>
          <w:rFonts w:ascii="Times New Roman" w:hAnsi="Times New Roman"/>
        </w:rPr>
        <w:lastRenderedPageBreak/>
        <w:t>The government cost estimate for this collection is summarized in the table below.</w:t>
      </w:r>
    </w:p>
    <w:p w:rsidRPr="0009308E" w:rsidR="0009308E" w:rsidP="0009308E" w:rsidRDefault="0009308E" w14:paraId="0EF8862B" w14:textId="77777777">
      <w:pPr>
        <w:ind w:left="720"/>
        <w:rPr>
          <w:rFonts w:ascii="Times New Roman" w:hAnsi="Times New Roman"/>
        </w:rPr>
      </w:pPr>
    </w:p>
    <w:tbl>
      <w:tblPr>
        <w:tblW w:w="8355" w:type="dxa"/>
        <w:tblInd w:w="10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87"/>
        <w:gridCol w:w="1941"/>
        <w:gridCol w:w="293"/>
        <w:gridCol w:w="1763"/>
        <w:gridCol w:w="367"/>
        <w:gridCol w:w="1804"/>
      </w:tblGrid>
      <w:tr w:rsidRPr="0009308E" w:rsidR="0009308E" w:rsidTr="00DF6644" w14:paraId="33D89B0A" w14:textId="77777777">
        <w:tc>
          <w:tcPr>
            <w:tcW w:w="2187" w:type="dxa"/>
            <w:tcBorders>
              <w:top w:val="single" w:color="auto" w:sz="4" w:space="0"/>
              <w:left w:val="single" w:color="auto" w:sz="4" w:space="0"/>
              <w:bottom w:val="single" w:color="auto" w:sz="4" w:space="0"/>
              <w:right w:val="single" w:color="auto" w:sz="4" w:space="0"/>
            </w:tcBorders>
            <w:vAlign w:val="bottom"/>
            <w:hideMark/>
          </w:tcPr>
          <w:p w:rsidRPr="0009308E" w:rsidR="0009308E" w:rsidP="0009308E" w:rsidRDefault="0009308E" w14:paraId="6F3FC6CE" w14:textId="77777777">
            <w:pPr>
              <w:rPr>
                <w:rFonts w:ascii="Arial Narrow" w:hAnsi="Arial Narrow"/>
                <w:b/>
                <w:sz w:val="18"/>
                <w:szCs w:val="18"/>
                <w:u w:val="single"/>
              </w:rPr>
            </w:pPr>
            <w:r w:rsidRPr="0009308E">
              <w:rPr>
                <w:rFonts w:ascii="Arial Narrow" w:hAnsi="Arial Narrow"/>
                <w:b/>
                <w:sz w:val="18"/>
                <w:szCs w:val="18"/>
                <w:u w:val="single"/>
              </w:rPr>
              <w:t>Product</w:t>
            </w:r>
          </w:p>
        </w:tc>
        <w:tc>
          <w:tcPr>
            <w:tcW w:w="1941" w:type="dxa"/>
            <w:tcBorders>
              <w:top w:val="single" w:color="auto" w:sz="4" w:space="0"/>
              <w:left w:val="single" w:color="auto" w:sz="4" w:space="0"/>
              <w:bottom w:val="single" w:color="auto" w:sz="4" w:space="0"/>
              <w:right w:val="single" w:color="auto" w:sz="4" w:space="0"/>
            </w:tcBorders>
            <w:vAlign w:val="bottom"/>
            <w:hideMark/>
          </w:tcPr>
          <w:p w:rsidRPr="0009308E" w:rsidR="0009308E" w:rsidP="0009308E" w:rsidRDefault="0009308E" w14:paraId="7CBACCF6" w14:textId="77777777">
            <w:pPr>
              <w:rPr>
                <w:rFonts w:ascii="Arial Narrow" w:hAnsi="Arial Narrow"/>
                <w:b/>
                <w:sz w:val="18"/>
                <w:szCs w:val="18"/>
                <w:u w:val="single"/>
              </w:rPr>
            </w:pPr>
            <w:r w:rsidRPr="0009308E">
              <w:rPr>
                <w:rFonts w:ascii="Arial Narrow" w:hAnsi="Arial Narrow"/>
                <w:b/>
                <w:sz w:val="18"/>
                <w:szCs w:val="18"/>
                <w:u w:val="single"/>
              </w:rPr>
              <w:t>Aggregate Cost per Product (factor applied)</w:t>
            </w:r>
          </w:p>
        </w:tc>
        <w:tc>
          <w:tcPr>
            <w:tcW w:w="293" w:type="dxa"/>
            <w:tcBorders>
              <w:top w:val="single" w:color="auto" w:sz="4" w:space="0"/>
              <w:left w:val="single" w:color="auto" w:sz="4" w:space="0"/>
              <w:bottom w:val="single" w:color="auto" w:sz="4" w:space="0"/>
              <w:right w:val="single" w:color="auto" w:sz="4" w:space="0"/>
            </w:tcBorders>
          </w:tcPr>
          <w:p w:rsidRPr="0009308E" w:rsidR="0009308E" w:rsidP="0009308E" w:rsidRDefault="0009308E" w14:paraId="2555EA96" w14:textId="77777777">
            <w:pPr>
              <w:ind w:left="720"/>
              <w:rPr>
                <w:rFonts w:ascii="Arial Narrow" w:hAnsi="Arial Narrow"/>
                <w:b/>
                <w:sz w:val="18"/>
                <w:szCs w:val="18"/>
                <w:u w:val="single"/>
              </w:rPr>
            </w:pPr>
          </w:p>
        </w:tc>
        <w:tc>
          <w:tcPr>
            <w:tcW w:w="1763" w:type="dxa"/>
            <w:tcBorders>
              <w:top w:val="single" w:color="auto" w:sz="4" w:space="0"/>
              <w:left w:val="single" w:color="auto" w:sz="4" w:space="0"/>
              <w:bottom w:val="single" w:color="auto" w:sz="4" w:space="0"/>
              <w:right w:val="single" w:color="auto" w:sz="4" w:space="0"/>
            </w:tcBorders>
            <w:vAlign w:val="bottom"/>
            <w:hideMark/>
          </w:tcPr>
          <w:p w:rsidRPr="0009308E" w:rsidR="0009308E" w:rsidP="0009308E" w:rsidRDefault="0009308E" w14:paraId="6C1541A6" w14:textId="77777777">
            <w:pPr>
              <w:ind w:left="-6"/>
              <w:rPr>
                <w:rFonts w:ascii="Arial Narrow" w:hAnsi="Arial Narrow"/>
                <w:b/>
                <w:sz w:val="18"/>
                <w:szCs w:val="18"/>
                <w:u w:val="single"/>
              </w:rPr>
            </w:pPr>
            <w:r w:rsidRPr="0009308E">
              <w:rPr>
                <w:rFonts w:ascii="Arial Narrow" w:hAnsi="Arial Narrow"/>
                <w:b/>
                <w:sz w:val="18"/>
                <w:szCs w:val="18"/>
                <w:u w:val="single"/>
              </w:rPr>
              <w:t>Printing and Distribution</w:t>
            </w:r>
          </w:p>
        </w:tc>
        <w:tc>
          <w:tcPr>
            <w:tcW w:w="367" w:type="dxa"/>
            <w:tcBorders>
              <w:top w:val="single" w:color="auto" w:sz="4" w:space="0"/>
              <w:left w:val="single" w:color="auto" w:sz="4" w:space="0"/>
              <w:bottom w:val="single" w:color="auto" w:sz="4" w:space="0"/>
              <w:right w:val="single" w:color="auto" w:sz="4" w:space="0"/>
            </w:tcBorders>
          </w:tcPr>
          <w:p w:rsidRPr="0009308E" w:rsidR="0009308E" w:rsidP="0009308E" w:rsidRDefault="0009308E" w14:paraId="06847040" w14:textId="77777777">
            <w:pPr>
              <w:ind w:left="720"/>
              <w:rPr>
                <w:rFonts w:ascii="Arial Narrow" w:hAnsi="Arial Narrow"/>
                <w:b/>
                <w:sz w:val="18"/>
                <w:szCs w:val="18"/>
                <w:u w:val="single"/>
              </w:rPr>
            </w:pPr>
          </w:p>
        </w:tc>
        <w:tc>
          <w:tcPr>
            <w:tcW w:w="1804" w:type="dxa"/>
            <w:tcBorders>
              <w:top w:val="single" w:color="auto" w:sz="4" w:space="0"/>
              <w:left w:val="single" w:color="auto" w:sz="4" w:space="0"/>
              <w:bottom w:val="single" w:color="auto" w:sz="4" w:space="0"/>
              <w:right w:val="single" w:color="auto" w:sz="4" w:space="0"/>
            </w:tcBorders>
            <w:vAlign w:val="bottom"/>
            <w:hideMark/>
          </w:tcPr>
          <w:p w:rsidRPr="0009308E" w:rsidR="0009308E" w:rsidP="0009308E" w:rsidRDefault="0009308E" w14:paraId="21D2ECF1" w14:textId="77777777">
            <w:pPr>
              <w:rPr>
                <w:rFonts w:ascii="Arial Narrow" w:hAnsi="Arial Narrow"/>
                <w:b/>
                <w:sz w:val="18"/>
                <w:szCs w:val="18"/>
                <w:u w:val="single"/>
              </w:rPr>
            </w:pPr>
            <w:r w:rsidRPr="0009308E">
              <w:rPr>
                <w:rFonts w:ascii="Arial Narrow" w:hAnsi="Arial Narrow"/>
                <w:b/>
                <w:sz w:val="18"/>
                <w:szCs w:val="18"/>
                <w:u w:val="single"/>
              </w:rPr>
              <w:t>Government Cost Estimate per Product</w:t>
            </w:r>
          </w:p>
        </w:tc>
      </w:tr>
      <w:tr w:rsidRPr="0009308E" w:rsidR="0009308E" w:rsidTr="00DF6644" w14:paraId="66E404D0" w14:textId="77777777">
        <w:tc>
          <w:tcPr>
            <w:tcW w:w="2187" w:type="dxa"/>
            <w:tcBorders>
              <w:top w:val="single" w:color="auto" w:sz="4" w:space="0"/>
              <w:left w:val="single" w:color="auto" w:sz="4" w:space="0"/>
              <w:bottom w:val="single" w:color="auto" w:sz="4" w:space="0"/>
              <w:right w:val="single" w:color="auto" w:sz="4" w:space="0"/>
            </w:tcBorders>
            <w:vAlign w:val="bottom"/>
            <w:hideMark/>
          </w:tcPr>
          <w:p w:rsidRPr="0009308E" w:rsidR="0009308E" w:rsidP="0009308E" w:rsidRDefault="0009308E" w14:paraId="17C09F09" w14:textId="77777777">
            <w:pPr>
              <w:rPr>
                <w:rFonts w:ascii="Arial Narrow" w:hAnsi="Arial Narrow"/>
                <w:sz w:val="18"/>
                <w:szCs w:val="18"/>
              </w:rPr>
            </w:pPr>
            <w:r>
              <w:rPr>
                <w:rFonts w:ascii="Arial Narrow" w:hAnsi="Arial Narrow"/>
                <w:sz w:val="18"/>
                <w:szCs w:val="18"/>
              </w:rPr>
              <w:t>1099-INT</w:t>
            </w:r>
          </w:p>
        </w:tc>
        <w:tc>
          <w:tcPr>
            <w:tcW w:w="1941" w:type="dxa"/>
            <w:tcBorders>
              <w:top w:val="single" w:color="auto" w:sz="4" w:space="0"/>
              <w:left w:val="single" w:color="auto" w:sz="4" w:space="0"/>
              <w:bottom w:val="single" w:color="auto" w:sz="4" w:space="0"/>
              <w:right w:val="single" w:color="auto" w:sz="4" w:space="0"/>
            </w:tcBorders>
            <w:vAlign w:val="bottom"/>
            <w:hideMark/>
          </w:tcPr>
          <w:p w:rsidRPr="0009308E" w:rsidR="0009308E" w:rsidP="0009308E" w:rsidRDefault="0009308E" w14:paraId="53A1CBEC" w14:textId="77777777">
            <w:pPr>
              <w:jc w:val="center"/>
              <w:rPr>
                <w:rFonts w:ascii="Arial Narrow" w:hAnsi="Arial Narrow"/>
                <w:sz w:val="18"/>
                <w:szCs w:val="18"/>
              </w:rPr>
            </w:pPr>
            <w:r w:rsidRPr="0009308E">
              <w:rPr>
                <w:rFonts w:ascii="Arial Narrow" w:hAnsi="Arial Narrow"/>
                <w:sz w:val="18"/>
                <w:szCs w:val="18"/>
              </w:rPr>
              <w:t xml:space="preserve">$      </w:t>
            </w:r>
            <w:r w:rsidR="00196604">
              <w:rPr>
                <w:rFonts w:ascii="Arial Narrow" w:hAnsi="Arial Narrow"/>
                <w:sz w:val="18"/>
                <w:szCs w:val="18"/>
              </w:rPr>
              <w:t>73,925</w:t>
            </w:r>
          </w:p>
        </w:tc>
        <w:tc>
          <w:tcPr>
            <w:tcW w:w="293" w:type="dxa"/>
            <w:tcBorders>
              <w:top w:val="single" w:color="auto" w:sz="4" w:space="0"/>
              <w:left w:val="single" w:color="auto" w:sz="4" w:space="0"/>
              <w:bottom w:val="single" w:color="auto" w:sz="4" w:space="0"/>
              <w:right w:val="single" w:color="auto" w:sz="4" w:space="0"/>
            </w:tcBorders>
          </w:tcPr>
          <w:p w:rsidRPr="0009308E" w:rsidR="0009308E" w:rsidP="0009308E" w:rsidRDefault="0009308E" w14:paraId="01190AA9" w14:textId="77777777">
            <w:pPr>
              <w:ind w:left="720"/>
              <w:rPr>
                <w:rFonts w:ascii="Arial Narrow" w:hAnsi="Arial Narrow"/>
                <w:sz w:val="18"/>
                <w:szCs w:val="18"/>
              </w:rPr>
            </w:pPr>
          </w:p>
        </w:tc>
        <w:tc>
          <w:tcPr>
            <w:tcW w:w="1763" w:type="dxa"/>
            <w:tcBorders>
              <w:top w:val="single" w:color="auto" w:sz="4" w:space="0"/>
              <w:left w:val="single" w:color="auto" w:sz="4" w:space="0"/>
              <w:bottom w:val="single" w:color="auto" w:sz="4" w:space="0"/>
              <w:right w:val="single" w:color="auto" w:sz="4" w:space="0"/>
            </w:tcBorders>
            <w:hideMark/>
          </w:tcPr>
          <w:p w:rsidRPr="0009308E" w:rsidR="0009308E" w:rsidP="0009308E" w:rsidRDefault="0009308E" w14:paraId="38BA946A" w14:textId="77777777">
            <w:pPr>
              <w:ind w:left="-6"/>
              <w:jc w:val="center"/>
              <w:rPr>
                <w:rFonts w:ascii="Arial Narrow" w:hAnsi="Arial Narrow"/>
                <w:sz w:val="18"/>
                <w:szCs w:val="18"/>
              </w:rPr>
            </w:pPr>
            <w:r w:rsidRPr="0009308E">
              <w:rPr>
                <w:rFonts w:ascii="Arial Narrow" w:hAnsi="Arial Narrow"/>
                <w:sz w:val="18"/>
                <w:szCs w:val="18"/>
              </w:rPr>
              <w:t xml:space="preserve">$ </w:t>
            </w:r>
            <w:r w:rsidR="000774A6">
              <w:rPr>
                <w:rFonts w:ascii="Arial Narrow" w:hAnsi="Arial Narrow"/>
                <w:sz w:val="18"/>
                <w:szCs w:val="18"/>
              </w:rPr>
              <w:t>92,352</w:t>
            </w:r>
          </w:p>
        </w:tc>
        <w:tc>
          <w:tcPr>
            <w:tcW w:w="367" w:type="dxa"/>
            <w:tcBorders>
              <w:top w:val="single" w:color="auto" w:sz="4" w:space="0"/>
              <w:left w:val="single" w:color="auto" w:sz="4" w:space="0"/>
              <w:bottom w:val="single" w:color="auto" w:sz="4" w:space="0"/>
              <w:right w:val="single" w:color="auto" w:sz="4" w:space="0"/>
            </w:tcBorders>
          </w:tcPr>
          <w:p w:rsidRPr="0009308E" w:rsidR="0009308E" w:rsidP="0009308E" w:rsidRDefault="0009308E" w14:paraId="68DC87FD" w14:textId="77777777">
            <w:pPr>
              <w:ind w:left="720"/>
              <w:rPr>
                <w:rFonts w:ascii="Arial Narrow" w:hAnsi="Arial Narrow"/>
                <w:sz w:val="18"/>
                <w:szCs w:val="18"/>
              </w:rPr>
            </w:pPr>
          </w:p>
        </w:tc>
        <w:tc>
          <w:tcPr>
            <w:tcW w:w="1804" w:type="dxa"/>
            <w:tcBorders>
              <w:top w:val="single" w:color="auto" w:sz="4" w:space="0"/>
              <w:left w:val="single" w:color="auto" w:sz="4" w:space="0"/>
              <w:bottom w:val="single" w:color="auto" w:sz="4" w:space="0"/>
              <w:right w:val="single" w:color="auto" w:sz="4" w:space="0"/>
            </w:tcBorders>
            <w:vAlign w:val="bottom"/>
            <w:hideMark/>
          </w:tcPr>
          <w:p w:rsidRPr="0009308E" w:rsidR="0009308E" w:rsidP="0009308E" w:rsidRDefault="0009308E" w14:paraId="6F59E646" w14:textId="77777777">
            <w:pPr>
              <w:rPr>
                <w:rFonts w:ascii="Arial Narrow" w:hAnsi="Arial Narrow"/>
                <w:sz w:val="18"/>
                <w:szCs w:val="18"/>
              </w:rPr>
            </w:pPr>
            <w:r w:rsidRPr="0009308E">
              <w:rPr>
                <w:rFonts w:ascii="Arial Narrow" w:hAnsi="Arial Narrow"/>
                <w:sz w:val="18"/>
                <w:szCs w:val="18"/>
              </w:rPr>
              <w:t xml:space="preserve">$       </w:t>
            </w:r>
            <w:r w:rsidR="000774A6">
              <w:rPr>
                <w:rFonts w:ascii="Arial Narrow" w:hAnsi="Arial Narrow"/>
                <w:sz w:val="18"/>
                <w:szCs w:val="18"/>
              </w:rPr>
              <w:t>166,277</w:t>
            </w:r>
          </w:p>
        </w:tc>
      </w:tr>
      <w:tr w:rsidRPr="0009308E" w:rsidR="0009308E" w:rsidTr="00DF6644" w14:paraId="3EAC8790" w14:textId="77777777">
        <w:tc>
          <w:tcPr>
            <w:tcW w:w="2187" w:type="dxa"/>
            <w:tcBorders>
              <w:top w:val="single" w:color="auto" w:sz="4" w:space="0"/>
              <w:left w:val="single" w:color="auto" w:sz="4" w:space="0"/>
              <w:bottom w:val="single" w:color="auto" w:sz="4" w:space="0"/>
              <w:right w:val="single" w:color="auto" w:sz="4" w:space="0"/>
            </w:tcBorders>
            <w:vAlign w:val="bottom"/>
          </w:tcPr>
          <w:p w:rsidRPr="0009308E" w:rsidR="0009308E" w:rsidP="0009308E" w:rsidRDefault="000774A6" w14:paraId="5499834B" w14:textId="77777777">
            <w:pPr>
              <w:rPr>
                <w:rFonts w:ascii="Arial Narrow" w:hAnsi="Arial Narrow"/>
                <w:sz w:val="18"/>
                <w:szCs w:val="18"/>
              </w:rPr>
            </w:pPr>
            <w:proofErr w:type="spellStart"/>
            <w:r>
              <w:rPr>
                <w:rFonts w:ascii="Arial Narrow" w:hAnsi="Arial Narrow"/>
                <w:sz w:val="18"/>
                <w:szCs w:val="18"/>
              </w:rPr>
              <w:t>Instr</w:t>
            </w:r>
            <w:proofErr w:type="spellEnd"/>
            <w:r>
              <w:rPr>
                <w:rFonts w:ascii="Arial Narrow" w:hAnsi="Arial Narrow"/>
                <w:sz w:val="18"/>
                <w:szCs w:val="18"/>
              </w:rPr>
              <w:t xml:space="preserve"> 1099INT&amp;OID</w:t>
            </w:r>
          </w:p>
        </w:tc>
        <w:tc>
          <w:tcPr>
            <w:tcW w:w="1941" w:type="dxa"/>
            <w:tcBorders>
              <w:top w:val="single" w:color="auto" w:sz="4" w:space="0"/>
              <w:left w:val="single" w:color="auto" w:sz="4" w:space="0"/>
              <w:bottom w:val="single" w:color="auto" w:sz="4" w:space="0"/>
              <w:right w:val="single" w:color="auto" w:sz="4" w:space="0"/>
            </w:tcBorders>
            <w:vAlign w:val="bottom"/>
          </w:tcPr>
          <w:p w:rsidRPr="0009308E" w:rsidR="0009308E" w:rsidP="0009308E" w:rsidRDefault="0009308E" w14:paraId="204EA505" w14:textId="77777777">
            <w:pPr>
              <w:jc w:val="center"/>
              <w:rPr>
                <w:rFonts w:ascii="Arial Narrow" w:hAnsi="Arial Narrow"/>
                <w:sz w:val="18"/>
                <w:szCs w:val="18"/>
              </w:rPr>
            </w:pPr>
            <w:r w:rsidRPr="0009308E">
              <w:rPr>
                <w:rFonts w:ascii="Arial Narrow" w:hAnsi="Arial Narrow"/>
                <w:sz w:val="18"/>
                <w:szCs w:val="18"/>
              </w:rPr>
              <w:t xml:space="preserve">$      </w:t>
            </w:r>
            <w:r w:rsidR="000774A6">
              <w:rPr>
                <w:rFonts w:ascii="Arial Narrow" w:hAnsi="Arial Narrow"/>
                <w:sz w:val="18"/>
                <w:szCs w:val="18"/>
              </w:rPr>
              <w:t>8,885</w:t>
            </w:r>
          </w:p>
        </w:tc>
        <w:tc>
          <w:tcPr>
            <w:tcW w:w="293" w:type="dxa"/>
            <w:tcBorders>
              <w:top w:val="single" w:color="auto" w:sz="4" w:space="0"/>
              <w:left w:val="single" w:color="auto" w:sz="4" w:space="0"/>
              <w:bottom w:val="single" w:color="auto" w:sz="4" w:space="0"/>
              <w:right w:val="single" w:color="auto" w:sz="4" w:space="0"/>
            </w:tcBorders>
          </w:tcPr>
          <w:p w:rsidRPr="0009308E" w:rsidR="0009308E" w:rsidP="0009308E" w:rsidRDefault="0009308E" w14:paraId="041D8351" w14:textId="77777777">
            <w:pPr>
              <w:ind w:left="720"/>
              <w:rPr>
                <w:rFonts w:ascii="Arial Narrow" w:hAnsi="Arial Narrow"/>
                <w:sz w:val="18"/>
                <w:szCs w:val="18"/>
              </w:rPr>
            </w:pPr>
          </w:p>
        </w:tc>
        <w:tc>
          <w:tcPr>
            <w:tcW w:w="1763" w:type="dxa"/>
            <w:tcBorders>
              <w:top w:val="single" w:color="auto" w:sz="4" w:space="0"/>
              <w:left w:val="single" w:color="auto" w:sz="4" w:space="0"/>
              <w:bottom w:val="single" w:color="auto" w:sz="4" w:space="0"/>
              <w:right w:val="single" w:color="auto" w:sz="4" w:space="0"/>
            </w:tcBorders>
          </w:tcPr>
          <w:p w:rsidRPr="0009308E" w:rsidR="0009308E" w:rsidP="0009308E" w:rsidRDefault="0009308E" w14:paraId="7B436D60" w14:textId="77777777">
            <w:pPr>
              <w:ind w:left="-6"/>
              <w:jc w:val="center"/>
              <w:rPr>
                <w:rFonts w:ascii="Arial Narrow" w:hAnsi="Arial Narrow"/>
                <w:sz w:val="18"/>
                <w:szCs w:val="18"/>
              </w:rPr>
            </w:pPr>
            <w:r w:rsidRPr="0009308E">
              <w:rPr>
                <w:rFonts w:ascii="Arial Narrow" w:hAnsi="Arial Narrow"/>
                <w:sz w:val="18"/>
                <w:szCs w:val="18"/>
              </w:rPr>
              <w:t xml:space="preserve">$ </w:t>
            </w:r>
            <w:r w:rsidR="000774A6">
              <w:rPr>
                <w:rFonts w:ascii="Arial Narrow" w:hAnsi="Arial Narrow"/>
                <w:sz w:val="18"/>
                <w:szCs w:val="18"/>
              </w:rPr>
              <w:t>7,152</w:t>
            </w:r>
          </w:p>
        </w:tc>
        <w:tc>
          <w:tcPr>
            <w:tcW w:w="367" w:type="dxa"/>
            <w:tcBorders>
              <w:top w:val="single" w:color="auto" w:sz="4" w:space="0"/>
              <w:left w:val="single" w:color="auto" w:sz="4" w:space="0"/>
              <w:bottom w:val="single" w:color="auto" w:sz="4" w:space="0"/>
              <w:right w:val="single" w:color="auto" w:sz="4" w:space="0"/>
            </w:tcBorders>
          </w:tcPr>
          <w:p w:rsidRPr="0009308E" w:rsidR="0009308E" w:rsidP="0009308E" w:rsidRDefault="0009308E" w14:paraId="64C7E97E" w14:textId="77777777">
            <w:pPr>
              <w:ind w:left="720"/>
              <w:rPr>
                <w:rFonts w:ascii="Arial Narrow" w:hAnsi="Arial Narrow"/>
                <w:sz w:val="18"/>
                <w:szCs w:val="18"/>
              </w:rPr>
            </w:pPr>
          </w:p>
        </w:tc>
        <w:tc>
          <w:tcPr>
            <w:tcW w:w="1804" w:type="dxa"/>
            <w:tcBorders>
              <w:top w:val="single" w:color="auto" w:sz="4" w:space="0"/>
              <w:left w:val="single" w:color="auto" w:sz="4" w:space="0"/>
              <w:bottom w:val="single" w:color="auto" w:sz="4" w:space="0"/>
              <w:right w:val="single" w:color="auto" w:sz="4" w:space="0"/>
            </w:tcBorders>
            <w:vAlign w:val="bottom"/>
          </w:tcPr>
          <w:p w:rsidRPr="0009308E" w:rsidR="0009308E" w:rsidP="0009308E" w:rsidRDefault="0009308E" w14:paraId="64557D15" w14:textId="77777777">
            <w:pPr>
              <w:rPr>
                <w:rFonts w:ascii="Arial Narrow" w:hAnsi="Arial Narrow"/>
                <w:sz w:val="18"/>
                <w:szCs w:val="18"/>
              </w:rPr>
            </w:pPr>
            <w:r w:rsidRPr="0009308E">
              <w:rPr>
                <w:rFonts w:ascii="Arial Narrow" w:hAnsi="Arial Narrow"/>
                <w:sz w:val="18"/>
                <w:szCs w:val="18"/>
              </w:rPr>
              <w:t xml:space="preserve">$       </w:t>
            </w:r>
            <w:r w:rsidR="000774A6">
              <w:rPr>
                <w:rFonts w:ascii="Arial Narrow" w:hAnsi="Arial Narrow"/>
                <w:sz w:val="18"/>
                <w:szCs w:val="18"/>
              </w:rPr>
              <w:t>16,037</w:t>
            </w:r>
          </w:p>
        </w:tc>
      </w:tr>
      <w:tr w:rsidRPr="0009308E" w:rsidR="000774A6" w:rsidTr="00DF6644" w14:paraId="54BDFA35" w14:textId="77777777">
        <w:tc>
          <w:tcPr>
            <w:tcW w:w="2187" w:type="dxa"/>
            <w:tcBorders>
              <w:top w:val="single" w:color="auto" w:sz="4" w:space="0"/>
              <w:left w:val="single" w:color="auto" w:sz="4" w:space="0"/>
              <w:bottom w:val="single" w:color="auto" w:sz="4" w:space="0"/>
              <w:right w:val="single" w:color="auto" w:sz="4" w:space="0"/>
            </w:tcBorders>
            <w:hideMark/>
          </w:tcPr>
          <w:p w:rsidRPr="0009308E" w:rsidR="000774A6" w:rsidP="000774A6" w:rsidRDefault="000774A6" w14:paraId="7BD97F98" w14:textId="77777777">
            <w:pPr>
              <w:rPr>
                <w:rFonts w:ascii="Arial Narrow" w:hAnsi="Arial Narrow"/>
                <w:b/>
                <w:sz w:val="18"/>
                <w:szCs w:val="18"/>
              </w:rPr>
            </w:pPr>
            <w:bookmarkStart w:name="_Hlk25056766" w:id="2"/>
            <w:bookmarkEnd w:id="0"/>
            <w:r w:rsidRPr="0009308E">
              <w:rPr>
                <w:rFonts w:ascii="Arial Narrow" w:hAnsi="Arial Narrow"/>
                <w:b/>
                <w:sz w:val="18"/>
                <w:szCs w:val="18"/>
              </w:rPr>
              <w:t>Grand Total</w:t>
            </w:r>
          </w:p>
        </w:tc>
        <w:tc>
          <w:tcPr>
            <w:tcW w:w="1941" w:type="dxa"/>
            <w:tcBorders>
              <w:top w:val="single" w:color="auto" w:sz="4" w:space="0"/>
              <w:left w:val="single" w:color="auto" w:sz="4" w:space="0"/>
              <w:bottom w:val="single" w:color="auto" w:sz="4" w:space="0"/>
              <w:right w:val="single" w:color="auto" w:sz="4" w:space="0"/>
            </w:tcBorders>
            <w:hideMark/>
          </w:tcPr>
          <w:p w:rsidRPr="0009308E" w:rsidR="000774A6" w:rsidP="000774A6" w:rsidRDefault="000774A6" w14:paraId="6200D3B7" w14:textId="77777777">
            <w:pPr>
              <w:ind w:left="-24"/>
              <w:jc w:val="center"/>
              <w:rPr>
                <w:rFonts w:ascii="Arial Narrow" w:hAnsi="Arial Narrow"/>
                <w:b/>
                <w:sz w:val="18"/>
                <w:szCs w:val="18"/>
              </w:rPr>
            </w:pPr>
            <w:r w:rsidRPr="0009308E">
              <w:rPr>
                <w:rFonts w:ascii="Arial Narrow" w:hAnsi="Arial Narrow"/>
              </w:rPr>
              <w:fldChar w:fldCharType="begin"/>
            </w:r>
            <w:r w:rsidRPr="0009308E">
              <w:rPr>
                <w:rFonts w:ascii="Arial Narrow" w:hAnsi="Arial Narrow"/>
                <w:b/>
                <w:sz w:val="18"/>
                <w:szCs w:val="18"/>
              </w:rPr>
              <w:instrText xml:space="preserve"> =SUM(ABOVE) </w:instrText>
            </w:r>
            <w:r w:rsidRPr="0009308E">
              <w:rPr>
                <w:rFonts w:ascii="Arial Narrow" w:hAnsi="Arial Narrow"/>
              </w:rPr>
              <w:fldChar w:fldCharType="separate"/>
            </w:r>
            <w:r w:rsidRPr="0009308E">
              <w:rPr>
                <w:rFonts w:ascii="Arial Narrow" w:hAnsi="Arial Narrow"/>
                <w:b/>
                <w:noProof/>
                <w:sz w:val="18"/>
                <w:szCs w:val="18"/>
              </w:rPr>
              <w:t xml:space="preserve">$      </w:t>
            </w:r>
            <w:r w:rsidRPr="0009308E">
              <w:rPr>
                <w:rFonts w:ascii="Arial Narrow" w:hAnsi="Arial Narrow"/>
              </w:rPr>
              <w:fldChar w:fldCharType="end"/>
            </w:r>
            <w:r>
              <w:rPr>
                <w:rFonts w:ascii="Arial Narrow" w:hAnsi="Arial Narrow"/>
                <w:b/>
                <w:sz w:val="18"/>
                <w:szCs w:val="18"/>
              </w:rPr>
              <w:t>82,810</w:t>
            </w:r>
          </w:p>
        </w:tc>
        <w:tc>
          <w:tcPr>
            <w:tcW w:w="293" w:type="dxa"/>
            <w:tcBorders>
              <w:top w:val="single" w:color="auto" w:sz="4" w:space="0"/>
              <w:left w:val="single" w:color="auto" w:sz="4" w:space="0"/>
              <w:bottom w:val="single" w:color="auto" w:sz="4" w:space="0"/>
              <w:right w:val="single" w:color="auto" w:sz="4" w:space="0"/>
            </w:tcBorders>
          </w:tcPr>
          <w:p w:rsidRPr="0009308E" w:rsidR="000774A6" w:rsidP="000774A6" w:rsidRDefault="000774A6" w14:paraId="54C70A17" w14:textId="77777777">
            <w:pPr>
              <w:ind w:left="720"/>
              <w:rPr>
                <w:rFonts w:ascii="Arial Narrow" w:hAnsi="Arial Narrow"/>
                <w:b/>
                <w:sz w:val="18"/>
                <w:szCs w:val="18"/>
              </w:rPr>
            </w:pPr>
          </w:p>
        </w:tc>
        <w:tc>
          <w:tcPr>
            <w:tcW w:w="1763" w:type="dxa"/>
            <w:tcBorders>
              <w:top w:val="single" w:color="auto" w:sz="4" w:space="0"/>
              <w:left w:val="single" w:color="auto" w:sz="4" w:space="0"/>
              <w:bottom w:val="single" w:color="auto" w:sz="4" w:space="0"/>
              <w:right w:val="single" w:color="auto" w:sz="4" w:space="0"/>
            </w:tcBorders>
          </w:tcPr>
          <w:p w:rsidRPr="0009308E" w:rsidR="000774A6" w:rsidP="000774A6" w:rsidRDefault="000774A6" w14:paraId="72DB02CC" w14:textId="77777777">
            <w:pPr>
              <w:ind w:left="-24"/>
              <w:jc w:val="center"/>
              <w:rPr>
                <w:rFonts w:ascii="Arial Narrow" w:hAnsi="Arial Narrow"/>
                <w:b/>
                <w:sz w:val="18"/>
                <w:szCs w:val="18"/>
              </w:rPr>
            </w:pPr>
            <w:r w:rsidRPr="0009308E">
              <w:rPr>
                <w:rFonts w:ascii="Arial Narrow" w:hAnsi="Arial Narrow"/>
              </w:rPr>
              <w:fldChar w:fldCharType="begin"/>
            </w:r>
            <w:r w:rsidRPr="0009308E">
              <w:rPr>
                <w:rFonts w:ascii="Arial Narrow" w:hAnsi="Arial Narrow"/>
                <w:b/>
                <w:sz w:val="18"/>
                <w:szCs w:val="18"/>
              </w:rPr>
              <w:instrText xml:space="preserve"> =SUM(ABOVE) </w:instrText>
            </w:r>
            <w:r w:rsidRPr="0009308E">
              <w:rPr>
                <w:rFonts w:ascii="Arial Narrow" w:hAnsi="Arial Narrow"/>
              </w:rPr>
              <w:fldChar w:fldCharType="separate"/>
            </w:r>
            <w:r w:rsidRPr="0009308E">
              <w:rPr>
                <w:rFonts w:ascii="Arial Narrow" w:hAnsi="Arial Narrow"/>
                <w:b/>
                <w:noProof/>
                <w:sz w:val="18"/>
                <w:szCs w:val="18"/>
              </w:rPr>
              <w:t>$</w:t>
            </w:r>
            <w:r w:rsidRPr="0009308E">
              <w:rPr>
                <w:rFonts w:ascii="Arial Narrow" w:hAnsi="Arial Narrow"/>
              </w:rPr>
              <w:fldChar w:fldCharType="end"/>
            </w:r>
            <w:r>
              <w:rPr>
                <w:rFonts w:ascii="Arial Narrow" w:hAnsi="Arial Narrow"/>
              </w:rPr>
              <w:t xml:space="preserve"> </w:t>
            </w:r>
            <w:r>
              <w:rPr>
                <w:rFonts w:ascii="Arial Narrow" w:hAnsi="Arial Narrow"/>
                <w:b/>
                <w:sz w:val="18"/>
                <w:szCs w:val="18"/>
              </w:rPr>
              <w:t>99,504</w:t>
            </w:r>
          </w:p>
        </w:tc>
        <w:tc>
          <w:tcPr>
            <w:tcW w:w="367" w:type="dxa"/>
            <w:tcBorders>
              <w:top w:val="single" w:color="auto" w:sz="4" w:space="0"/>
              <w:left w:val="single" w:color="auto" w:sz="4" w:space="0"/>
              <w:bottom w:val="single" w:color="auto" w:sz="4" w:space="0"/>
              <w:right w:val="single" w:color="auto" w:sz="4" w:space="0"/>
            </w:tcBorders>
          </w:tcPr>
          <w:p w:rsidRPr="0009308E" w:rsidR="000774A6" w:rsidP="000774A6" w:rsidRDefault="000774A6" w14:paraId="57074245" w14:textId="77777777">
            <w:pPr>
              <w:ind w:left="720"/>
              <w:rPr>
                <w:rFonts w:ascii="Arial Narrow" w:hAnsi="Arial Narrow"/>
                <w:b/>
                <w:sz w:val="18"/>
                <w:szCs w:val="18"/>
              </w:rPr>
            </w:pPr>
          </w:p>
        </w:tc>
        <w:tc>
          <w:tcPr>
            <w:tcW w:w="1804" w:type="dxa"/>
            <w:tcBorders>
              <w:top w:val="single" w:color="auto" w:sz="4" w:space="0"/>
              <w:left w:val="single" w:color="auto" w:sz="4" w:space="0"/>
              <w:bottom w:val="single" w:color="auto" w:sz="4" w:space="0"/>
              <w:right w:val="single" w:color="auto" w:sz="4" w:space="0"/>
            </w:tcBorders>
            <w:hideMark/>
          </w:tcPr>
          <w:p w:rsidRPr="0009308E" w:rsidR="000774A6" w:rsidP="000774A6" w:rsidRDefault="000774A6" w14:paraId="4C863C23" w14:textId="77777777">
            <w:pPr>
              <w:ind w:left="-24"/>
              <w:rPr>
                <w:rFonts w:ascii="Arial Narrow" w:hAnsi="Arial Narrow"/>
                <w:b/>
                <w:sz w:val="18"/>
                <w:szCs w:val="18"/>
              </w:rPr>
            </w:pPr>
            <w:r w:rsidRPr="0009308E">
              <w:rPr>
                <w:rFonts w:ascii="Arial Narrow" w:hAnsi="Arial Narrow"/>
              </w:rPr>
              <w:t xml:space="preserve"> </w:t>
            </w:r>
            <w:r w:rsidRPr="0009308E">
              <w:rPr>
                <w:rFonts w:ascii="Arial Narrow" w:hAnsi="Arial Narrow"/>
              </w:rPr>
              <w:fldChar w:fldCharType="begin"/>
            </w:r>
            <w:r w:rsidRPr="0009308E">
              <w:rPr>
                <w:rFonts w:ascii="Arial Narrow" w:hAnsi="Arial Narrow"/>
                <w:b/>
                <w:sz w:val="18"/>
                <w:szCs w:val="18"/>
              </w:rPr>
              <w:instrText xml:space="preserve"> =SUM(ABOVE) </w:instrText>
            </w:r>
            <w:r w:rsidRPr="0009308E">
              <w:rPr>
                <w:rFonts w:ascii="Arial Narrow" w:hAnsi="Arial Narrow"/>
              </w:rPr>
              <w:fldChar w:fldCharType="separate"/>
            </w:r>
            <w:r w:rsidRPr="0009308E">
              <w:rPr>
                <w:rFonts w:ascii="Arial Narrow" w:hAnsi="Arial Narrow"/>
                <w:b/>
                <w:noProof/>
                <w:sz w:val="18"/>
                <w:szCs w:val="18"/>
              </w:rPr>
              <w:t xml:space="preserve">$      </w:t>
            </w:r>
            <w:r w:rsidRPr="0009308E">
              <w:rPr>
                <w:rFonts w:ascii="Arial Narrow" w:hAnsi="Arial Narrow"/>
              </w:rPr>
              <w:fldChar w:fldCharType="end"/>
            </w:r>
            <w:r>
              <w:rPr>
                <w:rFonts w:ascii="Arial Narrow" w:hAnsi="Arial Narrow"/>
                <w:b/>
                <w:sz w:val="18"/>
                <w:szCs w:val="18"/>
              </w:rPr>
              <w:t>182,314</w:t>
            </w:r>
          </w:p>
        </w:tc>
      </w:tr>
      <w:bookmarkEnd w:id="2"/>
      <w:tr w:rsidRPr="0009308E" w:rsidR="000774A6" w:rsidTr="00DF6644" w14:paraId="5A1960C4" w14:textId="77777777">
        <w:tc>
          <w:tcPr>
            <w:tcW w:w="8355" w:type="dxa"/>
            <w:gridSpan w:val="6"/>
            <w:tcBorders>
              <w:top w:val="single" w:color="auto" w:sz="4" w:space="0"/>
              <w:left w:val="single" w:color="auto" w:sz="4" w:space="0"/>
              <w:bottom w:val="single" w:color="auto" w:sz="4" w:space="0"/>
              <w:right w:val="single" w:color="auto" w:sz="4" w:space="0"/>
            </w:tcBorders>
            <w:hideMark/>
          </w:tcPr>
          <w:p w:rsidRPr="0009308E" w:rsidR="000774A6" w:rsidP="000774A6" w:rsidRDefault="000774A6" w14:paraId="1734A7E3" w14:textId="77777777">
            <w:pPr>
              <w:ind w:left="720"/>
              <w:rPr>
                <w:rFonts w:ascii="Arial Narrow" w:hAnsi="Arial Narrow"/>
                <w:sz w:val="18"/>
                <w:szCs w:val="18"/>
              </w:rPr>
            </w:pPr>
            <w:r w:rsidRPr="0009308E">
              <w:rPr>
                <w:rFonts w:ascii="Arial Narrow" w:hAnsi="Arial Narrow"/>
                <w:sz w:val="18"/>
                <w:szCs w:val="18"/>
              </w:rPr>
              <w:t>Table costs are based on 2018 actuals obtained from IRS Chief Financial Officer and Media and Publications</w:t>
            </w:r>
          </w:p>
        </w:tc>
      </w:tr>
      <w:tr w:rsidRPr="0009308E" w:rsidR="000774A6" w:rsidTr="00DF6644" w14:paraId="5AA42A44" w14:textId="77777777">
        <w:tc>
          <w:tcPr>
            <w:tcW w:w="8355" w:type="dxa"/>
            <w:gridSpan w:val="6"/>
            <w:tcBorders>
              <w:top w:val="single" w:color="auto" w:sz="4" w:space="0"/>
              <w:left w:val="single" w:color="auto" w:sz="4" w:space="0"/>
              <w:bottom w:val="single" w:color="auto" w:sz="4" w:space="0"/>
              <w:right w:val="single" w:color="auto" w:sz="4" w:space="0"/>
            </w:tcBorders>
            <w:hideMark/>
          </w:tcPr>
          <w:p w:rsidRPr="0009308E" w:rsidR="000774A6" w:rsidP="000774A6" w:rsidRDefault="000774A6" w14:paraId="1AA22CFA" w14:textId="77777777">
            <w:pPr>
              <w:ind w:left="720"/>
              <w:rPr>
                <w:rFonts w:ascii="Arial Narrow" w:hAnsi="Arial Narrow"/>
                <w:sz w:val="18"/>
                <w:szCs w:val="18"/>
              </w:rPr>
            </w:pPr>
            <w:r w:rsidRPr="0009308E">
              <w:rPr>
                <w:rFonts w:ascii="Arial Narrow" w:hAnsi="Arial Narrow"/>
                <w:sz w:val="18"/>
                <w:szCs w:val="18"/>
              </w:rPr>
              <w:t xml:space="preserve">* New product costs will be included in the next collection update. </w:t>
            </w:r>
          </w:p>
        </w:tc>
      </w:tr>
    </w:tbl>
    <w:p w:rsidRPr="00F820CF" w:rsidR="00274F60" w:rsidRDefault="00274F60" w14:paraId="66F65C6D" w14:textId="77777777">
      <w:pPr>
        <w:rPr>
          <w:rFonts w:ascii="Times New Roman" w:hAnsi="Times New Roman"/>
        </w:rPr>
      </w:pPr>
    </w:p>
    <w:p w:rsidRPr="00F820CF" w:rsidR="0042327E" w:rsidRDefault="0042327E" w14:paraId="1444A6C1" w14:textId="77777777">
      <w:pPr>
        <w:pStyle w:val="Level1"/>
        <w:tabs>
          <w:tab w:val="left" w:pos="-1440"/>
          <w:tab w:val="num" w:pos="720"/>
        </w:tabs>
        <w:rPr>
          <w:rFonts w:ascii="Times New Roman" w:hAnsi="Times New Roman"/>
        </w:rPr>
      </w:pPr>
      <w:r w:rsidRPr="00F820CF">
        <w:rPr>
          <w:rFonts w:ascii="Times New Roman" w:hAnsi="Times New Roman"/>
          <w:u w:val="single"/>
        </w:rPr>
        <w:t>REASONS FOR CHANGE IN BURDEN</w:t>
      </w:r>
    </w:p>
    <w:p w:rsidRPr="00F820CF" w:rsidR="0042327E" w:rsidRDefault="0042327E" w14:paraId="28BDF5D5" w14:textId="77777777">
      <w:pPr>
        <w:rPr>
          <w:rFonts w:ascii="Times New Roman" w:hAnsi="Times New Roman"/>
        </w:rPr>
      </w:pPr>
    </w:p>
    <w:p w:rsidRPr="00F820CF" w:rsidR="00A66703" w:rsidP="00586281" w:rsidRDefault="0042327E" w14:paraId="1A8CBD4E" w14:textId="5A92F6AD">
      <w:pPr>
        <w:ind w:left="720"/>
        <w:rPr>
          <w:rFonts w:ascii="Times New Roman" w:hAnsi="Times New Roman"/>
        </w:rPr>
      </w:pPr>
      <w:r w:rsidRPr="00F820CF">
        <w:rPr>
          <w:rFonts w:ascii="Times New Roman" w:hAnsi="Times New Roman"/>
        </w:rPr>
        <w:t xml:space="preserve">There is no change in the paperwork burden previously approved by OMB.  </w:t>
      </w:r>
      <w:r w:rsidR="008579F2">
        <w:rPr>
          <w:rFonts w:ascii="Times New Roman" w:hAnsi="Times New Roman"/>
        </w:rPr>
        <w:t>IRS</w:t>
      </w:r>
      <w:r w:rsidRPr="00F820CF" w:rsidR="008579F2">
        <w:rPr>
          <w:rFonts w:ascii="Times New Roman" w:hAnsi="Times New Roman"/>
        </w:rPr>
        <w:t xml:space="preserve"> </w:t>
      </w:r>
      <w:r w:rsidR="00E64242">
        <w:rPr>
          <w:rFonts w:ascii="Times New Roman" w:hAnsi="Times New Roman"/>
        </w:rPr>
        <w:t>is</w:t>
      </w:r>
      <w:r w:rsidRPr="00F820CF" w:rsidR="00E64242">
        <w:rPr>
          <w:rFonts w:ascii="Times New Roman" w:hAnsi="Times New Roman"/>
        </w:rPr>
        <w:t xml:space="preserve"> </w:t>
      </w:r>
      <w:r w:rsidRPr="00F820CF">
        <w:rPr>
          <w:rFonts w:ascii="Times New Roman" w:hAnsi="Times New Roman"/>
        </w:rPr>
        <w:t xml:space="preserve">making this submission to renew the OMB approval.  </w:t>
      </w:r>
    </w:p>
    <w:p w:rsidRPr="00F820CF" w:rsidR="00A66703" w:rsidRDefault="00A66703" w14:paraId="24471368" w14:textId="77777777">
      <w:pPr>
        <w:rPr>
          <w:rFonts w:ascii="Times New Roman" w:hAnsi="Times New Roman"/>
        </w:rPr>
      </w:pPr>
    </w:p>
    <w:p w:rsidRPr="00F820CF" w:rsidR="0042327E" w:rsidRDefault="0042327E" w14:paraId="55C04DDA" w14:textId="77777777">
      <w:pPr>
        <w:pStyle w:val="Level1"/>
        <w:tabs>
          <w:tab w:val="left" w:pos="-1440"/>
          <w:tab w:val="num" w:pos="720"/>
        </w:tabs>
        <w:rPr>
          <w:rFonts w:ascii="Times New Roman" w:hAnsi="Times New Roman"/>
        </w:rPr>
      </w:pPr>
      <w:r w:rsidRPr="00F820CF">
        <w:rPr>
          <w:rFonts w:ascii="Times New Roman" w:hAnsi="Times New Roman"/>
          <w:u w:val="single"/>
        </w:rPr>
        <w:t>PLANS FOR TABULATION, STATISTICAL ANALYSIS AND PUBLICATION</w:t>
      </w:r>
    </w:p>
    <w:p w:rsidRPr="00F820CF" w:rsidR="0042327E" w:rsidRDefault="0042327E" w14:paraId="4D779290" w14:textId="77777777">
      <w:pPr>
        <w:rPr>
          <w:rFonts w:ascii="Times New Roman" w:hAnsi="Times New Roman"/>
        </w:rPr>
      </w:pPr>
    </w:p>
    <w:p w:rsidRPr="00F820CF" w:rsidR="0042327E" w:rsidRDefault="007C0117" w14:paraId="7F3E8D81" w14:textId="77777777">
      <w:pPr>
        <w:ind w:left="720"/>
        <w:rPr>
          <w:rFonts w:ascii="Times New Roman" w:hAnsi="Times New Roman"/>
        </w:rPr>
      </w:pPr>
      <w:r w:rsidRPr="00F820CF">
        <w:rPr>
          <w:rFonts w:ascii="Times New Roman" w:hAnsi="Times New Roman"/>
        </w:rPr>
        <w:t>There are no plans for tabulation, statistical analysis and publication.</w:t>
      </w:r>
    </w:p>
    <w:p w:rsidRPr="00F820CF" w:rsidR="0042327E" w:rsidRDefault="0042327E" w14:paraId="1DC77CFC" w14:textId="77777777">
      <w:pPr>
        <w:rPr>
          <w:rFonts w:ascii="Times New Roman" w:hAnsi="Times New Roman"/>
        </w:rPr>
      </w:pPr>
    </w:p>
    <w:p w:rsidRPr="00F820CF" w:rsidR="0042327E" w:rsidRDefault="0042327E" w14:paraId="0912916A" w14:textId="77777777">
      <w:pPr>
        <w:pStyle w:val="Level1"/>
        <w:tabs>
          <w:tab w:val="left" w:pos="-1440"/>
          <w:tab w:val="num" w:pos="720"/>
        </w:tabs>
        <w:rPr>
          <w:rFonts w:ascii="Times New Roman" w:hAnsi="Times New Roman"/>
        </w:rPr>
      </w:pPr>
      <w:r w:rsidRPr="00F820CF">
        <w:rPr>
          <w:rFonts w:ascii="Times New Roman" w:hAnsi="Times New Roman"/>
          <w:u w:val="single"/>
        </w:rPr>
        <w:t>REASONS WHY DISPLAYING THE OMB EXPIRATION DATE IS</w:t>
      </w:r>
      <w:r w:rsidRPr="00F820CF">
        <w:rPr>
          <w:rFonts w:ascii="Times New Roman" w:hAnsi="Times New Roman"/>
        </w:rPr>
        <w:t xml:space="preserve">      </w:t>
      </w:r>
      <w:r w:rsidRPr="00F820CF">
        <w:rPr>
          <w:rFonts w:ascii="Times New Roman" w:hAnsi="Times New Roman"/>
          <w:u w:val="single"/>
        </w:rPr>
        <w:t>INAPPROPRIATE</w:t>
      </w:r>
    </w:p>
    <w:p w:rsidRPr="00F820CF" w:rsidR="0042327E" w:rsidRDefault="0042327E" w14:paraId="28613606" w14:textId="77777777">
      <w:pPr>
        <w:rPr>
          <w:rFonts w:ascii="Times New Roman" w:hAnsi="Times New Roman"/>
        </w:rPr>
      </w:pPr>
    </w:p>
    <w:p w:rsidRPr="00F820CF" w:rsidR="0042327E" w:rsidRDefault="0042327E" w14:paraId="34624598" w14:textId="77777777">
      <w:pPr>
        <w:rPr>
          <w:rFonts w:ascii="Times New Roman" w:hAnsi="Times New Roman"/>
        </w:rPr>
        <w:sectPr w:rsidRPr="00F820CF" w:rsidR="0042327E">
          <w:type w:val="continuous"/>
          <w:pgSz w:w="12240" w:h="15840"/>
          <w:pgMar w:top="1440" w:right="1440" w:bottom="1440" w:left="1440" w:header="1440" w:footer="1440" w:gutter="0"/>
          <w:cols w:space="720"/>
          <w:noEndnote/>
        </w:sectPr>
      </w:pPr>
    </w:p>
    <w:p w:rsidRPr="00F820CF" w:rsidR="0042327E" w:rsidRDefault="008579F2" w14:paraId="3914A1A6" w14:textId="530E371E">
      <w:pPr>
        <w:ind w:left="720"/>
        <w:rPr>
          <w:rFonts w:ascii="Times New Roman" w:hAnsi="Times New Roman"/>
        </w:rPr>
      </w:pPr>
      <w:r>
        <w:rPr>
          <w:rFonts w:ascii="Times New Roman" w:hAnsi="Times New Roman"/>
        </w:rPr>
        <w:t>IRS</w:t>
      </w:r>
      <w:r w:rsidRPr="00F820CF">
        <w:rPr>
          <w:rFonts w:ascii="Times New Roman" w:hAnsi="Times New Roman"/>
        </w:rPr>
        <w:t xml:space="preserve"> </w:t>
      </w:r>
      <w:r w:rsidRPr="00F820CF" w:rsidR="0042327E">
        <w:rPr>
          <w:rFonts w:ascii="Times New Roman" w:hAnsi="Times New Roman"/>
        </w:rPr>
        <w:t>believe</w:t>
      </w:r>
      <w:r>
        <w:rPr>
          <w:rFonts w:ascii="Times New Roman" w:hAnsi="Times New Roman"/>
        </w:rPr>
        <w:t>s</w:t>
      </w:r>
      <w:r w:rsidRPr="00F820CF" w:rsidR="0042327E">
        <w:rPr>
          <w:rFonts w:ascii="Times New Roman" w:hAnsi="Times New Roman"/>
        </w:rPr>
        <w:t xml:space="preserve">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Pr="00F820CF" w:rsidR="0042327E" w:rsidRDefault="0042327E" w14:paraId="678A3771" w14:textId="77777777">
      <w:pPr>
        <w:rPr>
          <w:rFonts w:ascii="Times New Roman" w:hAnsi="Times New Roman"/>
        </w:rPr>
      </w:pPr>
    </w:p>
    <w:p w:rsidRPr="00F820CF" w:rsidR="0042327E" w:rsidRDefault="0042327E" w14:paraId="3C7DD799" w14:textId="77777777">
      <w:pPr>
        <w:pStyle w:val="Level1"/>
        <w:tabs>
          <w:tab w:val="left" w:pos="-1440"/>
          <w:tab w:val="num" w:pos="720"/>
        </w:tabs>
        <w:rPr>
          <w:rFonts w:ascii="Times New Roman" w:hAnsi="Times New Roman"/>
        </w:rPr>
      </w:pPr>
      <w:r w:rsidRPr="00F820CF">
        <w:rPr>
          <w:rFonts w:ascii="Times New Roman" w:hAnsi="Times New Roman"/>
          <w:u w:val="single"/>
        </w:rPr>
        <w:t xml:space="preserve">EXCEPTIONS TO THE CERTIFICATION STATEMENT </w:t>
      </w:r>
    </w:p>
    <w:p w:rsidRPr="00F820CF" w:rsidR="0042327E" w:rsidRDefault="0042327E" w14:paraId="42C4D17D" w14:textId="77777777">
      <w:pPr>
        <w:rPr>
          <w:rFonts w:ascii="Times New Roman" w:hAnsi="Times New Roman"/>
        </w:rPr>
      </w:pPr>
    </w:p>
    <w:p w:rsidRPr="00F820CF" w:rsidR="0042327E" w:rsidRDefault="007C0117" w14:paraId="13A57823" w14:textId="77777777">
      <w:pPr>
        <w:ind w:left="720"/>
        <w:rPr>
          <w:rFonts w:ascii="Times New Roman" w:hAnsi="Times New Roman"/>
        </w:rPr>
      </w:pPr>
      <w:r w:rsidRPr="00F820CF">
        <w:rPr>
          <w:rFonts w:ascii="Times New Roman" w:hAnsi="Times New Roman"/>
        </w:rPr>
        <w:t>There are no exceptions to the certification statement</w:t>
      </w:r>
      <w:r w:rsidRPr="00F820CF" w:rsidR="0042327E">
        <w:rPr>
          <w:rFonts w:ascii="Times New Roman" w:hAnsi="Times New Roman"/>
        </w:rPr>
        <w:t>.</w:t>
      </w:r>
    </w:p>
    <w:p w:rsidRPr="00F820CF" w:rsidR="0042327E" w:rsidRDefault="0042327E" w14:paraId="4DFE9461" w14:textId="77777777">
      <w:pPr>
        <w:rPr>
          <w:rFonts w:ascii="Times New Roman" w:hAnsi="Times New Roman"/>
        </w:rPr>
      </w:pPr>
    </w:p>
    <w:p w:rsidRPr="00F820CF" w:rsidR="0042327E" w:rsidRDefault="0042327E" w14:paraId="3A8F39E3" w14:textId="77777777">
      <w:pPr>
        <w:rPr>
          <w:rFonts w:ascii="Times New Roman" w:hAnsi="Times New Roman"/>
        </w:rPr>
      </w:pPr>
      <w:r w:rsidRPr="00F820CF">
        <w:rPr>
          <w:rFonts w:ascii="Times New Roman" w:hAnsi="Times New Roman"/>
          <w:u w:val="single"/>
        </w:rPr>
        <w:t>Note:</w:t>
      </w:r>
      <w:r w:rsidRPr="00F820CF">
        <w:rPr>
          <w:rFonts w:ascii="Times New Roman" w:hAnsi="Times New Roman"/>
        </w:rPr>
        <w:t xml:space="preserve">   The following paragraph applies to </w:t>
      </w:r>
      <w:proofErr w:type="gramStart"/>
      <w:r w:rsidRPr="00F820CF">
        <w:rPr>
          <w:rFonts w:ascii="Times New Roman" w:hAnsi="Times New Roman"/>
        </w:rPr>
        <w:t>all of</w:t>
      </w:r>
      <w:proofErr w:type="gramEnd"/>
      <w:r w:rsidRPr="00F820CF">
        <w:rPr>
          <w:rFonts w:ascii="Times New Roman" w:hAnsi="Times New Roman"/>
        </w:rPr>
        <w:t xml:space="preserve"> the collections of information in this submission:</w:t>
      </w:r>
    </w:p>
    <w:p w:rsidRPr="00F820CF" w:rsidR="0042327E" w:rsidRDefault="0042327E" w14:paraId="23AC7B7B" w14:textId="77777777">
      <w:pPr>
        <w:rPr>
          <w:rFonts w:ascii="Times New Roman" w:hAnsi="Times New Roman"/>
        </w:rPr>
      </w:pPr>
    </w:p>
    <w:p w:rsidRPr="00F820CF" w:rsidR="0042327E" w:rsidRDefault="0042327E" w14:paraId="2B09D223" w14:textId="77777777">
      <w:pPr>
        <w:ind w:firstLine="720"/>
        <w:rPr>
          <w:rFonts w:ascii="Times New Roman" w:hAnsi="Times New Roman"/>
        </w:rPr>
      </w:pPr>
      <w:r w:rsidRPr="00F820CF">
        <w:rPr>
          <w:rFonts w:ascii="Times New Roman" w:hAnsi="Times New Roman"/>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F820CF">
        <w:rPr>
          <w:rFonts w:ascii="Times New Roman" w:hAnsi="Times New Roman"/>
        </w:rPr>
        <w:t>as long as</w:t>
      </w:r>
      <w:proofErr w:type="gramEnd"/>
      <w:r w:rsidRPr="00F820CF">
        <w:rPr>
          <w:rFonts w:ascii="Times New Roman" w:hAnsi="Times New Roman"/>
        </w:rPr>
        <w:t xml:space="preserve"> their contents may become material in the administration of any internal revenue law.  Generally, tax returns and tax return information are confidential, as required by 26 U.S.C. 6103.</w:t>
      </w:r>
    </w:p>
    <w:p w:rsidRPr="00F820CF" w:rsidR="0042327E" w:rsidRDefault="0042327E" w14:paraId="32CF41E3" w14:textId="77777777">
      <w:pPr>
        <w:rPr>
          <w:rFonts w:ascii="Times New Roman" w:hAnsi="Times New Roman"/>
        </w:rPr>
      </w:pPr>
    </w:p>
    <w:p w:rsidRPr="00F820CF" w:rsidR="0042327E" w:rsidRDefault="0042327E" w14:paraId="541F6BA5" w14:textId="77777777">
      <w:pPr>
        <w:rPr>
          <w:rFonts w:ascii="Times New Roman" w:hAnsi="Times New Roman"/>
        </w:rPr>
      </w:pPr>
    </w:p>
    <w:sectPr w:rsidRPr="00F820CF" w:rsidR="0042327E" w:rsidSect="0042327E">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9B507" w14:textId="77777777" w:rsidR="00247C61" w:rsidRDefault="00247C61">
      <w:r>
        <w:separator/>
      </w:r>
    </w:p>
  </w:endnote>
  <w:endnote w:type="continuationSeparator" w:id="0">
    <w:p w14:paraId="2AC6BD67" w14:textId="77777777" w:rsidR="00247C61" w:rsidRDefault="00247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w:altName w:val="Courier New"/>
    <w:panose1 w:val="02070409020205020404"/>
    <w:charset w:val="00"/>
    <w:family w:val="modern"/>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32AB7" w14:textId="77777777" w:rsidR="00247C61" w:rsidRDefault="00247C61">
      <w:r>
        <w:separator/>
      </w:r>
    </w:p>
  </w:footnote>
  <w:footnote w:type="continuationSeparator" w:id="0">
    <w:p w14:paraId="5C092122" w14:textId="77777777" w:rsidR="00247C61" w:rsidRDefault="00247C61">
      <w:r>
        <w:continuationSeparator/>
      </w:r>
    </w:p>
  </w:footnote>
  <w:footnote w:id="1">
    <w:p w14:paraId="6E069D71" w14:textId="10E80FB2" w:rsidR="003435DD" w:rsidRDefault="003435DD">
      <w:pPr>
        <w:pStyle w:val="FootnoteText"/>
      </w:pPr>
      <w:r>
        <w:rPr>
          <w:rStyle w:val="FootnoteReference"/>
        </w:rPr>
        <w:footnoteRef/>
      </w:r>
      <w:r>
        <w:t xml:space="preserve"> </w:t>
      </w:r>
      <w:r w:rsidRPr="00525420">
        <w:rPr>
          <w:rFonts w:ascii="Times New Roman" w:hAnsi="Times New Roman"/>
          <w:sz w:val="18"/>
          <w:szCs w:val="18"/>
        </w:rPr>
        <w:footnoteRef/>
      </w:r>
      <w:r w:rsidRPr="00525420">
        <w:rPr>
          <w:rFonts w:ascii="Times New Roman" w:hAnsi="Times New Roman"/>
          <w:sz w:val="18"/>
          <w:szCs w:val="18"/>
        </w:rPr>
        <w:t xml:space="preserve"> </w:t>
      </w:r>
      <w:r>
        <w:rPr>
          <w:rFonts w:ascii="Times New Roman" w:hAnsi="Times New Roman"/>
          <w:sz w:val="18"/>
          <w:szCs w:val="18"/>
        </w:rPr>
        <w:t>Box 5 burden is calculated separately to show</w:t>
      </w:r>
      <w:r w:rsidRPr="00525420">
        <w:rPr>
          <w:rFonts w:ascii="Times New Roman" w:hAnsi="Times New Roman"/>
          <w:sz w:val="18"/>
          <w:szCs w:val="18"/>
        </w:rPr>
        <w:t xml:space="preserve"> the shares of investment expenses of a single class </w:t>
      </w:r>
      <w:r w:rsidR="00E64242" w:rsidRPr="00E64242">
        <w:rPr>
          <w:rFonts w:ascii="Times New Roman" w:hAnsi="Times New Roman"/>
          <w:sz w:val="18"/>
          <w:szCs w:val="18"/>
        </w:rPr>
        <w:t>Real Estate Mortgage Investment Conduit</w:t>
      </w:r>
      <w:r w:rsidR="00E64242">
        <w:rPr>
          <w:rFonts w:ascii="Times New Roman" w:hAnsi="Times New Roman"/>
          <w:sz w:val="18"/>
          <w:szCs w:val="18"/>
        </w:rPr>
        <w:t xml:space="preserve"> (</w:t>
      </w:r>
      <w:r w:rsidRPr="00525420">
        <w:rPr>
          <w:rFonts w:ascii="Times New Roman" w:hAnsi="Times New Roman"/>
          <w:sz w:val="18"/>
          <w:szCs w:val="18"/>
        </w:rPr>
        <w:t>REMIC</w:t>
      </w:r>
      <w:r w:rsidR="00E64242">
        <w:rPr>
          <w:rFonts w:ascii="Times New Roman" w:hAnsi="Times New Roman"/>
          <w:sz w:val="18"/>
          <w:szCs w:val="18"/>
        </w:rPr>
        <w:t>)</w:t>
      </w:r>
      <w:r>
        <w:rPr>
          <w:rFonts w:ascii="Times New Roman" w:hAnsi="Times New Roman"/>
          <w:sz w:val="18"/>
          <w:szCs w:val="18"/>
        </w:rPr>
        <w:t xml:space="preserve">, which is not deductible and is reported separately. </w:t>
      </w:r>
      <w:r w:rsidRPr="00525420">
        <w:rPr>
          <w:rFonts w:ascii="Times New Roman" w:hAnsi="Times New Roman"/>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529BB" w14:textId="22EE9F84" w:rsidR="0042327E" w:rsidRDefault="0042327E">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E64242">
      <w:rPr>
        <w:rFonts w:cs="Courier"/>
        <w:b/>
        <w:bCs/>
        <w:noProof/>
      </w:rPr>
      <w:t>6</w:t>
    </w:r>
    <w:r>
      <w:rPr>
        <w:rFonts w:cs="Courier"/>
        <w:b/>
        <w:bCs/>
      </w:rPr>
      <w:fldChar w:fldCharType="end"/>
    </w:r>
  </w:p>
  <w:p w14:paraId="485EAC92" w14:textId="77777777" w:rsidR="0042327E" w:rsidRDefault="0042327E"/>
  <w:p w14:paraId="730F3B5F" w14:textId="77777777" w:rsidR="0042327E" w:rsidRDefault="0042327E">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AE3C9A8"/>
    <w:multiLevelType w:val="hybridMultilevel"/>
    <w:tmpl w:val="EA215C9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12D3581D"/>
    <w:multiLevelType w:val="hybridMultilevel"/>
    <w:tmpl w:val="47922B62"/>
    <w:lvl w:ilvl="0" w:tplc="1B308810">
      <w:numFmt w:val="bullet"/>
      <w:lvlText w:val="-"/>
      <w:lvlJc w:val="left"/>
      <w:pPr>
        <w:ind w:left="720" w:hanging="360"/>
      </w:pPr>
      <w:rPr>
        <w:rFonts w:ascii="Courier" w:eastAsia="Times New Roman" w:hAnsi="Courier"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27E"/>
    <w:rsid w:val="00003D03"/>
    <w:rsid w:val="000246FB"/>
    <w:rsid w:val="000264DC"/>
    <w:rsid w:val="000774A6"/>
    <w:rsid w:val="0009308E"/>
    <w:rsid w:val="00094223"/>
    <w:rsid w:val="000C57B2"/>
    <w:rsid w:val="0011637B"/>
    <w:rsid w:val="00196604"/>
    <w:rsid w:val="001A0E52"/>
    <w:rsid w:val="001F00A8"/>
    <w:rsid w:val="00200A9E"/>
    <w:rsid w:val="00205B23"/>
    <w:rsid w:val="00230365"/>
    <w:rsid w:val="00247C61"/>
    <w:rsid w:val="00274F60"/>
    <w:rsid w:val="003435DD"/>
    <w:rsid w:val="00355396"/>
    <w:rsid w:val="00386E52"/>
    <w:rsid w:val="003A3849"/>
    <w:rsid w:val="003C7E43"/>
    <w:rsid w:val="003D4A1F"/>
    <w:rsid w:val="003F26F3"/>
    <w:rsid w:val="00413590"/>
    <w:rsid w:val="0042327E"/>
    <w:rsid w:val="00485B63"/>
    <w:rsid w:val="00524675"/>
    <w:rsid w:val="00526997"/>
    <w:rsid w:val="00586281"/>
    <w:rsid w:val="005A0AEF"/>
    <w:rsid w:val="005E0F6D"/>
    <w:rsid w:val="005F3C3B"/>
    <w:rsid w:val="005F5790"/>
    <w:rsid w:val="005F70ED"/>
    <w:rsid w:val="006534D7"/>
    <w:rsid w:val="0067075A"/>
    <w:rsid w:val="006847A9"/>
    <w:rsid w:val="006C670F"/>
    <w:rsid w:val="007039F8"/>
    <w:rsid w:val="0071292F"/>
    <w:rsid w:val="00760E1D"/>
    <w:rsid w:val="00771548"/>
    <w:rsid w:val="007A52E6"/>
    <w:rsid w:val="007C0117"/>
    <w:rsid w:val="007F62D2"/>
    <w:rsid w:val="0083788F"/>
    <w:rsid w:val="008579F2"/>
    <w:rsid w:val="00867D39"/>
    <w:rsid w:val="00895219"/>
    <w:rsid w:val="008C3E74"/>
    <w:rsid w:val="008C54E7"/>
    <w:rsid w:val="008F187B"/>
    <w:rsid w:val="00A60161"/>
    <w:rsid w:val="00A66703"/>
    <w:rsid w:val="00A924E2"/>
    <w:rsid w:val="00AB5138"/>
    <w:rsid w:val="00AE622B"/>
    <w:rsid w:val="00AE66E5"/>
    <w:rsid w:val="00B11DB0"/>
    <w:rsid w:val="00BC6ED7"/>
    <w:rsid w:val="00BE1B4E"/>
    <w:rsid w:val="00C363B1"/>
    <w:rsid w:val="00C57DC4"/>
    <w:rsid w:val="00C70894"/>
    <w:rsid w:val="00C76FAC"/>
    <w:rsid w:val="00CB0DF5"/>
    <w:rsid w:val="00CF6A91"/>
    <w:rsid w:val="00D20B84"/>
    <w:rsid w:val="00D51B90"/>
    <w:rsid w:val="00DF085C"/>
    <w:rsid w:val="00DF48FC"/>
    <w:rsid w:val="00DF6644"/>
    <w:rsid w:val="00E16B77"/>
    <w:rsid w:val="00E320E8"/>
    <w:rsid w:val="00E64242"/>
    <w:rsid w:val="00EA0F03"/>
    <w:rsid w:val="00EC289E"/>
    <w:rsid w:val="00ED5F09"/>
    <w:rsid w:val="00F727A0"/>
    <w:rsid w:val="00F820CF"/>
    <w:rsid w:val="00FA5532"/>
    <w:rsid w:val="00FE5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9EC38"/>
  <w15:docId w15:val="{1BAFA3FB-94B1-4D5F-A72D-0CA691DD2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2"/>
      </w:numPr>
      <w:ind w:left="720" w:hanging="720"/>
      <w:outlineLvl w:val="0"/>
    </w:pPr>
  </w:style>
  <w:style w:type="character" w:styleId="CommentReference">
    <w:name w:val="annotation reference"/>
    <w:basedOn w:val="DefaultParagraphFont"/>
    <w:semiHidden/>
    <w:unhideWhenUsed/>
    <w:rsid w:val="00C57DC4"/>
    <w:rPr>
      <w:sz w:val="16"/>
      <w:szCs w:val="16"/>
    </w:rPr>
  </w:style>
  <w:style w:type="paragraph" w:styleId="CommentText">
    <w:name w:val="annotation text"/>
    <w:basedOn w:val="Normal"/>
    <w:link w:val="CommentTextChar"/>
    <w:unhideWhenUsed/>
    <w:rsid w:val="00C57DC4"/>
    <w:rPr>
      <w:sz w:val="20"/>
      <w:szCs w:val="20"/>
    </w:rPr>
  </w:style>
  <w:style w:type="character" w:customStyle="1" w:styleId="CommentTextChar">
    <w:name w:val="Comment Text Char"/>
    <w:basedOn w:val="DefaultParagraphFont"/>
    <w:link w:val="CommentText"/>
    <w:rsid w:val="00C57DC4"/>
    <w:rPr>
      <w:rFonts w:ascii="Courier" w:hAnsi="Courier"/>
    </w:rPr>
  </w:style>
  <w:style w:type="paragraph" w:styleId="CommentSubject">
    <w:name w:val="annotation subject"/>
    <w:basedOn w:val="CommentText"/>
    <w:next w:val="CommentText"/>
    <w:link w:val="CommentSubjectChar"/>
    <w:semiHidden/>
    <w:unhideWhenUsed/>
    <w:rsid w:val="00C57DC4"/>
    <w:rPr>
      <w:b/>
      <w:bCs/>
    </w:rPr>
  </w:style>
  <w:style w:type="character" w:customStyle="1" w:styleId="CommentSubjectChar">
    <w:name w:val="Comment Subject Char"/>
    <w:basedOn w:val="CommentTextChar"/>
    <w:link w:val="CommentSubject"/>
    <w:semiHidden/>
    <w:rsid w:val="00C57DC4"/>
    <w:rPr>
      <w:rFonts w:ascii="Courier" w:hAnsi="Courier"/>
      <w:b/>
      <w:bCs/>
    </w:rPr>
  </w:style>
  <w:style w:type="paragraph" w:styleId="BalloonText">
    <w:name w:val="Balloon Text"/>
    <w:basedOn w:val="Normal"/>
    <w:link w:val="BalloonTextChar"/>
    <w:rsid w:val="00C57DC4"/>
    <w:rPr>
      <w:rFonts w:ascii="Segoe UI" w:hAnsi="Segoe UI" w:cs="Segoe UI"/>
      <w:sz w:val="18"/>
      <w:szCs w:val="18"/>
    </w:rPr>
  </w:style>
  <w:style w:type="character" w:customStyle="1" w:styleId="BalloonTextChar">
    <w:name w:val="Balloon Text Char"/>
    <w:basedOn w:val="DefaultParagraphFont"/>
    <w:link w:val="BalloonText"/>
    <w:rsid w:val="00C57DC4"/>
    <w:rPr>
      <w:rFonts w:ascii="Segoe UI" w:hAnsi="Segoe UI" w:cs="Segoe UI"/>
      <w:sz w:val="18"/>
      <w:szCs w:val="18"/>
    </w:rPr>
  </w:style>
  <w:style w:type="paragraph" w:styleId="ListParagraph">
    <w:name w:val="List Paragraph"/>
    <w:basedOn w:val="Normal"/>
    <w:uiPriority w:val="34"/>
    <w:qFormat/>
    <w:rsid w:val="00A60161"/>
    <w:pPr>
      <w:ind w:left="720"/>
      <w:contextualSpacing/>
    </w:pPr>
  </w:style>
  <w:style w:type="paragraph" w:customStyle="1" w:styleId="Default">
    <w:name w:val="Default"/>
    <w:rsid w:val="00E16B77"/>
    <w:pPr>
      <w:autoSpaceDE w:val="0"/>
      <w:autoSpaceDN w:val="0"/>
      <w:adjustRightInd w:val="0"/>
    </w:pPr>
    <w:rPr>
      <w:rFonts w:ascii="Arial" w:eastAsia="Calibri" w:hAnsi="Arial" w:cs="Arial"/>
      <w:color w:val="000000"/>
      <w:sz w:val="24"/>
      <w:szCs w:val="24"/>
    </w:rPr>
  </w:style>
  <w:style w:type="character" w:styleId="Hyperlink">
    <w:name w:val="Hyperlink"/>
    <w:uiPriority w:val="99"/>
    <w:unhideWhenUsed/>
    <w:rsid w:val="00E16B77"/>
    <w:rPr>
      <w:color w:val="0000FF"/>
      <w:u w:val="single"/>
    </w:rPr>
  </w:style>
  <w:style w:type="paragraph" w:styleId="FootnoteText">
    <w:name w:val="footnote text"/>
    <w:basedOn w:val="Normal"/>
    <w:link w:val="FootnoteTextChar"/>
    <w:semiHidden/>
    <w:unhideWhenUsed/>
    <w:rsid w:val="003435DD"/>
    <w:rPr>
      <w:sz w:val="20"/>
      <w:szCs w:val="20"/>
    </w:rPr>
  </w:style>
  <w:style w:type="character" w:customStyle="1" w:styleId="FootnoteTextChar">
    <w:name w:val="Footnote Text Char"/>
    <w:basedOn w:val="DefaultParagraphFont"/>
    <w:link w:val="FootnoteText"/>
    <w:semiHidden/>
    <w:rsid w:val="003435DD"/>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rs.gov/uac/Privacy-Impact-Assessments-PI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78B67-82BF-470B-85A0-85A6ED4E8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1496</Words>
  <Characters>8529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10005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Department of Treasury</dc:creator>
  <cp:lastModifiedBy>Durbala R Joseph</cp:lastModifiedBy>
  <cp:revision>4</cp:revision>
  <dcterms:created xsi:type="dcterms:W3CDTF">2020-07-30T21:22:00Z</dcterms:created>
  <dcterms:modified xsi:type="dcterms:W3CDTF">2020-07-31T14:56:00Z</dcterms:modified>
</cp:coreProperties>
</file>