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68" w:rsidRDefault="00E60E4A" w14:paraId="16DE81F7" w14:textId="77777777">
      <w:pPr>
        <w:pStyle w:val="BodyText"/>
        <w:spacing w:before="22"/>
        <w:ind w:left="1884" w:right="1876" w:firstLine="0"/>
        <w:jc w:val="center"/>
      </w:pPr>
      <w:bookmarkStart w:name="_GoBack" w:id="0"/>
      <w:bookmarkEnd w:id="0"/>
      <w:r>
        <w:t>INFORMATION COLLECTION (PRA) – STATEMENT A</w:t>
      </w:r>
    </w:p>
    <w:p w:rsidR="00F32B68" w:rsidRDefault="00F32B68" w14:paraId="712CA5E3" w14:textId="77777777">
      <w:pPr>
        <w:pStyle w:val="BodyText"/>
        <w:spacing w:before="9"/>
        <w:ind w:left="0" w:firstLine="0"/>
        <w:rPr>
          <w:sz w:val="33"/>
        </w:rPr>
      </w:pPr>
    </w:p>
    <w:p w:rsidR="00F32B68" w:rsidRDefault="00E60E4A" w14:paraId="58E4E867" w14:textId="77777777">
      <w:pPr>
        <w:pStyle w:val="ListParagraph"/>
        <w:numPr>
          <w:ilvl w:val="0"/>
          <w:numId w:val="4"/>
        </w:numPr>
        <w:tabs>
          <w:tab w:val="left" w:pos="461"/>
        </w:tabs>
        <w:rPr>
          <w:b/>
          <w:sz w:val="24"/>
        </w:rPr>
      </w:pPr>
      <w:r>
        <w:rPr>
          <w:b/>
          <w:sz w:val="24"/>
        </w:rPr>
        <w:t>Explain the circumstances that make the collection of information</w:t>
      </w:r>
      <w:r>
        <w:rPr>
          <w:b/>
          <w:spacing w:val="-27"/>
          <w:sz w:val="24"/>
        </w:rPr>
        <w:t xml:space="preserve"> </w:t>
      </w:r>
      <w:r>
        <w:rPr>
          <w:b/>
          <w:sz w:val="24"/>
        </w:rPr>
        <w:t>necessary.</w:t>
      </w:r>
    </w:p>
    <w:p w:rsidR="00F32B68" w:rsidRDefault="00F32B68" w14:paraId="60B4A9D5" w14:textId="77777777">
      <w:pPr>
        <w:pStyle w:val="BodyText"/>
        <w:spacing w:before="11"/>
        <w:ind w:left="0" w:firstLine="0"/>
        <w:rPr>
          <w:sz w:val="23"/>
        </w:rPr>
      </w:pPr>
    </w:p>
    <w:p w:rsidR="00F32B68" w:rsidRDefault="00E60E4A" w14:paraId="0DE4383C" w14:textId="77777777">
      <w:pPr>
        <w:pStyle w:val="BodyText"/>
        <w:spacing w:before="1" w:line="482" w:lineRule="auto"/>
        <w:ind w:right="154" w:firstLine="0"/>
      </w:pPr>
      <w:r>
        <w:t>Identify any legal or administrative requirements that necessitate the collection. Attach a copy of the appropriate section of each statute and regulation mandating or authorizing the collection of information.</w:t>
      </w:r>
    </w:p>
    <w:p w:rsidR="00F32B68" w:rsidRDefault="00E60E4A" w14:paraId="074DFFD6" w14:textId="77777777">
      <w:pPr>
        <w:spacing w:before="114" w:line="480" w:lineRule="auto"/>
        <w:ind w:left="460" w:right="97"/>
        <w:rPr>
          <w:sz w:val="24"/>
        </w:rPr>
      </w:pPr>
      <w:r>
        <w:rPr>
          <w:sz w:val="24"/>
        </w:rPr>
        <w:t xml:space="preserve">The national landscape of treatment courts is constantly changing. To develop the most helpful training and technical assistance, as well as a current understanding of treatment court trends in the field, national surveys must be conducted periodically to obtain and distribute this valuable information to a broad audience. Under the National Drug Court Resource Center (NDCRC) funded by the Bureau of Justice Assistance, the Social Science Applied Research Center (SSARC) at the University of North Carolina Wilmington will administer the Annual Treatment Court Survey (ATCS) Series </w:t>
      </w:r>
      <w:r w:rsidR="006314D8">
        <w:rPr>
          <w:sz w:val="24"/>
        </w:rPr>
        <w:t xml:space="preserve">which </w:t>
      </w:r>
      <w:r>
        <w:rPr>
          <w:sz w:val="24"/>
        </w:rPr>
        <w:t>includes the Local ATCS for the local treatment courts (N=4,172), the Tribal ATCS for healing to wellness courts (N=117), and the State Coordinator ATCS for state and territory court coordinators (N=54). These surveys address the structure (e.g., funding, personnel, partnerships), operation (e.g., services offered, eligibility, decision making), and successes and challenges (e.g., adherence to or deviance from best practices; racial, ethnic, and gender disparity or equity). The purpose of the ATCS is to develop a current portrait of treatment courts including their needs and emerging trends nationally, locally (state, region), and by location type (e.g., rural, urban).</w:t>
      </w:r>
    </w:p>
    <w:p w:rsidR="00F32B68" w:rsidRDefault="00F32B68" w14:paraId="565C6465" w14:textId="77777777">
      <w:pPr>
        <w:spacing w:line="480" w:lineRule="auto"/>
        <w:rPr>
          <w:sz w:val="24"/>
        </w:rPr>
        <w:sectPr w:rsidR="00F32B68">
          <w:type w:val="continuous"/>
          <w:pgSz w:w="12240" w:h="15840"/>
          <w:pgMar w:top="1420" w:right="1700" w:bottom="280" w:left="1700" w:header="720" w:footer="720" w:gutter="0"/>
          <w:cols w:space="720"/>
        </w:sectPr>
      </w:pPr>
    </w:p>
    <w:p w:rsidR="00F32B68" w:rsidRDefault="00E60E4A" w14:paraId="3184649D" w14:textId="77777777">
      <w:pPr>
        <w:pStyle w:val="ListParagraph"/>
        <w:numPr>
          <w:ilvl w:val="0"/>
          <w:numId w:val="4"/>
        </w:numPr>
        <w:tabs>
          <w:tab w:val="left" w:pos="461"/>
        </w:tabs>
        <w:spacing w:before="22"/>
        <w:rPr>
          <w:b/>
          <w:sz w:val="24"/>
        </w:rPr>
      </w:pPr>
      <w:r>
        <w:rPr>
          <w:b/>
          <w:sz w:val="24"/>
        </w:rPr>
        <w:lastRenderedPageBreak/>
        <w:t>Indicate how, by whom, and for what purpose the information is to be</w:t>
      </w:r>
      <w:r>
        <w:rPr>
          <w:b/>
          <w:spacing w:val="-34"/>
          <w:sz w:val="24"/>
        </w:rPr>
        <w:t xml:space="preserve"> </w:t>
      </w:r>
      <w:r>
        <w:rPr>
          <w:b/>
          <w:sz w:val="24"/>
        </w:rPr>
        <w:t>used.</w:t>
      </w:r>
    </w:p>
    <w:p w:rsidR="00F32B68" w:rsidRDefault="00F32B68" w14:paraId="3F14A06B" w14:textId="77777777">
      <w:pPr>
        <w:pStyle w:val="BodyText"/>
        <w:spacing w:before="11"/>
        <w:ind w:left="0" w:firstLine="0"/>
        <w:rPr>
          <w:sz w:val="23"/>
        </w:rPr>
      </w:pPr>
    </w:p>
    <w:p w:rsidR="00F32B68" w:rsidRDefault="00E60E4A" w14:paraId="155B0A5B" w14:textId="77777777">
      <w:pPr>
        <w:pStyle w:val="BodyText"/>
        <w:spacing w:line="480" w:lineRule="auto"/>
        <w:ind w:right="154" w:firstLine="0"/>
      </w:pPr>
      <w:r>
        <w:t>Except for a new collection, indicate the actual use the agency has made of the information received from the current collection.</w:t>
      </w:r>
    </w:p>
    <w:p w:rsidR="00F32B68" w:rsidRDefault="00E60E4A" w14:paraId="60A90499" w14:textId="77777777">
      <w:pPr>
        <w:spacing w:before="124" w:line="480" w:lineRule="auto"/>
        <w:ind w:left="460" w:right="139"/>
        <w:rPr>
          <w:sz w:val="24"/>
        </w:rPr>
      </w:pPr>
      <w:r>
        <w:rPr>
          <w:sz w:val="24"/>
        </w:rPr>
        <w:t>To reach a broad audience, results will be disseminated in a variety of formats, including grant deliverables (i.e., final report, a webinar, fact sheets, conference presentations), as well as academic articles. Survey results will contribute to the extant knowledge on treatment courts and identify areas in need of further training, technical assistance, and research.</w:t>
      </w:r>
    </w:p>
    <w:p w:rsidR="00F32B68" w:rsidRDefault="00E60E4A" w14:paraId="4F223C9F" w14:textId="77777777">
      <w:pPr>
        <w:pStyle w:val="ListParagraph"/>
        <w:numPr>
          <w:ilvl w:val="0"/>
          <w:numId w:val="4"/>
        </w:numPr>
        <w:tabs>
          <w:tab w:val="left" w:pos="461"/>
        </w:tabs>
        <w:spacing w:before="121" w:line="480" w:lineRule="auto"/>
        <w:ind w:left="460" w:right="358"/>
        <w:rPr>
          <w:b/>
          <w:sz w:val="24"/>
        </w:rPr>
      </w:pPr>
      <w:r>
        <w:rPr>
          <w:b/>
          <w:sz w:val="24"/>
        </w:rPr>
        <w:t>Describe whether, and to what extent, the collection of information involves</w:t>
      </w:r>
      <w:r>
        <w:rPr>
          <w:b/>
          <w:spacing w:val="-38"/>
          <w:sz w:val="24"/>
        </w:rPr>
        <w:t xml:space="preserve"> </w:t>
      </w:r>
      <w:r>
        <w:rPr>
          <w:b/>
          <w:sz w:val="24"/>
        </w:rPr>
        <w:t>the use of automated, electronic, mechanical, or other technological collection techniques or other forms of information</w:t>
      </w:r>
      <w:r>
        <w:rPr>
          <w:b/>
          <w:spacing w:val="-10"/>
          <w:sz w:val="24"/>
        </w:rPr>
        <w:t xml:space="preserve"> </w:t>
      </w:r>
      <w:r>
        <w:rPr>
          <w:b/>
          <w:sz w:val="24"/>
        </w:rPr>
        <w:t>technology.</w:t>
      </w:r>
    </w:p>
    <w:p w:rsidR="00F32B68" w:rsidRDefault="00E60E4A" w14:paraId="6F7C6DD6" w14:textId="77777777">
      <w:pPr>
        <w:spacing w:before="117" w:line="480" w:lineRule="auto"/>
        <w:ind w:left="460" w:right="182"/>
        <w:rPr>
          <w:sz w:val="24"/>
        </w:rPr>
      </w:pPr>
      <w:r>
        <w:rPr>
          <w:sz w:val="24"/>
        </w:rPr>
        <w:t>The ATCS series is automated in Qualtrics and will be administered electronically via a Qualtrics link.</w:t>
      </w:r>
    </w:p>
    <w:p w:rsidR="00F32B68" w:rsidRDefault="00E60E4A" w14:paraId="138E8EED" w14:textId="77777777">
      <w:pPr>
        <w:pStyle w:val="ListParagraph"/>
        <w:numPr>
          <w:ilvl w:val="0"/>
          <w:numId w:val="4"/>
        </w:numPr>
        <w:tabs>
          <w:tab w:val="left" w:pos="461"/>
        </w:tabs>
        <w:spacing w:before="119" w:line="482" w:lineRule="auto"/>
        <w:ind w:left="460" w:right="196"/>
        <w:rPr>
          <w:b/>
          <w:sz w:val="24"/>
        </w:rPr>
      </w:pPr>
      <w:r>
        <w:rPr>
          <w:b/>
          <w:sz w:val="24"/>
        </w:rPr>
        <w:t>Describe efforts to identify duplication. Show specifically why any similar information already available cannot be used or modified for use for the purposes described in Item 2</w:t>
      </w:r>
      <w:r>
        <w:rPr>
          <w:b/>
          <w:spacing w:val="-1"/>
          <w:sz w:val="24"/>
        </w:rPr>
        <w:t xml:space="preserve"> </w:t>
      </w:r>
      <w:r>
        <w:rPr>
          <w:b/>
          <w:sz w:val="24"/>
        </w:rPr>
        <w:t>above.</w:t>
      </w:r>
    </w:p>
    <w:p w:rsidR="00F32B68" w:rsidRDefault="00E60E4A" w14:paraId="5F0DC807" w14:textId="77777777">
      <w:pPr>
        <w:spacing w:before="114" w:line="480" w:lineRule="auto"/>
        <w:ind w:left="460" w:right="398"/>
        <w:rPr>
          <w:sz w:val="24"/>
        </w:rPr>
      </w:pPr>
      <w:r>
        <w:rPr>
          <w:sz w:val="24"/>
        </w:rPr>
        <w:t>National-level treatment court, tribal court, and state coordinator surveys are not currently being conducted. With the rapid changes consistently occurring in the treatment court field, prior survey data is considered out of date at this point in time.</w:t>
      </w:r>
    </w:p>
    <w:p w:rsidR="00F32B68" w:rsidRDefault="00F32B68" w14:paraId="2EBF9BA5" w14:textId="77777777">
      <w:pPr>
        <w:spacing w:line="480" w:lineRule="auto"/>
        <w:rPr>
          <w:sz w:val="24"/>
        </w:rPr>
        <w:sectPr w:rsidR="00F32B68">
          <w:pgSz w:w="12240" w:h="15840"/>
          <w:pgMar w:top="1420" w:right="1700" w:bottom="280" w:left="1700" w:header="720" w:footer="720" w:gutter="0"/>
          <w:cols w:space="720"/>
        </w:sectPr>
      </w:pPr>
    </w:p>
    <w:p w:rsidR="00F32B68" w:rsidRDefault="00E60E4A" w14:paraId="07C2E063" w14:textId="77777777">
      <w:pPr>
        <w:pStyle w:val="ListParagraph"/>
        <w:numPr>
          <w:ilvl w:val="0"/>
          <w:numId w:val="4"/>
        </w:numPr>
        <w:tabs>
          <w:tab w:val="left" w:pos="461"/>
        </w:tabs>
        <w:spacing w:before="22" w:line="480" w:lineRule="auto"/>
        <w:ind w:left="460" w:right="532"/>
        <w:rPr>
          <w:b/>
          <w:sz w:val="24"/>
        </w:rPr>
      </w:pPr>
      <w:r>
        <w:rPr>
          <w:b/>
          <w:sz w:val="24"/>
        </w:rPr>
        <w:lastRenderedPageBreak/>
        <w:t>If</w:t>
      </w:r>
      <w:r>
        <w:rPr>
          <w:b/>
          <w:spacing w:val="-4"/>
          <w:sz w:val="24"/>
        </w:rPr>
        <w:t xml:space="preserve"> </w:t>
      </w:r>
      <w:r>
        <w:rPr>
          <w:b/>
          <w:sz w:val="24"/>
        </w:rPr>
        <w:t>the</w:t>
      </w:r>
      <w:r>
        <w:rPr>
          <w:b/>
          <w:spacing w:val="-4"/>
          <w:sz w:val="24"/>
        </w:rPr>
        <w:t xml:space="preserve"> </w:t>
      </w:r>
      <w:r>
        <w:rPr>
          <w:b/>
          <w:sz w:val="24"/>
        </w:rPr>
        <w:t>collection</w:t>
      </w:r>
      <w:r>
        <w:rPr>
          <w:b/>
          <w:spacing w:val="-3"/>
          <w:sz w:val="24"/>
        </w:rPr>
        <w:t xml:space="preserve"> </w:t>
      </w:r>
      <w:r>
        <w:rPr>
          <w:b/>
          <w:sz w:val="24"/>
        </w:rPr>
        <w:t>of</w:t>
      </w:r>
      <w:r>
        <w:rPr>
          <w:b/>
          <w:spacing w:val="-8"/>
          <w:sz w:val="24"/>
        </w:rPr>
        <w:t xml:space="preserve"> </w:t>
      </w:r>
      <w:r>
        <w:rPr>
          <w:b/>
          <w:sz w:val="24"/>
        </w:rPr>
        <w:t>information</w:t>
      </w:r>
      <w:r>
        <w:rPr>
          <w:b/>
          <w:spacing w:val="-2"/>
          <w:sz w:val="24"/>
        </w:rPr>
        <w:t xml:space="preserve"> </w:t>
      </w:r>
      <w:r>
        <w:rPr>
          <w:b/>
          <w:sz w:val="24"/>
        </w:rPr>
        <w:t>impacts</w:t>
      </w:r>
      <w:r>
        <w:rPr>
          <w:b/>
          <w:spacing w:val="-4"/>
          <w:sz w:val="24"/>
        </w:rPr>
        <w:t xml:space="preserve"> </w:t>
      </w:r>
      <w:r>
        <w:rPr>
          <w:b/>
          <w:sz w:val="24"/>
        </w:rPr>
        <w:t>small</w:t>
      </w:r>
      <w:r>
        <w:rPr>
          <w:b/>
          <w:spacing w:val="-2"/>
          <w:sz w:val="24"/>
        </w:rPr>
        <w:t xml:space="preserve"> </w:t>
      </w:r>
      <w:r>
        <w:rPr>
          <w:b/>
          <w:sz w:val="24"/>
        </w:rPr>
        <w:t>businesses</w:t>
      </w:r>
      <w:r>
        <w:rPr>
          <w:b/>
          <w:spacing w:val="-4"/>
          <w:sz w:val="24"/>
        </w:rPr>
        <w:t xml:space="preserve"> </w:t>
      </w:r>
      <w:r>
        <w:rPr>
          <w:b/>
          <w:sz w:val="24"/>
        </w:rPr>
        <w:t>or</w:t>
      </w:r>
      <w:r>
        <w:rPr>
          <w:b/>
          <w:spacing w:val="-4"/>
          <w:sz w:val="24"/>
        </w:rPr>
        <w:t xml:space="preserve"> </w:t>
      </w:r>
      <w:r>
        <w:rPr>
          <w:b/>
          <w:sz w:val="24"/>
        </w:rPr>
        <w:t>other</w:t>
      </w:r>
      <w:r>
        <w:rPr>
          <w:b/>
          <w:spacing w:val="-4"/>
          <w:sz w:val="24"/>
        </w:rPr>
        <w:t xml:space="preserve"> </w:t>
      </w:r>
      <w:r>
        <w:rPr>
          <w:b/>
          <w:sz w:val="24"/>
        </w:rPr>
        <w:t>small</w:t>
      </w:r>
      <w:r>
        <w:rPr>
          <w:b/>
          <w:spacing w:val="-2"/>
          <w:sz w:val="24"/>
        </w:rPr>
        <w:t xml:space="preserve"> </w:t>
      </w:r>
      <w:r>
        <w:rPr>
          <w:b/>
          <w:sz w:val="24"/>
        </w:rPr>
        <w:t>entities (Item 5 of OMB Form 83-I), describe any methods used to minimize</w:t>
      </w:r>
      <w:r>
        <w:rPr>
          <w:b/>
          <w:spacing w:val="-20"/>
          <w:sz w:val="24"/>
        </w:rPr>
        <w:t xml:space="preserve"> </w:t>
      </w:r>
      <w:r>
        <w:rPr>
          <w:b/>
          <w:sz w:val="24"/>
        </w:rPr>
        <w:t>burden.</w:t>
      </w:r>
    </w:p>
    <w:p w:rsidR="00F32B68" w:rsidRDefault="00E60E4A" w14:paraId="5A26E877" w14:textId="77777777">
      <w:pPr>
        <w:spacing w:before="118" w:line="480" w:lineRule="auto"/>
        <w:ind w:left="460" w:right="194"/>
        <w:rPr>
          <w:sz w:val="24"/>
        </w:rPr>
      </w:pPr>
      <w:r>
        <w:rPr>
          <w:sz w:val="24"/>
        </w:rPr>
        <w:t>Not applicable. The ATCS series is not administered to any small business, independently-owned nonprofit enterprise, or city, county, town, township, school district, or special district government with a population of less than 50,000. The Local ATCS is administered to non-tribal treatment courts across the country (N=4,172) with one respondent from each court, while the Tribal ATCS is distributed to the tribal courts across the country (N=117) with one respondent from each court. The State Coordinator ATCS is disseminated to all state/territory court coordinators (N=54).</w:t>
      </w:r>
    </w:p>
    <w:p w:rsidR="00F32B68" w:rsidRDefault="00E60E4A" w14:paraId="21B10768" w14:textId="77777777">
      <w:pPr>
        <w:spacing w:before="4" w:line="480" w:lineRule="auto"/>
        <w:ind w:left="460" w:right="164"/>
        <w:rPr>
          <w:sz w:val="24"/>
        </w:rPr>
      </w:pPr>
      <w:r>
        <w:rPr>
          <w:sz w:val="24"/>
        </w:rPr>
        <w:t>Each survey in the ATCS series is automated and contains skip patterns to eliminate the administration of any unnecessary items. Each survey has undergone thorough review to ensure only measures pertinent to the field are included. Finally, the ATCS survey series is administered electronically to reduce respondent effort.</w:t>
      </w:r>
    </w:p>
    <w:p w:rsidR="00F32B68" w:rsidRDefault="00E60E4A" w14:paraId="1F75E305" w14:textId="77777777">
      <w:pPr>
        <w:pStyle w:val="ListParagraph"/>
        <w:numPr>
          <w:ilvl w:val="0"/>
          <w:numId w:val="4"/>
        </w:numPr>
        <w:tabs>
          <w:tab w:val="left" w:pos="461"/>
        </w:tabs>
        <w:spacing w:before="2" w:line="480" w:lineRule="auto"/>
        <w:ind w:left="460" w:right="157"/>
        <w:rPr>
          <w:b/>
          <w:sz w:val="24"/>
        </w:rPr>
      </w:pPr>
      <w:r>
        <w:rPr>
          <w:b/>
          <w:sz w:val="24"/>
        </w:rPr>
        <w:t>Describe the consequence to the Federal program or policy activities if the collection is not conducted or is conducted less frequently, as well as any technical or legal obstacles to reducing</w:t>
      </w:r>
      <w:r>
        <w:rPr>
          <w:b/>
          <w:spacing w:val="-5"/>
          <w:sz w:val="24"/>
        </w:rPr>
        <w:t xml:space="preserve"> </w:t>
      </w:r>
      <w:r>
        <w:rPr>
          <w:b/>
          <w:sz w:val="24"/>
        </w:rPr>
        <w:t>burden.</w:t>
      </w:r>
    </w:p>
    <w:p w:rsidR="00F32B68" w:rsidRDefault="00E60E4A" w14:paraId="0893002D" w14:textId="77777777">
      <w:pPr>
        <w:spacing w:line="482" w:lineRule="auto"/>
        <w:ind w:left="460" w:right="97"/>
        <w:rPr>
          <w:sz w:val="24"/>
        </w:rPr>
      </w:pPr>
      <w:r>
        <w:rPr>
          <w:sz w:val="24"/>
        </w:rPr>
        <w:t>The ATCS series is a Bureau of Justice Assistance deliverable for the Social Science Applied Research Center at the University of North Carolina Wilmington, under the National Drug Court Resource Center (NDCRC).</w:t>
      </w:r>
    </w:p>
    <w:p w:rsidR="00F32B68" w:rsidRDefault="00F32B68" w14:paraId="0A7A6B29" w14:textId="77777777">
      <w:pPr>
        <w:spacing w:line="482" w:lineRule="auto"/>
        <w:rPr>
          <w:sz w:val="24"/>
        </w:rPr>
        <w:sectPr w:rsidR="00F32B68">
          <w:pgSz w:w="12240" w:h="15840"/>
          <w:pgMar w:top="1420" w:right="1700" w:bottom="280" w:left="1700" w:header="720" w:footer="720" w:gutter="0"/>
          <w:cols w:space="720"/>
        </w:sectPr>
      </w:pPr>
    </w:p>
    <w:p w:rsidR="00F32B68" w:rsidRDefault="00E60E4A" w14:paraId="156DA8D6" w14:textId="77777777">
      <w:pPr>
        <w:pStyle w:val="ListParagraph"/>
        <w:numPr>
          <w:ilvl w:val="0"/>
          <w:numId w:val="4"/>
        </w:numPr>
        <w:tabs>
          <w:tab w:val="left" w:pos="461"/>
        </w:tabs>
        <w:spacing w:before="22" w:line="480" w:lineRule="auto"/>
        <w:ind w:left="460" w:right="191"/>
        <w:rPr>
          <w:b/>
          <w:sz w:val="24"/>
        </w:rPr>
      </w:pPr>
      <w:r>
        <w:rPr>
          <w:b/>
          <w:sz w:val="24"/>
        </w:rPr>
        <w:lastRenderedPageBreak/>
        <w:t>Explain any special circumstances that require the collection to be conducted in a manner inconsistent with OMB guidelines: (a) requiring respondents to report information to the agency more often than quarterly; (b) requiring respondents</w:t>
      </w:r>
      <w:r>
        <w:rPr>
          <w:b/>
          <w:spacing w:val="-39"/>
          <w:sz w:val="24"/>
        </w:rPr>
        <w:t xml:space="preserve"> </w:t>
      </w:r>
      <w:r>
        <w:rPr>
          <w:b/>
          <w:sz w:val="24"/>
        </w:rPr>
        <w:t>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w:t>
      </w:r>
      <w:r>
        <w:rPr>
          <w:b/>
          <w:spacing w:val="-37"/>
          <w:sz w:val="24"/>
        </w:rPr>
        <w:t xml:space="preserve"> </w:t>
      </w:r>
      <w:r>
        <w:rPr>
          <w:b/>
          <w:sz w:val="24"/>
        </w:rPr>
        <w:t>study;</w:t>
      </w:r>
    </w:p>
    <w:p w:rsidR="00F32B68" w:rsidRDefault="00E60E4A" w14:paraId="2AF2E246" w14:textId="77777777">
      <w:pPr>
        <w:pStyle w:val="ListParagraph"/>
        <w:numPr>
          <w:ilvl w:val="1"/>
          <w:numId w:val="4"/>
        </w:numPr>
        <w:tabs>
          <w:tab w:val="left" w:pos="742"/>
        </w:tabs>
        <w:spacing w:before="3" w:line="480" w:lineRule="auto"/>
        <w:ind w:left="460" w:right="302" w:firstLine="0"/>
        <w:rPr>
          <w:b/>
          <w:sz w:val="24"/>
        </w:rPr>
      </w:pPr>
      <w:r>
        <w:rPr>
          <w:b/>
          <w:sz w:val="24"/>
        </w:rPr>
        <w:t>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w:t>
      </w:r>
      <w:r>
        <w:rPr>
          <w:b/>
          <w:spacing w:val="1"/>
          <w:sz w:val="24"/>
        </w:rPr>
        <w:t xml:space="preserve"> </w:t>
      </w:r>
      <w:r>
        <w:rPr>
          <w:b/>
          <w:sz w:val="24"/>
        </w:rPr>
        <w:t>law.</w:t>
      </w:r>
    </w:p>
    <w:p w:rsidR="00F32B68" w:rsidRDefault="00E60E4A" w14:paraId="42DF6AAD" w14:textId="77777777">
      <w:pPr>
        <w:spacing w:before="118" w:line="480" w:lineRule="auto"/>
        <w:ind w:left="460" w:right="143"/>
        <w:rPr>
          <w:sz w:val="24"/>
        </w:rPr>
      </w:pPr>
      <w:r>
        <w:rPr>
          <w:sz w:val="24"/>
        </w:rPr>
        <w:t>The following responses refer to all the three surveys in the ATCS Series (Local ATCS, Tribal ATCS, and State Coordinator ATCS): (a) participation in the survey is voluntary and will occur at most annually; (b) respondents are not required to participate in the survey as participation is voluntary; (c) respondents are not required to submit</w:t>
      </w:r>
    </w:p>
    <w:p w:rsidR="00F32B68" w:rsidRDefault="00F32B68" w14:paraId="100C411F" w14:textId="77777777">
      <w:pPr>
        <w:spacing w:line="480" w:lineRule="auto"/>
        <w:rPr>
          <w:sz w:val="24"/>
        </w:rPr>
        <w:sectPr w:rsidR="00F32B68">
          <w:pgSz w:w="12240" w:h="15840"/>
          <w:pgMar w:top="1420" w:right="1700" w:bottom="280" w:left="1700" w:header="720" w:footer="720" w:gutter="0"/>
          <w:cols w:space="720"/>
        </w:sectPr>
      </w:pPr>
    </w:p>
    <w:p w:rsidR="00F32B68" w:rsidRDefault="00E60E4A" w14:paraId="412B06AC" w14:textId="77777777">
      <w:pPr>
        <w:spacing w:before="22" w:line="480" w:lineRule="auto"/>
        <w:ind w:left="460" w:right="202"/>
        <w:rPr>
          <w:sz w:val="24"/>
        </w:rPr>
      </w:pPr>
      <w:r>
        <w:rPr>
          <w:sz w:val="24"/>
        </w:rPr>
        <w:lastRenderedPageBreak/>
        <w:t>any documents; (d) respondents are not required to retain any records for more than three years; (e) the survey is administered to the full target population frames instead of sampling from them; (f) statistical data classification is not employed in the data collection process, while statistical analysis of the data obtained will occur;</w:t>
      </w:r>
    </w:p>
    <w:p w:rsidR="00F32B68" w:rsidRDefault="00E60E4A" w14:paraId="2AABC81B" w14:textId="77777777">
      <w:pPr>
        <w:pStyle w:val="ListParagraph"/>
        <w:numPr>
          <w:ilvl w:val="1"/>
          <w:numId w:val="4"/>
        </w:numPr>
        <w:tabs>
          <w:tab w:val="left" w:pos="776"/>
        </w:tabs>
        <w:spacing w:before="2" w:line="480" w:lineRule="auto"/>
        <w:ind w:left="460" w:right="117" w:firstLine="0"/>
        <w:rPr>
          <w:sz w:val="24"/>
        </w:rPr>
      </w:pPr>
      <w:r>
        <w:rPr>
          <w:sz w:val="24"/>
        </w:rPr>
        <w:t>study protocol, including consent, confidentiality, and data security, are reviewed and approved by the University of North Carolina Wilmington’s Institutional Review Board; (h) respondents are not required to submit proprietary trade secrets or other confidential information.</w:t>
      </w:r>
    </w:p>
    <w:p w:rsidR="00F32B68" w:rsidRDefault="00E60E4A" w14:paraId="1B288290" w14:textId="77777777">
      <w:pPr>
        <w:pStyle w:val="ListParagraph"/>
        <w:numPr>
          <w:ilvl w:val="0"/>
          <w:numId w:val="4"/>
        </w:numPr>
        <w:tabs>
          <w:tab w:val="left" w:pos="461"/>
        </w:tabs>
        <w:spacing w:before="122" w:line="480" w:lineRule="auto"/>
        <w:ind w:left="460" w:right="104"/>
        <w:rPr>
          <w:b/>
          <w:sz w:val="24"/>
        </w:rPr>
      </w:pPr>
      <w:r>
        <w:rPr>
          <w:b/>
          <w:sz w:val="24"/>
        </w:rPr>
        <w:t xml:space="preserve">If applicable, provide a copy and identify the date and page number of publication in the Federal Register </w:t>
      </w:r>
      <w:r>
        <w:rPr>
          <w:b/>
          <w:spacing w:val="2"/>
          <w:sz w:val="24"/>
        </w:rPr>
        <w:t xml:space="preserve">of </w:t>
      </w:r>
      <w:r>
        <w:rPr>
          <w:b/>
          <w:sz w:val="24"/>
        </w:rPr>
        <w:t>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w:t>
      </w:r>
      <w:r>
        <w:rPr>
          <w:b/>
          <w:spacing w:val="-3"/>
          <w:sz w:val="24"/>
        </w:rPr>
        <w:t xml:space="preserve"> </w:t>
      </w:r>
      <w:r>
        <w:rPr>
          <w:b/>
          <w:sz w:val="24"/>
        </w:rPr>
        <w:t>explained.</w:t>
      </w:r>
    </w:p>
    <w:p w:rsidR="00F32B68" w:rsidRDefault="00F32B68" w14:paraId="7C257E1D" w14:textId="77777777">
      <w:pPr>
        <w:spacing w:line="480" w:lineRule="auto"/>
        <w:rPr>
          <w:sz w:val="24"/>
        </w:rPr>
      </w:pPr>
    </w:p>
    <w:p w:rsidR="00E60E4A" w:rsidRDefault="00E60E4A" w14:paraId="45641A64" w14:textId="77777777">
      <w:pPr>
        <w:spacing w:line="480" w:lineRule="auto"/>
        <w:rPr>
          <w:sz w:val="24"/>
        </w:rPr>
        <w:sectPr w:rsidR="00E60E4A">
          <w:pgSz w:w="12240" w:h="15840"/>
          <w:pgMar w:top="1420" w:right="1700" w:bottom="280" w:left="1700" w:header="720" w:footer="720" w:gutter="0"/>
          <w:cols w:space="720"/>
        </w:sectPr>
      </w:pPr>
      <w:r>
        <w:rPr>
          <w:sz w:val="24"/>
        </w:rPr>
        <w:t xml:space="preserve">    </w:t>
      </w:r>
      <w:r>
        <w:rPr>
          <w:sz w:val="24"/>
        </w:rPr>
        <w:tab/>
        <w:t xml:space="preserve">Not applicable </w:t>
      </w:r>
    </w:p>
    <w:p w:rsidR="00F32B68" w:rsidRDefault="00E60E4A" w14:paraId="2C5551E9" w14:textId="77777777">
      <w:pPr>
        <w:pStyle w:val="ListParagraph"/>
        <w:numPr>
          <w:ilvl w:val="0"/>
          <w:numId w:val="4"/>
        </w:numPr>
        <w:tabs>
          <w:tab w:val="left" w:pos="461"/>
        </w:tabs>
        <w:spacing w:before="22" w:line="480" w:lineRule="auto"/>
        <w:ind w:left="460" w:right="138"/>
        <w:rPr>
          <w:sz w:val="24"/>
        </w:rPr>
      </w:pPr>
      <w:r>
        <w:rPr>
          <w:b/>
          <w:sz w:val="24"/>
        </w:rPr>
        <w:lastRenderedPageBreak/>
        <w:t xml:space="preserve">Explain any decision to provide any payment or gift to respondents, other than remuneration of contractors or grantees. </w:t>
      </w:r>
      <w:r>
        <w:rPr>
          <w:sz w:val="24"/>
        </w:rPr>
        <w:t>All Local, Tribal, and State Coordinator ATCS respondents will be sent the final report for the survey they completed.</w:t>
      </w:r>
    </w:p>
    <w:p w:rsidR="006668CC" w:rsidP="006668CC" w:rsidRDefault="006668CC" w14:paraId="60341A7B" w14:textId="77777777">
      <w:pPr>
        <w:pStyle w:val="ListParagraph"/>
        <w:tabs>
          <w:tab w:val="left" w:pos="461"/>
        </w:tabs>
        <w:spacing w:before="22" w:line="480" w:lineRule="auto"/>
        <w:ind w:right="138" w:firstLine="0"/>
        <w:rPr>
          <w:sz w:val="24"/>
        </w:rPr>
      </w:pPr>
    </w:p>
    <w:p w:rsidRPr="00E60E4A" w:rsidR="00F32B68" w:rsidP="00E60E4A" w:rsidRDefault="00E60E4A" w14:paraId="49E8BB6C" w14:textId="0F7EEEB3">
      <w:pPr>
        <w:pStyle w:val="ListParagraph"/>
        <w:numPr>
          <w:ilvl w:val="0"/>
          <w:numId w:val="4"/>
        </w:numPr>
        <w:tabs>
          <w:tab w:val="left" w:pos="461"/>
        </w:tabs>
        <w:spacing w:before="1" w:line="480" w:lineRule="auto"/>
        <w:ind w:left="460" w:right="98"/>
        <w:rPr>
          <w:sz w:val="24"/>
        </w:rPr>
      </w:pPr>
      <w:r>
        <w:rPr>
          <w:b/>
          <w:sz w:val="24"/>
        </w:rPr>
        <w:t xml:space="preserve">Describe any assurance of confidentiality provided to respondents and the basis for the assurance in statute, regulation, or agency policy. </w:t>
      </w:r>
      <w:r>
        <w:rPr>
          <w:sz w:val="24"/>
        </w:rPr>
        <w:t>Confidentiality protocol will be reviewed and approved by the University of North Carolina Wilmington Institutional Review Board. Participant confidentiality will be ensured in the following ways: (1) Survey results will be reported in aggregate</w:t>
      </w:r>
      <w:r w:rsidR="0052525A">
        <w:rPr>
          <w:sz w:val="24"/>
        </w:rPr>
        <w:t xml:space="preserve"> and for specific sub-groups (e.g., urban versus rural jurisdictions, DWI courts as a whole, etc.)</w:t>
      </w:r>
      <w:r>
        <w:rPr>
          <w:sz w:val="24"/>
        </w:rPr>
        <w:t xml:space="preserve">; (2) </w:t>
      </w:r>
      <w:r w:rsidR="0052525A">
        <w:rPr>
          <w:sz w:val="24"/>
        </w:rPr>
        <w:t xml:space="preserve">Survey </w:t>
      </w:r>
      <w:r>
        <w:rPr>
          <w:sz w:val="24"/>
        </w:rPr>
        <w:t xml:space="preserve">responses will not be attributed to any </w:t>
      </w:r>
      <w:r w:rsidR="0052525A">
        <w:rPr>
          <w:sz w:val="24"/>
        </w:rPr>
        <w:t xml:space="preserve">specific </w:t>
      </w:r>
      <w:r>
        <w:rPr>
          <w:sz w:val="24"/>
        </w:rPr>
        <w:t>respondent, court, tribe, or state/territory office of court administration; (3) A list of respondent names, courts, tribes, or programs will not be published or</w:t>
      </w:r>
      <w:r>
        <w:rPr>
          <w:spacing w:val="-28"/>
          <w:sz w:val="24"/>
        </w:rPr>
        <w:t xml:space="preserve"> </w:t>
      </w:r>
      <w:r>
        <w:rPr>
          <w:sz w:val="24"/>
        </w:rPr>
        <w:t xml:space="preserve">shared; (4) </w:t>
      </w:r>
      <w:r w:rsidRPr="00E60E4A">
        <w:rPr>
          <w:sz w:val="24"/>
        </w:rPr>
        <w:t>The survey’s Principal Investigator will de-identify the data for internal</w:t>
      </w:r>
      <w:r w:rsidRPr="00E60E4A">
        <w:rPr>
          <w:spacing w:val="-13"/>
          <w:sz w:val="24"/>
        </w:rPr>
        <w:t xml:space="preserve"> </w:t>
      </w:r>
      <w:r w:rsidRPr="00E60E4A">
        <w:rPr>
          <w:sz w:val="24"/>
        </w:rPr>
        <w:t>analysis;</w:t>
      </w:r>
      <w:r>
        <w:rPr>
          <w:sz w:val="24"/>
        </w:rPr>
        <w:t xml:space="preserve"> (5) </w:t>
      </w:r>
      <w:r w:rsidRPr="00E60E4A">
        <w:rPr>
          <w:sz w:val="24"/>
        </w:rPr>
        <w:t>The data will not be shared</w:t>
      </w:r>
      <w:r w:rsidRPr="00E60E4A">
        <w:rPr>
          <w:spacing w:val="-2"/>
          <w:sz w:val="24"/>
        </w:rPr>
        <w:t xml:space="preserve"> </w:t>
      </w:r>
      <w:r w:rsidRPr="00E60E4A">
        <w:rPr>
          <w:sz w:val="24"/>
        </w:rPr>
        <w:t>externally.</w:t>
      </w:r>
    </w:p>
    <w:p w:rsidR="00F32B68" w:rsidRDefault="00F32B68" w14:paraId="006AF6CE" w14:textId="77777777">
      <w:pPr>
        <w:pStyle w:val="BodyText"/>
        <w:spacing w:before="4"/>
        <w:ind w:left="0" w:firstLine="0"/>
        <w:rPr>
          <w:b w:val="0"/>
        </w:rPr>
      </w:pPr>
    </w:p>
    <w:p w:rsidR="00F32B68" w:rsidRDefault="00E60E4A" w14:paraId="228AE4C6" w14:textId="77777777">
      <w:pPr>
        <w:pStyle w:val="ListParagraph"/>
        <w:numPr>
          <w:ilvl w:val="0"/>
          <w:numId w:val="4"/>
        </w:numPr>
        <w:tabs>
          <w:tab w:val="left" w:pos="461"/>
        </w:tabs>
        <w:spacing w:line="480" w:lineRule="auto"/>
        <w:ind w:left="460" w:right="168"/>
        <w:rPr>
          <w:b/>
          <w:sz w:val="24"/>
        </w:rPr>
      </w:pPr>
      <w:r>
        <w:rPr>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w:t>
      </w:r>
      <w:r>
        <w:rPr>
          <w:b/>
          <w:spacing w:val="-4"/>
          <w:sz w:val="24"/>
        </w:rPr>
        <w:t xml:space="preserve"> </w:t>
      </w:r>
      <w:r>
        <w:rPr>
          <w:b/>
          <w:sz w:val="24"/>
        </w:rPr>
        <w:t>the</w:t>
      </w:r>
      <w:r>
        <w:rPr>
          <w:b/>
          <w:spacing w:val="-3"/>
          <w:sz w:val="24"/>
        </w:rPr>
        <w:t xml:space="preserve"> </w:t>
      </w:r>
      <w:r>
        <w:rPr>
          <w:b/>
          <w:sz w:val="24"/>
        </w:rPr>
        <w:t>explanation</w:t>
      </w:r>
      <w:r>
        <w:rPr>
          <w:b/>
          <w:spacing w:val="-6"/>
          <w:sz w:val="24"/>
        </w:rPr>
        <w:t xml:space="preserve"> </w:t>
      </w:r>
      <w:r>
        <w:rPr>
          <w:b/>
          <w:sz w:val="24"/>
        </w:rPr>
        <w:t>to</w:t>
      </w:r>
      <w:r>
        <w:rPr>
          <w:b/>
          <w:spacing w:val="-1"/>
          <w:sz w:val="24"/>
        </w:rPr>
        <w:t xml:space="preserve"> </w:t>
      </w:r>
      <w:r>
        <w:rPr>
          <w:b/>
          <w:sz w:val="24"/>
        </w:rPr>
        <w:t>be</w:t>
      </w:r>
      <w:r>
        <w:rPr>
          <w:b/>
          <w:spacing w:val="-3"/>
          <w:sz w:val="24"/>
        </w:rPr>
        <w:t xml:space="preserve"> </w:t>
      </w:r>
      <w:r>
        <w:rPr>
          <w:b/>
          <w:sz w:val="24"/>
        </w:rPr>
        <w:t>given</w:t>
      </w:r>
      <w:r>
        <w:rPr>
          <w:b/>
          <w:spacing w:val="-6"/>
          <w:sz w:val="24"/>
        </w:rPr>
        <w:t xml:space="preserve"> </w:t>
      </w:r>
      <w:r>
        <w:rPr>
          <w:b/>
          <w:sz w:val="24"/>
        </w:rPr>
        <w:t>to</w:t>
      </w:r>
      <w:r>
        <w:rPr>
          <w:b/>
          <w:spacing w:val="-1"/>
          <w:sz w:val="24"/>
        </w:rPr>
        <w:t xml:space="preserve"> </w:t>
      </w:r>
      <w:r>
        <w:rPr>
          <w:b/>
          <w:sz w:val="24"/>
        </w:rPr>
        <w:t>persons</w:t>
      </w:r>
      <w:r>
        <w:rPr>
          <w:b/>
          <w:spacing w:val="-3"/>
          <w:sz w:val="24"/>
        </w:rPr>
        <w:t xml:space="preserve"> </w:t>
      </w:r>
      <w:r>
        <w:rPr>
          <w:b/>
          <w:sz w:val="24"/>
        </w:rPr>
        <w:t>from</w:t>
      </w:r>
      <w:r>
        <w:rPr>
          <w:b/>
          <w:spacing w:val="-2"/>
          <w:sz w:val="24"/>
        </w:rPr>
        <w:t xml:space="preserve"> </w:t>
      </w:r>
      <w:r>
        <w:rPr>
          <w:b/>
          <w:sz w:val="24"/>
        </w:rPr>
        <w:t>whom</w:t>
      </w:r>
      <w:r>
        <w:rPr>
          <w:b/>
          <w:spacing w:val="-3"/>
          <w:sz w:val="24"/>
        </w:rPr>
        <w:t xml:space="preserve"> </w:t>
      </w:r>
      <w:r>
        <w:rPr>
          <w:b/>
          <w:sz w:val="24"/>
        </w:rPr>
        <w:t>the</w:t>
      </w:r>
      <w:r>
        <w:rPr>
          <w:b/>
          <w:spacing w:val="-8"/>
          <w:sz w:val="24"/>
        </w:rPr>
        <w:t xml:space="preserve"> </w:t>
      </w:r>
      <w:r>
        <w:rPr>
          <w:b/>
          <w:sz w:val="24"/>
        </w:rPr>
        <w:t>information</w:t>
      </w:r>
      <w:r>
        <w:rPr>
          <w:b/>
          <w:spacing w:val="-1"/>
          <w:sz w:val="24"/>
        </w:rPr>
        <w:t xml:space="preserve"> </w:t>
      </w:r>
      <w:r>
        <w:rPr>
          <w:b/>
          <w:sz w:val="24"/>
        </w:rPr>
        <w:t>is requested, and any steps to be taken to obtain their</w:t>
      </w:r>
      <w:r>
        <w:rPr>
          <w:b/>
          <w:spacing w:val="-16"/>
          <w:sz w:val="24"/>
        </w:rPr>
        <w:t xml:space="preserve"> </w:t>
      </w:r>
      <w:r>
        <w:rPr>
          <w:b/>
          <w:sz w:val="24"/>
        </w:rPr>
        <w:t>consent.</w:t>
      </w:r>
    </w:p>
    <w:p w:rsidR="00F32B68" w:rsidRDefault="00E60E4A" w14:paraId="457752A7" w14:textId="1397FC95">
      <w:pPr>
        <w:spacing w:before="120"/>
        <w:ind w:left="460"/>
        <w:rPr>
          <w:sz w:val="24"/>
        </w:rPr>
      </w:pPr>
      <w:r>
        <w:rPr>
          <w:sz w:val="24"/>
        </w:rPr>
        <w:t>None of the items in the ATCS Series are of a sensitive nature.</w:t>
      </w:r>
    </w:p>
    <w:p w:rsidR="00F32B68" w:rsidRDefault="00F32B68" w14:paraId="0DAAA407" w14:textId="77777777">
      <w:pPr>
        <w:rPr>
          <w:sz w:val="24"/>
        </w:rPr>
        <w:sectPr w:rsidR="00F32B68">
          <w:pgSz w:w="12240" w:h="15840"/>
          <w:pgMar w:top="1420" w:right="1700" w:bottom="280" w:left="1700" w:header="720" w:footer="720" w:gutter="0"/>
          <w:cols w:space="720"/>
        </w:sectPr>
      </w:pPr>
    </w:p>
    <w:p w:rsidR="00F32B68" w:rsidRDefault="00E60E4A" w14:paraId="66636A1F" w14:textId="77777777">
      <w:pPr>
        <w:pStyle w:val="ListParagraph"/>
        <w:numPr>
          <w:ilvl w:val="0"/>
          <w:numId w:val="4"/>
        </w:numPr>
        <w:tabs>
          <w:tab w:val="left" w:pos="461"/>
        </w:tabs>
        <w:spacing w:before="22" w:line="480" w:lineRule="auto"/>
        <w:ind w:left="460" w:right="982"/>
        <w:rPr>
          <w:b/>
          <w:sz w:val="24"/>
        </w:rPr>
      </w:pPr>
      <w:r>
        <w:rPr>
          <w:b/>
          <w:sz w:val="24"/>
        </w:rPr>
        <w:lastRenderedPageBreak/>
        <w:t>Provide estimates of the hour burden of the collection of information.</w:t>
      </w:r>
      <w:r>
        <w:rPr>
          <w:b/>
          <w:spacing w:val="-37"/>
          <w:sz w:val="24"/>
        </w:rPr>
        <w:t xml:space="preserve"> </w:t>
      </w:r>
      <w:r>
        <w:rPr>
          <w:b/>
          <w:sz w:val="24"/>
        </w:rPr>
        <w:t>The statement should:</w:t>
      </w:r>
    </w:p>
    <w:p w:rsidR="00F32B68" w:rsidRDefault="00E60E4A" w14:paraId="0EEB0F57" w14:textId="77777777">
      <w:pPr>
        <w:pStyle w:val="ListParagraph"/>
        <w:numPr>
          <w:ilvl w:val="0"/>
          <w:numId w:val="2"/>
        </w:numPr>
        <w:tabs>
          <w:tab w:val="left" w:pos="1180"/>
          <w:tab w:val="left" w:pos="1181"/>
        </w:tabs>
        <w:spacing w:before="8" w:line="480" w:lineRule="auto"/>
        <w:ind w:right="145"/>
        <w:rPr>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w:t>
      </w:r>
      <w:r>
        <w:rPr>
          <w:b/>
          <w:spacing w:val="-31"/>
          <w:sz w:val="24"/>
        </w:rPr>
        <w:t xml:space="preserve"> </w:t>
      </w:r>
      <w:r>
        <w:rPr>
          <w:b/>
          <w:sz w:val="24"/>
        </w:rPr>
        <w:t>in activity, size, or complexity, show the range of estimated hour burden, and explain the reasons for the variance. Generally, estimates should not include burden hours for customary and usual business</w:t>
      </w:r>
      <w:r>
        <w:rPr>
          <w:b/>
          <w:spacing w:val="-9"/>
          <w:sz w:val="24"/>
        </w:rPr>
        <w:t xml:space="preserve"> </w:t>
      </w:r>
      <w:r>
        <w:rPr>
          <w:b/>
          <w:sz w:val="24"/>
        </w:rPr>
        <w:t>practices.</w:t>
      </w:r>
    </w:p>
    <w:p w:rsidR="00F32B68" w:rsidRDefault="00E60E4A" w14:paraId="6AB83B8B" w14:textId="77777777">
      <w:pPr>
        <w:pStyle w:val="ListParagraph"/>
        <w:numPr>
          <w:ilvl w:val="0"/>
          <w:numId w:val="2"/>
        </w:numPr>
        <w:tabs>
          <w:tab w:val="left" w:pos="1181"/>
        </w:tabs>
        <w:spacing w:before="18" w:line="482" w:lineRule="auto"/>
        <w:ind w:right="424"/>
        <w:jc w:val="both"/>
        <w:rPr>
          <w:b/>
          <w:sz w:val="24"/>
        </w:rPr>
      </w:pPr>
      <w:r>
        <w:rPr>
          <w:b/>
          <w:sz w:val="24"/>
        </w:rPr>
        <w:t>If this request for approval covers more than one form, provide</w:t>
      </w:r>
      <w:r>
        <w:rPr>
          <w:b/>
          <w:spacing w:val="-31"/>
          <w:sz w:val="24"/>
        </w:rPr>
        <w:t xml:space="preserve"> </w:t>
      </w:r>
      <w:r>
        <w:rPr>
          <w:b/>
          <w:sz w:val="24"/>
        </w:rPr>
        <w:t>separate hour burden estimates for each form and aggregate the hour burdens in Item 13 of OMB Form</w:t>
      </w:r>
      <w:r>
        <w:rPr>
          <w:b/>
          <w:spacing w:val="-4"/>
          <w:sz w:val="24"/>
        </w:rPr>
        <w:t xml:space="preserve"> </w:t>
      </w:r>
      <w:r>
        <w:rPr>
          <w:b/>
          <w:sz w:val="24"/>
        </w:rPr>
        <w:t>83-I.</w:t>
      </w:r>
    </w:p>
    <w:p w:rsidR="00F32B68" w:rsidRDefault="00E60E4A" w14:paraId="38D13384" w14:textId="77777777">
      <w:pPr>
        <w:pStyle w:val="ListParagraph"/>
        <w:numPr>
          <w:ilvl w:val="0"/>
          <w:numId w:val="2"/>
        </w:numPr>
        <w:tabs>
          <w:tab w:val="left" w:pos="1180"/>
          <w:tab w:val="left" w:pos="1181"/>
        </w:tabs>
        <w:spacing w:before="4" w:line="480" w:lineRule="auto"/>
        <w:ind w:right="259"/>
        <w:rPr>
          <w:b/>
          <w:sz w:val="24"/>
        </w:rPr>
      </w:pPr>
      <w:r>
        <w:rPr>
          <w:b/>
          <w:sz w:val="24"/>
        </w:rPr>
        <w:t>Provide estimates of annualized cost to respondents for the hour burdens for collections of information, identifying and using appropriate wage</w:t>
      </w:r>
      <w:r>
        <w:rPr>
          <w:b/>
          <w:spacing w:val="-35"/>
          <w:sz w:val="24"/>
        </w:rPr>
        <w:t xml:space="preserve"> </w:t>
      </w:r>
      <w:r>
        <w:rPr>
          <w:b/>
          <w:sz w:val="24"/>
        </w:rPr>
        <w:t>rate categories. The cost of contracting out or paying outside parties for information collection activities should not be included here. Instead, this cost should be included in Item</w:t>
      </w:r>
      <w:r>
        <w:rPr>
          <w:b/>
          <w:spacing w:val="-4"/>
          <w:sz w:val="24"/>
        </w:rPr>
        <w:t xml:space="preserve"> </w:t>
      </w:r>
      <w:r>
        <w:rPr>
          <w:b/>
          <w:sz w:val="24"/>
        </w:rPr>
        <w:t>13.</w:t>
      </w:r>
    </w:p>
    <w:p w:rsidR="00F32B68" w:rsidRDefault="00E60E4A" w14:paraId="4CB217A2" w14:textId="77777777">
      <w:pPr>
        <w:spacing w:before="122" w:line="482" w:lineRule="auto"/>
        <w:ind w:left="460" w:right="279"/>
        <w:jc w:val="both"/>
        <w:rPr>
          <w:sz w:val="24"/>
        </w:rPr>
      </w:pPr>
      <w:r>
        <w:rPr>
          <w:sz w:val="24"/>
        </w:rPr>
        <w:t>For each survey, the response time for individuals is less than one hour, amounting to a fraction of an hourly wage for each respondent. Respondents are requested to report information that is readily available as part of court operations.</w:t>
      </w:r>
    </w:p>
    <w:p w:rsidR="00F32B68" w:rsidRDefault="00F32B68" w14:paraId="67418308" w14:textId="77777777">
      <w:pPr>
        <w:spacing w:line="482" w:lineRule="auto"/>
        <w:jc w:val="both"/>
        <w:rPr>
          <w:sz w:val="24"/>
        </w:rPr>
        <w:sectPr w:rsidR="00F32B68">
          <w:pgSz w:w="12240" w:h="15840"/>
          <w:pgMar w:top="1420" w:right="1700" w:bottom="280" w:left="1700" w:header="720" w:footer="720" w:gutter="0"/>
          <w:cols w:space="720"/>
        </w:sectPr>
      </w:pPr>
    </w:p>
    <w:p w:rsidR="00F32B68" w:rsidRDefault="00E60E4A" w14:paraId="574CBA4C" w14:textId="77777777">
      <w:pPr>
        <w:spacing w:before="22" w:line="480" w:lineRule="auto"/>
        <w:ind w:left="460" w:right="154"/>
        <w:rPr>
          <w:sz w:val="24"/>
        </w:rPr>
      </w:pPr>
      <w:r>
        <w:rPr>
          <w:sz w:val="24"/>
        </w:rPr>
        <w:lastRenderedPageBreak/>
        <w:t>Estimated amounts of time to complete the surveys in the ATCS Series are 20 minutes for the State Coordinator ATCS, 35 minutes for the Local ATCs, and 35 minutes for the Tribal ATCS. To estimate the maximum number of total annual hours, the calculations below utilize the maximum response rate of 100%.</w:t>
      </w:r>
    </w:p>
    <w:p w:rsidR="00F32B68" w:rsidRDefault="00E60E4A" w14:paraId="3593E122" w14:textId="77777777">
      <w:pPr>
        <w:spacing w:line="290" w:lineRule="exact"/>
        <w:ind w:left="460"/>
        <w:rPr>
          <w:sz w:val="24"/>
        </w:rPr>
      </w:pPr>
      <w:r>
        <w:rPr>
          <w:sz w:val="24"/>
        </w:rPr>
        <w:t>ATCS Series: 2,501.92 hours</w:t>
      </w:r>
    </w:p>
    <w:p w:rsidR="00F32B68" w:rsidRDefault="00E60E4A" w14:paraId="0530A1EF" w14:textId="77777777">
      <w:pPr>
        <w:pStyle w:val="ListParagraph"/>
        <w:numPr>
          <w:ilvl w:val="0"/>
          <w:numId w:val="2"/>
        </w:numPr>
        <w:tabs>
          <w:tab w:val="left" w:pos="1180"/>
          <w:tab w:val="left" w:pos="1181"/>
        </w:tabs>
        <w:spacing w:before="12"/>
        <w:rPr>
          <w:sz w:val="24"/>
        </w:rPr>
      </w:pPr>
      <w:r>
        <w:rPr>
          <w:sz w:val="24"/>
        </w:rPr>
        <w:t>State Coordinator ATCS: 18</w:t>
      </w:r>
      <w:r>
        <w:rPr>
          <w:spacing w:val="-2"/>
          <w:sz w:val="24"/>
        </w:rPr>
        <w:t xml:space="preserve"> </w:t>
      </w:r>
      <w:r>
        <w:rPr>
          <w:sz w:val="24"/>
        </w:rPr>
        <w:t>hours</w:t>
      </w:r>
    </w:p>
    <w:p w:rsidR="00F32B68" w:rsidRDefault="00E60E4A" w14:paraId="35C0F35D" w14:textId="77777777">
      <w:pPr>
        <w:pStyle w:val="ListParagraph"/>
        <w:numPr>
          <w:ilvl w:val="1"/>
          <w:numId w:val="2"/>
        </w:numPr>
        <w:tabs>
          <w:tab w:val="left" w:pos="1902"/>
        </w:tabs>
        <w:spacing w:before="2"/>
        <w:ind w:hanging="361"/>
        <w:rPr>
          <w:sz w:val="24"/>
        </w:rPr>
      </w:pPr>
      <w:r>
        <w:rPr>
          <w:sz w:val="24"/>
        </w:rPr>
        <w:t xml:space="preserve">20 minutes x 54 respondents = 1,080 minutes / 60 minutes = </w:t>
      </w:r>
      <w:proofErr w:type="gramStart"/>
      <w:r>
        <w:rPr>
          <w:sz w:val="24"/>
        </w:rPr>
        <w:t xml:space="preserve">18 </w:t>
      </w:r>
      <w:r>
        <w:rPr>
          <w:spacing w:val="-34"/>
          <w:sz w:val="24"/>
        </w:rPr>
        <w:t xml:space="preserve"> </w:t>
      </w:r>
      <w:r>
        <w:rPr>
          <w:sz w:val="24"/>
        </w:rPr>
        <w:t>hours</w:t>
      </w:r>
      <w:proofErr w:type="gramEnd"/>
    </w:p>
    <w:p w:rsidR="00F32B68" w:rsidRDefault="00E60E4A" w14:paraId="464510B3" w14:textId="77777777">
      <w:pPr>
        <w:pStyle w:val="ListParagraph"/>
        <w:numPr>
          <w:ilvl w:val="0"/>
          <w:numId w:val="2"/>
        </w:numPr>
        <w:tabs>
          <w:tab w:val="left" w:pos="1180"/>
          <w:tab w:val="left" w:pos="1181"/>
        </w:tabs>
        <w:spacing w:before="4"/>
        <w:rPr>
          <w:sz w:val="24"/>
        </w:rPr>
      </w:pPr>
      <w:r>
        <w:rPr>
          <w:sz w:val="24"/>
        </w:rPr>
        <w:t>Local ATCS: 2,433.67</w:t>
      </w:r>
      <w:r>
        <w:rPr>
          <w:spacing w:val="-4"/>
          <w:sz w:val="24"/>
        </w:rPr>
        <w:t xml:space="preserve"> </w:t>
      </w:r>
      <w:r>
        <w:rPr>
          <w:sz w:val="24"/>
        </w:rPr>
        <w:t>hours</w:t>
      </w:r>
    </w:p>
    <w:p w:rsidR="00F32B68" w:rsidRDefault="00E60E4A" w14:paraId="629E7BAA" w14:textId="77777777">
      <w:pPr>
        <w:pStyle w:val="ListParagraph"/>
        <w:numPr>
          <w:ilvl w:val="1"/>
          <w:numId w:val="2"/>
        </w:numPr>
        <w:tabs>
          <w:tab w:val="left" w:pos="1902"/>
        </w:tabs>
        <w:spacing w:before="11" w:line="230" w:lineRule="auto"/>
        <w:ind w:right="485"/>
        <w:rPr>
          <w:sz w:val="24"/>
        </w:rPr>
      </w:pPr>
      <w:r>
        <w:rPr>
          <w:sz w:val="24"/>
        </w:rPr>
        <w:t>35 minutes x 4,172 respondents = 146,020 minutes / 60 minutes</w:t>
      </w:r>
      <w:r>
        <w:rPr>
          <w:spacing w:val="-25"/>
          <w:sz w:val="24"/>
        </w:rPr>
        <w:t xml:space="preserve"> </w:t>
      </w:r>
      <w:r>
        <w:rPr>
          <w:sz w:val="24"/>
        </w:rPr>
        <w:t>= 2,433.67</w:t>
      </w:r>
      <w:r>
        <w:rPr>
          <w:spacing w:val="-3"/>
          <w:sz w:val="24"/>
        </w:rPr>
        <w:t xml:space="preserve"> </w:t>
      </w:r>
      <w:r>
        <w:rPr>
          <w:sz w:val="24"/>
        </w:rPr>
        <w:t>hours</w:t>
      </w:r>
    </w:p>
    <w:p w:rsidR="00F32B68" w:rsidRDefault="00E60E4A" w14:paraId="74FB2463" w14:textId="77777777">
      <w:pPr>
        <w:pStyle w:val="ListParagraph"/>
        <w:numPr>
          <w:ilvl w:val="0"/>
          <w:numId w:val="2"/>
        </w:numPr>
        <w:tabs>
          <w:tab w:val="left" w:pos="1180"/>
          <w:tab w:val="left" w:pos="1181"/>
        </w:tabs>
        <w:spacing w:before="17"/>
        <w:rPr>
          <w:sz w:val="24"/>
        </w:rPr>
      </w:pPr>
      <w:r>
        <w:rPr>
          <w:sz w:val="24"/>
        </w:rPr>
        <w:t>Tribal ATCS: 68.25</w:t>
      </w:r>
      <w:r>
        <w:rPr>
          <w:spacing w:val="-2"/>
          <w:sz w:val="24"/>
        </w:rPr>
        <w:t xml:space="preserve"> </w:t>
      </w:r>
      <w:r>
        <w:rPr>
          <w:sz w:val="24"/>
        </w:rPr>
        <w:t>hours</w:t>
      </w:r>
    </w:p>
    <w:p w:rsidR="00F32B68" w:rsidRDefault="00E60E4A" w14:paraId="61AFDEED" w14:textId="77777777">
      <w:pPr>
        <w:pStyle w:val="ListParagraph"/>
        <w:numPr>
          <w:ilvl w:val="1"/>
          <w:numId w:val="2"/>
        </w:numPr>
        <w:tabs>
          <w:tab w:val="left" w:pos="1902"/>
        </w:tabs>
        <w:spacing w:before="6" w:line="235" w:lineRule="auto"/>
        <w:ind w:right="309"/>
        <w:rPr>
          <w:sz w:val="24"/>
        </w:rPr>
      </w:pPr>
      <w:r>
        <w:rPr>
          <w:sz w:val="24"/>
        </w:rPr>
        <w:t>35 minutes x 117 respondents = 4,095 minutes / 60 minutes =</w:t>
      </w:r>
      <w:r>
        <w:rPr>
          <w:spacing w:val="-27"/>
          <w:sz w:val="24"/>
        </w:rPr>
        <w:t xml:space="preserve"> </w:t>
      </w:r>
      <w:r>
        <w:rPr>
          <w:sz w:val="24"/>
        </w:rPr>
        <w:t>68.25 hours</w:t>
      </w:r>
    </w:p>
    <w:p w:rsidR="00F32B68" w:rsidRDefault="00F32B68" w14:paraId="330818C5" w14:textId="77777777">
      <w:pPr>
        <w:pStyle w:val="BodyText"/>
        <w:spacing w:before="1"/>
        <w:ind w:left="0" w:firstLine="0"/>
        <w:rPr>
          <w:b w:val="0"/>
        </w:rPr>
      </w:pPr>
    </w:p>
    <w:p w:rsidR="00F32B68" w:rsidRDefault="00E60E4A" w14:paraId="58AAFBE8" w14:textId="77777777">
      <w:pPr>
        <w:spacing w:line="480" w:lineRule="auto"/>
        <w:ind w:left="460" w:right="97"/>
        <w:rPr>
          <w:sz w:val="24"/>
        </w:rPr>
      </w:pPr>
      <w:r>
        <w:rPr>
          <w:sz w:val="24"/>
        </w:rPr>
        <w:t>Using the maximum response rate of 100%, the total annual hours for the ATCS Series is approximately 2,502 hours across the 4,343 courts in the population frame. Specifically, total completion time of the State Coordinator ATCS is an estimated 18 hours (20 minutes for each of the 54 potential respondents); the Local ATCS’s total completion time is estimated at 2,433.67 hours (35 minutes for each of the 4,172 potential courts). The total time to complete the Tribal ATCS across the population frame is 68.25 hours (35 minutes for each of the 117 tribal courts).</w:t>
      </w:r>
    </w:p>
    <w:p w:rsidR="00F32B68" w:rsidRDefault="00E60E4A" w14:paraId="328ED1EB" w14:textId="77777777">
      <w:pPr>
        <w:pStyle w:val="ListParagraph"/>
        <w:numPr>
          <w:ilvl w:val="0"/>
          <w:numId w:val="4"/>
        </w:numPr>
        <w:tabs>
          <w:tab w:val="left" w:pos="461"/>
        </w:tabs>
        <w:spacing w:before="5" w:line="480" w:lineRule="auto"/>
        <w:ind w:left="460" w:right="202"/>
        <w:rPr>
          <w:sz w:val="24"/>
        </w:rPr>
      </w:pPr>
      <w:r>
        <w:rPr>
          <w:b/>
          <w:sz w:val="24"/>
        </w:rPr>
        <w:t xml:space="preserve">Provide an estimate for the total annual cost burden to respondents or record- keepers resulting from the collection of information. (Do not include the cost of any hour burden shown in Items 12 and 14) </w:t>
      </w:r>
      <w:r>
        <w:rPr>
          <w:sz w:val="24"/>
        </w:rPr>
        <w:t>Not applicable. Time estimates for respondents are located in Item 12. For each survey, the response time for individuals is less than one hour, amounting to a fraction of an hourly wage for</w:t>
      </w:r>
      <w:r>
        <w:rPr>
          <w:spacing w:val="-36"/>
          <w:sz w:val="24"/>
        </w:rPr>
        <w:t xml:space="preserve"> </w:t>
      </w:r>
      <w:r>
        <w:rPr>
          <w:sz w:val="24"/>
        </w:rPr>
        <w:t>each</w:t>
      </w:r>
    </w:p>
    <w:p w:rsidR="00F32B68" w:rsidRDefault="00F32B68" w14:paraId="2C17E7A9" w14:textId="77777777">
      <w:pPr>
        <w:spacing w:line="480" w:lineRule="auto"/>
        <w:rPr>
          <w:sz w:val="24"/>
        </w:rPr>
        <w:sectPr w:rsidR="00F32B68">
          <w:pgSz w:w="12240" w:h="15840"/>
          <w:pgMar w:top="1420" w:right="1700" w:bottom="280" w:left="1700" w:header="720" w:footer="720" w:gutter="0"/>
          <w:cols w:space="720"/>
        </w:sectPr>
      </w:pPr>
    </w:p>
    <w:p w:rsidR="00F32B68" w:rsidRDefault="00E60E4A" w14:paraId="2C1EF638" w14:textId="77777777">
      <w:pPr>
        <w:spacing w:before="22" w:line="480" w:lineRule="auto"/>
        <w:ind w:left="460" w:right="902"/>
        <w:rPr>
          <w:sz w:val="24"/>
        </w:rPr>
      </w:pPr>
      <w:r>
        <w:rPr>
          <w:sz w:val="24"/>
        </w:rPr>
        <w:lastRenderedPageBreak/>
        <w:t>respondent. Respondents are requested to report information that is readily available as part of court operations.</w:t>
      </w:r>
    </w:p>
    <w:p w:rsidR="00F32B68" w:rsidRDefault="00E60E4A" w14:paraId="3AD8822F" w14:textId="77777777">
      <w:pPr>
        <w:pStyle w:val="ListParagraph"/>
        <w:numPr>
          <w:ilvl w:val="0"/>
          <w:numId w:val="4"/>
        </w:numPr>
        <w:tabs>
          <w:tab w:val="left" w:pos="461"/>
        </w:tabs>
        <w:spacing w:line="480" w:lineRule="auto"/>
        <w:ind w:left="460" w:right="163"/>
        <w:rPr>
          <w:b/>
          <w:sz w:val="24"/>
        </w:rPr>
      </w:pPr>
      <w:r>
        <w:rPr>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w:t>
      </w:r>
      <w:r>
        <w:rPr>
          <w:b/>
          <w:spacing w:val="-25"/>
          <w:sz w:val="24"/>
        </w:rPr>
        <w:t xml:space="preserve"> </w:t>
      </w:r>
      <w:r>
        <w:rPr>
          <w:b/>
          <w:sz w:val="24"/>
        </w:rPr>
        <w:t>over</w:t>
      </w:r>
    </w:p>
    <w:p w:rsidR="00F32B68" w:rsidRDefault="00E60E4A" w14:paraId="1F0715A0" w14:textId="77777777">
      <w:pPr>
        <w:pStyle w:val="BodyText"/>
        <w:spacing w:before="3" w:line="480" w:lineRule="auto"/>
        <w:ind w:right="95" w:firstLine="0"/>
      </w:pPr>
      <w:r>
        <w:t>which costs will be incurred. Capital and start-up costs include, among other items, preparations for collecting information such as purchasing computers and software; monitoring, sampling, drilling and testing equipment; and record storage facilities.</w:t>
      </w:r>
    </w:p>
    <w:p w:rsidR="00F32B68" w:rsidRDefault="00E60E4A" w14:paraId="6DD558B7" w14:textId="77777777">
      <w:pPr>
        <w:pStyle w:val="ListParagraph"/>
        <w:numPr>
          <w:ilvl w:val="0"/>
          <w:numId w:val="1"/>
        </w:numPr>
        <w:tabs>
          <w:tab w:val="left" w:pos="1180"/>
          <w:tab w:val="left" w:pos="1181"/>
        </w:tabs>
        <w:spacing w:before="7" w:line="480" w:lineRule="auto"/>
        <w:ind w:right="142"/>
        <w:rPr>
          <w:b/>
          <w:sz w:val="24"/>
        </w:rPr>
      </w:pPr>
      <w:r>
        <w:rPr>
          <w:b/>
          <w:sz w:val="24"/>
        </w:rPr>
        <w:t>If cost estimates are expected to vary widely, agencies should present ranges of cost burdens and explain the reasons for the variance. The cost</w:t>
      </w:r>
      <w:r>
        <w:rPr>
          <w:b/>
          <w:spacing w:val="-39"/>
          <w:sz w:val="24"/>
        </w:rPr>
        <w:t xml:space="preserve"> </w:t>
      </w:r>
      <w:r>
        <w:rPr>
          <w:b/>
          <w:sz w:val="24"/>
        </w:rPr>
        <w:t>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Pr>
          <w:b/>
          <w:spacing w:val="-10"/>
          <w:sz w:val="24"/>
        </w:rPr>
        <w:t xml:space="preserve"> </w:t>
      </w:r>
      <w:r>
        <w:rPr>
          <w:b/>
          <w:sz w:val="24"/>
        </w:rPr>
        <w:t>appropriate.</w:t>
      </w:r>
    </w:p>
    <w:p w:rsidR="00F32B68" w:rsidRDefault="00F32B68" w14:paraId="2CB94A29" w14:textId="77777777">
      <w:pPr>
        <w:spacing w:line="480" w:lineRule="auto"/>
        <w:rPr>
          <w:sz w:val="24"/>
        </w:rPr>
        <w:sectPr w:rsidR="00F32B68">
          <w:pgSz w:w="12240" w:h="15840"/>
          <w:pgMar w:top="1420" w:right="1700" w:bottom="280" w:left="1700" w:header="720" w:footer="720" w:gutter="0"/>
          <w:cols w:space="720"/>
        </w:sectPr>
      </w:pPr>
    </w:p>
    <w:p w:rsidR="00F32B68" w:rsidRDefault="00E60E4A" w14:paraId="5B5ECD1A" w14:textId="77777777">
      <w:pPr>
        <w:pStyle w:val="ListParagraph"/>
        <w:numPr>
          <w:ilvl w:val="0"/>
          <w:numId w:val="1"/>
        </w:numPr>
        <w:tabs>
          <w:tab w:val="left" w:pos="1180"/>
          <w:tab w:val="left" w:pos="1181"/>
        </w:tabs>
        <w:spacing w:before="92" w:line="482" w:lineRule="auto"/>
        <w:ind w:right="980"/>
        <w:rPr>
          <w:b/>
          <w:sz w:val="24"/>
        </w:rPr>
      </w:pPr>
      <w:r>
        <w:rPr>
          <w:b/>
          <w:sz w:val="24"/>
        </w:rPr>
        <w:lastRenderedPageBreak/>
        <w:t>Generally, estimates should not include purchases of equipment</w:t>
      </w:r>
      <w:r>
        <w:rPr>
          <w:b/>
          <w:spacing w:val="-26"/>
          <w:sz w:val="24"/>
        </w:rPr>
        <w:t xml:space="preserve"> </w:t>
      </w:r>
      <w:r>
        <w:rPr>
          <w:b/>
          <w:sz w:val="24"/>
        </w:rPr>
        <w:t>or services, or portions thereof,</w:t>
      </w:r>
      <w:r>
        <w:rPr>
          <w:b/>
          <w:spacing w:val="-12"/>
          <w:sz w:val="24"/>
        </w:rPr>
        <w:t xml:space="preserve"> </w:t>
      </w:r>
      <w:r>
        <w:rPr>
          <w:b/>
          <w:sz w:val="24"/>
        </w:rPr>
        <w:t>made:</w:t>
      </w:r>
    </w:p>
    <w:p w:rsidR="00F32B68" w:rsidRDefault="00E60E4A" w14:paraId="5EEF3FDA" w14:textId="77777777">
      <w:pPr>
        <w:pStyle w:val="ListParagraph"/>
        <w:numPr>
          <w:ilvl w:val="1"/>
          <w:numId w:val="1"/>
        </w:numPr>
        <w:tabs>
          <w:tab w:val="left" w:pos="2082"/>
        </w:tabs>
        <w:spacing w:line="298" w:lineRule="exact"/>
        <w:ind w:hanging="361"/>
        <w:rPr>
          <w:b/>
          <w:sz w:val="24"/>
        </w:rPr>
      </w:pPr>
      <w:r>
        <w:rPr>
          <w:b/>
          <w:sz w:val="24"/>
        </w:rPr>
        <w:t>Prior to October 1,</w:t>
      </w:r>
      <w:r>
        <w:rPr>
          <w:b/>
          <w:spacing w:val="-9"/>
          <w:sz w:val="24"/>
        </w:rPr>
        <w:t xml:space="preserve"> </w:t>
      </w:r>
      <w:r>
        <w:rPr>
          <w:b/>
          <w:sz w:val="24"/>
        </w:rPr>
        <w:t>1995,</w:t>
      </w:r>
    </w:p>
    <w:p w:rsidR="00F32B68" w:rsidRDefault="00F32B68" w14:paraId="1B716D22" w14:textId="77777777">
      <w:pPr>
        <w:pStyle w:val="BodyText"/>
        <w:spacing w:before="3"/>
        <w:ind w:left="0" w:firstLine="0"/>
        <w:rPr>
          <w:sz w:val="23"/>
        </w:rPr>
      </w:pPr>
    </w:p>
    <w:p w:rsidR="00F32B68" w:rsidRDefault="00E60E4A" w14:paraId="69746A25" w14:textId="77777777">
      <w:pPr>
        <w:pStyle w:val="ListParagraph"/>
        <w:numPr>
          <w:ilvl w:val="1"/>
          <w:numId w:val="1"/>
        </w:numPr>
        <w:tabs>
          <w:tab w:val="left" w:pos="2082"/>
        </w:tabs>
        <w:spacing w:line="468" w:lineRule="auto"/>
        <w:ind w:right="1105"/>
        <w:rPr>
          <w:b/>
          <w:sz w:val="24"/>
        </w:rPr>
      </w:pPr>
      <w:r>
        <w:rPr>
          <w:b/>
          <w:sz w:val="24"/>
        </w:rPr>
        <w:t>To achieve regulatory compliance with requirements</w:t>
      </w:r>
      <w:r>
        <w:rPr>
          <w:b/>
          <w:spacing w:val="-30"/>
          <w:sz w:val="24"/>
        </w:rPr>
        <w:t xml:space="preserve"> </w:t>
      </w:r>
      <w:r>
        <w:rPr>
          <w:b/>
          <w:sz w:val="24"/>
        </w:rPr>
        <w:t>not associated with the information</w:t>
      </w:r>
      <w:r>
        <w:rPr>
          <w:b/>
          <w:spacing w:val="-6"/>
          <w:sz w:val="24"/>
        </w:rPr>
        <w:t xml:space="preserve"> </w:t>
      </w:r>
      <w:r>
        <w:rPr>
          <w:b/>
          <w:sz w:val="24"/>
        </w:rPr>
        <w:t>collection,</w:t>
      </w:r>
    </w:p>
    <w:p w:rsidR="00F32B68" w:rsidRDefault="00E60E4A" w14:paraId="32190182" w14:textId="77777777">
      <w:pPr>
        <w:pStyle w:val="ListParagraph"/>
        <w:numPr>
          <w:ilvl w:val="1"/>
          <w:numId w:val="1"/>
        </w:numPr>
        <w:tabs>
          <w:tab w:val="left" w:pos="2082"/>
        </w:tabs>
        <w:spacing w:before="21" w:line="470" w:lineRule="auto"/>
        <w:ind w:right="209"/>
        <w:rPr>
          <w:b/>
          <w:sz w:val="24"/>
        </w:rPr>
      </w:pPr>
      <w:r>
        <w:rPr>
          <w:b/>
          <w:sz w:val="24"/>
        </w:rPr>
        <w:t>For reasons other than to provide information or keep records</w:t>
      </w:r>
      <w:r>
        <w:rPr>
          <w:b/>
          <w:spacing w:val="-37"/>
          <w:sz w:val="24"/>
        </w:rPr>
        <w:t xml:space="preserve"> </w:t>
      </w:r>
      <w:r>
        <w:rPr>
          <w:b/>
          <w:sz w:val="24"/>
        </w:rPr>
        <w:t>for the government,</w:t>
      </w:r>
      <w:r>
        <w:rPr>
          <w:b/>
          <w:spacing w:val="-4"/>
          <w:sz w:val="24"/>
        </w:rPr>
        <w:t xml:space="preserve"> </w:t>
      </w:r>
      <w:r>
        <w:rPr>
          <w:b/>
          <w:sz w:val="24"/>
        </w:rPr>
        <w:t>or</w:t>
      </w:r>
    </w:p>
    <w:p w:rsidR="00F32B68" w:rsidRDefault="00E60E4A" w14:paraId="045B9991" w14:textId="77777777">
      <w:pPr>
        <w:pStyle w:val="ListParagraph"/>
        <w:numPr>
          <w:ilvl w:val="1"/>
          <w:numId w:val="1"/>
        </w:numPr>
        <w:tabs>
          <w:tab w:val="left" w:pos="2082"/>
        </w:tabs>
        <w:spacing w:before="19"/>
        <w:ind w:hanging="361"/>
        <w:rPr>
          <w:b/>
          <w:sz w:val="24"/>
        </w:rPr>
      </w:pPr>
      <w:r>
        <w:rPr>
          <w:b/>
          <w:sz w:val="24"/>
        </w:rPr>
        <w:t>As part of customary and usual business or private</w:t>
      </w:r>
      <w:r>
        <w:rPr>
          <w:b/>
          <w:spacing w:val="-19"/>
          <w:sz w:val="24"/>
        </w:rPr>
        <w:t xml:space="preserve"> </w:t>
      </w:r>
      <w:r>
        <w:rPr>
          <w:b/>
          <w:sz w:val="24"/>
        </w:rPr>
        <w:t>practices.</w:t>
      </w:r>
    </w:p>
    <w:p w:rsidR="00F32B68" w:rsidRDefault="00F32B68" w14:paraId="491F1223" w14:textId="77777777">
      <w:pPr>
        <w:pStyle w:val="BodyText"/>
        <w:spacing w:before="2"/>
        <w:ind w:left="0" w:firstLine="0"/>
        <w:rPr>
          <w:sz w:val="33"/>
        </w:rPr>
      </w:pPr>
    </w:p>
    <w:p w:rsidR="00F32B68" w:rsidRDefault="00E60E4A" w14:paraId="4807A6F9" w14:textId="77777777">
      <w:pPr>
        <w:spacing w:line="480" w:lineRule="auto"/>
        <w:ind w:left="821" w:right="154"/>
        <w:rPr>
          <w:sz w:val="24"/>
        </w:rPr>
      </w:pPr>
      <w:r>
        <w:rPr>
          <w:sz w:val="24"/>
        </w:rPr>
        <w:t>Not applicable. Time estimates for respondents are located in Item 12. For each survey, the response time for individuals is less than one hour, amounting to a fraction of an hourly wage for each respondent. Respondents are requested to report information that is readily available as part of court operations.</w:t>
      </w:r>
    </w:p>
    <w:p w:rsidR="00F32B68" w:rsidRDefault="00E60E4A" w14:paraId="689D8BA0" w14:textId="77777777">
      <w:pPr>
        <w:pStyle w:val="ListParagraph"/>
        <w:numPr>
          <w:ilvl w:val="0"/>
          <w:numId w:val="4"/>
        </w:numPr>
        <w:tabs>
          <w:tab w:val="left" w:pos="461"/>
        </w:tabs>
        <w:spacing w:before="122" w:line="480" w:lineRule="auto"/>
        <w:ind w:left="460" w:right="238"/>
        <w:rPr>
          <w:sz w:val="24"/>
        </w:rPr>
      </w:pPr>
      <w:r>
        <w:rPr>
          <w:b/>
          <w:sz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r>
        <w:rPr>
          <w:sz w:val="24"/>
        </w:rPr>
        <w:t>Administration of the ATCS</w:t>
      </w:r>
      <w:r>
        <w:rPr>
          <w:spacing w:val="-34"/>
          <w:sz w:val="24"/>
        </w:rPr>
        <w:t xml:space="preserve"> </w:t>
      </w:r>
      <w:r>
        <w:rPr>
          <w:sz w:val="24"/>
        </w:rPr>
        <w:t>is one of the National Drug Court Resource Center</w:t>
      </w:r>
      <w:r>
        <w:rPr>
          <w:spacing w:val="1"/>
          <w:sz w:val="24"/>
        </w:rPr>
        <w:t>’s deliverable</w:t>
      </w:r>
      <w:r w:rsidR="006314D8">
        <w:rPr>
          <w:spacing w:val="1"/>
          <w:sz w:val="24"/>
        </w:rPr>
        <w:t>s</w:t>
      </w:r>
      <w:r>
        <w:rPr>
          <w:spacing w:val="1"/>
          <w:sz w:val="24"/>
        </w:rPr>
        <w:t xml:space="preserve"> outlined in the cooperative agreement between the University of North Carolina Wilmington and BJA</w:t>
      </w:r>
      <w:r>
        <w:rPr>
          <w:sz w:val="24"/>
        </w:rPr>
        <w:t>.</w:t>
      </w:r>
    </w:p>
    <w:p w:rsidR="00F32B68" w:rsidRDefault="00E60E4A" w14:paraId="7F026BE9" w14:textId="77777777">
      <w:pPr>
        <w:pStyle w:val="ListParagraph"/>
        <w:numPr>
          <w:ilvl w:val="0"/>
          <w:numId w:val="4"/>
        </w:numPr>
        <w:tabs>
          <w:tab w:val="left" w:pos="461"/>
        </w:tabs>
        <w:spacing w:line="480" w:lineRule="auto"/>
        <w:ind w:left="460" w:right="266"/>
        <w:rPr>
          <w:sz w:val="24"/>
        </w:rPr>
      </w:pPr>
      <w:r>
        <w:rPr>
          <w:b/>
          <w:sz w:val="24"/>
        </w:rPr>
        <w:t>Explain</w:t>
      </w:r>
      <w:r>
        <w:rPr>
          <w:b/>
          <w:spacing w:val="-2"/>
          <w:sz w:val="24"/>
        </w:rPr>
        <w:t xml:space="preserve"> </w:t>
      </w:r>
      <w:r>
        <w:rPr>
          <w:b/>
          <w:sz w:val="24"/>
        </w:rPr>
        <w:t>the</w:t>
      </w:r>
      <w:r>
        <w:rPr>
          <w:b/>
          <w:spacing w:val="-4"/>
          <w:sz w:val="24"/>
        </w:rPr>
        <w:t xml:space="preserve"> </w:t>
      </w:r>
      <w:r>
        <w:rPr>
          <w:b/>
          <w:sz w:val="24"/>
        </w:rPr>
        <w:t>reasons</w:t>
      </w:r>
      <w:r>
        <w:rPr>
          <w:b/>
          <w:spacing w:val="-4"/>
          <w:sz w:val="24"/>
        </w:rPr>
        <w:t xml:space="preserve"> </w:t>
      </w:r>
      <w:r>
        <w:rPr>
          <w:b/>
          <w:sz w:val="24"/>
        </w:rPr>
        <w:t>for</w:t>
      </w:r>
      <w:r>
        <w:rPr>
          <w:b/>
          <w:spacing w:val="-4"/>
          <w:sz w:val="24"/>
        </w:rPr>
        <w:t xml:space="preserve"> </w:t>
      </w:r>
      <w:r>
        <w:rPr>
          <w:b/>
          <w:sz w:val="24"/>
        </w:rPr>
        <w:t>any</w:t>
      </w:r>
      <w:r>
        <w:rPr>
          <w:b/>
          <w:spacing w:val="-2"/>
          <w:sz w:val="24"/>
        </w:rPr>
        <w:t xml:space="preserve"> </w:t>
      </w:r>
      <w:r>
        <w:rPr>
          <w:b/>
          <w:sz w:val="24"/>
        </w:rPr>
        <w:t>program</w:t>
      </w:r>
      <w:r>
        <w:rPr>
          <w:b/>
          <w:spacing w:val="-4"/>
          <w:sz w:val="24"/>
        </w:rPr>
        <w:t xml:space="preserve"> </w:t>
      </w:r>
      <w:r>
        <w:rPr>
          <w:b/>
          <w:sz w:val="24"/>
        </w:rPr>
        <w:t>changes</w:t>
      </w:r>
      <w:r>
        <w:rPr>
          <w:b/>
          <w:spacing w:val="-4"/>
          <w:sz w:val="24"/>
        </w:rPr>
        <w:t xml:space="preserve"> </w:t>
      </w:r>
      <w:r>
        <w:rPr>
          <w:b/>
          <w:sz w:val="24"/>
        </w:rPr>
        <w:t>or</w:t>
      </w:r>
      <w:r>
        <w:rPr>
          <w:b/>
          <w:spacing w:val="-4"/>
          <w:sz w:val="24"/>
        </w:rPr>
        <w:t xml:space="preserve"> </w:t>
      </w:r>
      <w:r>
        <w:rPr>
          <w:b/>
          <w:sz w:val="24"/>
        </w:rPr>
        <w:t>adjustments</w:t>
      </w:r>
      <w:r>
        <w:rPr>
          <w:b/>
          <w:spacing w:val="-4"/>
          <w:sz w:val="24"/>
        </w:rPr>
        <w:t xml:space="preserve"> </w:t>
      </w:r>
      <w:r>
        <w:rPr>
          <w:b/>
          <w:sz w:val="24"/>
        </w:rPr>
        <w:t>reported</w:t>
      </w:r>
      <w:r>
        <w:rPr>
          <w:b/>
          <w:spacing w:val="-6"/>
          <w:sz w:val="24"/>
        </w:rPr>
        <w:t xml:space="preserve"> </w:t>
      </w:r>
      <w:r>
        <w:rPr>
          <w:b/>
          <w:sz w:val="24"/>
        </w:rPr>
        <w:t>in</w:t>
      </w:r>
      <w:r>
        <w:rPr>
          <w:b/>
          <w:spacing w:val="-2"/>
          <w:sz w:val="24"/>
        </w:rPr>
        <w:t xml:space="preserve"> </w:t>
      </w:r>
      <w:r>
        <w:rPr>
          <w:b/>
          <w:sz w:val="24"/>
        </w:rPr>
        <w:t>Items</w:t>
      </w:r>
      <w:r>
        <w:rPr>
          <w:b/>
          <w:spacing w:val="-4"/>
          <w:sz w:val="24"/>
        </w:rPr>
        <w:t xml:space="preserve"> </w:t>
      </w:r>
      <w:r>
        <w:rPr>
          <w:b/>
          <w:sz w:val="24"/>
        </w:rPr>
        <w:t xml:space="preserve">13 or 14 of the OMB Form 83-I. </w:t>
      </w:r>
      <w:r>
        <w:rPr>
          <w:sz w:val="24"/>
        </w:rPr>
        <w:t>Not</w:t>
      </w:r>
      <w:r>
        <w:rPr>
          <w:spacing w:val="-6"/>
          <w:sz w:val="24"/>
        </w:rPr>
        <w:t xml:space="preserve"> </w:t>
      </w:r>
      <w:r>
        <w:rPr>
          <w:sz w:val="24"/>
        </w:rPr>
        <w:t>applicable.</w:t>
      </w:r>
    </w:p>
    <w:p w:rsidR="00F32B68" w:rsidRDefault="00F32B68" w14:paraId="1AF2D457" w14:textId="77777777">
      <w:pPr>
        <w:spacing w:line="480" w:lineRule="auto"/>
        <w:rPr>
          <w:sz w:val="24"/>
        </w:rPr>
        <w:sectPr w:rsidR="00F32B68">
          <w:pgSz w:w="12240" w:h="15840"/>
          <w:pgMar w:top="1360" w:right="1700" w:bottom="280" w:left="1700" w:header="720" w:footer="720" w:gutter="0"/>
          <w:cols w:space="720"/>
        </w:sectPr>
      </w:pPr>
    </w:p>
    <w:p w:rsidR="00F32B68" w:rsidRDefault="00E60E4A" w14:paraId="70C8C978" w14:textId="77777777">
      <w:pPr>
        <w:pStyle w:val="ListParagraph"/>
        <w:numPr>
          <w:ilvl w:val="0"/>
          <w:numId w:val="4"/>
        </w:numPr>
        <w:tabs>
          <w:tab w:val="left" w:pos="461"/>
        </w:tabs>
        <w:spacing w:before="22" w:line="480" w:lineRule="auto"/>
        <w:ind w:left="460" w:right="152"/>
        <w:rPr>
          <w:sz w:val="24"/>
        </w:rPr>
      </w:pPr>
      <w:r>
        <w:rPr>
          <w:b/>
          <w:sz w:val="24"/>
        </w:rPr>
        <w:lastRenderedPageBreak/>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Pr>
          <w:sz w:val="24"/>
        </w:rPr>
        <w:t>To reach a broad audience, results will be disseminated in a variety of formats, including grant deliverables (i.e., final report, a webinar, fact sheets, conference presentations), as well as academic articles. Analytic plan includes descriptive, comparative descriptive, correlation, and regression analyses. Data will be collected for a period of up to approximately 3 months. Data cleaning and codebook creation is anticipated to take 1 month. Creation of a final report is estimated at no longer than 2 months, followed by a conference presentation in</w:t>
      </w:r>
      <w:r>
        <w:rPr>
          <w:spacing w:val="-31"/>
          <w:sz w:val="24"/>
        </w:rPr>
        <w:t xml:space="preserve"> </w:t>
      </w:r>
      <w:r>
        <w:rPr>
          <w:sz w:val="24"/>
        </w:rPr>
        <w:t>October 2020. Additional products include a webinar and fact sheets prior to October 2020. Articles may also be published using these data during this time period and in the future.</w:t>
      </w:r>
    </w:p>
    <w:p w:rsidR="00F32B68" w:rsidRDefault="00E60E4A" w14:paraId="61E605D1" w14:textId="77777777">
      <w:pPr>
        <w:pStyle w:val="ListParagraph"/>
        <w:numPr>
          <w:ilvl w:val="0"/>
          <w:numId w:val="4"/>
        </w:numPr>
        <w:tabs>
          <w:tab w:val="left" w:pos="461"/>
        </w:tabs>
        <w:spacing w:before="4" w:line="480" w:lineRule="auto"/>
        <w:ind w:left="460" w:right="415"/>
        <w:rPr>
          <w:sz w:val="24"/>
        </w:rPr>
      </w:pPr>
      <w:r>
        <w:rPr>
          <w:b/>
          <w:sz w:val="24"/>
        </w:rPr>
        <w:t>If seeking approval to not display the expiration date for OMB approval of the information</w:t>
      </w:r>
      <w:r>
        <w:rPr>
          <w:b/>
          <w:spacing w:val="-3"/>
          <w:sz w:val="24"/>
        </w:rPr>
        <w:t xml:space="preserve"> </w:t>
      </w:r>
      <w:r>
        <w:rPr>
          <w:b/>
          <w:sz w:val="24"/>
        </w:rPr>
        <w:t>collection,</w:t>
      </w:r>
      <w:r>
        <w:rPr>
          <w:b/>
          <w:spacing w:val="-6"/>
          <w:sz w:val="24"/>
        </w:rPr>
        <w:t xml:space="preserve"> </w:t>
      </w:r>
      <w:r>
        <w:rPr>
          <w:b/>
          <w:sz w:val="24"/>
        </w:rPr>
        <w:t>explain</w:t>
      </w:r>
      <w:r>
        <w:rPr>
          <w:b/>
          <w:spacing w:val="-3"/>
          <w:sz w:val="24"/>
        </w:rPr>
        <w:t xml:space="preserve"> </w:t>
      </w:r>
      <w:r>
        <w:rPr>
          <w:b/>
          <w:sz w:val="24"/>
        </w:rPr>
        <w:t>the</w:t>
      </w:r>
      <w:r>
        <w:rPr>
          <w:b/>
          <w:spacing w:val="-5"/>
          <w:sz w:val="24"/>
        </w:rPr>
        <w:t xml:space="preserve"> </w:t>
      </w:r>
      <w:r>
        <w:rPr>
          <w:b/>
          <w:sz w:val="24"/>
        </w:rPr>
        <w:t>reasons</w:t>
      </w:r>
      <w:r>
        <w:rPr>
          <w:b/>
          <w:spacing w:val="-5"/>
          <w:sz w:val="24"/>
        </w:rPr>
        <w:t xml:space="preserve"> </w:t>
      </w:r>
      <w:r>
        <w:rPr>
          <w:b/>
          <w:sz w:val="24"/>
        </w:rPr>
        <w:t>that</w:t>
      </w:r>
      <w:r>
        <w:rPr>
          <w:b/>
          <w:spacing w:val="-6"/>
          <w:sz w:val="24"/>
        </w:rPr>
        <w:t xml:space="preserve"> </w:t>
      </w:r>
      <w:r>
        <w:rPr>
          <w:b/>
          <w:sz w:val="24"/>
        </w:rPr>
        <w:t>display</w:t>
      </w:r>
      <w:r>
        <w:rPr>
          <w:b/>
          <w:spacing w:val="-3"/>
          <w:sz w:val="24"/>
        </w:rPr>
        <w:t xml:space="preserve"> </w:t>
      </w:r>
      <w:r>
        <w:rPr>
          <w:b/>
          <w:sz w:val="24"/>
        </w:rPr>
        <w:t>would</w:t>
      </w:r>
      <w:r>
        <w:rPr>
          <w:b/>
          <w:spacing w:val="-8"/>
          <w:sz w:val="24"/>
        </w:rPr>
        <w:t xml:space="preserve"> </w:t>
      </w:r>
      <w:r>
        <w:rPr>
          <w:b/>
          <w:sz w:val="24"/>
        </w:rPr>
        <w:t>be</w:t>
      </w:r>
      <w:r>
        <w:rPr>
          <w:b/>
          <w:spacing w:val="-5"/>
          <w:sz w:val="24"/>
        </w:rPr>
        <w:t xml:space="preserve"> </w:t>
      </w:r>
      <w:r>
        <w:rPr>
          <w:b/>
          <w:sz w:val="24"/>
        </w:rPr>
        <w:t xml:space="preserve">inappropriate. </w:t>
      </w:r>
      <w:r>
        <w:rPr>
          <w:sz w:val="24"/>
        </w:rPr>
        <w:t>Not</w:t>
      </w:r>
      <w:r>
        <w:rPr>
          <w:spacing w:val="-1"/>
          <w:sz w:val="24"/>
        </w:rPr>
        <w:t xml:space="preserve"> </w:t>
      </w:r>
      <w:r>
        <w:rPr>
          <w:sz w:val="24"/>
        </w:rPr>
        <w:t>applicable.</w:t>
      </w:r>
    </w:p>
    <w:p w:rsidR="00F32B68" w:rsidRDefault="00E60E4A" w14:paraId="5079FB44" w14:textId="77777777">
      <w:pPr>
        <w:pStyle w:val="ListParagraph"/>
        <w:numPr>
          <w:ilvl w:val="0"/>
          <w:numId w:val="4"/>
        </w:numPr>
        <w:tabs>
          <w:tab w:val="left" w:pos="461"/>
        </w:tabs>
        <w:spacing w:line="482" w:lineRule="auto"/>
        <w:ind w:left="460" w:right="443"/>
        <w:rPr>
          <w:sz w:val="24"/>
        </w:rPr>
      </w:pPr>
      <w:r>
        <w:rPr>
          <w:b/>
          <w:sz w:val="24"/>
        </w:rPr>
        <w:t xml:space="preserve">Explain each exception to the certification statement identified in Item 19,"Certification for Paperwork Reduction Act Submissions," of OMB Form </w:t>
      </w:r>
      <w:r>
        <w:rPr>
          <w:b/>
          <w:spacing w:val="2"/>
          <w:sz w:val="24"/>
        </w:rPr>
        <w:t xml:space="preserve">83-I. </w:t>
      </w:r>
      <w:r>
        <w:rPr>
          <w:sz w:val="24"/>
        </w:rPr>
        <w:t>Not</w:t>
      </w:r>
      <w:r>
        <w:rPr>
          <w:spacing w:val="-1"/>
          <w:sz w:val="24"/>
        </w:rPr>
        <w:t xml:space="preserve"> </w:t>
      </w:r>
      <w:r>
        <w:rPr>
          <w:sz w:val="24"/>
        </w:rPr>
        <w:t>applicable.</w:t>
      </w:r>
    </w:p>
    <w:sectPr w:rsidR="00F32B68">
      <w:pgSz w:w="12240" w:h="15840"/>
      <w:pgMar w:top="14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5F7A"/>
    <w:multiLevelType w:val="hybridMultilevel"/>
    <w:tmpl w:val="0958CD14"/>
    <w:lvl w:ilvl="0" w:tplc="08ACFD6A">
      <w:numFmt w:val="bullet"/>
      <w:lvlText w:val="•"/>
      <w:lvlJc w:val="left"/>
      <w:pPr>
        <w:ind w:left="1181" w:hanging="360"/>
      </w:pPr>
      <w:rPr>
        <w:rFonts w:ascii="Arial" w:eastAsia="Arial" w:hAnsi="Arial" w:cs="Arial" w:hint="default"/>
        <w:w w:val="131"/>
        <w:sz w:val="24"/>
        <w:szCs w:val="24"/>
        <w:lang w:val="en-US" w:eastAsia="en-US" w:bidi="en-US"/>
      </w:rPr>
    </w:lvl>
    <w:lvl w:ilvl="1" w:tplc="935229C6">
      <w:numFmt w:val="bullet"/>
      <w:lvlText w:val="o"/>
      <w:lvlJc w:val="left"/>
      <w:pPr>
        <w:ind w:left="1901" w:hanging="360"/>
      </w:pPr>
      <w:rPr>
        <w:rFonts w:ascii="Courier New" w:eastAsia="Courier New" w:hAnsi="Courier New" w:cs="Courier New" w:hint="default"/>
        <w:w w:val="100"/>
        <w:sz w:val="24"/>
        <w:szCs w:val="24"/>
        <w:lang w:val="en-US" w:eastAsia="en-US" w:bidi="en-US"/>
      </w:rPr>
    </w:lvl>
    <w:lvl w:ilvl="2" w:tplc="0F80E9C2">
      <w:numFmt w:val="bullet"/>
      <w:lvlText w:val="•"/>
      <w:lvlJc w:val="left"/>
      <w:pPr>
        <w:ind w:left="2671" w:hanging="360"/>
      </w:pPr>
      <w:rPr>
        <w:rFonts w:hint="default"/>
        <w:lang w:val="en-US" w:eastAsia="en-US" w:bidi="en-US"/>
      </w:rPr>
    </w:lvl>
    <w:lvl w:ilvl="3" w:tplc="3A0C5BC4">
      <w:numFmt w:val="bullet"/>
      <w:lvlText w:val="•"/>
      <w:lvlJc w:val="left"/>
      <w:pPr>
        <w:ind w:left="3442" w:hanging="360"/>
      </w:pPr>
      <w:rPr>
        <w:rFonts w:hint="default"/>
        <w:lang w:val="en-US" w:eastAsia="en-US" w:bidi="en-US"/>
      </w:rPr>
    </w:lvl>
    <w:lvl w:ilvl="4" w:tplc="E4DE9B8E">
      <w:numFmt w:val="bullet"/>
      <w:lvlText w:val="•"/>
      <w:lvlJc w:val="left"/>
      <w:pPr>
        <w:ind w:left="4213" w:hanging="360"/>
      </w:pPr>
      <w:rPr>
        <w:rFonts w:hint="default"/>
        <w:lang w:val="en-US" w:eastAsia="en-US" w:bidi="en-US"/>
      </w:rPr>
    </w:lvl>
    <w:lvl w:ilvl="5" w:tplc="1090C69E">
      <w:numFmt w:val="bullet"/>
      <w:lvlText w:val="•"/>
      <w:lvlJc w:val="left"/>
      <w:pPr>
        <w:ind w:left="4984" w:hanging="360"/>
      </w:pPr>
      <w:rPr>
        <w:rFonts w:hint="default"/>
        <w:lang w:val="en-US" w:eastAsia="en-US" w:bidi="en-US"/>
      </w:rPr>
    </w:lvl>
    <w:lvl w:ilvl="6" w:tplc="3E86EBEA">
      <w:numFmt w:val="bullet"/>
      <w:lvlText w:val="•"/>
      <w:lvlJc w:val="left"/>
      <w:pPr>
        <w:ind w:left="5755" w:hanging="360"/>
      </w:pPr>
      <w:rPr>
        <w:rFonts w:hint="default"/>
        <w:lang w:val="en-US" w:eastAsia="en-US" w:bidi="en-US"/>
      </w:rPr>
    </w:lvl>
    <w:lvl w:ilvl="7" w:tplc="2B6C4618">
      <w:numFmt w:val="bullet"/>
      <w:lvlText w:val="•"/>
      <w:lvlJc w:val="left"/>
      <w:pPr>
        <w:ind w:left="6526" w:hanging="360"/>
      </w:pPr>
      <w:rPr>
        <w:rFonts w:hint="default"/>
        <w:lang w:val="en-US" w:eastAsia="en-US" w:bidi="en-US"/>
      </w:rPr>
    </w:lvl>
    <w:lvl w:ilvl="8" w:tplc="63288F32">
      <w:numFmt w:val="bullet"/>
      <w:lvlText w:val="•"/>
      <w:lvlJc w:val="left"/>
      <w:pPr>
        <w:ind w:left="7297" w:hanging="360"/>
      </w:pPr>
      <w:rPr>
        <w:rFonts w:hint="default"/>
        <w:lang w:val="en-US" w:eastAsia="en-US" w:bidi="en-US"/>
      </w:rPr>
    </w:lvl>
  </w:abstractNum>
  <w:abstractNum w:abstractNumId="1" w15:restartNumberingAfterBreak="0">
    <w:nsid w:val="380D0F68"/>
    <w:multiLevelType w:val="hybridMultilevel"/>
    <w:tmpl w:val="620CE81E"/>
    <w:lvl w:ilvl="0" w:tplc="47C6E7E0">
      <w:numFmt w:val="bullet"/>
      <w:lvlText w:val="•"/>
      <w:lvlJc w:val="left"/>
      <w:pPr>
        <w:ind w:left="1181" w:hanging="360"/>
      </w:pPr>
      <w:rPr>
        <w:rFonts w:ascii="Arial" w:eastAsia="Arial" w:hAnsi="Arial" w:cs="Arial" w:hint="default"/>
        <w:w w:val="131"/>
        <w:sz w:val="24"/>
        <w:szCs w:val="24"/>
        <w:lang w:val="en-US" w:eastAsia="en-US" w:bidi="en-US"/>
      </w:rPr>
    </w:lvl>
    <w:lvl w:ilvl="1" w:tplc="154E963C">
      <w:numFmt w:val="bullet"/>
      <w:lvlText w:val="o"/>
      <w:lvlJc w:val="left"/>
      <w:pPr>
        <w:ind w:left="2081" w:hanging="360"/>
      </w:pPr>
      <w:rPr>
        <w:rFonts w:ascii="Courier New" w:eastAsia="Courier New" w:hAnsi="Courier New" w:cs="Courier New" w:hint="default"/>
        <w:w w:val="100"/>
        <w:sz w:val="24"/>
        <w:szCs w:val="24"/>
        <w:lang w:val="en-US" w:eastAsia="en-US" w:bidi="en-US"/>
      </w:rPr>
    </w:lvl>
    <w:lvl w:ilvl="2" w:tplc="0396DA02">
      <w:numFmt w:val="bullet"/>
      <w:lvlText w:val="•"/>
      <w:lvlJc w:val="left"/>
      <w:pPr>
        <w:ind w:left="2831" w:hanging="360"/>
      </w:pPr>
      <w:rPr>
        <w:rFonts w:hint="default"/>
        <w:lang w:val="en-US" w:eastAsia="en-US" w:bidi="en-US"/>
      </w:rPr>
    </w:lvl>
    <w:lvl w:ilvl="3" w:tplc="19D43052">
      <w:numFmt w:val="bullet"/>
      <w:lvlText w:val="•"/>
      <w:lvlJc w:val="left"/>
      <w:pPr>
        <w:ind w:left="3582" w:hanging="360"/>
      </w:pPr>
      <w:rPr>
        <w:rFonts w:hint="default"/>
        <w:lang w:val="en-US" w:eastAsia="en-US" w:bidi="en-US"/>
      </w:rPr>
    </w:lvl>
    <w:lvl w:ilvl="4" w:tplc="4AE21D94">
      <w:numFmt w:val="bullet"/>
      <w:lvlText w:val="•"/>
      <w:lvlJc w:val="left"/>
      <w:pPr>
        <w:ind w:left="4333" w:hanging="360"/>
      </w:pPr>
      <w:rPr>
        <w:rFonts w:hint="default"/>
        <w:lang w:val="en-US" w:eastAsia="en-US" w:bidi="en-US"/>
      </w:rPr>
    </w:lvl>
    <w:lvl w:ilvl="5" w:tplc="FB06C07E">
      <w:numFmt w:val="bullet"/>
      <w:lvlText w:val="•"/>
      <w:lvlJc w:val="left"/>
      <w:pPr>
        <w:ind w:left="5084" w:hanging="360"/>
      </w:pPr>
      <w:rPr>
        <w:rFonts w:hint="default"/>
        <w:lang w:val="en-US" w:eastAsia="en-US" w:bidi="en-US"/>
      </w:rPr>
    </w:lvl>
    <w:lvl w:ilvl="6" w:tplc="3F400ADE">
      <w:numFmt w:val="bullet"/>
      <w:lvlText w:val="•"/>
      <w:lvlJc w:val="left"/>
      <w:pPr>
        <w:ind w:left="5835" w:hanging="360"/>
      </w:pPr>
      <w:rPr>
        <w:rFonts w:hint="default"/>
        <w:lang w:val="en-US" w:eastAsia="en-US" w:bidi="en-US"/>
      </w:rPr>
    </w:lvl>
    <w:lvl w:ilvl="7" w:tplc="52F4E7F2">
      <w:numFmt w:val="bullet"/>
      <w:lvlText w:val="•"/>
      <w:lvlJc w:val="left"/>
      <w:pPr>
        <w:ind w:left="6586" w:hanging="360"/>
      </w:pPr>
      <w:rPr>
        <w:rFonts w:hint="default"/>
        <w:lang w:val="en-US" w:eastAsia="en-US" w:bidi="en-US"/>
      </w:rPr>
    </w:lvl>
    <w:lvl w:ilvl="8" w:tplc="AD8EBA20">
      <w:numFmt w:val="bullet"/>
      <w:lvlText w:val="•"/>
      <w:lvlJc w:val="left"/>
      <w:pPr>
        <w:ind w:left="7337" w:hanging="360"/>
      </w:pPr>
      <w:rPr>
        <w:rFonts w:hint="default"/>
        <w:lang w:val="en-US" w:eastAsia="en-US" w:bidi="en-US"/>
      </w:rPr>
    </w:lvl>
  </w:abstractNum>
  <w:abstractNum w:abstractNumId="2" w15:restartNumberingAfterBreak="0">
    <w:nsid w:val="71E64C5C"/>
    <w:multiLevelType w:val="hybridMultilevel"/>
    <w:tmpl w:val="5DF852CA"/>
    <w:lvl w:ilvl="0" w:tplc="6BEA46A8">
      <w:start w:val="4"/>
      <w:numFmt w:val="decimal"/>
      <w:lvlText w:val="(%1)"/>
      <w:lvlJc w:val="left"/>
      <w:pPr>
        <w:ind w:left="785" w:hanging="324"/>
        <w:jc w:val="left"/>
      </w:pPr>
      <w:rPr>
        <w:rFonts w:ascii="Calibri" w:eastAsia="Calibri" w:hAnsi="Calibri" w:cs="Calibri" w:hint="default"/>
        <w:spacing w:val="-2"/>
        <w:w w:val="100"/>
        <w:sz w:val="24"/>
        <w:szCs w:val="24"/>
        <w:lang w:val="en-US" w:eastAsia="en-US" w:bidi="en-US"/>
      </w:rPr>
    </w:lvl>
    <w:lvl w:ilvl="1" w:tplc="0794167E">
      <w:numFmt w:val="bullet"/>
      <w:lvlText w:val="•"/>
      <w:lvlJc w:val="left"/>
      <w:pPr>
        <w:ind w:left="1586" w:hanging="324"/>
      </w:pPr>
      <w:rPr>
        <w:rFonts w:hint="default"/>
        <w:lang w:val="en-US" w:eastAsia="en-US" w:bidi="en-US"/>
      </w:rPr>
    </w:lvl>
    <w:lvl w:ilvl="2" w:tplc="635C42F8">
      <w:numFmt w:val="bullet"/>
      <w:lvlText w:val="•"/>
      <w:lvlJc w:val="left"/>
      <w:pPr>
        <w:ind w:left="2392" w:hanging="324"/>
      </w:pPr>
      <w:rPr>
        <w:rFonts w:hint="default"/>
        <w:lang w:val="en-US" w:eastAsia="en-US" w:bidi="en-US"/>
      </w:rPr>
    </w:lvl>
    <w:lvl w:ilvl="3" w:tplc="A4BA0580">
      <w:numFmt w:val="bullet"/>
      <w:lvlText w:val="•"/>
      <w:lvlJc w:val="left"/>
      <w:pPr>
        <w:ind w:left="3198" w:hanging="324"/>
      </w:pPr>
      <w:rPr>
        <w:rFonts w:hint="default"/>
        <w:lang w:val="en-US" w:eastAsia="en-US" w:bidi="en-US"/>
      </w:rPr>
    </w:lvl>
    <w:lvl w:ilvl="4" w:tplc="731C6936">
      <w:numFmt w:val="bullet"/>
      <w:lvlText w:val="•"/>
      <w:lvlJc w:val="left"/>
      <w:pPr>
        <w:ind w:left="4004" w:hanging="324"/>
      </w:pPr>
      <w:rPr>
        <w:rFonts w:hint="default"/>
        <w:lang w:val="en-US" w:eastAsia="en-US" w:bidi="en-US"/>
      </w:rPr>
    </w:lvl>
    <w:lvl w:ilvl="5" w:tplc="9CC8462C">
      <w:numFmt w:val="bullet"/>
      <w:lvlText w:val="•"/>
      <w:lvlJc w:val="left"/>
      <w:pPr>
        <w:ind w:left="4810" w:hanging="324"/>
      </w:pPr>
      <w:rPr>
        <w:rFonts w:hint="default"/>
        <w:lang w:val="en-US" w:eastAsia="en-US" w:bidi="en-US"/>
      </w:rPr>
    </w:lvl>
    <w:lvl w:ilvl="6" w:tplc="7A6E50D6">
      <w:numFmt w:val="bullet"/>
      <w:lvlText w:val="•"/>
      <w:lvlJc w:val="left"/>
      <w:pPr>
        <w:ind w:left="5616" w:hanging="324"/>
      </w:pPr>
      <w:rPr>
        <w:rFonts w:hint="default"/>
        <w:lang w:val="en-US" w:eastAsia="en-US" w:bidi="en-US"/>
      </w:rPr>
    </w:lvl>
    <w:lvl w:ilvl="7" w:tplc="836E7170">
      <w:numFmt w:val="bullet"/>
      <w:lvlText w:val="•"/>
      <w:lvlJc w:val="left"/>
      <w:pPr>
        <w:ind w:left="6422" w:hanging="324"/>
      </w:pPr>
      <w:rPr>
        <w:rFonts w:hint="default"/>
        <w:lang w:val="en-US" w:eastAsia="en-US" w:bidi="en-US"/>
      </w:rPr>
    </w:lvl>
    <w:lvl w:ilvl="8" w:tplc="6BD067B4">
      <w:numFmt w:val="bullet"/>
      <w:lvlText w:val="•"/>
      <w:lvlJc w:val="left"/>
      <w:pPr>
        <w:ind w:left="7228" w:hanging="324"/>
      </w:pPr>
      <w:rPr>
        <w:rFonts w:hint="default"/>
        <w:lang w:val="en-US" w:eastAsia="en-US" w:bidi="en-US"/>
      </w:rPr>
    </w:lvl>
  </w:abstractNum>
  <w:abstractNum w:abstractNumId="3" w15:restartNumberingAfterBreak="0">
    <w:nsid w:val="796615A0"/>
    <w:multiLevelType w:val="hybridMultilevel"/>
    <w:tmpl w:val="92F67D78"/>
    <w:lvl w:ilvl="0" w:tplc="FC26F3F0">
      <w:start w:val="1"/>
      <w:numFmt w:val="decimal"/>
      <w:lvlText w:val="%1."/>
      <w:lvlJc w:val="left"/>
      <w:pPr>
        <w:ind w:left="461" w:hanging="361"/>
        <w:jc w:val="left"/>
      </w:pPr>
      <w:rPr>
        <w:rFonts w:hint="default"/>
        <w:b/>
        <w:bCs/>
        <w:spacing w:val="-6"/>
        <w:w w:val="100"/>
        <w:lang w:val="en-US" w:eastAsia="en-US" w:bidi="en-US"/>
      </w:rPr>
    </w:lvl>
    <w:lvl w:ilvl="1" w:tplc="E7EE1F90">
      <w:start w:val="6"/>
      <w:numFmt w:val="lowerLetter"/>
      <w:lvlText w:val="(%2)"/>
      <w:lvlJc w:val="left"/>
      <w:pPr>
        <w:ind w:left="461" w:hanging="281"/>
        <w:jc w:val="left"/>
      </w:pPr>
      <w:rPr>
        <w:rFonts w:hint="default"/>
        <w:b w:val="0"/>
        <w:bCs w:val="0"/>
        <w:spacing w:val="-7"/>
        <w:w w:val="100"/>
        <w:lang w:val="en-US" w:eastAsia="en-US" w:bidi="en-US"/>
      </w:rPr>
    </w:lvl>
    <w:lvl w:ilvl="2" w:tplc="3BDA78E2">
      <w:numFmt w:val="bullet"/>
      <w:lvlText w:val="•"/>
      <w:lvlJc w:val="left"/>
      <w:pPr>
        <w:ind w:left="2136" w:hanging="281"/>
      </w:pPr>
      <w:rPr>
        <w:rFonts w:hint="default"/>
        <w:lang w:val="en-US" w:eastAsia="en-US" w:bidi="en-US"/>
      </w:rPr>
    </w:lvl>
    <w:lvl w:ilvl="3" w:tplc="DAF8E9A8">
      <w:numFmt w:val="bullet"/>
      <w:lvlText w:val="•"/>
      <w:lvlJc w:val="left"/>
      <w:pPr>
        <w:ind w:left="2974" w:hanging="281"/>
      </w:pPr>
      <w:rPr>
        <w:rFonts w:hint="default"/>
        <w:lang w:val="en-US" w:eastAsia="en-US" w:bidi="en-US"/>
      </w:rPr>
    </w:lvl>
    <w:lvl w:ilvl="4" w:tplc="5B8C93DE">
      <w:numFmt w:val="bullet"/>
      <w:lvlText w:val="•"/>
      <w:lvlJc w:val="left"/>
      <w:pPr>
        <w:ind w:left="3812" w:hanging="281"/>
      </w:pPr>
      <w:rPr>
        <w:rFonts w:hint="default"/>
        <w:lang w:val="en-US" w:eastAsia="en-US" w:bidi="en-US"/>
      </w:rPr>
    </w:lvl>
    <w:lvl w:ilvl="5" w:tplc="437426E2">
      <w:numFmt w:val="bullet"/>
      <w:lvlText w:val="•"/>
      <w:lvlJc w:val="left"/>
      <w:pPr>
        <w:ind w:left="4650" w:hanging="281"/>
      </w:pPr>
      <w:rPr>
        <w:rFonts w:hint="default"/>
        <w:lang w:val="en-US" w:eastAsia="en-US" w:bidi="en-US"/>
      </w:rPr>
    </w:lvl>
    <w:lvl w:ilvl="6" w:tplc="F0AEC5E8">
      <w:numFmt w:val="bullet"/>
      <w:lvlText w:val="•"/>
      <w:lvlJc w:val="left"/>
      <w:pPr>
        <w:ind w:left="5488" w:hanging="281"/>
      </w:pPr>
      <w:rPr>
        <w:rFonts w:hint="default"/>
        <w:lang w:val="en-US" w:eastAsia="en-US" w:bidi="en-US"/>
      </w:rPr>
    </w:lvl>
    <w:lvl w:ilvl="7" w:tplc="FE1ACAFA">
      <w:numFmt w:val="bullet"/>
      <w:lvlText w:val="•"/>
      <w:lvlJc w:val="left"/>
      <w:pPr>
        <w:ind w:left="6326" w:hanging="281"/>
      </w:pPr>
      <w:rPr>
        <w:rFonts w:hint="default"/>
        <w:lang w:val="en-US" w:eastAsia="en-US" w:bidi="en-US"/>
      </w:rPr>
    </w:lvl>
    <w:lvl w:ilvl="8" w:tplc="6CF6B46E">
      <w:numFmt w:val="bullet"/>
      <w:lvlText w:val="•"/>
      <w:lvlJc w:val="left"/>
      <w:pPr>
        <w:ind w:left="7164" w:hanging="281"/>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68"/>
    <w:rsid w:val="0052525A"/>
    <w:rsid w:val="006314D8"/>
    <w:rsid w:val="006668CC"/>
    <w:rsid w:val="006B35E4"/>
    <w:rsid w:val="00AD4D11"/>
    <w:rsid w:val="00D752B4"/>
    <w:rsid w:val="00DB0539"/>
    <w:rsid w:val="00E60E4A"/>
    <w:rsid w:val="00F3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1638"/>
  <w15:docId w15:val="{0E8B5D38-F238-784D-AB95-DE643E0E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rPr>
      <w:b/>
      <w:bCs/>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314D8"/>
    <w:rPr>
      <w:sz w:val="16"/>
      <w:szCs w:val="16"/>
    </w:rPr>
  </w:style>
  <w:style w:type="paragraph" w:styleId="CommentText">
    <w:name w:val="annotation text"/>
    <w:basedOn w:val="Normal"/>
    <w:link w:val="CommentTextChar"/>
    <w:uiPriority w:val="99"/>
    <w:semiHidden/>
    <w:unhideWhenUsed/>
    <w:rsid w:val="006314D8"/>
    <w:rPr>
      <w:sz w:val="20"/>
      <w:szCs w:val="20"/>
    </w:rPr>
  </w:style>
  <w:style w:type="character" w:customStyle="1" w:styleId="CommentTextChar">
    <w:name w:val="Comment Text Char"/>
    <w:basedOn w:val="DefaultParagraphFont"/>
    <w:link w:val="CommentText"/>
    <w:uiPriority w:val="99"/>
    <w:semiHidden/>
    <w:rsid w:val="006314D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314D8"/>
    <w:rPr>
      <w:b/>
      <w:bCs/>
    </w:rPr>
  </w:style>
  <w:style w:type="character" w:customStyle="1" w:styleId="CommentSubjectChar">
    <w:name w:val="Comment Subject Char"/>
    <w:basedOn w:val="CommentTextChar"/>
    <w:link w:val="CommentSubject"/>
    <w:uiPriority w:val="99"/>
    <w:semiHidden/>
    <w:rsid w:val="006314D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631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4D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2528</Words>
  <Characters>14416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Scarborough, Angela</dc:creator>
  <cp:lastModifiedBy>Scarborough, Angela</cp:lastModifiedBy>
  <cp:revision>2</cp:revision>
  <dcterms:created xsi:type="dcterms:W3CDTF">2020-02-06T16:41:00Z</dcterms:created>
  <dcterms:modified xsi:type="dcterms:W3CDTF">2020-02-06T16:41:00Z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Creator">
    <vt:lpwstr>Microsoft Word</vt:lpwstr>
  </property>
  <property fmtid="{D5CDD505-2E9C-101B-9397-08002B2CF9AE}" pid="4" name="LastSaved">
    <vt:filetime>2020-01-23T00:00:00Z</vt:filetime>
  </property>
</Properties>
</file>