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2F1" w:rsidP="0036245F" w:rsidRDefault="005F2C54" w14:paraId="4A93B274" w14:textId="2D5566C6">
      <w:pPr>
        <w:spacing w:after="0" w:line="240" w:lineRule="auto"/>
        <w:contextualSpacing/>
        <w:jc w:val="center"/>
        <w:rPr>
          <w:rFonts w:ascii="Times New Roman" w:hAnsi="Times New Roman" w:cs="Times New Roman"/>
          <w:b/>
          <w:sz w:val="24"/>
          <w:szCs w:val="24"/>
        </w:rPr>
      </w:pPr>
      <w:bookmarkStart w:name="_GoBack" w:id="0"/>
      <w:bookmarkEnd w:id="0"/>
      <w:r>
        <w:rPr>
          <w:rFonts w:ascii="Times New Roman" w:hAnsi="Times New Roman" w:cs="Times New Roman"/>
          <w:b/>
          <w:sz w:val="24"/>
          <w:szCs w:val="24"/>
        </w:rPr>
        <w:t>Supported Employment Demonstration</w:t>
      </w:r>
      <w:r w:rsidR="004227D5">
        <w:rPr>
          <w:rFonts w:ascii="Times New Roman" w:hAnsi="Times New Roman" w:cs="Times New Roman"/>
          <w:b/>
          <w:sz w:val="24"/>
          <w:szCs w:val="24"/>
        </w:rPr>
        <w:t xml:space="preserve"> (SED) Project</w:t>
      </w:r>
    </w:p>
    <w:p w:rsidRPr="00590E5C" w:rsidR="00613C2C" w:rsidP="0036245F" w:rsidRDefault="00E32C1D" w14:paraId="1F31E648" w14:textId="77777777">
      <w:pPr>
        <w:pStyle w:val="Header"/>
        <w:contextualSpacing/>
        <w:jc w:val="center"/>
        <w:rPr>
          <w:rFonts w:ascii="Times New Roman" w:hAnsi="Times New Roman" w:cs="Times New Roman"/>
          <w:b/>
          <w:sz w:val="24"/>
          <w:szCs w:val="24"/>
        </w:rPr>
      </w:pPr>
      <w:r w:rsidRPr="00590E5C">
        <w:rPr>
          <w:rFonts w:ascii="Times New Roman" w:hAnsi="Times New Roman" w:cs="Times New Roman"/>
          <w:b/>
          <w:sz w:val="24"/>
          <w:szCs w:val="24"/>
        </w:rPr>
        <w:t xml:space="preserve">Supporting </w:t>
      </w:r>
      <w:r w:rsidRPr="00590E5C" w:rsidR="003542F1">
        <w:rPr>
          <w:rFonts w:ascii="Times New Roman" w:hAnsi="Times New Roman" w:cs="Times New Roman"/>
          <w:b/>
          <w:sz w:val="24"/>
          <w:szCs w:val="24"/>
        </w:rPr>
        <w:t xml:space="preserve">Material for OMB </w:t>
      </w:r>
      <w:r w:rsidRPr="00590E5C">
        <w:rPr>
          <w:rFonts w:ascii="Times New Roman" w:hAnsi="Times New Roman" w:cs="Times New Roman"/>
          <w:b/>
          <w:sz w:val="24"/>
          <w:szCs w:val="24"/>
        </w:rPr>
        <w:t>Clearance</w:t>
      </w:r>
    </w:p>
    <w:p w:rsidRPr="00590E5C" w:rsidR="00894F3C" w:rsidP="0036245F" w:rsidRDefault="0010110E" w14:paraId="24145B18" w14:textId="1FB6ADB2">
      <w:pPr>
        <w:pStyle w:val="ListParagraph"/>
        <w:spacing w:after="0" w:line="240" w:lineRule="auto"/>
        <w:ind w:left="0"/>
        <w:jc w:val="center"/>
        <w:rPr>
          <w:rFonts w:ascii="Times New Roman" w:hAnsi="Times New Roman" w:cs="Times New Roman"/>
          <w:sz w:val="24"/>
          <w:szCs w:val="24"/>
          <w:lang w:val="en"/>
        </w:rPr>
      </w:pPr>
      <w:r w:rsidRPr="00590E5C">
        <w:rPr>
          <w:rFonts w:ascii="Times New Roman" w:hAnsi="Times New Roman" w:cs="Times New Roman"/>
          <w:b/>
          <w:bCs/>
          <w:sz w:val="24"/>
          <w:szCs w:val="24"/>
          <w:lang w:val="en"/>
        </w:rPr>
        <w:t xml:space="preserve">Part </w:t>
      </w:r>
      <w:r w:rsidRPr="00590E5C" w:rsidR="00894F3C">
        <w:rPr>
          <w:rFonts w:ascii="Times New Roman" w:hAnsi="Times New Roman" w:cs="Times New Roman"/>
          <w:b/>
          <w:bCs/>
          <w:sz w:val="24"/>
          <w:szCs w:val="24"/>
          <w:lang w:val="en"/>
        </w:rPr>
        <w:t>B</w:t>
      </w:r>
      <w:r w:rsidRPr="00590E5C">
        <w:rPr>
          <w:rFonts w:ascii="Times New Roman" w:hAnsi="Times New Roman" w:cs="Times New Roman"/>
          <w:b/>
          <w:bCs/>
          <w:sz w:val="24"/>
          <w:szCs w:val="24"/>
          <w:lang w:val="en"/>
        </w:rPr>
        <w:t xml:space="preserve">. </w:t>
      </w:r>
      <w:r w:rsidRPr="00590E5C" w:rsidR="00894F3C">
        <w:rPr>
          <w:rFonts w:ascii="Times New Roman" w:hAnsi="Times New Roman" w:cs="Times New Roman"/>
          <w:b/>
          <w:bCs/>
          <w:sz w:val="24"/>
          <w:szCs w:val="24"/>
          <w:lang w:val="en"/>
        </w:rPr>
        <w:t>Statistical Methods</w:t>
      </w:r>
    </w:p>
    <w:p w:rsidRPr="00BC7F42" w:rsidR="0036245F" w:rsidP="00E17D11" w:rsidRDefault="0036245F" w14:paraId="69902A14" w14:textId="77777777">
      <w:pPr>
        <w:spacing w:line="240" w:lineRule="auto"/>
        <w:rPr>
          <w:rFonts w:ascii="Times New Roman" w:hAnsi="Times New Roman"/>
        </w:rPr>
      </w:pPr>
    </w:p>
    <w:p w:rsidRPr="0036245F" w:rsidR="0036245F" w:rsidP="0036245F" w:rsidRDefault="0036245F" w14:paraId="5AAB1D93" w14:textId="6EC154B1">
      <w:pPr>
        <w:rPr>
          <w:rFonts w:ascii="Times New Roman" w:hAnsi="Times New Roman"/>
          <w:b/>
          <w:sz w:val="24"/>
          <w:szCs w:val="24"/>
          <w:u w:val="single"/>
        </w:rPr>
      </w:pPr>
      <w:r w:rsidRPr="0036245F">
        <w:rPr>
          <w:rFonts w:ascii="Times New Roman" w:hAnsi="Times New Roman"/>
          <w:b/>
          <w:sz w:val="24"/>
          <w:szCs w:val="24"/>
        </w:rPr>
        <w:t xml:space="preserve">B. </w:t>
      </w:r>
      <w:r>
        <w:rPr>
          <w:rFonts w:ascii="Times New Roman" w:hAnsi="Times New Roman"/>
          <w:b/>
          <w:sz w:val="24"/>
          <w:szCs w:val="24"/>
        </w:rPr>
        <w:t xml:space="preserve">  </w:t>
      </w:r>
      <w:r w:rsidRPr="0036245F">
        <w:rPr>
          <w:rFonts w:ascii="Times New Roman" w:hAnsi="Times New Roman"/>
          <w:b/>
          <w:sz w:val="24"/>
          <w:szCs w:val="24"/>
          <w:u w:val="single"/>
        </w:rPr>
        <w:t>Collections of Information Employing Statistical Methods</w:t>
      </w:r>
    </w:p>
    <w:p w:rsidRPr="00590E5C" w:rsidR="00390F30" w:rsidP="00C10E93" w:rsidRDefault="0036245F" w14:paraId="546317F2" w14:textId="531C7902">
      <w:pPr>
        <w:numPr>
          <w:ilvl w:val="0"/>
          <w:numId w:val="1"/>
        </w:numPr>
        <w:tabs>
          <w:tab w:val="clear" w:pos="2160"/>
        </w:tabs>
        <w:spacing w:after="0" w:line="240" w:lineRule="auto"/>
        <w:ind w:left="0" w:firstLine="450"/>
        <w:rPr>
          <w:rFonts w:ascii="Times New Roman" w:hAnsi="Times New Roman" w:cs="Times New Roman"/>
          <w:b/>
          <w:sz w:val="24"/>
          <w:szCs w:val="24"/>
          <w:lang w:val="en"/>
        </w:rPr>
      </w:pPr>
      <w:r>
        <w:rPr>
          <w:rFonts w:ascii="Times New Roman" w:hAnsi="Times New Roman" w:cs="Times New Roman"/>
          <w:b/>
          <w:sz w:val="24"/>
          <w:szCs w:val="24"/>
          <w:lang w:val="en"/>
        </w:rPr>
        <w:t xml:space="preserve">     </w:t>
      </w:r>
      <w:r w:rsidRPr="00590E5C" w:rsidR="001B6CD9">
        <w:rPr>
          <w:rFonts w:ascii="Times New Roman" w:hAnsi="Times New Roman" w:cs="Times New Roman"/>
          <w:b/>
          <w:sz w:val="24"/>
          <w:szCs w:val="24"/>
          <w:lang w:val="en"/>
        </w:rPr>
        <w:t>Respondent Universe and Sampling Methods</w:t>
      </w:r>
    </w:p>
    <w:p w:rsidR="00DB03F7" w:rsidP="00C10E93" w:rsidRDefault="00390F30" w14:paraId="31584748" w14:textId="7CEDE6BF">
      <w:pPr>
        <w:spacing w:after="0" w:line="240" w:lineRule="auto"/>
        <w:ind w:left="990"/>
        <w:rPr>
          <w:rFonts w:ascii="Times New Roman" w:hAnsi="Times New Roman" w:cs="Times New Roman"/>
          <w:sz w:val="24"/>
          <w:szCs w:val="24"/>
        </w:rPr>
      </w:pPr>
      <w:r w:rsidRPr="00590E5C">
        <w:rPr>
          <w:rFonts w:ascii="Times New Roman" w:hAnsi="Times New Roman" w:cs="Times New Roman"/>
          <w:sz w:val="24"/>
          <w:szCs w:val="24"/>
        </w:rPr>
        <w:t xml:space="preserve">The </w:t>
      </w:r>
      <w:r w:rsidR="005F2C54">
        <w:rPr>
          <w:rFonts w:ascii="Times New Roman" w:hAnsi="Times New Roman" w:cs="Times New Roman"/>
          <w:sz w:val="24"/>
          <w:szCs w:val="24"/>
        </w:rPr>
        <w:t xml:space="preserve">Supported Employment Demonstration </w:t>
      </w:r>
      <w:r w:rsidR="004227D5">
        <w:rPr>
          <w:rFonts w:ascii="Times New Roman" w:hAnsi="Times New Roman" w:cs="Times New Roman"/>
          <w:sz w:val="24"/>
          <w:szCs w:val="24"/>
        </w:rPr>
        <w:t xml:space="preserve">(SED) </w:t>
      </w:r>
      <w:r w:rsidRPr="00590E5C">
        <w:rPr>
          <w:rFonts w:ascii="Times New Roman" w:hAnsi="Times New Roman" w:cs="Times New Roman"/>
          <w:sz w:val="24"/>
          <w:szCs w:val="24"/>
        </w:rPr>
        <w:t xml:space="preserve">study population consists of individuals aged 18 to 50 who apply for disability benefits alleging a mental illness and the initial decision is a denial of benefits in the past 60 days. </w:t>
      </w:r>
      <w:r w:rsidR="00311FD9">
        <w:rPr>
          <w:rFonts w:ascii="Times New Roman" w:hAnsi="Times New Roman" w:cs="Times New Roman"/>
          <w:sz w:val="24"/>
          <w:szCs w:val="24"/>
        </w:rPr>
        <w:t xml:space="preserve"> </w:t>
      </w:r>
      <w:r w:rsidRPr="00590E5C">
        <w:rPr>
          <w:rFonts w:ascii="Times New Roman" w:hAnsi="Times New Roman" w:cs="Times New Roman"/>
          <w:sz w:val="24"/>
          <w:szCs w:val="24"/>
        </w:rPr>
        <w:t xml:space="preserve">Individuals eligible for the study must live within the area of one of 30 </w:t>
      </w:r>
      <w:r w:rsidR="00311FD9">
        <w:rPr>
          <w:rFonts w:ascii="Times New Roman" w:hAnsi="Times New Roman" w:cs="Times New Roman"/>
          <w:sz w:val="24"/>
          <w:szCs w:val="24"/>
        </w:rPr>
        <w:t>community mental health centers (</w:t>
      </w:r>
      <w:r w:rsidRPr="00590E5C">
        <w:rPr>
          <w:rFonts w:ascii="Times New Roman" w:hAnsi="Times New Roman" w:cs="Times New Roman"/>
          <w:sz w:val="24"/>
          <w:szCs w:val="24"/>
        </w:rPr>
        <w:t>CMHCs</w:t>
      </w:r>
      <w:r w:rsidR="00311FD9">
        <w:rPr>
          <w:rFonts w:ascii="Times New Roman" w:hAnsi="Times New Roman" w:cs="Times New Roman"/>
          <w:sz w:val="24"/>
          <w:szCs w:val="24"/>
        </w:rPr>
        <w:t>)</w:t>
      </w:r>
      <w:r w:rsidR="004F03FB">
        <w:rPr>
          <w:rFonts w:ascii="Times New Roman" w:hAnsi="Times New Roman" w:cs="Times New Roman"/>
          <w:sz w:val="24"/>
          <w:szCs w:val="24"/>
        </w:rPr>
        <w:t>, 20 urban and 10 rural,</w:t>
      </w:r>
      <w:r w:rsidRPr="00590E5C">
        <w:rPr>
          <w:rFonts w:ascii="Times New Roman" w:hAnsi="Times New Roman" w:cs="Times New Roman"/>
          <w:sz w:val="24"/>
          <w:szCs w:val="24"/>
        </w:rPr>
        <w:t xml:space="preserve"> distributed ac</w:t>
      </w:r>
      <w:r w:rsidR="00D231B3">
        <w:rPr>
          <w:rFonts w:ascii="Times New Roman" w:hAnsi="Times New Roman" w:cs="Times New Roman"/>
          <w:sz w:val="24"/>
          <w:szCs w:val="24"/>
        </w:rPr>
        <w:t xml:space="preserve">ross the United States that </w:t>
      </w:r>
      <w:r w:rsidRPr="00590E5C">
        <w:rPr>
          <w:rFonts w:ascii="Times New Roman" w:hAnsi="Times New Roman" w:cs="Times New Roman"/>
          <w:sz w:val="24"/>
          <w:szCs w:val="24"/>
        </w:rPr>
        <w:t xml:space="preserve">serve as demonstration sites. </w:t>
      </w:r>
      <w:r w:rsidR="004227D5">
        <w:rPr>
          <w:rFonts w:ascii="Times New Roman" w:hAnsi="Times New Roman" w:cs="Times New Roman"/>
          <w:sz w:val="24"/>
          <w:szCs w:val="24"/>
        </w:rPr>
        <w:t xml:space="preserve"> </w:t>
      </w:r>
      <w:r w:rsidRPr="00590E5C">
        <w:rPr>
          <w:rFonts w:ascii="Times New Roman" w:hAnsi="Times New Roman" w:cs="Times New Roman"/>
          <w:sz w:val="24"/>
          <w:szCs w:val="24"/>
        </w:rPr>
        <w:t>We screen potentially eligible individuals for competency (ability to give consent)</w:t>
      </w:r>
      <w:r w:rsidR="004F03FB">
        <w:rPr>
          <w:rFonts w:ascii="Times New Roman" w:hAnsi="Times New Roman" w:cs="Times New Roman"/>
          <w:sz w:val="24"/>
          <w:szCs w:val="24"/>
        </w:rPr>
        <w:t>,</w:t>
      </w:r>
      <w:r w:rsidRPr="00590E5C">
        <w:rPr>
          <w:rFonts w:ascii="Times New Roman" w:hAnsi="Times New Roman" w:cs="Times New Roman"/>
          <w:sz w:val="24"/>
          <w:szCs w:val="24"/>
        </w:rPr>
        <w:t xml:space="preserve"> and confirm their allegation of a mental health impairment using the Composite International Diagnostic Interview (CIDI). </w:t>
      </w:r>
      <w:r w:rsidR="00311FD9">
        <w:rPr>
          <w:rFonts w:ascii="Times New Roman" w:hAnsi="Times New Roman" w:cs="Times New Roman"/>
          <w:sz w:val="24"/>
          <w:szCs w:val="24"/>
        </w:rPr>
        <w:t xml:space="preserve"> </w:t>
      </w:r>
      <w:r w:rsidRPr="00590E5C">
        <w:rPr>
          <w:rFonts w:ascii="Times New Roman" w:hAnsi="Times New Roman" w:cs="Times New Roman"/>
          <w:sz w:val="24"/>
          <w:szCs w:val="24"/>
        </w:rPr>
        <w:t>We exclude from study participation any individuals who are unable to provide informed co</w:t>
      </w:r>
      <w:r w:rsidR="004F03FB">
        <w:rPr>
          <w:rFonts w:ascii="Times New Roman" w:hAnsi="Times New Roman" w:cs="Times New Roman"/>
          <w:sz w:val="24"/>
          <w:szCs w:val="24"/>
        </w:rPr>
        <w:t>nsent; or</w:t>
      </w:r>
      <w:r w:rsidRPr="00590E5C">
        <w:rPr>
          <w:rFonts w:ascii="Times New Roman" w:hAnsi="Times New Roman" w:cs="Times New Roman"/>
          <w:sz w:val="24"/>
          <w:szCs w:val="24"/>
        </w:rPr>
        <w:t xml:space="preserve"> who reside in a nursing home </w:t>
      </w:r>
      <w:r w:rsidR="008D63EB">
        <w:rPr>
          <w:rFonts w:ascii="Times New Roman" w:hAnsi="Times New Roman" w:cs="Times New Roman"/>
          <w:sz w:val="24"/>
          <w:szCs w:val="24"/>
        </w:rPr>
        <w:t>or other custodial institution</w:t>
      </w:r>
      <w:r w:rsidRPr="00590E5C">
        <w:rPr>
          <w:rFonts w:ascii="Times New Roman" w:hAnsi="Times New Roman" w:cs="Times New Roman"/>
          <w:sz w:val="24"/>
          <w:szCs w:val="24"/>
        </w:rPr>
        <w:t xml:space="preserve">. </w:t>
      </w:r>
      <w:r w:rsidR="004227D5">
        <w:rPr>
          <w:rFonts w:ascii="Times New Roman" w:hAnsi="Times New Roman" w:cs="Times New Roman"/>
          <w:sz w:val="24"/>
          <w:szCs w:val="24"/>
        </w:rPr>
        <w:t xml:space="preserve"> </w:t>
      </w:r>
      <w:r w:rsidRPr="00590E5C" w:rsidR="00DB03F7">
        <w:rPr>
          <w:rFonts w:ascii="Times New Roman" w:hAnsi="Times New Roman" w:cs="Times New Roman"/>
          <w:sz w:val="24"/>
          <w:szCs w:val="24"/>
        </w:rPr>
        <w:t xml:space="preserve">The </w:t>
      </w:r>
      <w:r w:rsidR="004227D5">
        <w:rPr>
          <w:rFonts w:ascii="Times New Roman" w:hAnsi="Times New Roman" w:cs="Times New Roman"/>
          <w:sz w:val="24"/>
          <w:szCs w:val="24"/>
        </w:rPr>
        <w:t xml:space="preserve">SED project </w:t>
      </w:r>
      <w:r w:rsidRPr="00590E5C" w:rsidR="00DB03F7">
        <w:rPr>
          <w:rFonts w:ascii="Times New Roman" w:hAnsi="Times New Roman" w:cs="Times New Roman"/>
          <w:sz w:val="24"/>
          <w:szCs w:val="24"/>
        </w:rPr>
        <w:t>enroll</w:t>
      </w:r>
      <w:r w:rsidR="00D231B3">
        <w:rPr>
          <w:rFonts w:ascii="Times New Roman" w:hAnsi="Times New Roman" w:cs="Times New Roman"/>
          <w:sz w:val="24"/>
          <w:szCs w:val="24"/>
        </w:rPr>
        <w:t>s</w:t>
      </w:r>
      <w:r w:rsidRPr="00590E5C" w:rsidR="00DB03F7">
        <w:rPr>
          <w:rFonts w:ascii="Times New Roman" w:hAnsi="Times New Roman" w:cs="Times New Roman"/>
          <w:sz w:val="24"/>
          <w:szCs w:val="24"/>
        </w:rPr>
        <w:t xml:space="preserve"> 1,000 participants in each of the three study arms for a total of </w:t>
      </w:r>
      <w:r w:rsidRPr="00590E5C" w:rsidR="00DB03F7">
        <w:rPr>
          <w:rFonts w:ascii="Times New Roman" w:hAnsi="Times New Roman" w:cs="Times New Roman"/>
          <w:sz w:val="24"/>
          <w:szCs w:val="24"/>
        </w:rPr>
        <w:lastRenderedPageBreak/>
        <w:t xml:space="preserve">3,000 participants: </w:t>
      </w:r>
      <w:r w:rsidR="004F03FB">
        <w:rPr>
          <w:rFonts w:ascii="Times New Roman" w:hAnsi="Times New Roman" w:cs="Times New Roman"/>
          <w:sz w:val="24"/>
          <w:szCs w:val="24"/>
        </w:rPr>
        <w:t xml:space="preserve"> </w:t>
      </w:r>
      <w:r w:rsidRPr="00590E5C" w:rsidR="00DB03F7">
        <w:rPr>
          <w:rFonts w:ascii="Times New Roman" w:hAnsi="Times New Roman" w:cs="Times New Roman"/>
          <w:sz w:val="24"/>
          <w:szCs w:val="24"/>
        </w:rPr>
        <w:t xml:space="preserve">40 participants in each of three study arms for the 20 urban sites equaling an </w:t>
      </w:r>
      <w:r w:rsidRPr="00590E5C" w:rsidR="00DB03F7">
        <w:rPr>
          <w:rFonts w:ascii="Times New Roman" w:hAnsi="Times New Roman" w:cs="Times New Roman"/>
          <w:i/>
          <w:sz w:val="24"/>
          <w:szCs w:val="24"/>
        </w:rPr>
        <w:t>n</w:t>
      </w:r>
      <w:r w:rsidRPr="00590E5C" w:rsidR="00DB03F7">
        <w:rPr>
          <w:rFonts w:ascii="Times New Roman" w:hAnsi="Times New Roman" w:cs="Times New Roman"/>
          <w:sz w:val="24"/>
          <w:szCs w:val="24"/>
        </w:rPr>
        <w:t xml:space="preserve"> o</w:t>
      </w:r>
      <w:r w:rsidR="00E17D11">
        <w:rPr>
          <w:rFonts w:ascii="Times New Roman" w:hAnsi="Times New Roman" w:cs="Times New Roman"/>
          <w:sz w:val="24"/>
          <w:szCs w:val="24"/>
        </w:rPr>
        <w:t>f 2,400 urban site participants;</w:t>
      </w:r>
      <w:r w:rsidRPr="00590E5C" w:rsidR="00DB03F7">
        <w:rPr>
          <w:rFonts w:ascii="Times New Roman" w:hAnsi="Times New Roman" w:cs="Times New Roman"/>
          <w:sz w:val="24"/>
          <w:szCs w:val="24"/>
        </w:rPr>
        <w:t xml:space="preserve"> and 20 participants in each of three arms for the 10 rural sites equaling an </w:t>
      </w:r>
      <w:r w:rsidRPr="00590E5C" w:rsidR="00DB03F7">
        <w:rPr>
          <w:rFonts w:ascii="Times New Roman" w:hAnsi="Times New Roman" w:cs="Times New Roman"/>
          <w:i/>
          <w:sz w:val="24"/>
          <w:szCs w:val="24"/>
        </w:rPr>
        <w:t xml:space="preserve">n </w:t>
      </w:r>
      <w:r w:rsidRPr="00590E5C" w:rsidR="00DB03F7">
        <w:rPr>
          <w:rFonts w:ascii="Times New Roman" w:hAnsi="Times New Roman" w:cs="Times New Roman"/>
          <w:sz w:val="24"/>
          <w:szCs w:val="24"/>
        </w:rPr>
        <w:t>of 600 rural site participants.</w:t>
      </w:r>
      <w:r w:rsidR="004227D5">
        <w:rPr>
          <w:rFonts w:ascii="Times New Roman" w:hAnsi="Times New Roman" w:cs="Times New Roman"/>
          <w:sz w:val="24"/>
          <w:szCs w:val="24"/>
        </w:rPr>
        <w:t xml:space="preserve"> </w:t>
      </w:r>
      <w:r w:rsidR="00311FD9">
        <w:rPr>
          <w:rFonts w:ascii="Times New Roman" w:hAnsi="Times New Roman" w:cs="Times New Roman"/>
          <w:sz w:val="24"/>
          <w:szCs w:val="24"/>
        </w:rPr>
        <w:t xml:space="preserve"> </w:t>
      </w:r>
      <w:r w:rsidRPr="00590E5C" w:rsidR="00DB03F7">
        <w:rPr>
          <w:rFonts w:ascii="Times New Roman" w:hAnsi="Times New Roman" w:cs="Times New Roman"/>
          <w:sz w:val="24"/>
          <w:szCs w:val="24"/>
        </w:rPr>
        <w:t xml:space="preserve">SSA </w:t>
      </w:r>
      <w:r w:rsidR="00E17D11">
        <w:rPr>
          <w:rFonts w:ascii="Times New Roman" w:hAnsi="Times New Roman" w:cs="Times New Roman"/>
          <w:sz w:val="24"/>
          <w:szCs w:val="24"/>
        </w:rPr>
        <w:t>provides</w:t>
      </w:r>
      <w:r w:rsidRPr="00590E5C" w:rsidR="00DB03F7">
        <w:rPr>
          <w:rFonts w:ascii="Times New Roman" w:hAnsi="Times New Roman" w:cs="Times New Roman"/>
          <w:sz w:val="24"/>
          <w:szCs w:val="24"/>
        </w:rPr>
        <w:t xml:space="preserve"> Westat with an initial list of denied appli</w:t>
      </w:r>
      <w:r w:rsidR="00311FD9">
        <w:rPr>
          <w:rFonts w:ascii="Times New Roman" w:hAnsi="Times New Roman" w:cs="Times New Roman"/>
          <w:sz w:val="24"/>
          <w:szCs w:val="24"/>
        </w:rPr>
        <w:t xml:space="preserve">cants (within the past 60 days prior to the start of the project) </w:t>
      </w:r>
      <w:r w:rsidRPr="00590E5C" w:rsidR="00DB03F7">
        <w:rPr>
          <w:rFonts w:ascii="Times New Roman" w:hAnsi="Times New Roman" w:cs="Times New Roman"/>
          <w:sz w:val="24"/>
          <w:szCs w:val="24"/>
        </w:rPr>
        <w:t>with an alleged impairment of mental illness within a defined</w:t>
      </w:r>
      <w:r w:rsidR="00311FD9">
        <w:rPr>
          <w:rFonts w:ascii="Times New Roman" w:hAnsi="Times New Roman" w:cs="Times New Roman"/>
          <w:sz w:val="24"/>
          <w:szCs w:val="24"/>
        </w:rPr>
        <w:t xml:space="preserve"> </w:t>
      </w:r>
      <w:r w:rsidRPr="00590E5C" w:rsidR="00DB03F7">
        <w:rPr>
          <w:rFonts w:ascii="Times New Roman" w:hAnsi="Times New Roman" w:cs="Times New Roman"/>
          <w:sz w:val="24"/>
          <w:szCs w:val="24"/>
        </w:rPr>
        <w:t>area for each site</w:t>
      </w:r>
      <w:r w:rsidRPr="00590E5C" w:rsidR="00116221">
        <w:rPr>
          <w:rFonts w:ascii="Times New Roman" w:hAnsi="Times New Roman" w:cs="Times New Roman"/>
          <w:sz w:val="24"/>
          <w:szCs w:val="24"/>
        </w:rPr>
        <w:t xml:space="preserve">.  </w:t>
      </w:r>
      <w:r w:rsidRPr="00590E5C" w:rsidR="00DB03F7">
        <w:rPr>
          <w:rFonts w:ascii="Times New Roman" w:hAnsi="Times New Roman" w:cs="Times New Roman"/>
          <w:sz w:val="24"/>
          <w:szCs w:val="24"/>
        </w:rPr>
        <w:t>Subsequ</w:t>
      </w:r>
      <w:r w:rsidR="00D231B3">
        <w:rPr>
          <w:rFonts w:ascii="Times New Roman" w:hAnsi="Times New Roman" w:cs="Times New Roman"/>
          <w:sz w:val="24"/>
          <w:szCs w:val="24"/>
        </w:rPr>
        <w:t xml:space="preserve">ently, on a monthly basis, SSA </w:t>
      </w:r>
      <w:r w:rsidRPr="00590E5C" w:rsidR="00DB03F7">
        <w:rPr>
          <w:rFonts w:ascii="Times New Roman" w:hAnsi="Times New Roman" w:cs="Times New Roman"/>
          <w:sz w:val="24"/>
          <w:szCs w:val="24"/>
        </w:rPr>
        <w:t>provide</w:t>
      </w:r>
      <w:r w:rsidR="00D231B3">
        <w:rPr>
          <w:rFonts w:ascii="Times New Roman" w:hAnsi="Times New Roman" w:cs="Times New Roman"/>
          <w:sz w:val="24"/>
          <w:szCs w:val="24"/>
        </w:rPr>
        <w:t>d</w:t>
      </w:r>
      <w:r w:rsidRPr="00590E5C" w:rsidR="00DB03F7">
        <w:rPr>
          <w:rFonts w:ascii="Times New Roman" w:hAnsi="Times New Roman" w:cs="Times New Roman"/>
          <w:sz w:val="24"/>
          <w:szCs w:val="24"/>
        </w:rPr>
        <w:t xml:space="preserve"> Westat with a list of</w:t>
      </w:r>
      <w:r w:rsidR="00311FD9">
        <w:rPr>
          <w:rFonts w:ascii="Times New Roman" w:hAnsi="Times New Roman" w:cs="Times New Roman"/>
          <w:sz w:val="24"/>
          <w:szCs w:val="24"/>
        </w:rPr>
        <w:t xml:space="preserve"> denied applicants within these</w:t>
      </w:r>
      <w:r w:rsidRPr="00590E5C" w:rsidR="00DB03F7">
        <w:rPr>
          <w:rFonts w:ascii="Times New Roman" w:hAnsi="Times New Roman" w:cs="Times New Roman"/>
          <w:sz w:val="24"/>
          <w:szCs w:val="24"/>
        </w:rPr>
        <w:t xml:space="preserve"> </w:t>
      </w:r>
      <w:r w:rsidRPr="00590E5C" w:rsidR="00025D7B">
        <w:rPr>
          <w:rFonts w:ascii="Times New Roman" w:hAnsi="Times New Roman" w:cs="Times New Roman"/>
          <w:sz w:val="24"/>
          <w:szCs w:val="24"/>
        </w:rPr>
        <w:t>areas</w:t>
      </w:r>
      <w:r w:rsidR="00025D7B">
        <w:rPr>
          <w:rFonts w:ascii="Times New Roman" w:hAnsi="Times New Roman" w:cs="Times New Roman"/>
          <w:sz w:val="24"/>
          <w:szCs w:val="24"/>
        </w:rPr>
        <w:t xml:space="preserve">. </w:t>
      </w:r>
      <w:r w:rsidR="00932149">
        <w:rPr>
          <w:rFonts w:ascii="Times New Roman" w:hAnsi="Times New Roman" w:cs="Times New Roman"/>
          <w:sz w:val="24"/>
          <w:szCs w:val="24"/>
        </w:rPr>
        <w:t xml:space="preserve"> </w:t>
      </w:r>
      <w:r w:rsidRPr="00590E5C" w:rsidR="00DB03F7">
        <w:rPr>
          <w:rFonts w:ascii="Times New Roman" w:hAnsi="Times New Roman" w:cs="Times New Roman"/>
          <w:sz w:val="24"/>
          <w:szCs w:val="24"/>
        </w:rPr>
        <w:t>Upo</w:t>
      </w:r>
      <w:r w:rsidR="00D231B3">
        <w:rPr>
          <w:rFonts w:ascii="Times New Roman" w:hAnsi="Times New Roman" w:cs="Times New Roman"/>
          <w:sz w:val="24"/>
          <w:szCs w:val="24"/>
        </w:rPr>
        <w:t>n receipt of the files, Westat c</w:t>
      </w:r>
      <w:r w:rsidRPr="00590E5C" w:rsidR="00DB03F7">
        <w:rPr>
          <w:rFonts w:ascii="Times New Roman" w:hAnsi="Times New Roman" w:cs="Times New Roman"/>
          <w:sz w:val="24"/>
          <w:szCs w:val="24"/>
        </w:rPr>
        <w:t>reate</w:t>
      </w:r>
      <w:r w:rsidR="00D231B3">
        <w:rPr>
          <w:rFonts w:ascii="Times New Roman" w:hAnsi="Times New Roman" w:cs="Times New Roman"/>
          <w:sz w:val="24"/>
          <w:szCs w:val="24"/>
        </w:rPr>
        <w:t>d</w:t>
      </w:r>
      <w:r w:rsidRPr="00590E5C" w:rsidR="00DB03F7">
        <w:rPr>
          <w:rFonts w:ascii="Times New Roman" w:hAnsi="Times New Roman" w:cs="Times New Roman"/>
          <w:sz w:val="24"/>
          <w:szCs w:val="24"/>
        </w:rPr>
        <w:t xml:space="preserve"> random </w:t>
      </w:r>
      <w:r w:rsidR="001C6C77">
        <w:rPr>
          <w:rFonts w:ascii="Times New Roman" w:hAnsi="Times New Roman" w:cs="Times New Roman"/>
          <w:sz w:val="24"/>
          <w:szCs w:val="24"/>
        </w:rPr>
        <w:t>Identification data (</w:t>
      </w:r>
      <w:r w:rsidRPr="00590E5C" w:rsidR="00DB03F7">
        <w:rPr>
          <w:rFonts w:ascii="Times New Roman" w:hAnsi="Times New Roman" w:cs="Times New Roman"/>
          <w:sz w:val="24"/>
          <w:szCs w:val="24"/>
        </w:rPr>
        <w:t>IDs</w:t>
      </w:r>
      <w:r w:rsidR="001C6C77">
        <w:rPr>
          <w:rFonts w:ascii="Times New Roman" w:hAnsi="Times New Roman" w:cs="Times New Roman"/>
          <w:sz w:val="24"/>
          <w:szCs w:val="24"/>
        </w:rPr>
        <w:t>)</w:t>
      </w:r>
      <w:r w:rsidR="007907A2">
        <w:rPr>
          <w:rFonts w:ascii="Times New Roman" w:hAnsi="Times New Roman" w:cs="Times New Roman"/>
          <w:sz w:val="24"/>
          <w:szCs w:val="24"/>
        </w:rPr>
        <w:t xml:space="preserve"> for each potential participant;</w:t>
      </w:r>
      <w:r w:rsidRPr="00590E5C" w:rsidR="00DB03F7">
        <w:rPr>
          <w:rFonts w:ascii="Times New Roman" w:hAnsi="Times New Roman" w:cs="Times New Roman"/>
          <w:sz w:val="24"/>
          <w:szCs w:val="24"/>
        </w:rPr>
        <w:t xml:space="preserve"> sanitize</w:t>
      </w:r>
      <w:r w:rsidR="00E17D11">
        <w:rPr>
          <w:rFonts w:ascii="Times New Roman" w:hAnsi="Times New Roman" w:cs="Times New Roman"/>
          <w:sz w:val="24"/>
          <w:szCs w:val="24"/>
        </w:rPr>
        <w:t>d</w:t>
      </w:r>
      <w:r w:rsidRPr="00590E5C" w:rsidR="00DB03F7">
        <w:rPr>
          <w:rFonts w:ascii="Times New Roman" w:hAnsi="Times New Roman" w:cs="Times New Roman"/>
          <w:sz w:val="24"/>
          <w:szCs w:val="24"/>
        </w:rPr>
        <w:t xml:space="preserve"> the data (i.e., r</w:t>
      </w:r>
      <w:r w:rsidR="007907A2">
        <w:rPr>
          <w:rFonts w:ascii="Times New Roman" w:hAnsi="Times New Roman" w:cs="Times New Roman"/>
          <w:sz w:val="24"/>
          <w:szCs w:val="24"/>
        </w:rPr>
        <w:t xml:space="preserve">emove Social Security Numbers); </w:t>
      </w:r>
      <w:r w:rsidRPr="00590E5C" w:rsidR="00DB03F7">
        <w:rPr>
          <w:rFonts w:ascii="Times New Roman" w:hAnsi="Times New Roman" w:cs="Times New Roman"/>
          <w:sz w:val="24"/>
          <w:szCs w:val="24"/>
        </w:rPr>
        <w:t>and establish</w:t>
      </w:r>
      <w:r w:rsidR="00D231B3">
        <w:rPr>
          <w:rFonts w:ascii="Times New Roman" w:hAnsi="Times New Roman" w:cs="Times New Roman"/>
          <w:sz w:val="24"/>
          <w:szCs w:val="24"/>
        </w:rPr>
        <w:t>ed</w:t>
      </w:r>
      <w:r w:rsidRPr="00590E5C" w:rsidR="00DB03F7">
        <w:rPr>
          <w:rFonts w:ascii="Times New Roman" w:hAnsi="Times New Roman" w:cs="Times New Roman"/>
          <w:sz w:val="24"/>
          <w:szCs w:val="24"/>
        </w:rPr>
        <w:t xml:space="preserve"> release groups from which recruitment will take place. </w:t>
      </w:r>
      <w:r w:rsidR="004227D5">
        <w:rPr>
          <w:rFonts w:ascii="Times New Roman" w:hAnsi="Times New Roman" w:cs="Times New Roman"/>
          <w:sz w:val="24"/>
          <w:szCs w:val="24"/>
        </w:rPr>
        <w:t xml:space="preserve"> </w:t>
      </w:r>
      <w:r w:rsidR="00D231B3">
        <w:rPr>
          <w:rFonts w:ascii="Times New Roman" w:hAnsi="Times New Roman" w:cs="Times New Roman"/>
          <w:sz w:val="24"/>
          <w:szCs w:val="24"/>
        </w:rPr>
        <w:t xml:space="preserve">The release groups </w:t>
      </w:r>
      <w:r w:rsidRPr="00590E5C" w:rsidR="00DB03F7">
        <w:rPr>
          <w:rFonts w:ascii="Times New Roman" w:hAnsi="Times New Roman" w:cs="Times New Roman"/>
          <w:sz w:val="24"/>
          <w:szCs w:val="24"/>
        </w:rPr>
        <w:t>include</w:t>
      </w:r>
      <w:r w:rsidR="00D231B3">
        <w:rPr>
          <w:rFonts w:ascii="Times New Roman" w:hAnsi="Times New Roman" w:cs="Times New Roman"/>
          <w:sz w:val="24"/>
          <w:szCs w:val="24"/>
        </w:rPr>
        <w:t>d</w:t>
      </w:r>
      <w:r w:rsidRPr="00590E5C" w:rsidR="00DB03F7">
        <w:rPr>
          <w:rFonts w:ascii="Times New Roman" w:hAnsi="Times New Roman" w:cs="Times New Roman"/>
          <w:sz w:val="24"/>
          <w:szCs w:val="24"/>
        </w:rPr>
        <w:t xml:space="preserve"> up to 25 potential participants based on their distance from the demonstration site</w:t>
      </w:r>
      <w:r w:rsidRPr="00590E5C" w:rsidR="00116221">
        <w:rPr>
          <w:rFonts w:ascii="Times New Roman" w:hAnsi="Times New Roman" w:cs="Times New Roman"/>
          <w:sz w:val="24"/>
          <w:szCs w:val="24"/>
        </w:rPr>
        <w:t xml:space="preserve">.  </w:t>
      </w:r>
      <w:r w:rsidRPr="00590E5C" w:rsidR="00DB03F7">
        <w:rPr>
          <w:rFonts w:ascii="Times New Roman" w:hAnsi="Times New Roman" w:cs="Times New Roman"/>
          <w:sz w:val="24"/>
          <w:szCs w:val="24"/>
        </w:rPr>
        <w:t>Westat load</w:t>
      </w:r>
      <w:r w:rsidR="00D231B3">
        <w:rPr>
          <w:rFonts w:ascii="Times New Roman" w:hAnsi="Times New Roman" w:cs="Times New Roman"/>
          <w:sz w:val="24"/>
          <w:szCs w:val="24"/>
        </w:rPr>
        <w:t>ed</w:t>
      </w:r>
      <w:r w:rsidRPr="00590E5C" w:rsidR="00DB03F7">
        <w:rPr>
          <w:rFonts w:ascii="Times New Roman" w:hAnsi="Times New Roman" w:cs="Times New Roman"/>
          <w:sz w:val="24"/>
          <w:szCs w:val="24"/>
        </w:rPr>
        <w:t xml:space="preserve"> the release groups into the study’s </w:t>
      </w:r>
      <w:r w:rsidR="004F03FB">
        <w:rPr>
          <w:rFonts w:ascii="Times New Roman" w:hAnsi="Times New Roman" w:cs="Times New Roman"/>
          <w:sz w:val="24"/>
          <w:szCs w:val="24"/>
        </w:rPr>
        <w:t>Management Information System (</w:t>
      </w:r>
      <w:r w:rsidRPr="00590E5C" w:rsidR="00DB03F7">
        <w:rPr>
          <w:rFonts w:ascii="Times New Roman" w:hAnsi="Times New Roman" w:cs="Times New Roman"/>
          <w:sz w:val="24"/>
          <w:szCs w:val="24"/>
        </w:rPr>
        <w:t>MIS</w:t>
      </w:r>
      <w:r w:rsidR="004F03FB">
        <w:rPr>
          <w:rFonts w:ascii="Times New Roman" w:hAnsi="Times New Roman" w:cs="Times New Roman"/>
          <w:sz w:val="24"/>
          <w:szCs w:val="24"/>
        </w:rPr>
        <w:t>),</w:t>
      </w:r>
      <w:r w:rsidRPr="00590E5C" w:rsidR="00DB03F7">
        <w:rPr>
          <w:rFonts w:ascii="Times New Roman" w:hAnsi="Times New Roman" w:cs="Times New Roman"/>
          <w:sz w:val="24"/>
          <w:szCs w:val="24"/>
        </w:rPr>
        <w:t xml:space="preserve"> and assign</w:t>
      </w:r>
      <w:r w:rsidR="00D231B3">
        <w:rPr>
          <w:rFonts w:ascii="Times New Roman" w:hAnsi="Times New Roman" w:cs="Times New Roman"/>
          <w:sz w:val="24"/>
          <w:szCs w:val="24"/>
        </w:rPr>
        <w:t>ed</w:t>
      </w:r>
      <w:r w:rsidRPr="00590E5C" w:rsidR="00DB03F7">
        <w:rPr>
          <w:rFonts w:ascii="Times New Roman" w:hAnsi="Times New Roman" w:cs="Times New Roman"/>
          <w:sz w:val="24"/>
          <w:szCs w:val="24"/>
        </w:rPr>
        <w:t xml:space="preserve"> Research Assistants off site in the local community (e.g., field interviewers) exclusive access for recruitment.</w:t>
      </w:r>
      <w:r w:rsidR="004227D5">
        <w:rPr>
          <w:rFonts w:ascii="Times New Roman" w:hAnsi="Times New Roman" w:cs="Times New Roman"/>
          <w:sz w:val="24"/>
          <w:szCs w:val="24"/>
        </w:rPr>
        <w:t xml:space="preserve"> </w:t>
      </w:r>
      <w:r w:rsidRPr="00590E5C" w:rsidR="00DB03F7">
        <w:rPr>
          <w:rFonts w:ascii="Times New Roman" w:hAnsi="Times New Roman" w:cs="Times New Roman"/>
          <w:sz w:val="24"/>
          <w:szCs w:val="24"/>
        </w:rPr>
        <w:t xml:space="preserve"> As contact informat</w:t>
      </w:r>
      <w:r w:rsidR="00D231B3">
        <w:rPr>
          <w:rFonts w:ascii="Times New Roman" w:hAnsi="Times New Roman" w:cs="Times New Roman"/>
          <w:sz w:val="24"/>
          <w:szCs w:val="24"/>
        </w:rPr>
        <w:t>ion for each denied applicant was</w:t>
      </w:r>
      <w:r w:rsidRPr="00590E5C" w:rsidR="00DB03F7">
        <w:rPr>
          <w:rFonts w:ascii="Times New Roman" w:hAnsi="Times New Roman" w:cs="Times New Roman"/>
          <w:sz w:val="24"/>
          <w:szCs w:val="24"/>
        </w:rPr>
        <w:t xml:space="preserve"> loaded into the study’s</w:t>
      </w:r>
      <w:r w:rsidR="00932149">
        <w:rPr>
          <w:rFonts w:ascii="Times New Roman" w:hAnsi="Times New Roman" w:cs="Times New Roman"/>
          <w:sz w:val="24"/>
          <w:szCs w:val="24"/>
        </w:rPr>
        <w:t xml:space="preserve"> management information system</w:t>
      </w:r>
      <w:r w:rsidRPr="00590E5C" w:rsidR="00DB03F7">
        <w:rPr>
          <w:rFonts w:ascii="Times New Roman" w:hAnsi="Times New Roman" w:cs="Times New Roman"/>
          <w:sz w:val="24"/>
          <w:szCs w:val="24"/>
        </w:rPr>
        <w:t xml:space="preserve"> </w:t>
      </w:r>
      <w:r w:rsidR="00932149">
        <w:rPr>
          <w:rFonts w:ascii="Times New Roman" w:hAnsi="Times New Roman" w:cs="Times New Roman"/>
          <w:sz w:val="24"/>
          <w:szCs w:val="24"/>
        </w:rPr>
        <w:t>MIS,</w:t>
      </w:r>
      <w:r w:rsidR="00D231B3">
        <w:rPr>
          <w:rFonts w:ascii="Times New Roman" w:hAnsi="Times New Roman" w:cs="Times New Roman"/>
          <w:sz w:val="24"/>
          <w:szCs w:val="24"/>
        </w:rPr>
        <w:t xml:space="preserve"> we </w:t>
      </w:r>
      <w:r w:rsidRPr="00590E5C" w:rsidR="00DB03F7">
        <w:rPr>
          <w:rFonts w:ascii="Times New Roman" w:hAnsi="Times New Roman" w:cs="Times New Roman"/>
          <w:sz w:val="24"/>
          <w:szCs w:val="24"/>
        </w:rPr>
        <w:t>create</w:t>
      </w:r>
      <w:r w:rsidR="00D231B3">
        <w:rPr>
          <w:rFonts w:ascii="Times New Roman" w:hAnsi="Times New Roman" w:cs="Times New Roman"/>
          <w:sz w:val="24"/>
          <w:szCs w:val="24"/>
        </w:rPr>
        <w:t>d</w:t>
      </w:r>
      <w:r w:rsidRPr="00590E5C" w:rsidR="00DB03F7">
        <w:rPr>
          <w:rFonts w:ascii="Times New Roman" w:hAnsi="Times New Roman" w:cs="Times New Roman"/>
          <w:sz w:val="24"/>
          <w:szCs w:val="24"/>
        </w:rPr>
        <w:t xml:space="preserve"> another special ID that ties the contact information ID with the subsequent enrollment decision, other study data, and the individual’s SSN.</w:t>
      </w:r>
    </w:p>
    <w:p w:rsidR="00C10E93" w:rsidP="00C10E93" w:rsidRDefault="00C10E93" w14:paraId="773CB3AE" w14:textId="77777777">
      <w:pPr>
        <w:spacing w:after="0" w:line="240" w:lineRule="auto"/>
        <w:ind w:left="990"/>
        <w:rPr>
          <w:rFonts w:ascii="Times New Roman" w:hAnsi="Times New Roman" w:cs="Times New Roman"/>
          <w:sz w:val="24"/>
          <w:szCs w:val="24"/>
        </w:rPr>
      </w:pPr>
    </w:p>
    <w:p w:rsidR="004227D5" w:rsidP="004227D5" w:rsidRDefault="004227D5" w14:paraId="4D512E85" w14:textId="3F9CF584">
      <w:pPr>
        <w:tabs>
          <w:tab w:val="left" w:pos="990"/>
        </w:tabs>
        <w:spacing w:after="0" w:line="240" w:lineRule="auto"/>
        <w:ind w:left="450"/>
        <w:rPr>
          <w:rFonts w:ascii="Times New Roman" w:hAnsi="Times New Roman" w:cs="Times New Roman"/>
          <w:b/>
          <w:sz w:val="24"/>
          <w:szCs w:val="24"/>
          <w:lang w:val="en"/>
        </w:rPr>
      </w:pPr>
      <w:r>
        <w:rPr>
          <w:rFonts w:ascii="Times New Roman" w:hAnsi="Times New Roman" w:cs="Times New Roman"/>
          <w:b/>
          <w:sz w:val="24"/>
          <w:szCs w:val="24"/>
          <w:lang w:val="en"/>
        </w:rPr>
        <w:t>2.</w:t>
      </w:r>
      <w:r>
        <w:rPr>
          <w:rFonts w:ascii="Times New Roman" w:hAnsi="Times New Roman" w:cs="Times New Roman"/>
          <w:b/>
          <w:sz w:val="24"/>
          <w:szCs w:val="24"/>
          <w:lang w:val="en"/>
        </w:rPr>
        <w:tab/>
      </w:r>
      <w:r w:rsidRPr="004227D5" w:rsidR="001B6CD9">
        <w:rPr>
          <w:rFonts w:ascii="Times New Roman" w:hAnsi="Times New Roman" w:cs="Times New Roman"/>
          <w:b/>
          <w:sz w:val="24"/>
          <w:szCs w:val="24"/>
          <w:lang w:val="en"/>
        </w:rPr>
        <w:t>Procedures for the Collection of Information</w:t>
      </w:r>
    </w:p>
    <w:p w:rsidRPr="00590E5C" w:rsidR="007F5D40" w:rsidP="004227D5" w:rsidRDefault="00B12ED5" w14:paraId="279CD4A0" w14:textId="3E7286D9">
      <w:pPr>
        <w:tabs>
          <w:tab w:val="left" w:pos="990"/>
        </w:tabs>
        <w:spacing w:after="0" w:line="240" w:lineRule="auto"/>
        <w:ind w:left="990"/>
        <w:rPr>
          <w:rFonts w:ascii="Times New Roman" w:hAnsi="Times New Roman" w:cs="Times New Roman"/>
          <w:b/>
          <w:sz w:val="24"/>
          <w:szCs w:val="24"/>
          <w:u w:val="single"/>
          <w:lang w:val="en"/>
        </w:rPr>
      </w:pPr>
      <w:r w:rsidRPr="00590E5C">
        <w:rPr>
          <w:rFonts w:ascii="Times New Roman" w:hAnsi="Times New Roman" w:cs="Times New Roman"/>
          <w:sz w:val="24"/>
          <w:szCs w:val="24"/>
          <w:u w:val="single"/>
          <w:lang w:val="en"/>
        </w:rPr>
        <w:t>Recruitment and Screening</w:t>
      </w:r>
    </w:p>
    <w:p w:rsidR="005D7B35" w:rsidP="004227D5" w:rsidRDefault="007138CA" w14:paraId="32A57264" w14:textId="616FAF27">
      <w:pPr>
        <w:spacing w:after="0" w:line="240" w:lineRule="auto"/>
        <w:ind w:left="990"/>
        <w:rPr>
          <w:rFonts w:ascii="Times New Roman" w:hAnsi="Times New Roman" w:cs="Times New Roman"/>
          <w:sz w:val="24"/>
          <w:szCs w:val="24"/>
        </w:rPr>
      </w:pPr>
      <w:r>
        <w:rPr>
          <w:rFonts w:ascii="Times New Roman" w:hAnsi="Times New Roman" w:cs="Times New Roman"/>
          <w:sz w:val="24"/>
          <w:szCs w:val="24"/>
        </w:rPr>
        <w:t>Westat first sent</w:t>
      </w:r>
      <w:r w:rsidRPr="00590E5C" w:rsidR="005D7B35">
        <w:rPr>
          <w:rFonts w:ascii="Times New Roman" w:hAnsi="Times New Roman" w:cs="Times New Roman"/>
          <w:sz w:val="24"/>
          <w:szCs w:val="24"/>
        </w:rPr>
        <w:t xml:space="preserve"> potential participants a study invitation package (see Attachment A. Introductory Letter and Attachment B. Study Brochure). </w:t>
      </w:r>
      <w:r w:rsidR="001C6C77">
        <w:rPr>
          <w:rFonts w:ascii="Times New Roman" w:hAnsi="Times New Roman" w:cs="Times New Roman"/>
          <w:sz w:val="24"/>
          <w:szCs w:val="24"/>
        </w:rPr>
        <w:t xml:space="preserve"> </w:t>
      </w:r>
      <w:r w:rsidRPr="00590E5C" w:rsidR="005D7B35">
        <w:rPr>
          <w:rFonts w:ascii="Times New Roman" w:hAnsi="Times New Roman" w:cs="Times New Roman"/>
          <w:sz w:val="24"/>
          <w:szCs w:val="24"/>
        </w:rPr>
        <w:t>Several days following this mailing, the Research Assistants contact</w:t>
      </w:r>
      <w:r>
        <w:rPr>
          <w:rFonts w:ascii="Times New Roman" w:hAnsi="Times New Roman" w:cs="Times New Roman"/>
          <w:sz w:val="24"/>
          <w:szCs w:val="24"/>
        </w:rPr>
        <w:t>ed</w:t>
      </w:r>
      <w:r w:rsidRPr="00590E5C" w:rsidR="005D7B35">
        <w:rPr>
          <w:rFonts w:ascii="Times New Roman" w:hAnsi="Times New Roman" w:cs="Times New Roman"/>
          <w:sz w:val="24"/>
          <w:szCs w:val="24"/>
        </w:rPr>
        <w:t xml:space="preserve"> the potential participants by phone (see Attachment C. Sample Script for Initial Phone Call); if </w:t>
      </w:r>
      <w:r>
        <w:rPr>
          <w:rFonts w:ascii="Times New Roman" w:hAnsi="Times New Roman" w:cs="Times New Roman"/>
          <w:sz w:val="24"/>
          <w:szCs w:val="24"/>
        </w:rPr>
        <w:t xml:space="preserve">Westat was </w:t>
      </w:r>
      <w:r w:rsidRPr="00590E5C" w:rsidR="005D7B35">
        <w:rPr>
          <w:rFonts w:ascii="Times New Roman" w:hAnsi="Times New Roman" w:cs="Times New Roman"/>
          <w:sz w:val="24"/>
          <w:szCs w:val="24"/>
        </w:rPr>
        <w:t xml:space="preserve">unable to reach them by phone, the Research Assistants will make an in-person visit. </w:t>
      </w:r>
      <w:r w:rsidR="00AC079E">
        <w:rPr>
          <w:rFonts w:ascii="Times New Roman" w:hAnsi="Times New Roman" w:cs="Times New Roman"/>
          <w:sz w:val="24"/>
          <w:szCs w:val="24"/>
        </w:rPr>
        <w:t xml:space="preserve"> </w:t>
      </w:r>
      <w:r w:rsidRPr="00590E5C" w:rsidR="005D7B35">
        <w:rPr>
          <w:rFonts w:ascii="Times New Roman" w:hAnsi="Times New Roman" w:cs="Times New Roman"/>
          <w:sz w:val="24"/>
          <w:szCs w:val="24"/>
        </w:rPr>
        <w:t>As part of this initial contact, the Research Assistants determine</w:t>
      </w:r>
      <w:r>
        <w:rPr>
          <w:rFonts w:ascii="Times New Roman" w:hAnsi="Times New Roman" w:cs="Times New Roman"/>
          <w:sz w:val="24"/>
          <w:szCs w:val="24"/>
        </w:rPr>
        <w:t>d</w:t>
      </w:r>
      <w:r w:rsidRPr="00590E5C" w:rsidR="005D7B35">
        <w:rPr>
          <w:rFonts w:ascii="Times New Roman" w:hAnsi="Times New Roman" w:cs="Times New Roman"/>
          <w:sz w:val="24"/>
          <w:szCs w:val="24"/>
        </w:rPr>
        <w:t xml:space="preserve"> interest in work by means of a single question, “Are you interested in getting a job?</w:t>
      </w:r>
      <w:r w:rsidRPr="00590E5C" w:rsidR="00116221">
        <w:rPr>
          <w:rFonts w:ascii="Times New Roman" w:hAnsi="Times New Roman" w:cs="Times New Roman"/>
          <w:sz w:val="24"/>
          <w:szCs w:val="24"/>
        </w:rPr>
        <w:t xml:space="preserve">”  </w:t>
      </w:r>
      <w:r>
        <w:rPr>
          <w:rFonts w:ascii="Times New Roman" w:hAnsi="Times New Roman" w:cs="Times New Roman"/>
          <w:sz w:val="24"/>
          <w:szCs w:val="24"/>
        </w:rPr>
        <w:t xml:space="preserve">The Research Assistants </w:t>
      </w:r>
      <w:r w:rsidRPr="00590E5C" w:rsidR="005D7B35">
        <w:rPr>
          <w:rFonts w:ascii="Times New Roman" w:hAnsi="Times New Roman" w:cs="Times New Roman"/>
          <w:sz w:val="24"/>
          <w:szCs w:val="24"/>
        </w:rPr>
        <w:t>then invite</w:t>
      </w:r>
      <w:r>
        <w:rPr>
          <w:rFonts w:ascii="Times New Roman" w:hAnsi="Times New Roman" w:cs="Times New Roman"/>
          <w:sz w:val="24"/>
          <w:szCs w:val="24"/>
        </w:rPr>
        <w:t>d</w:t>
      </w:r>
      <w:r w:rsidRPr="00590E5C" w:rsidR="005D7B35">
        <w:rPr>
          <w:rFonts w:ascii="Times New Roman" w:hAnsi="Times New Roman" w:cs="Times New Roman"/>
          <w:sz w:val="24"/>
          <w:szCs w:val="24"/>
        </w:rPr>
        <w:t xml:space="preserve"> potential participants who express</w:t>
      </w:r>
      <w:r>
        <w:rPr>
          <w:rFonts w:ascii="Times New Roman" w:hAnsi="Times New Roman" w:cs="Times New Roman"/>
          <w:sz w:val="24"/>
          <w:szCs w:val="24"/>
        </w:rPr>
        <w:t>ed</w:t>
      </w:r>
      <w:r w:rsidRPr="00590E5C" w:rsidR="005D7B35">
        <w:rPr>
          <w:rFonts w:ascii="Times New Roman" w:hAnsi="Times New Roman" w:cs="Times New Roman"/>
          <w:sz w:val="24"/>
          <w:szCs w:val="24"/>
        </w:rPr>
        <w:t xml:space="preserve"> a desire to work to a recruitment information meeting. </w:t>
      </w:r>
      <w:r w:rsidR="004227D5">
        <w:rPr>
          <w:rFonts w:ascii="Times New Roman" w:hAnsi="Times New Roman" w:cs="Times New Roman"/>
          <w:sz w:val="24"/>
          <w:szCs w:val="24"/>
        </w:rPr>
        <w:t xml:space="preserve"> </w:t>
      </w:r>
      <w:r w:rsidRPr="00590E5C" w:rsidR="005D7B35">
        <w:rPr>
          <w:rFonts w:ascii="Times New Roman" w:hAnsi="Times New Roman" w:cs="Times New Roman"/>
          <w:sz w:val="24"/>
          <w:szCs w:val="24"/>
        </w:rPr>
        <w:t>The recruitmen</w:t>
      </w:r>
      <w:r>
        <w:rPr>
          <w:rFonts w:ascii="Times New Roman" w:hAnsi="Times New Roman" w:cs="Times New Roman"/>
          <w:sz w:val="24"/>
          <w:szCs w:val="24"/>
        </w:rPr>
        <w:t>t information meeting served</w:t>
      </w:r>
      <w:r w:rsidRPr="00590E5C" w:rsidR="005D7B35">
        <w:rPr>
          <w:rFonts w:ascii="Times New Roman" w:hAnsi="Times New Roman" w:cs="Times New Roman"/>
          <w:sz w:val="24"/>
          <w:szCs w:val="24"/>
        </w:rPr>
        <w:t xml:space="preserve"> to orient potential participants about the demonstration, giving them the opportunity to weigh the merits of the demonstration while allowing Research Assistants to dispel any misconceptions and provide detailed information on the demonstration’s advantages and risks (see Attachment D. Overview and FAQs). </w:t>
      </w:r>
      <w:r w:rsidR="00AC079E">
        <w:rPr>
          <w:rFonts w:ascii="Times New Roman" w:hAnsi="Times New Roman" w:cs="Times New Roman"/>
          <w:sz w:val="24"/>
          <w:szCs w:val="24"/>
        </w:rPr>
        <w:t xml:space="preserve"> </w:t>
      </w:r>
      <w:r>
        <w:rPr>
          <w:rFonts w:ascii="Times New Roman" w:hAnsi="Times New Roman" w:cs="Times New Roman"/>
          <w:sz w:val="24"/>
          <w:szCs w:val="24"/>
        </w:rPr>
        <w:t>The recruitment meetings took</w:t>
      </w:r>
      <w:r w:rsidRPr="00590E5C" w:rsidR="005D7B35">
        <w:rPr>
          <w:rFonts w:ascii="Times New Roman" w:hAnsi="Times New Roman" w:cs="Times New Roman"/>
          <w:sz w:val="24"/>
          <w:szCs w:val="24"/>
        </w:rPr>
        <w:t xml:space="preserve"> place in a group or individual format. </w:t>
      </w:r>
      <w:r w:rsidR="00AC079E">
        <w:rPr>
          <w:rFonts w:ascii="Times New Roman" w:hAnsi="Times New Roman" w:cs="Times New Roman"/>
          <w:sz w:val="24"/>
          <w:szCs w:val="24"/>
        </w:rPr>
        <w:t xml:space="preserve"> </w:t>
      </w:r>
      <w:r>
        <w:rPr>
          <w:rFonts w:ascii="Times New Roman" w:hAnsi="Times New Roman" w:cs="Times New Roman"/>
          <w:sz w:val="24"/>
          <w:szCs w:val="24"/>
        </w:rPr>
        <w:t xml:space="preserve">The Research Assistants </w:t>
      </w:r>
      <w:r w:rsidRPr="00590E5C" w:rsidR="005D7B35">
        <w:rPr>
          <w:rFonts w:ascii="Times New Roman" w:hAnsi="Times New Roman" w:cs="Times New Roman"/>
          <w:sz w:val="24"/>
          <w:szCs w:val="24"/>
        </w:rPr>
        <w:t>then ask</w:t>
      </w:r>
      <w:r>
        <w:rPr>
          <w:rFonts w:ascii="Times New Roman" w:hAnsi="Times New Roman" w:cs="Times New Roman"/>
          <w:sz w:val="24"/>
          <w:szCs w:val="24"/>
        </w:rPr>
        <w:t>ed</w:t>
      </w:r>
      <w:r w:rsidRPr="00590E5C" w:rsidR="005D7B35">
        <w:rPr>
          <w:rFonts w:ascii="Times New Roman" w:hAnsi="Times New Roman" w:cs="Times New Roman"/>
          <w:sz w:val="24"/>
          <w:szCs w:val="24"/>
        </w:rPr>
        <w:t xml:space="preserve"> </w:t>
      </w:r>
      <w:r w:rsidRPr="00590E5C" w:rsidR="005D7B35">
        <w:rPr>
          <w:rFonts w:ascii="Times New Roman" w:hAnsi="Times New Roman" w:cs="Times New Roman"/>
          <w:sz w:val="24"/>
          <w:szCs w:val="24"/>
        </w:rPr>
        <w:lastRenderedPageBreak/>
        <w:t xml:space="preserve">those interested in joining the demonstration to give informed consent to participate in a screening for eligibility to confirm competency and allegation of a mental health impairment using the Composite International Diagnostic Interview (CIDI) (see Attachment E. Screening Consent, Attachment F. Competency and CIDI Screener, and Attachment G. Ineligibility Letter). </w:t>
      </w:r>
      <w:r w:rsidR="00AC079E">
        <w:rPr>
          <w:rFonts w:ascii="Times New Roman" w:hAnsi="Times New Roman" w:cs="Times New Roman"/>
          <w:sz w:val="24"/>
          <w:szCs w:val="24"/>
        </w:rPr>
        <w:t xml:space="preserve"> </w:t>
      </w:r>
      <w:r w:rsidRPr="00590E5C" w:rsidR="005D7B35">
        <w:rPr>
          <w:rFonts w:ascii="Times New Roman" w:hAnsi="Times New Roman" w:cs="Times New Roman"/>
          <w:sz w:val="24"/>
          <w:szCs w:val="24"/>
        </w:rPr>
        <w:t>Potent</w:t>
      </w:r>
      <w:r>
        <w:rPr>
          <w:rFonts w:ascii="Times New Roman" w:hAnsi="Times New Roman" w:cs="Times New Roman"/>
          <w:sz w:val="24"/>
          <w:szCs w:val="24"/>
        </w:rPr>
        <w:t xml:space="preserve">ial participants </w:t>
      </w:r>
      <w:r w:rsidRPr="00590E5C" w:rsidR="005D7B35">
        <w:rPr>
          <w:rFonts w:ascii="Times New Roman" w:hAnsi="Times New Roman" w:cs="Times New Roman"/>
          <w:sz w:val="24"/>
          <w:szCs w:val="24"/>
        </w:rPr>
        <w:t>receive</w:t>
      </w:r>
      <w:r>
        <w:rPr>
          <w:rFonts w:ascii="Times New Roman" w:hAnsi="Times New Roman" w:cs="Times New Roman"/>
          <w:sz w:val="24"/>
          <w:szCs w:val="24"/>
        </w:rPr>
        <w:t>d</w:t>
      </w:r>
      <w:r w:rsidRPr="00590E5C" w:rsidR="005D7B35">
        <w:rPr>
          <w:rFonts w:ascii="Times New Roman" w:hAnsi="Times New Roman" w:cs="Times New Roman"/>
          <w:sz w:val="24"/>
          <w:szCs w:val="24"/>
        </w:rPr>
        <w:t xml:space="preserve"> $4</w:t>
      </w:r>
      <w:r w:rsidR="00AE56CF">
        <w:rPr>
          <w:rFonts w:ascii="Times New Roman" w:hAnsi="Times New Roman" w:cs="Times New Roman"/>
          <w:sz w:val="24"/>
          <w:szCs w:val="24"/>
        </w:rPr>
        <w:t>5</w:t>
      </w:r>
      <w:r w:rsidRPr="00590E5C" w:rsidR="005D7B35">
        <w:rPr>
          <w:rFonts w:ascii="Times New Roman" w:hAnsi="Times New Roman" w:cs="Times New Roman"/>
          <w:sz w:val="24"/>
          <w:szCs w:val="24"/>
        </w:rPr>
        <w:t xml:space="preserve"> for completing the sc</w:t>
      </w:r>
      <w:r>
        <w:rPr>
          <w:rFonts w:ascii="Times New Roman" w:hAnsi="Times New Roman" w:cs="Times New Roman"/>
          <w:sz w:val="24"/>
          <w:szCs w:val="24"/>
        </w:rPr>
        <w:t>reening process, which took</w:t>
      </w:r>
      <w:r w:rsidRPr="00590E5C" w:rsidR="005D7B35">
        <w:rPr>
          <w:rFonts w:ascii="Times New Roman" w:hAnsi="Times New Roman" w:cs="Times New Roman"/>
          <w:sz w:val="24"/>
          <w:szCs w:val="24"/>
        </w:rPr>
        <w:t xml:space="preserve"> approximately </w:t>
      </w:r>
      <w:r w:rsidR="00AE56CF">
        <w:rPr>
          <w:rFonts w:ascii="Times New Roman" w:hAnsi="Times New Roman" w:cs="Times New Roman"/>
          <w:sz w:val="24"/>
          <w:szCs w:val="24"/>
        </w:rPr>
        <w:t>40</w:t>
      </w:r>
      <w:r w:rsidRPr="00590E5C" w:rsidR="005D7B35">
        <w:rPr>
          <w:rFonts w:ascii="Times New Roman" w:hAnsi="Times New Roman" w:cs="Times New Roman"/>
          <w:sz w:val="24"/>
          <w:szCs w:val="24"/>
        </w:rPr>
        <w:t xml:space="preserve"> minutes. </w:t>
      </w:r>
      <w:r w:rsidR="00AC079E">
        <w:rPr>
          <w:rFonts w:ascii="Times New Roman" w:hAnsi="Times New Roman" w:cs="Times New Roman"/>
          <w:sz w:val="24"/>
          <w:szCs w:val="24"/>
        </w:rPr>
        <w:t xml:space="preserve"> </w:t>
      </w:r>
      <w:r>
        <w:rPr>
          <w:rFonts w:ascii="Times New Roman" w:hAnsi="Times New Roman" w:cs="Times New Roman"/>
          <w:sz w:val="24"/>
          <w:szCs w:val="24"/>
        </w:rPr>
        <w:t xml:space="preserve">We </w:t>
      </w:r>
      <w:r w:rsidR="00025D7B">
        <w:rPr>
          <w:rFonts w:ascii="Times New Roman" w:hAnsi="Times New Roman" w:cs="Times New Roman"/>
          <w:sz w:val="24"/>
          <w:szCs w:val="24"/>
        </w:rPr>
        <w:t>invite</w:t>
      </w:r>
      <w:r>
        <w:rPr>
          <w:rFonts w:ascii="Times New Roman" w:hAnsi="Times New Roman" w:cs="Times New Roman"/>
          <w:sz w:val="24"/>
          <w:szCs w:val="24"/>
        </w:rPr>
        <w:t>d</w:t>
      </w:r>
      <w:r w:rsidR="00025D7B">
        <w:rPr>
          <w:rFonts w:ascii="Times New Roman" w:hAnsi="Times New Roman" w:cs="Times New Roman"/>
          <w:sz w:val="24"/>
          <w:szCs w:val="24"/>
        </w:rPr>
        <w:t xml:space="preserve"> t</w:t>
      </w:r>
      <w:r w:rsidRPr="00590E5C" w:rsidR="005D7B35">
        <w:rPr>
          <w:rFonts w:ascii="Times New Roman" w:hAnsi="Times New Roman" w:cs="Times New Roman"/>
          <w:sz w:val="24"/>
          <w:szCs w:val="24"/>
        </w:rPr>
        <w:t>hose who screen</w:t>
      </w:r>
      <w:r>
        <w:rPr>
          <w:rFonts w:ascii="Times New Roman" w:hAnsi="Times New Roman" w:cs="Times New Roman"/>
          <w:sz w:val="24"/>
          <w:szCs w:val="24"/>
        </w:rPr>
        <w:t>ed</w:t>
      </w:r>
      <w:r w:rsidRPr="00590E5C" w:rsidR="005D7B35">
        <w:rPr>
          <w:rFonts w:ascii="Times New Roman" w:hAnsi="Times New Roman" w:cs="Times New Roman"/>
          <w:sz w:val="24"/>
          <w:szCs w:val="24"/>
        </w:rPr>
        <w:t xml:space="preserve"> positive for a mental health impairment to give informed consent to enroll in the study (see Attachment H. Study Consent).</w:t>
      </w:r>
    </w:p>
    <w:p w:rsidRPr="00590E5C" w:rsidR="004227D5" w:rsidP="004227D5" w:rsidRDefault="004227D5" w14:paraId="1742DC0F" w14:textId="77777777">
      <w:pPr>
        <w:spacing w:after="0" w:line="240" w:lineRule="auto"/>
        <w:ind w:left="990"/>
        <w:rPr>
          <w:rFonts w:ascii="Times New Roman" w:hAnsi="Times New Roman" w:cs="Times New Roman"/>
          <w:sz w:val="24"/>
          <w:szCs w:val="24"/>
        </w:rPr>
      </w:pPr>
    </w:p>
    <w:p w:rsidRPr="00590E5C" w:rsidR="005D7B35" w:rsidP="004227D5" w:rsidRDefault="005D7B35" w14:paraId="49685B20" w14:textId="437CB66A">
      <w:pPr>
        <w:spacing w:after="0" w:line="240" w:lineRule="auto"/>
        <w:ind w:left="274" w:firstLine="720"/>
        <w:rPr>
          <w:rFonts w:ascii="Times New Roman" w:hAnsi="Times New Roman" w:cs="Times New Roman"/>
          <w:sz w:val="24"/>
          <w:szCs w:val="24"/>
          <w:u w:val="single"/>
          <w:lang w:val="en"/>
        </w:rPr>
      </w:pPr>
      <w:r w:rsidRPr="00590E5C">
        <w:rPr>
          <w:rFonts w:ascii="Times New Roman" w:hAnsi="Times New Roman" w:cs="Times New Roman"/>
          <w:sz w:val="24"/>
          <w:szCs w:val="24"/>
          <w:u w:val="single"/>
          <w:lang w:val="en"/>
        </w:rPr>
        <w:t>Random Assignment to Study Arms</w:t>
      </w:r>
    </w:p>
    <w:p w:rsidR="006E0475" w:rsidP="004227D5" w:rsidRDefault="006E0475" w14:paraId="00B6D274" w14:textId="53AF55CB">
      <w:pPr>
        <w:spacing w:after="0" w:line="240" w:lineRule="auto"/>
        <w:ind w:left="994"/>
        <w:rPr>
          <w:rFonts w:ascii="Times New Roman" w:hAnsi="Times New Roman" w:cs="Times New Roman"/>
          <w:sz w:val="24"/>
          <w:szCs w:val="24"/>
        </w:rPr>
      </w:pPr>
      <w:r w:rsidRPr="00590E5C">
        <w:rPr>
          <w:rFonts w:ascii="Times New Roman" w:hAnsi="Times New Roman" w:cs="Times New Roman"/>
          <w:sz w:val="24"/>
          <w:szCs w:val="24"/>
        </w:rPr>
        <w:t>Once enrolled,</w:t>
      </w:r>
      <w:r w:rsidR="007138CA">
        <w:rPr>
          <w:rFonts w:ascii="Times New Roman" w:hAnsi="Times New Roman" w:cs="Times New Roman"/>
          <w:sz w:val="24"/>
          <w:szCs w:val="24"/>
        </w:rPr>
        <w:t xml:space="preserve"> we </w:t>
      </w:r>
      <w:r w:rsidR="004227D5">
        <w:rPr>
          <w:rFonts w:ascii="Times New Roman" w:hAnsi="Times New Roman" w:cs="Times New Roman"/>
          <w:sz w:val="24"/>
          <w:szCs w:val="24"/>
        </w:rPr>
        <w:t>randomly assign</w:t>
      </w:r>
      <w:r w:rsidR="007138CA">
        <w:rPr>
          <w:rFonts w:ascii="Times New Roman" w:hAnsi="Times New Roman" w:cs="Times New Roman"/>
          <w:sz w:val="24"/>
          <w:szCs w:val="24"/>
        </w:rPr>
        <w:t>ed</w:t>
      </w:r>
      <w:r w:rsidRPr="00590E5C">
        <w:rPr>
          <w:rFonts w:ascii="Times New Roman" w:hAnsi="Times New Roman" w:cs="Times New Roman"/>
          <w:sz w:val="24"/>
          <w:szCs w:val="24"/>
        </w:rPr>
        <w:t xml:space="preserve"> each participant to one of three study arms</w:t>
      </w:r>
      <w:r w:rsidR="00AC079E">
        <w:rPr>
          <w:rFonts w:ascii="Times New Roman" w:hAnsi="Times New Roman" w:cs="Times New Roman"/>
          <w:sz w:val="24"/>
          <w:szCs w:val="24"/>
        </w:rPr>
        <w:t>: (1) Full-Service Treatment</w:t>
      </w:r>
      <w:r w:rsidR="003F055F">
        <w:rPr>
          <w:rFonts w:ascii="Times New Roman" w:hAnsi="Times New Roman" w:cs="Times New Roman"/>
          <w:sz w:val="24"/>
          <w:szCs w:val="24"/>
        </w:rPr>
        <w:t xml:space="preserve"> (2) Basic-Service Treatment;</w:t>
      </w:r>
      <w:r w:rsidR="00AC079E">
        <w:rPr>
          <w:rFonts w:ascii="Times New Roman" w:hAnsi="Times New Roman" w:cs="Times New Roman"/>
          <w:sz w:val="24"/>
          <w:szCs w:val="24"/>
        </w:rPr>
        <w:t xml:space="preserve"> or (3) Usual Services</w:t>
      </w:r>
      <w:r w:rsidR="00116221">
        <w:rPr>
          <w:rFonts w:ascii="Times New Roman" w:hAnsi="Times New Roman" w:cs="Times New Roman"/>
          <w:sz w:val="24"/>
          <w:szCs w:val="24"/>
        </w:rPr>
        <w:t>.</w:t>
      </w:r>
      <w:r w:rsidRPr="00590E5C" w:rsidR="00116221">
        <w:rPr>
          <w:rFonts w:ascii="Times New Roman" w:hAnsi="Times New Roman" w:cs="Times New Roman"/>
          <w:sz w:val="24"/>
          <w:szCs w:val="24"/>
        </w:rPr>
        <w:t xml:space="preserve">  </w:t>
      </w:r>
      <w:r w:rsidRPr="00590E5C">
        <w:rPr>
          <w:rFonts w:ascii="Times New Roman" w:hAnsi="Times New Roman" w:cs="Times New Roman"/>
          <w:sz w:val="24"/>
          <w:szCs w:val="24"/>
        </w:rPr>
        <w:t>(see Attachment I. Randomization Letters and Atta</w:t>
      </w:r>
      <w:r w:rsidR="001C6C77">
        <w:rPr>
          <w:rFonts w:ascii="Times New Roman" w:hAnsi="Times New Roman" w:cs="Times New Roman"/>
          <w:sz w:val="24"/>
          <w:szCs w:val="24"/>
        </w:rPr>
        <w:t xml:space="preserve">chment J. Reloadable Card FAQs), </w:t>
      </w:r>
      <w:r w:rsidR="003A0CE7">
        <w:rPr>
          <w:rFonts w:ascii="Times New Roman" w:hAnsi="Times New Roman" w:cs="Times New Roman"/>
          <w:sz w:val="24"/>
          <w:szCs w:val="24"/>
        </w:rPr>
        <w:t>our procedures for which we</w:t>
      </w:r>
      <w:r w:rsidR="001C6C77">
        <w:rPr>
          <w:rFonts w:ascii="Times New Roman" w:hAnsi="Times New Roman" w:cs="Times New Roman"/>
          <w:sz w:val="24"/>
          <w:szCs w:val="24"/>
        </w:rPr>
        <w:t xml:space="preserve"> described in detail in the Supporting Statement Part A, #2.</w:t>
      </w:r>
      <w:r w:rsidR="003A0CE7">
        <w:rPr>
          <w:rFonts w:ascii="Times New Roman" w:hAnsi="Times New Roman" w:cs="Times New Roman"/>
          <w:sz w:val="24"/>
          <w:szCs w:val="24"/>
        </w:rPr>
        <w:t xml:space="preserve">  Here we also discuss the costs associated with the random assignments:</w:t>
      </w:r>
      <w:r w:rsidR="001C6C77">
        <w:rPr>
          <w:rFonts w:ascii="Times New Roman" w:hAnsi="Times New Roman" w:cs="Times New Roman"/>
          <w:sz w:val="24"/>
          <w:szCs w:val="24"/>
        </w:rPr>
        <w:t xml:space="preserve">  </w:t>
      </w:r>
    </w:p>
    <w:p w:rsidR="001C6C77" w:rsidP="004227D5" w:rsidRDefault="001C6C77" w14:paraId="0CF53E79" w14:textId="77777777">
      <w:pPr>
        <w:spacing w:after="0" w:line="240" w:lineRule="auto"/>
        <w:ind w:left="994"/>
        <w:rPr>
          <w:rFonts w:ascii="Times New Roman" w:hAnsi="Times New Roman" w:cs="Times New Roman"/>
          <w:sz w:val="24"/>
          <w:szCs w:val="24"/>
        </w:rPr>
      </w:pPr>
    </w:p>
    <w:p w:rsidR="001C6C77" w:rsidP="001C6C77" w:rsidRDefault="001C6C77" w14:paraId="376A6D6B" w14:textId="46F6B328">
      <w:pPr>
        <w:pStyle w:val="ListParagraph"/>
        <w:numPr>
          <w:ilvl w:val="0"/>
          <w:numId w:val="12"/>
        </w:numPr>
        <w:spacing w:after="0" w:line="240" w:lineRule="auto"/>
        <w:rPr>
          <w:rFonts w:ascii="Times New Roman" w:hAnsi="Times New Roman" w:cs="Times New Roman"/>
          <w:sz w:val="24"/>
          <w:szCs w:val="24"/>
        </w:rPr>
      </w:pPr>
      <w:r w:rsidRPr="003A0CE7">
        <w:rPr>
          <w:rFonts w:ascii="Times New Roman" w:hAnsi="Times New Roman" w:cs="Times New Roman"/>
          <w:b/>
          <w:sz w:val="24"/>
          <w:szCs w:val="24"/>
        </w:rPr>
        <w:lastRenderedPageBreak/>
        <w:t>Full-Service Treatment (n=1,000).</w:t>
      </w:r>
      <w:r>
        <w:rPr>
          <w:rFonts w:ascii="Times New Roman" w:hAnsi="Times New Roman" w:cs="Times New Roman"/>
          <w:sz w:val="24"/>
          <w:szCs w:val="24"/>
        </w:rPr>
        <w:t xml:space="preserve">  The plan for this model includes out</w:t>
      </w:r>
      <w:r w:rsidR="003A0CE7">
        <w:rPr>
          <w:rFonts w:ascii="Times New Roman" w:hAnsi="Times New Roman" w:cs="Times New Roman"/>
          <w:sz w:val="24"/>
          <w:szCs w:val="24"/>
        </w:rPr>
        <w:noBreakHyphen/>
        <w:t>of</w:t>
      </w:r>
      <w:r w:rsidR="003A0CE7">
        <w:rPr>
          <w:rFonts w:ascii="Times New Roman" w:hAnsi="Times New Roman" w:cs="Times New Roman"/>
          <w:sz w:val="24"/>
          <w:szCs w:val="24"/>
        </w:rPr>
        <w:noBreakHyphen/>
      </w:r>
      <w:r>
        <w:rPr>
          <w:rFonts w:ascii="Times New Roman" w:hAnsi="Times New Roman" w:cs="Times New Roman"/>
          <w:sz w:val="24"/>
          <w:szCs w:val="24"/>
        </w:rPr>
        <w:t xml:space="preserve">pocket expenses associated with prescription behavioral health medications, with an average allotment of $1,166 per participant over the three years of their participation in the study.  Individual Placement and Support (IPS) supported employment also includes a modest allotment of funds for essential work-related expenses.  </w:t>
      </w:r>
      <w:r w:rsidR="003A0CE7">
        <w:rPr>
          <w:rFonts w:ascii="Times New Roman" w:hAnsi="Times New Roman" w:cs="Times New Roman"/>
          <w:sz w:val="24"/>
          <w:szCs w:val="24"/>
        </w:rPr>
        <w:t>Integrated behavioral health care also requires financial support for services and treatment not covered by the participant’s health insurance.  The allotments for these additional expenses include $130 for essential work</w:t>
      </w:r>
      <w:r w:rsidR="001E1355">
        <w:rPr>
          <w:rFonts w:ascii="Times New Roman" w:hAnsi="Times New Roman" w:cs="Times New Roman"/>
          <w:sz w:val="24"/>
          <w:szCs w:val="24"/>
        </w:rPr>
        <w:t>-</w:t>
      </w:r>
      <w:r w:rsidR="003A0CE7">
        <w:rPr>
          <w:rFonts w:ascii="Times New Roman" w:hAnsi="Times New Roman" w:cs="Times New Roman"/>
          <w:sz w:val="24"/>
          <w:szCs w:val="24"/>
        </w:rPr>
        <w:t>related expenses and $1,034 for behavioral health expenses per participant over the three years of study participation.</w:t>
      </w:r>
    </w:p>
    <w:p w:rsidR="003A0CE7" w:rsidP="003A0CE7" w:rsidRDefault="003A0CE7" w14:paraId="1C6CA971" w14:textId="77777777">
      <w:pPr>
        <w:pStyle w:val="ListParagraph"/>
        <w:spacing w:after="0" w:line="240" w:lineRule="auto"/>
        <w:ind w:left="1354"/>
        <w:rPr>
          <w:rFonts w:ascii="Times New Roman" w:hAnsi="Times New Roman" w:cs="Times New Roman"/>
          <w:sz w:val="24"/>
          <w:szCs w:val="24"/>
        </w:rPr>
      </w:pPr>
    </w:p>
    <w:p w:rsidR="003A0CE7" w:rsidP="001C6C77" w:rsidRDefault="003A0CE7" w14:paraId="2F27942F" w14:textId="64FCA150">
      <w:pPr>
        <w:pStyle w:val="ListParagraph"/>
        <w:numPr>
          <w:ilvl w:val="0"/>
          <w:numId w:val="12"/>
        </w:numPr>
        <w:spacing w:after="0" w:line="240" w:lineRule="auto"/>
        <w:rPr>
          <w:rFonts w:ascii="Times New Roman" w:hAnsi="Times New Roman" w:cs="Times New Roman"/>
          <w:sz w:val="24"/>
          <w:szCs w:val="24"/>
        </w:rPr>
      </w:pPr>
      <w:r w:rsidRPr="003A0CE7">
        <w:rPr>
          <w:rFonts w:ascii="Times New Roman" w:hAnsi="Times New Roman" w:cs="Times New Roman"/>
          <w:b/>
          <w:sz w:val="24"/>
          <w:szCs w:val="24"/>
        </w:rPr>
        <w:t>Basic-Service Treatment (n=1,000).</w:t>
      </w:r>
      <w:r>
        <w:rPr>
          <w:rFonts w:ascii="Times New Roman" w:hAnsi="Times New Roman" w:cs="Times New Roman"/>
          <w:sz w:val="24"/>
          <w:szCs w:val="24"/>
        </w:rPr>
        <w:t xml:space="preserve">  The plan for this model includes allotments of $1,034 per participant for expenses associated with behavioral treatment, and $130 per participant for essential work-related expenses over the three years of study participation.</w:t>
      </w:r>
    </w:p>
    <w:p w:rsidRPr="003A0CE7" w:rsidR="003A0CE7" w:rsidP="003A0CE7" w:rsidRDefault="003A0CE7" w14:paraId="3DA63F65" w14:textId="77777777">
      <w:pPr>
        <w:pStyle w:val="ListParagraph"/>
        <w:rPr>
          <w:rFonts w:ascii="Times New Roman" w:hAnsi="Times New Roman" w:cs="Times New Roman"/>
          <w:sz w:val="24"/>
          <w:szCs w:val="24"/>
        </w:rPr>
      </w:pPr>
    </w:p>
    <w:p w:rsidRPr="001C6C77" w:rsidR="003A0CE7" w:rsidP="001C6C77" w:rsidRDefault="003A0CE7" w14:paraId="7C5CD3D5" w14:textId="655B9FB8">
      <w:pPr>
        <w:pStyle w:val="ListParagraph"/>
        <w:numPr>
          <w:ilvl w:val="0"/>
          <w:numId w:val="12"/>
        </w:numPr>
        <w:spacing w:after="0" w:line="240" w:lineRule="auto"/>
        <w:rPr>
          <w:rFonts w:ascii="Times New Roman" w:hAnsi="Times New Roman" w:cs="Times New Roman"/>
          <w:sz w:val="24"/>
          <w:szCs w:val="24"/>
        </w:rPr>
      </w:pPr>
      <w:r w:rsidRPr="003A0CE7">
        <w:rPr>
          <w:rFonts w:ascii="Times New Roman" w:hAnsi="Times New Roman" w:cs="Times New Roman"/>
          <w:b/>
          <w:sz w:val="24"/>
          <w:szCs w:val="24"/>
        </w:rPr>
        <w:t>Usual Services (n=1,000).</w:t>
      </w:r>
      <w:r>
        <w:rPr>
          <w:rFonts w:ascii="Times New Roman" w:hAnsi="Times New Roman" w:cs="Times New Roman"/>
          <w:sz w:val="24"/>
          <w:szCs w:val="24"/>
        </w:rPr>
        <w:t xml:space="preserve">  We do not include any allotments for this model.</w:t>
      </w:r>
    </w:p>
    <w:p w:rsidRPr="00590E5C" w:rsidR="004227D5" w:rsidP="004227D5" w:rsidRDefault="004227D5" w14:paraId="1B367E18" w14:textId="77777777">
      <w:pPr>
        <w:spacing w:after="0" w:line="240" w:lineRule="auto"/>
        <w:ind w:left="994"/>
        <w:rPr>
          <w:rFonts w:ascii="Times New Roman" w:hAnsi="Times New Roman" w:cs="Times New Roman"/>
          <w:sz w:val="24"/>
          <w:szCs w:val="24"/>
        </w:rPr>
      </w:pPr>
    </w:p>
    <w:p w:rsidRPr="00590E5C" w:rsidR="006E0475" w:rsidP="00C10E93" w:rsidRDefault="006E0475" w14:paraId="743A263C" w14:textId="75D9C733">
      <w:pPr>
        <w:spacing w:after="0"/>
        <w:ind w:firstLine="990"/>
        <w:rPr>
          <w:rFonts w:ascii="Times New Roman" w:hAnsi="Times New Roman" w:cs="Times New Roman"/>
          <w:sz w:val="24"/>
          <w:szCs w:val="24"/>
          <w:u w:val="single"/>
          <w:lang w:val="en"/>
        </w:rPr>
      </w:pPr>
      <w:r w:rsidRPr="00590E5C">
        <w:rPr>
          <w:rFonts w:ascii="Times New Roman" w:hAnsi="Times New Roman" w:cs="Times New Roman"/>
          <w:sz w:val="24"/>
          <w:szCs w:val="24"/>
          <w:u w:val="single"/>
          <w:lang w:val="en"/>
        </w:rPr>
        <w:t>Evaluation Data Collection</w:t>
      </w:r>
    </w:p>
    <w:p w:rsidRPr="00590E5C" w:rsidR="006E0475" w:rsidP="00C10E93" w:rsidRDefault="006E0475" w14:paraId="31ADD3B6" w14:textId="2FB3DCF9">
      <w:pPr>
        <w:ind w:left="990"/>
        <w:rPr>
          <w:rFonts w:ascii="Times New Roman" w:hAnsi="Times New Roman" w:cs="Times New Roman"/>
          <w:sz w:val="24"/>
          <w:szCs w:val="24"/>
        </w:rPr>
      </w:pPr>
      <w:r w:rsidRPr="00590E5C">
        <w:rPr>
          <w:rFonts w:ascii="Times New Roman" w:hAnsi="Times New Roman" w:cs="Times New Roman"/>
          <w:sz w:val="24"/>
          <w:szCs w:val="24"/>
        </w:rPr>
        <w:t xml:space="preserve">Data collection for the evaluation of the </w:t>
      </w:r>
      <w:r w:rsidR="008E7D8D">
        <w:rPr>
          <w:rFonts w:ascii="Times New Roman" w:hAnsi="Times New Roman" w:cs="Times New Roman"/>
          <w:sz w:val="24"/>
          <w:szCs w:val="24"/>
        </w:rPr>
        <w:t xml:space="preserve">SED </w:t>
      </w:r>
      <w:r w:rsidRPr="00590E5C">
        <w:rPr>
          <w:rFonts w:ascii="Times New Roman" w:hAnsi="Times New Roman" w:cs="Times New Roman"/>
          <w:sz w:val="24"/>
          <w:szCs w:val="24"/>
        </w:rPr>
        <w:t>consi</w:t>
      </w:r>
      <w:r w:rsidR="003A0CE7">
        <w:rPr>
          <w:rFonts w:ascii="Times New Roman" w:hAnsi="Times New Roman" w:cs="Times New Roman"/>
          <w:sz w:val="24"/>
          <w:szCs w:val="24"/>
        </w:rPr>
        <w:t>st</w:t>
      </w:r>
      <w:r w:rsidR="008E7D8D">
        <w:rPr>
          <w:rFonts w:ascii="Times New Roman" w:hAnsi="Times New Roman" w:cs="Times New Roman"/>
          <w:sz w:val="24"/>
          <w:szCs w:val="24"/>
        </w:rPr>
        <w:t>s</w:t>
      </w:r>
      <w:r w:rsidR="003A0CE7">
        <w:rPr>
          <w:rFonts w:ascii="Times New Roman" w:hAnsi="Times New Roman" w:cs="Times New Roman"/>
          <w:sz w:val="24"/>
          <w:szCs w:val="24"/>
        </w:rPr>
        <w:t xml:space="preserve"> of the following activities:  </w:t>
      </w:r>
      <w:r w:rsidRPr="00D6589F">
        <w:rPr>
          <w:rFonts w:ascii="Times New Roman" w:hAnsi="Times New Roman" w:cs="Times New Roman"/>
          <w:sz w:val="24"/>
          <w:szCs w:val="24"/>
        </w:rPr>
        <w:t>baseline in-person participant interviews; quarterly participant telephone interviews;</w:t>
      </w:r>
      <w:r w:rsidRPr="00590E5C">
        <w:rPr>
          <w:rFonts w:ascii="Times New Roman" w:hAnsi="Times New Roman" w:cs="Times New Roman"/>
          <w:sz w:val="24"/>
          <w:szCs w:val="24"/>
        </w:rPr>
        <w:t xml:space="preserve"> receipt of SSA administrative record data; and collection of site-level program data</w:t>
      </w:r>
      <w:r w:rsidR="003A0CE7">
        <w:rPr>
          <w:rFonts w:ascii="Times New Roman" w:hAnsi="Times New Roman" w:cs="Times New Roman"/>
          <w:sz w:val="24"/>
          <w:szCs w:val="24"/>
        </w:rPr>
        <w:t xml:space="preserve">.  </w:t>
      </w:r>
      <w:r w:rsidRPr="00590E5C">
        <w:rPr>
          <w:rFonts w:ascii="Times New Roman" w:hAnsi="Times New Roman" w:cs="Times New Roman"/>
          <w:sz w:val="24"/>
          <w:szCs w:val="24"/>
        </w:rPr>
        <w:t xml:space="preserve">Evaluation team members will also conduct site visits involving: </w:t>
      </w:r>
      <w:r w:rsidR="003A0CE7">
        <w:rPr>
          <w:rFonts w:ascii="Times New Roman" w:hAnsi="Times New Roman" w:cs="Times New Roman"/>
          <w:sz w:val="24"/>
          <w:szCs w:val="24"/>
        </w:rPr>
        <w:t xml:space="preserve"> </w:t>
      </w:r>
      <w:r w:rsidRPr="00590E5C">
        <w:rPr>
          <w:rFonts w:ascii="Times New Roman" w:hAnsi="Times New Roman" w:cs="Times New Roman"/>
          <w:sz w:val="24"/>
          <w:szCs w:val="24"/>
        </w:rPr>
        <w:t xml:space="preserve">pre-visit environmental scans; independent fidelity assessments; key informant interviews; focus groups; and ethnographic data collection. </w:t>
      </w:r>
    </w:p>
    <w:p w:rsidRPr="00590E5C" w:rsidR="006E0475" w:rsidP="00C10E93" w:rsidRDefault="006E0475" w14:paraId="2C1A0ACC" w14:textId="6E1E0603">
      <w:pPr>
        <w:pStyle w:val="SL-FlLftSgl"/>
        <w:numPr>
          <w:ilvl w:val="0"/>
          <w:numId w:val="11"/>
        </w:numPr>
        <w:tabs>
          <w:tab w:val="left" w:pos="720"/>
        </w:tabs>
        <w:spacing w:line="276" w:lineRule="auto"/>
        <w:rPr>
          <w:rFonts w:ascii="Times New Roman" w:hAnsi="Times New Roman"/>
          <w:b/>
          <w:i/>
          <w:szCs w:val="24"/>
        </w:rPr>
      </w:pPr>
      <w:r w:rsidRPr="00590E5C">
        <w:rPr>
          <w:rFonts w:ascii="Times New Roman" w:hAnsi="Times New Roman"/>
          <w:b/>
          <w:i/>
          <w:szCs w:val="24"/>
        </w:rPr>
        <w:t xml:space="preserve">Baseline Participant Interviews </w:t>
      </w:r>
    </w:p>
    <w:p w:rsidRPr="00590E5C" w:rsidR="006E0475" w:rsidP="00C10E93" w:rsidRDefault="00D938F0" w14:paraId="7E1CF25F" w14:textId="06094980">
      <w:pPr>
        <w:ind w:left="1440"/>
        <w:rPr>
          <w:rFonts w:ascii="Times New Roman" w:hAnsi="Times New Roman" w:cs="Times New Roman"/>
          <w:sz w:val="24"/>
          <w:szCs w:val="24"/>
        </w:rPr>
      </w:pPr>
      <w:r>
        <w:rPr>
          <w:rFonts w:ascii="Times New Roman" w:hAnsi="Times New Roman" w:cs="Times New Roman"/>
          <w:sz w:val="24"/>
          <w:szCs w:val="24"/>
        </w:rPr>
        <w:t xml:space="preserve">Research Assistants, hired by </w:t>
      </w:r>
      <w:r w:rsidRPr="00590E5C" w:rsidR="006E0475">
        <w:rPr>
          <w:rFonts w:ascii="Times New Roman" w:hAnsi="Times New Roman" w:cs="Times New Roman"/>
          <w:sz w:val="24"/>
          <w:szCs w:val="24"/>
        </w:rPr>
        <w:t>Westat and located off si</w:t>
      </w:r>
      <w:r w:rsidR="007138CA">
        <w:rPr>
          <w:rFonts w:ascii="Times New Roman" w:hAnsi="Times New Roman" w:cs="Times New Roman"/>
          <w:sz w:val="24"/>
          <w:szCs w:val="24"/>
        </w:rPr>
        <w:t xml:space="preserve">te in the local community, </w:t>
      </w:r>
      <w:r w:rsidRPr="00590E5C" w:rsidR="006E0475">
        <w:rPr>
          <w:rFonts w:ascii="Times New Roman" w:hAnsi="Times New Roman" w:cs="Times New Roman"/>
          <w:sz w:val="24"/>
          <w:szCs w:val="24"/>
        </w:rPr>
        <w:t>conduct</w:t>
      </w:r>
      <w:r w:rsidR="007138CA">
        <w:rPr>
          <w:rFonts w:ascii="Times New Roman" w:hAnsi="Times New Roman" w:cs="Times New Roman"/>
          <w:sz w:val="24"/>
          <w:szCs w:val="24"/>
        </w:rPr>
        <w:t>ed</w:t>
      </w:r>
      <w:r w:rsidRPr="00590E5C" w:rsidR="006E0475">
        <w:rPr>
          <w:rFonts w:ascii="Times New Roman" w:hAnsi="Times New Roman" w:cs="Times New Roman"/>
          <w:sz w:val="24"/>
          <w:szCs w:val="24"/>
        </w:rPr>
        <w:t xml:space="preserve"> a baseline, in-person interview with each participant enrolled in the </w:t>
      </w:r>
      <w:r w:rsidR="005F2C54">
        <w:rPr>
          <w:rFonts w:ascii="Times New Roman" w:hAnsi="Times New Roman" w:cs="Times New Roman"/>
          <w:sz w:val="24"/>
          <w:szCs w:val="24"/>
        </w:rPr>
        <w:t xml:space="preserve">Supported Employment Demonstration </w:t>
      </w:r>
      <w:r w:rsidRPr="00590E5C" w:rsidR="006E0475">
        <w:rPr>
          <w:rFonts w:ascii="Times New Roman" w:hAnsi="Times New Roman" w:cs="Times New Roman"/>
          <w:sz w:val="24"/>
          <w:szCs w:val="24"/>
        </w:rPr>
        <w:t>via a computer-assisted personal interview (CAPI) (see Attachment K. Baseline Intervie</w:t>
      </w:r>
      <w:r w:rsidR="00AE56CF">
        <w:rPr>
          <w:rFonts w:ascii="Times New Roman" w:hAnsi="Times New Roman" w:cs="Times New Roman"/>
          <w:sz w:val="24"/>
          <w:szCs w:val="24"/>
        </w:rPr>
        <w:t>w)</w:t>
      </w:r>
      <w:r w:rsidR="00116221">
        <w:rPr>
          <w:rFonts w:ascii="Times New Roman" w:hAnsi="Times New Roman" w:cs="Times New Roman"/>
          <w:sz w:val="24"/>
          <w:szCs w:val="24"/>
        </w:rPr>
        <w:t xml:space="preserve">.  </w:t>
      </w:r>
      <w:r w:rsidR="00AE56CF">
        <w:rPr>
          <w:rFonts w:ascii="Times New Roman" w:hAnsi="Times New Roman" w:cs="Times New Roman"/>
          <w:sz w:val="24"/>
          <w:szCs w:val="24"/>
        </w:rPr>
        <w:t>Participants receive</w:t>
      </w:r>
      <w:r w:rsidR="007138CA">
        <w:rPr>
          <w:rFonts w:ascii="Times New Roman" w:hAnsi="Times New Roman" w:cs="Times New Roman"/>
          <w:sz w:val="24"/>
          <w:szCs w:val="24"/>
        </w:rPr>
        <w:t>d</w:t>
      </w:r>
      <w:r w:rsidR="00AE56CF">
        <w:rPr>
          <w:rFonts w:ascii="Times New Roman" w:hAnsi="Times New Roman" w:cs="Times New Roman"/>
          <w:sz w:val="24"/>
          <w:szCs w:val="24"/>
        </w:rPr>
        <w:t xml:space="preserve"> $5</w:t>
      </w:r>
      <w:r w:rsidRPr="00590E5C" w:rsidR="006E0475">
        <w:rPr>
          <w:rFonts w:ascii="Times New Roman" w:hAnsi="Times New Roman" w:cs="Times New Roman"/>
          <w:sz w:val="24"/>
          <w:szCs w:val="24"/>
        </w:rPr>
        <w:t>0 for completin</w:t>
      </w:r>
      <w:r w:rsidR="007138CA">
        <w:rPr>
          <w:rFonts w:ascii="Times New Roman" w:hAnsi="Times New Roman" w:cs="Times New Roman"/>
          <w:sz w:val="24"/>
          <w:szCs w:val="24"/>
        </w:rPr>
        <w:t xml:space="preserve">g the baseline </w:t>
      </w:r>
      <w:r w:rsidR="007138CA">
        <w:rPr>
          <w:rFonts w:ascii="Times New Roman" w:hAnsi="Times New Roman" w:cs="Times New Roman"/>
          <w:sz w:val="24"/>
          <w:szCs w:val="24"/>
        </w:rPr>
        <w:lastRenderedPageBreak/>
        <w:t xml:space="preserve">interview, which took </w:t>
      </w:r>
      <w:r w:rsidRPr="00590E5C" w:rsidR="006E0475">
        <w:rPr>
          <w:rFonts w:ascii="Times New Roman" w:hAnsi="Times New Roman" w:cs="Times New Roman"/>
          <w:sz w:val="24"/>
          <w:szCs w:val="24"/>
        </w:rPr>
        <w:t>approximately 45 minutes</w:t>
      </w:r>
      <w:r w:rsidRPr="00590E5C" w:rsidR="00116221">
        <w:rPr>
          <w:rFonts w:ascii="Times New Roman" w:hAnsi="Times New Roman" w:cs="Times New Roman"/>
          <w:sz w:val="24"/>
          <w:szCs w:val="24"/>
        </w:rPr>
        <w:t xml:space="preserve">.  </w:t>
      </w:r>
      <w:r w:rsidRPr="00590E5C" w:rsidR="006E0475">
        <w:rPr>
          <w:rFonts w:ascii="Times New Roman" w:hAnsi="Times New Roman" w:cs="Times New Roman"/>
          <w:sz w:val="24"/>
          <w:szCs w:val="24"/>
        </w:rPr>
        <w:t>The baseline inter</w:t>
      </w:r>
      <w:r w:rsidR="008E7D8D">
        <w:rPr>
          <w:rFonts w:ascii="Times New Roman" w:hAnsi="Times New Roman" w:cs="Times New Roman"/>
          <w:sz w:val="24"/>
          <w:szCs w:val="24"/>
        </w:rPr>
        <w:t xml:space="preserve">view </w:t>
      </w:r>
      <w:r w:rsidRPr="00590E5C" w:rsidR="006E0475">
        <w:rPr>
          <w:rFonts w:ascii="Times New Roman" w:hAnsi="Times New Roman" w:cs="Times New Roman"/>
          <w:sz w:val="24"/>
          <w:szCs w:val="24"/>
        </w:rPr>
        <w:t>include</w:t>
      </w:r>
      <w:r w:rsidR="007138CA">
        <w:rPr>
          <w:rFonts w:ascii="Times New Roman" w:hAnsi="Times New Roman" w:cs="Times New Roman"/>
          <w:sz w:val="24"/>
          <w:szCs w:val="24"/>
        </w:rPr>
        <w:t>d</w:t>
      </w:r>
      <w:r w:rsidRPr="00590E5C" w:rsidR="006E0475">
        <w:rPr>
          <w:rFonts w:ascii="Times New Roman" w:hAnsi="Times New Roman" w:cs="Times New Roman"/>
          <w:sz w:val="24"/>
          <w:szCs w:val="24"/>
        </w:rPr>
        <w:t xml:space="preserve"> questions on the following topics: </w:t>
      </w:r>
      <w:r w:rsidR="003A0CE7">
        <w:rPr>
          <w:rFonts w:ascii="Times New Roman" w:hAnsi="Times New Roman" w:cs="Times New Roman"/>
          <w:sz w:val="24"/>
          <w:szCs w:val="24"/>
        </w:rPr>
        <w:t xml:space="preserve"> </w:t>
      </w:r>
      <w:r w:rsidRPr="00590E5C" w:rsidR="006E0475">
        <w:rPr>
          <w:rFonts w:ascii="Times New Roman" w:hAnsi="Times New Roman" w:cs="Times New Roman"/>
          <w:sz w:val="24"/>
          <w:szCs w:val="24"/>
        </w:rPr>
        <w:t>work history; job status; health status and quality of life; demographics and income; functional limitations; health insurance coverage; and health care utilization (doctor visits, hospitalizations, etc.)</w:t>
      </w:r>
      <w:r w:rsidRPr="00590E5C" w:rsidR="00116221">
        <w:rPr>
          <w:rFonts w:ascii="Times New Roman" w:hAnsi="Times New Roman" w:cs="Times New Roman"/>
          <w:sz w:val="24"/>
          <w:szCs w:val="24"/>
        </w:rPr>
        <w:t xml:space="preserve">.  </w:t>
      </w:r>
      <w:r w:rsidRPr="00590E5C" w:rsidR="006E0475">
        <w:rPr>
          <w:rFonts w:ascii="Times New Roman" w:hAnsi="Times New Roman" w:cs="Times New Roman"/>
          <w:sz w:val="24"/>
          <w:szCs w:val="24"/>
        </w:rPr>
        <w:t xml:space="preserve">During the baseline </w:t>
      </w:r>
      <w:r w:rsidRPr="00590E5C" w:rsidR="00025D7B">
        <w:rPr>
          <w:rFonts w:ascii="Times New Roman" w:hAnsi="Times New Roman" w:cs="Times New Roman"/>
          <w:sz w:val="24"/>
          <w:szCs w:val="24"/>
        </w:rPr>
        <w:t>interview,</w:t>
      </w:r>
      <w:r w:rsidR="007138CA">
        <w:rPr>
          <w:rFonts w:ascii="Times New Roman" w:hAnsi="Times New Roman" w:cs="Times New Roman"/>
          <w:sz w:val="24"/>
          <w:szCs w:val="24"/>
        </w:rPr>
        <w:t xml:space="preserve"> the Research Assistant </w:t>
      </w:r>
      <w:r w:rsidRPr="00590E5C" w:rsidR="006E0475">
        <w:rPr>
          <w:rFonts w:ascii="Times New Roman" w:hAnsi="Times New Roman" w:cs="Times New Roman"/>
          <w:sz w:val="24"/>
          <w:szCs w:val="24"/>
        </w:rPr>
        <w:t>also ask</w:t>
      </w:r>
      <w:r w:rsidR="007138CA">
        <w:rPr>
          <w:rFonts w:ascii="Times New Roman" w:hAnsi="Times New Roman" w:cs="Times New Roman"/>
          <w:sz w:val="24"/>
          <w:szCs w:val="24"/>
        </w:rPr>
        <w:t>ed</w:t>
      </w:r>
      <w:r w:rsidRPr="00590E5C" w:rsidR="006E0475">
        <w:rPr>
          <w:rFonts w:ascii="Times New Roman" w:hAnsi="Times New Roman" w:cs="Times New Roman"/>
          <w:sz w:val="24"/>
          <w:szCs w:val="24"/>
        </w:rPr>
        <w:t xml:space="preserve"> participants to provide contact information for two additional individuals in the event that the participant cannot be located</w:t>
      </w:r>
      <w:r w:rsidRPr="00590E5C" w:rsidR="00116221">
        <w:rPr>
          <w:rFonts w:ascii="Times New Roman" w:hAnsi="Times New Roman" w:cs="Times New Roman"/>
          <w:sz w:val="24"/>
          <w:szCs w:val="24"/>
        </w:rPr>
        <w:t xml:space="preserve">.  </w:t>
      </w:r>
      <w:r w:rsidRPr="00590E5C" w:rsidR="006E0475">
        <w:rPr>
          <w:rFonts w:ascii="Times New Roman" w:hAnsi="Times New Roman" w:cs="Times New Roman"/>
          <w:sz w:val="24"/>
          <w:szCs w:val="24"/>
        </w:rPr>
        <w:t>At the end of the baseline interview, the Research Assista</w:t>
      </w:r>
      <w:r w:rsidR="007138CA">
        <w:rPr>
          <w:rFonts w:ascii="Times New Roman" w:hAnsi="Times New Roman" w:cs="Times New Roman"/>
          <w:sz w:val="24"/>
          <w:szCs w:val="24"/>
        </w:rPr>
        <w:t xml:space="preserve">nt </w:t>
      </w:r>
      <w:r w:rsidRPr="00590E5C" w:rsidR="006E0475">
        <w:rPr>
          <w:rFonts w:ascii="Times New Roman" w:hAnsi="Times New Roman" w:cs="Times New Roman"/>
          <w:sz w:val="24"/>
          <w:szCs w:val="24"/>
        </w:rPr>
        <w:t>provide</w:t>
      </w:r>
      <w:r w:rsidR="007138CA">
        <w:rPr>
          <w:rFonts w:ascii="Times New Roman" w:hAnsi="Times New Roman" w:cs="Times New Roman"/>
          <w:sz w:val="24"/>
          <w:szCs w:val="24"/>
        </w:rPr>
        <w:t>d</w:t>
      </w:r>
      <w:r w:rsidRPr="00590E5C" w:rsidR="006E0475">
        <w:rPr>
          <w:rFonts w:ascii="Times New Roman" w:hAnsi="Times New Roman" w:cs="Times New Roman"/>
          <w:sz w:val="24"/>
          <w:szCs w:val="24"/>
        </w:rPr>
        <w:t xml:space="preserve"> the participant with </w:t>
      </w:r>
      <w:r w:rsidR="003A0CE7">
        <w:rPr>
          <w:rFonts w:ascii="Times New Roman" w:hAnsi="Times New Roman" w:cs="Times New Roman"/>
          <w:sz w:val="24"/>
          <w:szCs w:val="24"/>
        </w:rPr>
        <w:t xml:space="preserve">an </w:t>
      </w:r>
      <w:r w:rsidRPr="00590E5C" w:rsidR="006E0475">
        <w:rPr>
          <w:rFonts w:ascii="Times New Roman" w:hAnsi="Times New Roman" w:cs="Times New Roman"/>
          <w:sz w:val="24"/>
          <w:szCs w:val="24"/>
        </w:rPr>
        <w:t xml:space="preserve">assignment to one of the three study arms, as well as written material and guidance about moving forward in the study (see Attachment I. Randomization Letters and Attachment J. Reloadable Card FAQs). </w:t>
      </w:r>
    </w:p>
    <w:p w:rsidRPr="00590E5C" w:rsidR="006E0475" w:rsidP="00C10E93" w:rsidRDefault="006E0475" w14:paraId="7005AFE6" w14:textId="70F3CA94">
      <w:pPr>
        <w:pStyle w:val="L1-FlLSp12"/>
        <w:numPr>
          <w:ilvl w:val="0"/>
          <w:numId w:val="11"/>
        </w:numPr>
        <w:spacing w:line="276" w:lineRule="auto"/>
        <w:rPr>
          <w:rFonts w:ascii="Times New Roman" w:hAnsi="Times New Roman"/>
          <w:b/>
          <w:szCs w:val="24"/>
        </w:rPr>
      </w:pPr>
      <w:r w:rsidRPr="00590E5C">
        <w:rPr>
          <w:rFonts w:ascii="Times New Roman" w:hAnsi="Times New Roman"/>
          <w:b/>
          <w:i/>
          <w:szCs w:val="24"/>
        </w:rPr>
        <w:t>Quarterly Participant Interviews</w:t>
      </w:r>
    </w:p>
    <w:p w:rsidRPr="00590E5C" w:rsidR="006E0475" w:rsidP="00C10E93" w:rsidRDefault="006E0475" w14:paraId="253A0EBB" w14:textId="3C0663A9">
      <w:pPr>
        <w:ind w:left="1440"/>
        <w:rPr>
          <w:rFonts w:ascii="Times New Roman" w:hAnsi="Times New Roman" w:cs="Times New Roman"/>
          <w:sz w:val="24"/>
          <w:szCs w:val="24"/>
        </w:rPr>
      </w:pPr>
      <w:r w:rsidRPr="00590E5C">
        <w:rPr>
          <w:rFonts w:ascii="Times New Roman" w:hAnsi="Times New Roman" w:cs="Times New Roman"/>
          <w:sz w:val="24"/>
          <w:szCs w:val="24"/>
        </w:rPr>
        <w:t xml:space="preserve">Westat Telephone Research Center (TRC) interviewers </w:t>
      </w:r>
      <w:r w:rsidR="008C7D37">
        <w:rPr>
          <w:rFonts w:ascii="Times New Roman" w:hAnsi="Times New Roman" w:cs="Times New Roman"/>
          <w:sz w:val="24"/>
          <w:szCs w:val="24"/>
        </w:rPr>
        <w:t>administer blind</w:t>
      </w:r>
      <w:r w:rsidRPr="00590E5C">
        <w:rPr>
          <w:rFonts w:ascii="Times New Roman" w:hAnsi="Times New Roman" w:cs="Times New Roman"/>
          <w:sz w:val="24"/>
          <w:szCs w:val="24"/>
        </w:rPr>
        <w:t xml:space="preserve"> quarterly follow-up telephone interviews to participants via a computer-assisted telephone interview </w:t>
      </w:r>
      <w:r w:rsidRPr="00590E5C">
        <w:rPr>
          <w:rFonts w:ascii="Times New Roman" w:hAnsi="Times New Roman" w:cs="Times New Roman"/>
          <w:sz w:val="24"/>
          <w:szCs w:val="24"/>
        </w:rPr>
        <w:lastRenderedPageBreak/>
        <w:t xml:space="preserve">(CATI) (see Attachment L. Quarterly Interview). </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The quarte</w:t>
      </w:r>
      <w:r w:rsidR="008E7D8D">
        <w:rPr>
          <w:rFonts w:ascii="Times New Roman" w:hAnsi="Times New Roman" w:cs="Times New Roman"/>
          <w:sz w:val="24"/>
          <w:szCs w:val="24"/>
        </w:rPr>
        <w:t xml:space="preserve">rly interview </w:t>
      </w:r>
      <w:r w:rsidR="00AE56CF">
        <w:rPr>
          <w:rFonts w:ascii="Times New Roman" w:hAnsi="Times New Roman" w:cs="Times New Roman"/>
          <w:sz w:val="24"/>
          <w:szCs w:val="24"/>
        </w:rPr>
        <w:t>assess</w:t>
      </w:r>
      <w:r w:rsidR="008E7D8D">
        <w:rPr>
          <w:rFonts w:ascii="Times New Roman" w:hAnsi="Times New Roman" w:cs="Times New Roman"/>
          <w:sz w:val="24"/>
          <w:szCs w:val="24"/>
        </w:rPr>
        <w:t>es</w:t>
      </w:r>
      <w:r w:rsidR="00AE56CF">
        <w:rPr>
          <w:rFonts w:ascii="Times New Roman" w:hAnsi="Times New Roman" w:cs="Times New Roman"/>
          <w:sz w:val="24"/>
          <w:szCs w:val="24"/>
        </w:rPr>
        <w:t xml:space="preserve"> employment outcomes and utilization of health care and other related services</w:t>
      </w:r>
      <w:r w:rsidRPr="00590E5C" w:rsidR="00116221">
        <w:rPr>
          <w:rFonts w:ascii="Times New Roman" w:hAnsi="Times New Roman" w:cs="Times New Roman"/>
          <w:sz w:val="24"/>
          <w:szCs w:val="24"/>
        </w:rPr>
        <w:t xml:space="preserve">.  </w:t>
      </w:r>
      <w:r w:rsidR="00AE56CF">
        <w:rPr>
          <w:rFonts w:ascii="Times New Roman" w:hAnsi="Times New Roman" w:cs="Times New Roman"/>
          <w:sz w:val="24"/>
          <w:szCs w:val="24"/>
        </w:rPr>
        <w:t>In add</w:t>
      </w:r>
      <w:r w:rsidR="007138CA">
        <w:rPr>
          <w:rFonts w:ascii="Times New Roman" w:hAnsi="Times New Roman" w:cs="Times New Roman"/>
          <w:sz w:val="24"/>
          <w:szCs w:val="24"/>
        </w:rPr>
        <w:t xml:space="preserve">ition, the quarterly interviews, </w:t>
      </w:r>
      <w:r w:rsidR="00D345C9">
        <w:rPr>
          <w:rFonts w:ascii="Times New Roman" w:hAnsi="Times New Roman" w:cs="Times New Roman"/>
          <w:sz w:val="24"/>
          <w:szCs w:val="24"/>
        </w:rPr>
        <w:t xml:space="preserve">administered </w:t>
      </w:r>
      <w:r w:rsidR="00AE56CF">
        <w:rPr>
          <w:rFonts w:ascii="Times New Roman" w:hAnsi="Times New Roman" w:cs="Times New Roman"/>
          <w:sz w:val="24"/>
          <w:szCs w:val="24"/>
        </w:rPr>
        <w:t xml:space="preserve">at the annual follow-up time </w:t>
      </w:r>
      <w:r w:rsidR="00D345C9">
        <w:rPr>
          <w:rFonts w:ascii="Times New Roman" w:hAnsi="Times New Roman" w:cs="Times New Roman"/>
          <w:sz w:val="24"/>
          <w:szCs w:val="24"/>
        </w:rPr>
        <w:t>periods</w:t>
      </w:r>
      <w:r w:rsidR="00AE56CF">
        <w:rPr>
          <w:rFonts w:ascii="Times New Roman" w:hAnsi="Times New Roman" w:cs="Times New Roman"/>
          <w:sz w:val="24"/>
          <w:szCs w:val="24"/>
        </w:rPr>
        <w:t xml:space="preserve"> (Quarters 4, 8, and 12), </w:t>
      </w:r>
      <w:r w:rsidR="003A0CE7">
        <w:rPr>
          <w:rFonts w:ascii="Times New Roman" w:hAnsi="Times New Roman" w:cs="Times New Roman"/>
          <w:sz w:val="24"/>
          <w:szCs w:val="24"/>
        </w:rPr>
        <w:t>assess health status; functioning; symptoms; medication use;</w:t>
      </w:r>
      <w:r w:rsidR="00D345C9">
        <w:rPr>
          <w:rFonts w:ascii="Times New Roman" w:hAnsi="Times New Roman" w:cs="Times New Roman"/>
          <w:sz w:val="24"/>
          <w:szCs w:val="24"/>
        </w:rPr>
        <w:t xml:space="preserve"> </w:t>
      </w:r>
      <w:r w:rsidR="00B9482A">
        <w:rPr>
          <w:rFonts w:ascii="Times New Roman" w:hAnsi="Times New Roman" w:cs="Times New Roman"/>
          <w:sz w:val="24"/>
          <w:szCs w:val="24"/>
        </w:rPr>
        <w:t>presence of two or more chronic illnesses</w:t>
      </w:r>
      <w:r w:rsidR="003A0CE7">
        <w:rPr>
          <w:rFonts w:ascii="Times New Roman" w:hAnsi="Times New Roman" w:cs="Times New Roman"/>
          <w:sz w:val="24"/>
          <w:szCs w:val="24"/>
        </w:rPr>
        <w:t>; quality of life;</w:t>
      </w:r>
      <w:r w:rsidR="00D345C9">
        <w:rPr>
          <w:rFonts w:ascii="Times New Roman" w:hAnsi="Times New Roman" w:cs="Times New Roman"/>
          <w:sz w:val="24"/>
          <w:szCs w:val="24"/>
        </w:rPr>
        <w:t xml:space="preserve"> and recidivism. </w:t>
      </w:r>
      <w:r w:rsidR="0010689C">
        <w:rPr>
          <w:rFonts w:ascii="Times New Roman" w:hAnsi="Times New Roman" w:cs="Times New Roman"/>
          <w:sz w:val="24"/>
          <w:szCs w:val="24"/>
        </w:rPr>
        <w:t xml:space="preserve"> </w:t>
      </w:r>
      <w:r w:rsidR="00025D7B">
        <w:rPr>
          <w:rFonts w:ascii="Times New Roman" w:hAnsi="Times New Roman" w:cs="Times New Roman"/>
          <w:sz w:val="24"/>
          <w:szCs w:val="24"/>
        </w:rPr>
        <w:t>P</w:t>
      </w:r>
      <w:r w:rsidRPr="00590E5C" w:rsidR="00025D7B">
        <w:rPr>
          <w:rFonts w:ascii="Times New Roman" w:hAnsi="Times New Roman" w:cs="Times New Roman"/>
          <w:sz w:val="24"/>
          <w:szCs w:val="24"/>
        </w:rPr>
        <w:t>articipants</w:t>
      </w:r>
      <w:r w:rsidR="008E7D8D">
        <w:rPr>
          <w:rFonts w:ascii="Times New Roman" w:hAnsi="Times New Roman" w:cs="Times New Roman"/>
          <w:sz w:val="24"/>
          <w:szCs w:val="24"/>
        </w:rPr>
        <w:t xml:space="preserve"> </w:t>
      </w:r>
      <w:r w:rsidRPr="00590E5C" w:rsidR="00AE56CF">
        <w:rPr>
          <w:rFonts w:ascii="Times New Roman" w:hAnsi="Times New Roman" w:cs="Times New Roman"/>
          <w:sz w:val="24"/>
          <w:szCs w:val="24"/>
        </w:rPr>
        <w:t>receive $</w:t>
      </w:r>
      <w:r w:rsidR="00D345C9">
        <w:rPr>
          <w:rFonts w:ascii="Times New Roman" w:hAnsi="Times New Roman" w:cs="Times New Roman"/>
          <w:sz w:val="24"/>
          <w:szCs w:val="24"/>
        </w:rPr>
        <w:t>25</w:t>
      </w:r>
      <w:r w:rsidRPr="00590E5C" w:rsidR="00AE56CF">
        <w:rPr>
          <w:rFonts w:ascii="Times New Roman" w:hAnsi="Times New Roman" w:cs="Times New Roman"/>
          <w:sz w:val="24"/>
          <w:szCs w:val="24"/>
        </w:rPr>
        <w:t xml:space="preserve"> for completing each quarterly interview</w:t>
      </w:r>
      <w:r w:rsidR="00D345C9">
        <w:rPr>
          <w:rFonts w:ascii="Times New Roman" w:hAnsi="Times New Roman" w:cs="Times New Roman"/>
          <w:sz w:val="24"/>
          <w:szCs w:val="24"/>
        </w:rPr>
        <w:t xml:space="preserve"> (at Quarters 1, 2, 3, 5, 6, 7, 9, 10, and 11)</w:t>
      </w:r>
      <w:r w:rsidRPr="00590E5C" w:rsidR="00AE56CF">
        <w:rPr>
          <w:rFonts w:ascii="Times New Roman" w:hAnsi="Times New Roman" w:cs="Times New Roman"/>
          <w:sz w:val="24"/>
          <w:szCs w:val="24"/>
        </w:rPr>
        <w:t xml:space="preserve">, which </w:t>
      </w:r>
      <w:r w:rsidR="007138CA">
        <w:rPr>
          <w:rFonts w:ascii="Times New Roman" w:hAnsi="Times New Roman" w:cs="Times New Roman"/>
          <w:sz w:val="24"/>
          <w:szCs w:val="24"/>
        </w:rPr>
        <w:t>took</w:t>
      </w:r>
      <w:r w:rsidRPr="00590E5C" w:rsidR="00AE56CF">
        <w:rPr>
          <w:rFonts w:ascii="Times New Roman" w:hAnsi="Times New Roman" w:cs="Times New Roman"/>
          <w:sz w:val="24"/>
          <w:szCs w:val="24"/>
        </w:rPr>
        <w:t xml:space="preserve"> approximately </w:t>
      </w:r>
      <w:r w:rsidR="00D345C9">
        <w:rPr>
          <w:rFonts w:ascii="Times New Roman" w:hAnsi="Times New Roman" w:cs="Times New Roman"/>
          <w:sz w:val="24"/>
          <w:szCs w:val="24"/>
        </w:rPr>
        <w:t xml:space="preserve">20 minutes, and $40 for each annual interview (at Quarters 4, 8, and 12), which </w:t>
      </w:r>
      <w:r w:rsidR="007138CA">
        <w:rPr>
          <w:rFonts w:ascii="Times New Roman" w:hAnsi="Times New Roman" w:cs="Times New Roman"/>
          <w:sz w:val="24"/>
          <w:szCs w:val="24"/>
        </w:rPr>
        <w:t>takes</w:t>
      </w:r>
      <w:r w:rsidR="00D345C9">
        <w:rPr>
          <w:rFonts w:ascii="Times New Roman" w:hAnsi="Times New Roman" w:cs="Times New Roman"/>
          <w:sz w:val="24"/>
          <w:szCs w:val="24"/>
        </w:rPr>
        <w:t xml:space="preserve"> an average of 30 minutes.</w:t>
      </w:r>
    </w:p>
    <w:p w:rsidR="006E0475" w:rsidP="008E7D8D" w:rsidRDefault="006E0475" w14:paraId="0FAA2567" w14:textId="463E5E89">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We will continue conducting quarterly follow-up interviews with all participants, even if they stop receiving treatment services before t</w:t>
      </w:r>
      <w:r w:rsidR="00685BC2">
        <w:rPr>
          <w:rFonts w:ascii="Times New Roman" w:hAnsi="Times New Roman" w:cs="Times New Roman"/>
          <w:sz w:val="24"/>
          <w:szCs w:val="24"/>
        </w:rPr>
        <w:t>h</w:t>
      </w:r>
      <w:r w:rsidR="00A81007">
        <w:rPr>
          <w:rFonts w:ascii="Times New Roman" w:hAnsi="Times New Roman" w:cs="Times New Roman"/>
          <w:sz w:val="24"/>
          <w:szCs w:val="24"/>
        </w:rPr>
        <w:t xml:space="preserve">e end of the treatment period.  </w:t>
      </w:r>
      <w:r w:rsidRPr="00590E5C">
        <w:rPr>
          <w:rFonts w:ascii="Times New Roman" w:hAnsi="Times New Roman" w:cs="Times New Roman"/>
          <w:sz w:val="24"/>
          <w:szCs w:val="24"/>
        </w:rPr>
        <w:t xml:space="preserve">Only in cases where participants formally end their relationship with the study and explicitly request no further contact will we no longer pursue quarterly follow-up interviews. </w:t>
      </w:r>
      <w:r w:rsidR="0010689C">
        <w:rPr>
          <w:rFonts w:ascii="Times New Roman" w:hAnsi="Times New Roman" w:cs="Times New Roman"/>
          <w:sz w:val="24"/>
          <w:szCs w:val="24"/>
        </w:rPr>
        <w:t xml:space="preserve"> </w:t>
      </w:r>
      <w:r w:rsidR="008E7D8D">
        <w:rPr>
          <w:rFonts w:ascii="Times New Roman" w:hAnsi="Times New Roman" w:cs="Times New Roman"/>
          <w:sz w:val="24"/>
          <w:szCs w:val="24"/>
        </w:rPr>
        <w:t>We employ</w:t>
      </w:r>
      <w:r w:rsidRPr="00590E5C">
        <w:rPr>
          <w:rFonts w:ascii="Times New Roman" w:hAnsi="Times New Roman" w:cs="Times New Roman"/>
          <w:sz w:val="24"/>
          <w:szCs w:val="24"/>
        </w:rPr>
        <w:t xml:space="preserve"> several strategies to minimize attrition and loss to follow-up for the quarterly interviews:</w:t>
      </w:r>
      <w:r w:rsidR="0089580F">
        <w:rPr>
          <w:rFonts w:ascii="Times New Roman" w:hAnsi="Times New Roman" w:cs="Times New Roman"/>
          <w:sz w:val="24"/>
          <w:szCs w:val="24"/>
        </w:rPr>
        <w:t xml:space="preserve">  </w:t>
      </w:r>
      <w:r w:rsidRPr="00590E5C">
        <w:rPr>
          <w:rFonts w:ascii="Times New Roman" w:hAnsi="Times New Roman" w:cs="Times New Roman"/>
          <w:sz w:val="24"/>
          <w:szCs w:val="24"/>
        </w:rPr>
        <w:t>First, in the baseline and quarterly interviews, the interviewer</w:t>
      </w:r>
      <w:r w:rsidR="008E7D8D">
        <w:rPr>
          <w:rFonts w:ascii="Times New Roman" w:hAnsi="Times New Roman" w:cs="Times New Roman"/>
          <w:sz w:val="24"/>
          <w:szCs w:val="24"/>
        </w:rPr>
        <w:t xml:space="preserve"> confirms and updates (as appropriate) the </w:t>
      </w:r>
      <w:r w:rsidR="00277CB9">
        <w:rPr>
          <w:rFonts w:ascii="Times New Roman" w:hAnsi="Times New Roman" w:cs="Times New Roman"/>
          <w:sz w:val="24"/>
          <w:szCs w:val="24"/>
        </w:rPr>
        <w:t>participant’s</w:t>
      </w:r>
      <w:r w:rsidR="008E7D8D">
        <w:rPr>
          <w:rFonts w:ascii="Times New Roman" w:hAnsi="Times New Roman" w:cs="Times New Roman"/>
          <w:sz w:val="24"/>
          <w:szCs w:val="24"/>
        </w:rPr>
        <w:t xml:space="preserve"> contact information, and asks </w:t>
      </w:r>
      <w:r w:rsidRPr="00590E5C">
        <w:rPr>
          <w:rFonts w:ascii="Times New Roman" w:hAnsi="Times New Roman" w:cs="Times New Roman"/>
          <w:sz w:val="24"/>
          <w:szCs w:val="24"/>
        </w:rPr>
        <w:t>the participant i</w:t>
      </w:r>
      <w:r w:rsidR="008E7D8D">
        <w:rPr>
          <w:rFonts w:ascii="Times New Roman" w:hAnsi="Times New Roman" w:cs="Times New Roman"/>
          <w:sz w:val="24"/>
          <w:szCs w:val="24"/>
        </w:rPr>
        <w:t xml:space="preserve">f they </w:t>
      </w:r>
      <w:r w:rsidR="008E7D8D">
        <w:rPr>
          <w:rFonts w:ascii="Times New Roman" w:hAnsi="Times New Roman" w:cs="Times New Roman"/>
          <w:sz w:val="24"/>
          <w:szCs w:val="24"/>
        </w:rPr>
        <w:lastRenderedPageBreak/>
        <w:t xml:space="preserve">plan to move.  Secondly, we flag participates who initially refuse to continue their </w:t>
      </w:r>
      <w:r w:rsidR="00277CB9">
        <w:rPr>
          <w:rFonts w:ascii="Times New Roman" w:hAnsi="Times New Roman" w:cs="Times New Roman"/>
          <w:sz w:val="24"/>
          <w:szCs w:val="24"/>
        </w:rPr>
        <w:t>par</w:t>
      </w:r>
      <w:r w:rsidRPr="00590E5C" w:rsidR="00277CB9">
        <w:rPr>
          <w:rFonts w:ascii="Times New Roman" w:hAnsi="Times New Roman" w:cs="Times New Roman"/>
          <w:sz w:val="24"/>
          <w:szCs w:val="24"/>
        </w:rPr>
        <w:t>ticipation</w:t>
      </w:r>
      <w:r w:rsidRPr="00590E5C">
        <w:rPr>
          <w:rFonts w:ascii="Times New Roman" w:hAnsi="Times New Roman" w:cs="Times New Roman"/>
          <w:sz w:val="24"/>
          <w:szCs w:val="24"/>
        </w:rPr>
        <w:t xml:space="preserve"> in a quarterly interview for further follow-up by a CATI interviewer experienced in refusal conversion.</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 xml:space="preserve"> Third, for participants </w:t>
      </w:r>
      <w:r w:rsidR="00BC322B">
        <w:rPr>
          <w:rFonts w:ascii="Times New Roman" w:hAnsi="Times New Roman" w:cs="Times New Roman"/>
          <w:sz w:val="24"/>
          <w:szCs w:val="24"/>
        </w:rPr>
        <w:t xml:space="preserve">we </w:t>
      </w:r>
      <w:r w:rsidRPr="00590E5C">
        <w:rPr>
          <w:rFonts w:ascii="Times New Roman" w:hAnsi="Times New Roman" w:cs="Times New Roman"/>
          <w:sz w:val="24"/>
          <w:szCs w:val="24"/>
        </w:rPr>
        <w:t>cannot</w:t>
      </w:r>
      <w:r w:rsidR="00BC322B">
        <w:rPr>
          <w:rFonts w:ascii="Times New Roman" w:hAnsi="Times New Roman" w:cs="Times New Roman"/>
          <w:sz w:val="24"/>
          <w:szCs w:val="24"/>
        </w:rPr>
        <w:t xml:space="preserve"> locate</w:t>
      </w:r>
      <w:r w:rsidRPr="00590E5C">
        <w:rPr>
          <w:rFonts w:ascii="Times New Roman" w:hAnsi="Times New Roman" w:cs="Times New Roman"/>
          <w:sz w:val="24"/>
          <w:szCs w:val="24"/>
        </w:rPr>
        <w:t>, TRC interviewers experienced in tracing will use contact</w:t>
      </w:r>
      <w:r w:rsidR="00BC322B">
        <w:rPr>
          <w:rFonts w:ascii="Times New Roman" w:hAnsi="Times New Roman" w:cs="Times New Roman"/>
          <w:sz w:val="24"/>
          <w:szCs w:val="24"/>
        </w:rPr>
        <w:t xml:space="preserve"> the</w:t>
      </w:r>
      <w:r w:rsidRPr="00590E5C">
        <w:rPr>
          <w:rFonts w:ascii="Times New Roman" w:hAnsi="Times New Roman" w:cs="Times New Roman"/>
          <w:sz w:val="24"/>
          <w:szCs w:val="24"/>
        </w:rPr>
        <w:t xml:space="preserve"> information the participant provided in the baseline interview to obta</w:t>
      </w:r>
      <w:r w:rsidR="00BC322B">
        <w:rPr>
          <w:rFonts w:ascii="Times New Roman" w:hAnsi="Times New Roman" w:cs="Times New Roman"/>
          <w:sz w:val="24"/>
          <w:szCs w:val="24"/>
        </w:rPr>
        <w:t>in updated contact information.  If</w:t>
      </w:r>
      <w:r w:rsidRPr="00590E5C">
        <w:rPr>
          <w:rFonts w:ascii="Times New Roman" w:hAnsi="Times New Roman" w:cs="Times New Roman"/>
          <w:sz w:val="24"/>
          <w:szCs w:val="24"/>
        </w:rPr>
        <w:t xml:space="preserve"> these efforts prove unsuccessful, we may engage local Westat field staff to conduct in-person tracing efforts, starting with visiting the participant’s last known address. </w:t>
      </w:r>
    </w:p>
    <w:p w:rsidR="00015444" w:rsidP="00C10E93" w:rsidRDefault="00015444" w14:paraId="58172234" w14:textId="77777777">
      <w:pPr>
        <w:pStyle w:val="SL-FlLftSgl"/>
        <w:tabs>
          <w:tab w:val="left" w:pos="900"/>
          <w:tab w:val="left" w:pos="1080"/>
          <w:tab w:val="left" w:pos="1170"/>
        </w:tabs>
        <w:spacing w:line="276" w:lineRule="auto"/>
        <w:rPr>
          <w:rFonts w:ascii="Times New Roman" w:hAnsi="Times New Roman"/>
          <w:i/>
          <w:szCs w:val="24"/>
        </w:rPr>
      </w:pPr>
    </w:p>
    <w:p w:rsidRPr="00590E5C" w:rsidR="006E0475" w:rsidP="00C10E93" w:rsidRDefault="006E0475" w14:paraId="2797BBA4" w14:textId="003CABA8">
      <w:pPr>
        <w:pStyle w:val="SL-FlLftSgl"/>
        <w:tabs>
          <w:tab w:val="left" w:pos="900"/>
          <w:tab w:val="left" w:pos="1080"/>
          <w:tab w:val="left" w:pos="1170"/>
        </w:tabs>
        <w:spacing w:line="276" w:lineRule="auto"/>
        <w:rPr>
          <w:rFonts w:ascii="Times New Roman" w:hAnsi="Times New Roman"/>
          <w:b/>
          <w:i/>
          <w:szCs w:val="24"/>
        </w:rPr>
      </w:pPr>
      <w:r w:rsidRPr="00590E5C">
        <w:rPr>
          <w:rFonts w:ascii="Times New Roman" w:hAnsi="Times New Roman"/>
          <w:i/>
          <w:szCs w:val="24"/>
        </w:rPr>
        <w:tab/>
      </w:r>
      <w:r w:rsidR="00C10E93">
        <w:rPr>
          <w:rFonts w:ascii="Times New Roman" w:hAnsi="Times New Roman"/>
          <w:i/>
          <w:szCs w:val="24"/>
        </w:rPr>
        <w:tab/>
      </w:r>
      <w:r w:rsidRPr="00590E5C">
        <w:rPr>
          <w:rFonts w:ascii="Times New Roman" w:hAnsi="Times New Roman"/>
          <w:b/>
          <w:i/>
          <w:szCs w:val="24"/>
        </w:rPr>
        <w:t>SSA Administrative Data</w:t>
      </w:r>
    </w:p>
    <w:p w:rsidRPr="00590E5C" w:rsidR="006E0475" w:rsidP="00C10E93" w:rsidRDefault="007138CA" w14:paraId="03063CA7" w14:textId="3ECE87C5">
      <w:pPr>
        <w:ind w:left="1080"/>
        <w:rPr>
          <w:rFonts w:ascii="Times New Roman" w:hAnsi="Times New Roman" w:cs="Times New Roman"/>
          <w:sz w:val="24"/>
          <w:szCs w:val="24"/>
        </w:rPr>
      </w:pPr>
      <w:r>
        <w:rPr>
          <w:rFonts w:ascii="Times New Roman" w:hAnsi="Times New Roman" w:cs="Times New Roman"/>
          <w:sz w:val="24"/>
          <w:szCs w:val="24"/>
        </w:rPr>
        <w:t xml:space="preserve">SSA </w:t>
      </w:r>
      <w:r w:rsidRPr="00590E5C" w:rsidR="006E0475">
        <w:rPr>
          <w:rFonts w:ascii="Times New Roman" w:hAnsi="Times New Roman" w:cs="Times New Roman"/>
          <w:sz w:val="24"/>
          <w:szCs w:val="24"/>
        </w:rPr>
        <w:t>provide</w:t>
      </w:r>
      <w:r>
        <w:rPr>
          <w:rFonts w:ascii="Times New Roman" w:hAnsi="Times New Roman" w:cs="Times New Roman"/>
          <w:sz w:val="24"/>
          <w:szCs w:val="24"/>
        </w:rPr>
        <w:t>d</w:t>
      </w:r>
      <w:r w:rsidRPr="00590E5C" w:rsidR="006E0475">
        <w:rPr>
          <w:rFonts w:ascii="Times New Roman" w:hAnsi="Times New Roman" w:cs="Times New Roman"/>
          <w:sz w:val="24"/>
          <w:szCs w:val="24"/>
        </w:rPr>
        <w:t xml:space="preserve"> Westat access to administrative data on the full participant sample (N=3,000), even for those participants who exit the study or do not complete the follow-up interviews.</w:t>
      </w:r>
      <w:r w:rsidR="00015444">
        <w:rPr>
          <w:rFonts w:ascii="Times New Roman" w:hAnsi="Times New Roman" w:cs="Times New Roman"/>
          <w:sz w:val="24"/>
          <w:szCs w:val="24"/>
        </w:rPr>
        <w:t xml:space="preserve"> </w:t>
      </w:r>
      <w:r>
        <w:rPr>
          <w:rFonts w:ascii="Times New Roman" w:hAnsi="Times New Roman" w:cs="Times New Roman"/>
          <w:sz w:val="24"/>
          <w:szCs w:val="24"/>
        </w:rPr>
        <w:t xml:space="preserve"> These data </w:t>
      </w:r>
      <w:r w:rsidRPr="00590E5C" w:rsidR="006E0475">
        <w:rPr>
          <w:rFonts w:ascii="Times New Roman" w:hAnsi="Times New Roman" w:cs="Times New Roman"/>
          <w:sz w:val="24"/>
          <w:szCs w:val="24"/>
        </w:rPr>
        <w:t>include</w:t>
      </w:r>
      <w:r>
        <w:rPr>
          <w:rFonts w:ascii="Times New Roman" w:hAnsi="Times New Roman" w:cs="Times New Roman"/>
          <w:sz w:val="24"/>
          <w:szCs w:val="24"/>
        </w:rPr>
        <w:t>s</w:t>
      </w:r>
      <w:r w:rsidRPr="00590E5C" w:rsidR="006E0475">
        <w:rPr>
          <w:rFonts w:ascii="Times New Roman" w:hAnsi="Times New Roman" w:cs="Times New Roman"/>
          <w:sz w:val="24"/>
          <w:szCs w:val="24"/>
        </w:rPr>
        <w:t xml:space="preserve"> items such as: </w:t>
      </w:r>
      <w:r w:rsidR="00A81007">
        <w:rPr>
          <w:rFonts w:ascii="Times New Roman" w:hAnsi="Times New Roman" w:cs="Times New Roman"/>
          <w:sz w:val="24"/>
          <w:szCs w:val="24"/>
        </w:rPr>
        <w:t xml:space="preserve"> </w:t>
      </w:r>
      <w:r w:rsidRPr="00590E5C" w:rsidR="006E0475">
        <w:rPr>
          <w:rFonts w:ascii="Times New Roman" w:hAnsi="Times New Roman" w:cs="Times New Roman"/>
          <w:sz w:val="24"/>
          <w:szCs w:val="24"/>
        </w:rPr>
        <w:t>application for disability benefits</w:t>
      </w:r>
      <w:r w:rsidR="0010689C">
        <w:rPr>
          <w:rFonts w:ascii="Times New Roman" w:hAnsi="Times New Roman" w:cs="Times New Roman"/>
          <w:sz w:val="24"/>
          <w:szCs w:val="24"/>
        </w:rPr>
        <w:t>; disability decisions; award amounts</w:t>
      </w:r>
      <w:r w:rsidR="00025D7B">
        <w:rPr>
          <w:rFonts w:ascii="Times New Roman" w:hAnsi="Times New Roman" w:cs="Times New Roman"/>
          <w:sz w:val="24"/>
          <w:szCs w:val="24"/>
        </w:rPr>
        <w:t>;</w:t>
      </w:r>
      <w:r w:rsidR="0010689C">
        <w:rPr>
          <w:rFonts w:ascii="Times New Roman" w:hAnsi="Times New Roman" w:cs="Times New Roman"/>
          <w:sz w:val="24"/>
          <w:szCs w:val="24"/>
        </w:rPr>
        <w:t xml:space="preserve"> </w:t>
      </w:r>
      <w:r w:rsidRPr="00590E5C" w:rsidR="006E0475">
        <w:rPr>
          <w:rFonts w:ascii="Times New Roman" w:hAnsi="Times New Roman" w:cs="Times New Roman"/>
          <w:sz w:val="24"/>
          <w:szCs w:val="24"/>
        </w:rPr>
        <w:t xml:space="preserve">and earnings. </w:t>
      </w:r>
      <w:r w:rsidR="0010689C">
        <w:rPr>
          <w:rFonts w:ascii="Times New Roman" w:hAnsi="Times New Roman" w:cs="Times New Roman"/>
          <w:sz w:val="24"/>
          <w:szCs w:val="24"/>
        </w:rPr>
        <w:t xml:space="preserve"> </w:t>
      </w:r>
      <w:r>
        <w:rPr>
          <w:rFonts w:ascii="Times New Roman" w:hAnsi="Times New Roman" w:cs="Times New Roman"/>
          <w:sz w:val="24"/>
          <w:szCs w:val="24"/>
        </w:rPr>
        <w:t xml:space="preserve">Westat </w:t>
      </w:r>
      <w:r w:rsidRPr="00590E5C" w:rsidR="006E0475">
        <w:rPr>
          <w:rFonts w:ascii="Times New Roman" w:hAnsi="Times New Roman" w:cs="Times New Roman"/>
          <w:sz w:val="24"/>
          <w:szCs w:val="24"/>
        </w:rPr>
        <w:t>use</w:t>
      </w:r>
      <w:r>
        <w:rPr>
          <w:rFonts w:ascii="Times New Roman" w:hAnsi="Times New Roman" w:cs="Times New Roman"/>
          <w:sz w:val="24"/>
          <w:szCs w:val="24"/>
        </w:rPr>
        <w:t>s</w:t>
      </w:r>
      <w:r w:rsidRPr="00590E5C" w:rsidR="006E0475">
        <w:rPr>
          <w:rFonts w:ascii="Times New Roman" w:hAnsi="Times New Roman" w:cs="Times New Roman"/>
          <w:sz w:val="24"/>
          <w:szCs w:val="24"/>
        </w:rPr>
        <w:t xml:space="preserve"> the administrative data </w:t>
      </w:r>
      <w:r w:rsidR="00015444">
        <w:rPr>
          <w:rFonts w:ascii="Times New Roman" w:hAnsi="Times New Roman" w:cs="Times New Roman"/>
          <w:sz w:val="24"/>
          <w:szCs w:val="24"/>
        </w:rPr>
        <w:t xml:space="preserve">SSA provides </w:t>
      </w:r>
      <w:r w:rsidRPr="00590E5C" w:rsidR="006E0475">
        <w:rPr>
          <w:rFonts w:ascii="Times New Roman" w:hAnsi="Times New Roman" w:cs="Times New Roman"/>
          <w:sz w:val="24"/>
          <w:szCs w:val="24"/>
        </w:rPr>
        <w:t>to measure benefit-related outcomes.</w:t>
      </w:r>
    </w:p>
    <w:p w:rsidRPr="00590E5C" w:rsidR="006E0475" w:rsidP="00C10E93" w:rsidRDefault="006E0475" w14:paraId="4E43BA3F" w14:textId="77777777">
      <w:pPr>
        <w:pStyle w:val="SL-FlLftSgl"/>
        <w:tabs>
          <w:tab w:val="left" w:pos="1080"/>
        </w:tabs>
        <w:spacing w:line="276" w:lineRule="auto"/>
        <w:rPr>
          <w:rFonts w:ascii="Times New Roman" w:hAnsi="Times New Roman"/>
          <w:b/>
          <w:i/>
          <w:szCs w:val="24"/>
        </w:rPr>
      </w:pPr>
      <w:r w:rsidRPr="00590E5C">
        <w:rPr>
          <w:rFonts w:ascii="Times New Roman" w:hAnsi="Times New Roman"/>
          <w:i/>
          <w:szCs w:val="24"/>
        </w:rPr>
        <w:tab/>
      </w:r>
      <w:r w:rsidRPr="00590E5C">
        <w:rPr>
          <w:rFonts w:ascii="Times New Roman" w:hAnsi="Times New Roman"/>
          <w:b/>
          <w:i/>
          <w:szCs w:val="24"/>
        </w:rPr>
        <w:t>Site-Level Program Data</w:t>
      </w:r>
    </w:p>
    <w:p w:rsidR="006E0475" w:rsidP="00C10E93" w:rsidRDefault="007138CA" w14:paraId="174CE2B9" w14:textId="55A87790">
      <w:pPr>
        <w:ind w:left="1080"/>
        <w:rPr>
          <w:rFonts w:ascii="Times New Roman" w:hAnsi="Times New Roman" w:cs="Times New Roman"/>
          <w:sz w:val="24"/>
          <w:szCs w:val="24"/>
        </w:rPr>
      </w:pPr>
      <w:r>
        <w:rPr>
          <w:rFonts w:ascii="Times New Roman" w:hAnsi="Times New Roman" w:cs="Times New Roman"/>
          <w:sz w:val="24"/>
          <w:szCs w:val="24"/>
        </w:rPr>
        <w:lastRenderedPageBreak/>
        <w:t xml:space="preserve">We </w:t>
      </w:r>
      <w:r w:rsidRPr="00590E5C" w:rsidR="006E0475">
        <w:rPr>
          <w:rFonts w:ascii="Times New Roman" w:hAnsi="Times New Roman" w:cs="Times New Roman"/>
          <w:sz w:val="24"/>
          <w:szCs w:val="24"/>
        </w:rPr>
        <w:t>collect program data at the site level via the MIS and site visits.</w:t>
      </w:r>
      <w:r w:rsidR="00290B57">
        <w:rPr>
          <w:rFonts w:ascii="Times New Roman" w:hAnsi="Times New Roman" w:cs="Times New Roman"/>
          <w:sz w:val="24"/>
          <w:szCs w:val="24"/>
        </w:rPr>
        <w:t xml:space="preserve"> </w:t>
      </w:r>
      <w:r w:rsidRPr="00590E5C" w:rsidR="006E0475">
        <w:rPr>
          <w:rFonts w:ascii="Times New Roman" w:hAnsi="Times New Roman" w:cs="Times New Roman"/>
          <w:sz w:val="24"/>
          <w:szCs w:val="24"/>
        </w:rPr>
        <w:t xml:space="preserve"> These data will include items related to the provision of services to participants.</w:t>
      </w:r>
      <w:r w:rsidR="00290B57">
        <w:rPr>
          <w:rFonts w:ascii="Times New Roman" w:hAnsi="Times New Roman" w:cs="Times New Roman"/>
          <w:sz w:val="24"/>
          <w:szCs w:val="24"/>
        </w:rPr>
        <w:t xml:space="preserve"> </w:t>
      </w:r>
      <w:r>
        <w:rPr>
          <w:rFonts w:ascii="Times New Roman" w:hAnsi="Times New Roman" w:cs="Times New Roman"/>
          <w:sz w:val="24"/>
          <w:szCs w:val="24"/>
        </w:rPr>
        <w:t xml:space="preserve"> Westat </w:t>
      </w:r>
      <w:r w:rsidRPr="00590E5C" w:rsidR="006E0475">
        <w:rPr>
          <w:rFonts w:ascii="Times New Roman" w:hAnsi="Times New Roman" w:cs="Times New Roman"/>
          <w:sz w:val="24"/>
          <w:szCs w:val="24"/>
        </w:rPr>
        <w:t>use</w:t>
      </w:r>
      <w:r>
        <w:rPr>
          <w:rFonts w:ascii="Times New Roman" w:hAnsi="Times New Roman" w:cs="Times New Roman"/>
          <w:sz w:val="24"/>
          <w:szCs w:val="24"/>
        </w:rPr>
        <w:t>s</w:t>
      </w:r>
      <w:r w:rsidRPr="00590E5C" w:rsidR="006E0475">
        <w:rPr>
          <w:rFonts w:ascii="Times New Roman" w:hAnsi="Times New Roman" w:cs="Times New Roman"/>
          <w:sz w:val="24"/>
          <w:szCs w:val="24"/>
        </w:rPr>
        <w:t xml:space="preserve"> this information largely in the participation analyses and process evaluation. </w:t>
      </w:r>
    </w:p>
    <w:p w:rsidRPr="00590E5C" w:rsidR="006E0475" w:rsidP="00C10E93" w:rsidRDefault="006E0475" w14:paraId="26EA442B" w14:textId="1222BF5B">
      <w:pPr>
        <w:pStyle w:val="SL-FlLftSgl"/>
        <w:tabs>
          <w:tab w:val="left" w:pos="900"/>
        </w:tabs>
        <w:spacing w:line="276" w:lineRule="auto"/>
        <w:ind w:left="1080"/>
        <w:rPr>
          <w:rFonts w:ascii="Times New Roman" w:hAnsi="Times New Roman"/>
          <w:b/>
          <w:i/>
          <w:szCs w:val="24"/>
        </w:rPr>
      </w:pPr>
      <w:r w:rsidRPr="00590E5C">
        <w:rPr>
          <w:rFonts w:ascii="Times New Roman" w:hAnsi="Times New Roman"/>
          <w:b/>
          <w:i/>
          <w:szCs w:val="24"/>
        </w:rPr>
        <w:t>Site Visits</w:t>
      </w:r>
    </w:p>
    <w:p w:rsidRPr="00590E5C" w:rsidR="006E0475" w:rsidP="00C10E93" w:rsidRDefault="006E0475" w14:paraId="0445EB88" w14:textId="3B98DC91">
      <w:pPr>
        <w:ind w:left="1080"/>
        <w:rPr>
          <w:rFonts w:ascii="Times New Roman" w:hAnsi="Times New Roman" w:cs="Times New Roman"/>
          <w:sz w:val="24"/>
          <w:szCs w:val="24"/>
        </w:rPr>
      </w:pPr>
      <w:r w:rsidRPr="00590E5C">
        <w:rPr>
          <w:rFonts w:ascii="Times New Roman" w:hAnsi="Times New Roman" w:cs="Times New Roman"/>
          <w:sz w:val="24"/>
          <w:szCs w:val="24"/>
        </w:rPr>
        <w:t xml:space="preserve">Evaluation of the </w:t>
      </w:r>
      <w:r w:rsidR="005F2C54">
        <w:rPr>
          <w:rFonts w:ascii="Times New Roman" w:hAnsi="Times New Roman" w:cs="Times New Roman"/>
          <w:sz w:val="24"/>
          <w:szCs w:val="24"/>
        </w:rPr>
        <w:t>S</w:t>
      </w:r>
      <w:r w:rsidR="00290B57">
        <w:rPr>
          <w:rFonts w:ascii="Times New Roman" w:hAnsi="Times New Roman" w:cs="Times New Roman"/>
          <w:sz w:val="24"/>
          <w:szCs w:val="24"/>
        </w:rPr>
        <w:t>ED</w:t>
      </w:r>
      <w:r w:rsidR="005F2C54">
        <w:rPr>
          <w:rFonts w:ascii="Times New Roman" w:hAnsi="Times New Roman" w:cs="Times New Roman"/>
          <w:sz w:val="24"/>
          <w:szCs w:val="24"/>
        </w:rPr>
        <w:t xml:space="preserve"> </w:t>
      </w:r>
      <w:r w:rsidR="00D6188E">
        <w:rPr>
          <w:rFonts w:ascii="Times New Roman" w:hAnsi="Times New Roman" w:cs="Times New Roman"/>
          <w:sz w:val="24"/>
          <w:szCs w:val="24"/>
        </w:rPr>
        <w:t xml:space="preserve">includes </w:t>
      </w:r>
      <w:r w:rsidRPr="00590E5C">
        <w:rPr>
          <w:rFonts w:ascii="Times New Roman" w:hAnsi="Times New Roman" w:cs="Times New Roman"/>
          <w:sz w:val="24"/>
          <w:szCs w:val="24"/>
        </w:rPr>
        <w:t xml:space="preserve">annual site visits to each of the 30 study sites, for </w:t>
      </w:r>
      <w:r w:rsidRPr="00590E5C" w:rsidR="00A81007">
        <w:rPr>
          <w:rFonts w:ascii="Times New Roman" w:hAnsi="Times New Roman" w:cs="Times New Roman"/>
          <w:sz w:val="24"/>
          <w:szCs w:val="24"/>
        </w:rPr>
        <w:t>120</w:t>
      </w:r>
      <w:r w:rsidRPr="00590E5C">
        <w:rPr>
          <w:rFonts w:ascii="Times New Roman" w:hAnsi="Times New Roman" w:cs="Times New Roman"/>
          <w:sz w:val="24"/>
          <w:szCs w:val="24"/>
        </w:rPr>
        <w:t xml:space="preserve">, 5-day long site visits, involving the following activities: </w:t>
      </w:r>
      <w:r w:rsidR="00A81007">
        <w:rPr>
          <w:rFonts w:ascii="Times New Roman" w:hAnsi="Times New Roman" w:cs="Times New Roman"/>
          <w:sz w:val="24"/>
          <w:szCs w:val="24"/>
        </w:rPr>
        <w:t xml:space="preserve"> </w:t>
      </w:r>
      <w:r w:rsidRPr="00590E5C">
        <w:rPr>
          <w:rFonts w:ascii="Times New Roman" w:hAnsi="Times New Roman" w:cs="Times New Roman"/>
          <w:sz w:val="24"/>
          <w:szCs w:val="24"/>
        </w:rPr>
        <w:t>pre-visit environmental scan; independent fidelity assessments of</w:t>
      </w:r>
      <w:r w:rsidR="00273AA7">
        <w:rPr>
          <w:rFonts w:ascii="Times New Roman" w:hAnsi="Times New Roman" w:cs="Times New Roman"/>
          <w:sz w:val="24"/>
          <w:szCs w:val="24"/>
        </w:rPr>
        <w:t xml:space="preserve"> </w:t>
      </w:r>
      <w:r w:rsidR="00A81007">
        <w:rPr>
          <w:rFonts w:ascii="Times New Roman" w:hAnsi="Times New Roman" w:cs="Times New Roman"/>
          <w:sz w:val="24"/>
          <w:szCs w:val="24"/>
        </w:rPr>
        <w:t>IPS-</w:t>
      </w:r>
      <w:r w:rsidRPr="00590E5C">
        <w:rPr>
          <w:rFonts w:ascii="Times New Roman" w:hAnsi="Times New Roman" w:cs="Times New Roman"/>
          <w:sz w:val="24"/>
          <w:szCs w:val="24"/>
        </w:rPr>
        <w:t xml:space="preserve">supported employment services and other treatment components; key informant interviews; focus groups with treatment participants; and person-centered interviews for the ethnographic data collection. </w:t>
      </w:r>
      <w:r w:rsidR="00290B57">
        <w:rPr>
          <w:rFonts w:ascii="Times New Roman" w:hAnsi="Times New Roman" w:cs="Times New Roman"/>
          <w:sz w:val="24"/>
          <w:szCs w:val="24"/>
        </w:rPr>
        <w:t xml:space="preserve"> </w:t>
      </w:r>
      <w:r w:rsidRPr="00590E5C">
        <w:rPr>
          <w:rFonts w:ascii="Times New Roman" w:hAnsi="Times New Roman" w:cs="Times New Roman"/>
          <w:sz w:val="24"/>
          <w:szCs w:val="24"/>
        </w:rPr>
        <w:t xml:space="preserve">Table 1 displays the data collection </w:t>
      </w:r>
      <w:r w:rsidRPr="00590E5C" w:rsidR="00273AA7">
        <w:rPr>
          <w:rFonts w:ascii="Times New Roman" w:hAnsi="Times New Roman" w:cs="Times New Roman"/>
          <w:sz w:val="24"/>
          <w:szCs w:val="24"/>
        </w:rPr>
        <w:t>activities;</w:t>
      </w:r>
      <w:r w:rsidRPr="00590E5C" w:rsidR="00290B57">
        <w:rPr>
          <w:rFonts w:ascii="Times New Roman" w:hAnsi="Times New Roman" w:cs="Times New Roman"/>
          <w:sz w:val="24"/>
          <w:szCs w:val="24"/>
        </w:rPr>
        <w:t xml:space="preserve"> </w:t>
      </w:r>
      <w:r w:rsidR="00D6188E">
        <w:rPr>
          <w:rFonts w:ascii="Times New Roman" w:hAnsi="Times New Roman" w:cs="Times New Roman"/>
          <w:sz w:val="24"/>
          <w:szCs w:val="24"/>
        </w:rPr>
        <w:t xml:space="preserve">we </w:t>
      </w:r>
      <w:r w:rsidR="00290B57">
        <w:rPr>
          <w:rFonts w:ascii="Times New Roman" w:hAnsi="Times New Roman" w:cs="Times New Roman"/>
          <w:sz w:val="24"/>
          <w:szCs w:val="24"/>
        </w:rPr>
        <w:t>carry</w:t>
      </w:r>
      <w:r w:rsidRPr="00590E5C">
        <w:rPr>
          <w:rFonts w:ascii="Times New Roman" w:hAnsi="Times New Roman" w:cs="Times New Roman"/>
          <w:sz w:val="24"/>
          <w:szCs w:val="24"/>
        </w:rPr>
        <w:t xml:space="preserve"> out during the site visits</w:t>
      </w:r>
      <w:r w:rsidR="002F3DCA">
        <w:rPr>
          <w:rFonts w:ascii="Times New Roman" w:hAnsi="Times New Roman" w:cs="Times New Roman"/>
          <w:sz w:val="24"/>
          <w:szCs w:val="24"/>
        </w:rPr>
        <w:t>,</w:t>
      </w:r>
      <w:r w:rsidRPr="00590E5C">
        <w:rPr>
          <w:rFonts w:ascii="Times New Roman" w:hAnsi="Times New Roman" w:cs="Times New Roman"/>
          <w:sz w:val="24"/>
          <w:szCs w:val="24"/>
        </w:rPr>
        <w:t xml:space="preserve"> and the total number of respondents for each activity.</w:t>
      </w:r>
    </w:p>
    <w:p w:rsidRPr="00590E5C" w:rsidR="006E0475" w:rsidP="00C10E93" w:rsidRDefault="006E0475" w14:paraId="3044379B" w14:textId="55A579C3">
      <w:pPr>
        <w:ind w:left="360" w:firstLine="720"/>
        <w:rPr>
          <w:rFonts w:ascii="Times New Roman" w:hAnsi="Times New Roman"/>
          <w:b/>
          <w:szCs w:val="24"/>
        </w:rPr>
      </w:pPr>
      <w:r w:rsidRPr="00590E5C">
        <w:rPr>
          <w:rFonts w:ascii="Times New Roman" w:hAnsi="Times New Roman"/>
          <w:b/>
          <w:szCs w:val="24"/>
        </w:rPr>
        <w:t>Table 1</w:t>
      </w:r>
      <w:r w:rsidRPr="00590E5C" w:rsidR="00116221">
        <w:rPr>
          <w:rFonts w:ascii="Times New Roman" w:hAnsi="Times New Roman"/>
          <w:b/>
          <w:szCs w:val="24"/>
        </w:rPr>
        <w:t xml:space="preserve">.  </w:t>
      </w:r>
      <w:r w:rsidRPr="00590E5C">
        <w:rPr>
          <w:rFonts w:ascii="Times New Roman" w:hAnsi="Times New Roman"/>
          <w:b/>
          <w:szCs w:val="24"/>
        </w:rPr>
        <w:t>Target Number of Respondents for Site Visit Data Collection Activities</w:t>
      </w:r>
    </w:p>
    <w:p w:rsidRPr="00590E5C" w:rsidR="00AF769E" w:rsidP="006E0475" w:rsidRDefault="00AF769E" w14:paraId="102BEC0F" w14:textId="77777777">
      <w:pPr>
        <w:pStyle w:val="L1-FlLSp12"/>
        <w:rPr>
          <w:rFonts w:ascii="Times New Roman" w:hAnsi="Times New Roman"/>
          <w:b/>
          <w:szCs w:val="24"/>
        </w:rPr>
      </w:pPr>
    </w:p>
    <w:tbl>
      <w:tblPr>
        <w:tblStyle w:val="TableGrid"/>
        <w:tblW w:w="9026" w:type="dxa"/>
        <w:tblInd w:w="715" w:type="dxa"/>
        <w:tblLook w:val="04A0" w:firstRow="1" w:lastRow="0" w:firstColumn="1" w:lastColumn="0" w:noHBand="0" w:noVBand="1"/>
      </w:tblPr>
      <w:tblGrid>
        <w:gridCol w:w="1342"/>
        <w:gridCol w:w="1227"/>
        <w:gridCol w:w="1227"/>
        <w:gridCol w:w="1148"/>
        <w:gridCol w:w="1216"/>
        <w:gridCol w:w="1433"/>
        <w:gridCol w:w="1433"/>
      </w:tblGrid>
      <w:tr w:rsidRPr="00590E5C" w:rsidR="00AF769E" w:rsidTr="00290B57" w14:paraId="6A29AAE8" w14:textId="77777777">
        <w:trPr>
          <w:trHeight w:val="1393"/>
        </w:trPr>
        <w:tc>
          <w:tcPr>
            <w:tcW w:w="1342" w:type="dxa"/>
            <w:shd w:val="clear" w:color="auto" w:fill="D9D9D9" w:themeFill="background1" w:themeFillShade="D9"/>
            <w:vAlign w:val="bottom"/>
          </w:tcPr>
          <w:p w:rsidRPr="00590E5C" w:rsidR="00AF769E" w:rsidP="00483B8B" w:rsidRDefault="00AF769E" w14:paraId="441612F8" w14:textId="77777777">
            <w:pPr>
              <w:pStyle w:val="L1-FlLSp12"/>
              <w:spacing w:line="240" w:lineRule="auto"/>
              <w:jc w:val="center"/>
              <w:rPr>
                <w:rFonts w:ascii="Times New Roman" w:hAnsi="Times New Roman"/>
                <w:b/>
                <w:sz w:val="20"/>
              </w:rPr>
            </w:pPr>
            <w:r w:rsidRPr="00590E5C">
              <w:rPr>
                <w:rFonts w:ascii="Times New Roman" w:hAnsi="Times New Roman"/>
                <w:b/>
                <w:sz w:val="20"/>
              </w:rPr>
              <w:lastRenderedPageBreak/>
              <w:t>Contract Year</w:t>
            </w:r>
          </w:p>
        </w:tc>
        <w:tc>
          <w:tcPr>
            <w:tcW w:w="1227" w:type="dxa"/>
            <w:shd w:val="clear" w:color="auto" w:fill="D9D9D9" w:themeFill="background1" w:themeFillShade="D9"/>
          </w:tcPr>
          <w:p w:rsidRPr="00590E5C" w:rsidR="00AF769E" w:rsidP="00483B8B" w:rsidRDefault="00AF769E" w14:paraId="55C55816" w14:textId="5C13CBBC">
            <w:pPr>
              <w:pStyle w:val="L1-FlLSp12"/>
              <w:spacing w:line="240" w:lineRule="auto"/>
              <w:jc w:val="center"/>
              <w:rPr>
                <w:rFonts w:ascii="Times New Roman" w:hAnsi="Times New Roman"/>
                <w:b/>
                <w:sz w:val="20"/>
              </w:rPr>
            </w:pPr>
            <w:r w:rsidRPr="00590E5C">
              <w:rPr>
                <w:rFonts w:ascii="Times New Roman" w:hAnsi="Times New Roman"/>
                <w:b/>
                <w:sz w:val="20"/>
              </w:rPr>
              <w:t>Fidelity Assessment Participant Interviews</w:t>
            </w:r>
          </w:p>
        </w:tc>
        <w:tc>
          <w:tcPr>
            <w:tcW w:w="1227" w:type="dxa"/>
            <w:shd w:val="clear" w:color="auto" w:fill="D9D9D9" w:themeFill="background1" w:themeFillShade="D9"/>
          </w:tcPr>
          <w:p w:rsidRPr="00590E5C" w:rsidR="00AF769E" w:rsidP="00AF769E" w:rsidRDefault="00AF769E" w14:paraId="54166E6E" w14:textId="52AEFD8C">
            <w:pPr>
              <w:pStyle w:val="L1-FlLSp12"/>
              <w:spacing w:line="240" w:lineRule="auto"/>
              <w:jc w:val="center"/>
              <w:rPr>
                <w:rFonts w:ascii="Times New Roman" w:hAnsi="Times New Roman"/>
                <w:b/>
                <w:sz w:val="20"/>
              </w:rPr>
            </w:pPr>
            <w:r w:rsidRPr="00590E5C">
              <w:rPr>
                <w:rFonts w:ascii="Times New Roman" w:hAnsi="Times New Roman"/>
                <w:b/>
                <w:sz w:val="20"/>
              </w:rPr>
              <w:t>Fidelity Assessment Family Member Interviews</w:t>
            </w:r>
          </w:p>
        </w:tc>
        <w:tc>
          <w:tcPr>
            <w:tcW w:w="1148" w:type="dxa"/>
            <w:shd w:val="clear" w:color="auto" w:fill="D9D9D9" w:themeFill="background1" w:themeFillShade="D9"/>
            <w:vAlign w:val="bottom"/>
          </w:tcPr>
          <w:p w:rsidRPr="00590E5C" w:rsidR="00AF769E" w:rsidP="00483B8B" w:rsidRDefault="00AF769E" w14:paraId="1DE28FE2" w14:textId="07B55F52">
            <w:pPr>
              <w:pStyle w:val="L1-FlLSp12"/>
              <w:spacing w:line="240" w:lineRule="auto"/>
              <w:jc w:val="center"/>
              <w:rPr>
                <w:rFonts w:ascii="Times New Roman" w:hAnsi="Times New Roman"/>
                <w:b/>
                <w:sz w:val="20"/>
              </w:rPr>
            </w:pPr>
            <w:r w:rsidRPr="00590E5C">
              <w:rPr>
                <w:rFonts w:ascii="Times New Roman" w:hAnsi="Times New Roman"/>
                <w:b/>
                <w:sz w:val="20"/>
              </w:rPr>
              <w:t>Key Informant Interviews</w:t>
            </w:r>
          </w:p>
        </w:tc>
        <w:tc>
          <w:tcPr>
            <w:tcW w:w="1216" w:type="dxa"/>
            <w:shd w:val="clear" w:color="auto" w:fill="D9D9D9" w:themeFill="background1" w:themeFillShade="D9"/>
            <w:vAlign w:val="bottom"/>
          </w:tcPr>
          <w:p w:rsidRPr="00590E5C" w:rsidR="00AF769E" w:rsidP="00483B8B" w:rsidRDefault="00AF769E" w14:paraId="17B69823" w14:textId="77777777">
            <w:pPr>
              <w:pStyle w:val="L1-FlLSp12"/>
              <w:spacing w:line="240" w:lineRule="auto"/>
              <w:jc w:val="center"/>
              <w:rPr>
                <w:rFonts w:ascii="Times New Roman" w:hAnsi="Times New Roman"/>
                <w:b/>
                <w:sz w:val="20"/>
              </w:rPr>
            </w:pPr>
            <w:r w:rsidRPr="00590E5C">
              <w:rPr>
                <w:rFonts w:ascii="Times New Roman" w:hAnsi="Times New Roman"/>
                <w:b/>
                <w:sz w:val="20"/>
              </w:rPr>
              <w:t>Participant</w:t>
            </w:r>
          </w:p>
          <w:p w:rsidRPr="00590E5C" w:rsidR="00AF769E" w:rsidP="00483B8B" w:rsidRDefault="00AF769E" w14:paraId="52F731AF" w14:textId="77777777">
            <w:pPr>
              <w:pStyle w:val="L1-FlLSp12"/>
              <w:spacing w:line="240" w:lineRule="auto"/>
              <w:jc w:val="center"/>
              <w:rPr>
                <w:rFonts w:ascii="Times New Roman" w:hAnsi="Times New Roman"/>
                <w:b/>
                <w:sz w:val="20"/>
              </w:rPr>
            </w:pPr>
            <w:r w:rsidRPr="00590E5C">
              <w:rPr>
                <w:rFonts w:ascii="Times New Roman" w:hAnsi="Times New Roman"/>
                <w:b/>
                <w:sz w:val="20"/>
              </w:rPr>
              <w:t>Focus Groups</w:t>
            </w:r>
          </w:p>
        </w:tc>
        <w:tc>
          <w:tcPr>
            <w:tcW w:w="1433" w:type="dxa"/>
            <w:shd w:val="clear" w:color="auto" w:fill="D9D9D9" w:themeFill="background1" w:themeFillShade="D9"/>
            <w:vAlign w:val="bottom"/>
          </w:tcPr>
          <w:p w:rsidRPr="00590E5C" w:rsidR="00AF769E" w:rsidP="00483B8B" w:rsidRDefault="00AF769E" w14:paraId="7039DE8A" w14:textId="77777777">
            <w:pPr>
              <w:pStyle w:val="L1-FlLSp12"/>
              <w:spacing w:line="240" w:lineRule="auto"/>
              <w:jc w:val="center"/>
              <w:rPr>
                <w:rFonts w:ascii="Times New Roman" w:hAnsi="Times New Roman"/>
                <w:b/>
                <w:sz w:val="20"/>
              </w:rPr>
            </w:pPr>
            <w:r w:rsidRPr="00590E5C">
              <w:rPr>
                <w:rFonts w:ascii="Times New Roman" w:hAnsi="Times New Roman"/>
                <w:b/>
                <w:sz w:val="20"/>
              </w:rPr>
              <w:t>Ethnographic Observations</w:t>
            </w:r>
          </w:p>
        </w:tc>
        <w:tc>
          <w:tcPr>
            <w:tcW w:w="1433" w:type="dxa"/>
            <w:shd w:val="clear" w:color="auto" w:fill="D9D9D9" w:themeFill="background1" w:themeFillShade="D9"/>
            <w:vAlign w:val="bottom"/>
          </w:tcPr>
          <w:p w:rsidRPr="00590E5C" w:rsidR="00AF769E" w:rsidP="00483B8B" w:rsidRDefault="00AF769E" w14:paraId="771B3769" w14:textId="77777777">
            <w:pPr>
              <w:pStyle w:val="L1-FlLSp12"/>
              <w:spacing w:line="240" w:lineRule="auto"/>
              <w:jc w:val="center"/>
              <w:rPr>
                <w:rFonts w:ascii="Times New Roman" w:hAnsi="Times New Roman"/>
                <w:b/>
                <w:sz w:val="20"/>
              </w:rPr>
            </w:pPr>
            <w:r w:rsidRPr="00590E5C">
              <w:rPr>
                <w:rFonts w:ascii="Times New Roman" w:hAnsi="Times New Roman"/>
                <w:b/>
                <w:sz w:val="20"/>
              </w:rPr>
              <w:t>Ethnographic Person-Centered Interviews</w:t>
            </w:r>
          </w:p>
        </w:tc>
      </w:tr>
      <w:tr w:rsidRPr="00590E5C" w:rsidR="00AF769E" w:rsidTr="00290B57" w14:paraId="150CE935" w14:textId="77777777">
        <w:trPr>
          <w:trHeight w:val="363"/>
        </w:trPr>
        <w:tc>
          <w:tcPr>
            <w:tcW w:w="1342" w:type="dxa"/>
          </w:tcPr>
          <w:p w:rsidRPr="00590E5C" w:rsidR="00AF769E" w:rsidP="00483B8B" w:rsidRDefault="00AF769E" w14:paraId="5B8E788C" w14:textId="77777777">
            <w:pPr>
              <w:pStyle w:val="L1-FlLSp12"/>
              <w:jc w:val="center"/>
              <w:rPr>
                <w:rFonts w:ascii="Times New Roman" w:hAnsi="Times New Roman"/>
                <w:sz w:val="20"/>
              </w:rPr>
            </w:pPr>
            <w:r w:rsidRPr="00590E5C">
              <w:rPr>
                <w:rFonts w:ascii="Times New Roman" w:hAnsi="Times New Roman"/>
                <w:sz w:val="20"/>
              </w:rPr>
              <w:t>1</w:t>
            </w:r>
          </w:p>
        </w:tc>
        <w:tc>
          <w:tcPr>
            <w:tcW w:w="1227" w:type="dxa"/>
          </w:tcPr>
          <w:p w:rsidRPr="00590E5C" w:rsidR="00AF769E" w:rsidP="00483B8B" w:rsidRDefault="00AF769E" w14:paraId="073308E6" w14:textId="77777777">
            <w:pPr>
              <w:pStyle w:val="L1-FlLSp12"/>
              <w:jc w:val="center"/>
              <w:rPr>
                <w:rFonts w:ascii="Times New Roman" w:hAnsi="Times New Roman"/>
                <w:sz w:val="20"/>
              </w:rPr>
            </w:pPr>
          </w:p>
        </w:tc>
        <w:tc>
          <w:tcPr>
            <w:tcW w:w="1227" w:type="dxa"/>
          </w:tcPr>
          <w:p w:rsidRPr="00590E5C" w:rsidR="00AF769E" w:rsidP="00483B8B" w:rsidRDefault="00AF769E" w14:paraId="79770449" w14:textId="0ED11C30">
            <w:pPr>
              <w:pStyle w:val="L1-FlLSp12"/>
              <w:jc w:val="center"/>
              <w:rPr>
                <w:rFonts w:ascii="Times New Roman" w:hAnsi="Times New Roman"/>
                <w:sz w:val="20"/>
              </w:rPr>
            </w:pPr>
          </w:p>
        </w:tc>
        <w:tc>
          <w:tcPr>
            <w:tcW w:w="1148" w:type="dxa"/>
          </w:tcPr>
          <w:p w:rsidRPr="00590E5C" w:rsidR="00AF769E" w:rsidP="00483B8B" w:rsidRDefault="00AF769E" w14:paraId="03B36CC7" w14:textId="7B976127">
            <w:pPr>
              <w:pStyle w:val="L1-FlLSp12"/>
              <w:jc w:val="center"/>
              <w:rPr>
                <w:rFonts w:ascii="Times New Roman" w:hAnsi="Times New Roman"/>
                <w:sz w:val="20"/>
              </w:rPr>
            </w:pPr>
          </w:p>
        </w:tc>
        <w:tc>
          <w:tcPr>
            <w:tcW w:w="1216" w:type="dxa"/>
          </w:tcPr>
          <w:p w:rsidRPr="00590E5C" w:rsidR="00AF769E" w:rsidP="00483B8B" w:rsidRDefault="00AF769E" w14:paraId="1560C093" w14:textId="77777777">
            <w:pPr>
              <w:pStyle w:val="L1-FlLSp12"/>
              <w:jc w:val="center"/>
              <w:rPr>
                <w:rFonts w:ascii="Times New Roman" w:hAnsi="Times New Roman"/>
                <w:sz w:val="20"/>
              </w:rPr>
            </w:pPr>
          </w:p>
        </w:tc>
        <w:tc>
          <w:tcPr>
            <w:tcW w:w="1433" w:type="dxa"/>
          </w:tcPr>
          <w:p w:rsidRPr="00590E5C" w:rsidR="00AF769E" w:rsidP="00483B8B" w:rsidRDefault="00AF769E" w14:paraId="3BC8764F" w14:textId="77777777">
            <w:pPr>
              <w:pStyle w:val="L1-FlLSp12"/>
              <w:jc w:val="center"/>
              <w:rPr>
                <w:rFonts w:ascii="Times New Roman" w:hAnsi="Times New Roman"/>
                <w:sz w:val="20"/>
              </w:rPr>
            </w:pPr>
          </w:p>
        </w:tc>
        <w:tc>
          <w:tcPr>
            <w:tcW w:w="1433" w:type="dxa"/>
          </w:tcPr>
          <w:p w:rsidRPr="00590E5C" w:rsidR="00AF769E" w:rsidP="00483B8B" w:rsidRDefault="00AF769E" w14:paraId="146F834D" w14:textId="77777777">
            <w:pPr>
              <w:pStyle w:val="L1-FlLSp12"/>
              <w:jc w:val="center"/>
              <w:rPr>
                <w:rFonts w:ascii="Times New Roman" w:hAnsi="Times New Roman"/>
                <w:sz w:val="20"/>
              </w:rPr>
            </w:pPr>
          </w:p>
        </w:tc>
      </w:tr>
      <w:tr w:rsidRPr="00590E5C" w:rsidR="00AF769E" w:rsidTr="00290B57" w14:paraId="57E42242" w14:textId="77777777">
        <w:trPr>
          <w:trHeight w:val="351"/>
        </w:trPr>
        <w:tc>
          <w:tcPr>
            <w:tcW w:w="1342" w:type="dxa"/>
          </w:tcPr>
          <w:p w:rsidRPr="00590E5C" w:rsidR="00AF769E" w:rsidP="00483B8B" w:rsidRDefault="00AF769E" w14:paraId="2B5B4DA1" w14:textId="77777777">
            <w:pPr>
              <w:pStyle w:val="L1-FlLSp12"/>
              <w:jc w:val="center"/>
              <w:rPr>
                <w:rFonts w:ascii="Times New Roman" w:hAnsi="Times New Roman"/>
                <w:sz w:val="20"/>
              </w:rPr>
            </w:pPr>
            <w:r w:rsidRPr="00590E5C">
              <w:rPr>
                <w:rFonts w:ascii="Times New Roman" w:hAnsi="Times New Roman"/>
                <w:sz w:val="20"/>
              </w:rPr>
              <w:t>2</w:t>
            </w:r>
          </w:p>
        </w:tc>
        <w:tc>
          <w:tcPr>
            <w:tcW w:w="1227" w:type="dxa"/>
          </w:tcPr>
          <w:p w:rsidRPr="00590E5C" w:rsidR="00AF769E" w:rsidP="00483B8B" w:rsidRDefault="00AF769E" w14:paraId="4991544D" w14:textId="1E41B5E9">
            <w:pPr>
              <w:pStyle w:val="L1-FlLSp12"/>
              <w:jc w:val="center"/>
              <w:rPr>
                <w:rFonts w:ascii="Times New Roman" w:hAnsi="Times New Roman"/>
                <w:sz w:val="20"/>
              </w:rPr>
            </w:pPr>
            <w:r w:rsidRPr="00590E5C">
              <w:rPr>
                <w:rFonts w:ascii="Times New Roman" w:hAnsi="Times New Roman"/>
                <w:sz w:val="20"/>
              </w:rPr>
              <w:t>180</w:t>
            </w:r>
          </w:p>
        </w:tc>
        <w:tc>
          <w:tcPr>
            <w:tcW w:w="1227" w:type="dxa"/>
          </w:tcPr>
          <w:p w:rsidRPr="00590E5C" w:rsidR="00AF769E" w:rsidP="00483B8B" w:rsidRDefault="00AF769E" w14:paraId="35490857" w14:textId="59EC5B26">
            <w:pPr>
              <w:pStyle w:val="L1-FlLSp12"/>
              <w:jc w:val="center"/>
              <w:rPr>
                <w:rFonts w:ascii="Times New Roman" w:hAnsi="Times New Roman"/>
                <w:sz w:val="20"/>
              </w:rPr>
            </w:pPr>
            <w:r w:rsidRPr="00590E5C">
              <w:rPr>
                <w:rFonts w:ascii="Times New Roman" w:hAnsi="Times New Roman"/>
                <w:sz w:val="20"/>
              </w:rPr>
              <w:t>90</w:t>
            </w:r>
          </w:p>
        </w:tc>
        <w:tc>
          <w:tcPr>
            <w:tcW w:w="1148" w:type="dxa"/>
          </w:tcPr>
          <w:p w:rsidRPr="00590E5C" w:rsidR="00AF769E" w:rsidP="00483B8B" w:rsidRDefault="00AF769E" w14:paraId="68BDD5E1" w14:textId="65EC4CBE">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rsidRPr="00590E5C" w:rsidR="00AF769E" w:rsidP="00483B8B" w:rsidRDefault="00AF769E" w14:paraId="55C30203" w14:textId="77777777">
            <w:pPr>
              <w:pStyle w:val="L1-FlLSp12"/>
              <w:jc w:val="center"/>
              <w:rPr>
                <w:rFonts w:ascii="Times New Roman" w:hAnsi="Times New Roman"/>
                <w:sz w:val="20"/>
              </w:rPr>
            </w:pPr>
            <w:r w:rsidRPr="00590E5C">
              <w:rPr>
                <w:rFonts w:ascii="Times New Roman" w:hAnsi="Times New Roman"/>
                <w:sz w:val="20"/>
              </w:rPr>
              <w:t>600</w:t>
            </w:r>
          </w:p>
        </w:tc>
        <w:tc>
          <w:tcPr>
            <w:tcW w:w="1433" w:type="dxa"/>
          </w:tcPr>
          <w:p w:rsidRPr="00590E5C" w:rsidR="00AF769E" w:rsidP="00483B8B" w:rsidRDefault="00AF769E" w14:paraId="35310ECC" w14:textId="77777777">
            <w:pPr>
              <w:pStyle w:val="L1-FlLSp12"/>
              <w:jc w:val="center"/>
              <w:rPr>
                <w:rFonts w:ascii="Times New Roman" w:hAnsi="Times New Roman"/>
                <w:sz w:val="20"/>
              </w:rPr>
            </w:pPr>
            <w:r w:rsidRPr="00590E5C">
              <w:rPr>
                <w:rFonts w:ascii="Times New Roman" w:hAnsi="Times New Roman"/>
                <w:sz w:val="20"/>
              </w:rPr>
              <w:t>60</w:t>
            </w:r>
          </w:p>
        </w:tc>
        <w:tc>
          <w:tcPr>
            <w:tcW w:w="1433" w:type="dxa"/>
          </w:tcPr>
          <w:p w:rsidRPr="00590E5C" w:rsidR="00AF769E" w:rsidP="00483B8B" w:rsidRDefault="00AF769E" w14:paraId="36117C8E" w14:textId="77777777">
            <w:pPr>
              <w:pStyle w:val="L1-FlLSp12"/>
              <w:jc w:val="center"/>
              <w:rPr>
                <w:rFonts w:ascii="Times New Roman" w:hAnsi="Times New Roman"/>
                <w:sz w:val="20"/>
              </w:rPr>
            </w:pPr>
            <w:r w:rsidRPr="00590E5C">
              <w:rPr>
                <w:rFonts w:ascii="Times New Roman" w:hAnsi="Times New Roman"/>
                <w:sz w:val="20"/>
              </w:rPr>
              <w:t>180</w:t>
            </w:r>
          </w:p>
        </w:tc>
      </w:tr>
      <w:tr w:rsidRPr="00590E5C" w:rsidR="00AF769E" w:rsidTr="00290B57" w14:paraId="789130F3" w14:textId="77777777">
        <w:trPr>
          <w:trHeight w:val="363"/>
        </w:trPr>
        <w:tc>
          <w:tcPr>
            <w:tcW w:w="1342" w:type="dxa"/>
          </w:tcPr>
          <w:p w:rsidRPr="00590E5C" w:rsidR="00AF769E" w:rsidP="00483B8B" w:rsidRDefault="00AF769E" w14:paraId="66033389" w14:textId="77777777">
            <w:pPr>
              <w:pStyle w:val="L1-FlLSp12"/>
              <w:jc w:val="center"/>
              <w:rPr>
                <w:rFonts w:ascii="Times New Roman" w:hAnsi="Times New Roman"/>
                <w:sz w:val="20"/>
              </w:rPr>
            </w:pPr>
            <w:r w:rsidRPr="00590E5C">
              <w:rPr>
                <w:rFonts w:ascii="Times New Roman" w:hAnsi="Times New Roman"/>
                <w:sz w:val="20"/>
              </w:rPr>
              <w:t>3</w:t>
            </w:r>
          </w:p>
        </w:tc>
        <w:tc>
          <w:tcPr>
            <w:tcW w:w="1227" w:type="dxa"/>
          </w:tcPr>
          <w:p w:rsidRPr="00590E5C" w:rsidR="00AF769E" w:rsidP="00483B8B" w:rsidRDefault="00AF769E" w14:paraId="49D93F41" w14:textId="5B71A0C9">
            <w:pPr>
              <w:pStyle w:val="L1-FlLSp12"/>
              <w:jc w:val="center"/>
              <w:rPr>
                <w:rFonts w:ascii="Times New Roman" w:hAnsi="Times New Roman"/>
                <w:sz w:val="20"/>
              </w:rPr>
            </w:pPr>
            <w:r w:rsidRPr="00590E5C">
              <w:rPr>
                <w:rFonts w:ascii="Times New Roman" w:hAnsi="Times New Roman"/>
                <w:sz w:val="20"/>
              </w:rPr>
              <w:t>180</w:t>
            </w:r>
          </w:p>
        </w:tc>
        <w:tc>
          <w:tcPr>
            <w:tcW w:w="1227" w:type="dxa"/>
          </w:tcPr>
          <w:p w:rsidRPr="00590E5C" w:rsidR="00AF769E" w:rsidP="00483B8B" w:rsidRDefault="00AF769E" w14:paraId="01D8E439" w14:textId="20A6D974">
            <w:pPr>
              <w:pStyle w:val="L1-FlLSp12"/>
              <w:jc w:val="center"/>
              <w:rPr>
                <w:rFonts w:ascii="Times New Roman" w:hAnsi="Times New Roman"/>
                <w:sz w:val="20"/>
              </w:rPr>
            </w:pPr>
            <w:r w:rsidRPr="00590E5C">
              <w:rPr>
                <w:rFonts w:ascii="Times New Roman" w:hAnsi="Times New Roman"/>
                <w:sz w:val="20"/>
              </w:rPr>
              <w:t>90</w:t>
            </w:r>
          </w:p>
        </w:tc>
        <w:tc>
          <w:tcPr>
            <w:tcW w:w="1148" w:type="dxa"/>
          </w:tcPr>
          <w:p w:rsidRPr="00590E5C" w:rsidR="00AF769E" w:rsidP="00483B8B" w:rsidRDefault="00AF769E" w14:paraId="23DD0EC0" w14:textId="4DD1B9FC">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rsidRPr="00590E5C" w:rsidR="00AF769E" w:rsidP="00483B8B" w:rsidRDefault="00AF769E" w14:paraId="728B9884" w14:textId="77777777">
            <w:pPr>
              <w:pStyle w:val="L1-FlLSp12"/>
              <w:jc w:val="center"/>
              <w:rPr>
                <w:rFonts w:ascii="Times New Roman" w:hAnsi="Times New Roman"/>
                <w:sz w:val="20"/>
              </w:rPr>
            </w:pPr>
          </w:p>
        </w:tc>
        <w:tc>
          <w:tcPr>
            <w:tcW w:w="1433" w:type="dxa"/>
          </w:tcPr>
          <w:p w:rsidRPr="00590E5C" w:rsidR="00AF769E" w:rsidP="00483B8B" w:rsidRDefault="00AF769E" w14:paraId="7066E5B4" w14:textId="77777777">
            <w:pPr>
              <w:pStyle w:val="L1-FlLSp12"/>
              <w:jc w:val="center"/>
              <w:rPr>
                <w:rFonts w:ascii="Times New Roman" w:hAnsi="Times New Roman"/>
                <w:sz w:val="20"/>
              </w:rPr>
            </w:pPr>
            <w:r w:rsidRPr="00590E5C">
              <w:rPr>
                <w:rFonts w:ascii="Times New Roman" w:hAnsi="Times New Roman"/>
                <w:sz w:val="20"/>
              </w:rPr>
              <w:t>60</w:t>
            </w:r>
          </w:p>
        </w:tc>
        <w:tc>
          <w:tcPr>
            <w:tcW w:w="1433" w:type="dxa"/>
          </w:tcPr>
          <w:p w:rsidRPr="00590E5C" w:rsidR="00AF769E" w:rsidP="00483B8B" w:rsidRDefault="00AF769E" w14:paraId="36871DDB" w14:textId="77777777">
            <w:pPr>
              <w:pStyle w:val="L1-FlLSp12"/>
              <w:jc w:val="center"/>
              <w:rPr>
                <w:rFonts w:ascii="Times New Roman" w:hAnsi="Times New Roman"/>
                <w:sz w:val="20"/>
              </w:rPr>
            </w:pPr>
            <w:r w:rsidRPr="00590E5C">
              <w:rPr>
                <w:rFonts w:ascii="Times New Roman" w:hAnsi="Times New Roman"/>
                <w:sz w:val="20"/>
              </w:rPr>
              <w:t>180</w:t>
            </w:r>
          </w:p>
        </w:tc>
      </w:tr>
      <w:tr w:rsidRPr="00590E5C" w:rsidR="00AF769E" w:rsidTr="00290B57" w14:paraId="416A5033" w14:textId="77777777">
        <w:trPr>
          <w:trHeight w:val="363"/>
        </w:trPr>
        <w:tc>
          <w:tcPr>
            <w:tcW w:w="1342" w:type="dxa"/>
          </w:tcPr>
          <w:p w:rsidRPr="00590E5C" w:rsidR="00AF769E" w:rsidP="00483B8B" w:rsidRDefault="00AF769E" w14:paraId="750FC4AC" w14:textId="77777777">
            <w:pPr>
              <w:pStyle w:val="L1-FlLSp12"/>
              <w:jc w:val="center"/>
              <w:rPr>
                <w:rFonts w:ascii="Times New Roman" w:hAnsi="Times New Roman"/>
                <w:sz w:val="20"/>
              </w:rPr>
            </w:pPr>
            <w:r w:rsidRPr="00590E5C">
              <w:rPr>
                <w:rFonts w:ascii="Times New Roman" w:hAnsi="Times New Roman"/>
                <w:sz w:val="20"/>
              </w:rPr>
              <w:t>4</w:t>
            </w:r>
          </w:p>
        </w:tc>
        <w:tc>
          <w:tcPr>
            <w:tcW w:w="1227" w:type="dxa"/>
          </w:tcPr>
          <w:p w:rsidRPr="00590E5C" w:rsidR="00AF769E" w:rsidP="00483B8B" w:rsidRDefault="00AF769E" w14:paraId="2D737E92" w14:textId="31323302">
            <w:pPr>
              <w:pStyle w:val="L1-FlLSp12"/>
              <w:jc w:val="center"/>
              <w:rPr>
                <w:rFonts w:ascii="Times New Roman" w:hAnsi="Times New Roman"/>
                <w:sz w:val="20"/>
              </w:rPr>
            </w:pPr>
            <w:r w:rsidRPr="00590E5C">
              <w:rPr>
                <w:rFonts w:ascii="Times New Roman" w:hAnsi="Times New Roman"/>
                <w:sz w:val="20"/>
              </w:rPr>
              <w:t>180</w:t>
            </w:r>
          </w:p>
        </w:tc>
        <w:tc>
          <w:tcPr>
            <w:tcW w:w="1227" w:type="dxa"/>
          </w:tcPr>
          <w:p w:rsidRPr="00590E5C" w:rsidR="00AF769E" w:rsidP="00483B8B" w:rsidRDefault="00AF769E" w14:paraId="48B84596" w14:textId="3BF0EEAA">
            <w:pPr>
              <w:pStyle w:val="L1-FlLSp12"/>
              <w:jc w:val="center"/>
              <w:rPr>
                <w:rFonts w:ascii="Times New Roman" w:hAnsi="Times New Roman"/>
                <w:sz w:val="20"/>
              </w:rPr>
            </w:pPr>
            <w:r w:rsidRPr="00590E5C">
              <w:rPr>
                <w:rFonts w:ascii="Times New Roman" w:hAnsi="Times New Roman"/>
                <w:sz w:val="20"/>
              </w:rPr>
              <w:t>90</w:t>
            </w:r>
          </w:p>
        </w:tc>
        <w:tc>
          <w:tcPr>
            <w:tcW w:w="1148" w:type="dxa"/>
          </w:tcPr>
          <w:p w:rsidRPr="00590E5C" w:rsidR="00AF769E" w:rsidP="00483B8B" w:rsidRDefault="00AF769E" w14:paraId="78F8F7FC" w14:textId="78B812DB">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rsidRPr="00590E5C" w:rsidR="00AF769E" w:rsidP="00483B8B" w:rsidRDefault="00AF769E" w14:paraId="024E8858" w14:textId="77777777">
            <w:pPr>
              <w:pStyle w:val="L1-FlLSp12"/>
              <w:jc w:val="center"/>
              <w:rPr>
                <w:rFonts w:ascii="Times New Roman" w:hAnsi="Times New Roman"/>
                <w:sz w:val="20"/>
              </w:rPr>
            </w:pPr>
            <w:r w:rsidRPr="00590E5C">
              <w:rPr>
                <w:rFonts w:ascii="Times New Roman" w:hAnsi="Times New Roman"/>
                <w:sz w:val="20"/>
              </w:rPr>
              <w:t>600</w:t>
            </w:r>
          </w:p>
        </w:tc>
        <w:tc>
          <w:tcPr>
            <w:tcW w:w="1433" w:type="dxa"/>
          </w:tcPr>
          <w:p w:rsidRPr="00590E5C" w:rsidR="00AF769E" w:rsidP="00483B8B" w:rsidRDefault="00AF769E" w14:paraId="19D14CF2" w14:textId="77777777">
            <w:pPr>
              <w:pStyle w:val="L1-FlLSp12"/>
              <w:jc w:val="center"/>
              <w:rPr>
                <w:rFonts w:ascii="Times New Roman" w:hAnsi="Times New Roman"/>
                <w:sz w:val="20"/>
              </w:rPr>
            </w:pPr>
            <w:r w:rsidRPr="00590E5C">
              <w:rPr>
                <w:rFonts w:ascii="Times New Roman" w:hAnsi="Times New Roman"/>
                <w:sz w:val="20"/>
              </w:rPr>
              <w:t>60</w:t>
            </w:r>
          </w:p>
        </w:tc>
        <w:tc>
          <w:tcPr>
            <w:tcW w:w="1433" w:type="dxa"/>
          </w:tcPr>
          <w:p w:rsidRPr="00590E5C" w:rsidR="00AF769E" w:rsidP="00483B8B" w:rsidRDefault="00AF769E" w14:paraId="0D81A381" w14:textId="77777777">
            <w:pPr>
              <w:pStyle w:val="L1-FlLSp12"/>
              <w:jc w:val="center"/>
              <w:rPr>
                <w:rFonts w:ascii="Times New Roman" w:hAnsi="Times New Roman"/>
                <w:sz w:val="20"/>
              </w:rPr>
            </w:pPr>
            <w:r w:rsidRPr="00590E5C">
              <w:rPr>
                <w:rFonts w:ascii="Times New Roman" w:hAnsi="Times New Roman"/>
                <w:sz w:val="20"/>
              </w:rPr>
              <w:t>180</w:t>
            </w:r>
          </w:p>
        </w:tc>
      </w:tr>
      <w:tr w:rsidRPr="00590E5C" w:rsidR="00AF769E" w:rsidTr="00290B57" w14:paraId="4C19CA7E" w14:textId="77777777">
        <w:trPr>
          <w:trHeight w:val="363"/>
        </w:trPr>
        <w:tc>
          <w:tcPr>
            <w:tcW w:w="1342" w:type="dxa"/>
          </w:tcPr>
          <w:p w:rsidRPr="00590E5C" w:rsidR="00AF769E" w:rsidP="00483B8B" w:rsidRDefault="00AF769E" w14:paraId="2693812E" w14:textId="77777777">
            <w:pPr>
              <w:pStyle w:val="L1-FlLSp12"/>
              <w:jc w:val="center"/>
              <w:rPr>
                <w:rFonts w:ascii="Times New Roman" w:hAnsi="Times New Roman"/>
                <w:sz w:val="20"/>
              </w:rPr>
            </w:pPr>
            <w:r w:rsidRPr="00590E5C">
              <w:rPr>
                <w:rFonts w:ascii="Times New Roman" w:hAnsi="Times New Roman"/>
                <w:sz w:val="20"/>
              </w:rPr>
              <w:t>5</w:t>
            </w:r>
          </w:p>
        </w:tc>
        <w:tc>
          <w:tcPr>
            <w:tcW w:w="1227" w:type="dxa"/>
          </w:tcPr>
          <w:p w:rsidRPr="00590E5C" w:rsidR="00AF769E" w:rsidP="00483B8B" w:rsidRDefault="00AF769E" w14:paraId="13F3CB39" w14:textId="6DDBB475">
            <w:pPr>
              <w:pStyle w:val="L1-FlLSp12"/>
              <w:jc w:val="center"/>
              <w:rPr>
                <w:rFonts w:ascii="Times New Roman" w:hAnsi="Times New Roman"/>
                <w:sz w:val="20"/>
              </w:rPr>
            </w:pPr>
            <w:r w:rsidRPr="00590E5C">
              <w:rPr>
                <w:rFonts w:ascii="Times New Roman" w:hAnsi="Times New Roman"/>
                <w:sz w:val="20"/>
              </w:rPr>
              <w:t>180</w:t>
            </w:r>
          </w:p>
        </w:tc>
        <w:tc>
          <w:tcPr>
            <w:tcW w:w="1227" w:type="dxa"/>
          </w:tcPr>
          <w:p w:rsidRPr="00590E5C" w:rsidR="00AF769E" w:rsidP="00483B8B" w:rsidRDefault="00AF769E" w14:paraId="51D898A4" w14:textId="2500BA17">
            <w:pPr>
              <w:pStyle w:val="L1-FlLSp12"/>
              <w:jc w:val="center"/>
              <w:rPr>
                <w:rFonts w:ascii="Times New Roman" w:hAnsi="Times New Roman"/>
                <w:sz w:val="20"/>
              </w:rPr>
            </w:pPr>
            <w:r w:rsidRPr="00590E5C">
              <w:rPr>
                <w:rFonts w:ascii="Times New Roman" w:hAnsi="Times New Roman"/>
                <w:sz w:val="20"/>
              </w:rPr>
              <w:t>90</w:t>
            </w:r>
          </w:p>
        </w:tc>
        <w:tc>
          <w:tcPr>
            <w:tcW w:w="1148" w:type="dxa"/>
          </w:tcPr>
          <w:p w:rsidRPr="00590E5C" w:rsidR="00AF769E" w:rsidP="00483B8B" w:rsidRDefault="00AF769E" w14:paraId="03CF9496" w14:textId="605256CB">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rsidRPr="00590E5C" w:rsidR="00AF769E" w:rsidP="00483B8B" w:rsidRDefault="00AF769E" w14:paraId="4D83EDEC" w14:textId="77777777">
            <w:pPr>
              <w:pStyle w:val="L1-FlLSp12"/>
              <w:jc w:val="center"/>
              <w:rPr>
                <w:rFonts w:ascii="Times New Roman" w:hAnsi="Times New Roman"/>
                <w:sz w:val="20"/>
              </w:rPr>
            </w:pPr>
          </w:p>
        </w:tc>
        <w:tc>
          <w:tcPr>
            <w:tcW w:w="1433" w:type="dxa"/>
          </w:tcPr>
          <w:p w:rsidRPr="00590E5C" w:rsidR="00AF769E" w:rsidP="00483B8B" w:rsidRDefault="00AF769E" w14:paraId="594B4FBF" w14:textId="77777777">
            <w:pPr>
              <w:pStyle w:val="L1-FlLSp12"/>
              <w:jc w:val="center"/>
              <w:rPr>
                <w:rFonts w:ascii="Times New Roman" w:hAnsi="Times New Roman"/>
                <w:sz w:val="20"/>
              </w:rPr>
            </w:pPr>
            <w:r w:rsidRPr="00590E5C">
              <w:rPr>
                <w:rFonts w:ascii="Times New Roman" w:hAnsi="Times New Roman"/>
                <w:sz w:val="20"/>
              </w:rPr>
              <w:t>60</w:t>
            </w:r>
          </w:p>
        </w:tc>
        <w:tc>
          <w:tcPr>
            <w:tcW w:w="1433" w:type="dxa"/>
          </w:tcPr>
          <w:p w:rsidRPr="00590E5C" w:rsidR="00AF769E" w:rsidP="00483B8B" w:rsidRDefault="00AF769E" w14:paraId="393F4A7F" w14:textId="77777777">
            <w:pPr>
              <w:pStyle w:val="L1-FlLSp12"/>
              <w:jc w:val="center"/>
              <w:rPr>
                <w:rFonts w:ascii="Times New Roman" w:hAnsi="Times New Roman"/>
                <w:sz w:val="20"/>
              </w:rPr>
            </w:pPr>
            <w:r w:rsidRPr="00590E5C">
              <w:rPr>
                <w:rFonts w:ascii="Times New Roman" w:hAnsi="Times New Roman"/>
                <w:sz w:val="20"/>
              </w:rPr>
              <w:t>180</w:t>
            </w:r>
          </w:p>
        </w:tc>
      </w:tr>
      <w:tr w:rsidRPr="00590E5C" w:rsidR="00AF769E" w:rsidTr="00290B57" w14:paraId="66819918" w14:textId="77777777">
        <w:trPr>
          <w:trHeight w:val="363"/>
        </w:trPr>
        <w:tc>
          <w:tcPr>
            <w:tcW w:w="1342" w:type="dxa"/>
          </w:tcPr>
          <w:p w:rsidRPr="00590E5C" w:rsidR="00AF769E" w:rsidP="00483B8B" w:rsidRDefault="00AF769E" w14:paraId="147A343E" w14:textId="77777777">
            <w:pPr>
              <w:pStyle w:val="L1-FlLSp12"/>
              <w:jc w:val="center"/>
              <w:rPr>
                <w:rFonts w:ascii="Times New Roman" w:hAnsi="Times New Roman"/>
                <w:sz w:val="20"/>
              </w:rPr>
            </w:pPr>
            <w:r w:rsidRPr="00590E5C">
              <w:rPr>
                <w:rFonts w:ascii="Times New Roman" w:hAnsi="Times New Roman"/>
                <w:sz w:val="20"/>
              </w:rPr>
              <w:t>6</w:t>
            </w:r>
          </w:p>
        </w:tc>
        <w:tc>
          <w:tcPr>
            <w:tcW w:w="1227" w:type="dxa"/>
          </w:tcPr>
          <w:p w:rsidRPr="00590E5C" w:rsidR="00AF769E" w:rsidP="00483B8B" w:rsidRDefault="00AF769E" w14:paraId="381D2528" w14:textId="77777777">
            <w:pPr>
              <w:pStyle w:val="L1-FlLSp12"/>
              <w:jc w:val="center"/>
              <w:rPr>
                <w:rFonts w:ascii="Times New Roman" w:hAnsi="Times New Roman"/>
                <w:sz w:val="20"/>
              </w:rPr>
            </w:pPr>
          </w:p>
        </w:tc>
        <w:tc>
          <w:tcPr>
            <w:tcW w:w="1227" w:type="dxa"/>
          </w:tcPr>
          <w:p w:rsidRPr="00590E5C" w:rsidR="00AF769E" w:rsidP="00483B8B" w:rsidRDefault="00AF769E" w14:paraId="182DD6ED" w14:textId="0AC81011">
            <w:pPr>
              <w:pStyle w:val="L1-FlLSp12"/>
              <w:jc w:val="center"/>
              <w:rPr>
                <w:rFonts w:ascii="Times New Roman" w:hAnsi="Times New Roman"/>
                <w:sz w:val="20"/>
              </w:rPr>
            </w:pPr>
          </w:p>
        </w:tc>
        <w:tc>
          <w:tcPr>
            <w:tcW w:w="1148" w:type="dxa"/>
          </w:tcPr>
          <w:p w:rsidRPr="00590E5C" w:rsidR="00AF769E" w:rsidP="00483B8B" w:rsidRDefault="00AF769E" w14:paraId="2F32FAA7" w14:textId="7D649ED2">
            <w:pPr>
              <w:pStyle w:val="L1-FlLSp12"/>
              <w:jc w:val="center"/>
              <w:rPr>
                <w:rFonts w:ascii="Times New Roman" w:hAnsi="Times New Roman"/>
                <w:sz w:val="20"/>
              </w:rPr>
            </w:pPr>
          </w:p>
        </w:tc>
        <w:tc>
          <w:tcPr>
            <w:tcW w:w="1216" w:type="dxa"/>
          </w:tcPr>
          <w:p w:rsidRPr="00590E5C" w:rsidR="00AF769E" w:rsidP="00483B8B" w:rsidRDefault="00AF769E" w14:paraId="51C6A11F" w14:textId="77777777">
            <w:pPr>
              <w:pStyle w:val="L1-FlLSp12"/>
              <w:jc w:val="center"/>
              <w:rPr>
                <w:rFonts w:ascii="Times New Roman" w:hAnsi="Times New Roman"/>
                <w:sz w:val="20"/>
              </w:rPr>
            </w:pPr>
          </w:p>
        </w:tc>
        <w:tc>
          <w:tcPr>
            <w:tcW w:w="1433" w:type="dxa"/>
          </w:tcPr>
          <w:p w:rsidRPr="00590E5C" w:rsidR="00AF769E" w:rsidP="00483B8B" w:rsidRDefault="00AF769E" w14:paraId="4C2014E7" w14:textId="77777777">
            <w:pPr>
              <w:pStyle w:val="L1-FlLSp12"/>
              <w:jc w:val="center"/>
              <w:rPr>
                <w:rFonts w:ascii="Times New Roman" w:hAnsi="Times New Roman"/>
                <w:sz w:val="20"/>
              </w:rPr>
            </w:pPr>
          </w:p>
        </w:tc>
        <w:tc>
          <w:tcPr>
            <w:tcW w:w="1433" w:type="dxa"/>
          </w:tcPr>
          <w:p w:rsidRPr="00590E5C" w:rsidR="00AF769E" w:rsidP="00483B8B" w:rsidRDefault="00AF769E" w14:paraId="05CEB850" w14:textId="77777777">
            <w:pPr>
              <w:pStyle w:val="L1-FlLSp12"/>
              <w:jc w:val="center"/>
              <w:rPr>
                <w:rFonts w:ascii="Times New Roman" w:hAnsi="Times New Roman"/>
                <w:sz w:val="20"/>
              </w:rPr>
            </w:pPr>
          </w:p>
        </w:tc>
      </w:tr>
      <w:tr w:rsidRPr="00590E5C" w:rsidR="00AF769E" w:rsidTr="00290B57" w14:paraId="16055FEF" w14:textId="77777777">
        <w:trPr>
          <w:trHeight w:val="1151"/>
        </w:trPr>
        <w:tc>
          <w:tcPr>
            <w:tcW w:w="1342" w:type="dxa"/>
          </w:tcPr>
          <w:p w:rsidRPr="00590E5C" w:rsidR="00AF769E" w:rsidP="00483B8B" w:rsidRDefault="00AF769E" w14:paraId="14DB2B3A" w14:textId="77777777">
            <w:pPr>
              <w:pStyle w:val="L1-FlLSp12"/>
              <w:spacing w:line="240" w:lineRule="auto"/>
              <w:jc w:val="center"/>
              <w:rPr>
                <w:rFonts w:ascii="Times New Roman" w:hAnsi="Times New Roman"/>
                <w:b/>
                <w:sz w:val="20"/>
              </w:rPr>
            </w:pPr>
            <w:r w:rsidRPr="00590E5C">
              <w:rPr>
                <w:rFonts w:ascii="Times New Roman" w:hAnsi="Times New Roman"/>
                <w:b/>
                <w:sz w:val="20"/>
              </w:rPr>
              <w:t>Total Target Number of Respondents</w:t>
            </w:r>
          </w:p>
        </w:tc>
        <w:tc>
          <w:tcPr>
            <w:tcW w:w="1227" w:type="dxa"/>
          </w:tcPr>
          <w:p w:rsidRPr="00590E5C" w:rsidR="00AF769E" w:rsidP="00483B8B" w:rsidRDefault="00AF769E" w14:paraId="6ABDD89D" w14:textId="27EFBF07">
            <w:pPr>
              <w:pStyle w:val="L1-FlLSp12"/>
              <w:jc w:val="center"/>
              <w:rPr>
                <w:rFonts w:ascii="Times New Roman" w:hAnsi="Times New Roman"/>
                <w:b/>
                <w:sz w:val="20"/>
              </w:rPr>
            </w:pPr>
            <w:r w:rsidRPr="00590E5C">
              <w:rPr>
                <w:rFonts w:ascii="Times New Roman" w:hAnsi="Times New Roman"/>
                <w:b/>
                <w:sz w:val="20"/>
              </w:rPr>
              <w:t>720</w:t>
            </w:r>
          </w:p>
        </w:tc>
        <w:tc>
          <w:tcPr>
            <w:tcW w:w="1227" w:type="dxa"/>
          </w:tcPr>
          <w:p w:rsidRPr="00590E5C" w:rsidR="00AF769E" w:rsidP="00483B8B" w:rsidRDefault="00AF769E" w14:paraId="23557CD9" w14:textId="33802BA3">
            <w:pPr>
              <w:pStyle w:val="L1-FlLSp12"/>
              <w:jc w:val="center"/>
              <w:rPr>
                <w:rFonts w:ascii="Times New Roman" w:hAnsi="Times New Roman"/>
                <w:b/>
                <w:sz w:val="20"/>
              </w:rPr>
            </w:pPr>
            <w:r w:rsidRPr="00590E5C">
              <w:rPr>
                <w:rFonts w:ascii="Times New Roman" w:hAnsi="Times New Roman"/>
                <w:b/>
                <w:sz w:val="20"/>
              </w:rPr>
              <w:t>360</w:t>
            </w:r>
          </w:p>
        </w:tc>
        <w:tc>
          <w:tcPr>
            <w:tcW w:w="1148" w:type="dxa"/>
          </w:tcPr>
          <w:p w:rsidRPr="00590E5C" w:rsidR="00AF769E" w:rsidP="00483B8B" w:rsidRDefault="00AF769E" w14:paraId="37160D10" w14:textId="319B0682">
            <w:pPr>
              <w:pStyle w:val="L1-FlLSp12"/>
              <w:jc w:val="center"/>
              <w:rPr>
                <w:rFonts w:ascii="Times New Roman" w:hAnsi="Times New Roman"/>
                <w:b/>
                <w:sz w:val="20"/>
              </w:rPr>
            </w:pPr>
            <w:r w:rsidRPr="00590E5C">
              <w:rPr>
                <w:rFonts w:ascii="Times New Roman" w:hAnsi="Times New Roman"/>
                <w:b/>
                <w:sz w:val="20"/>
              </w:rPr>
              <w:t>480</w:t>
            </w:r>
          </w:p>
        </w:tc>
        <w:tc>
          <w:tcPr>
            <w:tcW w:w="1216" w:type="dxa"/>
          </w:tcPr>
          <w:p w:rsidRPr="00590E5C" w:rsidR="00AF769E" w:rsidP="00483B8B" w:rsidRDefault="00AF769E" w14:paraId="63FFF31B" w14:textId="77777777">
            <w:pPr>
              <w:pStyle w:val="L1-FlLSp12"/>
              <w:jc w:val="center"/>
              <w:rPr>
                <w:rFonts w:ascii="Times New Roman" w:hAnsi="Times New Roman"/>
                <w:b/>
                <w:sz w:val="20"/>
              </w:rPr>
            </w:pPr>
            <w:r w:rsidRPr="00590E5C">
              <w:rPr>
                <w:rFonts w:ascii="Times New Roman" w:hAnsi="Times New Roman"/>
                <w:b/>
                <w:sz w:val="20"/>
              </w:rPr>
              <w:t>1200</w:t>
            </w:r>
          </w:p>
        </w:tc>
        <w:tc>
          <w:tcPr>
            <w:tcW w:w="1433" w:type="dxa"/>
          </w:tcPr>
          <w:p w:rsidRPr="00590E5C" w:rsidR="00AF769E" w:rsidP="00483B8B" w:rsidRDefault="00AF769E" w14:paraId="6D1E39E8" w14:textId="77777777">
            <w:pPr>
              <w:pStyle w:val="L1-FlLSp12"/>
              <w:jc w:val="center"/>
              <w:rPr>
                <w:rFonts w:ascii="Times New Roman" w:hAnsi="Times New Roman"/>
                <w:b/>
                <w:sz w:val="20"/>
              </w:rPr>
            </w:pPr>
            <w:r w:rsidRPr="00590E5C">
              <w:rPr>
                <w:rFonts w:ascii="Times New Roman" w:hAnsi="Times New Roman"/>
                <w:b/>
                <w:sz w:val="20"/>
              </w:rPr>
              <w:t>240</w:t>
            </w:r>
          </w:p>
        </w:tc>
        <w:tc>
          <w:tcPr>
            <w:tcW w:w="1433" w:type="dxa"/>
          </w:tcPr>
          <w:p w:rsidRPr="00590E5C" w:rsidR="00AF769E" w:rsidP="00483B8B" w:rsidRDefault="00AF769E" w14:paraId="3BA07716" w14:textId="77777777">
            <w:pPr>
              <w:pStyle w:val="L1-FlLSp12"/>
              <w:jc w:val="center"/>
              <w:rPr>
                <w:rFonts w:ascii="Times New Roman" w:hAnsi="Times New Roman"/>
                <w:b/>
                <w:sz w:val="20"/>
              </w:rPr>
            </w:pPr>
            <w:r w:rsidRPr="00590E5C">
              <w:rPr>
                <w:rFonts w:ascii="Times New Roman" w:hAnsi="Times New Roman"/>
                <w:b/>
                <w:sz w:val="20"/>
              </w:rPr>
              <w:t>720</w:t>
            </w:r>
          </w:p>
        </w:tc>
      </w:tr>
    </w:tbl>
    <w:p w:rsidRPr="00590E5C" w:rsidR="006E0475" w:rsidP="006E0475" w:rsidRDefault="006E0475" w14:paraId="673E1E9A" w14:textId="77777777">
      <w:pPr>
        <w:pStyle w:val="L1-FlLSp12"/>
        <w:rPr>
          <w:rFonts w:ascii="Times New Roman" w:hAnsi="Times New Roman"/>
          <w:szCs w:val="24"/>
        </w:rPr>
      </w:pPr>
    </w:p>
    <w:p w:rsidRPr="00590E5C" w:rsidR="006E0475" w:rsidP="00C10E93" w:rsidRDefault="006E0475" w14:paraId="5528DE6C" w14:textId="771ED613">
      <w:pPr>
        <w:ind w:left="1080"/>
        <w:rPr>
          <w:rFonts w:ascii="Times New Roman" w:hAnsi="Times New Roman" w:cs="Times New Roman"/>
          <w:sz w:val="24"/>
          <w:szCs w:val="24"/>
        </w:rPr>
      </w:pPr>
      <w:r w:rsidRPr="00590E5C">
        <w:rPr>
          <w:rFonts w:ascii="Times New Roman" w:hAnsi="Times New Roman" w:cs="Times New Roman"/>
          <w:b/>
          <w:sz w:val="24"/>
          <w:szCs w:val="24"/>
        </w:rPr>
        <w:t>Pre-Visit Environmental Scan.</w:t>
      </w:r>
      <w:r w:rsidR="00290B57">
        <w:rPr>
          <w:rFonts w:ascii="Times New Roman" w:hAnsi="Times New Roman" w:cs="Times New Roman"/>
          <w:b/>
          <w:sz w:val="24"/>
          <w:szCs w:val="24"/>
        </w:rPr>
        <w:t xml:space="preserve"> </w:t>
      </w:r>
      <w:r w:rsidRPr="00590E5C">
        <w:rPr>
          <w:rFonts w:ascii="Times New Roman" w:hAnsi="Times New Roman" w:cs="Times New Roman"/>
          <w:sz w:val="24"/>
          <w:szCs w:val="24"/>
        </w:rPr>
        <w:t xml:space="preserve"> In preparat</w:t>
      </w:r>
      <w:r w:rsidR="00D6188E">
        <w:rPr>
          <w:rFonts w:ascii="Times New Roman" w:hAnsi="Times New Roman" w:cs="Times New Roman"/>
          <w:sz w:val="24"/>
          <w:szCs w:val="24"/>
        </w:rPr>
        <w:t xml:space="preserve">ion for each site visit, we </w:t>
      </w:r>
      <w:r w:rsidRPr="00590E5C">
        <w:rPr>
          <w:rFonts w:ascii="Times New Roman" w:hAnsi="Times New Roman" w:cs="Times New Roman"/>
          <w:sz w:val="24"/>
          <w:szCs w:val="24"/>
        </w:rPr>
        <w:t>scan the local environment to understand the local context in which</w:t>
      </w:r>
      <w:r w:rsidR="001A1AFF">
        <w:rPr>
          <w:rFonts w:ascii="Times New Roman" w:hAnsi="Times New Roman" w:cs="Times New Roman"/>
          <w:sz w:val="24"/>
          <w:szCs w:val="24"/>
        </w:rPr>
        <w:t xml:space="preserve"> </w:t>
      </w:r>
      <w:r w:rsidR="00563721">
        <w:rPr>
          <w:rFonts w:ascii="Times New Roman" w:hAnsi="Times New Roman" w:cs="Times New Roman"/>
          <w:sz w:val="24"/>
          <w:szCs w:val="24"/>
        </w:rPr>
        <w:t xml:space="preserve">we embed </w:t>
      </w:r>
      <w:r w:rsidR="001A1AFF">
        <w:rPr>
          <w:rFonts w:ascii="Times New Roman" w:hAnsi="Times New Roman" w:cs="Times New Roman"/>
          <w:sz w:val="24"/>
          <w:szCs w:val="24"/>
        </w:rPr>
        <w:t>SED</w:t>
      </w:r>
      <w:r w:rsidR="005F2C54">
        <w:rPr>
          <w:rFonts w:ascii="Times New Roman" w:hAnsi="Times New Roman" w:cs="Times New Roman"/>
          <w:sz w:val="24"/>
          <w:szCs w:val="24"/>
        </w:rPr>
        <w:t xml:space="preserve"> </w:t>
      </w:r>
      <w:r w:rsidRPr="00590E5C">
        <w:rPr>
          <w:rFonts w:ascii="Times New Roman" w:hAnsi="Times New Roman" w:cs="Times New Roman"/>
          <w:sz w:val="24"/>
          <w:szCs w:val="24"/>
        </w:rPr>
        <w:t>services</w:t>
      </w:r>
      <w:r w:rsidR="00116221">
        <w:rPr>
          <w:rFonts w:ascii="Times New Roman" w:hAnsi="Times New Roman" w:cs="Times New Roman"/>
          <w:sz w:val="24"/>
          <w:szCs w:val="24"/>
        </w:rPr>
        <w:t>.</w:t>
      </w:r>
      <w:r w:rsidRPr="00590E5C" w:rsidR="00116221">
        <w:rPr>
          <w:rFonts w:ascii="Times New Roman" w:hAnsi="Times New Roman" w:cs="Times New Roman"/>
          <w:sz w:val="24"/>
          <w:szCs w:val="24"/>
        </w:rPr>
        <w:t xml:space="preserve">  </w:t>
      </w:r>
      <w:r w:rsidRPr="00590E5C">
        <w:rPr>
          <w:rFonts w:ascii="Times New Roman" w:hAnsi="Times New Roman" w:cs="Times New Roman"/>
          <w:sz w:val="24"/>
          <w:szCs w:val="24"/>
        </w:rPr>
        <w:t xml:space="preserve">For </w:t>
      </w:r>
      <w:r w:rsidR="00276719">
        <w:rPr>
          <w:rFonts w:ascii="Times New Roman" w:hAnsi="Times New Roman" w:cs="Times New Roman"/>
          <w:sz w:val="24"/>
          <w:szCs w:val="24"/>
        </w:rPr>
        <w:t xml:space="preserve">example, </w:t>
      </w:r>
      <w:r w:rsidR="00D6188E">
        <w:rPr>
          <w:rFonts w:ascii="Times New Roman" w:hAnsi="Times New Roman" w:cs="Times New Roman"/>
          <w:sz w:val="24"/>
          <w:szCs w:val="24"/>
        </w:rPr>
        <w:t xml:space="preserve">we </w:t>
      </w:r>
      <w:r w:rsidRPr="00590E5C">
        <w:rPr>
          <w:rFonts w:ascii="Times New Roman" w:hAnsi="Times New Roman" w:cs="Times New Roman"/>
          <w:sz w:val="24"/>
          <w:szCs w:val="24"/>
        </w:rPr>
        <w:t xml:space="preserve">access unemployment rates and information on general types of work available using Bureau of Labor statistics and County Business Patterns. </w:t>
      </w:r>
      <w:r w:rsidR="00971F30">
        <w:rPr>
          <w:rFonts w:ascii="Times New Roman" w:hAnsi="Times New Roman" w:cs="Times New Roman"/>
          <w:sz w:val="24"/>
          <w:szCs w:val="24"/>
        </w:rPr>
        <w:t xml:space="preserve"> </w:t>
      </w:r>
      <w:r w:rsidRPr="00590E5C">
        <w:rPr>
          <w:rFonts w:ascii="Times New Roman" w:hAnsi="Times New Roman" w:cs="Times New Roman"/>
          <w:sz w:val="24"/>
          <w:szCs w:val="24"/>
        </w:rPr>
        <w:t>We also explore available community, non-profit, and charitable services through online and phone searches as well as community resources manuals</w:t>
      </w:r>
      <w:r w:rsidRPr="00590E5C" w:rsidR="00116221">
        <w:rPr>
          <w:rFonts w:ascii="Times New Roman" w:hAnsi="Times New Roman" w:cs="Times New Roman"/>
          <w:sz w:val="24"/>
          <w:szCs w:val="24"/>
        </w:rPr>
        <w:t xml:space="preserve">.  </w:t>
      </w:r>
      <w:r w:rsidRPr="00590E5C">
        <w:rPr>
          <w:rFonts w:ascii="Times New Roman" w:hAnsi="Times New Roman" w:cs="Times New Roman"/>
          <w:sz w:val="24"/>
          <w:szCs w:val="24"/>
        </w:rPr>
        <w:t>Information acquired throu</w:t>
      </w:r>
      <w:r w:rsidR="00D6188E">
        <w:rPr>
          <w:rFonts w:ascii="Times New Roman" w:hAnsi="Times New Roman" w:cs="Times New Roman"/>
          <w:sz w:val="24"/>
          <w:szCs w:val="24"/>
        </w:rPr>
        <w:t xml:space="preserve">gh the environmental scans </w:t>
      </w:r>
      <w:r w:rsidRPr="00590E5C">
        <w:rPr>
          <w:rFonts w:ascii="Times New Roman" w:hAnsi="Times New Roman" w:cs="Times New Roman"/>
          <w:sz w:val="24"/>
          <w:szCs w:val="24"/>
        </w:rPr>
        <w:lastRenderedPageBreak/>
        <w:t>provide</w:t>
      </w:r>
      <w:r w:rsidR="00D6188E">
        <w:rPr>
          <w:rFonts w:ascii="Times New Roman" w:hAnsi="Times New Roman" w:cs="Times New Roman"/>
          <w:sz w:val="24"/>
          <w:szCs w:val="24"/>
        </w:rPr>
        <w:t>s</w:t>
      </w:r>
      <w:r w:rsidRPr="00590E5C">
        <w:rPr>
          <w:rFonts w:ascii="Times New Roman" w:hAnsi="Times New Roman" w:cs="Times New Roman"/>
          <w:sz w:val="24"/>
          <w:szCs w:val="24"/>
        </w:rPr>
        <w:t xml:space="preserve"> a framework of available services to individuals with employment and mental health needs. </w:t>
      </w:r>
    </w:p>
    <w:p w:rsidR="006E0475" w:rsidP="00C10E93" w:rsidRDefault="006E0475" w14:paraId="7243F729" w14:textId="21A6B864">
      <w:pPr>
        <w:ind w:left="1080"/>
        <w:rPr>
          <w:rFonts w:ascii="Times New Roman" w:hAnsi="Times New Roman" w:cs="Times New Roman"/>
          <w:i/>
          <w:sz w:val="24"/>
          <w:szCs w:val="24"/>
        </w:rPr>
      </w:pPr>
      <w:r w:rsidRPr="00590E5C">
        <w:rPr>
          <w:rFonts w:ascii="Times New Roman" w:hAnsi="Times New Roman" w:cs="Times New Roman"/>
          <w:b/>
          <w:sz w:val="24"/>
          <w:szCs w:val="24"/>
        </w:rPr>
        <w:t>Independent Fidelity Assessments.</w:t>
      </w:r>
      <w:r w:rsidRPr="00590E5C">
        <w:rPr>
          <w:rFonts w:ascii="Times New Roman" w:hAnsi="Times New Roman" w:cs="Times New Roman"/>
          <w:sz w:val="24"/>
          <w:szCs w:val="24"/>
        </w:rPr>
        <w:t xml:space="preserve"> </w:t>
      </w:r>
      <w:r w:rsidR="001A1AFF">
        <w:rPr>
          <w:rFonts w:ascii="Times New Roman" w:hAnsi="Times New Roman" w:cs="Times New Roman"/>
          <w:sz w:val="24"/>
          <w:szCs w:val="24"/>
        </w:rPr>
        <w:t xml:space="preserve"> </w:t>
      </w:r>
      <w:r w:rsidRPr="00590E5C">
        <w:rPr>
          <w:rFonts w:ascii="Times New Roman" w:hAnsi="Times New Roman" w:cs="Times New Roman"/>
          <w:sz w:val="24"/>
          <w:szCs w:val="24"/>
        </w:rPr>
        <w:t xml:space="preserve">In contract Years </w:t>
      </w:r>
      <w:r w:rsidR="00D6188E">
        <w:rPr>
          <w:rFonts w:ascii="Times New Roman" w:hAnsi="Times New Roman" w:cs="Times New Roman"/>
          <w:sz w:val="24"/>
          <w:szCs w:val="24"/>
        </w:rPr>
        <w:t xml:space="preserve">2 through 5, we </w:t>
      </w:r>
      <w:r w:rsidRPr="00590E5C">
        <w:rPr>
          <w:rFonts w:ascii="Times New Roman" w:hAnsi="Times New Roman" w:cs="Times New Roman"/>
          <w:sz w:val="24"/>
          <w:szCs w:val="24"/>
        </w:rPr>
        <w:t>conduct annual, independent fidelity assessments of IPS supported employment services and other treatment components, i.e., the Nurse Care Coordinator role and provision of Systematic Medication Management, for the purpose of assessing treatment fidelity (see Attachment M</w:t>
      </w:r>
      <w:r w:rsidRPr="00590E5C" w:rsidR="00EA4A56">
        <w:rPr>
          <w:rFonts w:ascii="Times New Roman" w:hAnsi="Times New Roman" w:cs="Times New Roman"/>
          <w:sz w:val="24"/>
          <w:szCs w:val="24"/>
        </w:rPr>
        <w:t>7</w:t>
      </w:r>
      <w:r w:rsidRPr="00590E5C">
        <w:rPr>
          <w:rFonts w:ascii="Times New Roman" w:hAnsi="Times New Roman" w:cs="Times New Roman"/>
          <w:sz w:val="24"/>
          <w:szCs w:val="24"/>
        </w:rPr>
        <w:t>. IPS Fidelity Assessment Guide).</w:t>
      </w:r>
      <w:r w:rsidR="001A1AFF">
        <w:rPr>
          <w:rFonts w:ascii="Times New Roman" w:hAnsi="Times New Roman" w:cs="Times New Roman"/>
          <w:sz w:val="24"/>
          <w:szCs w:val="24"/>
        </w:rPr>
        <w:t xml:space="preserve"> </w:t>
      </w:r>
      <w:r w:rsidR="00D6188E">
        <w:rPr>
          <w:rFonts w:ascii="Times New Roman" w:hAnsi="Times New Roman" w:cs="Times New Roman"/>
          <w:sz w:val="24"/>
          <w:szCs w:val="24"/>
        </w:rPr>
        <w:t xml:space="preserve"> There is </w:t>
      </w:r>
      <w:r w:rsidRPr="00590E5C">
        <w:rPr>
          <w:rFonts w:ascii="Times New Roman" w:hAnsi="Times New Roman" w:cs="Times New Roman"/>
          <w:sz w:val="24"/>
          <w:szCs w:val="24"/>
        </w:rPr>
        <w:t xml:space="preserve">a total of 120 independent fidelity assessments, one for each center in each implementation </w:t>
      </w:r>
      <w:r w:rsidRPr="00590E5C" w:rsidR="001A1AFF">
        <w:rPr>
          <w:rFonts w:ascii="Times New Roman" w:hAnsi="Times New Roman" w:cs="Times New Roman"/>
          <w:sz w:val="24"/>
          <w:szCs w:val="24"/>
        </w:rPr>
        <w:t>year</w:t>
      </w:r>
      <w:r w:rsidR="001A1AFF">
        <w:rPr>
          <w:rFonts w:ascii="Times New Roman" w:hAnsi="Times New Roman" w:cs="Times New Roman"/>
          <w:sz w:val="24"/>
          <w:szCs w:val="24"/>
        </w:rPr>
        <w:t xml:space="preserve">.  </w:t>
      </w:r>
      <w:r w:rsidR="00276719">
        <w:rPr>
          <w:rFonts w:ascii="Times New Roman" w:hAnsi="Times New Roman" w:cs="Times New Roman"/>
          <w:sz w:val="24"/>
          <w:szCs w:val="24"/>
        </w:rPr>
        <w:t>T</w:t>
      </w:r>
      <w:r w:rsidR="001A1AFF">
        <w:rPr>
          <w:rFonts w:ascii="Times New Roman" w:hAnsi="Times New Roman" w:cs="Times New Roman"/>
          <w:sz w:val="24"/>
          <w:szCs w:val="24"/>
        </w:rPr>
        <w:t>o reduce respondent burden and efficiency</w:t>
      </w:r>
      <w:r w:rsidR="00D6188E">
        <w:rPr>
          <w:rFonts w:ascii="Times New Roman" w:hAnsi="Times New Roman" w:cs="Times New Roman"/>
          <w:sz w:val="24"/>
          <w:szCs w:val="24"/>
        </w:rPr>
        <w:t xml:space="preserve">, we </w:t>
      </w:r>
      <w:r w:rsidRPr="00590E5C">
        <w:rPr>
          <w:rFonts w:ascii="Times New Roman" w:hAnsi="Times New Roman" w:cs="Times New Roman"/>
          <w:sz w:val="24"/>
          <w:szCs w:val="24"/>
        </w:rPr>
        <w:t xml:space="preserve">schedule these independent fidelity assessments in conjunction with those conducted by state Mental Health/Vocational Rehabilitation staff as a part of the regular monitoring and quality improvement fidelity reviews conducted for implementation. </w:t>
      </w:r>
      <w:r w:rsidR="001A1AFF">
        <w:rPr>
          <w:rFonts w:ascii="Times New Roman" w:hAnsi="Times New Roman" w:cs="Times New Roman"/>
          <w:sz w:val="24"/>
          <w:szCs w:val="24"/>
        </w:rPr>
        <w:t xml:space="preserve"> </w:t>
      </w:r>
      <w:r w:rsidR="00D6188E">
        <w:rPr>
          <w:rFonts w:ascii="Times New Roman" w:hAnsi="Times New Roman" w:cs="Times New Roman"/>
          <w:sz w:val="24"/>
          <w:szCs w:val="24"/>
        </w:rPr>
        <w:t xml:space="preserve">However, we </w:t>
      </w:r>
      <w:r w:rsidRPr="00590E5C">
        <w:rPr>
          <w:rFonts w:ascii="Times New Roman" w:hAnsi="Times New Roman" w:cs="Times New Roman"/>
          <w:sz w:val="24"/>
          <w:szCs w:val="24"/>
        </w:rPr>
        <w:t>score and interpret the findings from our fidelity assessments independently.</w:t>
      </w:r>
      <w:r w:rsidRPr="00590E5C">
        <w:rPr>
          <w:rFonts w:ascii="Times New Roman" w:hAnsi="Times New Roman" w:cs="Times New Roman"/>
          <w:i/>
          <w:sz w:val="24"/>
          <w:szCs w:val="24"/>
        </w:rPr>
        <w:t xml:space="preserve"> </w:t>
      </w:r>
    </w:p>
    <w:p w:rsidRPr="00D6188E" w:rsidR="00277CB9" w:rsidP="00277CB9" w:rsidRDefault="00D6188E" w14:paraId="0658783D" w14:textId="6EEEB327">
      <w:pPr>
        <w:ind w:left="1080"/>
        <w:rPr>
          <w:rFonts w:ascii="Times New Roman" w:hAnsi="Times New Roman"/>
          <w:sz w:val="24"/>
          <w:szCs w:val="24"/>
        </w:rPr>
      </w:pPr>
      <w:r>
        <w:rPr>
          <w:rFonts w:ascii="Times New Roman" w:hAnsi="Times New Roman"/>
          <w:sz w:val="24"/>
          <w:szCs w:val="24"/>
        </w:rPr>
        <w:lastRenderedPageBreak/>
        <w:t>SSA s</w:t>
      </w:r>
      <w:r w:rsidRPr="00D6188E" w:rsidR="00277CB9">
        <w:rPr>
          <w:rFonts w:ascii="Times New Roman" w:hAnsi="Times New Roman"/>
          <w:sz w:val="24"/>
          <w:szCs w:val="24"/>
        </w:rPr>
        <w:t>elect</w:t>
      </w:r>
      <w:r>
        <w:rPr>
          <w:rFonts w:ascii="Times New Roman" w:hAnsi="Times New Roman"/>
          <w:sz w:val="24"/>
          <w:szCs w:val="24"/>
        </w:rPr>
        <w:t>s</w:t>
      </w:r>
      <w:r w:rsidRPr="00D6188E" w:rsidR="00277CB9">
        <w:rPr>
          <w:rFonts w:ascii="Times New Roman" w:hAnsi="Times New Roman"/>
          <w:sz w:val="24"/>
          <w:szCs w:val="24"/>
        </w:rPr>
        <w:t xml:space="preserve"> SED participants involved as respondents in the Independent Fidelity Assessment to represent the diversity of SED participants by gender, race, ethnicity, age, employment status, and employment type. </w:t>
      </w:r>
      <w:r>
        <w:rPr>
          <w:rFonts w:ascii="Times New Roman" w:hAnsi="Times New Roman"/>
          <w:sz w:val="24"/>
          <w:szCs w:val="24"/>
        </w:rPr>
        <w:t xml:space="preserve"> We </w:t>
      </w:r>
      <w:r w:rsidRPr="00D6188E" w:rsidR="00277CB9">
        <w:rPr>
          <w:rFonts w:ascii="Times New Roman" w:hAnsi="Times New Roman"/>
          <w:sz w:val="24"/>
          <w:szCs w:val="24"/>
        </w:rPr>
        <w:t xml:space="preserve">mail, or hand a letter to respondents (see Attachment M1. IPS Fidelity Assessment Participant Invitation Letter) describing the IPS interview with the proposed date and time. </w:t>
      </w:r>
      <w:r>
        <w:rPr>
          <w:rFonts w:ascii="Times New Roman" w:hAnsi="Times New Roman"/>
          <w:sz w:val="24"/>
          <w:szCs w:val="24"/>
        </w:rPr>
        <w:t xml:space="preserve"> We </w:t>
      </w:r>
      <w:r w:rsidRPr="00D6188E" w:rsidR="00277CB9">
        <w:rPr>
          <w:rFonts w:ascii="Times New Roman" w:hAnsi="Times New Roman"/>
          <w:sz w:val="24"/>
          <w:szCs w:val="24"/>
        </w:rPr>
        <w:t>follow up with a phone call (see Attachment M2. IPS Fidelity Assessment Participant Phone Call Sample Script) to the respondent to confirm interest in attending (see Attachment M3, IPS Fidelity Assessment Participant Consent Script).</w:t>
      </w:r>
    </w:p>
    <w:p w:rsidRPr="00590E5C" w:rsidR="006E0475" w:rsidP="00C10E93" w:rsidRDefault="006E0475" w14:paraId="21D29CCF" w14:textId="28659E54">
      <w:pPr>
        <w:ind w:left="1080"/>
        <w:rPr>
          <w:rFonts w:ascii="Times New Roman" w:hAnsi="Times New Roman" w:cs="Times New Roman"/>
          <w:sz w:val="24"/>
          <w:szCs w:val="24"/>
        </w:rPr>
      </w:pPr>
      <w:r w:rsidRPr="00590E5C">
        <w:rPr>
          <w:rFonts w:ascii="Times New Roman" w:hAnsi="Times New Roman" w:cs="Times New Roman"/>
          <w:b/>
          <w:sz w:val="24"/>
          <w:szCs w:val="24"/>
        </w:rPr>
        <w:t>Key Informant Interviews.</w:t>
      </w:r>
      <w:r w:rsidR="00A11498">
        <w:rPr>
          <w:rFonts w:ascii="Times New Roman" w:hAnsi="Times New Roman" w:cs="Times New Roman"/>
          <w:b/>
          <w:sz w:val="24"/>
          <w:szCs w:val="24"/>
        </w:rPr>
        <w:t xml:space="preserve"> </w:t>
      </w:r>
      <w:r w:rsidRPr="00590E5C">
        <w:rPr>
          <w:rFonts w:ascii="Times New Roman" w:hAnsi="Times New Roman" w:cs="Times New Roman"/>
          <w:b/>
          <w:sz w:val="24"/>
          <w:szCs w:val="24"/>
        </w:rPr>
        <w:t xml:space="preserve"> </w:t>
      </w:r>
      <w:r w:rsidRPr="00590E5C">
        <w:rPr>
          <w:rFonts w:ascii="Times New Roman" w:hAnsi="Times New Roman" w:cs="Times New Roman"/>
          <w:sz w:val="24"/>
          <w:szCs w:val="24"/>
        </w:rPr>
        <w:t xml:space="preserve">In contract Years 2 through 5, </w:t>
      </w:r>
      <w:r w:rsidR="00D6188E">
        <w:rPr>
          <w:rFonts w:ascii="Times New Roman" w:hAnsi="Times New Roman" w:cs="Times New Roman"/>
          <w:sz w:val="24"/>
          <w:szCs w:val="24"/>
        </w:rPr>
        <w:t xml:space="preserve">at each of the 30 sites we </w:t>
      </w:r>
      <w:r w:rsidRPr="00590E5C">
        <w:rPr>
          <w:rFonts w:ascii="Times New Roman" w:hAnsi="Times New Roman" w:cs="Times New Roman"/>
          <w:sz w:val="24"/>
          <w:szCs w:val="24"/>
        </w:rPr>
        <w:t xml:space="preserve">conduct semi-structured key informant interviews with the IPS specialist, the nurse care coordinator, the case manager, and the director of the facility (see Attachment N. Key Informant Interview Administrator Initial; Attachment O. Key Informant Interview Administrator Follow Up; Attachment P. Key Informant Interview Clinician Initial; and Attachment Q. Key Informant Interview Clinician Follow Up). </w:t>
      </w:r>
      <w:r w:rsidR="00A11498">
        <w:rPr>
          <w:rFonts w:ascii="Times New Roman" w:hAnsi="Times New Roman" w:cs="Times New Roman"/>
          <w:sz w:val="24"/>
          <w:szCs w:val="24"/>
        </w:rPr>
        <w:t xml:space="preserve"> </w:t>
      </w:r>
      <w:r w:rsidR="00D6188E">
        <w:rPr>
          <w:rFonts w:ascii="Times New Roman" w:hAnsi="Times New Roman" w:cs="Times New Roman"/>
          <w:sz w:val="24"/>
          <w:szCs w:val="24"/>
        </w:rPr>
        <w:t>The</w:t>
      </w:r>
      <w:r w:rsidR="00A11498">
        <w:rPr>
          <w:rFonts w:ascii="Times New Roman" w:hAnsi="Times New Roman" w:cs="Times New Roman"/>
          <w:sz w:val="24"/>
          <w:szCs w:val="24"/>
        </w:rPr>
        <w:t xml:space="preserve"> </w:t>
      </w:r>
      <w:r w:rsidRPr="00590E5C">
        <w:rPr>
          <w:rFonts w:ascii="Times New Roman" w:hAnsi="Times New Roman" w:cs="Times New Roman"/>
          <w:sz w:val="24"/>
          <w:szCs w:val="24"/>
        </w:rPr>
        <w:t xml:space="preserve">key informant interviews to </w:t>
      </w:r>
      <w:r w:rsidRPr="00590E5C">
        <w:rPr>
          <w:rFonts w:ascii="Times New Roman" w:hAnsi="Times New Roman" w:cs="Times New Roman"/>
          <w:sz w:val="24"/>
          <w:szCs w:val="24"/>
        </w:rPr>
        <w:lastRenderedPageBreak/>
        <w:t xml:space="preserve">take up to 60 minutes. </w:t>
      </w:r>
      <w:r w:rsidR="00A11498">
        <w:rPr>
          <w:rFonts w:ascii="Times New Roman" w:hAnsi="Times New Roman" w:cs="Times New Roman"/>
          <w:sz w:val="24"/>
          <w:szCs w:val="24"/>
        </w:rPr>
        <w:t xml:space="preserve"> </w:t>
      </w:r>
      <w:r w:rsidRPr="00590E5C">
        <w:rPr>
          <w:rFonts w:ascii="Times New Roman" w:hAnsi="Times New Roman" w:cs="Times New Roman"/>
          <w:sz w:val="24"/>
          <w:szCs w:val="24"/>
        </w:rPr>
        <w:t>Interv</w:t>
      </w:r>
      <w:r w:rsidR="00A11498">
        <w:rPr>
          <w:rFonts w:ascii="Times New Roman" w:hAnsi="Times New Roman" w:cs="Times New Roman"/>
          <w:sz w:val="24"/>
          <w:szCs w:val="24"/>
        </w:rPr>
        <w:t>iews cover topics such as: agency funding streams;</w:t>
      </w:r>
      <w:r w:rsidRPr="00590E5C">
        <w:rPr>
          <w:rFonts w:ascii="Times New Roman" w:hAnsi="Times New Roman" w:cs="Times New Roman"/>
          <w:sz w:val="24"/>
          <w:szCs w:val="24"/>
        </w:rPr>
        <w:t xml:space="preserve"> challenges and successes of </w:t>
      </w:r>
      <w:r w:rsidR="005F2C54">
        <w:rPr>
          <w:rFonts w:ascii="Times New Roman" w:hAnsi="Times New Roman" w:cs="Times New Roman"/>
          <w:sz w:val="24"/>
          <w:szCs w:val="24"/>
        </w:rPr>
        <w:t>demonstration</w:t>
      </w:r>
      <w:r w:rsidR="00A11498">
        <w:rPr>
          <w:rFonts w:ascii="Times New Roman" w:hAnsi="Times New Roman" w:cs="Times New Roman"/>
          <w:sz w:val="24"/>
          <w:szCs w:val="24"/>
        </w:rPr>
        <w:t xml:space="preserve"> implementation; sustainability;</w:t>
      </w:r>
      <w:r w:rsidRPr="00590E5C">
        <w:rPr>
          <w:rFonts w:ascii="Times New Roman" w:hAnsi="Times New Roman" w:cs="Times New Roman"/>
          <w:sz w:val="24"/>
          <w:szCs w:val="24"/>
        </w:rPr>
        <w:t xml:space="preserve"> participant outcomes</w:t>
      </w:r>
      <w:r w:rsidR="00A11498">
        <w:rPr>
          <w:rFonts w:ascii="Times New Roman" w:hAnsi="Times New Roman" w:cs="Times New Roman"/>
          <w:sz w:val="24"/>
          <w:szCs w:val="24"/>
        </w:rPr>
        <w:t>;</w:t>
      </w:r>
      <w:r w:rsidRPr="00590E5C">
        <w:rPr>
          <w:rFonts w:ascii="Times New Roman" w:hAnsi="Times New Roman" w:cs="Times New Roman"/>
          <w:sz w:val="24"/>
          <w:szCs w:val="24"/>
        </w:rPr>
        <w:t xml:space="preserve"> and recommendations. </w:t>
      </w:r>
      <w:r w:rsidR="00A11498">
        <w:rPr>
          <w:rFonts w:ascii="Times New Roman" w:hAnsi="Times New Roman" w:cs="Times New Roman"/>
          <w:sz w:val="24"/>
          <w:szCs w:val="24"/>
        </w:rPr>
        <w:t xml:space="preserve"> </w:t>
      </w:r>
      <w:r w:rsidRPr="00590E5C">
        <w:rPr>
          <w:rFonts w:ascii="Times New Roman" w:hAnsi="Times New Roman" w:cs="Times New Roman"/>
          <w:sz w:val="24"/>
          <w:szCs w:val="24"/>
        </w:rPr>
        <w:t xml:space="preserve">In Years 2 and </w:t>
      </w:r>
      <w:r w:rsidR="007C5852">
        <w:rPr>
          <w:rFonts w:ascii="Times New Roman" w:hAnsi="Times New Roman" w:cs="Times New Roman"/>
          <w:sz w:val="24"/>
          <w:szCs w:val="24"/>
        </w:rPr>
        <w:t xml:space="preserve">3, evaluation team members </w:t>
      </w:r>
      <w:r w:rsidRPr="00590E5C">
        <w:rPr>
          <w:rFonts w:ascii="Times New Roman" w:hAnsi="Times New Roman" w:cs="Times New Roman"/>
          <w:sz w:val="24"/>
          <w:szCs w:val="24"/>
        </w:rPr>
        <w:t xml:space="preserve">conduct these interviews in person; in Years 4 and 5 they will conduct these interviews by telephone. </w:t>
      </w:r>
      <w:r w:rsidR="00A11498">
        <w:rPr>
          <w:rFonts w:ascii="Times New Roman" w:hAnsi="Times New Roman" w:cs="Times New Roman"/>
          <w:sz w:val="24"/>
          <w:szCs w:val="24"/>
        </w:rPr>
        <w:t xml:space="preserve"> </w:t>
      </w:r>
      <w:r w:rsidR="007C5852">
        <w:rPr>
          <w:rFonts w:ascii="Times New Roman" w:hAnsi="Times New Roman" w:cs="Times New Roman"/>
          <w:sz w:val="24"/>
          <w:szCs w:val="24"/>
        </w:rPr>
        <w:t xml:space="preserve">We </w:t>
      </w:r>
      <w:r w:rsidRPr="00590E5C">
        <w:rPr>
          <w:rFonts w:ascii="Times New Roman" w:hAnsi="Times New Roman" w:cs="Times New Roman"/>
          <w:sz w:val="24"/>
          <w:szCs w:val="24"/>
        </w:rPr>
        <w:t>interview</w:t>
      </w:r>
      <w:r w:rsidR="002D7C86">
        <w:rPr>
          <w:rFonts w:ascii="Times New Roman" w:hAnsi="Times New Roman" w:cs="Times New Roman"/>
          <w:sz w:val="24"/>
          <w:szCs w:val="24"/>
        </w:rPr>
        <w:t xml:space="preserve"> up t</w:t>
      </w:r>
      <w:r w:rsidRPr="00590E5C">
        <w:rPr>
          <w:rFonts w:ascii="Times New Roman" w:hAnsi="Times New Roman" w:cs="Times New Roman"/>
          <w:sz w:val="24"/>
          <w:szCs w:val="24"/>
        </w:rPr>
        <w:t xml:space="preserve">o 4 key informants at each site for a total of up to 240 in-person interviews in Years 2 and 3 and 240 telephone interviews in Years 4 and 5, or 480 key informant interviews combined. </w:t>
      </w:r>
    </w:p>
    <w:p w:rsidRPr="00590E5C" w:rsidR="006E0475" w:rsidP="00277CB9" w:rsidRDefault="006E0475" w14:paraId="6AD20520" w14:textId="5E712D55">
      <w:pPr>
        <w:ind w:left="1080"/>
        <w:rPr>
          <w:rFonts w:ascii="Times New Roman" w:hAnsi="Times New Roman" w:cs="Times New Roman"/>
          <w:sz w:val="24"/>
          <w:szCs w:val="24"/>
        </w:rPr>
      </w:pPr>
      <w:r w:rsidRPr="00590E5C">
        <w:rPr>
          <w:rFonts w:ascii="Times New Roman" w:hAnsi="Times New Roman" w:cs="Times New Roman"/>
          <w:b/>
          <w:sz w:val="24"/>
          <w:szCs w:val="24"/>
        </w:rPr>
        <w:t>Focus Groups.</w:t>
      </w:r>
      <w:r w:rsidR="002D7C86">
        <w:rPr>
          <w:rFonts w:ascii="Times New Roman" w:hAnsi="Times New Roman" w:cs="Times New Roman"/>
          <w:b/>
          <w:sz w:val="24"/>
          <w:szCs w:val="24"/>
        </w:rPr>
        <w:t xml:space="preserve"> </w:t>
      </w:r>
      <w:r w:rsidRPr="00590E5C">
        <w:rPr>
          <w:rFonts w:ascii="Times New Roman" w:hAnsi="Times New Roman" w:cs="Times New Roman"/>
          <w:sz w:val="24"/>
          <w:szCs w:val="24"/>
        </w:rPr>
        <w:t xml:space="preserve"> In contract Years 2 and 4, at each of the 30 sites</w:t>
      </w:r>
      <w:r w:rsidR="002D7C86">
        <w:rPr>
          <w:rFonts w:ascii="Times New Roman" w:hAnsi="Times New Roman" w:cs="Times New Roman"/>
          <w:sz w:val="24"/>
          <w:szCs w:val="24"/>
        </w:rPr>
        <w:t>,</w:t>
      </w:r>
      <w:r w:rsidR="007C5852">
        <w:rPr>
          <w:rFonts w:ascii="Times New Roman" w:hAnsi="Times New Roman" w:cs="Times New Roman"/>
          <w:sz w:val="24"/>
          <w:szCs w:val="24"/>
        </w:rPr>
        <w:t xml:space="preserve"> we </w:t>
      </w:r>
      <w:r w:rsidRPr="00590E5C">
        <w:rPr>
          <w:rFonts w:ascii="Times New Roman" w:hAnsi="Times New Roman" w:cs="Times New Roman"/>
          <w:sz w:val="24"/>
          <w:szCs w:val="24"/>
        </w:rPr>
        <w:t>conduct 2 focus gro</w:t>
      </w:r>
      <w:r w:rsidR="00971F30">
        <w:rPr>
          <w:rFonts w:ascii="Times New Roman" w:hAnsi="Times New Roman" w:cs="Times New Roman"/>
          <w:sz w:val="24"/>
          <w:szCs w:val="24"/>
        </w:rPr>
        <w:t>u</w:t>
      </w:r>
      <w:r w:rsidR="002C07FD">
        <w:rPr>
          <w:rFonts w:ascii="Times New Roman" w:hAnsi="Times New Roman" w:cs="Times New Roman"/>
          <w:sz w:val="24"/>
          <w:szCs w:val="24"/>
        </w:rPr>
        <w:t xml:space="preserve">ps with treatment participants: </w:t>
      </w:r>
      <w:r w:rsidR="00A81007">
        <w:rPr>
          <w:rFonts w:ascii="Times New Roman" w:hAnsi="Times New Roman" w:cs="Times New Roman"/>
          <w:sz w:val="24"/>
          <w:szCs w:val="24"/>
        </w:rPr>
        <w:t xml:space="preserve"> </w:t>
      </w:r>
      <w:r w:rsidRPr="00590E5C">
        <w:rPr>
          <w:rFonts w:ascii="Times New Roman" w:hAnsi="Times New Roman" w:cs="Times New Roman"/>
          <w:sz w:val="24"/>
          <w:szCs w:val="24"/>
        </w:rPr>
        <w:t>one with Full-Service Treatment participants and one with Basic-Service Treatment participants (see Attachment R</w:t>
      </w:r>
      <w:r w:rsidRPr="00590E5C" w:rsidR="00EA4A56">
        <w:rPr>
          <w:rFonts w:ascii="Times New Roman" w:hAnsi="Times New Roman" w:cs="Times New Roman"/>
          <w:sz w:val="24"/>
          <w:szCs w:val="24"/>
        </w:rPr>
        <w:t>3</w:t>
      </w:r>
      <w:r w:rsidRPr="00590E5C">
        <w:rPr>
          <w:rFonts w:ascii="Times New Roman" w:hAnsi="Times New Roman" w:cs="Times New Roman"/>
          <w:sz w:val="24"/>
          <w:szCs w:val="24"/>
        </w:rPr>
        <w:t xml:space="preserve">. Participant Focus Group Guide). </w:t>
      </w:r>
      <w:r w:rsidR="007C5852">
        <w:rPr>
          <w:rFonts w:ascii="Times New Roman" w:hAnsi="Times New Roman" w:cs="Times New Roman"/>
          <w:sz w:val="24"/>
          <w:szCs w:val="24"/>
        </w:rPr>
        <w:t xml:space="preserve"> The IPS </w:t>
      </w:r>
      <w:r w:rsidR="002D7C86">
        <w:rPr>
          <w:rFonts w:ascii="Times New Roman" w:hAnsi="Times New Roman" w:cs="Times New Roman"/>
          <w:sz w:val="24"/>
          <w:szCs w:val="24"/>
        </w:rPr>
        <w:t>select</w:t>
      </w:r>
      <w:r w:rsidR="007C5852">
        <w:rPr>
          <w:rFonts w:ascii="Times New Roman" w:hAnsi="Times New Roman" w:cs="Times New Roman"/>
          <w:sz w:val="24"/>
          <w:szCs w:val="24"/>
        </w:rPr>
        <w:t>s</w:t>
      </w:r>
      <w:r w:rsidR="002D7C86">
        <w:rPr>
          <w:rFonts w:ascii="Times New Roman" w:hAnsi="Times New Roman" w:cs="Times New Roman"/>
          <w:sz w:val="24"/>
          <w:szCs w:val="24"/>
        </w:rPr>
        <w:t xml:space="preserve"> potential</w:t>
      </w:r>
      <w:r w:rsidRPr="00590E5C">
        <w:rPr>
          <w:rFonts w:ascii="Times New Roman" w:hAnsi="Times New Roman" w:cs="Times New Roman"/>
          <w:sz w:val="24"/>
          <w:szCs w:val="24"/>
        </w:rPr>
        <w:t xml:space="preserve"> participants</w:t>
      </w:r>
      <w:r w:rsidRPr="00590E5C" w:rsidR="00483B8B">
        <w:rPr>
          <w:rFonts w:ascii="Times New Roman" w:hAnsi="Times New Roman" w:cs="Times New Roman"/>
          <w:sz w:val="24"/>
          <w:szCs w:val="24"/>
        </w:rPr>
        <w:t xml:space="preserve"> </w:t>
      </w:r>
      <w:r w:rsidRPr="00590E5C">
        <w:rPr>
          <w:rFonts w:ascii="Times New Roman" w:hAnsi="Times New Roman" w:cs="Times New Roman"/>
          <w:sz w:val="24"/>
          <w:szCs w:val="24"/>
        </w:rPr>
        <w:t xml:space="preserve">to represent a diversity of participants by gender, race, ethnicity, age, employment status, and employment type. </w:t>
      </w:r>
      <w:r w:rsidR="007C5852">
        <w:rPr>
          <w:rFonts w:ascii="Times New Roman" w:hAnsi="Times New Roman" w:cs="Times New Roman"/>
          <w:sz w:val="24"/>
          <w:szCs w:val="24"/>
        </w:rPr>
        <w:t xml:space="preserve"> We</w:t>
      </w:r>
      <w:r w:rsidR="00277CB9">
        <w:rPr>
          <w:rFonts w:ascii="Times New Roman" w:hAnsi="Times New Roman" w:cs="Times New Roman"/>
          <w:sz w:val="24"/>
          <w:szCs w:val="24"/>
        </w:rPr>
        <w:t xml:space="preserve"> mail, </w:t>
      </w:r>
      <w:r w:rsidR="002D7C86">
        <w:rPr>
          <w:rFonts w:ascii="Times New Roman" w:hAnsi="Times New Roman" w:cs="Times New Roman"/>
          <w:sz w:val="24"/>
          <w:szCs w:val="24"/>
        </w:rPr>
        <w:t>or hand a letter to p</w:t>
      </w:r>
      <w:r w:rsidRPr="00590E5C" w:rsidR="002D7C86">
        <w:rPr>
          <w:rFonts w:ascii="Times New Roman" w:hAnsi="Times New Roman" w:cs="Times New Roman"/>
          <w:sz w:val="24"/>
          <w:szCs w:val="24"/>
        </w:rPr>
        <w:t>articipants (</w:t>
      </w:r>
      <w:r w:rsidRPr="00590E5C" w:rsidR="00EA4A56">
        <w:rPr>
          <w:rFonts w:ascii="Times New Roman" w:hAnsi="Times New Roman" w:cs="Times New Roman"/>
          <w:sz w:val="24"/>
          <w:szCs w:val="24"/>
        </w:rPr>
        <w:t xml:space="preserve">see Attachment R1. Participant Focus Group Invitation Letter) </w:t>
      </w:r>
      <w:r w:rsidRPr="00590E5C">
        <w:rPr>
          <w:rFonts w:ascii="Times New Roman" w:hAnsi="Times New Roman" w:cs="Times New Roman"/>
          <w:sz w:val="24"/>
          <w:szCs w:val="24"/>
        </w:rPr>
        <w:t>describing the focus group with the proposed date and time.</w:t>
      </w:r>
      <w:r w:rsidR="002D7C86">
        <w:rPr>
          <w:rFonts w:ascii="Times New Roman" w:hAnsi="Times New Roman" w:cs="Times New Roman"/>
          <w:sz w:val="24"/>
          <w:szCs w:val="24"/>
        </w:rPr>
        <w:t xml:space="preserve"> </w:t>
      </w:r>
      <w:r w:rsidRPr="00590E5C">
        <w:rPr>
          <w:rFonts w:ascii="Times New Roman" w:hAnsi="Times New Roman" w:cs="Times New Roman"/>
          <w:sz w:val="24"/>
          <w:szCs w:val="24"/>
        </w:rPr>
        <w:t xml:space="preserve"> </w:t>
      </w:r>
      <w:r w:rsidR="00277CB9">
        <w:rPr>
          <w:rFonts w:ascii="Times New Roman" w:hAnsi="Times New Roman"/>
        </w:rPr>
        <w:t>We</w:t>
      </w:r>
      <w:r w:rsidR="007C5852">
        <w:rPr>
          <w:rFonts w:ascii="Times New Roman" w:hAnsi="Times New Roman"/>
        </w:rPr>
        <w:t xml:space="preserve"> </w:t>
      </w:r>
      <w:r w:rsidRPr="00590E5C" w:rsidR="00277CB9">
        <w:rPr>
          <w:rFonts w:ascii="Times New Roman" w:hAnsi="Times New Roman"/>
        </w:rPr>
        <w:t xml:space="preserve">follow up with a phone call </w:t>
      </w:r>
      <w:r w:rsidRPr="00590E5C" w:rsidR="00277CB9">
        <w:rPr>
          <w:rFonts w:ascii="Times New Roman" w:hAnsi="Times New Roman"/>
        </w:rPr>
        <w:lastRenderedPageBreak/>
        <w:t>(see Attachment R2. Participant Focus Group Phone Call Sample Script) to the participant t</w:t>
      </w:r>
      <w:r w:rsidR="007C5852">
        <w:rPr>
          <w:rFonts w:ascii="Times New Roman" w:hAnsi="Times New Roman"/>
        </w:rPr>
        <w:t>o confirm interest in attending.  Focus</w:t>
      </w:r>
      <w:r w:rsidRPr="00590E5C">
        <w:rPr>
          <w:rFonts w:ascii="Times New Roman" w:hAnsi="Times New Roman" w:cs="Times New Roman"/>
          <w:sz w:val="24"/>
          <w:szCs w:val="24"/>
        </w:rPr>
        <w:t xml:space="preserve"> group topics </w:t>
      </w:r>
      <w:r w:rsidR="002C07FD">
        <w:rPr>
          <w:rFonts w:ascii="Times New Roman" w:hAnsi="Times New Roman" w:cs="Times New Roman"/>
          <w:sz w:val="24"/>
          <w:szCs w:val="24"/>
        </w:rPr>
        <w:t>t</w:t>
      </w:r>
      <w:r w:rsidRPr="00590E5C">
        <w:rPr>
          <w:rFonts w:ascii="Times New Roman" w:hAnsi="Times New Roman" w:cs="Times New Roman"/>
          <w:sz w:val="24"/>
          <w:szCs w:val="24"/>
        </w:rPr>
        <w:t>o take u</w:t>
      </w:r>
      <w:r w:rsidR="007C5852">
        <w:rPr>
          <w:rFonts w:ascii="Times New Roman" w:hAnsi="Times New Roman" w:cs="Times New Roman"/>
          <w:sz w:val="24"/>
          <w:szCs w:val="24"/>
        </w:rPr>
        <w:t xml:space="preserve">p to 60 minutes and cover:  </w:t>
      </w:r>
      <w:r w:rsidRPr="00590E5C">
        <w:rPr>
          <w:rFonts w:ascii="Times New Roman" w:hAnsi="Times New Roman" w:cs="Times New Roman"/>
          <w:sz w:val="24"/>
          <w:szCs w:val="24"/>
        </w:rPr>
        <w:t>perceive</w:t>
      </w:r>
      <w:r w:rsidR="002C07FD">
        <w:rPr>
          <w:rFonts w:ascii="Times New Roman" w:hAnsi="Times New Roman" w:cs="Times New Roman"/>
          <w:sz w:val="24"/>
          <w:szCs w:val="24"/>
        </w:rPr>
        <w:t>d quality of services delivered;</w:t>
      </w:r>
      <w:r w:rsidRPr="00590E5C">
        <w:rPr>
          <w:rFonts w:ascii="Times New Roman" w:hAnsi="Times New Roman" w:cs="Times New Roman"/>
          <w:sz w:val="24"/>
          <w:szCs w:val="24"/>
        </w:rPr>
        <w:t xml:space="preserve"> preferences among types of employ</w:t>
      </w:r>
      <w:r w:rsidR="002C07FD">
        <w:rPr>
          <w:rFonts w:ascii="Times New Roman" w:hAnsi="Times New Roman" w:cs="Times New Roman"/>
          <w:sz w:val="24"/>
          <w:szCs w:val="24"/>
        </w:rPr>
        <w:t>ment and mental health services;</w:t>
      </w:r>
      <w:r w:rsidRPr="00590E5C">
        <w:rPr>
          <w:rFonts w:ascii="Times New Roman" w:hAnsi="Times New Roman" w:cs="Times New Roman"/>
          <w:sz w:val="24"/>
          <w:szCs w:val="24"/>
        </w:rPr>
        <w:t xml:space="preserve"> barriers to </w:t>
      </w:r>
      <w:r w:rsidR="002C07FD">
        <w:rPr>
          <w:rFonts w:ascii="Times New Roman" w:hAnsi="Times New Roman" w:cs="Times New Roman"/>
          <w:sz w:val="24"/>
          <w:szCs w:val="24"/>
        </w:rPr>
        <w:t>employment;</w:t>
      </w:r>
      <w:r w:rsidRPr="00590E5C">
        <w:rPr>
          <w:rFonts w:ascii="Times New Roman" w:hAnsi="Times New Roman" w:cs="Times New Roman"/>
          <w:sz w:val="24"/>
          <w:szCs w:val="24"/>
        </w:rPr>
        <w:t xml:space="preserve"> perceived availability of</w:t>
      </w:r>
      <w:r w:rsidR="002C07FD">
        <w:rPr>
          <w:rFonts w:ascii="Times New Roman" w:hAnsi="Times New Roman" w:cs="Times New Roman"/>
          <w:sz w:val="24"/>
          <w:szCs w:val="24"/>
        </w:rPr>
        <w:t xml:space="preserve"> community employment resources;</w:t>
      </w:r>
      <w:r w:rsidRPr="00590E5C">
        <w:rPr>
          <w:rFonts w:ascii="Times New Roman" w:hAnsi="Times New Roman" w:cs="Times New Roman"/>
          <w:sz w:val="24"/>
          <w:szCs w:val="24"/>
        </w:rPr>
        <w:t xml:space="preserve"> and experiences of supported employment. </w:t>
      </w:r>
      <w:r w:rsidR="002D7C86">
        <w:rPr>
          <w:rFonts w:ascii="Times New Roman" w:hAnsi="Times New Roman" w:cs="Times New Roman"/>
          <w:sz w:val="24"/>
          <w:szCs w:val="24"/>
        </w:rPr>
        <w:t xml:space="preserve"> </w:t>
      </w:r>
      <w:r w:rsidRPr="00590E5C">
        <w:rPr>
          <w:rFonts w:ascii="Times New Roman" w:hAnsi="Times New Roman" w:cs="Times New Roman"/>
          <w:sz w:val="24"/>
          <w:szCs w:val="24"/>
        </w:rPr>
        <w:t>We aim to include at least 6 participants and no more than 10 participants in each focus group, for a total of up to 1200 participants (20 participants x 30 sites x 2) in the focus groups combined</w:t>
      </w:r>
      <w:r w:rsidRPr="00590E5C" w:rsidR="00116221">
        <w:rPr>
          <w:rFonts w:ascii="Times New Roman" w:hAnsi="Times New Roman" w:cs="Times New Roman"/>
          <w:sz w:val="24"/>
          <w:szCs w:val="24"/>
        </w:rPr>
        <w:t xml:space="preserve">.  </w:t>
      </w:r>
      <w:r w:rsidR="007C5852">
        <w:rPr>
          <w:rFonts w:ascii="Times New Roman" w:hAnsi="Times New Roman" w:cs="Times New Roman"/>
          <w:sz w:val="24"/>
          <w:szCs w:val="24"/>
        </w:rPr>
        <w:t xml:space="preserve">Each participant </w:t>
      </w:r>
      <w:r w:rsidRPr="00590E5C">
        <w:rPr>
          <w:rFonts w:ascii="Times New Roman" w:hAnsi="Times New Roman" w:cs="Times New Roman"/>
          <w:sz w:val="24"/>
          <w:szCs w:val="24"/>
        </w:rPr>
        <w:t>receive</w:t>
      </w:r>
      <w:r w:rsidR="007C5852">
        <w:rPr>
          <w:rFonts w:ascii="Times New Roman" w:hAnsi="Times New Roman" w:cs="Times New Roman"/>
          <w:sz w:val="24"/>
          <w:szCs w:val="24"/>
        </w:rPr>
        <w:t>s</w:t>
      </w:r>
      <w:r w:rsidRPr="00590E5C">
        <w:rPr>
          <w:rFonts w:ascii="Times New Roman" w:hAnsi="Times New Roman" w:cs="Times New Roman"/>
          <w:sz w:val="24"/>
          <w:szCs w:val="24"/>
        </w:rPr>
        <w:t xml:space="preserve"> $40 for attending the focus group. </w:t>
      </w:r>
    </w:p>
    <w:p w:rsidRPr="00590E5C" w:rsidR="006E0475" w:rsidP="00C10E93" w:rsidRDefault="006E0475" w14:paraId="4F91F153" w14:textId="30C03A63">
      <w:pPr>
        <w:ind w:left="1080"/>
        <w:rPr>
          <w:rFonts w:ascii="Times New Roman" w:hAnsi="Times New Roman" w:cs="Times New Roman"/>
          <w:sz w:val="24"/>
          <w:szCs w:val="24"/>
        </w:rPr>
      </w:pPr>
      <w:r w:rsidRPr="00590E5C">
        <w:rPr>
          <w:rFonts w:ascii="Times New Roman" w:hAnsi="Times New Roman" w:cs="Times New Roman"/>
          <w:b/>
          <w:sz w:val="24"/>
          <w:szCs w:val="24"/>
        </w:rPr>
        <w:t xml:space="preserve">Ethnographic Data Collection. </w:t>
      </w:r>
      <w:r w:rsidR="002D7C86">
        <w:rPr>
          <w:rFonts w:ascii="Times New Roman" w:hAnsi="Times New Roman" w:cs="Times New Roman"/>
          <w:b/>
          <w:sz w:val="24"/>
          <w:szCs w:val="24"/>
        </w:rPr>
        <w:t xml:space="preserve"> </w:t>
      </w:r>
      <w:r w:rsidRPr="00590E5C">
        <w:rPr>
          <w:rFonts w:ascii="Times New Roman" w:hAnsi="Times New Roman" w:cs="Times New Roman"/>
          <w:sz w:val="24"/>
          <w:szCs w:val="24"/>
        </w:rPr>
        <w:t>In contract Y</w:t>
      </w:r>
      <w:r w:rsidR="007C5852">
        <w:rPr>
          <w:rFonts w:ascii="Times New Roman" w:hAnsi="Times New Roman" w:cs="Times New Roman"/>
          <w:sz w:val="24"/>
          <w:szCs w:val="24"/>
        </w:rPr>
        <w:t>ears 2 through 5, we</w:t>
      </w:r>
      <w:r w:rsidRPr="00590E5C">
        <w:rPr>
          <w:rFonts w:ascii="Times New Roman" w:hAnsi="Times New Roman" w:cs="Times New Roman"/>
          <w:sz w:val="24"/>
          <w:szCs w:val="24"/>
        </w:rPr>
        <w:t xml:space="preserve"> conduct ethnographic data collection consisting of observations in the natural environment</w:t>
      </w:r>
      <w:r w:rsidR="00A81007">
        <w:rPr>
          <w:rFonts w:ascii="Times New Roman" w:hAnsi="Times New Roman" w:cs="Times New Roman"/>
          <w:sz w:val="24"/>
          <w:szCs w:val="24"/>
        </w:rPr>
        <w:t>,</w:t>
      </w:r>
      <w:r w:rsidRPr="00590E5C">
        <w:rPr>
          <w:rFonts w:ascii="Times New Roman" w:hAnsi="Times New Roman" w:cs="Times New Roman"/>
          <w:sz w:val="24"/>
          <w:szCs w:val="24"/>
        </w:rPr>
        <w:t xml:space="preserve"> and person-centered interviews with participants and non-participants (Attachment S</w:t>
      </w:r>
      <w:r w:rsidRPr="00590E5C" w:rsidR="008C5E84">
        <w:rPr>
          <w:rFonts w:ascii="Times New Roman" w:hAnsi="Times New Roman" w:cs="Times New Roman"/>
          <w:sz w:val="24"/>
          <w:szCs w:val="24"/>
        </w:rPr>
        <w:t>6</w:t>
      </w:r>
      <w:r w:rsidRPr="00590E5C">
        <w:rPr>
          <w:rFonts w:ascii="Times New Roman" w:hAnsi="Times New Roman" w:cs="Times New Roman"/>
          <w:sz w:val="24"/>
          <w:szCs w:val="24"/>
        </w:rPr>
        <w:t>. Ethnographic Observation Template)</w:t>
      </w:r>
      <w:r w:rsidRPr="00590E5C" w:rsidR="00116221">
        <w:rPr>
          <w:rFonts w:ascii="Times New Roman" w:hAnsi="Times New Roman" w:cs="Times New Roman"/>
          <w:sz w:val="24"/>
          <w:szCs w:val="24"/>
        </w:rPr>
        <w:t xml:space="preserve">.  </w:t>
      </w:r>
      <w:r w:rsidRPr="00590E5C">
        <w:rPr>
          <w:rFonts w:ascii="Times New Roman" w:hAnsi="Times New Roman" w:cs="Times New Roman"/>
          <w:sz w:val="24"/>
          <w:szCs w:val="24"/>
        </w:rPr>
        <w:t>With participants’ permissi</w:t>
      </w:r>
      <w:r w:rsidR="007C5852">
        <w:rPr>
          <w:rFonts w:ascii="Times New Roman" w:hAnsi="Times New Roman" w:cs="Times New Roman"/>
          <w:sz w:val="24"/>
          <w:szCs w:val="24"/>
        </w:rPr>
        <w:t>on, evaluation team members</w:t>
      </w:r>
      <w:r w:rsidRPr="00590E5C">
        <w:rPr>
          <w:rFonts w:ascii="Times New Roman" w:hAnsi="Times New Roman" w:cs="Times New Roman"/>
          <w:sz w:val="24"/>
          <w:szCs w:val="24"/>
        </w:rPr>
        <w:t xml:space="preserve"> observe participants and non-participants in natural en</w:t>
      </w:r>
      <w:r w:rsidR="00282FC3">
        <w:rPr>
          <w:rFonts w:ascii="Times New Roman" w:hAnsi="Times New Roman" w:cs="Times New Roman"/>
          <w:sz w:val="24"/>
          <w:szCs w:val="24"/>
        </w:rPr>
        <w:t xml:space="preserve">vironments such as: </w:t>
      </w:r>
      <w:r w:rsidR="00A81007">
        <w:rPr>
          <w:rFonts w:ascii="Times New Roman" w:hAnsi="Times New Roman" w:cs="Times New Roman"/>
          <w:sz w:val="24"/>
          <w:szCs w:val="24"/>
        </w:rPr>
        <w:t xml:space="preserve"> </w:t>
      </w:r>
      <w:r w:rsidR="00282FC3">
        <w:rPr>
          <w:rFonts w:ascii="Times New Roman" w:hAnsi="Times New Roman" w:cs="Times New Roman"/>
          <w:sz w:val="24"/>
          <w:szCs w:val="24"/>
        </w:rPr>
        <w:t xml:space="preserve">workplaces; family homes; churches; community settings; treatment settings; </w:t>
      </w:r>
      <w:r w:rsidRPr="00590E5C">
        <w:rPr>
          <w:rFonts w:ascii="Times New Roman" w:hAnsi="Times New Roman" w:cs="Times New Roman"/>
          <w:sz w:val="24"/>
          <w:szCs w:val="24"/>
        </w:rPr>
        <w:t>leisure acti</w:t>
      </w:r>
      <w:r w:rsidR="00282FC3">
        <w:rPr>
          <w:rFonts w:ascii="Times New Roman" w:hAnsi="Times New Roman" w:cs="Times New Roman"/>
          <w:sz w:val="24"/>
          <w:szCs w:val="24"/>
        </w:rPr>
        <w:t>vities;</w:t>
      </w:r>
      <w:r w:rsidRPr="00590E5C">
        <w:rPr>
          <w:rFonts w:ascii="Times New Roman" w:hAnsi="Times New Roman" w:cs="Times New Roman"/>
          <w:sz w:val="24"/>
          <w:szCs w:val="24"/>
        </w:rPr>
        <w:t xml:space="preserve"> and other locations </w:t>
      </w:r>
      <w:r w:rsidRPr="00590E5C">
        <w:rPr>
          <w:rFonts w:ascii="Times New Roman" w:hAnsi="Times New Roman" w:cs="Times New Roman"/>
          <w:sz w:val="24"/>
          <w:szCs w:val="24"/>
        </w:rPr>
        <w:lastRenderedPageBreak/>
        <w:t xml:space="preserve">important for understanding the layered contexts in which participants sought disability benefits and now seek employment. </w:t>
      </w:r>
      <w:r w:rsidR="00282FC3">
        <w:rPr>
          <w:rFonts w:ascii="Times New Roman" w:hAnsi="Times New Roman" w:cs="Times New Roman"/>
          <w:sz w:val="24"/>
          <w:szCs w:val="24"/>
        </w:rPr>
        <w:t xml:space="preserve"> </w:t>
      </w:r>
      <w:r w:rsidR="007C5852">
        <w:rPr>
          <w:rFonts w:ascii="Times New Roman" w:hAnsi="Times New Roman" w:cs="Times New Roman"/>
          <w:sz w:val="24"/>
          <w:szCs w:val="24"/>
        </w:rPr>
        <w:t xml:space="preserve">The observations </w:t>
      </w:r>
      <w:r w:rsidRPr="00590E5C">
        <w:rPr>
          <w:rFonts w:ascii="Times New Roman" w:hAnsi="Times New Roman" w:cs="Times New Roman"/>
          <w:sz w:val="24"/>
          <w:szCs w:val="24"/>
        </w:rPr>
        <w:t xml:space="preserve">contribute to a holistic understanding of the constraints, opportunities, preferences, and assumptions that </w:t>
      </w:r>
      <w:r w:rsidRPr="00590E5C" w:rsidR="00282FC3">
        <w:rPr>
          <w:rFonts w:ascii="Times New Roman" w:hAnsi="Times New Roman" w:cs="Times New Roman"/>
          <w:sz w:val="24"/>
          <w:szCs w:val="24"/>
        </w:rPr>
        <w:t>affect</w:t>
      </w:r>
      <w:r w:rsidR="0052776C">
        <w:rPr>
          <w:rFonts w:ascii="Times New Roman" w:hAnsi="Times New Roman" w:cs="Times New Roman"/>
          <w:sz w:val="24"/>
          <w:szCs w:val="24"/>
        </w:rPr>
        <w:t xml:space="preserve"> employment and the </w:t>
      </w:r>
      <w:r w:rsidRPr="00590E5C">
        <w:rPr>
          <w:rFonts w:ascii="Times New Roman" w:hAnsi="Times New Roman" w:cs="Times New Roman"/>
          <w:sz w:val="24"/>
          <w:szCs w:val="24"/>
        </w:rPr>
        <w:t xml:space="preserve">mental health among those applying for SSA </w:t>
      </w:r>
      <w:r w:rsidRPr="00590E5C">
        <w:rPr>
          <w:rFonts w:ascii="Times New Roman" w:hAnsi="Times New Roman" w:cs="Times New Roman"/>
          <w:color w:val="000000" w:themeColor="text1"/>
          <w:sz w:val="24"/>
          <w:szCs w:val="24"/>
        </w:rPr>
        <w:t>disability</w:t>
      </w:r>
      <w:r w:rsidRPr="00590E5C">
        <w:rPr>
          <w:rFonts w:ascii="Times New Roman" w:hAnsi="Times New Roman" w:cs="Times New Roman"/>
          <w:sz w:val="24"/>
          <w:szCs w:val="24"/>
        </w:rPr>
        <w:t xml:space="preserve"> benefits. </w:t>
      </w:r>
      <w:r w:rsidR="00282FC3">
        <w:rPr>
          <w:rFonts w:ascii="Times New Roman" w:hAnsi="Times New Roman" w:cs="Times New Roman"/>
          <w:sz w:val="24"/>
          <w:szCs w:val="24"/>
        </w:rPr>
        <w:t xml:space="preserve"> </w:t>
      </w:r>
      <w:r w:rsidR="007C5852">
        <w:rPr>
          <w:rFonts w:ascii="Times New Roman" w:hAnsi="Times New Roman" w:cs="Times New Roman"/>
          <w:sz w:val="24"/>
          <w:szCs w:val="24"/>
        </w:rPr>
        <w:t>We do not</w:t>
      </w:r>
      <w:r w:rsidR="0052776C">
        <w:rPr>
          <w:rFonts w:ascii="Times New Roman" w:hAnsi="Times New Roman" w:cs="Times New Roman"/>
          <w:sz w:val="24"/>
          <w:szCs w:val="24"/>
        </w:rPr>
        <w:t xml:space="preserve"> determine t</w:t>
      </w:r>
      <w:r w:rsidRPr="00590E5C">
        <w:rPr>
          <w:rFonts w:ascii="Times New Roman" w:hAnsi="Times New Roman" w:cs="Times New Roman"/>
          <w:sz w:val="24"/>
          <w:szCs w:val="24"/>
        </w:rPr>
        <w:t xml:space="preserve">he specific locations for observation until the site visit team systematically gathers information about the environment of the treatment site. </w:t>
      </w:r>
      <w:r w:rsidR="007C5852">
        <w:rPr>
          <w:rFonts w:ascii="Times New Roman" w:hAnsi="Times New Roman" w:cs="Times New Roman"/>
          <w:sz w:val="24"/>
          <w:szCs w:val="24"/>
        </w:rPr>
        <w:t xml:space="preserve"> We </w:t>
      </w:r>
      <w:r w:rsidR="00282FC3">
        <w:rPr>
          <w:rFonts w:ascii="Times New Roman" w:hAnsi="Times New Roman" w:cs="Times New Roman"/>
          <w:sz w:val="24"/>
          <w:szCs w:val="24"/>
        </w:rPr>
        <w:t>choose s</w:t>
      </w:r>
      <w:r w:rsidRPr="00590E5C">
        <w:rPr>
          <w:rFonts w:ascii="Times New Roman" w:hAnsi="Times New Roman" w:cs="Times New Roman"/>
          <w:sz w:val="24"/>
          <w:szCs w:val="24"/>
        </w:rPr>
        <w:t>ome locations for ethnographic observation</w:t>
      </w:r>
      <w:r w:rsidR="007C5852">
        <w:rPr>
          <w:rFonts w:ascii="Times New Roman" w:hAnsi="Times New Roman" w:cs="Times New Roman"/>
          <w:sz w:val="24"/>
          <w:szCs w:val="24"/>
        </w:rPr>
        <w:t xml:space="preserve"> before</w:t>
      </w:r>
      <w:r w:rsidRPr="00590E5C">
        <w:rPr>
          <w:rFonts w:ascii="Times New Roman" w:hAnsi="Times New Roman" w:cs="Times New Roman"/>
          <w:sz w:val="24"/>
          <w:szCs w:val="24"/>
        </w:rPr>
        <w:t xml:space="preserve"> the visit begins, </w:t>
      </w:r>
      <w:r w:rsidR="00282FC3">
        <w:rPr>
          <w:rFonts w:ascii="Times New Roman" w:hAnsi="Times New Roman" w:cs="Times New Roman"/>
          <w:sz w:val="24"/>
          <w:szCs w:val="24"/>
        </w:rPr>
        <w:t xml:space="preserve">we may not discover </w:t>
      </w:r>
      <w:r w:rsidRPr="00590E5C">
        <w:rPr>
          <w:rFonts w:ascii="Times New Roman" w:hAnsi="Times New Roman" w:cs="Times New Roman"/>
          <w:sz w:val="24"/>
          <w:szCs w:val="24"/>
        </w:rPr>
        <w:t>others</w:t>
      </w:r>
      <w:r w:rsidR="00282FC3">
        <w:rPr>
          <w:rFonts w:ascii="Times New Roman" w:hAnsi="Times New Roman" w:cs="Times New Roman"/>
          <w:sz w:val="24"/>
          <w:szCs w:val="24"/>
        </w:rPr>
        <w:t xml:space="preserve"> unt</w:t>
      </w:r>
      <w:r w:rsidRPr="00590E5C">
        <w:rPr>
          <w:rFonts w:ascii="Times New Roman" w:hAnsi="Times New Roman" w:cs="Times New Roman"/>
          <w:sz w:val="24"/>
          <w:szCs w:val="24"/>
        </w:rPr>
        <w:t xml:space="preserve">il after the site visit team begins the visit.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We anticipate that discussions with clinicians and other workers at the treatment site, local community leaders, and </w:t>
      </w:r>
      <w:r w:rsidR="005F2C54">
        <w:rPr>
          <w:rFonts w:ascii="Times New Roman" w:hAnsi="Times New Roman" w:cs="Times New Roman"/>
          <w:sz w:val="24"/>
          <w:szCs w:val="24"/>
        </w:rPr>
        <w:t>study</w:t>
      </w:r>
      <w:r w:rsidRPr="00590E5C">
        <w:rPr>
          <w:rFonts w:ascii="Times New Roman" w:hAnsi="Times New Roman" w:cs="Times New Roman"/>
          <w:sz w:val="24"/>
          <w:szCs w:val="24"/>
        </w:rPr>
        <w:t xml:space="preserve"> participants will yield appropriate locations for ethnographic observations.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Once we have chosen a location for observatio</w:t>
      </w:r>
      <w:r w:rsidR="007C5852">
        <w:rPr>
          <w:rFonts w:ascii="Times New Roman" w:hAnsi="Times New Roman" w:cs="Times New Roman"/>
          <w:sz w:val="24"/>
          <w:szCs w:val="24"/>
        </w:rPr>
        <w:t>ns, site visit team members</w:t>
      </w:r>
      <w:r w:rsidRPr="00590E5C">
        <w:rPr>
          <w:rFonts w:ascii="Times New Roman" w:hAnsi="Times New Roman" w:cs="Times New Roman"/>
          <w:sz w:val="24"/>
          <w:szCs w:val="24"/>
        </w:rPr>
        <w:t xml:space="preserve"> mail invitation letters to location’s gatekeepers </w:t>
      </w:r>
      <w:r w:rsidR="00563721">
        <w:rPr>
          <w:rFonts w:ascii="Times New Roman" w:hAnsi="Times New Roman" w:cs="Times New Roman"/>
          <w:sz w:val="24"/>
          <w:szCs w:val="24"/>
        </w:rPr>
        <w:t xml:space="preserve">and, or </w:t>
      </w:r>
      <w:r w:rsidRPr="00590E5C">
        <w:rPr>
          <w:rFonts w:ascii="Times New Roman" w:hAnsi="Times New Roman" w:cs="Times New Roman"/>
          <w:sz w:val="24"/>
          <w:szCs w:val="24"/>
        </w:rPr>
        <w:t xml:space="preserve">to </w:t>
      </w:r>
      <w:r w:rsidR="005F2C54">
        <w:rPr>
          <w:rFonts w:ascii="Times New Roman" w:hAnsi="Times New Roman" w:cs="Times New Roman"/>
          <w:sz w:val="24"/>
          <w:szCs w:val="24"/>
        </w:rPr>
        <w:t>study</w:t>
      </w:r>
      <w:r w:rsidRPr="00590E5C">
        <w:rPr>
          <w:rFonts w:ascii="Times New Roman" w:hAnsi="Times New Roman" w:cs="Times New Roman"/>
          <w:sz w:val="24"/>
          <w:szCs w:val="24"/>
        </w:rPr>
        <w:t xml:space="preserve"> participants who agreed to be observed</w:t>
      </w:r>
      <w:r w:rsidRPr="00590E5C" w:rsidR="008C5E84">
        <w:rPr>
          <w:rFonts w:ascii="Times New Roman" w:hAnsi="Times New Roman" w:cs="Times New Roman"/>
          <w:sz w:val="24"/>
          <w:szCs w:val="24"/>
        </w:rPr>
        <w:t xml:space="preserve"> (see Attachment S1. Ethnographic Observation Gatekeeper Invitation Letter</w:t>
      </w:r>
      <w:r w:rsidR="00A81007">
        <w:rPr>
          <w:rFonts w:ascii="Times New Roman" w:hAnsi="Times New Roman" w:cs="Times New Roman"/>
          <w:sz w:val="24"/>
          <w:szCs w:val="24"/>
        </w:rPr>
        <w:t>,</w:t>
      </w:r>
      <w:r w:rsidRPr="00590E5C" w:rsidR="008C5E84">
        <w:rPr>
          <w:rFonts w:ascii="Times New Roman" w:hAnsi="Times New Roman" w:cs="Times New Roman"/>
          <w:sz w:val="24"/>
          <w:szCs w:val="24"/>
        </w:rPr>
        <w:t xml:space="preserve"> a</w:t>
      </w:r>
      <w:r w:rsidR="0052776C">
        <w:rPr>
          <w:rFonts w:ascii="Times New Roman" w:hAnsi="Times New Roman" w:cs="Times New Roman"/>
          <w:sz w:val="24"/>
          <w:szCs w:val="24"/>
        </w:rPr>
        <w:t>nd Attachment S3</w:t>
      </w:r>
      <w:r w:rsidR="00A81007">
        <w:rPr>
          <w:rFonts w:ascii="Times New Roman" w:hAnsi="Times New Roman" w:cs="Times New Roman"/>
          <w:sz w:val="24"/>
          <w:szCs w:val="24"/>
        </w:rPr>
        <w:t>.</w:t>
      </w:r>
      <w:r w:rsidR="0052776C">
        <w:rPr>
          <w:rFonts w:ascii="Times New Roman" w:hAnsi="Times New Roman" w:cs="Times New Roman"/>
          <w:sz w:val="24"/>
          <w:szCs w:val="24"/>
        </w:rPr>
        <w:t xml:space="preserve"> </w:t>
      </w:r>
      <w:r w:rsidRPr="00590E5C" w:rsidR="008C5E84">
        <w:rPr>
          <w:rFonts w:ascii="Times New Roman" w:hAnsi="Times New Roman" w:cs="Times New Roman"/>
          <w:sz w:val="24"/>
          <w:szCs w:val="24"/>
        </w:rPr>
        <w:t>Ethnographic Observation Participant Invitation Letter).</w:t>
      </w:r>
      <w:r w:rsidR="00282FC3">
        <w:rPr>
          <w:rFonts w:ascii="Times New Roman" w:hAnsi="Times New Roman" w:cs="Times New Roman"/>
          <w:sz w:val="24"/>
          <w:szCs w:val="24"/>
        </w:rPr>
        <w:t xml:space="preserve"> </w:t>
      </w:r>
      <w:r w:rsidR="007C5852">
        <w:rPr>
          <w:rFonts w:ascii="Times New Roman" w:hAnsi="Times New Roman" w:cs="Times New Roman"/>
          <w:sz w:val="24"/>
          <w:szCs w:val="24"/>
        </w:rPr>
        <w:t xml:space="preserve"> The Site Visitors </w:t>
      </w:r>
      <w:r w:rsidRPr="00590E5C">
        <w:rPr>
          <w:rFonts w:ascii="Times New Roman" w:hAnsi="Times New Roman" w:cs="Times New Roman"/>
          <w:sz w:val="24"/>
          <w:szCs w:val="24"/>
        </w:rPr>
        <w:t xml:space="preserve">follow up with phone calls </w:t>
      </w:r>
      <w:r w:rsidRPr="00590E5C" w:rsidR="008C5E84">
        <w:rPr>
          <w:rFonts w:ascii="Times New Roman" w:hAnsi="Times New Roman" w:cs="Times New Roman"/>
          <w:sz w:val="24"/>
          <w:szCs w:val="24"/>
        </w:rPr>
        <w:lastRenderedPageBreak/>
        <w:t xml:space="preserve">(see Attachment S2. Ethnographic Observation Gatekeeper Phone Call Sample Script and Attachment S4. Ethnographic Observation Participant Phone Call Sample Script) </w:t>
      </w:r>
      <w:r w:rsidRPr="00590E5C">
        <w:rPr>
          <w:rFonts w:ascii="Times New Roman" w:hAnsi="Times New Roman" w:cs="Times New Roman"/>
          <w:sz w:val="24"/>
          <w:szCs w:val="24"/>
        </w:rPr>
        <w:t xml:space="preserve">to gatekeepers and participants to confirm interest in participating.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Once at the location for observation,</w:t>
      </w:r>
      <w:r w:rsidR="007C5852">
        <w:rPr>
          <w:rFonts w:ascii="Times New Roman" w:hAnsi="Times New Roman" w:cs="Times New Roman"/>
          <w:sz w:val="24"/>
          <w:szCs w:val="24"/>
        </w:rPr>
        <w:t xml:space="preserve"> we</w:t>
      </w:r>
      <w:r w:rsidR="00282FC3">
        <w:rPr>
          <w:rFonts w:ascii="Times New Roman" w:hAnsi="Times New Roman" w:cs="Times New Roman"/>
          <w:sz w:val="24"/>
          <w:szCs w:val="24"/>
        </w:rPr>
        <w:t xml:space="preserve"> ask</w:t>
      </w:r>
      <w:r w:rsidRPr="00590E5C">
        <w:rPr>
          <w:rFonts w:ascii="Times New Roman" w:hAnsi="Times New Roman" w:cs="Times New Roman"/>
          <w:sz w:val="24"/>
          <w:szCs w:val="24"/>
        </w:rPr>
        <w:t xml:space="preserve"> any individuals whom the Site Visitors may obser</w:t>
      </w:r>
      <w:r w:rsidRPr="00590E5C" w:rsidR="008C5E84">
        <w:rPr>
          <w:rFonts w:ascii="Times New Roman" w:hAnsi="Times New Roman" w:cs="Times New Roman"/>
          <w:sz w:val="24"/>
          <w:szCs w:val="24"/>
        </w:rPr>
        <w:t>ve to provide verbal</w:t>
      </w:r>
      <w:r w:rsidRPr="00590E5C">
        <w:rPr>
          <w:rFonts w:ascii="Times New Roman" w:hAnsi="Times New Roman" w:cs="Times New Roman"/>
          <w:sz w:val="24"/>
          <w:szCs w:val="24"/>
        </w:rPr>
        <w:t xml:space="preserve"> consent</w:t>
      </w:r>
      <w:r w:rsidRPr="00590E5C" w:rsidR="008C5E84">
        <w:rPr>
          <w:rFonts w:ascii="Times New Roman" w:hAnsi="Times New Roman" w:cs="Times New Roman"/>
          <w:sz w:val="24"/>
          <w:szCs w:val="24"/>
        </w:rPr>
        <w:t xml:space="preserve"> (see Attachment S5. Ethnographic Observation Ad Hoc Consent Script)</w:t>
      </w:r>
      <w:r w:rsidRPr="00590E5C">
        <w:rPr>
          <w:rFonts w:ascii="Times New Roman" w:hAnsi="Times New Roman" w:cs="Times New Roman"/>
          <w:sz w:val="24"/>
          <w:szCs w:val="24"/>
        </w:rPr>
        <w:t xml:space="preserve">.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For example, o</w:t>
      </w:r>
      <w:r w:rsidR="007C5852">
        <w:rPr>
          <w:rFonts w:ascii="Times New Roman" w:hAnsi="Times New Roman" w:cs="Times New Roman"/>
          <w:sz w:val="24"/>
          <w:szCs w:val="24"/>
        </w:rPr>
        <w:t xml:space="preserve">bserving a local job fair </w:t>
      </w:r>
      <w:r w:rsidRPr="00590E5C">
        <w:rPr>
          <w:rFonts w:ascii="Times New Roman" w:hAnsi="Times New Roman" w:cs="Times New Roman"/>
          <w:sz w:val="24"/>
          <w:szCs w:val="24"/>
        </w:rPr>
        <w:t>involve</w:t>
      </w:r>
      <w:r w:rsidR="007C5852">
        <w:rPr>
          <w:rFonts w:ascii="Times New Roman" w:hAnsi="Times New Roman" w:cs="Times New Roman"/>
          <w:sz w:val="24"/>
          <w:szCs w:val="24"/>
        </w:rPr>
        <w:t>s</w:t>
      </w:r>
      <w:r w:rsidRPr="00590E5C">
        <w:rPr>
          <w:rFonts w:ascii="Times New Roman" w:hAnsi="Times New Roman" w:cs="Times New Roman"/>
          <w:sz w:val="24"/>
          <w:szCs w:val="24"/>
        </w:rPr>
        <w:t xml:space="preserve"> seeking consent from the organizers of the fair (the gatekeepers) and any individuals with whom the site visitors may interact</w:t>
      </w:r>
      <w:r w:rsidRPr="00590E5C" w:rsidR="00116221">
        <w:rPr>
          <w:rFonts w:ascii="Times New Roman" w:hAnsi="Times New Roman" w:cs="Times New Roman"/>
          <w:sz w:val="24"/>
          <w:szCs w:val="24"/>
        </w:rPr>
        <w:t xml:space="preserve">.  </w:t>
      </w:r>
      <w:r w:rsidRPr="00590E5C">
        <w:rPr>
          <w:rFonts w:ascii="Times New Roman" w:hAnsi="Times New Roman" w:cs="Times New Roman"/>
          <w:sz w:val="24"/>
          <w:szCs w:val="24"/>
        </w:rPr>
        <w:t xml:space="preserve">Observing the daily life of </w:t>
      </w:r>
      <w:r w:rsidR="005F2C54">
        <w:rPr>
          <w:rFonts w:ascii="Times New Roman" w:hAnsi="Times New Roman" w:cs="Times New Roman"/>
          <w:sz w:val="24"/>
          <w:szCs w:val="24"/>
        </w:rPr>
        <w:t>a study</w:t>
      </w:r>
      <w:r w:rsidR="007C5852">
        <w:rPr>
          <w:rFonts w:ascii="Times New Roman" w:hAnsi="Times New Roman" w:cs="Times New Roman"/>
          <w:sz w:val="24"/>
          <w:szCs w:val="24"/>
        </w:rPr>
        <w:t xml:space="preserve"> participant </w:t>
      </w:r>
      <w:r w:rsidRPr="00590E5C">
        <w:rPr>
          <w:rFonts w:ascii="Times New Roman" w:hAnsi="Times New Roman" w:cs="Times New Roman"/>
          <w:sz w:val="24"/>
          <w:szCs w:val="24"/>
        </w:rPr>
        <w:t>require</w:t>
      </w:r>
      <w:r w:rsidR="007C5852">
        <w:rPr>
          <w:rFonts w:ascii="Times New Roman" w:hAnsi="Times New Roman" w:cs="Times New Roman"/>
          <w:sz w:val="24"/>
          <w:szCs w:val="24"/>
        </w:rPr>
        <w:t>s</w:t>
      </w:r>
      <w:r w:rsidRPr="00590E5C">
        <w:rPr>
          <w:rFonts w:ascii="Times New Roman" w:hAnsi="Times New Roman" w:cs="Times New Roman"/>
          <w:sz w:val="24"/>
          <w:szCs w:val="24"/>
        </w:rPr>
        <w:t xml:space="preserve"> the consent of the participant</w:t>
      </w:r>
      <w:r w:rsidR="0052776C">
        <w:rPr>
          <w:rFonts w:ascii="Times New Roman" w:hAnsi="Times New Roman" w:cs="Times New Roman"/>
          <w:sz w:val="24"/>
          <w:szCs w:val="24"/>
        </w:rPr>
        <w:t>s</w:t>
      </w:r>
      <w:r w:rsidRPr="00590E5C">
        <w:rPr>
          <w:rFonts w:ascii="Times New Roman" w:hAnsi="Times New Roman" w:cs="Times New Roman"/>
          <w:sz w:val="24"/>
          <w:szCs w:val="24"/>
        </w:rPr>
        <w:t xml:space="preserve"> and any individuals with whom</w:t>
      </w:r>
      <w:r w:rsidR="0052776C">
        <w:rPr>
          <w:rFonts w:ascii="Times New Roman" w:hAnsi="Times New Roman" w:cs="Times New Roman"/>
          <w:sz w:val="24"/>
          <w:szCs w:val="24"/>
        </w:rPr>
        <w:t xml:space="preserve"> they</w:t>
      </w:r>
      <w:r w:rsidRPr="00590E5C">
        <w:rPr>
          <w:rFonts w:ascii="Times New Roman" w:hAnsi="Times New Roman" w:cs="Times New Roman"/>
          <w:sz w:val="24"/>
          <w:szCs w:val="24"/>
        </w:rPr>
        <w:t xml:space="preserve"> may interact. </w:t>
      </w:r>
      <w:r w:rsidR="00A17B12">
        <w:rPr>
          <w:rFonts w:ascii="Times New Roman" w:hAnsi="Times New Roman" w:cs="Times New Roman"/>
          <w:sz w:val="24"/>
          <w:szCs w:val="24"/>
        </w:rPr>
        <w:t xml:space="preserve"> </w:t>
      </w:r>
      <w:r w:rsidRPr="00590E5C">
        <w:rPr>
          <w:rFonts w:ascii="Times New Roman" w:hAnsi="Times New Roman" w:cs="Times New Roman"/>
          <w:sz w:val="24"/>
          <w:szCs w:val="24"/>
        </w:rPr>
        <w:t xml:space="preserve">Evaluation </w:t>
      </w:r>
      <w:r w:rsidR="007C5852">
        <w:rPr>
          <w:rFonts w:ascii="Times New Roman" w:hAnsi="Times New Roman" w:cs="Times New Roman"/>
          <w:sz w:val="24"/>
          <w:szCs w:val="24"/>
        </w:rPr>
        <w:t>team members</w:t>
      </w:r>
      <w:r w:rsidRPr="00590E5C">
        <w:rPr>
          <w:rFonts w:ascii="Times New Roman" w:hAnsi="Times New Roman" w:cs="Times New Roman"/>
          <w:sz w:val="24"/>
          <w:szCs w:val="24"/>
        </w:rPr>
        <w:t xml:space="preserve"> take field notes to systematically document their observations. </w:t>
      </w:r>
      <w:r w:rsidR="00282FC3">
        <w:rPr>
          <w:rFonts w:ascii="Times New Roman" w:hAnsi="Times New Roman" w:cs="Times New Roman"/>
          <w:sz w:val="24"/>
          <w:szCs w:val="24"/>
        </w:rPr>
        <w:t xml:space="preserve"> </w:t>
      </w:r>
      <w:r w:rsidR="007C5852">
        <w:rPr>
          <w:rFonts w:ascii="Times New Roman" w:hAnsi="Times New Roman" w:cs="Times New Roman"/>
          <w:sz w:val="24"/>
          <w:szCs w:val="24"/>
        </w:rPr>
        <w:t xml:space="preserve">We </w:t>
      </w:r>
      <w:r w:rsidR="00A17B12">
        <w:rPr>
          <w:rFonts w:ascii="Times New Roman" w:hAnsi="Times New Roman" w:cs="Times New Roman"/>
          <w:sz w:val="24"/>
          <w:szCs w:val="24"/>
        </w:rPr>
        <w:t>observe up to 8</w:t>
      </w:r>
      <w:r w:rsidRPr="00590E5C">
        <w:rPr>
          <w:rFonts w:ascii="Times New Roman" w:hAnsi="Times New Roman" w:cs="Times New Roman"/>
          <w:sz w:val="24"/>
          <w:szCs w:val="24"/>
        </w:rPr>
        <w:t xml:space="preserve"> individuals at each of the 30 sites, for a total of 240 individuals observed in Years 2 through 5 combined.</w:t>
      </w:r>
    </w:p>
    <w:p w:rsidRPr="00590E5C" w:rsidR="006E0475" w:rsidP="00C10E93" w:rsidRDefault="006E0475" w14:paraId="3D95EA9B" w14:textId="0F47DF92">
      <w:pPr>
        <w:ind w:left="1080"/>
        <w:rPr>
          <w:rFonts w:ascii="Times New Roman" w:hAnsi="Times New Roman" w:cs="Times New Roman"/>
          <w:sz w:val="24"/>
          <w:szCs w:val="24"/>
        </w:rPr>
      </w:pPr>
      <w:r w:rsidRPr="00590E5C">
        <w:rPr>
          <w:rFonts w:ascii="Times New Roman" w:hAnsi="Times New Roman" w:cs="Times New Roman"/>
          <w:sz w:val="24"/>
          <w:szCs w:val="24"/>
        </w:rPr>
        <w:t>As part of the ethnographic data collecti</w:t>
      </w:r>
      <w:r w:rsidR="007C5852">
        <w:rPr>
          <w:rFonts w:ascii="Times New Roman" w:hAnsi="Times New Roman" w:cs="Times New Roman"/>
          <w:sz w:val="24"/>
          <w:szCs w:val="24"/>
        </w:rPr>
        <w:t>on, evaluation team members</w:t>
      </w:r>
      <w:r w:rsidRPr="00590E5C">
        <w:rPr>
          <w:rFonts w:ascii="Times New Roman" w:hAnsi="Times New Roman" w:cs="Times New Roman"/>
          <w:sz w:val="24"/>
          <w:szCs w:val="24"/>
        </w:rPr>
        <w:t xml:space="preserve"> also conduct person-centered interviews to better ch</w:t>
      </w:r>
      <w:r w:rsidR="00714843">
        <w:rPr>
          <w:rFonts w:ascii="Times New Roman" w:hAnsi="Times New Roman" w:cs="Times New Roman"/>
          <w:sz w:val="24"/>
          <w:szCs w:val="24"/>
        </w:rPr>
        <w:t>aracterize participants and non</w:t>
      </w:r>
      <w:r w:rsidR="00714843">
        <w:rPr>
          <w:rFonts w:ascii="Times New Roman" w:hAnsi="Times New Roman" w:cs="Times New Roman"/>
          <w:sz w:val="24"/>
          <w:szCs w:val="24"/>
        </w:rPr>
        <w:noBreakHyphen/>
      </w:r>
      <w:r w:rsidRPr="00590E5C">
        <w:rPr>
          <w:rFonts w:ascii="Times New Roman" w:hAnsi="Times New Roman" w:cs="Times New Roman"/>
          <w:sz w:val="24"/>
          <w:szCs w:val="24"/>
        </w:rPr>
        <w:t xml:space="preserve">participants of the </w:t>
      </w:r>
      <w:r w:rsidR="005F2C54">
        <w:rPr>
          <w:rFonts w:ascii="Times New Roman" w:hAnsi="Times New Roman" w:cs="Times New Roman"/>
          <w:sz w:val="24"/>
          <w:szCs w:val="24"/>
        </w:rPr>
        <w:t xml:space="preserve">Supported Employment Demonstration </w:t>
      </w:r>
      <w:r w:rsidRPr="00590E5C">
        <w:rPr>
          <w:rFonts w:ascii="Times New Roman" w:hAnsi="Times New Roman" w:cs="Times New Roman"/>
          <w:sz w:val="24"/>
          <w:szCs w:val="24"/>
        </w:rPr>
        <w:t>(see Attachment T</w:t>
      </w:r>
      <w:r w:rsidRPr="00590E5C" w:rsidR="008C5E84">
        <w:rPr>
          <w:rFonts w:ascii="Times New Roman" w:hAnsi="Times New Roman" w:cs="Times New Roman"/>
          <w:sz w:val="24"/>
          <w:szCs w:val="24"/>
        </w:rPr>
        <w:t>5</w:t>
      </w:r>
      <w:r w:rsidRPr="00590E5C">
        <w:rPr>
          <w:rFonts w:ascii="Times New Roman" w:hAnsi="Times New Roman" w:cs="Times New Roman"/>
          <w:sz w:val="24"/>
          <w:szCs w:val="24"/>
        </w:rPr>
        <w:t xml:space="preserve">. Person-Centered Interview Initial </w:t>
      </w:r>
      <w:r w:rsidRPr="00590E5C">
        <w:rPr>
          <w:rFonts w:ascii="Times New Roman" w:hAnsi="Times New Roman" w:cs="Times New Roman"/>
          <w:sz w:val="24"/>
          <w:szCs w:val="24"/>
        </w:rPr>
        <w:lastRenderedPageBreak/>
        <w:t>and Attachment U. Person-Centered Interview Follow Up).</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 As informants</w:t>
      </w:r>
      <w:r w:rsidR="00282FC3">
        <w:rPr>
          <w:rFonts w:ascii="Times New Roman" w:hAnsi="Times New Roman" w:cs="Times New Roman"/>
          <w:sz w:val="24"/>
          <w:szCs w:val="24"/>
        </w:rPr>
        <w:t>,</w:t>
      </w:r>
      <w:r w:rsidRPr="00590E5C">
        <w:rPr>
          <w:rFonts w:ascii="Times New Roman" w:hAnsi="Times New Roman" w:cs="Times New Roman"/>
          <w:sz w:val="24"/>
          <w:szCs w:val="24"/>
        </w:rPr>
        <w:t xml:space="preserve"> </w:t>
      </w:r>
      <w:r w:rsidR="007C5852">
        <w:rPr>
          <w:rFonts w:ascii="Times New Roman" w:hAnsi="Times New Roman" w:cs="Times New Roman"/>
          <w:sz w:val="24"/>
          <w:szCs w:val="24"/>
        </w:rPr>
        <w:t xml:space="preserve">we </w:t>
      </w:r>
      <w:r w:rsidR="00714843">
        <w:rPr>
          <w:rFonts w:ascii="Times New Roman" w:hAnsi="Times New Roman" w:cs="Times New Roman"/>
          <w:sz w:val="24"/>
          <w:szCs w:val="24"/>
        </w:rPr>
        <w:t>ask</w:t>
      </w:r>
      <w:r w:rsidR="00282FC3">
        <w:rPr>
          <w:rFonts w:ascii="Times New Roman" w:hAnsi="Times New Roman" w:cs="Times New Roman"/>
          <w:sz w:val="24"/>
          <w:szCs w:val="24"/>
        </w:rPr>
        <w:t xml:space="preserve"> interviewees </w:t>
      </w:r>
      <w:r w:rsidRPr="00590E5C">
        <w:rPr>
          <w:rFonts w:ascii="Times New Roman" w:hAnsi="Times New Roman" w:cs="Times New Roman"/>
          <w:sz w:val="24"/>
          <w:szCs w:val="24"/>
        </w:rPr>
        <w:t xml:space="preserve">to narrate their work and illness histories to describe the chain of events and decisions that led to making an SSA application.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As respondents, </w:t>
      </w:r>
      <w:r w:rsidR="007C5852">
        <w:rPr>
          <w:rFonts w:ascii="Times New Roman" w:hAnsi="Times New Roman" w:cs="Times New Roman"/>
          <w:sz w:val="24"/>
          <w:szCs w:val="24"/>
        </w:rPr>
        <w:t>we</w:t>
      </w:r>
      <w:r w:rsidR="00282FC3">
        <w:rPr>
          <w:rFonts w:ascii="Times New Roman" w:hAnsi="Times New Roman" w:cs="Times New Roman"/>
          <w:sz w:val="24"/>
          <w:szCs w:val="24"/>
        </w:rPr>
        <w:t xml:space="preserve"> ask interviews </w:t>
      </w:r>
      <w:r w:rsidRPr="00590E5C">
        <w:rPr>
          <w:rFonts w:ascii="Times New Roman" w:hAnsi="Times New Roman" w:cs="Times New Roman"/>
          <w:sz w:val="24"/>
          <w:szCs w:val="24"/>
        </w:rPr>
        <w:t xml:space="preserve">to explain how these experiences motivated them to apply for SSA disability benefits.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At each site, the</w:t>
      </w:r>
      <w:r w:rsidR="007C5852">
        <w:rPr>
          <w:rFonts w:ascii="Times New Roman" w:hAnsi="Times New Roman" w:cs="Times New Roman"/>
          <w:sz w:val="24"/>
          <w:szCs w:val="24"/>
        </w:rPr>
        <w:t xml:space="preserve"> Research Assistant selects </w:t>
      </w:r>
      <w:r w:rsidRPr="00590E5C">
        <w:rPr>
          <w:rFonts w:ascii="Times New Roman" w:hAnsi="Times New Roman" w:cs="Times New Roman"/>
          <w:sz w:val="24"/>
          <w:szCs w:val="24"/>
        </w:rPr>
        <w:t xml:space="preserve">interviewees from participants </w:t>
      </w:r>
      <w:r w:rsidR="00714843">
        <w:rPr>
          <w:rFonts w:ascii="Times New Roman" w:hAnsi="Times New Roman" w:cs="Times New Roman"/>
          <w:sz w:val="24"/>
          <w:szCs w:val="24"/>
        </w:rPr>
        <w:t>in each demonstration arm (Full</w:t>
      </w:r>
      <w:r w:rsidR="00714843">
        <w:rPr>
          <w:rFonts w:ascii="Times New Roman" w:hAnsi="Times New Roman" w:cs="Times New Roman"/>
          <w:sz w:val="24"/>
          <w:szCs w:val="24"/>
        </w:rPr>
        <w:noBreakHyphen/>
      </w:r>
      <w:r w:rsidRPr="00590E5C">
        <w:rPr>
          <w:rFonts w:ascii="Times New Roman" w:hAnsi="Times New Roman" w:cs="Times New Roman"/>
          <w:sz w:val="24"/>
          <w:szCs w:val="24"/>
        </w:rPr>
        <w:t xml:space="preserve">Service, Basic-Service, and Usual Services) and from non-participants. </w:t>
      </w:r>
      <w:r w:rsidR="00282FC3">
        <w:rPr>
          <w:rFonts w:ascii="Times New Roman" w:hAnsi="Times New Roman" w:cs="Times New Roman"/>
          <w:sz w:val="24"/>
          <w:szCs w:val="24"/>
        </w:rPr>
        <w:t xml:space="preserve"> </w:t>
      </w:r>
      <w:r w:rsidR="00714843">
        <w:rPr>
          <w:rFonts w:ascii="Times New Roman" w:hAnsi="Times New Roman" w:cs="Times New Roman"/>
          <w:sz w:val="24"/>
          <w:szCs w:val="24"/>
        </w:rPr>
        <w:t>Non</w:t>
      </w:r>
      <w:r w:rsidR="00714843">
        <w:rPr>
          <w:rFonts w:ascii="Times New Roman" w:hAnsi="Times New Roman" w:cs="Times New Roman"/>
          <w:sz w:val="24"/>
          <w:szCs w:val="24"/>
        </w:rPr>
        <w:noBreakHyphen/>
      </w:r>
      <w:r w:rsidR="007C5852">
        <w:rPr>
          <w:rFonts w:ascii="Times New Roman" w:hAnsi="Times New Roman" w:cs="Times New Roman"/>
          <w:sz w:val="24"/>
          <w:szCs w:val="24"/>
        </w:rPr>
        <w:t xml:space="preserve">participant interviewees </w:t>
      </w:r>
      <w:r w:rsidRPr="00590E5C">
        <w:rPr>
          <w:rFonts w:ascii="Times New Roman" w:hAnsi="Times New Roman" w:cs="Times New Roman"/>
          <w:sz w:val="24"/>
          <w:szCs w:val="24"/>
        </w:rPr>
        <w:t xml:space="preserve">include: </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SSA disability applicants recently denied benefits who chose not to participate in the study; individua</w:t>
      </w:r>
      <w:r w:rsidR="00971F30">
        <w:rPr>
          <w:rFonts w:ascii="Times New Roman" w:hAnsi="Times New Roman" w:cs="Times New Roman"/>
          <w:sz w:val="24"/>
          <w:szCs w:val="24"/>
        </w:rPr>
        <w:t xml:space="preserve">ls who enrolled in the study, but not </w:t>
      </w:r>
      <w:r w:rsidRPr="00590E5C">
        <w:rPr>
          <w:rFonts w:ascii="Times New Roman" w:hAnsi="Times New Roman" w:cs="Times New Roman"/>
          <w:sz w:val="24"/>
          <w:szCs w:val="24"/>
        </w:rPr>
        <w:t xml:space="preserve">engaged with treatment services; and those who enrolled in the study but withdrew from treatment services.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To the ex</w:t>
      </w:r>
      <w:r w:rsidR="00017283">
        <w:rPr>
          <w:rFonts w:ascii="Times New Roman" w:hAnsi="Times New Roman" w:cs="Times New Roman"/>
          <w:sz w:val="24"/>
          <w:szCs w:val="24"/>
        </w:rPr>
        <w:t xml:space="preserve">tent possible, interviewees </w:t>
      </w:r>
      <w:r w:rsidRPr="00590E5C">
        <w:rPr>
          <w:rFonts w:ascii="Times New Roman" w:hAnsi="Times New Roman" w:cs="Times New Roman"/>
          <w:sz w:val="24"/>
          <w:szCs w:val="24"/>
        </w:rPr>
        <w:t xml:space="preserve">represent diversity of age, gender, race, ethnicity, and employment status. </w:t>
      </w:r>
      <w:r w:rsidR="00017283">
        <w:rPr>
          <w:rFonts w:ascii="Times New Roman" w:hAnsi="Times New Roman" w:cs="Times New Roman"/>
          <w:sz w:val="24"/>
          <w:szCs w:val="24"/>
        </w:rPr>
        <w:t xml:space="preserve"> We </w:t>
      </w:r>
      <w:r w:rsidR="00282FC3">
        <w:rPr>
          <w:rFonts w:ascii="Times New Roman" w:hAnsi="Times New Roman" w:cs="Times New Roman"/>
          <w:sz w:val="24"/>
          <w:szCs w:val="24"/>
        </w:rPr>
        <w:t>mail or hand a letter to p</w:t>
      </w:r>
      <w:r w:rsidRPr="00590E5C">
        <w:rPr>
          <w:rFonts w:ascii="Times New Roman" w:hAnsi="Times New Roman" w:cs="Times New Roman"/>
          <w:sz w:val="24"/>
          <w:szCs w:val="24"/>
        </w:rPr>
        <w:t xml:space="preserve">otential interviewees </w:t>
      </w:r>
      <w:r w:rsidRPr="00590E5C" w:rsidR="008C5E84">
        <w:rPr>
          <w:rFonts w:ascii="Times New Roman" w:hAnsi="Times New Roman" w:cs="Times New Roman"/>
          <w:sz w:val="24"/>
          <w:szCs w:val="24"/>
        </w:rPr>
        <w:t>(see At</w:t>
      </w:r>
      <w:r w:rsidR="00714843">
        <w:rPr>
          <w:rFonts w:ascii="Times New Roman" w:hAnsi="Times New Roman" w:cs="Times New Roman"/>
          <w:sz w:val="24"/>
          <w:szCs w:val="24"/>
        </w:rPr>
        <w:t>tachment T1. Participant Person</w:t>
      </w:r>
      <w:r w:rsidR="00714843">
        <w:rPr>
          <w:rFonts w:ascii="Times New Roman" w:hAnsi="Times New Roman" w:cs="Times New Roman"/>
          <w:sz w:val="24"/>
          <w:szCs w:val="24"/>
        </w:rPr>
        <w:noBreakHyphen/>
      </w:r>
      <w:r w:rsidRPr="00590E5C" w:rsidR="008C5E84">
        <w:rPr>
          <w:rFonts w:ascii="Times New Roman" w:hAnsi="Times New Roman" w:cs="Times New Roman"/>
          <w:sz w:val="24"/>
          <w:szCs w:val="24"/>
        </w:rPr>
        <w:t xml:space="preserve">Centered Interview Invitation Letter and Attachment T3. Non-Participant Person-Centered Interview Invitation Letter) </w:t>
      </w:r>
      <w:r w:rsidRPr="00590E5C">
        <w:rPr>
          <w:rFonts w:ascii="Times New Roman" w:hAnsi="Times New Roman" w:cs="Times New Roman"/>
          <w:sz w:val="24"/>
          <w:szCs w:val="24"/>
        </w:rPr>
        <w:t xml:space="preserve">describing the interview with proposed dates and times. </w:t>
      </w:r>
      <w:r w:rsidR="00282FC3">
        <w:rPr>
          <w:rFonts w:ascii="Times New Roman" w:hAnsi="Times New Roman" w:cs="Times New Roman"/>
          <w:sz w:val="24"/>
          <w:szCs w:val="24"/>
        </w:rPr>
        <w:t xml:space="preserve"> </w:t>
      </w:r>
      <w:r w:rsidRPr="00590E5C" w:rsidR="00282FC3">
        <w:rPr>
          <w:rFonts w:ascii="Times New Roman" w:hAnsi="Times New Roman" w:cs="Times New Roman"/>
          <w:sz w:val="24"/>
          <w:szCs w:val="24"/>
        </w:rPr>
        <w:t xml:space="preserve">If </w:t>
      </w:r>
      <w:r w:rsidR="00282FC3">
        <w:rPr>
          <w:rFonts w:ascii="Times New Roman" w:hAnsi="Times New Roman" w:cs="Times New Roman"/>
          <w:sz w:val="24"/>
          <w:szCs w:val="24"/>
        </w:rPr>
        <w:t>we mail the letter</w:t>
      </w:r>
      <w:r w:rsidRPr="00590E5C">
        <w:rPr>
          <w:rFonts w:ascii="Times New Roman" w:hAnsi="Times New Roman" w:cs="Times New Roman"/>
          <w:sz w:val="24"/>
          <w:szCs w:val="24"/>
        </w:rPr>
        <w:t>, the Site Visito</w:t>
      </w:r>
      <w:r w:rsidR="00017283">
        <w:rPr>
          <w:rFonts w:ascii="Times New Roman" w:hAnsi="Times New Roman" w:cs="Times New Roman"/>
          <w:sz w:val="24"/>
          <w:szCs w:val="24"/>
        </w:rPr>
        <w:t xml:space="preserve">r or the </w:t>
      </w:r>
      <w:r w:rsidR="00017283">
        <w:rPr>
          <w:rFonts w:ascii="Times New Roman" w:hAnsi="Times New Roman" w:cs="Times New Roman"/>
          <w:sz w:val="24"/>
          <w:szCs w:val="24"/>
        </w:rPr>
        <w:lastRenderedPageBreak/>
        <w:t>Research Assistant</w:t>
      </w:r>
      <w:r w:rsidRPr="00590E5C">
        <w:rPr>
          <w:rFonts w:ascii="Times New Roman" w:hAnsi="Times New Roman" w:cs="Times New Roman"/>
          <w:sz w:val="24"/>
          <w:szCs w:val="24"/>
        </w:rPr>
        <w:t xml:space="preserve"> follow</w:t>
      </w:r>
      <w:r w:rsidR="00017283">
        <w:rPr>
          <w:rFonts w:ascii="Times New Roman" w:hAnsi="Times New Roman" w:cs="Times New Roman"/>
          <w:sz w:val="24"/>
          <w:szCs w:val="24"/>
        </w:rPr>
        <w:t>s</w:t>
      </w:r>
      <w:r w:rsidRPr="00590E5C">
        <w:rPr>
          <w:rFonts w:ascii="Times New Roman" w:hAnsi="Times New Roman" w:cs="Times New Roman"/>
          <w:sz w:val="24"/>
          <w:szCs w:val="24"/>
        </w:rPr>
        <w:t xml:space="preserve"> up with a phone call </w:t>
      </w:r>
      <w:r w:rsidRPr="00590E5C" w:rsidR="008C5E84">
        <w:rPr>
          <w:rFonts w:ascii="Times New Roman" w:hAnsi="Times New Roman" w:cs="Times New Roman"/>
          <w:sz w:val="24"/>
          <w:szCs w:val="24"/>
        </w:rPr>
        <w:t>(see Attachment T2. Participant Person-Centered Interview Phone Call Sample Script and Attach</w:t>
      </w:r>
      <w:r w:rsidR="00714843">
        <w:rPr>
          <w:rFonts w:ascii="Times New Roman" w:hAnsi="Times New Roman" w:cs="Times New Roman"/>
          <w:sz w:val="24"/>
          <w:szCs w:val="24"/>
        </w:rPr>
        <w:t>ment T4. Non-Participant Person</w:t>
      </w:r>
      <w:r w:rsidR="00714843">
        <w:rPr>
          <w:rFonts w:ascii="Times New Roman" w:hAnsi="Times New Roman" w:cs="Times New Roman"/>
          <w:sz w:val="24"/>
          <w:szCs w:val="24"/>
        </w:rPr>
        <w:noBreakHyphen/>
      </w:r>
      <w:r w:rsidRPr="00590E5C" w:rsidR="008C5E84">
        <w:rPr>
          <w:rFonts w:ascii="Times New Roman" w:hAnsi="Times New Roman" w:cs="Times New Roman"/>
          <w:sz w:val="24"/>
          <w:szCs w:val="24"/>
        </w:rPr>
        <w:t xml:space="preserve">Centered Interview Phone Call Sample Script) </w:t>
      </w:r>
      <w:r w:rsidRPr="00590E5C">
        <w:rPr>
          <w:rFonts w:ascii="Times New Roman" w:hAnsi="Times New Roman" w:cs="Times New Roman"/>
          <w:sz w:val="24"/>
          <w:szCs w:val="24"/>
        </w:rPr>
        <w:t>to the potential interviewee to confirm his or her interest in attending</w:t>
      </w:r>
      <w:r w:rsidRPr="00590E5C" w:rsidR="00116221">
        <w:rPr>
          <w:rFonts w:ascii="Times New Roman" w:hAnsi="Times New Roman" w:cs="Times New Roman"/>
          <w:sz w:val="24"/>
          <w:szCs w:val="24"/>
        </w:rPr>
        <w:t xml:space="preserve">.  </w:t>
      </w:r>
      <w:r w:rsidRPr="00590E5C">
        <w:rPr>
          <w:rFonts w:ascii="Times New Roman" w:hAnsi="Times New Roman" w:cs="Times New Roman"/>
          <w:sz w:val="24"/>
          <w:szCs w:val="24"/>
        </w:rPr>
        <w:t>We in</w:t>
      </w:r>
      <w:r w:rsidR="00714843">
        <w:rPr>
          <w:rFonts w:ascii="Times New Roman" w:hAnsi="Times New Roman" w:cs="Times New Roman"/>
          <w:sz w:val="24"/>
          <w:szCs w:val="24"/>
        </w:rPr>
        <w:t>terview up to 3 participants (1 </w:t>
      </w:r>
      <w:r w:rsidRPr="00590E5C">
        <w:rPr>
          <w:rFonts w:ascii="Times New Roman" w:hAnsi="Times New Roman" w:cs="Times New Roman"/>
          <w:sz w:val="24"/>
          <w:szCs w:val="24"/>
        </w:rPr>
        <w:t>from each study arm) and 3 non-participants at each of the 30 sites in contract Years 2 through 5, for a total of up to 720 person-centered interviews</w:t>
      </w:r>
      <w:r w:rsidRPr="00590E5C" w:rsidR="00116221">
        <w:rPr>
          <w:rFonts w:ascii="Times New Roman" w:hAnsi="Times New Roman" w:cs="Times New Roman"/>
          <w:sz w:val="24"/>
          <w:szCs w:val="24"/>
        </w:rPr>
        <w:t xml:space="preserve">.  </w:t>
      </w:r>
      <w:r w:rsidR="00017283">
        <w:rPr>
          <w:rFonts w:ascii="Times New Roman" w:hAnsi="Times New Roman" w:cs="Times New Roman"/>
          <w:sz w:val="24"/>
          <w:szCs w:val="24"/>
        </w:rPr>
        <w:t xml:space="preserve">Each individual </w:t>
      </w:r>
      <w:r w:rsidRPr="00590E5C">
        <w:rPr>
          <w:rFonts w:ascii="Times New Roman" w:hAnsi="Times New Roman" w:cs="Times New Roman"/>
          <w:sz w:val="24"/>
          <w:szCs w:val="24"/>
        </w:rPr>
        <w:t>receive</w:t>
      </w:r>
      <w:r w:rsidR="00017283">
        <w:rPr>
          <w:rFonts w:ascii="Times New Roman" w:hAnsi="Times New Roman" w:cs="Times New Roman"/>
          <w:sz w:val="24"/>
          <w:szCs w:val="24"/>
        </w:rPr>
        <w:t>s</w:t>
      </w:r>
      <w:r w:rsidRPr="00590E5C">
        <w:rPr>
          <w:rFonts w:ascii="Times New Roman" w:hAnsi="Times New Roman" w:cs="Times New Roman"/>
          <w:sz w:val="24"/>
          <w:szCs w:val="24"/>
        </w:rPr>
        <w:t xml:space="preserve"> $40 for participating in the person</w:t>
      </w:r>
      <w:r w:rsidR="00017283">
        <w:rPr>
          <w:rFonts w:ascii="Times New Roman" w:hAnsi="Times New Roman" w:cs="Times New Roman"/>
          <w:sz w:val="24"/>
          <w:szCs w:val="24"/>
        </w:rPr>
        <w:t xml:space="preserve">-centered interview, which </w:t>
      </w:r>
      <w:r w:rsidRPr="00590E5C">
        <w:rPr>
          <w:rFonts w:ascii="Times New Roman" w:hAnsi="Times New Roman" w:cs="Times New Roman"/>
          <w:sz w:val="24"/>
          <w:szCs w:val="24"/>
        </w:rPr>
        <w:t>take</w:t>
      </w:r>
      <w:r w:rsidR="00017283">
        <w:rPr>
          <w:rFonts w:ascii="Times New Roman" w:hAnsi="Times New Roman" w:cs="Times New Roman"/>
          <w:sz w:val="24"/>
          <w:szCs w:val="24"/>
        </w:rPr>
        <w:t>s</w:t>
      </w:r>
      <w:r w:rsidRPr="00590E5C">
        <w:rPr>
          <w:rFonts w:ascii="Times New Roman" w:hAnsi="Times New Roman" w:cs="Times New Roman"/>
          <w:sz w:val="24"/>
          <w:szCs w:val="24"/>
        </w:rPr>
        <w:t xml:space="preserve"> approximately 60 minutes. </w:t>
      </w:r>
    </w:p>
    <w:p w:rsidRPr="0010689C" w:rsidR="004205E0" w:rsidP="00C10E93" w:rsidRDefault="001B6CD9" w14:paraId="44C1C42F" w14:textId="0F4FBEDF">
      <w:pPr>
        <w:pStyle w:val="ListParagraph"/>
        <w:numPr>
          <w:ilvl w:val="0"/>
          <w:numId w:val="9"/>
        </w:numPr>
        <w:spacing w:after="0" w:line="240" w:lineRule="auto"/>
        <w:ind w:left="1080" w:hanging="630"/>
        <w:rPr>
          <w:rFonts w:ascii="Times New Roman" w:hAnsi="Times New Roman" w:cs="Times New Roman"/>
          <w:b/>
          <w:sz w:val="24"/>
          <w:szCs w:val="24"/>
          <w:lang w:val="en"/>
        </w:rPr>
      </w:pPr>
      <w:r w:rsidRPr="0010689C">
        <w:rPr>
          <w:rFonts w:ascii="Times New Roman" w:hAnsi="Times New Roman" w:cs="Times New Roman"/>
          <w:b/>
          <w:sz w:val="24"/>
          <w:szCs w:val="24"/>
          <w:lang w:val="en"/>
        </w:rPr>
        <w:t>Methods to Maximize Response Rates and Deal with Nonresponse</w:t>
      </w:r>
    </w:p>
    <w:p w:rsidR="00C10E93" w:rsidP="00C10E93" w:rsidRDefault="00590E5C" w14:paraId="109DF9FF" w14:textId="56AE073F">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There are two types of non-response:</w:t>
      </w:r>
      <w:r w:rsidR="00AE56CF">
        <w:rPr>
          <w:rFonts w:ascii="Times New Roman" w:hAnsi="Times New Roman" w:cs="Times New Roman"/>
          <w:sz w:val="24"/>
          <w:szCs w:val="24"/>
        </w:rPr>
        <w:t xml:space="preserve"> </w:t>
      </w:r>
      <w:r w:rsidR="00714843">
        <w:rPr>
          <w:rFonts w:ascii="Times New Roman" w:hAnsi="Times New Roman" w:cs="Times New Roman"/>
          <w:sz w:val="24"/>
          <w:szCs w:val="24"/>
        </w:rPr>
        <w:t xml:space="preserve"> </w:t>
      </w:r>
      <w:r w:rsidRPr="00590E5C">
        <w:rPr>
          <w:rFonts w:ascii="Times New Roman" w:hAnsi="Times New Roman" w:cs="Times New Roman"/>
          <w:sz w:val="24"/>
          <w:szCs w:val="24"/>
        </w:rPr>
        <w:t xml:space="preserve">(1) non-participation in the study and </w:t>
      </w:r>
    </w:p>
    <w:p w:rsidR="00590E5C" w:rsidP="00C10E93" w:rsidRDefault="00590E5C" w14:paraId="017AD7C9" w14:textId="426D8896">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(2) non-response to the quarterly interviews</w:t>
      </w:r>
      <w:r w:rsidRPr="00590E5C" w:rsidR="00116221">
        <w:rPr>
          <w:rFonts w:ascii="Times New Roman" w:hAnsi="Times New Roman" w:cs="Times New Roman"/>
          <w:sz w:val="24"/>
          <w:szCs w:val="24"/>
        </w:rPr>
        <w:t>.</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 xml:space="preserve">Non-participants in the </w:t>
      </w:r>
      <w:r w:rsidR="005F2C54">
        <w:rPr>
          <w:rFonts w:ascii="Times New Roman" w:hAnsi="Times New Roman" w:cs="Times New Roman"/>
          <w:sz w:val="24"/>
          <w:szCs w:val="24"/>
        </w:rPr>
        <w:t xml:space="preserve">Supported Employment Demonstration </w:t>
      </w:r>
      <w:r w:rsidRPr="00590E5C">
        <w:rPr>
          <w:rFonts w:ascii="Times New Roman" w:hAnsi="Times New Roman" w:cs="Times New Roman"/>
          <w:sz w:val="24"/>
          <w:szCs w:val="24"/>
        </w:rPr>
        <w:t>are individuals who live within the area of a participating Community Mental Health Center who choose not to enroll in the study.</w:t>
      </w:r>
      <w:r w:rsidR="00AE56CF">
        <w:rPr>
          <w:rFonts w:ascii="Times New Roman" w:hAnsi="Times New Roman" w:cs="Times New Roman"/>
          <w:sz w:val="24"/>
          <w:szCs w:val="24"/>
        </w:rPr>
        <w:t xml:space="preserve">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study approaches all eligible denied disability applicants in the </w:t>
      </w:r>
      <w:r w:rsidR="008F0B8C">
        <w:rPr>
          <w:rFonts w:ascii="Times New Roman" w:hAnsi="Times New Roman" w:cs="Times New Roman"/>
          <w:sz w:val="24"/>
          <w:szCs w:val="24"/>
        </w:rPr>
        <w:t xml:space="preserve">project </w:t>
      </w:r>
      <w:r w:rsidRPr="00590E5C">
        <w:rPr>
          <w:rFonts w:ascii="Times New Roman" w:hAnsi="Times New Roman" w:cs="Times New Roman"/>
          <w:sz w:val="24"/>
          <w:szCs w:val="24"/>
        </w:rPr>
        <w:t>area first by sending them a letter followed by a telephone call to ascertain their interest in learning more about participating in the study.</w:t>
      </w:r>
      <w:r w:rsidR="00AE56CF">
        <w:rPr>
          <w:rFonts w:ascii="Times New Roman" w:hAnsi="Times New Roman" w:cs="Times New Roman"/>
          <w:sz w:val="24"/>
          <w:szCs w:val="24"/>
        </w:rPr>
        <w:t xml:space="preserve"> </w:t>
      </w:r>
      <w:r w:rsidR="00282FC3">
        <w:rPr>
          <w:rFonts w:ascii="Times New Roman" w:hAnsi="Times New Roman" w:cs="Times New Roman"/>
          <w:sz w:val="24"/>
          <w:szCs w:val="24"/>
        </w:rPr>
        <w:t xml:space="preserve"> </w:t>
      </w:r>
      <w:r w:rsidR="004E75F8">
        <w:rPr>
          <w:rFonts w:ascii="Times New Roman" w:hAnsi="Times New Roman" w:cs="Times New Roman"/>
          <w:sz w:val="24"/>
          <w:szCs w:val="24"/>
        </w:rPr>
        <w:t>We consider those</w:t>
      </w:r>
      <w:r w:rsidRPr="00590E5C">
        <w:rPr>
          <w:rFonts w:ascii="Times New Roman" w:hAnsi="Times New Roman" w:cs="Times New Roman"/>
          <w:sz w:val="24"/>
          <w:szCs w:val="24"/>
        </w:rPr>
        <w:t xml:space="preserve"> who indicate they are not interested </w:t>
      </w:r>
      <w:r w:rsidR="004E75F8">
        <w:rPr>
          <w:rFonts w:ascii="Times New Roman" w:hAnsi="Times New Roman" w:cs="Times New Roman"/>
          <w:sz w:val="24"/>
          <w:szCs w:val="24"/>
        </w:rPr>
        <w:t>as</w:t>
      </w:r>
      <w:r w:rsidR="008F0B8C">
        <w:rPr>
          <w:rFonts w:ascii="Times New Roman" w:hAnsi="Times New Roman" w:cs="Times New Roman"/>
          <w:sz w:val="24"/>
          <w:szCs w:val="24"/>
        </w:rPr>
        <w:t xml:space="preserve"> well as</w:t>
      </w:r>
      <w:r w:rsidRPr="00590E5C">
        <w:rPr>
          <w:rFonts w:ascii="Times New Roman" w:hAnsi="Times New Roman" w:cs="Times New Roman"/>
          <w:sz w:val="24"/>
          <w:szCs w:val="24"/>
        </w:rPr>
        <w:t xml:space="preserve"> those who </w:t>
      </w:r>
      <w:r w:rsidRPr="00590E5C">
        <w:rPr>
          <w:rFonts w:ascii="Times New Roman" w:hAnsi="Times New Roman" w:cs="Times New Roman"/>
          <w:sz w:val="24"/>
          <w:szCs w:val="24"/>
        </w:rPr>
        <w:lastRenderedPageBreak/>
        <w:t>learn more about the study and then decide not to enroll</w:t>
      </w:r>
      <w:r w:rsidR="004E75F8">
        <w:rPr>
          <w:rFonts w:ascii="Times New Roman" w:hAnsi="Times New Roman" w:cs="Times New Roman"/>
          <w:sz w:val="24"/>
          <w:szCs w:val="24"/>
        </w:rPr>
        <w:t xml:space="preserve"> as </w:t>
      </w:r>
      <w:r w:rsidRPr="00590E5C">
        <w:rPr>
          <w:rFonts w:ascii="Times New Roman" w:hAnsi="Times New Roman" w:cs="Times New Roman"/>
          <w:sz w:val="24"/>
          <w:szCs w:val="24"/>
        </w:rPr>
        <w:t xml:space="preserve">non-participants. </w:t>
      </w:r>
      <w:r w:rsidR="004E75F8">
        <w:rPr>
          <w:rFonts w:ascii="Times New Roman" w:hAnsi="Times New Roman" w:cs="Times New Roman"/>
          <w:sz w:val="24"/>
          <w:szCs w:val="24"/>
        </w:rPr>
        <w:t xml:space="preserve"> </w:t>
      </w:r>
      <w:r w:rsidR="008F0B8C">
        <w:rPr>
          <w:rFonts w:ascii="Times New Roman" w:hAnsi="Times New Roman" w:cs="Times New Roman"/>
          <w:sz w:val="24"/>
          <w:szCs w:val="24"/>
        </w:rPr>
        <w:t>We expect</w:t>
      </w:r>
      <w:r w:rsidR="00017283">
        <w:rPr>
          <w:rFonts w:ascii="Times New Roman" w:hAnsi="Times New Roman" w:cs="Times New Roman"/>
          <w:sz w:val="24"/>
          <w:szCs w:val="24"/>
        </w:rPr>
        <w:t>ed</w:t>
      </w:r>
      <w:r w:rsidRPr="00590E5C">
        <w:rPr>
          <w:rFonts w:ascii="Times New Roman" w:hAnsi="Times New Roman" w:cs="Times New Roman"/>
          <w:sz w:val="24"/>
          <w:szCs w:val="24"/>
        </w:rPr>
        <w:t xml:space="preserve"> </w:t>
      </w:r>
      <w:r w:rsidR="00017283">
        <w:rPr>
          <w:rFonts w:ascii="Times New Roman" w:hAnsi="Times New Roman" w:cs="Times New Roman"/>
          <w:sz w:val="24"/>
          <w:szCs w:val="24"/>
        </w:rPr>
        <w:t>a few individuals contacted would</w:t>
      </w:r>
      <w:r w:rsidRPr="00590E5C">
        <w:rPr>
          <w:rFonts w:ascii="Times New Roman" w:hAnsi="Times New Roman" w:cs="Times New Roman"/>
          <w:sz w:val="24"/>
          <w:szCs w:val="24"/>
        </w:rPr>
        <w:t xml:space="preserve"> be ineligible.</w:t>
      </w:r>
      <w:r w:rsidR="00AE56CF">
        <w:rPr>
          <w:rFonts w:ascii="Times New Roman" w:hAnsi="Times New Roman" w:cs="Times New Roman"/>
          <w:sz w:val="24"/>
          <w:szCs w:val="24"/>
        </w:rPr>
        <w:t xml:space="preserve"> </w:t>
      </w:r>
    </w:p>
    <w:p w:rsidRPr="00590E5C" w:rsidR="00AD1F07" w:rsidP="00C10E93" w:rsidRDefault="00AD1F07" w14:paraId="7241FA31" w14:textId="77777777">
      <w:pPr>
        <w:spacing w:after="0" w:line="240" w:lineRule="auto"/>
        <w:ind w:left="1080"/>
        <w:rPr>
          <w:rFonts w:ascii="Times New Roman" w:hAnsi="Times New Roman" w:cs="Times New Roman"/>
          <w:sz w:val="24"/>
          <w:szCs w:val="24"/>
        </w:rPr>
      </w:pPr>
    </w:p>
    <w:p w:rsidR="00E0733B" w:rsidP="00C10E93" w:rsidRDefault="00590E5C" w14:paraId="7B6EAF27" w14:textId="77777777">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 xml:space="preserve">Social Security has a strong policy interest in knowing who elects to participate and whether or not they are different from those who choose not to participate in the </w:t>
      </w:r>
      <w:r w:rsidR="004E75F8">
        <w:rPr>
          <w:rFonts w:ascii="Times New Roman" w:hAnsi="Times New Roman" w:cs="Times New Roman"/>
          <w:sz w:val="24"/>
          <w:szCs w:val="24"/>
        </w:rPr>
        <w:t>SED project</w:t>
      </w:r>
      <w:r w:rsidRPr="00590E5C">
        <w:rPr>
          <w:rFonts w:ascii="Times New Roman" w:hAnsi="Times New Roman" w:cs="Times New Roman"/>
          <w:sz w:val="24"/>
          <w:szCs w:val="24"/>
        </w:rPr>
        <w:t>.</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Non-Participation reflects on the generalizability of the study to the defined group of denied disability applicants.</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The proportion of those denied applicants who decide to participate in the study represent the take-up rate.</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take-up rate is a best guess at what actual participation would be if the agency were to roll out the services to all denied disability </w:t>
      </w:r>
      <w:r w:rsidRPr="00590E5C" w:rsidR="004E75F8">
        <w:rPr>
          <w:rFonts w:ascii="Times New Roman" w:hAnsi="Times New Roman" w:cs="Times New Roman"/>
          <w:sz w:val="24"/>
          <w:szCs w:val="24"/>
        </w:rPr>
        <w:t>applicants</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It is an imperfect measure, but can assist</w:t>
      </w:r>
    </w:p>
    <w:p w:rsidR="00590E5C" w:rsidP="00E17D11" w:rsidRDefault="00590E5C" w14:paraId="5DA1E0AC" w14:textId="5E9AFDF3">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policy-makers with decisions about demand for the services associated with effective treatments</w:t>
      </w:r>
      <w:r w:rsidRPr="00590E5C" w:rsidR="00116221">
        <w:rPr>
          <w:rFonts w:ascii="Times New Roman" w:hAnsi="Times New Roman" w:cs="Times New Roman"/>
          <w:sz w:val="24"/>
          <w:szCs w:val="24"/>
        </w:rPr>
        <w:t>.</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Further, knowing the characteristics of participants and non-participants also contributes to a fuller understanding of demand.</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Social </w:t>
      </w:r>
      <w:r w:rsidR="00116939">
        <w:rPr>
          <w:rFonts w:ascii="Times New Roman" w:hAnsi="Times New Roman" w:cs="Times New Roman"/>
          <w:sz w:val="24"/>
          <w:szCs w:val="24"/>
        </w:rPr>
        <w:t>S</w:t>
      </w:r>
      <w:r w:rsidRPr="00590E5C">
        <w:rPr>
          <w:rFonts w:ascii="Times New Roman" w:hAnsi="Times New Roman" w:cs="Times New Roman"/>
          <w:sz w:val="24"/>
          <w:szCs w:val="24"/>
        </w:rPr>
        <w:t xml:space="preserve">ecurity maintains an extensive database on their denied disability applicants.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The application and disability review process requires the agency to collect applicant information</w:t>
      </w:r>
      <w:r w:rsidRPr="00590E5C" w:rsidR="00116221">
        <w:rPr>
          <w:rFonts w:ascii="Times New Roman" w:hAnsi="Times New Roman" w:cs="Times New Roman"/>
          <w:sz w:val="24"/>
          <w:szCs w:val="24"/>
        </w:rPr>
        <w:t>.</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In addition to primary demographic variables, SSA collects work history, medical history, and functional limitations.</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lastRenderedPageBreak/>
        <w:t xml:space="preserve">Westat </w:t>
      </w:r>
      <w:r w:rsidR="004E75F8">
        <w:rPr>
          <w:rFonts w:ascii="Times New Roman" w:hAnsi="Times New Roman" w:cs="Times New Roman"/>
          <w:sz w:val="24"/>
          <w:szCs w:val="24"/>
        </w:rPr>
        <w:t>has access to th</w:t>
      </w:r>
      <w:r w:rsidRPr="00590E5C">
        <w:rPr>
          <w:rFonts w:ascii="Times New Roman" w:hAnsi="Times New Roman" w:cs="Times New Roman"/>
          <w:sz w:val="24"/>
          <w:szCs w:val="24"/>
        </w:rPr>
        <w:t xml:space="preserve">e file information on all denied disability applicants in the defined areas of the community mental health treatment centers participating in the demonstration.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Through the enrollment </w:t>
      </w:r>
      <w:r w:rsidRPr="00590E5C" w:rsidR="004E75F8">
        <w:rPr>
          <w:rFonts w:ascii="Times New Roman" w:hAnsi="Times New Roman" w:cs="Times New Roman"/>
          <w:sz w:val="24"/>
          <w:szCs w:val="24"/>
        </w:rPr>
        <w:t>process,</w:t>
      </w:r>
      <w:r w:rsidR="00017283">
        <w:rPr>
          <w:rFonts w:ascii="Times New Roman" w:hAnsi="Times New Roman" w:cs="Times New Roman"/>
          <w:sz w:val="24"/>
          <w:szCs w:val="24"/>
        </w:rPr>
        <w:t xml:space="preserve"> we carefully documented</w:t>
      </w:r>
      <w:r w:rsidRPr="00590E5C">
        <w:rPr>
          <w:rFonts w:ascii="Times New Roman" w:hAnsi="Times New Roman" w:cs="Times New Roman"/>
          <w:sz w:val="24"/>
          <w:szCs w:val="24"/>
        </w:rPr>
        <w:t xml:space="preserve"> the decision of each individual </w:t>
      </w:r>
      <w:r w:rsidR="00017283">
        <w:rPr>
          <w:rFonts w:ascii="Times New Roman" w:hAnsi="Times New Roman" w:cs="Times New Roman"/>
          <w:sz w:val="24"/>
          <w:szCs w:val="24"/>
        </w:rPr>
        <w:t>who received</w:t>
      </w:r>
      <w:r w:rsidR="004E75F8">
        <w:rPr>
          <w:rFonts w:ascii="Times New Roman" w:hAnsi="Times New Roman" w:cs="Times New Roman"/>
          <w:sz w:val="24"/>
          <w:szCs w:val="24"/>
        </w:rPr>
        <w:t xml:space="preserve"> a letter</w:t>
      </w:r>
      <w:r w:rsidRPr="00590E5C">
        <w:rPr>
          <w:rFonts w:ascii="Times New Roman" w:hAnsi="Times New Roman" w:cs="Times New Roman"/>
          <w:sz w:val="24"/>
          <w:szCs w:val="24"/>
        </w:rPr>
        <w:t xml:space="preserve"> seeking participation in the study.</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00017283">
        <w:rPr>
          <w:rFonts w:ascii="Times New Roman" w:hAnsi="Times New Roman" w:cs="Times New Roman"/>
          <w:sz w:val="24"/>
          <w:szCs w:val="24"/>
        </w:rPr>
        <w:t>The enrollment process resulted</w:t>
      </w:r>
      <w:r w:rsidRPr="00590E5C">
        <w:rPr>
          <w:rFonts w:ascii="Times New Roman" w:hAnsi="Times New Roman" w:cs="Times New Roman"/>
          <w:sz w:val="24"/>
          <w:szCs w:val="24"/>
        </w:rPr>
        <w:t xml:space="preserve"> in three expected classifications of individuals </w:t>
      </w:r>
      <w:r w:rsidR="009D1131">
        <w:rPr>
          <w:rFonts w:ascii="Times New Roman" w:hAnsi="Times New Roman" w:cs="Times New Roman"/>
          <w:sz w:val="24"/>
          <w:szCs w:val="24"/>
        </w:rPr>
        <w:t xml:space="preserve">deemed eligible to participate in the study to </w:t>
      </w:r>
      <w:r w:rsidR="00C10E93">
        <w:rPr>
          <w:rFonts w:ascii="Times New Roman" w:hAnsi="Times New Roman" w:cs="Times New Roman"/>
          <w:sz w:val="24"/>
          <w:szCs w:val="24"/>
        </w:rPr>
        <w:t>who</w:t>
      </w:r>
      <w:r w:rsidR="009D1131">
        <w:rPr>
          <w:rFonts w:ascii="Times New Roman" w:hAnsi="Times New Roman" w:cs="Times New Roman"/>
          <w:sz w:val="24"/>
          <w:szCs w:val="24"/>
        </w:rPr>
        <w:t>m</w:t>
      </w:r>
      <w:r w:rsidR="00C10E93">
        <w:rPr>
          <w:rFonts w:ascii="Times New Roman" w:hAnsi="Times New Roman" w:cs="Times New Roman"/>
          <w:sz w:val="24"/>
          <w:szCs w:val="24"/>
        </w:rPr>
        <w:t xml:space="preserve"> we send a letter</w:t>
      </w:r>
      <w:r w:rsidRPr="00590E5C">
        <w:rPr>
          <w:rFonts w:ascii="Times New Roman" w:hAnsi="Times New Roman" w:cs="Times New Roman"/>
          <w:sz w:val="24"/>
          <w:szCs w:val="24"/>
        </w:rPr>
        <w:t>, including those wh</w:t>
      </w:r>
      <w:r w:rsidR="004E75F8">
        <w:rPr>
          <w:rFonts w:ascii="Times New Roman" w:hAnsi="Times New Roman" w:cs="Times New Roman"/>
          <w:sz w:val="24"/>
          <w:szCs w:val="24"/>
        </w:rPr>
        <w:t xml:space="preserve">o are: </w:t>
      </w:r>
      <w:r w:rsidR="00714843">
        <w:rPr>
          <w:rFonts w:ascii="Times New Roman" w:hAnsi="Times New Roman" w:cs="Times New Roman"/>
          <w:sz w:val="24"/>
          <w:szCs w:val="24"/>
        </w:rPr>
        <w:t xml:space="preserve"> (1) </w:t>
      </w:r>
      <w:r w:rsidR="004E75F8">
        <w:rPr>
          <w:rFonts w:ascii="Times New Roman" w:hAnsi="Times New Roman" w:cs="Times New Roman"/>
          <w:sz w:val="24"/>
          <w:szCs w:val="24"/>
        </w:rPr>
        <w:t>eligible participants; (2) eligible</w:t>
      </w:r>
      <w:r w:rsidR="00E17D11">
        <w:rPr>
          <w:rFonts w:ascii="Times New Roman" w:hAnsi="Times New Roman" w:cs="Times New Roman"/>
          <w:sz w:val="24"/>
          <w:szCs w:val="24"/>
        </w:rPr>
        <w:t xml:space="preserve"> non</w:t>
      </w:r>
      <w:r w:rsidR="00E17D11">
        <w:rPr>
          <w:rFonts w:ascii="Times New Roman" w:hAnsi="Times New Roman" w:cs="Times New Roman"/>
          <w:sz w:val="24"/>
          <w:szCs w:val="24"/>
        </w:rPr>
        <w:noBreakHyphen/>
      </w:r>
      <w:r w:rsidR="004E75F8">
        <w:rPr>
          <w:rFonts w:ascii="Times New Roman" w:hAnsi="Times New Roman" w:cs="Times New Roman"/>
          <w:sz w:val="24"/>
          <w:szCs w:val="24"/>
        </w:rPr>
        <w:t>participants;</w:t>
      </w:r>
      <w:r w:rsidRPr="00590E5C">
        <w:rPr>
          <w:rFonts w:ascii="Times New Roman" w:hAnsi="Times New Roman" w:cs="Times New Roman"/>
          <w:sz w:val="24"/>
          <w:szCs w:val="24"/>
        </w:rPr>
        <w:t xml:space="preserve"> and (3) unable to contact. </w:t>
      </w:r>
      <w:r w:rsidR="004E75F8">
        <w:rPr>
          <w:rFonts w:ascii="Times New Roman" w:hAnsi="Times New Roman" w:cs="Times New Roman"/>
          <w:sz w:val="24"/>
          <w:szCs w:val="24"/>
        </w:rPr>
        <w:t xml:space="preserve"> </w:t>
      </w:r>
      <w:r w:rsidR="009D1131">
        <w:rPr>
          <w:rFonts w:ascii="Times New Roman" w:hAnsi="Times New Roman" w:cs="Times New Roman"/>
          <w:sz w:val="24"/>
          <w:szCs w:val="24"/>
        </w:rPr>
        <w:t>Among eligible</w:t>
      </w:r>
      <w:r w:rsidR="00017283">
        <w:rPr>
          <w:rFonts w:ascii="Times New Roman" w:hAnsi="Times New Roman" w:cs="Times New Roman"/>
          <w:sz w:val="24"/>
          <w:szCs w:val="24"/>
        </w:rPr>
        <w:t xml:space="preserve"> participants with whom we made </w:t>
      </w:r>
      <w:r w:rsidR="009D1131">
        <w:rPr>
          <w:rFonts w:ascii="Times New Roman" w:hAnsi="Times New Roman" w:cs="Times New Roman"/>
          <w:sz w:val="24"/>
          <w:szCs w:val="24"/>
        </w:rPr>
        <w:t xml:space="preserve">contact during the recruitment process, we </w:t>
      </w:r>
      <w:r w:rsidR="004E75F8">
        <w:rPr>
          <w:rFonts w:ascii="Times New Roman" w:hAnsi="Times New Roman" w:cs="Times New Roman"/>
          <w:sz w:val="24"/>
          <w:szCs w:val="24"/>
        </w:rPr>
        <w:t>document</w:t>
      </w:r>
      <w:r w:rsidR="00017283">
        <w:rPr>
          <w:rFonts w:ascii="Times New Roman" w:hAnsi="Times New Roman" w:cs="Times New Roman"/>
          <w:sz w:val="24"/>
          <w:szCs w:val="24"/>
        </w:rPr>
        <w:t>ed</w:t>
      </w:r>
      <w:r w:rsidR="004E75F8">
        <w:rPr>
          <w:rFonts w:ascii="Times New Roman" w:hAnsi="Times New Roman" w:cs="Times New Roman"/>
          <w:sz w:val="24"/>
          <w:szCs w:val="24"/>
        </w:rPr>
        <w:t xml:space="preserve"> i</w:t>
      </w:r>
      <w:r w:rsidRPr="00590E5C">
        <w:rPr>
          <w:rFonts w:ascii="Times New Roman" w:hAnsi="Times New Roman" w:cs="Times New Roman"/>
          <w:sz w:val="24"/>
          <w:szCs w:val="24"/>
        </w:rPr>
        <w:t xml:space="preserve">ndividuals </w:t>
      </w:r>
      <w:r w:rsidR="004E75F8">
        <w:rPr>
          <w:rFonts w:ascii="Times New Roman" w:hAnsi="Times New Roman" w:cs="Times New Roman"/>
          <w:sz w:val="24"/>
          <w:szCs w:val="24"/>
        </w:rPr>
        <w:t xml:space="preserve">who turn out to be ineligible, </w:t>
      </w:r>
      <w:r w:rsidR="009D1131">
        <w:rPr>
          <w:rFonts w:ascii="Times New Roman" w:hAnsi="Times New Roman" w:cs="Times New Roman"/>
          <w:sz w:val="24"/>
          <w:szCs w:val="24"/>
        </w:rPr>
        <w:t xml:space="preserve">and, therefore, </w:t>
      </w:r>
      <w:r w:rsidRPr="00590E5C">
        <w:rPr>
          <w:rFonts w:ascii="Times New Roman" w:hAnsi="Times New Roman" w:cs="Times New Roman"/>
          <w:sz w:val="24"/>
          <w:szCs w:val="24"/>
        </w:rPr>
        <w:t xml:space="preserve">not included in analyses of non-participation. </w:t>
      </w:r>
      <w:r w:rsidR="004E75F8">
        <w:rPr>
          <w:rFonts w:ascii="Times New Roman" w:hAnsi="Times New Roman" w:cs="Times New Roman"/>
          <w:sz w:val="24"/>
          <w:szCs w:val="24"/>
        </w:rPr>
        <w:t xml:space="preserve"> </w:t>
      </w:r>
      <w:r w:rsidR="00017283">
        <w:rPr>
          <w:rFonts w:ascii="Times New Roman" w:hAnsi="Times New Roman" w:cs="Times New Roman"/>
          <w:sz w:val="24"/>
          <w:szCs w:val="24"/>
        </w:rPr>
        <w:t xml:space="preserve">Once enrollment ended, we </w:t>
      </w:r>
      <w:r w:rsidRPr="00590E5C">
        <w:rPr>
          <w:rFonts w:ascii="Times New Roman" w:hAnsi="Times New Roman" w:cs="Times New Roman"/>
          <w:sz w:val="24"/>
          <w:szCs w:val="24"/>
        </w:rPr>
        <w:t>conduct</w:t>
      </w:r>
      <w:r w:rsidR="00017283">
        <w:rPr>
          <w:rFonts w:ascii="Times New Roman" w:hAnsi="Times New Roman" w:cs="Times New Roman"/>
          <w:sz w:val="24"/>
          <w:szCs w:val="24"/>
        </w:rPr>
        <w:t>ed</w:t>
      </w:r>
      <w:r w:rsidRPr="00590E5C">
        <w:rPr>
          <w:rFonts w:ascii="Times New Roman" w:hAnsi="Times New Roman" w:cs="Times New Roman"/>
          <w:sz w:val="24"/>
          <w:szCs w:val="24"/>
        </w:rPr>
        <w:t xml:space="preserve"> an analysis of the enrollment characteristics of the three groups to determine whether no</w:t>
      </w:r>
      <w:r w:rsidR="00017283">
        <w:rPr>
          <w:rFonts w:ascii="Times New Roman" w:hAnsi="Times New Roman" w:cs="Times New Roman"/>
          <w:sz w:val="24"/>
          <w:szCs w:val="24"/>
        </w:rPr>
        <w:t xml:space="preserve">n-participants and those we were </w:t>
      </w:r>
      <w:r w:rsidRPr="00590E5C">
        <w:rPr>
          <w:rFonts w:ascii="Times New Roman" w:hAnsi="Times New Roman" w:cs="Times New Roman"/>
          <w:sz w:val="24"/>
          <w:szCs w:val="24"/>
        </w:rPr>
        <w:t xml:space="preserve">unable to contact </w:t>
      </w:r>
      <w:r w:rsidR="00017283">
        <w:rPr>
          <w:rFonts w:ascii="Times New Roman" w:hAnsi="Times New Roman" w:cs="Times New Roman"/>
          <w:sz w:val="24"/>
          <w:szCs w:val="24"/>
        </w:rPr>
        <w:t>were</w:t>
      </w:r>
      <w:r w:rsidRPr="00590E5C">
        <w:rPr>
          <w:rFonts w:ascii="Times New Roman" w:hAnsi="Times New Roman" w:cs="Times New Roman"/>
          <w:sz w:val="24"/>
          <w:szCs w:val="24"/>
        </w:rPr>
        <w:t xml:space="preserve"> different from those who elect</w:t>
      </w:r>
      <w:r w:rsidR="00017283">
        <w:rPr>
          <w:rFonts w:ascii="Times New Roman" w:hAnsi="Times New Roman" w:cs="Times New Roman"/>
          <w:sz w:val="24"/>
          <w:szCs w:val="24"/>
        </w:rPr>
        <w:t>ed</w:t>
      </w:r>
      <w:r w:rsidRPr="00590E5C">
        <w:rPr>
          <w:rFonts w:ascii="Times New Roman" w:hAnsi="Times New Roman" w:cs="Times New Roman"/>
          <w:sz w:val="24"/>
          <w:szCs w:val="24"/>
        </w:rPr>
        <w:t xml:space="preserve"> to participate in the study. </w:t>
      </w:r>
      <w:r w:rsidR="00E0733B">
        <w:rPr>
          <w:rFonts w:ascii="Times New Roman" w:hAnsi="Times New Roman" w:cs="Times New Roman"/>
          <w:sz w:val="24"/>
          <w:szCs w:val="24"/>
        </w:rPr>
        <w:t xml:space="preserve"> </w:t>
      </w:r>
      <w:r w:rsidRPr="00590E5C">
        <w:rPr>
          <w:rFonts w:ascii="Times New Roman" w:hAnsi="Times New Roman" w:cs="Times New Roman"/>
          <w:sz w:val="24"/>
          <w:szCs w:val="24"/>
        </w:rPr>
        <w:t>We also address</w:t>
      </w:r>
      <w:r w:rsidR="00017283">
        <w:rPr>
          <w:rFonts w:ascii="Times New Roman" w:hAnsi="Times New Roman" w:cs="Times New Roman"/>
          <w:sz w:val="24"/>
          <w:szCs w:val="24"/>
        </w:rPr>
        <w:t>ed</w:t>
      </w:r>
      <w:r w:rsidRPr="00590E5C">
        <w:rPr>
          <w:rFonts w:ascii="Times New Roman" w:hAnsi="Times New Roman" w:cs="Times New Roman"/>
          <w:sz w:val="24"/>
          <w:szCs w:val="24"/>
        </w:rPr>
        <w:t xml:space="preserve"> interview nonresponse.</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00017283">
        <w:rPr>
          <w:rFonts w:ascii="Times New Roman" w:hAnsi="Times New Roman" w:cs="Times New Roman"/>
          <w:sz w:val="24"/>
          <w:szCs w:val="24"/>
        </w:rPr>
        <w:t>We</w:t>
      </w:r>
      <w:r w:rsidRPr="00590E5C">
        <w:rPr>
          <w:rFonts w:ascii="Times New Roman" w:hAnsi="Times New Roman" w:cs="Times New Roman"/>
          <w:sz w:val="24"/>
          <w:szCs w:val="24"/>
        </w:rPr>
        <w:t xml:space="preserve"> implement</w:t>
      </w:r>
      <w:r w:rsidR="00665150">
        <w:rPr>
          <w:rFonts w:ascii="Times New Roman" w:hAnsi="Times New Roman" w:cs="Times New Roman"/>
          <w:sz w:val="24"/>
          <w:szCs w:val="24"/>
        </w:rPr>
        <w:t xml:space="preserve">ed </w:t>
      </w:r>
      <w:r w:rsidRPr="00590E5C">
        <w:rPr>
          <w:rFonts w:ascii="Times New Roman" w:hAnsi="Times New Roman" w:cs="Times New Roman"/>
          <w:sz w:val="24"/>
          <w:szCs w:val="24"/>
        </w:rPr>
        <w:t xml:space="preserve">several strategies to maximize response rates and minimize non-response to the quarterly follow-up interviews. </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To ensure maximum participatio</w:t>
      </w:r>
      <w:r w:rsidR="00665150">
        <w:rPr>
          <w:rFonts w:ascii="Times New Roman" w:hAnsi="Times New Roman" w:cs="Times New Roman"/>
          <w:sz w:val="24"/>
          <w:szCs w:val="24"/>
        </w:rPr>
        <w:t xml:space="preserve">n throughout the study, we </w:t>
      </w:r>
      <w:r w:rsidRPr="00590E5C">
        <w:rPr>
          <w:rFonts w:ascii="Times New Roman" w:hAnsi="Times New Roman" w:cs="Times New Roman"/>
          <w:sz w:val="24"/>
          <w:szCs w:val="24"/>
        </w:rPr>
        <w:t>establish</w:t>
      </w:r>
      <w:r w:rsidR="00665150">
        <w:rPr>
          <w:rFonts w:ascii="Times New Roman" w:hAnsi="Times New Roman" w:cs="Times New Roman"/>
          <w:sz w:val="24"/>
          <w:szCs w:val="24"/>
        </w:rPr>
        <w:t>ed</w:t>
      </w:r>
      <w:r w:rsidRPr="00590E5C">
        <w:rPr>
          <w:rFonts w:ascii="Times New Roman" w:hAnsi="Times New Roman" w:cs="Times New Roman"/>
          <w:sz w:val="24"/>
          <w:szCs w:val="24"/>
        </w:rPr>
        <w:t xml:space="preserve"> a repository of conta</w:t>
      </w:r>
      <w:r w:rsidR="00AE56CF">
        <w:rPr>
          <w:rFonts w:ascii="Times New Roman" w:hAnsi="Times New Roman" w:cs="Times New Roman"/>
          <w:sz w:val="24"/>
          <w:szCs w:val="24"/>
        </w:rPr>
        <w:t xml:space="preserve">cts for each participant – the </w:t>
      </w:r>
      <w:r w:rsidRPr="00590E5C">
        <w:rPr>
          <w:rFonts w:ascii="Times New Roman" w:hAnsi="Times New Roman" w:cs="Times New Roman"/>
          <w:sz w:val="24"/>
          <w:szCs w:val="24"/>
        </w:rPr>
        <w:t xml:space="preserve">names, addresses, and telephone numbers of individuals who are familiar to the </w:t>
      </w:r>
      <w:r w:rsidRPr="00590E5C">
        <w:rPr>
          <w:rFonts w:ascii="Times New Roman" w:hAnsi="Times New Roman" w:cs="Times New Roman"/>
          <w:sz w:val="24"/>
          <w:szCs w:val="24"/>
        </w:rPr>
        <w:lastRenderedPageBreak/>
        <w:t>participant and who can get in touch with them if we cannot.</w:t>
      </w:r>
      <w:r w:rsidR="004E75F8">
        <w:rPr>
          <w:rFonts w:ascii="Times New Roman" w:hAnsi="Times New Roman" w:cs="Times New Roman"/>
          <w:sz w:val="24"/>
          <w:szCs w:val="24"/>
        </w:rPr>
        <w:t xml:space="preserve"> </w:t>
      </w:r>
      <w:r w:rsidR="00AE56CF">
        <w:rPr>
          <w:rFonts w:ascii="Times New Roman" w:hAnsi="Times New Roman" w:cs="Times New Roman"/>
          <w:sz w:val="24"/>
          <w:szCs w:val="24"/>
        </w:rPr>
        <w:t xml:space="preserve"> </w:t>
      </w:r>
      <w:r w:rsidRPr="00590E5C">
        <w:rPr>
          <w:rFonts w:ascii="Times New Roman" w:hAnsi="Times New Roman" w:cs="Times New Roman"/>
          <w:sz w:val="24"/>
          <w:szCs w:val="24"/>
        </w:rPr>
        <w:t>During the baseline intervi</w:t>
      </w:r>
      <w:r w:rsidR="00665150">
        <w:rPr>
          <w:rFonts w:ascii="Times New Roman" w:hAnsi="Times New Roman" w:cs="Times New Roman"/>
          <w:sz w:val="24"/>
          <w:szCs w:val="24"/>
        </w:rPr>
        <w:t xml:space="preserve">ew, the Research Assistant </w:t>
      </w:r>
      <w:r w:rsidRPr="00590E5C">
        <w:rPr>
          <w:rFonts w:ascii="Times New Roman" w:hAnsi="Times New Roman" w:cs="Times New Roman"/>
          <w:sz w:val="24"/>
          <w:szCs w:val="24"/>
        </w:rPr>
        <w:t>ask</w:t>
      </w:r>
      <w:r w:rsidR="00665150">
        <w:rPr>
          <w:rFonts w:ascii="Times New Roman" w:hAnsi="Times New Roman" w:cs="Times New Roman"/>
          <w:sz w:val="24"/>
          <w:szCs w:val="24"/>
        </w:rPr>
        <w:t>s</w:t>
      </w:r>
      <w:r w:rsidRPr="00590E5C">
        <w:rPr>
          <w:rFonts w:ascii="Times New Roman" w:hAnsi="Times New Roman" w:cs="Times New Roman"/>
          <w:sz w:val="24"/>
          <w:szCs w:val="24"/>
        </w:rPr>
        <w:t xml:space="preserve"> the respondent for the name and number of two such individuals to contact in the event that we cannot locate </w:t>
      </w:r>
      <w:r w:rsidR="00F677AC">
        <w:rPr>
          <w:rFonts w:ascii="Times New Roman" w:hAnsi="Times New Roman" w:cs="Times New Roman"/>
          <w:sz w:val="24"/>
          <w:szCs w:val="24"/>
        </w:rPr>
        <w:t>the respondent</w:t>
      </w:r>
      <w:r w:rsidRPr="00590E5C">
        <w:rPr>
          <w:rFonts w:ascii="Times New Roman" w:hAnsi="Times New Roman" w:cs="Times New Roman"/>
          <w:sz w:val="24"/>
          <w:szCs w:val="24"/>
        </w:rPr>
        <w:t>.</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 xml:space="preserve"> Ideally, at least one of these alternate contacts should not live in the same household as the participant.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Subsequently, as part of each quarterly follow-up interview, we </w:t>
      </w:r>
      <w:r w:rsidR="00665150">
        <w:rPr>
          <w:rFonts w:ascii="Times New Roman" w:hAnsi="Times New Roman" w:cs="Times New Roman"/>
          <w:sz w:val="24"/>
          <w:szCs w:val="24"/>
        </w:rPr>
        <w:t>verify</w:t>
      </w:r>
      <w:r w:rsidRPr="00590E5C">
        <w:rPr>
          <w:rFonts w:ascii="Times New Roman" w:hAnsi="Times New Roman" w:cs="Times New Roman"/>
          <w:sz w:val="24"/>
          <w:szCs w:val="24"/>
        </w:rPr>
        <w:t xml:space="preserve"> the contacts previously provided by the participant. </w:t>
      </w:r>
      <w:r w:rsidR="004E75F8">
        <w:rPr>
          <w:rFonts w:ascii="Times New Roman" w:hAnsi="Times New Roman" w:cs="Times New Roman"/>
          <w:sz w:val="24"/>
          <w:szCs w:val="24"/>
        </w:rPr>
        <w:t xml:space="preserve"> </w:t>
      </w:r>
      <w:r w:rsidR="008F3358">
        <w:rPr>
          <w:rFonts w:ascii="Times New Roman" w:hAnsi="Times New Roman" w:cs="Times New Roman"/>
          <w:sz w:val="24"/>
          <w:szCs w:val="24"/>
        </w:rPr>
        <w:t>Our MIS</w:t>
      </w:r>
      <w:r w:rsidRPr="00590E5C">
        <w:rPr>
          <w:rFonts w:ascii="Times New Roman" w:hAnsi="Times New Roman" w:cs="Times New Roman"/>
          <w:sz w:val="24"/>
          <w:szCs w:val="24"/>
        </w:rPr>
        <w:t xml:space="preserve"> include</w:t>
      </w:r>
      <w:r w:rsidR="008F3358">
        <w:rPr>
          <w:rFonts w:ascii="Times New Roman" w:hAnsi="Times New Roman" w:cs="Times New Roman"/>
          <w:sz w:val="24"/>
          <w:szCs w:val="24"/>
        </w:rPr>
        <w:t>d</w:t>
      </w:r>
      <w:r w:rsidRPr="00590E5C">
        <w:rPr>
          <w:rFonts w:ascii="Times New Roman" w:hAnsi="Times New Roman" w:cs="Times New Roman"/>
          <w:sz w:val="24"/>
          <w:szCs w:val="24"/>
        </w:rPr>
        <w:t xml:space="preserve"> the data entry fields necessary for recording and updating the additional contact persons. </w:t>
      </w:r>
      <w:r w:rsidR="004E75F8">
        <w:rPr>
          <w:rFonts w:ascii="Times New Roman" w:hAnsi="Times New Roman" w:cs="Times New Roman"/>
          <w:sz w:val="24"/>
          <w:szCs w:val="24"/>
        </w:rPr>
        <w:t xml:space="preserve"> </w:t>
      </w:r>
      <w:r w:rsidR="008F3358">
        <w:rPr>
          <w:rFonts w:ascii="Times New Roman" w:hAnsi="Times New Roman" w:cs="Times New Roman"/>
          <w:sz w:val="24"/>
          <w:szCs w:val="24"/>
        </w:rPr>
        <w:t>W</w:t>
      </w:r>
      <w:r w:rsidRPr="00590E5C">
        <w:rPr>
          <w:rFonts w:ascii="Times New Roman" w:hAnsi="Times New Roman" w:cs="Times New Roman"/>
          <w:sz w:val="24"/>
          <w:szCs w:val="24"/>
        </w:rPr>
        <w:t>e establish</w:t>
      </w:r>
      <w:r w:rsidR="008F3358">
        <w:rPr>
          <w:rFonts w:ascii="Times New Roman" w:hAnsi="Times New Roman" w:cs="Times New Roman"/>
          <w:sz w:val="24"/>
          <w:szCs w:val="24"/>
        </w:rPr>
        <w:t>ed</w:t>
      </w:r>
      <w:r w:rsidRPr="00590E5C">
        <w:rPr>
          <w:rFonts w:ascii="Times New Roman" w:hAnsi="Times New Roman" w:cs="Times New Roman"/>
          <w:sz w:val="24"/>
          <w:szCs w:val="24"/>
        </w:rPr>
        <w:t xml:space="preserve"> a protocol whereby the baseline and quarterly interviews require the interviewer to: </w:t>
      </w:r>
      <w:r w:rsidR="00714843">
        <w:rPr>
          <w:rFonts w:ascii="Times New Roman" w:hAnsi="Times New Roman" w:cs="Times New Roman"/>
          <w:sz w:val="24"/>
          <w:szCs w:val="24"/>
        </w:rPr>
        <w:t xml:space="preserve"> </w:t>
      </w:r>
      <w:r w:rsidRPr="00590E5C">
        <w:rPr>
          <w:rFonts w:ascii="Times New Roman" w:hAnsi="Times New Roman" w:cs="Times New Roman"/>
          <w:sz w:val="24"/>
          <w:szCs w:val="24"/>
        </w:rPr>
        <w:t>ask the participant</w:t>
      </w:r>
      <w:r w:rsidR="00F677AC">
        <w:rPr>
          <w:rFonts w:ascii="Times New Roman" w:hAnsi="Times New Roman" w:cs="Times New Roman"/>
          <w:sz w:val="24"/>
          <w:szCs w:val="24"/>
        </w:rPr>
        <w:t>s</w:t>
      </w:r>
      <w:r w:rsidRPr="00590E5C">
        <w:rPr>
          <w:rFonts w:ascii="Times New Roman" w:hAnsi="Times New Roman" w:cs="Times New Roman"/>
          <w:sz w:val="24"/>
          <w:szCs w:val="24"/>
        </w:rPr>
        <w:t xml:space="preserve"> if</w:t>
      </w:r>
      <w:r w:rsidR="00F677AC">
        <w:rPr>
          <w:rFonts w:ascii="Times New Roman" w:hAnsi="Times New Roman" w:cs="Times New Roman"/>
          <w:sz w:val="24"/>
          <w:szCs w:val="24"/>
        </w:rPr>
        <w:t xml:space="preserve"> they </w:t>
      </w:r>
      <w:r w:rsidRPr="00590E5C">
        <w:rPr>
          <w:rFonts w:ascii="Times New Roman" w:hAnsi="Times New Roman" w:cs="Times New Roman"/>
          <w:sz w:val="24"/>
          <w:szCs w:val="24"/>
        </w:rPr>
        <w:t>ha</w:t>
      </w:r>
      <w:r w:rsidR="00F677AC">
        <w:rPr>
          <w:rFonts w:ascii="Times New Roman" w:hAnsi="Times New Roman" w:cs="Times New Roman"/>
          <w:sz w:val="24"/>
          <w:szCs w:val="24"/>
        </w:rPr>
        <w:t xml:space="preserve">ve plans to move; </w:t>
      </w:r>
      <w:r w:rsidRPr="00590E5C">
        <w:rPr>
          <w:rFonts w:ascii="Times New Roman" w:hAnsi="Times New Roman" w:cs="Times New Roman"/>
          <w:sz w:val="24"/>
          <w:szCs w:val="24"/>
        </w:rPr>
        <w:t>reiterate t</w:t>
      </w:r>
      <w:r w:rsidR="00F677AC">
        <w:rPr>
          <w:rFonts w:ascii="Times New Roman" w:hAnsi="Times New Roman" w:cs="Times New Roman"/>
          <w:sz w:val="24"/>
          <w:szCs w:val="24"/>
        </w:rPr>
        <w:t>he toll-free participant number;</w:t>
      </w:r>
      <w:r w:rsidRPr="00590E5C">
        <w:rPr>
          <w:rFonts w:ascii="Times New Roman" w:hAnsi="Times New Roman" w:cs="Times New Roman"/>
          <w:sz w:val="24"/>
          <w:szCs w:val="24"/>
        </w:rPr>
        <w:t xml:space="preserve"> and offer a $5 cash incentive if the participan</w:t>
      </w:r>
      <w:r w:rsidR="00F677AC">
        <w:rPr>
          <w:rFonts w:ascii="Times New Roman" w:hAnsi="Times New Roman" w:cs="Times New Roman"/>
          <w:sz w:val="24"/>
          <w:szCs w:val="24"/>
        </w:rPr>
        <w:t>ts call</w:t>
      </w:r>
      <w:r w:rsidRPr="00590E5C">
        <w:rPr>
          <w:rFonts w:ascii="Times New Roman" w:hAnsi="Times New Roman" w:cs="Times New Roman"/>
          <w:sz w:val="24"/>
          <w:szCs w:val="24"/>
        </w:rPr>
        <w:t xml:space="preserve"> to report</w:t>
      </w:r>
      <w:r w:rsidR="00F677AC">
        <w:rPr>
          <w:rFonts w:ascii="Times New Roman" w:hAnsi="Times New Roman" w:cs="Times New Roman"/>
          <w:sz w:val="24"/>
          <w:szCs w:val="24"/>
        </w:rPr>
        <w:t xml:space="preserve"> their</w:t>
      </w:r>
      <w:r w:rsidRPr="00590E5C">
        <w:rPr>
          <w:rFonts w:ascii="Times New Roman" w:hAnsi="Times New Roman" w:cs="Times New Roman"/>
          <w:sz w:val="24"/>
          <w:szCs w:val="24"/>
        </w:rPr>
        <w:t xml:space="preserve"> new address. </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Using these strategies described above, we expect</w:t>
      </w:r>
      <w:r w:rsidR="008F3358">
        <w:rPr>
          <w:rFonts w:ascii="Times New Roman" w:hAnsi="Times New Roman" w:cs="Times New Roman"/>
          <w:sz w:val="24"/>
          <w:szCs w:val="24"/>
        </w:rPr>
        <w:t>ed</w:t>
      </w:r>
      <w:r w:rsidRPr="00590E5C">
        <w:rPr>
          <w:rFonts w:ascii="Times New Roman" w:hAnsi="Times New Roman" w:cs="Times New Roman"/>
          <w:sz w:val="24"/>
          <w:szCs w:val="24"/>
        </w:rPr>
        <w:t xml:space="preserve"> to increase the probability of relocating participants who move following the baseline interview.</w:t>
      </w:r>
      <w:r w:rsidR="004E75F8">
        <w:rPr>
          <w:rFonts w:ascii="Times New Roman" w:hAnsi="Times New Roman" w:cs="Times New Roman"/>
          <w:sz w:val="24"/>
          <w:szCs w:val="24"/>
        </w:rPr>
        <w:t xml:space="preserve">  </w:t>
      </w:r>
      <w:r w:rsidR="008F3358">
        <w:rPr>
          <w:rFonts w:ascii="Times New Roman" w:hAnsi="Times New Roman" w:cs="Times New Roman"/>
          <w:sz w:val="24"/>
          <w:szCs w:val="24"/>
        </w:rPr>
        <w:t>We</w:t>
      </w:r>
      <w:r w:rsidRPr="00590E5C">
        <w:rPr>
          <w:rFonts w:ascii="Times New Roman" w:hAnsi="Times New Roman" w:cs="Times New Roman"/>
          <w:sz w:val="24"/>
          <w:szCs w:val="24"/>
        </w:rPr>
        <w:t xml:space="preserve"> work</w:t>
      </w:r>
      <w:r w:rsidR="008F3358">
        <w:rPr>
          <w:rFonts w:ascii="Times New Roman" w:hAnsi="Times New Roman" w:cs="Times New Roman"/>
          <w:sz w:val="24"/>
          <w:szCs w:val="24"/>
        </w:rPr>
        <w:t>ed</w:t>
      </w:r>
      <w:r w:rsidRPr="00590E5C">
        <w:rPr>
          <w:rFonts w:ascii="Times New Roman" w:hAnsi="Times New Roman" w:cs="Times New Roman"/>
          <w:sz w:val="24"/>
          <w:szCs w:val="24"/>
        </w:rPr>
        <w:t xml:space="preserve"> to minimize attrition and loss to follow-up for the quarterly interviews.</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 </w:t>
      </w:r>
      <w:r w:rsidR="008F3358">
        <w:rPr>
          <w:rFonts w:ascii="Times New Roman" w:hAnsi="Times New Roman" w:cs="Times New Roman"/>
          <w:sz w:val="24"/>
          <w:szCs w:val="24"/>
        </w:rPr>
        <w:t xml:space="preserve">We </w:t>
      </w:r>
      <w:r w:rsidR="004E75F8">
        <w:rPr>
          <w:rFonts w:ascii="Times New Roman" w:hAnsi="Times New Roman" w:cs="Times New Roman"/>
          <w:sz w:val="24"/>
          <w:szCs w:val="24"/>
        </w:rPr>
        <w:t>flag pa</w:t>
      </w:r>
      <w:r w:rsidRPr="00590E5C">
        <w:rPr>
          <w:rFonts w:ascii="Times New Roman" w:hAnsi="Times New Roman" w:cs="Times New Roman"/>
          <w:sz w:val="24"/>
          <w:szCs w:val="24"/>
        </w:rPr>
        <w:t>rticipants who initially refuse to continue their participation in a quarterly interview for further follow-up by a CATI interviewer experienced in refusal conversion.</w:t>
      </w:r>
    </w:p>
    <w:p w:rsidRPr="00590E5C" w:rsidR="00AD1F07" w:rsidP="00C10E93" w:rsidRDefault="00AD1F07" w14:paraId="0DE11B36" w14:textId="77777777">
      <w:pPr>
        <w:spacing w:after="0" w:line="240" w:lineRule="auto"/>
        <w:ind w:left="1080"/>
        <w:rPr>
          <w:rFonts w:ascii="Times New Roman" w:hAnsi="Times New Roman" w:cs="Times New Roman"/>
          <w:sz w:val="24"/>
          <w:szCs w:val="24"/>
        </w:rPr>
      </w:pPr>
    </w:p>
    <w:p w:rsidRPr="00590E5C" w:rsidR="00AF769E" w:rsidP="00C10E93" w:rsidRDefault="006A1E9D" w14:paraId="5FCE88A4" w14:textId="703C97D7">
      <w:pPr>
        <w:ind w:left="1080"/>
        <w:rPr>
          <w:rFonts w:ascii="Times New Roman" w:hAnsi="Times New Roman" w:cs="Times New Roman"/>
          <w:sz w:val="24"/>
          <w:szCs w:val="24"/>
        </w:rPr>
      </w:pPr>
      <w:r>
        <w:rPr>
          <w:rFonts w:ascii="Times New Roman" w:hAnsi="Times New Roman" w:cs="Times New Roman"/>
          <w:sz w:val="24"/>
          <w:szCs w:val="24"/>
        </w:rPr>
        <w:lastRenderedPageBreak/>
        <w:t xml:space="preserve">We also </w:t>
      </w:r>
      <w:r w:rsidRPr="00590E5C" w:rsidR="00590E5C">
        <w:rPr>
          <w:rFonts w:ascii="Times New Roman" w:hAnsi="Times New Roman" w:cs="Times New Roman"/>
          <w:sz w:val="24"/>
          <w:szCs w:val="24"/>
        </w:rPr>
        <w:t>conduct</w:t>
      </w:r>
      <w:r w:rsidR="00665150">
        <w:rPr>
          <w:rFonts w:ascii="Times New Roman" w:hAnsi="Times New Roman" w:cs="Times New Roman"/>
          <w:sz w:val="24"/>
          <w:szCs w:val="24"/>
        </w:rPr>
        <w:t>ed</w:t>
      </w:r>
      <w:r w:rsidRPr="00590E5C" w:rsidR="00590E5C">
        <w:rPr>
          <w:rFonts w:ascii="Times New Roman" w:hAnsi="Times New Roman" w:cs="Times New Roman"/>
          <w:sz w:val="24"/>
          <w:szCs w:val="24"/>
        </w:rPr>
        <w:t xml:space="preserve"> intensive tracing efforts for participants who are lost to follow-up because they are not locatable.</w:t>
      </w:r>
      <w:r w:rsidR="004E75F8">
        <w:rPr>
          <w:rFonts w:ascii="Times New Roman" w:hAnsi="Times New Roman" w:cs="Times New Roman"/>
          <w:sz w:val="24"/>
          <w:szCs w:val="24"/>
        </w:rPr>
        <w:t xml:space="preserve">  </w:t>
      </w:r>
      <w:r w:rsidRPr="00590E5C" w:rsidR="00590E5C">
        <w:rPr>
          <w:rFonts w:ascii="Times New Roman" w:hAnsi="Times New Roman" w:cs="Times New Roman"/>
          <w:sz w:val="24"/>
          <w:szCs w:val="24"/>
        </w:rPr>
        <w:t>TRC interviewers experien</w:t>
      </w:r>
      <w:r>
        <w:rPr>
          <w:rFonts w:ascii="Times New Roman" w:hAnsi="Times New Roman" w:cs="Times New Roman"/>
          <w:sz w:val="24"/>
          <w:szCs w:val="24"/>
        </w:rPr>
        <w:t xml:space="preserve">ced in tracing individuals </w:t>
      </w:r>
      <w:r w:rsidRPr="00590E5C" w:rsidR="00590E5C">
        <w:rPr>
          <w:rFonts w:ascii="Times New Roman" w:hAnsi="Times New Roman" w:cs="Times New Roman"/>
          <w:sz w:val="24"/>
          <w:szCs w:val="24"/>
        </w:rPr>
        <w:t>use this information as needed to obtain updated contact information for non-respondents who are not locatable.</w:t>
      </w:r>
      <w:r w:rsidR="004E75F8">
        <w:rPr>
          <w:rFonts w:ascii="Times New Roman" w:hAnsi="Times New Roman" w:cs="Times New Roman"/>
          <w:sz w:val="24"/>
          <w:szCs w:val="24"/>
        </w:rPr>
        <w:t xml:space="preserve"> </w:t>
      </w:r>
      <w:r w:rsidRPr="00590E5C" w:rsidR="00590E5C">
        <w:rPr>
          <w:rFonts w:ascii="Times New Roman" w:hAnsi="Times New Roman" w:cs="Times New Roman"/>
          <w:sz w:val="24"/>
          <w:szCs w:val="24"/>
        </w:rPr>
        <w:t xml:space="preserve"> If these eff</w:t>
      </w:r>
      <w:r w:rsidR="004E75F8">
        <w:rPr>
          <w:rFonts w:ascii="Times New Roman" w:hAnsi="Times New Roman" w:cs="Times New Roman"/>
          <w:sz w:val="24"/>
          <w:szCs w:val="24"/>
        </w:rPr>
        <w:t xml:space="preserve">orts prove unsuccessful, we </w:t>
      </w:r>
      <w:r>
        <w:rPr>
          <w:rFonts w:ascii="Times New Roman" w:hAnsi="Times New Roman" w:cs="Times New Roman"/>
          <w:sz w:val="24"/>
          <w:szCs w:val="24"/>
        </w:rPr>
        <w:t>may</w:t>
      </w:r>
      <w:r w:rsidR="004E75F8">
        <w:rPr>
          <w:rFonts w:ascii="Times New Roman" w:hAnsi="Times New Roman" w:cs="Times New Roman"/>
          <w:sz w:val="24"/>
          <w:szCs w:val="24"/>
        </w:rPr>
        <w:t xml:space="preserve"> arrange f</w:t>
      </w:r>
      <w:r w:rsidRPr="00590E5C" w:rsidR="00590E5C">
        <w:rPr>
          <w:rFonts w:ascii="Times New Roman" w:hAnsi="Times New Roman" w:cs="Times New Roman"/>
          <w:sz w:val="24"/>
          <w:szCs w:val="24"/>
        </w:rPr>
        <w:t>or our local field staff to conduct in-person tracing efforts, starting with visiting the participant</w:t>
      </w:r>
      <w:r w:rsidR="006D740A">
        <w:rPr>
          <w:rFonts w:ascii="Times New Roman" w:hAnsi="Times New Roman" w:cs="Times New Roman"/>
          <w:sz w:val="24"/>
          <w:szCs w:val="24"/>
        </w:rPr>
        <w:t>s</w:t>
      </w:r>
      <w:r w:rsidRPr="00590E5C" w:rsidR="00590E5C">
        <w:rPr>
          <w:rFonts w:ascii="Times New Roman" w:hAnsi="Times New Roman" w:cs="Times New Roman"/>
          <w:sz w:val="24"/>
          <w:szCs w:val="24"/>
        </w:rPr>
        <w:t xml:space="preserve"> at</w:t>
      </w:r>
      <w:r w:rsidR="006D740A">
        <w:rPr>
          <w:rFonts w:ascii="Times New Roman" w:hAnsi="Times New Roman" w:cs="Times New Roman"/>
          <w:sz w:val="24"/>
          <w:szCs w:val="24"/>
        </w:rPr>
        <w:t xml:space="preserve"> their</w:t>
      </w:r>
      <w:r w:rsidRPr="00590E5C" w:rsidR="00590E5C">
        <w:rPr>
          <w:rFonts w:ascii="Times New Roman" w:hAnsi="Times New Roman" w:cs="Times New Roman"/>
          <w:sz w:val="24"/>
          <w:szCs w:val="24"/>
        </w:rPr>
        <w:t xml:space="preserve"> last known address</w:t>
      </w:r>
      <w:r w:rsidR="006D740A">
        <w:rPr>
          <w:rFonts w:ascii="Times New Roman" w:hAnsi="Times New Roman" w:cs="Times New Roman"/>
          <w:sz w:val="24"/>
          <w:szCs w:val="24"/>
        </w:rPr>
        <w:t>es</w:t>
      </w:r>
      <w:r w:rsidRPr="00590E5C" w:rsidR="00590E5C">
        <w:rPr>
          <w:rFonts w:ascii="Times New Roman" w:hAnsi="Times New Roman" w:cs="Times New Roman"/>
          <w:sz w:val="24"/>
          <w:szCs w:val="24"/>
        </w:rPr>
        <w:t>.</w:t>
      </w:r>
      <w:r w:rsidR="004E75F8">
        <w:rPr>
          <w:rFonts w:ascii="Times New Roman" w:hAnsi="Times New Roman" w:cs="Times New Roman"/>
          <w:sz w:val="24"/>
          <w:szCs w:val="24"/>
        </w:rPr>
        <w:t xml:space="preserve">  W</w:t>
      </w:r>
      <w:r w:rsidRPr="00590E5C" w:rsidR="00590E5C">
        <w:rPr>
          <w:rFonts w:ascii="Times New Roman" w:hAnsi="Times New Roman" w:cs="Times New Roman"/>
          <w:sz w:val="24"/>
          <w:szCs w:val="24"/>
        </w:rPr>
        <w:t>ith over 50 years of experience in survey data collection, Westat has substantial knowledge of the challenges in achieving high response rates and is experienced in implementing data collection procedures to increase survey response.</w:t>
      </w:r>
      <w:r w:rsidR="00F677AC">
        <w:rPr>
          <w:rFonts w:ascii="Times New Roman" w:hAnsi="Times New Roman" w:cs="Times New Roman"/>
          <w:sz w:val="24"/>
          <w:szCs w:val="24"/>
        </w:rPr>
        <w:t xml:space="preserve"> </w:t>
      </w:r>
      <w:r w:rsidRPr="00590E5C" w:rsidR="00590E5C">
        <w:rPr>
          <w:rFonts w:ascii="Times New Roman" w:hAnsi="Times New Roman" w:cs="Times New Roman"/>
          <w:sz w:val="24"/>
          <w:szCs w:val="24"/>
        </w:rPr>
        <w:t xml:space="preserve"> In addition to the hundreds of surveys </w:t>
      </w:r>
      <w:r>
        <w:rPr>
          <w:rFonts w:ascii="Times New Roman" w:hAnsi="Times New Roman" w:cs="Times New Roman"/>
          <w:sz w:val="24"/>
          <w:szCs w:val="24"/>
        </w:rPr>
        <w:t xml:space="preserve">Westat has </w:t>
      </w:r>
      <w:r w:rsidR="006D740A">
        <w:rPr>
          <w:rFonts w:ascii="Times New Roman" w:hAnsi="Times New Roman" w:cs="Times New Roman"/>
          <w:sz w:val="24"/>
          <w:szCs w:val="24"/>
        </w:rPr>
        <w:t xml:space="preserve">successfully fielded, </w:t>
      </w:r>
      <w:r w:rsidRPr="00590E5C" w:rsidR="00590E5C">
        <w:rPr>
          <w:rFonts w:ascii="Times New Roman" w:hAnsi="Times New Roman" w:cs="Times New Roman"/>
          <w:sz w:val="24"/>
          <w:szCs w:val="24"/>
        </w:rPr>
        <w:t>and our experience with the MHTS, in which we achieved an overall survey response rate of 84 percent (without incentives for the treatment group), we are confident that we can meet a target response rate of at least 80 percent for the</w:t>
      </w:r>
      <w:r w:rsidR="004E75F8">
        <w:rPr>
          <w:rFonts w:ascii="Times New Roman" w:hAnsi="Times New Roman" w:cs="Times New Roman"/>
          <w:sz w:val="24"/>
          <w:szCs w:val="24"/>
        </w:rPr>
        <w:t xml:space="preserve"> SED project</w:t>
      </w:r>
      <w:r w:rsidRPr="00590E5C" w:rsidR="00590E5C">
        <w:rPr>
          <w:rFonts w:ascii="Times New Roman" w:hAnsi="Times New Roman" w:cs="Times New Roman"/>
          <w:sz w:val="24"/>
          <w:szCs w:val="24"/>
        </w:rPr>
        <w:t>.</w:t>
      </w:r>
      <w:r w:rsidR="004E75F8">
        <w:rPr>
          <w:rFonts w:ascii="Times New Roman" w:hAnsi="Times New Roman" w:cs="Times New Roman"/>
          <w:sz w:val="24"/>
          <w:szCs w:val="24"/>
        </w:rPr>
        <w:t xml:space="preserve"> </w:t>
      </w:r>
      <w:r w:rsidR="00AE56CF">
        <w:rPr>
          <w:rFonts w:ascii="Times New Roman" w:hAnsi="Times New Roman" w:cs="Times New Roman"/>
          <w:sz w:val="24"/>
          <w:szCs w:val="24"/>
        </w:rPr>
        <w:t xml:space="preserve"> </w:t>
      </w:r>
      <w:r w:rsidRPr="00590E5C" w:rsidR="00590E5C">
        <w:rPr>
          <w:rFonts w:ascii="Times New Roman" w:hAnsi="Times New Roman" w:cs="Times New Roman"/>
          <w:sz w:val="24"/>
          <w:szCs w:val="24"/>
        </w:rPr>
        <w:t>If we do not meet this target response rate, we will conduct a non-response bias analysis</w:t>
      </w:r>
      <w:r>
        <w:rPr>
          <w:rFonts w:ascii="Times New Roman" w:hAnsi="Times New Roman" w:cs="Times New Roman"/>
          <w:sz w:val="24"/>
          <w:szCs w:val="24"/>
        </w:rPr>
        <w:t>.</w:t>
      </w:r>
    </w:p>
    <w:p w:rsidRPr="004E75F8" w:rsidR="004E75F8" w:rsidP="00C10E93" w:rsidRDefault="001B6CD9" w14:paraId="0EA28389" w14:textId="77777777">
      <w:pPr>
        <w:numPr>
          <w:ilvl w:val="0"/>
          <w:numId w:val="9"/>
        </w:numPr>
        <w:spacing w:after="0" w:line="240" w:lineRule="auto"/>
        <w:ind w:left="1080" w:hanging="630"/>
        <w:rPr>
          <w:rFonts w:ascii="Times New Roman" w:hAnsi="Times New Roman" w:cs="Times New Roman"/>
          <w:sz w:val="24"/>
          <w:szCs w:val="24"/>
        </w:rPr>
      </w:pPr>
      <w:r w:rsidRPr="004E75F8">
        <w:rPr>
          <w:rFonts w:ascii="Times New Roman" w:hAnsi="Times New Roman" w:cs="Times New Roman"/>
          <w:b/>
          <w:sz w:val="24"/>
          <w:szCs w:val="24"/>
          <w:lang w:val="en"/>
        </w:rPr>
        <w:t>Test of Procedures or Methods to be Undertaken</w:t>
      </w:r>
    </w:p>
    <w:p w:rsidR="007F5D40" w:rsidP="00C10E93" w:rsidRDefault="00483B8B" w14:paraId="789FE90B" w14:textId="7CA89874">
      <w:pPr>
        <w:spacing w:after="0" w:line="240" w:lineRule="auto"/>
        <w:ind w:left="1080"/>
        <w:rPr>
          <w:rFonts w:ascii="Times New Roman" w:hAnsi="Times New Roman" w:cs="Times New Roman"/>
          <w:sz w:val="24"/>
          <w:szCs w:val="24"/>
        </w:rPr>
      </w:pPr>
      <w:r w:rsidRPr="004E75F8">
        <w:rPr>
          <w:rFonts w:ascii="Times New Roman" w:hAnsi="Times New Roman" w:cs="Times New Roman"/>
          <w:sz w:val="24"/>
          <w:szCs w:val="24"/>
        </w:rPr>
        <w:lastRenderedPageBreak/>
        <w:t>Westat conduct</w:t>
      </w:r>
      <w:r w:rsidR="00C76276">
        <w:rPr>
          <w:rFonts w:ascii="Times New Roman" w:hAnsi="Times New Roman" w:cs="Times New Roman"/>
          <w:sz w:val="24"/>
          <w:szCs w:val="24"/>
        </w:rPr>
        <w:t>ed</w:t>
      </w:r>
      <w:r w:rsidRPr="004E75F8">
        <w:rPr>
          <w:rFonts w:ascii="Times New Roman" w:hAnsi="Times New Roman" w:cs="Times New Roman"/>
          <w:sz w:val="24"/>
          <w:szCs w:val="24"/>
        </w:rPr>
        <w:t xml:space="preserve"> a cognitive test of </w:t>
      </w:r>
      <w:r w:rsidRPr="004E75F8" w:rsidR="00294B0D">
        <w:rPr>
          <w:rFonts w:ascii="Times New Roman" w:hAnsi="Times New Roman" w:cs="Times New Roman"/>
          <w:sz w:val="24"/>
          <w:szCs w:val="24"/>
        </w:rPr>
        <w:t xml:space="preserve">new and revised questionnaire items to assess respondent understanding of the questions, as well as pretests of the </w:t>
      </w:r>
      <w:r w:rsidR="00855934">
        <w:rPr>
          <w:rFonts w:ascii="Times New Roman" w:hAnsi="Times New Roman" w:cs="Times New Roman"/>
          <w:sz w:val="24"/>
          <w:szCs w:val="24"/>
        </w:rPr>
        <w:t>interview</w:t>
      </w:r>
      <w:r w:rsidRPr="004E75F8" w:rsidR="00855934">
        <w:rPr>
          <w:rFonts w:ascii="Times New Roman" w:hAnsi="Times New Roman" w:cs="Times New Roman"/>
          <w:sz w:val="24"/>
          <w:szCs w:val="24"/>
        </w:rPr>
        <w:t xml:space="preserve"> </w:t>
      </w:r>
      <w:r w:rsidRPr="004E75F8" w:rsidR="00AE56CF">
        <w:rPr>
          <w:rFonts w:ascii="Times New Roman" w:hAnsi="Times New Roman" w:cs="Times New Roman"/>
          <w:sz w:val="24"/>
          <w:szCs w:val="24"/>
        </w:rPr>
        <w:t xml:space="preserve">instruments (screener, baseline, quarterly, and annual) </w:t>
      </w:r>
      <w:r w:rsidRPr="004E75F8" w:rsidR="00294B0D">
        <w:rPr>
          <w:rFonts w:ascii="Times New Roman" w:hAnsi="Times New Roman" w:cs="Times New Roman"/>
          <w:sz w:val="24"/>
          <w:szCs w:val="24"/>
        </w:rPr>
        <w:t xml:space="preserve">to </w:t>
      </w:r>
      <w:r w:rsidRPr="004E75F8" w:rsidR="00AE56CF">
        <w:rPr>
          <w:rFonts w:ascii="Times New Roman" w:hAnsi="Times New Roman" w:cs="Times New Roman"/>
          <w:sz w:val="24"/>
          <w:szCs w:val="24"/>
        </w:rPr>
        <w:t>confirm respondent</w:t>
      </w:r>
      <w:r w:rsidRPr="004E75F8" w:rsidR="00294B0D">
        <w:rPr>
          <w:rFonts w:ascii="Times New Roman" w:hAnsi="Times New Roman" w:cs="Times New Roman"/>
          <w:sz w:val="24"/>
          <w:szCs w:val="24"/>
        </w:rPr>
        <w:t xml:space="preserve"> burden and assess question flow</w:t>
      </w:r>
      <w:r w:rsidRPr="004E75F8" w:rsidR="00AE56CF">
        <w:rPr>
          <w:rFonts w:ascii="Times New Roman" w:hAnsi="Times New Roman" w:cs="Times New Roman"/>
          <w:sz w:val="24"/>
          <w:szCs w:val="24"/>
        </w:rPr>
        <w:t xml:space="preserve">. </w:t>
      </w:r>
      <w:r w:rsidR="008F3358">
        <w:rPr>
          <w:rFonts w:ascii="Times New Roman" w:hAnsi="Times New Roman" w:cs="Times New Roman"/>
          <w:sz w:val="24"/>
          <w:szCs w:val="24"/>
        </w:rPr>
        <w:t xml:space="preserve"> We </w:t>
      </w:r>
      <w:r w:rsidR="004E75F8">
        <w:rPr>
          <w:rFonts w:ascii="Times New Roman" w:hAnsi="Times New Roman" w:cs="Times New Roman"/>
          <w:sz w:val="24"/>
          <w:szCs w:val="24"/>
        </w:rPr>
        <w:t>conduct</w:t>
      </w:r>
      <w:r w:rsidR="008F3358">
        <w:rPr>
          <w:rFonts w:ascii="Times New Roman" w:hAnsi="Times New Roman" w:cs="Times New Roman"/>
          <w:sz w:val="24"/>
          <w:szCs w:val="24"/>
        </w:rPr>
        <w:t>ed</w:t>
      </w:r>
      <w:r w:rsidR="004E75F8">
        <w:rPr>
          <w:rFonts w:ascii="Times New Roman" w:hAnsi="Times New Roman" w:cs="Times New Roman"/>
          <w:sz w:val="24"/>
          <w:szCs w:val="24"/>
        </w:rPr>
        <w:t xml:space="preserve"> bot</w:t>
      </w:r>
      <w:r w:rsidRPr="004E75F8" w:rsidR="00AE56CF">
        <w:rPr>
          <w:rFonts w:ascii="Times New Roman" w:hAnsi="Times New Roman" w:cs="Times New Roman"/>
          <w:sz w:val="24"/>
          <w:szCs w:val="24"/>
        </w:rPr>
        <w:t>h the cognitive test and pretests</w:t>
      </w:r>
      <w:r w:rsidR="004E75F8">
        <w:rPr>
          <w:rFonts w:ascii="Times New Roman" w:hAnsi="Times New Roman" w:cs="Times New Roman"/>
          <w:sz w:val="24"/>
          <w:szCs w:val="24"/>
        </w:rPr>
        <w:t xml:space="preserve"> </w:t>
      </w:r>
      <w:r w:rsidRPr="004E75F8" w:rsidR="00AE56CF">
        <w:rPr>
          <w:rFonts w:ascii="Times New Roman" w:hAnsi="Times New Roman" w:cs="Times New Roman"/>
          <w:sz w:val="24"/>
          <w:szCs w:val="24"/>
        </w:rPr>
        <w:t xml:space="preserve">with no more than </w:t>
      </w:r>
      <w:r w:rsidR="004E75F8">
        <w:rPr>
          <w:rFonts w:ascii="Times New Roman" w:hAnsi="Times New Roman" w:cs="Times New Roman"/>
          <w:sz w:val="24"/>
          <w:szCs w:val="24"/>
        </w:rPr>
        <w:t>8</w:t>
      </w:r>
      <w:r w:rsidRPr="004E75F8" w:rsidR="00AE56CF">
        <w:rPr>
          <w:rFonts w:ascii="Times New Roman" w:hAnsi="Times New Roman" w:cs="Times New Roman"/>
          <w:sz w:val="24"/>
          <w:szCs w:val="24"/>
        </w:rPr>
        <w:t xml:space="preserve"> denied disability applicants local to the </w:t>
      </w:r>
      <w:r w:rsidRPr="004E75F8">
        <w:rPr>
          <w:rFonts w:ascii="Times New Roman" w:hAnsi="Times New Roman" w:cs="Times New Roman"/>
          <w:sz w:val="24"/>
          <w:szCs w:val="24"/>
        </w:rPr>
        <w:t xml:space="preserve">Washington, DC metropolitan area. </w:t>
      </w:r>
      <w:r w:rsidR="008F3358">
        <w:rPr>
          <w:rFonts w:ascii="Times New Roman" w:hAnsi="Times New Roman" w:cs="Times New Roman"/>
          <w:sz w:val="24"/>
          <w:szCs w:val="24"/>
        </w:rPr>
        <w:t xml:space="preserve"> We </w:t>
      </w:r>
      <w:r w:rsidR="004E75F8">
        <w:rPr>
          <w:rFonts w:ascii="Times New Roman" w:hAnsi="Times New Roman" w:cs="Times New Roman"/>
          <w:sz w:val="24"/>
          <w:szCs w:val="24"/>
        </w:rPr>
        <w:t>use</w:t>
      </w:r>
      <w:r w:rsidR="008F3358">
        <w:rPr>
          <w:rFonts w:ascii="Times New Roman" w:hAnsi="Times New Roman" w:cs="Times New Roman"/>
          <w:sz w:val="24"/>
          <w:szCs w:val="24"/>
        </w:rPr>
        <w:t>d</w:t>
      </w:r>
      <w:r w:rsidR="004E75F8">
        <w:rPr>
          <w:rFonts w:ascii="Times New Roman" w:hAnsi="Times New Roman" w:cs="Times New Roman"/>
          <w:sz w:val="24"/>
          <w:szCs w:val="24"/>
        </w:rPr>
        <w:t xml:space="preserve"> the results</w:t>
      </w:r>
      <w:r w:rsidRPr="004E75F8">
        <w:rPr>
          <w:rFonts w:ascii="Times New Roman" w:hAnsi="Times New Roman" w:cs="Times New Roman"/>
          <w:sz w:val="24"/>
          <w:szCs w:val="24"/>
        </w:rPr>
        <w:t xml:space="preserve"> of the </w:t>
      </w:r>
      <w:r w:rsidRPr="004E75F8" w:rsidR="00AE56CF">
        <w:rPr>
          <w:rFonts w:ascii="Times New Roman" w:hAnsi="Times New Roman" w:cs="Times New Roman"/>
          <w:sz w:val="24"/>
          <w:szCs w:val="24"/>
        </w:rPr>
        <w:t>tests</w:t>
      </w:r>
      <w:r w:rsidRPr="004E75F8">
        <w:rPr>
          <w:rFonts w:ascii="Times New Roman" w:hAnsi="Times New Roman" w:cs="Times New Roman"/>
          <w:sz w:val="24"/>
          <w:szCs w:val="24"/>
        </w:rPr>
        <w:t xml:space="preserve"> to refine the questionn</w:t>
      </w:r>
      <w:r w:rsidRPr="004E75F8" w:rsidR="00AE56CF">
        <w:rPr>
          <w:rFonts w:ascii="Times New Roman" w:hAnsi="Times New Roman" w:cs="Times New Roman"/>
          <w:sz w:val="24"/>
          <w:szCs w:val="24"/>
        </w:rPr>
        <w:t>aire items and minimize burden.</w:t>
      </w:r>
    </w:p>
    <w:p w:rsidRPr="004E75F8" w:rsidR="00D0282B" w:rsidP="004E75F8" w:rsidRDefault="00D0282B" w14:paraId="32810413" w14:textId="77777777">
      <w:pPr>
        <w:spacing w:after="0" w:line="240" w:lineRule="auto"/>
        <w:ind w:left="720"/>
        <w:rPr>
          <w:rFonts w:ascii="Times New Roman" w:hAnsi="Times New Roman" w:cs="Times New Roman"/>
          <w:sz w:val="24"/>
          <w:szCs w:val="24"/>
        </w:rPr>
      </w:pPr>
    </w:p>
    <w:p w:rsidRPr="00D0282B" w:rsidR="00D0282B" w:rsidP="00C10E93" w:rsidRDefault="001B6CD9" w14:paraId="78812A19" w14:textId="77777777">
      <w:pPr>
        <w:numPr>
          <w:ilvl w:val="0"/>
          <w:numId w:val="9"/>
        </w:numPr>
        <w:spacing w:after="0" w:line="240" w:lineRule="auto"/>
        <w:ind w:left="1080" w:hanging="630"/>
        <w:rPr>
          <w:rFonts w:ascii="Times New Roman" w:hAnsi="Times New Roman" w:cs="Times New Roman"/>
          <w:sz w:val="24"/>
          <w:szCs w:val="24"/>
          <w:lang w:val="en"/>
        </w:rPr>
      </w:pPr>
      <w:r w:rsidRPr="00D0282B">
        <w:rPr>
          <w:rFonts w:ascii="Times New Roman" w:hAnsi="Times New Roman" w:cs="Times New Roman"/>
          <w:b/>
          <w:sz w:val="24"/>
          <w:szCs w:val="24"/>
          <w:lang w:val="en"/>
        </w:rPr>
        <w:t xml:space="preserve">Statistical </w:t>
      </w:r>
      <w:r w:rsidRPr="00D0282B" w:rsidR="00D0282B">
        <w:rPr>
          <w:rFonts w:ascii="Times New Roman" w:hAnsi="Times New Roman" w:cs="Times New Roman"/>
          <w:b/>
          <w:sz w:val="24"/>
          <w:szCs w:val="24"/>
          <w:lang w:val="en"/>
        </w:rPr>
        <w:t>Agency Contact for Statistical Information</w:t>
      </w:r>
    </w:p>
    <w:p w:rsidRPr="00590E5C" w:rsidR="00716C75" w:rsidP="00C10E93" w:rsidRDefault="00D0282B" w14:paraId="1E04A3C1" w14:textId="534B549F">
      <w:pPr>
        <w:spacing w:after="0" w:line="240" w:lineRule="auto"/>
        <w:ind w:left="1080"/>
        <w:rPr>
          <w:rFonts w:ascii="Times New Roman" w:hAnsi="Times New Roman" w:cs="Times New Roman"/>
          <w:b/>
          <w:sz w:val="24"/>
          <w:szCs w:val="24"/>
          <w:lang w:val="en"/>
        </w:rPr>
      </w:pPr>
      <w:r w:rsidRPr="00D0282B">
        <w:rPr>
          <w:rFonts w:ascii="Times New Roman" w:hAnsi="Times New Roman" w:cs="Times New Roman"/>
          <w:sz w:val="24"/>
          <w:szCs w:val="24"/>
          <w:lang w:val="en"/>
        </w:rPr>
        <w:t>Westat staff developed the data collection and analysis plans</w:t>
      </w:r>
      <w:r>
        <w:rPr>
          <w:rFonts w:ascii="Times New Roman" w:hAnsi="Times New Roman" w:cs="Times New Roman"/>
          <w:sz w:val="24"/>
          <w:szCs w:val="24"/>
          <w:lang w:val="en"/>
        </w:rPr>
        <w:t xml:space="preserve">; they are also </w:t>
      </w:r>
      <w:r w:rsidRPr="00590E5C" w:rsidR="00716C75">
        <w:rPr>
          <w:rFonts w:ascii="Times New Roman" w:hAnsi="Times New Roman" w:cs="Times New Roman"/>
          <w:sz w:val="24"/>
          <w:szCs w:val="24"/>
        </w:rPr>
        <w:t>responsible</w:t>
      </w:r>
      <w:r w:rsidRPr="00590E5C" w:rsidR="00716C75">
        <w:rPr>
          <w:rFonts w:ascii="Times New Roman" w:hAnsi="Times New Roman" w:cs="Times New Roman"/>
          <w:sz w:val="24"/>
          <w:szCs w:val="24"/>
          <w:lang w:val="en"/>
        </w:rPr>
        <w:t xml:space="preserve"> for collecting and analyzing study data.</w:t>
      </w:r>
    </w:p>
    <w:sectPr w:rsidRPr="00590E5C" w:rsidR="00716C75" w:rsidSect="0036245F">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6306A" w14:textId="77777777" w:rsidR="00522829" w:rsidRDefault="00522829" w:rsidP="00E32C1D">
      <w:pPr>
        <w:spacing w:after="0" w:line="240" w:lineRule="auto"/>
      </w:pPr>
      <w:r>
        <w:separator/>
      </w:r>
    </w:p>
  </w:endnote>
  <w:endnote w:type="continuationSeparator" w:id="0">
    <w:p w14:paraId="6BB9C8D8" w14:textId="77777777" w:rsidR="00522829" w:rsidRDefault="00522829" w:rsidP="00E3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26235"/>
      <w:docPartObj>
        <w:docPartGallery w:val="Page Numbers (Bottom of Page)"/>
        <w:docPartUnique/>
      </w:docPartObj>
    </w:sdtPr>
    <w:sdtEndPr>
      <w:rPr>
        <w:rFonts w:ascii="Times New Roman" w:hAnsi="Times New Roman" w:cs="Times New Roman"/>
        <w:noProof/>
      </w:rPr>
    </w:sdtEndPr>
    <w:sdtContent>
      <w:p w14:paraId="3DD7924A" w14:textId="746EB938" w:rsidR="00AE56CF" w:rsidRPr="00DC2252" w:rsidRDefault="00AE56CF">
        <w:pPr>
          <w:pStyle w:val="Footer"/>
          <w:jc w:val="center"/>
          <w:rPr>
            <w:rFonts w:ascii="Times New Roman" w:hAnsi="Times New Roman" w:cs="Times New Roman"/>
          </w:rPr>
        </w:pPr>
        <w:r w:rsidRPr="00DC2252">
          <w:rPr>
            <w:rFonts w:ascii="Times New Roman" w:hAnsi="Times New Roman" w:cs="Times New Roman"/>
          </w:rPr>
          <w:fldChar w:fldCharType="begin"/>
        </w:r>
        <w:r w:rsidRPr="00DC2252">
          <w:rPr>
            <w:rFonts w:ascii="Times New Roman" w:hAnsi="Times New Roman" w:cs="Times New Roman"/>
          </w:rPr>
          <w:instrText xml:space="preserve"> PAGE   \* MERGEFORMAT </w:instrText>
        </w:r>
        <w:r w:rsidRPr="00DC2252">
          <w:rPr>
            <w:rFonts w:ascii="Times New Roman" w:hAnsi="Times New Roman" w:cs="Times New Roman"/>
          </w:rPr>
          <w:fldChar w:fldCharType="separate"/>
        </w:r>
        <w:r w:rsidR="00EB5989">
          <w:rPr>
            <w:rFonts w:ascii="Times New Roman" w:hAnsi="Times New Roman" w:cs="Times New Roman"/>
            <w:noProof/>
          </w:rPr>
          <w:t>9</w:t>
        </w:r>
        <w:r w:rsidRPr="00DC225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830833"/>
      <w:docPartObj>
        <w:docPartGallery w:val="Page Numbers (Bottom of Page)"/>
        <w:docPartUnique/>
      </w:docPartObj>
    </w:sdtPr>
    <w:sdtEndPr>
      <w:rPr>
        <w:noProof/>
      </w:rPr>
    </w:sdtEndPr>
    <w:sdtContent>
      <w:p w14:paraId="287C92A1" w14:textId="0706A37A" w:rsidR="00D938F0" w:rsidRDefault="00D938F0">
        <w:pPr>
          <w:pStyle w:val="Footer"/>
          <w:jc w:val="center"/>
        </w:pPr>
        <w:r>
          <w:fldChar w:fldCharType="begin"/>
        </w:r>
        <w:r>
          <w:instrText xml:space="preserve"> PAGE   \* MERGEFORMAT </w:instrText>
        </w:r>
        <w:r>
          <w:fldChar w:fldCharType="separate"/>
        </w:r>
        <w:r w:rsidR="00EB5989">
          <w:rPr>
            <w:noProof/>
          </w:rPr>
          <w:t>1</w:t>
        </w:r>
        <w:r>
          <w:rPr>
            <w:noProof/>
          </w:rPr>
          <w:fldChar w:fldCharType="end"/>
        </w:r>
      </w:p>
    </w:sdtContent>
  </w:sdt>
  <w:p w14:paraId="161CF20B" w14:textId="77777777" w:rsidR="00D938F0" w:rsidRDefault="00D93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CBAD5" w14:textId="77777777" w:rsidR="00522829" w:rsidRDefault="00522829" w:rsidP="00E32C1D">
      <w:pPr>
        <w:spacing w:after="0" w:line="240" w:lineRule="auto"/>
      </w:pPr>
      <w:r>
        <w:separator/>
      </w:r>
    </w:p>
  </w:footnote>
  <w:footnote w:type="continuationSeparator" w:id="0">
    <w:p w14:paraId="44CE35CE" w14:textId="77777777" w:rsidR="00522829" w:rsidRDefault="00522829" w:rsidP="00E3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C04"/>
    <w:multiLevelType w:val="hybridMultilevel"/>
    <w:tmpl w:val="2AF68D6C"/>
    <w:lvl w:ilvl="0" w:tplc="0866728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22AB"/>
    <w:multiLevelType w:val="hybridMultilevel"/>
    <w:tmpl w:val="556EDA3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F2DAC"/>
    <w:multiLevelType w:val="hybridMultilevel"/>
    <w:tmpl w:val="C60E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304B67"/>
    <w:multiLevelType w:val="hybridMultilevel"/>
    <w:tmpl w:val="5C2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2D7EBD"/>
    <w:multiLevelType w:val="hybridMultilevel"/>
    <w:tmpl w:val="73108D40"/>
    <w:lvl w:ilvl="0" w:tplc="9252CB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548C"/>
    <w:multiLevelType w:val="hybridMultilevel"/>
    <w:tmpl w:val="EED63E4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 w15:restartNumberingAfterBreak="0">
    <w:nsid w:val="636E514C"/>
    <w:multiLevelType w:val="hybridMultilevel"/>
    <w:tmpl w:val="CDAA6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61F24"/>
    <w:multiLevelType w:val="multilevel"/>
    <w:tmpl w:val="B76AE94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15:restartNumberingAfterBreak="0">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3"/>
  </w:num>
  <w:num w:numId="4">
    <w:abstractNumId w:val="2"/>
  </w:num>
  <w:num w:numId="5">
    <w:abstractNumId w:val="5"/>
  </w:num>
  <w:num w:numId="6">
    <w:abstractNumId w:val="4"/>
  </w:num>
  <w:num w:numId="7">
    <w:abstractNumId w:val="7"/>
  </w:num>
  <w:num w:numId="8">
    <w:abstractNumId w:val="9"/>
  </w:num>
  <w:num w:numId="9">
    <w:abstractNumId w:val="0"/>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28"/>
    <w:rsid w:val="00002FFB"/>
    <w:rsid w:val="00012C40"/>
    <w:rsid w:val="00015444"/>
    <w:rsid w:val="00017283"/>
    <w:rsid w:val="00025D7B"/>
    <w:rsid w:val="00053BCB"/>
    <w:rsid w:val="00065464"/>
    <w:rsid w:val="00072C91"/>
    <w:rsid w:val="00090744"/>
    <w:rsid w:val="00092015"/>
    <w:rsid w:val="00097E8D"/>
    <w:rsid w:val="000A5EF7"/>
    <w:rsid w:val="000B062F"/>
    <w:rsid w:val="000B4787"/>
    <w:rsid w:val="0010110E"/>
    <w:rsid w:val="0010689C"/>
    <w:rsid w:val="00110447"/>
    <w:rsid w:val="00116221"/>
    <w:rsid w:val="00116939"/>
    <w:rsid w:val="00125138"/>
    <w:rsid w:val="00126CEF"/>
    <w:rsid w:val="00137C8A"/>
    <w:rsid w:val="001506F0"/>
    <w:rsid w:val="00162259"/>
    <w:rsid w:val="00171EEF"/>
    <w:rsid w:val="00184B6A"/>
    <w:rsid w:val="001908FD"/>
    <w:rsid w:val="00194ABD"/>
    <w:rsid w:val="001A1AFF"/>
    <w:rsid w:val="001B6CD9"/>
    <w:rsid w:val="001C319F"/>
    <w:rsid w:val="001C6C77"/>
    <w:rsid w:val="001E1355"/>
    <w:rsid w:val="001F60EF"/>
    <w:rsid w:val="00220BB2"/>
    <w:rsid w:val="002267FD"/>
    <w:rsid w:val="0023507F"/>
    <w:rsid w:val="002425BA"/>
    <w:rsid w:val="002521D1"/>
    <w:rsid w:val="00272EFE"/>
    <w:rsid w:val="0027332D"/>
    <w:rsid w:val="00273AA7"/>
    <w:rsid w:val="00273F2E"/>
    <w:rsid w:val="00276719"/>
    <w:rsid w:val="00277CB9"/>
    <w:rsid w:val="00282FC3"/>
    <w:rsid w:val="0028427E"/>
    <w:rsid w:val="00290B57"/>
    <w:rsid w:val="00294B0D"/>
    <w:rsid w:val="002A3273"/>
    <w:rsid w:val="002B472A"/>
    <w:rsid w:val="002C07FD"/>
    <w:rsid w:val="002C0C76"/>
    <w:rsid w:val="002C65A6"/>
    <w:rsid w:val="002D7C86"/>
    <w:rsid w:val="002D7D59"/>
    <w:rsid w:val="002E6831"/>
    <w:rsid w:val="002F3DCA"/>
    <w:rsid w:val="00311FD9"/>
    <w:rsid w:val="0034439C"/>
    <w:rsid w:val="003542F1"/>
    <w:rsid w:val="00355B6B"/>
    <w:rsid w:val="0036245F"/>
    <w:rsid w:val="003743D6"/>
    <w:rsid w:val="0038468F"/>
    <w:rsid w:val="00390F30"/>
    <w:rsid w:val="00397728"/>
    <w:rsid w:val="00397A3D"/>
    <w:rsid w:val="003A0CE7"/>
    <w:rsid w:val="003B6DB5"/>
    <w:rsid w:val="003C5742"/>
    <w:rsid w:val="003E1A22"/>
    <w:rsid w:val="003F055F"/>
    <w:rsid w:val="003F697F"/>
    <w:rsid w:val="004135A6"/>
    <w:rsid w:val="00415EBB"/>
    <w:rsid w:val="004205E0"/>
    <w:rsid w:val="004227D5"/>
    <w:rsid w:val="004519BC"/>
    <w:rsid w:val="0045275A"/>
    <w:rsid w:val="00483B8B"/>
    <w:rsid w:val="00496D85"/>
    <w:rsid w:val="004A0B05"/>
    <w:rsid w:val="004A1DA0"/>
    <w:rsid w:val="004A7789"/>
    <w:rsid w:val="004C66AC"/>
    <w:rsid w:val="004D4FB2"/>
    <w:rsid w:val="004E75F8"/>
    <w:rsid w:val="004F03FB"/>
    <w:rsid w:val="004F3547"/>
    <w:rsid w:val="005015CD"/>
    <w:rsid w:val="00503C6B"/>
    <w:rsid w:val="00505251"/>
    <w:rsid w:val="00513993"/>
    <w:rsid w:val="00522829"/>
    <w:rsid w:val="0052776C"/>
    <w:rsid w:val="00540983"/>
    <w:rsid w:val="00541642"/>
    <w:rsid w:val="00544169"/>
    <w:rsid w:val="00563721"/>
    <w:rsid w:val="00585699"/>
    <w:rsid w:val="00585E2F"/>
    <w:rsid w:val="00590E5C"/>
    <w:rsid w:val="005A5D59"/>
    <w:rsid w:val="005B1149"/>
    <w:rsid w:val="005B22EB"/>
    <w:rsid w:val="005B6FE8"/>
    <w:rsid w:val="005D7B35"/>
    <w:rsid w:val="005E7B0D"/>
    <w:rsid w:val="005F2C54"/>
    <w:rsid w:val="005F2E89"/>
    <w:rsid w:val="00602D2F"/>
    <w:rsid w:val="00611E8E"/>
    <w:rsid w:val="00613C2C"/>
    <w:rsid w:val="006240E2"/>
    <w:rsid w:val="00624524"/>
    <w:rsid w:val="00627FF4"/>
    <w:rsid w:val="006359C7"/>
    <w:rsid w:val="00642E21"/>
    <w:rsid w:val="00665150"/>
    <w:rsid w:val="00684109"/>
    <w:rsid w:val="00685BC2"/>
    <w:rsid w:val="00692461"/>
    <w:rsid w:val="00697597"/>
    <w:rsid w:val="006A1E9D"/>
    <w:rsid w:val="006B0DC4"/>
    <w:rsid w:val="006B1E0F"/>
    <w:rsid w:val="006C776C"/>
    <w:rsid w:val="006D740A"/>
    <w:rsid w:val="006E0475"/>
    <w:rsid w:val="00702679"/>
    <w:rsid w:val="007138CA"/>
    <w:rsid w:val="00714843"/>
    <w:rsid w:val="007149B6"/>
    <w:rsid w:val="00716C75"/>
    <w:rsid w:val="00725FD7"/>
    <w:rsid w:val="007273D5"/>
    <w:rsid w:val="00730529"/>
    <w:rsid w:val="00730604"/>
    <w:rsid w:val="00744249"/>
    <w:rsid w:val="00751EFC"/>
    <w:rsid w:val="00772D68"/>
    <w:rsid w:val="007823BA"/>
    <w:rsid w:val="007907A2"/>
    <w:rsid w:val="007C5852"/>
    <w:rsid w:val="007F46C0"/>
    <w:rsid w:val="007F5D40"/>
    <w:rsid w:val="008034EB"/>
    <w:rsid w:val="008039BD"/>
    <w:rsid w:val="00855934"/>
    <w:rsid w:val="00874FE2"/>
    <w:rsid w:val="00894F3C"/>
    <w:rsid w:val="0089580F"/>
    <w:rsid w:val="008C3EDC"/>
    <w:rsid w:val="008C5ACD"/>
    <w:rsid w:val="008C5E84"/>
    <w:rsid w:val="008C7D37"/>
    <w:rsid w:val="008D63EB"/>
    <w:rsid w:val="008E7D8D"/>
    <w:rsid w:val="008F0B8C"/>
    <w:rsid w:val="008F3358"/>
    <w:rsid w:val="008F5995"/>
    <w:rsid w:val="00915181"/>
    <w:rsid w:val="00931008"/>
    <w:rsid w:val="00932149"/>
    <w:rsid w:val="00953E2B"/>
    <w:rsid w:val="0096180F"/>
    <w:rsid w:val="009657D1"/>
    <w:rsid w:val="00971F30"/>
    <w:rsid w:val="0099781A"/>
    <w:rsid w:val="009A392E"/>
    <w:rsid w:val="009B2C6E"/>
    <w:rsid w:val="009D1131"/>
    <w:rsid w:val="009F281B"/>
    <w:rsid w:val="00A022DF"/>
    <w:rsid w:val="00A11498"/>
    <w:rsid w:val="00A17B12"/>
    <w:rsid w:val="00A32EE0"/>
    <w:rsid w:val="00A33762"/>
    <w:rsid w:val="00A73032"/>
    <w:rsid w:val="00A753C5"/>
    <w:rsid w:val="00A81007"/>
    <w:rsid w:val="00A82DDC"/>
    <w:rsid w:val="00A840D7"/>
    <w:rsid w:val="00A90385"/>
    <w:rsid w:val="00A937AE"/>
    <w:rsid w:val="00AA2EFA"/>
    <w:rsid w:val="00AC079E"/>
    <w:rsid w:val="00AD1F07"/>
    <w:rsid w:val="00AE56CF"/>
    <w:rsid w:val="00AE6C89"/>
    <w:rsid w:val="00AF04CA"/>
    <w:rsid w:val="00AF0509"/>
    <w:rsid w:val="00AF2B44"/>
    <w:rsid w:val="00AF3D3F"/>
    <w:rsid w:val="00AF769E"/>
    <w:rsid w:val="00B12ED5"/>
    <w:rsid w:val="00B1516C"/>
    <w:rsid w:val="00B2237F"/>
    <w:rsid w:val="00B85071"/>
    <w:rsid w:val="00B90287"/>
    <w:rsid w:val="00B9482A"/>
    <w:rsid w:val="00BA6A94"/>
    <w:rsid w:val="00BB37E8"/>
    <w:rsid w:val="00BC322B"/>
    <w:rsid w:val="00BC338D"/>
    <w:rsid w:val="00BD7F5F"/>
    <w:rsid w:val="00BE218A"/>
    <w:rsid w:val="00BF50DF"/>
    <w:rsid w:val="00C0281E"/>
    <w:rsid w:val="00C10E93"/>
    <w:rsid w:val="00C5718A"/>
    <w:rsid w:val="00C60354"/>
    <w:rsid w:val="00C65DFD"/>
    <w:rsid w:val="00C76276"/>
    <w:rsid w:val="00C81227"/>
    <w:rsid w:val="00CB2F9D"/>
    <w:rsid w:val="00CC50D3"/>
    <w:rsid w:val="00CD4B54"/>
    <w:rsid w:val="00CD7D98"/>
    <w:rsid w:val="00CE3B04"/>
    <w:rsid w:val="00D01182"/>
    <w:rsid w:val="00D02328"/>
    <w:rsid w:val="00D0282B"/>
    <w:rsid w:val="00D144DF"/>
    <w:rsid w:val="00D231B3"/>
    <w:rsid w:val="00D27D66"/>
    <w:rsid w:val="00D3066B"/>
    <w:rsid w:val="00D345C9"/>
    <w:rsid w:val="00D548E6"/>
    <w:rsid w:val="00D54D44"/>
    <w:rsid w:val="00D6188E"/>
    <w:rsid w:val="00D6589F"/>
    <w:rsid w:val="00D77B87"/>
    <w:rsid w:val="00D83807"/>
    <w:rsid w:val="00D938F0"/>
    <w:rsid w:val="00DA0D88"/>
    <w:rsid w:val="00DB03F7"/>
    <w:rsid w:val="00DB2AF3"/>
    <w:rsid w:val="00DB7EAC"/>
    <w:rsid w:val="00DC2252"/>
    <w:rsid w:val="00DC230C"/>
    <w:rsid w:val="00DD262D"/>
    <w:rsid w:val="00DE0F41"/>
    <w:rsid w:val="00DE5408"/>
    <w:rsid w:val="00DF7646"/>
    <w:rsid w:val="00E0733B"/>
    <w:rsid w:val="00E17D11"/>
    <w:rsid w:val="00E26138"/>
    <w:rsid w:val="00E32C1D"/>
    <w:rsid w:val="00E35AD7"/>
    <w:rsid w:val="00E430AF"/>
    <w:rsid w:val="00E51741"/>
    <w:rsid w:val="00E75856"/>
    <w:rsid w:val="00E8100F"/>
    <w:rsid w:val="00E90719"/>
    <w:rsid w:val="00E93BBF"/>
    <w:rsid w:val="00E94D77"/>
    <w:rsid w:val="00EA4A56"/>
    <w:rsid w:val="00EB5989"/>
    <w:rsid w:val="00F30411"/>
    <w:rsid w:val="00F677AC"/>
    <w:rsid w:val="00F70DA6"/>
    <w:rsid w:val="00F95D94"/>
    <w:rsid w:val="00FA3E2F"/>
    <w:rsid w:val="00FD0489"/>
    <w:rsid w:val="00FD4C8A"/>
    <w:rsid w:val="00FF204E"/>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B51750"/>
  <w15:docId w15:val="{982B16D8-0CBC-42CE-B811-514D5E27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SL-FlLftSgl">
    <w:name w:val="SL-Fl Lft Sgl"/>
    <w:basedOn w:val="Normal"/>
    <w:rsid w:val="00390F30"/>
    <w:pPr>
      <w:spacing w:after="0" w:line="240" w:lineRule="atLeast"/>
    </w:pPr>
    <w:rPr>
      <w:rFonts w:ascii="Garamond" w:eastAsia="Times New Roman" w:hAnsi="Garamond" w:cs="Times New Roman"/>
      <w:sz w:val="24"/>
      <w:szCs w:val="20"/>
    </w:rPr>
  </w:style>
  <w:style w:type="paragraph" w:customStyle="1" w:styleId="P1-StandPara">
    <w:name w:val="P1-Stand Para"/>
    <w:basedOn w:val="Normal"/>
    <w:link w:val="P1-StandParaChar"/>
    <w:rsid w:val="00DB03F7"/>
    <w:pPr>
      <w:autoSpaceDE w:val="0"/>
      <w:autoSpaceDN w:val="0"/>
      <w:spacing w:after="0" w:line="360" w:lineRule="atLeast"/>
      <w:ind w:firstLine="1152"/>
    </w:pPr>
    <w:rPr>
      <w:rFonts w:ascii="Times New Roman" w:eastAsia="Times New Roman" w:hAnsi="Times New Roman" w:cs="Times New Roman"/>
      <w:sz w:val="20"/>
      <w:szCs w:val="20"/>
    </w:rPr>
  </w:style>
  <w:style w:type="character" w:customStyle="1" w:styleId="P1-StandParaChar">
    <w:name w:val="P1-Stand Para Char"/>
    <w:basedOn w:val="DefaultParagraphFont"/>
    <w:link w:val="P1-StandPara"/>
    <w:rsid w:val="00DB03F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D7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35"/>
    <w:rPr>
      <w:sz w:val="20"/>
      <w:szCs w:val="20"/>
    </w:rPr>
  </w:style>
  <w:style w:type="character" w:styleId="FootnoteReference">
    <w:name w:val="footnote reference"/>
    <w:basedOn w:val="DefaultParagraphFont"/>
    <w:uiPriority w:val="99"/>
    <w:semiHidden/>
    <w:unhideWhenUsed/>
    <w:rsid w:val="005D7B35"/>
    <w:rPr>
      <w:vertAlign w:val="superscript"/>
    </w:rPr>
  </w:style>
  <w:style w:type="table" w:styleId="TableGrid">
    <w:name w:val="Table Grid"/>
    <w:basedOn w:val="TableNormal"/>
    <w:uiPriority w:val="59"/>
    <w:rsid w:val="006E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6E047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E047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7341">
      <w:bodyDiv w:val="1"/>
      <w:marLeft w:val="0"/>
      <w:marRight w:val="0"/>
      <w:marTop w:val="0"/>
      <w:marBottom w:val="0"/>
      <w:divBdr>
        <w:top w:val="none" w:sz="0" w:space="0" w:color="auto"/>
        <w:left w:val="none" w:sz="0" w:space="0" w:color="auto"/>
        <w:bottom w:val="none" w:sz="0" w:space="0" w:color="auto"/>
        <w:right w:val="none" w:sz="0" w:space="0" w:color="auto"/>
      </w:divBdr>
    </w:div>
    <w:div w:id="1150102051">
      <w:bodyDiv w:val="1"/>
      <w:marLeft w:val="0"/>
      <w:marRight w:val="0"/>
      <w:marTop w:val="0"/>
      <w:marBottom w:val="0"/>
      <w:divBdr>
        <w:top w:val="none" w:sz="0" w:space="0" w:color="auto"/>
        <w:left w:val="none" w:sz="0" w:space="0" w:color="auto"/>
        <w:bottom w:val="none" w:sz="0" w:space="0" w:color="auto"/>
        <w:right w:val="none" w:sz="0" w:space="0" w:color="auto"/>
      </w:divBdr>
      <w:divsChild>
        <w:div w:id="502672095">
          <w:marLeft w:val="0"/>
          <w:marRight w:val="0"/>
          <w:marTop w:val="150"/>
          <w:marBottom w:val="150"/>
          <w:divBdr>
            <w:top w:val="single" w:sz="6" w:space="0" w:color="9B9A7A"/>
            <w:left w:val="single" w:sz="6" w:space="0" w:color="9B9A7A"/>
            <w:bottom w:val="single" w:sz="6" w:space="0" w:color="9B9A7A"/>
            <w:right w:val="single" w:sz="6" w:space="0" w:color="9B9A7A"/>
          </w:divBdr>
          <w:divsChild>
            <w:div w:id="597716046">
              <w:marLeft w:val="0"/>
              <w:marRight w:val="0"/>
              <w:marTop w:val="0"/>
              <w:marBottom w:val="0"/>
              <w:divBdr>
                <w:top w:val="none" w:sz="0" w:space="0" w:color="auto"/>
                <w:left w:val="none" w:sz="0" w:space="0" w:color="auto"/>
                <w:bottom w:val="none" w:sz="0" w:space="0" w:color="auto"/>
                <w:right w:val="none" w:sz="0" w:space="0" w:color="auto"/>
              </w:divBdr>
              <w:divsChild>
                <w:div w:id="513999272">
                  <w:marLeft w:val="3225"/>
                  <w:marRight w:val="225"/>
                  <w:marTop w:val="0"/>
                  <w:marBottom w:val="0"/>
                  <w:divBdr>
                    <w:top w:val="none" w:sz="0" w:space="0" w:color="auto"/>
                    <w:left w:val="none" w:sz="0" w:space="0" w:color="auto"/>
                    <w:bottom w:val="none" w:sz="0" w:space="0" w:color="auto"/>
                    <w:right w:val="none" w:sz="0" w:space="0" w:color="auto"/>
                  </w:divBdr>
                  <w:divsChild>
                    <w:div w:id="1163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E4A0-AE92-4442-8D52-75819903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4065</Words>
  <Characters>23172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Mandley, Tasha</cp:lastModifiedBy>
  <cp:revision>2</cp:revision>
  <cp:lastPrinted>2020-03-12T10:35:00Z</cp:lastPrinted>
  <dcterms:created xsi:type="dcterms:W3CDTF">2020-05-05T12:47:00Z</dcterms:created>
  <dcterms:modified xsi:type="dcterms:W3CDTF">2020-05-05T12:47:00Z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-1555295420</vt:i4>
  </property>
  <property fmtid="{D5CDD505-2E9C-101B-9397-08002B2CF9AE}" pid="4" name="_EmailSubject">
    <vt:lpwstr>ROCIS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-1470678722</vt:i4>
  </property>
  <property fmtid="{D5CDD505-2E9C-101B-9397-08002B2CF9AE}" pid="8" name="_ReviewingToolsShownOnce">
    <vt:lpwstr/>
  </property>
</Properties>
</file>