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0A" w:rsidRDefault="005872C8">
      <w:pPr>
        <w:spacing w:before="59"/>
        <w:ind w:left="543" w:right="547"/>
        <w:jc w:val="center"/>
        <w:rPr>
          <w:b/>
          <w:i/>
          <w:sz w:val="32"/>
        </w:rPr>
      </w:pPr>
      <w:r>
        <w:rPr>
          <w:b/>
          <w:i/>
          <w:sz w:val="32"/>
        </w:rPr>
        <w:t>Supporting Statement for Paperwork Reduction Act Submission</w:t>
      </w:r>
    </w:p>
    <w:p w:rsidR="00797F0A" w:rsidRDefault="00797F0A">
      <w:pPr>
        <w:pStyle w:val="BodyText"/>
        <w:rPr>
          <w:b/>
          <w:i/>
          <w:sz w:val="31"/>
        </w:rPr>
      </w:pPr>
    </w:p>
    <w:p w:rsidR="0034548C" w:rsidP="0034548C" w:rsidRDefault="005872C8">
      <w:pPr>
        <w:ind w:left="1002" w:right="200"/>
        <w:jc w:val="center"/>
        <w:rPr>
          <w:i/>
          <w:sz w:val="24"/>
        </w:rPr>
      </w:pPr>
      <w:r>
        <w:rPr>
          <w:i/>
          <w:sz w:val="24"/>
        </w:rPr>
        <w:t xml:space="preserve">Durable Medical Equipment Medicare Administrative Contractor (MACs), Certificate of Medical Necessity and Supporting Documentation Requirements </w:t>
      </w:r>
    </w:p>
    <w:p w:rsidR="00797F0A" w:rsidP="0034548C" w:rsidRDefault="0034548C">
      <w:pPr>
        <w:ind w:right="200"/>
        <w:jc w:val="center"/>
        <w:rPr>
          <w:i/>
          <w:sz w:val="24"/>
        </w:rPr>
      </w:pPr>
      <w:r>
        <w:rPr>
          <w:i/>
          <w:sz w:val="24"/>
        </w:rPr>
        <w:t>(</w:t>
      </w:r>
      <w:r w:rsidR="005872C8">
        <w:rPr>
          <w:i/>
          <w:sz w:val="24"/>
        </w:rPr>
        <w:t>CMS-484, 846, 847, 848, 849, 854, 10125, and 10126</w:t>
      </w:r>
      <w:r>
        <w:rPr>
          <w:i/>
          <w:sz w:val="24"/>
        </w:rPr>
        <w:t>/OMB control number: 0938-0679)</w:t>
      </w:r>
    </w:p>
    <w:p w:rsidR="00797F0A" w:rsidRDefault="00797F0A">
      <w:pPr>
        <w:pStyle w:val="BodyText"/>
        <w:spacing w:before="8"/>
        <w:rPr>
          <w:i/>
        </w:rPr>
      </w:pPr>
    </w:p>
    <w:p w:rsidR="00797F0A" w:rsidRDefault="005872C8">
      <w:pPr>
        <w:pStyle w:val="Heading1"/>
        <w:numPr>
          <w:ilvl w:val="0"/>
          <w:numId w:val="5"/>
        </w:numPr>
        <w:tabs>
          <w:tab w:val="left" w:pos="393"/>
        </w:tabs>
        <w:spacing w:before="1"/>
        <w:ind w:hanging="292"/>
        <w:rPr>
          <w:u w:val="none"/>
        </w:rPr>
      </w:pPr>
      <w:bookmarkStart w:name="A._EXECUTIVE_SUMMARY" w:id="0"/>
      <w:bookmarkEnd w:id="0"/>
      <w:r>
        <w:rPr>
          <w:u w:val="thick"/>
        </w:rPr>
        <w:t>EXECUTIVE</w:t>
      </w:r>
      <w:r>
        <w:rPr>
          <w:spacing w:val="-20"/>
          <w:u w:val="thick"/>
        </w:rPr>
        <w:t xml:space="preserve"> </w:t>
      </w:r>
      <w:r>
        <w:rPr>
          <w:u w:val="thick"/>
        </w:rPr>
        <w:t>SUMMARY</w:t>
      </w:r>
    </w:p>
    <w:p w:rsidR="00797F0A" w:rsidRDefault="00797F0A">
      <w:pPr>
        <w:pStyle w:val="BodyText"/>
        <w:spacing w:before="1"/>
        <w:rPr>
          <w:b/>
          <w:sz w:val="15"/>
        </w:rPr>
      </w:pPr>
    </w:p>
    <w:p w:rsidR="00797F0A" w:rsidRDefault="005872C8">
      <w:pPr>
        <w:pStyle w:val="BodyText"/>
        <w:spacing w:before="90"/>
        <w:ind w:left="100" w:right="296"/>
      </w:pPr>
      <w:r>
        <w:t>CMS is submitting this documentation solely for the purpose of renewing the Paper Work Reduction Act (PRA) time limit for all CMNs currently in use. These CMNs are due to expire on February 29, 2020 and since CMS still uses all these forms and there are no changes to the forms or process, we seek to extend them through to February 28, 2023 or for approval not to include an expiration date since these forms remain in active use. There is no additional burden or cost for this action.</w:t>
      </w:r>
    </w:p>
    <w:p w:rsidR="00797F0A" w:rsidRDefault="00797F0A">
      <w:pPr>
        <w:pStyle w:val="BodyText"/>
        <w:spacing w:before="10"/>
        <w:rPr>
          <w:sz w:val="23"/>
        </w:rPr>
      </w:pPr>
    </w:p>
    <w:p w:rsidR="00797F0A" w:rsidRDefault="005872C8">
      <w:pPr>
        <w:pStyle w:val="BodyText"/>
        <w:spacing w:before="1"/>
        <w:ind w:left="100" w:right="448"/>
      </w:pPr>
      <w:r>
        <w:t>The following narrative gives a background on the history of the CMN at CMS and estimated costs and burden.</w:t>
      </w:r>
    </w:p>
    <w:p w:rsidR="00797F0A" w:rsidRDefault="00797F0A">
      <w:pPr>
        <w:pStyle w:val="BodyText"/>
        <w:spacing w:before="5"/>
      </w:pPr>
    </w:p>
    <w:p w:rsidR="00797F0A" w:rsidRDefault="005872C8">
      <w:pPr>
        <w:pStyle w:val="Heading1"/>
        <w:numPr>
          <w:ilvl w:val="0"/>
          <w:numId w:val="5"/>
        </w:numPr>
        <w:tabs>
          <w:tab w:val="left" w:pos="441"/>
        </w:tabs>
        <w:ind w:left="440" w:hanging="340"/>
        <w:rPr>
          <w:u w:val="none"/>
        </w:rPr>
      </w:pPr>
      <w:bookmarkStart w:name="B._BACKGROUND" w:id="1"/>
      <w:bookmarkEnd w:id="1"/>
      <w:r>
        <w:rPr>
          <w:u w:val="thick"/>
        </w:rPr>
        <w:t>BACKGROUND</w:t>
      </w:r>
    </w:p>
    <w:p w:rsidR="00797F0A" w:rsidRDefault="00797F0A">
      <w:pPr>
        <w:pStyle w:val="BodyText"/>
        <w:spacing w:before="4"/>
        <w:rPr>
          <w:b/>
          <w:sz w:val="15"/>
        </w:rPr>
      </w:pPr>
    </w:p>
    <w:p w:rsidR="00797F0A" w:rsidRDefault="005872C8">
      <w:pPr>
        <w:pStyle w:val="BodyText"/>
        <w:spacing w:before="90"/>
        <w:ind w:left="100" w:right="143"/>
      </w:pPr>
      <w:r>
        <w:t>Medicare serves over 50 million beneficiaries and processes over one billion claims per year. In order to process and pay such a large number of claims, Medicare has Medicare Administrative Contractors (MACs) to process Part A and Part B claims, and Durable Medical Equipment Medicare Administrative Contractors (DME MACs) to process claims for durable medical equipment, prosthetics, orthotics and supplies (DMEPOS).</w:t>
      </w:r>
    </w:p>
    <w:p w:rsidR="00797F0A" w:rsidRDefault="00797F0A">
      <w:pPr>
        <w:pStyle w:val="BodyText"/>
      </w:pPr>
    </w:p>
    <w:p w:rsidR="00797F0A" w:rsidRDefault="005872C8">
      <w:pPr>
        <w:pStyle w:val="BodyText"/>
        <w:ind w:left="100" w:right="143"/>
      </w:pPr>
      <w:r>
        <w:t>In 1991, we began looking at the way we process claims for durable medical equipment, prosthetics, orthotics and supplies.  In consultation with our customers and our partners, we heard that we needed to focus more on customer service, to establish more uniform requirements for claims submission and adjudication, and to do a better job of preventing improper payments.</w:t>
      </w:r>
    </w:p>
    <w:p w:rsidR="00797F0A" w:rsidRDefault="00797F0A">
      <w:pPr>
        <w:pStyle w:val="BodyText"/>
        <w:spacing w:before="11"/>
        <w:rPr>
          <w:sz w:val="23"/>
        </w:rPr>
      </w:pPr>
    </w:p>
    <w:p w:rsidR="00797F0A" w:rsidRDefault="005872C8">
      <w:pPr>
        <w:pStyle w:val="BodyText"/>
        <w:ind w:left="100" w:right="481"/>
      </w:pPr>
      <w:r>
        <w:t>Prior to 1993, suppliers of DMEPOS submitted their claims to one of 33 different carriers for processing and payment. The biggest portion of these carriers' workload was physician submitted claims and this is where their efforts were concentrated. DMEPOS suppliers and beneficiaries often complained of slow claims payment and poor service on their inquiries.</w:t>
      </w:r>
    </w:p>
    <w:p w:rsidR="00797F0A" w:rsidRDefault="005872C8">
      <w:pPr>
        <w:pStyle w:val="BodyText"/>
        <w:ind w:left="100" w:right="217"/>
      </w:pPr>
      <w:r>
        <w:t>Carrier coverage policies for DMEPOS items were not consistent and often varied considerably among carriers across the country. National supplier chains submitted claims to several carriers, often with differing results. In a number of instances suppliers sought out the carriers with the least restrictive coverage policies (carrier shopping) and submitted their claims there. Electronic claims submission requirements differed between carriers, requiring suppliers to submit their claims in different formats. In addition, CMS had no single focus to accumulate and analyze DMEPOS claims information for program management.</w:t>
      </w:r>
    </w:p>
    <w:p w:rsidR="00797F0A" w:rsidRDefault="00797F0A">
      <w:pPr>
        <w:pStyle w:val="BodyText"/>
      </w:pPr>
    </w:p>
    <w:p w:rsidR="00797F0A" w:rsidRDefault="005872C8">
      <w:pPr>
        <w:pStyle w:val="BodyText"/>
        <w:ind w:left="100" w:right="96"/>
      </w:pPr>
      <w:r>
        <w:t>In partnership with suppliers, providers, and Medicare beneficiaries, CMS sought to design solutions through consistent administrative actions to utilize current technology while re- engineering the processes then in place.  For example, to achieve more sophisticated and uniform</w:t>
      </w:r>
    </w:p>
    <w:p w:rsidR="00797F0A" w:rsidRDefault="00797F0A">
      <w:pPr>
        <w:sectPr w:rsidR="00797F0A">
          <w:footerReference w:type="default" r:id="rId7"/>
          <w:type w:val="continuous"/>
          <w:pgSz w:w="12240" w:h="15840"/>
          <w:pgMar w:top="1380" w:right="1340" w:bottom="1040" w:left="1340" w:header="720" w:footer="858" w:gutter="0"/>
          <w:pgNumType w:start="1"/>
          <w:cols w:space="720"/>
        </w:sectPr>
      </w:pPr>
    </w:p>
    <w:p w:rsidR="00797F0A" w:rsidRDefault="005872C8">
      <w:pPr>
        <w:pStyle w:val="BodyText"/>
        <w:spacing w:before="67"/>
        <w:ind w:left="120" w:right="162"/>
      </w:pPr>
      <w:r>
        <w:lastRenderedPageBreak/>
        <w:t>coverage policy, to improve claims processing and to help prevent fraud and abuse, we concluded that we should concentrate all processing for equipment and supplies in a small number of specialized carriers. We believed that the use of a few administrative carriers would greatly reduce the variance in coverage policy and utilization parameters among carriers.</w:t>
      </w:r>
    </w:p>
    <w:p w:rsidR="00797F0A" w:rsidRDefault="005872C8">
      <w:pPr>
        <w:pStyle w:val="BodyText"/>
        <w:ind w:left="120" w:right="162"/>
      </w:pPr>
      <w:r>
        <w:t>Greater efficiency would be achieved because each carrier would have a trained pool of experienced personnel who would be able to handle DMEPOS claims more effectively and process claims more quickly and accurately.</w:t>
      </w:r>
    </w:p>
    <w:p w:rsidR="00797F0A" w:rsidRDefault="00797F0A">
      <w:pPr>
        <w:pStyle w:val="BodyText"/>
        <w:spacing w:before="9"/>
        <w:rPr>
          <w:sz w:val="23"/>
        </w:rPr>
      </w:pPr>
    </w:p>
    <w:p w:rsidR="00797F0A" w:rsidRDefault="005872C8">
      <w:pPr>
        <w:pStyle w:val="BodyText"/>
        <w:ind w:left="120" w:right="162"/>
      </w:pPr>
      <w:r>
        <w:t>Starting March 1, 2008 CMS began consolidating processing for DMEPOS claims at four Durable Medical Equipment Medicare Administrative Contractors (MACs) that replaced the Durable Medical Equipment Regional Carriers (DMERCs). This consolidation of the DME MACs also allowed for standardized submission of electronic claims. All suppliers were now able to use a single format to submit their claims to Medicare. This was a major redesign of the previous process that had well over 30 different electronic formats, a major deterrent to electronic billing.</w:t>
      </w:r>
    </w:p>
    <w:p w:rsidR="00797F0A" w:rsidRDefault="00797F0A">
      <w:pPr>
        <w:pStyle w:val="BodyText"/>
        <w:spacing w:before="11"/>
        <w:rPr>
          <w:sz w:val="23"/>
        </w:rPr>
      </w:pPr>
    </w:p>
    <w:p w:rsidR="00797F0A" w:rsidRDefault="005872C8">
      <w:pPr>
        <w:pStyle w:val="BodyText"/>
        <w:ind w:left="120" w:right="230"/>
      </w:pPr>
      <w:r>
        <w:t>Through these DME MACs, CMS achieved greater efficiency not only in the processing of claims but in the development and application of coverage policy and medical review. Each of the DME MAC’s reviews Certificates of Medical Necessity (CMNs). Suppliers submit CMNs for items that present an increased risk to the Medicare program. The CMNs are consistent across the DME MAC’s, and suppliers are familiar with both the forms and the process of submitting them.</w:t>
      </w:r>
    </w:p>
    <w:p w:rsidR="00797F0A" w:rsidRDefault="00797F0A">
      <w:pPr>
        <w:pStyle w:val="BodyText"/>
        <w:spacing w:before="11"/>
        <w:rPr>
          <w:sz w:val="23"/>
        </w:rPr>
      </w:pPr>
    </w:p>
    <w:p w:rsidR="00797F0A" w:rsidRDefault="005872C8">
      <w:pPr>
        <w:pStyle w:val="BodyText"/>
        <w:ind w:left="119" w:right="211"/>
      </w:pPr>
      <w:r>
        <w:t>Through the use of the DME MACs, CMS has been able to ensure more appropriate and consistent payment of DMEPOS claims nationwide. The data has shown savings due to lower administrative costs and cost-effective pre-screening edits. By consolidating our operations, utilizing knowledgeable personnel and using cost effective technology we have created a more efficient and manageable claims processing system that better serves Medicare beneficiaries, providers and suppliers.</w:t>
      </w:r>
    </w:p>
    <w:p w:rsidR="00797F0A" w:rsidRDefault="00797F0A">
      <w:pPr>
        <w:pStyle w:val="BodyText"/>
        <w:spacing w:before="11"/>
        <w:rPr>
          <w:sz w:val="23"/>
        </w:rPr>
      </w:pPr>
    </w:p>
    <w:p w:rsidR="00797F0A" w:rsidRDefault="005872C8">
      <w:pPr>
        <w:pStyle w:val="BodyText"/>
        <w:ind w:left="120"/>
      </w:pPr>
      <w:r>
        <w:t>Currently, there are a total of 8 CMNs that have a unique OMB control number 0938-0679. The current CMS form numbers are represented below:</w:t>
      </w:r>
    </w:p>
    <w:p w:rsidR="00797F0A" w:rsidRDefault="005872C8">
      <w:pPr>
        <w:pStyle w:val="ListParagraph"/>
        <w:numPr>
          <w:ilvl w:val="1"/>
          <w:numId w:val="5"/>
        </w:numPr>
        <w:tabs>
          <w:tab w:val="left" w:pos="840"/>
        </w:tabs>
        <w:rPr>
          <w:sz w:val="24"/>
        </w:rPr>
      </w:pPr>
      <w:r>
        <w:rPr>
          <w:sz w:val="24"/>
        </w:rPr>
        <w:t>CMS-484 Oxygen and</w:t>
      </w:r>
      <w:r>
        <w:rPr>
          <w:spacing w:val="-6"/>
          <w:sz w:val="24"/>
        </w:rPr>
        <w:t xml:space="preserve"> </w:t>
      </w:r>
      <w:r>
        <w:rPr>
          <w:sz w:val="24"/>
        </w:rPr>
        <w:t>supplies</w:t>
      </w:r>
    </w:p>
    <w:p w:rsidR="00797F0A" w:rsidRDefault="005872C8">
      <w:pPr>
        <w:pStyle w:val="ListParagraph"/>
        <w:numPr>
          <w:ilvl w:val="1"/>
          <w:numId w:val="5"/>
        </w:numPr>
        <w:tabs>
          <w:tab w:val="left" w:pos="840"/>
        </w:tabs>
        <w:spacing w:line="275" w:lineRule="exact"/>
        <w:rPr>
          <w:sz w:val="24"/>
        </w:rPr>
      </w:pPr>
      <w:r>
        <w:rPr>
          <w:sz w:val="24"/>
        </w:rPr>
        <w:t>CMS-846:  Pneumatic Compression</w:t>
      </w:r>
      <w:r>
        <w:rPr>
          <w:spacing w:val="-29"/>
          <w:sz w:val="24"/>
        </w:rPr>
        <w:t xml:space="preserve"> </w:t>
      </w:r>
      <w:r>
        <w:rPr>
          <w:sz w:val="24"/>
        </w:rPr>
        <w:t>Devices</w:t>
      </w:r>
    </w:p>
    <w:p w:rsidR="00797F0A" w:rsidRDefault="005872C8">
      <w:pPr>
        <w:pStyle w:val="ListParagraph"/>
        <w:numPr>
          <w:ilvl w:val="1"/>
          <w:numId w:val="5"/>
        </w:numPr>
        <w:tabs>
          <w:tab w:val="left" w:pos="840"/>
        </w:tabs>
        <w:spacing w:line="275" w:lineRule="exact"/>
        <w:rPr>
          <w:sz w:val="24"/>
        </w:rPr>
      </w:pPr>
      <w:r>
        <w:rPr>
          <w:sz w:val="24"/>
        </w:rPr>
        <w:t xml:space="preserve">CMS-847:  </w:t>
      </w:r>
      <w:proofErr w:type="spellStart"/>
      <w:r>
        <w:rPr>
          <w:sz w:val="24"/>
        </w:rPr>
        <w:t>Osteogenesis</w:t>
      </w:r>
      <w:proofErr w:type="spellEnd"/>
      <w:r>
        <w:rPr>
          <w:spacing w:val="-19"/>
          <w:sz w:val="24"/>
        </w:rPr>
        <w:t xml:space="preserve"> </w:t>
      </w:r>
      <w:r>
        <w:rPr>
          <w:sz w:val="24"/>
        </w:rPr>
        <w:t>Stimulators</w:t>
      </w:r>
    </w:p>
    <w:p w:rsidR="00797F0A" w:rsidRDefault="005872C8">
      <w:pPr>
        <w:pStyle w:val="ListParagraph"/>
        <w:numPr>
          <w:ilvl w:val="1"/>
          <w:numId w:val="5"/>
        </w:numPr>
        <w:tabs>
          <w:tab w:val="left" w:pos="840"/>
        </w:tabs>
        <w:rPr>
          <w:sz w:val="24"/>
        </w:rPr>
      </w:pPr>
      <w:r>
        <w:rPr>
          <w:sz w:val="24"/>
        </w:rPr>
        <w:t>CMS-848:  Transcutaneous Electrical Nerve Stimulators</w:t>
      </w:r>
      <w:r>
        <w:rPr>
          <w:spacing w:val="-39"/>
          <w:sz w:val="24"/>
        </w:rPr>
        <w:t xml:space="preserve"> </w:t>
      </w:r>
      <w:r>
        <w:rPr>
          <w:sz w:val="24"/>
        </w:rPr>
        <w:t>(TENS)</w:t>
      </w:r>
    </w:p>
    <w:p w:rsidR="00797F0A" w:rsidRDefault="005872C8">
      <w:pPr>
        <w:pStyle w:val="ListParagraph"/>
        <w:numPr>
          <w:ilvl w:val="1"/>
          <w:numId w:val="5"/>
        </w:numPr>
        <w:tabs>
          <w:tab w:val="left" w:pos="840"/>
        </w:tabs>
        <w:rPr>
          <w:sz w:val="24"/>
        </w:rPr>
      </w:pPr>
      <w:r>
        <w:rPr>
          <w:sz w:val="24"/>
        </w:rPr>
        <w:t>CMS-849:  Seat Lift</w:t>
      </w:r>
      <w:r>
        <w:rPr>
          <w:spacing w:val="-19"/>
          <w:sz w:val="24"/>
        </w:rPr>
        <w:t xml:space="preserve"> </w:t>
      </w:r>
      <w:r>
        <w:rPr>
          <w:sz w:val="24"/>
        </w:rPr>
        <w:t>Mechanisms</w:t>
      </w:r>
    </w:p>
    <w:p w:rsidR="00797F0A" w:rsidRDefault="005872C8">
      <w:pPr>
        <w:pStyle w:val="ListParagraph"/>
        <w:numPr>
          <w:ilvl w:val="1"/>
          <w:numId w:val="5"/>
        </w:numPr>
        <w:tabs>
          <w:tab w:val="left" w:pos="840"/>
        </w:tabs>
        <w:rPr>
          <w:sz w:val="24"/>
        </w:rPr>
      </w:pPr>
      <w:r>
        <w:rPr>
          <w:sz w:val="24"/>
        </w:rPr>
        <w:t>CMS-854:  Section C Continuation</w:t>
      </w:r>
      <w:r>
        <w:rPr>
          <w:spacing w:val="-23"/>
          <w:sz w:val="24"/>
        </w:rPr>
        <w:t xml:space="preserve"> </w:t>
      </w:r>
      <w:r>
        <w:rPr>
          <w:sz w:val="24"/>
        </w:rPr>
        <w:t>Form</w:t>
      </w:r>
    </w:p>
    <w:p w:rsidR="00797F0A" w:rsidRDefault="005872C8">
      <w:pPr>
        <w:pStyle w:val="ListParagraph"/>
        <w:numPr>
          <w:ilvl w:val="1"/>
          <w:numId w:val="5"/>
        </w:numPr>
        <w:tabs>
          <w:tab w:val="left" w:pos="840"/>
        </w:tabs>
        <w:rPr>
          <w:sz w:val="24"/>
        </w:rPr>
      </w:pPr>
      <w:r>
        <w:rPr>
          <w:sz w:val="24"/>
        </w:rPr>
        <w:t>CMS-10125:  External Infusion</w:t>
      </w:r>
      <w:r>
        <w:rPr>
          <w:spacing w:val="-19"/>
          <w:sz w:val="24"/>
        </w:rPr>
        <w:t xml:space="preserve"> </w:t>
      </w:r>
      <w:r>
        <w:rPr>
          <w:sz w:val="24"/>
        </w:rPr>
        <w:t>Pumps</w:t>
      </w:r>
    </w:p>
    <w:p w:rsidR="00797F0A" w:rsidRDefault="005872C8">
      <w:pPr>
        <w:pStyle w:val="ListParagraph"/>
        <w:numPr>
          <w:ilvl w:val="1"/>
          <w:numId w:val="5"/>
        </w:numPr>
        <w:tabs>
          <w:tab w:val="left" w:pos="840"/>
        </w:tabs>
        <w:rPr>
          <w:sz w:val="24"/>
        </w:rPr>
      </w:pPr>
      <w:r>
        <w:rPr>
          <w:sz w:val="24"/>
        </w:rPr>
        <w:t>CMS-10126:  Enteral and Parenteral</w:t>
      </w:r>
      <w:r>
        <w:rPr>
          <w:spacing w:val="-25"/>
          <w:sz w:val="24"/>
        </w:rPr>
        <w:t xml:space="preserve"> </w:t>
      </w:r>
      <w:r>
        <w:rPr>
          <w:sz w:val="24"/>
        </w:rPr>
        <w:t>Nutrition.</w:t>
      </w:r>
    </w:p>
    <w:p w:rsidR="00797F0A" w:rsidRDefault="00797F0A">
      <w:pPr>
        <w:pStyle w:val="BodyText"/>
        <w:spacing w:before="11"/>
        <w:rPr>
          <w:sz w:val="23"/>
        </w:rPr>
      </w:pPr>
    </w:p>
    <w:p w:rsidR="00797F0A" w:rsidRDefault="005872C8">
      <w:pPr>
        <w:pStyle w:val="BodyText"/>
        <w:ind w:left="120"/>
      </w:pPr>
      <w:r>
        <w:t>This clearance request is for CMS all the form numbers listed above.</w:t>
      </w:r>
    </w:p>
    <w:p w:rsidR="00797F0A" w:rsidRDefault="00797F0A">
      <w:pPr>
        <w:sectPr w:rsidR="00797F0A">
          <w:pgSz w:w="12240" w:h="15840"/>
          <w:pgMar w:top="1360" w:right="1480" w:bottom="1040" w:left="1320" w:header="0" w:footer="858" w:gutter="0"/>
          <w:cols w:space="720"/>
        </w:sectPr>
      </w:pPr>
    </w:p>
    <w:p w:rsidR="00797F0A" w:rsidRDefault="005872C8">
      <w:pPr>
        <w:pStyle w:val="Heading1"/>
        <w:numPr>
          <w:ilvl w:val="0"/>
          <w:numId w:val="5"/>
        </w:numPr>
        <w:tabs>
          <w:tab w:val="left" w:pos="391"/>
        </w:tabs>
        <w:spacing w:before="74"/>
        <w:ind w:left="390" w:hanging="290"/>
        <w:rPr>
          <w:u w:val="none"/>
        </w:rPr>
      </w:pPr>
      <w:bookmarkStart w:name="C._JUSTIFICATION" w:id="2"/>
      <w:bookmarkEnd w:id="2"/>
      <w:r>
        <w:rPr>
          <w:u w:val="thick"/>
        </w:rPr>
        <w:lastRenderedPageBreak/>
        <w:t>JUSTIFICATION</w:t>
      </w:r>
    </w:p>
    <w:p w:rsidR="00797F0A" w:rsidRDefault="00797F0A">
      <w:pPr>
        <w:pStyle w:val="BodyText"/>
        <w:spacing w:before="11"/>
        <w:rPr>
          <w:b/>
          <w:sz w:val="15"/>
        </w:rPr>
      </w:pPr>
    </w:p>
    <w:p w:rsidR="00797F0A" w:rsidRDefault="005872C8">
      <w:pPr>
        <w:pStyle w:val="Heading2"/>
        <w:numPr>
          <w:ilvl w:val="1"/>
          <w:numId w:val="5"/>
        </w:numPr>
        <w:tabs>
          <w:tab w:val="left" w:pos="820"/>
        </w:tabs>
        <w:spacing w:before="90"/>
        <w:ind w:left="820"/>
      </w:pPr>
      <w:bookmarkStart w:name="1._Need_and_Legal_Basis" w:id="3"/>
      <w:bookmarkEnd w:id="3"/>
      <w:r>
        <w:t>Need and Legal</w:t>
      </w:r>
      <w:r>
        <w:rPr>
          <w:spacing w:val="-13"/>
        </w:rPr>
        <w:t xml:space="preserve"> </w:t>
      </w:r>
      <w:r>
        <w:t>Basis</w:t>
      </w:r>
    </w:p>
    <w:p w:rsidR="00797F0A" w:rsidRDefault="00797F0A">
      <w:pPr>
        <w:pStyle w:val="BodyText"/>
        <w:spacing w:before="4"/>
        <w:rPr>
          <w:b/>
          <w:i/>
          <w:sz w:val="23"/>
        </w:rPr>
      </w:pPr>
    </w:p>
    <w:p w:rsidR="00797F0A" w:rsidRDefault="005872C8">
      <w:pPr>
        <w:pStyle w:val="BodyText"/>
        <w:ind w:left="100" w:right="204"/>
      </w:pPr>
      <w:r>
        <w:t>Under Section 1862 (a)(1)(A) of the Social Security Act (the Act), 42 U.S.C. §1395y(a), the Secretary may only pay for items and services that are "reasonable and necessary for the diagnosis or treatment of illness or injury or to improve the functioning of a malformed body member." In order to assure this, CMS and its contractors develop Medical policies that specify the circumstances under which an item or service can be covered. The CMN provides a mechanism for suppliers of Durable Medical Equipment, defined in 42 U.S.C. §1395x(n), and Medical Equipment and Supplies defined in 42 U.S.C. §1395</w:t>
      </w:r>
      <w:proofErr w:type="gramStart"/>
      <w:r>
        <w:t>j(</w:t>
      </w:r>
      <w:proofErr w:type="gramEnd"/>
      <w:r>
        <w:t>5), to demonstrate that the item they provide meets the minimal criteria for Medicare coverage.</w:t>
      </w:r>
    </w:p>
    <w:p w:rsidR="00797F0A" w:rsidRDefault="00797F0A">
      <w:pPr>
        <w:pStyle w:val="BodyText"/>
        <w:spacing w:before="8"/>
        <w:rPr>
          <w:sz w:val="23"/>
        </w:rPr>
      </w:pPr>
    </w:p>
    <w:p w:rsidR="00797F0A" w:rsidRDefault="005872C8">
      <w:pPr>
        <w:pStyle w:val="BodyText"/>
        <w:ind w:left="100" w:right="96"/>
      </w:pPr>
      <w:r>
        <w:t>Section 1833(e), 42 U.S.C. §1395l(e), provides that no payment can be made to any provider of services, or other person, unless that person has furnished the information necessary for Medicare or its contractor to determine the amounts due to be paid. Certain individuals can use a CMN to furnish this information, rather than having to produce large quantities of medical records.</w:t>
      </w:r>
    </w:p>
    <w:p w:rsidR="00797F0A" w:rsidRDefault="00797F0A">
      <w:pPr>
        <w:pStyle w:val="BodyText"/>
        <w:spacing w:before="10"/>
        <w:rPr>
          <w:sz w:val="23"/>
        </w:rPr>
      </w:pPr>
    </w:p>
    <w:p w:rsidR="00797F0A" w:rsidRDefault="005872C8">
      <w:pPr>
        <w:pStyle w:val="BodyText"/>
        <w:spacing w:before="1"/>
        <w:ind w:left="100" w:right="235"/>
      </w:pPr>
      <w:r>
        <w:t>Under Section 1834(j)(2) of the Act, 42 U.S.C. §1395m(j)(2), suppliers of DME items may not provide medical information to physicians on a CMN used to document medical necessity. The physician who orders the item is responsible for providing the information necessary to demonstrate that the item provided is reasonable and necessary. Any supplier of medical equipment who knowingly and willfully distributes a CMN in violation of this restriction is subject to penalties, including civil money penalties (42 U.S.C. §1395m(j)(2)(A)(iii)).</w:t>
      </w:r>
    </w:p>
    <w:p w:rsidR="00797F0A" w:rsidRDefault="00797F0A">
      <w:pPr>
        <w:pStyle w:val="BodyText"/>
      </w:pPr>
    </w:p>
    <w:p w:rsidR="00797F0A" w:rsidRDefault="005872C8">
      <w:pPr>
        <w:pStyle w:val="BodyText"/>
        <w:ind w:left="100" w:right="204"/>
      </w:pPr>
      <w:r>
        <w:t>Under Section 42 C.F.R §410.38 and §424.5, Medicare has the legal authority to collect sufficient information to determine payment for oxygen, and oxygen equipment.</w:t>
      </w:r>
    </w:p>
    <w:p w:rsidR="00797F0A" w:rsidRDefault="00797F0A">
      <w:pPr>
        <w:pStyle w:val="BodyText"/>
        <w:spacing w:before="11"/>
        <w:rPr>
          <w:sz w:val="23"/>
        </w:rPr>
      </w:pPr>
    </w:p>
    <w:p w:rsidR="00797F0A" w:rsidRDefault="005872C8">
      <w:pPr>
        <w:pStyle w:val="BodyText"/>
        <w:ind w:left="100" w:right="242"/>
      </w:pPr>
      <w:r>
        <w:t>For Medicare to consider any item for coverage and payment, the information submitted by the supplier (e.g., claims and CMNs), including documentation in the patient’s medical records, must corroborate that the patient meets Medicare coverage criteria. The patient’s medical records may include: physician’s office records; hospital records; nursing home records; home health agency records; records from other healthcare professionals or test reports. This documentation does not need to be submitted with every claim, but must be available to the DME MAC upon request.</w:t>
      </w:r>
    </w:p>
    <w:p w:rsidR="00797F0A" w:rsidRDefault="00797F0A">
      <w:pPr>
        <w:pStyle w:val="BodyText"/>
        <w:spacing w:before="9"/>
      </w:pPr>
    </w:p>
    <w:p w:rsidR="00797F0A" w:rsidRDefault="005872C8">
      <w:pPr>
        <w:pStyle w:val="Heading2"/>
        <w:numPr>
          <w:ilvl w:val="1"/>
          <w:numId w:val="5"/>
        </w:numPr>
        <w:tabs>
          <w:tab w:val="left" w:pos="820"/>
        </w:tabs>
        <w:ind w:left="820"/>
      </w:pPr>
      <w:bookmarkStart w:name="2._Information_Users" w:id="4"/>
      <w:bookmarkEnd w:id="4"/>
      <w:r>
        <w:t>Information</w:t>
      </w:r>
      <w:r>
        <w:rPr>
          <w:spacing w:val="-9"/>
        </w:rPr>
        <w:t xml:space="preserve"> </w:t>
      </w:r>
      <w:r>
        <w:t>Users</w:t>
      </w:r>
    </w:p>
    <w:p w:rsidR="00797F0A" w:rsidRDefault="00797F0A">
      <w:pPr>
        <w:pStyle w:val="BodyText"/>
        <w:spacing w:before="1"/>
        <w:rPr>
          <w:b/>
          <w:i/>
          <w:sz w:val="23"/>
        </w:rPr>
      </w:pPr>
    </w:p>
    <w:p w:rsidR="00797F0A" w:rsidRDefault="005872C8">
      <w:pPr>
        <w:pStyle w:val="BodyText"/>
        <w:ind w:left="100" w:right="89"/>
      </w:pPr>
      <w:r>
        <w:t>The CMN collects information required to help determine the medical necessity of certain items. CMS requires CMNs where there may be a vulnerability to the Medicare program. Each initial claim for these items must have an associated CMN for the beneficiary.  Suppliers (those who bill for the items) complete the administrative information (e.g., patient's name and address, items ordered, etc.) on each CMN.  The 1994 Amendments to the Social Security Act require that the supplier also provide a narrative description of the items ordered and all related accessories, their charge for each of these items, and the Medicare fee schedule allowance</w:t>
      </w:r>
    </w:p>
    <w:p w:rsidR="00797F0A" w:rsidRDefault="00797F0A">
      <w:pPr>
        <w:sectPr w:rsidR="00797F0A">
          <w:pgSz w:w="12240" w:h="15840"/>
          <w:pgMar w:top="1360" w:right="1400" w:bottom="1040" w:left="1340" w:header="0" w:footer="858" w:gutter="0"/>
          <w:cols w:space="720"/>
        </w:sectPr>
      </w:pPr>
    </w:p>
    <w:p w:rsidR="00797F0A" w:rsidRDefault="005872C8">
      <w:pPr>
        <w:pStyle w:val="BodyText"/>
        <w:spacing w:before="67"/>
        <w:ind w:left="120" w:right="189"/>
      </w:pPr>
      <w:r>
        <w:lastRenderedPageBreak/>
        <w:t>(where applicable). The supplier then sends the CMN to the treating physician or other clinicians (e.g., physician assistant, LPN, etc.) who completes questions pertaining to the beneficiary's medical condition and signs the CMN. The staff of the physician or other clinician returns the CMN to the supplier who has the option to maintain a copy and then submits the CMN electronically to CMS, along with a claim for reimbursement.</w:t>
      </w:r>
    </w:p>
    <w:p w:rsidR="00797F0A" w:rsidRDefault="00797F0A">
      <w:pPr>
        <w:pStyle w:val="BodyText"/>
        <w:spacing w:before="7"/>
      </w:pPr>
    </w:p>
    <w:p w:rsidR="00797F0A" w:rsidRDefault="005872C8">
      <w:pPr>
        <w:pStyle w:val="Heading2"/>
        <w:numPr>
          <w:ilvl w:val="1"/>
          <w:numId w:val="5"/>
        </w:numPr>
        <w:tabs>
          <w:tab w:val="left" w:pos="840"/>
        </w:tabs>
      </w:pPr>
      <w:bookmarkStart w:name="3._Improved_Information_Techniques" w:id="5"/>
      <w:bookmarkEnd w:id="5"/>
      <w:r>
        <w:t>Improved Information</w:t>
      </w:r>
      <w:r>
        <w:rPr>
          <w:spacing w:val="-24"/>
        </w:rPr>
        <w:t xml:space="preserve"> </w:t>
      </w:r>
      <w:r>
        <w:t>Techniques</w:t>
      </w:r>
    </w:p>
    <w:p w:rsidR="00797F0A" w:rsidRDefault="00797F0A">
      <w:pPr>
        <w:pStyle w:val="BodyText"/>
        <w:spacing w:before="1"/>
        <w:rPr>
          <w:b/>
          <w:i/>
          <w:sz w:val="23"/>
        </w:rPr>
      </w:pPr>
    </w:p>
    <w:p w:rsidR="00797F0A" w:rsidRDefault="005872C8">
      <w:pPr>
        <w:pStyle w:val="BodyText"/>
        <w:spacing w:before="1"/>
        <w:ind w:left="120" w:right="342"/>
      </w:pPr>
      <w:r>
        <w:t xml:space="preserve">Collection of this information involves the use of automated, electronic, mechanical or other technology. The use of standard forms facilitates review by CMS. Additionally, the standard form defines necessary documentation and information clearly -- eliminating the possibility of submitting unnecessary documentation, such forms make suppliers more efficient. Further, </w:t>
      </w:r>
      <w:proofErr w:type="gramStart"/>
      <w:r>
        <w:t>suppliers  submit</w:t>
      </w:r>
      <w:proofErr w:type="gramEnd"/>
      <w:r>
        <w:t xml:space="preserve"> the CMNs to the DME MACs in electronic format.</w:t>
      </w:r>
    </w:p>
    <w:p w:rsidR="00797F0A" w:rsidRDefault="00797F0A">
      <w:pPr>
        <w:pStyle w:val="BodyText"/>
        <w:spacing w:before="9"/>
      </w:pPr>
    </w:p>
    <w:p w:rsidR="00797F0A" w:rsidRDefault="005872C8">
      <w:pPr>
        <w:pStyle w:val="Heading2"/>
        <w:numPr>
          <w:ilvl w:val="1"/>
          <w:numId w:val="5"/>
        </w:numPr>
        <w:tabs>
          <w:tab w:val="left" w:pos="840"/>
        </w:tabs>
        <w:spacing w:before="1"/>
      </w:pPr>
      <w:bookmarkStart w:name="4._Duplication_and_Similar_Information" w:id="6"/>
      <w:bookmarkEnd w:id="6"/>
      <w:r>
        <w:t>Duplication and Similar</w:t>
      </w:r>
      <w:r>
        <w:rPr>
          <w:spacing w:val="-25"/>
        </w:rPr>
        <w:t xml:space="preserve"> </w:t>
      </w:r>
      <w:r>
        <w:t>Information</w:t>
      </w:r>
    </w:p>
    <w:p w:rsidR="00797F0A" w:rsidRDefault="00797F0A">
      <w:pPr>
        <w:pStyle w:val="BodyText"/>
        <w:spacing w:before="2"/>
        <w:rPr>
          <w:b/>
          <w:i/>
          <w:sz w:val="23"/>
        </w:rPr>
      </w:pPr>
    </w:p>
    <w:p w:rsidR="00797F0A" w:rsidRDefault="005872C8">
      <w:pPr>
        <w:pStyle w:val="BodyText"/>
        <w:ind w:left="120" w:right="215"/>
      </w:pPr>
      <w:r>
        <w:t>The required medical information is not available outside the individual beneficiary's medical chart/file kept by the physician. The CMN collects certain pieces of information regarding the patient, their condition, and the item of DME without having to individually request and review medical records for each claim.</w:t>
      </w:r>
    </w:p>
    <w:p w:rsidR="00797F0A" w:rsidRDefault="00797F0A">
      <w:pPr>
        <w:pStyle w:val="BodyText"/>
        <w:spacing w:before="11"/>
        <w:rPr>
          <w:sz w:val="23"/>
        </w:rPr>
      </w:pPr>
    </w:p>
    <w:p w:rsidR="00797F0A" w:rsidRDefault="005872C8">
      <w:pPr>
        <w:pStyle w:val="BodyText"/>
        <w:ind w:left="120" w:right="189"/>
      </w:pPr>
      <w:r>
        <w:t>The DME MACs use the patient's name, address and Health Insurance Claim Number collected on the claim, to "match" a claim to a CMN.</w:t>
      </w:r>
    </w:p>
    <w:p w:rsidR="00797F0A" w:rsidRDefault="00797F0A">
      <w:pPr>
        <w:pStyle w:val="BodyText"/>
        <w:spacing w:before="11"/>
        <w:rPr>
          <w:sz w:val="23"/>
        </w:rPr>
      </w:pPr>
    </w:p>
    <w:p w:rsidR="00797F0A" w:rsidRDefault="005872C8">
      <w:pPr>
        <w:pStyle w:val="BodyText"/>
        <w:ind w:left="119" w:right="404"/>
      </w:pPr>
      <w:r>
        <w:t>Further, the law specifies that suppliers list charge information and the Medicare fee schedule amount (where applicable) on the CMN "prior to distribution of the CMN to the physician."</w:t>
      </w:r>
    </w:p>
    <w:p w:rsidR="00797F0A" w:rsidRDefault="00797F0A">
      <w:pPr>
        <w:pStyle w:val="BodyText"/>
        <w:spacing w:before="9"/>
      </w:pPr>
    </w:p>
    <w:p w:rsidR="00797F0A" w:rsidRDefault="005872C8">
      <w:pPr>
        <w:pStyle w:val="Heading2"/>
        <w:numPr>
          <w:ilvl w:val="1"/>
          <w:numId w:val="5"/>
        </w:numPr>
        <w:tabs>
          <w:tab w:val="left" w:pos="840"/>
        </w:tabs>
      </w:pPr>
      <w:bookmarkStart w:name="5._Small_Business" w:id="7"/>
      <w:bookmarkEnd w:id="7"/>
      <w:r>
        <w:t>Small</w:t>
      </w:r>
      <w:r>
        <w:rPr>
          <w:spacing w:val="-9"/>
        </w:rPr>
        <w:t xml:space="preserve"> </w:t>
      </w:r>
      <w:r>
        <w:t>Business</w:t>
      </w:r>
    </w:p>
    <w:p w:rsidR="00797F0A" w:rsidRDefault="00797F0A">
      <w:pPr>
        <w:pStyle w:val="BodyText"/>
        <w:spacing w:before="1"/>
        <w:rPr>
          <w:b/>
          <w:i/>
          <w:sz w:val="23"/>
        </w:rPr>
      </w:pPr>
    </w:p>
    <w:p w:rsidR="00797F0A" w:rsidRDefault="005872C8">
      <w:pPr>
        <w:pStyle w:val="BodyText"/>
        <w:ind w:left="120" w:right="83"/>
      </w:pPr>
      <w:r>
        <w:t>These forms will affect small businesses; however, these businesses have created, completed and processed CMNs since the DME MAC regionalization.  CMS, in order to lessen the burden on the small businesses has provided free software to facilitate electronic billing. Further, we provide training throughout the country on how to file both claims and the associated CMNs.</w:t>
      </w:r>
    </w:p>
    <w:p w:rsidR="00797F0A" w:rsidRDefault="005872C8">
      <w:pPr>
        <w:pStyle w:val="BodyText"/>
        <w:ind w:left="120" w:right="456"/>
      </w:pPr>
      <w:r>
        <w:t>These standardized forms will only collect pertinent information to make a medical necessity determination. Without the forms, small businesses would be required to submit more individualized documentation to support their claims.</w:t>
      </w:r>
    </w:p>
    <w:p w:rsidR="00797F0A" w:rsidRDefault="00797F0A">
      <w:pPr>
        <w:pStyle w:val="BodyText"/>
        <w:spacing w:before="10"/>
      </w:pPr>
    </w:p>
    <w:p w:rsidR="00797F0A" w:rsidRDefault="005872C8">
      <w:pPr>
        <w:pStyle w:val="Heading2"/>
        <w:numPr>
          <w:ilvl w:val="1"/>
          <w:numId w:val="5"/>
        </w:numPr>
        <w:tabs>
          <w:tab w:val="left" w:pos="840"/>
        </w:tabs>
      </w:pPr>
      <w:bookmarkStart w:name="6._Less_Frequent_Collections" w:id="8"/>
      <w:bookmarkEnd w:id="8"/>
      <w:r>
        <w:t>Less Frequent</w:t>
      </w:r>
      <w:r>
        <w:rPr>
          <w:spacing w:val="-17"/>
        </w:rPr>
        <w:t xml:space="preserve"> </w:t>
      </w:r>
      <w:r>
        <w:t>Collections</w:t>
      </w:r>
    </w:p>
    <w:p w:rsidR="00797F0A" w:rsidRDefault="00797F0A">
      <w:pPr>
        <w:pStyle w:val="BodyText"/>
        <w:spacing w:before="1"/>
        <w:rPr>
          <w:b/>
          <w:i/>
          <w:sz w:val="23"/>
        </w:rPr>
      </w:pPr>
    </w:p>
    <w:p w:rsidR="00797F0A" w:rsidRDefault="005872C8">
      <w:pPr>
        <w:pStyle w:val="BodyText"/>
        <w:spacing w:before="1"/>
        <w:ind w:left="120" w:right="268"/>
      </w:pPr>
      <w:r>
        <w:t>As discussed in the Background above, CMNs are used by Medicare and its contractors to help verify that items and services provided are reasonable and necessary as required by Section 1862(a)(1)(A) of the Act, 42 U.S.C. §1395y(a)(1)(A). CMNs have provided suppliers a means of furnishing information to the DME MAC without having to produce large quantities of medical records. Without use of these forms, a substantial increased burden would occur for CMS as well as for certain providers and suppliers.</w:t>
      </w:r>
    </w:p>
    <w:p w:rsidR="00797F0A" w:rsidRDefault="00797F0A">
      <w:pPr>
        <w:sectPr w:rsidR="00797F0A">
          <w:pgSz w:w="12240" w:h="15840"/>
          <w:pgMar w:top="1360" w:right="1380" w:bottom="1040" w:left="1320" w:header="0" w:footer="858" w:gutter="0"/>
          <w:cols w:space="720"/>
        </w:sectPr>
      </w:pPr>
    </w:p>
    <w:p w:rsidR="00797F0A" w:rsidRDefault="005872C8">
      <w:pPr>
        <w:pStyle w:val="Heading2"/>
        <w:numPr>
          <w:ilvl w:val="1"/>
          <w:numId w:val="5"/>
        </w:numPr>
        <w:tabs>
          <w:tab w:val="left" w:pos="820"/>
        </w:tabs>
        <w:spacing w:before="74"/>
        <w:ind w:left="820"/>
      </w:pPr>
      <w:bookmarkStart w:name="7._Special_Circumstances" w:id="9"/>
      <w:bookmarkEnd w:id="9"/>
      <w:r>
        <w:lastRenderedPageBreak/>
        <w:t>Special</w:t>
      </w:r>
      <w:r>
        <w:rPr>
          <w:spacing w:val="-14"/>
        </w:rPr>
        <w:t xml:space="preserve"> </w:t>
      </w:r>
      <w:r>
        <w:t>Circumstances</w:t>
      </w:r>
    </w:p>
    <w:p w:rsidR="00797F0A" w:rsidRDefault="00797F0A">
      <w:pPr>
        <w:pStyle w:val="BodyText"/>
        <w:spacing w:before="1"/>
        <w:rPr>
          <w:b/>
          <w:i/>
          <w:sz w:val="23"/>
        </w:rPr>
      </w:pPr>
    </w:p>
    <w:p w:rsidR="00797F0A" w:rsidRDefault="005872C8">
      <w:pPr>
        <w:ind w:left="100"/>
        <w:rPr>
          <w:i/>
          <w:sz w:val="24"/>
        </w:rPr>
      </w:pPr>
      <w:r>
        <w:rPr>
          <w:i/>
          <w:sz w:val="24"/>
          <w:u w:val="single"/>
        </w:rPr>
        <w:t>More often than quarterly</w:t>
      </w:r>
    </w:p>
    <w:p w:rsidR="00797F0A" w:rsidRDefault="005872C8">
      <w:pPr>
        <w:pStyle w:val="BodyText"/>
        <w:ind w:left="100" w:right="122"/>
      </w:pPr>
      <w:r>
        <w:t>The DME MACs processed approximately a total of 12 million claims for oxygen and approximately 2 million claims for all other CMNs annually that had CMS form numbers 484, 846, 847, 848, 849, 854, 10125, and 10126 for beneficiaries. The CMNs currently in place have provided protection to the Trust Fund by helping to ensure only reasonable and necessary claims are paid. Additionally, the CMNs actually cut the paperwork burden associated with filing a Medicare claim by allowing the supplier to submit one form.</w:t>
      </w:r>
    </w:p>
    <w:p w:rsidR="00797F0A" w:rsidRDefault="00797F0A">
      <w:pPr>
        <w:pStyle w:val="BodyText"/>
        <w:spacing w:before="10"/>
      </w:pPr>
    </w:p>
    <w:p w:rsidR="00797F0A" w:rsidRDefault="005872C8">
      <w:pPr>
        <w:pStyle w:val="Heading2"/>
        <w:numPr>
          <w:ilvl w:val="1"/>
          <w:numId w:val="5"/>
        </w:numPr>
        <w:tabs>
          <w:tab w:val="left" w:pos="820"/>
        </w:tabs>
        <w:ind w:left="820"/>
      </w:pPr>
      <w:bookmarkStart w:name="8._Federal_Register_Notice/Outside_Consu" w:id="10"/>
      <w:bookmarkEnd w:id="10"/>
      <w:r>
        <w:t>Federal Register Notice/Outside</w:t>
      </w:r>
      <w:r>
        <w:rPr>
          <w:spacing w:val="-30"/>
        </w:rPr>
        <w:t xml:space="preserve"> </w:t>
      </w:r>
      <w:r>
        <w:t>Consultation</w:t>
      </w:r>
    </w:p>
    <w:p w:rsidR="00797F0A" w:rsidRDefault="00797F0A">
      <w:pPr>
        <w:pStyle w:val="BodyText"/>
        <w:spacing w:before="1"/>
        <w:rPr>
          <w:b/>
          <w:i/>
          <w:sz w:val="23"/>
        </w:rPr>
      </w:pPr>
    </w:p>
    <w:p w:rsidR="00797F0A" w:rsidRDefault="005872C8">
      <w:pPr>
        <w:pStyle w:val="BodyText"/>
        <w:ind w:left="100" w:right="534"/>
      </w:pPr>
      <w:r>
        <w:t>CMS published a notice in the Federal Register on October 28, 2019</w:t>
      </w:r>
      <w:r w:rsidR="0091579D">
        <w:t xml:space="preserve"> (</w:t>
      </w:r>
      <w:bookmarkStart w:name="_GoBack" w:id="11"/>
      <w:bookmarkEnd w:id="11"/>
      <w:r w:rsidR="0091579D">
        <w:t>84 FR 57734)</w:t>
      </w:r>
      <w:r>
        <w:t>.  Comments have been addressed in Appendix A.  A 30-day notice published in the Federal Register on February 24, 2020</w:t>
      </w:r>
      <w:r w:rsidR="0091579D">
        <w:t xml:space="preserve"> (85 FR 10442)</w:t>
      </w:r>
      <w:r>
        <w:t xml:space="preserve">.  </w:t>
      </w:r>
    </w:p>
    <w:p w:rsidR="00797F0A" w:rsidRDefault="00797F0A">
      <w:pPr>
        <w:pStyle w:val="BodyText"/>
        <w:spacing w:before="8"/>
      </w:pPr>
    </w:p>
    <w:p w:rsidR="00797F0A" w:rsidRDefault="005872C8">
      <w:pPr>
        <w:pStyle w:val="Heading2"/>
        <w:numPr>
          <w:ilvl w:val="1"/>
          <w:numId w:val="5"/>
        </w:numPr>
        <w:tabs>
          <w:tab w:val="left" w:pos="820"/>
        </w:tabs>
        <w:spacing w:before="1"/>
        <w:ind w:left="820"/>
      </w:pPr>
      <w:bookmarkStart w:name="9._Payment/Gift_to_Respondents" w:id="12"/>
      <w:bookmarkEnd w:id="12"/>
      <w:r>
        <w:t>Payment/Gift to</w:t>
      </w:r>
      <w:r>
        <w:rPr>
          <w:spacing w:val="-20"/>
        </w:rPr>
        <w:t xml:space="preserve"> </w:t>
      </w:r>
      <w:r>
        <w:t>Respondents</w:t>
      </w:r>
    </w:p>
    <w:p w:rsidR="00797F0A" w:rsidRDefault="00797F0A">
      <w:pPr>
        <w:pStyle w:val="BodyText"/>
        <w:spacing w:before="2"/>
        <w:rPr>
          <w:b/>
          <w:i/>
          <w:sz w:val="23"/>
        </w:rPr>
      </w:pPr>
    </w:p>
    <w:p w:rsidR="00797F0A" w:rsidRDefault="005872C8">
      <w:pPr>
        <w:pStyle w:val="BodyText"/>
        <w:ind w:left="100"/>
      </w:pPr>
      <w:r>
        <w:t>No payment or gifts will be provided to respondents.</w:t>
      </w:r>
    </w:p>
    <w:p w:rsidR="00797F0A" w:rsidRDefault="00797F0A">
      <w:pPr>
        <w:pStyle w:val="BodyText"/>
        <w:spacing w:before="9"/>
      </w:pPr>
    </w:p>
    <w:p w:rsidR="00797F0A" w:rsidRDefault="005872C8">
      <w:pPr>
        <w:pStyle w:val="Heading2"/>
        <w:numPr>
          <w:ilvl w:val="1"/>
          <w:numId w:val="5"/>
        </w:numPr>
        <w:tabs>
          <w:tab w:val="left" w:pos="820"/>
        </w:tabs>
        <w:ind w:left="820"/>
      </w:pPr>
      <w:bookmarkStart w:name="10._Confidentiality" w:id="13"/>
      <w:bookmarkEnd w:id="13"/>
      <w:r>
        <w:t>Confidentiality</w:t>
      </w:r>
    </w:p>
    <w:p w:rsidR="00797F0A" w:rsidRDefault="00797F0A">
      <w:pPr>
        <w:pStyle w:val="BodyText"/>
        <w:spacing w:before="1"/>
        <w:rPr>
          <w:b/>
          <w:i/>
          <w:sz w:val="23"/>
        </w:rPr>
      </w:pPr>
    </w:p>
    <w:p w:rsidR="00797F0A" w:rsidRDefault="005872C8">
      <w:pPr>
        <w:pStyle w:val="BodyText"/>
        <w:ind w:left="100"/>
      </w:pPr>
      <w:r>
        <w:t>There is no confidentiality concern associated with this request.</w:t>
      </w:r>
    </w:p>
    <w:p w:rsidR="00797F0A" w:rsidRDefault="00797F0A">
      <w:pPr>
        <w:pStyle w:val="BodyText"/>
        <w:spacing w:before="9"/>
      </w:pPr>
    </w:p>
    <w:p w:rsidR="00797F0A" w:rsidRDefault="005872C8">
      <w:pPr>
        <w:pStyle w:val="Heading2"/>
        <w:numPr>
          <w:ilvl w:val="1"/>
          <w:numId w:val="5"/>
        </w:numPr>
        <w:tabs>
          <w:tab w:val="left" w:pos="820"/>
        </w:tabs>
        <w:ind w:left="820"/>
      </w:pPr>
      <w:bookmarkStart w:name="11._Sensitive_Questions" w:id="14"/>
      <w:bookmarkEnd w:id="14"/>
      <w:r>
        <w:t>Sensitive</w:t>
      </w:r>
      <w:r>
        <w:rPr>
          <w:spacing w:val="-14"/>
        </w:rPr>
        <w:t xml:space="preserve"> </w:t>
      </w:r>
      <w:r>
        <w:t>Questions</w:t>
      </w:r>
    </w:p>
    <w:p w:rsidR="00797F0A" w:rsidRDefault="00797F0A">
      <w:pPr>
        <w:pStyle w:val="BodyText"/>
        <w:spacing w:before="10"/>
        <w:rPr>
          <w:b/>
          <w:i/>
          <w:sz w:val="22"/>
        </w:rPr>
      </w:pPr>
    </w:p>
    <w:p w:rsidR="00797F0A" w:rsidRDefault="005872C8">
      <w:pPr>
        <w:pStyle w:val="BodyText"/>
        <w:ind w:left="100"/>
      </w:pPr>
      <w:r>
        <w:t>There are no questions of a sensitive nature associated with this request.</w:t>
      </w:r>
    </w:p>
    <w:p w:rsidR="00797F0A" w:rsidRDefault="00797F0A">
      <w:pPr>
        <w:pStyle w:val="BodyText"/>
        <w:rPr>
          <w:sz w:val="26"/>
        </w:rPr>
      </w:pPr>
    </w:p>
    <w:p w:rsidR="00797F0A" w:rsidRDefault="00797F0A">
      <w:pPr>
        <w:pStyle w:val="BodyText"/>
        <w:spacing w:before="8"/>
        <w:rPr>
          <w:sz w:val="22"/>
        </w:rPr>
      </w:pPr>
    </w:p>
    <w:p w:rsidR="00797F0A" w:rsidRDefault="005872C8">
      <w:pPr>
        <w:pStyle w:val="Heading2"/>
        <w:numPr>
          <w:ilvl w:val="1"/>
          <w:numId w:val="5"/>
        </w:numPr>
        <w:tabs>
          <w:tab w:val="left" w:pos="820"/>
        </w:tabs>
        <w:spacing w:before="1"/>
        <w:ind w:left="820"/>
      </w:pPr>
      <w:bookmarkStart w:name="12._Burden_Estimate_(Total_Hours_and_Wag" w:id="15"/>
      <w:bookmarkEnd w:id="15"/>
      <w:r>
        <w:t>Burden Estimate (Total Hours and</w:t>
      </w:r>
      <w:r>
        <w:rPr>
          <w:spacing w:val="-20"/>
        </w:rPr>
        <w:t xml:space="preserve"> </w:t>
      </w:r>
      <w:r>
        <w:t>Wages)</w:t>
      </w:r>
    </w:p>
    <w:p w:rsidR="00797F0A" w:rsidRDefault="00797F0A">
      <w:pPr>
        <w:pStyle w:val="BodyText"/>
        <w:spacing w:before="2"/>
        <w:rPr>
          <w:b/>
          <w:i/>
          <w:sz w:val="23"/>
        </w:rPr>
      </w:pPr>
    </w:p>
    <w:p w:rsidR="00797F0A" w:rsidRDefault="005872C8">
      <w:pPr>
        <w:pStyle w:val="BodyText"/>
        <w:ind w:left="100"/>
      </w:pPr>
      <w:r>
        <w:t>CMS uses multiple CMN forms to determine eligibility:</w:t>
      </w:r>
    </w:p>
    <w:p w:rsidR="00797F0A" w:rsidRDefault="00797F0A">
      <w:pPr>
        <w:pStyle w:val="BodyText"/>
        <w:spacing w:before="9"/>
        <w:rPr>
          <w:sz w:val="23"/>
        </w:rPr>
      </w:pPr>
    </w:p>
    <w:p w:rsidR="00797F0A" w:rsidRDefault="005872C8">
      <w:pPr>
        <w:pStyle w:val="ListParagraph"/>
        <w:numPr>
          <w:ilvl w:val="0"/>
          <w:numId w:val="4"/>
        </w:numPr>
        <w:tabs>
          <w:tab w:val="left" w:pos="820"/>
        </w:tabs>
        <w:rPr>
          <w:sz w:val="24"/>
        </w:rPr>
      </w:pPr>
      <w:r>
        <w:rPr>
          <w:sz w:val="24"/>
        </w:rPr>
        <w:t>CMS-</w:t>
      </w:r>
      <w:proofErr w:type="gramStart"/>
      <w:r>
        <w:rPr>
          <w:sz w:val="24"/>
        </w:rPr>
        <w:t>484  Oxygen</w:t>
      </w:r>
      <w:proofErr w:type="gramEnd"/>
      <w:r>
        <w:rPr>
          <w:sz w:val="24"/>
        </w:rPr>
        <w:t xml:space="preserve"> and</w:t>
      </w:r>
      <w:r>
        <w:rPr>
          <w:spacing w:val="-16"/>
          <w:sz w:val="24"/>
        </w:rPr>
        <w:t xml:space="preserve"> </w:t>
      </w:r>
      <w:r>
        <w:rPr>
          <w:sz w:val="24"/>
        </w:rPr>
        <w:t>Supplies</w:t>
      </w:r>
    </w:p>
    <w:p w:rsidR="00797F0A" w:rsidRDefault="005872C8">
      <w:pPr>
        <w:pStyle w:val="ListParagraph"/>
        <w:numPr>
          <w:ilvl w:val="0"/>
          <w:numId w:val="4"/>
        </w:numPr>
        <w:tabs>
          <w:tab w:val="left" w:pos="820"/>
        </w:tabs>
        <w:rPr>
          <w:sz w:val="24"/>
        </w:rPr>
      </w:pPr>
      <w:r>
        <w:rPr>
          <w:sz w:val="24"/>
        </w:rPr>
        <w:t>CMS-846:  Pneumatic Compression</w:t>
      </w:r>
      <w:r>
        <w:rPr>
          <w:spacing w:val="-29"/>
          <w:sz w:val="24"/>
        </w:rPr>
        <w:t xml:space="preserve"> </w:t>
      </w:r>
      <w:r>
        <w:rPr>
          <w:sz w:val="24"/>
        </w:rPr>
        <w:t>Devices</w:t>
      </w:r>
    </w:p>
    <w:p w:rsidR="00797F0A" w:rsidRDefault="005872C8">
      <w:pPr>
        <w:pStyle w:val="ListParagraph"/>
        <w:numPr>
          <w:ilvl w:val="0"/>
          <w:numId w:val="4"/>
        </w:numPr>
        <w:tabs>
          <w:tab w:val="left" w:pos="820"/>
        </w:tabs>
        <w:rPr>
          <w:sz w:val="24"/>
        </w:rPr>
      </w:pPr>
      <w:r>
        <w:rPr>
          <w:sz w:val="24"/>
        </w:rPr>
        <w:t xml:space="preserve">CMS-847:  </w:t>
      </w:r>
      <w:proofErr w:type="spellStart"/>
      <w:r>
        <w:rPr>
          <w:sz w:val="24"/>
        </w:rPr>
        <w:t>Ostogenesis</w:t>
      </w:r>
      <w:proofErr w:type="spellEnd"/>
      <w:r>
        <w:rPr>
          <w:spacing w:val="-17"/>
          <w:sz w:val="24"/>
        </w:rPr>
        <w:t xml:space="preserve"> </w:t>
      </w:r>
      <w:r>
        <w:rPr>
          <w:sz w:val="24"/>
        </w:rPr>
        <w:t>Stimulators</w:t>
      </w:r>
    </w:p>
    <w:p w:rsidR="00797F0A" w:rsidRDefault="005872C8">
      <w:pPr>
        <w:pStyle w:val="ListParagraph"/>
        <w:numPr>
          <w:ilvl w:val="0"/>
          <w:numId w:val="4"/>
        </w:numPr>
        <w:tabs>
          <w:tab w:val="left" w:pos="820"/>
        </w:tabs>
        <w:rPr>
          <w:sz w:val="24"/>
        </w:rPr>
      </w:pPr>
      <w:r>
        <w:rPr>
          <w:sz w:val="24"/>
        </w:rPr>
        <w:t>CMS-848:  Transcutaneous Electric Nerve</w:t>
      </w:r>
      <w:r>
        <w:rPr>
          <w:spacing w:val="-29"/>
          <w:sz w:val="24"/>
        </w:rPr>
        <w:t xml:space="preserve"> </w:t>
      </w:r>
      <w:r>
        <w:rPr>
          <w:sz w:val="24"/>
        </w:rPr>
        <w:t>Stimulator</w:t>
      </w:r>
    </w:p>
    <w:p w:rsidR="00797F0A" w:rsidRDefault="005872C8">
      <w:pPr>
        <w:pStyle w:val="ListParagraph"/>
        <w:numPr>
          <w:ilvl w:val="0"/>
          <w:numId w:val="4"/>
        </w:numPr>
        <w:tabs>
          <w:tab w:val="left" w:pos="820"/>
        </w:tabs>
        <w:rPr>
          <w:sz w:val="24"/>
        </w:rPr>
      </w:pPr>
      <w:r>
        <w:rPr>
          <w:sz w:val="24"/>
        </w:rPr>
        <w:t>CMS-849:  Seat Lift</w:t>
      </w:r>
      <w:r>
        <w:rPr>
          <w:spacing w:val="-19"/>
          <w:sz w:val="24"/>
        </w:rPr>
        <w:t xml:space="preserve"> </w:t>
      </w:r>
      <w:r>
        <w:rPr>
          <w:sz w:val="24"/>
        </w:rPr>
        <w:t>Mechanisms</w:t>
      </w:r>
    </w:p>
    <w:p w:rsidR="00797F0A" w:rsidRDefault="005872C8">
      <w:pPr>
        <w:pStyle w:val="ListParagraph"/>
        <w:numPr>
          <w:ilvl w:val="0"/>
          <w:numId w:val="4"/>
        </w:numPr>
        <w:tabs>
          <w:tab w:val="left" w:pos="820"/>
        </w:tabs>
        <w:rPr>
          <w:sz w:val="24"/>
        </w:rPr>
      </w:pPr>
      <w:r>
        <w:rPr>
          <w:sz w:val="24"/>
        </w:rPr>
        <w:t>CMS-854:  Continuation</w:t>
      </w:r>
      <w:r>
        <w:rPr>
          <w:spacing w:val="-18"/>
          <w:sz w:val="24"/>
        </w:rPr>
        <w:t xml:space="preserve"> </w:t>
      </w:r>
      <w:r>
        <w:rPr>
          <w:sz w:val="24"/>
        </w:rPr>
        <w:t>Form</w:t>
      </w:r>
    </w:p>
    <w:p w:rsidR="00797F0A" w:rsidRDefault="005872C8">
      <w:pPr>
        <w:pStyle w:val="ListParagraph"/>
        <w:numPr>
          <w:ilvl w:val="0"/>
          <w:numId w:val="4"/>
        </w:numPr>
        <w:tabs>
          <w:tab w:val="left" w:pos="820"/>
        </w:tabs>
        <w:rPr>
          <w:sz w:val="24"/>
        </w:rPr>
      </w:pPr>
      <w:r>
        <w:rPr>
          <w:sz w:val="24"/>
        </w:rPr>
        <w:t>CMS-10125:  External Infusion</w:t>
      </w:r>
      <w:r>
        <w:rPr>
          <w:spacing w:val="-19"/>
          <w:sz w:val="24"/>
        </w:rPr>
        <w:t xml:space="preserve"> </w:t>
      </w:r>
      <w:r>
        <w:rPr>
          <w:sz w:val="24"/>
        </w:rPr>
        <w:t>Pumps</w:t>
      </w:r>
    </w:p>
    <w:p w:rsidR="00797F0A" w:rsidRDefault="005872C8">
      <w:pPr>
        <w:pStyle w:val="ListParagraph"/>
        <w:numPr>
          <w:ilvl w:val="0"/>
          <w:numId w:val="4"/>
        </w:numPr>
        <w:tabs>
          <w:tab w:val="left" w:pos="820"/>
        </w:tabs>
        <w:rPr>
          <w:sz w:val="24"/>
        </w:rPr>
      </w:pPr>
      <w:r>
        <w:rPr>
          <w:sz w:val="24"/>
        </w:rPr>
        <w:t>CMS-10126:  Enteral and Parenteral</w:t>
      </w:r>
      <w:r>
        <w:rPr>
          <w:spacing w:val="-25"/>
          <w:sz w:val="24"/>
        </w:rPr>
        <w:t xml:space="preserve"> </w:t>
      </w:r>
      <w:r>
        <w:rPr>
          <w:sz w:val="24"/>
        </w:rPr>
        <w:t>Nutrition</w:t>
      </w:r>
    </w:p>
    <w:p w:rsidR="00797F0A" w:rsidRDefault="00797F0A">
      <w:pPr>
        <w:pStyle w:val="BodyText"/>
      </w:pPr>
    </w:p>
    <w:p w:rsidR="00797F0A" w:rsidRDefault="005872C8">
      <w:pPr>
        <w:ind w:left="100"/>
        <w:rPr>
          <w:i/>
          <w:sz w:val="24"/>
        </w:rPr>
      </w:pPr>
      <w:r>
        <w:rPr>
          <w:i/>
          <w:sz w:val="24"/>
        </w:rPr>
        <w:t>Total Volume</w:t>
      </w:r>
    </w:p>
    <w:p w:rsidR="00797F0A" w:rsidRDefault="00797F0A">
      <w:pPr>
        <w:pStyle w:val="BodyText"/>
        <w:spacing w:before="11"/>
        <w:rPr>
          <w:i/>
          <w:sz w:val="23"/>
        </w:rPr>
      </w:pPr>
    </w:p>
    <w:p w:rsidR="00797F0A" w:rsidRDefault="005872C8">
      <w:pPr>
        <w:pStyle w:val="BodyText"/>
        <w:ind w:left="100"/>
      </w:pPr>
      <w:r>
        <w:t>We estimate that suppliers will submit 1,076,061 of the oxygen CMN form CMS 484 each year.</w:t>
      </w:r>
    </w:p>
    <w:p w:rsidR="00797F0A" w:rsidRDefault="00797F0A">
      <w:pPr>
        <w:sectPr w:rsidR="00797F0A">
          <w:pgSz w:w="12240" w:h="15840"/>
          <w:pgMar w:top="1360" w:right="1460" w:bottom="1040" w:left="1340" w:header="0" w:footer="858" w:gutter="0"/>
          <w:cols w:space="720"/>
        </w:sectPr>
      </w:pPr>
    </w:p>
    <w:p w:rsidR="00797F0A" w:rsidRDefault="005872C8">
      <w:pPr>
        <w:pStyle w:val="BodyText"/>
        <w:spacing w:before="67"/>
        <w:ind w:left="100" w:right="95"/>
      </w:pPr>
      <w:r>
        <w:lastRenderedPageBreak/>
        <w:t>We estimate that suppliers will submit 259,597 of all other CMN forms each year. (This includes forms CMS 846, 847, 848, 849, 10125, and 10126. The CMN Continuation Form CMS 854 is seldom used and so the burden is not counted separately instead it is part of the average for the other forms.)</w:t>
      </w:r>
    </w:p>
    <w:p w:rsidR="00797F0A" w:rsidRDefault="00797F0A">
      <w:pPr>
        <w:pStyle w:val="BodyText"/>
        <w:spacing w:before="11"/>
        <w:rPr>
          <w:sz w:val="23"/>
        </w:rPr>
      </w:pPr>
    </w:p>
    <w:p w:rsidR="00797F0A" w:rsidRDefault="005872C8">
      <w:pPr>
        <w:pStyle w:val="BodyText"/>
        <w:ind w:left="100" w:right="189"/>
      </w:pPr>
      <w:r>
        <w:t>This requirement has and will continue to be a cost of doing business with Medicare. A DME MAC receives a CMN electronically. Billers obtain electronic software free of charge to promote electronic billing. CMS feels strongly that if the CMNs were not in place, the expense to the government would increase dramatically through substantial increases in medical review activities both in staffing and full-scale claim development.</w:t>
      </w:r>
    </w:p>
    <w:p w:rsidR="00797F0A" w:rsidRDefault="00797F0A">
      <w:pPr>
        <w:pStyle w:val="BodyText"/>
        <w:spacing w:before="8"/>
        <w:rPr>
          <w:sz w:val="23"/>
        </w:rPr>
      </w:pPr>
    </w:p>
    <w:p w:rsidR="00797F0A" w:rsidRDefault="005872C8">
      <w:pPr>
        <w:ind w:left="100"/>
        <w:rPr>
          <w:i/>
          <w:sz w:val="24"/>
        </w:rPr>
      </w:pPr>
      <w:r>
        <w:rPr>
          <w:i/>
          <w:sz w:val="24"/>
        </w:rPr>
        <w:t>Total Hours</w:t>
      </w:r>
    </w:p>
    <w:p w:rsidR="00797F0A" w:rsidRDefault="00797F0A">
      <w:pPr>
        <w:pStyle w:val="BodyText"/>
        <w:spacing w:before="10"/>
        <w:rPr>
          <w:i/>
          <w:sz w:val="23"/>
        </w:rPr>
      </w:pPr>
    </w:p>
    <w:p w:rsidR="00797F0A" w:rsidRDefault="005872C8">
      <w:pPr>
        <w:pStyle w:val="BodyText"/>
        <w:spacing w:before="1"/>
        <w:ind w:left="100"/>
      </w:pPr>
      <w:r>
        <w:t>CMS estimates that it takes approximately 12 minutes to complete the CMN form.</w:t>
      </w:r>
    </w:p>
    <w:p w:rsidR="00797F0A" w:rsidRDefault="00797F0A">
      <w:pPr>
        <w:pStyle w:val="BodyText"/>
        <w:spacing w:before="2"/>
      </w:pPr>
    </w:p>
    <w:p w:rsidR="00797F0A" w:rsidRDefault="005872C8">
      <w:pPr>
        <w:pStyle w:val="ListParagraph"/>
        <w:numPr>
          <w:ilvl w:val="0"/>
          <w:numId w:val="3"/>
        </w:numPr>
        <w:tabs>
          <w:tab w:val="left" w:pos="819"/>
          <w:tab w:val="left" w:pos="820"/>
        </w:tabs>
        <w:spacing w:line="293" w:lineRule="exact"/>
        <w:rPr>
          <w:sz w:val="24"/>
        </w:rPr>
      </w:pPr>
      <w:r>
        <w:rPr>
          <w:sz w:val="24"/>
        </w:rPr>
        <w:t>Physician’s time is approximately 2 minutes to sign/authorize and review the</w:t>
      </w:r>
      <w:r>
        <w:rPr>
          <w:spacing w:val="-48"/>
          <w:sz w:val="24"/>
        </w:rPr>
        <w:t xml:space="preserve"> </w:t>
      </w:r>
      <w:r>
        <w:rPr>
          <w:sz w:val="24"/>
        </w:rPr>
        <w:t>form,</w:t>
      </w:r>
    </w:p>
    <w:p w:rsidR="00797F0A" w:rsidRDefault="005872C8">
      <w:pPr>
        <w:pStyle w:val="ListParagraph"/>
        <w:numPr>
          <w:ilvl w:val="0"/>
          <w:numId w:val="3"/>
        </w:numPr>
        <w:tabs>
          <w:tab w:val="left" w:pos="819"/>
          <w:tab w:val="left" w:pos="820"/>
        </w:tabs>
        <w:spacing w:line="293" w:lineRule="exact"/>
        <w:rPr>
          <w:sz w:val="24"/>
        </w:rPr>
      </w:pPr>
      <w:r>
        <w:rPr>
          <w:sz w:val="24"/>
        </w:rPr>
        <w:t>Medical Office staff time is approximately 10 minutes to complete the</w:t>
      </w:r>
      <w:r>
        <w:rPr>
          <w:spacing w:val="-39"/>
          <w:sz w:val="24"/>
        </w:rPr>
        <w:t xml:space="preserve"> </w:t>
      </w:r>
      <w:r>
        <w:rPr>
          <w:sz w:val="24"/>
        </w:rPr>
        <w:t>form.</w:t>
      </w:r>
    </w:p>
    <w:p w:rsidR="00797F0A" w:rsidRDefault="00797F0A">
      <w:pPr>
        <w:pStyle w:val="BodyText"/>
        <w:spacing w:before="8"/>
        <w:rPr>
          <w:sz w:val="23"/>
        </w:rPr>
      </w:pPr>
    </w:p>
    <w:p w:rsidR="00797F0A" w:rsidRDefault="005872C8">
      <w:pPr>
        <w:pStyle w:val="BodyText"/>
        <w:ind w:left="100" w:right="342"/>
      </w:pPr>
      <w:r>
        <w:t>CMS estimates that the total annual hour burden for completing ALL CMN forms is 267,131 hours. Forms CMS 846, 847, 848, 849, 854, 10125, and 10126 are estimated at 51,919 hours and CMS form 484 (oxygen) is estimated at 215,212 hours.</w:t>
      </w:r>
    </w:p>
    <w:p w:rsidR="00797F0A" w:rsidRDefault="00797F0A">
      <w:pPr>
        <w:pStyle w:val="BodyText"/>
        <w:spacing w:after="1"/>
        <w:rPr>
          <w:sz w:val="25"/>
        </w:rPr>
      </w:pPr>
    </w:p>
    <w:tbl>
      <w:tblPr>
        <w:tblW w:w="0" w:type="auto"/>
        <w:tblInd w:w="20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06"/>
        <w:gridCol w:w="3285"/>
      </w:tblGrid>
      <w:tr w:rsidR="00797F0A" w:rsidTr="005872C8">
        <w:trPr>
          <w:trHeight w:val="326" w:hRule="exact"/>
        </w:trPr>
        <w:tc>
          <w:tcPr>
            <w:tcW w:w="2206" w:type="dxa"/>
            <w:tcBorders>
              <w:bottom w:val="nil"/>
            </w:tcBorders>
            <w:shd w:val="clear" w:color="auto" w:fill="DBDBDB"/>
          </w:tcPr>
          <w:p w:rsidR="00797F0A" w:rsidRDefault="005872C8">
            <w:pPr>
              <w:pStyle w:val="TableParagraph"/>
              <w:spacing w:before="33"/>
              <w:ind w:left="240"/>
              <w:rPr>
                <w:rFonts w:ascii="Calibri"/>
                <w:b/>
              </w:rPr>
            </w:pPr>
            <w:r>
              <w:rPr>
                <w:rFonts w:ascii="Calibri"/>
                <w:b/>
              </w:rPr>
              <w:t>Total time burden</w:t>
            </w:r>
          </w:p>
        </w:tc>
        <w:tc>
          <w:tcPr>
            <w:tcW w:w="3285" w:type="dxa"/>
            <w:vMerge w:val="restart"/>
            <w:shd w:val="clear" w:color="auto" w:fill="DBDBDB"/>
          </w:tcPr>
          <w:p w:rsidR="00797F0A" w:rsidRDefault="00797F0A">
            <w:pPr>
              <w:pStyle w:val="TableParagraph"/>
              <w:spacing w:before="5"/>
              <w:rPr>
                <w:rFonts w:ascii="Times New Roman"/>
                <w:sz w:val="26"/>
              </w:rPr>
            </w:pPr>
          </w:p>
          <w:p w:rsidR="00797F0A" w:rsidRDefault="005872C8">
            <w:pPr>
              <w:pStyle w:val="TableParagraph"/>
              <w:spacing w:before="0"/>
              <w:ind w:left="1379" w:right="1379"/>
              <w:jc w:val="center"/>
              <w:rPr>
                <w:rFonts w:ascii="Calibri"/>
                <w:b/>
              </w:rPr>
            </w:pPr>
            <w:r>
              <w:rPr>
                <w:rFonts w:ascii="Calibri"/>
                <w:b/>
              </w:rPr>
              <w:t>Hours</w:t>
            </w:r>
          </w:p>
        </w:tc>
      </w:tr>
      <w:tr w:rsidR="00797F0A" w:rsidTr="005872C8">
        <w:trPr>
          <w:trHeight w:val="258" w:hRule="exact"/>
        </w:trPr>
        <w:tc>
          <w:tcPr>
            <w:tcW w:w="2206" w:type="dxa"/>
            <w:tcBorders>
              <w:top w:val="nil"/>
            </w:tcBorders>
            <w:shd w:val="clear" w:color="auto" w:fill="DBDBDB"/>
          </w:tcPr>
          <w:p w:rsidR="00797F0A" w:rsidRDefault="005872C8">
            <w:pPr>
              <w:pStyle w:val="TableParagraph"/>
              <w:spacing w:before="0" w:line="249" w:lineRule="exact"/>
              <w:ind w:left="609"/>
              <w:rPr>
                <w:rFonts w:ascii="Calibri"/>
                <w:b/>
              </w:rPr>
            </w:pPr>
            <w:r>
              <w:rPr>
                <w:rFonts w:ascii="Calibri"/>
                <w:b/>
              </w:rPr>
              <w:t>ALL CMNs</w:t>
            </w:r>
          </w:p>
        </w:tc>
        <w:tc>
          <w:tcPr>
            <w:tcW w:w="3285" w:type="dxa"/>
            <w:vMerge/>
            <w:shd w:val="clear" w:color="auto" w:fill="DBDBDB"/>
          </w:tcPr>
          <w:p w:rsidR="00797F0A" w:rsidRDefault="00797F0A"/>
        </w:tc>
      </w:tr>
      <w:tr w:rsidR="00797F0A" w:rsidTr="005872C8">
        <w:trPr>
          <w:trHeight w:val="299" w:hRule="exact"/>
        </w:trPr>
        <w:tc>
          <w:tcPr>
            <w:tcW w:w="2206" w:type="dxa"/>
            <w:tcBorders>
              <w:top w:val="single" w:color="000000" w:sz="6" w:space="0"/>
            </w:tcBorders>
          </w:tcPr>
          <w:p w:rsidR="00797F0A" w:rsidRDefault="005872C8">
            <w:pPr>
              <w:pStyle w:val="TableParagraph"/>
              <w:spacing w:before="15"/>
              <w:ind w:left="103"/>
              <w:rPr>
                <w:rFonts w:ascii="Calibri"/>
                <w:b/>
              </w:rPr>
            </w:pPr>
            <w:r>
              <w:rPr>
                <w:rFonts w:ascii="Calibri"/>
                <w:b/>
              </w:rPr>
              <w:t>Non oxygen</w:t>
            </w:r>
          </w:p>
        </w:tc>
        <w:tc>
          <w:tcPr>
            <w:tcW w:w="3285" w:type="dxa"/>
          </w:tcPr>
          <w:p w:rsidR="00797F0A" w:rsidRDefault="005872C8">
            <w:pPr>
              <w:pStyle w:val="TableParagraph"/>
              <w:spacing w:before="17"/>
              <w:ind w:right="528"/>
              <w:jc w:val="right"/>
              <w:rPr>
                <w:rFonts w:ascii="Calibri"/>
                <w:b/>
              </w:rPr>
            </w:pPr>
            <w:r>
              <w:rPr>
                <w:rFonts w:ascii="Calibri"/>
                <w:b/>
              </w:rPr>
              <w:t>51,919</w:t>
            </w:r>
          </w:p>
        </w:tc>
      </w:tr>
      <w:tr w:rsidR="00797F0A" w:rsidTr="005872C8">
        <w:trPr>
          <w:trHeight w:val="300" w:hRule="exact"/>
        </w:trPr>
        <w:tc>
          <w:tcPr>
            <w:tcW w:w="2206" w:type="dxa"/>
          </w:tcPr>
          <w:p w:rsidR="00797F0A" w:rsidRDefault="005872C8">
            <w:pPr>
              <w:pStyle w:val="TableParagraph"/>
              <w:spacing w:before="16"/>
              <w:ind w:left="103"/>
              <w:rPr>
                <w:rFonts w:ascii="Calibri"/>
                <w:b/>
              </w:rPr>
            </w:pPr>
            <w:r>
              <w:rPr>
                <w:rFonts w:ascii="Calibri"/>
                <w:b/>
              </w:rPr>
              <w:t>Oxygen</w:t>
            </w:r>
          </w:p>
        </w:tc>
        <w:tc>
          <w:tcPr>
            <w:tcW w:w="3285" w:type="dxa"/>
          </w:tcPr>
          <w:p w:rsidR="00797F0A" w:rsidRDefault="005872C8">
            <w:pPr>
              <w:pStyle w:val="TableParagraph"/>
              <w:spacing w:before="16"/>
              <w:ind w:right="516"/>
              <w:jc w:val="right"/>
              <w:rPr>
                <w:rFonts w:ascii="Calibri"/>
                <w:b/>
              </w:rPr>
            </w:pPr>
            <w:r>
              <w:rPr>
                <w:rFonts w:ascii="Calibri"/>
                <w:b/>
              </w:rPr>
              <w:t>215,212</w:t>
            </w:r>
          </w:p>
        </w:tc>
      </w:tr>
      <w:tr w:rsidR="00797F0A" w:rsidTr="005872C8">
        <w:trPr>
          <w:trHeight w:val="328" w:hRule="exact"/>
        </w:trPr>
        <w:tc>
          <w:tcPr>
            <w:tcW w:w="2206" w:type="dxa"/>
            <w:tcBorders>
              <w:bottom w:val="nil"/>
            </w:tcBorders>
          </w:tcPr>
          <w:p w:rsidR="00797F0A" w:rsidRDefault="005872C8">
            <w:pPr>
              <w:pStyle w:val="TableParagraph"/>
              <w:spacing w:before="33"/>
              <w:ind w:left="103"/>
              <w:rPr>
                <w:rFonts w:ascii="Calibri"/>
                <w:b/>
              </w:rPr>
            </w:pPr>
            <w:r>
              <w:rPr>
                <w:rFonts w:ascii="Calibri"/>
                <w:b/>
              </w:rPr>
              <w:t>Total time burden</w:t>
            </w:r>
          </w:p>
        </w:tc>
        <w:tc>
          <w:tcPr>
            <w:tcW w:w="3285" w:type="dxa"/>
            <w:vMerge w:val="restart"/>
          </w:tcPr>
          <w:p w:rsidR="00797F0A" w:rsidRDefault="00797F0A">
            <w:pPr>
              <w:pStyle w:val="TableParagraph"/>
              <w:spacing w:before="5"/>
              <w:rPr>
                <w:rFonts w:ascii="Times New Roman"/>
                <w:sz w:val="26"/>
              </w:rPr>
            </w:pPr>
          </w:p>
          <w:p w:rsidR="00797F0A" w:rsidRDefault="005872C8">
            <w:pPr>
              <w:pStyle w:val="TableParagraph"/>
              <w:spacing w:before="0"/>
              <w:ind w:left="2095"/>
              <w:rPr>
                <w:rFonts w:ascii="Calibri"/>
                <w:b/>
              </w:rPr>
            </w:pPr>
            <w:r>
              <w:rPr>
                <w:rFonts w:ascii="Calibri"/>
                <w:b/>
              </w:rPr>
              <w:t>267,131</w:t>
            </w:r>
          </w:p>
        </w:tc>
      </w:tr>
      <w:tr w:rsidR="00797F0A" w:rsidTr="005872C8">
        <w:trPr>
          <w:trHeight w:val="260" w:hRule="exact"/>
        </w:trPr>
        <w:tc>
          <w:tcPr>
            <w:tcW w:w="2206" w:type="dxa"/>
            <w:tcBorders>
              <w:top w:val="nil"/>
            </w:tcBorders>
          </w:tcPr>
          <w:p w:rsidR="00797F0A" w:rsidRDefault="005872C8">
            <w:pPr>
              <w:pStyle w:val="TableParagraph"/>
              <w:spacing w:before="0" w:line="250" w:lineRule="exact"/>
              <w:ind w:left="103"/>
              <w:rPr>
                <w:rFonts w:ascii="Calibri"/>
                <w:b/>
              </w:rPr>
            </w:pPr>
            <w:r>
              <w:rPr>
                <w:rFonts w:ascii="Calibri"/>
                <w:b/>
              </w:rPr>
              <w:t>ALL CMNs</w:t>
            </w:r>
          </w:p>
        </w:tc>
        <w:tc>
          <w:tcPr>
            <w:tcW w:w="3285" w:type="dxa"/>
            <w:vMerge/>
          </w:tcPr>
          <w:p w:rsidR="00797F0A" w:rsidRDefault="00797F0A"/>
        </w:tc>
      </w:tr>
    </w:tbl>
    <w:p w:rsidR="00797F0A" w:rsidRDefault="00797F0A">
      <w:pPr>
        <w:pStyle w:val="BodyText"/>
        <w:rPr>
          <w:sz w:val="26"/>
        </w:rPr>
      </w:pPr>
    </w:p>
    <w:p w:rsidR="00797F0A" w:rsidRDefault="00797F0A">
      <w:pPr>
        <w:pStyle w:val="BodyText"/>
        <w:spacing w:before="7"/>
        <w:rPr>
          <w:sz w:val="20"/>
        </w:rPr>
      </w:pPr>
    </w:p>
    <w:p w:rsidR="00797F0A" w:rsidRDefault="005872C8">
      <w:pPr>
        <w:ind w:left="100"/>
        <w:rPr>
          <w:i/>
          <w:sz w:val="24"/>
        </w:rPr>
      </w:pPr>
      <w:r>
        <w:rPr>
          <w:i/>
          <w:sz w:val="24"/>
        </w:rPr>
        <w:t>Cost to Respondents</w:t>
      </w:r>
    </w:p>
    <w:p w:rsidR="00797F0A" w:rsidRDefault="00797F0A">
      <w:pPr>
        <w:pStyle w:val="BodyText"/>
        <w:spacing w:before="10"/>
        <w:rPr>
          <w:i/>
          <w:sz w:val="23"/>
        </w:rPr>
      </w:pPr>
    </w:p>
    <w:p w:rsidR="00797F0A" w:rsidRDefault="005872C8">
      <w:pPr>
        <w:pStyle w:val="BodyText"/>
        <w:spacing w:line="477" w:lineRule="auto"/>
        <w:ind w:left="160" w:right="1534" w:hanging="60"/>
      </w:pPr>
      <w:r>
        <w:t>The total cost to the respondents for completing ALL CMN forms is $10,979,108. The average cost to complete a CMN is $8.22 per form and can be broken down</w:t>
      </w:r>
    </w:p>
    <w:p w:rsidR="00797F0A" w:rsidRDefault="00797F0A">
      <w:pPr>
        <w:spacing w:line="477" w:lineRule="auto"/>
        <w:sectPr w:rsidR="00797F0A">
          <w:pgSz w:w="12240" w:h="15840"/>
          <w:pgMar w:top="1360" w:right="1360" w:bottom="1040" w:left="1340" w:header="0" w:footer="858" w:gutter="0"/>
          <w:cols w:space="720"/>
        </w:sectPr>
      </w:pPr>
    </w:p>
    <w:p w:rsidR="00797F0A" w:rsidRDefault="005872C8">
      <w:pPr>
        <w:pStyle w:val="BodyText"/>
        <w:spacing w:before="9"/>
        <w:ind w:left="100"/>
      </w:pPr>
      <w:r>
        <w:rPr>
          <w:spacing w:val="-1"/>
        </w:rPr>
        <w:t>as:</w:t>
      </w:r>
    </w:p>
    <w:p w:rsidR="00797F0A" w:rsidRDefault="005872C8">
      <w:pPr>
        <w:pStyle w:val="BodyText"/>
        <w:spacing w:before="9"/>
      </w:pPr>
      <w:r>
        <w:br w:type="column"/>
      </w:r>
    </w:p>
    <w:p w:rsidR="00797F0A" w:rsidRDefault="005872C8">
      <w:pPr>
        <w:pStyle w:val="ListParagraph"/>
        <w:numPr>
          <w:ilvl w:val="0"/>
          <w:numId w:val="2"/>
        </w:numPr>
        <w:tabs>
          <w:tab w:val="left" w:pos="414"/>
          <w:tab w:val="left" w:pos="415"/>
        </w:tabs>
        <w:rPr>
          <w:sz w:val="24"/>
        </w:rPr>
      </w:pPr>
      <w:r>
        <w:rPr>
          <w:sz w:val="24"/>
        </w:rPr>
        <w:t>Physician loaded hourly wage is $135.42 by hour or $2.26 per</w:t>
      </w:r>
      <w:r>
        <w:rPr>
          <w:spacing w:val="-24"/>
          <w:sz w:val="24"/>
        </w:rPr>
        <w:t xml:space="preserve"> </w:t>
      </w:r>
      <w:r>
        <w:rPr>
          <w:sz w:val="24"/>
        </w:rPr>
        <w:t>minute</w:t>
      </w:r>
    </w:p>
    <w:p w:rsidR="00797F0A" w:rsidRDefault="005872C8">
      <w:pPr>
        <w:pStyle w:val="ListParagraph"/>
        <w:numPr>
          <w:ilvl w:val="0"/>
          <w:numId w:val="2"/>
        </w:numPr>
        <w:tabs>
          <w:tab w:val="left" w:pos="414"/>
          <w:tab w:val="left" w:pos="415"/>
        </w:tabs>
        <w:spacing w:before="1"/>
        <w:rPr>
          <w:sz w:val="24"/>
        </w:rPr>
      </w:pPr>
      <w:r>
        <w:rPr>
          <w:sz w:val="24"/>
        </w:rPr>
        <w:t>Medical Office staff loaded wage is $22.09 per hour or $0.37 per</w:t>
      </w:r>
      <w:r>
        <w:rPr>
          <w:spacing w:val="-26"/>
          <w:sz w:val="24"/>
        </w:rPr>
        <w:t xml:space="preserve"> </w:t>
      </w:r>
      <w:r>
        <w:rPr>
          <w:sz w:val="24"/>
        </w:rPr>
        <w:t>minute</w:t>
      </w:r>
    </w:p>
    <w:p w:rsidR="00797F0A" w:rsidRDefault="00797F0A">
      <w:pPr>
        <w:rPr>
          <w:sz w:val="24"/>
        </w:rPr>
        <w:sectPr w:rsidR="00797F0A">
          <w:type w:val="continuous"/>
          <w:pgSz w:w="12240" w:h="15840"/>
          <w:pgMar w:top="1380" w:right="1360" w:bottom="1040" w:left="1340" w:header="720" w:footer="720" w:gutter="0"/>
          <w:cols w:equalWidth="0" w:space="720" w:num="2">
            <w:col w:w="366" w:space="40"/>
            <w:col w:w="9134"/>
          </w:cols>
        </w:sectPr>
      </w:pPr>
    </w:p>
    <w:tbl>
      <w:tblPr>
        <w:tblW w:w="0" w:type="auto"/>
        <w:tblInd w:w="1086"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1155"/>
        <w:gridCol w:w="665"/>
        <w:gridCol w:w="3055"/>
        <w:gridCol w:w="2431"/>
      </w:tblGrid>
      <w:tr w:rsidR="00797F0A" w:rsidTr="005872C8">
        <w:trPr>
          <w:trHeight w:val="622" w:hRule="exact"/>
        </w:trPr>
        <w:tc>
          <w:tcPr>
            <w:tcW w:w="1820" w:type="dxa"/>
            <w:gridSpan w:val="2"/>
            <w:shd w:val="clear" w:color="auto" w:fill="DBDBDB"/>
          </w:tcPr>
          <w:p w:rsidR="00797F0A" w:rsidRDefault="00797F0A">
            <w:pPr>
              <w:pStyle w:val="TableParagraph"/>
              <w:spacing w:before="0"/>
              <w:rPr>
                <w:rFonts w:ascii="Times New Roman"/>
                <w:sz w:val="14"/>
              </w:rPr>
            </w:pPr>
          </w:p>
          <w:p w:rsidR="00797F0A" w:rsidRDefault="005872C8">
            <w:pPr>
              <w:pStyle w:val="TableParagraph"/>
              <w:spacing w:before="116"/>
              <w:ind w:left="24"/>
              <w:rPr>
                <w:b/>
                <w:sz w:val="15"/>
              </w:rPr>
            </w:pPr>
            <w:r>
              <w:rPr>
                <w:b/>
                <w:w w:val="110"/>
                <w:sz w:val="15"/>
              </w:rPr>
              <w:t>CMS Form Number</w:t>
            </w:r>
          </w:p>
        </w:tc>
        <w:tc>
          <w:tcPr>
            <w:tcW w:w="3055" w:type="dxa"/>
            <w:shd w:val="clear" w:color="auto" w:fill="DBDBDB"/>
          </w:tcPr>
          <w:p w:rsidR="00797F0A" w:rsidRDefault="00797F0A">
            <w:pPr>
              <w:pStyle w:val="TableParagraph"/>
              <w:spacing w:before="0"/>
              <w:rPr>
                <w:rFonts w:ascii="Times New Roman"/>
                <w:sz w:val="14"/>
              </w:rPr>
            </w:pPr>
          </w:p>
          <w:p w:rsidR="00797F0A" w:rsidRDefault="00797F0A">
            <w:pPr>
              <w:pStyle w:val="TableParagraph"/>
              <w:spacing w:before="2"/>
              <w:rPr>
                <w:rFonts w:ascii="Times New Roman"/>
                <w:sz w:val="12"/>
              </w:rPr>
            </w:pPr>
          </w:p>
          <w:p w:rsidR="00797F0A" w:rsidRDefault="005872C8">
            <w:pPr>
              <w:pStyle w:val="TableParagraph"/>
              <w:spacing w:before="0"/>
              <w:ind w:left="24"/>
              <w:rPr>
                <w:b/>
                <w:sz w:val="15"/>
              </w:rPr>
            </w:pPr>
            <w:r>
              <w:rPr>
                <w:b/>
                <w:w w:val="110"/>
                <w:sz w:val="15"/>
              </w:rPr>
              <w:t>Total Volume</w:t>
            </w:r>
          </w:p>
        </w:tc>
        <w:tc>
          <w:tcPr>
            <w:tcW w:w="2431" w:type="dxa"/>
            <w:shd w:val="clear" w:color="auto" w:fill="DBDBDB"/>
          </w:tcPr>
          <w:p w:rsidR="00797F0A" w:rsidRDefault="005872C8">
            <w:pPr>
              <w:pStyle w:val="TableParagraph"/>
              <w:spacing w:before="61"/>
              <w:ind w:left="23"/>
              <w:rPr>
                <w:b/>
                <w:sz w:val="15"/>
              </w:rPr>
            </w:pPr>
            <w:r>
              <w:rPr>
                <w:b/>
                <w:w w:val="110"/>
                <w:sz w:val="15"/>
              </w:rPr>
              <w:t>Annual cost burden per form</w:t>
            </w:r>
          </w:p>
          <w:p w:rsidR="00797F0A" w:rsidRDefault="005872C8">
            <w:pPr>
              <w:pStyle w:val="TableParagraph"/>
              <w:spacing w:before="39"/>
              <w:ind w:left="23"/>
              <w:rPr>
                <w:b/>
                <w:sz w:val="15"/>
              </w:rPr>
            </w:pPr>
            <w:r>
              <w:rPr>
                <w:b/>
                <w:w w:val="110"/>
                <w:sz w:val="15"/>
              </w:rPr>
              <w:t>@$8.22 per CMN</w:t>
            </w:r>
          </w:p>
        </w:tc>
      </w:tr>
      <w:tr w:rsidR="00797F0A" w:rsidTr="005872C8">
        <w:trPr>
          <w:trHeight w:val="348" w:hRule="exact"/>
        </w:trPr>
        <w:tc>
          <w:tcPr>
            <w:tcW w:w="1820" w:type="dxa"/>
            <w:gridSpan w:val="2"/>
          </w:tcPr>
          <w:p w:rsidR="00797F0A" w:rsidRDefault="005872C8">
            <w:pPr>
              <w:pStyle w:val="TableParagraph"/>
              <w:spacing w:before="28"/>
              <w:ind w:right="17"/>
              <w:jc w:val="right"/>
              <w:rPr>
                <w:sz w:val="15"/>
              </w:rPr>
            </w:pPr>
            <w:r>
              <w:rPr>
                <w:sz w:val="15"/>
              </w:rPr>
              <w:t>484</w:t>
            </w:r>
          </w:p>
        </w:tc>
        <w:tc>
          <w:tcPr>
            <w:tcW w:w="3055" w:type="dxa"/>
          </w:tcPr>
          <w:p w:rsidR="00797F0A" w:rsidRDefault="005872C8">
            <w:pPr>
              <w:pStyle w:val="TableParagraph"/>
              <w:spacing w:before="40"/>
              <w:ind w:right="22"/>
              <w:jc w:val="right"/>
            </w:pPr>
            <w:r>
              <w:t>1,076,061</w:t>
            </w:r>
          </w:p>
        </w:tc>
        <w:tc>
          <w:tcPr>
            <w:tcW w:w="2431" w:type="dxa"/>
          </w:tcPr>
          <w:p w:rsidR="00797F0A" w:rsidRDefault="005872C8">
            <w:pPr>
              <w:pStyle w:val="TableParagraph"/>
              <w:spacing w:before="28"/>
              <w:ind w:left="83"/>
            </w:pPr>
            <w:r>
              <w:t>$8,845,221</w:t>
            </w:r>
          </w:p>
        </w:tc>
      </w:tr>
      <w:tr w:rsidR="00797F0A" w:rsidTr="005872C8">
        <w:trPr>
          <w:trHeight w:val="346" w:hRule="exact"/>
        </w:trPr>
        <w:tc>
          <w:tcPr>
            <w:tcW w:w="1820" w:type="dxa"/>
            <w:gridSpan w:val="2"/>
          </w:tcPr>
          <w:p w:rsidR="00797F0A" w:rsidRDefault="005872C8">
            <w:pPr>
              <w:pStyle w:val="TableParagraph"/>
              <w:spacing w:before="25"/>
              <w:ind w:right="17"/>
              <w:jc w:val="right"/>
              <w:rPr>
                <w:sz w:val="15"/>
              </w:rPr>
            </w:pPr>
            <w:r>
              <w:rPr>
                <w:sz w:val="15"/>
              </w:rPr>
              <w:t>846</w:t>
            </w:r>
          </w:p>
        </w:tc>
        <w:tc>
          <w:tcPr>
            <w:tcW w:w="3055" w:type="dxa"/>
          </w:tcPr>
          <w:p w:rsidR="00797F0A" w:rsidRDefault="005872C8">
            <w:pPr>
              <w:pStyle w:val="TableParagraph"/>
              <w:spacing w:before="38"/>
              <w:ind w:right="26"/>
              <w:jc w:val="right"/>
            </w:pPr>
            <w:r>
              <w:t>50738</w:t>
            </w:r>
          </w:p>
        </w:tc>
        <w:tc>
          <w:tcPr>
            <w:tcW w:w="2431" w:type="dxa"/>
          </w:tcPr>
          <w:p w:rsidR="00797F0A" w:rsidRDefault="005872C8">
            <w:pPr>
              <w:pStyle w:val="TableParagraph"/>
              <w:spacing w:before="26"/>
              <w:ind w:left="131"/>
            </w:pPr>
            <w:r>
              <w:t>$417,066</w:t>
            </w:r>
          </w:p>
        </w:tc>
      </w:tr>
      <w:tr w:rsidR="00797F0A" w:rsidTr="005872C8">
        <w:trPr>
          <w:trHeight w:val="348" w:hRule="exact"/>
        </w:trPr>
        <w:tc>
          <w:tcPr>
            <w:tcW w:w="1820" w:type="dxa"/>
            <w:gridSpan w:val="2"/>
          </w:tcPr>
          <w:p w:rsidR="00797F0A" w:rsidRDefault="005872C8">
            <w:pPr>
              <w:pStyle w:val="TableParagraph"/>
              <w:spacing w:before="28"/>
              <w:ind w:right="17"/>
              <w:jc w:val="right"/>
              <w:rPr>
                <w:sz w:val="15"/>
              </w:rPr>
            </w:pPr>
            <w:r>
              <w:rPr>
                <w:sz w:val="15"/>
              </w:rPr>
              <w:t>847</w:t>
            </w:r>
          </w:p>
        </w:tc>
        <w:tc>
          <w:tcPr>
            <w:tcW w:w="3055" w:type="dxa"/>
          </w:tcPr>
          <w:p w:rsidR="00797F0A" w:rsidRDefault="005872C8">
            <w:pPr>
              <w:pStyle w:val="TableParagraph"/>
              <w:spacing w:before="40"/>
              <w:ind w:right="22"/>
              <w:jc w:val="right"/>
            </w:pPr>
            <w:r>
              <w:t>40308</w:t>
            </w:r>
          </w:p>
        </w:tc>
        <w:tc>
          <w:tcPr>
            <w:tcW w:w="2431" w:type="dxa"/>
          </w:tcPr>
          <w:p w:rsidR="00797F0A" w:rsidRDefault="005872C8">
            <w:pPr>
              <w:pStyle w:val="TableParagraph"/>
              <w:spacing w:before="28"/>
              <w:ind w:left="131"/>
            </w:pPr>
            <w:r>
              <w:t>$331,332</w:t>
            </w:r>
          </w:p>
        </w:tc>
      </w:tr>
      <w:tr w:rsidR="00797F0A" w:rsidTr="005872C8">
        <w:trPr>
          <w:trHeight w:val="348" w:hRule="exact"/>
        </w:trPr>
        <w:tc>
          <w:tcPr>
            <w:tcW w:w="1820" w:type="dxa"/>
            <w:gridSpan w:val="2"/>
          </w:tcPr>
          <w:p w:rsidR="00797F0A" w:rsidRDefault="005872C8">
            <w:pPr>
              <w:pStyle w:val="TableParagraph"/>
              <w:spacing w:before="25"/>
              <w:ind w:right="17"/>
              <w:jc w:val="right"/>
              <w:rPr>
                <w:sz w:val="15"/>
              </w:rPr>
            </w:pPr>
            <w:r>
              <w:rPr>
                <w:sz w:val="15"/>
              </w:rPr>
              <w:t>848</w:t>
            </w:r>
          </w:p>
        </w:tc>
        <w:tc>
          <w:tcPr>
            <w:tcW w:w="3055" w:type="dxa"/>
          </w:tcPr>
          <w:p w:rsidR="00797F0A" w:rsidRDefault="005872C8">
            <w:pPr>
              <w:pStyle w:val="TableParagraph"/>
              <w:spacing w:before="40"/>
              <w:ind w:right="17"/>
              <w:jc w:val="right"/>
            </w:pPr>
            <w:r>
              <w:t>5698</w:t>
            </w:r>
          </w:p>
        </w:tc>
        <w:tc>
          <w:tcPr>
            <w:tcW w:w="2431" w:type="dxa"/>
          </w:tcPr>
          <w:p w:rsidR="00797F0A" w:rsidRDefault="005872C8">
            <w:pPr>
              <w:pStyle w:val="TableParagraph"/>
              <w:spacing w:before="28"/>
              <w:ind w:left="131"/>
            </w:pPr>
            <w:r>
              <w:t>$46,838</w:t>
            </w:r>
          </w:p>
        </w:tc>
      </w:tr>
      <w:tr w:rsidR="00797F0A" w:rsidTr="005872C8">
        <w:trPr>
          <w:trHeight w:val="346" w:hRule="exact"/>
        </w:trPr>
        <w:tc>
          <w:tcPr>
            <w:tcW w:w="1820" w:type="dxa"/>
            <w:gridSpan w:val="2"/>
          </w:tcPr>
          <w:p w:rsidR="00797F0A" w:rsidRDefault="005872C8">
            <w:pPr>
              <w:pStyle w:val="TableParagraph"/>
              <w:spacing w:before="25"/>
              <w:ind w:right="17"/>
              <w:jc w:val="right"/>
              <w:rPr>
                <w:sz w:val="15"/>
              </w:rPr>
            </w:pPr>
            <w:r>
              <w:rPr>
                <w:sz w:val="15"/>
              </w:rPr>
              <w:t>849</w:t>
            </w:r>
          </w:p>
        </w:tc>
        <w:tc>
          <w:tcPr>
            <w:tcW w:w="3055" w:type="dxa"/>
          </w:tcPr>
          <w:p w:rsidR="00797F0A" w:rsidRDefault="005872C8">
            <w:pPr>
              <w:pStyle w:val="TableParagraph"/>
              <w:spacing w:before="38"/>
              <w:ind w:right="17"/>
              <w:jc w:val="right"/>
            </w:pPr>
            <w:r>
              <w:t>7496</w:t>
            </w:r>
          </w:p>
        </w:tc>
        <w:tc>
          <w:tcPr>
            <w:tcW w:w="2431" w:type="dxa"/>
          </w:tcPr>
          <w:p w:rsidR="00797F0A" w:rsidRDefault="005872C8">
            <w:pPr>
              <w:pStyle w:val="TableParagraph"/>
              <w:spacing w:before="26"/>
              <w:ind w:left="131"/>
            </w:pPr>
            <w:r>
              <w:t>$61,617</w:t>
            </w:r>
          </w:p>
        </w:tc>
      </w:tr>
      <w:tr w:rsidR="00797F0A" w:rsidTr="005872C8">
        <w:trPr>
          <w:trHeight w:val="348" w:hRule="exact"/>
        </w:trPr>
        <w:tc>
          <w:tcPr>
            <w:tcW w:w="1820" w:type="dxa"/>
            <w:gridSpan w:val="2"/>
          </w:tcPr>
          <w:p w:rsidR="00797F0A" w:rsidRDefault="005872C8">
            <w:pPr>
              <w:pStyle w:val="TableParagraph"/>
              <w:spacing w:before="28"/>
              <w:ind w:right="12"/>
              <w:jc w:val="right"/>
              <w:rPr>
                <w:sz w:val="15"/>
              </w:rPr>
            </w:pPr>
            <w:r>
              <w:rPr>
                <w:sz w:val="15"/>
              </w:rPr>
              <w:t>10125</w:t>
            </w:r>
          </w:p>
        </w:tc>
        <w:tc>
          <w:tcPr>
            <w:tcW w:w="3055" w:type="dxa"/>
          </w:tcPr>
          <w:p w:rsidR="00797F0A" w:rsidRDefault="005872C8">
            <w:pPr>
              <w:pStyle w:val="TableParagraph"/>
              <w:spacing w:before="40"/>
              <w:ind w:right="17"/>
              <w:jc w:val="right"/>
            </w:pPr>
            <w:r>
              <w:t>31855</w:t>
            </w:r>
          </w:p>
        </w:tc>
        <w:tc>
          <w:tcPr>
            <w:tcW w:w="2431" w:type="dxa"/>
          </w:tcPr>
          <w:p w:rsidR="00797F0A" w:rsidRDefault="005872C8">
            <w:pPr>
              <w:pStyle w:val="TableParagraph"/>
              <w:spacing w:before="28"/>
              <w:ind w:left="131"/>
            </w:pPr>
            <w:r>
              <w:t>$261,848</w:t>
            </w:r>
          </w:p>
        </w:tc>
      </w:tr>
      <w:tr w:rsidR="00797F0A" w:rsidTr="005872C8">
        <w:trPr>
          <w:trHeight w:val="346" w:hRule="exact"/>
        </w:trPr>
        <w:tc>
          <w:tcPr>
            <w:tcW w:w="1820" w:type="dxa"/>
            <w:gridSpan w:val="2"/>
          </w:tcPr>
          <w:p w:rsidR="00797F0A" w:rsidRDefault="005872C8">
            <w:pPr>
              <w:pStyle w:val="TableParagraph"/>
              <w:spacing w:before="25"/>
              <w:ind w:right="12"/>
              <w:jc w:val="right"/>
              <w:rPr>
                <w:sz w:val="15"/>
              </w:rPr>
            </w:pPr>
            <w:r>
              <w:rPr>
                <w:sz w:val="15"/>
              </w:rPr>
              <w:t>10126</w:t>
            </w:r>
          </w:p>
        </w:tc>
        <w:tc>
          <w:tcPr>
            <w:tcW w:w="3055" w:type="dxa"/>
          </w:tcPr>
          <w:p w:rsidR="00797F0A" w:rsidRDefault="005872C8">
            <w:pPr>
              <w:pStyle w:val="TableParagraph"/>
              <w:spacing w:before="38"/>
              <w:ind w:right="17"/>
              <w:jc w:val="right"/>
            </w:pPr>
            <w:r>
              <w:t>123502</w:t>
            </w:r>
          </w:p>
        </w:tc>
        <w:tc>
          <w:tcPr>
            <w:tcW w:w="2431" w:type="dxa"/>
          </w:tcPr>
          <w:p w:rsidR="00797F0A" w:rsidRDefault="005872C8">
            <w:pPr>
              <w:pStyle w:val="TableParagraph"/>
              <w:spacing w:before="26"/>
              <w:ind w:left="131"/>
            </w:pPr>
            <w:r>
              <w:t>$1,015,186</w:t>
            </w:r>
          </w:p>
        </w:tc>
      </w:tr>
      <w:tr w:rsidR="00797F0A" w:rsidTr="005872C8">
        <w:trPr>
          <w:trHeight w:val="360" w:hRule="exact"/>
        </w:trPr>
        <w:tc>
          <w:tcPr>
            <w:tcW w:w="1155" w:type="dxa"/>
            <w:tcBorders>
              <w:right w:val="nil"/>
            </w:tcBorders>
          </w:tcPr>
          <w:p w:rsidR="00797F0A" w:rsidRDefault="005872C8">
            <w:pPr>
              <w:pStyle w:val="TableParagraph"/>
              <w:spacing w:before="16"/>
              <w:ind w:left="24"/>
              <w:rPr>
                <w:b/>
                <w:sz w:val="15"/>
              </w:rPr>
            </w:pPr>
            <w:r>
              <w:rPr>
                <w:b/>
                <w:spacing w:val="-3"/>
                <w:w w:val="110"/>
                <w:sz w:val="15"/>
              </w:rPr>
              <w:t xml:space="preserve">total cost </w:t>
            </w:r>
            <w:r>
              <w:rPr>
                <w:b/>
                <w:w w:val="110"/>
                <w:sz w:val="15"/>
              </w:rPr>
              <w:t>for all</w:t>
            </w:r>
          </w:p>
        </w:tc>
        <w:tc>
          <w:tcPr>
            <w:tcW w:w="665" w:type="dxa"/>
            <w:tcBorders>
              <w:left w:val="nil"/>
            </w:tcBorders>
          </w:tcPr>
          <w:p w:rsidR="00797F0A" w:rsidRDefault="005872C8">
            <w:pPr>
              <w:pStyle w:val="TableParagraph"/>
              <w:spacing w:before="16"/>
              <w:ind w:left="17"/>
              <w:rPr>
                <w:b/>
                <w:sz w:val="15"/>
              </w:rPr>
            </w:pPr>
            <w:r>
              <w:rPr>
                <w:b/>
                <w:w w:val="110"/>
                <w:sz w:val="15"/>
              </w:rPr>
              <w:t>CMNs</w:t>
            </w:r>
          </w:p>
        </w:tc>
        <w:tc>
          <w:tcPr>
            <w:tcW w:w="3055" w:type="dxa"/>
          </w:tcPr>
          <w:p w:rsidR="00797F0A" w:rsidRDefault="005872C8">
            <w:pPr>
              <w:pStyle w:val="TableParagraph"/>
              <w:spacing w:before="40"/>
              <w:ind w:right="17"/>
              <w:jc w:val="right"/>
            </w:pPr>
            <w:r>
              <w:t>1,335,658</w:t>
            </w:r>
          </w:p>
        </w:tc>
        <w:tc>
          <w:tcPr>
            <w:tcW w:w="2431" w:type="dxa"/>
          </w:tcPr>
          <w:p w:rsidR="00797F0A" w:rsidRDefault="005872C8">
            <w:pPr>
              <w:pStyle w:val="TableParagraph"/>
              <w:spacing w:before="40"/>
              <w:ind w:left="119"/>
            </w:pPr>
            <w:r>
              <w:t>$10,979,108</w:t>
            </w:r>
          </w:p>
        </w:tc>
      </w:tr>
    </w:tbl>
    <w:p w:rsidR="00797F0A" w:rsidRDefault="00797F0A">
      <w:pPr>
        <w:pStyle w:val="BodyText"/>
        <w:spacing w:before="8"/>
        <w:rPr>
          <w:sz w:val="15"/>
        </w:rPr>
      </w:pPr>
    </w:p>
    <w:p w:rsidR="00797F0A" w:rsidRDefault="005872C8">
      <w:pPr>
        <w:pStyle w:val="BodyText"/>
        <w:spacing w:before="90" w:line="242" w:lineRule="auto"/>
        <w:ind w:left="100" w:right="296"/>
      </w:pPr>
      <w:r>
        <w:t>Cost to the respondents is calculated as the volume multiplied by the loaded per minute wage multiplied by the number of minutes:</w:t>
      </w:r>
    </w:p>
    <w:p w:rsidR="00797F0A" w:rsidRDefault="00797F0A">
      <w:pPr>
        <w:pStyle w:val="BodyText"/>
        <w:spacing w:before="10"/>
      </w:pPr>
    </w:p>
    <w:tbl>
      <w:tblPr>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44"/>
        <w:gridCol w:w="2851"/>
        <w:gridCol w:w="2270"/>
        <w:gridCol w:w="2570"/>
      </w:tblGrid>
      <w:tr w:rsidR="00797F0A">
        <w:trPr>
          <w:trHeight w:val="557" w:hRule="exact"/>
        </w:trPr>
        <w:tc>
          <w:tcPr>
            <w:tcW w:w="1644" w:type="dxa"/>
            <w:shd w:val="clear" w:color="auto" w:fill="DBDBDB"/>
          </w:tcPr>
          <w:p w:rsidR="00797F0A" w:rsidRDefault="005872C8">
            <w:pPr>
              <w:pStyle w:val="TableParagraph"/>
              <w:spacing w:before="3" w:line="259" w:lineRule="auto"/>
              <w:ind w:left="21"/>
              <w:rPr>
                <w:b/>
                <w:sz w:val="14"/>
              </w:rPr>
            </w:pPr>
            <w:r>
              <w:rPr>
                <w:b/>
                <w:w w:val="105"/>
                <w:sz w:val="14"/>
              </w:rPr>
              <w:t>Total Time Burden non oxygen</w:t>
            </w:r>
          </w:p>
        </w:tc>
        <w:tc>
          <w:tcPr>
            <w:tcW w:w="2851" w:type="dxa"/>
            <w:shd w:val="clear" w:color="auto" w:fill="DBDBDB"/>
          </w:tcPr>
          <w:p w:rsidR="00797F0A" w:rsidRDefault="00797F0A"/>
        </w:tc>
        <w:tc>
          <w:tcPr>
            <w:tcW w:w="2270" w:type="dxa"/>
            <w:shd w:val="clear" w:color="auto" w:fill="DBDBDB"/>
          </w:tcPr>
          <w:p w:rsidR="00797F0A" w:rsidRDefault="00797F0A">
            <w:pPr>
              <w:pStyle w:val="TableParagraph"/>
              <w:spacing w:before="0"/>
              <w:rPr>
                <w:rFonts w:ascii="Times New Roman"/>
                <w:sz w:val="14"/>
              </w:rPr>
            </w:pPr>
          </w:p>
          <w:p w:rsidR="00797F0A" w:rsidRDefault="005872C8">
            <w:pPr>
              <w:pStyle w:val="TableParagraph"/>
              <w:spacing w:before="118"/>
              <w:ind w:left="21"/>
              <w:rPr>
                <w:b/>
                <w:sz w:val="14"/>
              </w:rPr>
            </w:pPr>
            <w:r>
              <w:rPr>
                <w:b/>
                <w:w w:val="105"/>
                <w:sz w:val="14"/>
              </w:rPr>
              <w:t>non oxygen minutes</w:t>
            </w:r>
          </w:p>
        </w:tc>
        <w:tc>
          <w:tcPr>
            <w:tcW w:w="2570" w:type="dxa"/>
            <w:shd w:val="clear" w:color="auto" w:fill="DBDBDB"/>
          </w:tcPr>
          <w:p w:rsidR="00797F0A" w:rsidRDefault="00797F0A">
            <w:pPr>
              <w:pStyle w:val="TableParagraph"/>
              <w:spacing w:before="0"/>
              <w:rPr>
                <w:rFonts w:ascii="Times New Roman"/>
                <w:sz w:val="14"/>
              </w:rPr>
            </w:pPr>
          </w:p>
          <w:p w:rsidR="00797F0A" w:rsidRDefault="005872C8">
            <w:pPr>
              <w:pStyle w:val="TableParagraph"/>
              <w:spacing w:before="118"/>
              <w:ind w:left="21"/>
              <w:rPr>
                <w:b/>
                <w:sz w:val="14"/>
              </w:rPr>
            </w:pPr>
            <w:r>
              <w:rPr>
                <w:b/>
                <w:w w:val="105"/>
                <w:sz w:val="14"/>
              </w:rPr>
              <w:t>non oxygen hours</w:t>
            </w:r>
          </w:p>
        </w:tc>
      </w:tr>
      <w:tr w:rsidR="00797F0A">
        <w:trPr>
          <w:trHeight w:val="310" w:hRule="exact"/>
        </w:trPr>
        <w:tc>
          <w:tcPr>
            <w:tcW w:w="1644" w:type="dxa"/>
          </w:tcPr>
          <w:p w:rsidR="00797F0A" w:rsidRDefault="005872C8">
            <w:pPr>
              <w:pStyle w:val="TableParagraph"/>
              <w:ind w:left="21"/>
              <w:rPr>
                <w:sz w:val="14"/>
              </w:rPr>
            </w:pPr>
            <w:r>
              <w:rPr>
                <w:sz w:val="14"/>
              </w:rPr>
              <w:t>Physicians</w:t>
            </w:r>
          </w:p>
        </w:tc>
        <w:tc>
          <w:tcPr>
            <w:tcW w:w="2851" w:type="dxa"/>
          </w:tcPr>
          <w:p w:rsidR="00797F0A" w:rsidRDefault="005872C8">
            <w:pPr>
              <w:pStyle w:val="TableParagraph"/>
              <w:ind w:left="21"/>
              <w:rPr>
                <w:sz w:val="14"/>
              </w:rPr>
            </w:pPr>
            <w:r>
              <w:rPr>
                <w:sz w:val="14"/>
              </w:rPr>
              <w:t>Ave.  2 minutes  per CMN</w:t>
            </w:r>
          </w:p>
        </w:tc>
        <w:tc>
          <w:tcPr>
            <w:tcW w:w="2270" w:type="dxa"/>
          </w:tcPr>
          <w:p w:rsidR="00797F0A" w:rsidRDefault="005872C8">
            <w:pPr>
              <w:pStyle w:val="TableParagraph"/>
              <w:ind w:right="79"/>
              <w:jc w:val="right"/>
              <w:rPr>
                <w:sz w:val="14"/>
              </w:rPr>
            </w:pPr>
            <w:r>
              <w:rPr>
                <w:sz w:val="14"/>
              </w:rPr>
              <w:t>519,194.00</w:t>
            </w:r>
          </w:p>
        </w:tc>
        <w:tc>
          <w:tcPr>
            <w:tcW w:w="2570" w:type="dxa"/>
          </w:tcPr>
          <w:p w:rsidR="00797F0A" w:rsidRDefault="005872C8">
            <w:pPr>
              <w:pStyle w:val="TableParagraph"/>
              <w:ind w:right="74"/>
              <w:jc w:val="right"/>
              <w:rPr>
                <w:sz w:val="14"/>
              </w:rPr>
            </w:pPr>
            <w:r>
              <w:rPr>
                <w:sz w:val="14"/>
              </w:rPr>
              <w:t>8,653.23</w:t>
            </w:r>
          </w:p>
        </w:tc>
      </w:tr>
      <w:tr w:rsidR="00797F0A">
        <w:trPr>
          <w:trHeight w:val="312" w:hRule="exact"/>
        </w:trPr>
        <w:tc>
          <w:tcPr>
            <w:tcW w:w="1644" w:type="dxa"/>
          </w:tcPr>
          <w:p w:rsidR="00797F0A" w:rsidRDefault="005872C8">
            <w:pPr>
              <w:pStyle w:val="TableParagraph"/>
              <w:ind w:left="21"/>
              <w:rPr>
                <w:sz w:val="14"/>
              </w:rPr>
            </w:pPr>
            <w:r>
              <w:rPr>
                <w:sz w:val="14"/>
              </w:rPr>
              <w:t>Office staff</w:t>
            </w:r>
          </w:p>
        </w:tc>
        <w:tc>
          <w:tcPr>
            <w:tcW w:w="2851" w:type="dxa"/>
          </w:tcPr>
          <w:p w:rsidR="00797F0A" w:rsidRDefault="005872C8">
            <w:pPr>
              <w:pStyle w:val="TableParagraph"/>
              <w:ind w:left="21"/>
              <w:rPr>
                <w:sz w:val="14"/>
              </w:rPr>
            </w:pPr>
            <w:r>
              <w:rPr>
                <w:sz w:val="14"/>
              </w:rPr>
              <w:t>Ave.  10 minutes  per CMN</w:t>
            </w:r>
          </w:p>
        </w:tc>
        <w:tc>
          <w:tcPr>
            <w:tcW w:w="2270" w:type="dxa"/>
          </w:tcPr>
          <w:p w:rsidR="00797F0A" w:rsidRDefault="005872C8">
            <w:pPr>
              <w:pStyle w:val="TableParagraph"/>
              <w:ind w:right="79"/>
              <w:jc w:val="right"/>
              <w:rPr>
                <w:sz w:val="14"/>
              </w:rPr>
            </w:pPr>
            <w:r>
              <w:rPr>
                <w:sz w:val="14"/>
              </w:rPr>
              <w:t>2,595,970.00</w:t>
            </w:r>
          </w:p>
        </w:tc>
        <w:tc>
          <w:tcPr>
            <w:tcW w:w="2570" w:type="dxa"/>
          </w:tcPr>
          <w:p w:rsidR="00797F0A" w:rsidRDefault="005872C8">
            <w:pPr>
              <w:pStyle w:val="TableParagraph"/>
              <w:ind w:right="74"/>
              <w:jc w:val="right"/>
              <w:rPr>
                <w:sz w:val="14"/>
              </w:rPr>
            </w:pPr>
            <w:r>
              <w:rPr>
                <w:sz w:val="14"/>
              </w:rPr>
              <w:t>43,266.17</w:t>
            </w:r>
          </w:p>
        </w:tc>
      </w:tr>
      <w:tr w:rsidR="00797F0A">
        <w:trPr>
          <w:trHeight w:val="312" w:hRule="exact"/>
        </w:trPr>
        <w:tc>
          <w:tcPr>
            <w:tcW w:w="1644" w:type="dxa"/>
          </w:tcPr>
          <w:p w:rsidR="00797F0A" w:rsidRDefault="005872C8">
            <w:pPr>
              <w:pStyle w:val="TableParagraph"/>
              <w:ind w:left="21"/>
              <w:rPr>
                <w:sz w:val="14"/>
              </w:rPr>
            </w:pPr>
            <w:r>
              <w:rPr>
                <w:sz w:val="14"/>
              </w:rPr>
              <w:t>total Hours</w:t>
            </w:r>
          </w:p>
        </w:tc>
        <w:tc>
          <w:tcPr>
            <w:tcW w:w="2851" w:type="dxa"/>
          </w:tcPr>
          <w:p w:rsidR="00797F0A" w:rsidRDefault="00797F0A"/>
        </w:tc>
        <w:tc>
          <w:tcPr>
            <w:tcW w:w="2270" w:type="dxa"/>
          </w:tcPr>
          <w:p w:rsidR="00797F0A" w:rsidRDefault="00797F0A"/>
        </w:tc>
        <w:tc>
          <w:tcPr>
            <w:tcW w:w="2570" w:type="dxa"/>
          </w:tcPr>
          <w:p w:rsidR="00797F0A" w:rsidRDefault="005872C8">
            <w:pPr>
              <w:pStyle w:val="TableParagraph"/>
              <w:ind w:right="81"/>
              <w:jc w:val="right"/>
              <w:rPr>
                <w:sz w:val="14"/>
              </w:rPr>
            </w:pPr>
            <w:r>
              <w:rPr>
                <w:sz w:val="14"/>
              </w:rPr>
              <w:t>51,919.40</w:t>
            </w:r>
          </w:p>
        </w:tc>
      </w:tr>
    </w:tbl>
    <w:p w:rsidR="00797F0A" w:rsidRDefault="00797F0A">
      <w:pPr>
        <w:pStyle w:val="BodyText"/>
        <w:spacing w:before="9"/>
      </w:pPr>
    </w:p>
    <w:tbl>
      <w:tblPr>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44"/>
        <w:gridCol w:w="1252"/>
        <w:gridCol w:w="1599"/>
        <w:gridCol w:w="2270"/>
        <w:gridCol w:w="2570"/>
      </w:tblGrid>
      <w:tr w:rsidR="00797F0A">
        <w:trPr>
          <w:trHeight w:val="557" w:hRule="exact"/>
        </w:trPr>
        <w:tc>
          <w:tcPr>
            <w:tcW w:w="1644" w:type="dxa"/>
            <w:shd w:val="clear" w:color="auto" w:fill="DBDBDB"/>
          </w:tcPr>
          <w:p w:rsidR="00797F0A" w:rsidRDefault="005872C8">
            <w:pPr>
              <w:pStyle w:val="TableParagraph"/>
              <w:spacing w:before="3" w:line="259" w:lineRule="auto"/>
              <w:ind w:left="21" w:right="33"/>
              <w:rPr>
                <w:b/>
                <w:sz w:val="14"/>
              </w:rPr>
            </w:pPr>
            <w:r>
              <w:rPr>
                <w:b/>
                <w:w w:val="105"/>
                <w:sz w:val="14"/>
              </w:rPr>
              <w:t>Total Time Burden oxygen</w:t>
            </w:r>
          </w:p>
        </w:tc>
        <w:tc>
          <w:tcPr>
            <w:tcW w:w="2851" w:type="dxa"/>
            <w:gridSpan w:val="2"/>
            <w:shd w:val="clear" w:color="auto" w:fill="DBDBDB"/>
          </w:tcPr>
          <w:p w:rsidR="00797F0A" w:rsidRDefault="00797F0A"/>
        </w:tc>
        <w:tc>
          <w:tcPr>
            <w:tcW w:w="2270" w:type="dxa"/>
            <w:shd w:val="clear" w:color="auto" w:fill="DBDBDB"/>
          </w:tcPr>
          <w:p w:rsidR="00797F0A" w:rsidRDefault="00797F0A">
            <w:pPr>
              <w:pStyle w:val="TableParagraph"/>
              <w:spacing w:before="0"/>
              <w:rPr>
                <w:rFonts w:ascii="Times New Roman"/>
                <w:sz w:val="14"/>
              </w:rPr>
            </w:pPr>
          </w:p>
          <w:p w:rsidR="00797F0A" w:rsidRDefault="005872C8">
            <w:pPr>
              <w:pStyle w:val="TableParagraph"/>
              <w:spacing w:before="118"/>
              <w:ind w:left="67"/>
              <w:rPr>
                <w:b/>
                <w:sz w:val="14"/>
              </w:rPr>
            </w:pPr>
            <w:r>
              <w:rPr>
                <w:b/>
                <w:w w:val="105"/>
                <w:sz w:val="14"/>
              </w:rPr>
              <w:t>oxygen minutes</w:t>
            </w:r>
          </w:p>
        </w:tc>
        <w:tc>
          <w:tcPr>
            <w:tcW w:w="2570" w:type="dxa"/>
            <w:shd w:val="clear" w:color="auto" w:fill="DBDBDB"/>
          </w:tcPr>
          <w:p w:rsidR="00797F0A" w:rsidRDefault="00797F0A">
            <w:pPr>
              <w:pStyle w:val="TableParagraph"/>
              <w:spacing w:before="0"/>
              <w:rPr>
                <w:rFonts w:ascii="Times New Roman"/>
                <w:sz w:val="14"/>
              </w:rPr>
            </w:pPr>
          </w:p>
          <w:p w:rsidR="00797F0A" w:rsidRDefault="005872C8">
            <w:pPr>
              <w:pStyle w:val="TableParagraph"/>
              <w:spacing w:before="118"/>
              <w:ind w:left="67"/>
              <w:rPr>
                <w:b/>
                <w:sz w:val="14"/>
              </w:rPr>
            </w:pPr>
            <w:r>
              <w:rPr>
                <w:b/>
                <w:w w:val="105"/>
                <w:sz w:val="14"/>
              </w:rPr>
              <w:t>oxygen hours</w:t>
            </w:r>
          </w:p>
        </w:tc>
      </w:tr>
      <w:tr w:rsidR="00797F0A">
        <w:trPr>
          <w:trHeight w:val="310" w:hRule="exact"/>
        </w:trPr>
        <w:tc>
          <w:tcPr>
            <w:tcW w:w="1644" w:type="dxa"/>
          </w:tcPr>
          <w:p w:rsidR="00797F0A" w:rsidRDefault="005872C8">
            <w:pPr>
              <w:pStyle w:val="TableParagraph"/>
              <w:ind w:left="21"/>
              <w:rPr>
                <w:sz w:val="14"/>
              </w:rPr>
            </w:pPr>
            <w:r>
              <w:rPr>
                <w:sz w:val="14"/>
              </w:rPr>
              <w:t>Physicians</w:t>
            </w:r>
          </w:p>
        </w:tc>
        <w:tc>
          <w:tcPr>
            <w:tcW w:w="1252" w:type="dxa"/>
            <w:tcBorders>
              <w:right w:val="nil"/>
            </w:tcBorders>
          </w:tcPr>
          <w:p w:rsidR="00797F0A" w:rsidRDefault="005872C8">
            <w:pPr>
              <w:pStyle w:val="TableParagraph"/>
              <w:ind w:left="21"/>
              <w:rPr>
                <w:sz w:val="14"/>
              </w:rPr>
            </w:pPr>
            <w:r>
              <w:rPr>
                <w:sz w:val="14"/>
              </w:rPr>
              <w:t>Ave. 2 minutes  per</w:t>
            </w:r>
          </w:p>
        </w:tc>
        <w:tc>
          <w:tcPr>
            <w:tcW w:w="1599" w:type="dxa"/>
            <w:tcBorders>
              <w:left w:val="nil"/>
            </w:tcBorders>
          </w:tcPr>
          <w:p w:rsidR="00797F0A" w:rsidRDefault="005872C8">
            <w:pPr>
              <w:pStyle w:val="TableParagraph"/>
              <w:ind w:left="-24"/>
              <w:rPr>
                <w:sz w:val="14"/>
              </w:rPr>
            </w:pPr>
            <w:r>
              <w:rPr>
                <w:sz w:val="14"/>
              </w:rPr>
              <w:t>CMN</w:t>
            </w:r>
          </w:p>
        </w:tc>
        <w:tc>
          <w:tcPr>
            <w:tcW w:w="2270" w:type="dxa"/>
          </w:tcPr>
          <w:p w:rsidR="00797F0A" w:rsidRDefault="005872C8">
            <w:pPr>
              <w:pStyle w:val="TableParagraph"/>
              <w:ind w:right="79"/>
              <w:jc w:val="right"/>
              <w:rPr>
                <w:sz w:val="14"/>
              </w:rPr>
            </w:pPr>
            <w:r>
              <w:rPr>
                <w:sz w:val="14"/>
              </w:rPr>
              <w:t>2,152,122.00</w:t>
            </w:r>
          </w:p>
        </w:tc>
        <w:tc>
          <w:tcPr>
            <w:tcW w:w="2570" w:type="dxa"/>
          </w:tcPr>
          <w:p w:rsidR="00797F0A" w:rsidRDefault="005872C8">
            <w:pPr>
              <w:pStyle w:val="TableParagraph"/>
              <w:ind w:right="76"/>
              <w:jc w:val="right"/>
              <w:rPr>
                <w:sz w:val="14"/>
              </w:rPr>
            </w:pPr>
            <w:r>
              <w:rPr>
                <w:sz w:val="14"/>
              </w:rPr>
              <w:t>35,868.70</w:t>
            </w:r>
          </w:p>
        </w:tc>
      </w:tr>
      <w:tr w:rsidR="00797F0A">
        <w:trPr>
          <w:trHeight w:val="312" w:hRule="exact"/>
        </w:trPr>
        <w:tc>
          <w:tcPr>
            <w:tcW w:w="1644" w:type="dxa"/>
          </w:tcPr>
          <w:p w:rsidR="00797F0A" w:rsidRDefault="005872C8">
            <w:pPr>
              <w:pStyle w:val="TableParagraph"/>
              <w:spacing w:before="37"/>
              <w:ind w:left="21"/>
              <w:rPr>
                <w:sz w:val="14"/>
              </w:rPr>
            </w:pPr>
            <w:r>
              <w:rPr>
                <w:sz w:val="14"/>
              </w:rPr>
              <w:t>Office staff</w:t>
            </w:r>
          </w:p>
        </w:tc>
        <w:tc>
          <w:tcPr>
            <w:tcW w:w="1252" w:type="dxa"/>
            <w:tcBorders>
              <w:right w:val="nil"/>
            </w:tcBorders>
          </w:tcPr>
          <w:p w:rsidR="00797F0A" w:rsidRDefault="005872C8">
            <w:pPr>
              <w:pStyle w:val="TableParagraph"/>
              <w:spacing w:before="37"/>
              <w:ind w:left="21" w:right="-24"/>
              <w:rPr>
                <w:sz w:val="14"/>
              </w:rPr>
            </w:pPr>
            <w:r>
              <w:rPr>
                <w:sz w:val="14"/>
              </w:rPr>
              <w:t>Ave.  10 minutes</w:t>
            </w:r>
            <w:r>
              <w:rPr>
                <w:spacing w:val="18"/>
                <w:sz w:val="14"/>
              </w:rPr>
              <w:t xml:space="preserve"> </w:t>
            </w:r>
            <w:r>
              <w:rPr>
                <w:sz w:val="14"/>
              </w:rPr>
              <w:t>per</w:t>
            </w:r>
          </w:p>
        </w:tc>
        <w:tc>
          <w:tcPr>
            <w:tcW w:w="1599" w:type="dxa"/>
            <w:tcBorders>
              <w:left w:val="nil"/>
            </w:tcBorders>
          </w:tcPr>
          <w:p w:rsidR="00797F0A" w:rsidRDefault="005872C8">
            <w:pPr>
              <w:pStyle w:val="TableParagraph"/>
              <w:spacing w:before="37"/>
              <w:ind w:left="58"/>
              <w:rPr>
                <w:sz w:val="14"/>
              </w:rPr>
            </w:pPr>
            <w:r>
              <w:rPr>
                <w:sz w:val="14"/>
              </w:rPr>
              <w:t>CMN</w:t>
            </w:r>
          </w:p>
        </w:tc>
        <w:tc>
          <w:tcPr>
            <w:tcW w:w="2270" w:type="dxa"/>
          </w:tcPr>
          <w:p w:rsidR="00797F0A" w:rsidRDefault="005872C8">
            <w:pPr>
              <w:pStyle w:val="TableParagraph"/>
              <w:spacing w:before="37"/>
              <w:ind w:right="79"/>
              <w:jc w:val="right"/>
              <w:rPr>
                <w:sz w:val="14"/>
              </w:rPr>
            </w:pPr>
            <w:r>
              <w:rPr>
                <w:sz w:val="14"/>
              </w:rPr>
              <w:t>10,760,610.00</w:t>
            </w:r>
          </w:p>
        </w:tc>
        <w:tc>
          <w:tcPr>
            <w:tcW w:w="2570" w:type="dxa"/>
          </w:tcPr>
          <w:p w:rsidR="00797F0A" w:rsidRDefault="005872C8">
            <w:pPr>
              <w:pStyle w:val="TableParagraph"/>
              <w:spacing w:before="37"/>
              <w:ind w:right="76"/>
              <w:jc w:val="right"/>
              <w:rPr>
                <w:sz w:val="14"/>
              </w:rPr>
            </w:pPr>
            <w:r>
              <w:rPr>
                <w:sz w:val="14"/>
              </w:rPr>
              <w:t>179,343.50</w:t>
            </w:r>
          </w:p>
        </w:tc>
      </w:tr>
      <w:tr w:rsidR="00797F0A">
        <w:trPr>
          <w:trHeight w:val="312" w:hRule="exact"/>
        </w:trPr>
        <w:tc>
          <w:tcPr>
            <w:tcW w:w="1644" w:type="dxa"/>
          </w:tcPr>
          <w:p w:rsidR="00797F0A" w:rsidRDefault="005872C8">
            <w:pPr>
              <w:pStyle w:val="TableParagraph"/>
              <w:ind w:left="21"/>
              <w:rPr>
                <w:sz w:val="14"/>
              </w:rPr>
            </w:pPr>
            <w:r>
              <w:rPr>
                <w:sz w:val="14"/>
              </w:rPr>
              <w:t>total Hours</w:t>
            </w:r>
          </w:p>
        </w:tc>
        <w:tc>
          <w:tcPr>
            <w:tcW w:w="2851" w:type="dxa"/>
            <w:gridSpan w:val="2"/>
          </w:tcPr>
          <w:p w:rsidR="00797F0A" w:rsidRDefault="00797F0A"/>
        </w:tc>
        <w:tc>
          <w:tcPr>
            <w:tcW w:w="2270" w:type="dxa"/>
          </w:tcPr>
          <w:p w:rsidR="00797F0A" w:rsidRDefault="00797F0A"/>
        </w:tc>
        <w:tc>
          <w:tcPr>
            <w:tcW w:w="2570" w:type="dxa"/>
          </w:tcPr>
          <w:p w:rsidR="00797F0A" w:rsidRDefault="005872C8">
            <w:pPr>
              <w:pStyle w:val="TableParagraph"/>
              <w:ind w:right="76"/>
              <w:jc w:val="right"/>
              <w:rPr>
                <w:sz w:val="14"/>
              </w:rPr>
            </w:pPr>
            <w:r>
              <w:rPr>
                <w:sz w:val="14"/>
              </w:rPr>
              <w:t>215,212.20</w:t>
            </w:r>
          </w:p>
        </w:tc>
      </w:tr>
    </w:tbl>
    <w:p w:rsidR="00797F0A" w:rsidRDefault="00797F0A">
      <w:pPr>
        <w:pStyle w:val="BodyText"/>
        <w:spacing w:before="7"/>
      </w:pPr>
    </w:p>
    <w:tbl>
      <w:tblPr>
        <w:tblW w:w="0" w:type="auto"/>
        <w:tblInd w:w="2360" w:type="dxa"/>
        <w:tblBorders>
          <w:top w:val="single" w:color="000000" w:sz="5" w:space="0"/>
          <w:left w:val="single" w:color="000000" w:sz="5" w:space="0"/>
          <w:bottom w:val="single" w:color="000000" w:sz="5" w:space="0"/>
          <w:right w:val="single" w:color="000000" w:sz="5" w:space="0"/>
          <w:insideH w:val="single" w:color="000000" w:sz="5" w:space="0"/>
          <w:insideV w:val="single" w:color="000000" w:sz="5" w:space="0"/>
        </w:tblBorders>
        <w:tblLayout w:type="fixed"/>
        <w:tblCellMar>
          <w:left w:w="0" w:type="dxa"/>
          <w:right w:w="0" w:type="dxa"/>
        </w:tblCellMar>
        <w:tblLook w:val="01E0" w:firstRow="1" w:lastRow="1" w:firstColumn="1" w:lastColumn="1" w:noHBand="0" w:noVBand="0"/>
      </w:tblPr>
      <w:tblGrid>
        <w:gridCol w:w="1759"/>
        <w:gridCol w:w="3255"/>
      </w:tblGrid>
      <w:tr w:rsidR="00797F0A" w:rsidTr="00F17645">
        <w:trPr>
          <w:trHeight w:val="598" w:hRule="exact"/>
        </w:trPr>
        <w:tc>
          <w:tcPr>
            <w:tcW w:w="1759" w:type="dxa"/>
            <w:shd w:val="clear" w:color="auto" w:fill="DBDBDB"/>
          </w:tcPr>
          <w:p w:rsidR="00797F0A" w:rsidRDefault="005872C8">
            <w:pPr>
              <w:pStyle w:val="TableParagraph"/>
              <w:spacing w:before="1" w:line="259" w:lineRule="auto"/>
              <w:ind w:left="24"/>
              <w:rPr>
                <w:b/>
                <w:sz w:val="15"/>
              </w:rPr>
            </w:pPr>
            <w:r>
              <w:rPr>
                <w:b/>
                <w:w w:val="110"/>
                <w:sz w:val="15"/>
              </w:rPr>
              <w:t>Total time burden ALL CMNs</w:t>
            </w:r>
          </w:p>
        </w:tc>
        <w:tc>
          <w:tcPr>
            <w:tcW w:w="3255" w:type="dxa"/>
            <w:shd w:val="clear" w:color="auto" w:fill="DBDBDB"/>
          </w:tcPr>
          <w:p w:rsidR="00797F0A" w:rsidRDefault="00797F0A"/>
        </w:tc>
      </w:tr>
      <w:tr w:rsidR="00797F0A" w:rsidTr="00F17645">
        <w:trPr>
          <w:trHeight w:val="334" w:hRule="exact"/>
        </w:trPr>
        <w:tc>
          <w:tcPr>
            <w:tcW w:w="1759" w:type="dxa"/>
          </w:tcPr>
          <w:p w:rsidR="00797F0A" w:rsidRDefault="005872C8">
            <w:pPr>
              <w:pStyle w:val="TableParagraph"/>
              <w:spacing w:before="37"/>
              <w:ind w:left="24"/>
              <w:rPr>
                <w:b/>
                <w:sz w:val="15"/>
              </w:rPr>
            </w:pPr>
            <w:r>
              <w:rPr>
                <w:b/>
                <w:w w:val="110"/>
                <w:sz w:val="15"/>
              </w:rPr>
              <w:t>Non oxygen</w:t>
            </w:r>
          </w:p>
        </w:tc>
        <w:tc>
          <w:tcPr>
            <w:tcW w:w="3255" w:type="dxa"/>
          </w:tcPr>
          <w:p w:rsidR="00797F0A" w:rsidRDefault="005872C8">
            <w:pPr>
              <w:pStyle w:val="TableParagraph"/>
              <w:spacing w:before="37"/>
              <w:ind w:right="62"/>
              <w:jc w:val="right"/>
              <w:rPr>
                <w:b/>
                <w:sz w:val="15"/>
              </w:rPr>
            </w:pPr>
            <w:r>
              <w:rPr>
                <w:b/>
                <w:sz w:val="15"/>
              </w:rPr>
              <w:t>51,919.40</w:t>
            </w:r>
          </w:p>
        </w:tc>
      </w:tr>
      <w:tr w:rsidR="00797F0A" w:rsidTr="00F17645">
        <w:trPr>
          <w:trHeight w:val="516" w:hRule="exact"/>
        </w:trPr>
        <w:tc>
          <w:tcPr>
            <w:tcW w:w="1759" w:type="dxa"/>
          </w:tcPr>
          <w:p w:rsidR="00797F0A" w:rsidRDefault="005872C8">
            <w:pPr>
              <w:pStyle w:val="TableParagraph"/>
              <w:spacing w:before="37"/>
              <w:ind w:left="24"/>
              <w:rPr>
                <w:b/>
                <w:sz w:val="15"/>
              </w:rPr>
            </w:pPr>
            <w:r>
              <w:rPr>
                <w:b/>
                <w:w w:val="110"/>
                <w:sz w:val="15"/>
              </w:rPr>
              <w:t>Oxygen</w:t>
            </w:r>
          </w:p>
        </w:tc>
        <w:tc>
          <w:tcPr>
            <w:tcW w:w="3255" w:type="dxa"/>
          </w:tcPr>
          <w:p w:rsidR="00F17645" w:rsidRDefault="00F17645">
            <w:pPr>
              <w:pStyle w:val="TableParagraph"/>
              <w:spacing w:before="0" w:line="65" w:lineRule="exact"/>
              <w:ind w:right="65"/>
              <w:jc w:val="right"/>
              <w:rPr>
                <w:b/>
                <w:sz w:val="15"/>
              </w:rPr>
            </w:pPr>
          </w:p>
          <w:p w:rsidR="00F17645" w:rsidRDefault="00F17645">
            <w:pPr>
              <w:pStyle w:val="TableParagraph"/>
              <w:spacing w:before="0" w:line="65" w:lineRule="exact"/>
              <w:ind w:right="65"/>
              <w:jc w:val="right"/>
              <w:rPr>
                <w:b/>
                <w:sz w:val="15"/>
              </w:rPr>
            </w:pPr>
          </w:p>
          <w:p w:rsidR="00797F0A" w:rsidRDefault="00797F0A">
            <w:pPr>
              <w:pStyle w:val="TableParagraph"/>
              <w:spacing w:before="0" w:line="65" w:lineRule="exact"/>
              <w:ind w:right="65"/>
              <w:jc w:val="right"/>
              <w:rPr>
                <w:b/>
                <w:sz w:val="15"/>
              </w:rPr>
            </w:pPr>
          </w:p>
          <w:p w:rsidR="00797F0A" w:rsidRDefault="00F17645">
            <w:pPr>
              <w:pStyle w:val="TableParagraph"/>
              <w:spacing w:before="0" w:line="148" w:lineRule="exact"/>
              <w:ind w:right="62"/>
              <w:jc w:val="right"/>
              <w:rPr>
                <w:b/>
                <w:sz w:val="15"/>
              </w:rPr>
            </w:pPr>
            <w:r>
              <w:rPr>
                <w:b/>
                <w:sz w:val="15"/>
              </w:rPr>
              <w:t>215</w:t>
            </w:r>
            <w:r w:rsidR="005872C8">
              <w:rPr>
                <w:b/>
                <w:sz w:val="15"/>
              </w:rPr>
              <w:t>,212.20</w:t>
            </w:r>
          </w:p>
        </w:tc>
      </w:tr>
      <w:tr w:rsidR="00797F0A" w:rsidTr="00F17645">
        <w:trPr>
          <w:trHeight w:val="595" w:hRule="exact"/>
        </w:trPr>
        <w:tc>
          <w:tcPr>
            <w:tcW w:w="1759" w:type="dxa"/>
          </w:tcPr>
          <w:p w:rsidR="00797F0A" w:rsidRDefault="005872C8">
            <w:pPr>
              <w:pStyle w:val="TableParagraph"/>
              <w:spacing w:before="1" w:line="259" w:lineRule="auto"/>
              <w:ind w:left="24"/>
              <w:rPr>
                <w:b/>
                <w:sz w:val="15"/>
              </w:rPr>
            </w:pPr>
            <w:r>
              <w:rPr>
                <w:b/>
                <w:w w:val="110"/>
                <w:sz w:val="15"/>
              </w:rPr>
              <w:t>Total time burden ALL CMNs</w:t>
            </w:r>
          </w:p>
        </w:tc>
        <w:tc>
          <w:tcPr>
            <w:tcW w:w="3255" w:type="dxa"/>
          </w:tcPr>
          <w:p w:rsidR="00797F0A" w:rsidRDefault="005872C8">
            <w:pPr>
              <w:pStyle w:val="TableParagraph"/>
              <w:spacing w:before="1"/>
              <w:ind w:right="62"/>
              <w:jc w:val="right"/>
              <w:rPr>
                <w:b/>
                <w:sz w:val="15"/>
              </w:rPr>
            </w:pPr>
            <w:r>
              <w:rPr>
                <w:b/>
                <w:sz w:val="15"/>
              </w:rPr>
              <w:t>267,131.60</w:t>
            </w:r>
          </w:p>
        </w:tc>
      </w:tr>
    </w:tbl>
    <w:p w:rsidR="00797F0A" w:rsidRDefault="00797F0A">
      <w:pPr>
        <w:pStyle w:val="BodyText"/>
        <w:spacing w:before="6"/>
      </w:pPr>
    </w:p>
    <w:p w:rsidR="00797F0A" w:rsidRDefault="005872C8">
      <w:pPr>
        <w:pStyle w:val="Heading2"/>
        <w:numPr>
          <w:ilvl w:val="0"/>
          <w:numId w:val="1"/>
        </w:numPr>
        <w:tabs>
          <w:tab w:val="left" w:pos="820"/>
        </w:tabs>
      </w:pPr>
      <w:bookmarkStart w:name="13._Capital_Costs" w:id="16"/>
      <w:bookmarkEnd w:id="16"/>
      <w:r>
        <w:t>Capital</w:t>
      </w:r>
      <w:r>
        <w:rPr>
          <w:spacing w:val="-6"/>
        </w:rPr>
        <w:t xml:space="preserve"> </w:t>
      </w:r>
      <w:r>
        <w:t>Costs</w:t>
      </w:r>
    </w:p>
    <w:p w:rsidR="00797F0A" w:rsidRDefault="00797F0A">
      <w:pPr>
        <w:pStyle w:val="BodyText"/>
        <w:spacing w:before="1"/>
        <w:rPr>
          <w:b/>
          <w:i/>
          <w:sz w:val="23"/>
        </w:rPr>
      </w:pPr>
    </w:p>
    <w:p w:rsidR="00797F0A" w:rsidRDefault="005872C8">
      <w:pPr>
        <w:pStyle w:val="BodyText"/>
        <w:ind w:left="100"/>
      </w:pPr>
      <w:r>
        <w:t>There are no capital costs</w:t>
      </w:r>
      <w:r w:rsidR="0034548C">
        <w:t xml:space="preserve"> associated with this information collection.</w:t>
      </w:r>
    </w:p>
    <w:p w:rsidR="00797F0A" w:rsidRDefault="00797F0A">
      <w:pPr>
        <w:sectPr w:rsidR="00797F0A">
          <w:pgSz w:w="12240" w:h="15840"/>
          <w:pgMar w:top="1440" w:right="1340" w:bottom="1040" w:left="1340" w:header="0" w:footer="858" w:gutter="0"/>
          <w:cols w:space="720"/>
        </w:sectPr>
      </w:pPr>
    </w:p>
    <w:p w:rsidR="00797F0A" w:rsidRDefault="00797F0A">
      <w:pPr>
        <w:pStyle w:val="BodyText"/>
        <w:spacing w:before="5"/>
        <w:rPr>
          <w:sz w:val="10"/>
        </w:rPr>
      </w:pPr>
    </w:p>
    <w:p w:rsidR="00797F0A" w:rsidRDefault="005872C8">
      <w:pPr>
        <w:pStyle w:val="Heading2"/>
        <w:numPr>
          <w:ilvl w:val="0"/>
          <w:numId w:val="1"/>
        </w:numPr>
        <w:tabs>
          <w:tab w:val="left" w:pos="820"/>
        </w:tabs>
        <w:spacing w:before="90"/>
      </w:pPr>
      <w:bookmarkStart w:name="14._Cost_to_Federal_Government" w:id="17"/>
      <w:bookmarkEnd w:id="17"/>
      <w:r>
        <w:t>Cost to Federal</w:t>
      </w:r>
      <w:r>
        <w:rPr>
          <w:spacing w:val="-10"/>
        </w:rPr>
        <w:t xml:space="preserve"> </w:t>
      </w:r>
      <w:r>
        <w:t>Government</w:t>
      </w:r>
    </w:p>
    <w:p w:rsidR="00797F0A" w:rsidRDefault="00797F0A">
      <w:pPr>
        <w:pStyle w:val="BodyText"/>
        <w:spacing w:before="1"/>
        <w:rPr>
          <w:b/>
          <w:i/>
          <w:sz w:val="23"/>
        </w:rPr>
      </w:pPr>
    </w:p>
    <w:p w:rsidR="00797F0A" w:rsidRDefault="005872C8">
      <w:pPr>
        <w:ind w:left="100"/>
        <w:rPr>
          <w:i/>
          <w:sz w:val="24"/>
        </w:rPr>
      </w:pPr>
      <w:r>
        <w:rPr>
          <w:i/>
          <w:sz w:val="24"/>
          <w:u w:val="single"/>
        </w:rPr>
        <w:t>Federal Cost</w:t>
      </w:r>
    </w:p>
    <w:p w:rsidR="00797F0A" w:rsidRDefault="00797F0A">
      <w:pPr>
        <w:pStyle w:val="BodyText"/>
        <w:spacing w:before="1"/>
        <w:rPr>
          <w:i/>
          <w:sz w:val="16"/>
        </w:rPr>
      </w:pPr>
    </w:p>
    <w:p w:rsidR="00797F0A" w:rsidRDefault="005872C8">
      <w:pPr>
        <w:pStyle w:val="BodyText"/>
        <w:spacing w:before="90"/>
        <w:ind w:left="100" w:right="110"/>
        <w:jc w:val="both"/>
      </w:pPr>
      <w:r>
        <w:t>MAC data entry clerks require approximately 1 minute in processing the CMN. Their average hourly salary is $15 or $0.25 a minute. We receive approximately 1,335,658 CMNs annually. Therefore, contractor costs to handle the CMNs are approximately $333,915.</w:t>
      </w:r>
    </w:p>
    <w:p w:rsidR="00797F0A" w:rsidRDefault="00797F0A">
      <w:pPr>
        <w:pStyle w:val="BodyText"/>
        <w:spacing w:before="9"/>
      </w:pPr>
    </w:p>
    <w:p w:rsidR="00797F0A" w:rsidRDefault="005872C8">
      <w:pPr>
        <w:pStyle w:val="Heading2"/>
        <w:numPr>
          <w:ilvl w:val="0"/>
          <w:numId w:val="1"/>
        </w:numPr>
        <w:tabs>
          <w:tab w:val="left" w:pos="820"/>
        </w:tabs>
      </w:pPr>
      <w:bookmarkStart w:name="15._Changes_in_Burden/Policy" w:id="18"/>
      <w:bookmarkEnd w:id="18"/>
      <w:r>
        <w:t>Changes in</w:t>
      </w:r>
      <w:r>
        <w:rPr>
          <w:spacing w:val="-22"/>
        </w:rPr>
        <w:t xml:space="preserve"> </w:t>
      </w:r>
      <w:r>
        <w:t>Burden/Policy</w:t>
      </w:r>
    </w:p>
    <w:p w:rsidR="00797F0A" w:rsidRDefault="00797F0A">
      <w:pPr>
        <w:pStyle w:val="BodyText"/>
        <w:spacing w:before="1"/>
        <w:rPr>
          <w:b/>
          <w:i/>
          <w:sz w:val="23"/>
        </w:rPr>
      </w:pPr>
    </w:p>
    <w:p w:rsidR="00797F0A" w:rsidRDefault="0034548C">
      <w:pPr>
        <w:pStyle w:val="BodyText"/>
        <w:ind w:left="100"/>
      </w:pPr>
      <w:r>
        <w:t xml:space="preserve">As a </w:t>
      </w:r>
      <w:proofErr w:type="gramStart"/>
      <w:r>
        <w:t>result</w:t>
      </w:r>
      <w:proofErr w:type="gramEnd"/>
      <w:r>
        <w:t xml:space="preserve"> in decreasing the annual number of </w:t>
      </w:r>
      <w:r w:rsidR="00C673D1">
        <w:t>CMN</w:t>
      </w:r>
      <w:r>
        <w:t xml:space="preserve"> submissions, </w:t>
      </w:r>
      <w:r w:rsidR="005872C8">
        <w:t>CMS is decreasing the burd</w:t>
      </w:r>
      <w:r w:rsidR="00F17645">
        <w:t>en from 418,800</w:t>
      </w:r>
      <w:r w:rsidR="00C673D1">
        <w:t xml:space="preserve"> hours to 267,131</w:t>
      </w:r>
      <w:r w:rsidR="005872C8">
        <w:t xml:space="preserve"> hours. Therefore, there is a total</w:t>
      </w:r>
      <w:r w:rsidR="00332728">
        <w:t xml:space="preserve"> burden hour decrease of 151,669</w:t>
      </w:r>
      <w:r w:rsidR="005872C8">
        <w:t>.</w:t>
      </w:r>
    </w:p>
    <w:p w:rsidR="00797F0A" w:rsidRDefault="00797F0A">
      <w:pPr>
        <w:pStyle w:val="BodyText"/>
        <w:spacing w:before="8"/>
      </w:pPr>
    </w:p>
    <w:p w:rsidR="00797F0A" w:rsidRDefault="005872C8">
      <w:pPr>
        <w:pStyle w:val="Heading2"/>
        <w:numPr>
          <w:ilvl w:val="0"/>
          <w:numId w:val="1"/>
        </w:numPr>
        <w:tabs>
          <w:tab w:val="left" w:pos="820"/>
        </w:tabs>
        <w:spacing w:before="1"/>
      </w:pPr>
      <w:bookmarkStart w:name="16._Publication/Tabulation" w:id="19"/>
      <w:bookmarkEnd w:id="19"/>
      <w:r>
        <w:t>Publication/Tabulation</w:t>
      </w:r>
    </w:p>
    <w:p w:rsidR="00797F0A" w:rsidRDefault="00797F0A">
      <w:pPr>
        <w:pStyle w:val="BodyText"/>
        <w:spacing w:before="2"/>
        <w:rPr>
          <w:b/>
          <w:i/>
          <w:sz w:val="23"/>
        </w:rPr>
      </w:pPr>
    </w:p>
    <w:p w:rsidR="00797F0A" w:rsidRDefault="005872C8">
      <w:pPr>
        <w:pStyle w:val="BodyText"/>
        <w:ind w:left="100"/>
      </w:pPr>
      <w:r>
        <w:t>There are no plans to publish or tabulate the information collected.</w:t>
      </w:r>
    </w:p>
    <w:p w:rsidR="00797F0A" w:rsidRDefault="00797F0A">
      <w:pPr>
        <w:pStyle w:val="BodyText"/>
        <w:spacing w:before="9"/>
      </w:pPr>
    </w:p>
    <w:p w:rsidR="00797F0A" w:rsidRDefault="005872C8">
      <w:pPr>
        <w:pStyle w:val="Heading2"/>
        <w:numPr>
          <w:ilvl w:val="0"/>
          <w:numId w:val="1"/>
        </w:numPr>
        <w:tabs>
          <w:tab w:val="left" w:pos="820"/>
        </w:tabs>
      </w:pPr>
      <w:bookmarkStart w:name="17._Expiration_Date" w:id="20"/>
      <w:bookmarkEnd w:id="20"/>
      <w:r>
        <w:t>Expiration</w:t>
      </w:r>
      <w:r>
        <w:rPr>
          <w:spacing w:val="-4"/>
        </w:rPr>
        <w:t xml:space="preserve"> </w:t>
      </w:r>
      <w:r>
        <w:t>Date</w:t>
      </w:r>
    </w:p>
    <w:p w:rsidR="00797F0A" w:rsidRDefault="00797F0A">
      <w:pPr>
        <w:pStyle w:val="BodyText"/>
        <w:spacing w:before="1"/>
        <w:rPr>
          <w:b/>
          <w:i/>
          <w:sz w:val="23"/>
        </w:rPr>
      </w:pPr>
    </w:p>
    <w:p w:rsidR="00797F0A" w:rsidRDefault="00DE02D2">
      <w:pPr>
        <w:pStyle w:val="BodyText"/>
        <w:ind w:left="100" w:right="88"/>
      </w:pPr>
      <w:r>
        <w:t>The expiration date and OMB control number are displayed on each instrument.</w:t>
      </w:r>
    </w:p>
    <w:p w:rsidR="00797F0A" w:rsidRDefault="00797F0A">
      <w:pPr>
        <w:pStyle w:val="BodyText"/>
        <w:spacing w:before="9"/>
      </w:pPr>
    </w:p>
    <w:p w:rsidR="00797F0A" w:rsidRDefault="00797F0A">
      <w:pPr>
        <w:pStyle w:val="BodyText"/>
        <w:spacing w:before="90"/>
        <w:ind w:left="100"/>
      </w:pPr>
      <w:bookmarkStart w:name="D._CONCLUSION" w:id="21"/>
      <w:bookmarkEnd w:id="21"/>
    </w:p>
    <w:sectPr w:rsidR="00797F0A">
      <w:pgSz w:w="12240" w:h="15840"/>
      <w:pgMar w:top="1500" w:right="1600" w:bottom="1040" w:left="1340" w:header="0" w:footer="8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7FE" w:rsidRDefault="005872C8">
      <w:r>
        <w:separator/>
      </w:r>
    </w:p>
  </w:endnote>
  <w:endnote w:type="continuationSeparator" w:id="0">
    <w:p w:rsidR="001C07FE" w:rsidRDefault="0058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F0A" w:rsidRDefault="005872C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3773805</wp:posOffset>
              </wp:positionH>
              <wp:positionV relativeFrom="page">
                <wp:posOffset>9373870</wp:posOffset>
              </wp:positionV>
              <wp:extent cx="171450" cy="180975"/>
              <wp:effectExtent l="190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F0A" w:rsidRDefault="005872C8">
                          <w:pPr>
                            <w:spacing w:before="11"/>
                            <w:ind w:left="111"/>
                          </w:pPr>
                          <w:r>
                            <w:fldChar w:fldCharType="begin"/>
                          </w:r>
                          <w:r>
                            <w:instrText xml:space="preserve"> PAGE </w:instrText>
                          </w:r>
                          <w:r>
                            <w:fldChar w:fldCharType="separate"/>
                          </w:r>
                          <w:r w:rsidR="0091579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15pt;margin-top:738.1pt;width:13.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" filled="f" stroked="f">
              <v:textbox inset="0,0,0,0">
                <w:txbxContent>
                  <w:p w:rsidR="00797F0A" w:rsidRDefault="005872C8">
                    <w:pPr>
                      <w:spacing w:before="11"/>
                      <w:ind w:left="111"/>
                    </w:pPr>
                    <w:r>
                      <w:fldChar w:fldCharType="begin"/>
                    </w:r>
                    <w:r>
                      <w:instrText xml:space="preserve"> PAGE </w:instrText>
                    </w:r>
                    <w:r>
                      <w:fldChar w:fldCharType="separate"/>
                    </w:r>
                    <w:r w:rsidR="0091579D">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7FE" w:rsidRDefault="005872C8">
      <w:r>
        <w:separator/>
      </w:r>
    </w:p>
  </w:footnote>
  <w:footnote w:type="continuationSeparator" w:id="0">
    <w:p w:rsidR="001C07FE" w:rsidRDefault="0058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7957"/>
    <w:multiLevelType w:val="hybridMultilevel"/>
    <w:tmpl w:val="9CD29DE8"/>
    <w:lvl w:ilvl="0" w:tplc="7890CFC0">
      <w:numFmt w:val="bullet"/>
      <w:lvlText w:val=""/>
      <w:lvlJc w:val="left"/>
      <w:pPr>
        <w:ind w:left="414" w:hanging="360"/>
      </w:pPr>
      <w:rPr>
        <w:rFonts w:ascii="Symbol" w:eastAsia="Symbol" w:hAnsi="Symbol" w:cs="Symbol" w:hint="default"/>
        <w:w w:val="100"/>
        <w:sz w:val="24"/>
        <w:szCs w:val="24"/>
      </w:rPr>
    </w:lvl>
    <w:lvl w:ilvl="1" w:tplc="81481346">
      <w:numFmt w:val="bullet"/>
      <w:lvlText w:val="•"/>
      <w:lvlJc w:val="left"/>
      <w:pPr>
        <w:ind w:left="1291" w:hanging="360"/>
      </w:pPr>
      <w:rPr>
        <w:rFonts w:hint="default"/>
      </w:rPr>
    </w:lvl>
    <w:lvl w:ilvl="2" w:tplc="B13E4616">
      <w:numFmt w:val="bullet"/>
      <w:lvlText w:val="•"/>
      <w:lvlJc w:val="left"/>
      <w:pPr>
        <w:ind w:left="2162" w:hanging="360"/>
      </w:pPr>
      <w:rPr>
        <w:rFonts w:hint="default"/>
      </w:rPr>
    </w:lvl>
    <w:lvl w:ilvl="3" w:tplc="4162A256">
      <w:numFmt w:val="bullet"/>
      <w:lvlText w:val="•"/>
      <w:lvlJc w:val="left"/>
      <w:pPr>
        <w:ind w:left="3034" w:hanging="360"/>
      </w:pPr>
      <w:rPr>
        <w:rFonts w:hint="default"/>
      </w:rPr>
    </w:lvl>
    <w:lvl w:ilvl="4" w:tplc="56AEECD0">
      <w:numFmt w:val="bullet"/>
      <w:lvlText w:val="•"/>
      <w:lvlJc w:val="left"/>
      <w:pPr>
        <w:ind w:left="3905" w:hanging="360"/>
      </w:pPr>
      <w:rPr>
        <w:rFonts w:hint="default"/>
      </w:rPr>
    </w:lvl>
    <w:lvl w:ilvl="5" w:tplc="8AE87E22">
      <w:numFmt w:val="bullet"/>
      <w:lvlText w:val="•"/>
      <w:lvlJc w:val="left"/>
      <w:pPr>
        <w:ind w:left="4777" w:hanging="360"/>
      </w:pPr>
      <w:rPr>
        <w:rFonts w:hint="default"/>
      </w:rPr>
    </w:lvl>
    <w:lvl w:ilvl="6" w:tplc="49E0869A">
      <w:numFmt w:val="bullet"/>
      <w:lvlText w:val="•"/>
      <w:lvlJc w:val="left"/>
      <w:pPr>
        <w:ind w:left="5648" w:hanging="360"/>
      </w:pPr>
      <w:rPr>
        <w:rFonts w:hint="default"/>
      </w:rPr>
    </w:lvl>
    <w:lvl w:ilvl="7" w:tplc="241A79B2">
      <w:numFmt w:val="bullet"/>
      <w:lvlText w:val="•"/>
      <w:lvlJc w:val="left"/>
      <w:pPr>
        <w:ind w:left="6519" w:hanging="360"/>
      </w:pPr>
      <w:rPr>
        <w:rFonts w:hint="default"/>
      </w:rPr>
    </w:lvl>
    <w:lvl w:ilvl="8" w:tplc="45A2EB86">
      <w:numFmt w:val="bullet"/>
      <w:lvlText w:val="•"/>
      <w:lvlJc w:val="left"/>
      <w:pPr>
        <w:ind w:left="7391" w:hanging="360"/>
      </w:pPr>
      <w:rPr>
        <w:rFonts w:hint="default"/>
      </w:rPr>
    </w:lvl>
  </w:abstractNum>
  <w:abstractNum w:abstractNumId="1" w15:restartNumberingAfterBreak="0">
    <w:nsid w:val="3B4B735F"/>
    <w:multiLevelType w:val="hybridMultilevel"/>
    <w:tmpl w:val="9D983926"/>
    <w:lvl w:ilvl="0" w:tplc="CD329C92">
      <w:start w:val="1"/>
      <w:numFmt w:val="decimal"/>
      <w:lvlText w:val="%1."/>
      <w:lvlJc w:val="left"/>
      <w:pPr>
        <w:ind w:left="820" w:hanging="360"/>
        <w:jc w:val="left"/>
      </w:pPr>
      <w:rPr>
        <w:rFonts w:ascii="Times New Roman" w:eastAsia="Times New Roman" w:hAnsi="Times New Roman" w:cs="Times New Roman" w:hint="default"/>
        <w:spacing w:val="-6"/>
        <w:w w:val="98"/>
        <w:sz w:val="24"/>
        <w:szCs w:val="24"/>
      </w:rPr>
    </w:lvl>
    <w:lvl w:ilvl="1" w:tplc="3E6ACB70">
      <w:numFmt w:val="bullet"/>
      <w:lvlText w:val="•"/>
      <w:lvlJc w:val="left"/>
      <w:pPr>
        <w:ind w:left="1682" w:hanging="360"/>
      </w:pPr>
      <w:rPr>
        <w:rFonts w:hint="default"/>
      </w:rPr>
    </w:lvl>
    <w:lvl w:ilvl="2" w:tplc="43FC7D5E">
      <w:numFmt w:val="bullet"/>
      <w:lvlText w:val="•"/>
      <w:lvlJc w:val="left"/>
      <w:pPr>
        <w:ind w:left="2544" w:hanging="360"/>
      </w:pPr>
      <w:rPr>
        <w:rFonts w:hint="default"/>
      </w:rPr>
    </w:lvl>
    <w:lvl w:ilvl="3" w:tplc="E03ABDFC">
      <w:numFmt w:val="bullet"/>
      <w:lvlText w:val="•"/>
      <w:lvlJc w:val="left"/>
      <w:pPr>
        <w:ind w:left="3406" w:hanging="360"/>
      </w:pPr>
      <w:rPr>
        <w:rFonts w:hint="default"/>
      </w:rPr>
    </w:lvl>
    <w:lvl w:ilvl="4" w:tplc="0B5ADD98">
      <w:numFmt w:val="bullet"/>
      <w:lvlText w:val="•"/>
      <w:lvlJc w:val="left"/>
      <w:pPr>
        <w:ind w:left="4268" w:hanging="360"/>
      </w:pPr>
      <w:rPr>
        <w:rFonts w:hint="default"/>
      </w:rPr>
    </w:lvl>
    <w:lvl w:ilvl="5" w:tplc="C02AA666">
      <w:numFmt w:val="bullet"/>
      <w:lvlText w:val="•"/>
      <w:lvlJc w:val="left"/>
      <w:pPr>
        <w:ind w:left="5130" w:hanging="360"/>
      </w:pPr>
      <w:rPr>
        <w:rFonts w:hint="default"/>
      </w:rPr>
    </w:lvl>
    <w:lvl w:ilvl="6" w:tplc="2A8A36B4">
      <w:numFmt w:val="bullet"/>
      <w:lvlText w:val="•"/>
      <w:lvlJc w:val="left"/>
      <w:pPr>
        <w:ind w:left="5992" w:hanging="360"/>
      </w:pPr>
      <w:rPr>
        <w:rFonts w:hint="default"/>
      </w:rPr>
    </w:lvl>
    <w:lvl w:ilvl="7" w:tplc="1DB02B5E">
      <w:numFmt w:val="bullet"/>
      <w:lvlText w:val="•"/>
      <w:lvlJc w:val="left"/>
      <w:pPr>
        <w:ind w:left="6854" w:hanging="360"/>
      </w:pPr>
      <w:rPr>
        <w:rFonts w:hint="default"/>
      </w:rPr>
    </w:lvl>
    <w:lvl w:ilvl="8" w:tplc="07861776">
      <w:numFmt w:val="bullet"/>
      <w:lvlText w:val="•"/>
      <w:lvlJc w:val="left"/>
      <w:pPr>
        <w:ind w:left="7716" w:hanging="360"/>
      </w:pPr>
      <w:rPr>
        <w:rFonts w:hint="default"/>
      </w:rPr>
    </w:lvl>
  </w:abstractNum>
  <w:abstractNum w:abstractNumId="2" w15:restartNumberingAfterBreak="0">
    <w:nsid w:val="41DD78B3"/>
    <w:multiLevelType w:val="hybridMultilevel"/>
    <w:tmpl w:val="765C0ED8"/>
    <w:lvl w:ilvl="0" w:tplc="F356C192">
      <w:start w:val="1"/>
      <w:numFmt w:val="upperLetter"/>
      <w:lvlText w:val="%1."/>
      <w:lvlJc w:val="left"/>
      <w:pPr>
        <w:ind w:left="392" w:hanging="293"/>
        <w:jc w:val="left"/>
      </w:pPr>
      <w:rPr>
        <w:rFonts w:hint="default"/>
        <w:spacing w:val="-1"/>
        <w:w w:val="98"/>
        <w:u w:val="thick" w:color="000000"/>
      </w:rPr>
    </w:lvl>
    <w:lvl w:ilvl="1" w:tplc="B1349DA0">
      <w:start w:val="1"/>
      <w:numFmt w:val="decimal"/>
      <w:lvlText w:val="%2."/>
      <w:lvlJc w:val="left"/>
      <w:pPr>
        <w:ind w:left="840" w:hanging="360"/>
        <w:jc w:val="left"/>
      </w:pPr>
      <w:rPr>
        <w:rFonts w:ascii="Times New Roman" w:eastAsia="Times New Roman" w:hAnsi="Times New Roman" w:cs="Times New Roman" w:hint="default"/>
        <w:b/>
        <w:bCs/>
        <w:i/>
        <w:spacing w:val="-1"/>
        <w:w w:val="98"/>
        <w:sz w:val="24"/>
        <w:szCs w:val="24"/>
      </w:rPr>
    </w:lvl>
    <w:lvl w:ilvl="2" w:tplc="798A4A10">
      <w:numFmt w:val="bullet"/>
      <w:lvlText w:val="•"/>
      <w:lvlJc w:val="left"/>
      <w:pPr>
        <w:ind w:left="840" w:hanging="360"/>
      </w:pPr>
      <w:rPr>
        <w:rFonts w:hint="default"/>
      </w:rPr>
    </w:lvl>
    <w:lvl w:ilvl="3" w:tplc="D88852A2">
      <w:numFmt w:val="bullet"/>
      <w:lvlText w:val="•"/>
      <w:lvlJc w:val="left"/>
      <w:pPr>
        <w:ind w:left="1912" w:hanging="360"/>
      </w:pPr>
      <w:rPr>
        <w:rFonts w:hint="default"/>
      </w:rPr>
    </w:lvl>
    <w:lvl w:ilvl="4" w:tplc="6FDA72E6">
      <w:numFmt w:val="bullet"/>
      <w:lvlText w:val="•"/>
      <w:lvlJc w:val="left"/>
      <w:pPr>
        <w:ind w:left="2985" w:hanging="360"/>
      </w:pPr>
      <w:rPr>
        <w:rFonts w:hint="default"/>
      </w:rPr>
    </w:lvl>
    <w:lvl w:ilvl="5" w:tplc="4726EDE4">
      <w:numFmt w:val="bullet"/>
      <w:lvlText w:val="•"/>
      <w:lvlJc w:val="left"/>
      <w:pPr>
        <w:ind w:left="4057" w:hanging="360"/>
      </w:pPr>
      <w:rPr>
        <w:rFonts w:hint="default"/>
      </w:rPr>
    </w:lvl>
    <w:lvl w:ilvl="6" w:tplc="FD22BF5C">
      <w:numFmt w:val="bullet"/>
      <w:lvlText w:val="•"/>
      <w:lvlJc w:val="left"/>
      <w:pPr>
        <w:ind w:left="5130" w:hanging="360"/>
      </w:pPr>
      <w:rPr>
        <w:rFonts w:hint="default"/>
      </w:rPr>
    </w:lvl>
    <w:lvl w:ilvl="7" w:tplc="E434374A">
      <w:numFmt w:val="bullet"/>
      <w:lvlText w:val="•"/>
      <w:lvlJc w:val="left"/>
      <w:pPr>
        <w:ind w:left="6202" w:hanging="360"/>
      </w:pPr>
      <w:rPr>
        <w:rFonts w:hint="default"/>
      </w:rPr>
    </w:lvl>
    <w:lvl w:ilvl="8" w:tplc="9CC6F634">
      <w:numFmt w:val="bullet"/>
      <w:lvlText w:val="•"/>
      <w:lvlJc w:val="left"/>
      <w:pPr>
        <w:ind w:left="7275" w:hanging="360"/>
      </w:pPr>
      <w:rPr>
        <w:rFonts w:hint="default"/>
      </w:rPr>
    </w:lvl>
  </w:abstractNum>
  <w:abstractNum w:abstractNumId="3" w15:restartNumberingAfterBreak="0">
    <w:nsid w:val="67D77FB0"/>
    <w:multiLevelType w:val="hybridMultilevel"/>
    <w:tmpl w:val="902A2B3C"/>
    <w:lvl w:ilvl="0" w:tplc="040A35CC">
      <w:start w:val="13"/>
      <w:numFmt w:val="decimal"/>
      <w:lvlText w:val="%1."/>
      <w:lvlJc w:val="left"/>
      <w:pPr>
        <w:ind w:left="820" w:hanging="360"/>
        <w:jc w:val="left"/>
      </w:pPr>
      <w:rPr>
        <w:rFonts w:ascii="Times New Roman" w:eastAsia="Times New Roman" w:hAnsi="Times New Roman" w:cs="Times New Roman" w:hint="default"/>
        <w:b/>
        <w:bCs/>
        <w:i/>
        <w:spacing w:val="-4"/>
        <w:w w:val="98"/>
        <w:sz w:val="24"/>
        <w:szCs w:val="24"/>
      </w:rPr>
    </w:lvl>
    <w:lvl w:ilvl="1" w:tplc="528A102A">
      <w:numFmt w:val="bullet"/>
      <w:lvlText w:val="•"/>
      <w:lvlJc w:val="left"/>
      <w:pPr>
        <w:ind w:left="1694" w:hanging="360"/>
      </w:pPr>
      <w:rPr>
        <w:rFonts w:hint="default"/>
      </w:rPr>
    </w:lvl>
    <w:lvl w:ilvl="2" w:tplc="5F6047CC">
      <w:numFmt w:val="bullet"/>
      <w:lvlText w:val="•"/>
      <w:lvlJc w:val="left"/>
      <w:pPr>
        <w:ind w:left="2568" w:hanging="360"/>
      </w:pPr>
      <w:rPr>
        <w:rFonts w:hint="default"/>
      </w:rPr>
    </w:lvl>
    <w:lvl w:ilvl="3" w:tplc="DB6EA160">
      <w:numFmt w:val="bullet"/>
      <w:lvlText w:val="•"/>
      <w:lvlJc w:val="left"/>
      <w:pPr>
        <w:ind w:left="3442" w:hanging="360"/>
      </w:pPr>
      <w:rPr>
        <w:rFonts w:hint="default"/>
      </w:rPr>
    </w:lvl>
    <w:lvl w:ilvl="4" w:tplc="56D6E298">
      <w:numFmt w:val="bullet"/>
      <w:lvlText w:val="•"/>
      <w:lvlJc w:val="left"/>
      <w:pPr>
        <w:ind w:left="4316" w:hanging="360"/>
      </w:pPr>
      <w:rPr>
        <w:rFonts w:hint="default"/>
      </w:rPr>
    </w:lvl>
    <w:lvl w:ilvl="5" w:tplc="7C10F130">
      <w:numFmt w:val="bullet"/>
      <w:lvlText w:val="•"/>
      <w:lvlJc w:val="left"/>
      <w:pPr>
        <w:ind w:left="5190" w:hanging="360"/>
      </w:pPr>
      <w:rPr>
        <w:rFonts w:hint="default"/>
      </w:rPr>
    </w:lvl>
    <w:lvl w:ilvl="6" w:tplc="41A60184">
      <w:numFmt w:val="bullet"/>
      <w:lvlText w:val="•"/>
      <w:lvlJc w:val="left"/>
      <w:pPr>
        <w:ind w:left="6064" w:hanging="360"/>
      </w:pPr>
      <w:rPr>
        <w:rFonts w:hint="default"/>
      </w:rPr>
    </w:lvl>
    <w:lvl w:ilvl="7" w:tplc="67187A52">
      <w:numFmt w:val="bullet"/>
      <w:lvlText w:val="•"/>
      <w:lvlJc w:val="left"/>
      <w:pPr>
        <w:ind w:left="6938" w:hanging="360"/>
      </w:pPr>
      <w:rPr>
        <w:rFonts w:hint="default"/>
      </w:rPr>
    </w:lvl>
    <w:lvl w:ilvl="8" w:tplc="20C22732">
      <w:numFmt w:val="bullet"/>
      <w:lvlText w:val="•"/>
      <w:lvlJc w:val="left"/>
      <w:pPr>
        <w:ind w:left="7812" w:hanging="360"/>
      </w:pPr>
      <w:rPr>
        <w:rFonts w:hint="default"/>
      </w:rPr>
    </w:lvl>
  </w:abstractNum>
  <w:abstractNum w:abstractNumId="4" w15:restartNumberingAfterBreak="0">
    <w:nsid w:val="79BE2DDB"/>
    <w:multiLevelType w:val="hybridMultilevel"/>
    <w:tmpl w:val="C810A588"/>
    <w:lvl w:ilvl="0" w:tplc="CAE40A82">
      <w:numFmt w:val="bullet"/>
      <w:lvlText w:val=""/>
      <w:lvlJc w:val="left"/>
      <w:pPr>
        <w:ind w:left="820" w:hanging="360"/>
      </w:pPr>
      <w:rPr>
        <w:rFonts w:ascii="Symbol" w:eastAsia="Symbol" w:hAnsi="Symbol" w:cs="Symbol" w:hint="default"/>
        <w:w w:val="100"/>
        <w:sz w:val="24"/>
        <w:szCs w:val="24"/>
      </w:rPr>
    </w:lvl>
    <w:lvl w:ilvl="1" w:tplc="776AA886">
      <w:numFmt w:val="bullet"/>
      <w:lvlText w:val="•"/>
      <w:lvlJc w:val="left"/>
      <w:pPr>
        <w:ind w:left="1692" w:hanging="360"/>
      </w:pPr>
      <w:rPr>
        <w:rFonts w:hint="default"/>
      </w:rPr>
    </w:lvl>
    <w:lvl w:ilvl="2" w:tplc="B8D42770">
      <w:numFmt w:val="bullet"/>
      <w:lvlText w:val="•"/>
      <w:lvlJc w:val="left"/>
      <w:pPr>
        <w:ind w:left="2564" w:hanging="360"/>
      </w:pPr>
      <w:rPr>
        <w:rFonts w:hint="default"/>
      </w:rPr>
    </w:lvl>
    <w:lvl w:ilvl="3" w:tplc="5150C13E">
      <w:numFmt w:val="bullet"/>
      <w:lvlText w:val="•"/>
      <w:lvlJc w:val="left"/>
      <w:pPr>
        <w:ind w:left="3436" w:hanging="360"/>
      </w:pPr>
      <w:rPr>
        <w:rFonts w:hint="default"/>
      </w:rPr>
    </w:lvl>
    <w:lvl w:ilvl="4" w:tplc="152EC9F0">
      <w:numFmt w:val="bullet"/>
      <w:lvlText w:val="•"/>
      <w:lvlJc w:val="left"/>
      <w:pPr>
        <w:ind w:left="4308" w:hanging="360"/>
      </w:pPr>
      <w:rPr>
        <w:rFonts w:hint="default"/>
      </w:rPr>
    </w:lvl>
    <w:lvl w:ilvl="5" w:tplc="B0007772">
      <w:numFmt w:val="bullet"/>
      <w:lvlText w:val="•"/>
      <w:lvlJc w:val="left"/>
      <w:pPr>
        <w:ind w:left="5180" w:hanging="360"/>
      </w:pPr>
      <w:rPr>
        <w:rFonts w:hint="default"/>
      </w:rPr>
    </w:lvl>
    <w:lvl w:ilvl="6" w:tplc="C34CAEA4">
      <w:numFmt w:val="bullet"/>
      <w:lvlText w:val="•"/>
      <w:lvlJc w:val="left"/>
      <w:pPr>
        <w:ind w:left="6052" w:hanging="360"/>
      </w:pPr>
      <w:rPr>
        <w:rFonts w:hint="default"/>
      </w:rPr>
    </w:lvl>
    <w:lvl w:ilvl="7" w:tplc="37621BC4">
      <w:numFmt w:val="bullet"/>
      <w:lvlText w:val="•"/>
      <w:lvlJc w:val="left"/>
      <w:pPr>
        <w:ind w:left="6924" w:hanging="360"/>
      </w:pPr>
      <w:rPr>
        <w:rFonts w:hint="default"/>
      </w:rPr>
    </w:lvl>
    <w:lvl w:ilvl="8" w:tplc="85DE3B9E">
      <w:numFmt w:val="bullet"/>
      <w:lvlText w:val="•"/>
      <w:lvlJc w:val="left"/>
      <w:pPr>
        <w:ind w:left="7796" w:hanging="36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0A"/>
    <w:rsid w:val="001C07FE"/>
    <w:rsid w:val="00332728"/>
    <w:rsid w:val="0034548C"/>
    <w:rsid w:val="005872C8"/>
    <w:rsid w:val="00797F0A"/>
    <w:rsid w:val="0091579D"/>
    <w:rsid w:val="00C673D1"/>
    <w:rsid w:val="00DE02D2"/>
    <w:rsid w:val="00F1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FDB8"/>
  <w15:docId w15:val="{111EAC4A-19E1-4793-BFA6-DAF5F22D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2" w:hanging="292"/>
      <w:outlineLvl w:val="0"/>
    </w:pPr>
    <w:rPr>
      <w:b/>
      <w:bCs/>
      <w:sz w:val="24"/>
      <w:szCs w:val="24"/>
      <w:u w:val="single" w:color="000000"/>
    </w:rPr>
  </w:style>
  <w:style w:type="paragraph" w:styleId="Heading2">
    <w:name w:val="heading 2"/>
    <w:basedOn w:val="Normal"/>
    <w:uiPriority w:val="1"/>
    <w:qFormat/>
    <w:pPr>
      <w:ind w:left="820" w:hanging="36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35"/>
    </w:pPr>
    <w:rPr>
      <w:rFonts w:ascii="Cambria Math" w:eastAsia="Cambria Math" w:hAnsi="Cambria Math" w:cs="Cambria Ma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2521</Words>
  <Characters>13820</Characters>
  <Application>Microsoft Office Word</Application>
  <DocSecurity>0</DocSecurity>
  <Lines>493</Lines>
  <Paragraphs>233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CMS</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HCFA Software Control</dc:creator>
  <cp:lastModifiedBy>JAMAA HILL</cp:lastModifiedBy>
  <cp:revision>7</cp:revision>
  <dcterms:created xsi:type="dcterms:W3CDTF">2020-02-26T19:30:00Z</dcterms:created>
  <dcterms:modified xsi:type="dcterms:W3CDTF">2020-02-27T16:25:00Z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Acrobat PDFMaker 15 for Word</vt:lpwstr>
  </property>
  <property fmtid="{D5CDD505-2E9C-101B-9397-08002B2CF9AE}" pid="4" name="LastSaved">
    <vt:filetime>2020-02-26T00:00:00Z</vt:filetime>
  </property>
</Properties>
</file>