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B5FCE" w:rsidR="00E90F3C" w:rsidP="00E90F3C" w:rsidRDefault="00E90F3C" w14:paraId="768CDB44" w14:textId="7EE02F74">
      <w:pPr>
        <w:tabs>
          <w:tab w:val="left" w:pos="0"/>
          <w:tab w:val="left" w:pos="360"/>
          <w:tab w:val="left" w:pos="720"/>
        </w:tabs>
        <w:suppressAutoHyphens/>
        <w:spacing w:line="240" w:lineRule="atLeast"/>
        <w:jc w:val="center"/>
        <w:rPr>
          <w:sz w:val="24"/>
          <w:szCs w:val="24"/>
        </w:rPr>
      </w:pPr>
      <w:bookmarkStart w:name="_GoBack" w:id="0"/>
      <w:bookmarkEnd w:id="0"/>
      <w:r w:rsidRPr="00EB5FCE">
        <w:rPr>
          <w:b/>
          <w:bCs/>
          <w:sz w:val="24"/>
          <w:szCs w:val="24"/>
        </w:rPr>
        <w:t>SUPPORTING STATEMENT FOR FORM CMS-</w:t>
      </w:r>
      <w:r w:rsidR="00854DDA">
        <w:rPr>
          <w:b/>
          <w:bCs/>
          <w:sz w:val="24"/>
          <w:szCs w:val="24"/>
        </w:rPr>
        <w:t>1728-20</w:t>
      </w:r>
    </w:p>
    <w:p w:rsidRPr="00EB5FCE" w:rsidR="00D22C70" w:rsidP="00EB5FCE" w:rsidRDefault="00F52474" w14:paraId="14C4BDE3" w14:textId="77777777">
      <w:pPr>
        <w:tabs>
          <w:tab w:val="left" w:pos="0"/>
          <w:tab w:val="left" w:pos="360"/>
          <w:tab w:val="left" w:pos="720"/>
        </w:tabs>
        <w:suppressAutoHyphens/>
        <w:spacing w:line="240" w:lineRule="atLeast"/>
        <w:jc w:val="center"/>
        <w:rPr>
          <w:b/>
          <w:bCs/>
          <w:sz w:val="24"/>
          <w:szCs w:val="24"/>
        </w:rPr>
      </w:pPr>
      <w:r>
        <w:rPr>
          <w:b/>
          <w:bCs/>
          <w:sz w:val="24"/>
          <w:szCs w:val="24"/>
        </w:rPr>
        <w:t>HOME HEALTH AGENCY C</w:t>
      </w:r>
      <w:r w:rsidRPr="00EB5FCE" w:rsidR="00E90F3C">
        <w:rPr>
          <w:b/>
          <w:bCs/>
          <w:sz w:val="24"/>
          <w:szCs w:val="24"/>
        </w:rPr>
        <w:t xml:space="preserve">OST REPORT </w:t>
      </w:r>
    </w:p>
    <w:p w:rsidR="00D22C70" w:rsidRDefault="00D22C70" w14:paraId="5AB55C72" w14:textId="77777777">
      <w:pPr>
        <w:tabs>
          <w:tab w:val="left" w:pos="0"/>
          <w:tab w:val="left" w:pos="360"/>
          <w:tab w:val="left" w:pos="720"/>
        </w:tabs>
        <w:suppressAutoHyphens/>
        <w:spacing w:line="240" w:lineRule="atLeast"/>
        <w:rPr>
          <w:sz w:val="24"/>
          <w:szCs w:val="24"/>
        </w:rPr>
      </w:pPr>
    </w:p>
    <w:p w:rsidRPr="00A211BB" w:rsidR="00E17B95" w:rsidRDefault="00E17B95" w14:paraId="7AA856FB" w14:textId="77777777">
      <w:pPr>
        <w:tabs>
          <w:tab w:val="left" w:pos="0"/>
          <w:tab w:val="left" w:pos="360"/>
          <w:tab w:val="left" w:pos="720"/>
        </w:tabs>
        <w:suppressAutoHyphens/>
        <w:spacing w:line="240" w:lineRule="atLeast"/>
        <w:rPr>
          <w:sz w:val="24"/>
          <w:szCs w:val="24"/>
        </w:rPr>
      </w:pPr>
    </w:p>
    <w:p w:rsidRPr="004053E9" w:rsidR="00D22C70" w:rsidRDefault="004053E9" w14:paraId="271DC5A9" w14:textId="4861AEC8">
      <w:pPr>
        <w:tabs>
          <w:tab w:val="left" w:pos="0"/>
          <w:tab w:val="left" w:pos="360"/>
          <w:tab w:val="left" w:pos="720"/>
        </w:tabs>
        <w:suppressAutoHyphens/>
        <w:spacing w:line="240" w:lineRule="atLeast"/>
        <w:ind w:left="360" w:hanging="360"/>
        <w:rPr>
          <w:b/>
          <w:sz w:val="24"/>
          <w:szCs w:val="24"/>
        </w:rPr>
      </w:pPr>
      <w:r w:rsidRPr="007C2451">
        <w:rPr>
          <w:b/>
          <w:sz w:val="24"/>
          <w:szCs w:val="24"/>
        </w:rPr>
        <w:t>A.</w:t>
      </w:r>
      <w:r>
        <w:rPr>
          <w:b/>
          <w:sz w:val="24"/>
          <w:szCs w:val="24"/>
        </w:rPr>
        <w:tab/>
      </w:r>
      <w:r w:rsidRPr="007C2451">
        <w:rPr>
          <w:b/>
          <w:sz w:val="24"/>
          <w:szCs w:val="24"/>
        </w:rPr>
        <w:tab/>
      </w:r>
      <w:r w:rsidRPr="004053E9" w:rsidR="00D22C70">
        <w:rPr>
          <w:b/>
          <w:bCs/>
          <w:sz w:val="24"/>
          <w:szCs w:val="24"/>
        </w:rPr>
        <w:t>BACKGROUND</w:t>
      </w:r>
    </w:p>
    <w:p w:rsidRPr="00A211BB" w:rsidR="00D22C70" w:rsidP="00B03FC2" w:rsidRDefault="00D22C70" w14:paraId="3C349C37" w14:textId="77777777">
      <w:pPr>
        <w:tabs>
          <w:tab w:val="left" w:pos="0"/>
          <w:tab w:val="left" w:pos="360"/>
          <w:tab w:val="left" w:pos="720"/>
        </w:tabs>
        <w:suppressAutoHyphens/>
        <w:spacing w:line="240" w:lineRule="atLeast"/>
        <w:rPr>
          <w:sz w:val="24"/>
          <w:szCs w:val="24"/>
        </w:rPr>
      </w:pPr>
    </w:p>
    <w:p w:rsidRPr="00A74A47" w:rsidR="00993F40" w:rsidP="00DE18DB" w:rsidRDefault="00993F40" w14:paraId="37FC4D15" w14:textId="29A3DF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rPr>
          <w:rFonts w:eastAsia="Calibri"/>
          <w:color w:val="0000FF"/>
          <w:sz w:val="24"/>
          <w:szCs w:val="24"/>
        </w:rPr>
      </w:pPr>
      <w:r w:rsidRPr="00A74A47">
        <w:rPr>
          <w:sz w:val="24"/>
          <w:szCs w:val="24"/>
        </w:rPr>
        <w:t xml:space="preserve">CMS is requesting the Office of Management and Budget (OMB) review and approve </w:t>
      </w:r>
      <w:r>
        <w:rPr>
          <w:sz w:val="24"/>
          <w:szCs w:val="24"/>
        </w:rPr>
        <w:t xml:space="preserve">the </w:t>
      </w:r>
      <w:r w:rsidR="005A66FA">
        <w:rPr>
          <w:sz w:val="24"/>
          <w:szCs w:val="24"/>
        </w:rPr>
        <w:t>reinstatement with changes</w:t>
      </w:r>
      <w:r w:rsidRPr="00A74A47">
        <w:rPr>
          <w:sz w:val="24"/>
          <w:szCs w:val="24"/>
        </w:rPr>
        <w:t xml:space="preserve"> made to OMB No. 0938-0022, the H</w:t>
      </w:r>
      <w:r>
        <w:rPr>
          <w:sz w:val="24"/>
          <w:szCs w:val="24"/>
        </w:rPr>
        <w:t>ome Health Agency (H</w:t>
      </w:r>
      <w:r w:rsidRPr="00A74A47">
        <w:rPr>
          <w:sz w:val="24"/>
          <w:szCs w:val="24"/>
        </w:rPr>
        <w:t>HA</w:t>
      </w:r>
      <w:r>
        <w:rPr>
          <w:sz w:val="24"/>
          <w:szCs w:val="24"/>
        </w:rPr>
        <w:t>)</w:t>
      </w:r>
      <w:r w:rsidRPr="00A74A47">
        <w:rPr>
          <w:sz w:val="24"/>
          <w:szCs w:val="24"/>
        </w:rPr>
        <w:t xml:space="preserve"> Cost Report Form CMS</w:t>
      </w:r>
      <w:r w:rsidRPr="00A74A47">
        <w:rPr>
          <w:sz w:val="24"/>
          <w:szCs w:val="24"/>
        </w:rPr>
        <w:noBreakHyphen/>
      </w:r>
      <w:r w:rsidR="00854DDA">
        <w:rPr>
          <w:sz w:val="24"/>
          <w:szCs w:val="24"/>
        </w:rPr>
        <w:t>1728-20</w:t>
      </w:r>
      <w:r w:rsidRPr="00A74A47">
        <w:rPr>
          <w:sz w:val="24"/>
          <w:szCs w:val="24"/>
        </w:rPr>
        <w:t>, which replaces the existing Form CMS</w:t>
      </w:r>
      <w:r w:rsidRPr="00A74A47">
        <w:rPr>
          <w:sz w:val="24"/>
          <w:szCs w:val="24"/>
        </w:rPr>
        <w:noBreakHyphen/>
        <w:t>1728</w:t>
      </w:r>
      <w:r w:rsidRPr="00A74A47">
        <w:rPr>
          <w:sz w:val="24"/>
          <w:szCs w:val="24"/>
        </w:rPr>
        <w:noBreakHyphen/>
        <w:t xml:space="preserve">94.  The forms are revised to capture </w:t>
      </w:r>
      <w:r w:rsidR="00A74A47">
        <w:rPr>
          <w:sz w:val="24"/>
          <w:szCs w:val="24"/>
        </w:rPr>
        <w:t xml:space="preserve">a cost per </w:t>
      </w:r>
      <w:r w:rsidRPr="00A74A47">
        <w:rPr>
          <w:sz w:val="24"/>
          <w:szCs w:val="24"/>
        </w:rPr>
        <w:t>visit by type of clinician, report bad debt, and account for negative wound pressure therapy paid under OPPS.  Additionally, the forms are revised to remove obsolete data collections</w:t>
      </w:r>
      <w:r w:rsidR="00052CF9">
        <w:rPr>
          <w:sz w:val="24"/>
          <w:szCs w:val="24"/>
        </w:rPr>
        <w:t>,</w:t>
      </w:r>
      <w:r w:rsidRPr="00A74A47">
        <w:rPr>
          <w:sz w:val="24"/>
          <w:szCs w:val="24"/>
        </w:rPr>
        <w:t xml:space="preserve"> such as unduplicated census counts and per beneficiary limits</w:t>
      </w:r>
      <w:r w:rsidR="00052CF9">
        <w:rPr>
          <w:sz w:val="24"/>
          <w:szCs w:val="24"/>
        </w:rPr>
        <w:t>,</w:t>
      </w:r>
      <w:r w:rsidRPr="00A74A47">
        <w:rPr>
          <w:sz w:val="24"/>
          <w:szCs w:val="24"/>
        </w:rPr>
        <w:t xml:space="preserve"> as well as </w:t>
      </w:r>
      <w:r w:rsidR="00052CF9">
        <w:rPr>
          <w:sz w:val="24"/>
          <w:szCs w:val="24"/>
        </w:rPr>
        <w:t>to eliminate</w:t>
      </w:r>
      <w:r w:rsidRPr="00A74A47">
        <w:rPr>
          <w:sz w:val="24"/>
          <w:szCs w:val="24"/>
        </w:rPr>
        <w:t xml:space="preserve"> worksheets for </w:t>
      </w:r>
      <w:r w:rsidR="00052CF9">
        <w:rPr>
          <w:sz w:val="24"/>
          <w:szCs w:val="24"/>
        </w:rPr>
        <w:t xml:space="preserve">a </w:t>
      </w:r>
      <w:r w:rsidRPr="00A74A47">
        <w:rPr>
          <w:sz w:val="24"/>
          <w:szCs w:val="24"/>
        </w:rPr>
        <w:t>rural health clinic</w:t>
      </w:r>
      <w:r w:rsidR="00A74A47">
        <w:rPr>
          <w:sz w:val="24"/>
          <w:szCs w:val="24"/>
        </w:rPr>
        <w:t xml:space="preserve"> and </w:t>
      </w:r>
      <w:r w:rsidR="00052CF9">
        <w:rPr>
          <w:sz w:val="24"/>
          <w:szCs w:val="24"/>
        </w:rPr>
        <w:t xml:space="preserve">a </w:t>
      </w:r>
      <w:r w:rsidRPr="00A74A47">
        <w:rPr>
          <w:sz w:val="24"/>
          <w:szCs w:val="24"/>
        </w:rPr>
        <w:t>federally qualified health center</w:t>
      </w:r>
      <w:r w:rsidR="00A74A47">
        <w:rPr>
          <w:sz w:val="24"/>
          <w:szCs w:val="24"/>
        </w:rPr>
        <w:t>.</w:t>
      </w:r>
      <w:r w:rsidRPr="00A74A47">
        <w:rPr>
          <w:sz w:val="24"/>
          <w:szCs w:val="24"/>
        </w:rPr>
        <w:t xml:space="preserve">  </w:t>
      </w:r>
    </w:p>
    <w:p w:rsidRPr="00A74A47" w:rsidR="00993F40" w:rsidP="00993F40" w:rsidRDefault="00993F40" w14:paraId="6525FBB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rPr>
          <w:sz w:val="24"/>
          <w:szCs w:val="24"/>
        </w:rPr>
      </w:pPr>
    </w:p>
    <w:p w:rsidRPr="007C2451" w:rsidR="00D22C70" w:rsidRDefault="004053E9" w14:paraId="442FD029" w14:textId="667B0007">
      <w:pPr>
        <w:tabs>
          <w:tab w:val="left" w:pos="0"/>
          <w:tab w:val="left" w:pos="360"/>
          <w:tab w:val="left" w:pos="720"/>
        </w:tabs>
        <w:suppressAutoHyphens/>
        <w:spacing w:line="240" w:lineRule="atLeast"/>
        <w:rPr>
          <w:b/>
          <w:sz w:val="24"/>
          <w:szCs w:val="24"/>
        </w:rPr>
      </w:pPr>
      <w:r>
        <w:rPr>
          <w:b/>
          <w:sz w:val="24"/>
          <w:szCs w:val="24"/>
        </w:rPr>
        <w:t>B</w:t>
      </w:r>
      <w:r w:rsidRPr="007C2451" w:rsidR="00D22C70">
        <w:rPr>
          <w:b/>
          <w:sz w:val="24"/>
          <w:szCs w:val="24"/>
        </w:rPr>
        <w:t>.</w:t>
      </w:r>
      <w:r w:rsidR="007C2451">
        <w:rPr>
          <w:b/>
          <w:sz w:val="24"/>
          <w:szCs w:val="24"/>
        </w:rPr>
        <w:tab/>
      </w:r>
      <w:r w:rsidRPr="007C2451" w:rsidR="00D22C70">
        <w:rPr>
          <w:b/>
          <w:sz w:val="24"/>
          <w:szCs w:val="24"/>
        </w:rPr>
        <w:tab/>
        <w:t xml:space="preserve">JUSTIFICATION </w:t>
      </w:r>
    </w:p>
    <w:p w:rsidRPr="00A211BB" w:rsidR="00D22C70" w:rsidRDefault="00D22C70" w14:paraId="79517B19" w14:textId="77777777">
      <w:pPr>
        <w:tabs>
          <w:tab w:val="left" w:pos="0"/>
          <w:tab w:val="left" w:pos="360"/>
          <w:tab w:val="left" w:pos="720"/>
        </w:tabs>
        <w:suppressAutoHyphens/>
        <w:spacing w:line="240" w:lineRule="atLeast"/>
        <w:rPr>
          <w:sz w:val="24"/>
          <w:szCs w:val="24"/>
        </w:rPr>
      </w:pPr>
    </w:p>
    <w:p w:rsidRPr="007952CC" w:rsidR="007952CC" w:rsidP="007952CC" w:rsidRDefault="00D22C70" w14:paraId="45EC75DA"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Need and Legal Basis</w:t>
      </w:r>
    </w:p>
    <w:p w:rsidRPr="00A211BB" w:rsidR="00D22C70" w:rsidP="00DA7D1E" w:rsidRDefault="00D22C70" w14:paraId="1B720B22" w14:textId="77777777">
      <w:pPr>
        <w:tabs>
          <w:tab w:val="left" w:pos="0"/>
          <w:tab w:val="left" w:pos="720"/>
        </w:tabs>
        <w:suppressAutoHyphens/>
        <w:spacing w:line="240" w:lineRule="atLeast"/>
        <w:rPr>
          <w:sz w:val="24"/>
          <w:szCs w:val="24"/>
        </w:rPr>
      </w:pPr>
    </w:p>
    <w:p w:rsidR="00E90F3C" w:rsidP="00552775" w:rsidRDefault="00A34FFD" w14:paraId="0121D027" w14:textId="0D3E0207">
      <w:pPr>
        <w:tabs>
          <w:tab w:val="left" w:pos="0"/>
          <w:tab w:val="left" w:pos="720"/>
        </w:tabs>
        <w:suppressAutoHyphens/>
        <w:spacing w:line="240" w:lineRule="atLeast"/>
        <w:ind w:left="720"/>
        <w:rPr>
          <w:sz w:val="24"/>
          <w:szCs w:val="24"/>
        </w:rPr>
      </w:pPr>
      <w:r>
        <w:rPr>
          <w:sz w:val="24"/>
          <w:szCs w:val="24"/>
        </w:rPr>
        <w:t xml:space="preserve">Under the authority of sections </w:t>
      </w:r>
      <w:r w:rsidRPr="00E90F3C">
        <w:rPr>
          <w:sz w:val="24"/>
          <w:szCs w:val="24"/>
        </w:rPr>
        <w:t>1815(a)</w:t>
      </w:r>
      <w:r>
        <w:rPr>
          <w:sz w:val="24"/>
          <w:szCs w:val="24"/>
        </w:rPr>
        <w:t xml:space="preserve"> and </w:t>
      </w:r>
      <w:r w:rsidRPr="00E90F3C">
        <w:rPr>
          <w:sz w:val="24"/>
          <w:szCs w:val="24"/>
        </w:rPr>
        <w:t>1833(e)</w:t>
      </w:r>
      <w:r>
        <w:rPr>
          <w:sz w:val="24"/>
          <w:szCs w:val="24"/>
        </w:rPr>
        <w:t xml:space="preserve"> of the Social Security Act </w:t>
      </w:r>
      <w:r w:rsidRPr="00E90F3C">
        <w:rPr>
          <w:sz w:val="24"/>
          <w:szCs w:val="24"/>
        </w:rPr>
        <w:t>(42</w:t>
      </w:r>
      <w:r w:rsidR="00935054">
        <w:rPr>
          <w:sz w:val="24"/>
          <w:szCs w:val="24"/>
        </w:rPr>
        <w:t> </w:t>
      </w:r>
      <w:r w:rsidRPr="00E90F3C">
        <w:rPr>
          <w:sz w:val="24"/>
          <w:szCs w:val="24"/>
        </w:rPr>
        <w:t>USC</w:t>
      </w:r>
      <w:r w:rsidR="00935054">
        <w:rPr>
          <w:sz w:val="24"/>
          <w:szCs w:val="24"/>
        </w:rPr>
        <w:t> </w:t>
      </w:r>
      <w:r w:rsidRPr="00E90F3C">
        <w:rPr>
          <w:sz w:val="24"/>
          <w:szCs w:val="24"/>
        </w:rPr>
        <w:t>1395g)</w:t>
      </w:r>
      <w:r>
        <w:rPr>
          <w:sz w:val="24"/>
          <w:szCs w:val="24"/>
        </w:rPr>
        <w:t>, CMS requires that p</w:t>
      </w:r>
      <w:r w:rsidRPr="00E90F3C" w:rsidR="00E90F3C">
        <w:rPr>
          <w:sz w:val="24"/>
          <w:szCs w:val="24"/>
        </w:rPr>
        <w:t xml:space="preserve">roviders of services participating in the Medicare program submit information to </w:t>
      </w:r>
      <w:r w:rsidR="00A74A47">
        <w:rPr>
          <w:sz w:val="24"/>
          <w:szCs w:val="24"/>
        </w:rPr>
        <w:t>determine</w:t>
      </w:r>
      <w:r w:rsidRPr="00E90F3C" w:rsidR="00E90F3C">
        <w:rPr>
          <w:sz w:val="24"/>
          <w:szCs w:val="24"/>
        </w:rPr>
        <w:t xml:space="preserve"> costs for health care services rendered to Medicare beneficiaries.  </w:t>
      </w:r>
      <w:r w:rsidR="005B1432">
        <w:rPr>
          <w:sz w:val="24"/>
          <w:szCs w:val="24"/>
        </w:rPr>
        <w:t>CMS requires that providers follow reasonable cost principles under 1861(v)(1)(A) of the Act when completing the Medicare cost report.  Under the</w:t>
      </w:r>
      <w:r w:rsidRPr="00E90F3C" w:rsidR="00E90F3C">
        <w:rPr>
          <w:sz w:val="24"/>
          <w:szCs w:val="24"/>
        </w:rPr>
        <w:t xml:space="preserve"> regulations at 42 CFR 413.20 and 413.24</w:t>
      </w:r>
      <w:r w:rsidR="005B1432">
        <w:rPr>
          <w:sz w:val="24"/>
          <w:szCs w:val="24"/>
        </w:rPr>
        <w:t>, CMS defines</w:t>
      </w:r>
      <w:r w:rsidRPr="00E90F3C" w:rsidR="00E90F3C">
        <w:rPr>
          <w:sz w:val="24"/>
          <w:szCs w:val="24"/>
        </w:rPr>
        <w:t xml:space="preserve"> adequate cost data and </w:t>
      </w:r>
      <w:r w:rsidR="005B1432">
        <w:rPr>
          <w:sz w:val="24"/>
          <w:szCs w:val="24"/>
        </w:rPr>
        <w:t xml:space="preserve">requires </w:t>
      </w:r>
      <w:r w:rsidRPr="00E90F3C" w:rsidR="00E90F3C">
        <w:rPr>
          <w:sz w:val="24"/>
          <w:szCs w:val="24"/>
        </w:rPr>
        <w:t xml:space="preserve">cost reports from providers on an annual basis.  </w:t>
      </w:r>
    </w:p>
    <w:p w:rsidR="00E90F3C" w:rsidP="00552775" w:rsidRDefault="00E90F3C" w14:paraId="093B0F82" w14:textId="77777777">
      <w:pPr>
        <w:tabs>
          <w:tab w:val="left" w:pos="0"/>
          <w:tab w:val="left" w:pos="720"/>
        </w:tabs>
        <w:suppressAutoHyphens/>
        <w:spacing w:line="240" w:lineRule="atLeast"/>
        <w:ind w:left="720"/>
        <w:rPr>
          <w:sz w:val="24"/>
          <w:szCs w:val="24"/>
        </w:rPr>
      </w:pPr>
    </w:p>
    <w:p w:rsidR="003358FF" w:rsidP="003358FF" w:rsidRDefault="003358FF" w14:paraId="49ACF434" w14:textId="614A04B6">
      <w:pPr>
        <w:tabs>
          <w:tab w:val="left" w:pos="0"/>
          <w:tab w:val="left" w:pos="720"/>
        </w:tabs>
        <w:suppressAutoHyphens/>
        <w:spacing w:line="240" w:lineRule="atLeast"/>
        <w:ind w:left="720"/>
        <w:rPr>
          <w:sz w:val="24"/>
          <w:szCs w:val="24"/>
        </w:rPr>
      </w:pPr>
      <w:r>
        <w:rPr>
          <w:sz w:val="24"/>
          <w:szCs w:val="24"/>
        </w:rPr>
        <w:t>The Form CMS-</w:t>
      </w:r>
      <w:r w:rsidR="00854DDA">
        <w:rPr>
          <w:sz w:val="24"/>
          <w:szCs w:val="24"/>
        </w:rPr>
        <w:t>1728-20</w:t>
      </w:r>
      <w:r w:rsidRPr="00A211BB">
        <w:rPr>
          <w:sz w:val="24"/>
          <w:szCs w:val="24"/>
        </w:rPr>
        <w:t xml:space="preserve"> cost report is needed to determine </w:t>
      </w:r>
      <w:r>
        <w:rPr>
          <w:sz w:val="24"/>
          <w:szCs w:val="24"/>
        </w:rPr>
        <w:t>a provider’s reasonable cost incurred in furnishing medical services to Medicare beneficiaries and reimbursement due to or from a provider.  The Form CMS-</w:t>
      </w:r>
      <w:r w:rsidR="00854DDA">
        <w:rPr>
          <w:sz w:val="24"/>
          <w:szCs w:val="24"/>
        </w:rPr>
        <w:t>1728-20</w:t>
      </w:r>
      <w:r>
        <w:rPr>
          <w:sz w:val="24"/>
          <w:szCs w:val="24"/>
        </w:rPr>
        <w:t xml:space="preserve"> cost report is also used for annual rate setting and payment refinement activities, including developing a home health market basket.  Additionally, the Medicare Payment Advisory Commission (MedPAC) uses the home health cost report data to calculate Medicare margins, to formulate recommendations to Congress regarding the HHA PPS, and to conduct additional analysis of the HHA PPS.</w:t>
      </w:r>
    </w:p>
    <w:p w:rsidR="003358FF" w:rsidP="00552775" w:rsidRDefault="003358FF" w14:paraId="0B214596" w14:textId="77777777">
      <w:pPr>
        <w:tabs>
          <w:tab w:val="left" w:pos="0"/>
          <w:tab w:val="left" w:pos="720"/>
        </w:tabs>
        <w:suppressAutoHyphens/>
        <w:spacing w:line="240" w:lineRule="atLeast"/>
        <w:ind w:left="720"/>
        <w:rPr>
          <w:sz w:val="24"/>
          <w:szCs w:val="24"/>
        </w:rPr>
      </w:pPr>
    </w:p>
    <w:p w:rsidRPr="00A211BB" w:rsidR="00330ED5" w:rsidP="00552775" w:rsidRDefault="00330ED5" w14:paraId="225B292A" w14:textId="2DF5F038">
      <w:pPr>
        <w:tabs>
          <w:tab w:val="left" w:pos="0"/>
          <w:tab w:val="left" w:pos="720"/>
        </w:tabs>
        <w:suppressAutoHyphens/>
        <w:spacing w:line="240" w:lineRule="atLeast"/>
        <w:ind w:left="720"/>
        <w:rPr>
          <w:sz w:val="24"/>
          <w:szCs w:val="24"/>
        </w:rPr>
      </w:pPr>
      <w:r w:rsidRPr="00330ED5">
        <w:rPr>
          <w:sz w:val="24"/>
          <w:szCs w:val="24"/>
        </w:rPr>
        <w:t>Providers receiving Medicare reimbursement must provi</w:t>
      </w:r>
      <w:r>
        <w:rPr>
          <w:sz w:val="24"/>
          <w:szCs w:val="24"/>
        </w:rPr>
        <w:t xml:space="preserve">de adequate cost data based on </w:t>
      </w:r>
      <w:r w:rsidRPr="00330ED5">
        <w:rPr>
          <w:sz w:val="24"/>
          <w:szCs w:val="24"/>
        </w:rPr>
        <w:t>fin</w:t>
      </w:r>
      <w:r w:rsidR="00052CF9">
        <w:rPr>
          <w:sz w:val="24"/>
          <w:szCs w:val="24"/>
        </w:rPr>
        <w:t>ancial and statistical records that</w:t>
      </w:r>
      <w:r w:rsidRPr="00330ED5">
        <w:rPr>
          <w:sz w:val="24"/>
          <w:szCs w:val="24"/>
        </w:rPr>
        <w:t xml:space="preserve"> can be verified by qualified auditors.  </w:t>
      </w:r>
    </w:p>
    <w:p w:rsidRPr="00A211BB" w:rsidR="00453088" w:rsidP="00A211BB" w:rsidRDefault="00453088" w14:paraId="1F9E533F" w14:textId="77777777">
      <w:pPr>
        <w:tabs>
          <w:tab w:val="left" w:pos="0"/>
          <w:tab w:val="left" w:pos="360"/>
          <w:tab w:val="left" w:pos="720"/>
        </w:tabs>
        <w:suppressAutoHyphens/>
        <w:spacing w:line="240" w:lineRule="atLeast"/>
        <w:ind w:left="360"/>
        <w:rPr>
          <w:sz w:val="24"/>
          <w:szCs w:val="24"/>
        </w:rPr>
      </w:pPr>
    </w:p>
    <w:p w:rsidRPr="007952CC" w:rsidR="007952CC" w:rsidP="007952CC" w:rsidRDefault="00D22C70" w14:paraId="2136ADFD" w14:textId="77777777">
      <w:pPr>
        <w:pStyle w:val="ListParagraph"/>
        <w:numPr>
          <w:ilvl w:val="0"/>
          <w:numId w:val="6"/>
        </w:numPr>
        <w:tabs>
          <w:tab w:val="left" w:pos="0"/>
          <w:tab w:val="left" w:pos="360"/>
          <w:tab w:val="left" w:pos="720"/>
        </w:tabs>
        <w:suppressAutoHyphens/>
        <w:spacing w:line="240" w:lineRule="atLeast"/>
        <w:rPr>
          <w:sz w:val="24"/>
          <w:szCs w:val="24"/>
          <w:u w:val="single"/>
        </w:rPr>
      </w:pPr>
      <w:r w:rsidRPr="007952CC">
        <w:rPr>
          <w:sz w:val="24"/>
          <w:szCs w:val="24"/>
          <w:u w:val="single"/>
        </w:rPr>
        <w:t>Information Users</w:t>
      </w:r>
    </w:p>
    <w:p w:rsidRPr="00A211BB" w:rsidR="00D22C70" w:rsidP="00A211BB" w:rsidRDefault="00D22C70" w14:paraId="49BD7D94" w14:textId="77777777">
      <w:pPr>
        <w:tabs>
          <w:tab w:val="left" w:pos="0"/>
          <w:tab w:val="left" w:pos="360"/>
          <w:tab w:val="left" w:pos="720"/>
        </w:tabs>
        <w:suppressAutoHyphens/>
        <w:spacing w:line="240" w:lineRule="atLeast"/>
        <w:ind w:left="360"/>
        <w:rPr>
          <w:sz w:val="24"/>
          <w:szCs w:val="24"/>
        </w:rPr>
      </w:pPr>
    </w:p>
    <w:p w:rsidRPr="00DA7D1E" w:rsidR="00DA7D1E" w:rsidP="00DA7D1E" w:rsidRDefault="000B2E9D" w14:paraId="0587793A" w14:textId="6E95FAEF">
      <w:pPr>
        <w:tabs>
          <w:tab w:val="left" w:pos="0"/>
          <w:tab w:val="left" w:pos="720"/>
        </w:tabs>
        <w:suppressAutoHyphens/>
        <w:spacing w:line="240" w:lineRule="atLeast"/>
        <w:ind w:left="720"/>
        <w:rPr>
          <w:sz w:val="24"/>
          <w:szCs w:val="24"/>
        </w:rPr>
      </w:pPr>
      <w:r>
        <w:rPr>
          <w:sz w:val="24"/>
          <w:szCs w:val="24"/>
        </w:rPr>
        <w:t xml:space="preserve">Under the authority of 1816 of the Act, </w:t>
      </w:r>
      <w:r w:rsidR="00052CF9">
        <w:rPr>
          <w:sz w:val="24"/>
          <w:szCs w:val="24"/>
        </w:rPr>
        <w:t xml:space="preserve">CMS requires providers to file </w:t>
      </w:r>
      <w:r w:rsidRPr="00DA7D1E" w:rsidR="00DA7D1E">
        <w:rPr>
          <w:sz w:val="24"/>
          <w:szCs w:val="24"/>
        </w:rPr>
        <w:t>cost reports with the provider’s Medicare Administrative Contractor (MAC).  The functions of the MAC are described in section 18</w:t>
      </w:r>
      <w:r>
        <w:rPr>
          <w:sz w:val="24"/>
          <w:szCs w:val="24"/>
        </w:rPr>
        <w:t>74A</w:t>
      </w:r>
      <w:r w:rsidRPr="00DA7D1E" w:rsidR="00DA7D1E">
        <w:rPr>
          <w:sz w:val="24"/>
          <w:szCs w:val="24"/>
        </w:rPr>
        <w:t xml:space="preserve"> of the Act. </w:t>
      </w:r>
    </w:p>
    <w:p w:rsidRPr="00DA7D1E" w:rsidR="00DA7D1E" w:rsidP="00DA7D1E" w:rsidRDefault="00DA7D1E" w14:paraId="39424D1C" w14:textId="77777777">
      <w:pPr>
        <w:tabs>
          <w:tab w:val="left" w:pos="0"/>
          <w:tab w:val="left" w:pos="720"/>
        </w:tabs>
        <w:suppressAutoHyphens/>
        <w:spacing w:line="240" w:lineRule="atLeast"/>
        <w:ind w:left="720"/>
        <w:rPr>
          <w:sz w:val="24"/>
          <w:szCs w:val="24"/>
        </w:rPr>
      </w:pPr>
    </w:p>
    <w:p w:rsidR="00DE18DB" w:rsidP="00DE18DB" w:rsidRDefault="00D476F3" w14:paraId="3DE77C50" w14:textId="17B6E430">
      <w:pPr>
        <w:ind w:left="720"/>
        <w:rPr>
          <w:sz w:val="24"/>
        </w:rPr>
      </w:pPr>
      <w:r w:rsidRPr="009B2191">
        <w:rPr>
          <w:sz w:val="24"/>
        </w:rPr>
        <w:t xml:space="preserve">The primary function of the cost report is to implement the principles of cost reimbursement which require that </w:t>
      </w:r>
      <w:r>
        <w:rPr>
          <w:sz w:val="24"/>
        </w:rPr>
        <w:t>HHA</w:t>
      </w:r>
      <w:r w:rsidRPr="009B2191">
        <w:rPr>
          <w:sz w:val="24"/>
        </w:rPr>
        <w:t xml:space="preserve">s maintain sufficient financial records and statistical data for proper determination of costs payable under the program. </w:t>
      </w:r>
      <w:r>
        <w:rPr>
          <w:sz w:val="24"/>
        </w:rPr>
        <w:t xml:space="preserve"> The S series of worksheets collects the provider’s location, CBSA, date of certification, </w:t>
      </w:r>
      <w:r>
        <w:rPr>
          <w:sz w:val="24"/>
        </w:rPr>
        <w:lastRenderedPageBreak/>
        <w:t>operation</w:t>
      </w:r>
      <w:r w:rsidR="00D92448">
        <w:rPr>
          <w:sz w:val="24"/>
        </w:rPr>
        <w:t>s,</w:t>
      </w:r>
      <w:r>
        <w:rPr>
          <w:sz w:val="24"/>
        </w:rPr>
        <w:t xml:space="preserve"> and unduplicated census days.  The A series of worksheets collects the provider’s trial balance of expenses for overhead costs, direct patient care services by level of care, and non-revenue generating cost centers.  The B series of worksheets </w:t>
      </w:r>
      <w:r w:rsidR="00E97DCD">
        <w:rPr>
          <w:sz w:val="24"/>
        </w:rPr>
        <w:t>allocates the overhead costs to the revenue and non-revenue generating cost centers using functional statistical bases.</w:t>
      </w:r>
      <w:r>
        <w:rPr>
          <w:sz w:val="24"/>
        </w:rPr>
        <w:t xml:space="preserve">  The C series of worksheets computes the average cost per visit for HHA services.</w:t>
      </w:r>
      <w:r w:rsidR="00DE18DB">
        <w:rPr>
          <w:sz w:val="24"/>
        </w:rPr>
        <w:t xml:space="preserve">  The D series of worksheets are Medicare specific and are used to determine reimbursement due to the provider or program.  The F series of worksheets collect data from a provider’s balance sheet and income statement. </w:t>
      </w:r>
    </w:p>
    <w:p w:rsidR="00D476F3" w:rsidP="00D476F3" w:rsidRDefault="00D476F3" w14:paraId="128702D9" w14:textId="1E47BE82">
      <w:pPr>
        <w:ind w:left="720"/>
        <w:rPr>
          <w:sz w:val="24"/>
        </w:rPr>
      </w:pPr>
    </w:p>
    <w:p w:rsidR="00DA7D1E" w:rsidP="00D476F3" w:rsidRDefault="00D476F3" w14:paraId="3F94F700" w14:textId="660BC0FC">
      <w:pPr>
        <w:tabs>
          <w:tab w:val="left" w:pos="0"/>
          <w:tab w:val="left" w:pos="720"/>
        </w:tabs>
        <w:suppressAutoHyphens/>
        <w:spacing w:line="240" w:lineRule="atLeast"/>
        <w:ind w:left="720"/>
        <w:rPr>
          <w:sz w:val="24"/>
          <w:szCs w:val="24"/>
        </w:rPr>
      </w:pPr>
      <w:r>
        <w:rPr>
          <w:sz w:val="24"/>
        </w:rPr>
        <w:t>Additionally, the cost report is used by CMS to support program operations, payment refinement activities, and to make Medicare Trust Fund projections.</w:t>
      </w:r>
    </w:p>
    <w:p w:rsidR="00D22C70" w:rsidP="00A211BB" w:rsidRDefault="00D22C70" w14:paraId="50D48DF2" w14:textId="77777777">
      <w:pPr>
        <w:tabs>
          <w:tab w:val="left" w:pos="0"/>
          <w:tab w:val="left" w:pos="360"/>
          <w:tab w:val="left" w:pos="720"/>
        </w:tabs>
        <w:suppressAutoHyphens/>
        <w:spacing w:line="240" w:lineRule="atLeast"/>
        <w:ind w:left="360"/>
        <w:rPr>
          <w:sz w:val="24"/>
          <w:szCs w:val="24"/>
        </w:rPr>
      </w:pPr>
    </w:p>
    <w:p w:rsidRPr="007952CC" w:rsidR="00D22C70" w:rsidP="007952CC" w:rsidRDefault="006D0DDA" w14:paraId="055659AE" w14:textId="77777777">
      <w:pPr>
        <w:pStyle w:val="ListParagraph"/>
        <w:numPr>
          <w:ilvl w:val="0"/>
          <w:numId w:val="6"/>
        </w:numPr>
        <w:tabs>
          <w:tab w:val="left" w:pos="0"/>
          <w:tab w:val="left" w:pos="360"/>
          <w:tab w:val="left" w:pos="720"/>
        </w:tabs>
        <w:suppressAutoHyphens/>
        <w:spacing w:line="240" w:lineRule="atLeast"/>
        <w:rPr>
          <w:sz w:val="24"/>
          <w:szCs w:val="24"/>
        </w:rPr>
      </w:pPr>
      <w:r>
        <w:rPr>
          <w:sz w:val="24"/>
          <w:szCs w:val="24"/>
          <w:u w:val="single"/>
        </w:rPr>
        <w:t xml:space="preserve">Use of </w:t>
      </w:r>
      <w:r w:rsidRPr="007952CC" w:rsidR="00D22C70">
        <w:rPr>
          <w:sz w:val="24"/>
          <w:szCs w:val="24"/>
          <w:u w:val="single"/>
        </w:rPr>
        <w:t>Information Technology</w:t>
      </w:r>
    </w:p>
    <w:p w:rsidR="00353735" w:rsidP="00552775" w:rsidRDefault="00353735" w14:paraId="5CBB16BD" w14:textId="77777777">
      <w:pPr>
        <w:tabs>
          <w:tab w:val="left" w:pos="0"/>
          <w:tab w:val="left" w:pos="720"/>
        </w:tabs>
        <w:suppressAutoHyphens/>
        <w:spacing w:line="240" w:lineRule="atLeast"/>
        <w:ind w:left="720"/>
        <w:rPr>
          <w:sz w:val="24"/>
          <w:szCs w:val="24"/>
        </w:rPr>
      </w:pPr>
    </w:p>
    <w:p w:rsidR="00D22C70" w:rsidP="00552775" w:rsidRDefault="00305474" w14:paraId="10644926" w14:textId="2312856A">
      <w:pPr>
        <w:tabs>
          <w:tab w:val="left" w:pos="0"/>
          <w:tab w:val="left" w:pos="720"/>
        </w:tabs>
        <w:suppressAutoHyphens/>
        <w:spacing w:line="240" w:lineRule="atLeast"/>
        <w:ind w:left="720"/>
        <w:rPr>
          <w:sz w:val="24"/>
          <w:szCs w:val="24"/>
        </w:rPr>
      </w:pPr>
      <w:r>
        <w:rPr>
          <w:sz w:val="24"/>
          <w:szCs w:val="24"/>
        </w:rPr>
        <w:t xml:space="preserve">CMS requires </w:t>
      </w:r>
      <w:r w:rsidR="00121449">
        <w:rPr>
          <w:sz w:val="24"/>
          <w:szCs w:val="24"/>
        </w:rPr>
        <w:t>HHA</w:t>
      </w:r>
      <w:r w:rsidR="000B2E9D">
        <w:rPr>
          <w:sz w:val="24"/>
          <w:szCs w:val="24"/>
        </w:rPr>
        <w:t xml:space="preserve"> provider</w:t>
      </w:r>
      <w:r w:rsidR="00121449">
        <w:rPr>
          <w:sz w:val="24"/>
          <w:szCs w:val="24"/>
        </w:rPr>
        <w:t>s</w:t>
      </w:r>
      <w:r w:rsidRPr="00552775" w:rsidR="00D22C70">
        <w:rPr>
          <w:sz w:val="24"/>
          <w:szCs w:val="24"/>
        </w:rPr>
        <w:t xml:space="preserve"> </w:t>
      </w:r>
      <w:r w:rsidRPr="00552775">
        <w:rPr>
          <w:sz w:val="24"/>
          <w:szCs w:val="24"/>
        </w:rPr>
        <w:t xml:space="preserve">to submit cost reports </w:t>
      </w:r>
      <w:r>
        <w:rPr>
          <w:sz w:val="24"/>
          <w:szCs w:val="24"/>
        </w:rPr>
        <w:t xml:space="preserve">in an electronic format as described in </w:t>
      </w:r>
      <w:r w:rsidR="000B2E9D">
        <w:rPr>
          <w:sz w:val="24"/>
          <w:szCs w:val="24"/>
        </w:rPr>
        <w:t>42 CFR 413.24(f)(4)</w:t>
      </w:r>
      <w:r>
        <w:rPr>
          <w:sz w:val="24"/>
          <w:szCs w:val="24"/>
        </w:rPr>
        <w:t>.</w:t>
      </w:r>
      <w:r w:rsidR="000B2E9D">
        <w:rPr>
          <w:sz w:val="24"/>
          <w:szCs w:val="24"/>
        </w:rPr>
        <w:t xml:space="preserve"> </w:t>
      </w:r>
    </w:p>
    <w:p w:rsidRPr="00A211BB" w:rsidR="00D22C70" w:rsidP="00121FDD" w:rsidRDefault="00D22C70" w14:paraId="7256ED46" w14:textId="77777777">
      <w:pPr>
        <w:tabs>
          <w:tab w:val="left" w:pos="0"/>
          <w:tab w:val="left" w:pos="360"/>
          <w:tab w:val="left" w:pos="720"/>
        </w:tabs>
        <w:suppressAutoHyphens/>
        <w:spacing w:line="240" w:lineRule="atLeast"/>
        <w:rPr>
          <w:sz w:val="24"/>
          <w:szCs w:val="24"/>
        </w:rPr>
      </w:pPr>
    </w:p>
    <w:p w:rsidRPr="007952CC" w:rsidR="00D22C70" w:rsidP="007952CC" w:rsidRDefault="00D22C70" w14:paraId="0BD998A9"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 xml:space="preserve">Duplication </w:t>
      </w:r>
      <w:r w:rsidR="006D0DDA">
        <w:rPr>
          <w:sz w:val="24"/>
          <w:szCs w:val="24"/>
          <w:u w:val="single"/>
        </w:rPr>
        <w:t>of Efforts</w:t>
      </w:r>
    </w:p>
    <w:p w:rsidRPr="00A211BB" w:rsidR="00D22C70" w:rsidP="00A211BB" w:rsidRDefault="00D22C70" w14:paraId="35C2332F" w14:textId="77777777">
      <w:pPr>
        <w:tabs>
          <w:tab w:val="left" w:pos="0"/>
          <w:tab w:val="left" w:pos="360"/>
          <w:tab w:val="left" w:pos="720"/>
        </w:tabs>
        <w:suppressAutoHyphens/>
        <w:spacing w:line="240" w:lineRule="atLeast"/>
        <w:ind w:left="360"/>
        <w:rPr>
          <w:sz w:val="24"/>
          <w:szCs w:val="24"/>
        </w:rPr>
      </w:pPr>
    </w:p>
    <w:p w:rsidRPr="00A211BB" w:rsidR="00D22C70" w:rsidP="00552775" w:rsidRDefault="00D22C70" w14:paraId="763256DB" w14:textId="77777777">
      <w:pPr>
        <w:tabs>
          <w:tab w:val="left" w:pos="0"/>
          <w:tab w:val="left" w:pos="720"/>
        </w:tabs>
        <w:suppressAutoHyphens/>
        <w:spacing w:line="240" w:lineRule="atLeast"/>
        <w:ind w:left="720"/>
        <w:rPr>
          <w:sz w:val="24"/>
          <w:szCs w:val="24"/>
        </w:rPr>
      </w:pPr>
      <w:r w:rsidRPr="00A211BB">
        <w:rPr>
          <w:sz w:val="24"/>
          <w:szCs w:val="24"/>
        </w:rPr>
        <w:t xml:space="preserve">The </w:t>
      </w:r>
      <w:r w:rsidR="006D0DDA">
        <w:rPr>
          <w:sz w:val="24"/>
          <w:szCs w:val="24"/>
        </w:rPr>
        <w:t xml:space="preserve">information collection </w:t>
      </w:r>
      <w:r w:rsidRPr="00A211BB">
        <w:rPr>
          <w:sz w:val="24"/>
          <w:szCs w:val="24"/>
        </w:rPr>
        <w:t xml:space="preserve">does not duplicate any other </w:t>
      </w:r>
      <w:r w:rsidR="00BD6033">
        <w:rPr>
          <w:sz w:val="24"/>
          <w:szCs w:val="24"/>
        </w:rPr>
        <w:t>effort and the information cannot be obtained from any other source.</w:t>
      </w:r>
    </w:p>
    <w:p w:rsidR="00D22C70" w:rsidP="00A211BB" w:rsidRDefault="00D22C70" w14:paraId="043B0606" w14:textId="77777777">
      <w:pPr>
        <w:tabs>
          <w:tab w:val="left" w:pos="0"/>
          <w:tab w:val="left" w:pos="360"/>
          <w:tab w:val="left" w:pos="720"/>
        </w:tabs>
        <w:suppressAutoHyphens/>
        <w:spacing w:line="240" w:lineRule="atLeast"/>
        <w:ind w:left="360"/>
        <w:rPr>
          <w:sz w:val="24"/>
          <w:szCs w:val="24"/>
        </w:rPr>
      </w:pPr>
    </w:p>
    <w:p w:rsidRPr="007952CC" w:rsidR="00D22C70" w:rsidP="007952CC" w:rsidRDefault="00D22C70" w14:paraId="6762CE66"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Small Business</w:t>
      </w:r>
    </w:p>
    <w:p w:rsidRPr="00A211BB" w:rsidR="00D22C70" w:rsidP="00A211BB" w:rsidRDefault="00D22C70" w14:paraId="5494FE10" w14:textId="77777777">
      <w:pPr>
        <w:tabs>
          <w:tab w:val="left" w:pos="0"/>
          <w:tab w:val="left" w:pos="360"/>
          <w:tab w:val="left" w:pos="720"/>
        </w:tabs>
        <w:suppressAutoHyphens/>
        <w:spacing w:line="240" w:lineRule="atLeast"/>
        <w:ind w:left="360"/>
        <w:rPr>
          <w:sz w:val="24"/>
          <w:szCs w:val="24"/>
        </w:rPr>
      </w:pPr>
    </w:p>
    <w:p w:rsidRPr="00A211BB" w:rsidR="00D22C70" w:rsidP="00552775" w:rsidRDefault="00D22C70" w14:paraId="72E391F0" w14:textId="77777777">
      <w:pPr>
        <w:tabs>
          <w:tab w:val="left" w:pos="0"/>
          <w:tab w:val="left" w:pos="720"/>
        </w:tabs>
        <w:suppressAutoHyphens/>
        <w:spacing w:line="240" w:lineRule="atLeast"/>
        <w:ind w:left="720"/>
        <w:rPr>
          <w:sz w:val="24"/>
          <w:szCs w:val="24"/>
        </w:rPr>
      </w:pPr>
      <w:r w:rsidRPr="00A211BB">
        <w:rPr>
          <w:sz w:val="24"/>
          <w:szCs w:val="24"/>
        </w:rPr>
        <w:t xml:space="preserve">This </w:t>
      </w:r>
      <w:r w:rsidRPr="00A211BB" w:rsidR="00343D5E">
        <w:rPr>
          <w:sz w:val="24"/>
          <w:szCs w:val="24"/>
        </w:rPr>
        <w:t>cost report</w:t>
      </w:r>
      <w:r w:rsidRPr="00A211BB">
        <w:rPr>
          <w:sz w:val="24"/>
          <w:szCs w:val="24"/>
        </w:rPr>
        <w:t xml:space="preserve"> has been designed with a view towards minimizing the reporting burden for small </w:t>
      </w:r>
      <w:r w:rsidR="00A50946">
        <w:rPr>
          <w:sz w:val="24"/>
          <w:szCs w:val="24"/>
        </w:rPr>
        <w:t>HHA</w:t>
      </w:r>
      <w:r w:rsidR="00DA7D1E">
        <w:rPr>
          <w:sz w:val="24"/>
          <w:szCs w:val="24"/>
        </w:rPr>
        <w:t>s</w:t>
      </w:r>
      <w:r w:rsidRPr="00A211BB">
        <w:rPr>
          <w:sz w:val="24"/>
          <w:szCs w:val="24"/>
        </w:rPr>
        <w:t xml:space="preserve">.  </w:t>
      </w:r>
      <w:r w:rsidRPr="00DA7D1E" w:rsidR="00DA7D1E">
        <w:rPr>
          <w:sz w:val="24"/>
          <w:szCs w:val="24"/>
        </w:rPr>
        <w:t>The form is collected as infrequently as possible (annually) and only those data items necessary to determine the appropriate reimbursement rates are required.</w:t>
      </w:r>
    </w:p>
    <w:p w:rsidRPr="00A211BB" w:rsidR="00D22C70" w:rsidP="00A211BB" w:rsidRDefault="00D22C70" w14:paraId="1F629422" w14:textId="77777777">
      <w:pPr>
        <w:tabs>
          <w:tab w:val="left" w:pos="0"/>
          <w:tab w:val="left" w:pos="360"/>
          <w:tab w:val="left" w:pos="720"/>
        </w:tabs>
        <w:suppressAutoHyphens/>
        <w:spacing w:line="240" w:lineRule="atLeast"/>
        <w:ind w:left="360"/>
        <w:rPr>
          <w:sz w:val="24"/>
          <w:szCs w:val="24"/>
        </w:rPr>
      </w:pPr>
    </w:p>
    <w:p w:rsidRPr="007952CC" w:rsidR="00D22C70" w:rsidP="007952CC" w:rsidRDefault="00D22C70" w14:paraId="23D99E37"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Less Frequent Collection</w:t>
      </w:r>
    </w:p>
    <w:p w:rsidRPr="00A211BB" w:rsidR="00D22C70" w:rsidP="00A211BB" w:rsidRDefault="00D22C70" w14:paraId="6E9770DB" w14:textId="77777777">
      <w:pPr>
        <w:tabs>
          <w:tab w:val="left" w:pos="0"/>
          <w:tab w:val="left" w:pos="360"/>
          <w:tab w:val="left" w:pos="720"/>
        </w:tabs>
        <w:suppressAutoHyphens/>
        <w:spacing w:line="240" w:lineRule="atLeast"/>
        <w:ind w:left="360"/>
        <w:rPr>
          <w:sz w:val="24"/>
          <w:szCs w:val="24"/>
        </w:rPr>
      </w:pPr>
    </w:p>
    <w:p w:rsidRPr="00A211BB" w:rsidR="00D22C70" w:rsidP="00552775" w:rsidRDefault="00DA7D1E" w14:paraId="42D16956" w14:textId="40D5AFFC">
      <w:pPr>
        <w:tabs>
          <w:tab w:val="left" w:pos="0"/>
          <w:tab w:val="left" w:pos="720"/>
        </w:tabs>
        <w:suppressAutoHyphens/>
        <w:spacing w:line="240" w:lineRule="atLeast"/>
        <w:ind w:left="720"/>
        <w:rPr>
          <w:sz w:val="24"/>
          <w:szCs w:val="24"/>
        </w:rPr>
      </w:pPr>
      <w:r>
        <w:rPr>
          <w:sz w:val="24"/>
          <w:szCs w:val="24"/>
        </w:rPr>
        <w:t>If the annual cost report is</w:t>
      </w:r>
      <w:r w:rsidRPr="00A211BB" w:rsidR="00D22C70">
        <w:rPr>
          <w:sz w:val="24"/>
          <w:szCs w:val="24"/>
        </w:rPr>
        <w:t xml:space="preserve"> not filed,</w:t>
      </w:r>
      <w:r w:rsidR="005B304A">
        <w:rPr>
          <w:sz w:val="24"/>
          <w:szCs w:val="24"/>
        </w:rPr>
        <w:t xml:space="preserve"> </w:t>
      </w:r>
      <w:r w:rsidR="00BD6033">
        <w:rPr>
          <w:sz w:val="24"/>
          <w:szCs w:val="24"/>
        </w:rPr>
        <w:t>CMS</w:t>
      </w:r>
      <w:r w:rsidRPr="00A211BB" w:rsidR="00D22C70">
        <w:rPr>
          <w:sz w:val="24"/>
          <w:szCs w:val="24"/>
        </w:rPr>
        <w:t xml:space="preserve"> will be unable to determine whether proper payments are being made under Medicare.  </w:t>
      </w:r>
      <w:r w:rsidR="00BD6033">
        <w:rPr>
          <w:sz w:val="24"/>
        </w:rPr>
        <w:t>A</w:t>
      </w:r>
      <w:r w:rsidR="002B3585">
        <w:rPr>
          <w:sz w:val="24"/>
        </w:rPr>
        <w:t xml:space="preserve"> </w:t>
      </w:r>
      <w:r w:rsidR="003C28FB">
        <w:rPr>
          <w:sz w:val="24"/>
        </w:rPr>
        <w:t>home health agency</w:t>
      </w:r>
      <w:r w:rsidR="002B3585">
        <w:rPr>
          <w:sz w:val="24"/>
        </w:rPr>
        <w:t xml:space="preserve"> </w:t>
      </w:r>
      <w:r w:rsidR="000B2E9D">
        <w:rPr>
          <w:sz w:val="24"/>
        </w:rPr>
        <w:t>that</w:t>
      </w:r>
      <w:r w:rsidR="00BD6033">
        <w:rPr>
          <w:sz w:val="24"/>
        </w:rPr>
        <w:t xml:space="preserve"> </w:t>
      </w:r>
      <w:r w:rsidR="002B3585">
        <w:rPr>
          <w:sz w:val="24"/>
        </w:rPr>
        <w:t>fails to file a cost report</w:t>
      </w:r>
      <w:r w:rsidR="00BD6033">
        <w:rPr>
          <w:sz w:val="24"/>
        </w:rPr>
        <w:t xml:space="preserve"> by the statutory due date is notified that</w:t>
      </w:r>
      <w:r w:rsidR="002B3585">
        <w:rPr>
          <w:sz w:val="24"/>
        </w:rPr>
        <w:t xml:space="preserve"> interim payments </w:t>
      </w:r>
      <w:r w:rsidR="00BD6033">
        <w:rPr>
          <w:sz w:val="24"/>
        </w:rPr>
        <w:t xml:space="preserve">will be reduced, suspended or </w:t>
      </w:r>
      <w:r w:rsidR="002B3585">
        <w:rPr>
          <w:sz w:val="24"/>
        </w:rPr>
        <w:t>deemed overpayment</w:t>
      </w:r>
      <w:r w:rsidR="000F16DE">
        <w:rPr>
          <w:sz w:val="24"/>
        </w:rPr>
        <w:t>s</w:t>
      </w:r>
      <w:r w:rsidR="00BD6033">
        <w:rPr>
          <w:sz w:val="24"/>
        </w:rPr>
        <w:t>.</w:t>
      </w:r>
    </w:p>
    <w:p w:rsidRPr="00A211BB" w:rsidR="00A211BB" w:rsidP="0014462A" w:rsidRDefault="00A211BB" w14:paraId="76C2D1BE" w14:textId="77777777">
      <w:pPr>
        <w:tabs>
          <w:tab w:val="left" w:pos="0"/>
          <w:tab w:val="left" w:pos="360"/>
          <w:tab w:val="left" w:pos="720"/>
        </w:tabs>
        <w:suppressAutoHyphens/>
        <w:spacing w:line="240" w:lineRule="atLeast"/>
        <w:rPr>
          <w:sz w:val="24"/>
          <w:szCs w:val="24"/>
        </w:rPr>
      </w:pPr>
    </w:p>
    <w:p w:rsidRPr="007952CC" w:rsidR="00D22C70" w:rsidP="007952CC" w:rsidRDefault="00D22C70" w14:paraId="2AF56D7F"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Special Circumstances</w:t>
      </w:r>
    </w:p>
    <w:p w:rsidRPr="00A211BB" w:rsidR="00D22C70" w:rsidP="00A211BB" w:rsidRDefault="00D22C70" w14:paraId="24766433" w14:textId="77777777">
      <w:pPr>
        <w:tabs>
          <w:tab w:val="left" w:pos="0"/>
          <w:tab w:val="left" w:pos="360"/>
          <w:tab w:val="left" w:pos="720"/>
        </w:tabs>
        <w:suppressAutoHyphens/>
        <w:spacing w:line="240" w:lineRule="atLeast"/>
        <w:ind w:left="360"/>
        <w:rPr>
          <w:sz w:val="24"/>
          <w:szCs w:val="24"/>
        </w:rPr>
      </w:pPr>
    </w:p>
    <w:p w:rsidR="000F16DE" w:rsidP="0014462A" w:rsidRDefault="00DA7D1E" w14:paraId="6CEEC1CE" w14:textId="60CD1DCD">
      <w:pPr>
        <w:tabs>
          <w:tab w:val="left" w:pos="0"/>
          <w:tab w:val="left" w:pos="720"/>
        </w:tabs>
        <w:suppressAutoHyphens/>
        <w:spacing w:line="240" w:lineRule="atLeast"/>
        <w:ind w:left="720"/>
        <w:rPr>
          <w:sz w:val="24"/>
          <w:szCs w:val="24"/>
        </w:rPr>
      </w:pPr>
      <w:r w:rsidRPr="00DA7D1E">
        <w:rPr>
          <w:sz w:val="24"/>
          <w:szCs w:val="24"/>
        </w:rPr>
        <w:t xml:space="preserve">This information collection complies with all general information collection guidelines </w:t>
      </w:r>
      <w:r w:rsidR="00843196">
        <w:rPr>
          <w:sz w:val="24"/>
          <w:szCs w:val="24"/>
        </w:rPr>
        <w:t xml:space="preserve">as described </w:t>
      </w:r>
      <w:r w:rsidRPr="00DA7D1E">
        <w:rPr>
          <w:sz w:val="24"/>
          <w:szCs w:val="24"/>
        </w:rPr>
        <w:t>in 5 CFR 1320.6.</w:t>
      </w:r>
    </w:p>
    <w:p w:rsidRPr="00A211BB" w:rsidR="00DA7D1E" w:rsidP="0014462A" w:rsidRDefault="00DA7D1E" w14:paraId="1E8DEE67" w14:textId="77777777">
      <w:pPr>
        <w:tabs>
          <w:tab w:val="left" w:pos="0"/>
          <w:tab w:val="left" w:pos="720"/>
        </w:tabs>
        <w:suppressAutoHyphens/>
        <w:spacing w:line="240" w:lineRule="atLeast"/>
        <w:ind w:left="720"/>
        <w:rPr>
          <w:sz w:val="24"/>
          <w:szCs w:val="24"/>
        </w:rPr>
      </w:pPr>
    </w:p>
    <w:p w:rsidRPr="007952CC" w:rsidR="00D22C70" w:rsidP="007952CC" w:rsidRDefault="00D22C70" w14:paraId="45FFB4EB"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Federal Register Notic</w:t>
      </w:r>
      <w:r w:rsidR="002B3585">
        <w:rPr>
          <w:sz w:val="24"/>
          <w:szCs w:val="24"/>
          <w:u w:val="single"/>
        </w:rPr>
        <w:t>e</w:t>
      </w:r>
    </w:p>
    <w:p w:rsidRPr="00A211BB" w:rsidR="00D22C70" w:rsidP="00A211BB" w:rsidRDefault="00D22C70" w14:paraId="7DCC6A7E" w14:textId="77777777">
      <w:pPr>
        <w:tabs>
          <w:tab w:val="left" w:pos="0"/>
          <w:tab w:val="left" w:pos="360"/>
          <w:tab w:val="left" w:pos="720"/>
        </w:tabs>
        <w:suppressAutoHyphens/>
        <w:spacing w:line="240" w:lineRule="atLeast"/>
        <w:ind w:left="360"/>
        <w:rPr>
          <w:sz w:val="24"/>
          <w:szCs w:val="24"/>
        </w:rPr>
      </w:pPr>
    </w:p>
    <w:p w:rsidR="005E4837" w:rsidP="00064406" w:rsidRDefault="002B3585" w14:paraId="261E5CC9" w14:textId="4773ED2A">
      <w:pPr>
        <w:ind w:left="720"/>
        <w:rPr>
          <w:sz w:val="24"/>
        </w:rPr>
      </w:pPr>
      <w:r w:rsidRPr="00A5541D">
        <w:rPr>
          <w:sz w:val="24"/>
        </w:rPr>
        <w:t xml:space="preserve">The </w:t>
      </w:r>
      <w:r>
        <w:rPr>
          <w:sz w:val="24"/>
        </w:rPr>
        <w:t xml:space="preserve">60 day </w:t>
      </w:r>
      <w:r w:rsidRPr="00A5541D">
        <w:rPr>
          <w:sz w:val="24"/>
        </w:rPr>
        <w:t xml:space="preserve">Federal Register </w:t>
      </w:r>
      <w:r>
        <w:rPr>
          <w:sz w:val="24"/>
        </w:rPr>
        <w:t xml:space="preserve">notice </w:t>
      </w:r>
      <w:r w:rsidRPr="00A5541D">
        <w:rPr>
          <w:sz w:val="24"/>
        </w:rPr>
        <w:t>was published on</w:t>
      </w:r>
      <w:r w:rsidR="00E8777F">
        <w:rPr>
          <w:sz w:val="24"/>
        </w:rPr>
        <w:t xml:space="preserve"> </w:t>
      </w:r>
      <w:r w:rsidR="00206327">
        <w:rPr>
          <w:sz w:val="24"/>
        </w:rPr>
        <w:t>April 16, 2019</w:t>
      </w:r>
      <w:r w:rsidRPr="005C1EA4">
        <w:rPr>
          <w:b/>
          <w:sz w:val="24"/>
        </w:rPr>
        <w:t>.</w:t>
      </w:r>
      <w:r w:rsidRPr="00A5541D">
        <w:rPr>
          <w:sz w:val="24"/>
        </w:rPr>
        <w:t xml:space="preserve"> </w:t>
      </w:r>
      <w:r w:rsidR="000F16DE">
        <w:rPr>
          <w:sz w:val="24"/>
        </w:rPr>
        <w:t xml:space="preserve"> </w:t>
      </w:r>
      <w:r w:rsidR="00064406">
        <w:rPr>
          <w:sz w:val="24"/>
        </w:rPr>
        <w:t>We received several comments.  See the attached summary of the comments and CMS responses to those comments.</w:t>
      </w:r>
    </w:p>
    <w:p w:rsidR="00854DDA" w:rsidP="00064406" w:rsidRDefault="00854DDA" w14:paraId="268A927C" w14:textId="77777777">
      <w:pPr>
        <w:ind w:left="720"/>
        <w:rPr>
          <w:sz w:val="24"/>
        </w:rPr>
      </w:pPr>
    </w:p>
    <w:p w:rsidR="007320C6" w:rsidP="00854DDA" w:rsidRDefault="00854DDA" w14:paraId="044631B0" w14:textId="6DE2C96C">
      <w:pPr>
        <w:ind w:left="720"/>
        <w:rPr>
          <w:sz w:val="24"/>
        </w:rPr>
      </w:pPr>
      <w:r>
        <w:rPr>
          <w:sz w:val="24"/>
        </w:rPr>
        <w:t xml:space="preserve">The 30 day Federal Register notice was published on February 24, 2020.  We received </w:t>
      </w:r>
      <w:r>
        <w:rPr>
          <w:sz w:val="24"/>
        </w:rPr>
        <w:lastRenderedPageBreak/>
        <w:t>several comments.  See the attached summary of the comments and CMS responses to those comments as well as the revised forms and instructions.</w:t>
      </w:r>
    </w:p>
    <w:p w:rsidRPr="00A211BB" w:rsidR="00854DDA" w:rsidP="00854DDA" w:rsidRDefault="00854DDA" w14:paraId="30561917" w14:textId="77777777">
      <w:pPr>
        <w:ind w:left="720"/>
        <w:rPr>
          <w:sz w:val="24"/>
          <w:szCs w:val="24"/>
        </w:rPr>
      </w:pPr>
    </w:p>
    <w:p w:rsidRPr="007952CC" w:rsidR="00D22C70" w:rsidP="007952CC" w:rsidRDefault="00D22C70" w14:paraId="52A1C887"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Payment/Gift to Respondent</w:t>
      </w:r>
    </w:p>
    <w:p w:rsidRPr="00A211BB" w:rsidR="00D22C70" w:rsidP="00A211BB" w:rsidRDefault="00D22C70" w14:paraId="2396D60F" w14:textId="77777777">
      <w:pPr>
        <w:tabs>
          <w:tab w:val="left" w:pos="0"/>
          <w:tab w:val="left" w:pos="360"/>
          <w:tab w:val="left" w:pos="720"/>
        </w:tabs>
        <w:suppressAutoHyphens/>
        <w:spacing w:line="240" w:lineRule="atLeast"/>
        <w:ind w:left="360"/>
        <w:rPr>
          <w:sz w:val="24"/>
          <w:szCs w:val="24"/>
        </w:rPr>
      </w:pPr>
    </w:p>
    <w:p w:rsidRPr="00A211BB" w:rsidR="00D22C70" w:rsidP="00552775" w:rsidRDefault="00D476F3" w14:paraId="6C9ED051" w14:textId="01B7B0B1">
      <w:pPr>
        <w:tabs>
          <w:tab w:val="left" w:pos="0"/>
          <w:tab w:val="left" w:pos="720"/>
        </w:tabs>
        <w:suppressAutoHyphens/>
        <w:spacing w:line="240" w:lineRule="atLeast"/>
        <w:ind w:left="720"/>
        <w:rPr>
          <w:sz w:val="24"/>
          <w:szCs w:val="24"/>
        </w:rPr>
      </w:pPr>
      <w:r w:rsidRPr="00BE3794">
        <w:rPr>
          <w:sz w:val="24"/>
        </w:rPr>
        <w:t>There are no payments or gifts made to a respondent for completion of this data collection.  The payments are made for services rendered to our beneficiaries.  These reports collect the data for the costs and payments made to a provider.  If they fail to submit these reports there are penalties that are applied.  The penalty is the suspension of claims payments until a report is submitted. Once the report is submitted the payments for claims are released.  If they file the report timely there are no payment</w:t>
      </w:r>
      <w:r>
        <w:rPr>
          <w:sz w:val="24"/>
        </w:rPr>
        <w:t>s</w:t>
      </w:r>
      <w:r w:rsidRPr="00BE3794">
        <w:rPr>
          <w:sz w:val="24"/>
        </w:rPr>
        <w:t xml:space="preserve"> or gifts and no interruption in the claims payments.</w:t>
      </w:r>
    </w:p>
    <w:p w:rsidR="00CC7FA0" w:rsidP="00A211BB" w:rsidRDefault="00CC7FA0" w14:paraId="470AD0FE" w14:textId="77777777">
      <w:pPr>
        <w:tabs>
          <w:tab w:val="left" w:pos="0"/>
          <w:tab w:val="left" w:pos="360"/>
          <w:tab w:val="left" w:pos="720"/>
        </w:tabs>
        <w:suppressAutoHyphens/>
        <w:spacing w:line="240" w:lineRule="atLeast"/>
        <w:ind w:left="360"/>
        <w:rPr>
          <w:sz w:val="24"/>
          <w:szCs w:val="24"/>
        </w:rPr>
      </w:pPr>
    </w:p>
    <w:p w:rsidRPr="007952CC" w:rsidR="00D22C70" w:rsidP="007952CC" w:rsidRDefault="00D22C70" w14:paraId="661EC037"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Confidentiality</w:t>
      </w:r>
    </w:p>
    <w:p w:rsidRPr="00A211BB" w:rsidR="00D22C70" w:rsidP="00A211BB" w:rsidRDefault="00D22C70" w14:paraId="44C0FD0F" w14:textId="77777777">
      <w:pPr>
        <w:tabs>
          <w:tab w:val="left" w:pos="0"/>
          <w:tab w:val="left" w:pos="360"/>
          <w:tab w:val="left" w:pos="720"/>
        </w:tabs>
        <w:suppressAutoHyphens/>
        <w:spacing w:line="240" w:lineRule="atLeast"/>
        <w:ind w:left="360"/>
        <w:rPr>
          <w:sz w:val="24"/>
          <w:szCs w:val="24"/>
        </w:rPr>
      </w:pPr>
    </w:p>
    <w:p w:rsidR="00D22C70" w:rsidP="00121FDD" w:rsidRDefault="00D22C70" w14:paraId="3AB904B0" w14:textId="084F0CB9">
      <w:pPr>
        <w:tabs>
          <w:tab w:val="left" w:pos="0"/>
          <w:tab w:val="left" w:pos="720"/>
        </w:tabs>
        <w:suppressAutoHyphens/>
        <w:spacing w:line="240" w:lineRule="atLeast"/>
        <w:ind w:left="720"/>
        <w:rPr>
          <w:sz w:val="24"/>
          <w:szCs w:val="24"/>
        </w:rPr>
      </w:pPr>
      <w:r w:rsidRPr="00A211BB">
        <w:rPr>
          <w:sz w:val="24"/>
          <w:szCs w:val="24"/>
        </w:rPr>
        <w:t xml:space="preserve">Confidentiality is not </w:t>
      </w:r>
      <w:r w:rsidR="00DA7D1E">
        <w:rPr>
          <w:sz w:val="24"/>
          <w:szCs w:val="24"/>
        </w:rPr>
        <w:t>assured</w:t>
      </w:r>
      <w:r w:rsidRPr="00A211BB">
        <w:rPr>
          <w:sz w:val="24"/>
          <w:szCs w:val="24"/>
        </w:rPr>
        <w:t>.  Medicare cost reports are subject to disclosure under the Freedom of Information Act.</w:t>
      </w:r>
    </w:p>
    <w:p w:rsidRPr="00A211BB" w:rsidR="008C29EC" w:rsidP="00121FDD" w:rsidRDefault="008C29EC" w14:paraId="66F59E6A" w14:textId="77777777">
      <w:pPr>
        <w:tabs>
          <w:tab w:val="left" w:pos="0"/>
          <w:tab w:val="left" w:pos="720"/>
        </w:tabs>
        <w:suppressAutoHyphens/>
        <w:spacing w:line="240" w:lineRule="atLeast"/>
        <w:ind w:left="720"/>
        <w:rPr>
          <w:sz w:val="24"/>
          <w:szCs w:val="24"/>
        </w:rPr>
      </w:pPr>
    </w:p>
    <w:p w:rsidRPr="007952CC" w:rsidR="00D22C70" w:rsidP="007952CC" w:rsidRDefault="00D22C70" w14:paraId="77CB3779"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Sensitive Questions</w:t>
      </w:r>
    </w:p>
    <w:p w:rsidRPr="00A211BB" w:rsidR="00D22C70" w:rsidP="00A211BB" w:rsidRDefault="00D22C70" w14:paraId="4A1C1D89" w14:textId="77777777">
      <w:pPr>
        <w:tabs>
          <w:tab w:val="left" w:pos="0"/>
          <w:tab w:val="left" w:pos="360"/>
          <w:tab w:val="left" w:pos="720"/>
        </w:tabs>
        <w:suppressAutoHyphens/>
        <w:spacing w:line="240" w:lineRule="atLeast"/>
        <w:ind w:left="360"/>
        <w:rPr>
          <w:sz w:val="24"/>
          <w:szCs w:val="24"/>
        </w:rPr>
      </w:pPr>
    </w:p>
    <w:p w:rsidRPr="00A211BB" w:rsidR="00D22C70" w:rsidP="00552775" w:rsidRDefault="00D22C70" w14:paraId="33A5DEEC" w14:textId="77777777">
      <w:pPr>
        <w:tabs>
          <w:tab w:val="left" w:pos="0"/>
          <w:tab w:val="left" w:pos="720"/>
        </w:tabs>
        <w:suppressAutoHyphens/>
        <w:spacing w:line="240" w:lineRule="atLeast"/>
        <w:ind w:left="720"/>
        <w:rPr>
          <w:sz w:val="24"/>
          <w:szCs w:val="24"/>
        </w:rPr>
      </w:pPr>
      <w:r w:rsidRPr="00A211BB">
        <w:rPr>
          <w:sz w:val="24"/>
          <w:szCs w:val="24"/>
        </w:rPr>
        <w:t>There are no questions of a sensitive nature.</w:t>
      </w:r>
    </w:p>
    <w:p w:rsidR="00CC7FA0" w:rsidP="00420E87" w:rsidRDefault="00CC7FA0" w14:paraId="04702A42" w14:textId="77777777">
      <w:pPr>
        <w:tabs>
          <w:tab w:val="left" w:pos="0"/>
          <w:tab w:val="left" w:pos="360"/>
          <w:tab w:val="left" w:pos="720"/>
        </w:tabs>
        <w:suppressAutoHyphens/>
        <w:spacing w:line="240" w:lineRule="atLeast"/>
        <w:rPr>
          <w:sz w:val="24"/>
          <w:szCs w:val="24"/>
        </w:rPr>
      </w:pPr>
    </w:p>
    <w:p w:rsidRPr="003A2813" w:rsidR="00D22C70" w:rsidP="007952CC" w:rsidRDefault="00D22C70" w14:paraId="508133C4"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 xml:space="preserve">Estimate of Burden (Hours and </w:t>
      </w:r>
      <w:r w:rsidRPr="007952CC" w:rsidR="002015DB">
        <w:rPr>
          <w:sz w:val="24"/>
          <w:szCs w:val="24"/>
          <w:u w:val="single"/>
        </w:rPr>
        <w:t>Cost</w:t>
      </w:r>
      <w:r w:rsidRPr="007952CC">
        <w:rPr>
          <w:sz w:val="24"/>
          <w:szCs w:val="24"/>
          <w:u w:val="single"/>
        </w:rPr>
        <w:t>)</w:t>
      </w:r>
    </w:p>
    <w:p w:rsidR="00CC7FA0" w:rsidP="003A2813" w:rsidRDefault="00CC7FA0" w14:paraId="5F56EB48" w14:textId="77777777">
      <w:pPr>
        <w:pStyle w:val="ListParagraph"/>
        <w:tabs>
          <w:tab w:val="left" w:pos="0"/>
          <w:tab w:val="left" w:pos="360"/>
          <w:tab w:val="left" w:pos="720"/>
        </w:tabs>
        <w:suppressAutoHyphens/>
        <w:spacing w:line="240" w:lineRule="atLeast"/>
        <w:rPr>
          <w:sz w:val="24"/>
          <w:szCs w:val="24"/>
        </w:rPr>
      </w:pPr>
    </w:p>
    <w:tbl>
      <w:tblPr>
        <w:tblpPr w:leftFromText="180" w:rightFromText="180" w:vertAnchor="text" w:horzAnchor="margin" w:tblpXSpec="center" w:tblpY="171"/>
        <w:tblW w:w="5000" w:type="pct"/>
        <w:tblLook w:val="04A0" w:firstRow="1" w:lastRow="0" w:firstColumn="1" w:lastColumn="0" w:noHBand="0" w:noVBand="1"/>
      </w:tblPr>
      <w:tblGrid>
        <w:gridCol w:w="400"/>
        <w:gridCol w:w="6575"/>
        <w:gridCol w:w="1967"/>
        <w:gridCol w:w="398"/>
      </w:tblGrid>
      <w:tr w:rsidRPr="0017106C" w:rsidR="005A1336" w:rsidTr="00C85ABF" w14:paraId="25D68C25" w14:textId="77777777">
        <w:trPr>
          <w:trHeight w:val="315"/>
        </w:trPr>
        <w:tc>
          <w:tcPr>
            <w:tcW w:w="214" w:type="pct"/>
            <w:tcBorders>
              <w:top w:val="single" w:color="auto" w:sz="8" w:space="0"/>
              <w:left w:val="single" w:color="auto" w:sz="8" w:space="0"/>
              <w:bottom w:val="nil"/>
              <w:right w:val="nil"/>
            </w:tcBorders>
            <w:shd w:val="clear" w:color="auto" w:fill="auto"/>
            <w:noWrap/>
            <w:vAlign w:val="bottom"/>
          </w:tcPr>
          <w:p w:rsidRPr="0017106C" w:rsidR="0025354D" w:rsidP="00C85ABF" w:rsidRDefault="0025354D" w14:paraId="7493675A" w14:textId="77777777">
            <w:pPr>
              <w:widowControl/>
              <w:autoSpaceDE/>
              <w:autoSpaceDN/>
              <w:adjustRightInd/>
              <w:rPr>
                <w:rFonts w:ascii="Arial" w:hAnsi="Arial" w:cs="Arial"/>
              </w:rPr>
            </w:pPr>
          </w:p>
        </w:tc>
        <w:tc>
          <w:tcPr>
            <w:tcW w:w="3520" w:type="pct"/>
            <w:tcBorders>
              <w:top w:val="single" w:color="auto" w:sz="8" w:space="0"/>
              <w:left w:val="nil"/>
              <w:bottom w:val="nil"/>
              <w:right w:val="nil"/>
            </w:tcBorders>
            <w:shd w:val="clear" w:color="auto" w:fill="auto"/>
            <w:noWrap/>
            <w:vAlign w:val="bottom"/>
          </w:tcPr>
          <w:p w:rsidRPr="008E209C" w:rsidR="0025354D" w:rsidP="00C85ABF" w:rsidRDefault="0025354D" w14:paraId="55F0D397" w14:textId="77777777">
            <w:pPr>
              <w:widowControl/>
              <w:autoSpaceDE/>
              <w:autoSpaceDN/>
              <w:adjustRightInd/>
              <w:rPr>
                <w:sz w:val="14"/>
                <w:szCs w:val="14"/>
              </w:rPr>
            </w:pPr>
          </w:p>
        </w:tc>
        <w:tc>
          <w:tcPr>
            <w:tcW w:w="1053" w:type="pct"/>
            <w:tcBorders>
              <w:top w:val="single" w:color="auto" w:sz="8" w:space="0"/>
              <w:left w:val="nil"/>
              <w:bottom w:val="nil"/>
              <w:right w:val="nil"/>
            </w:tcBorders>
            <w:shd w:val="clear" w:color="auto" w:fill="auto"/>
            <w:noWrap/>
            <w:vAlign w:val="bottom"/>
          </w:tcPr>
          <w:p w:rsidRPr="008E209C" w:rsidR="0025354D" w:rsidP="00C85ABF" w:rsidRDefault="0025354D" w14:paraId="12F23747" w14:textId="77777777">
            <w:pPr>
              <w:widowControl/>
              <w:autoSpaceDE/>
              <w:autoSpaceDN/>
              <w:adjustRightInd/>
              <w:rPr>
                <w:sz w:val="24"/>
              </w:rPr>
            </w:pPr>
          </w:p>
        </w:tc>
        <w:tc>
          <w:tcPr>
            <w:tcW w:w="213" w:type="pct"/>
            <w:tcBorders>
              <w:top w:val="single" w:color="auto" w:sz="8" w:space="0"/>
              <w:left w:val="nil"/>
              <w:bottom w:val="nil"/>
              <w:right w:val="single" w:color="auto" w:sz="8" w:space="0"/>
            </w:tcBorders>
            <w:shd w:val="clear" w:color="auto" w:fill="auto"/>
            <w:noWrap/>
            <w:vAlign w:val="bottom"/>
          </w:tcPr>
          <w:p w:rsidRPr="007F7B34" w:rsidR="0025354D" w:rsidP="00C85ABF" w:rsidRDefault="0025354D" w14:paraId="713F5616" w14:textId="77777777">
            <w:pPr>
              <w:widowControl/>
              <w:autoSpaceDE/>
              <w:autoSpaceDN/>
              <w:adjustRightInd/>
              <w:rPr>
                <w:rFonts w:ascii="Arial" w:hAnsi="Arial" w:cs="Arial"/>
                <w:highlight w:val="yellow"/>
              </w:rPr>
            </w:pPr>
          </w:p>
        </w:tc>
      </w:tr>
      <w:tr w:rsidRPr="0017106C" w:rsidR="005A1336" w:rsidTr="00C85ABF" w14:paraId="7376403A" w14:textId="77777777">
        <w:trPr>
          <w:trHeight w:val="162"/>
        </w:trPr>
        <w:tc>
          <w:tcPr>
            <w:tcW w:w="214" w:type="pct"/>
            <w:tcBorders>
              <w:top w:val="nil"/>
              <w:left w:val="single" w:color="auto" w:sz="8" w:space="0"/>
              <w:bottom w:val="nil"/>
              <w:right w:val="nil"/>
            </w:tcBorders>
            <w:shd w:val="clear" w:color="auto" w:fill="auto"/>
            <w:noWrap/>
            <w:vAlign w:val="bottom"/>
          </w:tcPr>
          <w:p w:rsidRPr="0017106C" w:rsidR="0025354D" w:rsidP="00C85ABF" w:rsidRDefault="0025354D" w14:paraId="32CB2E8D"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005A1336" w:rsidP="0025354D" w:rsidRDefault="0025354D" w14:paraId="5BA7D33F" w14:textId="77777777">
            <w:pPr>
              <w:widowControl/>
              <w:rPr>
                <w:sz w:val="24"/>
                <w:szCs w:val="24"/>
              </w:rPr>
            </w:pPr>
            <w:r w:rsidRPr="00CC0B43">
              <w:rPr>
                <w:sz w:val="24"/>
                <w:szCs w:val="24"/>
              </w:rPr>
              <w:t xml:space="preserve">Number of </w:t>
            </w:r>
            <w:r>
              <w:rPr>
                <w:sz w:val="24"/>
                <w:szCs w:val="24"/>
              </w:rPr>
              <w:t>HHA</w:t>
            </w:r>
            <w:r w:rsidRPr="00CC0B43">
              <w:rPr>
                <w:sz w:val="24"/>
                <w:szCs w:val="24"/>
              </w:rPr>
              <w:t xml:space="preserve"> facilities</w:t>
            </w:r>
          </w:p>
          <w:p w:rsidRPr="00CC0B43" w:rsidR="0025354D" w:rsidP="0025354D" w:rsidRDefault="005A1336" w14:paraId="37C59929" w14:textId="721C67EA">
            <w:pPr>
              <w:widowControl/>
              <w:rPr>
                <w:sz w:val="24"/>
                <w:szCs w:val="24"/>
              </w:rPr>
            </w:pPr>
            <w:r>
              <w:rPr>
                <w:sz w:val="24"/>
                <w:szCs w:val="24"/>
              </w:rPr>
              <w:t xml:space="preserve">Form CMS </w:t>
            </w:r>
            <w:r w:rsidR="00854DDA">
              <w:rPr>
                <w:sz w:val="24"/>
                <w:szCs w:val="24"/>
              </w:rPr>
              <w:t>1728-20</w:t>
            </w:r>
            <w:r w:rsidRPr="00CC0B43" w:rsidR="0025354D">
              <w:rPr>
                <w:sz w:val="24"/>
                <w:szCs w:val="24"/>
              </w:rPr>
              <w:t xml:space="preserve"> </w:t>
            </w:r>
          </w:p>
        </w:tc>
        <w:tc>
          <w:tcPr>
            <w:tcW w:w="1053" w:type="pct"/>
            <w:tcBorders>
              <w:top w:val="nil"/>
              <w:left w:val="nil"/>
              <w:bottom w:val="nil"/>
              <w:right w:val="nil"/>
            </w:tcBorders>
            <w:shd w:val="clear" w:color="auto" w:fill="auto"/>
            <w:noWrap/>
            <w:vAlign w:val="bottom"/>
          </w:tcPr>
          <w:p w:rsidRPr="00CC0B43" w:rsidR="0025354D" w:rsidP="00206327" w:rsidRDefault="0025354D" w14:paraId="32918DBE" w14:textId="4A0999A6">
            <w:pPr>
              <w:widowControl/>
              <w:jc w:val="right"/>
              <w:rPr>
                <w:sz w:val="24"/>
                <w:szCs w:val="24"/>
              </w:rPr>
            </w:pPr>
            <w:r>
              <w:rPr>
                <w:sz w:val="24"/>
                <w:szCs w:val="24"/>
              </w:rPr>
              <w:t>1</w:t>
            </w:r>
            <w:r w:rsidR="00A83691">
              <w:rPr>
                <w:sz w:val="24"/>
                <w:szCs w:val="24"/>
              </w:rPr>
              <w:t>0</w:t>
            </w:r>
            <w:r>
              <w:rPr>
                <w:sz w:val="24"/>
                <w:szCs w:val="24"/>
              </w:rPr>
              <w:t>,1</w:t>
            </w:r>
            <w:r w:rsidR="00206327">
              <w:rPr>
                <w:sz w:val="24"/>
                <w:szCs w:val="24"/>
              </w:rPr>
              <w:t>3</w:t>
            </w:r>
            <w:r w:rsidR="00A83691">
              <w:rPr>
                <w:sz w:val="24"/>
                <w:szCs w:val="24"/>
              </w:rPr>
              <w:t>9</w:t>
            </w:r>
            <w:r>
              <w:rPr>
                <w:sz w:val="24"/>
                <w:szCs w:val="24"/>
              </w:rPr>
              <w:t xml:space="preserve">   </w:t>
            </w:r>
          </w:p>
        </w:tc>
        <w:tc>
          <w:tcPr>
            <w:tcW w:w="213" w:type="pct"/>
            <w:tcBorders>
              <w:top w:val="nil"/>
              <w:left w:val="nil"/>
              <w:bottom w:val="nil"/>
              <w:right w:val="single" w:color="auto" w:sz="8" w:space="0"/>
            </w:tcBorders>
            <w:shd w:val="clear" w:color="auto" w:fill="auto"/>
            <w:noWrap/>
            <w:vAlign w:val="bottom"/>
          </w:tcPr>
          <w:p w:rsidRPr="007F7B34" w:rsidR="0025354D" w:rsidP="00C85ABF" w:rsidRDefault="0025354D" w14:paraId="14F76F51" w14:textId="77777777">
            <w:pPr>
              <w:widowControl/>
              <w:autoSpaceDE/>
              <w:autoSpaceDN/>
              <w:adjustRightInd/>
              <w:rPr>
                <w:rFonts w:ascii="Arial" w:hAnsi="Arial" w:cs="Arial"/>
                <w:highlight w:val="yellow"/>
              </w:rPr>
            </w:pPr>
          </w:p>
        </w:tc>
      </w:tr>
      <w:tr w:rsidRPr="0017106C" w:rsidR="005A1336" w:rsidTr="00C85ABF" w14:paraId="719245FA" w14:textId="77777777">
        <w:trPr>
          <w:trHeight w:val="315"/>
        </w:trPr>
        <w:tc>
          <w:tcPr>
            <w:tcW w:w="214" w:type="pct"/>
            <w:tcBorders>
              <w:top w:val="nil"/>
              <w:left w:val="single" w:color="auto" w:sz="8" w:space="0"/>
              <w:bottom w:val="nil"/>
              <w:right w:val="nil"/>
            </w:tcBorders>
            <w:shd w:val="clear" w:color="auto" w:fill="auto"/>
            <w:noWrap/>
            <w:vAlign w:val="bottom"/>
          </w:tcPr>
          <w:p w:rsidRPr="0017106C" w:rsidR="0025354D" w:rsidP="00C85ABF" w:rsidRDefault="0025354D" w14:paraId="1A8AEE0E"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Pr="00CC0B43" w:rsidR="0025354D" w:rsidP="00C85ABF" w:rsidRDefault="0025354D" w14:paraId="5EDB41A9" w14:textId="77777777">
            <w:pPr>
              <w:widowControl/>
              <w:ind w:firstLine="960" w:firstLineChars="400"/>
              <w:rPr>
                <w:sz w:val="24"/>
                <w:szCs w:val="24"/>
              </w:rPr>
            </w:pPr>
          </w:p>
        </w:tc>
        <w:tc>
          <w:tcPr>
            <w:tcW w:w="1053" w:type="pct"/>
            <w:tcBorders>
              <w:top w:val="nil"/>
              <w:left w:val="nil"/>
              <w:right w:val="nil"/>
            </w:tcBorders>
            <w:shd w:val="clear" w:color="auto" w:fill="auto"/>
            <w:noWrap/>
            <w:vAlign w:val="bottom"/>
          </w:tcPr>
          <w:p w:rsidRPr="00CC0B43" w:rsidR="0025354D" w:rsidP="00C85ABF" w:rsidRDefault="0025354D" w14:paraId="1C72E18A" w14:textId="77777777">
            <w:pPr>
              <w:widowControl/>
              <w:rPr>
                <w:rFonts w:ascii="Arial" w:hAnsi="Arial" w:cs="Arial"/>
                <w:sz w:val="24"/>
                <w:szCs w:val="24"/>
              </w:rPr>
            </w:pPr>
          </w:p>
        </w:tc>
        <w:tc>
          <w:tcPr>
            <w:tcW w:w="213" w:type="pct"/>
            <w:tcBorders>
              <w:top w:val="nil"/>
              <w:left w:val="nil"/>
              <w:bottom w:val="nil"/>
              <w:right w:val="single" w:color="auto" w:sz="8" w:space="0"/>
            </w:tcBorders>
            <w:shd w:val="clear" w:color="auto" w:fill="auto"/>
            <w:noWrap/>
            <w:vAlign w:val="bottom"/>
          </w:tcPr>
          <w:p w:rsidRPr="007F7B34" w:rsidR="0025354D" w:rsidP="00C85ABF" w:rsidRDefault="0025354D" w14:paraId="7E43293F" w14:textId="77777777">
            <w:pPr>
              <w:widowControl/>
              <w:autoSpaceDE/>
              <w:autoSpaceDN/>
              <w:adjustRightInd/>
              <w:rPr>
                <w:rFonts w:ascii="Arial" w:hAnsi="Arial" w:cs="Arial"/>
                <w:highlight w:val="yellow"/>
              </w:rPr>
            </w:pPr>
          </w:p>
        </w:tc>
      </w:tr>
      <w:tr w:rsidRPr="0017106C" w:rsidR="005A1336" w:rsidTr="00C85ABF" w14:paraId="091AAB9F" w14:textId="77777777">
        <w:trPr>
          <w:trHeight w:val="162"/>
        </w:trPr>
        <w:tc>
          <w:tcPr>
            <w:tcW w:w="214" w:type="pct"/>
            <w:tcBorders>
              <w:top w:val="nil"/>
              <w:left w:val="single" w:color="auto" w:sz="8" w:space="0"/>
              <w:bottom w:val="nil"/>
              <w:right w:val="nil"/>
            </w:tcBorders>
            <w:shd w:val="clear" w:color="auto" w:fill="auto"/>
            <w:noWrap/>
            <w:vAlign w:val="bottom"/>
          </w:tcPr>
          <w:p w:rsidRPr="0017106C" w:rsidR="0025354D" w:rsidP="00C85ABF" w:rsidRDefault="0025354D" w14:paraId="13937DD6"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Pr="00CC0B43" w:rsidR="0025354D" w:rsidP="005A1336" w:rsidRDefault="0025354D" w14:paraId="1C4F3184" w14:textId="7F022D25">
            <w:pPr>
              <w:widowControl/>
              <w:rPr>
                <w:sz w:val="24"/>
                <w:szCs w:val="24"/>
              </w:rPr>
            </w:pPr>
            <w:r w:rsidRPr="00CC0B43">
              <w:rPr>
                <w:sz w:val="24"/>
                <w:szCs w:val="24"/>
              </w:rPr>
              <w:t xml:space="preserve">Hours burden per </w:t>
            </w:r>
            <w:r w:rsidR="005A1336">
              <w:rPr>
                <w:sz w:val="24"/>
                <w:szCs w:val="24"/>
              </w:rPr>
              <w:t>HHA</w:t>
            </w:r>
          </w:p>
        </w:tc>
        <w:tc>
          <w:tcPr>
            <w:tcW w:w="1053" w:type="pct"/>
            <w:tcBorders>
              <w:top w:val="nil"/>
              <w:left w:val="nil"/>
              <w:right w:val="nil"/>
            </w:tcBorders>
            <w:shd w:val="clear" w:color="auto" w:fill="auto"/>
            <w:noWrap/>
            <w:vAlign w:val="bottom"/>
          </w:tcPr>
          <w:p w:rsidRPr="00911005" w:rsidR="0025354D" w:rsidP="00C85ABF" w:rsidRDefault="0025354D" w14:paraId="252B6654" w14:textId="77777777">
            <w:pPr>
              <w:widowControl/>
              <w:jc w:val="right"/>
              <w:rPr>
                <w:color w:val="000000" w:themeColor="text1"/>
                <w:sz w:val="24"/>
                <w:szCs w:val="24"/>
              </w:rPr>
            </w:pPr>
          </w:p>
        </w:tc>
        <w:tc>
          <w:tcPr>
            <w:tcW w:w="213" w:type="pct"/>
            <w:tcBorders>
              <w:top w:val="nil"/>
              <w:left w:val="nil"/>
              <w:bottom w:val="nil"/>
              <w:right w:val="single" w:color="auto" w:sz="8" w:space="0"/>
            </w:tcBorders>
            <w:shd w:val="clear" w:color="auto" w:fill="auto"/>
            <w:noWrap/>
            <w:vAlign w:val="bottom"/>
          </w:tcPr>
          <w:p w:rsidRPr="007F7B34" w:rsidR="0025354D" w:rsidP="00C85ABF" w:rsidRDefault="0025354D" w14:paraId="0D016209" w14:textId="77777777">
            <w:pPr>
              <w:widowControl/>
              <w:autoSpaceDE/>
              <w:autoSpaceDN/>
              <w:adjustRightInd/>
              <w:rPr>
                <w:rFonts w:ascii="Arial" w:hAnsi="Arial" w:cs="Arial"/>
                <w:highlight w:val="yellow"/>
              </w:rPr>
            </w:pPr>
          </w:p>
        </w:tc>
      </w:tr>
      <w:tr w:rsidRPr="0017106C" w:rsidR="005A1336" w:rsidTr="00C85ABF" w14:paraId="144594C0" w14:textId="77777777">
        <w:trPr>
          <w:trHeight w:val="315"/>
        </w:trPr>
        <w:tc>
          <w:tcPr>
            <w:tcW w:w="214" w:type="pct"/>
            <w:tcBorders>
              <w:top w:val="nil"/>
              <w:left w:val="single" w:color="auto" w:sz="8" w:space="0"/>
              <w:bottom w:val="nil"/>
              <w:right w:val="nil"/>
            </w:tcBorders>
            <w:shd w:val="clear" w:color="auto" w:fill="auto"/>
            <w:noWrap/>
            <w:vAlign w:val="bottom"/>
          </w:tcPr>
          <w:p w:rsidRPr="0017106C" w:rsidR="0025354D" w:rsidP="00C85ABF" w:rsidRDefault="0025354D" w14:paraId="5F3696A7"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Pr="00CC0B43" w:rsidR="0025354D" w:rsidP="00C85ABF" w:rsidRDefault="0025354D" w14:paraId="4C3E5EBB" w14:textId="77777777">
            <w:pPr>
              <w:widowControl/>
              <w:rPr>
                <w:sz w:val="24"/>
                <w:szCs w:val="24"/>
              </w:rPr>
            </w:pPr>
            <w:r>
              <w:rPr>
                <w:sz w:val="24"/>
                <w:szCs w:val="24"/>
              </w:rPr>
              <w:t>Reporting</w:t>
            </w:r>
          </w:p>
        </w:tc>
        <w:tc>
          <w:tcPr>
            <w:tcW w:w="1053" w:type="pct"/>
            <w:tcBorders>
              <w:left w:val="nil"/>
              <w:bottom w:val="nil"/>
              <w:right w:val="nil"/>
            </w:tcBorders>
            <w:shd w:val="clear" w:color="auto" w:fill="auto"/>
            <w:noWrap/>
            <w:vAlign w:val="bottom"/>
          </w:tcPr>
          <w:p w:rsidRPr="00C32B4A" w:rsidR="0025354D" w:rsidP="00C32B4A" w:rsidRDefault="0025354D" w14:paraId="0FC51284" w14:textId="6B83ED04">
            <w:pPr>
              <w:widowControl/>
              <w:rPr>
                <w:rFonts w:ascii="Arial" w:hAnsi="Arial" w:cs="Arial"/>
                <w:color w:val="000000" w:themeColor="text1"/>
                <w:sz w:val="24"/>
                <w:szCs w:val="24"/>
              </w:rPr>
            </w:pPr>
            <w:r w:rsidRPr="00C32B4A">
              <w:rPr>
                <w:color w:val="000000" w:themeColor="text1"/>
                <w:sz w:val="24"/>
                <w:szCs w:val="24"/>
              </w:rPr>
              <w:t xml:space="preserve"> </w:t>
            </w:r>
            <w:r w:rsidRPr="00C32B4A" w:rsidR="00C32B4A">
              <w:rPr>
                <w:color w:val="000000" w:themeColor="text1"/>
                <w:sz w:val="24"/>
                <w:szCs w:val="24"/>
              </w:rPr>
              <w:t>5</w:t>
            </w:r>
            <w:r w:rsidRPr="00C32B4A">
              <w:rPr>
                <w:color w:val="000000" w:themeColor="text1"/>
                <w:sz w:val="24"/>
                <w:szCs w:val="24"/>
              </w:rPr>
              <w:t xml:space="preserve">5                        </w:t>
            </w:r>
          </w:p>
        </w:tc>
        <w:tc>
          <w:tcPr>
            <w:tcW w:w="213" w:type="pct"/>
            <w:tcBorders>
              <w:top w:val="nil"/>
              <w:left w:val="nil"/>
              <w:bottom w:val="nil"/>
              <w:right w:val="single" w:color="auto" w:sz="8" w:space="0"/>
            </w:tcBorders>
            <w:shd w:val="clear" w:color="auto" w:fill="auto"/>
            <w:noWrap/>
            <w:vAlign w:val="bottom"/>
          </w:tcPr>
          <w:p w:rsidRPr="007F7B34" w:rsidR="0025354D" w:rsidP="00C85ABF" w:rsidRDefault="0025354D" w14:paraId="1663F89E" w14:textId="77777777">
            <w:pPr>
              <w:widowControl/>
              <w:autoSpaceDE/>
              <w:autoSpaceDN/>
              <w:adjustRightInd/>
              <w:rPr>
                <w:rFonts w:ascii="Arial" w:hAnsi="Arial" w:cs="Arial"/>
                <w:highlight w:val="yellow"/>
              </w:rPr>
            </w:pPr>
          </w:p>
        </w:tc>
      </w:tr>
      <w:tr w:rsidRPr="0017106C" w:rsidR="005A1336" w:rsidTr="00C85ABF" w14:paraId="634A95A6" w14:textId="77777777">
        <w:trPr>
          <w:trHeight w:val="315"/>
        </w:trPr>
        <w:tc>
          <w:tcPr>
            <w:tcW w:w="214" w:type="pct"/>
            <w:tcBorders>
              <w:top w:val="nil"/>
              <w:left w:val="single" w:color="auto" w:sz="8" w:space="0"/>
              <w:bottom w:val="nil"/>
              <w:right w:val="nil"/>
            </w:tcBorders>
            <w:shd w:val="clear" w:color="auto" w:fill="auto"/>
            <w:noWrap/>
            <w:vAlign w:val="bottom"/>
          </w:tcPr>
          <w:p w:rsidRPr="0017106C" w:rsidR="0025354D" w:rsidP="00C85ABF" w:rsidRDefault="0025354D" w14:paraId="4C684AF0"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Pr="00CC0B43" w:rsidR="0025354D" w:rsidP="00C85ABF" w:rsidRDefault="0025354D" w14:paraId="580FB413" w14:textId="77777777">
            <w:pPr>
              <w:widowControl/>
              <w:rPr>
                <w:sz w:val="24"/>
                <w:szCs w:val="24"/>
              </w:rPr>
            </w:pPr>
            <w:r>
              <w:rPr>
                <w:sz w:val="24"/>
                <w:szCs w:val="24"/>
              </w:rPr>
              <w:t>Recordkeeping</w:t>
            </w:r>
          </w:p>
        </w:tc>
        <w:tc>
          <w:tcPr>
            <w:tcW w:w="1053" w:type="pct"/>
            <w:tcBorders>
              <w:left w:val="nil"/>
              <w:bottom w:val="nil"/>
              <w:right w:val="nil"/>
            </w:tcBorders>
            <w:shd w:val="clear" w:color="auto" w:fill="auto"/>
            <w:noWrap/>
            <w:vAlign w:val="bottom"/>
          </w:tcPr>
          <w:p w:rsidRPr="00C32B4A" w:rsidR="0025354D" w:rsidP="00C32B4A" w:rsidRDefault="0025354D" w14:paraId="6D7C2367" w14:textId="16D0AEFD">
            <w:pPr>
              <w:widowControl/>
              <w:rPr>
                <w:rFonts w:ascii="Arial" w:hAnsi="Arial" w:cs="Arial"/>
                <w:color w:val="000000" w:themeColor="text1"/>
                <w:sz w:val="24"/>
                <w:szCs w:val="24"/>
              </w:rPr>
            </w:pPr>
            <w:r w:rsidRPr="00C32B4A">
              <w:rPr>
                <w:color w:val="000000" w:themeColor="text1"/>
                <w:sz w:val="24"/>
                <w:szCs w:val="24"/>
              </w:rPr>
              <w:t>1</w:t>
            </w:r>
            <w:r w:rsidRPr="00C32B4A" w:rsidR="00C32B4A">
              <w:rPr>
                <w:color w:val="000000" w:themeColor="text1"/>
                <w:sz w:val="24"/>
                <w:szCs w:val="24"/>
              </w:rPr>
              <w:t>40</w:t>
            </w:r>
            <w:r w:rsidRPr="00C32B4A">
              <w:rPr>
                <w:color w:val="000000" w:themeColor="text1"/>
                <w:sz w:val="24"/>
                <w:szCs w:val="24"/>
              </w:rPr>
              <w:t xml:space="preserve">                       </w:t>
            </w:r>
          </w:p>
        </w:tc>
        <w:tc>
          <w:tcPr>
            <w:tcW w:w="213" w:type="pct"/>
            <w:tcBorders>
              <w:top w:val="nil"/>
              <w:left w:val="nil"/>
              <w:bottom w:val="nil"/>
              <w:right w:val="single" w:color="auto" w:sz="8" w:space="0"/>
            </w:tcBorders>
            <w:shd w:val="clear" w:color="auto" w:fill="auto"/>
            <w:noWrap/>
            <w:vAlign w:val="bottom"/>
          </w:tcPr>
          <w:p w:rsidRPr="007F7B34" w:rsidR="0025354D" w:rsidP="00C85ABF" w:rsidRDefault="0025354D" w14:paraId="4E6712D7" w14:textId="77777777">
            <w:pPr>
              <w:widowControl/>
              <w:autoSpaceDE/>
              <w:autoSpaceDN/>
              <w:adjustRightInd/>
              <w:rPr>
                <w:rFonts w:ascii="Arial" w:hAnsi="Arial" w:cs="Arial"/>
                <w:highlight w:val="yellow"/>
              </w:rPr>
            </w:pPr>
          </w:p>
        </w:tc>
      </w:tr>
      <w:tr w:rsidRPr="0017106C" w:rsidR="005A1336" w:rsidTr="00C85ABF" w14:paraId="42E217E7" w14:textId="77777777">
        <w:trPr>
          <w:trHeight w:val="162"/>
        </w:trPr>
        <w:tc>
          <w:tcPr>
            <w:tcW w:w="214" w:type="pct"/>
            <w:tcBorders>
              <w:top w:val="nil"/>
              <w:left w:val="single" w:color="auto" w:sz="8" w:space="0"/>
              <w:bottom w:val="nil"/>
              <w:right w:val="nil"/>
            </w:tcBorders>
            <w:shd w:val="clear" w:color="auto" w:fill="auto"/>
            <w:noWrap/>
            <w:vAlign w:val="bottom"/>
          </w:tcPr>
          <w:p w:rsidRPr="0017106C" w:rsidR="0025354D" w:rsidP="00C85ABF" w:rsidRDefault="0025354D" w14:paraId="3F5BEF73"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Pr="00180FB0" w:rsidR="0025354D" w:rsidP="00C85ABF" w:rsidRDefault="0025354D" w14:paraId="44FDE911" w14:textId="77777777">
            <w:pPr>
              <w:widowControl/>
              <w:rPr>
                <w:sz w:val="24"/>
                <w:szCs w:val="24"/>
              </w:rPr>
            </w:pPr>
            <w:r>
              <w:rPr>
                <w:sz w:val="24"/>
                <w:szCs w:val="24"/>
              </w:rPr>
              <w:t>Total hours burden per facility</w:t>
            </w:r>
          </w:p>
        </w:tc>
        <w:tc>
          <w:tcPr>
            <w:tcW w:w="1053" w:type="pct"/>
            <w:tcBorders>
              <w:top w:val="nil"/>
              <w:left w:val="nil"/>
              <w:bottom w:val="nil"/>
              <w:right w:val="nil"/>
            </w:tcBorders>
            <w:shd w:val="clear" w:color="auto" w:fill="auto"/>
            <w:noWrap/>
            <w:vAlign w:val="bottom"/>
          </w:tcPr>
          <w:p w:rsidRPr="00C32B4A" w:rsidR="0025354D" w:rsidP="00C32B4A" w:rsidRDefault="0025354D" w14:paraId="5BE3064B" w14:textId="0978C6DB">
            <w:pPr>
              <w:widowControl/>
              <w:jc w:val="right"/>
              <w:rPr>
                <w:sz w:val="24"/>
                <w:szCs w:val="24"/>
              </w:rPr>
            </w:pPr>
            <w:r w:rsidRPr="00C32B4A">
              <w:rPr>
                <w:sz w:val="24"/>
                <w:szCs w:val="24"/>
              </w:rPr>
              <w:t>1</w:t>
            </w:r>
            <w:r w:rsidRPr="00C32B4A" w:rsidR="00C32B4A">
              <w:rPr>
                <w:sz w:val="24"/>
                <w:szCs w:val="24"/>
              </w:rPr>
              <w:t>9</w:t>
            </w:r>
            <w:r w:rsidR="00C32B4A">
              <w:rPr>
                <w:sz w:val="24"/>
                <w:szCs w:val="24"/>
              </w:rPr>
              <w:t>5</w:t>
            </w:r>
          </w:p>
        </w:tc>
        <w:tc>
          <w:tcPr>
            <w:tcW w:w="213" w:type="pct"/>
            <w:tcBorders>
              <w:top w:val="nil"/>
              <w:left w:val="nil"/>
              <w:bottom w:val="nil"/>
              <w:right w:val="single" w:color="auto" w:sz="8" w:space="0"/>
            </w:tcBorders>
            <w:shd w:val="clear" w:color="auto" w:fill="auto"/>
            <w:noWrap/>
            <w:vAlign w:val="bottom"/>
          </w:tcPr>
          <w:p w:rsidRPr="0029243C" w:rsidR="0025354D" w:rsidP="00C85ABF" w:rsidRDefault="0025354D" w14:paraId="2F755246" w14:textId="77777777">
            <w:pPr>
              <w:widowControl/>
              <w:autoSpaceDE/>
              <w:autoSpaceDN/>
              <w:adjustRightInd/>
              <w:rPr>
                <w:rFonts w:ascii="Arial" w:hAnsi="Arial" w:cs="Arial"/>
                <w:color w:val="FF0000"/>
                <w:highlight w:val="yellow"/>
              </w:rPr>
            </w:pPr>
          </w:p>
        </w:tc>
      </w:tr>
      <w:tr w:rsidRPr="0017106C" w:rsidR="005A1336" w:rsidTr="00C85ABF" w14:paraId="211AC295" w14:textId="77777777">
        <w:trPr>
          <w:trHeight w:val="162"/>
        </w:trPr>
        <w:tc>
          <w:tcPr>
            <w:tcW w:w="214" w:type="pct"/>
            <w:tcBorders>
              <w:top w:val="nil"/>
              <w:left w:val="single" w:color="auto" w:sz="8" w:space="0"/>
              <w:bottom w:val="nil"/>
              <w:right w:val="nil"/>
            </w:tcBorders>
            <w:shd w:val="clear" w:color="auto" w:fill="auto"/>
            <w:noWrap/>
            <w:vAlign w:val="bottom"/>
          </w:tcPr>
          <w:p w:rsidRPr="0017106C" w:rsidR="0025354D" w:rsidP="00C85ABF" w:rsidRDefault="0025354D" w14:paraId="76BBD5E7"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Pr="00180FB0" w:rsidR="0025354D" w:rsidP="00C85ABF" w:rsidRDefault="0025354D" w14:paraId="1F09E8B8" w14:textId="77777777">
            <w:pPr>
              <w:widowControl/>
              <w:rPr>
                <w:sz w:val="24"/>
                <w:szCs w:val="24"/>
              </w:rPr>
            </w:pPr>
          </w:p>
        </w:tc>
        <w:tc>
          <w:tcPr>
            <w:tcW w:w="1053" w:type="pct"/>
            <w:tcBorders>
              <w:top w:val="nil"/>
              <w:left w:val="nil"/>
              <w:bottom w:val="nil"/>
              <w:right w:val="nil"/>
            </w:tcBorders>
            <w:shd w:val="clear" w:color="auto" w:fill="auto"/>
            <w:noWrap/>
            <w:vAlign w:val="bottom"/>
          </w:tcPr>
          <w:p w:rsidRPr="00180FB0" w:rsidR="0025354D" w:rsidP="00C85ABF" w:rsidRDefault="0025354D" w14:paraId="5A31A09A" w14:textId="77777777">
            <w:pPr>
              <w:widowControl/>
              <w:jc w:val="right"/>
              <w:rPr>
                <w:sz w:val="24"/>
                <w:szCs w:val="24"/>
              </w:rPr>
            </w:pPr>
          </w:p>
        </w:tc>
        <w:tc>
          <w:tcPr>
            <w:tcW w:w="213" w:type="pct"/>
            <w:tcBorders>
              <w:top w:val="nil"/>
              <w:left w:val="nil"/>
              <w:bottom w:val="nil"/>
              <w:right w:val="single" w:color="auto" w:sz="8" w:space="0"/>
            </w:tcBorders>
            <w:shd w:val="clear" w:color="auto" w:fill="auto"/>
            <w:noWrap/>
            <w:vAlign w:val="bottom"/>
          </w:tcPr>
          <w:p w:rsidRPr="0029243C" w:rsidR="0025354D" w:rsidP="00C85ABF" w:rsidRDefault="0025354D" w14:paraId="3CEB11E8" w14:textId="77777777">
            <w:pPr>
              <w:widowControl/>
              <w:autoSpaceDE/>
              <w:autoSpaceDN/>
              <w:adjustRightInd/>
              <w:rPr>
                <w:rFonts w:ascii="Arial" w:hAnsi="Arial" w:cs="Arial"/>
                <w:color w:val="FF0000"/>
                <w:highlight w:val="yellow"/>
              </w:rPr>
            </w:pPr>
          </w:p>
        </w:tc>
      </w:tr>
      <w:tr w:rsidRPr="0017106C" w:rsidR="005A1336" w:rsidTr="00C85ABF" w14:paraId="60DCF95E" w14:textId="77777777">
        <w:trPr>
          <w:trHeight w:val="162"/>
        </w:trPr>
        <w:tc>
          <w:tcPr>
            <w:tcW w:w="214" w:type="pct"/>
            <w:tcBorders>
              <w:top w:val="nil"/>
              <w:left w:val="single" w:color="auto" w:sz="8" w:space="0"/>
              <w:bottom w:val="nil"/>
              <w:right w:val="nil"/>
            </w:tcBorders>
            <w:shd w:val="clear" w:color="auto" w:fill="auto"/>
            <w:noWrap/>
            <w:vAlign w:val="bottom"/>
          </w:tcPr>
          <w:p w:rsidRPr="0017106C" w:rsidR="0025354D" w:rsidP="00C85ABF" w:rsidRDefault="0025354D" w14:paraId="1AA784AE"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Pr="00180FB0" w:rsidR="0025354D" w:rsidP="00206327" w:rsidRDefault="0025354D" w14:paraId="2799C3AE" w14:textId="6D584E2B">
            <w:pPr>
              <w:widowControl/>
              <w:rPr>
                <w:sz w:val="24"/>
                <w:szCs w:val="24"/>
              </w:rPr>
            </w:pPr>
            <w:r w:rsidRPr="00180FB0">
              <w:rPr>
                <w:sz w:val="24"/>
                <w:szCs w:val="24"/>
              </w:rPr>
              <w:t>Total hours burden (</w:t>
            </w:r>
            <w:r w:rsidR="00C2127D">
              <w:rPr>
                <w:sz w:val="24"/>
                <w:szCs w:val="24"/>
              </w:rPr>
              <w:t>1</w:t>
            </w:r>
            <w:r w:rsidR="00A83691">
              <w:rPr>
                <w:sz w:val="24"/>
                <w:szCs w:val="24"/>
              </w:rPr>
              <w:t>0</w:t>
            </w:r>
            <w:r w:rsidR="00C2127D">
              <w:rPr>
                <w:sz w:val="24"/>
                <w:szCs w:val="24"/>
              </w:rPr>
              <w:t>,1</w:t>
            </w:r>
            <w:r w:rsidR="00206327">
              <w:rPr>
                <w:sz w:val="24"/>
                <w:szCs w:val="24"/>
              </w:rPr>
              <w:t>3</w:t>
            </w:r>
            <w:r w:rsidR="00A83691">
              <w:rPr>
                <w:sz w:val="24"/>
                <w:szCs w:val="24"/>
              </w:rPr>
              <w:t>9</w:t>
            </w:r>
            <w:r w:rsidRPr="00180FB0">
              <w:rPr>
                <w:sz w:val="24"/>
                <w:szCs w:val="24"/>
              </w:rPr>
              <w:t xml:space="preserve"> facilities x </w:t>
            </w:r>
            <w:r w:rsidR="00C2127D">
              <w:rPr>
                <w:sz w:val="24"/>
                <w:szCs w:val="24"/>
              </w:rPr>
              <w:t>1</w:t>
            </w:r>
            <w:r w:rsidR="00C32B4A">
              <w:rPr>
                <w:sz w:val="24"/>
                <w:szCs w:val="24"/>
              </w:rPr>
              <w:t>9</w:t>
            </w:r>
            <w:r w:rsidR="00305474">
              <w:rPr>
                <w:sz w:val="24"/>
                <w:szCs w:val="24"/>
              </w:rPr>
              <w:t>5</w:t>
            </w:r>
            <w:r w:rsidRPr="00180FB0">
              <w:rPr>
                <w:sz w:val="24"/>
                <w:szCs w:val="24"/>
              </w:rPr>
              <w:t xml:space="preserve"> hours)</w:t>
            </w:r>
          </w:p>
        </w:tc>
        <w:tc>
          <w:tcPr>
            <w:tcW w:w="1053" w:type="pct"/>
            <w:tcBorders>
              <w:top w:val="nil"/>
              <w:left w:val="nil"/>
              <w:bottom w:val="nil"/>
              <w:right w:val="nil"/>
            </w:tcBorders>
            <w:shd w:val="clear" w:color="auto" w:fill="auto"/>
            <w:noWrap/>
            <w:vAlign w:val="bottom"/>
          </w:tcPr>
          <w:p w:rsidRPr="00180FB0" w:rsidR="0025354D" w:rsidP="00206327" w:rsidRDefault="00C2127D" w14:paraId="50F4B417" w14:textId="748328DE">
            <w:pPr>
              <w:widowControl/>
              <w:jc w:val="right"/>
              <w:rPr>
                <w:i/>
                <w:color w:val="000000" w:themeColor="text1"/>
                <w:sz w:val="24"/>
                <w:szCs w:val="24"/>
              </w:rPr>
            </w:pPr>
            <w:r>
              <w:rPr>
                <w:sz w:val="24"/>
                <w:szCs w:val="24"/>
              </w:rPr>
              <w:t>1,</w:t>
            </w:r>
            <w:r w:rsidR="00C32B4A">
              <w:rPr>
                <w:sz w:val="24"/>
                <w:szCs w:val="24"/>
              </w:rPr>
              <w:t>9</w:t>
            </w:r>
            <w:r w:rsidR="00206327">
              <w:rPr>
                <w:sz w:val="24"/>
                <w:szCs w:val="24"/>
              </w:rPr>
              <w:t>77</w:t>
            </w:r>
            <w:r>
              <w:rPr>
                <w:sz w:val="24"/>
                <w:szCs w:val="24"/>
              </w:rPr>
              <w:t>,</w:t>
            </w:r>
            <w:r w:rsidR="00206327">
              <w:rPr>
                <w:sz w:val="24"/>
                <w:szCs w:val="24"/>
              </w:rPr>
              <w:t>1</w:t>
            </w:r>
            <w:r w:rsidR="00C32B4A">
              <w:rPr>
                <w:sz w:val="24"/>
                <w:szCs w:val="24"/>
              </w:rPr>
              <w:t>0</w:t>
            </w:r>
            <w:r w:rsidR="00206327">
              <w:rPr>
                <w:sz w:val="24"/>
                <w:szCs w:val="24"/>
              </w:rPr>
              <w:t>5</w:t>
            </w:r>
            <w:r>
              <w:rPr>
                <w:sz w:val="24"/>
                <w:szCs w:val="24"/>
              </w:rPr>
              <w:t xml:space="preserve">  </w:t>
            </w:r>
            <w:r w:rsidRPr="00180FB0" w:rsidR="0025354D">
              <w:rPr>
                <w:sz w:val="24"/>
                <w:szCs w:val="24"/>
              </w:rPr>
              <w:t xml:space="preserve">  </w:t>
            </w:r>
          </w:p>
        </w:tc>
        <w:tc>
          <w:tcPr>
            <w:tcW w:w="213" w:type="pct"/>
            <w:tcBorders>
              <w:top w:val="nil"/>
              <w:left w:val="nil"/>
              <w:bottom w:val="nil"/>
              <w:right w:val="single" w:color="auto" w:sz="8" w:space="0"/>
            </w:tcBorders>
            <w:shd w:val="clear" w:color="auto" w:fill="auto"/>
            <w:noWrap/>
            <w:vAlign w:val="bottom"/>
          </w:tcPr>
          <w:p w:rsidRPr="0029243C" w:rsidR="0025354D" w:rsidP="00C85ABF" w:rsidRDefault="0025354D" w14:paraId="56ADB3F1" w14:textId="77777777">
            <w:pPr>
              <w:widowControl/>
              <w:autoSpaceDE/>
              <w:autoSpaceDN/>
              <w:adjustRightInd/>
              <w:rPr>
                <w:rFonts w:ascii="Arial" w:hAnsi="Arial" w:cs="Arial"/>
                <w:color w:val="FF0000"/>
                <w:highlight w:val="yellow"/>
              </w:rPr>
            </w:pPr>
          </w:p>
        </w:tc>
      </w:tr>
      <w:tr w:rsidRPr="0017106C" w:rsidR="005A1336" w:rsidTr="00C85ABF" w14:paraId="2DFC44B9" w14:textId="77777777">
        <w:trPr>
          <w:trHeight w:val="315"/>
        </w:trPr>
        <w:tc>
          <w:tcPr>
            <w:tcW w:w="214" w:type="pct"/>
            <w:tcBorders>
              <w:top w:val="nil"/>
              <w:left w:val="single" w:color="auto" w:sz="8" w:space="0"/>
              <w:bottom w:val="nil"/>
              <w:right w:val="nil"/>
            </w:tcBorders>
            <w:shd w:val="clear" w:color="auto" w:fill="auto"/>
            <w:noWrap/>
            <w:vAlign w:val="bottom"/>
          </w:tcPr>
          <w:p w:rsidRPr="0017106C" w:rsidR="0025354D" w:rsidP="00C85ABF" w:rsidRDefault="0025354D" w14:paraId="18577CAB"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Pr="00CC0B43" w:rsidR="0025354D" w:rsidP="00C85ABF" w:rsidRDefault="0025354D" w14:paraId="6F5666B6" w14:textId="77777777">
            <w:pPr>
              <w:widowControl/>
              <w:ind w:firstLine="1920" w:firstLineChars="800"/>
              <w:rPr>
                <w:sz w:val="24"/>
                <w:szCs w:val="24"/>
              </w:rPr>
            </w:pPr>
          </w:p>
        </w:tc>
        <w:tc>
          <w:tcPr>
            <w:tcW w:w="1053" w:type="pct"/>
            <w:tcBorders>
              <w:top w:val="nil"/>
              <w:left w:val="nil"/>
              <w:bottom w:val="nil"/>
              <w:right w:val="nil"/>
            </w:tcBorders>
            <w:shd w:val="clear" w:color="auto" w:fill="auto"/>
            <w:noWrap/>
            <w:vAlign w:val="bottom"/>
          </w:tcPr>
          <w:p w:rsidRPr="00B803D4" w:rsidR="0025354D" w:rsidP="00C85ABF" w:rsidRDefault="0025354D" w14:paraId="60AF55F7" w14:textId="77777777">
            <w:pPr>
              <w:widowControl/>
              <w:rPr>
                <w:rFonts w:ascii="Arial" w:hAnsi="Arial" w:cs="Arial"/>
                <w:color w:val="000000" w:themeColor="text1"/>
                <w:sz w:val="24"/>
                <w:szCs w:val="24"/>
              </w:rPr>
            </w:pPr>
          </w:p>
        </w:tc>
        <w:tc>
          <w:tcPr>
            <w:tcW w:w="213" w:type="pct"/>
            <w:tcBorders>
              <w:top w:val="nil"/>
              <w:left w:val="nil"/>
              <w:bottom w:val="nil"/>
              <w:right w:val="single" w:color="auto" w:sz="8" w:space="0"/>
            </w:tcBorders>
            <w:shd w:val="clear" w:color="auto" w:fill="auto"/>
            <w:noWrap/>
            <w:vAlign w:val="bottom"/>
          </w:tcPr>
          <w:p w:rsidRPr="00B12AA6" w:rsidR="0025354D" w:rsidP="00C85ABF" w:rsidRDefault="0025354D" w14:paraId="4181DCB1" w14:textId="77777777">
            <w:pPr>
              <w:widowControl/>
              <w:autoSpaceDE/>
              <w:autoSpaceDN/>
              <w:adjustRightInd/>
              <w:rPr>
                <w:rFonts w:ascii="Arial" w:hAnsi="Arial" w:cs="Arial"/>
              </w:rPr>
            </w:pPr>
          </w:p>
        </w:tc>
      </w:tr>
      <w:tr w:rsidRPr="0017106C" w:rsidR="005A1336" w:rsidTr="00C85ABF" w14:paraId="1CC5029A" w14:textId="77777777">
        <w:trPr>
          <w:trHeight w:val="162"/>
        </w:trPr>
        <w:tc>
          <w:tcPr>
            <w:tcW w:w="214" w:type="pct"/>
            <w:tcBorders>
              <w:top w:val="nil"/>
              <w:left w:val="single" w:color="auto" w:sz="8" w:space="0"/>
              <w:bottom w:val="nil"/>
              <w:right w:val="nil"/>
            </w:tcBorders>
            <w:shd w:val="clear" w:color="auto" w:fill="auto"/>
            <w:noWrap/>
            <w:vAlign w:val="bottom"/>
          </w:tcPr>
          <w:p w:rsidRPr="0017106C" w:rsidR="0025354D" w:rsidP="00C85ABF" w:rsidRDefault="0025354D" w14:paraId="41E53F8E"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Pr="00CC0B43" w:rsidR="0025354D" w:rsidP="00305474" w:rsidRDefault="00305474" w14:paraId="12C3F5F8" w14:textId="1E073BA3">
            <w:pPr>
              <w:widowControl/>
              <w:rPr>
                <w:sz w:val="24"/>
                <w:szCs w:val="24"/>
              </w:rPr>
            </w:pPr>
            <w:r>
              <w:rPr>
                <w:sz w:val="24"/>
                <w:szCs w:val="24"/>
              </w:rPr>
              <w:t>Cost per HHA</w:t>
            </w:r>
            <w:r w:rsidR="0025354D">
              <w:rPr>
                <w:sz w:val="24"/>
                <w:szCs w:val="24"/>
              </w:rPr>
              <w:t xml:space="preserve">                                                             </w:t>
            </w:r>
          </w:p>
        </w:tc>
        <w:tc>
          <w:tcPr>
            <w:tcW w:w="1053" w:type="pct"/>
            <w:tcBorders>
              <w:top w:val="nil"/>
              <w:left w:val="nil"/>
              <w:bottom w:val="nil"/>
              <w:right w:val="nil"/>
            </w:tcBorders>
            <w:shd w:val="clear" w:color="auto" w:fill="auto"/>
            <w:noWrap/>
            <w:vAlign w:val="bottom"/>
          </w:tcPr>
          <w:p w:rsidRPr="00B803D4" w:rsidR="0025354D" w:rsidP="001F2138" w:rsidRDefault="0025354D" w14:paraId="02BFD43C" w14:textId="1838F935">
            <w:pPr>
              <w:widowControl/>
              <w:jc w:val="right"/>
              <w:rPr>
                <w:color w:val="000000" w:themeColor="text1"/>
                <w:sz w:val="24"/>
                <w:szCs w:val="24"/>
              </w:rPr>
            </w:pPr>
            <w:r>
              <w:rPr>
                <w:color w:val="000000" w:themeColor="text1"/>
                <w:sz w:val="24"/>
                <w:szCs w:val="24"/>
              </w:rPr>
              <w:t xml:space="preserve"> $</w:t>
            </w:r>
            <w:r w:rsidR="00A76C47">
              <w:rPr>
                <w:color w:val="000000" w:themeColor="text1"/>
                <w:sz w:val="24"/>
                <w:szCs w:val="24"/>
              </w:rPr>
              <w:t>9,</w:t>
            </w:r>
            <w:r w:rsidR="001F2138">
              <w:rPr>
                <w:color w:val="000000" w:themeColor="text1"/>
                <w:sz w:val="24"/>
                <w:szCs w:val="24"/>
              </w:rPr>
              <w:t>837</w:t>
            </w:r>
            <w:r w:rsidR="00A76C47">
              <w:rPr>
                <w:color w:val="000000" w:themeColor="text1"/>
                <w:sz w:val="24"/>
                <w:szCs w:val="24"/>
              </w:rPr>
              <w:t>.</w:t>
            </w:r>
            <w:r w:rsidR="001F2138">
              <w:rPr>
                <w:color w:val="000000" w:themeColor="text1"/>
                <w:sz w:val="24"/>
                <w:szCs w:val="24"/>
              </w:rPr>
              <w:t>9</w:t>
            </w:r>
            <w:r w:rsidR="00A76C47">
              <w:rPr>
                <w:color w:val="000000" w:themeColor="text1"/>
                <w:sz w:val="24"/>
                <w:szCs w:val="24"/>
              </w:rPr>
              <w:t>0</w:t>
            </w:r>
          </w:p>
        </w:tc>
        <w:tc>
          <w:tcPr>
            <w:tcW w:w="213" w:type="pct"/>
            <w:tcBorders>
              <w:top w:val="nil"/>
              <w:left w:val="nil"/>
              <w:bottom w:val="nil"/>
              <w:right w:val="single" w:color="auto" w:sz="8" w:space="0"/>
            </w:tcBorders>
            <w:shd w:val="clear" w:color="auto" w:fill="auto"/>
            <w:noWrap/>
            <w:vAlign w:val="bottom"/>
          </w:tcPr>
          <w:p w:rsidRPr="00B12AA6" w:rsidR="0025354D" w:rsidP="00C85ABF" w:rsidRDefault="0025354D" w14:paraId="143DAA90" w14:textId="77777777">
            <w:pPr>
              <w:widowControl/>
              <w:autoSpaceDE/>
              <w:autoSpaceDN/>
              <w:adjustRightInd/>
              <w:rPr>
                <w:rFonts w:ascii="Arial" w:hAnsi="Arial" w:cs="Arial"/>
              </w:rPr>
            </w:pPr>
          </w:p>
        </w:tc>
      </w:tr>
      <w:tr w:rsidRPr="00B12AA6" w:rsidR="005A1336" w:rsidTr="00C85ABF" w14:paraId="4BD14A6C" w14:textId="77777777">
        <w:trPr>
          <w:trHeight w:val="330"/>
        </w:trPr>
        <w:tc>
          <w:tcPr>
            <w:tcW w:w="214" w:type="pct"/>
            <w:tcBorders>
              <w:top w:val="nil"/>
              <w:left w:val="single" w:color="auto" w:sz="8" w:space="0"/>
              <w:bottom w:val="nil"/>
              <w:right w:val="nil"/>
            </w:tcBorders>
            <w:shd w:val="clear" w:color="auto" w:fill="auto"/>
            <w:noWrap/>
            <w:vAlign w:val="bottom"/>
          </w:tcPr>
          <w:p w:rsidRPr="0017106C" w:rsidR="0025354D" w:rsidP="00C85ABF" w:rsidRDefault="0025354D" w14:paraId="4D017F79" w14:textId="77777777">
            <w:pPr>
              <w:widowControl/>
              <w:autoSpaceDE/>
              <w:autoSpaceDN/>
              <w:adjustRightInd/>
              <w:rPr>
                <w:rFonts w:ascii="Arial" w:hAnsi="Arial" w:cs="Arial"/>
              </w:rPr>
            </w:pPr>
          </w:p>
        </w:tc>
        <w:tc>
          <w:tcPr>
            <w:tcW w:w="3520" w:type="pct"/>
            <w:tcBorders>
              <w:top w:val="nil"/>
              <w:left w:val="nil"/>
              <w:bottom w:val="nil"/>
              <w:right w:val="nil"/>
            </w:tcBorders>
            <w:shd w:val="clear" w:color="auto" w:fill="auto"/>
            <w:noWrap/>
            <w:vAlign w:val="bottom"/>
          </w:tcPr>
          <w:p w:rsidRPr="00CC0B43" w:rsidR="0025354D" w:rsidP="00C85ABF" w:rsidRDefault="0025354D" w14:paraId="4D842145" w14:textId="77777777">
            <w:pPr>
              <w:widowControl/>
              <w:rPr>
                <w:sz w:val="24"/>
                <w:szCs w:val="24"/>
              </w:rPr>
            </w:pPr>
          </w:p>
          <w:p w:rsidRPr="00CC0B43" w:rsidR="0025354D" w:rsidP="00D76CDE" w:rsidRDefault="0025354D" w14:paraId="60FD2583" w14:textId="416E91AE">
            <w:pPr>
              <w:widowControl/>
              <w:rPr>
                <w:sz w:val="24"/>
                <w:szCs w:val="24"/>
              </w:rPr>
            </w:pPr>
            <w:r w:rsidRPr="00CC0B43">
              <w:rPr>
                <w:sz w:val="24"/>
                <w:szCs w:val="24"/>
              </w:rPr>
              <w:t xml:space="preserve">Total </w:t>
            </w:r>
            <w:r w:rsidR="005A1336">
              <w:rPr>
                <w:sz w:val="24"/>
                <w:szCs w:val="24"/>
              </w:rPr>
              <w:t>annual</w:t>
            </w:r>
            <w:r w:rsidRPr="00CC0B43" w:rsidR="005A1336">
              <w:rPr>
                <w:sz w:val="24"/>
                <w:szCs w:val="24"/>
              </w:rPr>
              <w:t xml:space="preserve"> cost estimate</w:t>
            </w:r>
            <w:r w:rsidR="005A1336">
              <w:rPr>
                <w:sz w:val="24"/>
                <w:szCs w:val="24"/>
              </w:rPr>
              <w:t xml:space="preserve"> ($9,</w:t>
            </w:r>
            <w:r w:rsidR="001F2138">
              <w:rPr>
                <w:sz w:val="24"/>
                <w:szCs w:val="24"/>
              </w:rPr>
              <w:t>837</w:t>
            </w:r>
            <w:r w:rsidR="005A1336">
              <w:rPr>
                <w:sz w:val="24"/>
                <w:szCs w:val="24"/>
              </w:rPr>
              <w:t>.</w:t>
            </w:r>
            <w:r w:rsidR="001F2138">
              <w:rPr>
                <w:sz w:val="24"/>
                <w:szCs w:val="24"/>
              </w:rPr>
              <w:t>9</w:t>
            </w:r>
            <w:r w:rsidR="005A1336">
              <w:rPr>
                <w:sz w:val="24"/>
                <w:szCs w:val="24"/>
              </w:rPr>
              <w:t>0 x 10,1</w:t>
            </w:r>
            <w:r w:rsidR="00D76CDE">
              <w:rPr>
                <w:sz w:val="24"/>
                <w:szCs w:val="24"/>
              </w:rPr>
              <w:t>3</w:t>
            </w:r>
            <w:r w:rsidR="005A1336">
              <w:rPr>
                <w:sz w:val="24"/>
                <w:szCs w:val="24"/>
              </w:rPr>
              <w:t>9 HHAs)</w:t>
            </w:r>
          </w:p>
        </w:tc>
        <w:tc>
          <w:tcPr>
            <w:tcW w:w="1053" w:type="pct"/>
            <w:tcBorders>
              <w:top w:val="single" w:color="auto" w:sz="4" w:space="0"/>
              <w:left w:val="nil"/>
              <w:bottom w:val="double" w:color="auto" w:sz="6" w:space="0"/>
              <w:right w:val="nil"/>
            </w:tcBorders>
            <w:shd w:val="clear" w:color="auto" w:fill="auto"/>
            <w:noWrap/>
            <w:vAlign w:val="bottom"/>
          </w:tcPr>
          <w:p w:rsidRPr="00911005" w:rsidR="0025354D" w:rsidP="00206327" w:rsidRDefault="0025354D" w14:paraId="6A94FD6F" w14:textId="2942846D">
            <w:pPr>
              <w:widowControl/>
              <w:jc w:val="right"/>
              <w:rPr>
                <w:i/>
                <w:color w:val="000000" w:themeColor="text1"/>
                <w:sz w:val="24"/>
                <w:szCs w:val="24"/>
              </w:rPr>
            </w:pPr>
            <w:r>
              <w:rPr>
                <w:sz w:val="24"/>
                <w:szCs w:val="24"/>
              </w:rPr>
              <w:t>$</w:t>
            </w:r>
            <w:r w:rsidR="00206327">
              <w:rPr>
                <w:sz w:val="24"/>
                <w:szCs w:val="24"/>
              </w:rPr>
              <w:t>99</w:t>
            </w:r>
            <w:r w:rsidR="00D30B99">
              <w:rPr>
                <w:sz w:val="24"/>
                <w:szCs w:val="24"/>
              </w:rPr>
              <w:t>,</w:t>
            </w:r>
            <w:r w:rsidR="001F2138">
              <w:rPr>
                <w:sz w:val="24"/>
                <w:szCs w:val="24"/>
              </w:rPr>
              <w:t>7</w:t>
            </w:r>
            <w:r w:rsidR="00206327">
              <w:rPr>
                <w:sz w:val="24"/>
                <w:szCs w:val="24"/>
              </w:rPr>
              <w:t>46</w:t>
            </w:r>
            <w:r w:rsidR="00D30B99">
              <w:rPr>
                <w:sz w:val="24"/>
                <w:szCs w:val="24"/>
              </w:rPr>
              <w:t>,</w:t>
            </w:r>
            <w:r w:rsidR="00206327">
              <w:rPr>
                <w:sz w:val="24"/>
                <w:szCs w:val="24"/>
              </w:rPr>
              <w:t>46</w:t>
            </w:r>
            <w:r w:rsidR="001F2138">
              <w:rPr>
                <w:sz w:val="24"/>
                <w:szCs w:val="24"/>
              </w:rPr>
              <w:t>8</w:t>
            </w:r>
            <w:r>
              <w:rPr>
                <w:sz w:val="24"/>
                <w:szCs w:val="24"/>
              </w:rPr>
              <w:t xml:space="preserve">  </w:t>
            </w:r>
          </w:p>
        </w:tc>
        <w:tc>
          <w:tcPr>
            <w:tcW w:w="213" w:type="pct"/>
            <w:tcBorders>
              <w:top w:val="nil"/>
              <w:left w:val="nil"/>
              <w:bottom w:val="nil"/>
              <w:right w:val="single" w:color="auto" w:sz="8" w:space="0"/>
            </w:tcBorders>
            <w:shd w:val="clear" w:color="auto" w:fill="auto"/>
            <w:noWrap/>
            <w:vAlign w:val="bottom"/>
          </w:tcPr>
          <w:p w:rsidRPr="00B12AA6" w:rsidR="0025354D" w:rsidP="00C85ABF" w:rsidRDefault="0025354D" w14:paraId="70CB8C46" w14:textId="77777777">
            <w:pPr>
              <w:widowControl/>
              <w:autoSpaceDE/>
              <w:autoSpaceDN/>
              <w:adjustRightInd/>
              <w:rPr>
                <w:rFonts w:ascii="Arial" w:hAnsi="Arial" w:cs="Arial"/>
              </w:rPr>
            </w:pPr>
            <w:r w:rsidRPr="00B12AA6">
              <w:rPr>
                <w:rFonts w:ascii="Arial" w:hAnsi="Arial" w:cs="Arial"/>
              </w:rPr>
              <w:t> </w:t>
            </w:r>
          </w:p>
        </w:tc>
      </w:tr>
      <w:tr w:rsidRPr="0017106C" w:rsidR="005A1336" w:rsidTr="00D30B99" w14:paraId="7103D9F9" w14:textId="77777777">
        <w:trPr>
          <w:trHeight w:val="285"/>
        </w:trPr>
        <w:tc>
          <w:tcPr>
            <w:tcW w:w="214" w:type="pct"/>
            <w:tcBorders>
              <w:top w:val="nil"/>
              <w:left w:val="single" w:color="auto" w:sz="8" w:space="0"/>
              <w:bottom w:val="nil"/>
              <w:right w:val="nil"/>
            </w:tcBorders>
            <w:shd w:val="clear" w:color="auto" w:fill="auto"/>
            <w:noWrap/>
            <w:vAlign w:val="bottom"/>
            <w:hideMark/>
          </w:tcPr>
          <w:p w:rsidRPr="0017106C" w:rsidR="0025354D" w:rsidP="00C85ABF" w:rsidRDefault="0025354D" w14:paraId="3720E7C7" w14:textId="77777777">
            <w:pPr>
              <w:widowControl/>
              <w:autoSpaceDE/>
              <w:autoSpaceDN/>
              <w:adjustRightInd/>
              <w:rPr>
                <w:rFonts w:ascii="Arial" w:hAnsi="Arial" w:cs="Arial"/>
              </w:rPr>
            </w:pPr>
            <w:r w:rsidRPr="0017106C">
              <w:rPr>
                <w:rFonts w:ascii="Arial" w:hAnsi="Arial" w:cs="Arial"/>
              </w:rPr>
              <w:t> </w:t>
            </w:r>
          </w:p>
        </w:tc>
        <w:tc>
          <w:tcPr>
            <w:tcW w:w="3520" w:type="pct"/>
            <w:tcBorders>
              <w:top w:val="nil"/>
              <w:left w:val="nil"/>
              <w:bottom w:val="nil"/>
              <w:right w:val="nil"/>
            </w:tcBorders>
            <w:shd w:val="clear" w:color="auto" w:fill="auto"/>
            <w:noWrap/>
            <w:vAlign w:val="bottom"/>
            <w:hideMark/>
          </w:tcPr>
          <w:p w:rsidRPr="00CC0B43" w:rsidR="0025354D" w:rsidP="00C85ABF" w:rsidRDefault="0025354D" w14:paraId="04688F45" w14:textId="77777777">
            <w:pPr>
              <w:widowControl/>
              <w:rPr>
                <w:sz w:val="24"/>
                <w:szCs w:val="24"/>
              </w:rPr>
            </w:pPr>
          </w:p>
        </w:tc>
        <w:tc>
          <w:tcPr>
            <w:tcW w:w="1053" w:type="pct"/>
            <w:tcBorders>
              <w:top w:val="nil"/>
              <w:left w:val="nil"/>
              <w:bottom w:val="nil"/>
              <w:right w:val="nil"/>
            </w:tcBorders>
            <w:shd w:val="clear" w:color="auto" w:fill="auto"/>
            <w:noWrap/>
            <w:vAlign w:val="bottom"/>
          </w:tcPr>
          <w:p w:rsidRPr="00CC0B43" w:rsidR="0025354D" w:rsidP="00C85ABF" w:rsidRDefault="0025354D" w14:paraId="3A4CF29A" w14:textId="77777777">
            <w:pPr>
              <w:widowControl/>
              <w:jc w:val="right"/>
              <w:rPr>
                <w:sz w:val="24"/>
                <w:szCs w:val="24"/>
              </w:rPr>
            </w:pPr>
          </w:p>
        </w:tc>
        <w:tc>
          <w:tcPr>
            <w:tcW w:w="213" w:type="pct"/>
            <w:tcBorders>
              <w:top w:val="nil"/>
              <w:left w:val="nil"/>
              <w:bottom w:val="nil"/>
              <w:right w:val="single" w:color="auto" w:sz="8" w:space="0"/>
            </w:tcBorders>
            <w:shd w:val="clear" w:color="auto" w:fill="auto"/>
            <w:noWrap/>
            <w:vAlign w:val="bottom"/>
          </w:tcPr>
          <w:p w:rsidRPr="00B12AA6" w:rsidR="0025354D" w:rsidP="00C85ABF" w:rsidRDefault="0025354D" w14:paraId="3503E20D" w14:textId="77777777">
            <w:pPr>
              <w:widowControl/>
              <w:autoSpaceDE/>
              <w:autoSpaceDN/>
              <w:adjustRightInd/>
              <w:rPr>
                <w:rFonts w:ascii="Arial" w:hAnsi="Arial" w:cs="Arial"/>
              </w:rPr>
            </w:pPr>
          </w:p>
        </w:tc>
      </w:tr>
      <w:tr w:rsidRPr="0017106C" w:rsidR="005A1336" w:rsidTr="00C85ABF" w14:paraId="672C653B" w14:textId="77777777">
        <w:trPr>
          <w:trHeight w:val="285"/>
        </w:trPr>
        <w:tc>
          <w:tcPr>
            <w:tcW w:w="214" w:type="pct"/>
            <w:tcBorders>
              <w:top w:val="nil"/>
              <w:left w:val="single" w:color="auto" w:sz="8" w:space="0"/>
              <w:bottom w:val="single" w:color="auto" w:sz="8" w:space="0"/>
              <w:right w:val="nil"/>
            </w:tcBorders>
            <w:shd w:val="clear" w:color="auto" w:fill="auto"/>
            <w:noWrap/>
            <w:vAlign w:val="bottom"/>
          </w:tcPr>
          <w:p w:rsidRPr="0017106C" w:rsidR="00D30B99" w:rsidP="00C85ABF" w:rsidRDefault="00D30B99" w14:paraId="537113F2" w14:textId="77777777">
            <w:pPr>
              <w:widowControl/>
              <w:autoSpaceDE/>
              <w:autoSpaceDN/>
              <w:adjustRightInd/>
              <w:rPr>
                <w:rFonts w:ascii="Arial" w:hAnsi="Arial" w:cs="Arial"/>
              </w:rPr>
            </w:pPr>
          </w:p>
        </w:tc>
        <w:tc>
          <w:tcPr>
            <w:tcW w:w="3520" w:type="pct"/>
            <w:tcBorders>
              <w:top w:val="nil"/>
              <w:left w:val="nil"/>
              <w:bottom w:val="single" w:color="auto" w:sz="8" w:space="0"/>
              <w:right w:val="nil"/>
            </w:tcBorders>
            <w:shd w:val="clear" w:color="auto" w:fill="auto"/>
            <w:noWrap/>
            <w:vAlign w:val="bottom"/>
          </w:tcPr>
          <w:p w:rsidRPr="00CC0B43" w:rsidR="00D30B99" w:rsidP="00C85ABF" w:rsidRDefault="00D30B99" w14:paraId="3417026E" w14:textId="77777777">
            <w:pPr>
              <w:widowControl/>
              <w:rPr>
                <w:sz w:val="24"/>
                <w:szCs w:val="24"/>
              </w:rPr>
            </w:pPr>
          </w:p>
        </w:tc>
        <w:tc>
          <w:tcPr>
            <w:tcW w:w="1053" w:type="pct"/>
            <w:tcBorders>
              <w:top w:val="nil"/>
              <w:left w:val="nil"/>
              <w:bottom w:val="single" w:color="auto" w:sz="8" w:space="0"/>
              <w:right w:val="nil"/>
            </w:tcBorders>
            <w:shd w:val="clear" w:color="auto" w:fill="auto"/>
            <w:noWrap/>
            <w:vAlign w:val="bottom"/>
          </w:tcPr>
          <w:p w:rsidRPr="00CC0B43" w:rsidR="00D30B99" w:rsidP="00C85ABF" w:rsidRDefault="00D30B99" w14:paraId="71C515CB" w14:textId="77777777">
            <w:pPr>
              <w:widowControl/>
              <w:jc w:val="right"/>
              <w:rPr>
                <w:sz w:val="24"/>
                <w:szCs w:val="24"/>
              </w:rPr>
            </w:pPr>
          </w:p>
        </w:tc>
        <w:tc>
          <w:tcPr>
            <w:tcW w:w="213" w:type="pct"/>
            <w:tcBorders>
              <w:top w:val="nil"/>
              <w:left w:val="nil"/>
              <w:bottom w:val="single" w:color="auto" w:sz="8" w:space="0"/>
              <w:right w:val="single" w:color="auto" w:sz="8" w:space="0"/>
            </w:tcBorders>
            <w:shd w:val="clear" w:color="auto" w:fill="auto"/>
            <w:noWrap/>
            <w:vAlign w:val="bottom"/>
          </w:tcPr>
          <w:p w:rsidRPr="00B12AA6" w:rsidR="00D30B99" w:rsidP="00C85ABF" w:rsidRDefault="00D30B99" w14:paraId="30E1F2CD" w14:textId="77777777">
            <w:pPr>
              <w:widowControl/>
              <w:autoSpaceDE/>
              <w:autoSpaceDN/>
              <w:adjustRightInd/>
              <w:rPr>
                <w:rFonts w:ascii="Arial" w:hAnsi="Arial" w:cs="Arial"/>
              </w:rPr>
            </w:pPr>
          </w:p>
        </w:tc>
      </w:tr>
    </w:tbl>
    <w:p w:rsidR="0025354D" w:rsidP="003A2813" w:rsidRDefault="0025354D" w14:paraId="0F66E1E8" w14:textId="77777777">
      <w:pPr>
        <w:pStyle w:val="ListParagraph"/>
        <w:tabs>
          <w:tab w:val="left" w:pos="0"/>
          <w:tab w:val="left" w:pos="360"/>
          <w:tab w:val="left" w:pos="720"/>
        </w:tabs>
        <w:suppressAutoHyphens/>
        <w:spacing w:line="240" w:lineRule="atLeast"/>
        <w:rPr>
          <w:sz w:val="24"/>
          <w:szCs w:val="24"/>
        </w:rPr>
      </w:pPr>
    </w:p>
    <w:p w:rsidRPr="006B05F0" w:rsidR="00A76C47" w:rsidP="00AF5004" w:rsidRDefault="00A76C47" w14:paraId="1180E8A6" w14:textId="0AD09382">
      <w:pPr>
        <w:tabs>
          <w:tab w:val="left" w:pos="540"/>
        </w:tabs>
        <w:ind w:left="720"/>
        <w:rPr>
          <w:sz w:val="24"/>
        </w:rPr>
      </w:pPr>
      <w:r w:rsidRPr="006B05F0">
        <w:rPr>
          <w:sz w:val="24"/>
        </w:rPr>
        <w:t xml:space="preserve">Burden hours for each </w:t>
      </w:r>
      <w:r>
        <w:rPr>
          <w:sz w:val="24"/>
        </w:rPr>
        <w:t>HHA</w:t>
      </w:r>
      <w:r w:rsidRPr="006B05F0">
        <w:rPr>
          <w:sz w:val="24"/>
        </w:rPr>
        <w:t xml:space="preserve"> estimate the time required (number of hours) to complete</w:t>
      </w:r>
      <w:r w:rsidRPr="0087021D">
        <w:rPr>
          <w:sz w:val="24"/>
        </w:rPr>
        <w:t xml:space="preserve"> </w:t>
      </w:r>
      <w:r w:rsidRPr="006B05F0">
        <w:rPr>
          <w:sz w:val="24"/>
        </w:rPr>
        <w:t>ongoing data gathering and recordkeeping tasks, search existing data resources, review instructions, and complet</w:t>
      </w:r>
      <w:r>
        <w:rPr>
          <w:sz w:val="24"/>
        </w:rPr>
        <w:t>e</w:t>
      </w:r>
      <w:r w:rsidRPr="006B05F0">
        <w:rPr>
          <w:sz w:val="24"/>
        </w:rPr>
        <w:t xml:space="preserve"> the Form CMS-</w:t>
      </w:r>
      <w:r w:rsidR="00854DDA">
        <w:rPr>
          <w:sz w:val="24"/>
        </w:rPr>
        <w:t>1728-20</w:t>
      </w:r>
      <w:r w:rsidRPr="006B05F0">
        <w:rPr>
          <w:sz w:val="24"/>
        </w:rPr>
        <w:t xml:space="preserve">.  </w:t>
      </w:r>
      <w:r>
        <w:rPr>
          <w:sz w:val="24"/>
        </w:rPr>
        <w:t xml:space="preserve">The most recent data from the System for Tracking Audit and Reimbursement, an internal CMS data system maintained </w:t>
      </w:r>
      <w:r>
        <w:rPr>
          <w:sz w:val="24"/>
        </w:rPr>
        <w:lastRenderedPageBreak/>
        <w:t>by the Office of Financial Management (OFM), reports that 10,1</w:t>
      </w:r>
      <w:r w:rsidR="00206327">
        <w:rPr>
          <w:sz w:val="24"/>
        </w:rPr>
        <w:t>3</w:t>
      </w:r>
      <w:r>
        <w:rPr>
          <w:sz w:val="24"/>
        </w:rPr>
        <w:t xml:space="preserve">9 Medicare certified HHAs </w:t>
      </w:r>
      <w:r w:rsidRPr="0087021D">
        <w:rPr>
          <w:sz w:val="24"/>
        </w:rPr>
        <w:t>fil</w:t>
      </w:r>
      <w:r>
        <w:rPr>
          <w:sz w:val="24"/>
        </w:rPr>
        <w:t>e</w:t>
      </w:r>
      <w:r w:rsidRPr="0087021D">
        <w:rPr>
          <w:sz w:val="24"/>
        </w:rPr>
        <w:t xml:space="preserve"> Form CMS-</w:t>
      </w:r>
      <w:r w:rsidR="00854DDA">
        <w:rPr>
          <w:sz w:val="24"/>
        </w:rPr>
        <w:t>1728-20</w:t>
      </w:r>
      <w:r w:rsidRPr="0087021D">
        <w:rPr>
          <w:sz w:val="24"/>
        </w:rPr>
        <w:t xml:space="preserve"> annually</w:t>
      </w:r>
      <w:r w:rsidRPr="006B05F0">
        <w:rPr>
          <w:sz w:val="24"/>
        </w:rPr>
        <w:t xml:space="preserve">.  We </w:t>
      </w:r>
      <w:r>
        <w:rPr>
          <w:sz w:val="24"/>
        </w:rPr>
        <w:t>estimate an</w:t>
      </w:r>
      <w:r w:rsidRPr="006B05F0">
        <w:rPr>
          <w:sz w:val="24"/>
        </w:rPr>
        <w:t xml:space="preserve"> average burden per </w:t>
      </w:r>
      <w:r w:rsidR="00AF5004">
        <w:rPr>
          <w:sz w:val="24"/>
        </w:rPr>
        <w:t>HHA</w:t>
      </w:r>
      <w:r w:rsidRPr="006B05F0">
        <w:rPr>
          <w:sz w:val="24"/>
        </w:rPr>
        <w:t xml:space="preserve"> of </w:t>
      </w:r>
      <w:r w:rsidR="00AF5004">
        <w:rPr>
          <w:sz w:val="24"/>
        </w:rPr>
        <w:t>195</w:t>
      </w:r>
      <w:r w:rsidRPr="006B05F0">
        <w:rPr>
          <w:sz w:val="24"/>
        </w:rPr>
        <w:t xml:space="preserve"> hours (</w:t>
      </w:r>
      <w:r w:rsidR="00AF5004">
        <w:rPr>
          <w:sz w:val="24"/>
        </w:rPr>
        <w:t>140</w:t>
      </w:r>
      <w:r w:rsidRPr="006B05F0">
        <w:rPr>
          <w:sz w:val="24"/>
        </w:rPr>
        <w:t xml:space="preserve"> hours for recordkeeping and </w:t>
      </w:r>
      <w:r w:rsidR="00AF5004">
        <w:rPr>
          <w:sz w:val="24"/>
        </w:rPr>
        <w:t>55</w:t>
      </w:r>
      <w:r>
        <w:rPr>
          <w:sz w:val="24"/>
        </w:rPr>
        <w:t xml:space="preserve"> </w:t>
      </w:r>
      <w:r w:rsidRPr="006B05F0">
        <w:rPr>
          <w:sz w:val="24"/>
        </w:rPr>
        <w:t xml:space="preserve">hours for reporting).  We calculated the annual burden hours as follows:  </w:t>
      </w:r>
      <w:r w:rsidR="00AF5004">
        <w:rPr>
          <w:sz w:val="24"/>
        </w:rPr>
        <w:t>10</w:t>
      </w:r>
      <w:r>
        <w:rPr>
          <w:sz w:val="24"/>
        </w:rPr>
        <w:t>,</w:t>
      </w:r>
      <w:r w:rsidR="00AF5004">
        <w:rPr>
          <w:sz w:val="24"/>
        </w:rPr>
        <w:t>1</w:t>
      </w:r>
      <w:r w:rsidR="00206327">
        <w:rPr>
          <w:sz w:val="24"/>
        </w:rPr>
        <w:t>3</w:t>
      </w:r>
      <w:r w:rsidR="00AF5004">
        <w:rPr>
          <w:sz w:val="24"/>
        </w:rPr>
        <w:t>9</w:t>
      </w:r>
      <w:r w:rsidRPr="006B05F0">
        <w:rPr>
          <w:sz w:val="24"/>
        </w:rPr>
        <w:t xml:space="preserve"> </w:t>
      </w:r>
      <w:r w:rsidR="00AF5004">
        <w:rPr>
          <w:sz w:val="24"/>
        </w:rPr>
        <w:t>HHAs</w:t>
      </w:r>
      <w:r w:rsidRPr="006B05F0">
        <w:rPr>
          <w:sz w:val="24"/>
        </w:rPr>
        <w:t xml:space="preserve"> times </w:t>
      </w:r>
      <w:r w:rsidR="00AF5004">
        <w:rPr>
          <w:sz w:val="24"/>
        </w:rPr>
        <w:t>195</w:t>
      </w:r>
      <w:r w:rsidRPr="006B05F0">
        <w:rPr>
          <w:sz w:val="24"/>
        </w:rPr>
        <w:t xml:space="preserve"> hours per </w:t>
      </w:r>
      <w:r w:rsidR="00AF5004">
        <w:rPr>
          <w:sz w:val="24"/>
        </w:rPr>
        <w:t>HHA</w:t>
      </w:r>
      <w:r>
        <w:rPr>
          <w:sz w:val="24"/>
        </w:rPr>
        <w:t xml:space="preserve"> equals </w:t>
      </w:r>
      <w:r w:rsidR="00AF5004">
        <w:rPr>
          <w:sz w:val="24"/>
        </w:rPr>
        <w:t>1</w:t>
      </w:r>
      <w:r>
        <w:rPr>
          <w:sz w:val="24"/>
        </w:rPr>
        <w:t>,</w:t>
      </w:r>
      <w:r w:rsidR="00AF5004">
        <w:rPr>
          <w:sz w:val="24"/>
        </w:rPr>
        <w:t>9</w:t>
      </w:r>
      <w:r w:rsidR="00206327">
        <w:rPr>
          <w:sz w:val="24"/>
        </w:rPr>
        <w:t>77</w:t>
      </w:r>
      <w:r>
        <w:rPr>
          <w:sz w:val="24"/>
        </w:rPr>
        <w:t>,</w:t>
      </w:r>
      <w:r w:rsidR="00206327">
        <w:rPr>
          <w:sz w:val="24"/>
        </w:rPr>
        <w:t>1</w:t>
      </w:r>
      <w:r w:rsidR="00AF5004">
        <w:rPr>
          <w:sz w:val="24"/>
        </w:rPr>
        <w:t>0</w:t>
      </w:r>
      <w:r w:rsidR="00206327">
        <w:rPr>
          <w:sz w:val="24"/>
        </w:rPr>
        <w:t>5</w:t>
      </w:r>
      <w:r>
        <w:rPr>
          <w:sz w:val="24"/>
        </w:rPr>
        <w:t xml:space="preserve"> </w:t>
      </w:r>
      <w:r w:rsidR="00AF5004">
        <w:rPr>
          <w:sz w:val="24"/>
        </w:rPr>
        <w:t xml:space="preserve">total </w:t>
      </w:r>
      <w:r w:rsidRPr="006B05F0">
        <w:rPr>
          <w:sz w:val="24"/>
        </w:rPr>
        <w:t>annual burden hours.</w:t>
      </w:r>
    </w:p>
    <w:p w:rsidRPr="00D30B99" w:rsidR="00D30B99" w:rsidP="00D30B99" w:rsidRDefault="00D30B99" w14:paraId="5949AAB6" w14:textId="77777777">
      <w:pPr>
        <w:pStyle w:val="BodyTextIndent"/>
        <w:tabs>
          <w:tab w:val="left" w:pos="810"/>
          <w:tab w:val="left" w:pos="1170"/>
        </w:tabs>
        <w:ind w:left="720" w:firstLine="0"/>
        <w:jc w:val="left"/>
        <w:rPr>
          <w:rFonts w:eastAsiaTheme="minorEastAsia"/>
          <w:szCs w:val="20"/>
        </w:rPr>
      </w:pPr>
    </w:p>
    <w:p w:rsidR="00D30B99" w:rsidP="00D30B99" w:rsidRDefault="00AF5004" w14:paraId="7A26DE5B" w14:textId="4A2D3955">
      <w:pPr>
        <w:tabs>
          <w:tab w:val="left" w:pos="450"/>
          <w:tab w:val="left" w:pos="940"/>
        </w:tabs>
        <w:spacing w:before="69"/>
        <w:ind w:left="720"/>
        <w:rPr>
          <w:sz w:val="24"/>
        </w:rPr>
      </w:pPr>
      <w:r>
        <w:rPr>
          <w:sz w:val="24"/>
        </w:rPr>
        <w:t>T</w:t>
      </w:r>
      <w:r w:rsidRPr="006B05F0">
        <w:rPr>
          <w:sz w:val="24"/>
        </w:rPr>
        <w:t xml:space="preserve">he </w:t>
      </w:r>
      <w:r>
        <w:rPr>
          <w:sz w:val="24"/>
        </w:rPr>
        <w:t>140</w:t>
      </w:r>
      <w:r w:rsidRPr="006B05F0">
        <w:rPr>
          <w:sz w:val="24"/>
        </w:rPr>
        <w:t xml:space="preserve"> hours for recordkeeping </w:t>
      </w:r>
      <w:r>
        <w:rPr>
          <w:sz w:val="24"/>
        </w:rPr>
        <w:t>include hours for</w:t>
      </w:r>
      <w:r w:rsidRPr="006B05F0">
        <w:rPr>
          <w:sz w:val="24"/>
        </w:rPr>
        <w:t xml:space="preserve"> bookkeeping, accounting and auditing clerks</w:t>
      </w:r>
      <w:r>
        <w:rPr>
          <w:sz w:val="24"/>
        </w:rPr>
        <w:t xml:space="preserve">; </w:t>
      </w:r>
      <w:r w:rsidRPr="006B05F0">
        <w:rPr>
          <w:sz w:val="24"/>
        </w:rPr>
        <w:t xml:space="preserve">the </w:t>
      </w:r>
      <w:r>
        <w:rPr>
          <w:sz w:val="24"/>
        </w:rPr>
        <w:t>55</w:t>
      </w:r>
      <w:r w:rsidRPr="006B05F0">
        <w:rPr>
          <w:sz w:val="24"/>
        </w:rPr>
        <w:t xml:space="preserve"> hours for reporting </w:t>
      </w:r>
      <w:r>
        <w:rPr>
          <w:sz w:val="24"/>
        </w:rPr>
        <w:t>include</w:t>
      </w:r>
      <w:r w:rsidRPr="006B05F0">
        <w:rPr>
          <w:sz w:val="24"/>
        </w:rPr>
        <w:t xml:space="preserve"> accounting and audit professionals</w:t>
      </w:r>
      <w:r>
        <w:rPr>
          <w:sz w:val="24"/>
        </w:rPr>
        <w:t>’ activities</w:t>
      </w:r>
      <w:r w:rsidRPr="006B05F0">
        <w:rPr>
          <w:sz w:val="24"/>
        </w:rPr>
        <w:t xml:space="preserve">.  </w:t>
      </w:r>
      <w:r w:rsidRPr="00D30B99" w:rsidR="00D30B99">
        <w:rPr>
          <w:sz w:val="24"/>
        </w:rPr>
        <w:t>Based on the most recent Bureau of Labor Statistics (BLS) in its 201</w:t>
      </w:r>
      <w:r w:rsidR="001F2138">
        <w:rPr>
          <w:sz w:val="24"/>
        </w:rPr>
        <w:t>8</w:t>
      </w:r>
      <w:r w:rsidRPr="00D30B99" w:rsidR="00D30B99">
        <w:rPr>
          <w:sz w:val="24"/>
        </w:rPr>
        <w:t xml:space="preserve"> Occupation Outlook Handbook, the mean hourly wage</w:t>
      </w:r>
      <w:r w:rsidRPr="00901E4D" w:rsidR="00D30B99">
        <w:rPr>
          <w:sz w:val="24"/>
        </w:rPr>
        <w:t xml:space="preserve"> for Category 43-3031 (bookkeeping, accounting and auditing clerks) is $</w:t>
      </w:r>
      <w:r w:rsidR="001F2138">
        <w:rPr>
          <w:sz w:val="24"/>
        </w:rPr>
        <w:t>20</w:t>
      </w:r>
      <w:r w:rsidRPr="00901E4D" w:rsidR="00D30B99">
        <w:rPr>
          <w:sz w:val="24"/>
        </w:rPr>
        <w:t>.</w:t>
      </w:r>
      <w:r w:rsidR="001F2138">
        <w:rPr>
          <w:sz w:val="24"/>
        </w:rPr>
        <w:t>25</w:t>
      </w:r>
      <w:r w:rsidR="00E06861">
        <w:rPr>
          <w:sz w:val="24"/>
          <w:vertAlign w:val="superscript"/>
        </w:rPr>
        <w:t>1</w:t>
      </w:r>
      <w:r w:rsidRPr="00901E4D" w:rsidR="00D30B99">
        <w:rPr>
          <w:sz w:val="24"/>
        </w:rPr>
        <w:t xml:space="preserve">.  We added 100% of the mean hourly wage to </w:t>
      </w:r>
      <w:r w:rsidRPr="00AF5C39" w:rsidR="00D30B99">
        <w:rPr>
          <w:sz w:val="24"/>
        </w:rPr>
        <w:t xml:space="preserve">account for fringe </w:t>
      </w:r>
      <w:r w:rsidR="00201F03">
        <w:rPr>
          <w:sz w:val="24"/>
        </w:rPr>
        <w:t xml:space="preserve">benefits </w:t>
      </w:r>
      <w:r w:rsidRPr="00AF5C39" w:rsidR="00D30B99">
        <w:rPr>
          <w:sz w:val="24"/>
        </w:rPr>
        <w:t xml:space="preserve">and overhead </w:t>
      </w:r>
      <w:r w:rsidR="00201F03">
        <w:rPr>
          <w:sz w:val="24"/>
        </w:rPr>
        <w:t>cost</w:t>
      </w:r>
      <w:r w:rsidRPr="00AF5C39" w:rsidR="00D30B99">
        <w:rPr>
          <w:sz w:val="24"/>
        </w:rPr>
        <w:t>s, which calculates to $</w:t>
      </w:r>
      <w:r w:rsidR="001F2138">
        <w:rPr>
          <w:sz w:val="24"/>
        </w:rPr>
        <w:t>40</w:t>
      </w:r>
      <w:r w:rsidRPr="00AF5C39" w:rsidR="00D30B99">
        <w:rPr>
          <w:sz w:val="24"/>
        </w:rPr>
        <w:t>.</w:t>
      </w:r>
      <w:r w:rsidR="00D26BD8">
        <w:rPr>
          <w:sz w:val="24"/>
        </w:rPr>
        <w:t>5</w:t>
      </w:r>
      <w:r w:rsidR="001F2138">
        <w:rPr>
          <w:sz w:val="24"/>
        </w:rPr>
        <w:t>0</w:t>
      </w:r>
      <w:r w:rsidRPr="00AF5C39" w:rsidR="00D30B99">
        <w:rPr>
          <w:sz w:val="24"/>
        </w:rPr>
        <w:t xml:space="preserve"> ($</w:t>
      </w:r>
      <w:r w:rsidR="001F2138">
        <w:rPr>
          <w:sz w:val="24"/>
        </w:rPr>
        <w:t>20</w:t>
      </w:r>
      <w:r w:rsidRPr="00AF5C39" w:rsidR="00D30B99">
        <w:rPr>
          <w:sz w:val="24"/>
        </w:rPr>
        <w:t>.</w:t>
      </w:r>
      <w:r w:rsidR="001F2138">
        <w:rPr>
          <w:sz w:val="24"/>
        </w:rPr>
        <w:t>25</w:t>
      </w:r>
      <w:r w:rsidRPr="00AF5C39" w:rsidR="00D30B99">
        <w:rPr>
          <w:sz w:val="24"/>
        </w:rPr>
        <w:t xml:space="preserve"> + $</w:t>
      </w:r>
      <w:r w:rsidR="001F2138">
        <w:rPr>
          <w:sz w:val="24"/>
        </w:rPr>
        <w:t>20</w:t>
      </w:r>
      <w:r w:rsidRPr="00AF5C39" w:rsidR="00D30B99">
        <w:rPr>
          <w:sz w:val="24"/>
        </w:rPr>
        <w:t>.</w:t>
      </w:r>
      <w:r w:rsidR="001F2138">
        <w:rPr>
          <w:sz w:val="24"/>
        </w:rPr>
        <w:t>25</w:t>
      </w:r>
      <w:r w:rsidRPr="00AF5C39" w:rsidR="00D30B99">
        <w:rPr>
          <w:sz w:val="24"/>
        </w:rPr>
        <w:t xml:space="preserve">) and multiplied it by </w:t>
      </w:r>
      <w:r w:rsidR="001619B6">
        <w:rPr>
          <w:sz w:val="24"/>
        </w:rPr>
        <w:t>1</w:t>
      </w:r>
      <w:r w:rsidR="00C32B4A">
        <w:rPr>
          <w:sz w:val="24"/>
        </w:rPr>
        <w:t>40</w:t>
      </w:r>
      <w:r w:rsidRPr="00AF5C39" w:rsidR="00D30B99">
        <w:rPr>
          <w:sz w:val="24"/>
        </w:rPr>
        <w:t xml:space="preserve"> hours, to determine the annual recordkeeping costs per </w:t>
      </w:r>
      <w:r w:rsidR="00AF5C39">
        <w:rPr>
          <w:sz w:val="24"/>
        </w:rPr>
        <w:t>HHA</w:t>
      </w:r>
      <w:r w:rsidRPr="00AF5C39" w:rsidR="00D30B99">
        <w:rPr>
          <w:sz w:val="24"/>
        </w:rPr>
        <w:t xml:space="preserve"> to be $</w:t>
      </w:r>
      <w:r w:rsidR="00AF5C39">
        <w:rPr>
          <w:sz w:val="24"/>
        </w:rPr>
        <w:t>5</w:t>
      </w:r>
      <w:r w:rsidRPr="00AF5C39" w:rsidR="00D30B99">
        <w:rPr>
          <w:sz w:val="24"/>
        </w:rPr>
        <w:t>,</w:t>
      </w:r>
      <w:r w:rsidR="001F2138">
        <w:rPr>
          <w:sz w:val="24"/>
        </w:rPr>
        <w:t>670</w:t>
      </w:r>
      <w:r w:rsidR="00D26BD8">
        <w:rPr>
          <w:sz w:val="24"/>
        </w:rPr>
        <w:t>.</w:t>
      </w:r>
      <w:r w:rsidR="001F2138">
        <w:rPr>
          <w:sz w:val="24"/>
        </w:rPr>
        <w:t>0</w:t>
      </w:r>
      <w:r w:rsidR="00C32B4A">
        <w:rPr>
          <w:sz w:val="24"/>
        </w:rPr>
        <w:t>0</w:t>
      </w:r>
      <w:r w:rsidRPr="00AF5C39" w:rsidR="00D30B99">
        <w:rPr>
          <w:sz w:val="24"/>
        </w:rPr>
        <w:t xml:space="preserve"> ($</w:t>
      </w:r>
      <w:r w:rsidR="001F2138">
        <w:rPr>
          <w:sz w:val="24"/>
        </w:rPr>
        <w:t>40</w:t>
      </w:r>
      <w:r w:rsidRPr="00AF5C39" w:rsidR="00D30B99">
        <w:rPr>
          <w:sz w:val="24"/>
        </w:rPr>
        <w:t>.</w:t>
      </w:r>
      <w:r w:rsidR="00D26BD8">
        <w:rPr>
          <w:sz w:val="24"/>
        </w:rPr>
        <w:t>5</w:t>
      </w:r>
      <w:r w:rsidR="001F2138">
        <w:rPr>
          <w:sz w:val="24"/>
        </w:rPr>
        <w:t>0</w:t>
      </w:r>
      <w:r w:rsidRPr="00AF5C39" w:rsidR="00D30B99">
        <w:rPr>
          <w:sz w:val="24"/>
        </w:rPr>
        <w:t xml:space="preserve"> x </w:t>
      </w:r>
      <w:r w:rsidR="00AF5C39">
        <w:rPr>
          <w:sz w:val="24"/>
        </w:rPr>
        <w:t>1</w:t>
      </w:r>
      <w:r w:rsidR="00C32B4A">
        <w:rPr>
          <w:sz w:val="24"/>
        </w:rPr>
        <w:t>40</w:t>
      </w:r>
      <w:r w:rsidRPr="00AF5C39" w:rsidR="00D30B99">
        <w:rPr>
          <w:sz w:val="24"/>
        </w:rPr>
        <w:t xml:space="preserve"> hours). </w:t>
      </w:r>
      <w:r>
        <w:rPr>
          <w:sz w:val="24"/>
        </w:rPr>
        <w:t xml:space="preserve"> </w:t>
      </w:r>
      <w:r w:rsidRPr="00AF5C39" w:rsidR="00D30B99">
        <w:rPr>
          <w:sz w:val="24"/>
        </w:rPr>
        <w:t>The mean hourly wage for Category 13-2011 (accounting and audit professionals) is $3</w:t>
      </w:r>
      <w:r w:rsidR="00D26BD8">
        <w:rPr>
          <w:sz w:val="24"/>
        </w:rPr>
        <w:t>7</w:t>
      </w:r>
      <w:r w:rsidRPr="00AF5C39" w:rsidR="00D30B99">
        <w:rPr>
          <w:sz w:val="24"/>
        </w:rPr>
        <w:t>.</w:t>
      </w:r>
      <w:r w:rsidR="001F2138">
        <w:rPr>
          <w:sz w:val="24"/>
        </w:rPr>
        <w:t>89</w:t>
      </w:r>
      <w:r w:rsidR="00E06861">
        <w:rPr>
          <w:sz w:val="24"/>
          <w:vertAlign w:val="superscript"/>
        </w:rPr>
        <w:t>2</w:t>
      </w:r>
      <w:r w:rsidRPr="00AF5C39" w:rsidR="00D30B99">
        <w:rPr>
          <w:sz w:val="24"/>
        </w:rPr>
        <w:t xml:space="preserve">.  We added 100% of the mean hourly wage to account for fringe </w:t>
      </w:r>
      <w:r w:rsidR="00DC1193">
        <w:rPr>
          <w:sz w:val="24"/>
        </w:rPr>
        <w:t xml:space="preserve">benefits </w:t>
      </w:r>
      <w:r w:rsidRPr="00AF5C39" w:rsidR="00D30B99">
        <w:rPr>
          <w:sz w:val="24"/>
        </w:rPr>
        <w:t xml:space="preserve">and overhead </w:t>
      </w:r>
      <w:r w:rsidR="00DC1193">
        <w:rPr>
          <w:sz w:val="24"/>
        </w:rPr>
        <w:t>cos</w:t>
      </w:r>
      <w:r w:rsidRPr="00AF5C39" w:rsidR="00D30B99">
        <w:rPr>
          <w:sz w:val="24"/>
        </w:rPr>
        <w:t>ts, which calculates to $7</w:t>
      </w:r>
      <w:r w:rsidR="001F2138">
        <w:rPr>
          <w:sz w:val="24"/>
        </w:rPr>
        <w:t>5</w:t>
      </w:r>
      <w:r w:rsidRPr="00AF5C39" w:rsidR="00D30B99">
        <w:rPr>
          <w:sz w:val="24"/>
        </w:rPr>
        <w:t>.</w:t>
      </w:r>
      <w:r w:rsidR="001F2138">
        <w:rPr>
          <w:sz w:val="24"/>
        </w:rPr>
        <w:t>78</w:t>
      </w:r>
      <w:r w:rsidRPr="00AF5C39" w:rsidR="00D30B99">
        <w:rPr>
          <w:sz w:val="24"/>
        </w:rPr>
        <w:t xml:space="preserve"> ($3</w:t>
      </w:r>
      <w:r w:rsidR="00D26BD8">
        <w:rPr>
          <w:sz w:val="24"/>
        </w:rPr>
        <w:t>7</w:t>
      </w:r>
      <w:r w:rsidRPr="00AF5C39" w:rsidR="00D30B99">
        <w:rPr>
          <w:sz w:val="24"/>
        </w:rPr>
        <w:t>.</w:t>
      </w:r>
      <w:r w:rsidR="001F2138">
        <w:rPr>
          <w:sz w:val="24"/>
        </w:rPr>
        <w:t>89</w:t>
      </w:r>
      <w:r w:rsidRPr="00AF5C39" w:rsidR="00D30B99">
        <w:rPr>
          <w:sz w:val="24"/>
        </w:rPr>
        <w:t xml:space="preserve"> + $3</w:t>
      </w:r>
      <w:r w:rsidR="00D26BD8">
        <w:rPr>
          <w:sz w:val="24"/>
        </w:rPr>
        <w:t>7</w:t>
      </w:r>
      <w:r w:rsidRPr="00AF5C39" w:rsidR="00D30B99">
        <w:rPr>
          <w:sz w:val="24"/>
        </w:rPr>
        <w:t>.</w:t>
      </w:r>
      <w:r w:rsidR="001F2138">
        <w:rPr>
          <w:sz w:val="24"/>
        </w:rPr>
        <w:t>89</w:t>
      </w:r>
      <w:r w:rsidRPr="00AF5C39" w:rsidR="00D30B99">
        <w:rPr>
          <w:sz w:val="24"/>
        </w:rPr>
        <w:t xml:space="preserve">) and multiplied it by </w:t>
      </w:r>
      <w:r w:rsidR="00C32B4A">
        <w:rPr>
          <w:sz w:val="24"/>
        </w:rPr>
        <w:t>5</w:t>
      </w:r>
      <w:r w:rsidR="0011379F">
        <w:rPr>
          <w:sz w:val="24"/>
        </w:rPr>
        <w:t>5</w:t>
      </w:r>
      <w:r w:rsidRPr="00AF5C39" w:rsidR="00D30B99">
        <w:rPr>
          <w:sz w:val="24"/>
        </w:rPr>
        <w:t xml:space="preserve"> hours, to determine the annual reporting costs per </w:t>
      </w:r>
      <w:r w:rsidR="00AF5C39">
        <w:rPr>
          <w:sz w:val="24"/>
        </w:rPr>
        <w:t>HHA</w:t>
      </w:r>
      <w:r w:rsidRPr="00AF5C39" w:rsidR="00D30B99">
        <w:rPr>
          <w:sz w:val="24"/>
        </w:rPr>
        <w:t xml:space="preserve"> to be $</w:t>
      </w:r>
      <w:r w:rsidR="00C32B4A">
        <w:rPr>
          <w:sz w:val="24"/>
        </w:rPr>
        <w:t>4</w:t>
      </w:r>
      <w:r w:rsidR="00AF5C39">
        <w:rPr>
          <w:sz w:val="24"/>
        </w:rPr>
        <w:t>,</w:t>
      </w:r>
      <w:r w:rsidR="00C32B4A">
        <w:rPr>
          <w:sz w:val="24"/>
        </w:rPr>
        <w:t>1</w:t>
      </w:r>
      <w:r w:rsidR="001F2138">
        <w:rPr>
          <w:sz w:val="24"/>
        </w:rPr>
        <w:t>67</w:t>
      </w:r>
      <w:r w:rsidR="00AF5C39">
        <w:rPr>
          <w:sz w:val="24"/>
        </w:rPr>
        <w:t>.</w:t>
      </w:r>
      <w:r w:rsidR="001F2138">
        <w:rPr>
          <w:sz w:val="24"/>
        </w:rPr>
        <w:t>9</w:t>
      </w:r>
      <w:r w:rsidR="00C32B4A">
        <w:rPr>
          <w:sz w:val="24"/>
        </w:rPr>
        <w:t>0</w:t>
      </w:r>
      <w:r w:rsidRPr="00AF5C39" w:rsidR="00D30B99">
        <w:rPr>
          <w:sz w:val="24"/>
        </w:rPr>
        <w:t xml:space="preserve"> ($7</w:t>
      </w:r>
      <w:r w:rsidR="001F2138">
        <w:rPr>
          <w:sz w:val="24"/>
        </w:rPr>
        <w:t>5</w:t>
      </w:r>
      <w:r w:rsidRPr="00AF5C39" w:rsidR="00D30B99">
        <w:rPr>
          <w:sz w:val="24"/>
        </w:rPr>
        <w:t>.</w:t>
      </w:r>
      <w:r w:rsidR="001F2138">
        <w:rPr>
          <w:sz w:val="24"/>
        </w:rPr>
        <w:t>78</w:t>
      </w:r>
      <w:r w:rsidRPr="00AF5C39" w:rsidR="00D30B99">
        <w:rPr>
          <w:sz w:val="24"/>
        </w:rPr>
        <w:t xml:space="preserve"> x </w:t>
      </w:r>
      <w:r w:rsidR="00C32B4A">
        <w:rPr>
          <w:sz w:val="24"/>
        </w:rPr>
        <w:t>5</w:t>
      </w:r>
      <w:r w:rsidR="00AF5C39">
        <w:rPr>
          <w:sz w:val="24"/>
        </w:rPr>
        <w:t>5</w:t>
      </w:r>
      <w:r w:rsidRPr="00AF5C39" w:rsidR="00D30B99">
        <w:rPr>
          <w:sz w:val="24"/>
        </w:rPr>
        <w:t xml:space="preserve"> hours).  We calculated the total annual cost per </w:t>
      </w:r>
      <w:r w:rsidR="00AF5C39">
        <w:rPr>
          <w:sz w:val="24"/>
        </w:rPr>
        <w:t>HHA</w:t>
      </w:r>
      <w:r w:rsidRPr="00AF5C39" w:rsidR="00D30B99">
        <w:rPr>
          <w:sz w:val="24"/>
        </w:rPr>
        <w:t xml:space="preserve"> of $</w:t>
      </w:r>
      <w:r w:rsidR="00C32B4A">
        <w:rPr>
          <w:sz w:val="24"/>
        </w:rPr>
        <w:t>9</w:t>
      </w:r>
      <w:r w:rsidR="00125298">
        <w:rPr>
          <w:sz w:val="24"/>
        </w:rPr>
        <w:t>,</w:t>
      </w:r>
      <w:r w:rsidR="001F2138">
        <w:rPr>
          <w:sz w:val="24"/>
        </w:rPr>
        <w:t>837</w:t>
      </w:r>
      <w:r w:rsidR="00125298">
        <w:rPr>
          <w:sz w:val="24"/>
        </w:rPr>
        <w:t>.</w:t>
      </w:r>
      <w:r w:rsidR="001F2138">
        <w:rPr>
          <w:sz w:val="24"/>
        </w:rPr>
        <w:t>9</w:t>
      </w:r>
      <w:r w:rsidR="00C32B4A">
        <w:rPr>
          <w:sz w:val="24"/>
        </w:rPr>
        <w:t>0</w:t>
      </w:r>
      <w:r w:rsidRPr="00AF5C39" w:rsidR="00D30B99">
        <w:rPr>
          <w:sz w:val="24"/>
        </w:rPr>
        <w:t>, by adding the recordkeeping costs of $</w:t>
      </w:r>
      <w:r w:rsidR="00D26BD8">
        <w:rPr>
          <w:sz w:val="24"/>
        </w:rPr>
        <w:t>5,</w:t>
      </w:r>
      <w:r w:rsidR="00794684">
        <w:rPr>
          <w:sz w:val="24"/>
        </w:rPr>
        <w:t>670</w:t>
      </w:r>
      <w:r w:rsidR="00D26BD8">
        <w:rPr>
          <w:sz w:val="24"/>
        </w:rPr>
        <w:t>.</w:t>
      </w:r>
      <w:r w:rsidR="00794684">
        <w:rPr>
          <w:sz w:val="24"/>
        </w:rPr>
        <w:t>0</w:t>
      </w:r>
      <w:r w:rsidR="00C32B4A">
        <w:rPr>
          <w:sz w:val="24"/>
        </w:rPr>
        <w:t>0</w:t>
      </w:r>
      <w:r w:rsidRPr="00AF5C39" w:rsidR="00D30B99">
        <w:rPr>
          <w:sz w:val="24"/>
        </w:rPr>
        <w:t xml:space="preserve"> plus the reporting costs of $</w:t>
      </w:r>
      <w:r w:rsidR="00C32B4A">
        <w:rPr>
          <w:sz w:val="24"/>
        </w:rPr>
        <w:t>4</w:t>
      </w:r>
      <w:r w:rsidR="00125298">
        <w:rPr>
          <w:sz w:val="24"/>
        </w:rPr>
        <w:t>,</w:t>
      </w:r>
      <w:r w:rsidR="00C32B4A">
        <w:rPr>
          <w:sz w:val="24"/>
        </w:rPr>
        <w:t>1</w:t>
      </w:r>
      <w:r w:rsidR="00794684">
        <w:rPr>
          <w:sz w:val="24"/>
        </w:rPr>
        <w:t>67</w:t>
      </w:r>
      <w:r w:rsidR="00125298">
        <w:rPr>
          <w:sz w:val="24"/>
        </w:rPr>
        <w:t>.</w:t>
      </w:r>
      <w:r w:rsidR="00794684">
        <w:rPr>
          <w:sz w:val="24"/>
        </w:rPr>
        <w:t>9</w:t>
      </w:r>
      <w:r w:rsidR="00125298">
        <w:rPr>
          <w:sz w:val="24"/>
        </w:rPr>
        <w:t>0</w:t>
      </w:r>
      <w:r w:rsidRPr="00AF5C39" w:rsidR="00D30B99">
        <w:rPr>
          <w:sz w:val="24"/>
        </w:rPr>
        <w:t xml:space="preserve">.  </w:t>
      </w:r>
      <w:r w:rsidRPr="006B05F0" w:rsidR="00464924">
        <w:rPr>
          <w:sz w:val="24"/>
        </w:rPr>
        <w:t>We estimated the total annual cost to be $</w:t>
      </w:r>
      <w:r w:rsidR="00206327">
        <w:rPr>
          <w:sz w:val="24"/>
        </w:rPr>
        <w:t>99</w:t>
      </w:r>
      <w:r w:rsidR="00464924">
        <w:rPr>
          <w:sz w:val="24"/>
        </w:rPr>
        <w:t>,</w:t>
      </w:r>
      <w:r w:rsidR="00794684">
        <w:rPr>
          <w:sz w:val="24"/>
        </w:rPr>
        <w:t>7</w:t>
      </w:r>
      <w:r w:rsidR="00206327">
        <w:rPr>
          <w:sz w:val="24"/>
        </w:rPr>
        <w:t>46</w:t>
      </w:r>
      <w:r w:rsidR="00464924">
        <w:rPr>
          <w:sz w:val="24"/>
        </w:rPr>
        <w:t>,</w:t>
      </w:r>
      <w:r w:rsidR="00206327">
        <w:rPr>
          <w:sz w:val="24"/>
        </w:rPr>
        <w:t>46</w:t>
      </w:r>
      <w:r w:rsidR="00794684">
        <w:rPr>
          <w:sz w:val="24"/>
        </w:rPr>
        <w:t>8</w:t>
      </w:r>
      <w:r w:rsidRPr="006B05F0" w:rsidR="00464924">
        <w:rPr>
          <w:sz w:val="24"/>
        </w:rPr>
        <w:t xml:space="preserve"> (</w:t>
      </w:r>
      <w:r w:rsidR="00464924">
        <w:rPr>
          <w:sz w:val="24"/>
        </w:rPr>
        <w:t>$9,</w:t>
      </w:r>
      <w:r w:rsidR="00794684">
        <w:rPr>
          <w:sz w:val="24"/>
        </w:rPr>
        <w:t>837</w:t>
      </w:r>
      <w:r w:rsidR="00464924">
        <w:rPr>
          <w:sz w:val="24"/>
        </w:rPr>
        <w:t>.</w:t>
      </w:r>
      <w:r w:rsidR="00794684">
        <w:rPr>
          <w:sz w:val="24"/>
        </w:rPr>
        <w:t>9</w:t>
      </w:r>
      <w:r w:rsidR="00464924">
        <w:rPr>
          <w:sz w:val="24"/>
        </w:rPr>
        <w:t>0 times 10,1</w:t>
      </w:r>
      <w:r w:rsidR="00206327">
        <w:rPr>
          <w:sz w:val="24"/>
        </w:rPr>
        <w:t>3</w:t>
      </w:r>
      <w:r w:rsidR="00464924">
        <w:rPr>
          <w:sz w:val="24"/>
        </w:rPr>
        <w:t>9 HHAs</w:t>
      </w:r>
      <w:r w:rsidRPr="006B05F0" w:rsidR="00464924">
        <w:rPr>
          <w:sz w:val="24"/>
        </w:rPr>
        <w:t>).</w:t>
      </w:r>
      <w:r w:rsidRPr="004B45C5" w:rsidR="00D30B99">
        <w:rPr>
          <w:sz w:val="24"/>
        </w:rPr>
        <w:t xml:space="preserve">  </w:t>
      </w:r>
    </w:p>
    <w:p w:rsidR="00E06861" w:rsidP="00D30B99" w:rsidRDefault="00E06861" w14:paraId="79245AF1" w14:textId="6C6C77C0">
      <w:pPr>
        <w:tabs>
          <w:tab w:val="left" w:pos="450"/>
          <w:tab w:val="left" w:pos="940"/>
        </w:tabs>
        <w:spacing w:before="69"/>
        <w:ind w:left="720"/>
        <w:rPr>
          <w:sz w:val="24"/>
          <w:vertAlign w:val="superscript"/>
        </w:rPr>
      </w:pPr>
      <w:r>
        <w:rPr>
          <w:sz w:val="24"/>
          <w:vertAlign w:val="superscript"/>
        </w:rPr>
        <w:t>1</w:t>
      </w:r>
      <w:r w:rsidRPr="00E06861">
        <w:t xml:space="preserve"> </w:t>
      </w:r>
      <w:hyperlink w:history="1" r:id="rId8">
        <w:r w:rsidRPr="00E06861">
          <w:rPr>
            <w:rStyle w:val="Hyperlink"/>
            <w:sz w:val="24"/>
            <w:vertAlign w:val="superscript"/>
          </w:rPr>
          <w:t>https://www.bls.gov/oes/current/oes433031.htm</w:t>
        </w:r>
      </w:hyperlink>
    </w:p>
    <w:p w:rsidRPr="00E06861" w:rsidR="00E06861" w:rsidP="00D30B99" w:rsidRDefault="00E06861" w14:paraId="086CAC86" w14:textId="183AE635">
      <w:pPr>
        <w:tabs>
          <w:tab w:val="left" w:pos="450"/>
          <w:tab w:val="left" w:pos="940"/>
        </w:tabs>
        <w:spacing w:before="69"/>
        <w:ind w:left="720"/>
        <w:rPr>
          <w:sz w:val="24"/>
          <w:vertAlign w:val="superscript"/>
        </w:rPr>
      </w:pPr>
      <w:r>
        <w:rPr>
          <w:sz w:val="24"/>
          <w:vertAlign w:val="superscript"/>
        </w:rPr>
        <w:t>2</w:t>
      </w:r>
      <w:r w:rsidRPr="00E06861">
        <w:t xml:space="preserve"> </w:t>
      </w:r>
      <w:hyperlink w:history="1" r:id="rId9">
        <w:r w:rsidRPr="00227FC8" w:rsidR="00DA32E4">
          <w:rPr>
            <w:rStyle w:val="Hyperlink"/>
            <w:sz w:val="24"/>
            <w:vertAlign w:val="superscript"/>
          </w:rPr>
          <w:t>https://www.bls.gov/oes/current/oes132011.htm</w:t>
        </w:r>
      </w:hyperlink>
    </w:p>
    <w:p w:rsidR="00D30B99" w:rsidP="003A2813" w:rsidRDefault="00D30B99" w14:paraId="2D348291" w14:textId="77777777">
      <w:pPr>
        <w:pStyle w:val="ListParagraph"/>
        <w:tabs>
          <w:tab w:val="left" w:pos="0"/>
          <w:tab w:val="left" w:pos="360"/>
          <w:tab w:val="left" w:pos="720"/>
        </w:tabs>
        <w:suppressAutoHyphens/>
        <w:spacing w:line="240" w:lineRule="atLeast"/>
        <w:rPr>
          <w:sz w:val="24"/>
          <w:szCs w:val="24"/>
        </w:rPr>
      </w:pPr>
    </w:p>
    <w:p w:rsidRPr="007952CC" w:rsidR="00D22C70" w:rsidP="007952CC" w:rsidRDefault="00D22C70" w14:paraId="0A3E92BB"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Capital Cost</w:t>
      </w:r>
    </w:p>
    <w:p w:rsidRPr="002B7282" w:rsidR="00D22C70" w:rsidP="00A211BB" w:rsidRDefault="00D22C70" w14:paraId="1D8FD851" w14:textId="77777777">
      <w:pPr>
        <w:tabs>
          <w:tab w:val="left" w:pos="0"/>
          <w:tab w:val="left" w:pos="360"/>
          <w:tab w:val="left" w:pos="720"/>
        </w:tabs>
        <w:suppressAutoHyphens/>
        <w:spacing w:line="240" w:lineRule="atLeast"/>
        <w:ind w:left="360"/>
        <w:rPr>
          <w:sz w:val="24"/>
          <w:szCs w:val="24"/>
        </w:rPr>
      </w:pPr>
    </w:p>
    <w:p w:rsidRPr="002B7282" w:rsidR="00D22C70" w:rsidP="00552775" w:rsidRDefault="00D22C70" w14:paraId="326A60BC" w14:textId="63A0AFF1">
      <w:pPr>
        <w:tabs>
          <w:tab w:val="left" w:pos="0"/>
          <w:tab w:val="left" w:pos="720"/>
        </w:tabs>
        <w:suppressAutoHyphens/>
        <w:spacing w:line="240" w:lineRule="atLeast"/>
        <w:ind w:left="720"/>
        <w:rPr>
          <w:sz w:val="24"/>
          <w:szCs w:val="24"/>
        </w:rPr>
      </w:pPr>
      <w:r w:rsidRPr="002B7282">
        <w:rPr>
          <w:sz w:val="24"/>
          <w:szCs w:val="24"/>
        </w:rPr>
        <w:t>There are no capital costs</w:t>
      </w:r>
      <w:r w:rsidRPr="00361152" w:rsidR="00361152">
        <w:rPr>
          <w:sz w:val="24"/>
          <w:szCs w:val="24"/>
        </w:rPr>
        <w:t xml:space="preserve"> as this data collection tool, Form CMS-</w:t>
      </w:r>
      <w:r w:rsidR="00854DDA">
        <w:rPr>
          <w:sz w:val="24"/>
          <w:szCs w:val="24"/>
        </w:rPr>
        <w:t>1728-20</w:t>
      </w:r>
      <w:r w:rsidR="00361152">
        <w:rPr>
          <w:sz w:val="24"/>
          <w:szCs w:val="24"/>
        </w:rPr>
        <w:t>,</w:t>
      </w:r>
      <w:r w:rsidRPr="00361152" w:rsidR="00361152">
        <w:rPr>
          <w:sz w:val="24"/>
          <w:szCs w:val="24"/>
        </w:rPr>
        <w:t xml:space="preserve"> replaces the existing data collection tool, Form CMS-</w:t>
      </w:r>
      <w:r w:rsidR="00361152">
        <w:rPr>
          <w:sz w:val="24"/>
          <w:szCs w:val="24"/>
        </w:rPr>
        <w:t>1728</w:t>
      </w:r>
      <w:r w:rsidRPr="00361152" w:rsidR="00361152">
        <w:rPr>
          <w:sz w:val="24"/>
          <w:szCs w:val="24"/>
        </w:rPr>
        <w:t>-9</w:t>
      </w:r>
      <w:r w:rsidR="00361152">
        <w:rPr>
          <w:sz w:val="24"/>
          <w:szCs w:val="24"/>
        </w:rPr>
        <w:t>4</w:t>
      </w:r>
      <w:r w:rsidRPr="00361152" w:rsidR="00361152">
        <w:rPr>
          <w:sz w:val="24"/>
          <w:szCs w:val="24"/>
        </w:rPr>
        <w:t xml:space="preserve">.  </w:t>
      </w:r>
    </w:p>
    <w:p w:rsidRPr="002B7282" w:rsidR="00125298" w:rsidP="00A211BB" w:rsidRDefault="00125298" w14:paraId="2019E624" w14:textId="77777777">
      <w:pPr>
        <w:tabs>
          <w:tab w:val="left" w:pos="0"/>
          <w:tab w:val="left" w:pos="360"/>
          <w:tab w:val="left" w:pos="720"/>
        </w:tabs>
        <w:suppressAutoHyphens/>
        <w:spacing w:line="240" w:lineRule="atLeast"/>
        <w:ind w:left="360"/>
        <w:rPr>
          <w:sz w:val="24"/>
          <w:szCs w:val="24"/>
        </w:rPr>
      </w:pPr>
    </w:p>
    <w:p w:rsidRPr="007952CC" w:rsidR="00D22C70" w:rsidP="007952CC" w:rsidRDefault="00D22C70" w14:paraId="4E5C7D39"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Cost to Federal Government</w:t>
      </w:r>
    </w:p>
    <w:p w:rsidR="002B7282" w:rsidP="00A211BB" w:rsidRDefault="002B7282" w14:paraId="4D3CCE5F" w14:textId="77777777">
      <w:pPr>
        <w:tabs>
          <w:tab w:val="left" w:pos="0"/>
          <w:tab w:val="left" w:pos="360"/>
          <w:tab w:val="left" w:pos="720"/>
        </w:tabs>
        <w:suppressAutoHyphens/>
        <w:spacing w:line="240" w:lineRule="atLeast"/>
        <w:ind w:left="360"/>
        <w:rPr>
          <w:sz w:val="24"/>
          <w:szCs w:val="24"/>
          <w:u w:val="single"/>
        </w:rPr>
      </w:pPr>
    </w:p>
    <w:tbl>
      <w:tblPr>
        <w:tblW w:w="5000" w:type="pct"/>
        <w:tblLook w:val="04A0" w:firstRow="1" w:lastRow="0" w:firstColumn="1" w:lastColumn="0" w:noHBand="0" w:noVBand="1"/>
      </w:tblPr>
      <w:tblGrid>
        <w:gridCol w:w="266"/>
        <w:gridCol w:w="4995"/>
        <w:gridCol w:w="1400"/>
        <w:gridCol w:w="267"/>
        <w:gridCol w:w="2136"/>
        <w:gridCol w:w="276"/>
      </w:tblGrid>
      <w:tr w:rsidRPr="006E0D87" w:rsidR="00DA7D1E" w:rsidTr="00E90F3C" w14:paraId="3B947FD4" w14:textId="77777777">
        <w:trPr>
          <w:trHeight w:val="300"/>
        </w:trPr>
        <w:tc>
          <w:tcPr>
            <w:tcW w:w="165" w:type="pct"/>
            <w:tcBorders>
              <w:top w:val="single" w:color="auto" w:sz="8" w:space="0"/>
              <w:left w:val="single" w:color="auto" w:sz="8" w:space="0"/>
              <w:bottom w:val="nil"/>
              <w:right w:val="nil"/>
            </w:tcBorders>
            <w:shd w:val="clear" w:color="auto" w:fill="auto"/>
            <w:noWrap/>
            <w:vAlign w:val="bottom"/>
            <w:hideMark/>
          </w:tcPr>
          <w:p w:rsidRPr="006E0D87" w:rsidR="00DA7D1E" w:rsidP="00DE5785" w:rsidRDefault="00DA7D1E" w14:paraId="30C5E41C"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single" w:color="auto" w:sz="8" w:space="0"/>
              <w:left w:val="nil"/>
              <w:bottom w:val="nil"/>
              <w:right w:val="nil"/>
            </w:tcBorders>
            <w:shd w:val="clear" w:color="auto" w:fill="auto"/>
            <w:noWrap/>
            <w:vAlign w:val="bottom"/>
            <w:hideMark/>
          </w:tcPr>
          <w:p w:rsidRPr="006E0D87" w:rsidR="00DA7D1E" w:rsidP="00DE5785" w:rsidRDefault="00DA7D1E" w14:paraId="32CCD898"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833" w:type="pct"/>
            <w:tcBorders>
              <w:top w:val="single" w:color="auto" w:sz="8" w:space="0"/>
              <w:left w:val="nil"/>
              <w:bottom w:val="nil"/>
              <w:right w:val="nil"/>
            </w:tcBorders>
            <w:shd w:val="clear" w:color="auto" w:fill="auto"/>
            <w:noWrap/>
            <w:vAlign w:val="bottom"/>
            <w:hideMark/>
          </w:tcPr>
          <w:p w:rsidRPr="006E0D87" w:rsidR="00DA7D1E" w:rsidP="00DE5785" w:rsidRDefault="00DA7D1E" w14:paraId="779E1190"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65" w:type="pct"/>
            <w:tcBorders>
              <w:top w:val="single" w:color="auto" w:sz="8" w:space="0"/>
              <w:left w:val="nil"/>
              <w:bottom w:val="nil"/>
              <w:right w:val="nil"/>
            </w:tcBorders>
            <w:shd w:val="clear" w:color="auto" w:fill="auto"/>
            <w:noWrap/>
            <w:vAlign w:val="bottom"/>
            <w:hideMark/>
          </w:tcPr>
          <w:p w:rsidRPr="006E0D87" w:rsidR="00DA7D1E" w:rsidP="00DE5785" w:rsidRDefault="00DA7D1E" w14:paraId="0614B30F"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884" w:type="pct"/>
            <w:tcBorders>
              <w:top w:val="single" w:color="auto" w:sz="8" w:space="0"/>
              <w:left w:val="nil"/>
              <w:bottom w:val="nil"/>
              <w:right w:val="nil"/>
            </w:tcBorders>
            <w:shd w:val="clear" w:color="auto" w:fill="auto"/>
            <w:noWrap/>
            <w:vAlign w:val="bottom"/>
            <w:hideMark/>
          </w:tcPr>
          <w:p w:rsidRPr="006E0D87" w:rsidR="00DA7D1E" w:rsidP="00DE5785" w:rsidRDefault="00DA7D1E" w14:paraId="6325EFBC"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65" w:type="pct"/>
            <w:tcBorders>
              <w:top w:val="single" w:color="auto" w:sz="8" w:space="0"/>
              <w:left w:val="nil"/>
              <w:bottom w:val="nil"/>
              <w:right w:val="single" w:color="auto" w:sz="8" w:space="0"/>
            </w:tcBorders>
            <w:shd w:val="clear" w:color="auto" w:fill="auto"/>
            <w:noWrap/>
            <w:vAlign w:val="bottom"/>
            <w:hideMark/>
          </w:tcPr>
          <w:p w:rsidRPr="006E0D87" w:rsidR="00DA7D1E" w:rsidP="00DE5785" w:rsidRDefault="00DA7D1E" w14:paraId="416ADC5C"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Pr="00D04275" w:rsidR="00DA7D1E" w:rsidTr="00E90F3C" w14:paraId="3F59F34E" w14:textId="77777777">
        <w:trPr>
          <w:trHeight w:val="315"/>
        </w:trPr>
        <w:tc>
          <w:tcPr>
            <w:tcW w:w="165" w:type="pct"/>
            <w:tcBorders>
              <w:top w:val="nil"/>
              <w:left w:val="single" w:color="auto" w:sz="8" w:space="0"/>
              <w:bottom w:val="nil"/>
              <w:right w:val="nil"/>
            </w:tcBorders>
            <w:shd w:val="clear" w:color="auto" w:fill="auto"/>
            <w:noWrap/>
            <w:vAlign w:val="bottom"/>
            <w:hideMark/>
          </w:tcPr>
          <w:p w:rsidRPr="006E0D87" w:rsidR="00DA7D1E" w:rsidP="00DE5785" w:rsidRDefault="00DA7D1E" w14:paraId="4AF8A9A7"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Pr="00D04275" w:rsidR="00DA7D1E" w:rsidP="00DE5785" w:rsidRDefault="00DA7D1E" w14:paraId="40914A01" w14:textId="77777777">
            <w:pPr>
              <w:widowControl/>
              <w:autoSpaceDE/>
              <w:autoSpaceDN/>
              <w:adjustRightInd/>
              <w:rPr>
                <w:color w:val="000000"/>
                <w:sz w:val="24"/>
                <w:u w:val="single"/>
              </w:rPr>
            </w:pPr>
            <w:r w:rsidRPr="00D04275">
              <w:rPr>
                <w:color w:val="000000"/>
                <w:sz w:val="24"/>
                <w:u w:val="single"/>
              </w:rPr>
              <w:t>Annual cost to Medicare Contractors</w:t>
            </w:r>
            <w:r w:rsidRPr="00D04275">
              <w:rPr>
                <w:color w:val="000000"/>
                <w:sz w:val="24"/>
              </w:rPr>
              <w:t>:</w:t>
            </w:r>
          </w:p>
        </w:tc>
        <w:tc>
          <w:tcPr>
            <w:tcW w:w="884" w:type="pct"/>
            <w:tcBorders>
              <w:top w:val="nil"/>
              <w:left w:val="nil"/>
              <w:bottom w:val="nil"/>
              <w:right w:val="nil"/>
            </w:tcBorders>
            <w:shd w:val="clear" w:color="auto" w:fill="auto"/>
            <w:noWrap/>
            <w:vAlign w:val="bottom"/>
            <w:hideMark/>
          </w:tcPr>
          <w:p w:rsidRPr="00D04275" w:rsidR="00DA7D1E" w:rsidP="00DE5785" w:rsidRDefault="00DA7D1E" w14:paraId="20D0D624" w14:textId="77777777">
            <w:pPr>
              <w:widowControl/>
              <w:autoSpaceDE/>
              <w:autoSpaceDN/>
              <w:adjustRightInd/>
            </w:pPr>
          </w:p>
        </w:tc>
        <w:tc>
          <w:tcPr>
            <w:tcW w:w="165" w:type="pct"/>
            <w:tcBorders>
              <w:top w:val="nil"/>
              <w:left w:val="nil"/>
              <w:bottom w:val="nil"/>
              <w:right w:val="single" w:color="auto" w:sz="8" w:space="0"/>
            </w:tcBorders>
            <w:shd w:val="clear" w:color="auto" w:fill="auto"/>
            <w:noWrap/>
            <w:vAlign w:val="bottom"/>
            <w:hideMark/>
          </w:tcPr>
          <w:p w:rsidRPr="00D04275" w:rsidR="00DA7D1E" w:rsidP="00DE5785" w:rsidRDefault="00DA7D1E" w14:paraId="06B3EB63"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Pr="00D04275" w:rsidR="00DA7D1E" w:rsidTr="00E90F3C" w14:paraId="1691DAD6" w14:textId="77777777">
        <w:trPr>
          <w:trHeight w:val="300"/>
        </w:trPr>
        <w:tc>
          <w:tcPr>
            <w:tcW w:w="165" w:type="pct"/>
            <w:tcBorders>
              <w:top w:val="nil"/>
              <w:left w:val="single" w:color="auto" w:sz="8" w:space="0"/>
              <w:right w:val="nil"/>
            </w:tcBorders>
            <w:shd w:val="clear" w:color="auto" w:fill="auto"/>
            <w:noWrap/>
            <w:vAlign w:val="bottom"/>
            <w:hideMark/>
          </w:tcPr>
          <w:p w:rsidRPr="006E0D87" w:rsidR="00DA7D1E" w:rsidP="00DE5785" w:rsidRDefault="00DA7D1E" w14:paraId="78D7D5F8"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val="restart"/>
            <w:tcBorders>
              <w:top w:val="nil"/>
              <w:left w:val="nil"/>
              <w:bottom w:val="nil"/>
              <w:right w:val="nil"/>
            </w:tcBorders>
            <w:shd w:val="clear" w:color="auto" w:fill="auto"/>
            <w:vAlign w:val="bottom"/>
            <w:hideMark/>
          </w:tcPr>
          <w:p w:rsidRPr="00D04275" w:rsidR="00DA7D1E" w:rsidP="00DE5785" w:rsidRDefault="00DA7D1E" w14:paraId="0B3874BF" w14:textId="77777777">
            <w:pPr>
              <w:widowControl/>
              <w:autoSpaceDE/>
              <w:autoSpaceDN/>
              <w:adjustRightInd/>
              <w:rPr>
                <w:color w:val="000000"/>
                <w:sz w:val="24"/>
              </w:rPr>
            </w:pPr>
            <w:r w:rsidRPr="00D04275">
              <w:rPr>
                <w:color w:val="000000"/>
                <w:sz w:val="24"/>
              </w:rPr>
              <w:t>Annual costs incurred are related to processing information contained on the forms, particularly associated with achieving settlements.  Medicare contractors' processing costs are based on estimates provided by the Office of Financial Management (OFM).</w:t>
            </w:r>
          </w:p>
        </w:tc>
        <w:tc>
          <w:tcPr>
            <w:tcW w:w="884" w:type="pct"/>
            <w:tcBorders>
              <w:top w:val="nil"/>
              <w:left w:val="nil"/>
              <w:bottom w:val="nil"/>
              <w:right w:val="nil"/>
            </w:tcBorders>
            <w:shd w:val="clear" w:color="auto" w:fill="auto"/>
            <w:noWrap/>
            <w:vAlign w:val="bottom"/>
            <w:hideMark/>
          </w:tcPr>
          <w:p w:rsidRPr="00D04275" w:rsidR="00DA7D1E" w:rsidP="00DE5785" w:rsidRDefault="00DA7D1E" w14:paraId="0FE37B5D" w14:textId="77777777">
            <w:pPr>
              <w:widowControl/>
              <w:autoSpaceDE/>
              <w:autoSpaceDN/>
              <w:adjustRightInd/>
            </w:pPr>
          </w:p>
        </w:tc>
        <w:tc>
          <w:tcPr>
            <w:tcW w:w="165" w:type="pct"/>
            <w:tcBorders>
              <w:top w:val="nil"/>
              <w:left w:val="nil"/>
              <w:bottom w:val="nil"/>
              <w:right w:val="single" w:color="auto" w:sz="8" w:space="0"/>
            </w:tcBorders>
            <w:shd w:val="clear" w:color="auto" w:fill="auto"/>
            <w:noWrap/>
            <w:vAlign w:val="bottom"/>
            <w:hideMark/>
          </w:tcPr>
          <w:p w:rsidRPr="00D04275" w:rsidR="00DA7D1E" w:rsidP="00DE5785" w:rsidRDefault="00DA7D1E" w14:paraId="25004633"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Pr="00D04275" w:rsidR="00DA7D1E" w:rsidTr="00E90F3C" w14:paraId="32BA11F6" w14:textId="77777777">
        <w:trPr>
          <w:trHeight w:val="300"/>
        </w:trPr>
        <w:tc>
          <w:tcPr>
            <w:tcW w:w="165" w:type="pct"/>
            <w:tcBorders>
              <w:top w:val="nil"/>
              <w:left w:val="single" w:color="auto" w:sz="8" w:space="0"/>
              <w:bottom w:val="nil"/>
            </w:tcBorders>
            <w:shd w:val="clear" w:color="auto" w:fill="auto"/>
            <w:noWrap/>
            <w:vAlign w:val="bottom"/>
            <w:hideMark/>
          </w:tcPr>
          <w:p w:rsidRPr="006E0D87" w:rsidR="00DA7D1E" w:rsidP="00DE5785" w:rsidRDefault="00DA7D1E" w14:paraId="74850214"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rsidRPr="00D04275" w:rsidR="00DA7D1E" w:rsidP="00DE5785" w:rsidRDefault="00DA7D1E" w14:paraId="2DADBE44" w14:textId="77777777">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rsidRPr="00D04275" w:rsidR="00DA7D1E" w:rsidP="00DE5785" w:rsidRDefault="00DA7D1E" w14:paraId="7D68FA0F" w14:textId="77777777">
            <w:pPr>
              <w:widowControl/>
              <w:autoSpaceDE/>
              <w:autoSpaceDN/>
              <w:adjustRightInd/>
            </w:pPr>
          </w:p>
        </w:tc>
        <w:tc>
          <w:tcPr>
            <w:tcW w:w="165" w:type="pct"/>
            <w:tcBorders>
              <w:top w:val="nil"/>
              <w:left w:val="nil"/>
              <w:bottom w:val="nil"/>
              <w:right w:val="single" w:color="auto" w:sz="8" w:space="0"/>
            </w:tcBorders>
            <w:shd w:val="clear" w:color="auto" w:fill="auto"/>
            <w:noWrap/>
            <w:vAlign w:val="bottom"/>
            <w:hideMark/>
          </w:tcPr>
          <w:p w:rsidRPr="00D04275" w:rsidR="00DA7D1E" w:rsidP="00DE5785" w:rsidRDefault="00DA7D1E" w14:paraId="3F4E1CF7"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Pr="00D04275" w:rsidR="00DA7D1E" w:rsidTr="00E90F3C" w14:paraId="32974EB1" w14:textId="77777777">
        <w:trPr>
          <w:trHeight w:val="300"/>
        </w:trPr>
        <w:tc>
          <w:tcPr>
            <w:tcW w:w="165" w:type="pct"/>
            <w:tcBorders>
              <w:top w:val="nil"/>
              <w:left w:val="single" w:color="auto" w:sz="8" w:space="0"/>
              <w:bottom w:val="nil"/>
            </w:tcBorders>
            <w:shd w:val="clear" w:color="auto" w:fill="auto"/>
            <w:noWrap/>
            <w:vAlign w:val="bottom"/>
            <w:hideMark/>
          </w:tcPr>
          <w:p w:rsidRPr="006E0D87" w:rsidR="00DA7D1E" w:rsidP="00DE5785" w:rsidRDefault="00DA7D1E" w14:paraId="274FE93A"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rsidRPr="00D04275" w:rsidR="00DA7D1E" w:rsidP="00DE5785" w:rsidRDefault="00DA7D1E" w14:paraId="3FB32E43" w14:textId="77777777">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rsidRPr="00D04275" w:rsidR="00DA7D1E" w:rsidP="00DE5785" w:rsidRDefault="00DA7D1E" w14:paraId="58029229" w14:textId="77777777">
            <w:pPr>
              <w:widowControl/>
              <w:autoSpaceDE/>
              <w:autoSpaceDN/>
              <w:adjustRightInd/>
            </w:pPr>
          </w:p>
        </w:tc>
        <w:tc>
          <w:tcPr>
            <w:tcW w:w="165" w:type="pct"/>
            <w:tcBorders>
              <w:top w:val="nil"/>
              <w:left w:val="nil"/>
              <w:bottom w:val="nil"/>
              <w:right w:val="single" w:color="auto" w:sz="8" w:space="0"/>
            </w:tcBorders>
            <w:shd w:val="clear" w:color="auto" w:fill="auto"/>
            <w:noWrap/>
            <w:vAlign w:val="bottom"/>
            <w:hideMark/>
          </w:tcPr>
          <w:p w:rsidRPr="00D04275" w:rsidR="00DA7D1E" w:rsidP="00DE5785" w:rsidRDefault="00DA7D1E" w14:paraId="75AE1638"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r w:rsidRPr="00A63864" w:rsidR="00DA7D1E" w:rsidTr="00E90F3C" w14:paraId="7C9A0F18" w14:textId="77777777">
        <w:trPr>
          <w:trHeight w:val="315"/>
        </w:trPr>
        <w:tc>
          <w:tcPr>
            <w:tcW w:w="165" w:type="pct"/>
            <w:tcBorders>
              <w:top w:val="nil"/>
              <w:left w:val="single" w:color="auto" w:sz="8" w:space="0"/>
              <w:bottom w:val="nil"/>
            </w:tcBorders>
            <w:shd w:val="clear" w:color="auto" w:fill="auto"/>
            <w:noWrap/>
            <w:vAlign w:val="bottom"/>
            <w:hideMark/>
          </w:tcPr>
          <w:p w:rsidRPr="006E0D87" w:rsidR="00DA7D1E" w:rsidP="00DE5785" w:rsidRDefault="00DA7D1E" w14:paraId="71B2A8F3"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rsidRPr="00D04275" w:rsidR="00DA7D1E" w:rsidP="00DE5785" w:rsidRDefault="00DA7D1E" w14:paraId="6E086B82" w14:textId="77777777">
            <w:pPr>
              <w:widowControl/>
              <w:autoSpaceDE/>
              <w:autoSpaceDN/>
              <w:adjustRightInd/>
              <w:rPr>
                <w:color w:val="000000"/>
                <w:sz w:val="24"/>
              </w:rPr>
            </w:pPr>
          </w:p>
        </w:tc>
        <w:tc>
          <w:tcPr>
            <w:tcW w:w="884" w:type="pct"/>
            <w:tcBorders>
              <w:top w:val="nil"/>
              <w:left w:val="nil"/>
              <w:bottom w:val="nil"/>
              <w:right w:val="nil"/>
            </w:tcBorders>
            <w:shd w:val="clear" w:color="auto" w:fill="auto"/>
            <w:noWrap/>
            <w:vAlign w:val="bottom"/>
            <w:hideMark/>
          </w:tcPr>
          <w:p w:rsidRPr="00996D09" w:rsidR="00FE25F5" w:rsidP="00FE25F5" w:rsidRDefault="00FE25F5" w14:paraId="54115688" w14:textId="0AB173F6">
            <w:pPr>
              <w:widowControl/>
              <w:autoSpaceDE/>
              <w:autoSpaceDN/>
              <w:adjustRightInd/>
              <w:jc w:val="right"/>
              <w:rPr>
                <w:sz w:val="24"/>
                <w:szCs w:val="24"/>
              </w:rPr>
            </w:pPr>
            <w:r w:rsidRPr="00996D09">
              <w:rPr>
                <w:sz w:val="24"/>
                <w:szCs w:val="24"/>
              </w:rPr>
              <w:t xml:space="preserve">  </w:t>
            </w:r>
            <w:r w:rsidRPr="00A34391">
              <w:rPr>
                <w:sz w:val="24"/>
                <w:szCs w:val="24"/>
              </w:rPr>
              <w:t xml:space="preserve">$ </w:t>
            </w:r>
            <w:r w:rsidR="00A34391">
              <w:rPr>
                <w:sz w:val="24"/>
                <w:szCs w:val="24"/>
              </w:rPr>
              <w:t>6,</w:t>
            </w:r>
            <w:r w:rsidR="00E46513">
              <w:rPr>
                <w:sz w:val="24"/>
                <w:szCs w:val="24"/>
              </w:rPr>
              <w:t>4</w:t>
            </w:r>
            <w:r w:rsidR="00F71609">
              <w:rPr>
                <w:sz w:val="24"/>
                <w:szCs w:val="24"/>
              </w:rPr>
              <w:t>43,852</w:t>
            </w:r>
          </w:p>
          <w:p w:rsidRPr="00A63864" w:rsidR="00DA7D1E" w:rsidP="00FE25F5" w:rsidRDefault="00954D7B" w14:paraId="3831866F" w14:textId="77777777">
            <w:pPr>
              <w:widowControl/>
              <w:autoSpaceDE/>
              <w:autoSpaceDN/>
              <w:adjustRightInd/>
              <w:jc w:val="right"/>
              <w:rPr>
                <w:color w:val="000000"/>
                <w:sz w:val="24"/>
                <w:szCs w:val="24"/>
              </w:rPr>
            </w:pPr>
            <w:r w:rsidRPr="00A63864">
              <w:rPr>
                <w:color w:val="000000"/>
                <w:sz w:val="24"/>
                <w:szCs w:val="24"/>
              </w:rPr>
              <w:t xml:space="preserve"> </w:t>
            </w:r>
          </w:p>
        </w:tc>
        <w:tc>
          <w:tcPr>
            <w:tcW w:w="165" w:type="pct"/>
            <w:tcBorders>
              <w:top w:val="nil"/>
              <w:left w:val="nil"/>
              <w:bottom w:val="nil"/>
              <w:right w:val="single" w:color="auto" w:sz="8" w:space="0"/>
            </w:tcBorders>
            <w:shd w:val="clear" w:color="auto" w:fill="auto"/>
            <w:noWrap/>
            <w:vAlign w:val="bottom"/>
            <w:hideMark/>
          </w:tcPr>
          <w:p w:rsidRPr="00996D09" w:rsidR="00DA7D1E" w:rsidP="005378F8" w:rsidRDefault="00DA7D1E" w14:paraId="5EFF20CC" w14:textId="77777777">
            <w:pPr>
              <w:widowControl/>
              <w:autoSpaceDE/>
              <w:autoSpaceDN/>
              <w:adjustRightInd/>
              <w:jc w:val="right"/>
              <w:rPr>
                <w:color w:val="000000"/>
                <w:sz w:val="24"/>
                <w:szCs w:val="24"/>
              </w:rPr>
            </w:pPr>
          </w:p>
        </w:tc>
      </w:tr>
      <w:tr w:rsidRPr="00A63864" w:rsidR="00DA7D1E" w:rsidTr="00E90F3C" w14:paraId="5155841C" w14:textId="77777777">
        <w:trPr>
          <w:trHeight w:val="300"/>
        </w:trPr>
        <w:tc>
          <w:tcPr>
            <w:tcW w:w="165" w:type="pct"/>
            <w:tcBorders>
              <w:top w:val="nil"/>
              <w:left w:val="single" w:color="auto" w:sz="8" w:space="0"/>
              <w:bottom w:val="nil"/>
              <w:right w:val="nil"/>
            </w:tcBorders>
            <w:shd w:val="clear" w:color="auto" w:fill="auto"/>
            <w:noWrap/>
            <w:vAlign w:val="bottom"/>
            <w:hideMark/>
          </w:tcPr>
          <w:p w:rsidRPr="006E0D87" w:rsidR="00DA7D1E" w:rsidP="00DE5785" w:rsidRDefault="00DA7D1E" w14:paraId="3D41F585"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nil"/>
              <w:right w:val="nil"/>
            </w:tcBorders>
            <w:shd w:val="clear" w:color="auto" w:fill="auto"/>
            <w:noWrap/>
            <w:vAlign w:val="bottom"/>
            <w:hideMark/>
          </w:tcPr>
          <w:p w:rsidRPr="00D04275" w:rsidR="00DA7D1E" w:rsidP="00DE5785" w:rsidRDefault="00DA7D1E" w14:paraId="2674B514" w14:textId="77777777">
            <w:pPr>
              <w:widowControl/>
              <w:autoSpaceDE/>
              <w:autoSpaceDN/>
              <w:adjustRightInd/>
            </w:pPr>
          </w:p>
        </w:tc>
        <w:tc>
          <w:tcPr>
            <w:tcW w:w="833" w:type="pct"/>
            <w:tcBorders>
              <w:top w:val="nil"/>
              <w:left w:val="nil"/>
              <w:bottom w:val="nil"/>
              <w:right w:val="nil"/>
            </w:tcBorders>
            <w:shd w:val="clear" w:color="auto" w:fill="auto"/>
            <w:noWrap/>
            <w:vAlign w:val="bottom"/>
            <w:hideMark/>
          </w:tcPr>
          <w:p w:rsidRPr="00D04275" w:rsidR="00DA7D1E" w:rsidP="00DE5785" w:rsidRDefault="00DA7D1E" w14:paraId="665377DC" w14:textId="77777777">
            <w:pPr>
              <w:widowControl/>
              <w:autoSpaceDE/>
              <w:autoSpaceDN/>
              <w:adjustRightInd/>
            </w:pPr>
          </w:p>
        </w:tc>
        <w:tc>
          <w:tcPr>
            <w:tcW w:w="165" w:type="pct"/>
            <w:tcBorders>
              <w:top w:val="nil"/>
              <w:left w:val="nil"/>
              <w:bottom w:val="nil"/>
              <w:right w:val="nil"/>
            </w:tcBorders>
            <w:shd w:val="clear" w:color="auto" w:fill="auto"/>
            <w:noWrap/>
            <w:vAlign w:val="bottom"/>
            <w:hideMark/>
          </w:tcPr>
          <w:p w:rsidRPr="00D04275" w:rsidR="00DA7D1E" w:rsidP="00DE5785" w:rsidRDefault="00DA7D1E" w14:paraId="2B2A2A95" w14:textId="77777777">
            <w:pPr>
              <w:widowControl/>
              <w:autoSpaceDE/>
              <w:autoSpaceDN/>
              <w:adjustRightInd/>
            </w:pPr>
          </w:p>
        </w:tc>
        <w:tc>
          <w:tcPr>
            <w:tcW w:w="884" w:type="pct"/>
            <w:tcBorders>
              <w:top w:val="nil"/>
              <w:left w:val="nil"/>
              <w:bottom w:val="nil"/>
              <w:right w:val="nil"/>
            </w:tcBorders>
            <w:shd w:val="clear" w:color="auto" w:fill="auto"/>
            <w:noWrap/>
            <w:vAlign w:val="bottom"/>
            <w:hideMark/>
          </w:tcPr>
          <w:p w:rsidRPr="00996D09" w:rsidR="00DA7D1E" w:rsidP="00DE5785" w:rsidRDefault="00DA7D1E" w14:paraId="0BB0730B" w14:textId="77777777">
            <w:pPr>
              <w:widowControl/>
              <w:autoSpaceDE/>
              <w:autoSpaceDN/>
              <w:adjustRightInd/>
              <w:rPr>
                <w:sz w:val="24"/>
                <w:szCs w:val="24"/>
              </w:rPr>
            </w:pPr>
          </w:p>
        </w:tc>
        <w:tc>
          <w:tcPr>
            <w:tcW w:w="165" w:type="pct"/>
            <w:tcBorders>
              <w:top w:val="nil"/>
              <w:left w:val="nil"/>
              <w:bottom w:val="nil"/>
              <w:right w:val="single" w:color="auto" w:sz="8" w:space="0"/>
            </w:tcBorders>
            <w:shd w:val="clear" w:color="auto" w:fill="auto"/>
            <w:noWrap/>
            <w:vAlign w:val="bottom"/>
            <w:hideMark/>
          </w:tcPr>
          <w:p w:rsidRPr="00996D09" w:rsidR="00DA7D1E" w:rsidP="00DE5785" w:rsidRDefault="00DA7D1E" w14:paraId="0B3A2977" w14:textId="77777777">
            <w:pPr>
              <w:widowControl/>
              <w:autoSpaceDE/>
              <w:autoSpaceDN/>
              <w:adjustRightInd/>
              <w:rPr>
                <w:color w:val="000000"/>
                <w:sz w:val="24"/>
                <w:szCs w:val="24"/>
              </w:rPr>
            </w:pPr>
            <w:r w:rsidRPr="00996D09">
              <w:rPr>
                <w:color w:val="000000"/>
                <w:sz w:val="24"/>
                <w:szCs w:val="24"/>
              </w:rPr>
              <w:t> </w:t>
            </w:r>
          </w:p>
        </w:tc>
      </w:tr>
      <w:tr w:rsidRPr="00A63864" w:rsidR="00DA7D1E" w:rsidTr="00E90F3C" w14:paraId="7B7C768A" w14:textId="77777777">
        <w:trPr>
          <w:trHeight w:val="315"/>
        </w:trPr>
        <w:tc>
          <w:tcPr>
            <w:tcW w:w="165" w:type="pct"/>
            <w:tcBorders>
              <w:top w:val="nil"/>
              <w:left w:val="single" w:color="auto" w:sz="8" w:space="0"/>
              <w:bottom w:val="nil"/>
              <w:right w:val="nil"/>
            </w:tcBorders>
            <w:shd w:val="clear" w:color="auto" w:fill="auto"/>
            <w:noWrap/>
            <w:vAlign w:val="bottom"/>
            <w:hideMark/>
          </w:tcPr>
          <w:p w:rsidRPr="006E0D87" w:rsidR="00DA7D1E" w:rsidP="00DE5785" w:rsidRDefault="00DA7D1E" w14:paraId="58BA03C2"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Pr="00D04275" w:rsidR="00DA7D1E" w:rsidP="00DE5785" w:rsidRDefault="00DA7D1E" w14:paraId="732EFE4B" w14:textId="77777777">
            <w:pPr>
              <w:widowControl/>
              <w:autoSpaceDE/>
              <w:autoSpaceDN/>
              <w:adjustRightInd/>
              <w:rPr>
                <w:color w:val="000000"/>
                <w:sz w:val="24"/>
                <w:u w:val="single"/>
              </w:rPr>
            </w:pPr>
            <w:r w:rsidRPr="00D04275">
              <w:rPr>
                <w:color w:val="000000"/>
                <w:sz w:val="24"/>
                <w:u w:val="single"/>
              </w:rPr>
              <w:t>Annual cost to CMS</w:t>
            </w:r>
            <w:r w:rsidRPr="00D04275">
              <w:rPr>
                <w:color w:val="000000"/>
                <w:sz w:val="24"/>
              </w:rPr>
              <w:t>:</w:t>
            </w:r>
          </w:p>
        </w:tc>
        <w:tc>
          <w:tcPr>
            <w:tcW w:w="884" w:type="pct"/>
            <w:tcBorders>
              <w:top w:val="nil"/>
              <w:left w:val="nil"/>
              <w:bottom w:val="nil"/>
              <w:right w:val="nil"/>
            </w:tcBorders>
            <w:shd w:val="clear" w:color="auto" w:fill="auto"/>
            <w:noWrap/>
            <w:vAlign w:val="bottom"/>
            <w:hideMark/>
          </w:tcPr>
          <w:p w:rsidRPr="00996D09" w:rsidR="00DA7D1E" w:rsidP="00DE5785" w:rsidRDefault="00DA7D1E" w14:paraId="6CDE74C3" w14:textId="77777777">
            <w:pPr>
              <w:widowControl/>
              <w:autoSpaceDE/>
              <w:autoSpaceDN/>
              <w:adjustRightInd/>
              <w:rPr>
                <w:sz w:val="24"/>
                <w:szCs w:val="24"/>
              </w:rPr>
            </w:pPr>
          </w:p>
        </w:tc>
        <w:tc>
          <w:tcPr>
            <w:tcW w:w="165" w:type="pct"/>
            <w:tcBorders>
              <w:top w:val="nil"/>
              <w:left w:val="nil"/>
              <w:bottom w:val="nil"/>
              <w:right w:val="single" w:color="auto" w:sz="8" w:space="0"/>
            </w:tcBorders>
            <w:shd w:val="clear" w:color="auto" w:fill="auto"/>
            <w:noWrap/>
            <w:vAlign w:val="bottom"/>
            <w:hideMark/>
          </w:tcPr>
          <w:p w:rsidRPr="00996D09" w:rsidR="00DA7D1E" w:rsidP="00DE5785" w:rsidRDefault="00DA7D1E" w14:paraId="2D323DE0" w14:textId="77777777">
            <w:pPr>
              <w:widowControl/>
              <w:autoSpaceDE/>
              <w:autoSpaceDN/>
              <w:adjustRightInd/>
              <w:rPr>
                <w:color w:val="000000"/>
                <w:sz w:val="24"/>
                <w:szCs w:val="24"/>
              </w:rPr>
            </w:pPr>
            <w:r w:rsidRPr="00996D09">
              <w:rPr>
                <w:color w:val="000000"/>
                <w:sz w:val="24"/>
                <w:szCs w:val="24"/>
              </w:rPr>
              <w:t> </w:t>
            </w:r>
          </w:p>
        </w:tc>
      </w:tr>
      <w:tr w:rsidRPr="00A63864" w:rsidR="00DA7D1E" w:rsidTr="00E90F3C" w14:paraId="579B1B44" w14:textId="77777777">
        <w:trPr>
          <w:trHeight w:val="315"/>
        </w:trPr>
        <w:tc>
          <w:tcPr>
            <w:tcW w:w="165" w:type="pct"/>
            <w:tcBorders>
              <w:top w:val="nil"/>
              <w:left w:val="single" w:color="auto" w:sz="8" w:space="0"/>
              <w:bottom w:val="nil"/>
              <w:right w:val="nil"/>
            </w:tcBorders>
            <w:shd w:val="clear" w:color="auto" w:fill="auto"/>
            <w:noWrap/>
            <w:vAlign w:val="bottom"/>
            <w:hideMark/>
          </w:tcPr>
          <w:p w:rsidRPr="006E0D87" w:rsidR="00DA7D1E" w:rsidP="00DE5785" w:rsidRDefault="00DA7D1E" w14:paraId="70DC86DD"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Pr="00D04275" w:rsidR="00DA7D1E" w:rsidP="00DE5785" w:rsidRDefault="00DA7D1E" w14:paraId="572EBA81" w14:textId="77777777">
            <w:pPr>
              <w:widowControl/>
              <w:autoSpaceDE/>
              <w:autoSpaceDN/>
              <w:adjustRightInd/>
              <w:rPr>
                <w:color w:val="000000"/>
                <w:sz w:val="24"/>
              </w:rPr>
            </w:pPr>
            <w:r w:rsidRPr="00D04275">
              <w:rPr>
                <w:color w:val="000000"/>
                <w:sz w:val="24"/>
              </w:rPr>
              <w:t>Total CMS processing cost is from the HCRIS Budget:</w:t>
            </w:r>
          </w:p>
        </w:tc>
        <w:tc>
          <w:tcPr>
            <w:tcW w:w="884" w:type="pct"/>
            <w:tcBorders>
              <w:top w:val="nil"/>
              <w:left w:val="nil"/>
              <w:bottom w:val="nil"/>
              <w:right w:val="nil"/>
            </w:tcBorders>
            <w:shd w:val="clear" w:color="auto" w:fill="auto"/>
            <w:noWrap/>
            <w:vAlign w:val="bottom"/>
            <w:hideMark/>
          </w:tcPr>
          <w:p w:rsidRPr="00A63864" w:rsidR="00DA7D1E" w:rsidP="000C62B1" w:rsidRDefault="000C62B1" w14:paraId="36B5C832" w14:textId="77777777">
            <w:pPr>
              <w:widowControl/>
              <w:autoSpaceDE/>
              <w:autoSpaceDN/>
              <w:adjustRightInd/>
              <w:jc w:val="right"/>
              <w:rPr>
                <w:color w:val="000000"/>
                <w:sz w:val="24"/>
                <w:szCs w:val="24"/>
              </w:rPr>
            </w:pPr>
            <w:r w:rsidRPr="00A63864">
              <w:rPr>
                <w:color w:val="000000"/>
                <w:sz w:val="24"/>
                <w:szCs w:val="24"/>
              </w:rPr>
              <w:t>$44</w:t>
            </w:r>
            <w:r w:rsidRPr="00A63864" w:rsidR="00082A58">
              <w:rPr>
                <w:color w:val="000000"/>
                <w:sz w:val="24"/>
                <w:szCs w:val="24"/>
              </w:rPr>
              <w:t>,000</w:t>
            </w:r>
          </w:p>
        </w:tc>
        <w:tc>
          <w:tcPr>
            <w:tcW w:w="165" w:type="pct"/>
            <w:tcBorders>
              <w:top w:val="nil"/>
              <w:left w:val="nil"/>
              <w:bottom w:val="nil"/>
              <w:right w:val="single" w:color="auto" w:sz="8" w:space="0"/>
            </w:tcBorders>
            <w:shd w:val="clear" w:color="auto" w:fill="auto"/>
            <w:noWrap/>
            <w:vAlign w:val="bottom"/>
            <w:hideMark/>
          </w:tcPr>
          <w:p w:rsidRPr="00996D09" w:rsidR="00DA7D1E" w:rsidP="00DE5785" w:rsidRDefault="00DA7D1E" w14:paraId="76CDFE20" w14:textId="77777777">
            <w:pPr>
              <w:widowControl/>
              <w:autoSpaceDE/>
              <w:autoSpaceDN/>
              <w:adjustRightInd/>
              <w:rPr>
                <w:color w:val="000000"/>
                <w:sz w:val="24"/>
                <w:szCs w:val="24"/>
              </w:rPr>
            </w:pPr>
            <w:r w:rsidRPr="00996D09">
              <w:rPr>
                <w:color w:val="000000"/>
                <w:sz w:val="24"/>
                <w:szCs w:val="24"/>
              </w:rPr>
              <w:t> </w:t>
            </w:r>
          </w:p>
        </w:tc>
      </w:tr>
      <w:tr w:rsidRPr="00A63864" w:rsidR="00DA7D1E" w:rsidTr="00E90F3C" w14:paraId="2EF4EC43" w14:textId="77777777">
        <w:trPr>
          <w:trHeight w:val="315"/>
        </w:trPr>
        <w:tc>
          <w:tcPr>
            <w:tcW w:w="165" w:type="pct"/>
            <w:tcBorders>
              <w:top w:val="nil"/>
              <w:left w:val="single" w:color="auto" w:sz="8" w:space="0"/>
              <w:bottom w:val="nil"/>
              <w:right w:val="nil"/>
            </w:tcBorders>
            <w:shd w:val="clear" w:color="auto" w:fill="auto"/>
            <w:noWrap/>
            <w:vAlign w:val="bottom"/>
            <w:hideMark/>
          </w:tcPr>
          <w:p w:rsidRPr="006E0D87" w:rsidR="00DA7D1E" w:rsidP="00DE5785" w:rsidRDefault="00DA7D1E" w14:paraId="7471F377"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nil"/>
              <w:right w:val="nil"/>
            </w:tcBorders>
            <w:shd w:val="clear" w:color="auto" w:fill="auto"/>
            <w:noWrap/>
            <w:vAlign w:val="bottom"/>
            <w:hideMark/>
          </w:tcPr>
          <w:p w:rsidRPr="00D04275" w:rsidR="00DA7D1E" w:rsidP="00DE5785" w:rsidRDefault="00DA7D1E" w14:paraId="52960E6C" w14:textId="77777777">
            <w:pPr>
              <w:widowControl/>
              <w:autoSpaceDE/>
              <w:autoSpaceDN/>
              <w:adjustRightInd/>
            </w:pPr>
          </w:p>
        </w:tc>
        <w:tc>
          <w:tcPr>
            <w:tcW w:w="833" w:type="pct"/>
            <w:tcBorders>
              <w:top w:val="nil"/>
              <w:left w:val="nil"/>
              <w:bottom w:val="nil"/>
              <w:right w:val="nil"/>
            </w:tcBorders>
            <w:shd w:val="clear" w:color="auto" w:fill="auto"/>
            <w:noWrap/>
            <w:vAlign w:val="bottom"/>
            <w:hideMark/>
          </w:tcPr>
          <w:p w:rsidRPr="00D04275" w:rsidR="00DA7D1E" w:rsidP="00DE5785" w:rsidRDefault="00DA7D1E" w14:paraId="61B4182E" w14:textId="77777777">
            <w:pPr>
              <w:widowControl/>
              <w:autoSpaceDE/>
              <w:autoSpaceDN/>
              <w:adjustRightInd/>
            </w:pPr>
          </w:p>
        </w:tc>
        <w:tc>
          <w:tcPr>
            <w:tcW w:w="165" w:type="pct"/>
            <w:tcBorders>
              <w:top w:val="nil"/>
              <w:left w:val="nil"/>
              <w:bottom w:val="nil"/>
              <w:right w:val="nil"/>
            </w:tcBorders>
            <w:shd w:val="clear" w:color="auto" w:fill="auto"/>
            <w:noWrap/>
            <w:vAlign w:val="bottom"/>
            <w:hideMark/>
          </w:tcPr>
          <w:p w:rsidRPr="00D04275" w:rsidR="00DA7D1E" w:rsidP="00DE5785" w:rsidRDefault="00DA7D1E" w14:paraId="55107979" w14:textId="77777777">
            <w:pPr>
              <w:widowControl/>
              <w:autoSpaceDE/>
              <w:autoSpaceDN/>
              <w:adjustRightInd/>
            </w:pPr>
          </w:p>
        </w:tc>
        <w:tc>
          <w:tcPr>
            <w:tcW w:w="884" w:type="pct"/>
            <w:tcBorders>
              <w:top w:val="nil"/>
              <w:left w:val="nil"/>
              <w:bottom w:val="single" w:color="auto" w:sz="8" w:space="0"/>
              <w:right w:val="nil"/>
            </w:tcBorders>
            <w:shd w:val="clear" w:color="auto" w:fill="auto"/>
            <w:noWrap/>
            <w:vAlign w:val="bottom"/>
            <w:hideMark/>
          </w:tcPr>
          <w:p w:rsidRPr="00996D09" w:rsidR="00DA7D1E" w:rsidP="00DE5785" w:rsidRDefault="00DA7D1E" w14:paraId="7410EBD9" w14:textId="77777777">
            <w:pPr>
              <w:widowControl/>
              <w:autoSpaceDE/>
              <w:autoSpaceDN/>
              <w:adjustRightInd/>
              <w:rPr>
                <w:sz w:val="24"/>
                <w:szCs w:val="24"/>
              </w:rPr>
            </w:pPr>
          </w:p>
        </w:tc>
        <w:tc>
          <w:tcPr>
            <w:tcW w:w="165" w:type="pct"/>
            <w:tcBorders>
              <w:top w:val="nil"/>
              <w:left w:val="nil"/>
              <w:bottom w:val="nil"/>
              <w:right w:val="single" w:color="auto" w:sz="8" w:space="0"/>
            </w:tcBorders>
            <w:shd w:val="clear" w:color="auto" w:fill="auto"/>
            <w:noWrap/>
            <w:vAlign w:val="bottom"/>
            <w:hideMark/>
          </w:tcPr>
          <w:p w:rsidRPr="00996D09" w:rsidR="00DA7D1E" w:rsidP="00DE5785" w:rsidRDefault="00DA7D1E" w14:paraId="4834DC51" w14:textId="77777777">
            <w:pPr>
              <w:widowControl/>
              <w:autoSpaceDE/>
              <w:autoSpaceDN/>
              <w:adjustRightInd/>
              <w:rPr>
                <w:color w:val="000000"/>
                <w:sz w:val="24"/>
                <w:szCs w:val="24"/>
              </w:rPr>
            </w:pPr>
            <w:r w:rsidRPr="00996D09">
              <w:rPr>
                <w:color w:val="000000"/>
                <w:sz w:val="24"/>
                <w:szCs w:val="24"/>
              </w:rPr>
              <w:t> </w:t>
            </w:r>
          </w:p>
        </w:tc>
      </w:tr>
      <w:tr w:rsidRPr="00A63864" w:rsidR="00DA7D1E" w:rsidTr="0089011E" w14:paraId="087650E9" w14:textId="77777777">
        <w:trPr>
          <w:trHeight w:val="295"/>
        </w:trPr>
        <w:tc>
          <w:tcPr>
            <w:tcW w:w="165" w:type="pct"/>
            <w:tcBorders>
              <w:top w:val="nil"/>
              <w:left w:val="single" w:color="auto" w:sz="8" w:space="0"/>
              <w:bottom w:val="nil"/>
              <w:right w:val="nil"/>
            </w:tcBorders>
            <w:shd w:val="clear" w:color="auto" w:fill="auto"/>
            <w:noWrap/>
            <w:vAlign w:val="bottom"/>
            <w:hideMark/>
          </w:tcPr>
          <w:p w:rsidRPr="006E0D87" w:rsidR="00DA7D1E" w:rsidP="00DE5785" w:rsidRDefault="00DA7D1E" w14:paraId="0518A235"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Pr="00D04275" w:rsidR="00DA7D1E" w:rsidP="00DE5785" w:rsidRDefault="00DA7D1E" w14:paraId="1D1372E5" w14:textId="77777777">
            <w:pPr>
              <w:widowControl/>
              <w:autoSpaceDE/>
              <w:autoSpaceDN/>
              <w:adjustRightInd/>
              <w:rPr>
                <w:color w:val="000000"/>
                <w:sz w:val="24"/>
                <w:u w:val="single"/>
              </w:rPr>
            </w:pPr>
            <w:r w:rsidRPr="00D04275">
              <w:rPr>
                <w:color w:val="000000"/>
                <w:sz w:val="24"/>
                <w:u w:val="single"/>
              </w:rPr>
              <w:t>Total Federal Cost</w:t>
            </w:r>
          </w:p>
        </w:tc>
        <w:tc>
          <w:tcPr>
            <w:tcW w:w="884" w:type="pct"/>
            <w:tcBorders>
              <w:top w:val="nil"/>
              <w:left w:val="nil"/>
              <w:bottom w:val="double" w:color="auto" w:sz="6" w:space="0"/>
              <w:right w:val="nil"/>
            </w:tcBorders>
            <w:shd w:val="clear" w:color="auto" w:fill="auto"/>
            <w:noWrap/>
            <w:vAlign w:val="bottom"/>
            <w:hideMark/>
          </w:tcPr>
          <w:p w:rsidRPr="00996D09" w:rsidR="00DA7D1E" w:rsidP="00F71609" w:rsidRDefault="00FE25F5" w14:paraId="51984D37" w14:textId="076A7767">
            <w:pPr>
              <w:widowControl/>
              <w:autoSpaceDE/>
              <w:autoSpaceDN/>
              <w:adjustRightInd/>
              <w:jc w:val="right"/>
              <w:rPr>
                <w:sz w:val="24"/>
                <w:szCs w:val="24"/>
              </w:rPr>
            </w:pPr>
            <w:r w:rsidRPr="00996D09">
              <w:rPr>
                <w:sz w:val="24"/>
                <w:szCs w:val="24"/>
              </w:rPr>
              <w:t xml:space="preserve">     $  </w:t>
            </w:r>
            <w:r w:rsidR="00A34391">
              <w:rPr>
                <w:sz w:val="24"/>
                <w:szCs w:val="24"/>
              </w:rPr>
              <w:t>6,</w:t>
            </w:r>
            <w:r w:rsidR="00F71609">
              <w:rPr>
                <w:sz w:val="24"/>
                <w:szCs w:val="24"/>
              </w:rPr>
              <w:t>487,852</w:t>
            </w:r>
          </w:p>
        </w:tc>
        <w:tc>
          <w:tcPr>
            <w:tcW w:w="165" w:type="pct"/>
            <w:tcBorders>
              <w:top w:val="nil"/>
              <w:left w:val="nil"/>
              <w:bottom w:val="nil"/>
              <w:right w:val="single" w:color="auto" w:sz="8" w:space="0"/>
            </w:tcBorders>
            <w:shd w:val="clear" w:color="auto" w:fill="auto"/>
            <w:noWrap/>
            <w:vAlign w:val="bottom"/>
            <w:hideMark/>
          </w:tcPr>
          <w:p w:rsidRPr="00996D09" w:rsidR="00DA7D1E" w:rsidP="005378F8" w:rsidRDefault="00DA7D1E" w14:paraId="5AD71610" w14:textId="77777777">
            <w:pPr>
              <w:widowControl/>
              <w:autoSpaceDE/>
              <w:autoSpaceDN/>
              <w:adjustRightInd/>
              <w:jc w:val="right"/>
              <w:rPr>
                <w:sz w:val="24"/>
                <w:szCs w:val="24"/>
              </w:rPr>
            </w:pPr>
          </w:p>
        </w:tc>
      </w:tr>
      <w:tr w:rsidRPr="00D04275" w:rsidR="00DA7D1E" w:rsidTr="00E90F3C" w14:paraId="75E93E36" w14:textId="77777777">
        <w:trPr>
          <w:trHeight w:val="330"/>
        </w:trPr>
        <w:tc>
          <w:tcPr>
            <w:tcW w:w="165" w:type="pct"/>
            <w:tcBorders>
              <w:top w:val="nil"/>
              <w:left w:val="single" w:color="auto" w:sz="8" w:space="0"/>
              <w:bottom w:val="single" w:color="auto" w:sz="8" w:space="0"/>
              <w:right w:val="nil"/>
            </w:tcBorders>
            <w:shd w:val="clear" w:color="auto" w:fill="auto"/>
            <w:noWrap/>
            <w:vAlign w:val="bottom"/>
            <w:hideMark/>
          </w:tcPr>
          <w:p w:rsidRPr="006E0D87" w:rsidR="00DA7D1E" w:rsidP="00DE5785" w:rsidRDefault="00DA7D1E" w14:paraId="3E0AC01A"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786" w:type="pct"/>
            <w:tcBorders>
              <w:top w:val="nil"/>
              <w:left w:val="nil"/>
              <w:bottom w:val="single" w:color="auto" w:sz="8" w:space="0"/>
              <w:right w:val="nil"/>
            </w:tcBorders>
            <w:shd w:val="clear" w:color="auto" w:fill="auto"/>
            <w:noWrap/>
            <w:vAlign w:val="bottom"/>
            <w:hideMark/>
          </w:tcPr>
          <w:p w:rsidRPr="00D04275" w:rsidR="00DA7D1E" w:rsidP="00DE5785" w:rsidRDefault="00DA7D1E" w14:paraId="3D788DE5"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833" w:type="pct"/>
            <w:tcBorders>
              <w:top w:val="nil"/>
              <w:left w:val="nil"/>
              <w:bottom w:val="single" w:color="auto" w:sz="8" w:space="0"/>
              <w:right w:val="nil"/>
            </w:tcBorders>
            <w:shd w:val="clear" w:color="auto" w:fill="auto"/>
            <w:noWrap/>
            <w:vAlign w:val="bottom"/>
            <w:hideMark/>
          </w:tcPr>
          <w:p w:rsidRPr="00D04275" w:rsidR="00DA7D1E" w:rsidP="00DE5785" w:rsidRDefault="00DA7D1E" w14:paraId="54E86BF9"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165" w:type="pct"/>
            <w:tcBorders>
              <w:top w:val="nil"/>
              <w:left w:val="nil"/>
              <w:bottom w:val="single" w:color="auto" w:sz="8" w:space="0"/>
              <w:right w:val="nil"/>
            </w:tcBorders>
            <w:shd w:val="clear" w:color="auto" w:fill="auto"/>
            <w:noWrap/>
            <w:vAlign w:val="bottom"/>
            <w:hideMark/>
          </w:tcPr>
          <w:p w:rsidRPr="00D04275" w:rsidR="00DA7D1E" w:rsidP="00DE5785" w:rsidRDefault="00DA7D1E" w14:paraId="73830ADE"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884" w:type="pct"/>
            <w:tcBorders>
              <w:top w:val="nil"/>
              <w:left w:val="nil"/>
              <w:bottom w:val="single" w:color="auto" w:sz="8" w:space="0"/>
              <w:right w:val="nil"/>
            </w:tcBorders>
            <w:shd w:val="clear" w:color="auto" w:fill="auto"/>
            <w:noWrap/>
            <w:vAlign w:val="bottom"/>
            <w:hideMark/>
          </w:tcPr>
          <w:p w:rsidRPr="00D04275" w:rsidR="00DA7D1E" w:rsidP="00DE5785" w:rsidRDefault="00DA7D1E" w14:paraId="0544D792"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165" w:type="pct"/>
            <w:tcBorders>
              <w:top w:val="nil"/>
              <w:left w:val="nil"/>
              <w:bottom w:val="single" w:color="auto" w:sz="8" w:space="0"/>
              <w:right w:val="single" w:color="auto" w:sz="8" w:space="0"/>
            </w:tcBorders>
            <w:shd w:val="clear" w:color="auto" w:fill="auto"/>
            <w:noWrap/>
            <w:vAlign w:val="bottom"/>
            <w:hideMark/>
          </w:tcPr>
          <w:p w:rsidRPr="00D04275" w:rsidR="00DA7D1E" w:rsidP="00DE5785" w:rsidRDefault="00DA7D1E" w14:paraId="3D0EA553"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bl>
    <w:p w:rsidR="00CC7FA0" w:rsidP="0040535C" w:rsidRDefault="00CC7FA0" w14:paraId="49FDAC54" w14:textId="77777777">
      <w:pPr>
        <w:tabs>
          <w:tab w:val="left" w:pos="0"/>
          <w:tab w:val="left" w:pos="360"/>
          <w:tab w:val="left" w:pos="720"/>
        </w:tabs>
        <w:suppressAutoHyphens/>
        <w:spacing w:line="240" w:lineRule="atLeast"/>
        <w:rPr>
          <w:sz w:val="24"/>
          <w:szCs w:val="24"/>
        </w:rPr>
      </w:pPr>
    </w:p>
    <w:p w:rsidR="00203C0A" w:rsidP="0040535C" w:rsidRDefault="00203C0A" w14:paraId="1A4E1FB5" w14:textId="77777777">
      <w:pPr>
        <w:tabs>
          <w:tab w:val="left" w:pos="0"/>
          <w:tab w:val="left" w:pos="360"/>
          <w:tab w:val="left" w:pos="720"/>
        </w:tabs>
        <w:suppressAutoHyphens/>
        <w:spacing w:line="240" w:lineRule="atLeast"/>
        <w:rPr>
          <w:sz w:val="24"/>
          <w:szCs w:val="24"/>
        </w:rPr>
      </w:pPr>
    </w:p>
    <w:p w:rsidRPr="007952CC" w:rsidR="00D22C70" w:rsidP="007952CC" w:rsidRDefault="00DA7D1E" w14:paraId="73EA96AF" w14:textId="77777777">
      <w:pPr>
        <w:pStyle w:val="ListParagraph"/>
        <w:numPr>
          <w:ilvl w:val="0"/>
          <w:numId w:val="6"/>
        </w:numPr>
        <w:tabs>
          <w:tab w:val="left" w:pos="0"/>
          <w:tab w:val="left" w:pos="360"/>
          <w:tab w:val="left" w:pos="720"/>
        </w:tabs>
        <w:suppressAutoHyphens/>
        <w:spacing w:line="240" w:lineRule="atLeast"/>
        <w:rPr>
          <w:sz w:val="24"/>
          <w:szCs w:val="24"/>
        </w:rPr>
      </w:pPr>
      <w:r>
        <w:rPr>
          <w:sz w:val="24"/>
          <w:szCs w:val="24"/>
          <w:u w:val="single"/>
        </w:rPr>
        <w:t>Changes To Burden</w:t>
      </w:r>
    </w:p>
    <w:p w:rsidR="00D22C70" w:rsidP="008A4E79" w:rsidRDefault="008A4E79" w14:paraId="09A3AE1D" w14:textId="77777777">
      <w:pPr>
        <w:tabs>
          <w:tab w:val="left" w:pos="0"/>
          <w:tab w:val="left" w:pos="360"/>
          <w:tab w:val="left" w:pos="720"/>
        </w:tabs>
        <w:suppressAutoHyphens/>
        <w:spacing w:line="240" w:lineRule="atLeast"/>
        <w:rPr>
          <w:sz w:val="24"/>
          <w:szCs w:val="24"/>
        </w:rPr>
      </w:pPr>
      <w:r>
        <w:rPr>
          <w:sz w:val="24"/>
          <w:szCs w:val="24"/>
        </w:rPr>
        <w:tab/>
      </w:r>
    </w:p>
    <w:p w:rsidR="00125298" w:rsidP="00366274" w:rsidRDefault="00160635" w14:paraId="42C8FFFF" w14:textId="77777777">
      <w:pPr>
        <w:ind w:left="720"/>
        <w:rPr>
          <w:sz w:val="24"/>
        </w:rPr>
      </w:pPr>
      <w:r>
        <w:rPr>
          <w:sz w:val="24"/>
        </w:rPr>
        <w:t>The change in burden is due to t</w:t>
      </w:r>
      <w:r w:rsidR="00787702">
        <w:rPr>
          <w:sz w:val="24"/>
        </w:rPr>
        <w:t>hree</w:t>
      </w:r>
      <w:r>
        <w:rPr>
          <w:sz w:val="24"/>
        </w:rPr>
        <w:t xml:space="preserve"> factors: </w:t>
      </w:r>
    </w:p>
    <w:p w:rsidR="00125298" w:rsidP="00366274" w:rsidRDefault="00125298" w14:paraId="2613A183" w14:textId="77777777">
      <w:pPr>
        <w:ind w:left="720"/>
        <w:rPr>
          <w:sz w:val="24"/>
        </w:rPr>
      </w:pPr>
    </w:p>
    <w:p w:rsidR="00125298" w:rsidP="00782417" w:rsidRDefault="00160635" w14:paraId="5A27E219" w14:textId="7BB82D3B">
      <w:pPr>
        <w:ind w:left="990" w:hanging="270"/>
        <w:rPr>
          <w:sz w:val="24"/>
        </w:rPr>
      </w:pPr>
      <w:r>
        <w:rPr>
          <w:sz w:val="24"/>
        </w:rPr>
        <w:t>1)</w:t>
      </w:r>
      <w:r w:rsidR="000D5708">
        <w:rPr>
          <w:sz w:val="24"/>
        </w:rPr>
        <w:t xml:space="preserve"> </w:t>
      </w:r>
      <w:r w:rsidR="00125298">
        <w:rPr>
          <w:sz w:val="24"/>
        </w:rPr>
        <w:t>T</w:t>
      </w:r>
      <w:r>
        <w:rPr>
          <w:sz w:val="24"/>
        </w:rPr>
        <w:t xml:space="preserve">he number of respondents </w:t>
      </w:r>
      <w:r w:rsidR="0083106C">
        <w:rPr>
          <w:sz w:val="24"/>
        </w:rPr>
        <w:t>de</w:t>
      </w:r>
      <w:r w:rsidR="007E2107">
        <w:rPr>
          <w:sz w:val="24"/>
        </w:rPr>
        <w:t>cr</w:t>
      </w:r>
      <w:r>
        <w:rPr>
          <w:sz w:val="24"/>
        </w:rPr>
        <w:t xml:space="preserve">eased </w:t>
      </w:r>
      <w:r w:rsidRPr="00B142F5">
        <w:rPr>
          <w:sz w:val="24"/>
        </w:rPr>
        <w:t xml:space="preserve">from </w:t>
      </w:r>
      <w:r>
        <w:rPr>
          <w:sz w:val="24"/>
        </w:rPr>
        <w:t>1</w:t>
      </w:r>
      <w:r w:rsidR="0015470C">
        <w:rPr>
          <w:sz w:val="24"/>
        </w:rPr>
        <w:t>0</w:t>
      </w:r>
      <w:r>
        <w:rPr>
          <w:sz w:val="24"/>
        </w:rPr>
        <w:t>,</w:t>
      </w:r>
      <w:r w:rsidR="0015470C">
        <w:rPr>
          <w:sz w:val="24"/>
        </w:rPr>
        <w:t>717</w:t>
      </w:r>
      <w:r w:rsidRPr="00B142F5">
        <w:rPr>
          <w:sz w:val="24"/>
        </w:rPr>
        <w:t xml:space="preserve"> in 201</w:t>
      </w:r>
      <w:r>
        <w:rPr>
          <w:sz w:val="24"/>
        </w:rPr>
        <w:t>5</w:t>
      </w:r>
      <w:r w:rsidRPr="00B142F5">
        <w:rPr>
          <w:sz w:val="24"/>
        </w:rPr>
        <w:t xml:space="preserve"> to </w:t>
      </w:r>
      <w:r>
        <w:rPr>
          <w:sz w:val="24"/>
        </w:rPr>
        <w:t>1</w:t>
      </w:r>
      <w:r w:rsidR="00F30FC1">
        <w:rPr>
          <w:sz w:val="24"/>
        </w:rPr>
        <w:t>0</w:t>
      </w:r>
      <w:r>
        <w:rPr>
          <w:sz w:val="24"/>
        </w:rPr>
        <w:t>,</w:t>
      </w:r>
      <w:r w:rsidR="00A853AA">
        <w:rPr>
          <w:sz w:val="24"/>
        </w:rPr>
        <w:t>1</w:t>
      </w:r>
      <w:r w:rsidR="00206327">
        <w:rPr>
          <w:sz w:val="24"/>
        </w:rPr>
        <w:t>3</w:t>
      </w:r>
      <w:r w:rsidR="00F30FC1">
        <w:rPr>
          <w:sz w:val="24"/>
        </w:rPr>
        <w:t>9</w:t>
      </w:r>
      <w:r w:rsidRPr="00B142F5">
        <w:rPr>
          <w:sz w:val="24"/>
        </w:rPr>
        <w:t xml:space="preserve"> in 20</w:t>
      </w:r>
      <w:r w:rsidR="00206327">
        <w:rPr>
          <w:sz w:val="24"/>
        </w:rPr>
        <w:t>20.</w:t>
      </w:r>
      <w:r>
        <w:rPr>
          <w:sz w:val="24"/>
        </w:rPr>
        <w:t xml:space="preserve"> </w:t>
      </w:r>
    </w:p>
    <w:p w:rsidR="00125298" w:rsidP="00782417" w:rsidRDefault="00125298" w14:paraId="43BA8DD3" w14:textId="77777777">
      <w:pPr>
        <w:ind w:left="990" w:hanging="270"/>
        <w:rPr>
          <w:sz w:val="24"/>
        </w:rPr>
      </w:pPr>
    </w:p>
    <w:p w:rsidR="00125298" w:rsidP="00782417" w:rsidRDefault="00160635" w14:paraId="52F9AFCF" w14:textId="0537C4F5">
      <w:pPr>
        <w:ind w:left="990" w:hanging="270"/>
        <w:rPr>
          <w:sz w:val="24"/>
        </w:rPr>
      </w:pPr>
      <w:r w:rsidRPr="00B142F5">
        <w:rPr>
          <w:sz w:val="24"/>
        </w:rPr>
        <w:t xml:space="preserve">2) </w:t>
      </w:r>
      <w:r w:rsidR="00004E36">
        <w:rPr>
          <w:sz w:val="24"/>
        </w:rPr>
        <w:t xml:space="preserve">The hourly rate increased based on the most recent BLS Occupational and Employment Data (May 2018) and to account for the associated fringe benefits and overhead costs.  </w:t>
      </w:r>
      <w:r w:rsidR="00125298">
        <w:rPr>
          <w:sz w:val="24"/>
        </w:rPr>
        <w:t xml:space="preserve">The </w:t>
      </w:r>
      <w:r w:rsidR="00F71609">
        <w:rPr>
          <w:sz w:val="24"/>
        </w:rPr>
        <w:t>cost per respondent increased by $</w:t>
      </w:r>
      <w:r w:rsidR="00004E36">
        <w:rPr>
          <w:sz w:val="24"/>
        </w:rPr>
        <w:t>798</w:t>
      </w:r>
      <w:r w:rsidR="00F71609">
        <w:rPr>
          <w:sz w:val="24"/>
        </w:rPr>
        <w:t xml:space="preserve"> (from $</w:t>
      </w:r>
      <w:r w:rsidR="00004E36">
        <w:rPr>
          <w:sz w:val="24"/>
        </w:rPr>
        <w:t>9,040</w:t>
      </w:r>
      <w:r w:rsidR="00F71609">
        <w:rPr>
          <w:sz w:val="24"/>
        </w:rPr>
        <w:t xml:space="preserve"> per respondent in 2015 to </w:t>
      </w:r>
      <w:r w:rsidR="00004E36">
        <w:rPr>
          <w:sz w:val="24"/>
        </w:rPr>
        <w:t>$9,838</w:t>
      </w:r>
      <w:r w:rsidR="00F71609">
        <w:rPr>
          <w:sz w:val="24"/>
        </w:rPr>
        <w:t xml:space="preserve"> per respondent in 2020</w:t>
      </w:r>
      <w:r w:rsidR="00004E36">
        <w:rPr>
          <w:sz w:val="24"/>
        </w:rPr>
        <w:t>).</w:t>
      </w:r>
    </w:p>
    <w:p w:rsidR="00125298" w:rsidP="00782417" w:rsidRDefault="00125298" w14:paraId="75BBDCB3" w14:textId="77777777">
      <w:pPr>
        <w:ind w:left="990" w:hanging="270"/>
        <w:rPr>
          <w:sz w:val="24"/>
        </w:rPr>
      </w:pPr>
    </w:p>
    <w:p w:rsidR="00160635" w:rsidP="00782417" w:rsidRDefault="000D5708" w14:paraId="675B4FCC" w14:textId="406B5D40">
      <w:pPr>
        <w:ind w:left="990" w:hanging="270"/>
        <w:rPr>
          <w:sz w:val="24"/>
        </w:rPr>
      </w:pPr>
      <w:r>
        <w:rPr>
          <w:sz w:val="24"/>
        </w:rPr>
        <w:t xml:space="preserve">3) </w:t>
      </w:r>
      <w:r w:rsidR="00782417">
        <w:rPr>
          <w:sz w:val="24"/>
        </w:rPr>
        <w:t xml:space="preserve">The number of burden hours per respondent required to complete this information collection instrument decreased as a result of removing </w:t>
      </w:r>
      <w:r w:rsidR="004053E9">
        <w:rPr>
          <w:sz w:val="24"/>
        </w:rPr>
        <w:t>obsolete worksheets</w:t>
      </w:r>
      <w:r w:rsidR="00782417">
        <w:rPr>
          <w:sz w:val="24"/>
        </w:rPr>
        <w:t xml:space="preserve"> and eliminating data collection items that are no longer required</w:t>
      </w:r>
      <w:r w:rsidR="00D4634A">
        <w:rPr>
          <w:sz w:val="24"/>
        </w:rPr>
        <w:t>.</w:t>
      </w:r>
    </w:p>
    <w:p w:rsidRPr="00160635" w:rsidR="00125298" w:rsidP="00366274" w:rsidRDefault="00125298" w14:paraId="27D0CBEC" w14:textId="77777777">
      <w:pPr>
        <w:ind w:left="720"/>
        <w:rPr>
          <w:sz w:val="24"/>
        </w:rPr>
      </w:pPr>
    </w:p>
    <w:p w:rsidR="00CC3420" w:rsidP="00160635" w:rsidRDefault="00CC3420" w14:paraId="0BC48DB9" w14:textId="77777777">
      <w:pPr>
        <w:widowControl/>
        <w:ind w:left="1440"/>
        <w:rPr>
          <w:sz w:val="24"/>
        </w:rPr>
      </w:pPr>
    </w:p>
    <w:p w:rsidRPr="007952CC" w:rsidR="00D22C70" w:rsidP="007952CC" w:rsidRDefault="00D22C70" w14:paraId="6E10B41C"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Publication and Tabulation Dates</w:t>
      </w:r>
    </w:p>
    <w:p w:rsidRPr="002B7282" w:rsidR="00D22C70" w:rsidP="00552775" w:rsidRDefault="00D22C70" w14:paraId="11DA82F9" w14:textId="77777777">
      <w:pPr>
        <w:tabs>
          <w:tab w:val="left" w:pos="0"/>
          <w:tab w:val="left" w:pos="720"/>
        </w:tabs>
        <w:suppressAutoHyphens/>
        <w:spacing w:line="240" w:lineRule="atLeast"/>
        <w:ind w:left="720"/>
        <w:rPr>
          <w:sz w:val="24"/>
          <w:szCs w:val="24"/>
        </w:rPr>
      </w:pPr>
    </w:p>
    <w:p w:rsidR="008A4210" w:rsidP="00504D2C" w:rsidRDefault="008A4210" w14:paraId="06DF340C" w14:textId="77777777">
      <w:pPr>
        <w:spacing w:line="242" w:lineRule="auto"/>
        <w:ind w:firstLine="720"/>
        <w:rPr>
          <w:sz w:val="24"/>
        </w:rPr>
      </w:pPr>
      <w:r>
        <w:rPr>
          <w:sz w:val="24"/>
        </w:rPr>
        <w:t>The data submitted on the cost report is not published or tabulated.</w:t>
      </w:r>
    </w:p>
    <w:p w:rsidR="00D22C70" w:rsidP="00A211BB" w:rsidRDefault="00D22C70" w14:paraId="3BDC5C91" w14:textId="77777777">
      <w:pPr>
        <w:tabs>
          <w:tab w:val="left" w:pos="0"/>
          <w:tab w:val="left" w:pos="360"/>
          <w:tab w:val="left" w:pos="720"/>
        </w:tabs>
        <w:suppressAutoHyphens/>
        <w:spacing w:line="240" w:lineRule="atLeast"/>
        <w:ind w:left="360"/>
        <w:rPr>
          <w:sz w:val="24"/>
          <w:szCs w:val="24"/>
        </w:rPr>
      </w:pPr>
    </w:p>
    <w:p w:rsidR="007320C6" w:rsidP="00A211BB" w:rsidRDefault="007320C6" w14:paraId="07231C7E" w14:textId="77777777">
      <w:pPr>
        <w:tabs>
          <w:tab w:val="left" w:pos="0"/>
          <w:tab w:val="left" w:pos="360"/>
          <w:tab w:val="left" w:pos="720"/>
        </w:tabs>
        <w:suppressAutoHyphens/>
        <w:spacing w:line="240" w:lineRule="atLeast"/>
        <w:ind w:left="360"/>
        <w:rPr>
          <w:sz w:val="24"/>
          <w:szCs w:val="24"/>
        </w:rPr>
      </w:pPr>
    </w:p>
    <w:p w:rsidRPr="007952CC" w:rsidR="00D22C70" w:rsidP="007952CC" w:rsidRDefault="00D22C70" w14:paraId="0FD806F6"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Expiration Date</w:t>
      </w:r>
    </w:p>
    <w:p w:rsidR="00D22C70" w:rsidP="00A211BB" w:rsidRDefault="00D22C70" w14:paraId="6D8FCE80" w14:textId="77777777">
      <w:pPr>
        <w:tabs>
          <w:tab w:val="left" w:pos="0"/>
          <w:tab w:val="left" w:pos="360"/>
          <w:tab w:val="left" w:pos="720"/>
        </w:tabs>
        <w:suppressAutoHyphens/>
        <w:spacing w:line="240" w:lineRule="atLeast"/>
        <w:ind w:left="360"/>
        <w:rPr>
          <w:sz w:val="24"/>
          <w:szCs w:val="24"/>
        </w:rPr>
      </w:pPr>
    </w:p>
    <w:p w:rsidR="00F25A28" w:rsidP="00F25A28" w:rsidRDefault="00F25A28" w14:paraId="40F1FB1D" w14:textId="28F2F8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51BA4">
        <w:rPr>
          <w:sz w:val="24"/>
        </w:rPr>
        <w:t>CMS will display the expiration date on the first page of the data collection instrument forms, in the upper right hand corner.  The PRA disclosure statement with expiration date included in instructions appears in the f</w:t>
      </w:r>
      <w:r w:rsidR="000D020D">
        <w:rPr>
          <w:sz w:val="24"/>
        </w:rPr>
        <w:t>ourth</w:t>
      </w:r>
      <w:r w:rsidRPr="00E51BA4">
        <w:rPr>
          <w:sz w:val="24"/>
        </w:rPr>
        <w:t xml:space="preserve"> paragraph on page 4</w:t>
      </w:r>
      <w:r w:rsidR="00E51BA4">
        <w:rPr>
          <w:sz w:val="24"/>
        </w:rPr>
        <w:t>7</w:t>
      </w:r>
      <w:r w:rsidRPr="00E51BA4">
        <w:rPr>
          <w:sz w:val="24"/>
        </w:rPr>
        <w:t>-</w:t>
      </w:r>
      <w:r w:rsidR="00E51BA4">
        <w:rPr>
          <w:sz w:val="24"/>
        </w:rPr>
        <w:t>3</w:t>
      </w:r>
      <w:r w:rsidRPr="00E51BA4">
        <w:rPr>
          <w:sz w:val="24"/>
        </w:rPr>
        <w:t>.</w:t>
      </w:r>
    </w:p>
    <w:p w:rsidR="0003464F" w:rsidP="00F25A28" w:rsidRDefault="0003464F" w14:paraId="201C70A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7952CC" w:rsidR="00D22C70" w:rsidP="007952CC" w:rsidRDefault="00D22C70" w14:paraId="646D1011" w14:textId="77777777">
      <w:pPr>
        <w:pStyle w:val="ListParagraph"/>
        <w:numPr>
          <w:ilvl w:val="0"/>
          <w:numId w:val="6"/>
        </w:numPr>
        <w:tabs>
          <w:tab w:val="left" w:pos="0"/>
          <w:tab w:val="left" w:pos="360"/>
          <w:tab w:val="left" w:pos="720"/>
        </w:tabs>
        <w:suppressAutoHyphens/>
        <w:spacing w:line="240" w:lineRule="atLeast"/>
        <w:rPr>
          <w:sz w:val="24"/>
          <w:szCs w:val="24"/>
        </w:rPr>
      </w:pPr>
      <w:r w:rsidRPr="007952CC">
        <w:rPr>
          <w:sz w:val="24"/>
          <w:szCs w:val="24"/>
          <w:u w:val="single"/>
        </w:rPr>
        <w:t>Certification Statement</w:t>
      </w:r>
    </w:p>
    <w:p w:rsidRPr="00A211BB" w:rsidR="00D22C70" w:rsidP="00A211BB" w:rsidRDefault="00D22C70" w14:paraId="470E430D" w14:textId="77777777">
      <w:pPr>
        <w:tabs>
          <w:tab w:val="left" w:pos="0"/>
          <w:tab w:val="left" w:pos="360"/>
          <w:tab w:val="left" w:pos="720"/>
        </w:tabs>
        <w:suppressAutoHyphens/>
        <w:spacing w:line="240" w:lineRule="atLeast"/>
        <w:ind w:left="360"/>
        <w:rPr>
          <w:sz w:val="24"/>
          <w:szCs w:val="24"/>
        </w:rPr>
      </w:pPr>
    </w:p>
    <w:p w:rsidRPr="00A211BB" w:rsidR="00D22C70" w:rsidP="00552775" w:rsidRDefault="00D22C70" w14:paraId="092F32A0" w14:textId="77777777">
      <w:pPr>
        <w:tabs>
          <w:tab w:val="left" w:pos="0"/>
          <w:tab w:val="left" w:pos="720"/>
        </w:tabs>
        <w:suppressAutoHyphens/>
        <w:spacing w:line="240" w:lineRule="atLeast"/>
        <w:ind w:left="720"/>
        <w:rPr>
          <w:sz w:val="24"/>
          <w:szCs w:val="24"/>
        </w:rPr>
      </w:pPr>
      <w:r w:rsidRPr="00A211BB">
        <w:rPr>
          <w:sz w:val="24"/>
          <w:szCs w:val="24"/>
        </w:rPr>
        <w:t>There are no exceptions to the certification statement.</w:t>
      </w:r>
    </w:p>
    <w:p w:rsidRPr="00A211BB" w:rsidR="00E17B95" w:rsidRDefault="00D22C70" w14:paraId="056E202C" w14:textId="26302875">
      <w:pPr>
        <w:tabs>
          <w:tab w:val="left" w:pos="0"/>
          <w:tab w:val="left" w:pos="360"/>
          <w:tab w:val="left" w:pos="720"/>
        </w:tabs>
        <w:suppressAutoHyphens/>
        <w:spacing w:line="240" w:lineRule="atLeast"/>
        <w:rPr>
          <w:sz w:val="24"/>
          <w:szCs w:val="24"/>
        </w:rPr>
      </w:pPr>
      <w:r w:rsidRPr="00A211BB">
        <w:rPr>
          <w:sz w:val="24"/>
          <w:szCs w:val="24"/>
        </w:rPr>
        <w:tab/>
      </w:r>
    </w:p>
    <w:p w:rsidRPr="00A211BB" w:rsidR="00D22C70" w:rsidP="00621D9A" w:rsidRDefault="00D22C70" w14:paraId="6CD4FD71" w14:textId="14FF5E64">
      <w:pPr>
        <w:tabs>
          <w:tab w:val="left" w:pos="0"/>
          <w:tab w:val="left" w:pos="360"/>
          <w:tab w:val="left" w:pos="720"/>
        </w:tabs>
        <w:suppressAutoHyphens/>
        <w:spacing w:line="240" w:lineRule="atLeast"/>
        <w:rPr>
          <w:b/>
          <w:sz w:val="24"/>
          <w:szCs w:val="24"/>
        </w:rPr>
      </w:pPr>
      <w:r w:rsidRPr="00A211BB">
        <w:rPr>
          <w:b/>
          <w:sz w:val="24"/>
          <w:szCs w:val="24"/>
        </w:rPr>
        <w:t>C.</w:t>
      </w:r>
      <w:r w:rsidRPr="00A211BB">
        <w:rPr>
          <w:b/>
          <w:sz w:val="24"/>
          <w:szCs w:val="24"/>
        </w:rPr>
        <w:tab/>
      </w:r>
      <w:r w:rsidR="00621D9A">
        <w:rPr>
          <w:b/>
          <w:sz w:val="24"/>
          <w:szCs w:val="24"/>
        </w:rPr>
        <w:tab/>
      </w:r>
      <w:r w:rsidRPr="00621D9A" w:rsidR="00F04556">
        <w:rPr>
          <w:b/>
          <w:sz w:val="24"/>
          <w:szCs w:val="24"/>
        </w:rPr>
        <w:t>STATISTICAL METHODS</w:t>
      </w:r>
    </w:p>
    <w:p w:rsidR="00621D9A" w:rsidP="00621D9A" w:rsidRDefault="00621D9A" w14:paraId="30EF01BE" w14:textId="77777777">
      <w:pPr>
        <w:tabs>
          <w:tab w:val="left" w:pos="360"/>
          <w:tab w:val="left" w:pos="720"/>
        </w:tabs>
        <w:suppressAutoHyphens/>
        <w:spacing w:line="240" w:lineRule="atLeast"/>
        <w:ind w:firstLine="360"/>
        <w:rPr>
          <w:sz w:val="24"/>
          <w:szCs w:val="24"/>
        </w:rPr>
      </w:pPr>
    </w:p>
    <w:p w:rsidR="00D22C70" w:rsidP="00621D9A" w:rsidRDefault="00D22C70" w14:paraId="57E4D06E" w14:textId="77777777">
      <w:pPr>
        <w:tabs>
          <w:tab w:val="left" w:pos="360"/>
          <w:tab w:val="left" w:pos="720"/>
        </w:tabs>
        <w:suppressAutoHyphens/>
        <w:spacing w:line="240" w:lineRule="atLeast"/>
        <w:rPr>
          <w:sz w:val="24"/>
          <w:szCs w:val="24"/>
        </w:rPr>
      </w:pPr>
      <w:r w:rsidRPr="008722C4">
        <w:rPr>
          <w:sz w:val="24"/>
          <w:szCs w:val="24"/>
        </w:rPr>
        <w:t>There</w:t>
      </w:r>
      <w:r>
        <w:rPr>
          <w:sz w:val="24"/>
          <w:szCs w:val="24"/>
        </w:rPr>
        <w:t xml:space="preserve"> are no statistical methods involved in this collection.</w:t>
      </w:r>
    </w:p>
    <w:sectPr w:rsidR="00D22C70" w:rsidSect="00353735">
      <w:pgSz w:w="12240" w:h="15840"/>
      <w:pgMar w:top="1440" w:right="1440" w:bottom="1296" w:left="1440" w:header="0" w:footer="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84AD7" w14:textId="77777777" w:rsidR="005C0AC8" w:rsidRDefault="005C0AC8">
      <w:pPr>
        <w:spacing w:line="20" w:lineRule="exact"/>
        <w:rPr>
          <w:sz w:val="24"/>
          <w:szCs w:val="24"/>
        </w:rPr>
      </w:pPr>
    </w:p>
  </w:endnote>
  <w:endnote w:type="continuationSeparator" w:id="0">
    <w:p w14:paraId="519628AF" w14:textId="77777777" w:rsidR="005C0AC8" w:rsidRDefault="005C0AC8" w:rsidP="00D22C70">
      <w:r>
        <w:rPr>
          <w:sz w:val="24"/>
          <w:szCs w:val="24"/>
        </w:rPr>
        <w:t xml:space="preserve"> </w:t>
      </w:r>
    </w:p>
  </w:endnote>
  <w:endnote w:type="continuationNotice" w:id="1">
    <w:p w14:paraId="0B1D3A30" w14:textId="77777777" w:rsidR="005C0AC8" w:rsidRDefault="005C0AC8" w:rsidP="00D22C70">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7A427" w14:textId="77777777" w:rsidR="005C0AC8" w:rsidRDefault="005C0AC8" w:rsidP="00D22C70">
      <w:r>
        <w:rPr>
          <w:sz w:val="24"/>
          <w:szCs w:val="24"/>
        </w:rPr>
        <w:separator/>
      </w:r>
    </w:p>
  </w:footnote>
  <w:footnote w:type="continuationSeparator" w:id="0">
    <w:p w14:paraId="1185B5D8" w14:textId="77777777" w:rsidR="005C0AC8" w:rsidRDefault="005C0AC8" w:rsidP="00D22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AAA4E39"/>
    <w:multiLevelType w:val="hybridMultilevel"/>
    <w:tmpl w:val="295E4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FC4"/>
    <w:multiLevelType w:val="hybridMultilevel"/>
    <w:tmpl w:val="BF1AC142"/>
    <w:lvl w:ilvl="0" w:tplc="E10C4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72287E"/>
    <w:multiLevelType w:val="hybridMultilevel"/>
    <w:tmpl w:val="6DFA76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15:restartNumberingAfterBreak="0">
    <w:nsid w:val="27A77464"/>
    <w:multiLevelType w:val="hybridMultilevel"/>
    <w:tmpl w:val="FE440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5D2EF3"/>
    <w:multiLevelType w:val="hybridMultilevel"/>
    <w:tmpl w:val="B166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93AE2"/>
    <w:multiLevelType w:val="hybridMultilevel"/>
    <w:tmpl w:val="77406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78D0BD2"/>
    <w:multiLevelType w:val="hybridMultilevel"/>
    <w:tmpl w:val="2F6E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704C8"/>
    <w:multiLevelType w:val="hybridMultilevel"/>
    <w:tmpl w:val="DFE85576"/>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abstractNumId w:val="0"/>
  </w:num>
  <w:num w:numId="2">
    <w:abstractNumId w:val="6"/>
  </w:num>
  <w:num w:numId="3">
    <w:abstractNumId w:val="1"/>
  </w:num>
  <w:num w:numId="4">
    <w:abstractNumId w:val="2"/>
  </w:num>
  <w:num w:numId="5">
    <w:abstractNumId w:val="7"/>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70"/>
    <w:rsid w:val="00004E36"/>
    <w:rsid w:val="00006990"/>
    <w:rsid w:val="00015120"/>
    <w:rsid w:val="000248B0"/>
    <w:rsid w:val="00027A1A"/>
    <w:rsid w:val="0003464F"/>
    <w:rsid w:val="00035C25"/>
    <w:rsid w:val="00040020"/>
    <w:rsid w:val="00043644"/>
    <w:rsid w:val="00043EE8"/>
    <w:rsid w:val="00052CF9"/>
    <w:rsid w:val="00064406"/>
    <w:rsid w:val="00067F71"/>
    <w:rsid w:val="0007383B"/>
    <w:rsid w:val="00082A58"/>
    <w:rsid w:val="0008347C"/>
    <w:rsid w:val="00083D43"/>
    <w:rsid w:val="00084E8A"/>
    <w:rsid w:val="00092A06"/>
    <w:rsid w:val="000A3E97"/>
    <w:rsid w:val="000A5CB0"/>
    <w:rsid w:val="000B2E9D"/>
    <w:rsid w:val="000C25CE"/>
    <w:rsid w:val="000C2717"/>
    <w:rsid w:val="000C62B1"/>
    <w:rsid w:val="000D020D"/>
    <w:rsid w:val="000D08F1"/>
    <w:rsid w:val="000D5708"/>
    <w:rsid w:val="000E7ACE"/>
    <w:rsid w:val="000F16DE"/>
    <w:rsid w:val="000F7FEF"/>
    <w:rsid w:val="00106CCA"/>
    <w:rsid w:val="001105E7"/>
    <w:rsid w:val="0011379F"/>
    <w:rsid w:val="00121449"/>
    <w:rsid w:val="00121FDD"/>
    <w:rsid w:val="00125298"/>
    <w:rsid w:val="00127B57"/>
    <w:rsid w:val="00127F11"/>
    <w:rsid w:val="0013579D"/>
    <w:rsid w:val="00137EF6"/>
    <w:rsid w:val="0014462A"/>
    <w:rsid w:val="00144B08"/>
    <w:rsid w:val="00154130"/>
    <w:rsid w:val="0015470C"/>
    <w:rsid w:val="0015521D"/>
    <w:rsid w:val="001557BF"/>
    <w:rsid w:val="00160635"/>
    <w:rsid w:val="001619B6"/>
    <w:rsid w:val="00161F60"/>
    <w:rsid w:val="0019231B"/>
    <w:rsid w:val="00196C11"/>
    <w:rsid w:val="001975CA"/>
    <w:rsid w:val="001A122E"/>
    <w:rsid w:val="001A1E89"/>
    <w:rsid w:val="001C296B"/>
    <w:rsid w:val="001E37DB"/>
    <w:rsid w:val="001E550D"/>
    <w:rsid w:val="001F2138"/>
    <w:rsid w:val="002015DB"/>
    <w:rsid w:val="00201F03"/>
    <w:rsid w:val="00202D81"/>
    <w:rsid w:val="00203C0A"/>
    <w:rsid w:val="00205568"/>
    <w:rsid w:val="00206327"/>
    <w:rsid w:val="002168AB"/>
    <w:rsid w:val="00221934"/>
    <w:rsid w:val="002454CC"/>
    <w:rsid w:val="0025354D"/>
    <w:rsid w:val="00263179"/>
    <w:rsid w:val="0027453A"/>
    <w:rsid w:val="002760A6"/>
    <w:rsid w:val="00277781"/>
    <w:rsid w:val="002804A5"/>
    <w:rsid w:val="00284987"/>
    <w:rsid w:val="00291501"/>
    <w:rsid w:val="0029243C"/>
    <w:rsid w:val="00296C0F"/>
    <w:rsid w:val="00297AF5"/>
    <w:rsid w:val="002A4892"/>
    <w:rsid w:val="002A7BC8"/>
    <w:rsid w:val="002B0308"/>
    <w:rsid w:val="002B3585"/>
    <w:rsid w:val="002B35A6"/>
    <w:rsid w:val="002B6EB6"/>
    <w:rsid w:val="002B7282"/>
    <w:rsid w:val="002C0597"/>
    <w:rsid w:val="002C3DFC"/>
    <w:rsid w:val="002D099B"/>
    <w:rsid w:val="002D1D72"/>
    <w:rsid w:val="002D411F"/>
    <w:rsid w:val="002E2945"/>
    <w:rsid w:val="00301F23"/>
    <w:rsid w:val="00305474"/>
    <w:rsid w:val="0031204C"/>
    <w:rsid w:val="00312419"/>
    <w:rsid w:val="003206E0"/>
    <w:rsid w:val="00324CCA"/>
    <w:rsid w:val="00330027"/>
    <w:rsid w:val="00330BBD"/>
    <w:rsid w:val="00330ED5"/>
    <w:rsid w:val="003321E2"/>
    <w:rsid w:val="003358FF"/>
    <w:rsid w:val="0034149E"/>
    <w:rsid w:val="00343AFC"/>
    <w:rsid w:val="00343D5E"/>
    <w:rsid w:val="003530FB"/>
    <w:rsid w:val="00353735"/>
    <w:rsid w:val="0035651D"/>
    <w:rsid w:val="00361152"/>
    <w:rsid w:val="00365CED"/>
    <w:rsid w:val="00366274"/>
    <w:rsid w:val="00367665"/>
    <w:rsid w:val="00370ED8"/>
    <w:rsid w:val="00371FC3"/>
    <w:rsid w:val="003863CC"/>
    <w:rsid w:val="003A2813"/>
    <w:rsid w:val="003A443A"/>
    <w:rsid w:val="003C28FB"/>
    <w:rsid w:val="003C64A3"/>
    <w:rsid w:val="003D333A"/>
    <w:rsid w:val="003E63E9"/>
    <w:rsid w:val="003F1577"/>
    <w:rsid w:val="0040535C"/>
    <w:rsid w:val="004053E9"/>
    <w:rsid w:val="004110EC"/>
    <w:rsid w:val="00420E87"/>
    <w:rsid w:val="00424ECA"/>
    <w:rsid w:val="00453088"/>
    <w:rsid w:val="00457EB3"/>
    <w:rsid w:val="00464924"/>
    <w:rsid w:val="00470C00"/>
    <w:rsid w:val="00472AEF"/>
    <w:rsid w:val="004749EB"/>
    <w:rsid w:val="004A094D"/>
    <w:rsid w:val="004A3575"/>
    <w:rsid w:val="004C5349"/>
    <w:rsid w:val="004C70FD"/>
    <w:rsid w:val="004E2ADF"/>
    <w:rsid w:val="004F157E"/>
    <w:rsid w:val="004F33CC"/>
    <w:rsid w:val="00500FCB"/>
    <w:rsid w:val="00504D2C"/>
    <w:rsid w:val="0050516C"/>
    <w:rsid w:val="00506283"/>
    <w:rsid w:val="00525985"/>
    <w:rsid w:val="00534037"/>
    <w:rsid w:val="005378F8"/>
    <w:rsid w:val="00550790"/>
    <w:rsid w:val="00551DC5"/>
    <w:rsid w:val="00552775"/>
    <w:rsid w:val="00555CA2"/>
    <w:rsid w:val="00560CA5"/>
    <w:rsid w:val="00560DB2"/>
    <w:rsid w:val="00566D6F"/>
    <w:rsid w:val="00590B48"/>
    <w:rsid w:val="00594BB9"/>
    <w:rsid w:val="0059778A"/>
    <w:rsid w:val="005A1165"/>
    <w:rsid w:val="005A1336"/>
    <w:rsid w:val="005A66FA"/>
    <w:rsid w:val="005B1432"/>
    <w:rsid w:val="005B304A"/>
    <w:rsid w:val="005B3213"/>
    <w:rsid w:val="005B49AD"/>
    <w:rsid w:val="005B79CF"/>
    <w:rsid w:val="005C0AC8"/>
    <w:rsid w:val="005D315F"/>
    <w:rsid w:val="005D68AD"/>
    <w:rsid w:val="005E0015"/>
    <w:rsid w:val="005E4837"/>
    <w:rsid w:val="005E74A5"/>
    <w:rsid w:val="005F5516"/>
    <w:rsid w:val="005F5A32"/>
    <w:rsid w:val="005F6A5E"/>
    <w:rsid w:val="00605D28"/>
    <w:rsid w:val="006145B0"/>
    <w:rsid w:val="00621D9A"/>
    <w:rsid w:val="00640A07"/>
    <w:rsid w:val="00655D3B"/>
    <w:rsid w:val="00681019"/>
    <w:rsid w:val="006863D4"/>
    <w:rsid w:val="006939E4"/>
    <w:rsid w:val="0069487E"/>
    <w:rsid w:val="006A2905"/>
    <w:rsid w:val="006A2DDB"/>
    <w:rsid w:val="006B237F"/>
    <w:rsid w:val="006C08DD"/>
    <w:rsid w:val="006C1822"/>
    <w:rsid w:val="006C4FF6"/>
    <w:rsid w:val="006D0DDA"/>
    <w:rsid w:val="006D49C0"/>
    <w:rsid w:val="006D5236"/>
    <w:rsid w:val="006E0679"/>
    <w:rsid w:val="006F1606"/>
    <w:rsid w:val="006F2516"/>
    <w:rsid w:val="006F7E67"/>
    <w:rsid w:val="007122EF"/>
    <w:rsid w:val="0071281A"/>
    <w:rsid w:val="00721B79"/>
    <w:rsid w:val="007247BD"/>
    <w:rsid w:val="007260A4"/>
    <w:rsid w:val="007320C6"/>
    <w:rsid w:val="00732B94"/>
    <w:rsid w:val="00743BEE"/>
    <w:rsid w:val="00744343"/>
    <w:rsid w:val="00744BB9"/>
    <w:rsid w:val="00751904"/>
    <w:rsid w:val="007556CD"/>
    <w:rsid w:val="00766BC7"/>
    <w:rsid w:val="007818C3"/>
    <w:rsid w:val="00782417"/>
    <w:rsid w:val="00787702"/>
    <w:rsid w:val="00791843"/>
    <w:rsid w:val="00793635"/>
    <w:rsid w:val="00793B76"/>
    <w:rsid w:val="00793D9E"/>
    <w:rsid w:val="00794684"/>
    <w:rsid w:val="007952CC"/>
    <w:rsid w:val="0079653D"/>
    <w:rsid w:val="0079680A"/>
    <w:rsid w:val="007A096F"/>
    <w:rsid w:val="007A37FE"/>
    <w:rsid w:val="007B1853"/>
    <w:rsid w:val="007B30FD"/>
    <w:rsid w:val="007B40EA"/>
    <w:rsid w:val="007B4146"/>
    <w:rsid w:val="007C12D7"/>
    <w:rsid w:val="007C2451"/>
    <w:rsid w:val="007C709A"/>
    <w:rsid w:val="007D3B4E"/>
    <w:rsid w:val="007D693F"/>
    <w:rsid w:val="007D6C39"/>
    <w:rsid w:val="007E2107"/>
    <w:rsid w:val="007E2EEA"/>
    <w:rsid w:val="007F0D5F"/>
    <w:rsid w:val="007F2341"/>
    <w:rsid w:val="007F702D"/>
    <w:rsid w:val="007F7B34"/>
    <w:rsid w:val="00802997"/>
    <w:rsid w:val="00803BC3"/>
    <w:rsid w:val="00822053"/>
    <w:rsid w:val="00824D1D"/>
    <w:rsid w:val="008308B7"/>
    <w:rsid w:val="0083106C"/>
    <w:rsid w:val="00837577"/>
    <w:rsid w:val="00843196"/>
    <w:rsid w:val="00843A96"/>
    <w:rsid w:val="0085058C"/>
    <w:rsid w:val="00854668"/>
    <w:rsid w:val="00854DDA"/>
    <w:rsid w:val="008722C4"/>
    <w:rsid w:val="00881851"/>
    <w:rsid w:val="0089011E"/>
    <w:rsid w:val="00896F5F"/>
    <w:rsid w:val="008A4210"/>
    <w:rsid w:val="008A4E79"/>
    <w:rsid w:val="008B04A2"/>
    <w:rsid w:val="008C29EC"/>
    <w:rsid w:val="008E209C"/>
    <w:rsid w:val="008F4112"/>
    <w:rsid w:val="00911005"/>
    <w:rsid w:val="00935054"/>
    <w:rsid w:val="00935FC6"/>
    <w:rsid w:val="0094572B"/>
    <w:rsid w:val="0095456C"/>
    <w:rsid w:val="00954D7B"/>
    <w:rsid w:val="00960D87"/>
    <w:rsid w:val="00965217"/>
    <w:rsid w:val="00974862"/>
    <w:rsid w:val="0098425A"/>
    <w:rsid w:val="00993F40"/>
    <w:rsid w:val="00996D09"/>
    <w:rsid w:val="009B39B7"/>
    <w:rsid w:val="009B4FE7"/>
    <w:rsid w:val="009C03AD"/>
    <w:rsid w:val="009C39D6"/>
    <w:rsid w:val="009D6BFA"/>
    <w:rsid w:val="009D75CE"/>
    <w:rsid w:val="009E3553"/>
    <w:rsid w:val="009F360B"/>
    <w:rsid w:val="00A211BB"/>
    <w:rsid w:val="00A21647"/>
    <w:rsid w:val="00A23514"/>
    <w:rsid w:val="00A34391"/>
    <w:rsid w:val="00A34FFD"/>
    <w:rsid w:val="00A36152"/>
    <w:rsid w:val="00A46653"/>
    <w:rsid w:val="00A50946"/>
    <w:rsid w:val="00A60CAF"/>
    <w:rsid w:val="00A63864"/>
    <w:rsid w:val="00A6572A"/>
    <w:rsid w:val="00A679F8"/>
    <w:rsid w:val="00A74A47"/>
    <w:rsid w:val="00A76C47"/>
    <w:rsid w:val="00A8062D"/>
    <w:rsid w:val="00A82265"/>
    <w:rsid w:val="00A83691"/>
    <w:rsid w:val="00A853AA"/>
    <w:rsid w:val="00A93EAB"/>
    <w:rsid w:val="00AA16CC"/>
    <w:rsid w:val="00AA2A10"/>
    <w:rsid w:val="00AA5B23"/>
    <w:rsid w:val="00AA63A7"/>
    <w:rsid w:val="00AB0501"/>
    <w:rsid w:val="00AC6196"/>
    <w:rsid w:val="00AC78AE"/>
    <w:rsid w:val="00AD6821"/>
    <w:rsid w:val="00AF001C"/>
    <w:rsid w:val="00AF5004"/>
    <w:rsid w:val="00AF590D"/>
    <w:rsid w:val="00AF5C39"/>
    <w:rsid w:val="00AF711D"/>
    <w:rsid w:val="00B00AAB"/>
    <w:rsid w:val="00B03FC2"/>
    <w:rsid w:val="00B11248"/>
    <w:rsid w:val="00B12AA6"/>
    <w:rsid w:val="00B12FA2"/>
    <w:rsid w:val="00B20CA6"/>
    <w:rsid w:val="00B32454"/>
    <w:rsid w:val="00B422BD"/>
    <w:rsid w:val="00B45698"/>
    <w:rsid w:val="00B47771"/>
    <w:rsid w:val="00B5350D"/>
    <w:rsid w:val="00B567AB"/>
    <w:rsid w:val="00B57869"/>
    <w:rsid w:val="00B675B0"/>
    <w:rsid w:val="00B70A3E"/>
    <w:rsid w:val="00B73278"/>
    <w:rsid w:val="00B803D4"/>
    <w:rsid w:val="00B855C9"/>
    <w:rsid w:val="00B935FB"/>
    <w:rsid w:val="00B940C7"/>
    <w:rsid w:val="00BA617B"/>
    <w:rsid w:val="00BB2702"/>
    <w:rsid w:val="00BB4188"/>
    <w:rsid w:val="00BB6B3A"/>
    <w:rsid w:val="00BC5660"/>
    <w:rsid w:val="00BD288D"/>
    <w:rsid w:val="00BD6033"/>
    <w:rsid w:val="00BE67ED"/>
    <w:rsid w:val="00BF0FA3"/>
    <w:rsid w:val="00C07C63"/>
    <w:rsid w:val="00C11767"/>
    <w:rsid w:val="00C147EA"/>
    <w:rsid w:val="00C2127D"/>
    <w:rsid w:val="00C2322E"/>
    <w:rsid w:val="00C32B4A"/>
    <w:rsid w:val="00C36348"/>
    <w:rsid w:val="00C37A80"/>
    <w:rsid w:val="00C44005"/>
    <w:rsid w:val="00C45B6E"/>
    <w:rsid w:val="00C52940"/>
    <w:rsid w:val="00C53AAE"/>
    <w:rsid w:val="00C61C5B"/>
    <w:rsid w:val="00C6219A"/>
    <w:rsid w:val="00C716FF"/>
    <w:rsid w:val="00C73359"/>
    <w:rsid w:val="00C76D2D"/>
    <w:rsid w:val="00C77918"/>
    <w:rsid w:val="00C94A5D"/>
    <w:rsid w:val="00CA18BC"/>
    <w:rsid w:val="00CB461B"/>
    <w:rsid w:val="00CB7C2D"/>
    <w:rsid w:val="00CC0B43"/>
    <w:rsid w:val="00CC1DEA"/>
    <w:rsid w:val="00CC3420"/>
    <w:rsid w:val="00CC4A15"/>
    <w:rsid w:val="00CC7FA0"/>
    <w:rsid w:val="00CD46DE"/>
    <w:rsid w:val="00CF6E6B"/>
    <w:rsid w:val="00D04275"/>
    <w:rsid w:val="00D11A0F"/>
    <w:rsid w:val="00D168C1"/>
    <w:rsid w:val="00D17EDB"/>
    <w:rsid w:val="00D20C5E"/>
    <w:rsid w:val="00D22C70"/>
    <w:rsid w:val="00D26BD8"/>
    <w:rsid w:val="00D27810"/>
    <w:rsid w:val="00D30B99"/>
    <w:rsid w:val="00D43266"/>
    <w:rsid w:val="00D4634A"/>
    <w:rsid w:val="00D476F3"/>
    <w:rsid w:val="00D562CA"/>
    <w:rsid w:val="00D575B2"/>
    <w:rsid w:val="00D60E79"/>
    <w:rsid w:val="00D63870"/>
    <w:rsid w:val="00D67072"/>
    <w:rsid w:val="00D67F83"/>
    <w:rsid w:val="00D76CDE"/>
    <w:rsid w:val="00D81025"/>
    <w:rsid w:val="00D92448"/>
    <w:rsid w:val="00DA114A"/>
    <w:rsid w:val="00DA32E4"/>
    <w:rsid w:val="00DA7D1E"/>
    <w:rsid w:val="00DB2A7B"/>
    <w:rsid w:val="00DB6134"/>
    <w:rsid w:val="00DB6364"/>
    <w:rsid w:val="00DC0448"/>
    <w:rsid w:val="00DC1193"/>
    <w:rsid w:val="00DC1672"/>
    <w:rsid w:val="00DC5C2C"/>
    <w:rsid w:val="00DD380A"/>
    <w:rsid w:val="00DD728F"/>
    <w:rsid w:val="00DE18DB"/>
    <w:rsid w:val="00DE44A0"/>
    <w:rsid w:val="00DF159F"/>
    <w:rsid w:val="00DF178C"/>
    <w:rsid w:val="00DF4F67"/>
    <w:rsid w:val="00E00FD9"/>
    <w:rsid w:val="00E03BA2"/>
    <w:rsid w:val="00E06861"/>
    <w:rsid w:val="00E15DED"/>
    <w:rsid w:val="00E16F92"/>
    <w:rsid w:val="00E17B95"/>
    <w:rsid w:val="00E40AEB"/>
    <w:rsid w:val="00E41A40"/>
    <w:rsid w:val="00E46513"/>
    <w:rsid w:val="00E51BA4"/>
    <w:rsid w:val="00E5719D"/>
    <w:rsid w:val="00E70B1E"/>
    <w:rsid w:val="00E7701B"/>
    <w:rsid w:val="00E8466B"/>
    <w:rsid w:val="00E8777F"/>
    <w:rsid w:val="00E90F3C"/>
    <w:rsid w:val="00E9223E"/>
    <w:rsid w:val="00E945E3"/>
    <w:rsid w:val="00E97DCD"/>
    <w:rsid w:val="00EA1FBF"/>
    <w:rsid w:val="00EA7E2F"/>
    <w:rsid w:val="00EB220C"/>
    <w:rsid w:val="00EB5B62"/>
    <w:rsid w:val="00EB5FCE"/>
    <w:rsid w:val="00EC12C5"/>
    <w:rsid w:val="00EC3FDC"/>
    <w:rsid w:val="00ED0648"/>
    <w:rsid w:val="00ED318E"/>
    <w:rsid w:val="00EE051F"/>
    <w:rsid w:val="00EF0807"/>
    <w:rsid w:val="00F0025F"/>
    <w:rsid w:val="00F012C9"/>
    <w:rsid w:val="00F03B20"/>
    <w:rsid w:val="00F0404C"/>
    <w:rsid w:val="00F04556"/>
    <w:rsid w:val="00F16FA8"/>
    <w:rsid w:val="00F25A28"/>
    <w:rsid w:val="00F26039"/>
    <w:rsid w:val="00F30FC1"/>
    <w:rsid w:val="00F439FF"/>
    <w:rsid w:val="00F52474"/>
    <w:rsid w:val="00F5410C"/>
    <w:rsid w:val="00F548AF"/>
    <w:rsid w:val="00F563A7"/>
    <w:rsid w:val="00F603F2"/>
    <w:rsid w:val="00F71609"/>
    <w:rsid w:val="00F719E6"/>
    <w:rsid w:val="00F74FFC"/>
    <w:rsid w:val="00F80AD4"/>
    <w:rsid w:val="00F9006F"/>
    <w:rsid w:val="00F93649"/>
    <w:rsid w:val="00F95DDB"/>
    <w:rsid w:val="00FA15B9"/>
    <w:rsid w:val="00FA1853"/>
    <w:rsid w:val="00FC7C11"/>
    <w:rsid w:val="00FD5DFF"/>
    <w:rsid w:val="00FE0C9F"/>
    <w:rsid w:val="00FE25F5"/>
    <w:rsid w:val="00FF3443"/>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4676D"/>
  <w15:docId w15:val="{8EC5B3CA-417B-4603-8145-D287A1FB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72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94572B"/>
    <w:rPr>
      <w:sz w:val="24"/>
      <w:szCs w:val="24"/>
    </w:rPr>
  </w:style>
  <w:style w:type="character" w:customStyle="1" w:styleId="EndnoteTextChar">
    <w:name w:val="Endnote Text Char"/>
    <w:basedOn w:val="DefaultParagraphFont"/>
    <w:link w:val="EndnoteText"/>
    <w:uiPriority w:val="99"/>
    <w:semiHidden/>
    <w:rsid w:val="00D22C70"/>
    <w:rPr>
      <w:rFonts w:ascii="Times New Roman" w:hAnsi="Times New Roman" w:cs="Times New Roman"/>
      <w:sz w:val="20"/>
      <w:szCs w:val="20"/>
    </w:rPr>
  </w:style>
  <w:style w:type="character" w:styleId="EndnoteReference">
    <w:name w:val="endnote reference"/>
    <w:basedOn w:val="DefaultParagraphFont"/>
    <w:uiPriority w:val="99"/>
    <w:rsid w:val="0094572B"/>
    <w:rPr>
      <w:vertAlign w:val="superscript"/>
    </w:rPr>
  </w:style>
  <w:style w:type="paragraph" w:styleId="FootnoteText">
    <w:name w:val="footnote text"/>
    <w:basedOn w:val="Normal"/>
    <w:link w:val="FootnoteTextChar"/>
    <w:uiPriority w:val="99"/>
    <w:rsid w:val="0094572B"/>
    <w:rPr>
      <w:sz w:val="24"/>
      <w:szCs w:val="24"/>
    </w:rPr>
  </w:style>
  <w:style w:type="character" w:customStyle="1" w:styleId="FootnoteTextChar">
    <w:name w:val="Footnote Text Char"/>
    <w:basedOn w:val="DefaultParagraphFont"/>
    <w:link w:val="FootnoteText"/>
    <w:uiPriority w:val="99"/>
    <w:semiHidden/>
    <w:rsid w:val="00D22C70"/>
    <w:rPr>
      <w:rFonts w:ascii="Times New Roman" w:hAnsi="Times New Roman" w:cs="Times New Roman"/>
      <w:sz w:val="20"/>
      <w:szCs w:val="20"/>
    </w:rPr>
  </w:style>
  <w:style w:type="character" w:styleId="FootnoteReference">
    <w:name w:val="footnote reference"/>
    <w:basedOn w:val="DefaultParagraphFont"/>
    <w:uiPriority w:val="99"/>
    <w:rsid w:val="0094572B"/>
    <w:rPr>
      <w:vertAlign w:val="superscript"/>
    </w:rPr>
  </w:style>
  <w:style w:type="paragraph" w:styleId="TOC1">
    <w:name w:val="toc 1"/>
    <w:basedOn w:val="Normal"/>
    <w:next w:val="Normal"/>
    <w:uiPriority w:val="99"/>
    <w:rsid w:val="0094572B"/>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94572B"/>
    <w:pPr>
      <w:tabs>
        <w:tab w:val="right" w:leader="dot" w:pos="9360"/>
      </w:tabs>
      <w:suppressAutoHyphens/>
      <w:spacing w:line="240" w:lineRule="atLeast"/>
      <w:ind w:left="720" w:right="720"/>
    </w:pPr>
  </w:style>
  <w:style w:type="paragraph" w:styleId="TOC3">
    <w:name w:val="toc 3"/>
    <w:basedOn w:val="Normal"/>
    <w:next w:val="Normal"/>
    <w:uiPriority w:val="99"/>
    <w:rsid w:val="0094572B"/>
    <w:pPr>
      <w:tabs>
        <w:tab w:val="right" w:leader="dot" w:pos="9360"/>
      </w:tabs>
      <w:suppressAutoHyphens/>
      <w:spacing w:line="240" w:lineRule="atLeast"/>
      <w:ind w:left="720" w:right="720"/>
    </w:pPr>
  </w:style>
  <w:style w:type="paragraph" w:styleId="TOC4">
    <w:name w:val="toc 4"/>
    <w:basedOn w:val="Normal"/>
    <w:next w:val="Normal"/>
    <w:uiPriority w:val="99"/>
    <w:rsid w:val="0094572B"/>
    <w:pPr>
      <w:tabs>
        <w:tab w:val="right" w:leader="dot" w:pos="9360"/>
      </w:tabs>
      <w:suppressAutoHyphens/>
      <w:spacing w:line="240" w:lineRule="atLeast"/>
      <w:ind w:left="720" w:right="720"/>
    </w:pPr>
  </w:style>
  <w:style w:type="paragraph" w:styleId="TOC5">
    <w:name w:val="toc 5"/>
    <w:basedOn w:val="Normal"/>
    <w:next w:val="Normal"/>
    <w:uiPriority w:val="99"/>
    <w:rsid w:val="0094572B"/>
    <w:pPr>
      <w:tabs>
        <w:tab w:val="right" w:leader="dot" w:pos="9360"/>
      </w:tabs>
      <w:suppressAutoHyphens/>
      <w:spacing w:line="240" w:lineRule="atLeast"/>
      <w:ind w:left="720" w:right="720"/>
    </w:pPr>
  </w:style>
  <w:style w:type="paragraph" w:styleId="TOC6">
    <w:name w:val="toc 6"/>
    <w:basedOn w:val="Normal"/>
    <w:next w:val="Normal"/>
    <w:uiPriority w:val="99"/>
    <w:rsid w:val="0094572B"/>
    <w:pPr>
      <w:tabs>
        <w:tab w:val="right" w:pos="9360"/>
      </w:tabs>
      <w:suppressAutoHyphens/>
      <w:spacing w:line="240" w:lineRule="atLeast"/>
      <w:ind w:left="720" w:hanging="720"/>
    </w:pPr>
  </w:style>
  <w:style w:type="paragraph" w:styleId="TOC7">
    <w:name w:val="toc 7"/>
    <w:basedOn w:val="Normal"/>
    <w:next w:val="Normal"/>
    <w:uiPriority w:val="99"/>
    <w:rsid w:val="0094572B"/>
    <w:pPr>
      <w:suppressAutoHyphens/>
      <w:spacing w:line="240" w:lineRule="atLeast"/>
      <w:ind w:left="720" w:hanging="720"/>
    </w:pPr>
  </w:style>
  <w:style w:type="paragraph" w:styleId="TOC8">
    <w:name w:val="toc 8"/>
    <w:basedOn w:val="Normal"/>
    <w:next w:val="Normal"/>
    <w:uiPriority w:val="99"/>
    <w:rsid w:val="0094572B"/>
    <w:pPr>
      <w:tabs>
        <w:tab w:val="right" w:pos="9360"/>
      </w:tabs>
      <w:suppressAutoHyphens/>
      <w:spacing w:line="240" w:lineRule="atLeast"/>
      <w:ind w:left="720" w:hanging="720"/>
    </w:pPr>
  </w:style>
  <w:style w:type="paragraph" w:styleId="TOC9">
    <w:name w:val="toc 9"/>
    <w:basedOn w:val="Normal"/>
    <w:next w:val="Normal"/>
    <w:uiPriority w:val="99"/>
    <w:rsid w:val="0094572B"/>
    <w:pPr>
      <w:tabs>
        <w:tab w:val="right" w:leader="dot" w:pos="9360"/>
      </w:tabs>
      <w:suppressAutoHyphens/>
      <w:spacing w:line="240" w:lineRule="atLeast"/>
      <w:ind w:left="720" w:hanging="720"/>
    </w:pPr>
  </w:style>
  <w:style w:type="paragraph" w:styleId="Index1">
    <w:name w:val="index 1"/>
    <w:basedOn w:val="Normal"/>
    <w:next w:val="Normal"/>
    <w:uiPriority w:val="99"/>
    <w:rsid w:val="0094572B"/>
    <w:pPr>
      <w:tabs>
        <w:tab w:val="right" w:leader="dot" w:pos="9360"/>
      </w:tabs>
      <w:suppressAutoHyphens/>
      <w:spacing w:line="240" w:lineRule="atLeast"/>
      <w:ind w:left="720" w:hanging="720"/>
    </w:pPr>
  </w:style>
  <w:style w:type="paragraph" w:styleId="Index2">
    <w:name w:val="index 2"/>
    <w:basedOn w:val="Normal"/>
    <w:next w:val="Normal"/>
    <w:uiPriority w:val="99"/>
    <w:rsid w:val="0094572B"/>
    <w:pPr>
      <w:tabs>
        <w:tab w:val="right" w:leader="dot" w:pos="9360"/>
      </w:tabs>
      <w:suppressAutoHyphens/>
      <w:spacing w:line="240" w:lineRule="atLeast"/>
      <w:ind w:left="720"/>
    </w:pPr>
  </w:style>
  <w:style w:type="paragraph" w:styleId="TOAHeading">
    <w:name w:val="toa heading"/>
    <w:basedOn w:val="Normal"/>
    <w:next w:val="Normal"/>
    <w:uiPriority w:val="99"/>
    <w:rsid w:val="0094572B"/>
    <w:pPr>
      <w:tabs>
        <w:tab w:val="right" w:pos="9360"/>
      </w:tabs>
      <w:suppressAutoHyphens/>
      <w:spacing w:line="240" w:lineRule="atLeast"/>
    </w:pPr>
  </w:style>
  <w:style w:type="paragraph" w:styleId="Caption">
    <w:name w:val="caption"/>
    <w:basedOn w:val="Normal"/>
    <w:next w:val="Normal"/>
    <w:uiPriority w:val="99"/>
    <w:qFormat/>
    <w:rsid w:val="0094572B"/>
    <w:rPr>
      <w:sz w:val="24"/>
      <w:szCs w:val="24"/>
    </w:rPr>
  </w:style>
  <w:style w:type="character" w:customStyle="1" w:styleId="EquationCaption">
    <w:name w:val="_Equation Caption"/>
    <w:uiPriority w:val="99"/>
    <w:rsid w:val="0094572B"/>
  </w:style>
  <w:style w:type="paragraph" w:styleId="ListParagraph">
    <w:name w:val="List Paragraph"/>
    <w:basedOn w:val="Normal"/>
    <w:uiPriority w:val="34"/>
    <w:qFormat/>
    <w:rsid w:val="00A211BB"/>
    <w:pPr>
      <w:ind w:left="720"/>
      <w:contextualSpacing/>
    </w:pPr>
  </w:style>
  <w:style w:type="paragraph" w:styleId="BodyTextIndent">
    <w:name w:val="Body Text Indent"/>
    <w:basedOn w:val="Normal"/>
    <w:link w:val="BodyTextIndentChar"/>
    <w:rsid w:val="002B3585"/>
    <w:pPr>
      <w:spacing w:line="242" w:lineRule="auto"/>
      <w:ind w:firstLine="1440"/>
      <w:jc w:val="both"/>
    </w:pPr>
    <w:rPr>
      <w:rFonts w:eastAsia="Times New Roman"/>
      <w:sz w:val="24"/>
      <w:szCs w:val="24"/>
    </w:rPr>
  </w:style>
  <w:style w:type="character" w:customStyle="1" w:styleId="BodyTextIndentChar">
    <w:name w:val="Body Text Indent Char"/>
    <w:basedOn w:val="DefaultParagraphFont"/>
    <w:link w:val="BodyTextIndent"/>
    <w:rsid w:val="002B3585"/>
    <w:rPr>
      <w:rFonts w:ascii="Times New Roman" w:eastAsia="Times New Roman" w:hAnsi="Times New Roman" w:cs="Times New Roman"/>
      <w:sz w:val="24"/>
      <w:szCs w:val="24"/>
    </w:rPr>
  </w:style>
  <w:style w:type="table" w:styleId="TableGrid">
    <w:name w:val="Table Grid"/>
    <w:basedOn w:val="TableNormal"/>
    <w:uiPriority w:val="59"/>
    <w:rsid w:val="00BD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7D1E"/>
    <w:rPr>
      <w:sz w:val="16"/>
      <w:szCs w:val="16"/>
    </w:rPr>
  </w:style>
  <w:style w:type="paragraph" w:styleId="CommentText">
    <w:name w:val="annotation text"/>
    <w:basedOn w:val="Normal"/>
    <w:link w:val="CommentTextChar"/>
    <w:rsid w:val="00DA7D1E"/>
    <w:rPr>
      <w:rFonts w:eastAsia="Times New Roman"/>
    </w:rPr>
  </w:style>
  <w:style w:type="character" w:customStyle="1" w:styleId="CommentTextChar">
    <w:name w:val="Comment Text Char"/>
    <w:basedOn w:val="DefaultParagraphFont"/>
    <w:link w:val="CommentText"/>
    <w:rsid w:val="00DA7D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A7D1E"/>
    <w:rPr>
      <w:rFonts w:ascii="Tahoma" w:hAnsi="Tahoma" w:cs="Tahoma"/>
      <w:sz w:val="16"/>
      <w:szCs w:val="16"/>
    </w:rPr>
  </w:style>
  <w:style w:type="character" w:customStyle="1" w:styleId="BalloonTextChar">
    <w:name w:val="Balloon Text Char"/>
    <w:basedOn w:val="DefaultParagraphFont"/>
    <w:link w:val="BalloonText"/>
    <w:uiPriority w:val="99"/>
    <w:semiHidden/>
    <w:rsid w:val="00DA7D1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0E87"/>
    <w:rPr>
      <w:rFonts w:eastAsiaTheme="minorEastAsia"/>
      <w:b/>
      <w:bCs/>
    </w:rPr>
  </w:style>
  <w:style w:type="character" w:customStyle="1" w:styleId="CommentSubjectChar">
    <w:name w:val="Comment Subject Char"/>
    <w:basedOn w:val="CommentTextChar"/>
    <w:link w:val="CommentSubject"/>
    <w:uiPriority w:val="99"/>
    <w:semiHidden/>
    <w:rsid w:val="00420E8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53735"/>
    <w:pPr>
      <w:tabs>
        <w:tab w:val="center" w:pos="4680"/>
        <w:tab w:val="right" w:pos="9360"/>
      </w:tabs>
    </w:pPr>
  </w:style>
  <w:style w:type="character" w:customStyle="1" w:styleId="HeaderChar">
    <w:name w:val="Header Char"/>
    <w:basedOn w:val="DefaultParagraphFont"/>
    <w:link w:val="Header"/>
    <w:uiPriority w:val="99"/>
    <w:rsid w:val="00353735"/>
    <w:rPr>
      <w:rFonts w:ascii="Times New Roman" w:hAnsi="Times New Roman" w:cs="Times New Roman"/>
      <w:sz w:val="20"/>
      <w:szCs w:val="20"/>
    </w:rPr>
  </w:style>
  <w:style w:type="paragraph" w:styleId="Footer">
    <w:name w:val="footer"/>
    <w:basedOn w:val="Normal"/>
    <w:link w:val="FooterChar"/>
    <w:uiPriority w:val="99"/>
    <w:unhideWhenUsed/>
    <w:rsid w:val="00353735"/>
    <w:pPr>
      <w:tabs>
        <w:tab w:val="center" w:pos="4680"/>
        <w:tab w:val="right" w:pos="9360"/>
      </w:tabs>
    </w:pPr>
  </w:style>
  <w:style w:type="character" w:customStyle="1" w:styleId="FooterChar">
    <w:name w:val="Footer Char"/>
    <w:basedOn w:val="DefaultParagraphFont"/>
    <w:link w:val="Footer"/>
    <w:uiPriority w:val="99"/>
    <w:rsid w:val="00353735"/>
    <w:rPr>
      <w:rFonts w:ascii="Times New Roman" w:hAnsi="Times New Roman" w:cs="Times New Roman"/>
      <w:sz w:val="20"/>
      <w:szCs w:val="20"/>
    </w:rPr>
  </w:style>
  <w:style w:type="paragraph" w:styleId="Revision">
    <w:name w:val="Revision"/>
    <w:hidden/>
    <w:uiPriority w:val="99"/>
    <w:semiHidden/>
    <w:rsid w:val="00743BEE"/>
    <w:pPr>
      <w:spacing w:after="0" w:line="240" w:lineRule="auto"/>
    </w:pPr>
    <w:rPr>
      <w:rFonts w:ascii="Times New Roman" w:hAnsi="Times New Roman" w:cs="Times New Roman"/>
      <w:sz w:val="20"/>
      <w:szCs w:val="20"/>
    </w:rPr>
  </w:style>
  <w:style w:type="character" w:styleId="Hyperlink">
    <w:name w:val="Hyperlink"/>
    <w:basedOn w:val="DefaultParagraphFont"/>
    <w:uiPriority w:val="99"/>
    <w:unhideWhenUsed/>
    <w:rsid w:val="00E068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6907">
      <w:bodyDiv w:val="1"/>
      <w:marLeft w:val="0"/>
      <w:marRight w:val="0"/>
      <w:marTop w:val="0"/>
      <w:marBottom w:val="0"/>
      <w:divBdr>
        <w:top w:val="none" w:sz="0" w:space="0" w:color="auto"/>
        <w:left w:val="none" w:sz="0" w:space="0" w:color="auto"/>
        <w:bottom w:val="none" w:sz="0" w:space="0" w:color="auto"/>
        <w:right w:val="none" w:sz="0" w:space="0" w:color="auto"/>
      </w:divBdr>
    </w:div>
    <w:div w:id="442723229">
      <w:bodyDiv w:val="1"/>
      <w:marLeft w:val="0"/>
      <w:marRight w:val="0"/>
      <w:marTop w:val="0"/>
      <w:marBottom w:val="0"/>
      <w:divBdr>
        <w:top w:val="none" w:sz="0" w:space="0" w:color="auto"/>
        <w:left w:val="none" w:sz="0" w:space="0" w:color="auto"/>
        <w:bottom w:val="none" w:sz="0" w:space="0" w:color="auto"/>
        <w:right w:val="none" w:sz="0" w:space="0" w:color="auto"/>
      </w:divBdr>
    </w:div>
    <w:div w:id="467743913">
      <w:bodyDiv w:val="1"/>
      <w:marLeft w:val="0"/>
      <w:marRight w:val="0"/>
      <w:marTop w:val="0"/>
      <w:marBottom w:val="0"/>
      <w:divBdr>
        <w:top w:val="none" w:sz="0" w:space="0" w:color="auto"/>
        <w:left w:val="none" w:sz="0" w:space="0" w:color="auto"/>
        <w:bottom w:val="none" w:sz="0" w:space="0" w:color="auto"/>
        <w:right w:val="none" w:sz="0" w:space="0" w:color="auto"/>
      </w:divBdr>
    </w:div>
    <w:div w:id="507526533">
      <w:bodyDiv w:val="1"/>
      <w:marLeft w:val="0"/>
      <w:marRight w:val="0"/>
      <w:marTop w:val="0"/>
      <w:marBottom w:val="0"/>
      <w:divBdr>
        <w:top w:val="none" w:sz="0" w:space="0" w:color="auto"/>
        <w:left w:val="none" w:sz="0" w:space="0" w:color="auto"/>
        <w:bottom w:val="none" w:sz="0" w:space="0" w:color="auto"/>
        <w:right w:val="none" w:sz="0" w:space="0" w:color="auto"/>
      </w:divBdr>
    </w:div>
    <w:div w:id="1067191955">
      <w:bodyDiv w:val="1"/>
      <w:marLeft w:val="0"/>
      <w:marRight w:val="0"/>
      <w:marTop w:val="0"/>
      <w:marBottom w:val="0"/>
      <w:divBdr>
        <w:top w:val="none" w:sz="0" w:space="0" w:color="auto"/>
        <w:left w:val="none" w:sz="0" w:space="0" w:color="auto"/>
        <w:bottom w:val="none" w:sz="0" w:space="0" w:color="auto"/>
        <w:right w:val="none" w:sz="0" w:space="0" w:color="auto"/>
      </w:divBdr>
    </w:div>
    <w:div w:id="1092362642">
      <w:bodyDiv w:val="1"/>
      <w:marLeft w:val="0"/>
      <w:marRight w:val="0"/>
      <w:marTop w:val="0"/>
      <w:marBottom w:val="0"/>
      <w:divBdr>
        <w:top w:val="none" w:sz="0" w:space="0" w:color="auto"/>
        <w:left w:val="none" w:sz="0" w:space="0" w:color="auto"/>
        <w:bottom w:val="none" w:sz="0" w:space="0" w:color="auto"/>
        <w:right w:val="none" w:sz="0" w:space="0" w:color="auto"/>
      </w:divBdr>
    </w:div>
    <w:div w:id="1252424984">
      <w:bodyDiv w:val="1"/>
      <w:marLeft w:val="0"/>
      <w:marRight w:val="0"/>
      <w:marTop w:val="0"/>
      <w:marBottom w:val="0"/>
      <w:divBdr>
        <w:top w:val="none" w:sz="0" w:space="0" w:color="auto"/>
        <w:left w:val="none" w:sz="0" w:space="0" w:color="auto"/>
        <w:bottom w:val="none" w:sz="0" w:space="0" w:color="auto"/>
        <w:right w:val="none" w:sz="0" w:space="0" w:color="auto"/>
      </w:divBdr>
    </w:div>
    <w:div w:id="1317874194">
      <w:bodyDiv w:val="1"/>
      <w:marLeft w:val="0"/>
      <w:marRight w:val="0"/>
      <w:marTop w:val="0"/>
      <w:marBottom w:val="0"/>
      <w:divBdr>
        <w:top w:val="none" w:sz="0" w:space="0" w:color="auto"/>
        <w:left w:val="none" w:sz="0" w:space="0" w:color="auto"/>
        <w:bottom w:val="none" w:sz="0" w:space="0" w:color="auto"/>
        <w:right w:val="none" w:sz="0" w:space="0" w:color="auto"/>
      </w:divBdr>
    </w:div>
    <w:div w:id="1334071044">
      <w:bodyDiv w:val="1"/>
      <w:marLeft w:val="0"/>
      <w:marRight w:val="0"/>
      <w:marTop w:val="0"/>
      <w:marBottom w:val="0"/>
      <w:divBdr>
        <w:top w:val="none" w:sz="0" w:space="0" w:color="auto"/>
        <w:left w:val="none" w:sz="0" w:space="0" w:color="auto"/>
        <w:bottom w:val="none" w:sz="0" w:space="0" w:color="auto"/>
        <w:right w:val="none" w:sz="0" w:space="0" w:color="auto"/>
      </w:divBdr>
    </w:div>
    <w:div w:id="1400059217">
      <w:bodyDiv w:val="1"/>
      <w:marLeft w:val="0"/>
      <w:marRight w:val="0"/>
      <w:marTop w:val="0"/>
      <w:marBottom w:val="0"/>
      <w:divBdr>
        <w:top w:val="none" w:sz="0" w:space="0" w:color="auto"/>
        <w:left w:val="none" w:sz="0" w:space="0" w:color="auto"/>
        <w:bottom w:val="none" w:sz="0" w:space="0" w:color="auto"/>
        <w:right w:val="none" w:sz="0" w:space="0" w:color="auto"/>
      </w:divBdr>
    </w:div>
    <w:div w:id="1420641630">
      <w:bodyDiv w:val="1"/>
      <w:marLeft w:val="0"/>
      <w:marRight w:val="0"/>
      <w:marTop w:val="0"/>
      <w:marBottom w:val="0"/>
      <w:divBdr>
        <w:top w:val="none" w:sz="0" w:space="0" w:color="auto"/>
        <w:left w:val="none" w:sz="0" w:space="0" w:color="auto"/>
        <w:bottom w:val="none" w:sz="0" w:space="0" w:color="auto"/>
        <w:right w:val="none" w:sz="0" w:space="0" w:color="auto"/>
      </w:divBdr>
    </w:div>
    <w:div w:id="1479882914">
      <w:bodyDiv w:val="1"/>
      <w:marLeft w:val="0"/>
      <w:marRight w:val="0"/>
      <w:marTop w:val="0"/>
      <w:marBottom w:val="0"/>
      <w:divBdr>
        <w:top w:val="none" w:sz="0" w:space="0" w:color="auto"/>
        <w:left w:val="none" w:sz="0" w:space="0" w:color="auto"/>
        <w:bottom w:val="none" w:sz="0" w:space="0" w:color="auto"/>
        <w:right w:val="none" w:sz="0" w:space="0" w:color="auto"/>
      </w:divBdr>
    </w:div>
    <w:div w:id="1698307948">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8604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3303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5F3E3-D1B3-46FD-83F7-7332ADAA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1514</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WILLIAM PARHAM</cp:lastModifiedBy>
  <cp:revision>2</cp:revision>
  <cp:lastPrinted>2017-05-11T17:32:00Z</cp:lastPrinted>
  <dcterms:created xsi:type="dcterms:W3CDTF">2020-05-21T16:48:00Z</dcterms:created>
  <dcterms:modified xsi:type="dcterms:W3CDTF">2020-05-21T16:48:00Z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-1418651881</vt:i4>
  </property>
  <property fmtid="{D5CDD505-2E9C-101B-9397-08002B2CF9AE}" pid="3" name="_NewReviewCycle">
    <vt:lpwstr/>
  </property>
  <property fmtid="{D5CDD505-2E9C-101B-9397-08002B2CF9AE}" pid="4" name="_EmailSubject">
    <vt:lpwstr>HHA response to 30 day comment period</vt:lpwstr>
  </property>
  <property fmtid="{D5CDD505-2E9C-101B-9397-08002B2CF9AE}" pid="5" name="_AuthorEmail">
    <vt:lpwstr>Deanna.Rhodes@cms.hhs.gov</vt:lpwstr>
  </property>
  <property fmtid="{D5CDD505-2E9C-101B-9397-08002B2CF9AE}" pid="6" name="_AuthorEmailDisplayName">
    <vt:lpwstr>Rhodes, Deanna M.(CMS/CM)</vt:lpwstr>
  </property>
  <property fmtid="{D5CDD505-2E9C-101B-9397-08002B2CF9AE}" pid="7" name="_PreviousAdHocReviewCycleID">
    <vt:i4>-1017459523</vt:i4>
  </property>
  <property fmtid="{D5CDD505-2E9C-101B-9397-08002B2CF9AE}" pid="8" name="_ReviewingToolsShownOnce">
    <vt:lpwstr/>
  </property>
</Properties>
</file>