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6E4725" w:rsidP="00195414"/>
      </w:sdtContent>
    </w:sdt>
    <w:p w14:paraId="68BA36D6" w14:textId="77777777" w:rsidR="00E35DD1" w:rsidRPr="00195414" w:rsidRDefault="00E35DD1" w:rsidP="009C0C70">
      <w:pPr>
        <w:jc w:val="center"/>
        <w:rPr>
          <w:rFonts w:eastAsia="Times New Roman" w:cs="Times New Roman"/>
        </w:rPr>
      </w:pPr>
      <w:r w:rsidRPr="00E35DD1">
        <w:t>Supporting Statement A for</w:t>
      </w:r>
    </w:p>
    <w:p w14:paraId="4AD68EFA"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4AE40AA7" w14:textId="46A2F5AC" w:rsidR="00D351DD" w:rsidRDefault="00D351DD" w:rsidP="009C0C70">
      <w:pPr>
        <w:pStyle w:val="P1-StandPara"/>
        <w:tabs>
          <w:tab w:val="right" w:leader="dot" w:pos="9504"/>
        </w:tabs>
        <w:spacing w:before="120" w:after="120"/>
        <w:ind w:firstLine="0"/>
        <w:jc w:val="center"/>
        <w:rPr>
          <w:rFonts w:asciiTheme="minorHAnsi" w:hAnsiTheme="minorHAnsi"/>
          <w:szCs w:val="22"/>
        </w:rPr>
      </w:pPr>
      <w:r w:rsidRPr="00D351DD">
        <w:rPr>
          <w:rFonts w:asciiTheme="minorHAnsi" w:hAnsiTheme="minorHAnsi"/>
          <w:szCs w:val="22"/>
        </w:rPr>
        <w:t xml:space="preserve">Assurance </w:t>
      </w:r>
      <w:r>
        <w:rPr>
          <w:rFonts w:asciiTheme="minorHAnsi" w:hAnsiTheme="minorHAnsi"/>
          <w:szCs w:val="22"/>
        </w:rPr>
        <w:t>(</w:t>
      </w:r>
      <w:r w:rsidR="00D32AF6">
        <w:rPr>
          <w:rFonts w:asciiTheme="minorHAnsi" w:hAnsiTheme="minorHAnsi"/>
          <w:szCs w:val="22"/>
        </w:rPr>
        <w:t>I</w:t>
      </w:r>
      <w:r w:rsidRPr="00D351DD">
        <w:rPr>
          <w:rFonts w:asciiTheme="minorHAnsi" w:hAnsiTheme="minorHAnsi"/>
          <w:szCs w:val="22"/>
        </w:rPr>
        <w:t>nterinstitutional</w:t>
      </w:r>
      <w:r>
        <w:rPr>
          <w:rFonts w:asciiTheme="minorHAnsi" w:hAnsiTheme="minorHAnsi"/>
          <w:szCs w:val="22"/>
        </w:rPr>
        <w:t xml:space="preserve">, </w:t>
      </w:r>
      <w:r w:rsidR="00D32AF6">
        <w:rPr>
          <w:rFonts w:asciiTheme="minorHAnsi" w:hAnsiTheme="minorHAnsi"/>
          <w:szCs w:val="22"/>
        </w:rPr>
        <w:t>F</w:t>
      </w:r>
      <w:r w:rsidRPr="00D351DD">
        <w:rPr>
          <w:rFonts w:asciiTheme="minorHAnsi" w:hAnsiTheme="minorHAnsi"/>
          <w:szCs w:val="22"/>
        </w:rPr>
        <w:t>oreign</w:t>
      </w:r>
      <w:r>
        <w:rPr>
          <w:rFonts w:asciiTheme="minorHAnsi" w:hAnsiTheme="minorHAnsi"/>
          <w:szCs w:val="22"/>
        </w:rPr>
        <w:t>,</w:t>
      </w:r>
      <w:r w:rsidRPr="00D351DD">
        <w:rPr>
          <w:rFonts w:asciiTheme="minorHAnsi" w:hAnsiTheme="minorHAnsi"/>
          <w:szCs w:val="22"/>
        </w:rPr>
        <w:t xml:space="preserve"> and </w:t>
      </w:r>
      <w:r w:rsidR="00D32AF6">
        <w:rPr>
          <w:rFonts w:asciiTheme="minorHAnsi" w:hAnsiTheme="minorHAnsi"/>
          <w:szCs w:val="22"/>
        </w:rPr>
        <w:t>D</w:t>
      </w:r>
      <w:r w:rsidRPr="00D351DD">
        <w:rPr>
          <w:rFonts w:asciiTheme="minorHAnsi" w:hAnsiTheme="minorHAnsi"/>
          <w:szCs w:val="22"/>
        </w:rPr>
        <w:t>omestic)</w:t>
      </w:r>
      <w:r>
        <w:rPr>
          <w:rFonts w:asciiTheme="minorHAnsi" w:hAnsiTheme="minorHAnsi"/>
          <w:szCs w:val="22"/>
        </w:rPr>
        <w:t xml:space="preserve"> and</w:t>
      </w:r>
      <w:r w:rsidRPr="00D351DD">
        <w:rPr>
          <w:rFonts w:asciiTheme="minorHAnsi" w:hAnsiTheme="minorHAnsi"/>
          <w:szCs w:val="22"/>
        </w:rPr>
        <w:t xml:space="preserve"> Annual Report. </w:t>
      </w:r>
      <w:r w:rsidR="00E465F2">
        <w:rPr>
          <w:rFonts w:asciiTheme="minorHAnsi" w:hAnsiTheme="minorHAnsi"/>
          <w:szCs w:val="22"/>
        </w:rPr>
        <w:t>(Office of Director)</w:t>
      </w:r>
      <w:r w:rsidR="00333098">
        <w:rPr>
          <w:rFonts w:asciiTheme="minorHAnsi" w:hAnsiTheme="minorHAnsi"/>
          <w:szCs w:val="22"/>
        </w:rPr>
        <w:t>.</w:t>
      </w:r>
    </w:p>
    <w:p w14:paraId="6A9054D8" w14:textId="6D139DB2" w:rsidR="00333098" w:rsidRDefault="00E465F2" w:rsidP="00E465F2">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 # 0925-XXXX, expiration date XX/XX/XXXX</w:t>
      </w:r>
    </w:p>
    <w:p w14:paraId="680B9135" w14:textId="2D247459" w:rsidR="00024899" w:rsidRDefault="00E35DD1" w:rsidP="00D351DD">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ECE92EB" w14:textId="5B625F8E"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CC0CBC">
        <w:rPr>
          <w:rFonts w:asciiTheme="minorHAnsi" w:hAnsiTheme="minorHAnsi"/>
          <w:iCs/>
          <w:szCs w:val="22"/>
        </w:rPr>
        <w:t>September 9, 2019</w:t>
      </w:r>
      <w:r w:rsidRPr="000A6D8D">
        <w:rPr>
          <w:rFonts w:asciiTheme="minorHAnsi" w:hAnsiTheme="minorHAnsi"/>
          <w:i/>
          <w:szCs w:val="22"/>
        </w:rPr>
        <w:t xml:space="preserve"> </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B64D8B">
      <w:pPr>
        <w:pStyle w:val="ListParagraph"/>
        <w:numPr>
          <w:ilvl w:val="0"/>
          <w:numId w:val="12"/>
        </w:numPr>
        <w:spacing w:after="0" w:line="240" w:lineRule="auto"/>
        <w:ind w:left="720"/>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5177244E" w14:textId="77777777" w:rsidR="00FF30CE" w:rsidRDefault="00FF30CE" w:rsidP="00FF30CE">
      <w:pPr>
        <w:numPr>
          <w:ilvl w:val="0"/>
          <w:numId w:val="11"/>
        </w:numPr>
        <w:spacing w:after="0" w:line="240" w:lineRule="auto"/>
      </w:pPr>
      <w:r>
        <w:t>Reinstatement without Change</w:t>
      </w:r>
    </w:p>
    <w:p w14:paraId="62B8AE22" w14:textId="77777777" w:rsidR="00FF30CE" w:rsidRDefault="00FF30CE" w:rsidP="00FF30CE">
      <w:pPr>
        <w:numPr>
          <w:ilvl w:val="0"/>
          <w:numId w:val="11"/>
        </w:numPr>
        <w:spacing w:after="0" w:line="240" w:lineRule="auto"/>
      </w:pPr>
      <w:r>
        <w:t>Extension</w:t>
      </w:r>
    </w:p>
    <w:p w14:paraId="61FD3A79" w14:textId="77777777" w:rsidR="00FF30CE" w:rsidRDefault="00FF30CE" w:rsidP="00FF30CE">
      <w:pPr>
        <w:numPr>
          <w:ilvl w:val="0"/>
          <w:numId w:val="11"/>
        </w:numPr>
        <w:spacing w:after="0" w:line="240" w:lineRule="auto"/>
      </w:pPr>
      <w:r>
        <w:t>Emergency</w:t>
      </w:r>
    </w:p>
    <w:p w14:paraId="4AB911EB" w14:textId="77777777" w:rsidR="00FF30CE" w:rsidRDefault="00FF30CE" w:rsidP="00FF30CE">
      <w:pPr>
        <w:numPr>
          <w:ilvl w:val="0"/>
          <w:numId w:val="11"/>
        </w:numPr>
        <w:spacing w:after="0" w:line="240" w:lineRule="auto"/>
      </w:pPr>
      <w:r>
        <w:t>Existing</w:t>
      </w:r>
    </w:p>
    <w:p w14:paraId="76887CBB" w14:textId="56235644" w:rsidR="00E35DD1" w:rsidRPr="00E35DD1" w:rsidRDefault="00E35DD1" w:rsidP="00D351DD">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6D261043" w14:textId="77777777" w:rsidR="00E35DD1" w:rsidRPr="00E35DD1"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14:paraId="684ABDC4" w14:textId="1CBF0447"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333098">
        <w:rPr>
          <w:rFonts w:asciiTheme="minorHAnsi" w:hAnsiTheme="minorHAnsi"/>
          <w:szCs w:val="22"/>
        </w:rPr>
        <w:t xml:space="preserve"> </w:t>
      </w:r>
      <w:r w:rsidR="0022226D">
        <w:rPr>
          <w:rFonts w:asciiTheme="minorHAnsi" w:hAnsiTheme="minorHAnsi"/>
          <w:szCs w:val="22"/>
        </w:rPr>
        <w:t>Jane Na</w:t>
      </w:r>
    </w:p>
    <w:p w14:paraId="165F09E8" w14:textId="7114EE4D"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333098">
        <w:rPr>
          <w:rFonts w:asciiTheme="minorHAnsi" w:hAnsiTheme="minorHAnsi"/>
          <w:szCs w:val="22"/>
        </w:rPr>
        <w:t xml:space="preserve"> 6700B Rockledge Drive, Suite 2500</w:t>
      </w:r>
      <w:r w:rsidR="00F75630">
        <w:rPr>
          <w:rFonts w:asciiTheme="minorHAnsi" w:hAnsiTheme="minorHAnsi"/>
          <w:szCs w:val="22"/>
        </w:rPr>
        <w:t>, Bethesda, MD  20892</w:t>
      </w:r>
    </w:p>
    <w:p w14:paraId="570BCCDE" w14:textId="609E18C8"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333098">
        <w:rPr>
          <w:rFonts w:asciiTheme="minorHAnsi" w:hAnsiTheme="minorHAnsi"/>
          <w:szCs w:val="22"/>
        </w:rPr>
        <w:t xml:space="preserve"> 301-</w:t>
      </w:r>
      <w:r w:rsidR="0022226D">
        <w:rPr>
          <w:rFonts w:asciiTheme="minorHAnsi" w:hAnsiTheme="minorHAnsi"/>
          <w:szCs w:val="22"/>
        </w:rPr>
        <w:t>402-1922</w:t>
      </w:r>
    </w:p>
    <w:p w14:paraId="1447E9B1" w14:textId="0E56DFBA"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333098">
        <w:rPr>
          <w:rFonts w:asciiTheme="minorHAnsi" w:hAnsiTheme="minorHAnsi"/>
          <w:szCs w:val="22"/>
        </w:rPr>
        <w:t xml:space="preserve"> </w:t>
      </w:r>
      <w:r w:rsidR="009C708F">
        <w:rPr>
          <w:rFonts w:asciiTheme="minorHAnsi" w:hAnsiTheme="minorHAnsi"/>
          <w:szCs w:val="22"/>
        </w:rPr>
        <w:t>jane.na</w:t>
      </w:r>
      <w:r w:rsidR="00333098">
        <w:rPr>
          <w:rFonts w:asciiTheme="minorHAnsi" w:hAnsiTheme="minorHAnsi"/>
          <w:szCs w:val="22"/>
        </w:rPr>
        <w:t>@nih.gov</w:t>
      </w:r>
    </w:p>
    <w:p w14:paraId="7CEB0B9A" w14:textId="7B1AE84E" w:rsidR="00333098" w:rsidRDefault="00333098" w:rsidP="00E35DD1">
      <w:pPr>
        <w:pStyle w:val="P1-StandPara"/>
        <w:tabs>
          <w:tab w:val="left" w:pos="720"/>
          <w:tab w:val="right" w:leader="dot" w:pos="9504"/>
        </w:tabs>
        <w:spacing w:before="120" w:after="120"/>
        <w:rPr>
          <w:rFonts w:asciiTheme="minorHAnsi" w:hAnsiTheme="minorHAnsi"/>
          <w:b/>
          <w:szCs w:val="22"/>
          <w:u w:val="single"/>
        </w:rPr>
      </w:pPr>
    </w:p>
    <w:p w14:paraId="524EF624" w14:textId="77777777" w:rsidR="003D31C2" w:rsidRDefault="003D31C2" w:rsidP="00E35DD1">
      <w:pPr>
        <w:pStyle w:val="P1-StandPara"/>
        <w:tabs>
          <w:tab w:val="left" w:pos="720"/>
          <w:tab w:val="right" w:leader="dot" w:pos="9504"/>
        </w:tabs>
        <w:spacing w:before="120" w:after="120"/>
        <w:rPr>
          <w:rFonts w:asciiTheme="minorHAnsi" w:hAnsiTheme="minorHAnsi"/>
          <w:b/>
          <w:szCs w:val="22"/>
          <w:u w:val="single"/>
        </w:rPr>
      </w:pPr>
    </w:p>
    <w:p w14:paraId="3EA956BC" w14:textId="2495AF46" w:rsidR="0022226D" w:rsidRDefault="0022226D" w:rsidP="00E35DD1">
      <w:pPr>
        <w:pStyle w:val="P1-StandPara"/>
        <w:tabs>
          <w:tab w:val="left" w:pos="720"/>
          <w:tab w:val="right" w:leader="dot" w:pos="9504"/>
        </w:tabs>
        <w:spacing w:before="120" w:after="120"/>
        <w:rPr>
          <w:rFonts w:asciiTheme="minorHAnsi" w:hAnsiTheme="minorHAnsi"/>
          <w:b/>
          <w:szCs w:val="22"/>
          <w:u w:val="single"/>
        </w:rPr>
      </w:pPr>
    </w:p>
    <w:p w14:paraId="1D71E2C7" w14:textId="77777777" w:rsidR="00E465F2" w:rsidRDefault="00E465F2" w:rsidP="00E35DD1">
      <w:pPr>
        <w:pStyle w:val="P1-StandPara"/>
        <w:tabs>
          <w:tab w:val="left" w:pos="720"/>
          <w:tab w:val="right" w:leader="dot" w:pos="9504"/>
        </w:tabs>
        <w:spacing w:before="120" w:after="120"/>
        <w:rPr>
          <w:rFonts w:asciiTheme="minorHAnsi" w:hAnsiTheme="minorHAnsi"/>
          <w:b/>
          <w:szCs w:val="22"/>
          <w:u w:val="single"/>
        </w:rPr>
      </w:pPr>
    </w:p>
    <w:p w14:paraId="245B699E" w14:textId="484E3F9B"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14:paraId="61EF9CBA" w14:textId="77777777"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t>JUSTIFICATION</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21E753CB"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w:t>
      </w:r>
      <w:r w:rsidR="00083A52">
        <w:rPr>
          <w:rFonts w:asciiTheme="minorHAnsi" w:hAnsiTheme="minorHAnsi"/>
          <w:szCs w:val="22"/>
        </w:rPr>
        <w:t>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40092E7F"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 xml:space="preserve">Estimate of Hour Burden Including </w:t>
      </w:r>
      <w:r w:rsidR="00083A52" w:rsidRPr="00083A52">
        <w:rPr>
          <w:rFonts w:asciiTheme="minorHAnsi" w:hAnsiTheme="minorHAnsi"/>
          <w:szCs w:val="22"/>
        </w:rPr>
        <w:t>Annualized Cost to Respondents</w:t>
      </w:r>
      <w:r w:rsidRPr="00E35DD1">
        <w:rPr>
          <w:rFonts w:asciiTheme="minorHAnsi" w:hAnsiTheme="minorHAnsi"/>
          <w:szCs w:val="22"/>
        </w:rPr>
        <w:tab/>
      </w:r>
    </w:p>
    <w:p w14:paraId="147053D2" w14:textId="0FF0D3A9"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00083A52">
        <w:rPr>
          <w:rFonts w:asciiTheme="minorHAnsi" w:hAnsiTheme="minorHAnsi"/>
          <w:szCs w:val="22"/>
        </w:rPr>
        <w:t>K</w:t>
      </w:r>
      <w:r w:rsidRPr="00E35DD1">
        <w:rPr>
          <w:rFonts w:asciiTheme="minorHAnsi" w:hAnsiTheme="minorHAnsi"/>
          <w:szCs w:val="22"/>
        </w:rPr>
        <w:t>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54ADDEA8"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 for Tabulation and Publication and Project Time Schedule</w:t>
      </w:r>
      <w:r w:rsidRPr="00E35DD1">
        <w:rPr>
          <w:rFonts w:asciiTheme="minorHAnsi" w:hAnsiTheme="minorHAnsi"/>
          <w:szCs w:val="22"/>
        </w:rPr>
        <w:tab/>
      </w:r>
    </w:p>
    <w:p w14:paraId="6EDA2130" w14:textId="17207ED1"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 Display of OMB Expiration Date is Inappropriate</w:t>
      </w:r>
      <w:r w:rsidRPr="00E35DD1">
        <w:rPr>
          <w:rFonts w:asciiTheme="minorHAnsi" w:hAnsiTheme="minorHAnsi"/>
          <w:szCs w:val="22"/>
        </w:rPr>
        <w:tab/>
      </w:r>
    </w:p>
    <w:p w14:paraId="1FDE63E2" w14:textId="666787D1" w:rsidR="006A45F9" w:rsidRPr="007D11BF" w:rsidRDefault="00E35DD1" w:rsidP="00C61177">
      <w:pPr>
        <w:pStyle w:val="P1-StandPara"/>
        <w:ind w:firstLine="0"/>
        <w:rPr>
          <w:rFonts w:asciiTheme="minorHAnsi" w:hAnsiTheme="minorHAnsi"/>
          <w:b/>
          <w: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31AA879B" w14:textId="77777777" w:rsid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14:paraId="7621091E" w14:textId="484BA5AC" w:rsidR="00767C53" w:rsidRDefault="00767C53" w:rsidP="00E35DD1">
      <w:pPr>
        <w:pStyle w:val="P1-StandPara"/>
        <w:tabs>
          <w:tab w:val="left" w:pos="720"/>
          <w:tab w:val="right" w:leader="dot" w:pos="9504"/>
        </w:tabs>
        <w:spacing w:before="120" w:after="120"/>
        <w:rPr>
          <w:rFonts w:asciiTheme="minorHAnsi" w:hAnsiTheme="minorHAnsi"/>
          <w:szCs w:val="22"/>
        </w:rPr>
      </w:pPr>
    </w:p>
    <w:p w14:paraId="191F81BE" w14:textId="77777777" w:rsidR="009C0C70" w:rsidRDefault="009C0C70" w:rsidP="00E35DD1">
      <w:pPr>
        <w:pStyle w:val="P1-StandPara"/>
        <w:tabs>
          <w:tab w:val="left" w:pos="720"/>
          <w:tab w:val="right" w:leader="dot" w:pos="9504"/>
        </w:tabs>
        <w:spacing w:before="120" w:after="120"/>
        <w:rPr>
          <w:rFonts w:asciiTheme="minorHAnsi" w:hAnsiTheme="minorHAnsi"/>
          <w:szCs w:val="22"/>
        </w:rPr>
      </w:pPr>
    </w:p>
    <w:p w14:paraId="605173DA" w14:textId="2C1A1342" w:rsidR="006A45F9" w:rsidRDefault="006A45F9" w:rsidP="007C127D">
      <w:pPr>
        <w:pStyle w:val="P1-StandPara"/>
        <w:tabs>
          <w:tab w:val="left" w:pos="720"/>
          <w:tab w:val="right" w:leader="dot" w:pos="9504"/>
        </w:tabs>
        <w:spacing w:after="200" w:line="240" w:lineRule="auto"/>
        <w:ind w:firstLine="0"/>
        <w:rPr>
          <w:rFonts w:asciiTheme="minorHAnsi" w:hAnsiTheme="minorHAnsi"/>
          <w:szCs w:val="22"/>
        </w:rPr>
      </w:pPr>
      <w:r>
        <w:rPr>
          <w:rFonts w:asciiTheme="minorHAnsi" w:hAnsiTheme="minorHAnsi"/>
          <w:b/>
          <w:szCs w:val="22"/>
        </w:rPr>
        <w:lastRenderedPageBreak/>
        <w:t xml:space="preserve">A. </w:t>
      </w:r>
      <w:r w:rsidR="00083A52">
        <w:rPr>
          <w:rFonts w:asciiTheme="minorHAnsi" w:hAnsiTheme="minorHAnsi"/>
          <w:b/>
          <w:szCs w:val="22"/>
        </w:rPr>
        <w:tab/>
      </w:r>
      <w:r w:rsidR="00BE76A7" w:rsidRPr="00BE76A7">
        <w:rPr>
          <w:rFonts w:asciiTheme="minorHAnsi" w:hAnsiTheme="minorHAnsi"/>
          <w:b/>
          <w:szCs w:val="22"/>
        </w:rPr>
        <w:t>Justification</w:t>
      </w:r>
    </w:p>
    <w:p w14:paraId="4E5C57C9" w14:textId="017972DD" w:rsidR="000B44E9" w:rsidRPr="009C0C70" w:rsidRDefault="00D351DD" w:rsidP="007C127D">
      <w:pPr>
        <w:pStyle w:val="P1-StandPara"/>
        <w:tabs>
          <w:tab w:val="left" w:pos="720"/>
          <w:tab w:val="right" w:leader="dot" w:pos="9504"/>
        </w:tabs>
        <w:spacing w:after="200" w:line="276" w:lineRule="auto"/>
        <w:ind w:firstLine="0"/>
        <w:rPr>
          <w:rFonts w:asciiTheme="minorHAnsi" w:hAnsiTheme="minorHAnsi"/>
          <w:szCs w:val="22"/>
        </w:rPr>
      </w:pPr>
      <w:r w:rsidRPr="00D351DD">
        <w:rPr>
          <w:rFonts w:asciiTheme="minorHAnsi" w:hAnsiTheme="minorHAnsi"/>
          <w:szCs w:val="22"/>
        </w:rPr>
        <w:t>The Office of Laboratory Animal Welfare</w:t>
      </w:r>
      <w:r w:rsidR="007C6D2B">
        <w:rPr>
          <w:rFonts w:asciiTheme="minorHAnsi" w:hAnsiTheme="minorHAnsi"/>
          <w:szCs w:val="22"/>
        </w:rPr>
        <w:t xml:space="preserve"> </w:t>
      </w:r>
      <w:r w:rsidR="008C7B29">
        <w:rPr>
          <w:rFonts w:asciiTheme="minorHAnsi" w:hAnsiTheme="minorHAnsi"/>
          <w:szCs w:val="22"/>
        </w:rPr>
        <w:t xml:space="preserve">(OLAW), Office of Extramural Research, Office of the Director, National Institutes of Health (NIH) </w:t>
      </w:r>
      <w:r w:rsidRPr="00D351DD">
        <w:rPr>
          <w:rFonts w:asciiTheme="minorHAnsi" w:hAnsiTheme="minorHAnsi"/>
          <w:szCs w:val="22"/>
        </w:rPr>
        <w:t xml:space="preserve">is requesting approval for the information </w:t>
      </w:r>
      <w:r w:rsidR="009662F8">
        <w:rPr>
          <w:rFonts w:asciiTheme="minorHAnsi" w:hAnsiTheme="minorHAnsi"/>
          <w:szCs w:val="22"/>
        </w:rPr>
        <w:t xml:space="preserve">collection </w:t>
      </w:r>
      <w:r w:rsidRPr="00D351DD">
        <w:rPr>
          <w:rFonts w:asciiTheme="minorHAnsi" w:hAnsiTheme="minorHAnsi"/>
          <w:szCs w:val="22"/>
        </w:rPr>
        <w:t>requirements of the Paperwork Reduction Act</w:t>
      </w:r>
      <w:r w:rsidR="008C7B29">
        <w:rPr>
          <w:rFonts w:asciiTheme="minorHAnsi" w:hAnsiTheme="minorHAnsi"/>
          <w:szCs w:val="22"/>
        </w:rPr>
        <w:t xml:space="preserve"> of 1995</w:t>
      </w:r>
      <w:r w:rsidRPr="00D351DD">
        <w:rPr>
          <w:rFonts w:asciiTheme="minorHAnsi" w:hAnsiTheme="minorHAnsi"/>
          <w:szCs w:val="22"/>
        </w:rPr>
        <w:t xml:space="preserve">. </w:t>
      </w:r>
      <w:r w:rsidR="000B44E9" w:rsidRPr="000B44E9">
        <w:rPr>
          <w:rFonts w:asciiTheme="minorHAnsi" w:hAnsiTheme="minorHAnsi"/>
          <w:szCs w:val="22"/>
        </w:rPr>
        <w:t>OLAW</w:t>
      </w:r>
      <w:r w:rsidR="00507837" w:rsidRPr="00507837">
        <w:rPr>
          <w:rFonts w:asciiTheme="minorHAnsi" w:hAnsiTheme="minorHAnsi"/>
          <w:szCs w:val="22"/>
        </w:rPr>
        <w:t xml:space="preserve"> is responsible for the implementation, general administration, and interpretation of the Public Health Service (PHS) Policy on Humane Care and Use of Laboratory Animals (Policy)</w:t>
      </w:r>
      <w:r w:rsidR="00045D64">
        <w:rPr>
          <w:rFonts w:asciiTheme="minorHAnsi" w:hAnsiTheme="minorHAnsi"/>
          <w:szCs w:val="22"/>
        </w:rPr>
        <w:t xml:space="preserve"> as codified in </w:t>
      </w:r>
      <w:r w:rsidR="00045D64" w:rsidRPr="00CB0C05">
        <w:rPr>
          <w:rFonts w:asciiTheme="minorHAnsi" w:hAnsiTheme="minorHAnsi"/>
          <w:szCs w:val="22"/>
        </w:rPr>
        <w:t>42 C</w:t>
      </w:r>
      <w:r w:rsidR="00045D64">
        <w:rPr>
          <w:rFonts w:asciiTheme="minorHAnsi" w:hAnsiTheme="minorHAnsi"/>
          <w:szCs w:val="22"/>
        </w:rPr>
        <w:t>FR</w:t>
      </w:r>
      <w:r w:rsidR="00045D64" w:rsidRPr="00CB0C05">
        <w:rPr>
          <w:rFonts w:asciiTheme="minorHAnsi" w:hAnsiTheme="minorHAnsi"/>
          <w:szCs w:val="22"/>
        </w:rPr>
        <w:t xml:space="preserve"> 52.8</w:t>
      </w:r>
      <w:r w:rsidR="00045D64">
        <w:rPr>
          <w:rFonts w:asciiTheme="minorHAnsi" w:hAnsiTheme="minorHAnsi"/>
          <w:szCs w:val="22"/>
        </w:rPr>
        <w:t>.</w:t>
      </w:r>
      <w:r w:rsidR="00507837" w:rsidRPr="00507837">
        <w:rPr>
          <w:rFonts w:asciiTheme="minorHAnsi" w:hAnsiTheme="minorHAnsi"/>
          <w:szCs w:val="22"/>
        </w:rPr>
        <w:t xml:space="preserve"> The PHS Policy implements the Health Research Extension Act (HREA) of 1985 (Public Law 99-158</w:t>
      </w:r>
      <w:r w:rsidR="0071684C">
        <w:rPr>
          <w:rFonts w:asciiTheme="minorHAnsi" w:hAnsiTheme="minorHAnsi"/>
          <w:szCs w:val="22"/>
        </w:rPr>
        <w:t xml:space="preserve"> </w:t>
      </w:r>
      <w:r w:rsidR="0071684C" w:rsidRPr="0071684C">
        <w:rPr>
          <w:rFonts w:asciiTheme="minorHAnsi" w:hAnsiTheme="minorHAnsi"/>
          <w:szCs w:val="22"/>
        </w:rPr>
        <w:t xml:space="preserve">section 495 </w:t>
      </w:r>
      <w:r w:rsidR="00CB0C05" w:rsidRPr="00CB0C05">
        <w:rPr>
          <w:rFonts w:asciiTheme="minorHAnsi" w:hAnsiTheme="minorHAnsi"/>
          <w:szCs w:val="22"/>
        </w:rPr>
        <w:t>as codified in 42 U</w:t>
      </w:r>
      <w:r w:rsidR="009D08E2">
        <w:rPr>
          <w:rFonts w:asciiTheme="minorHAnsi" w:hAnsiTheme="minorHAnsi"/>
          <w:szCs w:val="22"/>
        </w:rPr>
        <w:t>.</w:t>
      </w:r>
      <w:r w:rsidR="00CB0C05" w:rsidRPr="00CB0C05">
        <w:rPr>
          <w:rFonts w:asciiTheme="minorHAnsi" w:hAnsiTheme="minorHAnsi"/>
          <w:szCs w:val="22"/>
        </w:rPr>
        <w:t>S</w:t>
      </w:r>
      <w:r w:rsidR="009D08E2">
        <w:rPr>
          <w:rFonts w:asciiTheme="minorHAnsi" w:hAnsiTheme="minorHAnsi"/>
          <w:szCs w:val="22"/>
        </w:rPr>
        <w:t>.</w:t>
      </w:r>
      <w:r w:rsidR="00CB0C05" w:rsidRPr="00CB0C05">
        <w:rPr>
          <w:rFonts w:asciiTheme="minorHAnsi" w:hAnsiTheme="minorHAnsi"/>
          <w:szCs w:val="22"/>
        </w:rPr>
        <w:t>C</w:t>
      </w:r>
      <w:r w:rsidR="009D08E2">
        <w:rPr>
          <w:rFonts w:asciiTheme="minorHAnsi" w:hAnsiTheme="minorHAnsi"/>
          <w:szCs w:val="22"/>
        </w:rPr>
        <w:t>.</w:t>
      </w:r>
      <w:r w:rsidR="00CB0C05" w:rsidRPr="00CB0C05">
        <w:rPr>
          <w:rFonts w:asciiTheme="minorHAnsi" w:hAnsiTheme="minorHAnsi"/>
          <w:szCs w:val="22"/>
        </w:rPr>
        <w:t xml:space="preserve"> 289d</w:t>
      </w:r>
      <w:r w:rsidR="00507837" w:rsidRPr="00507837">
        <w:rPr>
          <w:rFonts w:asciiTheme="minorHAnsi" w:hAnsiTheme="minorHAnsi"/>
          <w:szCs w:val="22"/>
        </w:rPr>
        <w:t>)</w:t>
      </w:r>
      <w:r w:rsidR="00CB0C05">
        <w:rPr>
          <w:rFonts w:asciiTheme="minorHAnsi" w:hAnsiTheme="minorHAnsi"/>
          <w:szCs w:val="22"/>
        </w:rPr>
        <w:t xml:space="preserve">. </w:t>
      </w:r>
      <w:bookmarkStart w:id="1" w:name="_Hlk534632392"/>
      <w:bookmarkStart w:id="2" w:name="_Hlk2866725"/>
      <w:r w:rsidR="00CB0C05">
        <w:rPr>
          <w:rFonts w:asciiTheme="minorHAnsi" w:hAnsiTheme="minorHAnsi"/>
          <w:szCs w:val="22"/>
        </w:rPr>
        <w:t>The PHS Policy requires e</w:t>
      </w:r>
      <w:r w:rsidR="00507837" w:rsidRPr="00507837">
        <w:rPr>
          <w:rFonts w:asciiTheme="minorHAnsi" w:hAnsiTheme="minorHAnsi"/>
          <w:szCs w:val="22"/>
        </w:rPr>
        <w:t xml:space="preserve">ntities </w:t>
      </w:r>
      <w:bookmarkEnd w:id="1"/>
      <w:r w:rsidR="00507837" w:rsidRPr="00507837">
        <w:rPr>
          <w:rFonts w:asciiTheme="minorHAnsi" w:hAnsiTheme="minorHAnsi"/>
          <w:szCs w:val="22"/>
        </w:rPr>
        <w:t xml:space="preserve">that conduct research involving vertebrate animals using </w:t>
      </w:r>
      <w:r w:rsidR="00507837">
        <w:rPr>
          <w:rFonts w:asciiTheme="minorHAnsi" w:hAnsiTheme="minorHAnsi"/>
          <w:szCs w:val="22"/>
        </w:rPr>
        <w:t xml:space="preserve">PHS </w:t>
      </w:r>
      <w:r w:rsidR="00507837" w:rsidRPr="00507837">
        <w:rPr>
          <w:rFonts w:asciiTheme="minorHAnsi" w:hAnsiTheme="minorHAnsi"/>
          <w:szCs w:val="22"/>
        </w:rPr>
        <w:t>funds</w:t>
      </w:r>
      <w:r w:rsidR="00045D64">
        <w:rPr>
          <w:rFonts w:asciiTheme="minorHAnsi" w:hAnsiTheme="minorHAnsi"/>
          <w:szCs w:val="22"/>
        </w:rPr>
        <w:t xml:space="preserve"> to</w:t>
      </w:r>
      <w:r w:rsidR="00507837" w:rsidRPr="00507837">
        <w:rPr>
          <w:rFonts w:asciiTheme="minorHAnsi" w:hAnsiTheme="minorHAnsi"/>
          <w:szCs w:val="22"/>
        </w:rPr>
        <w:t xml:space="preserve"> have an </w:t>
      </w:r>
      <w:r w:rsidR="00624895">
        <w:rPr>
          <w:rFonts w:asciiTheme="minorHAnsi" w:hAnsiTheme="minorHAnsi"/>
          <w:szCs w:val="22"/>
        </w:rPr>
        <w:t>I</w:t>
      </w:r>
      <w:r w:rsidR="00507837" w:rsidRPr="00507837">
        <w:rPr>
          <w:rFonts w:asciiTheme="minorHAnsi" w:hAnsiTheme="minorHAnsi"/>
          <w:szCs w:val="22"/>
        </w:rPr>
        <w:t xml:space="preserve">nstitutional </w:t>
      </w:r>
      <w:r w:rsidR="00624895">
        <w:rPr>
          <w:rFonts w:asciiTheme="minorHAnsi" w:hAnsiTheme="minorHAnsi"/>
          <w:szCs w:val="22"/>
        </w:rPr>
        <w:t>A</w:t>
      </w:r>
      <w:r w:rsidR="00507837" w:rsidRPr="00507837">
        <w:rPr>
          <w:rFonts w:asciiTheme="minorHAnsi" w:hAnsiTheme="minorHAnsi"/>
          <w:szCs w:val="22"/>
        </w:rPr>
        <w:t xml:space="preserve">nimal </w:t>
      </w:r>
      <w:r w:rsidR="00624895">
        <w:rPr>
          <w:rFonts w:asciiTheme="minorHAnsi" w:hAnsiTheme="minorHAnsi"/>
          <w:szCs w:val="22"/>
        </w:rPr>
        <w:t>C</w:t>
      </w:r>
      <w:r w:rsidR="00507837" w:rsidRPr="00507837">
        <w:rPr>
          <w:rFonts w:asciiTheme="minorHAnsi" w:hAnsiTheme="minorHAnsi"/>
          <w:szCs w:val="22"/>
        </w:rPr>
        <w:t>are</w:t>
      </w:r>
      <w:r w:rsidR="00624895">
        <w:rPr>
          <w:rFonts w:asciiTheme="minorHAnsi" w:hAnsiTheme="minorHAnsi"/>
          <w:szCs w:val="22"/>
        </w:rPr>
        <w:t xml:space="preserve"> and Use C</w:t>
      </w:r>
      <w:r w:rsidR="00507837" w:rsidRPr="00507837">
        <w:rPr>
          <w:rFonts w:asciiTheme="minorHAnsi" w:hAnsiTheme="minorHAnsi"/>
          <w:szCs w:val="22"/>
        </w:rPr>
        <w:t>ommittee</w:t>
      </w:r>
      <w:r w:rsidR="00624895">
        <w:rPr>
          <w:rFonts w:asciiTheme="minorHAnsi" w:hAnsiTheme="minorHAnsi"/>
          <w:szCs w:val="22"/>
        </w:rPr>
        <w:t xml:space="preserve"> (IACUC)</w:t>
      </w:r>
      <w:r w:rsidR="00507837" w:rsidRPr="00507837">
        <w:rPr>
          <w:rFonts w:asciiTheme="minorHAnsi" w:hAnsiTheme="minorHAnsi"/>
          <w:szCs w:val="22"/>
        </w:rPr>
        <w:t xml:space="preserve">, provide assurance that requirements </w:t>
      </w:r>
      <w:r w:rsidR="00045D64" w:rsidRPr="00045D64">
        <w:rPr>
          <w:rFonts w:asciiTheme="minorHAnsi" w:hAnsiTheme="minorHAnsi"/>
          <w:szCs w:val="22"/>
        </w:rPr>
        <w:t xml:space="preserve">of the Policy </w:t>
      </w:r>
      <w:r w:rsidR="00507837" w:rsidRPr="00507837">
        <w:rPr>
          <w:rFonts w:asciiTheme="minorHAnsi" w:hAnsiTheme="minorHAnsi"/>
          <w:szCs w:val="22"/>
        </w:rPr>
        <w:t xml:space="preserve">are met, and submit an annual report. An institution’s animal care and use program is described in the Animal Welfare Assurance (Assurance) </w:t>
      </w:r>
      <w:r w:rsidR="009662F8">
        <w:rPr>
          <w:rFonts w:asciiTheme="minorHAnsi" w:hAnsiTheme="minorHAnsi"/>
          <w:szCs w:val="22"/>
        </w:rPr>
        <w:t xml:space="preserve">document </w:t>
      </w:r>
      <w:r w:rsidR="00507837" w:rsidRPr="00507837">
        <w:rPr>
          <w:rFonts w:asciiTheme="minorHAnsi" w:hAnsiTheme="minorHAnsi"/>
          <w:szCs w:val="22"/>
        </w:rPr>
        <w:t>and sets forth institutional compliance with PHS Policy. The purpose of the Assurance (</w:t>
      </w:r>
      <w:r w:rsidR="00D32AF6">
        <w:rPr>
          <w:rFonts w:asciiTheme="minorHAnsi" w:hAnsiTheme="minorHAnsi"/>
          <w:szCs w:val="22"/>
        </w:rPr>
        <w:t>I</w:t>
      </w:r>
      <w:r w:rsidR="00507837" w:rsidRPr="00507837">
        <w:rPr>
          <w:rFonts w:asciiTheme="minorHAnsi" w:hAnsiTheme="minorHAnsi"/>
          <w:szCs w:val="22"/>
        </w:rPr>
        <w:t xml:space="preserve">nterinstitutional, </w:t>
      </w:r>
      <w:r w:rsidR="00D32AF6">
        <w:rPr>
          <w:rFonts w:asciiTheme="minorHAnsi" w:hAnsiTheme="minorHAnsi"/>
          <w:szCs w:val="22"/>
        </w:rPr>
        <w:t>F</w:t>
      </w:r>
      <w:r w:rsidR="00507837" w:rsidRPr="00507837">
        <w:rPr>
          <w:rFonts w:asciiTheme="minorHAnsi" w:hAnsiTheme="minorHAnsi"/>
          <w:szCs w:val="22"/>
        </w:rPr>
        <w:t xml:space="preserve">oreign, and </w:t>
      </w:r>
      <w:r w:rsidR="00D32AF6">
        <w:rPr>
          <w:rFonts w:asciiTheme="minorHAnsi" w:hAnsiTheme="minorHAnsi"/>
          <w:szCs w:val="22"/>
        </w:rPr>
        <w:t>D</w:t>
      </w:r>
      <w:r w:rsidR="00507837" w:rsidRPr="00507837">
        <w:rPr>
          <w:rFonts w:asciiTheme="minorHAnsi" w:hAnsiTheme="minorHAnsi"/>
          <w:szCs w:val="22"/>
        </w:rPr>
        <w:t xml:space="preserve">omestic) and Annual Report is to provide OLAW with documentation to satisfy the requirements of the HREA, illustrate institutional adherence to PHS Policy, and enable OLAW to carry out its mission to ensure the humane care and use of animals in PHS-supported research, testing, and training, thereby contributing to the quality of PHS-supported </w:t>
      </w:r>
      <w:r w:rsidR="00507837" w:rsidRPr="009C0C70">
        <w:rPr>
          <w:rFonts w:asciiTheme="minorHAnsi" w:hAnsiTheme="minorHAnsi"/>
          <w:szCs w:val="22"/>
        </w:rPr>
        <w:t>activities</w:t>
      </w:r>
      <w:r w:rsidR="00F404CC" w:rsidRPr="009C0C70">
        <w:rPr>
          <w:rFonts w:asciiTheme="minorHAnsi" w:hAnsiTheme="minorHAnsi"/>
          <w:szCs w:val="22"/>
        </w:rPr>
        <w:t>.</w:t>
      </w:r>
      <w:bookmarkEnd w:id="2"/>
      <w:r w:rsidR="00134D2C" w:rsidRPr="009C0C70">
        <w:rPr>
          <w:rFonts w:asciiTheme="minorHAnsi" w:hAnsiTheme="minorHAnsi"/>
          <w:szCs w:val="22"/>
        </w:rPr>
        <w:t xml:space="preserve"> Office of Management and Budget (OMB) approval is requested for 3 years.</w:t>
      </w:r>
    </w:p>
    <w:p w14:paraId="278F4695" w14:textId="3402A789" w:rsidR="000F3043" w:rsidRDefault="000F3043" w:rsidP="00812C64">
      <w:pPr>
        <w:pStyle w:val="P1-StandPara"/>
        <w:tabs>
          <w:tab w:val="left" w:pos="720"/>
          <w:tab w:val="right" w:leader="dot" w:pos="9504"/>
        </w:tabs>
        <w:spacing w:before="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6B834837" w14:textId="4C652931" w:rsidR="00B4428C" w:rsidRDefault="00D32AF6" w:rsidP="00EB349E">
      <w:r>
        <w:t>T</w:t>
      </w:r>
      <w:r w:rsidR="00257B53" w:rsidRPr="000B44E9">
        <w:t>he H</w:t>
      </w:r>
      <w:r w:rsidR="00EC0CDB">
        <w:t>REA</w:t>
      </w:r>
      <w:r w:rsidR="00257B53">
        <w:t xml:space="preserve"> </w:t>
      </w:r>
      <w:r w:rsidR="00257B53" w:rsidRPr="000B44E9">
        <w:t>of 1985 (Public Law 99-158</w:t>
      </w:r>
      <w:r w:rsidR="0071684C" w:rsidRPr="0071684C">
        <w:t xml:space="preserve"> </w:t>
      </w:r>
      <w:r w:rsidR="0071684C">
        <w:t xml:space="preserve">section 495 </w:t>
      </w:r>
      <w:r w:rsidR="00EA02CF">
        <w:t xml:space="preserve">as codified in </w:t>
      </w:r>
      <w:r w:rsidR="00EA02CF" w:rsidRPr="00EA02CF">
        <w:t>42 U</w:t>
      </w:r>
      <w:r w:rsidR="009D08E2">
        <w:t>.</w:t>
      </w:r>
      <w:r w:rsidR="00EA02CF" w:rsidRPr="00EA02CF">
        <w:t>S</w:t>
      </w:r>
      <w:r w:rsidR="009D08E2">
        <w:t>.</w:t>
      </w:r>
      <w:r w:rsidR="00EA02CF" w:rsidRPr="00EA02CF">
        <w:t>C</w:t>
      </w:r>
      <w:r w:rsidR="009D08E2">
        <w:t>.</w:t>
      </w:r>
      <w:r w:rsidR="00EB349E">
        <w:t xml:space="preserve"> </w:t>
      </w:r>
      <w:r w:rsidR="00EA02CF" w:rsidRPr="00EA02CF">
        <w:t>289d</w:t>
      </w:r>
      <w:r w:rsidR="00257B53" w:rsidRPr="000B44E9">
        <w:t>)</w:t>
      </w:r>
      <w:r w:rsidR="00257B53">
        <w:t xml:space="preserve"> </w:t>
      </w:r>
      <w:r w:rsidR="00B14E82" w:rsidRPr="00B14E82">
        <w:t>states</w:t>
      </w:r>
      <w:r w:rsidRPr="00D32AF6">
        <w:t xml:space="preserve"> </w:t>
      </w:r>
      <w:r w:rsidR="00B4428C">
        <w:t xml:space="preserve">that the Director of NIH shall require each applicant for a grant, contract, or cooperative agreement involving research on animals </w:t>
      </w:r>
      <w:r w:rsidR="00897746">
        <w:t>that</w:t>
      </w:r>
      <w:r w:rsidR="00B4428C">
        <w:t xml:space="preserve"> is administered by the N</w:t>
      </w:r>
      <w:r w:rsidR="00910360">
        <w:t>IH</w:t>
      </w:r>
      <w:r w:rsidR="00B4428C">
        <w:t xml:space="preserve"> or any national research institute to provide assurances satisfactory to the Director of NIH that the applicant meets the requirements of the guidelines established in section 495 and has an animal care committee </w:t>
      </w:r>
      <w:r w:rsidR="00897746">
        <w:t>t</w:t>
      </w:r>
      <w:r w:rsidR="00B4428C">
        <w:t>h</w:t>
      </w:r>
      <w:r w:rsidR="00897746">
        <w:t>at</w:t>
      </w:r>
      <w:r w:rsidR="00B4428C">
        <w:t xml:space="preserve"> meets the requirements of section 495. </w:t>
      </w:r>
      <w:r w:rsidR="00EB349E">
        <w:t xml:space="preserve">In addition, </w:t>
      </w:r>
      <w:bookmarkStart w:id="3" w:name="_Hlk527130151"/>
      <w:r w:rsidR="00BD6647">
        <w:t xml:space="preserve">42 </w:t>
      </w:r>
      <w:r w:rsidR="009D08E2">
        <w:t>CFR</w:t>
      </w:r>
      <w:r w:rsidR="00BD6647">
        <w:t xml:space="preserve"> 52</w:t>
      </w:r>
      <w:r w:rsidR="00EB349E">
        <w:t>.8</w:t>
      </w:r>
      <w:r w:rsidR="00BD6647">
        <w:t xml:space="preserve"> </w:t>
      </w:r>
      <w:bookmarkEnd w:id="3"/>
      <w:r w:rsidR="00EB349E">
        <w:t>state</w:t>
      </w:r>
      <w:r w:rsidR="00BD6647">
        <w:t xml:space="preserve">s </w:t>
      </w:r>
      <w:r w:rsidR="00EB349E">
        <w:t>that the PHS Policy applies to all health-related research project grants administered by the P</w:t>
      </w:r>
      <w:r w:rsidR="00EC0CDB">
        <w:t>HS</w:t>
      </w:r>
      <w:r w:rsidR="00EB349E">
        <w:t xml:space="preserve"> or its components. The PHS Policy section IV.A. </w:t>
      </w:r>
      <w:r w:rsidR="0045483A">
        <w:t xml:space="preserve">defines </w:t>
      </w:r>
      <w:r w:rsidR="00EB349E">
        <w:t xml:space="preserve">the required elements to be included in written </w:t>
      </w:r>
      <w:r w:rsidR="0045483A">
        <w:t>A</w:t>
      </w:r>
      <w:r w:rsidR="00EB349E">
        <w:t xml:space="preserve">ssurances and </w:t>
      </w:r>
      <w:r w:rsidR="0045483A">
        <w:t>A</w:t>
      </w:r>
      <w:r w:rsidR="00EB349E">
        <w:t xml:space="preserve">nnual </w:t>
      </w:r>
      <w:r w:rsidR="0045483A">
        <w:t>R</w:t>
      </w:r>
      <w:r w:rsidR="00EB349E">
        <w:t xml:space="preserve">eports </w:t>
      </w:r>
      <w:r w:rsidR="0045483A">
        <w:t>to meet</w:t>
      </w:r>
      <w:r w:rsidR="00EB349E">
        <w:t xml:space="preserve"> 42 U</w:t>
      </w:r>
      <w:r w:rsidR="009D08E2">
        <w:t>.</w:t>
      </w:r>
      <w:r w:rsidR="00EB349E">
        <w:t>S</w:t>
      </w:r>
      <w:r w:rsidR="009D08E2">
        <w:t>.</w:t>
      </w:r>
      <w:r w:rsidR="00EB349E">
        <w:t>C</w:t>
      </w:r>
      <w:r w:rsidR="009D08E2">
        <w:t>.</w:t>
      </w:r>
      <w:r w:rsidR="00EB349E">
        <w:t xml:space="preserve"> 289d</w:t>
      </w:r>
      <w:r w:rsidR="0045483A">
        <w:t xml:space="preserve"> legal requirements</w:t>
      </w:r>
      <w:r w:rsidR="00EB349E">
        <w:t xml:space="preserve">. </w:t>
      </w:r>
    </w:p>
    <w:p w14:paraId="6713C5AA" w14:textId="485B02E8" w:rsidR="000F3043" w:rsidRPr="00E35DD1" w:rsidRDefault="000F3043" w:rsidP="00083A52">
      <w:pPr>
        <w:pStyle w:val="Heading2"/>
        <w:tabs>
          <w:tab w:val="clear" w:pos="1152"/>
          <w:tab w:val="left" w:pos="720"/>
        </w:tabs>
        <w:spacing w:after="0" w:line="480" w:lineRule="auto"/>
        <w:ind w:left="0" w:firstLine="0"/>
        <w:rPr>
          <w:rFonts w:asciiTheme="minorHAnsi" w:hAnsiTheme="minorHAnsi"/>
          <w:szCs w:val="22"/>
        </w:rPr>
      </w:pPr>
      <w:bookmarkStart w:id="4" w:name="_Toc443881743"/>
      <w:bookmarkStart w:id="5" w:name="_Toc451592232"/>
      <w:bookmarkStart w:id="6" w:name="_Toc5610273"/>
      <w:bookmarkStart w:id="7" w:name="_Toc99178779"/>
      <w:r w:rsidRPr="00E35DD1">
        <w:rPr>
          <w:rFonts w:asciiTheme="minorHAnsi" w:hAnsiTheme="minorHAnsi"/>
          <w:szCs w:val="22"/>
        </w:rPr>
        <w:t>A.2</w:t>
      </w:r>
      <w:r w:rsidR="00083A52">
        <w:rPr>
          <w:rFonts w:asciiTheme="minorHAnsi" w:hAnsiTheme="minorHAnsi"/>
          <w:szCs w:val="22"/>
        </w:rPr>
        <w:tab/>
      </w:r>
      <w:r w:rsidRPr="00E35DD1">
        <w:rPr>
          <w:rFonts w:asciiTheme="minorHAnsi" w:hAnsiTheme="minorHAnsi"/>
          <w:szCs w:val="22"/>
        </w:rPr>
        <w:t>Purpose and Use of the Information</w:t>
      </w:r>
      <w:bookmarkEnd w:id="4"/>
      <w:bookmarkEnd w:id="5"/>
      <w:bookmarkEnd w:id="6"/>
      <w:bookmarkEnd w:id="7"/>
      <w:r w:rsidRPr="00E35DD1">
        <w:rPr>
          <w:rFonts w:asciiTheme="minorHAnsi" w:hAnsiTheme="minorHAnsi"/>
          <w:szCs w:val="22"/>
        </w:rPr>
        <w:t xml:space="preserve"> Collection</w:t>
      </w:r>
    </w:p>
    <w:p w14:paraId="037D1DEA" w14:textId="4DE1ACCB" w:rsidR="009C0C70" w:rsidRDefault="009C0C70" w:rsidP="00967A8E">
      <w:r w:rsidRPr="009C0C70">
        <w:t>OLAW Assurance documents and Annual Reports are to be completed by institutions conducting research, testing, and training involving animals with PHS funds and provide the required information necessary for OLAW to provide institutional oversight according to the PHS Policy and the HREA. The Assurance and Annual Report template forms provide a uniform, organized format for efficiency of document completion and review. OLAW Assurance Officer and staff review of these documents support the Strategic Goal to Foster Sound, Sustained Advances in the Sciences outlined in the Health and Human Services Strategic Plan for FY 2018-2022 by providing a means of assessment of an institution’s animal care and use program to determine that research, teaching, and training with vertebrate animals is being conducted responsibly in accordance with applicable laws, regulations, and guidance. Without submission of the Assurance or Annual Report to OLAW, animal welfare and scientific progress may be negatively impacted due to lack of OLAW’s ability to provide oversight.</w:t>
      </w:r>
    </w:p>
    <w:p w14:paraId="771476A4" w14:textId="5F353F76" w:rsidR="00A00CF8" w:rsidRDefault="00A00CF8" w:rsidP="00083A52">
      <w:pPr>
        <w:tabs>
          <w:tab w:val="left" w:pos="720"/>
        </w:tabs>
        <w:rPr>
          <w:b/>
          <w:color w:val="000000" w:themeColor="text1"/>
        </w:rPr>
      </w:pPr>
      <w:r w:rsidRPr="00E35DD1">
        <w:rPr>
          <w:b/>
          <w:color w:val="000000" w:themeColor="text1"/>
        </w:rPr>
        <w:t>A.3</w:t>
      </w:r>
      <w:r w:rsidR="00083A52">
        <w:rPr>
          <w:b/>
          <w:color w:val="000000" w:themeColor="text1"/>
        </w:rPr>
        <w:tab/>
      </w:r>
      <w:r w:rsidRPr="00E35DD1">
        <w:rPr>
          <w:b/>
          <w:color w:val="000000" w:themeColor="text1"/>
        </w:rPr>
        <w:t>Use of Information Technology and Burden Reduction</w:t>
      </w:r>
    </w:p>
    <w:p w14:paraId="680CA697" w14:textId="77C47253" w:rsidR="002F013E" w:rsidRPr="00866183" w:rsidRDefault="00801323" w:rsidP="002F013E">
      <w:pPr>
        <w:rPr>
          <w:color w:val="000000" w:themeColor="text1"/>
        </w:rPr>
      </w:pPr>
      <w:bookmarkStart w:id="8" w:name="_Toc443881745"/>
      <w:bookmarkStart w:id="9" w:name="_Toc451592234"/>
      <w:bookmarkStart w:id="10" w:name="_Toc5610275"/>
      <w:bookmarkStart w:id="11" w:name="_Toc99178781"/>
      <w:r w:rsidRPr="009C0C70">
        <w:t xml:space="preserve">OLAW contacts institutions to request new and renewal Assurance and Annual Report completion by email. Institutions </w:t>
      </w:r>
      <w:r w:rsidR="002F013E" w:rsidRPr="009C0C70">
        <w:t xml:space="preserve">submit their </w:t>
      </w:r>
      <w:r w:rsidRPr="009C0C70">
        <w:t xml:space="preserve">completed </w:t>
      </w:r>
      <w:r w:rsidR="002F013E" w:rsidRPr="009C0C70">
        <w:t xml:space="preserve">Assurance </w:t>
      </w:r>
      <w:r w:rsidR="002F013E" w:rsidRPr="00866183">
        <w:rPr>
          <w:color w:val="000000" w:themeColor="text1"/>
        </w:rPr>
        <w:t>documents</w:t>
      </w:r>
      <w:r w:rsidR="002F013E">
        <w:rPr>
          <w:color w:val="000000" w:themeColor="text1"/>
        </w:rPr>
        <w:t xml:space="preserve"> and</w:t>
      </w:r>
      <w:r w:rsidR="002F013E" w:rsidRPr="00866183">
        <w:rPr>
          <w:color w:val="000000" w:themeColor="text1"/>
        </w:rPr>
        <w:t xml:space="preserve"> </w:t>
      </w:r>
      <w:r w:rsidR="00CB0C05">
        <w:rPr>
          <w:color w:val="000000" w:themeColor="text1"/>
        </w:rPr>
        <w:t>A</w:t>
      </w:r>
      <w:r w:rsidR="002F013E" w:rsidRPr="00866183">
        <w:rPr>
          <w:color w:val="000000" w:themeColor="text1"/>
        </w:rPr>
        <w:t xml:space="preserve">nnual </w:t>
      </w:r>
      <w:r w:rsidR="00CB0C05">
        <w:rPr>
          <w:color w:val="000000" w:themeColor="text1"/>
        </w:rPr>
        <w:t>R</w:t>
      </w:r>
      <w:r w:rsidR="002F013E" w:rsidRPr="00866183">
        <w:rPr>
          <w:color w:val="000000" w:themeColor="text1"/>
        </w:rPr>
        <w:t>eports electronically to the respective OLAW email inboxes olawdocs@mail.nih.gov (Assurance documents)</w:t>
      </w:r>
      <w:r w:rsidR="002F013E">
        <w:rPr>
          <w:color w:val="000000" w:themeColor="text1"/>
        </w:rPr>
        <w:t xml:space="preserve"> and </w:t>
      </w:r>
      <w:r w:rsidR="002F013E" w:rsidRPr="00866183">
        <w:rPr>
          <w:color w:val="000000" w:themeColor="text1"/>
        </w:rPr>
        <w:t>olawarp@mail.nih.gov (</w:t>
      </w:r>
      <w:r w:rsidR="00CB0C05">
        <w:rPr>
          <w:color w:val="000000" w:themeColor="text1"/>
        </w:rPr>
        <w:t>A</w:t>
      </w:r>
      <w:r w:rsidR="002F013E" w:rsidRPr="00866183">
        <w:rPr>
          <w:color w:val="000000" w:themeColor="text1"/>
        </w:rPr>
        <w:t xml:space="preserve">nnual </w:t>
      </w:r>
      <w:r w:rsidR="00CB0C05">
        <w:rPr>
          <w:color w:val="000000" w:themeColor="text1"/>
        </w:rPr>
        <w:t>R</w:t>
      </w:r>
      <w:r w:rsidR="002F013E" w:rsidRPr="00866183">
        <w:rPr>
          <w:color w:val="000000" w:themeColor="text1"/>
        </w:rPr>
        <w:t>eports)</w:t>
      </w:r>
      <w:r w:rsidR="002F013E">
        <w:rPr>
          <w:color w:val="000000" w:themeColor="text1"/>
        </w:rPr>
        <w:t>. Electronic submission via email is a</w:t>
      </w:r>
      <w:r w:rsidR="004E45BA">
        <w:rPr>
          <w:color w:val="000000" w:themeColor="text1"/>
        </w:rPr>
        <w:t>n efficient</w:t>
      </w:r>
      <w:r w:rsidR="002F013E">
        <w:rPr>
          <w:color w:val="000000" w:themeColor="text1"/>
        </w:rPr>
        <w:t xml:space="preserve"> and economical method that permits timely transmission.</w:t>
      </w:r>
    </w:p>
    <w:p w14:paraId="2634512F" w14:textId="77777777" w:rsidR="00685B30" w:rsidRPr="00E35DD1" w:rsidRDefault="00685B30" w:rsidP="00685B30">
      <w:pPr>
        <w:pStyle w:val="Heading2"/>
        <w:spacing w:after="0" w:line="480" w:lineRule="auto"/>
        <w:ind w:left="720" w:hanging="72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bookmarkEnd w:id="8"/>
      <w:bookmarkEnd w:id="9"/>
      <w:bookmarkEnd w:id="10"/>
      <w:bookmarkEnd w:id="11"/>
    </w:p>
    <w:p w14:paraId="55846B99" w14:textId="37A21231" w:rsidR="00333697" w:rsidRPr="00033C42" w:rsidRDefault="004E45BA" w:rsidP="00685B30">
      <w:r w:rsidRPr="004E45BA">
        <w:t>OLAW is the only office tasked with oversight of PHS-funded activities involving animals in compliance with 42 U.S.C. 289d and the PHS Policy.</w:t>
      </w:r>
      <w:r w:rsidR="00333697" w:rsidRPr="00333697">
        <w:t xml:space="preserve"> The </w:t>
      </w:r>
      <w:r w:rsidR="004D41B5" w:rsidRPr="004D41B5">
        <w:t>United States Department of Agriculture</w:t>
      </w:r>
      <w:r w:rsidR="004D41B5">
        <w:t xml:space="preserve"> (</w:t>
      </w:r>
      <w:r w:rsidR="00333697" w:rsidRPr="00333697">
        <w:t>USDA</w:t>
      </w:r>
      <w:r w:rsidR="004D41B5">
        <w:t>)</w:t>
      </w:r>
      <w:r w:rsidR="00333697" w:rsidRPr="00333697">
        <w:t xml:space="preserve"> Animal</w:t>
      </w:r>
      <w:r w:rsidR="00ED5632">
        <w:t xml:space="preserve"> and</w:t>
      </w:r>
      <w:r w:rsidR="00333697" w:rsidRPr="00333697">
        <w:t xml:space="preserve"> Plant Health Inspection Service (APHIS) is tasked with enforcing the Animal Welfare Act</w:t>
      </w:r>
      <w:r w:rsidR="001977AE">
        <w:t xml:space="preserve"> and implementing the Animal Welfare Regulations for</w:t>
      </w:r>
      <w:r w:rsidR="00333697" w:rsidRPr="00333697">
        <w:t xml:space="preserve"> </w:t>
      </w:r>
      <w:r w:rsidR="001977AE">
        <w:t xml:space="preserve">warm-blooded </w:t>
      </w:r>
      <w:r w:rsidR="00333697" w:rsidRPr="00333697">
        <w:t xml:space="preserve">animals used in research </w:t>
      </w:r>
      <w:r w:rsidR="001977AE">
        <w:t xml:space="preserve">but </w:t>
      </w:r>
      <w:r w:rsidR="00333697" w:rsidRPr="00333697">
        <w:t>exclud</w:t>
      </w:r>
      <w:r w:rsidR="001977AE">
        <w:t>es</w:t>
      </w:r>
      <w:r w:rsidR="00333697" w:rsidRPr="00333697">
        <w:t xml:space="preserve"> rats, </w:t>
      </w:r>
      <w:r w:rsidR="00333697" w:rsidRPr="00033C42">
        <w:t>mice</w:t>
      </w:r>
      <w:r w:rsidR="00B90803">
        <w:t>,</w:t>
      </w:r>
      <w:r w:rsidR="00333697" w:rsidRPr="00033C42">
        <w:t xml:space="preserve"> and birds</w:t>
      </w:r>
      <w:r w:rsidR="001977AE">
        <w:t xml:space="preserve"> bred for use in research</w:t>
      </w:r>
      <w:r w:rsidR="00333697" w:rsidRPr="00033C42">
        <w:t>.</w:t>
      </w:r>
      <w:r w:rsidR="001437C7">
        <w:t xml:space="preserve"> </w:t>
      </w:r>
      <w:r w:rsidR="002F013E">
        <w:t xml:space="preserve">Although not all institutions </w:t>
      </w:r>
      <w:r w:rsidR="00077C81">
        <w:t>attain</w:t>
      </w:r>
      <w:r w:rsidR="002F013E">
        <w:t xml:space="preserve"> </w:t>
      </w:r>
      <w:r w:rsidR="00077C81">
        <w:t xml:space="preserve">accreditation by </w:t>
      </w:r>
      <w:r w:rsidR="00077C81" w:rsidRPr="002F013E">
        <w:t xml:space="preserve">AAALAC </w:t>
      </w:r>
      <w:r w:rsidR="00077C81">
        <w:t xml:space="preserve">International, </w:t>
      </w:r>
      <w:r w:rsidR="002264E5">
        <w:t xml:space="preserve">an independent accrediting body, </w:t>
      </w:r>
      <w:r w:rsidR="00077C81">
        <w:t>institutions that are accredited</w:t>
      </w:r>
      <w:r w:rsidR="002F013E">
        <w:t xml:space="preserve"> may </w:t>
      </w:r>
      <w:r w:rsidR="00077C81">
        <w:t>re</w:t>
      </w:r>
      <w:r w:rsidR="002F013E">
        <w:t xml:space="preserve">use </w:t>
      </w:r>
      <w:r w:rsidR="00077C81">
        <w:t xml:space="preserve">wording </w:t>
      </w:r>
      <w:r w:rsidRPr="004E45BA">
        <w:t>from their AAALAC animal program description in the Assurance document and vice versa.</w:t>
      </w:r>
      <w:r w:rsidR="002F013E">
        <w:t xml:space="preserve"> </w:t>
      </w:r>
      <w:r w:rsidR="00077C81">
        <w:t>Because</w:t>
      </w:r>
      <w:r w:rsidR="002F013E">
        <w:t xml:space="preserve"> </w:t>
      </w:r>
      <w:r w:rsidR="00077C81">
        <w:t>OLAW, USDA APHIS, and AAALAC have distinct missions and purposes for information collection, much of the information requested of an institution is specific to each requesting entity</w:t>
      </w:r>
      <w:r w:rsidR="00B917F9">
        <w:t xml:space="preserve"> and therefore, non-duplicative.</w:t>
      </w:r>
    </w:p>
    <w:p w14:paraId="2E534297" w14:textId="77777777" w:rsidR="00685B30" w:rsidRDefault="00685B30" w:rsidP="00685B30">
      <w:pPr>
        <w:pStyle w:val="Heading2"/>
        <w:spacing w:after="0" w:line="480" w:lineRule="auto"/>
        <w:ind w:left="720" w:hanging="720"/>
        <w:rPr>
          <w:rFonts w:asciiTheme="minorHAnsi" w:hAnsiTheme="minorHAnsi"/>
          <w:szCs w:val="22"/>
        </w:rPr>
      </w:pPr>
      <w:bookmarkStart w:id="12" w:name="_Toc443881746"/>
      <w:bookmarkStart w:id="13" w:name="_Toc451592235"/>
      <w:bookmarkStart w:id="14" w:name="_Toc5610276"/>
      <w:bookmarkStart w:id="15" w:name="_Toc99178782"/>
      <w:r w:rsidRPr="004716CF">
        <w:rPr>
          <w:rFonts w:asciiTheme="minorHAnsi" w:hAnsiTheme="minorHAnsi"/>
          <w:szCs w:val="22"/>
        </w:rPr>
        <w:t>A.5</w:t>
      </w:r>
      <w:r w:rsidRPr="004716CF">
        <w:rPr>
          <w:rFonts w:asciiTheme="minorHAnsi" w:hAnsiTheme="minorHAnsi"/>
          <w:szCs w:val="22"/>
        </w:rPr>
        <w:tab/>
        <w:t>Impact on Small Businesses or Other Small Entities</w:t>
      </w:r>
      <w:bookmarkEnd w:id="12"/>
      <w:bookmarkEnd w:id="13"/>
      <w:bookmarkEnd w:id="14"/>
      <w:bookmarkEnd w:id="15"/>
    </w:p>
    <w:p w14:paraId="652FD163" w14:textId="2A3F31D7" w:rsidR="00B75E10" w:rsidRDefault="00C55FD0" w:rsidP="004716CF">
      <w:pPr>
        <w:pStyle w:val="P1-StandPara"/>
        <w:spacing w:line="240" w:lineRule="auto"/>
        <w:ind w:firstLine="0"/>
        <w:rPr>
          <w:rFonts w:ascii="Calibri" w:hAnsi="Calibri" w:cs="Calibri"/>
        </w:rPr>
      </w:pPr>
      <w:r w:rsidRPr="00C55FD0">
        <w:rPr>
          <w:rFonts w:ascii="Calibri" w:hAnsi="Calibri" w:cs="Calibri"/>
        </w:rPr>
        <w:t>Small businesses or other small entities without an animal care and use program of their own using PHS funds for research involving animals are subject to PHS Policy requirements. This type of entity completes an Interinstitutional Assurance, which links the awardee entity with an Assured institution, domestic or foreign, where the animal activity will be conducted. The Interinstitutional Assurance certifies that the specified funded animal activity will be conducted in compliance with the PHS Policy. In this case, only the completion of the concise Interinstitutional Assurance is required.</w:t>
      </w:r>
    </w:p>
    <w:p w14:paraId="5567DF9E" w14:textId="77777777" w:rsidR="00C55FD0" w:rsidRPr="00033C42" w:rsidRDefault="00C55FD0" w:rsidP="004716CF">
      <w:pPr>
        <w:pStyle w:val="P1-StandPara"/>
        <w:spacing w:line="240" w:lineRule="auto"/>
        <w:ind w:firstLine="0"/>
        <w:rPr>
          <w:rFonts w:ascii="Calibri" w:hAnsi="Calibri" w:cs="Calibri"/>
          <w:i/>
        </w:rPr>
      </w:pPr>
    </w:p>
    <w:p w14:paraId="4DCCFE87" w14:textId="77777777" w:rsidR="00685B30" w:rsidRPr="00E35DD1" w:rsidRDefault="00685B30" w:rsidP="00685B30">
      <w:pPr>
        <w:pStyle w:val="Heading2"/>
        <w:spacing w:after="0" w:line="480" w:lineRule="auto"/>
        <w:ind w:left="720" w:hanging="720"/>
        <w:rPr>
          <w:rFonts w:asciiTheme="minorHAnsi" w:hAnsiTheme="minorHAnsi"/>
          <w:szCs w:val="22"/>
        </w:rPr>
      </w:pPr>
      <w:bookmarkStart w:id="16" w:name="_Toc443881747"/>
      <w:bookmarkStart w:id="17" w:name="_Toc451592236"/>
      <w:bookmarkStart w:id="18" w:name="_Toc5610277"/>
      <w:bookmarkStart w:id="19" w:name="_Toc99178783"/>
      <w:r w:rsidRPr="00E35DD1">
        <w:rPr>
          <w:rFonts w:asciiTheme="minorHAnsi" w:hAnsiTheme="minorHAnsi"/>
          <w:szCs w:val="22"/>
        </w:rPr>
        <w:t>A.6</w:t>
      </w:r>
      <w:r w:rsidRPr="00E35DD1">
        <w:rPr>
          <w:rFonts w:asciiTheme="minorHAnsi" w:hAnsiTheme="minorHAnsi"/>
          <w:szCs w:val="22"/>
        </w:rPr>
        <w:tab/>
        <w:t>Consequences of Collecting the Information Less Frequently</w:t>
      </w:r>
      <w:bookmarkEnd w:id="16"/>
      <w:bookmarkEnd w:id="17"/>
      <w:bookmarkEnd w:id="18"/>
      <w:bookmarkEnd w:id="19"/>
    </w:p>
    <w:p w14:paraId="49967A77" w14:textId="4C048B12" w:rsidR="00033C42" w:rsidRDefault="00033C42" w:rsidP="00685B30">
      <w:r w:rsidRPr="00033C42">
        <w:t>The PHS Policy requires that institutions using PHS funds for research in</w:t>
      </w:r>
      <w:r w:rsidR="00E2010C">
        <w:t>volving</w:t>
      </w:r>
      <w:r w:rsidRPr="00033C42">
        <w:t xml:space="preserve"> animals </w:t>
      </w:r>
      <w:r w:rsidR="003C3F2D">
        <w:t>submit a n</w:t>
      </w:r>
      <w:r w:rsidRPr="00033C42">
        <w:t>ew Assurance</w:t>
      </w:r>
      <w:r w:rsidR="003C3F2D">
        <w:t xml:space="preserve"> for approval periods no longer than</w:t>
      </w:r>
      <w:r w:rsidRPr="00033C42">
        <w:t xml:space="preserve"> five years</w:t>
      </w:r>
      <w:r w:rsidR="00E2010C" w:rsidRPr="00033C42">
        <w:t xml:space="preserve"> </w:t>
      </w:r>
      <w:r w:rsidR="00E2010C">
        <w:t xml:space="preserve">and </w:t>
      </w:r>
      <w:r w:rsidR="00E2010C" w:rsidRPr="00033C42">
        <w:t>report to OLAW once a year in the Annual Repor</w:t>
      </w:r>
      <w:r w:rsidR="00E2010C">
        <w:t>t</w:t>
      </w:r>
      <w:r w:rsidRPr="00033C42">
        <w:t xml:space="preserve">. This </w:t>
      </w:r>
      <w:r w:rsidR="004E45BA" w:rsidRPr="00033C42">
        <w:t>frequency</w:t>
      </w:r>
      <w:r w:rsidRPr="00033C42">
        <w:t xml:space="preserve"> of reporting is required </w:t>
      </w:r>
      <w:r w:rsidR="0018316F" w:rsidRPr="00033C42">
        <w:t>because</w:t>
      </w:r>
      <w:r w:rsidR="0018316F">
        <w:t xml:space="preserve"> of the ongoing commitment</w:t>
      </w:r>
      <w:r w:rsidR="0018316F" w:rsidRPr="00033C42">
        <w:t xml:space="preserve"> to protect the welfare of animal</w:t>
      </w:r>
      <w:r w:rsidR="0018316F">
        <w:t>s</w:t>
      </w:r>
      <w:r w:rsidR="0018316F" w:rsidRPr="00033C42">
        <w:t xml:space="preserve"> used in research. </w:t>
      </w:r>
      <w:r w:rsidRPr="00033C42">
        <w:t xml:space="preserve">OLAW staff must be apprised of changes to the institution's animal care and use program </w:t>
      </w:r>
      <w:r w:rsidR="004E45BA">
        <w:t>as</w:t>
      </w:r>
      <w:r w:rsidRPr="00033C42">
        <w:t xml:space="preserve"> these changes may </w:t>
      </w:r>
      <w:r w:rsidR="003D31C2">
        <w:t>affect</w:t>
      </w:r>
      <w:r w:rsidRPr="00033C42">
        <w:t xml:space="preserve"> animal welfare. Semiannual program evaluations and facilities inspections </w:t>
      </w:r>
      <w:r w:rsidR="00624895">
        <w:t xml:space="preserve">by Institutional Animal Care and Use Committees (IACUCs) </w:t>
      </w:r>
      <w:r w:rsidRPr="00033C42">
        <w:t>are required to safeguard continued animal welfare</w:t>
      </w:r>
      <w:r w:rsidR="00436299">
        <w:t>, and a</w:t>
      </w:r>
      <w:r w:rsidRPr="00033C42">
        <w:t xml:space="preserve">nnual reporting to OLAW ensures that IACUCs </w:t>
      </w:r>
      <w:r w:rsidR="004E45BA">
        <w:t>conduct</w:t>
      </w:r>
      <w:r w:rsidRPr="00033C42">
        <w:t xml:space="preserve"> these reviews. Less frequent reporting </w:t>
      </w:r>
      <w:r w:rsidR="00A949F4">
        <w:t xml:space="preserve">has a strong </w:t>
      </w:r>
      <w:r w:rsidR="00A949F4" w:rsidRPr="00B82A89">
        <w:t>likelihood of negatively impacting animal welfare</w:t>
      </w:r>
      <w:r w:rsidR="00A949F4">
        <w:t xml:space="preserve"> </w:t>
      </w:r>
      <w:r w:rsidR="00624895">
        <w:t xml:space="preserve">and </w:t>
      </w:r>
      <w:r w:rsidR="008E6168">
        <w:t xml:space="preserve">may </w:t>
      </w:r>
      <w:r w:rsidR="003C3F2D">
        <w:t xml:space="preserve">result in </w:t>
      </w:r>
      <w:r w:rsidR="00436299">
        <w:t xml:space="preserve">the reduction of the </w:t>
      </w:r>
      <w:r w:rsidR="00436299" w:rsidRPr="00436299">
        <w:t>quality of PHS-supported activities</w:t>
      </w:r>
      <w:r w:rsidR="00436299">
        <w:t>,</w:t>
      </w:r>
      <w:r w:rsidR="001B15E5">
        <w:t xml:space="preserve"> slow</w:t>
      </w:r>
      <w:r w:rsidR="00436299">
        <w:t xml:space="preserve"> the</w:t>
      </w:r>
      <w:r w:rsidR="009737D8">
        <w:t xml:space="preserve"> advancement of science</w:t>
      </w:r>
      <w:r w:rsidR="00436299">
        <w:t>, and hinder progress to improve human and animal</w:t>
      </w:r>
      <w:r w:rsidR="00436299" w:rsidRPr="00436299">
        <w:t xml:space="preserve"> </w:t>
      </w:r>
      <w:r w:rsidR="00436299">
        <w:t>health</w:t>
      </w:r>
      <w:r w:rsidR="009737D8">
        <w:t>.</w:t>
      </w:r>
    </w:p>
    <w:p w14:paraId="3F703E08" w14:textId="6558157E" w:rsidR="00732B98" w:rsidRPr="00D90BA2" w:rsidRDefault="00E67B10" w:rsidP="00D90BA2">
      <w:pPr>
        <w:pStyle w:val="Heading2"/>
        <w:tabs>
          <w:tab w:val="clear" w:pos="1152"/>
          <w:tab w:val="left" w:pos="720"/>
        </w:tabs>
        <w:spacing w:after="0" w:line="480" w:lineRule="auto"/>
        <w:ind w:left="0" w:firstLine="0"/>
        <w:rPr>
          <w:rFonts w:asciiTheme="minorHAnsi" w:hAnsiTheme="minorHAnsi"/>
          <w:szCs w:val="22"/>
        </w:rPr>
      </w:pPr>
      <w:bookmarkStart w:id="20" w:name="_Toc443881748"/>
      <w:bookmarkStart w:id="21" w:name="_Toc451592237"/>
      <w:bookmarkStart w:id="22" w:name="_Toc5610278"/>
      <w:bookmarkStart w:id="23" w:name="_Toc99178784"/>
      <w:r>
        <w:rPr>
          <w:rFonts w:asciiTheme="minorHAnsi" w:hAnsiTheme="minorHAnsi"/>
          <w:szCs w:val="22"/>
        </w:rPr>
        <w:t>A.7</w:t>
      </w:r>
      <w:r>
        <w:rPr>
          <w:rFonts w:asciiTheme="minorHAnsi" w:hAnsiTheme="minorHAnsi"/>
          <w:szCs w:val="22"/>
        </w:rPr>
        <w:tab/>
      </w:r>
      <w:r w:rsidR="00685B30" w:rsidRPr="00E35DD1">
        <w:rPr>
          <w:rFonts w:asciiTheme="minorHAnsi" w:hAnsiTheme="minorHAnsi"/>
          <w:szCs w:val="22"/>
        </w:rPr>
        <w:t xml:space="preserve">Special Circumstances Relating to the Guidelines of 5 </w:t>
      </w:r>
      <w:smartTag w:uri="urn:schemas-microsoft-com:office:smarttags" w:element="stockticker">
        <w:r w:rsidR="00685B30" w:rsidRPr="00E35DD1">
          <w:rPr>
            <w:rFonts w:asciiTheme="minorHAnsi" w:hAnsiTheme="minorHAnsi"/>
            <w:szCs w:val="22"/>
          </w:rPr>
          <w:t>CFR</w:t>
        </w:r>
      </w:smartTag>
      <w:r w:rsidR="00685B30" w:rsidRPr="00E35DD1">
        <w:rPr>
          <w:rFonts w:asciiTheme="minorHAnsi" w:hAnsiTheme="minorHAnsi"/>
          <w:szCs w:val="22"/>
        </w:rPr>
        <w:t xml:space="preserve"> 1320.5</w:t>
      </w:r>
      <w:bookmarkEnd w:id="20"/>
      <w:bookmarkEnd w:id="21"/>
      <w:bookmarkEnd w:id="22"/>
      <w:bookmarkEnd w:id="23"/>
    </w:p>
    <w:p w14:paraId="6744837F" w14:textId="29310D84" w:rsidR="006551D5" w:rsidRPr="00E64E2C" w:rsidRDefault="00E64E2C" w:rsidP="00D32AF6">
      <w:pPr>
        <w:pStyle w:val="a"/>
        <w:tabs>
          <w:tab w:val="left" w:pos="720"/>
        </w:tabs>
        <w:spacing w:line="276" w:lineRule="auto"/>
        <w:ind w:left="0"/>
        <w:rPr>
          <w:rFonts w:asciiTheme="minorHAnsi" w:hAnsiTheme="minorHAnsi"/>
          <w:i/>
          <w:sz w:val="20"/>
          <w:szCs w:val="22"/>
        </w:rPr>
      </w:pPr>
      <w:r w:rsidRPr="00E64E2C">
        <w:rPr>
          <w:rFonts w:asciiTheme="minorHAnsi" w:hAnsiTheme="minorHAnsi"/>
          <w:sz w:val="22"/>
        </w:rPr>
        <w:t xml:space="preserve">Once </w:t>
      </w:r>
      <w:r w:rsidR="006551D5" w:rsidRPr="00E64E2C">
        <w:rPr>
          <w:rFonts w:asciiTheme="minorHAnsi" w:hAnsiTheme="minorHAnsi"/>
          <w:sz w:val="22"/>
        </w:rPr>
        <w:t xml:space="preserve">the funding component </w:t>
      </w:r>
      <w:r w:rsidRPr="00E64E2C">
        <w:rPr>
          <w:rFonts w:asciiTheme="minorHAnsi" w:hAnsiTheme="minorHAnsi"/>
          <w:sz w:val="22"/>
        </w:rPr>
        <w:t xml:space="preserve">identifies that an award will be </w:t>
      </w:r>
      <w:r w:rsidR="00436299">
        <w:rPr>
          <w:rFonts w:asciiTheme="minorHAnsi" w:hAnsiTheme="minorHAnsi"/>
          <w:sz w:val="22"/>
        </w:rPr>
        <w:t>made</w:t>
      </w:r>
      <w:r w:rsidRPr="00E64E2C">
        <w:rPr>
          <w:rFonts w:asciiTheme="minorHAnsi" w:hAnsiTheme="minorHAnsi"/>
          <w:sz w:val="22"/>
        </w:rPr>
        <w:t xml:space="preserve">, the funding component </w:t>
      </w:r>
      <w:r w:rsidR="006551D5" w:rsidRPr="00E64E2C">
        <w:rPr>
          <w:rFonts w:asciiTheme="minorHAnsi" w:hAnsiTheme="minorHAnsi"/>
          <w:sz w:val="22"/>
        </w:rPr>
        <w:t>will</w:t>
      </w:r>
      <w:r w:rsidRPr="00E64E2C">
        <w:rPr>
          <w:rFonts w:asciiTheme="minorHAnsi" w:hAnsiTheme="minorHAnsi"/>
          <w:sz w:val="22"/>
        </w:rPr>
        <w:t xml:space="preserve"> request</w:t>
      </w:r>
      <w:r w:rsidR="006551D5" w:rsidRPr="00E64E2C">
        <w:rPr>
          <w:rFonts w:asciiTheme="minorHAnsi" w:hAnsiTheme="minorHAnsi"/>
          <w:sz w:val="22"/>
        </w:rPr>
        <w:t xml:space="preserve"> </w:t>
      </w:r>
      <w:r w:rsidR="00702813">
        <w:rPr>
          <w:rFonts w:asciiTheme="minorHAnsi" w:hAnsiTheme="minorHAnsi"/>
          <w:sz w:val="22"/>
        </w:rPr>
        <w:t xml:space="preserve">that </w:t>
      </w:r>
      <w:r w:rsidR="006551D5" w:rsidRPr="00E64E2C">
        <w:rPr>
          <w:rFonts w:asciiTheme="minorHAnsi" w:hAnsiTheme="minorHAnsi"/>
          <w:sz w:val="22"/>
        </w:rPr>
        <w:t>OLAW negotiate a</w:t>
      </w:r>
      <w:r w:rsidRPr="00E64E2C">
        <w:rPr>
          <w:rFonts w:asciiTheme="minorHAnsi" w:hAnsiTheme="minorHAnsi"/>
          <w:sz w:val="22"/>
        </w:rPr>
        <w:t xml:space="preserve">n </w:t>
      </w:r>
      <w:r w:rsidR="004D41B5">
        <w:rPr>
          <w:rFonts w:asciiTheme="minorHAnsi" w:hAnsiTheme="minorHAnsi"/>
          <w:sz w:val="22"/>
        </w:rPr>
        <w:t>Assurance (</w:t>
      </w:r>
      <w:r w:rsidRPr="00E64E2C">
        <w:rPr>
          <w:rFonts w:asciiTheme="minorHAnsi" w:hAnsiTheme="minorHAnsi"/>
          <w:sz w:val="22"/>
        </w:rPr>
        <w:t>Interinstitutional</w:t>
      </w:r>
      <w:r w:rsidR="004D41B5">
        <w:rPr>
          <w:rFonts w:asciiTheme="minorHAnsi" w:hAnsiTheme="minorHAnsi"/>
          <w:sz w:val="22"/>
        </w:rPr>
        <w:t>,</w:t>
      </w:r>
      <w:r w:rsidRPr="00E64E2C">
        <w:rPr>
          <w:rFonts w:asciiTheme="minorHAnsi" w:hAnsiTheme="minorHAnsi"/>
          <w:sz w:val="22"/>
        </w:rPr>
        <w:t xml:space="preserve"> </w:t>
      </w:r>
      <w:r w:rsidR="004E45BA" w:rsidRPr="00E64E2C">
        <w:rPr>
          <w:rFonts w:asciiTheme="minorHAnsi" w:hAnsiTheme="minorHAnsi"/>
          <w:sz w:val="22"/>
        </w:rPr>
        <w:t>Foreign</w:t>
      </w:r>
      <w:r w:rsidR="004E45BA">
        <w:rPr>
          <w:rFonts w:asciiTheme="minorHAnsi" w:hAnsiTheme="minorHAnsi"/>
          <w:sz w:val="22"/>
        </w:rPr>
        <w:t>, or</w:t>
      </w:r>
      <w:r w:rsidR="004E45BA" w:rsidRPr="00E64E2C">
        <w:rPr>
          <w:rFonts w:asciiTheme="minorHAnsi" w:hAnsiTheme="minorHAnsi"/>
          <w:sz w:val="22"/>
        </w:rPr>
        <w:t xml:space="preserve"> </w:t>
      </w:r>
      <w:r w:rsidRPr="00E64E2C">
        <w:rPr>
          <w:rFonts w:asciiTheme="minorHAnsi" w:hAnsiTheme="minorHAnsi"/>
          <w:sz w:val="22"/>
        </w:rPr>
        <w:t>Domestic</w:t>
      </w:r>
      <w:r w:rsidR="004D41B5">
        <w:rPr>
          <w:rFonts w:asciiTheme="minorHAnsi" w:hAnsiTheme="minorHAnsi"/>
          <w:sz w:val="22"/>
        </w:rPr>
        <w:t>)</w:t>
      </w:r>
      <w:r w:rsidR="006551D5" w:rsidRPr="00E64E2C">
        <w:rPr>
          <w:rFonts w:asciiTheme="minorHAnsi" w:hAnsiTheme="minorHAnsi"/>
          <w:sz w:val="22"/>
        </w:rPr>
        <w:t xml:space="preserve"> </w:t>
      </w:r>
      <w:r w:rsidRPr="00E64E2C">
        <w:rPr>
          <w:rFonts w:asciiTheme="minorHAnsi" w:hAnsiTheme="minorHAnsi"/>
          <w:sz w:val="22"/>
        </w:rPr>
        <w:t xml:space="preserve">if the institution(s) do not already </w:t>
      </w:r>
      <w:r w:rsidR="004D41B5">
        <w:rPr>
          <w:rFonts w:asciiTheme="minorHAnsi" w:hAnsiTheme="minorHAnsi"/>
          <w:sz w:val="22"/>
        </w:rPr>
        <w:t xml:space="preserve">have an </w:t>
      </w:r>
      <w:r w:rsidRPr="00E64E2C">
        <w:rPr>
          <w:rFonts w:asciiTheme="minorHAnsi" w:hAnsiTheme="minorHAnsi"/>
          <w:sz w:val="22"/>
        </w:rPr>
        <w:t xml:space="preserve">Assurance in place. Due to the timing of </w:t>
      </w:r>
      <w:r w:rsidR="00702813">
        <w:rPr>
          <w:rFonts w:asciiTheme="minorHAnsi" w:hAnsiTheme="minorHAnsi"/>
          <w:sz w:val="22"/>
        </w:rPr>
        <w:t xml:space="preserve">the award </w:t>
      </w:r>
      <w:r w:rsidRPr="00E64E2C">
        <w:rPr>
          <w:rFonts w:asciiTheme="minorHAnsi" w:hAnsiTheme="minorHAnsi"/>
          <w:sz w:val="22"/>
        </w:rPr>
        <w:t xml:space="preserve">process, an institution may submit their response to the request to negotiate an Assurance in fewer than 30 days </w:t>
      </w:r>
      <w:r w:rsidR="004D41B5">
        <w:rPr>
          <w:rFonts w:asciiTheme="minorHAnsi" w:hAnsiTheme="minorHAnsi"/>
          <w:sz w:val="22"/>
        </w:rPr>
        <w:t>from</w:t>
      </w:r>
      <w:r w:rsidRPr="00E64E2C">
        <w:rPr>
          <w:rFonts w:asciiTheme="minorHAnsi" w:hAnsiTheme="minorHAnsi"/>
          <w:sz w:val="22"/>
        </w:rPr>
        <w:t xml:space="preserve"> the initial request</w:t>
      </w:r>
      <w:r w:rsidR="00702813">
        <w:rPr>
          <w:rFonts w:asciiTheme="minorHAnsi" w:hAnsiTheme="minorHAnsi"/>
          <w:sz w:val="22"/>
        </w:rPr>
        <w:t xml:space="preserve">. However, there is no requirement that the </w:t>
      </w:r>
      <w:r w:rsidR="004E0EF5">
        <w:rPr>
          <w:rFonts w:asciiTheme="minorHAnsi" w:hAnsiTheme="minorHAnsi"/>
          <w:sz w:val="22"/>
        </w:rPr>
        <w:t>information be submitted within 30 days</w:t>
      </w:r>
      <w:r w:rsidRPr="00E64E2C">
        <w:rPr>
          <w:rFonts w:asciiTheme="minorHAnsi" w:hAnsiTheme="minorHAnsi"/>
          <w:sz w:val="22"/>
        </w:rPr>
        <w:t xml:space="preserve">. </w:t>
      </w:r>
    </w:p>
    <w:p w14:paraId="635EB124" w14:textId="77777777" w:rsidR="00685B30" w:rsidRPr="00E35DD1" w:rsidRDefault="00685B30" w:rsidP="00E35DD1">
      <w:pPr>
        <w:pStyle w:val="P1-StandPara"/>
        <w:spacing w:line="240" w:lineRule="auto"/>
        <w:ind w:firstLine="0"/>
        <w:rPr>
          <w:rFonts w:asciiTheme="minorHAnsi" w:hAnsiTheme="minorHAnsi"/>
          <w:szCs w:val="22"/>
        </w:rPr>
      </w:pPr>
    </w:p>
    <w:p w14:paraId="42BE9D3A" w14:textId="740E10A3" w:rsidR="0036208F" w:rsidRPr="0036208F" w:rsidRDefault="00685B30" w:rsidP="007463B6">
      <w:pPr>
        <w:pStyle w:val="P1-StandPara"/>
        <w:ind w:firstLine="0"/>
        <w:rPr>
          <w:rFonts w:asciiTheme="minorHAnsi" w:hAnsiTheme="minorHAnsi"/>
          <w:szCs w:val="22"/>
        </w:rPr>
      </w:pPr>
      <w:bookmarkStart w:id="24" w:name="_Toc443881749"/>
      <w:bookmarkStart w:id="25" w:name="_Toc451592238"/>
      <w:bookmarkStart w:id="26" w:name="_Toc5610279"/>
      <w:bookmarkStart w:id="27" w:name="_Toc99178785"/>
      <w:r w:rsidRPr="007463B6">
        <w:rPr>
          <w:rFonts w:asciiTheme="minorHAnsi" w:hAnsiTheme="minorHAnsi"/>
          <w:b/>
          <w:szCs w:val="22"/>
        </w:rPr>
        <w:t>A.8</w:t>
      </w:r>
      <w:r w:rsidRPr="007463B6">
        <w:rPr>
          <w:rFonts w:asciiTheme="minorHAnsi" w:hAnsiTheme="minorHAnsi"/>
          <w:b/>
          <w:szCs w:val="22"/>
        </w:rPr>
        <w:tab/>
        <w:t xml:space="preserve">Comments in Response to the Federal Register </w:t>
      </w:r>
      <w:r w:rsidRPr="00083A52">
        <w:rPr>
          <w:rFonts w:asciiTheme="minorHAnsi" w:hAnsiTheme="minorHAnsi"/>
          <w:b/>
          <w:szCs w:val="22"/>
        </w:rPr>
        <w:t xml:space="preserve">Notice </w:t>
      </w:r>
      <w:r w:rsidR="00083A52" w:rsidRPr="00083A52">
        <w:rPr>
          <w:rFonts w:asciiTheme="minorHAnsi" w:hAnsiTheme="minorHAnsi"/>
          <w:b/>
          <w:szCs w:val="22"/>
        </w:rPr>
        <w:t>and Efforts</w:t>
      </w:r>
      <w:r w:rsidR="00083A52" w:rsidRPr="007463B6">
        <w:rPr>
          <w:rFonts w:asciiTheme="minorHAnsi" w:hAnsiTheme="minorHAnsi"/>
          <w:b/>
          <w:szCs w:val="22"/>
        </w:rPr>
        <w:t xml:space="preserve"> to Consult Outside Agency</w:t>
      </w:r>
    </w:p>
    <w:bookmarkEnd w:id="24"/>
    <w:bookmarkEnd w:id="25"/>
    <w:bookmarkEnd w:id="26"/>
    <w:bookmarkEnd w:id="27"/>
    <w:p w14:paraId="1437C3C5" w14:textId="445789D5" w:rsidR="00296D8E" w:rsidRPr="00296D8E" w:rsidRDefault="009C0C70" w:rsidP="00685B30">
      <w:r w:rsidRPr="009C0C70">
        <w:t xml:space="preserve">In accordance with 5 CFR 1320.8(d), a 60-day notice for public comment was published on June 17, 2019 Vol. 84, No. 116 page 28065 in the </w:t>
      </w:r>
      <w:r w:rsidRPr="009C0C70">
        <w:rPr>
          <w:i/>
          <w:iCs/>
        </w:rPr>
        <w:t>Federal Register</w:t>
      </w:r>
      <w:r w:rsidRPr="009C0C70">
        <w:t>. There were no public comments received.</w:t>
      </w:r>
    </w:p>
    <w:p w14:paraId="06EE05E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1C927EA7" w14:textId="6994CFFA" w:rsidR="006728E2" w:rsidRDefault="006728E2" w:rsidP="00685B30">
      <w:pPr>
        <w:pStyle w:val="P1-StandPara"/>
        <w:ind w:firstLine="0"/>
        <w:rPr>
          <w:rFonts w:asciiTheme="minorHAnsi" w:eastAsiaTheme="minorHAnsi" w:hAnsiTheme="minorHAnsi" w:cstheme="minorBidi"/>
          <w:szCs w:val="22"/>
        </w:rPr>
      </w:pPr>
      <w:r w:rsidRPr="006728E2">
        <w:rPr>
          <w:rFonts w:asciiTheme="minorHAnsi" w:eastAsiaTheme="minorHAnsi" w:hAnsiTheme="minorHAnsi" w:cstheme="minorBidi"/>
          <w:szCs w:val="22"/>
        </w:rPr>
        <w:t xml:space="preserve">No payment or gifts are provided to respondents. </w:t>
      </w:r>
    </w:p>
    <w:p w14:paraId="07AD6DA6" w14:textId="7F3D6873" w:rsidR="007C127D" w:rsidRPr="00D90BA2" w:rsidRDefault="00685B30" w:rsidP="00D90BA2">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51A400C7" w14:textId="572ACAF6" w:rsidR="006728E2" w:rsidRDefault="00E64E2C" w:rsidP="00D32AF6">
      <w:pPr>
        <w:pStyle w:val="P1-StandPara"/>
        <w:spacing w:line="276" w:lineRule="auto"/>
        <w:ind w:firstLine="0"/>
        <w:rPr>
          <w:rFonts w:asciiTheme="minorHAnsi" w:hAnsiTheme="minorHAnsi"/>
          <w:szCs w:val="22"/>
        </w:rPr>
      </w:pPr>
      <w:r w:rsidRPr="00E64E2C">
        <w:rPr>
          <w:rFonts w:asciiTheme="minorHAnsi" w:hAnsiTheme="minorHAnsi"/>
          <w:szCs w:val="22"/>
        </w:rPr>
        <w:t xml:space="preserve">The information is private to the extent permitted by law. </w:t>
      </w:r>
      <w:r w:rsidR="006728E2" w:rsidRPr="006728E2">
        <w:rPr>
          <w:rFonts w:asciiTheme="minorHAnsi" w:hAnsiTheme="minorHAnsi"/>
          <w:szCs w:val="22"/>
        </w:rPr>
        <w:t xml:space="preserve">Personally </w:t>
      </w:r>
      <w:r w:rsidR="008E6168">
        <w:rPr>
          <w:rFonts w:asciiTheme="minorHAnsi" w:hAnsiTheme="minorHAnsi"/>
          <w:szCs w:val="22"/>
        </w:rPr>
        <w:t>i</w:t>
      </w:r>
      <w:r w:rsidR="006728E2" w:rsidRPr="006728E2">
        <w:rPr>
          <w:rFonts w:asciiTheme="minorHAnsi" w:hAnsiTheme="minorHAnsi"/>
          <w:szCs w:val="22"/>
        </w:rPr>
        <w:t>dentifi</w:t>
      </w:r>
      <w:r w:rsidR="006728E2">
        <w:rPr>
          <w:rFonts w:asciiTheme="minorHAnsi" w:hAnsiTheme="minorHAnsi"/>
          <w:szCs w:val="22"/>
        </w:rPr>
        <w:t>able</w:t>
      </w:r>
      <w:r w:rsidR="006728E2" w:rsidRPr="006728E2">
        <w:rPr>
          <w:rFonts w:asciiTheme="minorHAnsi" w:hAnsiTheme="minorHAnsi"/>
          <w:szCs w:val="22"/>
        </w:rPr>
        <w:t xml:space="preserve"> </w:t>
      </w:r>
      <w:r w:rsidR="008E6168">
        <w:rPr>
          <w:rFonts w:asciiTheme="minorHAnsi" w:hAnsiTheme="minorHAnsi"/>
          <w:szCs w:val="22"/>
        </w:rPr>
        <w:t>i</w:t>
      </w:r>
      <w:r w:rsidR="006728E2" w:rsidRPr="006728E2">
        <w:rPr>
          <w:rFonts w:asciiTheme="minorHAnsi" w:hAnsiTheme="minorHAnsi"/>
          <w:szCs w:val="22"/>
        </w:rPr>
        <w:t xml:space="preserve">nformation </w:t>
      </w:r>
      <w:r w:rsidR="00595C72">
        <w:rPr>
          <w:rFonts w:asciiTheme="minorHAnsi" w:hAnsiTheme="minorHAnsi"/>
          <w:szCs w:val="22"/>
        </w:rPr>
        <w:t xml:space="preserve">may consist of full name, email address, work address, telephone number, </w:t>
      </w:r>
      <w:r w:rsidR="001B7571">
        <w:rPr>
          <w:rFonts w:asciiTheme="minorHAnsi" w:hAnsiTheme="minorHAnsi"/>
          <w:szCs w:val="22"/>
        </w:rPr>
        <w:t xml:space="preserve">and </w:t>
      </w:r>
      <w:r w:rsidR="00595C72">
        <w:rPr>
          <w:rFonts w:asciiTheme="minorHAnsi" w:hAnsiTheme="minorHAnsi"/>
          <w:szCs w:val="22"/>
        </w:rPr>
        <w:t>name of workplace.</w:t>
      </w:r>
      <w:r w:rsidR="00FA1458">
        <w:rPr>
          <w:rFonts w:asciiTheme="minorHAnsi" w:hAnsiTheme="minorHAnsi"/>
          <w:szCs w:val="22"/>
        </w:rPr>
        <w:t xml:space="preserve"> </w:t>
      </w:r>
      <w:r w:rsidR="00E12F83" w:rsidRPr="00E12F83">
        <w:rPr>
          <w:rFonts w:asciiTheme="minorHAnsi" w:hAnsiTheme="minorHAnsi"/>
          <w:szCs w:val="22"/>
        </w:rPr>
        <w:t xml:space="preserve">Information submitted to OLAW is accessible only to authorized OLAW staff and stored in a database system that requires PIV-card login and system </w:t>
      </w:r>
      <w:r w:rsidR="00E12F83" w:rsidRPr="009C0C70">
        <w:rPr>
          <w:rFonts w:asciiTheme="minorHAnsi" w:hAnsiTheme="minorHAnsi"/>
          <w:szCs w:val="22"/>
        </w:rPr>
        <w:t>privileges.</w:t>
      </w:r>
      <w:r w:rsidR="00F82B91" w:rsidRPr="009C0C70">
        <w:rPr>
          <w:rFonts w:asciiTheme="minorHAnsi" w:hAnsiTheme="minorHAnsi"/>
          <w:szCs w:val="22"/>
        </w:rPr>
        <w:t xml:space="preserve"> The database system is </w:t>
      </w:r>
      <w:r w:rsidR="009C0C70" w:rsidRPr="009C0C70">
        <w:rPr>
          <w:rFonts w:asciiTheme="minorHAnsi" w:hAnsiTheme="minorHAnsi"/>
          <w:szCs w:val="22"/>
        </w:rPr>
        <w:t>for internal use within</w:t>
      </w:r>
      <w:r w:rsidR="00F82B91" w:rsidRPr="009C0C70">
        <w:rPr>
          <w:rFonts w:asciiTheme="minorHAnsi" w:hAnsiTheme="minorHAnsi"/>
          <w:szCs w:val="22"/>
        </w:rPr>
        <w:t xml:space="preserve"> OLAW and only accessible to authorized OLAW staff </w:t>
      </w:r>
      <w:r w:rsidR="00801323" w:rsidRPr="009C0C70">
        <w:rPr>
          <w:rFonts w:asciiTheme="minorHAnsi" w:hAnsiTheme="minorHAnsi"/>
          <w:szCs w:val="22"/>
        </w:rPr>
        <w:t>and,</w:t>
      </w:r>
      <w:r w:rsidR="00F82B91" w:rsidRPr="009C0C70">
        <w:rPr>
          <w:rFonts w:asciiTheme="minorHAnsi" w:hAnsiTheme="minorHAnsi"/>
          <w:szCs w:val="22"/>
        </w:rPr>
        <w:t xml:space="preserve"> </w:t>
      </w:r>
      <w:r w:rsidR="00801323" w:rsidRPr="009C0C70">
        <w:rPr>
          <w:rFonts w:asciiTheme="minorHAnsi" w:hAnsiTheme="minorHAnsi"/>
          <w:szCs w:val="22"/>
        </w:rPr>
        <w:t xml:space="preserve">when necessary, </w:t>
      </w:r>
      <w:r w:rsidR="00F82B91" w:rsidRPr="009C0C70">
        <w:rPr>
          <w:rFonts w:asciiTheme="minorHAnsi" w:hAnsiTheme="minorHAnsi"/>
          <w:szCs w:val="22"/>
        </w:rPr>
        <w:t xml:space="preserve">NIH </w:t>
      </w:r>
      <w:r w:rsidR="0000630E" w:rsidRPr="009C0C70">
        <w:rPr>
          <w:rFonts w:asciiTheme="minorHAnsi" w:hAnsiTheme="minorHAnsi"/>
          <w:szCs w:val="22"/>
        </w:rPr>
        <w:t xml:space="preserve">information technology </w:t>
      </w:r>
      <w:r w:rsidR="00F82B91" w:rsidRPr="009C0C70">
        <w:rPr>
          <w:rFonts w:asciiTheme="minorHAnsi" w:hAnsiTheme="minorHAnsi"/>
          <w:szCs w:val="22"/>
        </w:rPr>
        <w:t>staff.</w:t>
      </w:r>
      <w:r w:rsidR="00E12F83" w:rsidRPr="009C0C70">
        <w:rPr>
          <w:rFonts w:asciiTheme="minorHAnsi" w:hAnsiTheme="minorHAnsi"/>
          <w:szCs w:val="22"/>
        </w:rPr>
        <w:t xml:space="preserve"> </w:t>
      </w:r>
      <w:r w:rsidR="00FA1458" w:rsidRPr="009C0C70">
        <w:rPr>
          <w:rFonts w:asciiTheme="minorHAnsi" w:hAnsiTheme="minorHAnsi"/>
          <w:szCs w:val="22"/>
        </w:rPr>
        <w:t xml:space="preserve">Hard </w:t>
      </w:r>
      <w:r w:rsidR="00FA1458">
        <w:rPr>
          <w:rFonts w:asciiTheme="minorHAnsi" w:hAnsiTheme="minorHAnsi"/>
          <w:szCs w:val="22"/>
        </w:rPr>
        <w:t>copy documents are stored in a double-locked area that requires possession of an access</w:t>
      </w:r>
      <w:r w:rsidR="00D32AF6">
        <w:rPr>
          <w:rFonts w:asciiTheme="minorHAnsi" w:hAnsiTheme="minorHAnsi"/>
          <w:szCs w:val="22"/>
        </w:rPr>
        <w:t>-</w:t>
      </w:r>
      <w:r w:rsidR="00FA1458">
        <w:rPr>
          <w:rFonts w:asciiTheme="minorHAnsi" w:hAnsiTheme="minorHAnsi"/>
          <w:szCs w:val="22"/>
        </w:rPr>
        <w:t xml:space="preserve">controlled PIV-card and/or a physical key. </w:t>
      </w:r>
    </w:p>
    <w:p w14:paraId="63CCC42F" w14:textId="77777777" w:rsidR="00E35DD1" w:rsidRPr="00E35DD1" w:rsidRDefault="00E35DD1" w:rsidP="00E35DD1">
      <w:pPr>
        <w:pStyle w:val="P1-StandPara"/>
        <w:spacing w:line="240" w:lineRule="auto"/>
        <w:ind w:firstLine="0"/>
        <w:rPr>
          <w:rFonts w:asciiTheme="minorHAnsi" w:hAnsiTheme="minorHAnsi"/>
          <w:szCs w:val="22"/>
        </w:rPr>
      </w:pPr>
    </w:p>
    <w:p w14:paraId="68AB7129" w14:textId="3FD3C7D9" w:rsidR="00595C72" w:rsidRPr="00296D8E" w:rsidRDefault="00685B30" w:rsidP="00296D8E">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0894642D" w14:textId="77777777" w:rsidR="00296D8E" w:rsidRDefault="00296D8E" w:rsidP="00323CB1">
      <w:pPr>
        <w:pStyle w:val="P1-StandPara"/>
        <w:spacing w:line="240" w:lineRule="auto"/>
        <w:ind w:firstLine="0"/>
        <w:rPr>
          <w:rFonts w:asciiTheme="minorHAnsi" w:hAnsiTheme="minorHAnsi"/>
          <w:szCs w:val="22"/>
        </w:rPr>
      </w:pPr>
      <w:r w:rsidRPr="00595C72">
        <w:rPr>
          <w:rFonts w:asciiTheme="minorHAnsi" w:hAnsiTheme="minorHAnsi"/>
          <w:szCs w:val="22"/>
        </w:rPr>
        <w:t>None of the information collection requi</w:t>
      </w:r>
      <w:r>
        <w:rPr>
          <w:rFonts w:asciiTheme="minorHAnsi" w:hAnsiTheme="minorHAnsi"/>
          <w:szCs w:val="22"/>
        </w:rPr>
        <w:t>r</w:t>
      </w:r>
      <w:r w:rsidRPr="00595C72">
        <w:rPr>
          <w:rFonts w:asciiTheme="minorHAnsi" w:hAnsiTheme="minorHAnsi"/>
          <w:szCs w:val="22"/>
        </w:rPr>
        <w:t>e</w:t>
      </w:r>
      <w:r>
        <w:rPr>
          <w:rFonts w:asciiTheme="minorHAnsi" w:hAnsiTheme="minorHAnsi"/>
          <w:szCs w:val="22"/>
        </w:rPr>
        <w:t>d</w:t>
      </w:r>
      <w:r w:rsidRPr="00595C72">
        <w:rPr>
          <w:rFonts w:asciiTheme="minorHAnsi" w:hAnsiTheme="minorHAnsi"/>
          <w:szCs w:val="22"/>
        </w:rPr>
        <w:t xml:space="preserve"> </w:t>
      </w:r>
      <w:r>
        <w:rPr>
          <w:rFonts w:asciiTheme="minorHAnsi" w:hAnsiTheme="minorHAnsi"/>
          <w:szCs w:val="22"/>
        </w:rPr>
        <w:t>by</w:t>
      </w:r>
      <w:r w:rsidRPr="00595C72">
        <w:rPr>
          <w:rFonts w:asciiTheme="minorHAnsi" w:hAnsiTheme="minorHAnsi"/>
          <w:szCs w:val="22"/>
        </w:rPr>
        <w:t xml:space="preserve"> the P</w:t>
      </w:r>
      <w:r>
        <w:rPr>
          <w:rFonts w:asciiTheme="minorHAnsi" w:hAnsiTheme="minorHAnsi"/>
          <w:szCs w:val="22"/>
        </w:rPr>
        <w:t>HS P</w:t>
      </w:r>
      <w:r w:rsidRPr="00595C72">
        <w:rPr>
          <w:rFonts w:asciiTheme="minorHAnsi" w:hAnsiTheme="minorHAnsi"/>
          <w:szCs w:val="22"/>
        </w:rPr>
        <w:t xml:space="preserve">olicy are of a sensitive nature. </w:t>
      </w:r>
    </w:p>
    <w:p w14:paraId="576DA571" w14:textId="77777777" w:rsidR="00685B30" w:rsidRPr="00E35DD1" w:rsidRDefault="00685B30" w:rsidP="00685B30">
      <w:pPr>
        <w:pStyle w:val="P1-StandPara"/>
        <w:spacing w:line="240" w:lineRule="auto"/>
        <w:ind w:firstLine="0"/>
        <w:rPr>
          <w:rFonts w:asciiTheme="minorHAnsi" w:hAnsiTheme="minorHAnsi"/>
          <w:szCs w:val="22"/>
        </w:rPr>
      </w:pPr>
    </w:p>
    <w:p w14:paraId="2470C97A" w14:textId="4DF492C1" w:rsidR="00685B30" w:rsidRPr="00E35DD1" w:rsidRDefault="00685B30" w:rsidP="00685B30">
      <w:pPr>
        <w:rPr>
          <w:b/>
        </w:rPr>
      </w:pPr>
      <w:r w:rsidRPr="0046301F">
        <w:rPr>
          <w:b/>
        </w:rPr>
        <w:t>A.12</w:t>
      </w:r>
      <w:r w:rsidRPr="0046301F">
        <w:rPr>
          <w:b/>
        </w:rPr>
        <w:tab/>
        <w:t xml:space="preserve">Estimates of </w:t>
      </w:r>
      <w:r w:rsidR="0046301F" w:rsidRPr="0046301F">
        <w:rPr>
          <w:b/>
        </w:rPr>
        <w:t xml:space="preserve">Annualized </w:t>
      </w:r>
      <w:r w:rsidRPr="0046301F">
        <w:rPr>
          <w:b/>
        </w:rPr>
        <w:t>Hour Burden</w:t>
      </w:r>
      <w:r w:rsidR="00083A52">
        <w:rPr>
          <w:b/>
        </w:rPr>
        <w:t xml:space="preserve"> Including </w:t>
      </w:r>
      <w:r w:rsidR="00083A52" w:rsidRPr="0046301F">
        <w:rPr>
          <w:b/>
        </w:rPr>
        <w:t>Annual</w:t>
      </w:r>
      <w:r w:rsidR="00083A52">
        <w:rPr>
          <w:b/>
        </w:rPr>
        <w:t>ized</w:t>
      </w:r>
      <w:r w:rsidR="00083A52" w:rsidRPr="0046301F">
        <w:rPr>
          <w:b/>
        </w:rPr>
        <w:t xml:space="preserve"> Cost to </w:t>
      </w:r>
      <w:r w:rsidR="00083A52">
        <w:rPr>
          <w:b/>
        </w:rPr>
        <w:t>R</w:t>
      </w:r>
      <w:r w:rsidR="00083A52" w:rsidRPr="0046301F">
        <w:rPr>
          <w:b/>
        </w:rPr>
        <w:t>espondent</w:t>
      </w:r>
      <w:r w:rsidR="00083A52">
        <w:rPr>
          <w:b/>
        </w:rPr>
        <w:t>s</w:t>
      </w:r>
    </w:p>
    <w:p w14:paraId="68971586" w14:textId="69A8A46B" w:rsidR="00C61177" w:rsidRPr="00595C72" w:rsidRDefault="009C0C70" w:rsidP="00685B30">
      <w:pPr>
        <w:rPr>
          <w:i/>
        </w:rPr>
      </w:pPr>
      <w:r w:rsidRPr="009C0C70">
        <w:t>The number of respondents is based on current and past annual Assurance counts. An email was sent to ten recent respondents to provide an estimated time for document completion and seven responses were received. An average of the estimated number of hours was calculated from the responses of the seven individuals and is reported for average burden per response.</w:t>
      </w:r>
    </w:p>
    <w:p w14:paraId="1D3410FC" w14:textId="77777777" w:rsidR="00E465F2" w:rsidRDefault="00E465F2" w:rsidP="0046301F">
      <w:pPr>
        <w:jc w:val="center"/>
      </w:pPr>
    </w:p>
    <w:p w14:paraId="4BE23321" w14:textId="77777777" w:rsidR="00E465F2" w:rsidRDefault="00E465F2" w:rsidP="0046301F">
      <w:pPr>
        <w:jc w:val="center"/>
      </w:pPr>
    </w:p>
    <w:p w14:paraId="380BC969" w14:textId="77777777" w:rsidR="00E465F2" w:rsidRDefault="00E465F2" w:rsidP="0046301F">
      <w:pPr>
        <w:jc w:val="center"/>
      </w:pPr>
    </w:p>
    <w:p w14:paraId="5C58DE3D" w14:textId="77777777" w:rsidR="00E465F2" w:rsidRDefault="00E465F2" w:rsidP="0046301F">
      <w:pPr>
        <w:jc w:val="center"/>
      </w:pPr>
    </w:p>
    <w:p w14:paraId="69E5DE25" w14:textId="373A8DA6" w:rsidR="00442B5B" w:rsidRDefault="00442B5B" w:rsidP="0046301F">
      <w:pPr>
        <w:jc w:val="center"/>
      </w:pPr>
      <w:r>
        <w:t>Table 12-1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990"/>
        <w:gridCol w:w="1576"/>
        <w:gridCol w:w="1621"/>
        <w:gridCol w:w="1728"/>
        <w:gridCol w:w="1545"/>
        <w:gridCol w:w="1100"/>
      </w:tblGrid>
      <w:tr w:rsidR="00323CB1" w:rsidRPr="002C5D4F" w14:paraId="3C63DB35" w14:textId="77777777" w:rsidTr="00323CB1">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468A81B8" w14:textId="77777777" w:rsidR="00323CB1" w:rsidRPr="00951840" w:rsidRDefault="00323CB1" w:rsidP="00323CB1">
            <w:pPr>
              <w:spacing w:after="0"/>
              <w:jc w:val="center"/>
              <w:rPr>
                <w:sz w:val="24"/>
                <w:szCs w:val="24"/>
              </w:rPr>
            </w:pPr>
            <w:r w:rsidRPr="00951840">
              <w:rPr>
                <w:sz w:val="24"/>
                <w:szCs w:val="24"/>
              </w:rPr>
              <w:t>Document</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4A9F5658" w14:textId="77777777" w:rsidR="00323CB1" w:rsidRPr="00951840" w:rsidRDefault="00323CB1" w:rsidP="00323CB1">
            <w:pPr>
              <w:spacing w:after="0"/>
              <w:jc w:val="center"/>
              <w:rPr>
                <w:sz w:val="24"/>
                <w:szCs w:val="24"/>
              </w:rPr>
            </w:pPr>
            <w:r w:rsidRPr="00951840">
              <w:rPr>
                <w:sz w:val="24"/>
                <w:szCs w:val="24"/>
              </w:rPr>
              <w:t>Type of Respondents</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5DC05A63" w14:textId="77777777" w:rsidR="00323CB1" w:rsidRPr="00951840" w:rsidRDefault="00323CB1" w:rsidP="00323CB1">
            <w:pPr>
              <w:spacing w:after="0"/>
              <w:jc w:val="center"/>
              <w:rPr>
                <w:sz w:val="24"/>
                <w:szCs w:val="24"/>
              </w:rPr>
            </w:pPr>
            <w:r w:rsidRPr="00951840">
              <w:rPr>
                <w:sz w:val="24"/>
                <w:szCs w:val="24"/>
              </w:rPr>
              <w:t>Number of Respondents</w:t>
            </w:r>
          </w:p>
        </w:tc>
        <w:tc>
          <w:tcPr>
            <w:tcW w:w="0" w:type="auto"/>
            <w:tcBorders>
              <w:top w:val="single" w:sz="4" w:space="0" w:color="auto"/>
              <w:left w:val="single" w:sz="4" w:space="0" w:color="auto"/>
              <w:bottom w:val="single" w:sz="4" w:space="0" w:color="auto"/>
              <w:right w:val="single" w:sz="4" w:space="0" w:color="auto"/>
            </w:tcBorders>
            <w:vAlign w:val="center"/>
          </w:tcPr>
          <w:p w14:paraId="375881CD" w14:textId="77777777" w:rsidR="00323CB1" w:rsidRPr="00951840" w:rsidRDefault="00323CB1" w:rsidP="00323CB1">
            <w:pPr>
              <w:spacing w:after="0"/>
              <w:jc w:val="center"/>
              <w:rPr>
                <w:sz w:val="24"/>
                <w:szCs w:val="24"/>
              </w:rPr>
            </w:pPr>
            <w:r>
              <w:rPr>
                <w:sz w:val="24"/>
                <w:szCs w:val="24"/>
              </w:rPr>
              <w:t xml:space="preserve">Number of Responses </w:t>
            </w:r>
            <w:r w:rsidRPr="00951840">
              <w:rPr>
                <w:sz w:val="24"/>
                <w:szCs w:val="24"/>
              </w:rPr>
              <w:t>Per Respon</w:t>
            </w:r>
            <w:r>
              <w:rPr>
                <w:sz w:val="24"/>
                <w:szCs w:val="24"/>
              </w:rPr>
              <w:t>dent</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59785649" w14:textId="77777777" w:rsidR="00323CB1" w:rsidRPr="00951840" w:rsidRDefault="00323CB1" w:rsidP="00323CB1">
            <w:pPr>
              <w:spacing w:after="0"/>
              <w:jc w:val="center"/>
              <w:rPr>
                <w:sz w:val="24"/>
                <w:szCs w:val="24"/>
              </w:rPr>
            </w:pPr>
            <w:r w:rsidRPr="00951840">
              <w:rPr>
                <w:sz w:val="24"/>
                <w:szCs w:val="24"/>
              </w:rPr>
              <w:t>Average Burden Per Response (in hours)</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8930CED" w14:textId="77777777" w:rsidR="00323CB1" w:rsidRPr="00951840" w:rsidRDefault="00323CB1" w:rsidP="00323CB1">
            <w:pPr>
              <w:spacing w:after="0"/>
              <w:jc w:val="center"/>
              <w:rPr>
                <w:sz w:val="24"/>
                <w:szCs w:val="24"/>
              </w:rPr>
            </w:pPr>
            <w:r w:rsidRPr="00951840">
              <w:rPr>
                <w:sz w:val="24"/>
                <w:szCs w:val="24"/>
              </w:rPr>
              <w:t>Annual Burden Hours</w:t>
            </w:r>
          </w:p>
        </w:tc>
      </w:tr>
      <w:tr w:rsidR="00323CB1" w:rsidRPr="00951840" w14:paraId="68A6FB86" w14:textId="77777777" w:rsidTr="00323CB1">
        <w:trPr>
          <w:cantSplit/>
          <w:trHeight w:val="737"/>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14D4E136" w14:textId="763271A8" w:rsidR="00323CB1" w:rsidRPr="00951840" w:rsidRDefault="00323CB1" w:rsidP="00323CB1">
            <w:pPr>
              <w:spacing w:after="0"/>
              <w:jc w:val="center"/>
              <w:rPr>
                <w:sz w:val="24"/>
                <w:szCs w:val="24"/>
              </w:rPr>
            </w:pPr>
            <w:r w:rsidRPr="00951840">
              <w:rPr>
                <w:sz w:val="24"/>
                <w:szCs w:val="24"/>
              </w:rPr>
              <w:t>Interinstitutional Assurance</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45D083AC" w14:textId="77777777" w:rsidR="00323CB1" w:rsidRPr="00951840" w:rsidRDefault="00323CB1" w:rsidP="00323CB1">
            <w:pPr>
              <w:spacing w:after="0"/>
              <w:jc w:val="center"/>
              <w:rPr>
                <w:sz w:val="24"/>
                <w:szCs w:val="24"/>
              </w:rPr>
            </w:pPr>
            <w:r>
              <w:rPr>
                <w:sz w:val="24"/>
                <w:szCs w:val="24"/>
              </w:rPr>
              <w:t>Foreign</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6B583A05" w14:textId="77777777" w:rsidR="00323CB1" w:rsidRPr="00951840" w:rsidRDefault="00323CB1" w:rsidP="00323CB1">
            <w:pPr>
              <w:spacing w:after="0"/>
              <w:jc w:val="center"/>
              <w:rPr>
                <w:sz w:val="24"/>
                <w:szCs w:val="24"/>
              </w:rPr>
            </w:pPr>
            <w:r>
              <w:rPr>
                <w:sz w:val="24"/>
                <w:szCs w:val="24"/>
              </w:rPr>
              <w:t>40</w:t>
            </w:r>
          </w:p>
        </w:tc>
        <w:tc>
          <w:tcPr>
            <w:tcW w:w="0" w:type="auto"/>
            <w:tcBorders>
              <w:top w:val="single" w:sz="4" w:space="0" w:color="auto"/>
              <w:left w:val="single" w:sz="4" w:space="0" w:color="auto"/>
              <w:bottom w:val="single" w:sz="4" w:space="0" w:color="auto"/>
              <w:right w:val="single" w:sz="4" w:space="0" w:color="auto"/>
            </w:tcBorders>
            <w:vAlign w:val="center"/>
          </w:tcPr>
          <w:p w14:paraId="32B6B82B" w14:textId="77777777" w:rsidR="00323CB1" w:rsidRPr="00951840" w:rsidRDefault="00323CB1" w:rsidP="00323CB1">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26C42842" w14:textId="77777777" w:rsidR="00323CB1" w:rsidRPr="00951840" w:rsidRDefault="00323CB1" w:rsidP="00323CB1">
            <w:pPr>
              <w:spacing w:after="0"/>
              <w:jc w:val="center"/>
              <w:rPr>
                <w:sz w:val="24"/>
                <w:szCs w:val="24"/>
              </w:rPr>
            </w:pPr>
            <w:r w:rsidRPr="00951840">
              <w:rPr>
                <w:sz w:val="24"/>
                <w:szCs w:val="24"/>
              </w:rPr>
              <w:t>30/60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4E492F43" w14:textId="77777777" w:rsidR="00323CB1" w:rsidRPr="00951840" w:rsidRDefault="00323CB1" w:rsidP="00323CB1">
            <w:pPr>
              <w:spacing w:after="0"/>
              <w:jc w:val="center"/>
              <w:rPr>
                <w:sz w:val="24"/>
                <w:szCs w:val="24"/>
              </w:rPr>
            </w:pPr>
            <w:r>
              <w:rPr>
                <w:sz w:val="24"/>
                <w:szCs w:val="24"/>
              </w:rPr>
              <w:t>20</w:t>
            </w:r>
          </w:p>
        </w:tc>
      </w:tr>
      <w:tr w:rsidR="00323CB1" w:rsidRPr="00951840" w14:paraId="5ABD3D9C" w14:textId="77777777" w:rsidTr="00323CB1">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690C29E1" w14:textId="77777777" w:rsidR="00323CB1" w:rsidRPr="00951840" w:rsidRDefault="00323CB1" w:rsidP="00323CB1">
            <w:pPr>
              <w:spacing w:after="0"/>
              <w:jc w:val="center"/>
              <w:rPr>
                <w:sz w:val="24"/>
                <w:szCs w:val="24"/>
              </w:rPr>
            </w:pPr>
            <w:r w:rsidRPr="00951840">
              <w:rPr>
                <w:sz w:val="24"/>
                <w:szCs w:val="24"/>
              </w:rPr>
              <w:t>Interinstitutional Assurance</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12AF93A7" w14:textId="083F288E" w:rsidR="00323CB1" w:rsidRPr="00951840" w:rsidRDefault="00323CB1" w:rsidP="00323CB1">
            <w:pPr>
              <w:spacing w:after="0"/>
              <w:jc w:val="center"/>
              <w:rPr>
                <w:sz w:val="24"/>
                <w:szCs w:val="24"/>
              </w:rPr>
            </w:pPr>
            <w:r>
              <w:rPr>
                <w:sz w:val="24"/>
                <w:szCs w:val="24"/>
              </w:rPr>
              <w:t>Domestic</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4C02B42" w14:textId="39FF851F" w:rsidR="00323CB1" w:rsidRPr="00951840" w:rsidRDefault="008B0E86" w:rsidP="00323CB1">
            <w:pPr>
              <w:spacing w:after="0"/>
              <w:jc w:val="center"/>
              <w:rPr>
                <w:sz w:val="24"/>
                <w:szCs w:val="24"/>
              </w:rPr>
            </w:pPr>
            <w:r>
              <w:rPr>
                <w:sz w:val="24"/>
                <w:szCs w:val="24"/>
              </w:rPr>
              <w:t>66</w:t>
            </w:r>
            <w:r w:rsidR="00323CB1" w:rsidRPr="00951840">
              <w:rPr>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tcPr>
          <w:p w14:paraId="0B4868A8" w14:textId="77777777" w:rsidR="00323CB1" w:rsidRPr="00951840" w:rsidRDefault="00323CB1" w:rsidP="00323CB1">
            <w:pPr>
              <w:spacing w:after="0"/>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3E3BB3C" w14:textId="77777777" w:rsidR="00323CB1" w:rsidRPr="00951840" w:rsidRDefault="00323CB1" w:rsidP="00323CB1">
            <w:pPr>
              <w:spacing w:after="0"/>
              <w:jc w:val="center"/>
              <w:rPr>
                <w:sz w:val="24"/>
                <w:szCs w:val="24"/>
              </w:rPr>
            </w:pPr>
            <w:r w:rsidRPr="00951840">
              <w:rPr>
                <w:sz w:val="24"/>
                <w:szCs w:val="24"/>
              </w:rPr>
              <w:t>30/60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0292F492" w14:textId="6FB7EDEA" w:rsidR="00323CB1" w:rsidRPr="00951840" w:rsidRDefault="00323CB1" w:rsidP="00323CB1">
            <w:pPr>
              <w:spacing w:after="0"/>
              <w:jc w:val="center"/>
              <w:rPr>
                <w:sz w:val="24"/>
                <w:szCs w:val="24"/>
              </w:rPr>
            </w:pPr>
            <w:r w:rsidRPr="00951840">
              <w:rPr>
                <w:sz w:val="24"/>
                <w:szCs w:val="24"/>
              </w:rPr>
              <w:t>3</w:t>
            </w:r>
            <w:r w:rsidR="008B0E86">
              <w:rPr>
                <w:sz w:val="24"/>
                <w:szCs w:val="24"/>
              </w:rPr>
              <w:t>3</w:t>
            </w:r>
            <w:r w:rsidRPr="00951840">
              <w:rPr>
                <w:sz w:val="24"/>
                <w:szCs w:val="24"/>
              </w:rPr>
              <w:t>0</w:t>
            </w:r>
          </w:p>
        </w:tc>
      </w:tr>
      <w:tr w:rsidR="00323CB1" w:rsidRPr="00951840" w14:paraId="58B2B748" w14:textId="77777777" w:rsidTr="00323CB1">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28F168D6" w14:textId="77777777" w:rsidR="00323CB1" w:rsidRPr="00951840" w:rsidRDefault="00323CB1" w:rsidP="00323CB1">
            <w:pPr>
              <w:spacing w:after="0"/>
              <w:jc w:val="center"/>
              <w:rPr>
                <w:sz w:val="24"/>
                <w:szCs w:val="24"/>
              </w:rPr>
            </w:pPr>
            <w:r w:rsidRPr="00951840">
              <w:rPr>
                <w:sz w:val="24"/>
                <w:szCs w:val="24"/>
              </w:rPr>
              <w:t>Foreign Assurance</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504F9815" w14:textId="77777777" w:rsidR="00323CB1" w:rsidRPr="00951840" w:rsidRDefault="00323CB1" w:rsidP="00323CB1">
            <w:pPr>
              <w:spacing w:after="0"/>
              <w:jc w:val="center"/>
              <w:rPr>
                <w:sz w:val="24"/>
                <w:szCs w:val="24"/>
              </w:rPr>
            </w:pPr>
            <w:r w:rsidRPr="00951840">
              <w:rPr>
                <w:sz w:val="24"/>
                <w:szCs w:val="24"/>
              </w:rPr>
              <w:t>Renewal and New</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188A3C44" w14:textId="77777777" w:rsidR="00323CB1" w:rsidRPr="00951840" w:rsidRDefault="00323CB1" w:rsidP="00323CB1">
            <w:pPr>
              <w:spacing w:after="0"/>
              <w:jc w:val="center"/>
              <w:rPr>
                <w:sz w:val="24"/>
                <w:szCs w:val="24"/>
              </w:rPr>
            </w:pPr>
            <w:r w:rsidRPr="00951840">
              <w:rPr>
                <w:sz w:val="24"/>
                <w:szCs w:val="24"/>
              </w:rPr>
              <w:t>60</w:t>
            </w:r>
          </w:p>
        </w:tc>
        <w:tc>
          <w:tcPr>
            <w:tcW w:w="0" w:type="auto"/>
            <w:tcBorders>
              <w:top w:val="single" w:sz="4" w:space="0" w:color="auto"/>
              <w:left w:val="single" w:sz="4" w:space="0" w:color="auto"/>
              <w:bottom w:val="single" w:sz="4" w:space="0" w:color="auto"/>
              <w:right w:val="single" w:sz="4" w:space="0" w:color="auto"/>
            </w:tcBorders>
            <w:vAlign w:val="center"/>
          </w:tcPr>
          <w:p w14:paraId="0A36BFFE" w14:textId="77777777" w:rsidR="00323CB1" w:rsidRPr="00951840" w:rsidRDefault="00323CB1" w:rsidP="00323CB1">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1702B18" w14:textId="77777777" w:rsidR="00323CB1" w:rsidRPr="00951840" w:rsidRDefault="00323CB1" w:rsidP="00323CB1">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7321DEB" w14:textId="77777777" w:rsidR="00323CB1" w:rsidRPr="00951840" w:rsidRDefault="00323CB1" w:rsidP="00323CB1">
            <w:pPr>
              <w:spacing w:after="0"/>
              <w:jc w:val="center"/>
              <w:rPr>
                <w:sz w:val="24"/>
                <w:szCs w:val="24"/>
              </w:rPr>
            </w:pPr>
            <w:r w:rsidRPr="00951840">
              <w:rPr>
                <w:sz w:val="24"/>
                <w:szCs w:val="24"/>
              </w:rPr>
              <w:t>60</w:t>
            </w:r>
          </w:p>
        </w:tc>
      </w:tr>
      <w:tr w:rsidR="00323CB1" w:rsidRPr="002C5D4F" w14:paraId="3E04544E" w14:textId="77777777" w:rsidTr="00323CB1">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5B2E292F" w14:textId="77777777" w:rsidR="00323CB1" w:rsidRPr="00951840" w:rsidRDefault="00323CB1" w:rsidP="00323CB1">
            <w:pPr>
              <w:spacing w:after="0"/>
              <w:jc w:val="center"/>
              <w:rPr>
                <w:sz w:val="24"/>
                <w:szCs w:val="24"/>
              </w:rPr>
            </w:pPr>
            <w:r w:rsidRPr="00951840">
              <w:rPr>
                <w:sz w:val="24"/>
                <w:szCs w:val="24"/>
              </w:rPr>
              <w:t>Domestic Assurance</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14EEDCB9" w14:textId="77777777" w:rsidR="00323CB1" w:rsidRPr="00951840" w:rsidRDefault="00323CB1" w:rsidP="00323CB1">
            <w:pPr>
              <w:spacing w:after="0"/>
              <w:jc w:val="center"/>
              <w:rPr>
                <w:sz w:val="24"/>
                <w:szCs w:val="24"/>
              </w:rPr>
            </w:pPr>
            <w:r w:rsidRPr="00951840">
              <w:rPr>
                <w:sz w:val="24"/>
                <w:szCs w:val="24"/>
              </w:rPr>
              <w:t>Renewal</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2A966738" w14:textId="77777777" w:rsidR="00323CB1" w:rsidRPr="00951840" w:rsidRDefault="00323CB1" w:rsidP="00323CB1">
            <w:pPr>
              <w:spacing w:after="0"/>
              <w:jc w:val="center"/>
              <w:rPr>
                <w:sz w:val="24"/>
                <w:szCs w:val="24"/>
              </w:rPr>
            </w:pPr>
            <w:r w:rsidRPr="00951840">
              <w:rPr>
                <w:sz w:val="24"/>
                <w:szCs w:val="24"/>
              </w:rPr>
              <w:t>220</w:t>
            </w:r>
          </w:p>
        </w:tc>
        <w:tc>
          <w:tcPr>
            <w:tcW w:w="0" w:type="auto"/>
            <w:tcBorders>
              <w:top w:val="single" w:sz="4" w:space="0" w:color="auto"/>
              <w:left w:val="single" w:sz="4" w:space="0" w:color="auto"/>
              <w:bottom w:val="single" w:sz="4" w:space="0" w:color="auto"/>
              <w:right w:val="single" w:sz="4" w:space="0" w:color="auto"/>
            </w:tcBorders>
            <w:vAlign w:val="center"/>
          </w:tcPr>
          <w:p w14:paraId="6702AA28" w14:textId="77777777" w:rsidR="00323CB1" w:rsidRDefault="00323CB1" w:rsidP="00323CB1">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6C46A010" w14:textId="77777777" w:rsidR="00323CB1" w:rsidRPr="00951840" w:rsidRDefault="00323CB1" w:rsidP="00323CB1">
            <w:pPr>
              <w:spacing w:after="0"/>
              <w:jc w:val="center"/>
              <w:rPr>
                <w:sz w:val="24"/>
                <w:szCs w:val="24"/>
              </w:rPr>
            </w:pPr>
            <w:r>
              <w:rPr>
                <w:sz w:val="24"/>
                <w:szCs w:val="24"/>
              </w:rPr>
              <w:t>26</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6C77765A" w14:textId="77777777" w:rsidR="00323CB1" w:rsidRPr="00951840" w:rsidRDefault="00323CB1" w:rsidP="00323CB1">
            <w:pPr>
              <w:spacing w:after="0"/>
              <w:jc w:val="center"/>
              <w:rPr>
                <w:sz w:val="24"/>
                <w:szCs w:val="24"/>
              </w:rPr>
            </w:pPr>
            <w:r>
              <w:rPr>
                <w:sz w:val="24"/>
                <w:szCs w:val="24"/>
              </w:rPr>
              <w:t>5,72</w:t>
            </w:r>
            <w:r w:rsidRPr="00951840">
              <w:rPr>
                <w:sz w:val="24"/>
                <w:szCs w:val="24"/>
              </w:rPr>
              <w:t>0</w:t>
            </w:r>
          </w:p>
        </w:tc>
      </w:tr>
      <w:tr w:rsidR="00323CB1" w:rsidRPr="002C5D4F" w14:paraId="3F09EB32" w14:textId="77777777" w:rsidTr="00323CB1">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472306AF" w14:textId="77777777" w:rsidR="00323CB1" w:rsidRPr="00951840" w:rsidRDefault="00323CB1" w:rsidP="00323CB1">
            <w:pPr>
              <w:spacing w:after="0"/>
              <w:jc w:val="center"/>
              <w:rPr>
                <w:sz w:val="24"/>
                <w:szCs w:val="24"/>
              </w:rPr>
            </w:pPr>
            <w:r w:rsidRPr="00951840">
              <w:rPr>
                <w:sz w:val="24"/>
                <w:szCs w:val="24"/>
              </w:rPr>
              <w:t>Domestic Assurance</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25C432F4" w14:textId="77777777" w:rsidR="00323CB1" w:rsidRPr="00951840" w:rsidRDefault="00323CB1" w:rsidP="00323CB1">
            <w:pPr>
              <w:spacing w:after="0"/>
              <w:jc w:val="center"/>
              <w:rPr>
                <w:sz w:val="24"/>
                <w:szCs w:val="24"/>
              </w:rPr>
            </w:pPr>
            <w:r w:rsidRPr="00951840">
              <w:rPr>
                <w:sz w:val="24"/>
                <w:szCs w:val="24"/>
              </w:rPr>
              <w:t>New</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2E38A23" w14:textId="77777777" w:rsidR="00323CB1" w:rsidRPr="00951840" w:rsidRDefault="00323CB1" w:rsidP="00323CB1">
            <w:pPr>
              <w:spacing w:after="0"/>
              <w:jc w:val="center"/>
              <w:rPr>
                <w:sz w:val="24"/>
                <w:szCs w:val="24"/>
              </w:rPr>
            </w:pPr>
            <w:r w:rsidRPr="00951840">
              <w:rPr>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14:paraId="1E375634" w14:textId="77777777" w:rsidR="00323CB1" w:rsidRDefault="00323CB1" w:rsidP="00323CB1">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4BF2DB89" w14:textId="77777777" w:rsidR="00323CB1" w:rsidRPr="00951840" w:rsidRDefault="00323CB1" w:rsidP="00323CB1">
            <w:pPr>
              <w:spacing w:after="0"/>
              <w:jc w:val="center"/>
              <w:rPr>
                <w:sz w:val="24"/>
                <w:szCs w:val="24"/>
              </w:rPr>
            </w:pPr>
            <w:r>
              <w:rPr>
                <w:sz w:val="24"/>
                <w:szCs w:val="24"/>
              </w:rPr>
              <w:t>30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3EDCFE05" w14:textId="77777777" w:rsidR="00323CB1" w:rsidRPr="00951840" w:rsidRDefault="00323CB1" w:rsidP="00323CB1">
            <w:pPr>
              <w:spacing w:after="0"/>
              <w:jc w:val="center"/>
              <w:rPr>
                <w:sz w:val="24"/>
                <w:szCs w:val="24"/>
              </w:rPr>
            </w:pPr>
            <w:r>
              <w:rPr>
                <w:sz w:val="24"/>
                <w:szCs w:val="24"/>
              </w:rPr>
              <w:t>60</w:t>
            </w:r>
            <w:r w:rsidRPr="00951840">
              <w:rPr>
                <w:sz w:val="24"/>
                <w:szCs w:val="24"/>
              </w:rPr>
              <w:t>0</w:t>
            </w:r>
          </w:p>
        </w:tc>
      </w:tr>
      <w:tr w:rsidR="00323CB1" w:rsidRPr="002C5D4F" w14:paraId="2F8699AF" w14:textId="77777777" w:rsidTr="00323CB1">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B7A192E" w14:textId="7A038010" w:rsidR="00323CB1" w:rsidRPr="00951840" w:rsidRDefault="00323CB1" w:rsidP="00323CB1">
            <w:pPr>
              <w:spacing w:after="0"/>
              <w:jc w:val="center"/>
              <w:rPr>
                <w:sz w:val="24"/>
                <w:szCs w:val="24"/>
              </w:rPr>
            </w:pPr>
            <w:r w:rsidRPr="00951840">
              <w:rPr>
                <w:sz w:val="24"/>
                <w:szCs w:val="24"/>
              </w:rPr>
              <w:t>Annual Report</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1624ED8E" w14:textId="77777777" w:rsidR="00323CB1" w:rsidRPr="00951840" w:rsidRDefault="00323CB1" w:rsidP="00323CB1">
            <w:pPr>
              <w:spacing w:after="0"/>
              <w:jc w:val="center"/>
              <w:rPr>
                <w:sz w:val="24"/>
                <w:szCs w:val="24"/>
              </w:rPr>
            </w:pPr>
            <w:r w:rsidRPr="00951840">
              <w:rPr>
                <w:sz w:val="24"/>
                <w:szCs w:val="24"/>
              </w:rPr>
              <w:t>All Domestic</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21BA0D2C" w14:textId="77777777" w:rsidR="00323CB1" w:rsidRPr="00951840" w:rsidRDefault="00323CB1" w:rsidP="00323CB1">
            <w:pPr>
              <w:spacing w:after="0"/>
              <w:jc w:val="center"/>
              <w:rPr>
                <w:sz w:val="24"/>
                <w:szCs w:val="24"/>
              </w:rPr>
            </w:pPr>
            <w:r w:rsidRPr="00951840">
              <w:rPr>
                <w:sz w:val="24"/>
                <w:szCs w:val="24"/>
              </w:rPr>
              <w:t>940</w:t>
            </w:r>
          </w:p>
        </w:tc>
        <w:tc>
          <w:tcPr>
            <w:tcW w:w="0" w:type="auto"/>
            <w:tcBorders>
              <w:top w:val="single" w:sz="4" w:space="0" w:color="auto"/>
              <w:left w:val="single" w:sz="4" w:space="0" w:color="auto"/>
              <w:bottom w:val="single" w:sz="4" w:space="0" w:color="auto"/>
              <w:right w:val="single" w:sz="4" w:space="0" w:color="auto"/>
            </w:tcBorders>
            <w:vAlign w:val="center"/>
          </w:tcPr>
          <w:p w14:paraId="79980761" w14:textId="77777777" w:rsidR="00323CB1" w:rsidRPr="00951840" w:rsidRDefault="00323CB1" w:rsidP="00323CB1">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58600F7F" w14:textId="77777777" w:rsidR="00323CB1" w:rsidRPr="00951840" w:rsidRDefault="00323CB1" w:rsidP="00323CB1">
            <w:pPr>
              <w:spacing w:after="0"/>
              <w:jc w:val="center"/>
              <w:rPr>
                <w:sz w:val="24"/>
                <w:szCs w:val="24"/>
              </w:rPr>
            </w:pPr>
            <w:r w:rsidRPr="00951840">
              <w:rPr>
                <w:sz w:val="24"/>
                <w:szCs w:val="24"/>
              </w:rPr>
              <w:t>90/60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783F4D54" w14:textId="77777777" w:rsidR="00323CB1" w:rsidRPr="00951840" w:rsidRDefault="00323CB1" w:rsidP="00323CB1">
            <w:pPr>
              <w:spacing w:after="0"/>
              <w:jc w:val="center"/>
              <w:rPr>
                <w:sz w:val="24"/>
                <w:szCs w:val="24"/>
              </w:rPr>
            </w:pPr>
            <w:r w:rsidRPr="00951840">
              <w:rPr>
                <w:sz w:val="24"/>
                <w:szCs w:val="24"/>
              </w:rPr>
              <w:t>1</w:t>
            </w:r>
            <w:r>
              <w:rPr>
                <w:sz w:val="24"/>
                <w:szCs w:val="24"/>
              </w:rPr>
              <w:t>,</w:t>
            </w:r>
            <w:r w:rsidRPr="00951840">
              <w:rPr>
                <w:sz w:val="24"/>
                <w:szCs w:val="24"/>
              </w:rPr>
              <w:t>410</w:t>
            </w:r>
          </w:p>
        </w:tc>
      </w:tr>
      <w:tr w:rsidR="00323CB1" w:rsidRPr="002C5D4F" w14:paraId="19789646" w14:textId="77777777" w:rsidTr="00801323">
        <w:trPr>
          <w:cantSplit/>
        </w:trPr>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59C2A650" w14:textId="77777777" w:rsidR="00323CB1" w:rsidRPr="00951840" w:rsidRDefault="00323CB1" w:rsidP="00323CB1">
            <w:pPr>
              <w:spacing w:after="0"/>
              <w:jc w:val="center"/>
              <w:rPr>
                <w:sz w:val="24"/>
                <w:szCs w:val="24"/>
              </w:rPr>
            </w:pPr>
            <w:r w:rsidRPr="00951840">
              <w:rPr>
                <w:sz w:val="24"/>
                <w:szCs w:val="24"/>
              </w:rPr>
              <w:t>TOTAL</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bottom w:w="72" w:type="dxa"/>
            </w:tcMar>
            <w:vAlign w:val="center"/>
          </w:tcPr>
          <w:p w14:paraId="1B733FCE" w14:textId="77777777" w:rsidR="00323CB1" w:rsidRPr="00951840" w:rsidRDefault="00323CB1" w:rsidP="00323CB1">
            <w:pPr>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bottom w:w="72" w:type="dxa"/>
            </w:tcMar>
            <w:vAlign w:val="center"/>
          </w:tcPr>
          <w:p w14:paraId="2F63752A" w14:textId="20759998" w:rsidR="00323CB1" w:rsidRPr="00951840" w:rsidRDefault="00323CB1" w:rsidP="00323CB1">
            <w:pPr>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928FFF" w14:textId="77777777" w:rsidR="00323CB1" w:rsidRPr="00951840" w:rsidRDefault="00323CB1" w:rsidP="00323CB1">
            <w:pPr>
              <w:spacing w:after="0"/>
              <w:jc w:val="center"/>
              <w:rPr>
                <w:sz w:val="24"/>
                <w:szCs w:val="24"/>
              </w:rPr>
            </w:pPr>
            <w:r w:rsidRPr="00951840">
              <w:rPr>
                <w:sz w:val="24"/>
                <w:szCs w:val="24"/>
              </w:rPr>
              <w:t>1</w:t>
            </w:r>
            <w:r>
              <w:rPr>
                <w:sz w:val="24"/>
                <w:szCs w:val="24"/>
              </w:rPr>
              <w:t>,940</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bottom w:w="72" w:type="dxa"/>
            </w:tcMar>
            <w:vAlign w:val="center"/>
          </w:tcPr>
          <w:p w14:paraId="32AAE4E8" w14:textId="77777777" w:rsidR="00323CB1" w:rsidRPr="00951840" w:rsidRDefault="00323CB1" w:rsidP="00323CB1">
            <w:pPr>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14:paraId="611C65C1" w14:textId="6DEF9F5A" w:rsidR="00323CB1" w:rsidRPr="00951840" w:rsidRDefault="00323CB1" w:rsidP="00323CB1">
            <w:pPr>
              <w:spacing w:after="0"/>
              <w:jc w:val="center"/>
              <w:rPr>
                <w:sz w:val="24"/>
                <w:szCs w:val="24"/>
              </w:rPr>
            </w:pPr>
            <w:r>
              <w:rPr>
                <w:sz w:val="24"/>
                <w:szCs w:val="24"/>
              </w:rPr>
              <w:t>8,1</w:t>
            </w:r>
            <w:r w:rsidR="008B0E86">
              <w:rPr>
                <w:sz w:val="24"/>
                <w:szCs w:val="24"/>
              </w:rPr>
              <w:t>4</w:t>
            </w:r>
            <w:r w:rsidRPr="00951840">
              <w:rPr>
                <w:sz w:val="24"/>
                <w:szCs w:val="24"/>
              </w:rPr>
              <w:t>0</w:t>
            </w:r>
          </w:p>
        </w:tc>
      </w:tr>
    </w:tbl>
    <w:p w14:paraId="36D02200" w14:textId="62CAEE83" w:rsidR="002C5D4F" w:rsidRPr="00975762" w:rsidRDefault="00CF36BD" w:rsidP="00975762">
      <w:pPr>
        <w:rPr>
          <w:rFonts w:eastAsia="Times New Roman" w:cs="Times New Roman"/>
          <w:b/>
          <w:smallCaps/>
          <w:color w:val="000000" w:themeColor="text1"/>
        </w:rPr>
      </w:pPr>
      <w:r>
        <w:t xml:space="preserve">     </w:t>
      </w:r>
      <w:r>
        <w:tab/>
      </w:r>
    </w:p>
    <w:p w14:paraId="661A01B8" w14:textId="766008C8" w:rsidR="00B93C77" w:rsidRPr="00C61177" w:rsidRDefault="00B93C77" w:rsidP="00C61177">
      <w:pPr>
        <w:jc w:val="center"/>
      </w:pPr>
      <w:r>
        <w:t>Table 12-2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1E0" w:firstRow="1" w:lastRow="1" w:firstColumn="1" w:lastColumn="1" w:noHBand="0" w:noVBand="0"/>
      </w:tblPr>
      <w:tblGrid>
        <w:gridCol w:w="2027"/>
        <w:gridCol w:w="2153"/>
        <w:gridCol w:w="1535"/>
        <w:gridCol w:w="2320"/>
        <w:gridCol w:w="1527"/>
      </w:tblGrid>
      <w:tr w:rsidR="0030526E" w:rsidRPr="002C5D4F" w14:paraId="624A29FC" w14:textId="77777777" w:rsidTr="00C3488C">
        <w:tc>
          <w:tcPr>
            <w:tcW w:w="2032"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14:paraId="155F2C3D" w14:textId="0988BD07" w:rsidR="0030526E" w:rsidRPr="00975762" w:rsidRDefault="0030526E" w:rsidP="003052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Document</w:t>
            </w:r>
          </w:p>
        </w:tc>
        <w:tc>
          <w:tcPr>
            <w:tcW w:w="2175" w:type="dxa"/>
            <w:tcBorders>
              <w:top w:val="single" w:sz="4" w:space="0" w:color="auto"/>
              <w:left w:val="single" w:sz="4" w:space="0" w:color="auto"/>
              <w:bottom w:val="single" w:sz="4" w:space="0" w:color="auto"/>
              <w:right w:val="single" w:sz="4" w:space="0" w:color="auto"/>
            </w:tcBorders>
            <w:tcMar>
              <w:left w:w="101" w:type="dxa"/>
              <w:right w:w="101" w:type="dxa"/>
            </w:tcMar>
            <w:vAlign w:val="center"/>
          </w:tcPr>
          <w:p w14:paraId="05355100" w14:textId="2E874F96" w:rsidR="0030526E" w:rsidRPr="00975762" w:rsidRDefault="0030526E" w:rsidP="003052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Type</w:t>
            </w:r>
          </w:p>
        </w:tc>
        <w:tc>
          <w:tcPr>
            <w:tcW w:w="1548"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14:paraId="7F30ECE2" w14:textId="2391ACA9" w:rsidR="0030526E" w:rsidRPr="00975762" w:rsidRDefault="0030526E" w:rsidP="003052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Annual Burden Hours</w:t>
            </w:r>
          </w:p>
        </w:tc>
        <w:tc>
          <w:tcPr>
            <w:tcW w:w="2340"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14:paraId="12FC9A4F" w14:textId="40695A90" w:rsidR="0030526E" w:rsidRPr="00975762" w:rsidRDefault="0030526E" w:rsidP="00975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Hourly Respondent Wage Rate*</w:t>
            </w:r>
            <w:r w:rsidR="00E51B6C" w:rsidRPr="00975762">
              <w:rPr>
                <w:rFonts w:eastAsia="Times New Roman" w:cstheme="minorHAnsi"/>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14:paraId="7FB87414" w14:textId="45664E32" w:rsidR="0030526E" w:rsidRPr="00975762" w:rsidRDefault="00E51B6C" w:rsidP="00975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 xml:space="preserve">Annual </w:t>
            </w:r>
            <w:r w:rsidR="0030526E" w:rsidRPr="00975762">
              <w:rPr>
                <w:rFonts w:eastAsia="Times New Roman" w:cstheme="minorHAnsi"/>
                <w:sz w:val="24"/>
                <w:szCs w:val="24"/>
              </w:rPr>
              <w:t>Respondent Cost</w:t>
            </w:r>
            <w:r w:rsidRPr="00975762">
              <w:rPr>
                <w:rFonts w:eastAsia="Times New Roman" w:cstheme="minorHAnsi"/>
                <w:sz w:val="24"/>
                <w:szCs w:val="24"/>
              </w:rPr>
              <w:t xml:space="preserve"> ($)</w:t>
            </w:r>
          </w:p>
        </w:tc>
      </w:tr>
      <w:tr w:rsidR="00182152" w:rsidRPr="002C5D4F" w14:paraId="797409BA"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5FBBD04F" w14:textId="7777777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p>
          <w:p w14:paraId="433343AF" w14:textId="7777777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r w:rsidRPr="00975762">
              <w:rPr>
                <w:rFonts w:eastAsia="Times New Roman" w:cstheme="minorHAnsi"/>
                <w:sz w:val="24"/>
                <w:szCs w:val="24"/>
              </w:rPr>
              <w:t>Interinstitutional Assurance</w:t>
            </w:r>
          </w:p>
          <w:p w14:paraId="0D1A2E81" w14:textId="7777777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p>
        </w:tc>
        <w:tc>
          <w:tcPr>
            <w:tcW w:w="217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4076B80C" w14:textId="6013FC7E"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Foreign</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257F6C25" w14:textId="73B7A140"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20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64DC76CF" w14:textId="6443D9B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 xml:space="preserve">Vet </w:t>
            </w:r>
            <w:r>
              <w:rPr>
                <w:rFonts w:eastAsia="Times New Roman" w:cstheme="minorHAnsi"/>
                <w:sz w:val="24"/>
                <w:szCs w:val="24"/>
              </w:rPr>
              <w:t>50.59</w:t>
            </w:r>
          </w:p>
          <w:p w14:paraId="78C6DADB" w14:textId="42D74A7E"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Exec Sec 2</w:t>
            </w:r>
            <w:r>
              <w:rPr>
                <w:rFonts w:eastAsia="Times New Roman" w:cstheme="minorHAnsi"/>
                <w:sz w:val="24"/>
                <w:szCs w:val="24"/>
              </w:rPr>
              <w:t>9.59</w:t>
            </w:r>
          </w:p>
          <w:p w14:paraId="7FC706D4" w14:textId="28BCB971"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Med. Sci. 4</w:t>
            </w:r>
            <w:r>
              <w:rPr>
                <w:rFonts w:eastAsia="Times New Roman" w:cstheme="minorHAnsi"/>
                <w:sz w:val="24"/>
                <w:szCs w:val="24"/>
              </w:rPr>
              <w:t>5.80</w:t>
            </w:r>
          </w:p>
          <w:p w14:paraId="115DFC36" w14:textId="582E30D2" w:rsidR="00182152" w:rsidRPr="0018215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u w:val="single"/>
              </w:rPr>
            </w:pPr>
            <w:r w:rsidRPr="00182152">
              <w:rPr>
                <w:rFonts w:eastAsia="Times New Roman" w:cstheme="minorHAnsi"/>
                <w:sz w:val="24"/>
                <w:szCs w:val="24"/>
                <w:u w:val="single"/>
              </w:rPr>
              <w:t>Misc Hlth Pract 27.89</w:t>
            </w:r>
          </w:p>
          <w:p w14:paraId="24647B5E" w14:textId="20CA8E3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Avg. 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3DDD9A44" w14:textId="2FA80AEF"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769</w:t>
            </w:r>
          </w:p>
        </w:tc>
      </w:tr>
      <w:tr w:rsidR="00182152" w:rsidRPr="002C5D4F" w14:paraId="0701C53B"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06B5BA53" w14:textId="278A0711"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bookmarkStart w:id="28" w:name="_Hlk3534350"/>
            <w:r w:rsidRPr="00975762">
              <w:rPr>
                <w:rFonts w:eastAsia="Times New Roman" w:cstheme="minorHAnsi"/>
                <w:sz w:val="24"/>
                <w:szCs w:val="24"/>
              </w:rPr>
              <w:t>Interinstitutional Assurance</w:t>
            </w:r>
          </w:p>
        </w:tc>
        <w:tc>
          <w:tcPr>
            <w:tcW w:w="217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3467D4F3" w14:textId="62318979"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Domestic</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04B9C25F" w14:textId="54CB05B9"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330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65625D2C" w14:textId="1F291B7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377462DF" w14:textId="15700AA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12</w:t>
            </w:r>
            <w:r w:rsidR="00634A73">
              <w:rPr>
                <w:rFonts w:ascii="Calibri" w:hAnsi="Calibri" w:cs="Calibri"/>
                <w:color w:val="000000"/>
              </w:rPr>
              <w:t>,</w:t>
            </w:r>
            <w:r>
              <w:rPr>
                <w:rFonts w:ascii="Calibri" w:hAnsi="Calibri" w:cs="Calibri"/>
                <w:color w:val="000000"/>
              </w:rPr>
              <w:t>695</w:t>
            </w:r>
          </w:p>
        </w:tc>
      </w:tr>
      <w:bookmarkEnd w:id="28"/>
      <w:tr w:rsidR="00182152" w:rsidRPr="002C5D4F" w14:paraId="05CDA1C2"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6D0BC082" w14:textId="1D3B2885"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r w:rsidRPr="00975762">
              <w:rPr>
                <w:rFonts w:eastAsia="Times New Roman" w:cstheme="minorHAnsi"/>
                <w:sz w:val="24"/>
                <w:szCs w:val="24"/>
              </w:rPr>
              <w:t>Foreign Assurance</w:t>
            </w:r>
          </w:p>
        </w:tc>
        <w:tc>
          <w:tcPr>
            <w:tcW w:w="217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43F065E4" w14:textId="018E3E2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Renewal and New</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76E53CA0" w14:textId="48F3FF3E"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60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5353BAA3" w14:textId="17F75E8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4E2BEA70" w14:textId="6A347D8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2,308</w:t>
            </w:r>
          </w:p>
        </w:tc>
      </w:tr>
      <w:tr w:rsidR="00182152" w:rsidRPr="002C5D4F" w14:paraId="52D05753"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10F852BD" w14:textId="5393BE85"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Domestic Assurance</w:t>
            </w:r>
          </w:p>
        </w:tc>
        <w:tc>
          <w:tcPr>
            <w:tcW w:w="217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2370CF4E" w14:textId="6600E72E"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Renewal</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218AD143" w14:textId="7562AE8B"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5,720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658ABE72" w14:textId="0F0FBC22"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16B903B8" w14:textId="7AC16B2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220,048</w:t>
            </w:r>
          </w:p>
        </w:tc>
      </w:tr>
      <w:tr w:rsidR="00182152" w:rsidRPr="002C5D4F" w14:paraId="1AF0A8C8"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51FFCF20" w14:textId="43E20292"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Domestic Assurance</w:t>
            </w:r>
          </w:p>
        </w:tc>
        <w:tc>
          <w:tcPr>
            <w:tcW w:w="217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5DB9EA85" w14:textId="3ED34535"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New</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4066DFBC" w14:textId="0B7961AE"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600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45A20CF5" w14:textId="4CCBD094"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74D7EECA" w14:textId="69399F32"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23,082</w:t>
            </w:r>
          </w:p>
        </w:tc>
      </w:tr>
      <w:tr w:rsidR="00182152" w:rsidRPr="002C5D4F" w14:paraId="2696FB51"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239B3D05" w14:textId="753DCE65"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Annual Report</w:t>
            </w:r>
          </w:p>
        </w:tc>
        <w:tc>
          <w:tcPr>
            <w:tcW w:w="217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15809F38" w14:textId="123D39E8"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All Domestic</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0268D5E1" w14:textId="65CEEF59"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1,410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0AE1C480" w14:textId="214C86A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sidRPr="00975762">
              <w:rPr>
                <w:rFonts w:eastAsia="Times New Roman" w:cstheme="minorHAnsi"/>
                <w:sz w:val="24"/>
                <w:szCs w:val="24"/>
              </w:rPr>
              <w:t>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123C18FA" w14:textId="39A6F3DA"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54,24</w:t>
            </w:r>
            <w:r w:rsidR="00634A73">
              <w:rPr>
                <w:rFonts w:ascii="Calibri" w:hAnsi="Calibri" w:cs="Calibri"/>
                <w:color w:val="000000"/>
              </w:rPr>
              <w:t>3</w:t>
            </w:r>
          </w:p>
        </w:tc>
      </w:tr>
      <w:tr w:rsidR="00182152" w:rsidRPr="002C5D4F" w14:paraId="2C91A97B" w14:textId="77777777" w:rsidTr="00182152">
        <w:tc>
          <w:tcPr>
            <w:tcW w:w="203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tcPr>
          <w:p w14:paraId="1DB2EECF" w14:textId="7777777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TOTAL</w:t>
            </w:r>
          </w:p>
        </w:tc>
        <w:tc>
          <w:tcPr>
            <w:tcW w:w="21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01" w:type="dxa"/>
              <w:bottom w:w="72" w:type="dxa"/>
              <w:right w:w="101" w:type="dxa"/>
            </w:tcMar>
          </w:tcPr>
          <w:p w14:paraId="1FA3B54A" w14:textId="7777777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74804500" w14:textId="4EC1160D"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8,140</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72" w:type="dxa"/>
              <w:left w:w="101" w:type="dxa"/>
              <w:bottom w:w="72" w:type="dxa"/>
              <w:right w:w="101" w:type="dxa"/>
            </w:tcMar>
            <w:vAlign w:val="center"/>
          </w:tcPr>
          <w:p w14:paraId="77E40DFA" w14:textId="30299C52"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color w:val="FF0000"/>
                <w:sz w:val="24"/>
                <w:szCs w:val="24"/>
              </w:rPr>
            </w:pPr>
            <w:r w:rsidRPr="00975762">
              <w:rPr>
                <w:rFonts w:eastAsia="Times New Roman" w:cstheme="minorHAnsi"/>
                <w:sz w:val="24"/>
                <w:szCs w:val="24"/>
              </w:rPr>
              <w:t>3</w:t>
            </w:r>
            <w:r>
              <w:rPr>
                <w:rFonts w:eastAsia="Times New Roman" w:cstheme="minorHAnsi"/>
                <w:sz w:val="24"/>
                <w:szCs w:val="24"/>
              </w:rPr>
              <w:t>8.47</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02F92F21" w14:textId="628CA877" w:rsidR="00182152" w:rsidRPr="00975762" w:rsidRDefault="00182152" w:rsidP="001821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rPr>
            </w:pPr>
            <w:r>
              <w:rPr>
                <w:rFonts w:ascii="Calibri" w:hAnsi="Calibri" w:cs="Calibri"/>
                <w:color w:val="000000"/>
              </w:rPr>
              <w:t>313,145</w:t>
            </w:r>
          </w:p>
        </w:tc>
      </w:tr>
    </w:tbl>
    <w:p w14:paraId="36349A2E" w14:textId="77777777" w:rsidR="00B93C77" w:rsidRDefault="00B93C77" w:rsidP="002C5D4F">
      <w:pPr>
        <w:spacing w:after="0" w:line="240" w:lineRule="auto"/>
        <w:jc w:val="center"/>
        <w:rPr>
          <w:rFonts w:eastAsia="Times New Roman" w:cs="Times New Roman"/>
        </w:rPr>
      </w:pPr>
    </w:p>
    <w:p w14:paraId="40D00CBB" w14:textId="15736D17" w:rsidR="0020593F" w:rsidRPr="00B31022" w:rsidRDefault="0020593F" w:rsidP="0020593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B31022">
        <w:rPr>
          <w:rFonts w:ascii="Times New Roman" w:eastAsia="Times New Roman" w:hAnsi="Times New Roman" w:cs="Times New Roman"/>
          <w:sz w:val="16"/>
          <w:szCs w:val="16"/>
        </w:rPr>
        <w:t>Bureau of Labor Statistics</w:t>
      </w:r>
      <w:r>
        <w:rPr>
          <w:rFonts w:ascii="Times New Roman" w:eastAsia="Times New Roman" w:hAnsi="Times New Roman" w:cs="Times New Roman"/>
          <w:sz w:val="16"/>
          <w:szCs w:val="16"/>
        </w:rPr>
        <w:t xml:space="preserve">. </w:t>
      </w:r>
      <w:r w:rsidRPr="00281DC1">
        <w:rPr>
          <w:rFonts w:ascii="Times New Roman" w:eastAsia="Times New Roman" w:hAnsi="Times New Roman" w:cs="Times New Roman"/>
          <w:sz w:val="16"/>
          <w:szCs w:val="16"/>
        </w:rPr>
        <w:t>May 201</w:t>
      </w:r>
      <w:r w:rsidR="00974367">
        <w:rPr>
          <w:rFonts w:ascii="Times New Roman" w:eastAsia="Times New Roman" w:hAnsi="Times New Roman" w:cs="Times New Roman"/>
          <w:sz w:val="16"/>
          <w:szCs w:val="16"/>
        </w:rPr>
        <w:t>8</w:t>
      </w:r>
      <w:r>
        <w:rPr>
          <w:rFonts w:ascii="Times New Roman" w:eastAsia="Times New Roman" w:hAnsi="Times New Roman" w:cs="Times New Roman"/>
          <w:sz w:val="16"/>
          <w:szCs w:val="16"/>
        </w:rPr>
        <w:t>.</w:t>
      </w:r>
      <w:r w:rsidRPr="00281DC1">
        <w:rPr>
          <w:rFonts w:ascii="Times New Roman" w:eastAsia="Times New Roman" w:hAnsi="Times New Roman" w:cs="Times New Roman"/>
          <w:sz w:val="16"/>
          <w:szCs w:val="16"/>
        </w:rPr>
        <w:t xml:space="preserve"> National Occupational Employment and Wage Estimates</w:t>
      </w:r>
      <w:r>
        <w:rPr>
          <w:rFonts w:ascii="Times New Roman" w:eastAsia="Times New Roman" w:hAnsi="Times New Roman" w:cs="Times New Roman"/>
          <w:sz w:val="16"/>
          <w:szCs w:val="16"/>
        </w:rPr>
        <w:t xml:space="preserve"> </w:t>
      </w:r>
      <w:r w:rsidRPr="00281DC1">
        <w:rPr>
          <w:rFonts w:ascii="Times New Roman" w:eastAsia="Times New Roman" w:hAnsi="Times New Roman" w:cs="Times New Roman"/>
          <w:sz w:val="16"/>
          <w:szCs w:val="16"/>
        </w:rPr>
        <w:t>United States</w:t>
      </w:r>
      <w:r>
        <w:rPr>
          <w:rFonts w:ascii="Times New Roman" w:eastAsia="Times New Roman" w:hAnsi="Times New Roman" w:cs="Times New Roman"/>
          <w:sz w:val="16"/>
          <w:szCs w:val="16"/>
        </w:rPr>
        <w:t xml:space="preserve">. </w:t>
      </w:r>
      <w:r w:rsidRPr="003F0C85">
        <w:rPr>
          <w:rFonts w:ascii="Times New Roman" w:eastAsia="Times New Roman" w:hAnsi="Times New Roman" w:cs="Times New Roman"/>
          <w:sz w:val="16"/>
          <w:szCs w:val="16"/>
        </w:rPr>
        <w:t>Veterinarians</w:t>
      </w:r>
      <w:r>
        <w:rPr>
          <w:rFonts w:ascii="Times New Roman" w:eastAsia="Times New Roman" w:hAnsi="Times New Roman" w:cs="Times New Roman"/>
          <w:sz w:val="16"/>
          <w:szCs w:val="16"/>
        </w:rPr>
        <w:t xml:space="preserve">, occupation code 29-1131; </w:t>
      </w:r>
      <w:r w:rsidRPr="003F0C85">
        <w:rPr>
          <w:rFonts w:ascii="Times New Roman" w:eastAsia="Times New Roman" w:hAnsi="Times New Roman" w:cs="Times New Roman"/>
          <w:sz w:val="16"/>
          <w:szCs w:val="16"/>
        </w:rPr>
        <w:t>Executive Secretaries and Executive Administrative Assistants</w:t>
      </w:r>
      <w:r>
        <w:rPr>
          <w:rFonts w:ascii="Times New Roman" w:eastAsia="Times New Roman" w:hAnsi="Times New Roman" w:cs="Times New Roman"/>
          <w:sz w:val="16"/>
          <w:szCs w:val="16"/>
        </w:rPr>
        <w:t xml:space="preserve">, occupation code 43-6011; </w:t>
      </w:r>
      <w:r w:rsidRPr="003F0C85">
        <w:rPr>
          <w:rFonts w:ascii="Times New Roman" w:eastAsia="Times New Roman" w:hAnsi="Times New Roman" w:cs="Times New Roman"/>
          <w:sz w:val="16"/>
          <w:szCs w:val="16"/>
        </w:rPr>
        <w:t>Medical Scientists</w:t>
      </w:r>
      <w:r>
        <w:rPr>
          <w:rFonts w:ascii="Times New Roman" w:eastAsia="Times New Roman" w:hAnsi="Times New Roman" w:cs="Times New Roman"/>
          <w:sz w:val="16"/>
          <w:szCs w:val="16"/>
        </w:rPr>
        <w:t xml:space="preserve">, occupational code 19-1040; </w:t>
      </w:r>
      <w:r w:rsidRPr="003F0C85">
        <w:rPr>
          <w:rFonts w:ascii="Times New Roman" w:eastAsia="Times New Roman" w:hAnsi="Times New Roman" w:cs="Times New Roman"/>
          <w:sz w:val="16"/>
          <w:szCs w:val="16"/>
        </w:rPr>
        <w:t>Miscellaneous Health Practitioners and Technical Workers</w:t>
      </w:r>
      <w:r>
        <w:rPr>
          <w:rFonts w:ascii="Times New Roman" w:eastAsia="Times New Roman" w:hAnsi="Times New Roman" w:cs="Times New Roman"/>
          <w:sz w:val="16"/>
          <w:szCs w:val="16"/>
        </w:rPr>
        <w:t>, occupation code 29-9090.</w:t>
      </w:r>
      <w:r w:rsidRPr="003F0C8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Available at </w:t>
      </w:r>
      <w:hyperlink r:id="rId10" w:history="1">
        <w:r w:rsidRPr="003B722D">
          <w:rPr>
            <w:rStyle w:val="Hyperlink"/>
            <w:rFonts w:ascii="Times New Roman" w:eastAsia="Times New Roman" w:hAnsi="Times New Roman" w:cs="Times New Roman"/>
            <w:sz w:val="16"/>
            <w:szCs w:val="16"/>
          </w:rPr>
          <w:t>https://www.bls.gov/oes/current/oes_nat.htm</w:t>
        </w:r>
      </w:hyperlink>
      <w:r>
        <w:rPr>
          <w:rFonts w:ascii="Times New Roman" w:eastAsia="Times New Roman" w:hAnsi="Times New Roman" w:cs="Times New Roman"/>
          <w:sz w:val="16"/>
          <w:szCs w:val="16"/>
        </w:rPr>
        <w:t xml:space="preserve"> </w:t>
      </w:r>
    </w:p>
    <w:p w14:paraId="3DCC1EF7" w14:textId="77777777" w:rsidR="00BB6852" w:rsidRPr="00CF36BD" w:rsidRDefault="00BB6852" w:rsidP="00FF72FC">
      <w:pPr>
        <w:spacing w:after="0" w:line="240" w:lineRule="auto"/>
        <w:rPr>
          <w:rFonts w:eastAsia="Times New Roman" w:cs="Times New Roman"/>
        </w:rPr>
      </w:pPr>
    </w:p>
    <w:p w14:paraId="72B19A1F" w14:textId="77777777" w:rsidR="00FF72FC" w:rsidRPr="00E35DD1" w:rsidRDefault="00FF72FC" w:rsidP="00FF72FC">
      <w:pPr>
        <w:rPr>
          <w:b/>
        </w:rPr>
      </w:pPr>
      <w:r w:rsidRPr="001861F3">
        <w:rPr>
          <w:b/>
        </w:rPr>
        <w:t>A.13</w:t>
      </w:r>
      <w:r w:rsidRPr="001861F3">
        <w:rPr>
          <w:b/>
        </w:rPr>
        <w:tab/>
        <w:t>Estimate of Other Total Annual Cost Burden to Respondents or Record Keepers</w:t>
      </w:r>
    </w:p>
    <w:p w14:paraId="2AB6F425" w14:textId="76B10216" w:rsidR="00E51138" w:rsidRDefault="00FA1458" w:rsidP="00FF72FC">
      <w:r>
        <w:t xml:space="preserve">No additional costs are anticipated beyond those required for </w:t>
      </w:r>
      <w:r w:rsidRPr="00FA1458">
        <w:t>customary and usual business practices</w:t>
      </w:r>
      <w:r>
        <w:t>.</w:t>
      </w:r>
    </w:p>
    <w:p w14:paraId="0DBBBAA0" w14:textId="158A803E" w:rsidR="0037291F" w:rsidRPr="00B90D2D" w:rsidRDefault="00FF72FC" w:rsidP="00B90D2D">
      <w:pPr>
        <w:pStyle w:val="Heading2"/>
        <w:tabs>
          <w:tab w:val="clear" w:pos="1152"/>
          <w:tab w:val="left" w:pos="720"/>
        </w:tabs>
        <w:spacing w:after="0" w:line="480" w:lineRule="auto"/>
        <w:ind w:left="0" w:firstLine="0"/>
        <w:rPr>
          <w:rFonts w:asciiTheme="minorHAnsi" w:hAnsiTheme="minorHAnsi"/>
          <w:szCs w:val="22"/>
        </w:rPr>
      </w:pPr>
      <w:bookmarkStart w:id="29" w:name="_Hlk534615102"/>
      <w:r w:rsidRPr="00003336">
        <w:rPr>
          <w:rFonts w:asciiTheme="minorHAnsi" w:hAnsiTheme="minorHAnsi"/>
          <w:szCs w:val="22"/>
        </w:rPr>
        <w:t>A.14</w:t>
      </w:r>
      <w:r w:rsidRPr="00003336">
        <w:rPr>
          <w:rFonts w:asciiTheme="minorHAnsi" w:hAnsiTheme="minorHAnsi"/>
          <w:szCs w:val="22"/>
        </w:rPr>
        <w:tab/>
        <w:t xml:space="preserve">Annualized Cost to the Federal Government  </w:t>
      </w:r>
      <w:bookmarkEnd w:id="29"/>
    </w:p>
    <w:tbl>
      <w:tblPr>
        <w:tblW w:w="9410" w:type="dxa"/>
        <w:jc w:val="center"/>
        <w:tblCellMar>
          <w:left w:w="101" w:type="dxa"/>
          <w:right w:w="101" w:type="dxa"/>
        </w:tblCellMar>
        <w:tblLook w:val="04A0" w:firstRow="1" w:lastRow="0" w:firstColumn="1" w:lastColumn="0" w:noHBand="0" w:noVBand="1"/>
      </w:tblPr>
      <w:tblGrid>
        <w:gridCol w:w="1880"/>
        <w:gridCol w:w="2160"/>
        <w:gridCol w:w="1440"/>
        <w:gridCol w:w="1260"/>
        <w:gridCol w:w="900"/>
        <w:gridCol w:w="1770"/>
      </w:tblGrid>
      <w:tr w:rsidR="00950D5A" w:rsidRPr="007B54BC" w14:paraId="50454038" w14:textId="77777777" w:rsidTr="00CA7739">
        <w:trPr>
          <w:jc w:val="center"/>
        </w:trPr>
        <w:tc>
          <w:tcPr>
            <w:tcW w:w="1880" w:type="dxa"/>
            <w:tcBorders>
              <w:top w:val="single" w:sz="8" w:space="0" w:color="auto"/>
              <w:left w:val="single" w:sz="8" w:space="0" w:color="auto"/>
              <w:bottom w:val="single" w:sz="4" w:space="0" w:color="auto"/>
              <w:right w:val="single" w:sz="4" w:space="0" w:color="auto"/>
            </w:tcBorders>
            <w:shd w:val="clear" w:color="auto" w:fill="auto"/>
            <w:tcMar>
              <w:top w:w="72" w:type="dxa"/>
              <w:left w:w="101" w:type="dxa"/>
              <w:bottom w:w="72" w:type="dxa"/>
              <w:right w:w="101" w:type="dxa"/>
            </w:tcMar>
            <w:vAlign w:val="center"/>
            <w:hideMark/>
          </w:tcPr>
          <w:p w14:paraId="75F33ACD" w14:textId="77777777" w:rsidR="00C3488C" w:rsidRPr="00C3488C" w:rsidRDefault="00C3488C" w:rsidP="0037291F">
            <w:pPr>
              <w:spacing w:after="0" w:line="240" w:lineRule="auto"/>
              <w:jc w:val="center"/>
              <w:rPr>
                <w:rFonts w:eastAsia="Calibri" w:cs="Times New Roman"/>
                <w:bCs/>
                <w:color w:val="000000"/>
                <w:sz w:val="24"/>
                <w:szCs w:val="24"/>
              </w:rPr>
            </w:pPr>
            <w:r w:rsidRPr="00C3488C">
              <w:rPr>
                <w:rFonts w:eastAsia="Times New Roman" w:cs="Times New Roman"/>
                <w:i/>
                <w:sz w:val="24"/>
                <w:szCs w:val="24"/>
              </w:rPr>
              <w:t xml:space="preserve"> </w:t>
            </w:r>
            <w:r w:rsidRPr="00C3488C">
              <w:rPr>
                <w:rFonts w:eastAsia="Times New Roman" w:cs="Times New Roman"/>
                <w:bCs/>
                <w:color w:val="000000"/>
                <w:sz w:val="24"/>
                <w:szCs w:val="24"/>
              </w:rPr>
              <w:t>Cost Descriptions</w:t>
            </w: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44CBBA7C" w14:textId="712C88DE" w:rsidR="00C3488C" w:rsidRPr="00C3488C" w:rsidRDefault="00EF396D" w:rsidP="00EF396D">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Title</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72" w:type="dxa"/>
              <w:left w:w="101" w:type="dxa"/>
              <w:bottom w:w="72" w:type="dxa"/>
              <w:right w:w="101" w:type="dxa"/>
            </w:tcMar>
            <w:vAlign w:val="center"/>
          </w:tcPr>
          <w:p w14:paraId="6C11B5EF" w14:textId="05C07EC3" w:rsidR="00C3488C" w:rsidRPr="00C3488C" w:rsidRDefault="00C3488C" w:rsidP="0037291F">
            <w:pPr>
              <w:spacing w:after="0" w:line="240" w:lineRule="auto"/>
              <w:jc w:val="center"/>
              <w:rPr>
                <w:rFonts w:eastAsia="Calibri" w:cs="Times New Roman"/>
                <w:bCs/>
                <w:color w:val="000000"/>
                <w:sz w:val="24"/>
                <w:szCs w:val="24"/>
              </w:rPr>
            </w:pPr>
            <w:r w:rsidRPr="00C3488C">
              <w:rPr>
                <w:rFonts w:eastAsia="Times New Roman" w:cs="Times New Roman"/>
                <w:bCs/>
                <w:color w:val="000000"/>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72" w:type="dxa"/>
              <w:left w:w="101" w:type="dxa"/>
              <w:bottom w:w="72" w:type="dxa"/>
              <w:right w:w="101" w:type="dxa"/>
            </w:tcMar>
            <w:vAlign w:val="center"/>
            <w:hideMark/>
          </w:tcPr>
          <w:p w14:paraId="7E7D7C5E" w14:textId="4C896CB7" w:rsidR="00C3488C" w:rsidRPr="00C3488C" w:rsidRDefault="00C3488C" w:rsidP="0037291F">
            <w:pPr>
              <w:spacing w:after="0" w:line="240" w:lineRule="auto"/>
              <w:jc w:val="center"/>
              <w:rPr>
                <w:rFonts w:eastAsia="Calibri" w:cs="Times New Roman"/>
                <w:bCs/>
                <w:sz w:val="24"/>
                <w:szCs w:val="24"/>
              </w:rPr>
            </w:pPr>
            <w:r w:rsidRPr="00C3488C">
              <w:rPr>
                <w:rFonts w:eastAsia="Times New Roman" w:cs="Times New Roman"/>
                <w:bCs/>
                <w:sz w:val="24"/>
                <w:szCs w:val="24"/>
              </w:rPr>
              <w:t>Salary</w:t>
            </w:r>
            <w:r w:rsidR="00950D5A">
              <w:rPr>
                <w:rFonts w:eastAsia="Times New Roman" w:cs="Times New Roman"/>
                <w:bCs/>
                <w:sz w:val="24"/>
                <w:szCs w:val="24"/>
              </w:rPr>
              <w:t>*</w:t>
            </w:r>
            <w:r w:rsidR="00D3161C">
              <w:rPr>
                <w:rFonts w:eastAsia="Times New Roman" w:cs="Times New Roman"/>
                <w:bCs/>
                <w:sz w:val="24"/>
                <w:szCs w:val="24"/>
              </w:rPr>
              <w:t xml:space="preserve"> (</w:t>
            </w:r>
            <w:r w:rsidR="00CA7739">
              <w:rPr>
                <w:rFonts w:eastAsia="Times New Roman" w:cs="Times New Roman"/>
                <w:bCs/>
                <w:sz w:val="24"/>
                <w:szCs w:val="24"/>
              </w:rPr>
              <w:t>$)</w:t>
            </w:r>
          </w:p>
        </w:tc>
        <w:tc>
          <w:tcPr>
            <w:tcW w:w="900" w:type="dxa"/>
            <w:tcBorders>
              <w:top w:val="single" w:sz="8" w:space="0" w:color="auto"/>
              <w:left w:val="nil"/>
              <w:bottom w:val="single" w:sz="8" w:space="0" w:color="auto"/>
              <w:right w:val="single" w:sz="8" w:space="0" w:color="auto"/>
            </w:tcBorders>
            <w:shd w:val="clear" w:color="auto" w:fill="auto"/>
            <w:tcMar>
              <w:top w:w="72" w:type="dxa"/>
              <w:left w:w="101" w:type="dxa"/>
              <w:bottom w:w="72" w:type="dxa"/>
              <w:right w:w="101" w:type="dxa"/>
            </w:tcMar>
            <w:vAlign w:val="center"/>
            <w:hideMark/>
          </w:tcPr>
          <w:p w14:paraId="2F192DBE" w14:textId="77777777" w:rsidR="00C3488C" w:rsidRPr="00C3488C" w:rsidRDefault="00C3488C" w:rsidP="0037291F">
            <w:pPr>
              <w:spacing w:after="0" w:line="240" w:lineRule="auto"/>
              <w:jc w:val="center"/>
              <w:rPr>
                <w:rFonts w:eastAsia="Calibri" w:cs="Times New Roman"/>
                <w:bCs/>
                <w:sz w:val="24"/>
                <w:szCs w:val="24"/>
              </w:rPr>
            </w:pPr>
            <w:r w:rsidRPr="00C3488C">
              <w:rPr>
                <w:rFonts w:eastAsia="Times New Roman" w:cs="Times New Roman"/>
                <w:bCs/>
                <w:sz w:val="24"/>
                <w:szCs w:val="24"/>
              </w:rPr>
              <w:t>% of Effort</w:t>
            </w:r>
          </w:p>
        </w:tc>
        <w:tc>
          <w:tcPr>
            <w:tcW w:w="1770" w:type="dxa"/>
            <w:tcBorders>
              <w:top w:val="single" w:sz="8" w:space="0" w:color="auto"/>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3BE4B6CA" w14:textId="434383D4" w:rsidR="00C3488C" w:rsidRPr="00C3488C" w:rsidRDefault="00C3488C" w:rsidP="0037291F">
            <w:pPr>
              <w:spacing w:after="0" w:line="240" w:lineRule="auto"/>
              <w:jc w:val="center"/>
              <w:rPr>
                <w:rFonts w:eastAsia="Times New Roman" w:cs="Times New Roman"/>
                <w:bCs/>
                <w:sz w:val="24"/>
                <w:szCs w:val="24"/>
              </w:rPr>
            </w:pPr>
            <w:r w:rsidRPr="00C3488C">
              <w:rPr>
                <w:rFonts w:eastAsia="Times New Roman" w:cs="Times New Roman"/>
                <w:bCs/>
                <w:sz w:val="24"/>
                <w:szCs w:val="24"/>
              </w:rPr>
              <w:t>Total Cost</w:t>
            </w:r>
            <w:r w:rsidR="00CA7739">
              <w:rPr>
                <w:rFonts w:eastAsia="Times New Roman" w:cs="Times New Roman"/>
                <w:bCs/>
                <w:sz w:val="24"/>
                <w:szCs w:val="24"/>
              </w:rPr>
              <w:t xml:space="preserve"> ($)</w:t>
            </w:r>
            <w:r w:rsidRPr="00C3488C">
              <w:rPr>
                <w:rFonts w:eastAsia="Times New Roman" w:cs="Times New Roman"/>
                <w:bCs/>
                <w:sz w:val="24"/>
                <w:szCs w:val="24"/>
              </w:rPr>
              <w:t xml:space="preserve"> to Government</w:t>
            </w:r>
          </w:p>
        </w:tc>
      </w:tr>
      <w:tr w:rsidR="006841CA" w:rsidRPr="007B54BC" w14:paraId="4575CF15" w14:textId="77777777" w:rsidTr="00CA7739">
        <w:trPr>
          <w:jc w:val="center"/>
        </w:trPr>
        <w:tc>
          <w:tcPr>
            <w:tcW w:w="1880" w:type="dxa"/>
            <w:vMerge w:val="restart"/>
            <w:tcBorders>
              <w:top w:val="single" w:sz="4" w:space="0" w:color="auto"/>
              <w:left w:val="single" w:sz="4" w:space="0" w:color="auto"/>
              <w:right w:val="single" w:sz="4" w:space="0" w:color="auto"/>
            </w:tcBorders>
            <w:tcMar>
              <w:top w:w="72" w:type="dxa"/>
              <w:left w:w="101" w:type="dxa"/>
              <w:bottom w:w="72" w:type="dxa"/>
              <w:right w:w="101" w:type="dxa"/>
            </w:tcMar>
            <w:vAlign w:val="center"/>
          </w:tcPr>
          <w:p w14:paraId="0BBD8036" w14:textId="77777777" w:rsidR="006841CA" w:rsidRPr="00C3488C" w:rsidRDefault="006841CA" w:rsidP="006841CA">
            <w:pPr>
              <w:spacing w:after="0" w:line="240" w:lineRule="auto"/>
              <w:jc w:val="center"/>
              <w:rPr>
                <w:rFonts w:eastAsia="Calibri" w:cs="Times New Roman"/>
                <w:color w:val="000000"/>
                <w:sz w:val="24"/>
                <w:szCs w:val="24"/>
              </w:rPr>
            </w:pPr>
            <w:r w:rsidRPr="00C3488C">
              <w:rPr>
                <w:rFonts w:eastAsia="Calibri" w:cs="Times New Roman"/>
                <w:color w:val="000000"/>
                <w:sz w:val="24"/>
                <w:szCs w:val="24"/>
              </w:rPr>
              <w:t>Federal Oversight</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72" w:type="dxa"/>
              <w:left w:w="101" w:type="dxa"/>
              <w:bottom w:w="72" w:type="dxa"/>
              <w:right w:w="101" w:type="dxa"/>
            </w:tcMar>
          </w:tcPr>
          <w:p w14:paraId="4FD3718E" w14:textId="25241546" w:rsidR="006841CA" w:rsidRPr="00CA7739" w:rsidRDefault="006841CA" w:rsidP="006841CA">
            <w:pPr>
              <w:spacing w:after="0" w:line="240" w:lineRule="auto"/>
              <w:jc w:val="center"/>
              <w:rPr>
                <w:rFonts w:eastAsia="Calibri" w:cs="Times New Roman"/>
                <w:color w:val="000000"/>
                <w:sz w:val="24"/>
                <w:szCs w:val="24"/>
              </w:rPr>
            </w:pPr>
            <w:r w:rsidRPr="00CA7739">
              <w:rPr>
                <w:sz w:val="24"/>
                <w:szCs w:val="24"/>
              </w:rPr>
              <w:t>Director</w:t>
            </w:r>
          </w:p>
        </w:tc>
        <w:tc>
          <w:tcPr>
            <w:tcW w:w="1440" w:type="dxa"/>
            <w:tcBorders>
              <w:top w:val="nil"/>
              <w:left w:val="single" w:sz="4" w:space="0" w:color="auto"/>
              <w:bottom w:val="single" w:sz="8" w:space="0" w:color="auto"/>
              <w:right w:val="single" w:sz="8" w:space="0" w:color="auto"/>
            </w:tcBorders>
            <w:shd w:val="clear" w:color="auto" w:fill="auto"/>
            <w:tcMar>
              <w:top w:w="72" w:type="dxa"/>
              <w:left w:w="101" w:type="dxa"/>
              <w:bottom w:w="72" w:type="dxa"/>
              <w:right w:w="101" w:type="dxa"/>
            </w:tcMar>
          </w:tcPr>
          <w:p w14:paraId="7FEC3F40" w14:textId="7450DD5E" w:rsidR="006841CA" w:rsidRPr="00CA7739" w:rsidRDefault="006841CA" w:rsidP="006841CA">
            <w:pPr>
              <w:spacing w:after="0" w:line="240" w:lineRule="auto"/>
              <w:jc w:val="center"/>
              <w:rPr>
                <w:rFonts w:eastAsia="Calibri" w:cs="Times New Roman"/>
                <w:color w:val="000000"/>
                <w:sz w:val="24"/>
                <w:szCs w:val="24"/>
              </w:rPr>
            </w:pPr>
            <w:r w:rsidRPr="00CA7739">
              <w:rPr>
                <w:sz w:val="24"/>
                <w:szCs w:val="24"/>
              </w:rPr>
              <w:t>15/9</w:t>
            </w:r>
          </w:p>
        </w:tc>
        <w:tc>
          <w:tcPr>
            <w:tcW w:w="1260" w:type="dxa"/>
            <w:tcBorders>
              <w:top w:val="nil"/>
              <w:left w:val="nil"/>
              <w:bottom w:val="single" w:sz="8" w:space="0" w:color="auto"/>
              <w:right w:val="single" w:sz="8" w:space="0" w:color="auto"/>
            </w:tcBorders>
            <w:tcMar>
              <w:top w:w="72" w:type="dxa"/>
              <w:left w:w="101" w:type="dxa"/>
              <w:bottom w:w="72" w:type="dxa"/>
              <w:right w:w="101" w:type="dxa"/>
            </w:tcMar>
          </w:tcPr>
          <w:p w14:paraId="25437DD3" w14:textId="6726015C" w:rsidR="006841CA" w:rsidRPr="00CA7739" w:rsidRDefault="006841CA" w:rsidP="006841CA">
            <w:pPr>
              <w:spacing w:after="0" w:line="240" w:lineRule="auto"/>
              <w:jc w:val="right"/>
              <w:rPr>
                <w:rFonts w:eastAsia="Times New Roman" w:cs="Times New Roman"/>
                <w:sz w:val="24"/>
                <w:szCs w:val="24"/>
              </w:rPr>
            </w:pPr>
            <w:r w:rsidRPr="00CA7739">
              <w:rPr>
                <w:sz w:val="24"/>
                <w:szCs w:val="24"/>
              </w:rPr>
              <w:t>16</w:t>
            </w:r>
            <w:r w:rsidR="000E4517">
              <w:rPr>
                <w:sz w:val="24"/>
                <w:szCs w:val="24"/>
              </w:rPr>
              <w:t>6</w:t>
            </w:r>
            <w:r w:rsidRPr="00CA7739">
              <w:rPr>
                <w:sz w:val="24"/>
                <w:szCs w:val="24"/>
              </w:rPr>
              <w:t>,</w:t>
            </w:r>
            <w:r w:rsidR="000E4517">
              <w:rPr>
                <w:sz w:val="24"/>
                <w:szCs w:val="24"/>
              </w:rPr>
              <w:t>5</w:t>
            </w:r>
            <w:r w:rsidRPr="00CA7739">
              <w:rPr>
                <w:sz w:val="24"/>
                <w:szCs w:val="24"/>
              </w:rPr>
              <w:t>00</w:t>
            </w:r>
          </w:p>
        </w:tc>
        <w:tc>
          <w:tcPr>
            <w:tcW w:w="900" w:type="dxa"/>
            <w:tcBorders>
              <w:top w:val="nil"/>
              <w:left w:val="nil"/>
              <w:bottom w:val="single" w:sz="8" w:space="0" w:color="auto"/>
              <w:right w:val="single" w:sz="8" w:space="0" w:color="auto"/>
            </w:tcBorders>
            <w:tcMar>
              <w:top w:w="72" w:type="dxa"/>
              <w:left w:w="101" w:type="dxa"/>
              <w:bottom w:w="72" w:type="dxa"/>
              <w:right w:w="101" w:type="dxa"/>
            </w:tcMar>
          </w:tcPr>
          <w:p w14:paraId="293EDFFF" w14:textId="606EED60" w:rsidR="006841CA" w:rsidRPr="00CA7739" w:rsidRDefault="006841CA" w:rsidP="006841CA">
            <w:pPr>
              <w:spacing w:after="0" w:line="240" w:lineRule="auto"/>
              <w:jc w:val="center"/>
              <w:rPr>
                <w:rFonts w:eastAsia="Times New Roman" w:cs="Times New Roman"/>
                <w:sz w:val="24"/>
                <w:szCs w:val="24"/>
              </w:rPr>
            </w:pPr>
            <w:r w:rsidRPr="00CA7739">
              <w:rPr>
                <w:sz w:val="24"/>
                <w:szCs w:val="24"/>
              </w:rPr>
              <w:t>10</w:t>
            </w:r>
          </w:p>
        </w:tc>
        <w:tc>
          <w:tcPr>
            <w:tcW w:w="1770" w:type="dxa"/>
            <w:tcBorders>
              <w:top w:val="nil"/>
              <w:left w:val="nil"/>
              <w:bottom w:val="single" w:sz="8" w:space="0" w:color="auto"/>
              <w:right w:val="single" w:sz="8" w:space="0" w:color="auto"/>
            </w:tcBorders>
            <w:tcMar>
              <w:top w:w="72" w:type="dxa"/>
              <w:left w:w="101" w:type="dxa"/>
              <w:bottom w:w="72" w:type="dxa"/>
              <w:right w:w="101" w:type="dxa"/>
            </w:tcMar>
          </w:tcPr>
          <w:p w14:paraId="3A2F58FE" w14:textId="3A4A3D93" w:rsidR="006841CA" w:rsidRPr="00CA7739" w:rsidRDefault="006841CA" w:rsidP="006841CA">
            <w:pPr>
              <w:spacing w:after="0" w:line="240" w:lineRule="auto"/>
              <w:jc w:val="right"/>
              <w:rPr>
                <w:rFonts w:eastAsia="Times New Roman" w:cs="Times New Roman"/>
                <w:sz w:val="24"/>
                <w:szCs w:val="24"/>
              </w:rPr>
            </w:pPr>
            <w:r w:rsidRPr="00CA7739">
              <w:rPr>
                <w:sz w:val="24"/>
                <w:szCs w:val="24"/>
              </w:rPr>
              <w:t>16,</w:t>
            </w:r>
            <w:r w:rsidR="000E4517">
              <w:rPr>
                <w:sz w:val="24"/>
                <w:szCs w:val="24"/>
              </w:rPr>
              <w:t>65</w:t>
            </w:r>
            <w:r w:rsidRPr="00CA7739">
              <w:rPr>
                <w:sz w:val="24"/>
                <w:szCs w:val="24"/>
              </w:rPr>
              <w:t>0</w:t>
            </w:r>
          </w:p>
        </w:tc>
      </w:tr>
      <w:tr w:rsidR="006841CA" w:rsidRPr="007B54BC" w14:paraId="27551A65" w14:textId="77777777" w:rsidTr="00CA7739">
        <w:trPr>
          <w:jc w:val="center"/>
        </w:trPr>
        <w:tc>
          <w:tcPr>
            <w:tcW w:w="1880" w:type="dxa"/>
            <w:vMerge/>
            <w:tcBorders>
              <w:left w:val="single" w:sz="4" w:space="0" w:color="auto"/>
              <w:right w:val="single" w:sz="4" w:space="0" w:color="auto"/>
            </w:tcBorders>
            <w:tcMar>
              <w:top w:w="72" w:type="dxa"/>
              <w:left w:w="101" w:type="dxa"/>
              <w:bottom w:w="72" w:type="dxa"/>
              <w:right w:w="101" w:type="dxa"/>
            </w:tcMar>
            <w:vAlign w:val="center"/>
          </w:tcPr>
          <w:p w14:paraId="5396250E" w14:textId="77777777" w:rsidR="006841CA" w:rsidRPr="00C3488C" w:rsidRDefault="006841CA" w:rsidP="006841CA">
            <w:pPr>
              <w:spacing w:after="0" w:line="240" w:lineRule="auto"/>
              <w:jc w:val="center"/>
              <w:rPr>
                <w:rFonts w:eastAsia="Calibri"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1C7B2D0D" w14:textId="3BC7D15A" w:rsidR="006841CA" w:rsidRPr="00C3488C" w:rsidRDefault="006841CA" w:rsidP="006841CA">
            <w:pPr>
              <w:spacing w:after="0" w:line="240" w:lineRule="auto"/>
              <w:jc w:val="center"/>
              <w:rPr>
                <w:rFonts w:eastAsia="Calibri" w:cs="Times New Roman"/>
                <w:sz w:val="24"/>
                <w:szCs w:val="24"/>
              </w:rPr>
            </w:pPr>
            <w:r>
              <w:rPr>
                <w:rFonts w:eastAsia="Calibri" w:cs="Times New Roman"/>
                <w:color w:val="000000"/>
                <w:sz w:val="24"/>
                <w:szCs w:val="24"/>
              </w:rPr>
              <w:t>Assurance Officer</w:t>
            </w:r>
          </w:p>
        </w:tc>
        <w:tc>
          <w:tcPr>
            <w:tcW w:w="1440" w:type="dxa"/>
            <w:tcBorders>
              <w:top w:val="nil"/>
              <w:left w:val="single" w:sz="4" w:space="0" w:color="auto"/>
              <w:bottom w:val="single" w:sz="8" w:space="0" w:color="auto"/>
              <w:right w:val="single" w:sz="8" w:space="0" w:color="auto"/>
            </w:tcBorders>
            <w:tcMar>
              <w:top w:w="72" w:type="dxa"/>
              <w:left w:w="101" w:type="dxa"/>
              <w:bottom w:w="72" w:type="dxa"/>
              <w:right w:w="101" w:type="dxa"/>
            </w:tcMar>
            <w:vAlign w:val="center"/>
          </w:tcPr>
          <w:p w14:paraId="42186E6A" w14:textId="3EDAC522" w:rsidR="006841CA" w:rsidRPr="00C3488C" w:rsidRDefault="006841CA" w:rsidP="006841CA">
            <w:pPr>
              <w:spacing w:after="0" w:line="240" w:lineRule="auto"/>
              <w:jc w:val="center"/>
              <w:rPr>
                <w:rFonts w:eastAsia="Calibri" w:cs="Times New Roman"/>
                <w:sz w:val="24"/>
                <w:szCs w:val="24"/>
              </w:rPr>
            </w:pPr>
            <w:r>
              <w:rPr>
                <w:rFonts w:eastAsia="Calibri" w:cs="Times New Roman"/>
                <w:color w:val="000000"/>
                <w:sz w:val="24"/>
                <w:szCs w:val="24"/>
              </w:rPr>
              <w:t>C06</w:t>
            </w:r>
          </w:p>
        </w:tc>
        <w:tc>
          <w:tcPr>
            <w:tcW w:w="126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3E50BAAA" w14:textId="73C33492" w:rsidR="006841CA" w:rsidRPr="00C3488C" w:rsidRDefault="006841CA" w:rsidP="006841CA">
            <w:pPr>
              <w:spacing w:after="0" w:line="240" w:lineRule="auto"/>
              <w:jc w:val="right"/>
              <w:rPr>
                <w:rFonts w:eastAsia="Calibri" w:cs="Times New Roman"/>
                <w:sz w:val="24"/>
                <w:szCs w:val="24"/>
              </w:rPr>
            </w:pPr>
            <w:r w:rsidRPr="00C3488C">
              <w:rPr>
                <w:rFonts w:eastAsia="Times New Roman" w:cs="Times New Roman"/>
                <w:sz w:val="24"/>
                <w:szCs w:val="24"/>
              </w:rPr>
              <w:t>179,658</w:t>
            </w:r>
          </w:p>
        </w:tc>
        <w:tc>
          <w:tcPr>
            <w:tcW w:w="90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3A15E3A6" w14:textId="726AE649" w:rsidR="006841CA" w:rsidRPr="00C3488C" w:rsidRDefault="006841CA" w:rsidP="006841CA">
            <w:pPr>
              <w:spacing w:after="0" w:line="240" w:lineRule="auto"/>
              <w:jc w:val="center"/>
              <w:rPr>
                <w:rFonts w:eastAsia="Calibri" w:cs="Times New Roman"/>
                <w:sz w:val="24"/>
                <w:szCs w:val="24"/>
              </w:rPr>
            </w:pPr>
            <w:r w:rsidRPr="00C3488C">
              <w:rPr>
                <w:rFonts w:eastAsia="Times New Roman" w:cs="Times New Roman"/>
                <w:sz w:val="24"/>
                <w:szCs w:val="24"/>
              </w:rPr>
              <w:t>75</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328805D9" w14:textId="25CE5580" w:rsidR="006841CA" w:rsidRPr="00C3488C" w:rsidRDefault="006841CA" w:rsidP="006841CA">
            <w:pPr>
              <w:spacing w:after="0" w:line="240" w:lineRule="auto"/>
              <w:jc w:val="right"/>
              <w:rPr>
                <w:rFonts w:eastAsia="Times New Roman" w:cs="Times New Roman"/>
                <w:sz w:val="24"/>
                <w:szCs w:val="24"/>
              </w:rPr>
            </w:pPr>
            <w:r w:rsidRPr="00C3488C">
              <w:rPr>
                <w:rFonts w:eastAsia="Times New Roman" w:cs="Times New Roman"/>
                <w:sz w:val="24"/>
                <w:szCs w:val="24"/>
              </w:rPr>
              <w:t>134,74</w:t>
            </w:r>
            <w:r w:rsidR="00CA7739">
              <w:rPr>
                <w:rFonts w:eastAsia="Times New Roman" w:cs="Times New Roman"/>
                <w:sz w:val="24"/>
                <w:szCs w:val="24"/>
              </w:rPr>
              <w:t>4</w:t>
            </w:r>
          </w:p>
        </w:tc>
      </w:tr>
      <w:tr w:rsidR="00B90D2D" w:rsidRPr="007B54BC" w14:paraId="7A3F545A" w14:textId="77777777" w:rsidTr="00CA7739">
        <w:trPr>
          <w:jc w:val="center"/>
        </w:trPr>
        <w:tc>
          <w:tcPr>
            <w:tcW w:w="1880" w:type="dxa"/>
            <w:vMerge/>
            <w:tcBorders>
              <w:left w:val="single" w:sz="4" w:space="0" w:color="auto"/>
              <w:right w:val="single" w:sz="4" w:space="0" w:color="auto"/>
            </w:tcBorders>
            <w:tcMar>
              <w:top w:w="72" w:type="dxa"/>
              <w:left w:w="101" w:type="dxa"/>
              <w:bottom w:w="72" w:type="dxa"/>
              <w:right w:w="101" w:type="dxa"/>
            </w:tcMar>
            <w:vAlign w:val="center"/>
          </w:tcPr>
          <w:p w14:paraId="06E24FE3" w14:textId="77777777" w:rsidR="00B90D2D" w:rsidRPr="00C3488C" w:rsidRDefault="00B90D2D" w:rsidP="00C3488C">
            <w:pPr>
              <w:spacing w:after="0" w:line="240" w:lineRule="auto"/>
              <w:jc w:val="center"/>
              <w:rPr>
                <w:rFonts w:eastAsia="Calibri"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7C8412FD" w14:textId="0CCBBEE7" w:rsidR="00B90D2D" w:rsidRPr="00C3488C" w:rsidRDefault="00B90D2D" w:rsidP="00EF396D">
            <w:pPr>
              <w:spacing w:after="0" w:line="240" w:lineRule="auto"/>
              <w:jc w:val="center"/>
              <w:rPr>
                <w:rFonts w:eastAsia="Calibri" w:cs="Times New Roman"/>
                <w:sz w:val="24"/>
                <w:szCs w:val="24"/>
              </w:rPr>
            </w:pPr>
            <w:r>
              <w:rPr>
                <w:rFonts w:eastAsia="Calibri" w:cs="Times New Roman"/>
                <w:color w:val="000000"/>
                <w:sz w:val="24"/>
                <w:szCs w:val="24"/>
              </w:rPr>
              <w:t>Assurance Officer</w:t>
            </w:r>
          </w:p>
        </w:tc>
        <w:tc>
          <w:tcPr>
            <w:tcW w:w="1440" w:type="dxa"/>
            <w:tcBorders>
              <w:top w:val="nil"/>
              <w:left w:val="single" w:sz="4" w:space="0" w:color="auto"/>
              <w:bottom w:val="single" w:sz="8" w:space="0" w:color="auto"/>
              <w:right w:val="single" w:sz="8" w:space="0" w:color="auto"/>
            </w:tcBorders>
            <w:tcMar>
              <w:top w:w="72" w:type="dxa"/>
              <w:left w:w="101" w:type="dxa"/>
              <w:bottom w:w="72" w:type="dxa"/>
              <w:right w:w="101" w:type="dxa"/>
            </w:tcMar>
            <w:vAlign w:val="center"/>
          </w:tcPr>
          <w:p w14:paraId="331F7DF9" w14:textId="3C7C02CC" w:rsidR="00B90D2D" w:rsidRPr="00C3488C" w:rsidRDefault="00B90D2D" w:rsidP="00EF396D">
            <w:pPr>
              <w:spacing w:after="0" w:line="240" w:lineRule="auto"/>
              <w:jc w:val="center"/>
              <w:rPr>
                <w:rFonts w:eastAsia="Calibri" w:cs="Times New Roman"/>
                <w:sz w:val="24"/>
                <w:szCs w:val="24"/>
              </w:rPr>
            </w:pPr>
            <w:r w:rsidRPr="00C3488C">
              <w:rPr>
                <w:rFonts w:eastAsia="Calibri" w:cs="Times New Roman"/>
                <w:sz w:val="24"/>
                <w:szCs w:val="24"/>
              </w:rPr>
              <w:t>14/10</w:t>
            </w:r>
          </w:p>
        </w:tc>
        <w:tc>
          <w:tcPr>
            <w:tcW w:w="126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5A30905F" w14:textId="35C5A954" w:rsidR="00B90D2D" w:rsidRPr="00C3488C" w:rsidRDefault="007D61D5" w:rsidP="00003336">
            <w:pPr>
              <w:spacing w:after="0" w:line="240" w:lineRule="auto"/>
              <w:jc w:val="right"/>
              <w:rPr>
                <w:rFonts w:eastAsia="Calibri" w:cs="Times New Roman"/>
                <w:sz w:val="24"/>
                <w:szCs w:val="24"/>
              </w:rPr>
            </w:pPr>
            <w:r>
              <w:rPr>
                <w:rFonts w:eastAsia="Calibri" w:cs="Times New Roman"/>
                <w:sz w:val="24"/>
                <w:szCs w:val="24"/>
              </w:rPr>
              <w:t>152,352</w:t>
            </w:r>
          </w:p>
        </w:tc>
        <w:tc>
          <w:tcPr>
            <w:tcW w:w="90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141F8154" w14:textId="67DC3184" w:rsidR="00B90D2D" w:rsidRPr="00C3488C" w:rsidRDefault="00B90D2D" w:rsidP="00003336">
            <w:pPr>
              <w:spacing w:after="0" w:line="240" w:lineRule="auto"/>
              <w:jc w:val="center"/>
              <w:rPr>
                <w:rFonts w:eastAsia="Calibri" w:cs="Times New Roman"/>
                <w:sz w:val="24"/>
                <w:szCs w:val="24"/>
              </w:rPr>
            </w:pPr>
            <w:r w:rsidRPr="00C3488C">
              <w:rPr>
                <w:rFonts w:eastAsia="Calibri" w:cs="Times New Roman"/>
                <w:sz w:val="24"/>
                <w:szCs w:val="24"/>
              </w:rPr>
              <w:t>50</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0337442E" w14:textId="1DE56D4F" w:rsidR="00B90D2D" w:rsidRPr="00C3488C" w:rsidRDefault="00B90D2D" w:rsidP="00003336">
            <w:pPr>
              <w:spacing w:after="0" w:line="240" w:lineRule="auto"/>
              <w:jc w:val="right"/>
              <w:rPr>
                <w:rFonts w:eastAsia="Times New Roman" w:cs="Times New Roman"/>
                <w:sz w:val="24"/>
                <w:szCs w:val="24"/>
              </w:rPr>
            </w:pPr>
            <w:r w:rsidRPr="00C3488C">
              <w:rPr>
                <w:rFonts w:eastAsia="Times New Roman" w:cs="Times New Roman"/>
                <w:sz w:val="24"/>
                <w:szCs w:val="24"/>
              </w:rPr>
              <w:t>7</w:t>
            </w:r>
            <w:r w:rsidR="007D61D5">
              <w:rPr>
                <w:rFonts w:eastAsia="Times New Roman" w:cs="Times New Roman"/>
                <w:sz w:val="24"/>
                <w:szCs w:val="24"/>
              </w:rPr>
              <w:t>6</w:t>
            </w:r>
            <w:r w:rsidRPr="00C3488C">
              <w:rPr>
                <w:rFonts w:eastAsia="Times New Roman" w:cs="Times New Roman"/>
                <w:sz w:val="24"/>
                <w:szCs w:val="24"/>
              </w:rPr>
              <w:t>,</w:t>
            </w:r>
            <w:r w:rsidR="007D61D5">
              <w:rPr>
                <w:rFonts w:eastAsia="Times New Roman" w:cs="Times New Roman"/>
                <w:sz w:val="24"/>
                <w:szCs w:val="24"/>
              </w:rPr>
              <w:t>176</w:t>
            </w:r>
          </w:p>
        </w:tc>
      </w:tr>
      <w:tr w:rsidR="00B90D2D" w:rsidRPr="007B54BC" w14:paraId="70D5FED2" w14:textId="77777777" w:rsidTr="00CA7739">
        <w:trPr>
          <w:jc w:val="center"/>
        </w:trPr>
        <w:tc>
          <w:tcPr>
            <w:tcW w:w="1880" w:type="dxa"/>
            <w:vMerge/>
            <w:tcBorders>
              <w:left w:val="single" w:sz="4" w:space="0" w:color="auto"/>
              <w:right w:val="single" w:sz="4" w:space="0" w:color="auto"/>
            </w:tcBorders>
            <w:tcMar>
              <w:top w:w="72" w:type="dxa"/>
              <w:left w:w="101" w:type="dxa"/>
              <w:bottom w:w="72" w:type="dxa"/>
              <w:right w:w="101" w:type="dxa"/>
            </w:tcMar>
            <w:vAlign w:val="center"/>
          </w:tcPr>
          <w:p w14:paraId="7E4275FD" w14:textId="1EB10234" w:rsidR="00B90D2D" w:rsidRPr="00C3488C" w:rsidRDefault="00B90D2D" w:rsidP="00C3488C">
            <w:pPr>
              <w:spacing w:after="0" w:line="240" w:lineRule="auto"/>
              <w:jc w:val="center"/>
              <w:rPr>
                <w:rFonts w:eastAsia="Calibri"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54B0807D" w14:textId="42BBCDA6" w:rsidR="00B90D2D" w:rsidRPr="00C3488C" w:rsidRDefault="00B90D2D" w:rsidP="00EF396D">
            <w:pPr>
              <w:spacing w:after="0" w:line="240" w:lineRule="auto"/>
              <w:jc w:val="center"/>
              <w:rPr>
                <w:rFonts w:eastAsia="Calibri" w:cs="Times New Roman"/>
                <w:sz w:val="24"/>
                <w:szCs w:val="24"/>
              </w:rPr>
            </w:pPr>
            <w:r>
              <w:rPr>
                <w:rFonts w:eastAsia="Calibri" w:cs="Times New Roman"/>
                <w:color w:val="000000"/>
                <w:sz w:val="24"/>
                <w:szCs w:val="24"/>
              </w:rPr>
              <w:t>Assurance Officer</w:t>
            </w:r>
          </w:p>
        </w:tc>
        <w:tc>
          <w:tcPr>
            <w:tcW w:w="1440" w:type="dxa"/>
            <w:tcBorders>
              <w:top w:val="nil"/>
              <w:left w:val="single" w:sz="4" w:space="0" w:color="auto"/>
              <w:bottom w:val="single" w:sz="8" w:space="0" w:color="auto"/>
              <w:right w:val="single" w:sz="8" w:space="0" w:color="auto"/>
            </w:tcBorders>
            <w:shd w:val="clear" w:color="auto" w:fill="auto"/>
            <w:tcMar>
              <w:top w:w="72" w:type="dxa"/>
              <w:left w:w="101" w:type="dxa"/>
              <w:bottom w:w="72" w:type="dxa"/>
              <w:right w:w="101" w:type="dxa"/>
            </w:tcMar>
            <w:vAlign w:val="center"/>
          </w:tcPr>
          <w:p w14:paraId="56B57766" w14:textId="395136CB" w:rsidR="00B90D2D" w:rsidRPr="00C3488C" w:rsidRDefault="00CA7739" w:rsidP="00EF396D">
            <w:pPr>
              <w:spacing w:after="0" w:line="240" w:lineRule="auto"/>
              <w:jc w:val="center"/>
              <w:rPr>
                <w:rFonts w:eastAsia="Calibri" w:cs="Times New Roman"/>
                <w:sz w:val="24"/>
                <w:szCs w:val="24"/>
              </w:rPr>
            </w:pPr>
            <w:r>
              <w:rPr>
                <w:rFonts w:eastAsia="Calibri" w:cs="Times New Roman"/>
                <w:sz w:val="24"/>
                <w:szCs w:val="24"/>
              </w:rPr>
              <w:t>14</w:t>
            </w:r>
            <w:r w:rsidR="00634A73">
              <w:rPr>
                <w:rFonts w:eastAsia="Calibri" w:cs="Times New Roman"/>
                <w:sz w:val="24"/>
                <w:szCs w:val="24"/>
              </w:rPr>
              <w:t>/1</w:t>
            </w:r>
          </w:p>
        </w:tc>
        <w:tc>
          <w:tcPr>
            <w:tcW w:w="126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0AB27413" w14:textId="4AF6327A" w:rsidR="00B90D2D" w:rsidRPr="00C3488C" w:rsidRDefault="00B90D2D" w:rsidP="00003336">
            <w:pPr>
              <w:spacing w:after="0" w:line="240" w:lineRule="auto"/>
              <w:jc w:val="right"/>
              <w:rPr>
                <w:rFonts w:eastAsia="Calibri" w:cs="Times New Roman"/>
                <w:sz w:val="24"/>
                <w:szCs w:val="24"/>
              </w:rPr>
            </w:pPr>
            <w:r w:rsidRPr="00C3488C">
              <w:rPr>
                <w:rFonts w:eastAsia="Calibri" w:cs="Times New Roman"/>
                <w:sz w:val="24"/>
                <w:szCs w:val="24"/>
              </w:rPr>
              <w:t>1</w:t>
            </w:r>
            <w:r w:rsidR="007D61D5">
              <w:rPr>
                <w:rFonts w:eastAsia="Calibri" w:cs="Times New Roman"/>
                <w:sz w:val="24"/>
                <w:szCs w:val="24"/>
              </w:rPr>
              <w:t>17</w:t>
            </w:r>
            <w:r w:rsidRPr="00C3488C">
              <w:rPr>
                <w:rFonts w:eastAsia="Calibri" w:cs="Times New Roman"/>
                <w:sz w:val="24"/>
                <w:szCs w:val="24"/>
              </w:rPr>
              <w:t>,</w:t>
            </w:r>
            <w:r w:rsidR="007D61D5">
              <w:rPr>
                <w:rFonts w:eastAsia="Calibri" w:cs="Times New Roman"/>
                <w:sz w:val="24"/>
                <w:szCs w:val="24"/>
              </w:rPr>
              <w:t>191</w:t>
            </w:r>
          </w:p>
        </w:tc>
        <w:tc>
          <w:tcPr>
            <w:tcW w:w="90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7B1BC594" w14:textId="670E6739" w:rsidR="00B90D2D" w:rsidRPr="00C3488C" w:rsidRDefault="00B90D2D" w:rsidP="00003336">
            <w:pPr>
              <w:spacing w:after="0" w:line="240" w:lineRule="auto"/>
              <w:jc w:val="center"/>
              <w:rPr>
                <w:rFonts w:eastAsia="Calibri" w:cs="Times New Roman"/>
                <w:sz w:val="24"/>
                <w:szCs w:val="24"/>
              </w:rPr>
            </w:pPr>
            <w:r w:rsidRPr="00C3488C">
              <w:rPr>
                <w:rFonts w:eastAsia="Calibri" w:cs="Times New Roman"/>
                <w:sz w:val="24"/>
                <w:szCs w:val="24"/>
              </w:rPr>
              <w:t>25</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54FFB52A" w14:textId="5633FA5F" w:rsidR="00D3161C" w:rsidRPr="00C3488C" w:rsidRDefault="00B90D2D" w:rsidP="00D3161C">
            <w:pPr>
              <w:spacing w:after="0" w:line="240" w:lineRule="auto"/>
              <w:jc w:val="right"/>
              <w:rPr>
                <w:rFonts w:eastAsia="Times New Roman" w:cs="Times New Roman"/>
                <w:sz w:val="24"/>
                <w:szCs w:val="24"/>
              </w:rPr>
            </w:pPr>
            <w:r w:rsidRPr="00C3488C">
              <w:rPr>
                <w:rFonts w:eastAsia="Times New Roman" w:cs="Times New Roman"/>
                <w:sz w:val="24"/>
                <w:szCs w:val="24"/>
              </w:rPr>
              <w:t>2</w:t>
            </w:r>
            <w:r w:rsidR="007D61D5">
              <w:rPr>
                <w:rFonts w:eastAsia="Times New Roman" w:cs="Times New Roman"/>
                <w:sz w:val="24"/>
                <w:szCs w:val="24"/>
              </w:rPr>
              <w:t>9</w:t>
            </w:r>
            <w:r w:rsidRPr="00C3488C">
              <w:rPr>
                <w:rFonts w:eastAsia="Times New Roman" w:cs="Times New Roman"/>
                <w:sz w:val="24"/>
                <w:szCs w:val="24"/>
              </w:rPr>
              <w:t>,</w:t>
            </w:r>
            <w:r w:rsidR="007D61D5">
              <w:rPr>
                <w:rFonts w:eastAsia="Times New Roman" w:cs="Times New Roman"/>
                <w:sz w:val="24"/>
                <w:szCs w:val="24"/>
              </w:rPr>
              <w:t>298</w:t>
            </w:r>
          </w:p>
        </w:tc>
      </w:tr>
      <w:tr w:rsidR="00B90D2D" w:rsidRPr="007B54BC" w14:paraId="6D32B8B1" w14:textId="77777777" w:rsidTr="00CA7739">
        <w:trPr>
          <w:jc w:val="center"/>
        </w:trPr>
        <w:tc>
          <w:tcPr>
            <w:tcW w:w="1880" w:type="dxa"/>
            <w:vMerge/>
            <w:tcBorders>
              <w:left w:val="single" w:sz="4" w:space="0" w:color="auto"/>
              <w:right w:val="single" w:sz="4" w:space="0" w:color="auto"/>
            </w:tcBorders>
            <w:tcMar>
              <w:top w:w="72" w:type="dxa"/>
              <w:left w:w="101" w:type="dxa"/>
              <w:bottom w:w="72" w:type="dxa"/>
              <w:right w:w="101" w:type="dxa"/>
            </w:tcMar>
            <w:vAlign w:val="center"/>
          </w:tcPr>
          <w:p w14:paraId="5C9DB413" w14:textId="77777777" w:rsidR="00B90D2D" w:rsidRPr="00C3488C" w:rsidRDefault="00B90D2D" w:rsidP="00C3488C">
            <w:pPr>
              <w:spacing w:after="0" w:line="240" w:lineRule="auto"/>
              <w:jc w:val="center"/>
              <w:rPr>
                <w:rFonts w:eastAsia="Calibri"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753A6D78" w14:textId="2C71DB40" w:rsidR="00B90D2D" w:rsidRPr="00C3488C" w:rsidRDefault="00B90D2D" w:rsidP="00EF396D">
            <w:pPr>
              <w:spacing w:after="0" w:line="240" w:lineRule="auto"/>
              <w:jc w:val="center"/>
              <w:rPr>
                <w:rFonts w:eastAsia="Calibri" w:cs="Times New Roman"/>
                <w:sz w:val="24"/>
                <w:szCs w:val="24"/>
              </w:rPr>
            </w:pPr>
            <w:r>
              <w:rPr>
                <w:rFonts w:eastAsia="Calibri" w:cs="Times New Roman"/>
                <w:color w:val="000000"/>
                <w:sz w:val="24"/>
                <w:szCs w:val="24"/>
              </w:rPr>
              <w:t>Assurance Officer</w:t>
            </w:r>
          </w:p>
        </w:tc>
        <w:tc>
          <w:tcPr>
            <w:tcW w:w="1440" w:type="dxa"/>
            <w:tcBorders>
              <w:top w:val="nil"/>
              <w:left w:val="single" w:sz="4" w:space="0" w:color="auto"/>
              <w:bottom w:val="single" w:sz="8" w:space="0" w:color="auto"/>
              <w:right w:val="single" w:sz="8" w:space="0" w:color="auto"/>
            </w:tcBorders>
            <w:tcMar>
              <w:top w:w="72" w:type="dxa"/>
              <w:left w:w="101" w:type="dxa"/>
              <w:bottom w:w="72" w:type="dxa"/>
              <w:right w:w="101" w:type="dxa"/>
            </w:tcMar>
            <w:vAlign w:val="center"/>
          </w:tcPr>
          <w:p w14:paraId="29122B6C" w14:textId="123E25BD" w:rsidR="00B90D2D" w:rsidRPr="00C3488C" w:rsidRDefault="00B90D2D" w:rsidP="00EF396D">
            <w:pPr>
              <w:spacing w:after="0" w:line="240" w:lineRule="auto"/>
              <w:jc w:val="center"/>
              <w:rPr>
                <w:rFonts w:eastAsia="Calibri" w:cs="Times New Roman"/>
                <w:sz w:val="24"/>
                <w:szCs w:val="24"/>
              </w:rPr>
            </w:pPr>
            <w:r w:rsidRPr="00C3488C">
              <w:rPr>
                <w:rFonts w:eastAsia="Calibri" w:cs="Times New Roman"/>
                <w:sz w:val="24"/>
                <w:szCs w:val="24"/>
              </w:rPr>
              <w:t>13/7 @ 75%</w:t>
            </w:r>
          </w:p>
        </w:tc>
        <w:tc>
          <w:tcPr>
            <w:tcW w:w="126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3918A501" w14:textId="19BB23EC" w:rsidR="00B90D2D" w:rsidRPr="00C3488C" w:rsidRDefault="00B90D2D" w:rsidP="00003336">
            <w:pPr>
              <w:spacing w:after="0" w:line="240" w:lineRule="auto"/>
              <w:jc w:val="right"/>
              <w:rPr>
                <w:rFonts w:eastAsia="Calibri" w:cs="Times New Roman"/>
                <w:sz w:val="24"/>
                <w:szCs w:val="24"/>
              </w:rPr>
            </w:pPr>
            <w:r w:rsidRPr="00C3488C">
              <w:rPr>
                <w:rFonts w:eastAsia="Calibri" w:cs="Times New Roman"/>
                <w:sz w:val="24"/>
                <w:szCs w:val="24"/>
              </w:rPr>
              <w:t>8</w:t>
            </w:r>
            <w:r w:rsidR="007D61D5">
              <w:rPr>
                <w:rFonts w:eastAsia="Calibri" w:cs="Times New Roman"/>
                <w:sz w:val="24"/>
                <w:szCs w:val="24"/>
              </w:rPr>
              <w:t>9</w:t>
            </w:r>
            <w:r w:rsidRPr="00C3488C">
              <w:rPr>
                <w:rFonts w:eastAsia="Calibri" w:cs="Times New Roman"/>
                <w:sz w:val="24"/>
                <w:szCs w:val="24"/>
              </w:rPr>
              <w:t>,2</w:t>
            </w:r>
            <w:r w:rsidR="007D61D5">
              <w:rPr>
                <w:rFonts w:eastAsia="Calibri" w:cs="Times New Roman"/>
                <w:sz w:val="24"/>
                <w:szCs w:val="24"/>
              </w:rPr>
              <w:t>5</w:t>
            </w:r>
            <w:r w:rsidRPr="00C3488C">
              <w:rPr>
                <w:rFonts w:eastAsia="Calibri" w:cs="Times New Roman"/>
                <w:sz w:val="24"/>
                <w:szCs w:val="24"/>
              </w:rPr>
              <w:t>3</w:t>
            </w:r>
          </w:p>
        </w:tc>
        <w:tc>
          <w:tcPr>
            <w:tcW w:w="90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017ED7E1" w14:textId="04639F15" w:rsidR="00B90D2D" w:rsidRPr="00C3488C" w:rsidRDefault="00B90D2D" w:rsidP="00003336">
            <w:pPr>
              <w:spacing w:after="0" w:line="240" w:lineRule="auto"/>
              <w:jc w:val="center"/>
              <w:rPr>
                <w:rFonts w:eastAsia="Calibri" w:cs="Times New Roman"/>
                <w:sz w:val="24"/>
                <w:szCs w:val="24"/>
              </w:rPr>
            </w:pPr>
            <w:r w:rsidRPr="00C3488C">
              <w:rPr>
                <w:rFonts w:eastAsia="Calibri" w:cs="Times New Roman"/>
                <w:sz w:val="24"/>
                <w:szCs w:val="24"/>
              </w:rPr>
              <w:t>5</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1B6783A9" w14:textId="58CA477A" w:rsidR="00CA7739" w:rsidRPr="00C3488C" w:rsidRDefault="00B90D2D" w:rsidP="00CA7739">
            <w:pPr>
              <w:spacing w:after="0" w:line="240" w:lineRule="auto"/>
              <w:jc w:val="right"/>
              <w:rPr>
                <w:rFonts w:eastAsia="Times New Roman" w:cs="Times New Roman"/>
                <w:sz w:val="24"/>
                <w:szCs w:val="24"/>
              </w:rPr>
            </w:pPr>
            <w:r w:rsidRPr="00C3488C">
              <w:rPr>
                <w:rFonts w:eastAsia="Times New Roman" w:cs="Times New Roman"/>
                <w:sz w:val="24"/>
                <w:szCs w:val="24"/>
              </w:rPr>
              <w:t>4,</w:t>
            </w:r>
            <w:r w:rsidR="007D61D5">
              <w:rPr>
                <w:rFonts w:eastAsia="Times New Roman" w:cs="Times New Roman"/>
                <w:sz w:val="24"/>
                <w:szCs w:val="24"/>
              </w:rPr>
              <w:t>463</w:t>
            </w:r>
          </w:p>
        </w:tc>
      </w:tr>
      <w:tr w:rsidR="00B90D2D" w:rsidRPr="007B54BC" w14:paraId="0C3AC42C" w14:textId="77777777" w:rsidTr="00CA7739">
        <w:trPr>
          <w:jc w:val="center"/>
        </w:trPr>
        <w:tc>
          <w:tcPr>
            <w:tcW w:w="1880" w:type="dxa"/>
            <w:vMerge/>
            <w:tcBorders>
              <w:left w:val="single" w:sz="4" w:space="0" w:color="auto"/>
              <w:right w:val="single" w:sz="4" w:space="0" w:color="auto"/>
            </w:tcBorders>
            <w:tcMar>
              <w:top w:w="72" w:type="dxa"/>
              <w:left w:w="101" w:type="dxa"/>
              <w:bottom w:w="72" w:type="dxa"/>
              <w:right w:w="101" w:type="dxa"/>
            </w:tcMar>
            <w:vAlign w:val="center"/>
          </w:tcPr>
          <w:p w14:paraId="4DE45762" w14:textId="6077E010" w:rsidR="00B90D2D" w:rsidRPr="00C3488C" w:rsidRDefault="00B90D2D" w:rsidP="00C3488C">
            <w:pPr>
              <w:spacing w:after="0" w:line="240" w:lineRule="auto"/>
              <w:jc w:val="center"/>
              <w:rPr>
                <w:rFonts w:eastAsia="Calibri"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0B52928A" w14:textId="67F93F1F" w:rsidR="00B90D2D" w:rsidRPr="00C3488C" w:rsidRDefault="00B90D2D" w:rsidP="00EF396D">
            <w:pPr>
              <w:spacing w:after="0" w:line="240" w:lineRule="auto"/>
              <w:jc w:val="center"/>
              <w:rPr>
                <w:rFonts w:eastAsia="Calibri" w:cs="Times New Roman"/>
                <w:sz w:val="24"/>
                <w:szCs w:val="24"/>
              </w:rPr>
            </w:pPr>
            <w:r>
              <w:rPr>
                <w:rFonts w:eastAsia="Calibri" w:cs="Times New Roman"/>
                <w:sz w:val="24"/>
                <w:szCs w:val="24"/>
              </w:rPr>
              <w:t>Program Analyst</w:t>
            </w:r>
          </w:p>
        </w:tc>
        <w:tc>
          <w:tcPr>
            <w:tcW w:w="1440" w:type="dxa"/>
            <w:tcBorders>
              <w:top w:val="nil"/>
              <w:left w:val="single" w:sz="4" w:space="0" w:color="auto"/>
              <w:bottom w:val="single" w:sz="8" w:space="0" w:color="auto"/>
              <w:right w:val="single" w:sz="8" w:space="0" w:color="auto"/>
            </w:tcBorders>
            <w:shd w:val="clear" w:color="auto" w:fill="auto"/>
            <w:tcMar>
              <w:top w:w="72" w:type="dxa"/>
              <w:left w:w="101" w:type="dxa"/>
              <w:bottom w:w="72" w:type="dxa"/>
              <w:right w:w="101" w:type="dxa"/>
            </w:tcMar>
            <w:vAlign w:val="center"/>
          </w:tcPr>
          <w:p w14:paraId="4BF938D2" w14:textId="5D867C11" w:rsidR="00B90D2D" w:rsidRPr="00C3488C" w:rsidRDefault="00B90D2D" w:rsidP="00EF396D">
            <w:pPr>
              <w:spacing w:after="0" w:line="240" w:lineRule="auto"/>
              <w:jc w:val="center"/>
              <w:rPr>
                <w:rFonts w:eastAsia="Calibri" w:cs="Times New Roman"/>
                <w:sz w:val="24"/>
                <w:szCs w:val="24"/>
              </w:rPr>
            </w:pPr>
            <w:r w:rsidRPr="00C3488C">
              <w:rPr>
                <w:rFonts w:eastAsia="Calibri" w:cs="Times New Roman"/>
                <w:sz w:val="24"/>
                <w:szCs w:val="24"/>
              </w:rPr>
              <w:t>11/10</w:t>
            </w:r>
          </w:p>
        </w:tc>
        <w:tc>
          <w:tcPr>
            <w:tcW w:w="126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3305B18C" w14:textId="619E48F2" w:rsidR="00B90D2D" w:rsidRPr="00C3488C" w:rsidRDefault="007D61D5" w:rsidP="00003336">
            <w:pPr>
              <w:spacing w:after="0" w:line="240" w:lineRule="auto"/>
              <w:jc w:val="right"/>
              <w:rPr>
                <w:rFonts w:eastAsia="Calibri" w:cs="Times New Roman"/>
                <w:sz w:val="24"/>
                <w:szCs w:val="24"/>
              </w:rPr>
            </w:pPr>
            <w:r>
              <w:rPr>
                <w:rFonts w:eastAsia="Calibri" w:cs="Times New Roman"/>
                <w:sz w:val="24"/>
                <w:szCs w:val="24"/>
              </w:rPr>
              <w:t>90</w:t>
            </w:r>
            <w:r w:rsidR="00B90D2D" w:rsidRPr="00C3488C">
              <w:rPr>
                <w:rFonts w:eastAsia="Calibri" w:cs="Times New Roman"/>
                <w:sz w:val="24"/>
                <w:szCs w:val="24"/>
              </w:rPr>
              <w:t>,4</w:t>
            </w:r>
            <w:r>
              <w:rPr>
                <w:rFonts w:eastAsia="Calibri" w:cs="Times New Roman"/>
                <w:sz w:val="24"/>
                <w:szCs w:val="24"/>
              </w:rPr>
              <w:t>61</w:t>
            </w:r>
          </w:p>
        </w:tc>
        <w:tc>
          <w:tcPr>
            <w:tcW w:w="90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7C7918DA" w14:textId="57EAA819" w:rsidR="00B90D2D" w:rsidRPr="00C3488C" w:rsidRDefault="00B90D2D" w:rsidP="00003336">
            <w:pPr>
              <w:spacing w:after="0" w:line="240" w:lineRule="auto"/>
              <w:jc w:val="center"/>
              <w:rPr>
                <w:rFonts w:eastAsia="Calibri" w:cs="Times New Roman"/>
                <w:sz w:val="24"/>
                <w:szCs w:val="24"/>
              </w:rPr>
            </w:pPr>
            <w:r w:rsidRPr="00C3488C">
              <w:rPr>
                <w:rFonts w:eastAsia="Calibri" w:cs="Times New Roman"/>
                <w:sz w:val="24"/>
                <w:szCs w:val="24"/>
              </w:rPr>
              <w:t>20</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4DE95A51" w14:textId="5AC80054" w:rsidR="00B90D2D" w:rsidRPr="00C3488C" w:rsidRDefault="00B90D2D" w:rsidP="00003336">
            <w:pPr>
              <w:spacing w:after="0" w:line="240" w:lineRule="auto"/>
              <w:jc w:val="right"/>
              <w:rPr>
                <w:rFonts w:eastAsia="Times New Roman" w:cs="Times New Roman"/>
                <w:sz w:val="24"/>
                <w:szCs w:val="24"/>
              </w:rPr>
            </w:pPr>
            <w:r w:rsidRPr="00C3488C">
              <w:rPr>
                <w:rFonts w:eastAsia="Times New Roman" w:cs="Times New Roman"/>
                <w:sz w:val="24"/>
                <w:szCs w:val="24"/>
              </w:rPr>
              <w:t>1</w:t>
            </w:r>
            <w:r w:rsidR="007D61D5">
              <w:rPr>
                <w:rFonts w:eastAsia="Times New Roman" w:cs="Times New Roman"/>
                <w:sz w:val="24"/>
                <w:szCs w:val="24"/>
              </w:rPr>
              <w:t>8</w:t>
            </w:r>
            <w:r w:rsidRPr="00C3488C">
              <w:rPr>
                <w:rFonts w:eastAsia="Times New Roman" w:cs="Times New Roman"/>
                <w:sz w:val="24"/>
                <w:szCs w:val="24"/>
              </w:rPr>
              <w:t>,0</w:t>
            </w:r>
            <w:r w:rsidR="007D61D5">
              <w:rPr>
                <w:rFonts w:eastAsia="Times New Roman" w:cs="Times New Roman"/>
                <w:sz w:val="24"/>
                <w:szCs w:val="24"/>
              </w:rPr>
              <w:t>92</w:t>
            </w:r>
          </w:p>
        </w:tc>
      </w:tr>
      <w:tr w:rsidR="00B90D2D" w:rsidRPr="007B54BC" w14:paraId="54C7AAE7" w14:textId="77777777" w:rsidTr="00CA7739">
        <w:trPr>
          <w:jc w:val="center"/>
        </w:trPr>
        <w:tc>
          <w:tcPr>
            <w:tcW w:w="1880" w:type="dxa"/>
            <w:vMerge/>
            <w:tcBorders>
              <w:left w:val="single" w:sz="4" w:space="0" w:color="auto"/>
              <w:bottom w:val="single" w:sz="4" w:space="0" w:color="auto"/>
              <w:right w:val="single" w:sz="4" w:space="0" w:color="auto"/>
            </w:tcBorders>
            <w:tcMar>
              <w:top w:w="72" w:type="dxa"/>
              <w:left w:w="101" w:type="dxa"/>
              <w:bottom w:w="72" w:type="dxa"/>
              <w:right w:w="101" w:type="dxa"/>
            </w:tcMar>
            <w:vAlign w:val="center"/>
          </w:tcPr>
          <w:p w14:paraId="746C4327" w14:textId="77777777" w:rsidR="00B90D2D" w:rsidRPr="00C3488C" w:rsidRDefault="00B90D2D" w:rsidP="00C3488C">
            <w:pPr>
              <w:spacing w:after="0" w:line="240" w:lineRule="auto"/>
              <w:jc w:val="center"/>
              <w:rPr>
                <w:rFonts w:eastAsia="Calibri"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14:paraId="30188A90" w14:textId="019988BD" w:rsidR="00B90D2D" w:rsidRPr="00C3488C" w:rsidRDefault="00B90D2D" w:rsidP="00EF396D">
            <w:pPr>
              <w:spacing w:after="0" w:line="240" w:lineRule="auto"/>
              <w:jc w:val="center"/>
              <w:rPr>
                <w:rFonts w:eastAsia="Calibri" w:cs="Times New Roman"/>
                <w:color w:val="000000"/>
                <w:sz w:val="24"/>
                <w:szCs w:val="24"/>
              </w:rPr>
            </w:pPr>
            <w:r>
              <w:rPr>
                <w:rFonts w:eastAsia="Calibri" w:cs="Times New Roman"/>
                <w:sz w:val="24"/>
                <w:szCs w:val="24"/>
              </w:rPr>
              <w:t>Program Analyst</w:t>
            </w:r>
          </w:p>
        </w:tc>
        <w:tc>
          <w:tcPr>
            <w:tcW w:w="1440" w:type="dxa"/>
            <w:tcBorders>
              <w:top w:val="nil"/>
              <w:left w:val="single" w:sz="4" w:space="0" w:color="auto"/>
              <w:bottom w:val="single" w:sz="8" w:space="0" w:color="auto"/>
              <w:right w:val="single" w:sz="8" w:space="0" w:color="auto"/>
            </w:tcBorders>
            <w:shd w:val="clear" w:color="auto" w:fill="auto"/>
            <w:tcMar>
              <w:top w:w="72" w:type="dxa"/>
              <w:left w:w="101" w:type="dxa"/>
              <w:bottom w:w="72" w:type="dxa"/>
              <w:right w:w="101" w:type="dxa"/>
            </w:tcMar>
            <w:vAlign w:val="center"/>
          </w:tcPr>
          <w:p w14:paraId="785917D7" w14:textId="79CC5CFF" w:rsidR="00B90D2D" w:rsidRPr="00C3488C" w:rsidRDefault="00B90D2D" w:rsidP="00EF396D">
            <w:pPr>
              <w:spacing w:after="0" w:line="240" w:lineRule="auto"/>
              <w:jc w:val="center"/>
              <w:rPr>
                <w:rFonts w:eastAsia="Calibri" w:cs="Times New Roman"/>
                <w:color w:val="000000"/>
                <w:sz w:val="24"/>
                <w:szCs w:val="24"/>
              </w:rPr>
            </w:pPr>
            <w:r w:rsidRPr="00C3488C">
              <w:rPr>
                <w:rFonts w:eastAsia="Calibri" w:cs="Times New Roman"/>
                <w:color w:val="000000"/>
                <w:sz w:val="24"/>
                <w:szCs w:val="24"/>
              </w:rPr>
              <w:t>12/3</w:t>
            </w:r>
          </w:p>
        </w:tc>
        <w:tc>
          <w:tcPr>
            <w:tcW w:w="126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0CF489DF" w14:textId="034FCF28" w:rsidR="00B90D2D" w:rsidRPr="00C3488C" w:rsidRDefault="00B90D2D" w:rsidP="00003336">
            <w:pPr>
              <w:spacing w:after="0" w:line="240" w:lineRule="auto"/>
              <w:jc w:val="right"/>
              <w:rPr>
                <w:rFonts w:eastAsia="Calibri" w:cs="Times New Roman"/>
                <w:sz w:val="24"/>
                <w:szCs w:val="24"/>
              </w:rPr>
            </w:pPr>
            <w:r w:rsidRPr="00C3488C">
              <w:rPr>
                <w:rFonts w:eastAsia="Calibri" w:cs="Times New Roman"/>
                <w:sz w:val="24"/>
                <w:szCs w:val="24"/>
              </w:rPr>
              <w:t>8</w:t>
            </w:r>
            <w:r w:rsidR="007D61D5">
              <w:rPr>
                <w:rFonts w:eastAsia="Calibri" w:cs="Times New Roman"/>
                <w:sz w:val="24"/>
                <w:szCs w:val="24"/>
              </w:rPr>
              <w:t>8,959</w:t>
            </w:r>
          </w:p>
        </w:tc>
        <w:tc>
          <w:tcPr>
            <w:tcW w:w="90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1C59DFBE" w14:textId="2F499274" w:rsidR="00B90D2D" w:rsidRPr="00C3488C" w:rsidRDefault="00B90D2D" w:rsidP="00003336">
            <w:pPr>
              <w:spacing w:after="0" w:line="240" w:lineRule="auto"/>
              <w:jc w:val="center"/>
              <w:rPr>
                <w:rFonts w:eastAsia="Calibri" w:cs="Times New Roman"/>
                <w:sz w:val="24"/>
                <w:szCs w:val="24"/>
              </w:rPr>
            </w:pPr>
            <w:r w:rsidRPr="00C3488C">
              <w:rPr>
                <w:rFonts w:eastAsia="Calibri" w:cs="Times New Roman"/>
                <w:sz w:val="24"/>
                <w:szCs w:val="24"/>
              </w:rPr>
              <w:t>20</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16DDC47D" w14:textId="49CC70FB" w:rsidR="00B90D2D" w:rsidRPr="00C3488C" w:rsidRDefault="00B90D2D" w:rsidP="00003336">
            <w:pPr>
              <w:spacing w:after="0" w:line="240" w:lineRule="auto"/>
              <w:jc w:val="right"/>
              <w:rPr>
                <w:rFonts w:eastAsia="Calibri" w:cs="Times New Roman"/>
                <w:sz w:val="24"/>
                <w:szCs w:val="24"/>
              </w:rPr>
            </w:pPr>
            <w:r w:rsidRPr="00C3488C">
              <w:rPr>
                <w:rFonts w:eastAsia="Calibri" w:cs="Times New Roman"/>
                <w:sz w:val="24"/>
                <w:szCs w:val="24"/>
              </w:rPr>
              <w:t>17,</w:t>
            </w:r>
            <w:r w:rsidR="00CA7739">
              <w:rPr>
                <w:rFonts w:eastAsia="Calibri" w:cs="Times New Roman"/>
                <w:sz w:val="24"/>
                <w:szCs w:val="24"/>
              </w:rPr>
              <w:t>7</w:t>
            </w:r>
            <w:r w:rsidR="007D61D5">
              <w:rPr>
                <w:rFonts w:eastAsia="Calibri" w:cs="Times New Roman"/>
                <w:sz w:val="24"/>
                <w:szCs w:val="24"/>
              </w:rPr>
              <w:t>92</w:t>
            </w:r>
          </w:p>
        </w:tc>
      </w:tr>
      <w:tr w:rsidR="00EF396D" w:rsidRPr="007B54BC" w14:paraId="4AEBFF88" w14:textId="77777777" w:rsidTr="00CA7739">
        <w:trPr>
          <w:jc w:val="center"/>
        </w:trPr>
        <w:tc>
          <w:tcPr>
            <w:tcW w:w="1880" w:type="dxa"/>
            <w:vMerge w:val="restart"/>
            <w:tcBorders>
              <w:top w:val="single" w:sz="4" w:space="0" w:color="auto"/>
              <w:left w:val="single" w:sz="8" w:space="0" w:color="auto"/>
              <w:right w:val="single" w:sz="4" w:space="0" w:color="auto"/>
            </w:tcBorders>
            <w:tcMar>
              <w:top w:w="72" w:type="dxa"/>
              <w:left w:w="101" w:type="dxa"/>
              <w:bottom w:w="72" w:type="dxa"/>
              <w:right w:w="101" w:type="dxa"/>
            </w:tcMar>
            <w:vAlign w:val="center"/>
          </w:tcPr>
          <w:p w14:paraId="4584914B" w14:textId="09FBAB92" w:rsidR="00EF396D" w:rsidRPr="00C3488C" w:rsidRDefault="00EF396D" w:rsidP="00C3488C">
            <w:pPr>
              <w:spacing w:after="0" w:line="240" w:lineRule="auto"/>
              <w:jc w:val="center"/>
              <w:rPr>
                <w:rFonts w:eastAsia="Calibri" w:cs="Times New Roman"/>
                <w:color w:val="1F497D"/>
                <w:sz w:val="24"/>
                <w:szCs w:val="24"/>
              </w:rPr>
            </w:pPr>
            <w:r w:rsidRPr="00C3488C">
              <w:rPr>
                <w:rFonts w:eastAsia="Calibri" w:cs="Times New Roman"/>
                <w:sz w:val="24"/>
                <w:szCs w:val="24"/>
              </w:rPr>
              <w:t>Contractor Cost</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72" w:type="dxa"/>
              <w:left w:w="101" w:type="dxa"/>
              <w:bottom w:w="72" w:type="dxa"/>
              <w:right w:w="101" w:type="dxa"/>
            </w:tcMar>
            <w:vAlign w:val="center"/>
          </w:tcPr>
          <w:p w14:paraId="69B2FDFA" w14:textId="55E9B48C" w:rsidR="00EF396D" w:rsidRPr="00C3488C" w:rsidRDefault="00B90D2D" w:rsidP="00EF396D">
            <w:pPr>
              <w:spacing w:after="0" w:line="240" w:lineRule="auto"/>
              <w:jc w:val="center"/>
              <w:rPr>
                <w:rFonts w:eastAsia="Calibri" w:cs="Times New Roman"/>
                <w:color w:val="000000"/>
                <w:sz w:val="24"/>
                <w:szCs w:val="24"/>
              </w:rPr>
            </w:pPr>
            <w:r>
              <w:rPr>
                <w:rFonts w:eastAsia="Calibri" w:cs="Times New Roman"/>
                <w:color w:val="000000"/>
                <w:sz w:val="24"/>
                <w:szCs w:val="24"/>
              </w:rPr>
              <w:t>Program Assistant</w:t>
            </w:r>
          </w:p>
        </w:tc>
        <w:tc>
          <w:tcPr>
            <w:tcW w:w="1440" w:type="dxa"/>
            <w:tcBorders>
              <w:top w:val="nil"/>
              <w:left w:val="single" w:sz="4" w:space="0" w:color="auto"/>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tcPr>
          <w:p w14:paraId="09C6C4C3" w14:textId="38888DC1" w:rsidR="00EF396D" w:rsidRPr="00C3488C" w:rsidRDefault="00EF396D" w:rsidP="007B54BC">
            <w:pPr>
              <w:spacing w:after="0" w:line="240" w:lineRule="auto"/>
              <w:rPr>
                <w:rFonts w:eastAsia="Calibri" w:cs="Times New Roman"/>
                <w:color w:val="000000"/>
                <w:sz w:val="24"/>
                <w:szCs w:val="24"/>
              </w:rPr>
            </w:pPr>
          </w:p>
        </w:tc>
        <w:tc>
          <w:tcPr>
            <w:tcW w:w="126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29773080" w14:textId="186DF5AA" w:rsidR="00EF396D" w:rsidRPr="00C3488C" w:rsidRDefault="00EF396D" w:rsidP="00003336">
            <w:pPr>
              <w:spacing w:after="0" w:line="240" w:lineRule="auto"/>
              <w:jc w:val="right"/>
              <w:rPr>
                <w:rFonts w:eastAsia="Calibri" w:cs="Times New Roman"/>
                <w:sz w:val="24"/>
                <w:szCs w:val="24"/>
              </w:rPr>
            </w:pPr>
            <w:r w:rsidRPr="00C3488C">
              <w:rPr>
                <w:rFonts w:eastAsia="Calibri" w:cs="Times New Roman"/>
                <w:sz w:val="24"/>
                <w:szCs w:val="24"/>
              </w:rPr>
              <w:t>107,084</w:t>
            </w:r>
          </w:p>
        </w:tc>
        <w:tc>
          <w:tcPr>
            <w:tcW w:w="90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5C8C7929" w14:textId="4D924CFD" w:rsidR="00EF396D" w:rsidRPr="00C3488C" w:rsidRDefault="00EF396D" w:rsidP="00003336">
            <w:pPr>
              <w:spacing w:after="0" w:line="240" w:lineRule="auto"/>
              <w:jc w:val="center"/>
              <w:rPr>
                <w:rFonts w:eastAsia="Calibri" w:cs="Times New Roman"/>
                <w:sz w:val="24"/>
                <w:szCs w:val="24"/>
              </w:rPr>
            </w:pPr>
            <w:r w:rsidRPr="00C3488C">
              <w:rPr>
                <w:rFonts w:eastAsia="Calibri" w:cs="Times New Roman"/>
                <w:sz w:val="24"/>
                <w:szCs w:val="24"/>
              </w:rPr>
              <w:t>20</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6DE6D0FA" w14:textId="52479A76" w:rsidR="00EF396D" w:rsidRPr="00C3488C" w:rsidRDefault="00EF396D" w:rsidP="00003336">
            <w:pPr>
              <w:spacing w:after="0" w:line="240" w:lineRule="auto"/>
              <w:jc w:val="right"/>
              <w:rPr>
                <w:rFonts w:eastAsia="Calibri" w:cs="Times New Roman"/>
                <w:sz w:val="24"/>
                <w:szCs w:val="24"/>
              </w:rPr>
            </w:pPr>
            <w:r w:rsidRPr="00C3488C">
              <w:rPr>
                <w:rFonts w:eastAsia="Calibri" w:cs="Times New Roman"/>
                <w:sz w:val="24"/>
                <w:szCs w:val="24"/>
              </w:rPr>
              <w:t>21,41</w:t>
            </w:r>
            <w:r w:rsidR="00CA7739">
              <w:rPr>
                <w:rFonts w:eastAsia="Calibri" w:cs="Times New Roman"/>
                <w:sz w:val="24"/>
                <w:szCs w:val="24"/>
              </w:rPr>
              <w:t>7</w:t>
            </w:r>
          </w:p>
        </w:tc>
      </w:tr>
      <w:tr w:rsidR="00B90D2D" w:rsidRPr="007B54BC" w14:paraId="776CCEBD" w14:textId="77777777" w:rsidTr="00CA7739">
        <w:trPr>
          <w:jc w:val="center"/>
        </w:trPr>
        <w:tc>
          <w:tcPr>
            <w:tcW w:w="1880" w:type="dxa"/>
            <w:vMerge/>
            <w:tcBorders>
              <w:left w:val="single" w:sz="8" w:space="0" w:color="auto"/>
              <w:bottom w:val="single" w:sz="8" w:space="0" w:color="auto"/>
              <w:right w:val="single" w:sz="4" w:space="0" w:color="auto"/>
            </w:tcBorders>
            <w:tcMar>
              <w:top w:w="72" w:type="dxa"/>
              <w:left w:w="101" w:type="dxa"/>
              <w:bottom w:w="72" w:type="dxa"/>
              <w:right w:w="101" w:type="dxa"/>
            </w:tcMar>
            <w:vAlign w:val="center"/>
            <w:hideMark/>
          </w:tcPr>
          <w:p w14:paraId="5AB6CFDC" w14:textId="77777777" w:rsidR="00B90D2D" w:rsidRPr="00C3488C" w:rsidRDefault="00B90D2D" w:rsidP="00B90D2D">
            <w:pPr>
              <w:spacing w:after="0" w:line="240" w:lineRule="auto"/>
              <w:jc w:val="center"/>
              <w:rPr>
                <w:rFonts w:eastAsia="Calibri" w:cs="Times New Roman"/>
                <w:bCs/>
                <w:color w:val="000000"/>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72" w:type="dxa"/>
              <w:left w:w="101" w:type="dxa"/>
              <w:bottom w:w="72" w:type="dxa"/>
              <w:right w:w="101" w:type="dxa"/>
            </w:tcMar>
            <w:vAlign w:val="center"/>
          </w:tcPr>
          <w:p w14:paraId="5C117DDF" w14:textId="09A76A98" w:rsidR="00B90D2D" w:rsidRPr="00C3488C" w:rsidRDefault="00B90D2D" w:rsidP="00B90D2D">
            <w:pPr>
              <w:spacing w:after="0" w:line="240" w:lineRule="auto"/>
              <w:jc w:val="center"/>
              <w:rPr>
                <w:rFonts w:eastAsia="Calibri" w:cs="Times New Roman"/>
                <w:sz w:val="24"/>
                <w:szCs w:val="24"/>
              </w:rPr>
            </w:pPr>
            <w:r>
              <w:rPr>
                <w:rFonts w:eastAsia="Calibri" w:cs="Times New Roman"/>
                <w:color w:val="000000"/>
                <w:sz w:val="24"/>
                <w:szCs w:val="24"/>
              </w:rPr>
              <w:t>Program Assistant</w:t>
            </w:r>
          </w:p>
        </w:tc>
        <w:tc>
          <w:tcPr>
            <w:tcW w:w="1440" w:type="dxa"/>
            <w:tcBorders>
              <w:top w:val="nil"/>
              <w:left w:val="single" w:sz="4" w:space="0" w:color="auto"/>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tcPr>
          <w:p w14:paraId="32510164" w14:textId="12C649FF" w:rsidR="00B90D2D" w:rsidRPr="00C3488C" w:rsidRDefault="00B90D2D" w:rsidP="00B90D2D">
            <w:pPr>
              <w:spacing w:after="0" w:line="240" w:lineRule="auto"/>
              <w:rPr>
                <w:rFonts w:eastAsia="Calibri" w:cs="Times New Roman"/>
                <w:sz w:val="24"/>
                <w:szCs w:val="24"/>
              </w:rPr>
            </w:pPr>
          </w:p>
        </w:tc>
        <w:tc>
          <w:tcPr>
            <w:tcW w:w="126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hideMark/>
          </w:tcPr>
          <w:p w14:paraId="68AF2454" w14:textId="374FB62F" w:rsidR="00B90D2D" w:rsidRPr="00C3488C" w:rsidRDefault="00B90D2D" w:rsidP="00B90D2D">
            <w:pPr>
              <w:spacing w:after="0" w:line="240" w:lineRule="auto"/>
              <w:jc w:val="right"/>
              <w:rPr>
                <w:rFonts w:eastAsia="Times New Roman" w:cs="Times New Roman"/>
                <w:sz w:val="24"/>
                <w:szCs w:val="24"/>
              </w:rPr>
            </w:pPr>
            <w:r w:rsidRPr="00C3488C">
              <w:rPr>
                <w:rFonts w:eastAsia="Times New Roman" w:cs="Times New Roman"/>
                <w:sz w:val="24"/>
                <w:szCs w:val="24"/>
              </w:rPr>
              <w:t>76,572</w:t>
            </w:r>
          </w:p>
        </w:tc>
        <w:tc>
          <w:tcPr>
            <w:tcW w:w="900" w:type="dxa"/>
            <w:tcBorders>
              <w:top w:val="nil"/>
              <w:left w:val="nil"/>
              <w:bottom w:val="single" w:sz="8" w:space="0" w:color="auto"/>
              <w:right w:val="single" w:sz="8" w:space="0" w:color="auto"/>
            </w:tcBorders>
            <w:shd w:val="clear" w:color="auto" w:fill="auto"/>
            <w:tcMar>
              <w:top w:w="72" w:type="dxa"/>
              <w:left w:w="101" w:type="dxa"/>
              <w:bottom w:w="72" w:type="dxa"/>
              <w:right w:w="101" w:type="dxa"/>
            </w:tcMar>
            <w:vAlign w:val="center"/>
          </w:tcPr>
          <w:p w14:paraId="2211A3E7" w14:textId="26465ABD" w:rsidR="00B90D2D" w:rsidRPr="00C3488C" w:rsidRDefault="00B90D2D" w:rsidP="00B90D2D">
            <w:pPr>
              <w:spacing w:after="0" w:line="240" w:lineRule="auto"/>
              <w:jc w:val="center"/>
              <w:rPr>
                <w:rFonts w:eastAsia="Calibri" w:cs="Times New Roman"/>
                <w:sz w:val="24"/>
                <w:szCs w:val="24"/>
              </w:rPr>
            </w:pPr>
            <w:r w:rsidRPr="00C3488C">
              <w:rPr>
                <w:rFonts w:eastAsia="Calibri" w:cs="Times New Roman"/>
                <w:sz w:val="24"/>
                <w:szCs w:val="24"/>
              </w:rPr>
              <w:t>20</w:t>
            </w: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64FDCB4A" w14:textId="46745508" w:rsidR="00B90D2D" w:rsidRPr="00C3488C" w:rsidRDefault="00B90D2D" w:rsidP="00B90D2D">
            <w:pPr>
              <w:spacing w:after="0" w:line="240" w:lineRule="auto"/>
              <w:jc w:val="right"/>
              <w:rPr>
                <w:rFonts w:eastAsia="Times New Roman" w:cs="Times New Roman"/>
                <w:sz w:val="24"/>
                <w:szCs w:val="24"/>
              </w:rPr>
            </w:pPr>
            <w:r w:rsidRPr="00C3488C">
              <w:rPr>
                <w:rFonts w:eastAsia="Times New Roman" w:cs="Times New Roman"/>
                <w:sz w:val="24"/>
                <w:szCs w:val="24"/>
              </w:rPr>
              <w:t>15,314</w:t>
            </w:r>
          </w:p>
        </w:tc>
      </w:tr>
      <w:tr w:rsidR="00B90D2D" w:rsidRPr="007B54BC" w14:paraId="0B2FFAED" w14:textId="77777777" w:rsidTr="00CA7739">
        <w:trPr>
          <w:jc w:val="center"/>
        </w:trPr>
        <w:tc>
          <w:tcPr>
            <w:tcW w:w="1880" w:type="dxa"/>
            <w:tcBorders>
              <w:top w:val="nil"/>
              <w:left w:val="single" w:sz="8" w:space="0" w:color="auto"/>
              <w:bottom w:val="single" w:sz="8" w:space="0" w:color="auto"/>
              <w:right w:val="single" w:sz="4" w:space="0" w:color="auto"/>
            </w:tcBorders>
            <w:tcMar>
              <w:top w:w="72" w:type="dxa"/>
              <w:left w:w="101" w:type="dxa"/>
              <w:bottom w:w="72" w:type="dxa"/>
              <w:right w:w="101" w:type="dxa"/>
            </w:tcMar>
            <w:vAlign w:val="center"/>
          </w:tcPr>
          <w:p w14:paraId="1A1B07FA" w14:textId="79F7AAE0" w:rsidR="00B90D2D" w:rsidRPr="00C3488C" w:rsidRDefault="00B90D2D" w:rsidP="00B90D2D">
            <w:pPr>
              <w:spacing w:after="0" w:line="240" w:lineRule="auto"/>
              <w:jc w:val="center"/>
              <w:rPr>
                <w:rFonts w:eastAsia="Times New Roman" w:cs="Times New Roman"/>
                <w:sz w:val="24"/>
                <w:szCs w:val="24"/>
              </w:rPr>
            </w:pPr>
            <w:r w:rsidRPr="00C3488C">
              <w:rPr>
                <w:rFonts w:eastAsia="Times New Roman" w:cs="Times New Roman"/>
                <w:sz w:val="24"/>
                <w:szCs w:val="24"/>
              </w:rPr>
              <w:t>Office Supplies / Printer Costs</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2" w:type="dxa"/>
              <w:left w:w="101" w:type="dxa"/>
              <w:bottom w:w="72" w:type="dxa"/>
              <w:right w:w="101" w:type="dxa"/>
            </w:tcMar>
            <w:vAlign w:val="center"/>
          </w:tcPr>
          <w:p w14:paraId="525FB01A" w14:textId="77777777" w:rsidR="00B90D2D" w:rsidRPr="00C3488C" w:rsidRDefault="00B90D2D" w:rsidP="00B90D2D">
            <w:pPr>
              <w:spacing w:after="0" w:line="240" w:lineRule="auto"/>
              <w:jc w:val="center"/>
              <w:rPr>
                <w:rFonts w:eastAsia="Calibri" w:cs="Times New Roman"/>
                <w:sz w:val="24"/>
                <w:szCs w:val="24"/>
              </w:rPr>
            </w:pPr>
          </w:p>
        </w:tc>
        <w:tc>
          <w:tcPr>
            <w:tcW w:w="1440" w:type="dxa"/>
            <w:tcBorders>
              <w:top w:val="nil"/>
              <w:left w:val="single" w:sz="4" w:space="0" w:color="auto"/>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tcPr>
          <w:p w14:paraId="1A0DC5C8" w14:textId="2616C3BB" w:rsidR="00B90D2D" w:rsidRPr="00C3488C" w:rsidRDefault="00B90D2D" w:rsidP="00B90D2D">
            <w:pPr>
              <w:spacing w:after="0" w:line="240" w:lineRule="auto"/>
              <w:rPr>
                <w:rFonts w:eastAsia="Calibri"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tcPr>
          <w:p w14:paraId="1D6959D5" w14:textId="77777777" w:rsidR="00B90D2D" w:rsidRPr="00C3488C" w:rsidRDefault="00B90D2D" w:rsidP="00B90D2D">
            <w:pPr>
              <w:spacing w:after="0" w:line="240" w:lineRule="auto"/>
              <w:rPr>
                <w:rFonts w:eastAsia="Times New Roman" w:cs="Times New Roman"/>
                <w:sz w:val="24"/>
                <w:szCs w:val="24"/>
              </w:rPr>
            </w:pPr>
          </w:p>
        </w:tc>
        <w:tc>
          <w:tcPr>
            <w:tcW w:w="900" w:type="dxa"/>
            <w:tcBorders>
              <w:top w:val="nil"/>
              <w:left w:val="nil"/>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tcPr>
          <w:p w14:paraId="6DA8017D" w14:textId="77777777" w:rsidR="00B90D2D" w:rsidRPr="00C3488C" w:rsidRDefault="00B90D2D" w:rsidP="00B90D2D">
            <w:pPr>
              <w:spacing w:after="0" w:line="240" w:lineRule="auto"/>
              <w:rPr>
                <w:rFonts w:eastAsia="Times New Roman" w:cs="Times New Roman"/>
                <w:sz w:val="24"/>
                <w:szCs w:val="24"/>
              </w:rPr>
            </w:pP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614E12B1" w14:textId="142DD107" w:rsidR="00B90D2D" w:rsidRPr="00C3488C" w:rsidRDefault="00B90D2D" w:rsidP="00B90D2D">
            <w:pPr>
              <w:spacing w:after="0" w:line="240" w:lineRule="auto"/>
              <w:jc w:val="right"/>
              <w:rPr>
                <w:rFonts w:eastAsia="Times New Roman" w:cs="Times New Roman"/>
                <w:sz w:val="24"/>
                <w:szCs w:val="24"/>
              </w:rPr>
            </w:pPr>
            <w:r w:rsidRPr="00C3488C">
              <w:rPr>
                <w:rFonts w:eastAsia="Times New Roman" w:cs="Times New Roman"/>
                <w:sz w:val="24"/>
                <w:szCs w:val="24"/>
              </w:rPr>
              <w:t>3,000</w:t>
            </w:r>
          </w:p>
        </w:tc>
      </w:tr>
      <w:tr w:rsidR="00B90D2D" w:rsidRPr="007B54BC" w14:paraId="7F34BEA2" w14:textId="77777777" w:rsidTr="00CA7739">
        <w:trPr>
          <w:jc w:val="center"/>
        </w:trPr>
        <w:tc>
          <w:tcPr>
            <w:tcW w:w="1880" w:type="dxa"/>
            <w:tcBorders>
              <w:top w:val="nil"/>
              <w:left w:val="single" w:sz="8" w:space="0" w:color="auto"/>
              <w:bottom w:val="single" w:sz="8" w:space="0" w:color="auto"/>
              <w:right w:val="single" w:sz="4" w:space="0" w:color="auto"/>
            </w:tcBorders>
            <w:tcMar>
              <w:top w:w="72" w:type="dxa"/>
              <w:left w:w="101" w:type="dxa"/>
              <w:bottom w:w="72" w:type="dxa"/>
              <w:right w:w="101" w:type="dxa"/>
            </w:tcMar>
            <w:vAlign w:val="center"/>
            <w:hideMark/>
          </w:tcPr>
          <w:p w14:paraId="24442857" w14:textId="77777777" w:rsidR="00B90D2D" w:rsidRPr="00C3488C" w:rsidRDefault="00B90D2D" w:rsidP="00B90D2D">
            <w:pPr>
              <w:spacing w:after="0" w:line="240" w:lineRule="auto"/>
              <w:jc w:val="center"/>
              <w:rPr>
                <w:rFonts w:eastAsia="Times New Roman" w:cs="Times New Roman"/>
                <w:sz w:val="24"/>
                <w:szCs w:val="24"/>
              </w:rPr>
            </w:pPr>
            <w:r w:rsidRPr="00C3488C">
              <w:rPr>
                <w:rFonts w:eastAsia="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2" w:type="dxa"/>
              <w:left w:w="101" w:type="dxa"/>
              <w:bottom w:w="72" w:type="dxa"/>
              <w:right w:w="101" w:type="dxa"/>
            </w:tcMar>
            <w:vAlign w:val="center"/>
          </w:tcPr>
          <w:p w14:paraId="122A6C12" w14:textId="77777777" w:rsidR="00B90D2D" w:rsidRPr="00C3488C" w:rsidRDefault="00B90D2D" w:rsidP="00B90D2D">
            <w:pPr>
              <w:spacing w:after="0" w:line="240" w:lineRule="auto"/>
              <w:jc w:val="center"/>
              <w:rPr>
                <w:rFonts w:eastAsia="Calibri" w:cs="Times New Roman"/>
                <w:sz w:val="24"/>
                <w:szCs w:val="24"/>
              </w:rPr>
            </w:pPr>
          </w:p>
        </w:tc>
        <w:tc>
          <w:tcPr>
            <w:tcW w:w="1440" w:type="dxa"/>
            <w:tcBorders>
              <w:top w:val="nil"/>
              <w:left w:val="single" w:sz="4" w:space="0" w:color="auto"/>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tcPr>
          <w:p w14:paraId="65CC58DC" w14:textId="3BF3C71D" w:rsidR="00B90D2D" w:rsidRPr="00C3488C" w:rsidRDefault="00B90D2D" w:rsidP="00B90D2D">
            <w:pPr>
              <w:spacing w:after="0" w:line="240" w:lineRule="auto"/>
              <w:rPr>
                <w:rFonts w:eastAsia="Calibri"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hideMark/>
          </w:tcPr>
          <w:p w14:paraId="6B79E628" w14:textId="77777777" w:rsidR="00B90D2D" w:rsidRPr="00C3488C" w:rsidRDefault="00B90D2D" w:rsidP="00B90D2D">
            <w:pPr>
              <w:spacing w:after="0" w:line="240" w:lineRule="auto"/>
              <w:rPr>
                <w:rFonts w:eastAsia="Times New Roman" w:cs="Times New Roman"/>
                <w:sz w:val="24"/>
                <w:szCs w:val="24"/>
              </w:rPr>
            </w:pPr>
          </w:p>
        </w:tc>
        <w:tc>
          <w:tcPr>
            <w:tcW w:w="900" w:type="dxa"/>
            <w:tcBorders>
              <w:top w:val="nil"/>
              <w:left w:val="nil"/>
              <w:bottom w:val="single" w:sz="8" w:space="0" w:color="auto"/>
              <w:right w:val="single" w:sz="8" w:space="0" w:color="auto"/>
            </w:tcBorders>
            <w:shd w:val="clear" w:color="auto" w:fill="BFBFBF" w:themeFill="background1" w:themeFillShade="BF"/>
            <w:tcMar>
              <w:top w:w="72" w:type="dxa"/>
              <w:left w:w="101" w:type="dxa"/>
              <w:bottom w:w="72" w:type="dxa"/>
              <w:right w:w="101" w:type="dxa"/>
            </w:tcMar>
            <w:vAlign w:val="center"/>
            <w:hideMark/>
          </w:tcPr>
          <w:p w14:paraId="3E7F7E7F" w14:textId="77777777" w:rsidR="00B90D2D" w:rsidRPr="00C3488C" w:rsidRDefault="00B90D2D" w:rsidP="00B90D2D">
            <w:pPr>
              <w:spacing w:after="0" w:line="240" w:lineRule="auto"/>
              <w:rPr>
                <w:rFonts w:eastAsia="Times New Roman" w:cs="Times New Roman"/>
                <w:sz w:val="24"/>
                <w:szCs w:val="24"/>
              </w:rPr>
            </w:pPr>
          </w:p>
        </w:tc>
        <w:tc>
          <w:tcPr>
            <w:tcW w:w="1770" w:type="dxa"/>
            <w:tcBorders>
              <w:top w:val="nil"/>
              <w:left w:val="nil"/>
              <w:bottom w:val="single" w:sz="8" w:space="0" w:color="auto"/>
              <w:right w:val="single" w:sz="8" w:space="0" w:color="auto"/>
            </w:tcBorders>
            <w:tcMar>
              <w:top w:w="72" w:type="dxa"/>
              <w:left w:w="101" w:type="dxa"/>
              <w:bottom w:w="72" w:type="dxa"/>
              <w:right w:w="101" w:type="dxa"/>
            </w:tcMar>
            <w:vAlign w:val="center"/>
          </w:tcPr>
          <w:p w14:paraId="66E52120" w14:textId="61750980" w:rsidR="00B90D2D" w:rsidRPr="00C3488C" w:rsidRDefault="00B90D2D" w:rsidP="00B90D2D">
            <w:pPr>
              <w:spacing w:after="0" w:line="240" w:lineRule="auto"/>
              <w:jc w:val="right"/>
              <w:rPr>
                <w:rFonts w:eastAsia="Times New Roman" w:cs="Times New Roman"/>
                <w:sz w:val="24"/>
                <w:szCs w:val="24"/>
              </w:rPr>
            </w:pPr>
            <w:r w:rsidRPr="00C3488C">
              <w:rPr>
                <w:rFonts w:eastAsia="Times New Roman" w:cs="Times New Roman"/>
                <w:sz w:val="24"/>
                <w:szCs w:val="24"/>
              </w:rPr>
              <w:t>3</w:t>
            </w:r>
            <w:r w:rsidR="00CA7739">
              <w:rPr>
                <w:rFonts w:eastAsia="Times New Roman" w:cs="Times New Roman"/>
                <w:sz w:val="24"/>
                <w:szCs w:val="24"/>
              </w:rPr>
              <w:t>3</w:t>
            </w:r>
            <w:r w:rsidR="007D61D5">
              <w:rPr>
                <w:rFonts w:eastAsia="Times New Roman" w:cs="Times New Roman"/>
                <w:sz w:val="24"/>
                <w:szCs w:val="24"/>
              </w:rPr>
              <w:t>6</w:t>
            </w:r>
            <w:r w:rsidRPr="00C3488C">
              <w:rPr>
                <w:rFonts w:eastAsia="Times New Roman" w:cs="Times New Roman"/>
                <w:sz w:val="24"/>
                <w:szCs w:val="24"/>
              </w:rPr>
              <w:t>,</w:t>
            </w:r>
            <w:r w:rsidR="007D61D5">
              <w:rPr>
                <w:rFonts w:eastAsia="Times New Roman" w:cs="Times New Roman"/>
                <w:sz w:val="24"/>
                <w:szCs w:val="24"/>
              </w:rPr>
              <w:t>946</w:t>
            </w:r>
          </w:p>
        </w:tc>
      </w:tr>
    </w:tbl>
    <w:p w14:paraId="152E189E" w14:textId="77777777" w:rsidR="00950D5A" w:rsidRDefault="00950D5A" w:rsidP="00950D5A">
      <w:pPr>
        <w:spacing w:after="0" w:line="240" w:lineRule="auto"/>
        <w:jc w:val="center"/>
        <w:rPr>
          <w:rFonts w:eastAsia="Times New Roman" w:cs="Times New Roman"/>
        </w:rPr>
      </w:pPr>
    </w:p>
    <w:p w14:paraId="2473126F" w14:textId="64ADD546" w:rsidR="00950D5A" w:rsidRPr="00B31022" w:rsidRDefault="00950D5A" w:rsidP="00950D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EF396D">
        <w:rPr>
          <w:rFonts w:ascii="Times New Roman" w:eastAsia="Times New Roman" w:hAnsi="Times New Roman" w:cs="Times New Roman"/>
          <w:sz w:val="16"/>
          <w:szCs w:val="16"/>
        </w:rPr>
        <w:t>Office of Personnel Management</w:t>
      </w:r>
      <w:r>
        <w:rPr>
          <w:rFonts w:ascii="Times New Roman" w:eastAsia="Times New Roman" w:hAnsi="Times New Roman" w:cs="Times New Roman"/>
          <w:sz w:val="16"/>
          <w:szCs w:val="16"/>
        </w:rPr>
        <w:t xml:space="preserve">. </w:t>
      </w:r>
      <w:r w:rsidR="00EF396D">
        <w:rPr>
          <w:rFonts w:ascii="Times New Roman" w:eastAsia="Times New Roman" w:hAnsi="Times New Roman" w:cs="Times New Roman"/>
          <w:sz w:val="16"/>
          <w:szCs w:val="16"/>
        </w:rPr>
        <w:t>January 2019</w:t>
      </w:r>
      <w:r>
        <w:rPr>
          <w:rFonts w:ascii="Times New Roman" w:eastAsia="Times New Roman" w:hAnsi="Times New Roman" w:cs="Times New Roman"/>
          <w:sz w:val="16"/>
          <w:szCs w:val="16"/>
        </w:rPr>
        <w:t>.</w:t>
      </w:r>
      <w:r w:rsidRPr="00281DC1">
        <w:rPr>
          <w:rFonts w:ascii="Times New Roman" w:eastAsia="Times New Roman" w:hAnsi="Times New Roman" w:cs="Times New Roman"/>
          <w:sz w:val="16"/>
          <w:szCs w:val="16"/>
        </w:rPr>
        <w:t xml:space="preserve"> </w:t>
      </w:r>
      <w:r w:rsidR="00EF396D" w:rsidRPr="00EF396D">
        <w:rPr>
          <w:rFonts w:ascii="Times New Roman" w:eastAsia="Times New Roman" w:hAnsi="Times New Roman" w:cs="Times New Roman"/>
          <w:sz w:val="16"/>
          <w:szCs w:val="16"/>
        </w:rPr>
        <w:t xml:space="preserve">General Schedule </w:t>
      </w:r>
      <w:r w:rsidR="00EF396D">
        <w:rPr>
          <w:rFonts w:ascii="Times New Roman" w:eastAsia="Times New Roman" w:hAnsi="Times New Roman" w:cs="Times New Roman"/>
          <w:sz w:val="16"/>
          <w:szCs w:val="16"/>
        </w:rPr>
        <w:t>Salary Table 2019-DCB for the Locality Pay Area of Washington-Baltimore-Arlington, DC-MD-VA-WV-PA</w:t>
      </w:r>
      <w:r>
        <w:rPr>
          <w:rFonts w:ascii="Times New Roman" w:eastAsia="Times New Roman" w:hAnsi="Times New Roman" w:cs="Times New Roman"/>
          <w:sz w:val="16"/>
          <w:szCs w:val="16"/>
        </w:rPr>
        <w:t xml:space="preserve">. Available at </w:t>
      </w:r>
      <w:hyperlink r:id="rId11" w:history="1">
        <w:r w:rsidR="00EF396D">
          <w:rPr>
            <w:rStyle w:val="Hyperlink"/>
            <w:rFonts w:ascii="Times New Roman" w:eastAsia="Times New Roman" w:hAnsi="Times New Roman" w:cs="Times New Roman"/>
            <w:sz w:val="16"/>
            <w:szCs w:val="16"/>
          </w:rPr>
          <w:t>https://www.opm.gov/policy-data-oversight/pay-leave/salaries-wages/salary-tables/pdf/2019/DCB.pdf</w:t>
        </w:r>
      </w:hyperlink>
      <w:r>
        <w:rPr>
          <w:rFonts w:ascii="Times New Roman" w:eastAsia="Times New Roman" w:hAnsi="Times New Roman" w:cs="Times New Roman"/>
          <w:sz w:val="16"/>
          <w:szCs w:val="16"/>
        </w:rPr>
        <w:t xml:space="preserve"> </w:t>
      </w:r>
    </w:p>
    <w:p w14:paraId="034843B7" w14:textId="77777777" w:rsidR="00950D5A" w:rsidRDefault="00950D5A" w:rsidP="00950D5A">
      <w:pPr>
        <w:spacing w:after="0"/>
      </w:pPr>
    </w:p>
    <w:p w14:paraId="134E7E5A" w14:textId="633AF049" w:rsidR="0037291F" w:rsidRDefault="004A4C1B" w:rsidP="00FF72FC">
      <w:r>
        <w:t xml:space="preserve">Costs </w:t>
      </w:r>
      <w:r w:rsidR="005D3608">
        <w:t>a</w:t>
      </w:r>
      <w:r>
        <w:t xml:space="preserve">re estimated based on review hours of </w:t>
      </w:r>
      <w:r w:rsidRPr="004A4C1B">
        <w:t xml:space="preserve">Assurances and Annual Reports </w:t>
      </w:r>
      <w:r>
        <w:t xml:space="preserve">for Assurance </w:t>
      </w:r>
      <w:r w:rsidR="006D6F16">
        <w:t>O</w:t>
      </w:r>
      <w:r>
        <w:t xml:space="preserve">fficers and processing and review hours </w:t>
      </w:r>
      <w:r w:rsidRPr="004A4C1B">
        <w:t xml:space="preserve">of Assurances and Annual Reports </w:t>
      </w:r>
      <w:r>
        <w:t xml:space="preserve">for support staff. </w:t>
      </w:r>
      <w:r w:rsidR="00EE3BA9">
        <w:t xml:space="preserve">Thirty percent of the approximately $10,000 annual general office procurement budget is included for </w:t>
      </w:r>
      <w:r w:rsidR="008D5C90">
        <w:t>office suppl</w:t>
      </w:r>
      <w:r w:rsidR="0045440E">
        <w:t>ies</w:t>
      </w:r>
      <w:r w:rsidR="00EE3BA9">
        <w:t xml:space="preserve"> (paper, pens, printer toner, etc.)</w:t>
      </w:r>
      <w:r w:rsidR="008D5C90">
        <w:t xml:space="preserve"> related to Assurances and Annual Reports</w:t>
      </w:r>
      <w:r w:rsidR="00EE3BA9">
        <w:t>.</w:t>
      </w:r>
      <w:r w:rsidR="008D5C90">
        <w:t xml:space="preserve"> </w:t>
      </w:r>
    </w:p>
    <w:p w14:paraId="4551EBE8" w14:textId="77777777" w:rsidR="00FF72FC" w:rsidRPr="00E35DD1" w:rsidRDefault="00FF72FC" w:rsidP="00FF72FC">
      <w:pPr>
        <w:rPr>
          <w:b/>
        </w:rPr>
      </w:pPr>
      <w:r w:rsidRPr="00E35DD1">
        <w:rPr>
          <w:b/>
        </w:rPr>
        <w:t>A.15</w:t>
      </w:r>
      <w:r w:rsidRPr="00E35DD1">
        <w:rPr>
          <w:b/>
        </w:rPr>
        <w:tab/>
        <w:t>Explanation for Program Changes or Adjustments</w:t>
      </w:r>
    </w:p>
    <w:p w14:paraId="1E7C376A" w14:textId="65CEFBB9" w:rsidR="00296D8E" w:rsidRPr="00296D8E" w:rsidRDefault="00296D8E" w:rsidP="00FF72FC">
      <w:r w:rsidRPr="00296D8E">
        <w:t xml:space="preserve">This is a new information collection </w:t>
      </w:r>
      <w:r>
        <w:t>request.</w:t>
      </w:r>
    </w:p>
    <w:p w14:paraId="4912A666" w14:textId="0FC6E0EC" w:rsidR="00FF72FC" w:rsidRPr="00E35DD1" w:rsidRDefault="00FF72FC" w:rsidP="00FF72FC">
      <w:pPr>
        <w:pStyle w:val="Heading2"/>
        <w:tabs>
          <w:tab w:val="clear" w:pos="1152"/>
          <w:tab w:val="left" w:pos="720"/>
        </w:tabs>
        <w:spacing w:after="0" w:line="480" w:lineRule="auto"/>
        <w:ind w:left="0" w:firstLine="0"/>
        <w:rPr>
          <w:rFonts w:asciiTheme="minorHAnsi" w:hAnsiTheme="minorHAnsi"/>
          <w:szCs w:val="22"/>
        </w:rPr>
      </w:pPr>
      <w:bookmarkStart w:id="30" w:name="_Toc443881759"/>
      <w:bookmarkStart w:id="31" w:name="_Toc451592246"/>
      <w:bookmarkStart w:id="32" w:name="_Toc5610287"/>
      <w:bookmarkStart w:id="33" w:name="_Toc99178793"/>
      <w:r w:rsidRPr="00717158">
        <w:rPr>
          <w:rFonts w:asciiTheme="minorHAnsi" w:hAnsiTheme="minorHAnsi"/>
          <w:szCs w:val="22"/>
        </w:rPr>
        <w:t>A.16</w:t>
      </w:r>
      <w:r w:rsidRPr="00717158">
        <w:rPr>
          <w:rFonts w:asciiTheme="minorHAnsi" w:hAnsiTheme="minorHAnsi"/>
          <w:szCs w:val="22"/>
        </w:rPr>
        <w:tab/>
        <w:t>Plan for Tabulation and Publication and Project Time Schedule</w:t>
      </w:r>
      <w:bookmarkEnd w:id="30"/>
      <w:bookmarkEnd w:id="31"/>
      <w:bookmarkEnd w:id="32"/>
      <w:bookmarkEnd w:id="33"/>
    </w:p>
    <w:p w14:paraId="6FE438DD" w14:textId="6CCFB5DD" w:rsidR="00FF72FC" w:rsidRPr="00E35DD1" w:rsidRDefault="00296D8E" w:rsidP="00FF72FC">
      <w:r w:rsidRPr="00296D8E">
        <w:t>Th</w:t>
      </w:r>
      <w:r>
        <w:t>i</w:t>
      </w:r>
      <w:r w:rsidRPr="00296D8E">
        <w:t>s information collection</w:t>
      </w:r>
      <w:r>
        <w:t xml:space="preserve"> does not include results that will be published.</w:t>
      </w:r>
    </w:p>
    <w:p w14:paraId="216672D1" w14:textId="5BAF8537" w:rsidR="00FF72FC" w:rsidRPr="00F36D1D" w:rsidRDefault="00FF72FC" w:rsidP="00FF72FC">
      <w:pPr>
        <w:rPr>
          <w:b/>
        </w:rPr>
      </w:pPr>
      <w:r w:rsidRPr="00F36D1D">
        <w:rPr>
          <w:b/>
        </w:rPr>
        <w:t>A.17</w:t>
      </w:r>
      <w:r w:rsidRPr="00F36D1D">
        <w:rPr>
          <w:b/>
        </w:rPr>
        <w:tab/>
        <w:t>Reason Display of OMB Expiration Date is Inappropriate</w:t>
      </w:r>
    </w:p>
    <w:p w14:paraId="25CCF3D1" w14:textId="7BA54E11" w:rsidR="00296D8E" w:rsidRPr="00296D8E" w:rsidRDefault="00296D8E" w:rsidP="00FF72FC">
      <w:r w:rsidRPr="00296D8E">
        <w:t xml:space="preserve">The OMB control number will be displayed </w:t>
      </w:r>
      <w:r>
        <w:t xml:space="preserve">with an </w:t>
      </w:r>
      <w:r w:rsidRPr="00296D8E">
        <w:t>expiration date.</w:t>
      </w:r>
    </w:p>
    <w:p w14:paraId="7190591D" w14:textId="77777777" w:rsidR="0057480E" w:rsidRPr="00F36D1D" w:rsidRDefault="00FF72FC" w:rsidP="00FF72FC">
      <w:pPr>
        <w:rPr>
          <w:b/>
        </w:rPr>
      </w:pPr>
      <w:r w:rsidRPr="00F36D1D">
        <w:rPr>
          <w:b/>
        </w:rPr>
        <w:t>A.18</w:t>
      </w:r>
      <w:r w:rsidRPr="00F36D1D">
        <w:rPr>
          <w:b/>
        </w:rPr>
        <w:tab/>
        <w:t>Exceptions to Certification for Paperwork Reduction Act Submissions</w:t>
      </w:r>
    </w:p>
    <w:p w14:paraId="49B7AE09" w14:textId="303F654B" w:rsidR="00FF72FC" w:rsidRPr="00E35DD1" w:rsidRDefault="005F4A54" w:rsidP="00FF72FC">
      <w:r w:rsidRPr="00024899">
        <w:t>None</w:t>
      </w:r>
    </w:p>
    <w:sectPr w:rsidR="00FF72FC" w:rsidRPr="00E35DD1" w:rsidSect="009C0C70">
      <w:headerReference w:type="default" r:id="rId12"/>
      <w:footerReference w:type="even"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2C37F" w14:textId="77777777" w:rsidR="00332B96" w:rsidRDefault="00332B96">
      <w:pPr>
        <w:spacing w:after="0" w:line="240" w:lineRule="auto"/>
      </w:pPr>
      <w:r>
        <w:separator/>
      </w:r>
    </w:p>
  </w:endnote>
  <w:endnote w:type="continuationSeparator" w:id="0">
    <w:p w14:paraId="77E394C7" w14:textId="77777777" w:rsidR="00332B96" w:rsidRDefault="003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8C7B29" w:rsidRDefault="008C7B29" w:rsidP="00E0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8C7B29" w:rsidRDefault="008C7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6AD56189" w:rsidR="008C7B29" w:rsidRDefault="008C7B29" w:rsidP="00E0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725">
      <w:rPr>
        <w:rStyle w:val="PageNumber"/>
        <w:noProof/>
      </w:rPr>
      <w:t>1</w:t>
    </w:r>
    <w:r>
      <w:rPr>
        <w:rStyle w:val="PageNumber"/>
      </w:rPr>
      <w:fldChar w:fldCharType="end"/>
    </w:r>
  </w:p>
  <w:p w14:paraId="64873CE1" w14:textId="77777777" w:rsidR="008C7B29" w:rsidRDefault="008C7B29" w:rsidP="00E06F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365CF" w14:textId="77777777" w:rsidR="00332B96" w:rsidRDefault="00332B96">
      <w:pPr>
        <w:spacing w:after="0" w:line="240" w:lineRule="auto"/>
      </w:pPr>
      <w:r>
        <w:separator/>
      </w:r>
    </w:p>
  </w:footnote>
  <w:footnote w:type="continuationSeparator" w:id="0">
    <w:p w14:paraId="4E80DC64" w14:textId="77777777" w:rsidR="00332B96" w:rsidRDefault="0033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64F91B5D" w:rsidR="008C7B29" w:rsidRDefault="008C7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C5704"/>
    <w:multiLevelType w:val="multilevel"/>
    <w:tmpl w:val="E390A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514E2C"/>
    <w:multiLevelType w:val="hybridMultilevel"/>
    <w:tmpl w:val="8C78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049BA"/>
    <w:multiLevelType w:val="hybridMultilevel"/>
    <w:tmpl w:val="762012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4"/>
  </w:num>
  <w:num w:numId="6">
    <w:abstractNumId w:val="3"/>
  </w:num>
  <w:num w:numId="7">
    <w:abstractNumId w:val="5"/>
  </w:num>
  <w:num w:numId="8">
    <w:abstractNumId w:val="7"/>
  </w:num>
  <w:num w:numId="9">
    <w:abstractNumId w:val="6"/>
  </w:num>
  <w:num w:numId="10">
    <w:abstractNumId w:val="11"/>
  </w:num>
  <w:num w:numId="11">
    <w:abstractNumId w:val="1"/>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0C31"/>
    <w:rsid w:val="00003336"/>
    <w:rsid w:val="0000630E"/>
    <w:rsid w:val="00024899"/>
    <w:rsid w:val="00024C2D"/>
    <w:rsid w:val="00033C42"/>
    <w:rsid w:val="000455C8"/>
    <w:rsid w:val="00045D64"/>
    <w:rsid w:val="00055384"/>
    <w:rsid w:val="00062C62"/>
    <w:rsid w:val="00077C81"/>
    <w:rsid w:val="00083A52"/>
    <w:rsid w:val="0009296D"/>
    <w:rsid w:val="00093E8E"/>
    <w:rsid w:val="000A6D8D"/>
    <w:rsid w:val="000B44E9"/>
    <w:rsid w:val="000C583E"/>
    <w:rsid w:val="000D385C"/>
    <w:rsid w:val="000D4B36"/>
    <w:rsid w:val="000E4517"/>
    <w:rsid w:val="000E7F7C"/>
    <w:rsid w:val="000F3043"/>
    <w:rsid w:val="000F3216"/>
    <w:rsid w:val="000F58E2"/>
    <w:rsid w:val="000F6AB4"/>
    <w:rsid w:val="00114059"/>
    <w:rsid w:val="00134D2C"/>
    <w:rsid w:val="001437C7"/>
    <w:rsid w:val="00145D42"/>
    <w:rsid w:val="0017044F"/>
    <w:rsid w:val="00170EC9"/>
    <w:rsid w:val="00182152"/>
    <w:rsid w:val="0018316F"/>
    <w:rsid w:val="001861F3"/>
    <w:rsid w:val="00190C83"/>
    <w:rsid w:val="001919C7"/>
    <w:rsid w:val="00195414"/>
    <w:rsid w:val="001977AE"/>
    <w:rsid w:val="001A3F30"/>
    <w:rsid w:val="001B15E5"/>
    <w:rsid w:val="001B7571"/>
    <w:rsid w:val="001C305B"/>
    <w:rsid w:val="001D49C0"/>
    <w:rsid w:val="001F1850"/>
    <w:rsid w:val="0020593F"/>
    <w:rsid w:val="00216F8C"/>
    <w:rsid w:val="0022226D"/>
    <w:rsid w:val="002264E5"/>
    <w:rsid w:val="002317CC"/>
    <w:rsid w:val="00244ADC"/>
    <w:rsid w:val="00244F67"/>
    <w:rsid w:val="00255F7C"/>
    <w:rsid w:val="00257B53"/>
    <w:rsid w:val="00263A4F"/>
    <w:rsid w:val="002670CD"/>
    <w:rsid w:val="002703C4"/>
    <w:rsid w:val="002770FA"/>
    <w:rsid w:val="00291B8C"/>
    <w:rsid w:val="00291DD8"/>
    <w:rsid w:val="00296BEC"/>
    <w:rsid w:val="00296D8E"/>
    <w:rsid w:val="002B37B0"/>
    <w:rsid w:val="002C36EF"/>
    <w:rsid w:val="002C5D4F"/>
    <w:rsid w:val="002F013E"/>
    <w:rsid w:val="002F4317"/>
    <w:rsid w:val="0030517D"/>
    <w:rsid w:val="0030526E"/>
    <w:rsid w:val="00312283"/>
    <w:rsid w:val="00312856"/>
    <w:rsid w:val="00323CB1"/>
    <w:rsid w:val="00332B96"/>
    <w:rsid w:val="00333098"/>
    <w:rsid w:val="00333697"/>
    <w:rsid w:val="0036208F"/>
    <w:rsid w:val="003654FE"/>
    <w:rsid w:val="0037291F"/>
    <w:rsid w:val="003836FB"/>
    <w:rsid w:val="0038733A"/>
    <w:rsid w:val="003C1851"/>
    <w:rsid w:val="003C3F2D"/>
    <w:rsid w:val="003D31C2"/>
    <w:rsid w:val="003D3BE0"/>
    <w:rsid w:val="003F245F"/>
    <w:rsid w:val="003F2FB5"/>
    <w:rsid w:val="00402066"/>
    <w:rsid w:val="00436299"/>
    <w:rsid w:val="00442B5B"/>
    <w:rsid w:val="004436FB"/>
    <w:rsid w:val="00451E83"/>
    <w:rsid w:val="00452F7F"/>
    <w:rsid w:val="0045440E"/>
    <w:rsid w:val="0045483A"/>
    <w:rsid w:val="0046301F"/>
    <w:rsid w:val="00465EAB"/>
    <w:rsid w:val="004716CF"/>
    <w:rsid w:val="004802A7"/>
    <w:rsid w:val="00497B81"/>
    <w:rsid w:val="004A4C1B"/>
    <w:rsid w:val="004C4B9F"/>
    <w:rsid w:val="004C7555"/>
    <w:rsid w:val="004C7B44"/>
    <w:rsid w:val="004D1A33"/>
    <w:rsid w:val="004D4117"/>
    <w:rsid w:val="004D41B5"/>
    <w:rsid w:val="004E0EF5"/>
    <w:rsid w:val="004E45BA"/>
    <w:rsid w:val="00507837"/>
    <w:rsid w:val="00507B4E"/>
    <w:rsid w:val="005150E7"/>
    <w:rsid w:val="00521E5C"/>
    <w:rsid w:val="00536C12"/>
    <w:rsid w:val="0055290D"/>
    <w:rsid w:val="005561B0"/>
    <w:rsid w:val="0057480E"/>
    <w:rsid w:val="00595C72"/>
    <w:rsid w:val="005C2AD7"/>
    <w:rsid w:val="005D3608"/>
    <w:rsid w:val="005E36CD"/>
    <w:rsid w:val="005F48F6"/>
    <w:rsid w:val="005F4A54"/>
    <w:rsid w:val="00612454"/>
    <w:rsid w:val="00624895"/>
    <w:rsid w:val="00634A73"/>
    <w:rsid w:val="00644341"/>
    <w:rsid w:val="00650D95"/>
    <w:rsid w:val="006551D5"/>
    <w:rsid w:val="00655C7E"/>
    <w:rsid w:val="006728E2"/>
    <w:rsid w:val="00676EE3"/>
    <w:rsid w:val="00677EA8"/>
    <w:rsid w:val="00681F63"/>
    <w:rsid w:val="006841CA"/>
    <w:rsid w:val="00685B30"/>
    <w:rsid w:val="00687A32"/>
    <w:rsid w:val="00693F7F"/>
    <w:rsid w:val="0069725B"/>
    <w:rsid w:val="00697F16"/>
    <w:rsid w:val="006A45F9"/>
    <w:rsid w:val="006B1BA0"/>
    <w:rsid w:val="006B48EC"/>
    <w:rsid w:val="006D6F16"/>
    <w:rsid w:val="006E3C02"/>
    <w:rsid w:val="006E4725"/>
    <w:rsid w:val="006E553A"/>
    <w:rsid w:val="00702813"/>
    <w:rsid w:val="00703A8B"/>
    <w:rsid w:val="007063F8"/>
    <w:rsid w:val="0071684C"/>
    <w:rsid w:val="00717158"/>
    <w:rsid w:val="00732B98"/>
    <w:rsid w:val="007463B6"/>
    <w:rsid w:val="00756DDA"/>
    <w:rsid w:val="00767C53"/>
    <w:rsid w:val="00796462"/>
    <w:rsid w:val="007B54BC"/>
    <w:rsid w:val="007C127D"/>
    <w:rsid w:val="007C6D2B"/>
    <w:rsid w:val="007D11BF"/>
    <w:rsid w:val="007D402F"/>
    <w:rsid w:val="007D49A4"/>
    <w:rsid w:val="007D61D5"/>
    <w:rsid w:val="007F60E1"/>
    <w:rsid w:val="00801323"/>
    <w:rsid w:val="008122E5"/>
    <w:rsid w:val="00812C64"/>
    <w:rsid w:val="008359FA"/>
    <w:rsid w:val="0086248B"/>
    <w:rsid w:val="00866183"/>
    <w:rsid w:val="00884351"/>
    <w:rsid w:val="00894FF4"/>
    <w:rsid w:val="00897746"/>
    <w:rsid w:val="008A26FA"/>
    <w:rsid w:val="008B0E86"/>
    <w:rsid w:val="008C7479"/>
    <w:rsid w:val="008C7B29"/>
    <w:rsid w:val="008D2C12"/>
    <w:rsid w:val="008D5C90"/>
    <w:rsid w:val="008E6168"/>
    <w:rsid w:val="00903CD3"/>
    <w:rsid w:val="009070C6"/>
    <w:rsid w:val="00910360"/>
    <w:rsid w:val="00941822"/>
    <w:rsid w:val="00943F6A"/>
    <w:rsid w:val="00950D5A"/>
    <w:rsid w:val="00963672"/>
    <w:rsid w:val="009662F8"/>
    <w:rsid w:val="00967A8E"/>
    <w:rsid w:val="009737D8"/>
    <w:rsid w:val="00974367"/>
    <w:rsid w:val="00975762"/>
    <w:rsid w:val="00976490"/>
    <w:rsid w:val="009773F4"/>
    <w:rsid w:val="009853EE"/>
    <w:rsid w:val="009B145D"/>
    <w:rsid w:val="009B615C"/>
    <w:rsid w:val="009C0C70"/>
    <w:rsid w:val="009C3E9D"/>
    <w:rsid w:val="009C6512"/>
    <w:rsid w:val="009C708F"/>
    <w:rsid w:val="009D08E2"/>
    <w:rsid w:val="009D5FC4"/>
    <w:rsid w:val="009E2890"/>
    <w:rsid w:val="009F0D15"/>
    <w:rsid w:val="00A00CF8"/>
    <w:rsid w:val="00A0640E"/>
    <w:rsid w:val="00A259C3"/>
    <w:rsid w:val="00A60894"/>
    <w:rsid w:val="00A62ACB"/>
    <w:rsid w:val="00A6350F"/>
    <w:rsid w:val="00A87D0C"/>
    <w:rsid w:val="00A949F4"/>
    <w:rsid w:val="00AB6255"/>
    <w:rsid w:val="00AB736C"/>
    <w:rsid w:val="00AF24A5"/>
    <w:rsid w:val="00B00250"/>
    <w:rsid w:val="00B00EB3"/>
    <w:rsid w:val="00B03736"/>
    <w:rsid w:val="00B14E82"/>
    <w:rsid w:val="00B2767E"/>
    <w:rsid w:val="00B31022"/>
    <w:rsid w:val="00B4428C"/>
    <w:rsid w:val="00B4581C"/>
    <w:rsid w:val="00B64D8B"/>
    <w:rsid w:val="00B741C9"/>
    <w:rsid w:val="00B75E10"/>
    <w:rsid w:val="00B90803"/>
    <w:rsid w:val="00B90D2D"/>
    <w:rsid w:val="00B917F9"/>
    <w:rsid w:val="00B93C77"/>
    <w:rsid w:val="00B96691"/>
    <w:rsid w:val="00BA2774"/>
    <w:rsid w:val="00BA2DBD"/>
    <w:rsid w:val="00BB0F5F"/>
    <w:rsid w:val="00BB6852"/>
    <w:rsid w:val="00BD13C6"/>
    <w:rsid w:val="00BD6647"/>
    <w:rsid w:val="00BE5EFA"/>
    <w:rsid w:val="00BE76A7"/>
    <w:rsid w:val="00BF491C"/>
    <w:rsid w:val="00C04157"/>
    <w:rsid w:val="00C3488C"/>
    <w:rsid w:val="00C55FD0"/>
    <w:rsid w:val="00C61177"/>
    <w:rsid w:val="00C663C6"/>
    <w:rsid w:val="00C76797"/>
    <w:rsid w:val="00C7728E"/>
    <w:rsid w:val="00CA0C2B"/>
    <w:rsid w:val="00CA5EC1"/>
    <w:rsid w:val="00CA7739"/>
    <w:rsid w:val="00CB0C05"/>
    <w:rsid w:val="00CC0CBC"/>
    <w:rsid w:val="00CF36BD"/>
    <w:rsid w:val="00D05B01"/>
    <w:rsid w:val="00D1187C"/>
    <w:rsid w:val="00D2079A"/>
    <w:rsid w:val="00D213DF"/>
    <w:rsid w:val="00D23E61"/>
    <w:rsid w:val="00D3161C"/>
    <w:rsid w:val="00D32AF6"/>
    <w:rsid w:val="00D34BE5"/>
    <w:rsid w:val="00D351DD"/>
    <w:rsid w:val="00D35F93"/>
    <w:rsid w:val="00D52093"/>
    <w:rsid w:val="00D7145C"/>
    <w:rsid w:val="00D7280E"/>
    <w:rsid w:val="00D7755F"/>
    <w:rsid w:val="00D77CA7"/>
    <w:rsid w:val="00D90BA2"/>
    <w:rsid w:val="00DA16D5"/>
    <w:rsid w:val="00DA251F"/>
    <w:rsid w:val="00DA5ABD"/>
    <w:rsid w:val="00DB1217"/>
    <w:rsid w:val="00DE5570"/>
    <w:rsid w:val="00DE7B4B"/>
    <w:rsid w:val="00DF235B"/>
    <w:rsid w:val="00DF3C24"/>
    <w:rsid w:val="00E03967"/>
    <w:rsid w:val="00E04326"/>
    <w:rsid w:val="00E050EB"/>
    <w:rsid w:val="00E06559"/>
    <w:rsid w:val="00E06F8D"/>
    <w:rsid w:val="00E12F83"/>
    <w:rsid w:val="00E2010C"/>
    <w:rsid w:val="00E35DD1"/>
    <w:rsid w:val="00E465F2"/>
    <w:rsid w:val="00E51138"/>
    <w:rsid w:val="00E51B6C"/>
    <w:rsid w:val="00E558D6"/>
    <w:rsid w:val="00E56374"/>
    <w:rsid w:val="00E64E2C"/>
    <w:rsid w:val="00E67B10"/>
    <w:rsid w:val="00E72390"/>
    <w:rsid w:val="00E7329A"/>
    <w:rsid w:val="00E749EC"/>
    <w:rsid w:val="00E93CB3"/>
    <w:rsid w:val="00EA02CF"/>
    <w:rsid w:val="00EA29FD"/>
    <w:rsid w:val="00EA37D2"/>
    <w:rsid w:val="00EB349E"/>
    <w:rsid w:val="00EB7E3E"/>
    <w:rsid w:val="00EC0CDB"/>
    <w:rsid w:val="00EC20FD"/>
    <w:rsid w:val="00ED5632"/>
    <w:rsid w:val="00EE245F"/>
    <w:rsid w:val="00EE3BA9"/>
    <w:rsid w:val="00EE3E55"/>
    <w:rsid w:val="00EE5A75"/>
    <w:rsid w:val="00EE5BB5"/>
    <w:rsid w:val="00EE5FCD"/>
    <w:rsid w:val="00EF0CCB"/>
    <w:rsid w:val="00EF396D"/>
    <w:rsid w:val="00EF66B8"/>
    <w:rsid w:val="00F00455"/>
    <w:rsid w:val="00F15846"/>
    <w:rsid w:val="00F33485"/>
    <w:rsid w:val="00F348BC"/>
    <w:rsid w:val="00F36D1D"/>
    <w:rsid w:val="00F404CC"/>
    <w:rsid w:val="00F75630"/>
    <w:rsid w:val="00F81267"/>
    <w:rsid w:val="00F82B91"/>
    <w:rsid w:val="00F96903"/>
    <w:rsid w:val="00FA1458"/>
    <w:rsid w:val="00FB346E"/>
    <w:rsid w:val="00FC54FA"/>
    <w:rsid w:val="00FE6EA5"/>
    <w:rsid w:val="00FF2F56"/>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1">
    <w:name w:val="Unresolved Mention1"/>
    <w:basedOn w:val="DefaultParagraphFont"/>
    <w:uiPriority w:val="99"/>
    <w:semiHidden/>
    <w:unhideWhenUsed/>
    <w:rsid w:val="00B14E82"/>
    <w:rPr>
      <w:color w:val="605E5C"/>
      <w:shd w:val="clear" w:color="auto" w:fill="E1DFDD"/>
    </w:rPr>
  </w:style>
  <w:style w:type="character" w:styleId="Strong">
    <w:name w:val="Strong"/>
    <w:basedOn w:val="DefaultParagraphFont"/>
    <w:uiPriority w:val="22"/>
    <w:qFormat/>
    <w:rsid w:val="000D4B36"/>
    <w:rPr>
      <w:b/>
      <w:bCs/>
    </w:rPr>
  </w:style>
  <w:style w:type="character" w:styleId="FollowedHyperlink">
    <w:name w:val="FollowedHyperlink"/>
    <w:basedOn w:val="DefaultParagraphFont"/>
    <w:uiPriority w:val="99"/>
    <w:semiHidden/>
    <w:unhideWhenUsed/>
    <w:rsid w:val="00677E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1">
    <w:name w:val="Unresolved Mention1"/>
    <w:basedOn w:val="DefaultParagraphFont"/>
    <w:uiPriority w:val="99"/>
    <w:semiHidden/>
    <w:unhideWhenUsed/>
    <w:rsid w:val="00B14E82"/>
    <w:rPr>
      <w:color w:val="605E5C"/>
      <w:shd w:val="clear" w:color="auto" w:fill="E1DFDD"/>
    </w:rPr>
  </w:style>
  <w:style w:type="character" w:styleId="Strong">
    <w:name w:val="Strong"/>
    <w:basedOn w:val="DefaultParagraphFont"/>
    <w:uiPriority w:val="22"/>
    <w:qFormat/>
    <w:rsid w:val="000D4B36"/>
    <w:rPr>
      <w:b/>
      <w:bCs/>
    </w:rPr>
  </w:style>
  <w:style w:type="character" w:styleId="FollowedHyperlink">
    <w:name w:val="FollowedHyperlink"/>
    <w:basedOn w:val="DefaultParagraphFont"/>
    <w:uiPriority w:val="99"/>
    <w:semiHidden/>
    <w:unhideWhenUsed/>
    <w:rsid w:val="00677E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29462">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9404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19/DCB.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3B2448-BF29-4509-9C98-830080D0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keywords/>
  <dc:description/>
  <cp:lastModifiedBy>SYSTEM</cp:lastModifiedBy>
  <cp:revision>2</cp:revision>
  <dcterms:created xsi:type="dcterms:W3CDTF">2019-09-09T21:21:00Z</dcterms:created>
  <dcterms:modified xsi:type="dcterms:W3CDTF">2019-09-09T21:21:00Z</dcterms:modified>
</cp:coreProperties>
</file>