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722F" w:rsidR="005A59A9" w:rsidP="00F422FA" w:rsidRDefault="005A59A9" w14:paraId="29C4D196" w14:textId="77777777">
      <w:pPr>
        <w:jc w:val="center"/>
        <w:rPr>
          <w:b/>
          <w:sz w:val="32"/>
        </w:rPr>
      </w:pPr>
      <w:bookmarkStart w:name="_GoBack" w:id="0"/>
      <w:bookmarkEnd w:id="0"/>
    </w:p>
    <w:p w:rsidR="00220B0C" w:rsidP="00BC4019" w:rsidRDefault="00D70D0F" w14:paraId="3ACC9320" w14:textId="3CB54148">
      <w:pPr>
        <w:jc w:val="center"/>
        <w:rPr>
          <w:b/>
          <w:sz w:val="32"/>
        </w:rPr>
      </w:pPr>
      <w:r w:rsidRPr="0085722F">
        <w:rPr>
          <w:b/>
          <w:sz w:val="32"/>
        </w:rPr>
        <w:t>Supporting Statement B</w:t>
      </w:r>
    </w:p>
    <w:p w:rsidRPr="002B2653" w:rsidR="0085722F" w:rsidP="00BC4019" w:rsidRDefault="0085722F" w14:paraId="10964113" w14:textId="77777777">
      <w:pPr>
        <w:jc w:val="center"/>
        <w:rPr>
          <w:b/>
        </w:rPr>
      </w:pPr>
    </w:p>
    <w:p w:rsidRPr="00A63F68" w:rsidR="000B08F7" w:rsidP="000B08F7" w:rsidRDefault="000B08F7" w14:paraId="55350711" w14:textId="77777777">
      <w:pPr>
        <w:jc w:val="center"/>
        <w:rPr>
          <w:b/>
          <w:sz w:val="32"/>
          <w:szCs w:val="32"/>
        </w:rPr>
      </w:pPr>
      <w:bookmarkStart w:name="_Hlk25165128" w:id="1"/>
      <w:r w:rsidRPr="00A63F68">
        <w:rPr>
          <w:b/>
          <w:sz w:val="32"/>
          <w:szCs w:val="32"/>
        </w:rPr>
        <w:t>National Institutes of Health</w:t>
      </w:r>
    </w:p>
    <w:p w:rsidR="000B08F7" w:rsidP="000B08F7" w:rsidRDefault="000B08F7" w14:paraId="6E5D0C36" w14:textId="53446AB2">
      <w:pPr>
        <w:jc w:val="center"/>
        <w:rPr>
          <w:b/>
          <w:sz w:val="32"/>
          <w:szCs w:val="32"/>
        </w:rPr>
      </w:pPr>
      <w:r>
        <w:rPr>
          <w:b/>
          <w:sz w:val="32"/>
          <w:szCs w:val="32"/>
        </w:rPr>
        <w:t>Evaluation of the Enhancing Diversity of the NIH-funded Workforce Program</w:t>
      </w:r>
    </w:p>
    <w:p w:rsidRPr="00D8270D" w:rsidR="00D8270D" w:rsidP="00D8270D" w:rsidRDefault="00D8270D" w14:paraId="228832DE" w14:textId="77777777">
      <w:pPr>
        <w:jc w:val="center"/>
        <w:rPr>
          <w:b/>
          <w:sz w:val="32"/>
          <w:szCs w:val="32"/>
        </w:rPr>
      </w:pPr>
      <w:r w:rsidRPr="00D8270D">
        <w:rPr>
          <w:b/>
          <w:sz w:val="32"/>
          <w:szCs w:val="32"/>
        </w:rPr>
        <w:t>OMB Control Number 0925-0747</w:t>
      </w:r>
    </w:p>
    <w:bookmarkEnd w:id="1"/>
    <w:p w:rsidRPr="00A63F68" w:rsidR="00D8270D" w:rsidP="000B08F7" w:rsidRDefault="00D8270D" w14:paraId="02BE20C9" w14:textId="77777777">
      <w:pPr>
        <w:jc w:val="center"/>
        <w:rPr>
          <w:b/>
          <w:sz w:val="32"/>
          <w:szCs w:val="32"/>
        </w:rPr>
      </w:pPr>
    </w:p>
    <w:p w:rsidR="000B08F7" w:rsidP="000B08F7" w:rsidRDefault="000B08F7" w14:paraId="02AA692F" w14:textId="77777777"/>
    <w:p w:rsidRPr="00596D04" w:rsidR="000B08F7" w:rsidP="000B08F7" w:rsidRDefault="000B08F7" w14:paraId="5E91E366" w14:textId="77777777">
      <w:pPr>
        <w:rPr>
          <w:b/>
          <w:color w:val="0070C0"/>
          <w:sz w:val="32"/>
          <w:szCs w:val="32"/>
        </w:rPr>
      </w:pPr>
    </w:p>
    <w:p w:rsidRPr="002B2653" w:rsidR="00220B0C" w:rsidP="00FF71B8" w:rsidRDefault="00220B0C" w14:paraId="1DCDAA28" w14:textId="77777777"/>
    <w:p w:rsidR="009B2EF0" w:rsidP="00FF71B8" w:rsidRDefault="009B2EF0" w14:paraId="760592CD" w14:textId="77777777">
      <w:pPr>
        <w:jc w:val="center"/>
        <w:rPr>
          <w:b/>
        </w:rPr>
      </w:pPr>
    </w:p>
    <w:p w:rsidR="00D8063C" w:rsidP="00FF71B8" w:rsidRDefault="00D8063C" w14:paraId="4EDDAD3F" w14:textId="77777777">
      <w:pPr>
        <w:jc w:val="center"/>
        <w:rPr>
          <w:b/>
        </w:rPr>
      </w:pPr>
    </w:p>
    <w:p w:rsidR="00D8063C" w:rsidP="00FF71B8" w:rsidRDefault="00D8063C" w14:paraId="294C1D95" w14:textId="77777777">
      <w:pPr>
        <w:jc w:val="center"/>
        <w:rPr>
          <w:b/>
        </w:rPr>
      </w:pPr>
    </w:p>
    <w:p w:rsidR="00D8063C" w:rsidP="00FF71B8" w:rsidRDefault="00D8063C" w14:paraId="6817B2D8" w14:textId="77777777">
      <w:pPr>
        <w:jc w:val="center"/>
        <w:rPr>
          <w:b/>
        </w:rPr>
      </w:pPr>
    </w:p>
    <w:p w:rsidR="00D8063C" w:rsidP="00FF71B8" w:rsidRDefault="00D8063C" w14:paraId="703500E0" w14:textId="77777777">
      <w:pPr>
        <w:jc w:val="center"/>
        <w:rPr>
          <w:b/>
        </w:rPr>
      </w:pPr>
    </w:p>
    <w:p w:rsidR="00D8063C" w:rsidP="00FF71B8" w:rsidRDefault="00D8063C" w14:paraId="3C6F8D9B" w14:textId="77777777">
      <w:pPr>
        <w:jc w:val="center"/>
        <w:rPr>
          <w:b/>
        </w:rPr>
      </w:pPr>
    </w:p>
    <w:p w:rsidR="00D8063C" w:rsidP="00FF71B8" w:rsidRDefault="00D8063C" w14:paraId="1E985372" w14:textId="77777777">
      <w:pPr>
        <w:jc w:val="center"/>
        <w:rPr>
          <w:b/>
        </w:rPr>
      </w:pPr>
    </w:p>
    <w:p w:rsidR="00D8063C" w:rsidP="00FF71B8" w:rsidRDefault="00D8063C" w14:paraId="54C5F19D" w14:textId="77777777">
      <w:pPr>
        <w:jc w:val="center"/>
        <w:rPr>
          <w:b/>
        </w:rPr>
      </w:pPr>
    </w:p>
    <w:p w:rsidRPr="002B2653" w:rsidR="00D8063C" w:rsidP="00FF71B8" w:rsidRDefault="00D8063C" w14:paraId="48D2EC86" w14:textId="77777777">
      <w:pPr>
        <w:jc w:val="center"/>
        <w:rPr>
          <w:b/>
        </w:rPr>
      </w:pPr>
    </w:p>
    <w:p w:rsidR="009B2EF0" w:rsidP="005D396D" w:rsidRDefault="009B2EF0" w14:paraId="5EC8BE60" w14:textId="77777777">
      <w:pPr>
        <w:jc w:val="center"/>
        <w:rPr>
          <w:b/>
        </w:rPr>
      </w:pPr>
    </w:p>
    <w:p w:rsidRPr="002B2653" w:rsidR="00220B0C" w:rsidP="005D396D" w:rsidRDefault="005D396D" w14:paraId="60653D53" w14:textId="5FAE49A1">
      <w:pPr>
        <w:jc w:val="center"/>
      </w:pPr>
      <w:r>
        <w:rPr>
          <w:b/>
        </w:rPr>
        <w:fldChar w:fldCharType="begin"/>
      </w:r>
      <w:r>
        <w:rPr>
          <w:b/>
        </w:rPr>
        <w:instrText xml:space="preserve"> DATE \@ "MMMM d, yyyy" </w:instrText>
      </w:r>
      <w:r>
        <w:rPr>
          <w:b/>
        </w:rPr>
        <w:fldChar w:fldCharType="separate"/>
      </w:r>
      <w:r w:rsidR="00BA511B">
        <w:rPr>
          <w:b/>
          <w:noProof/>
        </w:rPr>
        <w:t>February 5, 2020</w:t>
      </w:r>
      <w:r>
        <w:rPr>
          <w:b/>
        </w:rPr>
        <w:fldChar w:fldCharType="end"/>
      </w:r>
    </w:p>
    <w:p w:rsidRPr="002B2653" w:rsidR="00220B0C" w:rsidP="00FF71B8" w:rsidRDefault="00220B0C" w14:paraId="26EE7DEF" w14:textId="77777777"/>
    <w:p w:rsidRPr="002B2653" w:rsidR="00CF4DBD" w:rsidP="00FF71B8" w:rsidRDefault="00CF4DBD" w14:paraId="2661F911" w14:textId="77777777"/>
    <w:p w:rsidRPr="002B2653" w:rsidR="00CF4DBD" w:rsidP="00FF71B8" w:rsidRDefault="00CF4DBD" w14:paraId="179CC058" w14:textId="77777777"/>
    <w:p w:rsidRPr="002B2653" w:rsidR="00220B0C" w:rsidP="00FF71B8" w:rsidRDefault="00220B0C" w14:paraId="738BA82A" w14:textId="77777777"/>
    <w:p w:rsidRPr="002B2653" w:rsidR="0000556E" w:rsidP="00FF71B8" w:rsidRDefault="0000556E" w14:paraId="4FBF35F0" w14:textId="77777777"/>
    <w:p w:rsidRPr="002B2653" w:rsidR="0000556E" w:rsidP="00FF71B8" w:rsidRDefault="0000556E" w14:paraId="75851A91" w14:textId="77777777"/>
    <w:p w:rsidRPr="002B2653" w:rsidR="0000556E" w:rsidP="00FF71B8" w:rsidRDefault="0000556E" w14:paraId="0E59197A" w14:textId="77777777"/>
    <w:p w:rsidRPr="002B2653" w:rsidR="00220B0C" w:rsidP="004C770F" w:rsidRDefault="00220B0C" w14:paraId="0B3306E9" w14:textId="77777777">
      <w:pPr>
        <w:jc w:val="center"/>
        <w:rPr>
          <w:b/>
        </w:rPr>
      </w:pPr>
    </w:p>
    <w:p w:rsidRPr="006F5221" w:rsidR="00D075B4" w:rsidP="00D075B4" w:rsidRDefault="005D396D" w14:paraId="3F9CC4DA" w14:textId="6777D6D5">
      <w:pPr>
        <w:rPr>
          <w:sz w:val="28"/>
          <w:szCs w:val="28"/>
        </w:rPr>
      </w:pPr>
      <w:r>
        <w:rPr>
          <w:b/>
          <w:bCs/>
          <w:sz w:val="28"/>
          <w:szCs w:val="28"/>
        </w:rPr>
        <w:t>Alison Gammie</w:t>
      </w:r>
      <w:r w:rsidR="00D075B4">
        <w:rPr>
          <w:b/>
          <w:bCs/>
          <w:sz w:val="28"/>
          <w:szCs w:val="28"/>
        </w:rPr>
        <w:t>,</w:t>
      </w:r>
      <w:r w:rsidRPr="006F5221" w:rsidR="00D075B4">
        <w:rPr>
          <w:b/>
          <w:bCs/>
          <w:sz w:val="28"/>
          <w:szCs w:val="28"/>
        </w:rPr>
        <w:t xml:space="preserve"> Ph.D. </w:t>
      </w:r>
    </w:p>
    <w:p w:rsidRPr="006F5221" w:rsidR="00D075B4" w:rsidP="00D075B4" w:rsidRDefault="005D396D" w14:paraId="281694D2" w14:textId="59515BBD">
      <w:pPr>
        <w:rPr>
          <w:sz w:val="28"/>
          <w:szCs w:val="28"/>
        </w:rPr>
      </w:pPr>
      <w:r>
        <w:rPr>
          <w:sz w:val="28"/>
          <w:szCs w:val="28"/>
        </w:rPr>
        <w:t>Director</w:t>
      </w:r>
      <w:r w:rsidR="00F930C0">
        <w:rPr>
          <w:sz w:val="28"/>
          <w:szCs w:val="28"/>
        </w:rPr>
        <w:t xml:space="preserve">, </w:t>
      </w:r>
      <w:r w:rsidR="00D075B4">
        <w:rPr>
          <w:sz w:val="28"/>
          <w:szCs w:val="28"/>
        </w:rPr>
        <w:t xml:space="preserve">Division </w:t>
      </w:r>
      <w:r>
        <w:rPr>
          <w:sz w:val="28"/>
          <w:szCs w:val="28"/>
        </w:rPr>
        <w:t xml:space="preserve">of </w:t>
      </w:r>
      <w:r w:rsidR="00D075B4">
        <w:rPr>
          <w:sz w:val="28"/>
          <w:szCs w:val="28"/>
        </w:rPr>
        <w:t>Training, Workforce Development, and Diversity</w:t>
      </w:r>
    </w:p>
    <w:p w:rsidRPr="006F5221" w:rsidR="00D075B4" w:rsidP="00D075B4" w:rsidRDefault="00F930C0" w14:paraId="05580C8B" w14:textId="4FB29F3C">
      <w:pPr>
        <w:rPr>
          <w:sz w:val="28"/>
          <w:szCs w:val="28"/>
        </w:rPr>
      </w:pPr>
      <w:r>
        <w:rPr>
          <w:sz w:val="28"/>
          <w:szCs w:val="28"/>
        </w:rPr>
        <w:t xml:space="preserve">Project Lead, </w:t>
      </w:r>
      <w:r w:rsidRPr="006F5221" w:rsidR="00D075B4">
        <w:rPr>
          <w:sz w:val="28"/>
          <w:szCs w:val="28"/>
        </w:rPr>
        <w:t>Diversity Program Consortium</w:t>
      </w:r>
    </w:p>
    <w:p w:rsidRPr="006F5221" w:rsidR="00D075B4" w:rsidP="00D075B4" w:rsidRDefault="00D075B4" w14:paraId="1DE5D237" w14:textId="77777777">
      <w:pPr>
        <w:rPr>
          <w:sz w:val="28"/>
          <w:szCs w:val="28"/>
        </w:rPr>
      </w:pPr>
      <w:r w:rsidRPr="006F5221">
        <w:rPr>
          <w:sz w:val="28"/>
          <w:szCs w:val="28"/>
        </w:rPr>
        <w:t>National Institute of General Medical Sciences</w:t>
      </w:r>
    </w:p>
    <w:p w:rsidRPr="006F5221" w:rsidR="00D075B4" w:rsidP="00D075B4" w:rsidRDefault="00D075B4" w14:paraId="14BE57C8" w14:textId="77777777">
      <w:pPr>
        <w:rPr>
          <w:sz w:val="28"/>
          <w:szCs w:val="28"/>
        </w:rPr>
      </w:pPr>
      <w:r w:rsidRPr="006F5221">
        <w:rPr>
          <w:sz w:val="28"/>
          <w:szCs w:val="28"/>
        </w:rPr>
        <w:t>45 Center Drive, 2AS</w:t>
      </w:r>
      <w:r>
        <w:rPr>
          <w:sz w:val="28"/>
          <w:szCs w:val="28"/>
        </w:rPr>
        <w:t>43H</w:t>
      </w:r>
    </w:p>
    <w:p w:rsidRPr="006F5221" w:rsidR="00D075B4" w:rsidP="00D075B4" w:rsidRDefault="00F930C0" w14:paraId="653A584A" w14:textId="231DC81D">
      <w:pPr>
        <w:rPr>
          <w:sz w:val="28"/>
          <w:szCs w:val="28"/>
        </w:rPr>
      </w:pPr>
      <w:r w:rsidRPr="006F5221">
        <w:rPr>
          <w:sz w:val="28"/>
          <w:szCs w:val="28"/>
        </w:rPr>
        <w:t>Bethesda, MD</w:t>
      </w:r>
      <w:r w:rsidRPr="006F5221" w:rsidR="00D075B4">
        <w:rPr>
          <w:sz w:val="28"/>
          <w:szCs w:val="28"/>
        </w:rPr>
        <w:t xml:space="preserve"> 20892</w:t>
      </w:r>
    </w:p>
    <w:p w:rsidRPr="006F5221" w:rsidR="00D075B4" w:rsidP="00D075B4" w:rsidRDefault="00D075B4" w14:paraId="0A59F769" w14:textId="5D466C66">
      <w:pPr>
        <w:rPr>
          <w:sz w:val="28"/>
          <w:szCs w:val="28"/>
        </w:rPr>
      </w:pPr>
      <w:r w:rsidRPr="006F5221">
        <w:rPr>
          <w:sz w:val="28"/>
          <w:szCs w:val="28"/>
        </w:rPr>
        <w:t>Phone: (301) 594-</w:t>
      </w:r>
      <w:r w:rsidR="005D396D">
        <w:rPr>
          <w:sz w:val="28"/>
          <w:szCs w:val="28"/>
        </w:rPr>
        <w:t>2662</w:t>
      </w:r>
    </w:p>
    <w:p w:rsidRPr="002B2653" w:rsidR="00DF7186" w:rsidP="00FF71B8" w:rsidRDefault="00D075B4" w14:paraId="042CEDB4" w14:textId="49170D23">
      <w:r w:rsidRPr="006F5221">
        <w:rPr>
          <w:sz w:val="28"/>
          <w:szCs w:val="28"/>
        </w:rPr>
        <w:t xml:space="preserve">Email: </w:t>
      </w:r>
      <w:r w:rsidR="005D396D">
        <w:rPr>
          <w:sz w:val="28"/>
          <w:szCs w:val="28"/>
        </w:rPr>
        <w:t>alison.gammie</w:t>
      </w:r>
      <w:r w:rsidRPr="006F5221">
        <w:rPr>
          <w:sz w:val="28"/>
          <w:szCs w:val="28"/>
        </w:rPr>
        <w:t>@nih.gov</w:t>
      </w:r>
      <w:r w:rsidRPr="002B2653" w:rsidR="009F5464">
        <w:t xml:space="preserve"> </w:t>
      </w:r>
    </w:p>
    <w:p w:rsidRPr="002B2653" w:rsidR="005C3DC2" w:rsidP="00BC4019" w:rsidRDefault="005C3DC2" w14:paraId="4AA7B6F5" w14:textId="77777777"/>
    <w:p w:rsidRPr="002B2653" w:rsidR="005A27A5" w:rsidP="00FF71B8" w:rsidRDefault="005A27A5" w14:paraId="1F22A10F" w14:textId="77777777"/>
    <w:p w:rsidR="00476658" w:rsidP="00FF71B8" w:rsidRDefault="00BC4019" w14:paraId="0E897DF1" w14:textId="77777777">
      <w:pPr>
        <w:pStyle w:val="P1-StandPara"/>
        <w:tabs>
          <w:tab w:val="left" w:pos="720"/>
          <w:tab w:val="right" w:leader="dot" w:pos="9504"/>
        </w:tabs>
        <w:spacing w:line="240" w:lineRule="atLeast"/>
        <w:ind w:firstLine="0"/>
        <w:jc w:val="center"/>
        <w:rPr>
          <w:b/>
          <w:sz w:val="24"/>
          <w:szCs w:val="24"/>
        </w:rPr>
      </w:pPr>
      <w:r w:rsidRPr="002B2653">
        <w:rPr>
          <w:b/>
          <w:sz w:val="24"/>
          <w:szCs w:val="24"/>
        </w:rPr>
        <w:br w:type="page"/>
      </w:r>
    </w:p>
    <w:p w:rsidR="00476658" w:rsidP="005E5877" w:rsidRDefault="00476658" w14:paraId="4BB13096" w14:textId="77777777">
      <w:pPr>
        <w:pStyle w:val="TOC1"/>
      </w:pPr>
    </w:p>
    <w:p w:rsidR="00476658" w:rsidP="005E5877" w:rsidRDefault="00476658" w14:paraId="67A1C082" w14:textId="77777777">
      <w:pPr>
        <w:pStyle w:val="TOC1"/>
      </w:pPr>
    </w:p>
    <w:sdt>
      <w:sdtPr>
        <w:rPr>
          <w:rFonts w:ascii="Times New Roman" w:hAnsi="Times New Roman"/>
          <w:b w:val="0"/>
          <w:bCs w:val="0"/>
          <w:kern w:val="0"/>
        </w:rPr>
        <w:id w:val="-1905980745"/>
        <w:docPartObj>
          <w:docPartGallery w:val="Table of Contents"/>
          <w:docPartUnique/>
        </w:docPartObj>
      </w:sdtPr>
      <w:sdtEndPr>
        <w:rPr>
          <w:noProof/>
        </w:rPr>
      </w:sdtEndPr>
      <w:sdtContent>
        <w:p w:rsidRPr="00D8270D" w:rsidR="00970A12" w:rsidRDefault="00970A12" w14:paraId="4BFA0F0E" w14:textId="5BAC2396">
          <w:pPr>
            <w:pStyle w:val="TOCHeading"/>
            <w:rPr>
              <w:rFonts w:ascii="Times New Roman" w:hAnsi="Times New Roman"/>
              <w:sz w:val="28"/>
              <w:szCs w:val="20"/>
            </w:rPr>
          </w:pPr>
          <w:r w:rsidRPr="00D8270D">
            <w:rPr>
              <w:rFonts w:ascii="Times New Roman" w:hAnsi="Times New Roman"/>
              <w:sz w:val="28"/>
              <w:szCs w:val="20"/>
            </w:rPr>
            <w:t>Contents</w:t>
          </w:r>
        </w:p>
        <w:p w:rsidRPr="00D8270D" w:rsidR="00F930C0" w:rsidP="00F930C0" w:rsidRDefault="00F930C0" w14:paraId="75DE064F" w14:textId="77777777">
          <w:pPr>
            <w:rPr>
              <w:sz w:val="20"/>
              <w:szCs w:val="20"/>
            </w:rPr>
          </w:pPr>
        </w:p>
        <w:p w:rsidRPr="00D8270D" w:rsidR="005E5877" w:rsidP="0014683D" w:rsidRDefault="00970A12" w14:paraId="5A8214D1" w14:textId="1EAA0955">
          <w:pPr>
            <w:pStyle w:val="TOC1"/>
            <w:ind w:right="0"/>
            <w:jc w:val="left"/>
            <w:rPr>
              <w:rFonts w:asciiTheme="minorHAnsi" w:hAnsiTheme="minorHAnsi" w:eastAsiaTheme="minorEastAsia" w:cstheme="minorBidi"/>
              <w:sz w:val="20"/>
              <w:szCs w:val="20"/>
            </w:rPr>
          </w:pPr>
          <w:r w:rsidRPr="00D8270D">
            <w:rPr>
              <w:sz w:val="20"/>
              <w:szCs w:val="20"/>
            </w:rPr>
            <w:fldChar w:fldCharType="begin"/>
          </w:r>
          <w:r w:rsidRPr="00D8270D">
            <w:rPr>
              <w:sz w:val="20"/>
              <w:szCs w:val="20"/>
            </w:rPr>
            <w:instrText xml:space="preserve"> TOC \o "1-3" \h \z \u </w:instrText>
          </w:r>
          <w:r w:rsidRPr="00D8270D">
            <w:rPr>
              <w:sz w:val="20"/>
              <w:szCs w:val="20"/>
            </w:rPr>
            <w:fldChar w:fldCharType="separate"/>
          </w:r>
          <w:hyperlink w:history="1" w:anchor="_Toc23694919">
            <w:r w:rsidRPr="00D8270D" w:rsidR="005E5877">
              <w:rPr>
                <w:rStyle w:val="Hyperlink"/>
                <w:sz w:val="20"/>
                <w:szCs w:val="20"/>
              </w:rPr>
              <w:t>B. Collection of Information Employing Statistical Methods</w:t>
            </w:r>
            <w:r w:rsidRPr="00D8270D" w:rsidR="005E5877">
              <w:rPr>
                <w:webHidden/>
                <w:sz w:val="20"/>
                <w:szCs w:val="20"/>
              </w:rPr>
              <w:tab/>
            </w:r>
            <w:r w:rsidRPr="00D8270D" w:rsidR="005E5877">
              <w:rPr>
                <w:webHidden/>
                <w:sz w:val="20"/>
                <w:szCs w:val="20"/>
              </w:rPr>
              <w:fldChar w:fldCharType="begin"/>
            </w:r>
            <w:r w:rsidRPr="00D8270D" w:rsidR="005E5877">
              <w:rPr>
                <w:webHidden/>
                <w:sz w:val="20"/>
                <w:szCs w:val="20"/>
              </w:rPr>
              <w:instrText xml:space="preserve"> PAGEREF _Toc23694919 \h </w:instrText>
            </w:r>
            <w:r w:rsidRPr="00D8270D" w:rsidR="005E5877">
              <w:rPr>
                <w:webHidden/>
                <w:sz w:val="20"/>
                <w:szCs w:val="20"/>
              </w:rPr>
            </w:r>
            <w:r w:rsidRPr="00D8270D" w:rsidR="005E5877">
              <w:rPr>
                <w:webHidden/>
                <w:sz w:val="20"/>
                <w:szCs w:val="20"/>
              </w:rPr>
              <w:fldChar w:fldCharType="separate"/>
            </w:r>
            <w:r w:rsidR="00EE0966">
              <w:rPr>
                <w:webHidden/>
                <w:sz w:val="20"/>
                <w:szCs w:val="20"/>
              </w:rPr>
              <w:t>1</w:t>
            </w:r>
            <w:r w:rsidRPr="00D8270D" w:rsidR="005E5877">
              <w:rPr>
                <w:webHidden/>
                <w:sz w:val="20"/>
                <w:szCs w:val="20"/>
              </w:rPr>
              <w:fldChar w:fldCharType="end"/>
            </w:r>
          </w:hyperlink>
        </w:p>
        <w:p w:rsidRPr="00D8270D" w:rsidR="005E5877" w:rsidP="0014683D" w:rsidRDefault="00B074FD" w14:paraId="4B6587F7" w14:textId="10FB093F">
          <w:pPr>
            <w:pStyle w:val="TOC1"/>
            <w:ind w:right="0"/>
            <w:jc w:val="left"/>
            <w:rPr>
              <w:rFonts w:asciiTheme="minorHAnsi" w:hAnsiTheme="minorHAnsi" w:eastAsiaTheme="minorEastAsia" w:cstheme="minorBidi"/>
              <w:sz w:val="20"/>
              <w:szCs w:val="20"/>
            </w:rPr>
          </w:pPr>
          <w:hyperlink w:history="1" w:anchor="_Toc23694920">
            <w:r w:rsidRPr="00D8270D" w:rsidR="005E5877">
              <w:rPr>
                <w:rStyle w:val="Hyperlink"/>
                <w:sz w:val="20"/>
                <w:szCs w:val="20"/>
              </w:rPr>
              <w:t>B.1 Respondent Universe and Sampling Methods</w:t>
            </w:r>
            <w:r w:rsidRPr="00D8270D" w:rsidR="005E5877">
              <w:rPr>
                <w:webHidden/>
                <w:sz w:val="20"/>
                <w:szCs w:val="20"/>
              </w:rPr>
              <w:tab/>
            </w:r>
            <w:r w:rsidRPr="00D8270D" w:rsidR="005E5877">
              <w:rPr>
                <w:webHidden/>
                <w:sz w:val="20"/>
                <w:szCs w:val="20"/>
              </w:rPr>
              <w:fldChar w:fldCharType="begin"/>
            </w:r>
            <w:r w:rsidRPr="00D8270D" w:rsidR="005E5877">
              <w:rPr>
                <w:webHidden/>
                <w:sz w:val="20"/>
                <w:szCs w:val="20"/>
              </w:rPr>
              <w:instrText xml:space="preserve"> PAGEREF _Toc23694920 \h </w:instrText>
            </w:r>
            <w:r w:rsidRPr="00D8270D" w:rsidR="005E5877">
              <w:rPr>
                <w:webHidden/>
                <w:sz w:val="20"/>
                <w:szCs w:val="20"/>
              </w:rPr>
            </w:r>
            <w:r w:rsidRPr="00D8270D" w:rsidR="005E5877">
              <w:rPr>
                <w:webHidden/>
                <w:sz w:val="20"/>
                <w:szCs w:val="20"/>
              </w:rPr>
              <w:fldChar w:fldCharType="separate"/>
            </w:r>
            <w:r w:rsidR="00EE0966">
              <w:rPr>
                <w:webHidden/>
                <w:sz w:val="20"/>
                <w:szCs w:val="20"/>
              </w:rPr>
              <w:t>1</w:t>
            </w:r>
            <w:r w:rsidRPr="00D8270D" w:rsidR="005E5877">
              <w:rPr>
                <w:webHidden/>
                <w:sz w:val="20"/>
                <w:szCs w:val="20"/>
              </w:rPr>
              <w:fldChar w:fldCharType="end"/>
            </w:r>
          </w:hyperlink>
        </w:p>
        <w:p w:rsidRPr="00D8270D" w:rsidR="005E5877" w:rsidP="0014683D" w:rsidRDefault="00B074FD" w14:paraId="111DFA1B" w14:textId="1D7663DF">
          <w:pPr>
            <w:pStyle w:val="TOC1"/>
            <w:ind w:right="0"/>
            <w:jc w:val="left"/>
            <w:rPr>
              <w:rFonts w:asciiTheme="minorHAnsi" w:hAnsiTheme="minorHAnsi" w:eastAsiaTheme="minorEastAsia" w:cstheme="minorBidi"/>
              <w:sz w:val="20"/>
              <w:szCs w:val="20"/>
            </w:rPr>
          </w:pPr>
          <w:hyperlink w:history="1" w:anchor="_Toc23694921">
            <w:r w:rsidRPr="00D8270D" w:rsidR="005E5877">
              <w:rPr>
                <w:rStyle w:val="Hyperlink"/>
                <w:sz w:val="20"/>
                <w:szCs w:val="20"/>
              </w:rPr>
              <w:t>B.2 Procedures for the Collection of Information</w:t>
            </w:r>
            <w:r w:rsidRPr="00D8270D" w:rsidR="005E5877">
              <w:rPr>
                <w:webHidden/>
                <w:sz w:val="20"/>
                <w:szCs w:val="20"/>
              </w:rPr>
              <w:tab/>
            </w:r>
            <w:r w:rsidRPr="00D8270D" w:rsidR="005E5877">
              <w:rPr>
                <w:webHidden/>
                <w:sz w:val="20"/>
                <w:szCs w:val="20"/>
              </w:rPr>
              <w:fldChar w:fldCharType="begin"/>
            </w:r>
            <w:r w:rsidRPr="00D8270D" w:rsidR="005E5877">
              <w:rPr>
                <w:webHidden/>
                <w:sz w:val="20"/>
                <w:szCs w:val="20"/>
              </w:rPr>
              <w:instrText xml:space="preserve"> PAGEREF _Toc23694921 \h </w:instrText>
            </w:r>
            <w:r w:rsidRPr="00D8270D" w:rsidR="005E5877">
              <w:rPr>
                <w:webHidden/>
                <w:sz w:val="20"/>
                <w:szCs w:val="20"/>
              </w:rPr>
            </w:r>
            <w:r w:rsidRPr="00D8270D" w:rsidR="005E5877">
              <w:rPr>
                <w:webHidden/>
                <w:sz w:val="20"/>
                <w:szCs w:val="20"/>
              </w:rPr>
              <w:fldChar w:fldCharType="separate"/>
            </w:r>
            <w:r w:rsidR="00EE0966">
              <w:rPr>
                <w:webHidden/>
                <w:sz w:val="20"/>
                <w:szCs w:val="20"/>
              </w:rPr>
              <w:t>2</w:t>
            </w:r>
            <w:r w:rsidRPr="00D8270D" w:rsidR="005E5877">
              <w:rPr>
                <w:webHidden/>
                <w:sz w:val="20"/>
                <w:szCs w:val="20"/>
              </w:rPr>
              <w:fldChar w:fldCharType="end"/>
            </w:r>
          </w:hyperlink>
        </w:p>
        <w:p w:rsidRPr="00D8270D" w:rsidR="005E5877" w:rsidP="0014683D" w:rsidRDefault="00B074FD" w14:paraId="46109C73" w14:textId="690E4EEC">
          <w:pPr>
            <w:pStyle w:val="TOC1"/>
            <w:ind w:right="0"/>
            <w:jc w:val="left"/>
            <w:rPr>
              <w:rFonts w:asciiTheme="minorHAnsi" w:hAnsiTheme="minorHAnsi" w:eastAsiaTheme="minorEastAsia" w:cstheme="minorBidi"/>
              <w:sz w:val="20"/>
              <w:szCs w:val="20"/>
            </w:rPr>
          </w:pPr>
          <w:hyperlink w:history="1" w:anchor="_Toc23694922">
            <w:r w:rsidRPr="00D8270D" w:rsidR="005E5877">
              <w:rPr>
                <w:rStyle w:val="Hyperlink"/>
                <w:sz w:val="20"/>
                <w:szCs w:val="20"/>
              </w:rPr>
              <w:t>B.3 Methods to Maximize Response Rates and Deal with Nonresponse</w:t>
            </w:r>
            <w:r w:rsidRPr="00D8270D" w:rsidR="005E5877">
              <w:rPr>
                <w:webHidden/>
                <w:sz w:val="20"/>
                <w:szCs w:val="20"/>
              </w:rPr>
              <w:tab/>
            </w:r>
            <w:r w:rsidRPr="00D8270D" w:rsidR="005E5877">
              <w:rPr>
                <w:webHidden/>
                <w:sz w:val="20"/>
                <w:szCs w:val="20"/>
              </w:rPr>
              <w:fldChar w:fldCharType="begin"/>
            </w:r>
            <w:r w:rsidRPr="00D8270D" w:rsidR="005E5877">
              <w:rPr>
                <w:webHidden/>
                <w:sz w:val="20"/>
                <w:szCs w:val="20"/>
              </w:rPr>
              <w:instrText xml:space="preserve"> PAGEREF _Toc23694922 \h </w:instrText>
            </w:r>
            <w:r w:rsidRPr="00D8270D" w:rsidR="005E5877">
              <w:rPr>
                <w:webHidden/>
                <w:sz w:val="20"/>
                <w:szCs w:val="20"/>
              </w:rPr>
            </w:r>
            <w:r w:rsidRPr="00D8270D" w:rsidR="005E5877">
              <w:rPr>
                <w:webHidden/>
                <w:sz w:val="20"/>
                <w:szCs w:val="20"/>
              </w:rPr>
              <w:fldChar w:fldCharType="separate"/>
            </w:r>
            <w:r w:rsidR="00EE0966">
              <w:rPr>
                <w:webHidden/>
                <w:sz w:val="20"/>
                <w:szCs w:val="20"/>
              </w:rPr>
              <w:t>7</w:t>
            </w:r>
            <w:r w:rsidRPr="00D8270D" w:rsidR="005E5877">
              <w:rPr>
                <w:webHidden/>
                <w:sz w:val="20"/>
                <w:szCs w:val="20"/>
              </w:rPr>
              <w:fldChar w:fldCharType="end"/>
            </w:r>
          </w:hyperlink>
        </w:p>
        <w:p w:rsidRPr="00D8270D" w:rsidR="005E5877" w:rsidP="0014683D" w:rsidRDefault="00B074FD" w14:paraId="064EBBED" w14:textId="4DBD9201">
          <w:pPr>
            <w:pStyle w:val="TOC1"/>
            <w:ind w:right="0"/>
            <w:jc w:val="left"/>
            <w:rPr>
              <w:rFonts w:asciiTheme="minorHAnsi" w:hAnsiTheme="minorHAnsi" w:eastAsiaTheme="minorEastAsia" w:cstheme="minorBidi"/>
              <w:sz w:val="20"/>
              <w:szCs w:val="20"/>
            </w:rPr>
          </w:pPr>
          <w:hyperlink w:history="1" w:anchor="_Toc23694923">
            <w:r w:rsidRPr="00D8270D" w:rsidR="005E5877">
              <w:rPr>
                <w:rStyle w:val="Hyperlink"/>
                <w:sz w:val="20"/>
                <w:szCs w:val="20"/>
              </w:rPr>
              <w:t>B.4 Test of Procedures or Methods to be Undertaken</w:t>
            </w:r>
            <w:r w:rsidRPr="00D8270D" w:rsidR="005E5877">
              <w:rPr>
                <w:webHidden/>
                <w:sz w:val="20"/>
                <w:szCs w:val="20"/>
              </w:rPr>
              <w:tab/>
            </w:r>
            <w:r w:rsidRPr="00D8270D" w:rsidR="005E5877">
              <w:rPr>
                <w:webHidden/>
                <w:sz w:val="20"/>
                <w:szCs w:val="20"/>
              </w:rPr>
              <w:fldChar w:fldCharType="begin"/>
            </w:r>
            <w:r w:rsidRPr="00D8270D" w:rsidR="005E5877">
              <w:rPr>
                <w:webHidden/>
                <w:sz w:val="20"/>
                <w:szCs w:val="20"/>
              </w:rPr>
              <w:instrText xml:space="preserve"> PAGEREF _Toc23694923 \h </w:instrText>
            </w:r>
            <w:r w:rsidRPr="00D8270D" w:rsidR="005E5877">
              <w:rPr>
                <w:webHidden/>
                <w:sz w:val="20"/>
                <w:szCs w:val="20"/>
              </w:rPr>
            </w:r>
            <w:r w:rsidRPr="00D8270D" w:rsidR="005E5877">
              <w:rPr>
                <w:webHidden/>
                <w:sz w:val="20"/>
                <w:szCs w:val="20"/>
              </w:rPr>
              <w:fldChar w:fldCharType="separate"/>
            </w:r>
            <w:r w:rsidR="00EE0966">
              <w:rPr>
                <w:webHidden/>
                <w:sz w:val="20"/>
                <w:szCs w:val="20"/>
              </w:rPr>
              <w:t>8</w:t>
            </w:r>
            <w:r w:rsidRPr="00D8270D" w:rsidR="005E5877">
              <w:rPr>
                <w:webHidden/>
                <w:sz w:val="20"/>
                <w:szCs w:val="20"/>
              </w:rPr>
              <w:fldChar w:fldCharType="end"/>
            </w:r>
          </w:hyperlink>
        </w:p>
        <w:p w:rsidRPr="00D8270D" w:rsidR="005E5877" w:rsidP="0014683D" w:rsidRDefault="00B074FD" w14:paraId="158C25E7" w14:textId="48D6E56B">
          <w:pPr>
            <w:pStyle w:val="TOC1"/>
            <w:ind w:right="0"/>
            <w:jc w:val="left"/>
            <w:rPr>
              <w:rFonts w:asciiTheme="minorHAnsi" w:hAnsiTheme="minorHAnsi" w:eastAsiaTheme="minorEastAsia" w:cstheme="minorBidi"/>
              <w:sz w:val="20"/>
              <w:szCs w:val="20"/>
            </w:rPr>
          </w:pPr>
          <w:hyperlink w:history="1" w:anchor="_Toc23694924">
            <w:r w:rsidRPr="00D8270D" w:rsidR="005E5877">
              <w:rPr>
                <w:rStyle w:val="Hyperlink"/>
                <w:sz w:val="20"/>
                <w:szCs w:val="20"/>
              </w:rPr>
              <w:t>B.5 Individuals Consulted on Statistical Aspects and Individuals Collecting and/or Analyzing Data</w:t>
            </w:r>
            <w:r w:rsidRPr="00D8270D" w:rsidR="005E5877">
              <w:rPr>
                <w:webHidden/>
                <w:sz w:val="20"/>
                <w:szCs w:val="20"/>
              </w:rPr>
              <w:tab/>
            </w:r>
            <w:r w:rsidRPr="00D8270D" w:rsidR="005E5877">
              <w:rPr>
                <w:webHidden/>
                <w:sz w:val="20"/>
                <w:szCs w:val="20"/>
              </w:rPr>
              <w:fldChar w:fldCharType="begin"/>
            </w:r>
            <w:r w:rsidRPr="00D8270D" w:rsidR="005E5877">
              <w:rPr>
                <w:webHidden/>
                <w:sz w:val="20"/>
                <w:szCs w:val="20"/>
              </w:rPr>
              <w:instrText xml:space="preserve"> PAGEREF _Toc23694924 \h </w:instrText>
            </w:r>
            <w:r w:rsidRPr="00D8270D" w:rsidR="005E5877">
              <w:rPr>
                <w:webHidden/>
                <w:sz w:val="20"/>
                <w:szCs w:val="20"/>
              </w:rPr>
            </w:r>
            <w:r w:rsidRPr="00D8270D" w:rsidR="005E5877">
              <w:rPr>
                <w:webHidden/>
                <w:sz w:val="20"/>
                <w:szCs w:val="20"/>
              </w:rPr>
              <w:fldChar w:fldCharType="separate"/>
            </w:r>
            <w:r w:rsidR="00EE0966">
              <w:rPr>
                <w:webHidden/>
                <w:sz w:val="20"/>
                <w:szCs w:val="20"/>
              </w:rPr>
              <w:t>8</w:t>
            </w:r>
            <w:r w:rsidRPr="00D8270D" w:rsidR="005E5877">
              <w:rPr>
                <w:webHidden/>
                <w:sz w:val="20"/>
                <w:szCs w:val="20"/>
              </w:rPr>
              <w:fldChar w:fldCharType="end"/>
            </w:r>
          </w:hyperlink>
        </w:p>
        <w:p w:rsidR="00970A12" w:rsidRDefault="00970A12" w14:paraId="532056B7" w14:textId="299BD689">
          <w:r w:rsidRPr="00D8270D">
            <w:rPr>
              <w:bCs/>
              <w:noProof/>
              <w:sz w:val="20"/>
              <w:szCs w:val="20"/>
            </w:rPr>
            <w:fldChar w:fldCharType="end"/>
          </w:r>
        </w:p>
      </w:sdtContent>
    </w:sdt>
    <w:p w:rsidR="00476658" w:rsidP="00FF71B8" w:rsidRDefault="00476658" w14:paraId="4C4DCDCE" w14:textId="1325725F">
      <w:pPr>
        <w:pStyle w:val="P1-StandPara"/>
        <w:tabs>
          <w:tab w:val="left" w:pos="720"/>
          <w:tab w:val="right" w:leader="dot" w:pos="9504"/>
        </w:tabs>
        <w:spacing w:line="240" w:lineRule="atLeast"/>
        <w:ind w:firstLine="0"/>
        <w:jc w:val="center"/>
        <w:rPr>
          <w:b/>
          <w:sz w:val="24"/>
          <w:szCs w:val="24"/>
        </w:rPr>
      </w:pPr>
    </w:p>
    <w:p w:rsidR="00476658" w:rsidP="00FF71B8" w:rsidRDefault="00476658" w14:paraId="5FDD2F47" w14:textId="77777777">
      <w:pPr>
        <w:pStyle w:val="P1-StandPara"/>
        <w:tabs>
          <w:tab w:val="left" w:pos="720"/>
          <w:tab w:val="right" w:leader="dot" w:pos="9504"/>
        </w:tabs>
        <w:spacing w:line="240" w:lineRule="atLeast"/>
        <w:ind w:firstLine="0"/>
        <w:jc w:val="center"/>
        <w:rPr>
          <w:b/>
          <w:sz w:val="24"/>
          <w:szCs w:val="24"/>
        </w:rPr>
      </w:pPr>
    </w:p>
    <w:p w:rsidRPr="000C7FBE" w:rsidR="004A70E1" w:rsidP="00FF71B8" w:rsidRDefault="004A70E1" w14:paraId="436B8FA8" w14:textId="77777777">
      <w:pPr>
        <w:pStyle w:val="P1-StandPara"/>
        <w:ind w:firstLine="0"/>
        <w:rPr>
          <w:color w:val="FF0000"/>
          <w:sz w:val="24"/>
          <w:szCs w:val="24"/>
        </w:rPr>
      </w:pPr>
    </w:p>
    <w:p w:rsidRPr="000C7FBE" w:rsidR="00220B0C" w:rsidP="00FF71B8" w:rsidRDefault="00220B0C" w14:paraId="10730A35" w14:textId="77777777">
      <w:pPr>
        <w:pStyle w:val="P1-StandPara"/>
        <w:ind w:firstLine="0"/>
        <w:rPr>
          <w:color w:val="FF0000"/>
          <w:sz w:val="24"/>
          <w:szCs w:val="24"/>
        </w:rPr>
      </w:pPr>
    </w:p>
    <w:p w:rsidRPr="000C7FBE" w:rsidR="00220B0C" w:rsidP="00FF71B8" w:rsidRDefault="00220B0C" w14:paraId="285B557E" w14:textId="77777777">
      <w:pPr>
        <w:pStyle w:val="P1-StandPara"/>
        <w:ind w:firstLine="0"/>
        <w:rPr>
          <w:color w:val="FF0000"/>
          <w:sz w:val="24"/>
          <w:szCs w:val="24"/>
        </w:rPr>
      </w:pPr>
    </w:p>
    <w:p w:rsidRPr="000C7FBE" w:rsidR="00220B0C" w:rsidP="00FF71B8" w:rsidRDefault="00220B0C" w14:paraId="52EB8C21" w14:textId="77777777">
      <w:pPr>
        <w:pStyle w:val="P1-StandPara"/>
        <w:ind w:firstLine="0"/>
        <w:rPr>
          <w:color w:val="FF0000"/>
          <w:sz w:val="24"/>
          <w:szCs w:val="24"/>
        </w:rPr>
      </w:pPr>
    </w:p>
    <w:p w:rsidR="006732F8" w:rsidRDefault="006732F8" w14:paraId="316BA129" w14:textId="77777777">
      <w:pPr>
        <w:rPr>
          <w:color w:val="FF0000"/>
        </w:rPr>
      </w:pPr>
      <w:r>
        <w:rPr>
          <w:color w:val="FF0000"/>
        </w:rPr>
        <w:br w:type="page"/>
      </w:r>
    </w:p>
    <w:p w:rsidRPr="00970A12" w:rsidR="00BC6C1C" w:rsidP="00CE2B2A" w:rsidRDefault="00BC6C1C" w14:paraId="51590CC9" w14:textId="64F69CEF">
      <w:pPr>
        <w:rPr>
          <w:b/>
        </w:rPr>
      </w:pPr>
      <w:bookmarkStart w:name="_Toc23672015" w:id="2"/>
      <w:bookmarkStart w:name="_Toc23672226" w:id="3"/>
      <w:bookmarkStart w:name="_Toc443881763" w:id="4"/>
      <w:bookmarkStart w:name="_Toc451592250" w:id="5"/>
      <w:bookmarkStart w:name="_Toc5610291" w:id="6"/>
      <w:bookmarkStart w:name="_Toc99178797" w:id="7"/>
      <w:r w:rsidRPr="00970A12">
        <w:rPr>
          <w:b/>
        </w:rPr>
        <w:lastRenderedPageBreak/>
        <w:t>List of Attachments</w:t>
      </w:r>
      <w:bookmarkEnd w:id="2"/>
      <w:bookmarkEnd w:id="3"/>
    </w:p>
    <w:p w:rsidRPr="008611FE" w:rsidR="00BC6C1C" w:rsidP="00BC6C1C" w:rsidRDefault="00BC6C1C" w14:paraId="604C50A9" w14:textId="77777777"/>
    <w:p w:rsidRPr="00962B18" w:rsidR="00BC6C1C" w:rsidP="00F06DD0" w:rsidRDefault="00BC6C1C" w14:paraId="6ABF54D5" w14:textId="63EF578F">
      <w:pPr>
        <w:ind w:left="540" w:hanging="540"/>
        <w:rPr>
          <w:sz w:val="22"/>
          <w:szCs w:val="22"/>
        </w:rPr>
      </w:pPr>
      <w:bookmarkStart w:name="_Hlk23699483" w:id="8"/>
      <w:r w:rsidRPr="00962B18">
        <w:rPr>
          <w:sz w:val="22"/>
          <w:szCs w:val="22"/>
        </w:rPr>
        <w:t>Attachment 1: RFA-RM-13-016 (Building Infrastructure Leading to Diversity (BUILD))</w:t>
      </w:r>
    </w:p>
    <w:p w:rsidRPr="00962B18" w:rsidR="00BC6C1C" w:rsidP="00F06DD0" w:rsidRDefault="00BC6C1C" w14:paraId="6299388A" w14:textId="25DE110A">
      <w:pPr>
        <w:ind w:left="540" w:hanging="540"/>
        <w:rPr>
          <w:sz w:val="22"/>
          <w:szCs w:val="22"/>
        </w:rPr>
      </w:pPr>
      <w:bookmarkStart w:name="_Hlk23519421" w:id="9"/>
      <w:r w:rsidRPr="00962B18">
        <w:rPr>
          <w:sz w:val="22"/>
          <w:szCs w:val="22"/>
        </w:rPr>
        <w:t xml:space="preserve">Attachment </w:t>
      </w:r>
      <w:r w:rsidR="003C6AAB">
        <w:rPr>
          <w:sz w:val="22"/>
          <w:szCs w:val="22"/>
        </w:rPr>
        <w:t>2</w:t>
      </w:r>
      <w:r w:rsidRPr="00962B18">
        <w:rPr>
          <w:sz w:val="22"/>
          <w:szCs w:val="22"/>
        </w:rPr>
        <w:t>: RFA-RM-18-006 (Building Infrastructure Leading to Diversity (BUILD) Initiative)</w:t>
      </w:r>
    </w:p>
    <w:bookmarkEnd w:id="9"/>
    <w:p w:rsidRPr="00962B18" w:rsidR="00BC6C1C" w:rsidP="00F06DD0" w:rsidRDefault="00BC6C1C" w14:paraId="458171EA" w14:textId="6C656DC8">
      <w:pPr>
        <w:ind w:left="540" w:hanging="540"/>
        <w:rPr>
          <w:sz w:val="22"/>
          <w:szCs w:val="22"/>
        </w:rPr>
      </w:pPr>
      <w:r w:rsidRPr="00962B18">
        <w:rPr>
          <w:sz w:val="22"/>
          <w:szCs w:val="22"/>
        </w:rPr>
        <w:t xml:space="preserve">Attachment </w:t>
      </w:r>
      <w:r w:rsidR="003C6AAB">
        <w:rPr>
          <w:sz w:val="22"/>
          <w:szCs w:val="22"/>
        </w:rPr>
        <w:t>3</w:t>
      </w:r>
      <w:r w:rsidRPr="00962B18">
        <w:rPr>
          <w:sz w:val="22"/>
          <w:szCs w:val="22"/>
        </w:rPr>
        <w:t>: RFA-RM-13-017 (National Research Mentoring Network (NRMN))</w:t>
      </w:r>
    </w:p>
    <w:p w:rsidRPr="00962B18" w:rsidR="00BC6C1C" w:rsidP="00F06DD0" w:rsidRDefault="00BC6C1C" w14:paraId="0CF533C3" w14:textId="0A319529">
      <w:pPr>
        <w:ind w:left="540" w:hanging="540"/>
        <w:rPr>
          <w:sz w:val="22"/>
          <w:szCs w:val="22"/>
        </w:rPr>
      </w:pPr>
      <w:r w:rsidRPr="00962B18">
        <w:rPr>
          <w:sz w:val="22"/>
          <w:szCs w:val="22"/>
        </w:rPr>
        <w:t xml:space="preserve">Attachment </w:t>
      </w:r>
      <w:r w:rsidR="003C6AAB">
        <w:rPr>
          <w:sz w:val="22"/>
          <w:szCs w:val="22"/>
        </w:rPr>
        <w:t>4</w:t>
      </w:r>
      <w:r w:rsidRPr="00962B18">
        <w:rPr>
          <w:sz w:val="22"/>
          <w:szCs w:val="22"/>
        </w:rPr>
        <w:t>: RFA-RM-13-015 (Coordination &amp; Evaluation Center)</w:t>
      </w:r>
    </w:p>
    <w:p w:rsidRPr="00962B18" w:rsidR="00BC6C1C" w:rsidP="00F06DD0" w:rsidRDefault="00BC6C1C" w14:paraId="7425A979" w14:textId="02B091AC">
      <w:pPr>
        <w:ind w:left="540" w:hanging="540"/>
        <w:rPr>
          <w:sz w:val="22"/>
          <w:szCs w:val="22"/>
        </w:rPr>
      </w:pPr>
      <w:bookmarkStart w:name="_Hlk23519607" w:id="10"/>
      <w:r w:rsidRPr="00962B18">
        <w:rPr>
          <w:sz w:val="22"/>
          <w:szCs w:val="22"/>
        </w:rPr>
        <w:t xml:space="preserve">Attachment </w:t>
      </w:r>
      <w:r w:rsidR="003C6AAB">
        <w:rPr>
          <w:sz w:val="22"/>
          <w:szCs w:val="22"/>
        </w:rPr>
        <w:t>5</w:t>
      </w:r>
      <w:r w:rsidRPr="00962B18">
        <w:rPr>
          <w:sz w:val="22"/>
          <w:szCs w:val="22"/>
        </w:rPr>
        <w:t>: RFA-RM-18-005 (Coordination &amp; Evaluation Center Phase II)</w:t>
      </w:r>
    </w:p>
    <w:bookmarkEnd w:id="10"/>
    <w:p w:rsidRPr="00962B18" w:rsidR="00BC6C1C" w:rsidP="00F06DD0" w:rsidRDefault="00BC6C1C" w14:paraId="2801E175" w14:textId="7BE2C8BA">
      <w:pPr>
        <w:ind w:left="540" w:hanging="540"/>
        <w:rPr>
          <w:sz w:val="22"/>
          <w:szCs w:val="22"/>
        </w:rPr>
      </w:pPr>
      <w:r w:rsidRPr="00962B18">
        <w:rPr>
          <w:sz w:val="22"/>
          <w:szCs w:val="22"/>
        </w:rPr>
        <w:t xml:space="preserve">Attachment </w:t>
      </w:r>
      <w:r w:rsidR="003C6AAB">
        <w:rPr>
          <w:sz w:val="22"/>
          <w:szCs w:val="22"/>
        </w:rPr>
        <w:t>6</w:t>
      </w:r>
      <w:r w:rsidRPr="00962B18">
        <w:rPr>
          <w:sz w:val="22"/>
          <w:szCs w:val="22"/>
        </w:rPr>
        <w:t xml:space="preserve">: Hallmarks of Success </w:t>
      </w:r>
    </w:p>
    <w:p w:rsidRPr="00962B18" w:rsidR="00977062" w:rsidP="00F06DD0" w:rsidRDefault="0078787C" w14:paraId="5135356D" w14:textId="73507A0F">
      <w:pPr>
        <w:ind w:left="540" w:hanging="540"/>
        <w:rPr>
          <w:sz w:val="22"/>
          <w:szCs w:val="22"/>
        </w:rPr>
      </w:pPr>
      <w:r w:rsidRPr="00962B18">
        <w:rPr>
          <w:sz w:val="22"/>
          <w:szCs w:val="22"/>
        </w:rPr>
        <w:t xml:space="preserve">Attachment </w:t>
      </w:r>
      <w:r w:rsidR="003C6AAB">
        <w:rPr>
          <w:sz w:val="22"/>
          <w:szCs w:val="22"/>
        </w:rPr>
        <w:t>7</w:t>
      </w:r>
      <w:r w:rsidRPr="00962B18">
        <w:rPr>
          <w:sz w:val="22"/>
          <w:szCs w:val="22"/>
        </w:rPr>
        <w:t xml:space="preserve">: </w:t>
      </w:r>
      <w:bookmarkStart w:name="_Hlk23699590" w:id="11"/>
      <w:r w:rsidRPr="00962B18">
        <w:rPr>
          <w:sz w:val="22"/>
          <w:szCs w:val="22"/>
        </w:rPr>
        <w:t>Mapping Hallmarks to Data Sources</w:t>
      </w:r>
      <w:bookmarkEnd w:id="11"/>
    </w:p>
    <w:p w:rsidRPr="00962B18" w:rsidR="0078787C" w:rsidP="00F06DD0" w:rsidRDefault="00977062" w14:paraId="2D622650" w14:textId="2A5D473F">
      <w:pPr>
        <w:ind w:left="540" w:hanging="540"/>
        <w:rPr>
          <w:sz w:val="22"/>
          <w:szCs w:val="22"/>
        </w:rPr>
      </w:pPr>
      <w:r w:rsidRPr="00962B18">
        <w:rPr>
          <w:sz w:val="22"/>
          <w:szCs w:val="22"/>
        </w:rPr>
        <w:t xml:space="preserve">Attachment </w:t>
      </w:r>
      <w:r w:rsidR="003C6AAB">
        <w:rPr>
          <w:sz w:val="22"/>
          <w:szCs w:val="22"/>
        </w:rPr>
        <w:t>8</w:t>
      </w:r>
      <w:r w:rsidRPr="00962B18">
        <w:rPr>
          <w:sz w:val="22"/>
          <w:szCs w:val="22"/>
        </w:rPr>
        <w:t xml:space="preserve">: </w:t>
      </w:r>
      <w:bookmarkStart w:name="_Hlk23699606" w:id="12"/>
      <w:r w:rsidR="003C6AAB">
        <w:rPr>
          <w:sz w:val="22"/>
          <w:szCs w:val="22"/>
        </w:rPr>
        <w:t xml:space="preserve">Priority </w:t>
      </w:r>
      <w:r w:rsidRPr="00962B18">
        <w:rPr>
          <w:sz w:val="22"/>
          <w:szCs w:val="22"/>
        </w:rPr>
        <w:t>Consortium Evaluation Products</w:t>
      </w:r>
      <w:bookmarkEnd w:id="12"/>
      <w:r w:rsidRPr="00962B18" w:rsidR="0078787C">
        <w:rPr>
          <w:sz w:val="22"/>
          <w:szCs w:val="22"/>
        </w:rPr>
        <w:t xml:space="preserve"> </w:t>
      </w:r>
    </w:p>
    <w:p w:rsidRPr="00962B18" w:rsidR="00BC6C1C" w:rsidP="00F06DD0" w:rsidRDefault="00BC6C1C" w14:paraId="20F33F6A" w14:textId="57647A97">
      <w:pPr>
        <w:ind w:left="540" w:hanging="540"/>
        <w:rPr>
          <w:sz w:val="22"/>
          <w:szCs w:val="22"/>
        </w:rPr>
      </w:pPr>
      <w:r w:rsidRPr="00962B18">
        <w:rPr>
          <w:sz w:val="22"/>
          <w:szCs w:val="22"/>
        </w:rPr>
        <w:t xml:space="preserve">Attachment </w:t>
      </w:r>
      <w:r w:rsidR="003C6AAB">
        <w:rPr>
          <w:sz w:val="22"/>
          <w:szCs w:val="22"/>
        </w:rPr>
        <w:t>9</w:t>
      </w:r>
      <w:r w:rsidRPr="00962B18">
        <w:rPr>
          <w:sz w:val="22"/>
          <w:szCs w:val="22"/>
        </w:rPr>
        <w:t>: BUILD Interventions Summary Table</w:t>
      </w:r>
    </w:p>
    <w:p w:rsidRPr="00962B18" w:rsidR="00BC6C1C" w:rsidP="00F06DD0" w:rsidRDefault="00BC6C1C" w14:paraId="297F9E38" w14:textId="100238F9">
      <w:pPr>
        <w:ind w:left="540" w:hanging="540"/>
        <w:rPr>
          <w:sz w:val="22"/>
          <w:szCs w:val="22"/>
        </w:rPr>
      </w:pPr>
      <w:r w:rsidRPr="00962B18">
        <w:rPr>
          <w:sz w:val="22"/>
          <w:szCs w:val="22"/>
        </w:rPr>
        <w:t xml:space="preserve">Attachment </w:t>
      </w:r>
      <w:r w:rsidR="003C6AAB">
        <w:rPr>
          <w:sz w:val="22"/>
          <w:szCs w:val="22"/>
        </w:rPr>
        <w:t>10</w:t>
      </w:r>
      <w:r w:rsidRPr="00962B18">
        <w:rPr>
          <w:sz w:val="22"/>
          <w:szCs w:val="22"/>
        </w:rPr>
        <w:t>: BUILD Logic Models</w:t>
      </w:r>
    </w:p>
    <w:p w:rsidRPr="00962B18" w:rsidR="00BC6C1C" w:rsidP="00F06DD0" w:rsidRDefault="00BC6C1C" w14:paraId="4520D00B" w14:textId="67761F63">
      <w:pPr>
        <w:ind w:left="540" w:hanging="540"/>
        <w:rPr>
          <w:sz w:val="22"/>
          <w:szCs w:val="22"/>
        </w:rPr>
      </w:pPr>
      <w:r w:rsidRPr="00962B18">
        <w:rPr>
          <w:sz w:val="22"/>
          <w:szCs w:val="22"/>
        </w:rPr>
        <w:t xml:space="preserve">Attachment </w:t>
      </w:r>
      <w:r w:rsidR="003C6AAB">
        <w:rPr>
          <w:sz w:val="22"/>
          <w:szCs w:val="22"/>
        </w:rPr>
        <w:t>11</w:t>
      </w:r>
      <w:r w:rsidRPr="00962B18">
        <w:rPr>
          <w:sz w:val="22"/>
          <w:szCs w:val="22"/>
        </w:rPr>
        <w:t>:</w:t>
      </w:r>
      <w:r w:rsidR="003C6AAB">
        <w:rPr>
          <w:sz w:val="22"/>
          <w:szCs w:val="22"/>
        </w:rPr>
        <w:t xml:space="preserve"> </w:t>
      </w:r>
      <w:r w:rsidRPr="00962B18">
        <w:rPr>
          <w:sz w:val="22"/>
          <w:szCs w:val="22"/>
        </w:rPr>
        <w:t>NRMN Logic Model Phase I</w:t>
      </w:r>
    </w:p>
    <w:p w:rsidRPr="00962B18" w:rsidR="00BC6C1C" w:rsidP="00F06DD0" w:rsidRDefault="00BC6C1C" w14:paraId="46875773" w14:textId="274A9BA8">
      <w:pPr>
        <w:ind w:left="540" w:hanging="540"/>
        <w:rPr>
          <w:sz w:val="22"/>
          <w:szCs w:val="22"/>
        </w:rPr>
      </w:pPr>
      <w:r w:rsidRPr="00962B18">
        <w:rPr>
          <w:color w:val="212121"/>
          <w:sz w:val="22"/>
          <w:szCs w:val="22"/>
        </w:rPr>
        <w:t xml:space="preserve">Attachment </w:t>
      </w:r>
      <w:r w:rsidR="003C6AAB">
        <w:rPr>
          <w:color w:val="212121"/>
          <w:sz w:val="22"/>
          <w:szCs w:val="22"/>
        </w:rPr>
        <w:t>12</w:t>
      </w:r>
      <w:r w:rsidRPr="00962B18">
        <w:rPr>
          <w:color w:val="212121"/>
          <w:sz w:val="22"/>
          <w:szCs w:val="22"/>
        </w:rPr>
        <w:t xml:space="preserve">: </w:t>
      </w:r>
      <w:r w:rsidR="003C6AAB">
        <w:rPr>
          <w:color w:val="212121"/>
          <w:sz w:val="22"/>
          <w:szCs w:val="22"/>
        </w:rPr>
        <w:t xml:space="preserve">CIRP </w:t>
      </w:r>
      <w:r w:rsidRPr="00962B18">
        <w:rPr>
          <w:color w:val="212121"/>
          <w:sz w:val="22"/>
          <w:szCs w:val="22"/>
        </w:rPr>
        <w:t>HERI Freshman Survey</w:t>
      </w:r>
    </w:p>
    <w:p w:rsidRPr="00962B18" w:rsidR="00BC6C1C" w:rsidP="00F06DD0" w:rsidRDefault="00BC6C1C" w14:paraId="1FCE3929" w14:textId="44E2485C">
      <w:pPr>
        <w:ind w:left="540" w:hanging="540"/>
        <w:rPr>
          <w:color w:val="212121"/>
          <w:sz w:val="22"/>
          <w:szCs w:val="22"/>
        </w:rPr>
      </w:pPr>
      <w:r w:rsidRPr="00962B18">
        <w:rPr>
          <w:color w:val="212121"/>
          <w:sz w:val="22"/>
          <w:szCs w:val="22"/>
        </w:rPr>
        <w:t xml:space="preserve">Attachment </w:t>
      </w:r>
      <w:r w:rsidR="003C6AAB">
        <w:rPr>
          <w:color w:val="212121"/>
          <w:sz w:val="22"/>
          <w:szCs w:val="22"/>
        </w:rPr>
        <w:t>13</w:t>
      </w:r>
      <w:r w:rsidRPr="00962B18">
        <w:rPr>
          <w:color w:val="212121"/>
          <w:sz w:val="22"/>
          <w:szCs w:val="22"/>
        </w:rPr>
        <w:t xml:space="preserve">: </w:t>
      </w:r>
      <w:r w:rsidR="003C6AAB">
        <w:rPr>
          <w:color w:val="212121"/>
          <w:sz w:val="22"/>
          <w:szCs w:val="22"/>
        </w:rPr>
        <w:t>Student Annual Follow-up Survey</w:t>
      </w:r>
    </w:p>
    <w:p w:rsidRPr="00962B18" w:rsidR="00BC6C1C" w:rsidP="00F06DD0" w:rsidRDefault="00BC6C1C" w14:paraId="541C0620" w14:textId="711B3876">
      <w:pPr>
        <w:ind w:left="540" w:hanging="540"/>
        <w:rPr>
          <w:sz w:val="22"/>
          <w:szCs w:val="22"/>
        </w:rPr>
      </w:pPr>
      <w:r w:rsidRPr="00962B18">
        <w:rPr>
          <w:sz w:val="22"/>
          <w:szCs w:val="22"/>
        </w:rPr>
        <w:t>Attachment 1</w:t>
      </w:r>
      <w:r w:rsidR="003C6AAB">
        <w:rPr>
          <w:sz w:val="22"/>
          <w:szCs w:val="22"/>
        </w:rPr>
        <w:t>4</w:t>
      </w:r>
      <w:r w:rsidRPr="00962B18">
        <w:rPr>
          <w:sz w:val="22"/>
          <w:szCs w:val="22"/>
        </w:rPr>
        <w:t>: College Senior Survey</w:t>
      </w:r>
    </w:p>
    <w:p w:rsidRPr="00962B18" w:rsidR="00BC6C1C" w:rsidP="00F06DD0" w:rsidRDefault="00BC6C1C" w14:paraId="0DB4F081" w14:textId="4F92DEFD">
      <w:pPr>
        <w:ind w:left="540" w:hanging="540"/>
        <w:rPr>
          <w:sz w:val="22"/>
          <w:szCs w:val="22"/>
        </w:rPr>
      </w:pPr>
      <w:r w:rsidRPr="00962B18">
        <w:rPr>
          <w:sz w:val="22"/>
          <w:szCs w:val="22"/>
        </w:rPr>
        <w:t>Attachment 1</w:t>
      </w:r>
      <w:r w:rsidR="003C6AAB">
        <w:rPr>
          <w:sz w:val="22"/>
          <w:szCs w:val="22"/>
        </w:rPr>
        <w:t>5</w:t>
      </w:r>
      <w:r w:rsidRPr="00962B18">
        <w:rPr>
          <w:sz w:val="22"/>
          <w:szCs w:val="22"/>
        </w:rPr>
        <w:t>: HERI Faculty Survey</w:t>
      </w:r>
    </w:p>
    <w:p w:rsidRPr="00962B18" w:rsidR="00BC6C1C" w:rsidP="00AE1FB7" w:rsidRDefault="00BC6C1C" w14:paraId="50E57ED8" w14:textId="132BA6A0">
      <w:pPr>
        <w:ind w:left="540" w:hanging="540"/>
        <w:rPr>
          <w:sz w:val="22"/>
          <w:szCs w:val="22"/>
        </w:rPr>
      </w:pPr>
      <w:r w:rsidRPr="00962B18">
        <w:rPr>
          <w:sz w:val="22"/>
          <w:szCs w:val="22"/>
        </w:rPr>
        <w:t>Attachment 1</w:t>
      </w:r>
      <w:r w:rsidR="003C6AAB">
        <w:rPr>
          <w:sz w:val="22"/>
          <w:szCs w:val="22"/>
        </w:rPr>
        <w:t>6</w:t>
      </w:r>
      <w:r w:rsidRPr="00962B18">
        <w:rPr>
          <w:sz w:val="22"/>
          <w:szCs w:val="22"/>
        </w:rPr>
        <w:t>: Faculty Annual Follow-up Survey</w:t>
      </w:r>
    </w:p>
    <w:p w:rsidRPr="00962B18" w:rsidR="00BC6C1C" w:rsidP="00F06DD0" w:rsidRDefault="00BC6C1C" w14:paraId="23628183" w14:textId="0CA408CB">
      <w:pPr>
        <w:ind w:left="540" w:hanging="540"/>
        <w:rPr>
          <w:sz w:val="22"/>
          <w:szCs w:val="22"/>
        </w:rPr>
      </w:pPr>
      <w:bookmarkStart w:name="_Hlk23428975" w:id="13"/>
      <w:r w:rsidRPr="00962B18">
        <w:rPr>
          <w:sz w:val="22"/>
          <w:szCs w:val="22"/>
        </w:rPr>
        <w:t xml:space="preserve">Attachment 17: NRMN </w:t>
      </w:r>
      <w:r w:rsidR="003C6AAB">
        <w:rPr>
          <w:sz w:val="22"/>
          <w:szCs w:val="22"/>
        </w:rPr>
        <w:t xml:space="preserve">Annual </w:t>
      </w:r>
      <w:r w:rsidRPr="00962B18">
        <w:rPr>
          <w:sz w:val="22"/>
          <w:szCs w:val="22"/>
        </w:rPr>
        <w:t>Follow-up Survey</w:t>
      </w:r>
    </w:p>
    <w:bookmarkEnd w:id="13"/>
    <w:p w:rsidRPr="00962B18" w:rsidR="00BC6C1C" w:rsidP="00AE1FB7" w:rsidRDefault="00BC6C1C" w14:paraId="7F04F8D8" w14:textId="2075DC15">
      <w:pPr>
        <w:ind w:left="540" w:hanging="540"/>
        <w:rPr>
          <w:sz w:val="22"/>
          <w:szCs w:val="22"/>
        </w:rPr>
      </w:pPr>
      <w:r w:rsidRPr="00962B18">
        <w:rPr>
          <w:sz w:val="22"/>
          <w:szCs w:val="22"/>
        </w:rPr>
        <w:t xml:space="preserve">Attachment </w:t>
      </w:r>
      <w:r w:rsidR="00D52706">
        <w:rPr>
          <w:sz w:val="22"/>
          <w:szCs w:val="22"/>
        </w:rPr>
        <w:t>18</w:t>
      </w:r>
      <w:r w:rsidRPr="00962B18">
        <w:rPr>
          <w:sz w:val="22"/>
          <w:szCs w:val="22"/>
        </w:rPr>
        <w:t>: BUILD Site Visit &amp; Case Studies Protocol</w:t>
      </w:r>
    </w:p>
    <w:p w:rsidRPr="00962B18" w:rsidR="00BC6C1C" w:rsidP="00AE1FB7" w:rsidRDefault="00BC6C1C" w14:paraId="5ABDD3E1" w14:textId="72FD94ED">
      <w:pPr>
        <w:ind w:left="540" w:hanging="540"/>
        <w:rPr>
          <w:sz w:val="22"/>
          <w:szCs w:val="22"/>
        </w:rPr>
      </w:pPr>
      <w:r w:rsidRPr="00962B18">
        <w:rPr>
          <w:sz w:val="22"/>
          <w:szCs w:val="22"/>
        </w:rPr>
        <w:t xml:space="preserve">Attachment </w:t>
      </w:r>
      <w:r w:rsidR="00683464">
        <w:rPr>
          <w:sz w:val="22"/>
          <w:szCs w:val="22"/>
        </w:rPr>
        <w:t>19</w:t>
      </w:r>
      <w:r w:rsidRPr="00962B18">
        <w:rPr>
          <w:sz w:val="22"/>
          <w:szCs w:val="22"/>
        </w:rPr>
        <w:t>: BUILD Institutional Records &amp; Program Data Requests</w:t>
      </w:r>
    </w:p>
    <w:p w:rsidRPr="00962B18" w:rsidR="00BC6C1C" w:rsidP="00F06DD0" w:rsidRDefault="00BC6C1C" w14:paraId="6ADF8BA6" w14:textId="0205DD1A">
      <w:pPr>
        <w:ind w:left="540" w:hanging="540"/>
        <w:rPr>
          <w:sz w:val="22"/>
          <w:szCs w:val="22"/>
        </w:rPr>
      </w:pPr>
      <w:r w:rsidRPr="00962B18">
        <w:rPr>
          <w:sz w:val="22"/>
          <w:szCs w:val="22"/>
        </w:rPr>
        <w:t>Attachment 2</w:t>
      </w:r>
      <w:r w:rsidR="00683464">
        <w:rPr>
          <w:sz w:val="22"/>
          <w:szCs w:val="22"/>
        </w:rPr>
        <w:t>0</w:t>
      </w:r>
      <w:r w:rsidRPr="00962B18">
        <w:rPr>
          <w:sz w:val="22"/>
          <w:szCs w:val="22"/>
        </w:rPr>
        <w:t>: Coordination &amp; Evaluation Center (CEC) Tracker Security Overview</w:t>
      </w:r>
    </w:p>
    <w:p w:rsidRPr="00962B18" w:rsidR="00BC6C1C" w:rsidP="00F06DD0" w:rsidRDefault="00BC6C1C" w14:paraId="3FB8CACD" w14:textId="35FFD303">
      <w:pPr>
        <w:ind w:left="540" w:hanging="540"/>
        <w:rPr>
          <w:sz w:val="22"/>
          <w:szCs w:val="22"/>
        </w:rPr>
      </w:pPr>
      <w:r w:rsidRPr="00962B18">
        <w:rPr>
          <w:sz w:val="22"/>
          <w:szCs w:val="22"/>
        </w:rPr>
        <w:t>Attachment 2</w:t>
      </w:r>
      <w:r w:rsidR="00683464">
        <w:rPr>
          <w:sz w:val="22"/>
          <w:szCs w:val="22"/>
        </w:rPr>
        <w:t>1</w:t>
      </w:r>
      <w:r w:rsidRPr="00962B18">
        <w:rPr>
          <w:sz w:val="22"/>
          <w:szCs w:val="22"/>
        </w:rPr>
        <w:t>:  Original Advisory Committee to the Director</w:t>
      </w:r>
      <w:r w:rsidRPr="00962B18" w:rsidR="00F06DD0">
        <w:rPr>
          <w:sz w:val="22"/>
          <w:szCs w:val="22"/>
        </w:rPr>
        <w:t xml:space="preserve"> </w:t>
      </w:r>
      <w:r w:rsidRPr="00962B18">
        <w:rPr>
          <w:sz w:val="22"/>
          <w:szCs w:val="22"/>
        </w:rPr>
        <w:t>Working Group on Diversity in the Biomedical Research Workforce Membership</w:t>
      </w:r>
    </w:p>
    <w:p w:rsidRPr="00962B18" w:rsidR="00BC6C1C" w:rsidP="00F06DD0" w:rsidRDefault="00BC6C1C" w14:paraId="1C169B25" w14:textId="05512529">
      <w:pPr>
        <w:ind w:left="540" w:hanging="540"/>
        <w:rPr>
          <w:sz w:val="22"/>
          <w:szCs w:val="22"/>
        </w:rPr>
      </w:pPr>
      <w:r w:rsidRPr="00962B18">
        <w:rPr>
          <w:sz w:val="22"/>
          <w:szCs w:val="22"/>
        </w:rPr>
        <w:t>Attachment 2</w:t>
      </w:r>
      <w:r w:rsidR="00683464">
        <w:rPr>
          <w:sz w:val="22"/>
          <w:szCs w:val="22"/>
        </w:rPr>
        <w:t>2</w:t>
      </w:r>
      <w:r w:rsidRPr="00962B18">
        <w:rPr>
          <w:sz w:val="22"/>
          <w:szCs w:val="22"/>
        </w:rPr>
        <w:t>: Current</w:t>
      </w:r>
      <w:r w:rsidR="00683464">
        <w:rPr>
          <w:sz w:val="22"/>
          <w:szCs w:val="22"/>
        </w:rPr>
        <w:t xml:space="preserve"> roster of the</w:t>
      </w:r>
      <w:r w:rsidRPr="00962B18">
        <w:rPr>
          <w:sz w:val="22"/>
          <w:szCs w:val="22"/>
        </w:rPr>
        <w:t xml:space="preserve"> Advisory Committee to the Director</w:t>
      </w:r>
      <w:r w:rsidR="00683464">
        <w:rPr>
          <w:sz w:val="22"/>
          <w:szCs w:val="22"/>
        </w:rPr>
        <w:t>,</w:t>
      </w:r>
      <w:r w:rsidRPr="00962B18">
        <w:rPr>
          <w:sz w:val="22"/>
          <w:szCs w:val="22"/>
        </w:rPr>
        <w:t xml:space="preserve"> Working Group on Diversity </w:t>
      </w:r>
    </w:p>
    <w:p w:rsidRPr="00962B18" w:rsidR="00BC6C1C" w:rsidP="00F06DD0" w:rsidRDefault="00BC6C1C" w14:paraId="090823FD" w14:textId="7A185A6B">
      <w:pPr>
        <w:ind w:left="540" w:hanging="540"/>
        <w:rPr>
          <w:sz w:val="22"/>
          <w:szCs w:val="22"/>
        </w:rPr>
      </w:pPr>
      <w:r w:rsidRPr="00962B18">
        <w:rPr>
          <w:sz w:val="22"/>
          <w:szCs w:val="22"/>
        </w:rPr>
        <w:t>Attachment 2</w:t>
      </w:r>
      <w:r w:rsidR="00683464">
        <w:rPr>
          <w:sz w:val="22"/>
          <w:szCs w:val="22"/>
        </w:rPr>
        <w:t>3</w:t>
      </w:r>
      <w:r w:rsidRPr="00962B18">
        <w:rPr>
          <w:sz w:val="22"/>
          <w:szCs w:val="22"/>
        </w:rPr>
        <w:t xml:space="preserve">: </w:t>
      </w:r>
      <w:r w:rsidR="00683464">
        <w:rPr>
          <w:sz w:val="22"/>
          <w:szCs w:val="22"/>
        </w:rPr>
        <w:t xml:space="preserve">Current roster of the </w:t>
      </w:r>
      <w:r w:rsidRPr="00962B18">
        <w:rPr>
          <w:sz w:val="22"/>
          <w:szCs w:val="22"/>
        </w:rPr>
        <w:t>Advisory Committee to the Director</w:t>
      </w:r>
      <w:r w:rsidR="00683464">
        <w:rPr>
          <w:sz w:val="22"/>
          <w:szCs w:val="22"/>
        </w:rPr>
        <w:t>,</w:t>
      </w:r>
      <w:r w:rsidRPr="00962B18">
        <w:rPr>
          <w:sz w:val="22"/>
          <w:szCs w:val="22"/>
        </w:rPr>
        <w:t xml:space="preserve"> Working Group on Diversity, Diversity Program Consortium Subcommittee </w:t>
      </w:r>
    </w:p>
    <w:p w:rsidRPr="00962B18" w:rsidR="00BC6C1C" w:rsidP="00F06DD0" w:rsidRDefault="00BC6C1C" w14:paraId="33B9E626" w14:textId="2A7091A6">
      <w:pPr>
        <w:ind w:left="540" w:hanging="540"/>
        <w:rPr>
          <w:sz w:val="22"/>
          <w:szCs w:val="22"/>
        </w:rPr>
      </w:pPr>
      <w:r w:rsidRPr="00962B18">
        <w:rPr>
          <w:sz w:val="22"/>
          <w:szCs w:val="22"/>
        </w:rPr>
        <w:t>Attachment 2</w:t>
      </w:r>
      <w:r w:rsidR="00683464">
        <w:rPr>
          <w:sz w:val="22"/>
          <w:szCs w:val="22"/>
        </w:rPr>
        <w:t>4</w:t>
      </w:r>
      <w:r w:rsidRPr="00962B18">
        <w:rPr>
          <w:sz w:val="22"/>
          <w:szCs w:val="22"/>
        </w:rPr>
        <w:t>: NIH Privacy Act Officer Correspondence</w:t>
      </w:r>
      <w:r w:rsidR="0086430C">
        <w:rPr>
          <w:sz w:val="22"/>
          <w:szCs w:val="22"/>
        </w:rPr>
        <w:t xml:space="preserve"> </w:t>
      </w:r>
      <w:r w:rsidR="00683464">
        <w:rPr>
          <w:sz w:val="22"/>
          <w:szCs w:val="22"/>
        </w:rPr>
        <w:t>2016</w:t>
      </w:r>
      <w:r w:rsidR="0086430C">
        <w:rPr>
          <w:sz w:val="22"/>
          <w:szCs w:val="22"/>
        </w:rPr>
        <w:t xml:space="preserve"> [to be updated]</w:t>
      </w:r>
    </w:p>
    <w:p w:rsidRPr="00962B18" w:rsidR="00E3479E" w:rsidP="00F06DD0" w:rsidRDefault="00BC6C1C" w14:paraId="00DF2A6C" w14:textId="419180B1">
      <w:pPr>
        <w:ind w:left="540" w:hanging="540"/>
        <w:rPr>
          <w:sz w:val="22"/>
          <w:szCs w:val="22"/>
        </w:rPr>
      </w:pPr>
      <w:r w:rsidRPr="00962B18">
        <w:rPr>
          <w:sz w:val="22"/>
          <w:szCs w:val="22"/>
        </w:rPr>
        <w:t>Attachment 2</w:t>
      </w:r>
      <w:r w:rsidR="00683464">
        <w:rPr>
          <w:sz w:val="22"/>
          <w:szCs w:val="22"/>
        </w:rPr>
        <w:t>5</w:t>
      </w:r>
      <w:r w:rsidRPr="00962B18">
        <w:rPr>
          <w:sz w:val="22"/>
          <w:szCs w:val="22"/>
        </w:rPr>
        <w:t xml:space="preserve">: </w:t>
      </w:r>
      <w:r w:rsidRPr="00962B18" w:rsidR="0086430C">
        <w:rPr>
          <w:sz w:val="22"/>
          <w:szCs w:val="22"/>
        </w:rPr>
        <w:t>Data Sharing Agreement Phase II</w:t>
      </w:r>
    </w:p>
    <w:p w:rsidRPr="0086430C" w:rsidR="00E3479E" w:rsidP="0086430C" w:rsidRDefault="00E3479E" w14:paraId="70BA82A8" w14:textId="1A6CA923">
      <w:pPr>
        <w:ind w:left="540" w:hanging="540"/>
        <w:rPr>
          <w:sz w:val="22"/>
          <w:szCs w:val="22"/>
        </w:rPr>
        <w:sectPr w:rsidRPr="0086430C" w:rsidR="00E3479E" w:rsidSect="00EB1AF8">
          <w:footerReference w:type="even" r:id="rId8"/>
          <w:footerReference w:type="default" r:id="rId9"/>
          <w:pgSz w:w="12240" w:h="15840"/>
          <w:pgMar w:top="1440" w:right="1440" w:bottom="1440" w:left="1440" w:header="720" w:footer="0" w:gutter="0"/>
          <w:pgNumType w:fmt="lowerRoman" w:start="1"/>
          <w:cols w:space="720"/>
          <w:docGrid w:linePitch="360"/>
        </w:sectPr>
      </w:pPr>
      <w:bookmarkStart w:name="_Hlk23699679" w:id="14"/>
      <w:r w:rsidRPr="00962B18">
        <w:rPr>
          <w:sz w:val="22"/>
          <w:szCs w:val="22"/>
        </w:rPr>
        <w:t xml:space="preserve">Attachment </w:t>
      </w:r>
      <w:r w:rsidR="00683464">
        <w:rPr>
          <w:sz w:val="22"/>
          <w:szCs w:val="22"/>
        </w:rPr>
        <w:t>26</w:t>
      </w:r>
      <w:r w:rsidRPr="00962B18">
        <w:rPr>
          <w:sz w:val="22"/>
          <w:szCs w:val="22"/>
        </w:rPr>
        <w:t xml:space="preserve">: </w:t>
      </w:r>
      <w:r w:rsidRPr="00962B18" w:rsidR="0086430C">
        <w:rPr>
          <w:sz w:val="22"/>
          <w:szCs w:val="22"/>
        </w:rPr>
        <w:t>Data Methods Guide</w:t>
      </w:r>
      <w:bookmarkEnd w:id="8"/>
      <w:bookmarkEnd w:id="14"/>
    </w:p>
    <w:p w:rsidRPr="000C7FBE" w:rsidR="008617E3" w:rsidP="008617E3" w:rsidRDefault="008617E3" w14:paraId="390B7A08" w14:textId="77777777">
      <w:pPr>
        <w:pStyle w:val="Heading1"/>
      </w:pPr>
      <w:bookmarkStart w:name="_Toc23694919" w:id="15"/>
      <w:r w:rsidRPr="000C7FBE">
        <w:lastRenderedPageBreak/>
        <w:t>B. Collection of Information Employing Statistical Methods</w:t>
      </w:r>
      <w:bookmarkEnd w:id="15"/>
    </w:p>
    <w:p w:rsidRPr="000C7FBE" w:rsidR="00C01FD4" w:rsidP="00D2794B" w:rsidRDefault="00C01FD4" w14:paraId="4CE2B99F" w14:textId="77777777">
      <w:pPr>
        <w:jc w:val="center"/>
        <w:rPr>
          <w:b/>
        </w:rPr>
      </w:pPr>
    </w:p>
    <w:p w:rsidRPr="00476658" w:rsidR="00144958" w:rsidRDefault="00144958" w14:paraId="0F1EC9AE" w14:textId="3B585E2B">
      <w:r w:rsidRPr="00476658">
        <w:t xml:space="preserve">This </w:t>
      </w:r>
      <w:r w:rsidRPr="00476658" w:rsidR="005F0DC3">
        <w:t xml:space="preserve">OMB </w:t>
      </w:r>
      <w:r w:rsidRPr="008617E3" w:rsidR="008617E3">
        <w:rPr>
          <w:i/>
        </w:rPr>
        <w:t>reinstate with revisions</w:t>
      </w:r>
      <w:r w:rsidR="008617E3">
        <w:t xml:space="preserve"> </w:t>
      </w:r>
      <w:r w:rsidRPr="00476658" w:rsidR="005F0DC3">
        <w:t>application</w:t>
      </w:r>
      <w:r w:rsidRPr="00476658">
        <w:t xml:space="preserve"> seeks approval for 3-year </w:t>
      </w:r>
      <w:r w:rsidRPr="00476658" w:rsidR="005F0DC3">
        <w:t>c</w:t>
      </w:r>
      <w:r w:rsidRPr="00476658">
        <w:t xml:space="preserve">learance to </w:t>
      </w:r>
      <w:r w:rsidR="008617E3">
        <w:t>continue</w:t>
      </w:r>
      <w:r w:rsidRPr="00476658">
        <w:t xml:space="preserve"> an evaluation of the NIH Common Fund’s Enhancing Diversity of the NIH-funded Workforce Program (also referred to as the Diversity Program Consortium) - a national consortium comprised of three integrated initiatives: (1) Building Infrastructure Leading to Diversity (BUILD), (2) National Research Mentoring Network (NRMN), and (3) Coordination and Evaluation Center (CEC).  </w:t>
      </w:r>
      <w:r w:rsidRPr="00476658" w:rsidR="005F0DC3">
        <w:t>We are requesting</w:t>
      </w:r>
      <w:r w:rsidRPr="00476658">
        <w:t xml:space="preserve"> OMB clearance for the data collection </w:t>
      </w:r>
      <w:r w:rsidRPr="00476658" w:rsidR="005F0DC3">
        <w:t xml:space="preserve">that is required for the CEC to </w:t>
      </w:r>
      <w:r w:rsidRPr="00476658">
        <w:t>evaluat</w:t>
      </w:r>
      <w:r w:rsidRPr="00476658" w:rsidR="005F0DC3">
        <w:t xml:space="preserve">e </w:t>
      </w:r>
      <w:r w:rsidRPr="00476658">
        <w:t>the overall impact and effectiveness of the BUILD and NRMN initiatives</w:t>
      </w:r>
      <w:r w:rsidRPr="00476658" w:rsidR="005F0DC3">
        <w:t xml:space="preserve"> as required by the NIH Common Fund award</w:t>
      </w:r>
      <w:r w:rsidRPr="00476658">
        <w:t>.  The evaluation will assess agreed-upon consortium-wide hallmarks of success at the student/mentee, faculty/mentor, and institutional</w:t>
      </w:r>
      <w:r w:rsidR="00F06DD0">
        <w:t xml:space="preserve"> </w:t>
      </w:r>
      <w:r w:rsidRPr="00476658">
        <w:t xml:space="preserve">level (see Attachment </w:t>
      </w:r>
      <w:r w:rsidR="007E51EF">
        <w:t>6</w:t>
      </w:r>
      <w:r w:rsidR="00F06DD0">
        <w:t xml:space="preserve">, </w:t>
      </w:r>
      <w:r w:rsidR="007E51EF">
        <w:t>7</w:t>
      </w:r>
      <w:r w:rsidR="00F06DD0">
        <w:t xml:space="preserve">, and </w:t>
      </w:r>
      <w:r w:rsidR="007E51EF">
        <w:t>8</w:t>
      </w:r>
      <w:r w:rsidRPr="00476658">
        <w:t>).</w:t>
      </w:r>
    </w:p>
    <w:p w:rsidRPr="000C7FBE" w:rsidR="00C01FD4" w:rsidP="00F422FA" w:rsidRDefault="00C01FD4" w14:paraId="27C4EEAA" w14:textId="77777777"/>
    <w:p w:rsidRPr="00657EF5" w:rsidR="00C01FD4" w:rsidP="00657EF5" w:rsidRDefault="00C01FD4" w14:paraId="567D7259" w14:textId="77777777">
      <w:pPr>
        <w:pStyle w:val="Heading1"/>
        <w:rPr>
          <w:b w:val="0"/>
        </w:rPr>
      </w:pPr>
      <w:bookmarkStart w:name="_Toc23674756" w:id="16"/>
      <w:bookmarkStart w:name="_Toc23694920" w:id="17"/>
      <w:r w:rsidRPr="00D8063C">
        <w:t>B.1 Respondent Universe and Sampling Methods</w:t>
      </w:r>
      <w:bookmarkEnd w:id="16"/>
      <w:bookmarkEnd w:id="17"/>
    </w:p>
    <w:p w:rsidRPr="000C7FBE" w:rsidR="00C01FD4" w:rsidP="00D2794B" w:rsidRDefault="00C01FD4" w14:paraId="2598B4EC" w14:textId="77777777">
      <w:pPr>
        <w:rPr>
          <w:b/>
        </w:rPr>
      </w:pPr>
    </w:p>
    <w:p w:rsidRPr="00476658" w:rsidR="00F06DD0" w:rsidP="00F06DD0" w:rsidRDefault="008617E3" w14:paraId="4DE3544F" w14:textId="25262D0C">
      <w:r>
        <w:t>The</w:t>
      </w:r>
      <w:r w:rsidRPr="000C7FBE" w:rsidR="00C01FD4">
        <w:t xml:space="preserve"> longitudinal evaluation us</w:t>
      </w:r>
      <w:r>
        <w:t>es</w:t>
      </w:r>
      <w:r w:rsidRPr="000C7FBE" w:rsidR="00C01FD4">
        <w:t xml:space="preserve"> mixed methods to assess implementation and outcomes of the </w:t>
      </w:r>
      <w:r w:rsidRPr="000C7FBE" w:rsidR="00D5034C">
        <w:t xml:space="preserve">Diversity </w:t>
      </w:r>
      <w:r w:rsidR="00A9340A">
        <w:t xml:space="preserve">Program </w:t>
      </w:r>
      <w:r w:rsidRPr="000C7FBE" w:rsidR="00D5034C">
        <w:t>Consor</w:t>
      </w:r>
      <w:r w:rsidRPr="000C7FBE" w:rsidR="00E9652D">
        <w:t>t</w:t>
      </w:r>
      <w:r w:rsidRPr="000C7FBE" w:rsidR="00D5034C">
        <w:t>ium</w:t>
      </w:r>
      <w:r w:rsidRPr="000C7FBE" w:rsidR="00C01FD4">
        <w:t>.</w:t>
      </w:r>
      <w:r w:rsidRPr="00F06DD0" w:rsidR="00F06DD0">
        <w:t xml:space="preserve"> </w:t>
      </w:r>
      <w:r w:rsidRPr="00476658" w:rsidR="00F06DD0">
        <w:t>Data collection include</w:t>
      </w:r>
      <w:r w:rsidR="00F06DD0">
        <w:t>s</w:t>
      </w:r>
      <w:r w:rsidRPr="00476658" w:rsidR="00F06DD0">
        <w:t xml:space="preserve"> annual surveys</w:t>
      </w:r>
      <w:r w:rsidR="00F06DD0">
        <w:t>, i</w:t>
      </w:r>
      <w:r w:rsidRPr="00476658" w:rsidR="00F06DD0">
        <w:t>nstitutional and program data collection</w:t>
      </w:r>
      <w:r w:rsidR="00F06DD0">
        <w:t>,</w:t>
      </w:r>
      <w:r w:rsidRPr="00476658" w:rsidR="00F06DD0">
        <w:t xml:space="preserve"> along with site visits and case studies</w:t>
      </w:r>
      <w:r w:rsidR="00F06DD0">
        <w:t xml:space="preserve"> finding as detailed in </w:t>
      </w:r>
      <w:r w:rsidRPr="008617E3" w:rsidR="00F06DD0">
        <w:rPr>
          <w:b/>
        </w:rPr>
        <w:t>Section A</w:t>
      </w:r>
      <w:r w:rsidR="00F06DD0">
        <w:t xml:space="preserve"> of this application.</w:t>
      </w:r>
    </w:p>
    <w:p w:rsidR="00144958" w:rsidP="00F06DD0" w:rsidRDefault="00144958" w14:paraId="05EB2120" w14:textId="25D5E5B3"/>
    <w:bookmarkEnd w:id="4"/>
    <w:bookmarkEnd w:id="5"/>
    <w:bookmarkEnd w:id="6"/>
    <w:bookmarkEnd w:id="7"/>
    <w:p w:rsidRPr="00E60D38" w:rsidR="009F5464" w:rsidP="00AA3AA2" w:rsidRDefault="009F5464" w14:paraId="0D99A23F" w14:textId="77777777">
      <w:r w:rsidRPr="00AA3AA2">
        <w:rPr>
          <w:b/>
        </w:rPr>
        <w:t xml:space="preserve">B.1.1. </w:t>
      </w:r>
      <w:r w:rsidRPr="00AA3AA2" w:rsidR="0064007D">
        <w:rPr>
          <w:b/>
        </w:rPr>
        <w:t>Respondent Universe</w:t>
      </w:r>
    </w:p>
    <w:p w:rsidR="00F06DD0" w:rsidP="00C01540" w:rsidRDefault="00F06DD0" w14:paraId="315C673C" w14:textId="77777777">
      <w:pPr>
        <w:pStyle w:val="P1-StandPara"/>
        <w:widowControl w:val="0"/>
        <w:spacing w:line="240" w:lineRule="auto"/>
        <w:ind w:firstLine="0"/>
        <w:rPr>
          <w:sz w:val="24"/>
          <w:szCs w:val="24"/>
        </w:rPr>
      </w:pPr>
    </w:p>
    <w:p w:rsidR="00B83C8E" w:rsidP="00C01540" w:rsidRDefault="009F5464" w14:paraId="59F21211" w14:textId="0674292D">
      <w:pPr>
        <w:pStyle w:val="P1-StandPara"/>
        <w:widowControl w:val="0"/>
        <w:spacing w:line="240" w:lineRule="auto"/>
        <w:ind w:firstLine="0"/>
        <w:rPr>
          <w:sz w:val="24"/>
          <w:szCs w:val="24"/>
        </w:rPr>
      </w:pPr>
      <w:r w:rsidRPr="000C7FBE">
        <w:rPr>
          <w:sz w:val="24"/>
          <w:szCs w:val="24"/>
        </w:rPr>
        <w:t>The respondent</w:t>
      </w:r>
      <w:r w:rsidRPr="000C7FBE" w:rsidR="0064007D">
        <w:rPr>
          <w:sz w:val="24"/>
          <w:szCs w:val="24"/>
        </w:rPr>
        <w:t xml:space="preserve"> univer</w:t>
      </w:r>
      <w:r w:rsidRPr="000C7FBE" w:rsidR="006D7983">
        <w:rPr>
          <w:sz w:val="24"/>
          <w:szCs w:val="24"/>
        </w:rPr>
        <w:t xml:space="preserve">se </w:t>
      </w:r>
      <w:r w:rsidRPr="000C7FBE" w:rsidR="00E800E0">
        <w:rPr>
          <w:sz w:val="24"/>
          <w:szCs w:val="24"/>
        </w:rPr>
        <w:t xml:space="preserve">varies </w:t>
      </w:r>
      <w:r w:rsidRPr="000C7FBE" w:rsidR="006D7983">
        <w:rPr>
          <w:sz w:val="24"/>
          <w:szCs w:val="24"/>
        </w:rPr>
        <w:t>depend</w:t>
      </w:r>
      <w:r w:rsidRPr="000C7FBE" w:rsidR="00E800E0">
        <w:rPr>
          <w:sz w:val="24"/>
          <w:szCs w:val="24"/>
        </w:rPr>
        <w:t>ing</w:t>
      </w:r>
      <w:r w:rsidRPr="000C7FBE" w:rsidR="006D7983">
        <w:rPr>
          <w:sz w:val="24"/>
          <w:szCs w:val="24"/>
        </w:rPr>
        <w:t xml:space="preserve"> on </w:t>
      </w:r>
      <w:r w:rsidRPr="000C7FBE" w:rsidR="00E800E0">
        <w:rPr>
          <w:sz w:val="24"/>
          <w:szCs w:val="24"/>
        </w:rPr>
        <w:t>the</w:t>
      </w:r>
      <w:r w:rsidRPr="000C7FBE" w:rsidR="006D7983">
        <w:rPr>
          <w:sz w:val="24"/>
          <w:szCs w:val="24"/>
        </w:rPr>
        <w:t xml:space="preserve"> </w:t>
      </w:r>
      <w:r w:rsidR="001D2DA3">
        <w:rPr>
          <w:sz w:val="24"/>
          <w:szCs w:val="24"/>
        </w:rPr>
        <w:t xml:space="preserve">outcome of interest (e.g., BUILD students, BUILD faculty, </w:t>
      </w:r>
      <w:r w:rsidR="00FA3ADD">
        <w:rPr>
          <w:sz w:val="24"/>
          <w:szCs w:val="24"/>
        </w:rPr>
        <w:t xml:space="preserve">participants in various </w:t>
      </w:r>
      <w:r w:rsidR="001D2DA3">
        <w:rPr>
          <w:sz w:val="24"/>
          <w:szCs w:val="24"/>
        </w:rPr>
        <w:t xml:space="preserve">NRMN </w:t>
      </w:r>
      <w:r w:rsidR="00FA3ADD">
        <w:rPr>
          <w:sz w:val="24"/>
          <w:szCs w:val="24"/>
        </w:rPr>
        <w:t>activities</w:t>
      </w:r>
      <w:r w:rsidR="001D2DA3">
        <w:rPr>
          <w:sz w:val="24"/>
          <w:szCs w:val="24"/>
        </w:rPr>
        <w:t>)</w:t>
      </w:r>
      <w:r w:rsidRPr="00E353DE" w:rsidR="0064007D">
        <w:rPr>
          <w:sz w:val="24"/>
          <w:szCs w:val="24"/>
        </w:rPr>
        <w:t xml:space="preserve">. </w:t>
      </w:r>
      <w:r w:rsidR="001D2DA3">
        <w:rPr>
          <w:sz w:val="24"/>
          <w:szCs w:val="24"/>
        </w:rPr>
        <w:t xml:space="preserve"> </w:t>
      </w:r>
    </w:p>
    <w:p w:rsidR="00B83C8E" w:rsidP="00C01540" w:rsidRDefault="00B83C8E" w14:paraId="36AC0572" w14:textId="77777777">
      <w:pPr>
        <w:pStyle w:val="P1-StandPara"/>
        <w:widowControl w:val="0"/>
        <w:spacing w:line="240" w:lineRule="auto"/>
        <w:ind w:firstLine="0"/>
        <w:rPr>
          <w:sz w:val="24"/>
          <w:szCs w:val="24"/>
        </w:rPr>
      </w:pPr>
    </w:p>
    <w:p w:rsidR="006D06F9" w:rsidP="00C01540" w:rsidRDefault="001D2DA3" w14:paraId="0059B624" w14:textId="7DF7AA90">
      <w:pPr>
        <w:pStyle w:val="P1-StandPara"/>
        <w:widowControl w:val="0"/>
        <w:spacing w:line="240" w:lineRule="auto"/>
        <w:ind w:firstLine="0"/>
        <w:rPr>
          <w:sz w:val="24"/>
          <w:szCs w:val="24"/>
        </w:rPr>
      </w:pPr>
      <w:r w:rsidRPr="00AA4E58">
        <w:rPr>
          <w:sz w:val="24"/>
          <w:szCs w:val="24"/>
          <w:u w:val="single"/>
        </w:rPr>
        <w:t xml:space="preserve">BUILD </w:t>
      </w:r>
      <w:r w:rsidRPr="00AA4E58" w:rsidR="00B83C8E">
        <w:rPr>
          <w:sz w:val="24"/>
          <w:szCs w:val="24"/>
          <w:u w:val="single"/>
        </w:rPr>
        <w:t>S</w:t>
      </w:r>
      <w:r w:rsidRPr="00AA4E58">
        <w:rPr>
          <w:sz w:val="24"/>
          <w:szCs w:val="24"/>
          <w:u w:val="single"/>
        </w:rPr>
        <w:t>tudents</w:t>
      </w:r>
      <w:r w:rsidR="00693374">
        <w:rPr>
          <w:sz w:val="24"/>
          <w:szCs w:val="24"/>
        </w:rPr>
        <w:t xml:space="preserve">: </w:t>
      </w:r>
      <w:r w:rsidR="008617E3">
        <w:rPr>
          <w:sz w:val="24"/>
          <w:szCs w:val="24"/>
        </w:rPr>
        <w:t>The CEC surveys</w:t>
      </w:r>
      <w:r>
        <w:rPr>
          <w:sz w:val="24"/>
          <w:szCs w:val="24"/>
        </w:rPr>
        <w:t xml:space="preserve"> students identified by each of the 10 BUILD programs as being a participant in the</w:t>
      </w:r>
      <w:r w:rsidR="00FA3ADD">
        <w:rPr>
          <w:sz w:val="24"/>
          <w:szCs w:val="24"/>
        </w:rPr>
        <w:t>ir</w:t>
      </w:r>
      <w:r>
        <w:rPr>
          <w:sz w:val="24"/>
          <w:szCs w:val="24"/>
        </w:rPr>
        <w:t xml:space="preserve"> program, starting when they enter the program (usually as either a </w:t>
      </w:r>
      <w:r w:rsidR="00932363">
        <w:rPr>
          <w:sz w:val="24"/>
          <w:szCs w:val="24"/>
        </w:rPr>
        <w:t>freshman</w:t>
      </w:r>
      <w:r>
        <w:rPr>
          <w:sz w:val="24"/>
          <w:szCs w:val="24"/>
        </w:rPr>
        <w:t xml:space="preserve"> or </w:t>
      </w:r>
      <w:r w:rsidR="008617E3">
        <w:rPr>
          <w:sz w:val="24"/>
          <w:szCs w:val="24"/>
        </w:rPr>
        <w:t>as a transfer student</w:t>
      </w:r>
      <w:r>
        <w:rPr>
          <w:sz w:val="24"/>
          <w:szCs w:val="24"/>
        </w:rPr>
        <w:t xml:space="preserve">).  We also sample additional students from each BUILD institution to achieve </w:t>
      </w:r>
      <w:r w:rsidR="002B0541">
        <w:rPr>
          <w:sz w:val="24"/>
          <w:szCs w:val="24"/>
        </w:rPr>
        <w:t>the</w:t>
      </w:r>
      <w:r>
        <w:rPr>
          <w:sz w:val="24"/>
          <w:szCs w:val="24"/>
        </w:rPr>
        <w:t xml:space="preserve"> target 500 students annually </w:t>
      </w:r>
      <w:r w:rsidR="006D06F9">
        <w:rPr>
          <w:sz w:val="24"/>
          <w:szCs w:val="24"/>
        </w:rPr>
        <w:t>(</w:t>
      </w:r>
      <w:r w:rsidR="002B0541">
        <w:rPr>
          <w:sz w:val="24"/>
          <w:szCs w:val="24"/>
        </w:rPr>
        <w:t>t</w:t>
      </w:r>
      <w:r w:rsidRPr="008B6FB8" w:rsidR="006D06F9">
        <w:rPr>
          <w:sz w:val="24"/>
          <w:szCs w:val="24"/>
        </w:rPr>
        <w:t>his number is based on the power calculations presented in Section B.1.2 below</w:t>
      </w:r>
      <w:r w:rsidRPr="002C67CA" w:rsidR="006D06F9">
        <w:rPr>
          <w:sz w:val="24"/>
          <w:szCs w:val="24"/>
        </w:rPr>
        <w:t>)</w:t>
      </w:r>
      <w:r w:rsidR="002B0541">
        <w:rPr>
          <w:sz w:val="24"/>
          <w:szCs w:val="24"/>
        </w:rPr>
        <w:t>.</w:t>
      </w:r>
      <w:r w:rsidRPr="002C67CA" w:rsidR="006D06F9">
        <w:rPr>
          <w:sz w:val="24"/>
          <w:szCs w:val="24"/>
        </w:rPr>
        <w:t xml:space="preserve"> </w:t>
      </w:r>
      <w:r w:rsidRPr="002C67CA" w:rsidR="00773552">
        <w:rPr>
          <w:sz w:val="24"/>
          <w:szCs w:val="24"/>
        </w:rPr>
        <w:t xml:space="preserve"> </w:t>
      </w:r>
      <w:r w:rsidRPr="002C67CA">
        <w:rPr>
          <w:sz w:val="24"/>
          <w:szCs w:val="24"/>
        </w:rPr>
        <w:t xml:space="preserve">Entering </w:t>
      </w:r>
      <w:r w:rsidRPr="002C67CA" w:rsidR="00932363">
        <w:rPr>
          <w:sz w:val="24"/>
          <w:szCs w:val="24"/>
        </w:rPr>
        <w:t>freshmen</w:t>
      </w:r>
      <w:r w:rsidRPr="002C67CA">
        <w:rPr>
          <w:sz w:val="24"/>
          <w:szCs w:val="24"/>
        </w:rPr>
        <w:t xml:space="preserve"> and </w:t>
      </w:r>
      <w:r w:rsidR="002B0541">
        <w:rPr>
          <w:sz w:val="24"/>
          <w:szCs w:val="24"/>
        </w:rPr>
        <w:t xml:space="preserve">transfer students </w:t>
      </w:r>
      <w:r w:rsidRPr="002C67CA">
        <w:rPr>
          <w:sz w:val="24"/>
          <w:szCs w:val="24"/>
        </w:rPr>
        <w:t xml:space="preserve">will be sampled non-proportionally with greater weight </w:t>
      </w:r>
      <w:r w:rsidRPr="002C67CA" w:rsidR="00773552">
        <w:rPr>
          <w:sz w:val="24"/>
          <w:szCs w:val="24"/>
        </w:rPr>
        <w:t xml:space="preserve">(80:20) </w:t>
      </w:r>
      <w:r w:rsidRPr="002C67CA">
        <w:rPr>
          <w:sz w:val="24"/>
          <w:szCs w:val="24"/>
        </w:rPr>
        <w:t>given to those with a declared biomedical major (the f</w:t>
      </w:r>
      <w:r w:rsidRPr="002C67CA" w:rsidR="005E200B">
        <w:rPr>
          <w:sz w:val="24"/>
          <w:szCs w:val="24"/>
        </w:rPr>
        <w:t xml:space="preserve">ocus of the BUILD initiative). </w:t>
      </w:r>
      <w:r w:rsidRPr="002C67CA" w:rsidR="00773552">
        <w:rPr>
          <w:sz w:val="24"/>
          <w:szCs w:val="24"/>
        </w:rPr>
        <w:t xml:space="preserve"> In addition, we will over-sample African American and Hispanic/Native American subgroups </w:t>
      </w:r>
      <w:r w:rsidRPr="002C67CA" w:rsidR="002B0541">
        <w:rPr>
          <w:sz w:val="24"/>
          <w:szCs w:val="24"/>
        </w:rPr>
        <w:t>considering</w:t>
      </w:r>
      <w:r w:rsidRPr="002C67CA" w:rsidR="00773552">
        <w:rPr>
          <w:sz w:val="24"/>
          <w:szCs w:val="24"/>
        </w:rPr>
        <w:t xml:space="preserve"> their lower response rates as seen in annual </w:t>
      </w:r>
      <w:r w:rsidR="00E52AF9">
        <w:rPr>
          <w:sz w:val="24"/>
          <w:szCs w:val="24"/>
        </w:rPr>
        <w:t>UCLA Higher Education Research Institute (</w:t>
      </w:r>
      <w:r w:rsidRPr="002C67CA" w:rsidR="00773552">
        <w:rPr>
          <w:sz w:val="24"/>
          <w:szCs w:val="24"/>
        </w:rPr>
        <w:t>HERI</w:t>
      </w:r>
      <w:r w:rsidR="00E52AF9">
        <w:rPr>
          <w:sz w:val="24"/>
          <w:szCs w:val="24"/>
        </w:rPr>
        <w:t>)</w:t>
      </w:r>
      <w:r w:rsidRPr="002C67CA" w:rsidR="00773552">
        <w:rPr>
          <w:sz w:val="24"/>
          <w:szCs w:val="24"/>
        </w:rPr>
        <w:t xml:space="preserve"> surveys</w:t>
      </w:r>
      <w:r w:rsidR="00794B1C">
        <w:rPr>
          <w:sz w:val="24"/>
          <w:szCs w:val="24"/>
        </w:rPr>
        <w:t xml:space="preserve"> (see Section A.2 for details on the HERI survey</w:t>
      </w:r>
      <w:proofErr w:type="gramStart"/>
      <w:r w:rsidR="00794B1C">
        <w:rPr>
          <w:sz w:val="24"/>
          <w:szCs w:val="24"/>
        </w:rPr>
        <w:t xml:space="preserve">) </w:t>
      </w:r>
      <w:r w:rsidRPr="002C67CA" w:rsidR="00773552">
        <w:rPr>
          <w:sz w:val="24"/>
          <w:szCs w:val="24"/>
        </w:rPr>
        <w:t>.</w:t>
      </w:r>
      <w:proofErr w:type="gramEnd"/>
      <w:r w:rsidRPr="002C67CA" w:rsidR="00773552">
        <w:rPr>
          <w:sz w:val="24"/>
          <w:szCs w:val="24"/>
        </w:rPr>
        <w:t xml:space="preserve">  For African Americans, the oversampling rate will be 160%; for the Hispanic/Native American group it will be 130%</w:t>
      </w:r>
      <w:r w:rsidR="00C83219">
        <w:rPr>
          <w:sz w:val="24"/>
          <w:szCs w:val="24"/>
        </w:rPr>
        <w:t xml:space="preserve"> relative to Whites/Others</w:t>
      </w:r>
      <w:r w:rsidRPr="002C67CA" w:rsidR="00773552">
        <w:rPr>
          <w:sz w:val="24"/>
          <w:szCs w:val="24"/>
        </w:rPr>
        <w:t xml:space="preserve">.  </w:t>
      </w:r>
      <w:r w:rsidR="002B0541">
        <w:rPr>
          <w:sz w:val="24"/>
          <w:szCs w:val="24"/>
        </w:rPr>
        <w:t>This oversampling is to ensure that i</w:t>
      </w:r>
      <w:r w:rsidRPr="002C67CA">
        <w:rPr>
          <w:sz w:val="24"/>
          <w:szCs w:val="24"/>
        </w:rPr>
        <w:t xml:space="preserve">n each year, the resulting sample </w:t>
      </w:r>
      <w:r w:rsidRPr="002C67CA" w:rsidR="005C5027">
        <w:rPr>
          <w:sz w:val="24"/>
          <w:szCs w:val="24"/>
        </w:rPr>
        <w:t xml:space="preserve">of </w:t>
      </w:r>
      <w:r w:rsidRPr="002C67CA" w:rsidR="00B75F51">
        <w:rPr>
          <w:sz w:val="24"/>
          <w:szCs w:val="24"/>
        </w:rPr>
        <w:t>students at each BUILD</w:t>
      </w:r>
      <w:r w:rsidR="00B75F51">
        <w:rPr>
          <w:sz w:val="24"/>
          <w:szCs w:val="24"/>
        </w:rPr>
        <w:t xml:space="preserve"> institution </w:t>
      </w:r>
      <w:r>
        <w:rPr>
          <w:sz w:val="24"/>
          <w:szCs w:val="24"/>
        </w:rPr>
        <w:t>reflect</w:t>
      </w:r>
      <w:r w:rsidR="002B0541">
        <w:rPr>
          <w:sz w:val="24"/>
          <w:szCs w:val="24"/>
        </w:rPr>
        <w:t>s</w:t>
      </w:r>
      <w:r>
        <w:rPr>
          <w:sz w:val="24"/>
          <w:szCs w:val="24"/>
        </w:rPr>
        <w:t xml:space="preserve"> the demographic characteristics of </w:t>
      </w:r>
      <w:r w:rsidR="00B75F51">
        <w:rPr>
          <w:sz w:val="24"/>
          <w:szCs w:val="24"/>
        </w:rPr>
        <w:t>entering students at those i</w:t>
      </w:r>
      <w:r>
        <w:rPr>
          <w:sz w:val="24"/>
          <w:szCs w:val="24"/>
        </w:rPr>
        <w:t>nstitution</w:t>
      </w:r>
      <w:r w:rsidR="00B75F51">
        <w:rPr>
          <w:sz w:val="24"/>
          <w:szCs w:val="24"/>
        </w:rPr>
        <w:t>s</w:t>
      </w:r>
      <w:r w:rsidR="005E200B">
        <w:rPr>
          <w:sz w:val="24"/>
          <w:szCs w:val="24"/>
        </w:rPr>
        <w:t xml:space="preserve">. </w:t>
      </w:r>
      <w:r w:rsidR="00B75F51">
        <w:rPr>
          <w:sz w:val="24"/>
          <w:szCs w:val="24"/>
        </w:rPr>
        <w:t xml:space="preserve">BUILD institutions </w:t>
      </w:r>
      <w:r w:rsidR="00F94A3F">
        <w:rPr>
          <w:sz w:val="24"/>
          <w:szCs w:val="24"/>
        </w:rPr>
        <w:t xml:space="preserve">typically have populations </w:t>
      </w:r>
      <w:r w:rsidR="00B75F51">
        <w:rPr>
          <w:sz w:val="24"/>
          <w:szCs w:val="24"/>
        </w:rPr>
        <w:t xml:space="preserve">with </w:t>
      </w:r>
      <w:r w:rsidR="00F94A3F">
        <w:rPr>
          <w:sz w:val="24"/>
          <w:szCs w:val="24"/>
        </w:rPr>
        <w:t>a</w:t>
      </w:r>
      <w:r w:rsidR="00B75F51">
        <w:rPr>
          <w:sz w:val="24"/>
          <w:szCs w:val="24"/>
        </w:rPr>
        <w:t xml:space="preserve"> </w:t>
      </w:r>
      <w:r w:rsidR="00EC4EDC">
        <w:rPr>
          <w:sz w:val="24"/>
          <w:szCs w:val="24"/>
        </w:rPr>
        <w:t>high proportion of individuals</w:t>
      </w:r>
      <w:r w:rsidR="00F94A3F">
        <w:rPr>
          <w:sz w:val="24"/>
          <w:szCs w:val="24"/>
        </w:rPr>
        <w:t xml:space="preserve"> from </w:t>
      </w:r>
      <w:r w:rsidR="001B26D4">
        <w:rPr>
          <w:sz w:val="24"/>
          <w:szCs w:val="24"/>
        </w:rPr>
        <w:t>underrepresented groups</w:t>
      </w:r>
      <w:r w:rsidR="00FA3ADD">
        <w:rPr>
          <w:sz w:val="24"/>
          <w:szCs w:val="24"/>
        </w:rPr>
        <w:t xml:space="preserve">, </w:t>
      </w:r>
      <w:r w:rsidR="001B26D4">
        <w:rPr>
          <w:sz w:val="24"/>
          <w:szCs w:val="24"/>
        </w:rPr>
        <w:t>e.g., rac</w:t>
      </w:r>
      <w:r w:rsidR="00F94A3F">
        <w:rPr>
          <w:sz w:val="24"/>
          <w:szCs w:val="24"/>
        </w:rPr>
        <w:t>ial</w:t>
      </w:r>
      <w:r w:rsidR="001B26D4">
        <w:rPr>
          <w:sz w:val="24"/>
          <w:szCs w:val="24"/>
        </w:rPr>
        <w:t>/ethnic minorities</w:t>
      </w:r>
      <w:r w:rsidR="00F94A3F">
        <w:rPr>
          <w:sz w:val="24"/>
          <w:szCs w:val="24"/>
        </w:rPr>
        <w:t>,</w:t>
      </w:r>
      <w:r w:rsidR="001B26D4">
        <w:rPr>
          <w:sz w:val="24"/>
          <w:szCs w:val="24"/>
        </w:rPr>
        <w:t xml:space="preserve"> </w:t>
      </w:r>
      <w:r w:rsidR="00F94A3F">
        <w:rPr>
          <w:sz w:val="24"/>
          <w:szCs w:val="24"/>
        </w:rPr>
        <w:t>low socioeconomic status</w:t>
      </w:r>
      <w:r w:rsidR="00BC4450">
        <w:rPr>
          <w:sz w:val="24"/>
          <w:szCs w:val="24"/>
        </w:rPr>
        <w:t xml:space="preserve"> (see </w:t>
      </w:r>
      <w:r w:rsidR="00F94A3F">
        <w:rPr>
          <w:sz w:val="24"/>
          <w:szCs w:val="24"/>
        </w:rPr>
        <w:t>T</w:t>
      </w:r>
      <w:r w:rsidR="00BC4450">
        <w:rPr>
          <w:sz w:val="24"/>
          <w:szCs w:val="24"/>
        </w:rPr>
        <w:t>able in A.8.2. for list of awardee institutions)</w:t>
      </w:r>
      <w:r w:rsidR="00F94A3F">
        <w:rPr>
          <w:sz w:val="24"/>
          <w:szCs w:val="24"/>
        </w:rPr>
        <w:t xml:space="preserve">. </w:t>
      </w:r>
      <w:r>
        <w:rPr>
          <w:sz w:val="24"/>
          <w:szCs w:val="24"/>
        </w:rPr>
        <w:t xml:space="preserve">Students selected for inclusion in the evaluation data collection </w:t>
      </w:r>
      <w:r w:rsidR="00F94A3F">
        <w:rPr>
          <w:sz w:val="24"/>
          <w:szCs w:val="24"/>
        </w:rPr>
        <w:t>are</w:t>
      </w:r>
      <w:r>
        <w:rPr>
          <w:sz w:val="24"/>
          <w:szCs w:val="24"/>
        </w:rPr>
        <w:t xml:space="preserve"> asked to complete the </w:t>
      </w:r>
      <w:bookmarkStart w:name="_Toc238371625" w:id="18"/>
      <w:bookmarkStart w:name="_Toc393888592" w:id="19"/>
      <w:bookmarkStart w:name="_Toc394009764" w:id="20"/>
      <w:r w:rsidR="00E52AF9">
        <w:rPr>
          <w:sz w:val="24"/>
          <w:szCs w:val="24"/>
        </w:rPr>
        <w:t>“The Cooperative Institutional Research Program” (</w:t>
      </w:r>
      <w:r w:rsidR="007E51EF">
        <w:rPr>
          <w:sz w:val="24"/>
          <w:szCs w:val="24"/>
        </w:rPr>
        <w:t>CIRP</w:t>
      </w:r>
      <w:r w:rsidR="00E52AF9">
        <w:rPr>
          <w:sz w:val="24"/>
          <w:szCs w:val="24"/>
        </w:rPr>
        <w:t>)</w:t>
      </w:r>
      <w:r w:rsidR="007E51EF">
        <w:rPr>
          <w:sz w:val="24"/>
          <w:szCs w:val="24"/>
        </w:rPr>
        <w:t xml:space="preserve"> </w:t>
      </w:r>
      <w:r w:rsidRPr="008B6FB8" w:rsidR="001E2803">
        <w:rPr>
          <w:sz w:val="24"/>
          <w:szCs w:val="24"/>
        </w:rPr>
        <w:t xml:space="preserve">HERI </w:t>
      </w:r>
      <w:r w:rsidR="008B6FB8">
        <w:rPr>
          <w:sz w:val="24"/>
          <w:szCs w:val="24"/>
        </w:rPr>
        <w:t>Freshman</w:t>
      </w:r>
      <w:r w:rsidR="005C5027">
        <w:rPr>
          <w:sz w:val="24"/>
          <w:szCs w:val="24"/>
        </w:rPr>
        <w:t xml:space="preserve"> Survey</w:t>
      </w:r>
      <w:r w:rsidR="00F94A3F">
        <w:rPr>
          <w:sz w:val="24"/>
          <w:szCs w:val="24"/>
        </w:rPr>
        <w:t xml:space="preserve"> (Attachment </w:t>
      </w:r>
      <w:r w:rsidR="007E51EF">
        <w:rPr>
          <w:sz w:val="24"/>
          <w:szCs w:val="24"/>
        </w:rPr>
        <w:t>12</w:t>
      </w:r>
      <w:r w:rsidR="00F94A3F">
        <w:rPr>
          <w:sz w:val="24"/>
          <w:szCs w:val="24"/>
        </w:rPr>
        <w:t>)</w:t>
      </w:r>
      <w:r w:rsidR="00EC4EDC">
        <w:rPr>
          <w:sz w:val="24"/>
          <w:szCs w:val="24"/>
        </w:rPr>
        <w:t>, the Student Annual Follow-Up Survey (Attachment 1</w:t>
      </w:r>
      <w:r w:rsidR="007E51EF">
        <w:rPr>
          <w:sz w:val="24"/>
          <w:szCs w:val="24"/>
        </w:rPr>
        <w:t>3</w:t>
      </w:r>
      <w:r w:rsidR="00EC4EDC">
        <w:rPr>
          <w:sz w:val="24"/>
          <w:szCs w:val="24"/>
        </w:rPr>
        <w:t>),</w:t>
      </w:r>
      <w:r w:rsidR="008B6FB8">
        <w:rPr>
          <w:sz w:val="24"/>
          <w:szCs w:val="24"/>
        </w:rPr>
        <w:t xml:space="preserve"> and College Senior Survey</w:t>
      </w:r>
      <w:r w:rsidR="00EC4EDC">
        <w:rPr>
          <w:sz w:val="24"/>
          <w:szCs w:val="24"/>
        </w:rPr>
        <w:t xml:space="preserve"> (Attachment 1</w:t>
      </w:r>
      <w:r w:rsidR="007E51EF">
        <w:rPr>
          <w:sz w:val="24"/>
          <w:szCs w:val="24"/>
        </w:rPr>
        <w:t>4</w:t>
      </w:r>
      <w:r w:rsidR="00EC4EDC">
        <w:rPr>
          <w:sz w:val="24"/>
          <w:szCs w:val="24"/>
        </w:rPr>
        <w:t>)</w:t>
      </w:r>
      <w:r w:rsidRPr="008B6FB8" w:rsidR="006D06F9">
        <w:rPr>
          <w:sz w:val="24"/>
          <w:szCs w:val="24"/>
        </w:rPr>
        <w:t>.</w:t>
      </w:r>
      <w:r w:rsidRPr="00B96E57" w:rsidR="006D06F9">
        <w:rPr>
          <w:sz w:val="24"/>
          <w:szCs w:val="24"/>
        </w:rPr>
        <w:t xml:space="preserve">  </w:t>
      </w:r>
      <w:r w:rsidRPr="00E353DE" w:rsidR="006D06F9">
        <w:rPr>
          <w:sz w:val="24"/>
          <w:szCs w:val="24"/>
        </w:rPr>
        <w:t xml:space="preserve">For each of the 10 BUILD institutions, </w:t>
      </w:r>
      <w:r w:rsidR="00EC4EDC">
        <w:rPr>
          <w:sz w:val="24"/>
          <w:szCs w:val="24"/>
        </w:rPr>
        <w:t xml:space="preserve">the </w:t>
      </w:r>
      <w:r w:rsidR="00EC4EDC">
        <w:rPr>
          <w:sz w:val="24"/>
          <w:szCs w:val="24"/>
        </w:rPr>
        <w:lastRenderedPageBreak/>
        <w:t>CEC has identified</w:t>
      </w:r>
      <w:r w:rsidRPr="00B96E57" w:rsidR="006D06F9">
        <w:rPr>
          <w:sz w:val="24"/>
          <w:szCs w:val="24"/>
        </w:rPr>
        <w:t xml:space="preserve"> a comparable non-BUILD institution </w:t>
      </w:r>
      <w:r w:rsidR="006D06F9">
        <w:rPr>
          <w:sz w:val="24"/>
          <w:szCs w:val="24"/>
        </w:rPr>
        <w:t xml:space="preserve">that has also collected HERI </w:t>
      </w:r>
      <w:r w:rsidR="00EC4EDC">
        <w:rPr>
          <w:sz w:val="24"/>
          <w:szCs w:val="24"/>
        </w:rPr>
        <w:t>data. The matching</w:t>
      </w:r>
      <w:r w:rsidR="006D06F9">
        <w:rPr>
          <w:sz w:val="24"/>
          <w:szCs w:val="24"/>
        </w:rPr>
        <w:t xml:space="preserve"> of BUILD/non-BUILD institutions </w:t>
      </w:r>
      <w:r w:rsidR="00EC4EDC">
        <w:rPr>
          <w:sz w:val="24"/>
          <w:szCs w:val="24"/>
        </w:rPr>
        <w:t>is</w:t>
      </w:r>
      <w:r w:rsidR="006D06F9">
        <w:rPr>
          <w:sz w:val="24"/>
          <w:szCs w:val="24"/>
        </w:rPr>
        <w:t xml:space="preserve"> </w:t>
      </w:r>
      <w:r w:rsidRPr="00B96E57" w:rsidR="006D06F9">
        <w:rPr>
          <w:sz w:val="24"/>
          <w:szCs w:val="24"/>
        </w:rPr>
        <w:t xml:space="preserve">based on </w:t>
      </w:r>
      <w:r w:rsidR="00EC4EDC">
        <w:rPr>
          <w:sz w:val="24"/>
          <w:szCs w:val="24"/>
        </w:rPr>
        <w:t>student demographics</w:t>
      </w:r>
      <w:r w:rsidRPr="00B96E57" w:rsidR="006D06F9">
        <w:rPr>
          <w:sz w:val="24"/>
          <w:szCs w:val="24"/>
        </w:rPr>
        <w:t xml:space="preserve"> and </w:t>
      </w:r>
      <w:r w:rsidR="00EC4EDC">
        <w:rPr>
          <w:sz w:val="24"/>
          <w:szCs w:val="24"/>
        </w:rPr>
        <w:t>institutional characteristics</w:t>
      </w:r>
      <w:r w:rsidRPr="00B96E57" w:rsidR="006D06F9">
        <w:rPr>
          <w:sz w:val="24"/>
          <w:szCs w:val="24"/>
        </w:rPr>
        <w:t>.</w:t>
      </w:r>
      <w:r w:rsidRPr="008B6FB8" w:rsidR="002B2653">
        <w:rPr>
          <w:sz w:val="24"/>
          <w:szCs w:val="24"/>
        </w:rPr>
        <w:t xml:space="preserve"> </w:t>
      </w:r>
      <w:r w:rsidR="00477510">
        <w:rPr>
          <w:sz w:val="24"/>
          <w:szCs w:val="24"/>
        </w:rPr>
        <w:t>Secondary d</w:t>
      </w:r>
      <w:r w:rsidR="005D66D5">
        <w:rPr>
          <w:sz w:val="24"/>
          <w:szCs w:val="24"/>
        </w:rPr>
        <w:t>ata from HERI surveys at those non-BUILD institutions will be used for comparison with outcomes at BUILD institutions.</w:t>
      </w:r>
    </w:p>
    <w:p w:rsidR="006D06F9" w:rsidP="00C01540" w:rsidRDefault="006D06F9" w14:paraId="0CAD40BF" w14:textId="77777777">
      <w:pPr>
        <w:pStyle w:val="P1-StandPara"/>
        <w:widowControl w:val="0"/>
        <w:spacing w:line="240" w:lineRule="auto"/>
        <w:ind w:firstLine="0"/>
        <w:rPr>
          <w:sz w:val="24"/>
          <w:szCs w:val="24"/>
        </w:rPr>
      </w:pPr>
    </w:p>
    <w:p w:rsidR="006D06F9" w:rsidP="00C01540" w:rsidRDefault="00B83C8E" w14:paraId="6D99A5AB" w14:textId="1DD46921">
      <w:pPr>
        <w:pStyle w:val="P1-StandPara"/>
        <w:widowControl w:val="0"/>
        <w:spacing w:line="240" w:lineRule="auto"/>
        <w:ind w:firstLine="0"/>
        <w:rPr>
          <w:sz w:val="24"/>
          <w:szCs w:val="24"/>
        </w:rPr>
      </w:pPr>
      <w:r w:rsidRPr="00AA4E58">
        <w:rPr>
          <w:sz w:val="24"/>
          <w:szCs w:val="24"/>
          <w:u w:val="single"/>
        </w:rPr>
        <w:t>BUILD Faculty</w:t>
      </w:r>
      <w:r w:rsidR="00794B1C">
        <w:rPr>
          <w:sz w:val="24"/>
          <w:szCs w:val="24"/>
          <w:u w:val="single"/>
        </w:rPr>
        <w:t xml:space="preserve"> (Attachment 15)</w:t>
      </w:r>
      <w:r>
        <w:rPr>
          <w:sz w:val="24"/>
          <w:szCs w:val="24"/>
        </w:rPr>
        <w:t>: W</w:t>
      </w:r>
      <w:r w:rsidRPr="008B6FB8" w:rsidR="001E2803">
        <w:rPr>
          <w:sz w:val="24"/>
          <w:szCs w:val="24"/>
        </w:rPr>
        <w:t xml:space="preserve">e survey </w:t>
      </w:r>
      <w:r w:rsidRPr="009E76B0" w:rsidR="00CC11F5">
        <w:rPr>
          <w:sz w:val="24"/>
          <w:szCs w:val="24"/>
        </w:rPr>
        <w:t>5</w:t>
      </w:r>
      <w:r w:rsidRPr="008B6FB8" w:rsidR="001E2803">
        <w:rPr>
          <w:sz w:val="24"/>
          <w:szCs w:val="24"/>
        </w:rPr>
        <w:t xml:space="preserve">00 faculty from </w:t>
      </w:r>
      <w:r w:rsidRPr="009E76B0" w:rsidR="00CC11F5">
        <w:rPr>
          <w:sz w:val="24"/>
          <w:szCs w:val="24"/>
        </w:rPr>
        <w:t xml:space="preserve">all </w:t>
      </w:r>
      <w:r w:rsidRPr="008B6FB8" w:rsidR="001E2803">
        <w:rPr>
          <w:sz w:val="24"/>
          <w:szCs w:val="24"/>
        </w:rPr>
        <w:t>BUILD institutions</w:t>
      </w:r>
      <w:r w:rsidRPr="009E76B0" w:rsidR="00CC11F5">
        <w:rPr>
          <w:sz w:val="24"/>
          <w:szCs w:val="24"/>
        </w:rPr>
        <w:t xml:space="preserve"> combined (~50/institution)</w:t>
      </w:r>
      <w:r w:rsidRPr="008B6FB8" w:rsidR="001E2803">
        <w:rPr>
          <w:sz w:val="24"/>
          <w:szCs w:val="24"/>
        </w:rPr>
        <w:t xml:space="preserve"> and </w:t>
      </w:r>
      <w:r w:rsidRPr="009E76B0" w:rsidR="00CC11F5">
        <w:rPr>
          <w:sz w:val="24"/>
          <w:szCs w:val="24"/>
        </w:rPr>
        <w:t>5</w:t>
      </w:r>
      <w:r w:rsidRPr="008B6FB8" w:rsidR="001E2803">
        <w:rPr>
          <w:sz w:val="24"/>
          <w:szCs w:val="24"/>
        </w:rPr>
        <w:t xml:space="preserve">00 faculty from non-BUILD institutions </w:t>
      </w:r>
      <w:r w:rsidRPr="009E76B0" w:rsidR="00CC11F5">
        <w:rPr>
          <w:sz w:val="24"/>
          <w:szCs w:val="24"/>
        </w:rPr>
        <w:t>(~50/institution)</w:t>
      </w:r>
      <w:r w:rsidR="00BC4450">
        <w:rPr>
          <w:sz w:val="24"/>
          <w:szCs w:val="24"/>
        </w:rPr>
        <w:t>.</w:t>
      </w:r>
      <w:r w:rsidRPr="009E76B0" w:rsidR="002B2653">
        <w:rPr>
          <w:sz w:val="24"/>
          <w:szCs w:val="24"/>
        </w:rPr>
        <w:t xml:space="preserve"> </w:t>
      </w:r>
      <w:r w:rsidRPr="008B6FB8" w:rsidR="00B738CB">
        <w:rPr>
          <w:sz w:val="24"/>
          <w:szCs w:val="24"/>
        </w:rPr>
        <w:t>Faculty are</w:t>
      </w:r>
      <w:r w:rsidRPr="008B6FB8" w:rsidR="002B2653">
        <w:rPr>
          <w:sz w:val="24"/>
          <w:szCs w:val="24"/>
        </w:rPr>
        <w:t xml:space="preserve"> sampled </w:t>
      </w:r>
      <w:r w:rsidR="00A51C53">
        <w:rPr>
          <w:sz w:val="24"/>
          <w:szCs w:val="24"/>
        </w:rPr>
        <w:t xml:space="preserve">for baseline data </w:t>
      </w:r>
      <w:r w:rsidRPr="008B6FB8" w:rsidR="002B2653">
        <w:rPr>
          <w:sz w:val="24"/>
          <w:szCs w:val="24"/>
        </w:rPr>
        <w:t xml:space="preserve">only once </w:t>
      </w:r>
      <w:r w:rsidR="00A51C53">
        <w:rPr>
          <w:sz w:val="24"/>
          <w:szCs w:val="24"/>
        </w:rPr>
        <w:t xml:space="preserve">per 3-year cycle </w:t>
      </w:r>
      <w:r w:rsidRPr="008B6FB8" w:rsidR="002B2653">
        <w:rPr>
          <w:sz w:val="24"/>
          <w:szCs w:val="24"/>
        </w:rPr>
        <w:t xml:space="preserve">as there is expected to be little change in faculty over </w:t>
      </w:r>
      <w:r w:rsidR="00A51C53">
        <w:rPr>
          <w:sz w:val="24"/>
          <w:szCs w:val="24"/>
        </w:rPr>
        <w:t>that time</w:t>
      </w:r>
      <w:r w:rsidR="007B621F">
        <w:rPr>
          <w:sz w:val="24"/>
          <w:szCs w:val="24"/>
        </w:rPr>
        <w:t xml:space="preserve"> based on faculty retention and turnover rates</w:t>
      </w:r>
      <w:r w:rsidRPr="002C67CA" w:rsidR="006D06F9">
        <w:rPr>
          <w:sz w:val="24"/>
          <w:szCs w:val="24"/>
        </w:rPr>
        <w:t xml:space="preserve">.  At BUILD institutions, faculty </w:t>
      </w:r>
      <w:r w:rsidR="00A51C53">
        <w:rPr>
          <w:sz w:val="24"/>
          <w:szCs w:val="24"/>
        </w:rPr>
        <w:t>are</w:t>
      </w:r>
      <w:r w:rsidRPr="002C67CA" w:rsidR="006D06F9">
        <w:rPr>
          <w:sz w:val="24"/>
          <w:szCs w:val="24"/>
        </w:rPr>
        <w:t xml:space="preserve"> sampled such that all faculty participating in the BUILD program activities are included</w:t>
      </w:r>
      <w:r w:rsidRPr="002C67CA" w:rsidR="00D403EE">
        <w:rPr>
          <w:sz w:val="24"/>
          <w:szCs w:val="24"/>
        </w:rPr>
        <w:t xml:space="preserve"> (unless there are more than 25</w:t>
      </w:r>
      <w:r w:rsidR="00E52AF9">
        <w:rPr>
          <w:sz w:val="24"/>
          <w:szCs w:val="24"/>
        </w:rPr>
        <w:t>,</w:t>
      </w:r>
      <w:r w:rsidRPr="002C67CA" w:rsidR="00D403EE">
        <w:rPr>
          <w:sz w:val="24"/>
          <w:szCs w:val="24"/>
        </w:rPr>
        <w:t xml:space="preserve"> in which case a random sample will be drawn so that the faculty who have participated in BUILD do not represent more than 50% of the total sample of 50).  In addition, </w:t>
      </w:r>
      <w:r w:rsidRPr="002C67CA" w:rsidR="006D06F9">
        <w:rPr>
          <w:sz w:val="24"/>
          <w:szCs w:val="24"/>
        </w:rPr>
        <w:t>a random sample of other faculty in biomedical disciplines</w:t>
      </w:r>
      <w:r w:rsidRPr="002C67CA" w:rsidR="00D403EE">
        <w:rPr>
          <w:sz w:val="24"/>
          <w:szCs w:val="24"/>
        </w:rPr>
        <w:t xml:space="preserve"> will be drawn to complete the total sample of 50</w:t>
      </w:r>
      <w:r w:rsidRPr="002C67CA" w:rsidR="006D06F9">
        <w:rPr>
          <w:sz w:val="24"/>
          <w:szCs w:val="24"/>
        </w:rPr>
        <w:t xml:space="preserve">.  Faculty at non-BUILD institutions will be randomly sampled from </w:t>
      </w:r>
      <w:r w:rsidRPr="002C67CA" w:rsidR="00477510">
        <w:rPr>
          <w:sz w:val="24"/>
          <w:szCs w:val="24"/>
        </w:rPr>
        <w:t>existing secondary data from HERI Faculty Surveys administered independent of this initiative by various US academic institutions</w:t>
      </w:r>
      <w:r w:rsidR="006D06F9">
        <w:rPr>
          <w:sz w:val="24"/>
          <w:szCs w:val="24"/>
        </w:rPr>
        <w:t>.</w:t>
      </w:r>
      <w:r w:rsidR="00A54624">
        <w:rPr>
          <w:sz w:val="24"/>
          <w:szCs w:val="24"/>
        </w:rPr>
        <w:t xml:space="preserve"> </w:t>
      </w:r>
    </w:p>
    <w:p w:rsidR="006D06F9" w:rsidP="00C01540" w:rsidRDefault="006D06F9" w14:paraId="3A7587E0" w14:textId="77777777">
      <w:pPr>
        <w:pStyle w:val="P1-StandPara"/>
        <w:widowControl w:val="0"/>
        <w:spacing w:line="240" w:lineRule="auto"/>
        <w:ind w:firstLine="0"/>
        <w:rPr>
          <w:sz w:val="24"/>
          <w:szCs w:val="24"/>
        </w:rPr>
      </w:pPr>
    </w:p>
    <w:p w:rsidR="006D06F9" w:rsidP="00AA4E58" w:rsidRDefault="00D05B2C" w14:paraId="49EA632F" w14:textId="4366E36E">
      <w:r w:rsidRPr="00AA4E58">
        <w:rPr>
          <w:u w:val="single"/>
        </w:rPr>
        <w:t>NRMN</w:t>
      </w:r>
      <w:r>
        <w:t xml:space="preserve">: </w:t>
      </w:r>
      <w:r w:rsidR="00A51C53">
        <w:t xml:space="preserve">Phase I </w:t>
      </w:r>
      <w:r w:rsidR="00AA4E58">
        <w:t xml:space="preserve">NRMN </w:t>
      </w:r>
      <w:r w:rsidRPr="000C7FBE" w:rsidR="00AA4E58">
        <w:t>student</w:t>
      </w:r>
      <w:r w:rsidR="00A51C53">
        <w:t xml:space="preserve"> participants</w:t>
      </w:r>
      <w:r w:rsidR="00AA4E58">
        <w:t xml:space="preserve"> (undergraduate through post-doctoral)</w:t>
      </w:r>
      <w:r w:rsidRPr="000C7FBE" w:rsidR="00AA4E58">
        <w:t xml:space="preserve"> and </w:t>
      </w:r>
      <w:r w:rsidR="00AA4E58">
        <w:t>faculty/</w:t>
      </w:r>
      <w:r w:rsidRPr="000C7FBE" w:rsidR="00AA4E58">
        <w:t>professional</w:t>
      </w:r>
      <w:r w:rsidR="00477510">
        <w:t>s</w:t>
      </w:r>
      <w:r w:rsidRPr="000C7FBE" w:rsidR="00AA4E58">
        <w:t xml:space="preserve"> </w:t>
      </w:r>
      <w:r w:rsidR="00AA4E58">
        <w:t xml:space="preserve">at all levels </w:t>
      </w:r>
      <w:r w:rsidR="00A51C53">
        <w:t xml:space="preserve">are invited to complete the </w:t>
      </w:r>
      <w:r w:rsidRPr="00A51C53" w:rsidR="00A51C53">
        <w:t xml:space="preserve">NRMN </w:t>
      </w:r>
      <w:r w:rsidR="00E52AF9">
        <w:t xml:space="preserve">Annual </w:t>
      </w:r>
      <w:r w:rsidRPr="00A51C53" w:rsidR="00A51C53">
        <w:t>Follow-up Survey</w:t>
      </w:r>
      <w:r w:rsidR="00A51C53">
        <w:t xml:space="preserve"> (</w:t>
      </w:r>
      <w:r w:rsidRPr="00A51C53" w:rsidR="00A51C53">
        <w:t>Attachment 17</w:t>
      </w:r>
      <w:r w:rsidR="00A51C53">
        <w:t>)</w:t>
      </w:r>
      <w:r w:rsidR="005E200B">
        <w:t xml:space="preserve">. </w:t>
      </w:r>
      <w:r w:rsidR="00E80150">
        <w:t>T</w:t>
      </w:r>
      <w:r w:rsidRPr="000C7FBE" w:rsidR="00AA4E58">
        <w:t xml:space="preserve">he respondent universe </w:t>
      </w:r>
      <w:r w:rsidR="00AA4E58">
        <w:t>relies</w:t>
      </w:r>
      <w:r w:rsidRPr="000C7FBE" w:rsidR="00AA4E58">
        <w:t xml:space="preserve"> on the </w:t>
      </w:r>
      <w:r w:rsidR="00E80150">
        <w:t>participants</w:t>
      </w:r>
      <w:r w:rsidRPr="000C7FBE" w:rsidR="00AA4E58">
        <w:t>’ r</w:t>
      </w:r>
      <w:r w:rsidR="005E200B">
        <w:t>oles in the NRMN intervention</w:t>
      </w:r>
      <w:r w:rsidR="00E80150">
        <w:t xml:space="preserve">, e.g., </w:t>
      </w:r>
      <w:r w:rsidR="006D06F9">
        <w:t>mentor training, grant writing skills workshops</w:t>
      </w:r>
      <w:r w:rsidR="00E80150">
        <w:t>, and linking and matching activities</w:t>
      </w:r>
      <w:r w:rsidR="006D06F9">
        <w:t>.</w:t>
      </w:r>
      <w:r w:rsidR="00A54624">
        <w:t xml:space="preserve"> </w:t>
      </w:r>
      <w:r w:rsidR="00E80150">
        <w:t>Provided the response rates are robust, the s</w:t>
      </w:r>
      <w:r w:rsidR="00A54624">
        <w:t xml:space="preserve">amples </w:t>
      </w:r>
      <w:r w:rsidR="00E80150">
        <w:t xml:space="preserve">will </w:t>
      </w:r>
      <w:r w:rsidR="00A54624">
        <w:t>reflect the demographic characteristics of those participating in the various NRMN activities.</w:t>
      </w:r>
    </w:p>
    <w:p w:rsidR="006D06F9" w:rsidP="00C01540" w:rsidRDefault="006D06F9" w14:paraId="3FEBCE80" w14:textId="77777777">
      <w:pPr>
        <w:pStyle w:val="P1-StandPara"/>
        <w:widowControl w:val="0"/>
        <w:spacing w:line="240" w:lineRule="auto"/>
        <w:ind w:firstLine="0"/>
        <w:rPr>
          <w:sz w:val="24"/>
          <w:szCs w:val="24"/>
        </w:rPr>
      </w:pPr>
    </w:p>
    <w:p w:rsidR="0095781C" w:rsidP="00932363" w:rsidRDefault="0095781C" w14:paraId="451942E0" w14:textId="411D6130">
      <w:pPr>
        <w:pStyle w:val="Heading1"/>
      </w:pPr>
      <w:bookmarkStart w:name="_Toc23674757" w:id="21"/>
      <w:bookmarkStart w:name="_Toc23694921" w:id="22"/>
      <w:r w:rsidRPr="00F5434D">
        <w:t>B.2 Procedures for the Collection of Information</w:t>
      </w:r>
      <w:bookmarkEnd w:id="21"/>
      <w:bookmarkEnd w:id="22"/>
    </w:p>
    <w:p w:rsidR="005E5877" w:rsidP="005E5877" w:rsidRDefault="005E5877" w14:paraId="1F26505F" w14:textId="1BE60F80"/>
    <w:p w:rsidR="005E5877" w:rsidP="005E5877" w:rsidRDefault="005E5877" w14:paraId="251AF2E3" w14:textId="78D1CA29">
      <w:r>
        <w:t xml:space="preserve">A mapping document linking the data sources to the Hallmarks of Success are provided in Attachment </w:t>
      </w:r>
      <w:r w:rsidR="00E52AF9">
        <w:t>7</w:t>
      </w:r>
      <w:r>
        <w:t>.</w:t>
      </w:r>
    </w:p>
    <w:p w:rsidRPr="00E36942" w:rsidR="00E36942" w:rsidP="00E36942" w:rsidRDefault="00E36942" w14:paraId="752767AF" w14:textId="77777777"/>
    <w:p w:rsidRPr="00970A12" w:rsidR="00F81549" w:rsidP="00970A12" w:rsidRDefault="00F81549" w14:paraId="03C19C63" w14:textId="77777777">
      <w:pPr>
        <w:rPr>
          <w:b/>
        </w:rPr>
      </w:pPr>
      <w:r w:rsidRPr="00970A12">
        <w:rPr>
          <w:b/>
        </w:rPr>
        <w:t>B.</w:t>
      </w:r>
      <w:r w:rsidRPr="00970A12" w:rsidR="0095781C">
        <w:rPr>
          <w:b/>
        </w:rPr>
        <w:t>2</w:t>
      </w:r>
      <w:r w:rsidRPr="00970A12">
        <w:rPr>
          <w:b/>
        </w:rPr>
        <w:t>.</w:t>
      </w:r>
      <w:r w:rsidRPr="00970A12" w:rsidR="0095781C">
        <w:rPr>
          <w:b/>
        </w:rPr>
        <w:t>1</w:t>
      </w:r>
      <w:r w:rsidRPr="00970A12">
        <w:rPr>
          <w:b/>
        </w:rPr>
        <w:t>. Power Analysis and Estimation Procedure</w:t>
      </w:r>
      <w:bookmarkEnd w:id="18"/>
      <w:bookmarkEnd w:id="19"/>
      <w:bookmarkEnd w:id="20"/>
    </w:p>
    <w:p w:rsidR="00D05B2C" w:rsidP="00144958" w:rsidRDefault="00D05B2C" w14:paraId="35994686" w14:textId="77777777">
      <w:pPr>
        <w:pStyle w:val="P1-StandPara"/>
        <w:spacing w:line="240" w:lineRule="auto"/>
        <w:ind w:firstLine="0"/>
        <w:rPr>
          <w:sz w:val="24"/>
          <w:szCs w:val="24"/>
        </w:rPr>
      </w:pPr>
    </w:p>
    <w:p w:rsidR="00D05B2C" w:rsidP="00144958" w:rsidRDefault="00F930C0" w14:paraId="5433643C" w14:textId="7F5CA6DA">
      <w:pPr>
        <w:pStyle w:val="P1-StandPara"/>
        <w:spacing w:line="240" w:lineRule="auto"/>
        <w:ind w:firstLine="0"/>
        <w:rPr>
          <w:sz w:val="24"/>
          <w:szCs w:val="24"/>
        </w:rPr>
      </w:pPr>
      <w:r>
        <w:rPr>
          <w:sz w:val="24"/>
          <w:szCs w:val="24"/>
        </w:rPr>
        <w:t>At the conclusion of the longitudinal</w:t>
      </w:r>
      <w:r w:rsidR="00D05B2C">
        <w:rPr>
          <w:sz w:val="24"/>
          <w:szCs w:val="24"/>
        </w:rPr>
        <w:t xml:space="preserve"> </w:t>
      </w:r>
      <w:r>
        <w:rPr>
          <w:sz w:val="24"/>
          <w:szCs w:val="24"/>
        </w:rPr>
        <w:t>data collection</w:t>
      </w:r>
      <w:r w:rsidR="00E52AF9">
        <w:rPr>
          <w:sz w:val="24"/>
          <w:szCs w:val="24"/>
        </w:rPr>
        <w:t>,</w:t>
      </w:r>
      <w:r>
        <w:rPr>
          <w:sz w:val="24"/>
          <w:szCs w:val="24"/>
        </w:rPr>
        <w:t xml:space="preserve"> the </w:t>
      </w:r>
      <w:r w:rsidR="00D05B2C">
        <w:rPr>
          <w:sz w:val="24"/>
          <w:szCs w:val="24"/>
        </w:rPr>
        <w:t>analysis will compare BUILD exposed groups (students, faculty, institution) to non-BUILD exposed comparison groups</w:t>
      </w:r>
      <w:r w:rsidR="00E52AF9">
        <w:rPr>
          <w:sz w:val="24"/>
          <w:szCs w:val="24"/>
        </w:rPr>
        <w:t>,</w:t>
      </w:r>
      <w:r w:rsidR="00D05B2C">
        <w:rPr>
          <w:sz w:val="24"/>
          <w:szCs w:val="24"/>
        </w:rPr>
        <w:t xml:space="preserve"> or will compare NRMN participants exposed to given activities (</w:t>
      </w:r>
      <w:r w:rsidR="00477510">
        <w:rPr>
          <w:sz w:val="24"/>
          <w:szCs w:val="24"/>
        </w:rPr>
        <w:t xml:space="preserve">grant-writing </w:t>
      </w:r>
      <w:r w:rsidR="00D05B2C">
        <w:rPr>
          <w:sz w:val="24"/>
          <w:szCs w:val="24"/>
        </w:rPr>
        <w:t>workshop, mentor</w:t>
      </w:r>
      <w:r>
        <w:rPr>
          <w:sz w:val="24"/>
          <w:szCs w:val="24"/>
        </w:rPr>
        <w:t xml:space="preserve"> training</w:t>
      </w:r>
      <w:r w:rsidR="00D05B2C">
        <w:rPr>
          <w:sz w:val="24"/>
          <w:szCs w:val="24"/>
        </w:rPr>
        <w:t>) to NRMN participants who were</w:t>
      </w:r>
      <w:r w:rsidR="005E200B">
        <w:rPr>
          <w:sz w:val="24"/>
          <w:szCs w:val="24"/>
        </w:rPr>
        <w:t xml:space="preserve"> not exposed to that activity</w:t>
      </w:r>
      <w:r>
        <w:rPr>
          <w:sz w:val="24"/>
          <w:szCs w:val="24"/>
        </w:rPr>
        <w:t xml:space="preserve"> (entered through the web portal)</w:t>
      </w:r>
      <w:r w:rsidR="005E200B">
        <w:rPr>
          <w:sz w:val="24"/>
          <w:szCs w:val="24"/>
        </w:rPr>
        <w:t xml:space="preserve">. </w:t>
      </w:r>
      <w:r w:rsidR="00D05B2C">
        <w:rPr>
          <w:sz w:val="24"/>
          <w:szCs w:val="24"/>
        </w:rPr>
        <w:t xml:space="preserve">For the various key outcomes (defined in the Hallmarks; </w:t>
      </w:r>
      <w:r w:rsidR="009A4C71">
        <w:rPr>
          <w:sz w:val="24"/>
          <w:szCs w:val="24"/>
        </w:rPr>
        <w:t xml:space="preserve">see Attachment </w:t>
      </w:r>
      <w:r w:rsidR="00E52AF9">
        <w:rPr>
          <w:sz w:val="24"/>
          <w:szCs w:val="24"/>
        </w:rPr>
        <w:t>6</w:t>
      </w:r>
      <w:r w:rsidR="009A4C71">
        <w:rPr>
          <w:sz w:val="24"/>
          <w:szCs w:val="24"/>
        </w:rPr>
        <w:t>), g</w:t>
      </w:r>
      <w:r w:rsidR="00D05B2C">
        <w:rPr>
          <w:sz w:val="24"/>
          <w:szCs w:val="24"/>
        </w:rPr>
        <w:t>eneralized mixed linear models will be used to test the hypothesis that the BUILD or NRMN interventions results in better outcomes for those participating in BUILD or NRMN activities.</w:t>
      </w:r>
      <w:r w:rsidR="00F673FD">
        <w:rPr>
          <w:sz w:val="24"/>
          <w:szCs w:val="24"/>
        </w:rPr>
        <w:t xml:space="preserve"> Models will test for the significance of an interaction term reflecting the “difference of differences” of the senior minus freshman scores for BUILD students versus similar </w:t>
      </w:r>
      <w:r w:rsidR="005E200B">
        <w:rPr>
          <w:sz w:val="24"/>
          <w:szCs w:val="24"/>
        </w:rPr>
        <w:t xml:space="preserve">students in non-BUILD schools. </w:t>
      </w:r>
      <w:r w:rsidR="00F673FD">
        <w:rPr>
          <w:sz w:val="24"/>
          <w:szCs w:val="24"/>
        </w:rPr>
        <w:t>A statistically significant term in a positive direction would indicate success of BUILD, after adjusting for the covariates and clustering within institutions.</w:t>
      </w:r>
    </w:p>
    <w:p w:rsidR="0064194B" w:rsidP="00144958" w:rsidRDefault="0064194B" w14:paraId="52993EAB" w14:textId="77777777">
      <w:pPr>
        <w:pStyle w:val="P1-StandPara"/>
        <w:spacing w:line="240" w:lineRule="auto"/>
        <w:ind w:firstLine="0"/>
        <w:rPr>
          <w:sz w:val="24"/>
          <w:szCs w:val="24"/>
        </w:rPr>
      </w:pPr>
    </w:p>
    <w:p w:rsidR="006D7983" w:rsidP="00BC4019" w:rsidRDefault="00D05B2C" w14:paraId="5C05FD09" w14:textId="77777777">
      <w:pPr>
        <w:pStyle w:val="P1-StandPara"/>
        <w:ind w:firstLine="0"/>
        <w:rPr>
          <w:sz w:val="24"/>
          <w:szCs w:val="24"/>
        </w:rPr>
      </w:pPr>
      <w:r>
        <w:rPr>
          <w:sz w:val="24"/>
          <w:szCs w:val="24"/>
        </w:rPr>
        <w:t>T</w:t>
      </w:r>
      <w:r w:rsidRPr="000C7FBE" w:rsidR="006D7983">
        <w:rPr>
          <w:sz w:val="24"/>
          <w:szCs w:val="24"/>
        </w:rPr>
        <w:t>he power calculations are based on</w:t>
      </w:r>
      <w:r w:rsidRPr="000C7FBE" w:rsidR="000028C7">
        <w:rPr>
          <w:sz w:val="24"/>
          <w:szCs w:val="24"/>
        </w:rPr>
        <w:t xml:space="preserve"> testing the following </w:t>
      </w:r>
      <w:r>
        <w:rPr>
          <w:sz w:val="24"/>
          <w:szCs w:val="24"/>
        </w:rPr>
        <w:t xml:space="preserve">key </w:t>
      </w:r>
      <w:r w:rsidRPr="000C7FBE" w:rsidR="000028C7">
        <w:rPr>
          <w:sz w:val="24"/>
          <w:szCs w:val="24"/>
        </w:rPr>
        <w:t>hypothes</w:t>
      </w:r>
      <w:r w:rsidRPr="000C7FBE" w:rsidR="00710964">
        <w:rPr>
          <w:sz w:val="24"/>
          <w:szCs w:val="24"/>
        </w:rPr>
        <w:t>i</w:t>
      </w:r>
      <w:r w:rsidRPr="000C7FBE" w:rsidR="006D7983">
        <w:rPr>
          <w:sz w:val="24"/>
          <w:szCs w:val="24"/>
        </w:rPr>
        <w:t>s:</w:t>
      </w:r>
    </w:p>
    <w:p w:rsidRPr="002B2653" w:rsidR="002C3642" w:rsidP="00BC4019" w:rsidRDefault="002C3642" w14:paraId="6CC93715" w14:textId="77777777">
      <w:pPr>
        <w:pStyle w:val="P1-StandPara"/>
        <w:ind w:firstLine="0"/>
        <w:rPr>
          <w:b/>
          <w:sz w:val="24"/>
          <w:szCs w:val="24"/>
          <w:u w:val="single"/>
        </w:rPr>
      </w:pPr>
      <w:r w:rsidRPr="002B2653">
        <w:rPr>
          <w:b/>
          <w:sz w:val="24"/>
          <w:szCs w:val="24"/>
          <w:u w:val="single"/>
        </w:rPr>
        <w:lastRenderedPageBreak/>
        <w:t>Students (BUILD)</w:t>
      </w:r>
    </w:p>
    <w:p w:rsidRPr="00C01540" w:rsidR="001A3DB6" w:rsidP="00BC4019" w:rsidRDefault="001A3DB6" w14:paraId="7E530148" w14:textId="1E70BE7F">
      <w:pPr>
        <w:widowControl w:val="0"/>
        <w:rPr>
          <w:rFonts w:eastAsia="Arial"/>
          <w:i/>
        </w:rPr>
      </w:pPr>
      <w:r w:rsidRPr="00C01540">
        <w:rPr>
          <w:rFonts w:eastAsia="Arial"/>
          <w:b/>
          <w:bCs/>
          <w:i/>
          <w:spacing w:val="-1"/>
        </w:rPr>
        <w:t>H</w:t>
      </w:r>
      <w:r w:rsidRPr="00C01540" w:rsidR="00710964">
        <w:rPr>
          <w:rFonts w:eastAsia="Arial"/>
          <w:b/>
          <w:bCs/>
          <w:i/>
          <w:spacing w:val="-1"/>
        </w:rPr>
        <w:t>1</w:t>
      </w:r>
      <w:r w:rsidRPr="00C01540">
        <w:rPr>
          <w:rFonts w:eastAsia="Arial"/>
          <w:i/>
          <w:spacing w:val="-1"/>
        </w:rPr>
        <w:t>:</w:t>
      </w:r>
      <w:r w:rsidRPr="00C01540">
        <w:rPr>
          <w:rFonts w:eastAsia="Arial"/>
          <w:i/>
          <w:spacing w:val="-6"/>
        </w:rPr>
        <w:t xml:space="preserve"> </w:t>
      </w:r>
      <w:r w:rsidRPr="00C01540">
        <w:rPr>
          <w:rFonts w:eastAsia="Arial"/>
          <w:i/>
        </w:rPr>
        <w:t>The</w:t>
      </w:r>
      <w:r w:rsidRPr="00C01540">
        <w:rPr>
          <w:rFonts w:eastAsia="Arial"/>
          <w:i/>
          <w:spacing w:val="-6"/>
        </w:rPr>
        <w:t xml:space="preserve"> </w:t>
      </w:r>
      <w:r w:rsidRPr="00C01540">
        <w:rPr>
          <w:rFonts w:eastAsia="Arial"/>
          <w:i/>
        </w:rPr>
        <w:t>“</w:t>
      </w:r>
      <w:r w:rsidRPr="00C01540" w:rsidR="00557265">
        <w:rPr>
          <w:rFonts w:eastAsia="Arial"/>
          <w:b/>
          <w:bCs/>
          <w:i/>
        </w:rPr>
        <w:t>Biomedical Career Interest Scale score</w:t>
      </w:r>
      <w:r w:rsidRPr="000C7FBE">
        <w:rPr>
          <w:rFonts w:eastAsia="Arial"/>
          <w:i/>
        </w:rPr>
        <w:t>”</w:t>
      </w:r>
      <w:r w:rsidRPr="000C7FBE">
        <w:rPr>
          <w:rFonts w:eastAsia="Arial"/>
          <w:i/>
          <w:spacing w:val="-8"/>
        </w:rPr>
        <w:t xml:space="preserve"> </w:t>
      </w:r>
      <w:r w:rsidRPr="00E353DE">
        <w:rPr>
          <w:rFonts w:eastAsia="Arial"/>
          <w:i/>
        </w:rPr>
        <w:t>will</w:t>
      </w:r>
      <w:r w:rsidRPr="00E353DE">
        <w:rPr>
          <w:rFonts w:eastAsia="Arial"/>
          <w:i/>
          <w:spacing w:val="-7"/>
        </w:rPr>
        <w:t xml:space="preserve"> </w:t>
      </w:r>
      <w:r w:rsidRPr="00E353DE">
        <w:rPr>
          <w:rFonts w:eastAsia="Arial"/>
          <w:i/>
          <w:spacing w:val="-1"/>
        </w:rPr>
        <w:t>improve</w:t>
      </w:r>
      <w:r w:rsidRPr="00B96E57">
        <w:rPr>
          <w:rFonts w:eastAsia="Arial"/>
          <w:i/>
          <w:spacing w:val="-6"/>
        </w:rPr>
        <w:t xml:space="preserve"> </w:t>
      </w:r>
      <w:r w:rsidRPr="000C7FBE">
        <w:rPr>
          <w:rFonts w:eastAsia="Arial"/>
          <w:i/>
        </w:rPr>
        <w:t>over</w:t>
      </w:r>
      <w:r w:rsidRPr="000C7FBE">
        <w:rPr>
          <w:rFonts w:eastAsia="Arial"/>
          <w:i/>
          <w:spacing w:val="-7"/>
        </w:rPr>
        <w:t xml:space="preserve"> </w:t>
      </w:r>
      <w:r w:rsidRPr="000C7FBE">
        <w:rPr>
          <w:rFonts w:eastAsia="Arial"/>
          <w:i/>
          <w:spacing w:val="-1"/>
        </w:rPr>
        <w:t>time</w:t>
      </w:r>
      <w:r w:rsidRPr="000C7FBE">
        <w:rPr>
          <w:rFonts w:eastAsia="Arial"/>
          <w:i/>
          <w:spacing w:val="-5"/>
        </w:rPr>
        <w:t xml:space="preserve"> </w:t>
      </w:r>
      <w:r w:rsidRPr="000C7FBE">
        <w:rPr>
          <w:rFonts w:eastAsia="Arial"/>
          <w:i/>
        </w:rPr>
        <w:t>more</w:t>
      </w:r>
      <w:r w:rsidRPr="000C7FBE">
        <w:rPr>
          <w:rFonts w:eastAsia="Arial"/>
          <w:i/>
          <w:spacing w:val="-7"/>
        </w:rPr>
        <w:t xml:space="preserve"> </w:t>
      </w:r>
      <w:r w:rsidRPr="000C7FBE">
        <w:rPr>
          <w:rFonts w:eastAsia="Arial"/>
          <w:i/>
        </w:rPr>
        <w:t>for</w:t>
      </w:r>
      <w:r w:rsidRPr="000C7FBE">
        <w:rPr>
          <w:rFonts w:eastAsia="Arial"/>
          <w:i/>
          <w:spacing w:val="-7"/>
        </w:rPr>
        <w:t xml:space="preserve"> </w:t>
      </w:r>
      <w:r w:rsidRPr="00E353DE">
        <w:rPr>
          <w:rFonts w:eastAsia="Arial"/>
          <w:i/>
        </w:rPr>
        <w:t>students</w:t>
      </w:r>
      <w:r w:rsidRPr="00E353DE">
        <w:rPr>
          <w:rFonts w:eastAsia="Arial"/>
          <w:i/>
          <w:spacing w:val="-6"/>
        </w:rPr>
        <w:t xml:space="preserve"> </w:t>
      </w:r>
      <w:r w:rsidRPr="00E353DE">
        <w:rPr>
          <w:rFonts w:eastAsia="Arial"/>
          <w:i/>
          <w:spacing w:val="-1"/>
        </w:rPr>
        <w:t>in</w:t>
      </w:r>
      <w:r w:rsidRPr="00E353DE">
        <w:rPr>
          <w:rFonts w:eastAsia="Arial"/>
          <w:i/>
          <w:spacing w:val="-6"/>
        </w:rPr>
        <w:t xml:space="preserve"> </w:t>
      </w:r>
      <w:r w:rsidRPr="00B96E57" w:rsidR="00B760D3">
        <w:rPr>
          <w:rFonts w:eastAsia="Arial"/>
          <w:i/>
          <w:spacing w:val="-6"/>
        </w:rPr>
        <w:t xml:space="preserve">the </w:t>
      </w:r>
      <w:r w:rsidRPr="00B96E57">
        <w:rPr>
          <w:rFonts w:eastAsia="Arial"/>
          <w:i/>
        </w:rPr>
        <w:t>BUILD</w:t>
      </w:r>
      <w:r w:rsidR="00F930C0">
        <w:rPr>
          <w:rFonts w:eastAsia="Arial"/>
          <w:i/>
        </w:rPr>
        <w:t xml:space="preserve"> program </w:t>
      </w:r>
      <w:r w:rsidRPr="00B96E57">
        <w:rPr>
          <w:rFonts w:eastAsia="Arial"/>
          <w:i/>
        </w:rPr>
        <w:t>than</w:t>
      </w:r>
      <w:r w:rsidRPr="00C01540">
        <w:rPr>
          <w:rFonts w:eastAsia="Arial"/>
          <w:i/>
          <w:spacing w:val="-11"/>
        </w:rPr>
        <w:t xml:space="preserve"> </w:t>
      </w:r>
      <w:r w:rsidR="00F930C0">
        <w:rPr>
          <w:rFonts w:eastAsia="Arial"/>
          <w:i/>
          <w:spacing w:val="-11"/>
        </w:rPr>
        <w:t xml:space="preserve">for student </w:t>
      </w:r>
      <w:r w:rsidRPr="00C01540">
        <w:rPr>
          <w:rFonts w:eastAsia="Arial"/>
          <w:i/>
        </w:rPr>
        <w:t>in</w:t>
      </w:r>
      <w:r w:rsidRPr="00C01540">
        <w:rPr>
          <w:rFonts w:eastAsia="Arial"/>
          <w:i/>
          <w:spacing w:val="-10"/>
        </w:rPr>
        <w:t xml:space="preserve"> </w:t>
      </w:r>
      <w:r w:rsidRPr="00C01540" w:rsidR="00B760D3">
        <w:rPr>
          <w:rFonts w:eastAsia="Arial"/>
          <w:i/>
          <w:spacing w:val="-10"/>
        </w:rPr>
        <w:t xml:space="preserve">the </w:t>
      </w:r>
      <w:r w:rsidRPr="00C01540">
        <w:rPr>
          <w:rFonts w:eastAsia="Arial"/>
          <w:i/>
          <w:spacing w:val="-1"/>
        </w:rPr>
        <w:t>non-BUILD</w:t>
      </w:r>
      <w:r w:rsidRPr="00C01540">
        <w:rPr>
          <w:rFonts w:eastAsia="Arial"/>
          <w:i/>
          <w:spacing w:val="-10"/>
        </w:rPr>
        <w:t xml:space="preserve"> </w:t>
      </w:r>
      <w:r w:rsidRPr="00C01540">
        <w:rPr>
          <w:rFonts w:eastAsia="Arial"/>
          <w:i/>
        </w:rPr>
        <w:t>institution.</w:t>
      </w:r>
    </w:p>
    <w:p w:rsidRPr="00C01540" w:rsidR="001A3DB6" w:rsidP="00BC4019" w:rsidRDefault="001A3DB6" w14:paraId="516533A5" w14:textId="77777777">
      <w:pPr>
        <w:widowControl w:val="0"/>
        <w:rPr>
          <w:rFonts w:eastAsia="Arial"/>
        </w:rPr>
      </w:pPr>
    </w:p>
    <w:p w:rsidRPr="00E520BA" w:rsidR="00496045" w:rsidP="00FC1964" w:rsidRDefault="00496045" w14:paraId="327B30F6" w14:textId="716F5C5F">
      <w:pPr>
        <w:rPr>
          <w:rFonts w:eastAsia="Calibri"/>
        </w:rPr>
      </w:pPr>
      <w:r w:rsidRPr="000C7FBE">
        <w:rPr>
          <w:rFonts w:eastAsia="Calibri"/>
        </w:rPr>
        <w:t xml:space="preserve">For this hypothesis, the outcome variable is the </w:t>
      </w:r>
      <w:r w:rsidRPr="00C01540" w:rsidR="00557265">
        <w:rPr>
          <w:rFonts w:eastAsia="Calibri"/>
          <w:i/>
        </w:rPr>
        <w:t>Biomedical Career Interest Scale</w:t>
      </w:r>
      <w:r w:rsidRPr="000C7FBE" w:rsidR="00557265">
        <w:rPr>
          <w:rFonts w:eastAsia="Calibri"/>
        </w:rPr>
        <w:t xml:space="preserve"> </w:t>
      </w:r>
      <w:r w:rsidRPr="000C7FBE">
        <w:rPr>
          <w:rFonts w:eastAsia="Calibri"/>
        </w:rPr>
        <w:t xml:space="preserve">score collected in the freshman and senior years. </w:t>
      </w:r>
      <w:r w:rsidRPr="000C7FBE" w:rsidR="00557265">
        <w:rPr>
          <w:rFonts w:eastAsia="Calibri"/>
        </w:rPr>
        <w:t xml:space="preserve">This scale will be computed from the combined answers to the following questions: </w:t>
      </w:r>
      <w:r w:rsidR="00C01540">
        <w:rPr>
          <w:rFonts w:eastAsia="Calibri"/>
        </w:rPr>
        <w:t>Do you intend to</w:t>
      </w:r>
      <w:r w:rsidRPr="000C7FBE" w:rsidR="00FC1964">
        <w:rPr>
          <w:rFonts w:eastAsia="Calibri"/>
        </w:rPr>
        <w:t xml:space="preserve"> pursue a science-related research career? </w:t>
      </w:r>
      <w:r w:rsidRPr="00E353DE" w:rsidR="00FC1964">
        <w:rPr>
          <w:rFonts w:eastAsia="Calibri"/>
        </w:rPr>
        <w:t xml:space="preserve">How many months since entering college (including </w:t>
      </w:r>
      <w:r w:rsidRPr="00B96E57" w:rsidR="00FC1964">
        <w:rPr>
          <w:rFonts w:eastAsia="Calibri"/>
        </w:rPr>
        <w:t xml:space="preserve">summer) did you work on a professor’s research project? Have you participated in an undergraduate research program? </w:t>
      </w:r>
      <w:r w:rsidRPr="00C01540" w:rsidR="00FC1964">
        <w:rPr>
          <w:rFonts w:eastAsia="Calibri"/>
        </w:rPr>
        <w:t>How often did a professor provide you with an opportunity to conduct research? How often have you met with an advisor/counselor about your career plans</w:t>
      </w:r>
      <w:r w:rsidR="00C01540">
        <w:rPr>
          <w:rFonts w:eastAsia="Calibri"/>
        </w:rPr>
        <w:t xml:space="preserve">? </w:t>
      </w:r>
      <w:r w:rsidRPr="000C7FBE" w:rsidR="00B760D3">
        <w:t>Since many possible covariates could be used to predict any outcome, a two-step method will be used to derive the final model. First, we perform a univariate analysis of each covariate as it relates to</w:t>
      </w:r>
      <w:r w:rsidR="00F930C0">
        <w:t xml:space="preserve"> the</w:t>
      </w:r>
      <w:r w:rsidRPr="000C7FBE" w:rsidR="00B760D3">
        <w:t xml:space="preserve"> outcome and select those that are associated with it at the p=0.20 significance level or less. We then regress the outcome on these selected covariates using a specific best-subset regression approach, from which a generalized mixed linear model relating the outcome to the selected covariates is derived. </w:t>
      </w:r>
      <w:r w:rsidRPr="000C7FBE">
        <w:rPr>
          <w:rFonts w:eastAsia="Calibri"/>
        </w:rPr>
        <w:t xml:space="preserve">In the model, we would include as covariates all those selected above as well as: X1 = </w:t>
      </w:r>
      <w:r w:rsidRPr="00E520BA">
        <w:rPr>
          <w:rFonts w:eastAsia="Calibri"/>
        </w:rPr>
        <w:t>(BUILD/non-BUILD school), X2</w:t>
      </w:r>
      <w:r w:rsidR="005E200B">
        <w:rPr>
          <w:rFonts w:eastAsia="Calibri"/>
        </w:rPr>
        <w:t xml:space="preserve"> </w:t>
      </w:r>
      <w:r w:rsidRPr="00E520BA">
        <w:rPr>
          <w:rFonts w:eastAsia="Calibri"/>
        </w:rPr>
        <w:t>= Year (freshman/senior) and X3 = the product of X1 and X2 as their interaction. Thus, the interaction term is a “difference of differences” of the senior minus fresh</w:t>
      </w:r>
      <w:r w:rsidR="005E200B">
        <w:rPr>
          <w:rFonts w:eastAsia="Calibri"/>
        </w:rPr>
        <w:t>man score for BUILD versus non-</w:t>
      </w:r>
      <w:r w:rsidRPr="00E520BA">
        <w:rPr>
          <w:rFonts w:eastAsia="Calibri"/>
        </w:rPr>
        <w:t xml:space="preserve">BUILD schools. A statistically significant interaction term in a positive direction would indicate success of BUILD. </w:t>
      </w:r>
    </w:p>
    <w:p w:rsidRPr="00E520BA" w:rsidR="00E9652D" w:rsidP="00BC4019" w:rsidRDefault="00E9652D" w14:paraId="3B12160C" w14:textId="77777777">
      <w:pPr>
        <w:rPr>
          <w:rFonts w:eastAsia="Calibri"/>
        </w:rPr>
      </w:pPr>
    </w:p>
    <w:p w:rsidRPr="00E520BA" w:rsidR="00B82E77" w:rsidP="00B760D3" w:rsidRDefault="00B760D3" w14:paraId="3FE4AB8B" w14:textId="572C143E">
      <w:pPr>
        <w:rPr>
          <w:rFonts w:eastAsia="Calibri"/>
        </w:rPr>
      </w:pPr>
      <w:r w:rsidRPr="00E520BA">
        <w:rPr>
          <w:rFonts w:eastAsia="Calibri"/>
        </w:rPr>
        <w:t>W</w:t>
      </w:r>
      <w:r w:rsidRPr="00E520BA" w:rsidR="00496045">
        <w:rPr>
          <w:rFonts w:eastAsia="Calibri"/>
        </w:rPr>
        <w:t xml:space="preserve">e test the null hypothesis that the average change in the </w:t>
      </w:r>
      <w:r w:rsidRPr="00E520BA" w:rsidR="005C67C2">
        <w:rPr>
          <w:rFonts w:eastAsia="Calibri"/>
        </w:rPr>
        <w:t>biomedical career interest scale</w:t>
      </w:r>
      <w:r w:rsidRPr="00E520BA" w:rsidR="00496045">
        <w:rPr>
          <w:rFonts w:eastAsia="Calibri"/>
        </w:rPr>
        <w:t xml:space="preserve"> from freshman to senior years is the same in the BUILD and non-BUILD institutions versus the alternative that the BUILD students will show a higher increase in the average score. We define Y = change in score (senior – freshman) and define the effect size as: Effect size = [(Mean of Y | BUILD) - (Mean of Y | non-BUILD)]/standard deviation of Y. </w:t>
      </w:r>
      <w:r w:rsidRPr="00E520BA">
        <w:rPr>
          <w:rFonts w:eastAsia="Calibri"/>
        </w:rPr>
        <w:t>With significance level of 0.05, we select the sample</w:t>
      </w:r>
      <w:r w:rsidRPr="00E520BA" w:rsidR="00E23078">
        <w:rPr>
          <w:rFonts w:eastAsia="Calibri"/>
        </w:rPr>
        <w:t xml:space="preserve"> size </w:t>
      </w:r>
      <w:r w:rsidRPr="00E520BA">
        <w:rPr>
          <w:rFonts w:eastAsia="Calibri"/>
        </w:rPr>
        <w:t>necessary to produce 0.8 power to identify a</w:t>
      </w:r>
      <w:r w:rsidRPr="00E520BA" w:rsidR="00D1187E">
        <w:rPr>
          <w:rFonts w:eastAsia="Calibri"/>
        </w:rPr>
        <w:t xml:space="preserve"> low</w:t>
      </w:r>
      <w:r w:rsidRPr="00E520BA">
        <w:rPr>
          <w:rFonts w:eastAsia="Calibri"/>
        </w:rPr>
        <w:t xml:space="preserve"> effect</w:t>
      </w:r>
      <w:r w:rsidRPr="00E520BA" w:rsidR="00E23078">
        <w:rPr>
          <w:rFonts w:eastAsia="Calibri"/>
        </w:rPr>
        <w:t xml:space="preserve"> size </w:t>
      </w:r>
      <w:r w:rsidRPr="00E520BA">
        <w:rPr>
          <w:rFonts w:eastAsia="Calibri"/>
        </w:rPr>
        <w:t>of 0.25.  The necessary sample</w:t>
      </w:r>
      <w:r w:rsidRPr="00E520BA" w:rsidR="00E23078">
        <w:rPr>
          <w:rFonts w:eastAsia="Calibri"/>
        </w:rPr>
        <w:t xml:space="preserve"> size </w:t>
      </w:r>
      <w:r w:rsidRPr="00E520BA">
        <w:rPr>
          <w:rFonts w:eastAsia="Calibri"/>
        </w:rPr>
        <w:t xml:space="preserve">is 253 students in each of the BUILD institutions and their comparable non-BUILD institutions.  </w:t>
      </w:r>
      <w:r w:rsidRPr="00E520BA" w:rsidR="00E23078">
        <w:rPr>
          <w:rFonts w:eastAsia="Calibri"/>
        </w:rPr>
        <w:t xml:space="preserve">Allowing for </w:t>
      </w:r>
      <w:r w:rsidRPr="00E520BA" w:rsidR="00D24ED0">
        <w:rPr>
          <w:rFonts w:eastAsia="Calibri"/>
        </w:rPr>
        <w:t xml:space="preserve">annual </w:t>
      </w:r>
      <w:r w:rsidRPr="00E520BA" w:rsidR="00E23078">
        <w:rPr>
          <w:rFonts w:eastAsia="Calibri"/>
        </w:rPr>
        <w:t>non-response attrition of 20%</w:t>
      </w:r>
      <w:r w:rsidRPr="00E520BA" w:rsidR="00D24ED0">
        <w:rPr>
          <w:rFonts w:eastAsia="Calibri"/>
        </w:rPr>
        <w:t xml:space="preserve"> over 3</w:t>
      </w:r>
      <w:r w:rsidRPr="00E520BA" w:rsidR="0085035C">
        <w:rPr>
          <w:rFonts w:eastAsia="Calibri"/>
        </w:rPr>
        <w:t>-4</w:t>
      </w:r>
      <w:r w:rsidRPr="00E520BA" w:rsidR="00D24ED0">
        <w:rPr>
          <w:rFonts w:eastAsia="Calibri"/>
        </w:rPr>
        <w:t xml:space="preserve"> </w:t>
      </w:r>
      <w:r w:rsidRPr="00E520BA" w:rsidR="0085035C">
        <w:rPr>
          <w:rFonts w:eastAsia="Calibri"/>
        </w:rPr>
        <w:t>years</w:t>
      </w:r>
      <w:r w:rsidRPr="00E520BA" w:rsidR="00E23078">
        <w:rPr>
          <w:rFonts w:eastAsia="Calibri"/>
        </w:rPr>
        <w:t xml:space="preserve">, we </w:t>
      </w:r>
      <w:r w:rsidRPr="00E520BA" w:rsidR="00D24ED0">
        <w:rPr>
          <w:rFonts w:eastAsia="Calibri"/>
        </w:rPr>
        <w:t xml:space="preserve">proposed to sample 500 </w:t>
      </w:r>
      <w:r w:rsidRPr="00E520BA" w:rsidR="00E23078">
        <w:rPr>
          <w:rFonts w:eastAsia="Calibri"/>
        </w:rPr>
        <w:t>students in each institution</w:t>
      </w:r>
      <w:r w:rsidRPr="00E520BA" w:rsidR="00D24ED0">
        <w:rPr>
          <w:rFonts w:eastAsia="Calibri"/>
        </w:rPr>
        <w:t xml:space="preserve"> </w:t>
      </w:r>
      <w:r w:rsidRPr="00E520BA" w:rsidR="00F419AA">
        <w:rPr>
          <w:rFonts w:eastAsia="Calibri"/>
        </w:rPr>
        <w:t xml:space="preserve">from </w:t>
      </w:r>
      <w:r w:rsidR="00794B1C">
        <w:rPr>
          <w:rFonts w:eastAsia="Calibri"/>
        </w:rPr>
        <w:t>each</w:t>
      </w:r>
      <w:r w:rsidRPr="00E520BA" w:rsidR="00F419AA">
        <w:rPr>
          <w:rFonts w:eastAsia="Calibri"/>
        </w:rPr>
        <w:t xml:space="preserve"> incoming cohort </w:t>
      </w:r>
      <w:r w:rsidRPr="00E520BA" w:rsidR="00D24ED0">
        <w:rPr>
          <w:rFonts w:eastAsia="Calibri"/>
        </w:rPr>
        <w:t>for follow-up</w:t>
      </w:r>
      <w:r w:rsidRPr="00E520BA" w:rsidR="00E23078">
        <w:rPr>
          <w:rFonts w:eastAsia="Calibri"/>
        </w:rPr>
        <w:t xml:space="preserve">.  </w:t>
      </w:r>
      <w:r w:rsidRPr="00E520BA" w:rsidR="00F419AA">
        <w:rPr>
          <w:rFonts w:eastAsia="Calibri"/>
        </w:rPr>
        <w:t>W</w:t>
      </w:r>
      <w:r w:rsidRPr="00E520BA" w:rsidR="00B82E77">
        <w:rPr>
          <w:rFonts w:eastAsia="Calibri"/>
        </w:rPr>
        <w:t xml:space="preserve">e </w:t>
      </w:r>
      <w:r w:rsidRPr="00E520BA" w:rsidR="00F419AA">
        <w:rPr>
          <w:rFonts w:eastAsia="Calibri"/>
        </w:rPr>
        <w:t xml:space="preserve">will also </w:t>
      </w:r>
      <w:r w:rsidRPr="00E520BA" w:rsidR="00B82E77">
        <w:rPr>
          <w:rFonts w:eastAsia="Calibri"/>
        </w:rPr>
        <w:t>sample 500 per year from each of these institutions in order to</w:t>
      </w:r>
      <w:r w:rsidRPr="00E520BA" w:rsidR="009E76B0">
        <w:rPr>
          <w:rFonts w:eastAsia="Calibri"/>
        </w:rPr>
        <w:t xml:space="preserve"> provide adequate sample sizes for subsequent cohorts </w:t>
      </w:r>
      <w:r w:rsidRPr="00E520BA" w:rsidR="00B82E77">
        <w:rPr>
          <w:rFonts w:eastAsia="Calibri"/>
        </w:rPr>
        <w:t xml:space="preserve">to </w:t>
      </w:r>
      <w:r w:rsidRPr="00E520BA" w:rsidR="009E76B0">
        <w:rPr>
          <w:rFonts w:eastAsia="Calibri"/>
        </w:rPr>
        <w:t>evaluate potential</w:t>
      </w:r>
      <w:r w:rsidRPr="00E520BA" w:rsidR="00B82E77">
        <w:rPr>
          <w:rFonts w:eastAsia="Calibri"/>
        </w:rPr>
        <w:t xml:space="preserve"> differences in </w:t>
      </w:r>
      <w:r w:rsidR="00E520BA">
        <w:rPr>
          <w:rFonts w:eastAsia="Calibri"/>
        </w:rPr>
        <w:t xml:space="preserve">shorter-term, </w:t>
      </w:r>
      <w:r w:rsidRPr="00E520BA" w:rsidR="00B82E77">
        <w:rPr>
          <w:rFonts w:eastAsia="Calibri"/>
        </w:rPr>
        <w:t xml:space="preserve">interim outcomes </w:t>
      </w:r>
      <w:r w:rsidRPr="00E520BA" w:rsidR="00B82E77">
        <w:t xml:space="preserve">(e.g., research self-efficacy, science identify, intent to pursue biomedical career) </w:t>
      </w:r>
      <w:r w:rsidRPr="00E520BA" w:rsidR="00B82E77">
        <w:rPr>
          <w:rFonts w:eastAsia="Calibri"/>
        </w:rPr>
        <w:t xml:space="preserve">for </w:t>
      </w:r>
      <w:r w:rsidRPr="00E520BA" w:rsidR="00F419AA">
        <w:rPr>
          <w:rFonts w:eastAsia="Calibri"/>
        </w:rPr>
        <w:t xml:space="preserve">these different cohorts </w:t>
      </w:r>
      <w:r w:rsidRPr="00E520BA" w:rsidR="009E76B0">
        <w:rPr>
          <w:rFonts w:eastAsia="Calibri"/>
        </w:rPr>
        <w:t xml:space="preserve">as each </w:t>
      </w:r>
      <w:r w:rsidRPr="00E520BA" w:rsidR="00F419AA">
        <w:rPr>
          <w:rFonts w:eastAsia="Calibri"/>
        </w:rPr>
        <w:t xml:space="preserve">is likely to </w:t>
      </w:r>
      <w:r w:rsidRPr="00E520BA" w:rsidR="009E76B0">
        <w:rPr>
          <w:rFonts w:eastAsia="Calibri"/>
        </w:rPr>
        <w:t xml:space="preserve">be exposed to somewhat different BUILD offerings as those </w:t>
      </w:r>
      <w:r w:rsidRPr="00E520BA" w:rsidR="00F419AA">
        <w:rPr>
          <w:rFonts w:eastAsia="Calibri"/>
        </w:rPr>
        <w:t>are</w:t>
      </w:r>
      <w:r w:rsidRPr="00E520BA" w:rsidR="009E76B0">
        <w:rPr>
          <w:rFonts w:eastAsia="Calibri"/>
        </w:rPr>
        <w:t xml:space="preserve"> modified over the funding period. </w:t>
      </w:r>
      <w:r w:rsidRPr="00E520BA" w:rsidR="00F419AA">
        <w:rPr>
          <w:rFonts w:eastAsia="Calibri"/>
        </w:rPr>
        <w:t xml:space="preserve"> B</w:t>
      </w:r>
      <w:r w:rsidRPr="00E520BA" w:rsidR="00B82E77">
        <w:rPr>
          <w:rFonts w:eastAsia="Calibri"/>
        </w:rPr>
        <w:t xml:space="preserve">y sampling 500/year from each institution, we </w:t>
      </w:r>
      <w:r w:rsidRPr="00E520BA" w:rsidR="00F419AA">
        <w:rPr>
          <w:rFonts w:eastAsia="Calibri"/>
        </w:rPr>
        <w:t xml:space="preserve">also </w:t>
      </w:r>
      <w:r w:rsidRPr="00E520BA" w:rsidR="00B82E77">
        <w:rPr>
          <w:rFonts w:eastAsia="Calibri"/>
        </w:rPr>
        <w:t xml:space="preserve">position the Diversity Program </w:t>
      </w:r>
      <w:r w:rsidR="00684A0D">
        <w:rPr>
          <w:rFonts w:eastAsia="Calibri"/>
        </w:rPr>
        <w:t xml:space="preserve">Consortium </w:t>
      </w:r>
      <w:r w:rsidRPr="00E520BA" w:rsidR="00B82E77">
        <w:rPr>
          <w:rFonts w:eastAsia="Calibri"/>
        </w:rPr>
        <w:t xml:space="preserve">to examine longer-term outcomes of these different cohorts (with their likely somewhat different exposures). </w:t>
      </w:r>
      <w:r w:rsidRPr="00E520BA" w:rsidR="00577E89">
        <w:rPr>
          <w:rFonts w:eastAsia="Calibri"/>
        </w:rPr>
        <w:t xml:space="preserve">Furthermore, the annual samples will allow us to examine longitudinal trends in our outcomes. </w:t>
      </w:r>
    </w:p>
    <w:p w:rsidRPr="00E520BA" w:rsidR="00B82E77" w:rsidP="00B760D3" w:rsidRDefault="00B82E77" w14:paraId="4295BD87" w14:textId="77777777">
      <w:pPr>
        <w:rPr>
          <w:rFonts w:eastAsia="Calibri"/>
        </w:rPr>
      </w:pPr>
    </w:p>
    <w:p w:rsidRPr="00E520BA" w:rsidR="00E9652D" w:rsidP="00B760D3" w:rsidRDefault="00557265" w14:paraId="0594A935" w14:textId="2FBDA0B4">
      <w:pPr>
        <w:rPr>
          <w:rFonts w:eastAsia="Calibri"/>
        </w:rPr>
      </w:pPr>
      <w:r w:rsidRPr="00E520BA">
        <w:rPr>
          <w:rFonts w:eastAsia="Calibri"/>
        </w:rPr>
        <w:t>This type of analysis will be used for any similar longitudinal change hypothesis with a continuous outcome and for any two groups, e.g</w:t>
      </w:r>
      <w:r w:rsidR="005E200B">
        <w:rPr>
          <w:rFonts w:eastAsia="Calibri"/>
        </w:rPr>
        <w:t>.</w:t>
      </w:r>
      <w:r w:rsidRPr="00E520BA">
        <w:rPr>
          <w:rFonts w:eastAsia="Calibri"/>
        </w:rPr>
        <w:t>, all BUILD students vs</w:t>
      </w:r>
      <w:r w:rsidRPr="00E520BA" w:rsidR="005C67C2">
        <w:rPr>
          <w:rFonts w:eastAsia="Calibri"/>
        </w:rPr>
        <w:t>.</w:t>
      </w:r>
      <w:r w:rsidRPr="00E520BA">
        <w:rPr>
          <w:rFonts w:eastAsia="Calibri"/>
        </w:rPr>
        <w:t xml:space="preserve"> non-BUILD students, or BUILD faculty vs</w:t>
      </w:r>
      <w:r w:rsidRPr="00E520BA" w:rsidR="005C67C2">
        <w:rPr>
          <w:rFonts w:eastAsia="Calibri"/>
        </w:rPr>
        <w:t>.</w:t>
      </w:r>
      <w:r w:rsidRPr="00E520BA">
        <w:rPr>
          <w:rFonts w:eastAsia="Calibri"/>
        </w:rPr>
        <w:t xml:space="preserve"> non-BUILD faculty, and so forth. </w:t>
      </w:r>
      <w:r w:rsidRPr="00E520BA" w:rsidR="00E23078">
        <w:rPr>
          <w:rFonts w:eastAsia="Calibri"/>
        </w:rPr>
        <w:t xml:space="preserve">In particular, we test the same </w:t>
      </w:r>
      <w:r w:rsidRPr="00E520BA" w:rsidR="00E23078">
        <w:rPr>
          <w:rFonts w:eastAsia="Calibri"/>
        </w:rPr>
        <w:lastRenderedPageBreak/>
        <w:t xml:space="preserve">hypothesis comparing all BUILD students vs. all non-BUILD students.  To account for the clustering effect (with institution being a cluster), we incorporate an intra-class correlation ranging from 0.001 to </w:t>
      </w:r>
      <w:r w:rsidRPr="00E520BA" w:rsidR="000D47F5">
        <w:rPr>
          <w:rFonts w:eastAsia="Calibri"/>
        </w:rPr>
        <w:t>0.04 (Adams</w:t>
      </w:r>
      <w:r w:rsidR="00BF3395">
        <w:rPr>
          <w:rFonts w:eastAsia="Calibri"/>
        </w:rPr>
        <w:t>,</w:t>
      </w:r>
      <w:r w:rsidRPr="00BF3395" w:rsidR="00BF3395">
        <w:rPr>
          <w:color w:val="000000"/>
        </w:rPr>
        <w:t xml:space="preserve"> </w:t>
      </w:r>
      <w:r w:rsidRPr="002C3642" w:rsidR="00BF3395">
        <w:rPr>
          <w:color w:val="000000"/>
        </w:rPr>
        <w:t xml:space="preserve">Gulliford, </w:t>
      </w:r>
      <w:proofErr w:type="spellStart"/>
      <w:r w:rsidRPr="002C3642" w:rsidR="00BF3395">
        <w:rPr>
          <w:color w:val="000000"/>
        </w:rPr>
        <w:t>Ukoumunne</w:t>
      </w:r>
      <w:proofErr w:type="spellEnd"/>
      <w:r w:rsidR="00BF3395">
        <w:rPr>
          <w:color w:val="000000"/>
        </w:rPr>
        <w:t>,</w:t>
      </w:r>
      <w:r w:rsidRPr="00E520BA" w:rsidR="000D47F5">
        <w:rPr>
          <w:rFonts w:eastAsia="Calibri"/>
        </w:rPr>
        <w:t xml:space="preserve"> et al., 2004).</w:t>
      </w:r>
      <w:r w:rsidR="000874D6">
        <w:rPr>
          <w:rStyle w:val="FootnoteReference"/>
          <w:rFonts w:eastAsia="Calibri"/>
        </w:rPr>
        <w:footnoteReference w:id="1"/>
      </w:r>
      <w:r w:rsidRPr="00E520BA" w:rsidR="000D47F5">
        <w:rPr>
          <w:rFonts w:eastAsia="Calibri"/>
        </w:rPr>
        <w:t xml:space="preserve">  The following table show</w:t>
      </w:r>
      <w:r w:rsidRPr="00E520BA" w:rsidR="00D1187E">
        <w:rPr>
          <w:rFonts w:eastAsia="Calibri"/>
        </w:rPr>
        <w:t xml:space="preserve">s </w:t>
      </w:r>
      <w:r w:rsidRPr="00E520BA" w:rsidR="000D47F5">
        <w:rPr>
          <w:rFonts w:eastAsia="Calibri"/>
        </w:rPr>
        <w:t>the power for a two-sided alternative and an effect si</w:t>
      </w:r>
      <w:r w:rsidRPr="00E520BA" w:rsidR="00D1187E">
        <w:rPr>
          <w:rFonts w:eastAsia="Calibri"/>
        </w:rPr>
        <w:t>z</w:t>
      </w:r>
      <w:r w:rsidRPr="00E520BA" w:rsidR="000D47F5">
        <w:rPr>
          <w:rFonts w:eastAsia="Calibri"/>
        </w:rPr>
        <w:t xml:space="preserve">e of 0.25.  </w:t>
      </w:r>
    </w:p>
    <w:p w:rsidRPr="00E520BA" w:rsidR="00B82E77" w:rsidP="00B760D3" w:rsidRDefault="00B82E77" w14:paraId="332BFC78" w14:textId="77777777">
      <w:pPr>
        <w:rPr>
          <w:rFonts w:eastAsia="Calibri"/>
        </w:rPr>
      </w:pPr>
    </w:p>
    <w:tbl>
      <w:tblPr>
        <w:tblStyle w:val="TableGrid"/>
        <w:tblW w:w="0" w:type="auto"/>
        <w:tblLook w:val="04A0" w:firstRow="1" w:lastRow="0" w:firstColumn="1" w:lastColumn="0" w:noHBand="0" w:noVBand="1"/>
      </w:tblPr>
      <w:tblGrid>
        <w:gridCol w:w="1257"/>
        <w:gridCol w:w="1002"/>
        <w:gridCol w:w="1002"/>
        <w:gridCol w:w="973"/>
        <w:gridCol w:w="973"/>
        <w:gridCol w:w="973"/>
        <w:gridCol w:w="3170"/>
      </w:tblGrid>
      <w:tr w:rsidRPr="00C01540" w:rsidR="000D47F5" w:rsidTr="00C01540" w14:paraId="73BAC8E3" w14:textId="77777777">
        <w:tc>
          <w:tcPr>
            <w:tcW w:w="1256" w:type="dxa"/>
          </w:tcPr>
          <w:p w:rsidRPr="00E520BA" w:rsidR="000D47F5" w:rsidP="00B760D3" w:rsidRDefault="000D47F5" w14:paraId="3981537F" w14:textId="77777777">
            <w:pPr>
              <w:rPr>
                <w:rFonts w:eastAsia="Calibri"/>
              </w:rPr>
            </w:pPr>
            <w:r w:rsidRPr="00E520BA">
              <w:rPr>
                <w:rFonts w:eastAsia="Calibri"/>
              </w:rPr>
              <w:t>Intra-class correlation</w:t>
            </w:r>
          </w:p>
        </w:tc>
        <w:tc>
          <w:tcPr>
            <w:tcW w:w="1079" w:type="dxa"/>
          </w:tcPr>
          <w:p w:rsidRPr="00E520BA" w:rsidR="000D47F5" w:rsidP="00B760D3" w:rsidRDefault="000D47F5" w14:paraId="316D090D" w14:textId="77777777">
            <w:pPr>
              <w:rPr>
                <w:rFonts w:eastAsia="Calibri"/>
              </w:rPr>
            </w:pPr>
            <w:r w:rsidRPr="00E520BA">
              <w:rPr>
                <w:rFonts w:eastAsia="Calibri"/>
              </w:rPr>
              <w:t>0.001</w:t>
            </w:r>
          </w:p>
        </w:tc>
        <w:tc>
          <w:tcPr>
            <w:tcW w:w="1079" w:type="dxa"/>
          </w:tcPr>
          <w:p w:rsidRPr="00E520BA" w:rsidR="000D47F5" w:rsidP="00B760D3" w:rsidRDefault="000D47F5" w14:paraId="3F01105D" w14:textId="77777777">
            <w:pPr>
              <w:rPr>
                <w:rFonts w:eastAsia="Calibri"/>
              </w:rPr>
            </w:pPr>
            <w:r w:rsidRPr="00E520BA">
              <w:rPr>
                <w:rFonts w:eastAsia="Calibri"/>
              </w:rPr>
              <w:t>0.005</w:t>
            </w:r>
          </w:p>
        </w:tc>
        <w:tc>
          <w:tcPr>
            <w:tcW w:w="1079" w:type="dxa"/>
          </w:tcPr>
          <w:p w:rsidRPr="00E520BA" w:rsidR="000D47F5" w:rsidP="00B760D3" w:rsidRDefault="000D47F5" w14:paraId="26DD950E" w14:textId="77777777">
            <w:pPr>
              <w:rPr>
                <w:rFonts w:eastAsia="Calibri"/>
              </w:rPr>
            </w:pPr>
            <w:r w:rsidRPr="00E520BA">
              <w:rPr>
                <w:rFonts w:eastAsia="Calibri"/>
              </w:rPr>
              <w:t>0.01</w:t>
            </w:r>
          </w:p>
        </w:tc>
        <w:tc>
          <w:tcPr>
            <w:tcW w:w="1079" w:type="dxa"/>
          </w:tcPr>
          <w:p w:rsidRPr="00E520BA" w:rsidR="000D47F5" w:rsidP="00B760D3" w:rsidRDefault="000D47F5" w14:paraId="1DAC08B0" w14:textId="77777777">
            <w:pPr>
              <w:rPr>
                <w:rFonts w:eastAsia="Calibri"/>
              </w:rPr>
            </w:pPr>
            <w:r w:rsidRPr="00E520BA">
              <w:rPr>
                <w:rFonts w:eastAsia="Calibri"/>
              </w:rPr>
              <w:t>0.02</w:t>
            </w:r>
          </w:p>
        </w:tc>
        <w:tc>
          <w:tcPr>
            <w:tcW w:w="1079" w:type="dxa"/>
          </w:tcPr>
          <w:p w:rsidRPr="00E520BA" w:rsidR="000D47F5" w:rsidP="00B760D3" w:rsidRDefault="000D47F5" w14:paraId="6BD6102B" w14:textId="77777777">
            <w:pPr>
              <w:rPr>
                <w:rFonts w:eastAsia="Calibri"/>
              </w:rPr>
            </w:pPr>
            <w:r w:rsidRPr="00E520BA">
              <w:rPr>
                <w:rFonts w:eastAsia="Calibri"/>
              </w:rPr>
              <w:t>0.03</w:t>
            </w:r>
          </w:p>
        </w:tc>
        <w:tc>
          <w:tcPr>
            <w:tcW w:w="3964" w:type="dxa"/>
          </w:tcPr>
          <w:p w:rsidRPr="00C01540" w:rsidR="000D47F5" w:rsidP="00B760D3" w:rsidRDefault="000D47F5" w14:paraId="0E371F5C" w14:textId="77777777">
            <w:pPr>
              <w:rPr>
                <w:rFonts w:eastAsia="Calibri"/>
              </w:rPr>
            </w:pPr>
            <w:r w:rsidRPr="00E520BA">
              <w:rPr>
                <w:rFonts w:eastAsia="Calibri"/>
              </w:rPr>
              <w:t>0.04</w:t>
            </w:r>
          </w:p>
        </w:tc>
      </w:tr>
      <w:tr w:rsidRPr="00C01540" w:rsidR="000D47F5" w:rsidTr="00C01540" w14:paraId="4BA67ACE" w14:textId="77777777">
        <w:tc>
          <w:tcPr>
            <w:tcW w:w="1256" w:type="dxa"/>
          </w:tcPr>
          <w:p w:rsidRPr="00C01540" w:rsidR="000D47F5" w:rsidP="00B760D3" w:rsidRDefault="000D47F5" w14:paraId="5FB99CB5" w14:textId="77777777">
            <w:pPr>
              <w:rPr>
                <w:rFonts w:eastAsia="Calibri"/>
              </w:rPr>
            </w:pPr>
            <w:r w:rsidRPr="00C01540">
              <w:rPr>
                <w:rFonts w:eastAsia="Calibri"/>
              </w:rPr>
              <w:t>Power</w:t>
            </w:r>
          </w:p>
        </w:tc>
        <w:tc>
          <w:tcPr>
            <w:tcW w:w="1079" w:type="dxa"/>
          </w:tcPr>
          <w:p w:rsidRPr="00C01540" w:rsidR="000D47F5" w:rsidP="00B760D3" w:rsidRDefault="000D47F5" w14:paraId="6EBDA97D" w14:textId="77777777">
            <w:pPr>
              <w:rPr>
                <w:rFonts w:eastAsia="Calibri"/>
              </w:rPr>
            </w:pPr>
            <w:r w:rsidRPr="00C01540">
              <w:rPr>
                <w:rFonts w:eastAsia="Calibri"/>
              </w:rPr>
              <w:t>1.00</w:t>
            </w:r>
          </w:p>
        </w:tc>
        <w:tc>
          <w:tcPr>
            <w:tcW w:w="1079" w:type="dxa"/>
          </w:tcPr>
          <w:p w:rsidRPr="00C01540" w:rsidR="000D47F5" w:rsidP="00B760D3" w:rsidRDefault="000D47F5" w14:paraId="7D1C032A" w14:textId="77777777">
            <w:pPr>
              <w:rPr>
                <w:rFonts w:eastAsia="Calibri"/>
              </w:rPr>
            </w:pPr>
            <w:r w:rsidRPr="00C01540">
              <w:rPr>
                <w:rFonts w:eastAsia="Calibri"/>
              </w:rPr>
              <w:t>1.00</w:t>
            </w:r>
          </w:p>
        </w:tc>
        <w:tc>
          <w:tcPr>
            <w:tcW w:w="1079" w:type="dxa"/>
          </w:tcPr>
          <w:p w:rsidRPr="00C01540" w:rsidR="000D47F5" w:rsidP="00B760D3" w:rsidRDefault="000D47F5" w14:paraId="36B24BAF" w14:textId="77777777">
            <w:pPr>
              <w:rPr>
                <w:rFonts w:eastAsia="Calibri"/>
              </w:rPr>
            </w:pPr>
            <w:r w:rsidRPr="00C01540">
              <w:rPr>
                <w:rFonts w:eastAsia="Calibri"/>
              </w:rPr>
              <w:t>1.00</w:t>
            </w:r>
          </w:p>
        </w:tc>
        <w:tc>
          <w:tcPr>
            <w:tcW w:w="1079" w:type="dxa"/>
          </w:tcPr>
          <w:p w:rsidRPr="00C01540" w:rsidR="000D47F5" w:rsidP="000D47F5" w:rsidRDefault="000D47F5" w14:paraId="710E41ED" w14:textId="77777777">
            <w:pPr>
              <w:rPr>
                <w:rFonts w:eastAsia="Calibri"/>
              </w:rPr>
            </w:pPr>
            <w:r w:rsidRPr="00C01540">
              <w:rPr>
                <w:rFonts w:eastAsia="Calibri"/>
              </w:rPr>
              <w:t>0.95</w:t>
            </w:r>
          </w:p>
        </w:tc>
        <w:tc>
          <w:tcPr>
            <w:tcW w:w="1079" w:type="dxa"/>
          </w:tcPr>
          <w:p w:rsidRPr="00C01540" w:rsidR="000D47F5" w:rsidP="00B760D3" w:rsidRDefault="000D47F5" w14:paraId="4B041AA2" w14:textId="77777777">
            <w:pPr>
              <w:rPr>
                <w:rFonts w:eastAsia="Calibri"/>
              </w:rPr>
            </w:pPr>
            <w:r w:rsidRPr="00C01540">
              <w:rPr>
                <w:rFonts w:eastAsia="Calibri"/>
              </w:rPr>
              <w:t>0.86</w:t>
            </w:r>
          </w:p>
        </w:tc>
        <w:tc>
          <w:tcPr>
            <w:tcW w:w="3964" w:type="dxa"/>
          </w:tcPr>
          <w:p w:rsidRPr="00C01540" w:rsidR="000D47F5" w:rsidP="00B760D3" w:rsidRDefault="000D47F5" w14:paraId="777E844D" w14:textId="77777777">
            <w:pPr>
              <w:rPr>
                <w:rFonts w:eastAsia="Calibri"/>
              </w:rPr>
            </w:pPr>
            <w:r w:rsidRPr="00C01540">
              <w:rPr>
                <w:rFonts w:eastAsia="Calibri"/>
              </w:rPr>
              <w:t>0.76</w:t>
            </w:r>
          </w:p>
        </w:tc>
      </w:tr>
    </w:tbl>
    <w:p w:rsidRPr="00C01540" w:rsidR="00E23078" w:rsidP="00B760D3" w:rsidRDefault="00E23078" w14:paraId="4CC1FBFD" w14:textId="77777777">
      <w:pPr>
        <w:rPr>
          <w:rFonts w:eastAsia="Calibri"/>
        </w:rPr>
      </w:pPr>
    </w:p>
    <w:p w:rsidRPr="00C01540" w:rsidR="000D47F5" w:rsidP="00B760D3" w:rsidRDefault="0022417D" w14:paraId="48ECF9DE" w14:textId="26492A38">
      <w:pPr>
        <w:rPr>
          <w:rFonts w:eastAsia="Calibri"/>
        </w:rPr>
      </w:pPr>
      <w:r w:rsidRPr="00C01540">
        <w:rPr>
          <w:rFonts w:eastAsia="Calibri"/>
        </w:rPr>
        <w:t>Thus,</w:t>
      </w:r>
      <w:r w:rsidRPr="00C01540" w:rsidR="000D47F5">
        <w:rPr>
          <w:rFonts w:eastAsia="Calibri"/>
        </w:rPr>
        <w:t xml:space="preserve"> the power is at least 0.76 for all scenarios, and is near or equal to 1.0 for most scenarios.  The power figures for higher effect si</w:t>
      </w:r>
      <w:r w:rsidRPr="00C01540" w:rsidR="00247826">
        <w:rPr>
          <w:rFonts w:eastAsia="Calibri"/>
        </w:rPr>
        <w:t>z</w:t>
      </w:r>
      <w:r w:rsidRPr="00C01540" w:rsidR="000D47F5">
        <w:rPr>
          <w:rFonts w:eastAsia="Calibri"/>
        </w:rPr>
        <w:t xml:space="preserve">es of 0.5 and 0.8 are all equal to 1.00.  </w:t>
      </w:r>
    </w:p>
    <w:p w:rsidRPr="00C01540" w:rsidR="00A0623E" w:rsidP="00B760D3" w:rsidRDefault="00A0623E" w14:paraId="463A9523" w14:textId="77777777">
      <w:pPr>
        <w:rPr>
          <w:rFonts w:eastAsia="Calibri"/>
        </w:rPr>
      </w:pPr>
    </w:p>
    <w:p w:rsidRPr="00C01540" w:rsidR="00A0623E" w:rsidP="00B760D3" w:rsidRDefault="000727FF" w14:paraId="5078313C" w14:textId="77777777">
      <w:pPr>
        <w:rPr>
          <w:rFonts w:eastAsia="Calibri"/>
        </w:rPr>
      </w:pPr>
      <w:r w:rsidRPr="00C01540">
        <w:rPr>
          <w:rFonts w:eastAsia="Calibri"/>
        </w:rPr>
        <w:t xml:space="preserve">Another hypothesis to be tested relates to entry into the biomedical fields. Specifically, </w:t>
      </w:r>
    </w:p>
    <w:p w:rsidRPr="00C01540" w:rsidR="000727FF" w:rsidP="00B760D3" w:rsidRDefault="000727FF" w14:paraId="2E05BC9D" w14:textId="77777777">
      <w:pPr>
        <w:rPr>
          <w:rFonts w:eastAsia="Calibri"/>
        </w:rPr>
      </w:pPr>
    </w:p>
    <w:p w:rsidRPr="00C01540" w:rsidR="000727FF" w:rsidP="000727FF" w:rsidRDefault="000727FF" w14:paraId="2D21A981" w14:textId="77777777">
      <w:pPr>
        <w:widowControl w:val="0"/>
        <w:rPr>
          <w:rFonts w:eastAsia="Arial"/>
        </w:rPr>
      </w:pPr>
      <w:r w:rsidRPr="00C01540">
        <w:rPr>
          <w:rFonts w:eastAsia="Calibri"/>
          <w:b/>
          <w:i/>
          <w:spacing w:val="-1"/>
        </w:rPr>
        <w:t>H2</w:t>
      </w:r>
      <w:r w:rsidRPr="00C01540">
        <w:rPr>
          <w:rFonts w:eastAsia="Calibri"/>
          <w:i/>
          <w:spacing w:val="-1"/>
        </w:rPr>
        <w:t>:</w:t>
      </w:r>
      <w:r w:rsidRPr="00C01540">
        <w:rPr>
          <w:rFonts w:eastAsia="Calibri"/>
          <w:i/>
          <w:spacing w:val="-7"/>
        </w:rPr>
        <w:t xml:space="preserve"> </w:t>
      </w:r>
      <w:r w:rsidRPr="00C01540">
        <w:rPr>
          <w:rFonts w:eastAsia="Calibri"/>
          <w:i/>
        </w:rPr>
        <w:t>The</w:t>
      </w:r>
      <w:r w:rsidRPr="00C01540">
        <w:rPr>
          <w:rFonts w:eastAsia="Calibri"/>
          <w:i/>
          <w:spacing w:val="-6"/>
        </w:rPr>
        <w:t xml:space="preserve"> </w:t>
      </w:r>
      <w:r w:rsidRPr="00C01540">
        <w:rPr>
          <w:rFonts w:eastAsia="Calibri"/>
          <w:i/>
        </w:rPr>
        <w:t>proportion</w:t>
      </w:r>
      <w:r w:rsidRPr="00C01540">
        <w:rPr>
          <w:rFonts w:eastAsia="Calibri"/>
          <w:i/>
          <w:spacing w:val="-6"/>
        </w:rPr>
        <w:t xml:space="preserve"> </w:t>
      </w:r>
      <w:r w:rsidRPr="00C01540">
        <w:rPr>
          <w:rFonts w:eastAsia="Calibri"/>
          <w:i/>
        </w:rPr>
        <w:t>of</w:t>
      </w:r>
      <w:r w:rsidRPr="00C01540">
        <w:rPr>
          <w:rFonts w:eastAsia="Calibri"/>
          <w:i/>
          <w:spacing w:val="-6"/>
        </w:rPr>
        <w:t xml:space="preserve"> </w:t>
      </w:r>
      <w:r w:rsidRPr="00C01540">
        <w:rPr>
          <w:rFonts w:eastAsia="Calibri"/>
          <w:i/>
        </w:rPr>
        <w:t>students</w:t>
      </w:r>
      <w:r w:rsidRPr="00C01540">
        <w:rPr>
          <w:rFonts w:eastAsia="Calibri"/>
          <w:i/>
          <w:spacing w:val="-6"/>
        </w:rPr>
        <w:t xml:space="preserve"> </w:t>
      </w:r>
      <w:r w:rsidRPr="00C01540">
        <w:rPr>
          <w:rFonts w:eastAsia="Calibri"/>
          <w:i/>
        </w:rPr>
        <w:t>in</w:t>
      </w:r>
      <w:r w:rsidRPr="00C01540">
        <w:rPr>
          <w:rFonts w:eastAsia="Calibri"/>
          <w:i/>
          <w:spacing w:val="-6"/>
        </w:rPr>
        <w:t xml:space="preserve"> </w:t>
      </w:r>
      <w:r w:rsidRPr="00C01540">
        <w:rPr>
          <w:rFonts w:eastAsia="Calibri"/>
          <w:i/>
          <w:spacing w:val="-1"/>
        </w:rPr>
        <w:t>BUILD</w:t>
      </w:r>
      <w:r w:rsidRPr="00C01540">
        <w:rPr>
          <w:rFonts w:eastAsia="Calibri"/>
          <w:i/>
          <w:spacing w:val="-7"/>
        </w:rPr>
        <w:t xml:space="preserve"> </w:t>
      </w:r>
      <w:r w:rsidRPr="00C01540">
        <w:rPr>
          <w:rFonts w:eastAsia="Calibri"/>
          <w:i/>
        </w:rPr>
        <w:t>institutions</w:t>
      </w:r>
      <w:r w:rsidRPr="00C01540">
        <w:rPr>
          <w:rFonts w:eastAsia="Calibri"/>
          <w:i/>
          <w:spacing w:val="-6"/>
        </w:rPr>
        <w:t xml:space="preserve"> </w:t>
      </w:r>
      <w:r w:rsidRPr="00C01540">
        <w:rPr>
          <w:rFonts w:eastAsia="Calibri"/>
          <w:i/>
        </w:rPr>
        <w:t>who</w:t>
      </w:r>
      <w:r w:rsidRPr="00C01540">
        <w:rPr>
          <w:rFonts w:eastAsia="Calibri"/>
          <w:i/>
          <w:spacing w:val="-6"/>
        </w:rPr>
        <w:t xml:space="preserve"> </w:t>
      </w:r>
      <w:r w:rsidRPr="00C01540">
        <w:rPr>
          <w:rFonts w:eastAsia="Calibri"/>
          <w:i/>
        </w:rPr>
        <w:t>graduate with an undergraduate degree in a biomedical science discipline will</w:t>
      </w:r>
      <w:r w:rsidRPr="00C01540">
        <w:rPr>
          <w:rFonts w:eastAsia="Calibri"/>
          <w:i/>
          <w:spacing w:val="-8"/>
        </w:rPr>
        <w:t xml:space="preserve"> </w:t>
      </w:r>
      <w:r w:rsidRPr="00C01540">
        <w:rPr>
          <w:rFonts w:eastAsia="Calibri"/>
          <w:i/>
        </w:rPr>
        <w:t>be</w:t>
      </w:r>
      <w:r w:rsidRPr="00C01540">
        <w:rPr>
          <w:rFonts w:eastAsia="Calibri"/>
          <w:i/>
          <w:spacing w:val="-8"/>
        </w:rPr>
        <w:t xml:space="preserve"> </w:t>
      </w:r>
      <w:r w:rsidRPr="00C01540">
        <w:rPr>
          <w:rFonts w:eastAsia="Calibri"/>
          <w:i/>
        </w:rPr>
        <w:t>higher</w:t>
      </w:r>
      <w:r w:rsidRPr="00C01540">
        <w:rPr>
          <w:rFonts w:eastAsia="Calibri"/>
          <w:i/>
          <w:spacing w:val="-8"/>
        </w:rPr>
        <w:t xml:space="preserve"> </w:t>
      </w:r>
      <w:r w:rsidRPr="00C01540">
        <w:rPr>
          <w:rFonts w:eastAsia="Calibri"/>
          <w:i/>
        </w:rPr>
        <w:t>than</w:t>
      </w:r>
      <w:r w:rsidRPr="00C01540">
        <w:rPr>
          <w:rFonts w:eastAsia="Calibri"/>
          <w:i/>
          <w:spacing w:val="-7"/>
        </w:rPr>
        <w:t xml:space="preserve"> </w:t>
      </w:r>
      <w:r w:rsidRPr="00C01540">
        <w:rPr>
          <w:rFonts w:eastAsia="Calibri"/>
          <w:i/>
          <w:spacing w:val="-1"/>
        </w:rPr>
        <w:t>the proportion</w:t>
      </w:r>
      <w:r w:rsidR="002C3642">
        <w:rPr>
          <w:rFonts w:eastAsia="Calibri"/>
          <w:i/>
          <w:spacing w:val="-1"/>
        </w:rPr>
        <w:t xml:space="preserve"> </w:t>
      </w:r>
      <w:r w:rsidRPr="00C01540">
        <w:rPr>
          <w:rFonts w:eastAsia="Calibri"/>
          <w:i/>
        </w:rPr>
        <w:t>in</w:t>
      </w:r>
      <w:r w:rsidRPr="00C01540">
        <w:rPr>
          <w:rFonts w:eastAsia="Calibri"/>
          <w:i/>
          <w:spacing w:val="-8"/>
        </w:rPr>
        <w:t xml:space="preserve"> </w:t>
      </w:r>
      <w:r w:rsidRPr="00C01540">
        <w:rPr>
          <w:rFonts w:eastAsia="Calibri"/>
          <w:i/>
        </w:rPr>
        <w:t>otherwise</w:t>
      </w:r>
      <w:r w:rsidRPr="00C01540">
        <w:rPr>
          <w:rFonts w:eastAsia="Calibri"/>
          <w:i/>
          <w:spacing w:val="-7"/>
        </w:rPr>
        <w:t xml:space="preserve"> </w:t>
      </w:r>
      <w:r w:rsidRPr="00C01540">
        <w:rPr>
          <w:rFonts w:eastAsia="Calibri"/>
          <w:i/>
          <w:spacing w:val="-1"/>
        </w:rPr>
        <w:t>similar</w:t>
      </w:r>
      <w:r w:rsidRPr="00C01540">
        <w:rPr>
          <w:rFonts w:eastAsia="Calibri"/>
          <w:i/>
          <w:spacing w:val="-8"/>
        </w:rPr>
        <w:t xml:space="preserve"> </w:t>
      </w:r>
      <w:r w:rsidRPr="00C01540">
        <w:rPr>
          <w:rFonts w:eastAsia="Calibri"/>
          <w:i/>
          <w:spacing w:val="2"/>
        </w:rPr>
        <w:t>non-</w:t>
      </w:r>
      <w:r w:rsidRPr="00C01540">
        <w:rPr>
          <w:rFonts w:eastAsia="Calibri"/>
          <w:i/>
        </w:rPr>
        <w:t>BUILD</w:t>
      </w:r>
      <w:r w:rsidRPr="00C01540">
        <w:rPr>
          <w:rFonts w:eastAsia="Calibri"/>
          <w:i/>
          <w:spacing w:val="-19"/>
        </w:rPr>
        <w:t xml:space="preserve"> </w:t>
      </w:r>
      <w:r w:rsidRPr="00C01540">
        <w:rPr>
          <w:rFonts w:eastAsia="Calibri"/>
          <w:i/>
        </w:rPr>
        <w:t>institutions</w:t>
      </w:r>
      <w:r w:rsidRPr="00C01540">
        <w:rPr>
          <w:rFonts w:eastAsia="Calibri"/>
        </w:rPr>
        <w:t>.</w:t>
      </w:r>
    </w:p>
    <w:p w:rsidRPr="00C01540" w:rsidR="000727FF" w:rsidP="00B760D3" w:rsidRDefault="000727FF" w14:paraId="7F7084DD" w14:textId="77777777">
      <w:pPr>
        <w:rPr>
          <w:rFonts w:eastAsia="Calibri"/>
        </w:rPr>
      </w:pPr>
    </w:p>
    <w:p w:rsidRPr="00C01540" w:rsidR="00E23078" w:rsidP="00B760D3" w:rsidRDefault="000727FF" w14:paraId="1AA60BAC" w14:textId="77777777">
      <w:pPr>
        <w:rPr>
          <w:rFonts w:eastAsia="Calibri"/>
        </w:rPr>
      </w:pPr>
      <w:r w:rsidRPr="00C01540">
        <w:rPr>
          <w:rFonts w:eastAsia="Calibri"/>
        </w:rPr>
        <w:t>The analysis to test this hypothesis will also be a generalized linear mixed model, but with a binary outcome. The selection of the model and the included covariates will follow the same lines as described for H1.</w:t>
      </w:r>
    </w:p>
    <w:p w:rsidR="002C3642" w:rsidP="00395E54" w:rsidRDefault="002C3642" w14:paraId="6F1A82D9" w14:textId="77777777">
      <w:pPr>
        <w:pStyle w:val="NoSpacing"/>
        <w:rPr>
          <w:rFonts w:ascii="Times New Roman" w:hAnsi="Times New Roman" w:cs="Times New Roman"/>
          <w:sz w:val="24"/>
          <w:szCs w:val="24"/>
        </w:rPr>
      </w:pPr>
    </w:p>
    <w:p w:rsidRPr="0081301A" w:rsidR="002C3642" w:rsidP="00395E54" w:rsidRDefault="002C3642" w14:paraId="671AB5F7" w14:textId="60B1A278">
      <w:pPr>
        <w:pStyle w:val="NoSpacing"/>
        <w:rPr>
          <w:rFonts w:ascii="Times New Roman" w:hAnsi="Times New Roman" w:cs="Times New Roman"/>
          <w:b/>
          <w:sz w:val="24"/>
          <w:szCs w:val="24"/>
          <w:u w:val="single"/>
        </w:rPr>
      </w:pPr>
      <w:r w:rsidRPr="0081301A">
        <w:rPr>
          <w:rFonts w:ascii="Times New Roman" w:hAnsi="Times New Roman" w:cs="Times New Roman"/>
          <w:b/>
          <w:sz w:val="24"/>
          <w:szCs w:val="24"/>
          <w:u w:val="single"/>
        </w:rPr>
        <w:t xml:space="preserve">BUILD Faculty &amp; NRMN faculty/mentors   </w:t>
      </w:r>
    </w:p>
    <w:p w:rsidRPr="0081301A" w:rsidR="002C3642" w:rsidP="00395E54" w:rsidRDefault="002C3642" w14:paraId="06C3BDBE" w14:textId="77777777">
      <w:pPr>
        <w:pStyle w:val="NoSpacing"/>
        <w:rPr>
          <w:rFonts w:ascii="Times New Roman" w:hAnsi="Times New Roman" w:cs="Times New Roman"/>
          <w:sz w:val="24"/>
          <w:szCs w:val="24"/>
        </w:rPr>
      </w:pPr>
    </w:p>
    <w:p w:rsidRPr="0081301A" w:rsidR="00395E54" w:rsidP="00395E54" w:rsidRDefault="00E62522" w14:paraId="1E52E2EA" w14:textId="59FD7FB2">
      <w:pPr>
        <w:pStyle w:val="NoSpacing"/>
        <w:rPr>
          <w:rFonts w:ascii="Times New Roman" w:hAnsi="Times New Roman" w:cs="Times New Roman"/>
          <w:sz w:val="24"/>
          <w:szCs w:val="24"/>
        </w:rPr>
      </w:pPr>
      <w:r>
        <w:rPr>
          <w:rFonts w:ascii="Times New Roman" w:hAnsi="Times New Roman" w:cs="Times New Roman"/>
          <w:sz w:val="24"/>
          <w:szCs w:val="24"/>
        </w:rPr>
        <w:t>For the analysis, we will use</w:t>
      </w:r>
      <w:r w:rsidRPr="0081301A" w:rsidR="00395E54">
        <w:rPr>
          <w:rFonts w:ascii="Times New Roman" w:hAnsi="Times New Roman" w:cs="Times New Roman"/>
          <w:sz w:val="24"/>
          <w:szCs w:val="24"/>
        </w:rPr>
        <w:t xml:space="preserve"> the </w:t>
      </w:r>
      <w:r w:rsidRPr="00E62522" w:rsidR="00395E54">
        <w:rPr>
          <w:rFonts w:ascii="Times New Roman" w:hAnsi="Times New Roman" w:cs="Times New Roman"/>
          <w:i/>
          <w:sz w:val="24"/>
          <w:szCs w:val="24"/>
        </w:rPr>
        <w:t xml:space="preserve">Mentoring Competency </w:t>
      </w:r>
      <w:r w:rsidRPr="00E62522" w:rsidR="005E200B">
        <w:rPr>
          <w:rFonts w:ascii="Times New Roman" w:hAnsi="Times New Roman" w:cs="Times New Roman"/>
          <w:i/>
          <w:sz w:val="24"/>
          <w:szCs w:val="24"/>
        </w:rPr>
        <w:t>Assessment</w:t>
      </w:r>
      <w:r w:rsidR="005E200B">
        <w:rPr>
          <w:rFonts w:ascii="Times New Roman" w:hAnsi="Times New Roman" w:cs="Times New Roman"/>
          <w:sz w:val="24"/>
          <w:szCs w:val="24"/>
        </w:rPr>
        <w:t xml:space="preserve"> scale pre- and post-</w:t>
      </w:r>
      <w:r w:rsidRPr="0081301A" w:rsidR="00395E54">
        <w:rPr>
          <w:rFonts w:ascii="Times New Roman" w:hAnsi="Times New Roman" w:cs="Times New Roman"/>
          <w:sz w:val="24"/>
          <w:szCs w:val="24"/>
        </w:rPr>
        <w:t>training</w:t>
      </w:r>
      <w:r w:rsidR="000874D6">
        <w:rPr>
          <w:rStyle w:val="FootnoteReference"/>
          <w:rFonts w:ascii="Times New Roman" w:hAnsi="Times New Roman" w:cs="Times New Roman"/>
          <w:sz w:val="24"/>
          <w:szCs w:val="24"/>
        </w:rPr>
        <w:footnoteReference w:id="2"/>
      </w:r>
      <w:r w:rsidR="000874D6">
        <w:rPr>
          <w:rFonts w:ascii="Times New Roman" w:hAnsi="Times New Roman" w:cs="Times New Roman"/>
          <w:sz w:val="24"/>
          <w:szCs w:val="24"/>
        </w:rPr>
        <w:t xml:space="preserve"> </w:t>
      </w:r>
      <w:r>
        <w:rPr>
          <w:rFonts w:ascii="Times New Roman" w:hAnsi="Times New Roman" w:cs="Times New Roman"/>
          <w:sz w:val="24"/>
          <w:szCs w:val="24"/>
        </w:rPr>
        <w:t>to</w:t>
      </w:r>
      <w:r w:rsidRPr="0081301A" w:rsidR="00395E54">
        <w:rPr>
          <w:rFonts w:ascii="Times New Roman" w:hAnsi="Times New Roman" w:cs="Times New Roman"/>
          <w:sz w:val="24"/>
          <w:szCs w:val="24"/>
        </w:rPr>
        <w:t xml:space="preserve"> test the hypothesis:</w:t>
      </w:r>
    </w:p>
    <w:p w:rsidRPr="0081301A" w:rsidR="00395E54" w:rsidP="00395E54" w:rsidRDefault="00395E54" w14:paraId="6CD7EA05" w14:textId="77777777">
      <w:pPr>
        <w:pStyle w:val="NoSpacing"/>
        <w:rPr>
          <w:rFonts w:ascii="Times New Roman" w:hAnsi="Times New Roman" w:cs="Times New Roman"/>
          <w:sz w:val="24"/>
          <w:szCs w:val="24"/>
        </w:rPr>
      </w:pPr>
    </w:p>
    <w:p w:rsidRPr="0081301A" w:rsidR="00395E54" w:rsidP="00395E54" w:rsidRDefault="00395E54" w14:paraId="3239B8CE" w14:textId="77777777">
      <w:pPr>
        <w:pStyle w:val="NoSpacing"/>
        <w:rPr>
          <w:rFonts w:ascii="Times New Roman" w:hAnsi="Times New Roman" w:cs="Times New Roman"/>
          <w:sz w:val="24"/>
          <w:szCs w:val="24"/>
        </w:rPr>
      </w:pPr>
      <w:r w:rsidRPr="0081301A">
        <w:rPr>
          <w:rFonts w:ascii="Times New Roman" w:hAnsi="Times New Roman" w:cs="Times New Roman"/>
          <w:b/>
          <w:sz w:val="24"/>
          <w:szCs w:val="24"/>
        </w:rPr>
        <w:t>H</w:t>
      </w:r>
      <w:r w:rsidRPr="0081301A" w:rsidR="002C3642">
        <w:rPr>
          <w:rFonts w:ascii="Times New Roman" w:hAnsi="Times New Roman" w:cs="Times New Roman"/>
          <w:b/>
          <w:sz w:val="24"/>
          <w:szCs w:val="24"/>
        </w:rPr>
        <w:t>3</w:t>
      </w:r>
      <w:r w:rsidRPr="0081301A">
        <w:rPr>
          <w:rFonts w:ascii="Times New Roman" w:hAnsi="Times New Roman" w:cs="Times New Roman"/>
          <w:b/>
          <w:sz w:val="24"/>
          <w:szCs w:val="24"/>
        </w:rPr>
        <w:t>:</w:t>
      </w:r>
      <w:r w:rsidRPr="0081301A">
        <w:rPr>
          <w:rFonts w:ascii="Times New Roman" w:hAnsi="Times New Roman" w:cs="Times New Roman"/>
          <w:sz w:val="24"/>
          <w:szCs w:val="24"/>
        </w:rPr>
        <w:t xml:space="preserve"> </w:t>
      </w:r>
      <w:r w:rsidRPr="0081301A">
        <w:rPr>
          <w:rFonts w:ascii="Times New Roman" w:hAnsi="Times New Roman" w:cs="Times New Roman"/>
          <w:i/>
          <w:sz w:val="24"/>
          <w:szCs w:val="24"/>
        </w:rPr>
        <w:t>The mean change of post – pre score is greater in the NRMN-trained group than in the control group</w:t>
      </w:r>
      <w:r w:rsidRPr="0081301A">
        <w:rPr>
          <w:rFonts w:ascii="Times New Roman" w:hAnsi="Times New Roman" w:cs="Times New Roman"/>
          <w:sz w:val="24"/>
          <w:szCs w:val="24"/>
        </w:rPr>
        <w:t>.</w:t>
      </w:r>
    </w:p>
    <w:p w:rsidRPr="0081301A" w:rsidR="00395E54" w:rsidP="00395E54" w:rsidRDefault="00395E54" w14:paraId="6B737B65" w14:textId="77777777">
      <w:pPr>
        <w:pStyle w:val="NoSpacing"/>
        <w:rPr>
          <w:rFonts w:ascii="Times New Roman" w:hAnsi="Times New Roman" w:cs="Times New Roman"/>
          <w:sz w:val="24"/>
          <w:szCs w:val="24"/>
        </w:rPr>
      </w:pPr>
    </w:p>
    <w:p w:rsidRPr="0081301A" w:rsidR="00395E54" w:rsidP="00395E54" w:rsidRDefault="00395E54" w14:paraId="4851B33F" w14:textId="48A7F808">
      <w:pPr>
        <w:pStyle w:val="NoSpacing"/>
        <w:rPr>
          <w:rFonts w:ascii="Times New Roman" w:hAnsi="Times New Roman" w:cs="Times New Roman"/>
          <w:sz w:val="24"/>
          <w:szCs w:val="24"/>
        </w:rPr>
      </w:pPr>
      <w:r w:rsidRPr="0081301A">
        <w:rPr>
          <w:rFonts w:ascii="Times New Roman" w:hAnsi="Times New Roman" w:cs="Times New Roman"/>
          <w:sz w:val="24"/>
          <w:szCs w:val="24"/>
        </w:rPr>
        <w:t xml:space="preserve">The analysis will follow the same approach described </w:t>
      </w:r>
      <w:r w:rsidRPr="0081301A" w:rsidR="006F1B10">
        <w:rPr>
          <w:rFonts w:ascii="Times New Roman" w:hAnsi="Times New Roman" w:cs="Times New Roman"/>
          <w:sz w:val="24"/>
          <w:szCs w:val="24"/>
        </w:rPr>
        <w:t>for hypothes</w:t>
      </w:r>
      <w:r w:rsidRPr="0081301A" w:rsidR="002C3642">
        <w:rPr>
          <w:rFonts w:ascii="Times New Roman" w:hAnsi="Times New Roman" w:cs="Times New Roman"/>
          <w:sz w:val="24"/>
          <w:szCs w:val="24"/>
        </w:rPr>
        <w:t>e</w:t>
      </w:r>
      <w:r w:rsidRPr="0081301A" w:rsidR="006F1B10">
        <w:rPr>
          <w:rFonts w:ascii="Times New Roman" w:hAnsi="Times New Roman" w:cs="Times New Roman"/>
          <w:sz w:val="24"/>
          <w:szCs w:val="24"/>
        </w:rPr>
        <w:t>s H</w:t>
      </w:r>
      <w:r w:rsidRPr="0081301A" w:rsidR="000D47F5">
        <w:rPr>
          <w:rFonts w:ascii="Times New Roman" w:hAnsi="Times New Roman" w:cs="Times New Roman"/>
          <w:sz w:val="24"/>
          <w:szCs w:val="24"/>
        </w:rPr>
        <w:t>1</w:t>
      </w:r>
      <w:r w:rsidRPr="0081301A" w:rsidR="002C3642">
        <w:rPr>
          <w:rFonts w:ascii="Times New Roman" w:hAnsi="Times New Roman" w:cs="Times New Roman"/>
          <w:sz w:val="24"/>
          <w:szCs w:val="24"/>
        </w:rPr>
        <w:t xml:space="preserve"> &amp; H2</w:t>
      </w:r>
      <w:r w:rsidRPr="0081301A">
        <w:rPr>
          <w:rFonts w:ascii="Times New Roman" w:hAnsi="Times New Roman" w:cs="Times New Roman"/>
          <w:sz w:val="24"/>
          <w:szCs w:val="24"/>
        </w:rPr>
        <w:t xml:space="preserve">. </w:t>
      </w:r>
      <w:r w:rsidRPr="0081301A" w:rsidR="002B3A30">
        <w:rPr>
          <w:rFonts w:ascii="Times New Roman" w:hAnsi="Times New Roman" w:cs="Times New Roman"/>
          <w:sz w:val="24"/>
          <w:szCs w:val="24"/>
        </w:rPr>
        <w:t xml:space="preserve">Turning to faculty/mentor data analysis, </w:t>
      </w:r>
      <w:r w:rsidRPr="00794B1C" w:rsidR="002B3A30">
        <w:rPr>
          <w:rFonts w:ascii="Times New Roman" w:hAnsi="Times New Roman" w:cs="Times New Roman"/>
          <w:sz w:val="24"/>
          <w:szCs w:val="24"/>
        </w:rPr>
        <w:t>NRMN had a total of ~8,000 individuals who either participated in activities or signed into the web portal with no intervention.</w:t>
      </w:r>
      <w:r w:rsidR="002B3A30">
        <w:rPr>
          <w:rFonts w:ascii="Times New Roman" w:hAnsi="Times New Roman" w:cs="Times New Roman"/>
          <w:sz w:val="24"/>
          <w:szCs w:val="24"/>
        </w:rPr>
        <w:t xml:space="preserve"> </w:t>
      </w:r>
      <w:r w:rsidRPr="0081301A">
        <w:rPr>
          <w:rFonts w:ascii="Times New Roman" w:hAnsi="Times New Roman" w:cs="Times New Roman"/>
          <w:sz w:val="24"/>
          <w:szCs w:val="24"/>
        </w:rPr>
        <w:t xml:space="preserve">To find the size of </w:t>
      </w:r>
      <w:r w:rsidRPr="0081301A" w:rsidR="003F1353">
        <w:rPr>
          <w:rFonts w:ascii="Times New Roman" w:hAnsi="Times New Roman" w:cs="Times New Roman"/>
          <w:sz w:val="24"/>
          <w:szCs w:val="24"/>
        </w:rPr>
        <w:t>th</w:t>
      </w:r>
      <w:r w:rsidR="00E62522">
        <w:rPr>
          <w:rFonts w:ascii="Times New Roman" w:hAnsi="Times New Roman" w:cs="Times New Roman"/>
          <w:sz w:val="24"/>
          <w:szCs w:val="24"/>
        </w:rPr>
        <w:t>e</w:t>
      </w:r>
      <w:r w:rsidRPr="0081301A" w:rsidR="003F1353">
        <w:rPr>
          <w:rFonts w:ascii="Times New Roman" w:hAnsi="Times New Roman" w:cs="Times New Roman"/>
          <w:sz w:val="24"/>
          <w:szCs w:val="24"/>
        </w:rPr>
        <w:t xml:space="preserve"> </w:t>
      </w:r>
      <w:r w:rsidRPr="0081301A">
        <w:rPr>
          <w:rFonts w:ascii="Times New Roman" w:hAnsi="Times New Roman" w:cs="Times New Roman"/>
          <w:sz w:val="24"/>
          <w:szCs w:val="24"/>
        </w:rPr>
        <w:t xml:space="preserve">control group, we use a conservative two-sided t-test with power = 0.80 and N1 = </w:t>
      </w:r>
      <w:r w:rsidR="00F673FD">
        <w:rPr>
          <w:rFonts w:ascii="Times New Roman" w:hAnsi="Times New Roman" w:cs="Times New Roman"/>
          <w:sz w:val="24"/>
          <w:szCs w:val="24"/>
        </w:rPr>
        <w:t>5</w:t>
      </w:r>
      <w:r w:rsidRPr="0081301A">
        <w:rPr>
          <w:rFonts w:ascii="Times New Roman" w:hAnsi="Times New Roman" w:cs="Times New Roman"/>
          <w:sz w:val="24"/>
          <w:szCs w:val="24"/>
        </w:rPr>
        <w:t xml:space="preserve">00 NRMN-trained faculty. </w:t>
      </w:r>
      <w:r w:rsidRPr="0081301A" w:rsidR="000A31A8">
        <w:rPr>
          <w:rFonts w:ascii="Times New Roman" w:hAnsi="Times New Roman" w:cs="Times New Roman"/>
          <w:sz w:val="24"/>
          <w:szCs w:val="24"/>
        </w:rPr>
        <w:t xml:space="preserve">We ignore the clustering effect (intra-class correlation) since the faculty will largely be recruited from different universities, with at most two faculty members from any one institution. </w:t>
      </w:r>
      <w:r w:rsidRPr="0081301A">
        <w:rPr>
          <w:rFonts w:ascii="Times New Roman" w:hAnsi="Times New Roman" w:cs="Times New Roman"/>
          <w:sz w:val="24"/>
          <w:szCs w:val="24"/>
        </w:rPr>
        <w:t>Allowing for 20% attrition</w:t>
      </w:r>
      <w:r w:rsidRPr="0081301A" w:rsidR="000E1239">
        <w:rPr>
          <w:rFonts w:ascii="Times New Roman" w:hAnsi="Times New Roman" w:cs="Times New Roman"/>
          <w:sz w:val="24"/>
          <w:szCs w:val="24"/>
        </w:rPr>
        <w:t xml:space="preserve"> per year over a 3-year follow-up</w:t>
      </w:r>
      <w:r w:rsidRPr="0081301A">
        <w:rPr>
          <w:rFonts w:ascii="Times New Roman" w:hAnsi="Times New Roman" w:cs="Times New Roman"/>
          <w:sz w:val="24"/>
          <w:szCs w:val="24"/>
        </w:rPr>
        <w:t xml:space="preserve">, we use N1 = </w:t>
      </w:r>
      <w:r w:rsidR="00E520BA">
        <w:rPr>
          <w:rFonts w:ascii="Times New Roman" w:hAnsi="Times New Roman" w:cs="Times New Roman"/>
          <w:sz w:val="24"/>
          <w:szCs w:val="24"/>
        </w:rPr>
        <w:t>320</w:t>
      </w:r>
      <w:r w:rsidR="005C7B7D">
        <w:rPr>
          <w:rFonts w:ascii="Times New Roman" w:hAnsi="Times New Roman" w:cs="Times New Roman"/>
          <w:sz w:val="24"/>
          <w:szCs w:val="24"/>
        </w:rPr>
        <w:t xml:space="preserve"> to calculate the needed number of controls</w:t>
      </w:r>
      <w:r w:rsidRPr="0081301A">
        <w:rPr>
          <w:rFonts w:ascii="Times New Roman" w:hAnsi="Times New Roman" w:cs="Times New Roman"/>
          <w:sz w:val="24"/>
          <w:szCs w:val="24"/>
        </w:rPr>
        <w:t xml:space="preserve">. </w:t>
      </w:r>
      <w:r w:rsidRPr="0081301A" w:rsidR="000A31A8">
        <w:rPr>
          <w:rFonts w:ascii="Times New Roman" w:hAnsi="Times New Roman" w:cs="Times New Roman"/>
          <w:sz w:val="24"/>
          <w:szCs w:val="24"/>
        </w:rPr>
        <w:t>An</w:t>
      </w:r>
      <w:r w:rsidRPr="0081301A">
        <w:rPr>
          <w:rFonts w:ascii="Times New Roman" w:hAnsi="Times New Roman" w:cs="Times New Roman"/>
          <w:sz w:val="24"/>
          <w:szCs w:val="24"/>
        </w:rPr>
        <w:t xml:space="preserve"> effect size of 0.40 was derived from data provided in the reference below </w:t>
      </w:r>
      <w:r w:rsidRPr="0081301A">
        <w:rPr>
          <w:rFonts w:ascii="Times New Roman" w:hAnsi="Times New Roman" w:cs="Times New Roman"/>
          <w:sz w:val="24"/>
          <w:szCs w:val="24"/>
        </w:rPr>
        <w:lastRenderedPageBreak/>
        <w:t>from a similar study.</w:t>
      </w:r>
      <w:r w:rsidR="000874D6">
        <w:rPr>
          <w:rStyle w:val="FootnoteReference"/>
          <w:rFonts w:ascii="Times New Roman" w:hAnsi="Times New Roman" w:cs="Times New Roman"/>
          <w:sz w:val="24"/>
          <w:szCs w:val="24"/>
        </w:rPr>
        <w:footnoteReference w:id="3"/>
      </w:r>
      <w:r w:rsidRPr="0081301A">
        <w:rPr>
          <w:rFonts w:ascii="Times New Roman" w:hAnsi="Times New Roman" w:cs="Times New Roman"/>
          <w:sz w:val="24"/>
          <w:szCs w:val="24"/>
        </w:rPr>
        <w:t xml:space="preserve"> However, since we will be following this group after training, we use an effect size of 0.25 to account for the longer time effect. The required sample size is N2 = 208 controls. Allowing for 20% attrition</w:t>
      </w:r>
      <w:r w:rsidRPr="0081301A" w:rsidR="000E1239">
        <w:rPr>
          <w:rFonts w:ascii="Times New Roman" w:hAnsi="Times New Roman" w:cs="Times New Roman"/>
          <w:sz w:val="24"/>
          <w:szCs w:val="24"/>
        </w:rPr>
        <w:t xml:space="preserve"> per year over 3</w:t>
      </w:r>
      <w:r w:rsidR="00E520BA">
        <w:rPr>
          <w:rFonts w:ascii="Times New Roman" w:hAnsi="Times New Roman" w:cs="Times New Roman"/>
          <w:sz w:val="24"/>
          <w:szCs w:val="24"/>
        </w:rPr>
        <w:t>-4-</w:t>
      </w:r>
      <w:r w:rsidRPr="0081301A" w:rsidR="000E1239">
        <w:rPr>
          <w:rFonts w:ascii="Times New Roman" w:hAnsi="Times New Roman" w:cs="Times New Roman"/>
          <w:sz w:val="24"/>
          <w:szCs w:val="24"/>
        </w:rPr>
        <w:t xml:space="preserve"> years</w:t>
      </w:r>
      <w:r w:rsidRPr="0081301A">
        <w:rPr>
          <w:rFonts w:ascii="Times New Roman" w:hAnsi="Times New Roman" w:cs="Times New Roman"/>
          <w:sz w:val="24"/>
          <w:szCs w:val="24"/>
        </w:rPr>
        <w:t xml:space="preserve">, we need to recruit at least </w:t>
      </w:r>
      <w:r w:rsidR="00E520BA">
        <w:rPr>
          <w:rFonts w:ascii="Times New Roman" w:hAnsi="Times New Roman" w:cs="Times New Roman"/>
          <w:sz w:val="24"/>
          <w:szCs w:val="24"/>
        </w:rPr>
        <w:t>260</w:t>
      </w:r>
      <w:r w:rsidRPr="0081301A">
        <w:rPr>
          <w:rFonts w:ascii="Times New Roman" w:hAnsi="Times New Roman" w:cs="Times New Roman"/>
          <w:sz w:val="24"/>
          <w:szCs w:val="24"/>
        </w:rPr>
        <w:t xml:space="preserve"> controls. To be </w:t>
      </w:r>
      <w:r w:rsidR="00E62522">
        <w:rPr>
          <w:rFonts w:ascii="Times New Roman" w:hAnsi="Times New Roman" w:cs="Times New Roman"/>
          <w:sz w:val="24"/>
          <w:szCs w:val="24"/>
        </w:rPr>
        <w:t>cautious</w:t>
      </w:r>
      <w:r w:rsidRPr="00477510">
        <w:rPr>
          <w:rFonts w:ascii="Times New Roman" w:hAnsi="Times New Roman" w:cs="Times New Roman"/>
          <w:sz w:val="24"/>
          <w:szCs w:val="24"/>
        </w:rPr>
        <w:t xml:space="preserve">, we </w:t>
      </w:r>
      <w:r w:rsidR="002B3A30">
        <w:rPr>
          <w:rFonts w:ascii="Times New Roman" w:hAnsi="Times New Roman" w:cs="Times New Roman"/>
          <w:sz w:val="24"/>
          <w:szCs w:val="24"/>
        </w:rPr>
        <w:t xml:space="preserve">will </w:t>
      </w:r>
      <w:r w:rsidRPr="00477510">
        <w:rPr>
          <w:rFonts w:ascii="Times New Roman" w:hAnsi="Times New Roman" w:cs="Times New Roman"/>
          <w:sz w:val="24"/>
          <w:szCs w:val="24"/>
        </w:rPr>
        <w:t xml:space="preserve">recruit </w:t>
      </w:r>
      <w:r w:rsidRPr="00477510" w:rsidR="00F673FD">
        <w:rPr>
          <w:rFonts w:ascii="Times New Roman" w:hAnsi="Times New Roman" w:cs="Times New Roman"/>
          <w:sz w:val="24"/>
          <w:szCs w:val="24"/>
        </w:rPr>
        <w:t>5</w:t>
      </w:r>
      <w:r w:rsidRPr="00477510">
        <w:rPr>
          <w:rFonts w:ascii="Times New Roman" w:hAnsi="Times New Roman" w:cs="Times New Roman"/>
          <w:sz w:val="24"/>
          <w:szCs w:val="24"/>
        </w:rPr>
        <w:t>00 controls</w:t>
      </w:r>
      <w:r w:rsidRPr="00477510" w:rsidR="00477510">
        <w:rPr>
          <w:rFonts w:ascii="Times New Roman" w:hAnsi="Times New Roman" w:cs="Times New Roman"/>
          <w:sz w:val="24"/>
          <w:szCs w:val="24"/>
        </w:rPr>
        <w:t xml:space="preserve"> as this also positions the D</w:t>
      </w:r>
      <w:r w:rsidRPr="00E62522" w:rsidR="00477510">
        <w:rPr>
          <w:rFonts w:ascii="Times New Roman" w:hAnsi="Times New Roman" w:cs="Times New Roman"/>
          <w:sz w:val="24"/>
          <w:szCs w:val="24"/>
        </w:rPr>
        <w:t>iversity Program</w:t>
      </w:r>
      <w:r w:rsidR="00E607DD">
        <w:rPr>
          <w:rFonts w:ascii="Times New Roman" w:hAnsi="Times New Roman" w:cs="Times New Roman"/>
          <w:sz w:val="24"/>
          <w:szCs w:val="24"/>
        </w:rPr>
        <w:t xml:space="preserve"> Consortium</w:t>
      </w:r>
      <w:r w:rsidRPr="00E62522" w:rsidR="00477510">
        <w:rPr>
          <w:rFonts w:ascii="Times New Roman" w:hAnsi="Times New Roman" w:cs="Times New Roman"/>
          <w:sz w:val="24"/>
          <w:szCs w:val="24"/>
        </w:rPr>
        <w:t xml:space="preserve"> to examine longer-term outcomes of these groups should additional funding </w:t>
      </w:r>
      <w:r w:rsidR="00BF3C40">
        <w:rPr>
          <w:rFonts w:ascii="Times New Roman" w:hAnsi="Times New Roman" w:cs="Times New Roman"/>
          <w:sz w:val="24"/>
          <w:szCs w:val="24"/>
        </w:rPr>
        <w:t xml:space="preserve">be available </w:t>
      </w:r>
      <w:r w:rsidRPr="00E62522" w:rsidR="00477510">
        <w:rPr>
          <w:rFonts w:ascii="Times New Roman" w:hAnsi="Times New Roman" w:cs="Times New Roman"/>
          <w:sz w:val="24"/>
          <w:szCs w:val="24"/>
        </w:rPr>
        <w:t>to support follow-up</w:t>
      </w:r>
      <w:r w:rsidRPr="00477510">
        <w:rPr>
          <w:rFonts w:ascii="Times New Roman" w:hAnsi="Times New Roman" w:cs="Times New Roman"/>
          <w:sz w:val="24"/>
          <w:szCs w:val="24"/>
        </w:rPr>
        <w:t>.</w:t>
      </w:r>
      <w:r w:rsidRPr="00477510" w:rsidR="00577E89">
        <w:rPr>
          <w:rFonts w:ascii="Times New Roman" w:hAnsi="Times New Roman" w:cs="Times New Roman"/>
          <w:sz w:val="24"/>
          <w:szCs w:val="24"/>
        </w:rPr>
        <w:t xml:space="preserve"> </w:t>
      </w:r>
    </w:p>
    <w:p w:rsidRPr="0081301A" w:rsidR="00395E54" w:rsidP="00395E54" w:rsidRDefault="00395E54" w14:paraId="015664E9" w14:textId="77777777">
      <w:pPr>
        <w:pStyle w:val="NoSpacing"/>
        <w:rPr>
          <w:rFonts w:ascii="Times New Roman" w:hAnsi="Times New Roman" w:cs="Times New Roman"/>
          <w:sz w:val="24"/>
          <w:szCs w:val="24"/>
        </w:rPr>
      </w:pPr>
    </w:p>
    <w:p w:rsidRPr="0081301A" w:rsidR="00395E54" w:rsidP="00395E54" w:rsidRDefault="00395E54" w14:paraId="6A69FD22" w14:textId="27386B1E">
      <w:pPr>
        <w:pStyle w:val="NoSpacing"/>
        <w:rPr>
          <w:rFonts w:ascii="Times New Roman" w:hAnsi="Times New Roman" w:cs="Times New Roman"/>
          <w:sz w:val="24"/>
          <w:szCs w:val="24"/>
        </w:rPr>
      </w:pPr>
      <w:r w:rsidRPr="0081301A">
        <w:rPr>
          <w:rFonts w:ascii="Times New Roman" w:hAnsi="Times New Roman" w:cs="Times New Roman"/>
          <w:sz w:val="24"/>
          <w:szCs w:val="24"/>
        </w:rPr>
        <w:t>For BUILD institution</w:t>
      </w:r>
      <w:r w:rsidRPr="0081301A" w:rsidR="006F1B10">
        <w:rPr>
          <w:rFonts w:ascii="Times New Roman" w:hAnsi="Times New Roman" w:cs="Times New Roman"/>
          <w:sz w:val="24"/>
          <w:szCs w:val="24"/>
        </w:rPr>
        <w:t>s’</w:t>
      </w:r>
      <w:r w:rsidRPr="0081301A">
        <w:rPr>
          <w:rFonts w:ascii="Times New Roman" w:hAnsi="Times New Roman" w:cs="Times New Roman"/>
          <w:sz w:val="24"/>
          <w:szCs w:val="24"/>
        </w:rPr>
        <w:t xml:space="preserve"> faculty, we </w:t>
      </w:r>
      <w:r w:rsidRPr="0081301A" w:rsidR="000E1239">
        <w:rPr>
          <w:rFonts w:ascii="Times New Roman" w:hAnsi="Times New Roman" w:cs="Times New Roman"/>
          <w:sz w:val="24"/>
          <w:szCs w:val="24"/>
        </w:rPr>
        <w:t xml:space="preserve">will </w:t>
      </w:r>
      <w:r w:rsidRPr="0081301A">
        <w:rPr>
          <w:rFonts w:ascii="Times New Roman" w:hAnsi="Times New Roman" w:cs="Times New Roman"/>
          <w:sz w:val="24"/>
          <w:szCs w:val="24"/>
        </w:rPr>
        <w:t xml:space="preserve">follow </w:t>
      </w:r>
      <w:r w:rsidRPr="0081301A" w:rsidR="000D47F5">
        <w:rPr>
          <w:rFonts w:ascii="Times New Roman" w:hAnsi="Times New Roman" w:cs="Times New Roman"/>
          <w:sz w:val="24"/>
          <w:szCs w:val="24"/>
        </w:rPr>
        <w:t xml:space="preserve">the same approach </w:t>
      </w:r>
      <w:r w:rsidRPr="0081301A" w:rsidR="00247826">
        <w:rPr>
          <w:rFonts w:ascii="Times New Roman" w:hAnsi="Times New Roman" w:cs="Times New Roman"/>
          <w:sz w:val="24"/>
          <w:szCs w:val="24"/>
        </w:rPr>
        <w:t xml:space="preserve">as </w:t>
      </w:r>
      <w:r w:rsidRPr="0081301A">
        <w:rPr>
          <w:rFonts w:ascii="Times New Roman" w:hAnsi="Times New Roman" w:cs="Times New Roman"/>
          <w:sz w:val="24"/>
          <w:szCs w:val="24"/>
        </w:rPr>
        <w:t xml:space="preserve">for NRMN faculty. </w:t>
      </w:r>
      <w:r w:rsidRPr="0081301A" w:rsidR="000D47F5">
        <w:rPr>
          <w:rFonts w:ascii="Times New Roman" w:hAnsi="Times New Roman" w:cs="Times New Roman"/>
          <w:sz w:val="24"/>
          <w:szCs w:val="24"/>
        </w:rPr>
        <w:t xml:space="preserve">Therefore, we also need to survey </w:t>
      </w:r>
      <w:r w:rsidR="00F673FD">
        <w:rPr>
          <w:rFonts w:ascii="Times New Roman" w:hAnsi="Times New Roman" w:cs="Times New Roman"/>
          <w:sz w:val="24"/>
          <w:szCs w:val="24"/>
        </w:rPr>
        <w:t>5</w:t>
      </w:r>
      <w:r w:rsidRPr="0081301A" w:rsidR="000D47F5">
        <w:rPr>
          <w:rFonts w:ascii="Times New Roman" w:hAnsi="Times New Roman" w:cs="Times New Roman"/>
          <w:sz w:val="24"/>
          <w:szCs w:val="24"/>
        </w:rPr>
        <w:t>00 BUILD institution faculty</w:t>
      </w:r>
      <w:r w:rsidR="006D4678">
        <w:rPr>
          <w:rFonts w:ascii="Times New Roman" w:hAnsi="Times New Roman" w:cs="Times New Roman"/>
          <w:sz w:val="24"/>
          <w:szCs w:val="24"/>
        </w:rPr>
        <w:t xml:space="preserve"> </w:t>
      </w:r>
      <w:r w:rsidR="009B5BA9">
        <w:rPr>
          <w:rFonts w:ascii="Times New Roman" w:hAnsi="Times New Roman" w:cs="Times New Roman"/>
          <w:sz w:val="24"/>
          <w:szCs w:val="24"/>
        </w:rPr>
        <w:t xml:space="preserve">in </w:t>
      </w:r>
      <w:r w:rsidRPr="002C67CA" w:rsidR="009B5BA9">
        <w:rPr>
          <w:rFonts w:ascii="Times New Roman" w:hAnsi="Times New Roman" w:cs="Times New Roman"/>
          <w:sz w:val="24"/>
          <w:szCs w:val="24"/>
        </w:rPr>
        <w:t xml:space="preserve">order to ensure that we have a minimum of 300 faculty at the </w:t>
      </w:r>
      <w:r w:rsidRPr="002C67CA" w:rsidR="00E62522">
        <w:rPr>
          <w:rFonts w:ascii="Times New Roman" w:hAnsi="Times New Roman" w:cs="Times New Roman"/>
          <w:sz w:val="24"/>
          <w:szCs w:val="24"/>
        </w:rPr>
        <w:t>3-year</w:t>
      </w:r>
      <w:r w:rsidRPr="002C67CA" w:rsidR="009B5BA9">
        <w:rPr>
          <w:rFonts w:ascii="Times New Roman" w:hAnsi="Times New Roman" w:cs="Times New Roman"/>
          <w:sz w:val="24"/>
          <w:szCs w:val="24"/>
        </w:rPr>
        <w:t xml:space="preserve"> follow-up (allowing for 20% attrition annually)</w:t>
      </w:r>
      <w:r w:rsidRPr="002C67CA" w:rsidR="000D47F5">
        <w:rPr>
          <w:rFonts w:ascii="Times New Roman" w:hAnsi="Times New Roman" w:cs="Times New Roman"/>
          <w:sz w:val="24"/>
          <w:szCs w:val="24"/>
        </w:rPr>
        <w:t xml:space="preserve">.  </w:t>
      </w:r>
      <w:r w:rsidRPr="002C67CA" w:rsidR="001410DD">
        <w:rPr>
          <w:rFonts w:ascii="Times New Roman" w:hAnsi="Times New Roman" w:cs="Times New Roman"/>
          <w:sz w:val="24"/>
          <w:szCs w:val="24"/>
        </w:rPr>
        <w:t xml:space="preserve">These faculty will be </w:t>
      </w:r>
      <w:r w:rsidRPr="002C67CA" w:rsidR="000E1239">
        <w:rPr>
          <w:rFonts w:ascii="Times New Roman" w:hAnsi="Times New Roman" w:cs="Times New Roman"/>
          <w:sz w:val="24"/>
          <w:szCs w:val="24"/>
        </w:rPr>
        <w:t xml:space="preserve">sampled from among institutional faculty in </w:t>
      </w:r>
      <w:r w:rsidRPr="002C67CA" w:rsidR="0095781C">
        <w:rPr>
          <w:rFonts w:ascii="Times New Roman" w:hAnsi="Times New Roman" w:cs="Times New Roman"/>
          <w:sz w:val="24"/>
          <w:szCs w:val="24"/>
        </w:rPr>
        <w:t xml:space="preserve">biomedical research </w:t>
      </w:r>
      <w:r w:rsidRPr="002C67CA" w:rsidR="000E1239">
        <w:rPr>
          <w:rFonts w:ascii="Times New Roman" w:hAnsi="Times New Roman" w:cs="Times New Roman"/>
          <w:sz w:val="24"/>
          <w:szCs w:val="24"/>
        </w:rPr>
        <w:t xml:space="preserve">fields, taking 100% </w:t>
      </w:r>
      <w:r w:rsidRPr="002C67CA" w:rsidR="00AC4FF0">
        <w:rPr>
          <w:rFonts w:ascii="Times New Roman" w:hAnsi="Times New Roman" w:cs="Times New Roman"/>
          <w:sz w:val="24"/>
          <w:szCs w:val="24"/>
        </w:rPr>
        <w:t xml:space="preserve">of </w:t>
      </w:r>
      <w:r w:rsidRPr="002C67CA" w:rsidR="000E1239">
        <w:rPr>
          <w:rFonts w:ascii="Times New Roman" w:hAnsi="Times New Roman" w:cs="Times New Roman"/>
          <w:sz w:val="24"/>
          <w:szCs w:val="24"/>
        </w:rPr>
        <w:t xml:space="preserve">those participating in BUILD activities </w:t>
      </w:r>
      <w:r w:rsidRPr="002C67CA" w:rsidR="00D403EE">
        <w:rPr>
          <w:rFonts w:ascii="Times New Roman" w:hAnsi="Times New Roman" w:cs="Times New Roman"/>
          <w:sz w:val="24"/>
          <w:szCs w:val="24"/>
        </w:rPr>
        <w:t xml:space="preserve">(unless there are more than 25 in which case a random sample of 25 will be drawn) </w:t>
      </w:r>
      <w:r w:rsidRPr="002C67CA" w:rsidR="000E1239">
        <w:rPr>
          <w:rFonts w:ascii="Times New Roman" w:hAnsi="Times New Roman" w:cs="Times New Roman"/>
          <w:sz w:val="24"/>
          <w:szCs w:val="24"/>
        </w:rPr>
        <w:t xml:space="preserve">and random sampling the balance needed for the target sample size from amongst the rest of the bioscience faculty. </w:t>
      </w:r>
      <w:r w:rsidRPr="002C67CA" w:rsidR="001410DD">
        <w:rPr>
          <w:rFonts w:ascii="Times New Roman" w:hAnsi="Times New Roman" w:cs="Times New Roman"/>
          <w:sz w:val="24"/>
          <w:szCs w:val="24"/>
        </w:rPr>
        <w:t xml:space="preserve"> </w:t>
      </w:r>
      <w:r w:rsidR="00BF3C40">
        <w:rPr>
          <w:rFonts w:ascii="Times New Roman" w:hAnsi="Times New Roman" w:cs="Times New Roman"/>
          <w:sz w:val="24"/>
          <w:szCs w:val="24"/>
        </w:rPr>
        <w:t>Similar to</w:t>
      </w:r>
      <w:r w:rsidRPr="0081301A" w:rsidR="003F1353">
        <w:rPr>
          <w:rFonts w:ascii="Times New Roman" w:hAnsi="Times New Roman" w:cs="Times New Roman"/>
          <w:sz w:val="24"/>
          <w:szCs w:val="24"/>
        </w:rPr>
        <w:t xml:space="preserve"> BUILD students, the control faculty will be s</w:t>
      </w:r>
      <w:r w:rsidRPr="0081301A" w:rsidR="000E1239">
        <w:rPr>
          <w:rFonts w:ascii="Times New Roman" w:hAnsi="Times New Roman" w:cs="Times New Roman"/>
          <w:sz w:val="24"/>
          <w:szCs w:val="24"/>
        </w:rPr>
        <w:t xml:space="preserve">ampled from </w:t>
      </w:r>
      <w:r w:rsidRPr="0081301A" w:rsidR="0095781C">
        <w:rPr>
          <w:rFonts w:ascii="Times New Roman" w:hAnsi="Times New Roman" w:cs="Times New Roman"/>
          <w:sz w:val="24"/>
          <w:szCs w:val="24"/>
        </w:rPr>
        <w:t>bio</w:t>
      </w:r>
      <w:r w:rsidR="0095781C">
        <w:rPr>
          <w:rFonts w:ascii="Times New Roman" w:hAnsi="Times New Roman" w:cs="Times New Roman"/>
          <w:sz w:val="24"/>
          <w:szCs w:val="24"/>
        </w:rPr>
        <w:t>medical research</w:t>
      </w:r>
      <w:r w:rsidRPr="0081301A" w:rsidR="0095781C">
        <w:rPr>
          <w:rFonts w:ascii="Times New Roman" w:hAnsi="Times New Roman" w:cs="Times New Roman"/>
          <w:sz w:val="24"/>
          <w:szCs w:val="24"/>
        </w:rPr>
        <w:t xml:space="preserve"> </w:t>
      </w:r>
      <w:r w:rsidRPr="0081301A" w:rsidR="000E1239">
        <w:rPr>
          <w:rFonts w:ascii="Times New Roman" w:hAnsi="Times New Roman" w:cs="Times New Roman"/>
          <w:sz w:val="24"/>
          <w:szCs w:val="24"/>
        </w:rPr>
        <w:t xml:space="preserve">faculty at </w:t>
      </w:r>
      <w:r w:rsidRPr="0081301A" w:rsidR="003F1353">
        <w:rPr>
          <w:rFonts w:ascii="Times New Roman" w:hAnsi="Times New Roman" w:cs="Times New Roman"/>
          <w:sz w:val="24"/>
          <w:szCs w:val="24"/>
        </w:rPr>
        <w:t xml:space="preserve">comparable institutions without BUILD programs. Their number is also </w:t>
      </w:r>
      <w:r w:rsidR="00F673FD">
        <w:rPr>
          <w:rFonts w:ascii="Times New Roman" w:hAnsi="Times New Roman" w:cs="Times New Roman"/>
          <w:sz w:val="24"/>
          <w:szCs w:val="24"/>
        </w:rPr>
        <w:t>5</w:t>
      </w:r>
      <w:r w:rsidRPr="0081301A" w:rsidR="003F1353">
        <w:rPr>
          <w:rFonts w:ascii="Times New Roman" w:hAnsi="Times New Roman" w:cs="Times New Roman"/>
          <w:sz w:val="24"/>
          <w:szCs w:val="24"/>
        </w:rPr>
        <w:t xml:space="preserve">00. </w:t>
      </w:r>
      <w:r w:rsidR="00303181">
        <w:rPr>
          <w:rFonts w:ascii="Times New Roman" w:hAnsi="Times New Roman" w:cs="Times New Roman"/>
          <w:sz w:val="24"/>
          <w:szCs w:val="24"/>
        </w:rPr>
        <w:t xml:space="preserve"> As for students from non-BUILD institutions, data for faculty at non-BUILD institutions will come from secondary data available from HERI surveys </w:t>
      </w:r>
      <w:r w:rsidR="007A12D8">
        <w:rPr>
          <w:rFonts w:ascii="Times New Roman" w:hAnsi="Times New Roman" w:cs="Times New Roman"/>
          <w:sz w:val="24"/>
          <w:szCs w:val="24"/>
        </w:rPr>
        <w:t xml:space="preserve">independently </w:t>
      </w:r>
      <w:r w:rsidR="00303181">
        <w:rPr>
          <w:rFonts w:ascii="Times New Roman" w:hAnsi="Times New Roman" w:cs="Times New Roman"/>
          <w:sz w:val="24"/>
          <w:szCs w:val="24"/>
        </w:rPr>
        <w:t xml:space="preserve">administered at these institutions.  </w:t>
      </w:r>
      <w:r w:rsidRPr="0081301A" w:rsidR="003F1353">
        <w:rPr>
          <w:rFonts w:ascii="Times New Roman" w:hAnsi="Times New Roman" w:cs="Times New Roman"/>
          <w:sz w:val="24"/>
          <w:szCs w:val="24"/>
        </w:rPr>
        <w:t>The outcomes for these analyses include mentor</w:t>
      </w:r>
      <w:r w:rsidRPr="0081301A" w:rsidR="002060D2">
        <w:rPr>
          <w:rFonts w:ascii="Times New Roman" w:hAnsi="Times New Roman" w:cs="Times New Roman"/>
          <w:sz w:val="24"/>
          <w:szCs w:val="24"/>
        </w:rPr>
        <w:t xml:space="preserve">ing efficacy (similar to NRMN) </w:t>
      </w:r>
      <w:r w:rsidRPr="0081301A" w:rsidR="003F1353">
        <w:rPr>
          <w:rFonts w:ascii="Times New Roman" w:hAnsi="Times New Roman" w:cs="Times New Roman"/>
          <w:sz w:val="24"/>
          <w:szCs w:val="24"/>
        </w:rPr>
        <w:t xml:space="preserve">as well as </w:t>
      </w:r>
      <w:r w:rsidRPr="0081301A" w:rsidR="002060D2">
        <w:rPr>
          <w:rFonts w:ascii="Times New Roman" w:hAnsi="Times New Roman" w:cs="Times New Roman"/>
          <w:sz w:val="24"/>
          <w:szCs w:val="24"/>
        </w:rPr>
        <w:t xml:space="preserve">the </w:t>
      </w:r>
      <w:r w:rsidRPr="0081301A" w:rsidR="003F1353">
        <w:rPr>
          <w:rFonts w:ascii="Times New Roman" w:hAnsi="Times New Roman" w:cs="Times New Roman"/>
          <w:sz w:val="24"/>
          <w:szCs w:val="24"/>
        </w:rPr>
        <w:t xml:space="preserve">research productivity </w:t>
      </w:r>
      <w:r w:rsidRPr="0081301A" w:rsidR="00E85176">
        <w:rPr>
          <w:rFonts w:ascii="Times New Roman" w:hAnsi="Times New Roman" w:cs="Times New Roman"/>
          <w:sz w:val="24"/>
          <w:szCs w:val="24"/>
        </w:rPr>
        <w:t>(e.g., numbers of publications, grant submissions).  Thus, s</w:t>
      </w:r>
      <w:r w:rsidRPr="0081301A" w:rsidR="002060D2">
        <w:rPr>
          <w:rFonts w:ascii="Times New Roman" w:hAnsi="Times New Roman" w:cs="Times New Roman"/>
          <w:sz w:val="24"/>
          <w:szCs w:val="24"/>
        </w:rPr>
        <w:t xml:space="preserve">ome </w:t>
      </w:r>
      <w:r w:rsidRPr="0081301A" w:rsidR="00E85176">
        <w:rPr>
          <w:rFonts w:ascii="Times New Roman" w:hAnsi="Times New Roman" w:cs="Times New Roman"/>
          <w:sz w:val="24"/>
          <w:szCs w:val="24"/>
        </w:rPr>
        <w:t>outcomes</w:t>
      </w:r>
      <w:r w:rsidRPr="0081301A" w:rsidR="002060D2">
        <w:rPr>
          <w:rFonts w:ascii="Times New Roman" w:hAnsi="Times New Roman" w:cs="Times New Roman"/>
          <w:sz w:val="24"/>
          <w:szCs w:val="24"/>
        </w:rPr>
        <w:t xml:space="preserve"> will be scale measures (continuous) and others are counts to be analyzed with Poisson-type methodology. All will use the generalized mixed model methods described earlier. </w:t>
      </w:r>
      <w:r w:rsidRPr="0081301A" w:rsidR="000727FF">
        <w:rPr>
          <w:rFonts w:ascii="Times New Roman" w:hAnsi="Times New Roman" w:cs="Times New Roman"/>
          <w:sz w:val="24"/>
          <w:szCs w:val="24"/>
        </w:rPr>
        <w:t xml:space="preserve">Subgroup analyses will compare </w:t>
      </w:r>
      <w:r w:rsidRPr="0081301A" w:rsidR="0095781C">
        <w:rPr>
          <w:rFonts w:ascii="Times New Roman" w:hAnsi="Times New Roman" w:cs="Times New Roman"/>
          <w:sz w:val="24"/>
          <w:szCs w:val="24"/>
        </w:rPr>
        <w:t>B</w:t>
      </w:r>
      <w:r w:rsidR="0095781C">
        <w:rPr>
          <w:rFonts w:ascii="Times New Roman" w:hAnsi="Times New Roman" w:cs="Times New Roman"/>
          <w:sz w:val="24"/>
          <w:szCs w:val="24"/>
        </w:rPr>
        <w:t>UILD</w:t>
      </w:r>
      <w:r w:rsidRPr="0081301A" w:rsidR="000727FF">
        <w:rPr>
          <w:rFonts w:ascii="Times New Roman" w:hAnsi="Times New Roman" w:cs="Times New Roman"/>
          <w:sz w:val="24"/>
          <w:szCs w:val="24"/>
        </w:rPr>
        <w:t xml:space="preserve"> faculty to others in the same institutions. </w:t>
      </w:r>
    </w:p>
    <w:p w:rsidRPr="0081301A" w:rsidR="00395E54" w:rsidP="00395E54" w:rsidRDefault="00395E54" w14:paraId="7F20EDEC" w14:textId="77777777">
      <w:pPr>
        <w:pStyle w:val="NoSpacing"/>
        <w:rPr>
          <w:rFonts w:ascii="Times New Roman" w:hAnsi="Times New Roman" w:cs="Times New Roman"/>
          <w:sz w:val="24"/>
          <w:szCs w:val="24"/>
        </w:rPr>
      </w:pPr>
    </w:p>
    <w:p w:rsidRPr="00E91BE1" w:rsidR="000B48C8" w:rsidP="00BC4019" w:rsidRDefault="000B48C8" w14:paraId="2D54639B" w14:textId="77777777">
      <w:pPr>
        <w:rPr>
          <w:b/>
        </w:rPr>
      </w:pPr>
      <w:r w:rsidRPr="00E91BE1">
        <w:rPr>
          <w:b/>
        </w:rPr>
        <w:t>B.2.1. Data Collection Procedures</w:t>
      </w:r>
    </w:p>
    <w:p w:rsidRPr="000C7FBE" w:rsidR="00BC4019" w:rsidP="00BC4019" w:rsidRDefault="00BC4019" w14:paraId="197E084E" w14:textId="77777777">
      <w:pPr>
        <w:pStyle w:val="bullet0"/>
        <w:tabs>
          <w:tab w:val="clear" w:pos="360"/>
        </w:tabs>
        <w:spacing w:before="0" w:after="0"/>
        <w:ind w:left="0" w:firstLine="0"/>
      </w:pPr>
    </w:p>
    <w:p w:rsidR="0068253F" w:rsidP="0068253F" w:rsidRDefault="00FB0BB4" w14:paraId="5B642672" w14:textId="3188A6F0">
      <w:pPr>
        <w:pStyle w:val="bullet0"/>
        <w:tabs>
          <w:tab w:val="clear" w:pos="360"/>
        </w:tabs>
        <w:spacing w:before="0" w:after="0"/>
        <w:ind w:left="0" w:firstLine="0"/>
      </w:pPr>
      <w:r w:rsidRPr="009B5BA9">
        <w:rPr>
          <w:i/>
          <w:u w:val="single"/>
        </w:rPr>
        <w:t>Surveys</w:t>
      </w:r>
      <w:r w:rsidRPr="003C485A">
        <w:rPr>
          <w:i/>
        </w:rPr>
        <w:t>.</w:t>
      </w:r>
      <w:r w:rsidRPr="003C485A" w:rsidR="0068253F">
        <w:t xml:space="preserve"> </w:t>
      </w:r>
      <w:r w:rsidRPr="00114DB8" w:rsidR="0068253F">
        <w:t xml:space="preserve">The student and faculty surveys </w:t>
      </w:r>
      <w:r w:rsidR="0079012C">
        <w:t>are</w:t>
      </w:r>
      <w:r w:rsidRPr="00114DB8" w:rsidR="0068253F">
        <w:t xml:space="preserve"> administered according to the schedule outlined in </w:t>
      </w:r>
      <w:r w:rsidRPr="00114DB8" w:rsidR="009B5BA9">
        <w:t>Table A.16</w:t>
      </w:r>
      <w:r w:rsidR="00E36942">
        <w:t xml:space="preserve">.  </w:t>
      </w:r>
      <w:r w:rsidRPr="00E36942" w:rsidR="00E36942">
        <w:t>T</w:t>
      </w:r>
      <w:r w:rsidRPr="00E36942" w:rsidR="0068253F">
        <w:t>he</w:t>
      </w:r>
      <w:r w:rsidR="0068253F">
        <w:t xml:space="preserve"> p</w:t>
      </w:r>
      <w:r w:rsidRPr="00E353DE" w:rsidR="0068253F">
        <w:t>rimary modality for all survey</w:t>
      </w:r>
      <w:r w:rsidR="0068253F">
        <w:t xml:space="preserve"> administration</w:t>
      </w:r>
      <w:r w:rsidRPr="00E353DE" w:rsidR="0068253F">
        <w:t xml:space="preserve"> </w:t>
      </w:r>
      <w:r w:rsidR="00A006EA">
        <w:t>is</w:t>
      </w:r>
      <w:r w:rsidRPr="00E353DE" w:rsidR="0068253F">
        <w:t xml:space="preserve"> online.  However, understanding that</w:t>
      </w:r>
      <w:r w:rsidR="0068253F">
        <w:t xml:space="preserve"> individual</w:t>
      </w:r>
      <w:r w:rsidRPr="00E353DE" w:rsidR="0068253F">
        <w:t xml:space="preserve"> respondents may have different preferences or that institutional factors may facilitate different method</w:t>
      </w:r>
      <w:r w:rsidRPr="00B96E57" w:rsidR="0068253F">
        <w:t>s (such as a group</w:t>
      </w:r>
      <w:r w:rsidR="0068253F">
        <w:t>-administration during student</w:t>
      </w:r>
      <w:r w:rsidRPr="00B96E57" w:rsidR="0068253F">
        <w:t xml:space="preserve"> orientation or </w:t>
      </w:r>
      <w:r w:rsidR="0068253F">
        <w:t xml:space="preserve">other group </w:t>
      </w:r>
      <w:r w:rsidRPr="00B96E57" w:rsidR="0068253F">
        <w:t xml:space="preserve">activity), </w:t>
      </w:r>
      <w:r w:rsidR="0068253F">
        <w:t xml:space="preserve">scannable paper </w:t>
      </w:r>
      <w:r w:rsidRPr="00B96E57" w:rsidR="0068253F">
        <w:t xml:space="preserve">surveys will also be </w:t>
      </w:r>
      <w:r w:rsidR="0068253F">
        <w:t xml:space="preserve">available for </w:t>
      </w:r>
      <w:r w:rsidRPr="00C01540" w:rsidR="0068253F">
        <w:t xml:space="preserve">use as </w:t>
      </w:r>
      <w:r w:rsidR="0068253F">
        <w:t>needed</w:t>
      </w:r>
      <w:r w:rsidRPr="00C01540" w:rsidR="0068253F">
        <w:t xml:space="preserve">. All surveys </w:t>
      </w:r>
      <w:r w:rsidR="0079012C">
        <w:t>are</w:t>
      </w:r>
      <w:r w:rsidRPr="00C01540" w:rsidR="0068253F">
        <w:t xml:space="preserve"> formatted to be completed as computer-assisted interviews (conducted by CEC interviewers)</w:t>
      </w:r>
      <w:r w:rsidR="0068253F">
        <w:t xml:space="preserve"> for respondents who prefer this modality.</w:t>
      </w:r>
      <w:r w:rsidRPr="0068253F" w:rsidR="0068253F">
        <w:t xml:space="preserve"> </w:t>
      </w:r>
      <w:r w:rsidRPr="00C01540" w:rsidR="0068253F">
        <w:t xml:space="preserve">Regardless of modality, surveys </w:t>
      </w:r>
      <w:r w:rsidR="0079012C">
        <w:t>are</w:t>
      </w:r>
      <w:r w:rsidRPr="00C01540" w:rsidR="0068253F">
        <w:t xml:space="preserve"> designed with skip patterns so that respondents are presented only with questions that are relevant for them.  </w:t>
      </w:r>
      <w:r w:rsidRPr="000E1239" w:rsidR="0068253F">
        <w:t xml:space="preserve">Consent procedures </w:t>
      </w:r>
      <w:r w:rsidR="0079012C">
        <w:t>are</w:t>
      </w:r>
      <w:r w:rsidRPr="000E1239" w:rsidR="0068253F">
        <w:t xml:space="preserve"> implemented as indicated by the Institutional Review Board at the Universi</w:t>
      </w:r>
      <w:r w:rsidR="00202081">
        <w:t xml:space="preserve">ty of California, Los Angeles. </w:t>
      </w:r>
      <w:r w:rsidRPr="000E1239" w:rsidR="0068253F">
        <w:t xml:space="preserve">For most online surveys, this </w:t>
      </w:r>
      <w:r w:rsidR="0079012C">
        <w:t xml:space="preserve">is </w:t>
      </w:r>
      <w:r w:rsidRPr="000E1239" w:rsidR="0068253F">
        <w:t>in the form of a screen after the introductory information that will indicate how data will be handled and the confidentiality of the responses, with contact information for CEC staff should respondents have questions or concerns prior to beginning the survey.</w:t>
      </w:r>
      <w:r w:rsidRPr="00E85176" w:rsidR="0068253F">
        <w:t xml:space="preserve"> </w:t>
      </w:r>
      <w:r w:rsidRPr="00C01540" w:rsidR="0068253F">
        <w:t>All surveys will provide introductory information about the purpose of the survey and the expected time f</w:t>
      </w:r>
      <w:r w:rsidRPr="00D24ED0" w:rsidR="0068253F">
        <w:t xml:space="preserve">or completion.  </w:t>
      </w:r>
      <w:r w:rsidRPr="00E85176" w:rsidR="0068253F">
        <w:t xml:space="preserve">Invitations to participate in online surveys </w:t>
      </w:r>
      <w:r w:rsidR="0079012C">
        <w:t xml:space="preserve">are </w:t>
      </w:r>
      <w:r w:rsidRPr="00E85176" w:rsidR="0068253F">
        <w:t xml:space="preserve">provided through email, with an individualized link or access </w:t>
      </w:r>
      <w:r w:rsidRPr="00E85176" w:rsidR="0068253F">
        <w:lastRenderedPageBreak/>
        <w:t>cod</w:t>
      </w:r>
      <w:r w:rsidR="00202081">
        <w:t xml:space="preserve">e provided for the respondent. </w:t>
      </w:r>
      <w:r w:rsidRPr="00E85176" w:rsidR="0068253F">
        <w:t xml:space="preserve">Non-respondents will be prompted with four follow up emails every 5-7 days.  </w:t>
      </w:r>
    </w:p>
    <w:p w:rsidRPr="00E85176" w:rsidR="0068253F" w:rsidP="0068253F" w:rsidRDefault="0068253F" w14:paraId="2C23D202" w14:textId="77777777">
      <w:pPr>
        <w:pStyle w:val="bullet0"/>
        <w:tabs>
          <w:tab w:val="clear" w:pos="360"/>
        </w:tabs>
        <w:spacing w:before="0" w:after="0"/>
        <w:ind w:left="0" w:firstLine="0"/>
      </w:pPr>
    </w:p>
    <w:p w:rsidRPr="00E85176" w:rsidR="0068253F" w:rsidP="0068253F" w:rsidRDefault="00FB0BB4" w14:paraId="38E07E30" w14:textId="2DCAFB68">
      <w:pPr>
        <w:pStyle w:val="bullet0"/>
        <w:tabs>
          <w:tab w:val="clear" w:pos="360"/>
        </w:tabs>
        <w:spacing w:before="0" w:after="0"/>
        <w:ind w:left="0" w:firstLine="0"/>
      </w:pPr>
      <w:r w:rsidRPr="00D2540C">
        <w:rPr>
          <w:i/>
          <w:u w:val="single"/>
        </w:rPr>
        <w:t>Site Visits &amp; Case Studies</w:t>
      </w:r>
      <w:r w:rsidRPr="00202081" w:rsidR="0068253F">
        <w:rPr>
          <w:i/>
        </w:rPr>
        <w:t xml:space="preserve">.  </w:t>
      </w:r>
      <w:r w:rsidRPr="00C81F0A" w:rsidR="00C81F0A">
        <w:t>The CEC periodically conducts visits to awardee sites to gather qualitative data (</w:t>
      </w:r>
      <w:r w:rsidR="00C81F0A">
        <w:t xml:space="preserve">see Attachment </w:t>
      </w:r>
      <w:r w:rsidR="00E607DD">
        <w:t>18</w:t>
      </w:r>
      <w:r w:rsidR="00C81F0A">
        <w:t xml:space="preserve"> for protocols</w:t>
      </w:r>
      <w:r w:rsidRPr="00C81F0A" w:rsidR="00C81F0A">
        <w:t>). The data are coded</w:t>
      </w:r>
      <w:r w:rsidR="000E29FE">
        <w:t>,</w:t>
      </w:r>
      <w:r w:rsidRPr="00C81F0A" w:rsidR="00C81F0A">
        <w:t xml:space="preserve"> curated</w:t>
      </w:r>
      <w:r w:rsidR="000E29FE">
        <w:t>, and securely stored</w:t>
      </w:r>
      <w:r w:rsidRPr="00C81F0A" w:rsidR="00C81F0A">
        <w:t xml:space="preserve"> under the management and oversight of the CEC.</w:t>
      </w:r>
    </w:p>
    <w:p w:rsidRPr="00E85176" w:rsidR="00C167B3" w:rsidP="00BC4019" w:rsidRDefault="00C167B3" w14:paraId="1755C0B8" w14:textId="77777777">
      <w:pPr>
        <w:pStyle w:val="bullet0"/>
        <w:tabs>
          <w:tab w:val="clear" w:pos="360"/>
        </w:tabs>
        <w:spacing w:before="0" w:after="0"/>
        <w:ind w:left="0" w:firstLine="0"/>
      </w:pPr>
    </w:p>
    <w:p w:rsidR="0068253F" w:rsidP="00C81F0A" w:rsidRDefault="00C81F0A" w14:paraId="57E6DEC8" w14:textId="0E88F404">
      <w:pPr>
        <w:pStyle w:val="bullet0"/>
        <w:tabs>
          <w:tab w:val="clear" w:pos="360"/>
        </w:tabs>
        <w:spacing w:before="0" w:after="0"/>
        <w:ind w:left="0" w:firstLine="0"/>
      </w:pPr>
      <w:r w:rsidRPr="003C485A">
        <w:rPr>
          <w:i/>
          <w:u w:val="single"/>
        </w:rPr>
        <w:t>BUILD Participant Data</w:t>
      </w:r>
      <w:r w:rsidRPr="00C81F0A">
        <w:rPr>
          <w:i/>
        </w:rPr>
        <w:t xml:space="preserve">. </w:t>
      </w:r>
      <w:r w:rsidRPr="00C81F0A">
        <w:t>BUILD awardees submit participant rosters on an ongoing basis through the CEC Tracker, a tool developed by the CEC and utilized by the BUILD awardees to upload, collect, store, and manage consortium participant data. The CEC Tracker assigns each participant a unique nine-digit numeric identification number. This allows the CEC to maintain longitudinal data regarding exposure to BUILD activities as individuals progress through their careers. The CEC Tracker allows authorized site administrators to add identifying elements to the CEC Tracker to assist with longitudinal tracking (e.g., site-level identification numbers). The CEC conducts quality review and risk assessment of the data.</w:t>
      </w:r>
      <w:r>
        <w:t xml:space="preserve"> </w:t>
      </w:r>
      <w:r w:rsidRPr="00106AAF">
        <w:t>Access to the CEC Tracker requires authentication with a virtual private network (VPN) appliance in addition to CEC Tracker web application account verification.</w:t>
      </w:r>
      <w:r>
        <w:t xml:space="preserve"> Because of the confidential nature of the data, the participant lists are not available for consortium or third-party use. Sites have ongoing password protected access to their own de-identified tracker data. I</w:t>
      </w:r>
      <w:r w:rsidRPr="00106AAF">
        <w:t xml:space="preserve">dentifiable </w:t>
      </w:r>
      <w:r>
        <w:t xml:space="preserve">participant </w:t>
      </w:r>
      <w:r w:rsidRPr="00106AAF">
        <w:t>information is only provided to authorized educational officials at individual awardee institution</w:t>
      </w:r>
      <w:r>
        <w:t>s and i</w:t>
      </w:r>
      <w:r w:rsidRPr="007F5A7B">
        <w:t>s subject to the</w:t>
      </w:r>
      <w:r>
        <w:t>ir local IRB</w:t>
      </w:r>
      <w:r w:rsidRPr="007F5A7B">
        <w:t xml:space="preserve"> governance.</w:t>
      </w:r>
    </w:p>
    <w:p w:rsidR="00C81F0A" w:rsidP="00C81F0A" w:rsidRDefault="00C81F0A" w14:paraId="49AC8362" w14:textId="7A391E6A">
      <w:pPr>
        <w:pStyle w:val="bullet0"/>
        <w:tabs>
          <w:tab w:val="clear" w:pos="360"/>
        </w:tabs>
        <w:spacing w:before="0" w:after="0"/>
        <w:ind w:left="0" w:firstLine="0"/>
      </w:pPr>
    </w:p>
    <w:p w:rsidRPr="00C81F0A" w:rsidR="00C81F0A" w:rsidP="00C81F0A" w:rsidRDefault="00C81F0A" w14:paraId="7C50C436" w14:textId="17ADDBBB">
      <w:pPr>
        <w:pStyle w:val="bullet0"/>
        <w:tabs>
          <w:tab w:val="clear" w:pos="360"/>
        </w:tabs>
        <w:spacing w:before="0" w:after="0"/>
        <w:ind w:left="0" w:firstLine="0"/>
      </w:pPr>
      <w:r w:rsidRPr="003C485A">
        <w:rPr>
          <w:i/>
          <w:u w:val="single"/>
        </w:rPr>
        <w:t>BUILD Institutional Record</w:t>
      </w:r>
      <w:r w:rsidR="00E607DD">
        <w:rPr>
          <w:i/>
          <w:u w:val="single"/>
        </w:rPr>
        <w:t>s</w:t>
      </w:r>
      <w:r w:rsidRPr="003C485A">
        <w:rPr>
          <w:i/>
          <w:u w:val="single"/>
        </w:rPr>
        <w:t xml:space="preserve"> Data</w:t>
      </w:r>
      <w:r w:rsidRPr="000E29FE">
        <w:rPr>
          <w:i/>
        </w:rPr>
        <w:t xml:space="preserve">. </w:t>
      </w:r>
      <w:r w:rsidRPr="00C81F0A">
        <w:t>Institutional Record</w:t>
      </w:r>
      <w:r w:rsidR="00E607DD">
        <w:t>s</w:t>
      </w:r>
      <w:r w:rsidRPr="00C81F0A">
        <w:t xml:space="preserve"> (IR) data is essential for accurate tracking of student persistence and graduation, as well as faculty accomplishments</w:t>
      </w:r>
      <w:r w:rsidR="00E607DD">
        <w:t xml:space="preserve"> (</w:t>
      </w:r>
      <w:r w:rsidR="00BF3C40">
        <w:t xml:space="preserve">see </w:t>
      </w:r>
      <w:r w:rsidR="00E607DD">
        <w:t>Attachment 19)</w:t>
      </w:r>
      <w:r w:rsidRPr="00C81F0A">
        <w:t xml:space="preserve">. </w:t>
      </w:r>
      <w:r>
        <w:t>These</w:t>
      </w:r>
      <w:r w:rsidRPr="00C81F0A">
        <w:t xml:space="preserve"> data include (1) de-identified data for introductory science and mathematics courses, and (2) identifiable data for students and faculty who have provided consent through surveys. </w:t>
      </w:r>
      <w:r>
        <w:t>A</w:t>
      </w:r>
      <w:r w:rsidRPr="007F5A7B">
        <w:t>wardees</w:t>
      </w:r>
      <w:r>
        <w:t xml:space="preserve"> must</w:t>
      </w:r>
      <w:r w:rsidRPr="007F5A7B">
        <w:t xml:space="preserve"> use a secure file transfer service over an encrypted connection</w:t>
      </w:r>
      <w:r>
        <w:t xml:space="preserve"> to transfer IR data</w:t>
      </w:r>
      <w:r w:rsidRPr="007F5A7B">
        <w:t xml:space="preserve">. </w:t>
      </w:r>
      <w:r>
        <w:t>I</w:t>
      </w:r>
      <w:r w:rsidRPr="00106AAF">
        <w:t>dentifiable</w:t>
      </w:r>
      <w:r>
        <w:t xml:space="preserve"> site-level IR data</w:t>
      </w:r>
      <w:r w:rsidRPr="00106AAF">
        <w:t xml:space="preserve"> is only provided to authorized educational officials at individual awardee institution</w:t>
      </w:r>
      <w:r>
        <w:t xml:space="preserve"> and i</w:t>
      </w:r>
      <w:r w:rsidRPr="007F5A7B">
        <w:t>s subject to the</w:t>
      </w:r>
      <w:r>
        <w:t>ir local IRB</w:t>
      </w:r>
      <w:r w:rsidRPr="007F5A7B">
        <w:t xml:space="preserve"> governance.</w:t>
      </w:r>
    </w:p>
    <w:p w:rsidR="00C81F0A" w:rsidP="00BC4019" w:rsidRDefault="00C81F0A" w14:paraId="3B602077" w14:textId="77777777">
      <w:pPr>
        <w:pStyle w:val="bullet0"/>
        <w:tabs>
          <w:tab w:val="clear" w:pos="360"/>
        </w:tabs>
        <w:spacing w:before="0" w:after="0"/>
        <w:ind w:left="0" w:firstLine="0"/>
        <w:rPr>
          <w:u w:val="single"/>
        </w:rPr>
      </w:pPr>
    </w:p>
    <w:p w:rsidRPr="00FF641A" w:rsidR="00FF641A" w:rsidP="00AA3AA2" w:rsidRDefault="009B5BA9" w14:paraId="4EFD8D2D" w14:textId="33598C9A">
      <w:r w:rsidRPr="00003371">
        <w:t>A</w:t>
      </w:r>
      <w:r w:rsidRPr="00003371" w:rsidR="00FF641A">
        <w:t>s outline</w:t>
      </w:r>
      <w:r w:rsidR="001E50BB">
        <w:t>d</w:t>
      </w:r>
      <w:r w:rsidRPr="00003371" w:rsidR="00FF641A">
        <w:t xml:space="preserve"> in </w:t>
      </w:r>
      <w:r w:rsidR="00BF3C40">
        <w:t xml:space="preserve">Section </w:t>
      </w:r>
      <w:r w:rsidRPr="00003371" w:rsidR="00FF641A">
        <w:t>A.10, all data collected by the CEC</w:t>
      </w:r>
      <w:r w:rsidR="001E50BB">
        <w:t xml:space="preserve"> is</w:t>
      </w:r>
      <w:r w:rsidRPr="00FF641A" w:rsidR="00FF641A">
        <w:t xml:space="preserve"> stored in a manner such that restricted information (e.g., name, address, contact information) </w:t>
      </w:r>
      <w:r w:rsidR="001E50BB">
        <w:t>is</w:t>
      </w:r>
      <w:r w:rsidRPr="00FF641A" w:rsidR="00FF641A">
        <w:t xml:space="preserve"> stored in a different system from study </w:t>
      </w:r>
      <w:r w:rsidR="00202081">
        <w:t xml:space="preserve">data such as survey responses. </w:t>
      </w:r>
      <w:r w:rsidRPr="00FF641A" w:rsidR="00FF641A">
        <w:t xml:space="preserve">The restricted information </w:t>
      </w:r>
      <w:r w:rsidR="001E50BB">
        <w:t>is</w:t>
      </w:r>
      <w:r w:rsidRPr="00FF641A" w:rsidR="00FF641A">
        <w:t xml:space="preserve"> stored in a system behind the CEC firewall and operates on a private IP range.  Only </w:t>
      </w:r>
      <w:r w:rsidR="00FF641A">
        <w:t xml:space="preserve">a limited number of authorized CEC staff </w:t>
      </w:r>
      <w:r w:rsidR="001E50BB">
        <w:t>are</w:t>
      </w:r>
      <w:r w:rsidR="00FF641A">
        <w:t xml:space="preserve"> able to access these IP addresses</w:t>
      </w:r>
      <w:r w:rsidR="00202081">
        <w:t xml:space="preserve">. </w:t>
      </w:r>
      <w:r w:rsidRPr="00FF641A" w:rsidR="00FF641A">
        <w:t xml:space="preserve">The study data </w:t>
      </w:r>
      <w:r w:rsidR="001E50BB">
        <w:t xml:space="preserve">is </w:t>
      </w:r>
      <w:r w:rsidRPr="00FF641A" w:rsidR="00FF641A">
        <w:t>maintained in a separate system requiring auth</w:t>
      </w:r>
      <w:r w:rsidR="00FF641A">
        <w:t xml:space="preserve">orized users using encryption. </w:t>
      </w:r>
      <w:r w:rsidRPr="00FF641A" w:rsidR="00FF641A">
        <w:t xml:space="preserve">Any paper files used for data collection (such as handwritten interview notes) </w:t>
      </w:r>
      <w:r w:rsidR="001E50BB">
        <w:t>are</w:t>
      </w:r>
      <w:r w:rsidRPr="00FF641A" w:rsidR="00FF641A">
        <w:t xml:space="preserve"> stored in locked cabinets with access limited and controlled as with electronic data.</w:t>
      </w:r>
    </w:p>
    <w:p w:rsidR="0068253F" w:rsidP="00BC4019" w:rsidRDefault="0068253F" w14:paraId="42791569" w14:textId="41C4E5F5">
      <w:pPr>
        <w:pStyle w:val="bullet0"/>
        <w:tabs>
          <w:tab w:val="clear" w:pos="360"/>
        </w:tabs>
        <w:spacing w:before="0" w:after="0"/>
        <w:ind w:left="0" w:firstLine="0"/>
      </w:pPr>
    </w:p>
    <w:p w:rsidR="000E1EA1" w:rsidP="000E1EA1" w:rsidRDefault="000E1EA1" w14:paraId="317CA10F" w14:textId="2386BC48">
      <w:r>
        <w:t>The</w:t>
      </w:r>
      <w:r w:rsidRPr="007F5A7B">
        <w:t xml:space="preserve"> Data Sharing </w:t>
      </w:r>
      <w:r>
        <w:t>Agreement</w:t>
      </w:r>
      <w:r w:rsidRPr="007F5A7B">
        <w:t xml:space="preserve"> </w:t>
      </w:r>
      <w:r w:rsidR="00E607DD">
        <w:t xml:space="preserve">for Phase II </w:t>
      </w:r>
      <w:r>
        <w:t xml:space="preserve">(see Attachment </w:t>
      </w:r>
      <w:r w:rsidR="00E607DD">
        <w:t>2</w:t>
      </w:r>
      <w:r w:rsidR="0086430C">
        <w:t>5</w:t>
      </w:r>
      <w:r>
        <w:t>)</w:t>
      </w:r>
      <w:r w:rsidR="00E607DD">
        <w:t>,</w:t>
      </w:r>
      <w:r>
        <w:t xml:space="preserve"> most recently approved in September of 2019</w:t>
      </w:r>
      <w:r w:rsidR="00E607DD">
        <w:t>,</w:t>
      </w:r>
      <w:r>
        <w:t xml:space="preserve"> was</w:t>
      </w:r>
      <w:r w:rsidRPr="007F5A7B">
        <w:t xml:space="preserve"> developed in conjunction with </w:t>
      </w:r>
      <w:r>
        <w:t>the</w:t>
      </w:r>
      <w:r w:rsidRPr="007F5A7B">
        <w:t xml:space="preserve"> awardees and the Executive Steering Committee</w:t>
      </w:r>
      <w:r>
        <w:t xml:space="preserve">. The agreement </w:t>
      </w:r>
      <w:r w:rsidRPr="007F5A7B">
        <w:t xml:space="preserve">describes </w:t>
      </w:r>
      <w:r>
        <w:t xml:space="preserve">the requirements for </w:t>
      </w:r>
      <w:r w:rsidRPr="00CA70DD">
        <w:t xml:space="preserve">data collection, </w:t>
      </w:r>
      <w:r>
        <w:t>integrity,</w:t>
      </w:r>
      <w:r w:rsidRPr="007B4C2B">
        <w:t xml:space="preserve"> </w:t>
      </w:r>
      <w:r w:rsidRPr="00CA70DD">
        <w:t>storage</w:t>
      </w:r>
      <w:r>
        <w:t>, security, confidentiality, use, sharing,</w:t>
      </w:r>
      <w:r w:rsidRPr="00FE59C6">
        <w:t xml:space="preserve"> </w:t>
      </w:r>
      <w:r w:rsidRPr="007F5A7B">
        <w:t>ownership, rights, and responsibilities</w:t>
      </w:r>
      <w:r>
        <w:t xml:space="preserve">. </w:t>
      </w:r>
    </w:p>
    <w:p w:rsidRPr="00E85176" w:rsidR="000E1EA1" w:rsidP="00BC4019" w:rsidRDefault="000E1EA1" w14:paraId="39B6B64E" w14:textId="77777777">
      <w:pPr>
        <w:pStyle w:val="bullet0"/>
        <w:tabs>
          <w:tab w:val="clear" w:pos="360"/>
        </w:tabs>
        <w:spacing w:before="0" w:after="0"/>
        <w:ind w:left="0" w:firstLine="0"/>
      </w:pPr>
    </w:p>
    <w:p w:rsidRPr="000C7FBE" w:rsidR="00F41045" w:rsidP="002257D9" w:rsidRDefault="000B48C8" w14:paraId="3A37461F" w14:textId="77777777">
      <w:pPr>
        <w:rPr>
          <w:b/>
        </w:rPr>
      </w:pPr>
      <w:r w:rsidRPr="00E85176">
        <w:rPr>
          <w:snapToGrid w:val="0"/>
        </w:rPr>
        <w:t xml:space="preserve"> </w:t>
      </w:r>
      <w:bookmarkStart w:name="_Toc393888595" w:id="23"/>
      <w:bookmarkStart w:name="_Toc394009767" w:id="24"/>
      <w:r w:rsidRPr="00E85176" w:rsidR="00F41045">
        <w:rPr>
          <w:b/>
        </w:rPr>
        <w:t>B.2.2. Analysis Procedures</w:t>
      </w:r>
      <w:bookmarkEnd w:id="23"/>
      <w:bookmarkEnd w:id="24"/>
    </w:p>
    <w:p w:rsidRPr="00D275A5" w:rsidR="00D275A5" w:rsidP="00D275A5" w:rsidRDefault="00D275A5" w14:paraId="7589D918" w14:textId="77777777">
      <w:pPr>
        <w:rPr>
          <w:color w:val="FF0000"/>
        </w:rPr>
      </w:pPr>
    </w:p>
    <w:p w:rsidRPr="00D275A5" w:rsidR="00D275A5" w:rsidP="00D275A5" w:rsidRDefault="00B83EFB" w14:paraId="445A52A6" w14:textId="41783CEF">
      <w:r w:rsidRPr="00B83EFB">
        <w:rPr>
          <w:u w:val="single"/>
        </w:rPr>
        <w:t>Qualitative Data.</w:t>
      </w:r>
      <w:r>
        <w:t xml:space="preserve"> </w:t>
      </w:r>
      <w:r w:rsidRPr="00D275A5" w:rsidR="00D275A5">
        <w:t xml:space="preserve">Observation and interview data from site visits and case studies will be </w:t>
      </w:r>
      <w:r w:rsidRPr="00D275A5" w:rsidR="00D275A5">
        <w:rPr>
          <w:color w:val="000000"/>
        </w:rPr>
        <w:t xml:space="preserve">analyzed in two </w:t>
      </w:r>
      <w:r w:rsidRPr="00143E73" w:rsidR="00D275A5">
        <w:rPr>
          <w:color w:val="000000"/>
        </w:rPr>
        <w:t>cycles.</w:t>
      </w:r>
      <w:r w:rsidR="000874D6">
        <w:rPr>
          <w:rStyle w:val="FootnoteReference"/>
          <w:color w:val="000000"/>
        </w:rPr>
        <w:footnoteReference w:id="4"/>
      </w:r>
      <w:r w:rsidRPr="00D275A5" w:rsidR="00D275A5">
        <w:rPr>
          <w:color w:val="000000"/>
        </w:rPr>
        <w:t xml:space="preserve"> First, data will be assigned preliminary codes through attribute, structural, descriptive, and </w:t>
      </w:r>
      <w:r w:rsidRPr="00E4252C" w:rsidR="00D275A5">
        <w:rPr>
          <w:i/>
          <w:color w:val="000000"/>
        </w:rPr>
        <w:t>in vivo</w:t>
      </w:r>
      <w:r w:rsidRPr="00D275A5" w:rsidR="00D275A5">
        <w:rPr>
          <w:color w:val="000000"/>
        </w:rPr>
        <w:t xml:space="preserve"> coding.</w:t>
      </w:r>
      <w:r w:rsidRPr="00D275A5" w:rsidR="00D275A5">
        <w:rPr>
          <w:b/>
          <w:color w:val="000000"/>
        </w:rPr>
        <w:t xml:space="preserve"> </w:t>
      </w:r>
      <w:r w:rsidRPr="00D275A5" w:rsidR="00D275A5">
        <w:rPr>
          <w:color w:val="000000"/>
        </w:rPr>
        <w:t xml:space="preserve">During the second coding cycle, we will develop the categorical, thematic, and conceptual organization of the data. Through </w:t>
      </w:r>
      <w:r w:rsidRPr="00D275A5" w:rsidR="00D275A5">
        <w:rPr>
          <w:i/>
          <w:color w:val="000000"/>
        </w:rPr>
        <w:t>pattern</w:t>
      </w:r>
      <w:r w:rsidRPr="00D275A5" w:rsidR="00D275A5">
        <w:rPr>
          <w:color w:val="000000"/>
        </w:rPr>
        <w:t xml:space="preserve"> </w:t>
      </w:r>
      <w:r w:rsidRPr="00D275A5" w:rsidR="00D275A5">
        <w:rPr>
          <w:i/>
          <w:color w:val="000000"/>
        </w:rPr>
        <w:t>coding</w:t>
      </w:r>
      <w:r w:rsidR="00896C6D">
        <w:rPr>
          <w:color w:val="000000"/>
        </w:rPr>
        <w:t>,</w:t>
      </w:r>
      <w:r w:rsidR="00431A2A">
        <w:rPr>
          <w:color w:val="000000"/>
        </w:rPr>
        <w:t xml:space="preserve"> </w:t>
      </w:r>
      <w:r w:rsidRPr="00D275A5" w:rsidR="00D275A5">
        <w:rPr>
          <w:color w:val="000000"/>
        </w:rPr>
        <w:t xml:space="preserve">we will synthesize findings into more meaningful units of </w:t>
      </w:r>
      <w:r w:rsidRPr="00143E73" w:rsidR="00D275A5">
        <w:rPr>
          <w:color w:val="000000"/>
        </w:rPr>
        <w:t>analysis.</w:t>
      </w:r>
      <w:r w:rsidR="000874D6">
        <w:rPr>
          <w:rStyle w:val="FootnoteReference"/>
          <w:color w:val="000000"/>
        </w:rPr>
        <w:footnoteReference w:id="5"/>
      </w:r>
      <w:r w:rsidRPr="00143E73" w:rsidR="00D275A5">
        <w:rPr>
          <w:b/>
          <w:color w:val="000000"/>
        </w:rPr>
        <w:t xml:space="preserve"> </w:t>
      </w:r>
      <w:r w:rsidRPr="00143E73" w:rsidR="00D275A5">
        <w:rPr>
          <w:color w:val="000000"/>
        </w:rPr>
        <w:t xml:space="preserve">By grouping similarly coded passages together and assessing the groupings for thematic commonalities, the final coding scheme will be established. Finally, through </w:t>
      </w:r>
      <w:r w:rsidRPr="00143E73" w:rsidR="00D275A5">
        <w:rPr>
          <w:i/>
          <w:color w:val="000000"/>
        </w:rPr>
        <w:t>elaborative</w:t>
      </w:r>
      <w:r w:rsidRPr="00143E73" w:rsidR="00D275A5">
        <w:rPr>
          <w:color w:val="000000"/>
        </w:rPr>
        <w:t xml:space="preserve"> </w:t>
      </w:r>
      <w:r w:rsidRPr="00143E73" w:rsidR="00D275A5">
        <w:rPr>
          <w:i/>
          <w:color w:val="000000"/>
        </w:rPr>
        <w:t>coding</w:t>
      </w:r>
      <w:r w:rsidRPr="00143E73" w:rsidR="00D275A5">
        <w:rPr>
          <w:color w:val="000000"/>
        </w:rPr>
        <w:t>, w</w:t>
      </w:r>
      <w:r w:rsidRPr="00D275A5" w:rsidR="00D275A5">
        <w:rPr>
          <w:color w:val="000000"/>
        </w:rPr>
        <w:t xml:space="preserve">e will examine the data with an eye toward the consortium level logic model (our conceptual framework).  </w:t>
      </w:r>
      <w:r w:rsidRPr="00D275A5" w:rsidR="00D275A5">
        <w:t xml:space="preserve">One of the drawbacks of a conceptual framework is that it may limit the inductive approach when exploring a phenomenon. To safeguard against becoming deductive, researchers will journal their thoughts and decisions and discuss them to determine if their thinking has become too driven by the framework. </w:t>
      </w:r>
      <w:r w:rsidR="00581F92">
        <w:t xml:space="preserve">In qualitative inquiry, the researcher’s values are not “controlled for” in the study design. Qualitative researchers use reflective journals as a strategy for examining personal assumptions and subjectivities. This reflexive practice provides transparency in the research process. Reflective journals will be used by our researchers to ensure that our process is inductive, that is, not overly reliant upon our conceptual program model so that our work may reveal contextually sensitive pragmatic descriptions of programs at the time of our data collection. Our researchers will discuss their reflective notes so to sharpen our insights and deepen our understandings of our observation and interview data.  </w:t>
      </w:r>
      <w:r w:rsidRPr="00D275A5" w:rsidR="00D275A5">
        <w:t xml:space="preserve">We will also be sure that our multiple data sources converge in an attempt to understand the overall case. </w:t>
      </w:r>
    </w:p>
    <w:p w:rsidRPr="00D275A5" w:rsidR="00754DCD" w:rsidP="002257D9" w:rsidRDefault="00754DCD" w14:paraId="5821778E" w14:textId="77777777"/>
    <w:p w:rsidRPr="00D24ED0" w:rsidR="00F41045" w:rsidP="002257D9" w:rsidRDefault="000864A6" w14:paraId="16F466D8" w14:textId="132702A0">
      <w:r w:rsidRPr="000864A6">
        <w:rPr>
          <w:u w:val="single"/>
        </w:rPr>
        <w:t>Q</w:t>
      </w:r>
      <w:r w:rsidRPr="000864A6" w:rsidR="00F41045">
        <w:rPr>
          <w:u w:val="single"/>
        </w:rPr>
        <w:t>uantitative data</w:t>
      </w:r>
      <w:r w:rsidRPr="000864A6">
        <w:rPr>
          <w:u w:val="single"/>
        </w:rPr>
        <w:t>.</w:t>
      </w:r>
      <w:r>
        <w:t xml:space="preserve"> D</w:t>
      </w:r>
      <w:r w:rsidRPr="00D275A5" w:rsidR="00F41045">
        <w:t xml:space="preserve">escriptive statistics such as counts, ranges, means, and frequency distributions will be </w:t>
      </w:r>
      <w:r w:rsidRPr="00D275A5" w:rsidR="007541A2">
        <w:t xml:space="preserve">employed </w:t>
      </w:r>
      <w:r w:rsidRPr="00D275A5" w:rsidR="00F41045">
        <w:t xml:space="preserve">using </w:t>
      </w:r>
      <w:r w:rsidRPr="00D275A5" w:rsidR="007541A2">
        <w:t xml:space="preserve">SAS </w:t>
      </w:r>
      <w:r w:rsidRPr="00D275A5" w:rsidR="00FC017B">
        <w:t>and</w:t>
      </w:r>
      <w:r w:rsidRPr="00D275A5" w:rsidR="007541A2">
        <w:t xml:space="preserve"> Stata</w:t>
      </w:r>
      <w:r w:rsidRPr="00D275A5" w:rsidR="00F41045">
        <w:t xml:space="preserve"> software. </w:t>
      </w:r>
      <w:r w:rsidRPr="00D275A5" w:rsidR="007541A2">
        <w:t>Statistical methods to test our study objectives are described in Section B.1.2 above.</w:t>
      </w:r>
      <w:r w:rsidR="008625FE">
        <w:t xml:space="preserve"> A </w:t>
      </w:r>
      <w:proofErr w:type="gramStart"/>
      <w:r w:rsidR="008625FE">
        <w:t>methods</w:t>
      </w:r>
      <w:proofErr w:type="gramEnd"/>
      <w:r w:rsidR="008625FE">
        <w:t xml:space="preserve"> guide for conducting the statistical analyses along with potential research questions is provided in Attachment </w:t>
      </w:r>
      <w:r w:rsidR="003A2A38">
        <w:t>2</w:t>
      </w:r>
      <w:r w:rsidR="0086430C">
        <w:t>6</w:t>
      </w:r>
      <w:r w:rsidRPr="00D275A5" w:rsidR="007541A2">
        <w:t>. Software used will be either SAS or Stata depending</w:t>
      </w:r>
      <w:r w:rsidRPr="00C01540" w:rsidR="007541A2">
        <w:t xml:space="preserve"> on the appropriate procedure. </w:t>
      </w:r>
    </w:p>
    <w:p w:rsidRPr="002C3642" w:rsidR="007541A2" w:rsidP="002257D9" w:rsidRDefault="007541A2" w14:paraId="391A214B" w14:textId="77777777"/>
    <w:p w:rsidR="005A59A9" w:rsidP="00E36942" w:rsidRDefault="005A59A9" w14:paraId="6011E5E9" w14:textId="77777777">
      <w:pPr>
        <w:pStyle w:val="Heading1"/>
      </w:pPr>
      <w:bookmarkStart w:name="_Toc23674758" w:id="25"/>
      <w:bookmarkStart w:name="_Toc23694922" w:id="26"/>
      <w:r w:rsidRPr="00382513">
        <w:t>B.3 Methods to Maximize Response Rates and Deal with Nonresponse</w:t>
      </w:r>
      <w:bookmarkEnd w:id="25"/>
      <w:bookmarkEnd w:id="26"/>
    </w:p>
    <w:p w:rsidRPr="00D8063C" w:rsidR="00476658" w:rsidP="00E36942" w:rsidRDefault="00476658" w14:paraId="29ADF45C" w14:textId="77777777"/>
    <w:p w:rsidR="0014683D" w:rsidP="0014683D" w:rsidRDefault="00644F71" w14:paraId="456DCC33" w14:textId="77777777">
      <w:pPr>
        <w:pStyle w:val="P1-StandPara"/>
        <w:tabs>
          <w:tab w:val="left" w:pos="720"/>
          <w:tab w:val="right" w:leader="dot" w:pos="9504"/>
        </w:tabs>
        <w:spacing w:line="240" w:lineRule="auto"/>
        <w:ind w:firstLine="0"/>
        <w:rPr>
          <w:sz w:val="24"/>
          <w:szCs w:val="24"/>
        </w:rPr>
      </w:pPr>
      <w:r w:rsidRPr="000C7FBE">
        <w:rPr>
          <w:sz w:val="24"/>
          <w:szCs w:val="24"/>
        </w:rPr>
        <w:t xml:space="preserve">Multiple strategies </w:t>
      </w:r>
      <w:r w:rsidR="005E1E92">
        <w:rPr>
          <w:sz w:val="24"/>
          <w:szCs w:val="24"/>
        </w:rPr>
        <w:t>are</w:t>
      </w:r>
      <w:r w:rsidRPr="000C7FBE">
        <w:rPr>
          <w:sz w:val="24"/>
          <w:szCs w:val="24"/>
        </w:rPr>
        <w:t xml:space="preserve"> used to maximize response rates.  </w:t>
      </w:r>
      <w:r w:rsidR="005E1E92">
        <w:rPr>
          <w:sz w:val="24"/>
          <w:szCs w:val="24"/>
        </w:rPr>
        <w:t>First, a</w:t>
      </w:r>
      <w:r w:rsidRPr="000C7FBE">
        <w:rPr>
          <w:sz w:val="24"/>
          <w:szCs w:val="24"/>
        </w:rPr>
        <w:t xml:space="preserve">ll surveys </w:t>
      </w:r>
      <w:r w:rsidR="005E1E92">
        <w:rPr>
          <w:sz w:val="24"/>
          <w:szCs w:val="24"/>
        </w:rPr>
        <w:t>are</w:t>
      </w:r>
      <w:r w:rsidRPr="000C7FBE">
        <w:rPr>
          <w:sz w:val="24"/>
          <w:szCs w:val="24"/>
        </w:rPr>
        <w:t xml:space="preserve"> implemented with multiple modalities.  The primary modality </w:t>
      </w:r>
      <w:r w:rsidR="005E1E92">
        <w:rPr>
          <w:sz w:val="24"/>
          <w:szCs w:val="24"/>
        </w:rPr>
        <w:t>is</w:t>
      </w:r>
      <w:r w:rsidRPr="000C7FBE">
        <w:rPr>
          <w:sz w:val="24"/>
          <w:szCs w:val="24"/>
        </w:rPr>
        <w:t xml:space="preserve"> online, but all surveys </w:t>
      </w:r>
      <w:r w:rsidR="005E1E92">
        <w:rPr>
          <w:sz w:val="24"/>
          <w:szCs w:val="24"/>
        </w:rPr>
        <w:t>are</w:t>
      </w:r>
      <w:r w:rsidRPr="000C7FBE">
        <w:rPr>
          <w:sz w:val="24"/>
          <w:szCs w:val="24"/>
        </w:rPr>
        <w:t xml:space="preserve"> formatted to be completed as computer-assisted interviews (conducted by CEC interview</w:t>
      </w:r>
      <w:r>
        <w:rPr>
          <w:sz w:val="24"/>
          <w:szCs w:val="24"/>
        </w:rPr>
        <w:t>ers) and as paper-based surveys.</w:t>
      </w:r>
      <w:r w:rsidRPr="000C7FBE">
        <w:rPr>
          <w:sz w:val="24"/>
          <w:szCs w:val="24"/>
        </w:rPr>
        <w:t xml:space="preserve"> Thus, respondents </w:t>
      </w:r>
      <w:r w:rsidR="00895B33">
        <w:rPr>
          <w:sz w:val="24"/>
          <w:szCs w:val="24"/>
        </w:rPr>
        <w:t>can</w:t>
      </w:r>
      <w:r w:rsidRPr="000C7FBE">
        <w:rPr>
          <w:sz w:val="24"/>
          <w:szCs w:val="24"/>
        </w:rPr>
        <w:t xml:space="preserve"> choose the modality with which they are most comfortable.</w:t>
      </w:r>
      <w:r w:rsidR="0014683D">
        <w:rPr>
          <w:sz w:val="24"/>
          <w:szCs w:val="24"/>
        </w:rPr>
        <w:t xml:space="preserve"> </w:t>
      </w:r>
    </w:p>
    <w:p w:rsidR="0014683D" w:rsidP="0014683D" w:rsidRDefault="0014683D" w14:paraId="41994AC3" w14:textId="77777777">
      <w:pPr>
        <w:pStyle w:val="P1-StandPara"/>
        <w:tabs>
          <w:tab w:val="left" w:pos="720"/>
          <w:tab w:val="right" w:leader="dot" w:pos="9504"/>
        </w:tabs>
        <w:spacing w:line="240" w:lineRule="auto"/>
        <w:ind w:firstLine="0"/>
        <w:rPr>
          <w:sz w:val="24"/>
          <w:szCs w:val="24"/>
        </w:rPr>
      </w:pPr>
    </w:p>
    <w:p w:rsidRPr="0014683D" w:rsidR="004E25B7" w:rsidP="0014683D" w:rsidRDefault="005E1E92" w14:paraId="3714266A" w14:textId="69857CDE">
      <w:pPr>
        <w:pStyle w:val="P1-StandPara"/>
        <w:tabs>
          <w:tab w:val="left" w:pos="720"/>
          <w:tab w:val="right" w:leader="dot" w:pos="9504"/>
        </w:tabs>
        <w:spacing w:line="240" w:lineRule="auto"/>
        <w:ind w:firstLine="0"/>
        <w:rPr>
          <w:sz w:val="24"/>
          <w:szCs w:val="24"/>
        </w:rPr>
      </w:pPr>
      <w:r w:rsidRPr="0014683D">
        <w:rPr>
          <w:sz w:val="24"/>
          <w:szCs w:val="24"/>
        </w:rPr>
        <w:t xml:space="preserve">Second, </w:t>
      </w:r>
      <w:r w:rsidRPr="0014683D" w:rsidR="00644F71">
        <w:rPr>
          <w:sz w:val="24"/>
          <w:szCs w:val="24"/>
        </w:rPr>
        <w:t>recruitment/retention strategies include non-monetary approaches known to improve response rates</w:t>
      </w:r>
      <w:r w:rsidRPr="0014683D" w:rsidR="004E25B7">
        <w:rPr>
          <w:sz w:val="24"/>
          <w:szCs w:val="24"/>
        </w:rPr>
        <w:t>. These include</w:t>
      </w:r>
      <w:r w:rsidRPr="0014683D" w:rsidR="00644F71">
        <w:rPr>
          <w:sz w:val="24"/>
          <w:szCs w:val="24"/>
        </w:rPr>
        <w:t xml:space="preserve"> providing respondents information about the contribution they will </w:t>
      </w:r>
      <w:r w:rsidRPr="0014683D" w:rsidR="00644F71">
        <w:rPr>
          <w:sz w:val="24"/>
          <w:szCs w:val="24"/>
        </w:rPr>
        <w:lastRenderedPageBreak/>
        <w:t>be making to the understanding of the important issues on which the project focuse</w:t>
      </w:r>
      <w:r w:rsidRPr="0014683D">
        <w:rPr>
          <w:sz w:val="24"/>
          <w:szCs w:val="24"/>
        </w:rPr>
        <w:t>s</w:t>
      </w:r>
      <w:r w:rsidR="000874D6">
        <w:rPr>
          <w:rStyle w:val="FootnoteReference"/>
          <w:sz w:val="24"/>
          <w:szCs w:val="24"/>
        </w:rPr>
        <w:footnoteReference w:id="6"/>
      </w:r>
      <w:r w:rsidRPr="0014683D" w:rsidR="004E25B7">
        <w:rPr>
          <w:sz w:val="24"/>
          <w:szCs w:val="24"/>
        </w:rPr>
        <w:t xml:space="preserve"> and having influencers send the introductory survey invitations.</w:t>
      </w:r>
      <w:r w:rsidRPr="0014683D" w:rsidR="00644F71">
        <w:rPr>
          <w:sz w:val="24"/>
          <w:szCs w:val="24"/>
        </w:rPr>
        <w:t xml:space="preserve"> </w:t>
      </w:r>
    </w:p>
    <w:p w:rsidR="004E25B7" w:rsidP="00644F71" w:rsidRDefault="004E25B7" w14:paraId="2FB73C80" w14:textId="77777777"/>
    <w:p w:rsidRPr="00C54AE9" w:rsidR="00644F71" w:rsidP="00644F71" w:rsidRDefault="004E25B7" w14:paraId="019D7E5F" w14:textId="68EFBDB0">
      <w:r>
        <w:t xml:space="preserve">Third, </w:t>
      </w:r>
      <w:r w:rsidRPr="00C54AE9" w:rsidR="00644F71">
        <w:t xml:space="preserve">we </w:t>
      </w:r>
      <w:r w:rsidR="005E1E92">
        <w:t>have determined that s</w:t>
      </w:r>
      <w:r w:rsidRPr="00C54AE9" w:rsidR="00644F71">
        <w:t>uccessful recruitment</w:t>
      </w:r>
      <w:r w:rsidR="00BF3C40">
        <w:t xml:space="preserve"> and </w:t>
      </w:r>
      <w:r w:rsidRPr="00C54AE9" w:rsidR="00644F71">
        <w:t>retention efforts require a</w:t>
      </w:r>
      <w:r w:rsidR="00644F71">
        <w:t xml:space="preserve"> monetary</w:t>
      </w:r>
      <w:r w:rsidRPr="00C54AE9" w:rsidR="00644F71">
        <w:t xml:space="preserve"> incentive. We are </w:t>
      </w:r>
      <w:r w:rsidR="005E1E92">
        <w:t>request</w:t>
      </w:r>
      <w:r w:rsidR="0055571C">
        <w:t>ing</w:t>
      </w:r>
      <w:r w:rsidRPr="00C54AE9" w:rsidR="00644F71">
        <w:t xml:space="preserve"> to provide an incentive of </w:t>
      </w:r>
      <w:r w:rsidR="00567F73">
        <w:t xml:space="preserve">up to </w:t>
      </w:r>
      <w:r w:rsidRPr="00C54AE9" w:rsidR="00644F71">
        <w:t>$25</w:t>
      </w:r>
      <w:r w:rsidR="005E1E92">
        <w:t xml:space="preserve"> </w:t>
      </w:r>
      <w:r w:rsidRPr="00C54AE9" w:rsidR="00644F71">
        <w:t xml:space="preserve">to each of </w:t>
      </w:r>
      <w:r w:rsidR="00644F71">
        <w:t xml:space="preserve">our </w:t>
      </w:r>
      <w:r w:rsidRPr="00C54AE9" w:rsidR="00644F71">
        <w:t>participant</w:t>
      </w:r>
      <w:r w:rsidR="00644F71">
        <w:t>s for each survey they are asked to complete</w:t>
      </w:r>
      <w:r w:rsidRPr="00C54AE9" w:rsidR="00644F71">
        <w:t xml:space="preserve">. </w:t>
      </w:r>
      <w:r w:rsidR="005E1E92">
        <w:t>I</w:t>
      </w:r>
      <w:r w:rsidRPr="00C54AE9" w:rsidR="00644F71">
        <w:t xml:space="preserve">ncentives </w:t>
      </w:r>
      <w:r w:rsidR="005E1E92">
        <w:t>are</w:t>
      </w:r>
      <w:r w:rsidRPr="00C54AE9" w:rsidR="00644F71">
        <w:t xml:space="preserve"> critical to our ability to </w:t>
      </w:r>
      <w:r w:rsidR="005E1E92">
        <w:t xml:space="preserve">recruit and </w:t>
      </w:r>
      <w:r w:rsidRPr="00C54AE9" w:rsidR="00644F71">
        <w:t>retain a representative sample over the longitudinal</w:t>
      </w:r>
      <w:r w:rsidR="00644F71">
        <w:t xml:space="preserve"> </w:t>
      </w:r>
      <w:r w:rsidRPr="00C54AE9" w:rsidR="00644F71">
        <w:t xml:space="preserve">follow-up </w:t>
      </w:r>
      <w:r w:rsidR="00BF3C40">
        <w:t xml:space="preserve">period </w:t>
      </w:r>
      <w:r w:rsidRPr="00C54AE9" w:rsidR="00644F71">
        <w:t>in order to track primary outcomes for the required program evaluation.</w:t>
      </w:r>
      <w:r w:rsidR="000874D6">
        <w:rPr>
          <w:rStyle w:val="FootnoteReference"/>
        </w:rPr>
        <w:footnoteReference w:id="7"/>
      </w:r>
      <w:r w:rsidR="00644F71">
        <w:t xml:space="preserve"> </w:t>
      </w:r>
      <w:r w:rsidRPr="00C54AE9" w:rsidR="00644F71">
        <w:t>The choice of a $25</w:t>
      </w:r>
      <w:r w:rsidR="00644F71">
        <w:t xml:space="preserve"> </w:t>
      </w:r>
      <w:r w:rsidRPr="00C54AE9" w:rsidR="00644F71">
        <w:t>incentive is based on evidence from prior experimental work showing incentives in this range can improve response rates significantly</w:t>
      </w:r>
      <w:r w:rsidR="000874D6">
        <w:rPr>
          <w:rStyle w:val="FootnoteReference"/>
        </w:rPr>
        <w:footnoteReference w:id="8"/>
      </w:r>
      <w:r w:rsidRPr="00C54AE9" w:rsidR="00644F71">
        <w:t xml:space="preserve"> as well as the experience of members of our </w:t>
      </w:r>
      <w:r w:rsidR="005E1E92">
        <w:t>c</w:t>
      </w:r>
      <w:r w:rsidRPr="00C54AE9" w:rsidR="00644F71">
        <w:t>onsortium with the value of such incentives in maintaining better longitudinal response</w:t>
      </w:r>
      <w:r w:rsidR="00644F71">
        <w:t xml:space="preserve"> </w:t>
      </w:r>
      <w:r w:rsidRPr="00C54AE9" w:rsidR="00644F71">
        <w:t>rates.</w:t>
      </w:r>
      <w:r w:rsidR="000874D6">
        <w:rPr>
          <w:rStyle w:val="FootnoteReference"/>
        </w:rPr>
        <w:footnoteReference w:id="9"/>
      </w:r>
    </w:p>
    <w:p w:rsidRPr="000E1239" w:rsidR="005A59A9" w:rsidP="002257D9" w:rsidRDefault="005A59A9" w14:paraId="3879960B" w14:textId="77777777"/>
    <w:p w:rsidR="00967A1B" w:rsidP="002257D9" w:rsidRDefault="00967A1B" w14:paraId="2B7DEB08" w14:textId="3F0B7056">
      <w:r w:rsidRPr="000E1239">
        <w:t>Finally, we will continue to emphasize to respondents as they enroll in the various programs how important the continued tracking of information is to the long-t</w:t>
      </w:r>
      <w:r w:rsidR="00202081">
        <w:t xml:space="preserve">erm evaluation of the program. </w:t>
      </w:r>
    </w:p>
    <w:p w:rsidRPr="00382513" w:rsidR="005A59A9" w:rsidP="002257D9" w:rsidRDefault="005A59A9" w14:paraId="18AE4CE1" w14:textId="77777777"/>
    <w:p w:rsidR="005A59A9" w:rsidP="00E36942" w:rsidRDefault="005A59A9" w14:paraId="2181BDE3" w14:textId="77777777">
      <w:pPr>
        <w:pStyle w:val="Heading1"/>
      </w:pPr>
      <w:bookmarkStart w:name="_Toc23674759" w:id="27"/>
      <w:bookmarkStart w:name="_Toc23694923" w:id="28"/>
      <w:r w:rsidRPr="001D4FBC">
        <w:t>B.4 Test of Procedures or Methods to be Undertaken</w:t>
      </w:r>
      <w:bookmarkEnd w:id="27"/>
      <w:bookmarkEnd w:id="28"/>
    </w:p>
    <w:p w:rsidRPr="00D8063C" w:rsidR="00476658" w:rsidP="00E36942" w:rsidRDefault="00476658" w14:paraId="095E7ADF" w14:textId="77777777"/>
    <w:p w:rsidRPr="00261279" w:rsidR="00382920" w:rsidP="002257D9" w:rsidRDefault="00382920" w14:paraId="089C627B" w14:textId="6B6414C3">
      <w:r w:rsidRPr="00D351BA">
        <w:t xml:space="preserve">All surveys </w:t>
      </w:r>
      <w:r w:rsidR="00895B33">
        <w:t>are</w:t>
      </w:r>
      <w:r w:rsidRPr="00D351BA">
        <w:t xml:space="preserve"> pilot tested with</w:t>
      </w:r>
      <w:r w:rsidRPr="00D351BA" w:rsidR="00C33347">
        <w:t xml:space="preserve"> </w:t>
      </w:r>
      <w:r w:rsidR="00D351BA">
        <w:t>5-9</w:t>
      </w:r>
      <w:r w:rsidRPr="00D351BA">
        <w:t xml:space="preserve"> respondents to ensure readability, flow, and time for administration.</w:t>
      </w:r>
      <w:r w:rsidRPr="00D351BA" w:rsidR="008637B2">
        <w:t xml:space="preserve">  Semi-structured interviews </w:t>
      </w:r>
      <w:r w:rsidR="00895B33">
        <w:t>are</w:t>
      </w:r>
      <w:r w:rsidRPr="00D351BA" w:rsidR="008637B2">
        <w:t xml:space="preserve"> pilot tested with 1-2 respondents to ensure flow and time for administration.</w:t>
      </w:r>
    </w:p>
    <w:p w:rsidRPr="00261279" w:rsidR="000802B7" w:rsidP="002257D9" w:rsidRDefault="000802B7" w14:paraId="727AB543" w14:textId="77777777"/>
    <w:p w:rsidRPr="00261279" w:rsidR="005A59A9" w:rsidP="00E36942" w:rsidRDefault="005A59A9" w14:paraId="63658046" w14:textId="77777777">
      <w:pPr>
        <w:pStyle w:val="Heading1"/>
      </w:pPr>
      <w:bookmarkStart w:name="_Toc23674760" w:id="29"/>
      <w:bookmarkStart w:name="_Toc23694924" w:id="30"/>
      <w:r w:rsidRPr="00261279">
        <w:t>B.5 Individuals Consulted on Statistical Aspects and Individuals Collecting and/or Analyzing Data</w:t>
      </w:r>
      <w:bookmarkEnd w:id="29"/>
      <w:bookmarkEnd w:id="30"/>
      <w:r w:rsidRPr="00261279" w:rsidR="0072201A">
        <w:t xml:space="preserve"> </w:t>
      </w:r>
    </w:p>
    <w:p w:rsidRPr="00261279" w:rsidR="0075488E" w:rsidP="002257D9" w:rsidRDefault="0075488E" w14:paraId="47F6DD7D" w14:textId="77777777"/>
    <w:p w:rsidRPr="002C3642" w:rsidR="002C3642" w:rsidP="00A80B74" w:rsidRDefault="008637B2" w14:paraId="00B13AC1" w14:textId="33A15B91">
      <w:r w:rsidRPr="00261279">
        <w:t xml:space="preserve">All plans for </w:t>
      </w:r>
      <w:r w:rsidRPr="00261279" w:rsidR="0075488E">
        <w:t xml:space="preserve">data collection and </w:t>
      </w:r>
      <w:r w:rsidRPr="00261279">
        <w:t>statistical a</w:t>
      </w:r>
      <w:r w:rsidRPr="00261279" w:rsidR="0075488E">
        <w:t>nalysis</w:t>
      </w:r>
      <w:r w:rsidRPr="00261279">
        <w:t xml:space="preserve"> </w:t>
      </w:r>
      <w:r w:rsidRPr="00261279" w:rsidR="0075488E">
        <w:t xml:space="preserve">are the </w:t>
      </w:r>
      <w:r w:rsidRPr="00261279">
        <w:t xml:space="preserve">product of CEC investigators and staff, </w:t>
      </w:r>
      <w:r w:rsidRPr="00261279" w:rsidR="00ED3523">
        <w:t>which includes Ph</w:t>
      </w:r>
      <w:r w:rsidR="0014683D">
        <w:t>.</w:t>
      </w:r>
      <w:r w:rsidRPr="00261279" w:rsidR="00ED3523">
        <w:t>D</w:t>
      </w:r>
      <w:r w:rsidR="0014683D">
        <w:t>.</w:t>
      </w:r>
      <w:r w:rsidRPr="00261279" w:rsidR="00ED3523">
        <w:t xml:space="preserve">-level biostatistics faculty as well as researchers </w:t>
      </w:r>
      <w:r w:rsidR="00FF641A">
        <w:t>with extensive expertise in p</w:t>
      </w:r>
      <w:r w:rsidRPr="00261279" w:rsidR="00ED3523">
        <w:t xml:space="preserve">rogram evaluation, </w:t>
      </w:r>
      <w:r w:rsidRPr="00261279">
        <w:t>with input from Consortium Working Group members and th</w:t>
      </w:r>
      <w:r w:rsidR="00202081">
        <w:t>e Executive Steering Committee</w:t>
      </w:r>
      <w:r w:rsidRPr="00261279">
        <w:t>.</w:t>
      </w:r>
    </w:p>
    <w:sectPr w:rsidRPr="002C3642" w:rsidR="002C3642" w:rsidSect="0045405A">
      <w:headerReference w:type="default" r:id="rId10"/>
      <w:footerReference w:type="even"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2A64" w14:textId="77777777" w:rsidR="00B074FD" w:rsidRDefault="00B074FD">
      <w:r>
        <w:separator/>
      </w:r>
    </w:p>
  </w:endnote>
  <w:endnote w:type="continuationSeparator" w:id="0">
    <w:p w14:paraId="06E4939C" w14:textId="77777777" w:rsidR="00B074FD" w:rsidRDefault="00B0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58E7" w14:textId="77777777" w:rsidR="005E200B" w:rsidRDefault="005E200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D5DB3" w14:textId="77777777" w:rsidR="005E200B" w:rsidRDefault="005E200B">
    <w:pPr>
      <w:pStyle w:val="Footer"/>
    </w:pPr>
  </w:p>
  <w:p w14:paraId="78607650" w14:textId="77777777" w:rsidR="005E200B" w:rsidRDefault="005E200B"/>
  <w:p w14:paraId="27A7D68C" w14:textId="77777777" w:rsidR="005E200B" w:rsidRDefault="005E200B"/>
  <w:p w14:paraId="6CDE7985" w14:textId="77777777" w:rsidR="005E200B" w:rsidRDefault="005E200B"/>
  <w:p w14:paraId="2DE8DA27" w14:textId="77777777" w:rsidR="005E200B" w:rsidRDefault="005E200B"/>
  <w:p w14:paraId="5905E74D" w14:textId="77777777" w:rsidR="005E200B" w:rsidRDefault="005E200B"/>
  <w:p w14:paraId="52876CB5" w14:textId="77777777" w:rsidR="005E200B" w:rsidRDefault="005E2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0890" w14:textId="77777777" w:rsidR="005E200B" w:rsidRDefault="005E200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6341">
      <w:rPr>
        <w:rStyle w:val="PageNumber"/>
        <w:noProof/>
      </w:rPr>
      <w:t>i</w:t>
    </w:r>
    <w:r>
      <w:rPr>
        <w:rStyle w:val="PageNumber"/>
      </w:rPr>
      <w:fldChar w:fldCharType="end"/>
    </w:r>
  </w:p>
  <w:p w14:paraId="01C54692" w14:textId="77777777" w:rsidR="005E200B" w:rsidRDefault="005E200B" w:rsidP="004A70E1">
    <w:pPr>
      <w:pStyle w:val="Footer"/>
      <w:jc w:val="center"/>
    </w:pPr>
  </w:p>
  <w:p w14:paraId="083102BE" w14:textId="77777777" w:rsidR="005E200B" w:rsidRDefault="005E200B"/>
  <w:p w14:paraId="5B42F33D" w14:textId="77777777" w:rsidR="005E200B" w:rsidRDefault="005E200B"/>
  <w:p w14:paraId="327A4F2E" w14:textId="77777777" w:rsidR="005E200B" w:rsidRDefault="005E200B"/>
  <w:p w14:paraId="193C7513" w14:textId="77777777" w:rsidR="005E200B" w:rsidRDefault="005E200B"/>
  <w:p w14:paraId="3F6419D1" w14:textId="77777777" w:rsidR="005E200B" w:rsidRDefault="005E200B"/>
  <w:p w14:paraId="7E3F3E70" w14:textId="77777777" w:rsidR="005E200B" w:rsidRDefault="005E20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483A" w14:textId="77777777" w:rsidR="005E200B" w:rsidRDefault="005E200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53C903" w14:textId="77777777" w:rsidR="005E200B" w:rsidRDefault="005E200B">
    <w:pPr>
      <w:pStyle w:val="Footer"/>
    </w:pPr>
  </w:p>
  <w:p w14:paraId="20536051" w14:textId="77777777" w:rsidR="005E200B" w:rsidRDefault="005E200B"/>
  <w:p w14:paraId="39A2D04E" w14:textId="77777777" w:rsidR="005E200B" w:rsidRDefault="005E200B"/>
  <w:p w14:paraId="361E01C0" w14:textId="77777777" w:rsidR="005E200B" w:rsidRDefault="005E200B"/>
  <w:p w14:paraId="3835EC2E" w14:textId="77777777" w:rsidR="005E200B" w:rsidRDefault="005E200B"/>
  <w:p w14:paraId="07B27ADA" w14:textId="77777777" w:rsidR="005E200B" w:rsidRDefault="005E200B"/>
  <w:p w14:paraId="651FC460" w14:textId="77777777" w:rsidR="005E200B" w:rsidRDefault="005E200B"/>
  <w:p w14:paraId="3941523D" w14:textId="77777777" w:rsidR="00BD79B5" w:rsidRDefault="00BD79B5"/>
  <w:p w14:paraId="2CE26868" w14:textId="77777777" w:rsidR="00BD79B5" w:rsidRDefault="00BD79B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744A" w14:textId="77777777" w:rsidR="005E200B" w:rsidRDefault="005E200B" w:rsidP="004A70E1">
    <w:pPr>
      <w:pStyle w:val="Footer"/>
      <w:jc w:val="center"/>
    </w:pPr>
  </w:p>
  <w:p w14:paraId="4A06012A" w14:textId="77777777" w:rsidR="005E200B" w:rsidRDefault="005E200B" w:rsidP="00382920"/>
  <w:p w14:paraId="35D4542A" w14:textId="77777777" w:rsidR="00AB1C7F" w:rsidRDefault="00AB1C7F" w:rsidP="00AB1C7F">
    <w:pPr>
      <w:pStyle w:val="Footer"/>
      <w:framePr w:wrap="around" w:vAnchor="text" w:hAnchor="page" w:x="5847" w:y="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2DE2AC5" w14:textId="77777777" w:rsidR="00BD79B5" w:rsidRDefault="00BD79B5"/>
  <w:p w14:paraId="22A2A59D" w14:textId="77777777" w:rsidR="00BD79B5" w:rsidRDefault="00BD79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88E7" w14:textId="77777777" w:rsidR="00B074FD" w:rsidRDefault="00B074FD">
      <w:r>
        <w:separator/>
      </w:r>
    </w:p>
  </w:footnote>
  <w:footnote w:type="continuationSeparator" w:id="0">
    <w:p w14:paraId="3E2FE726" w14:textId="77777777" w:rsidR="00B074FD" w:rsidRDefault="00B074FD">
      <w:r>
        <w:continuationSeparator/>
      </w:r>
    </w:p>
  </w:footnote>
  <w:footnote w:id="1">
    <w:p w14:paraId="18CAD410" w14:textId="5A51D63B" w:rsidR="000874D6" w:rsidRDefault="000874D6">
      <w:pPr>
        <w:pStyle w:val="FootnoteText"/>
      </w:pPr>
      <w:r>
        <w:rPr>
          <w:rStyle w:val="FootnoteReference"/>
        </w:rPr>
        <w:footnoteRef/>
      </w:r>
      <w:r>
        <w:t xml:space="preserve"> </w:t>
      </w:r>
      <w:r w:rsidRPr="000874D6">
        <w:t>Adams G, Gulliford MC, Ukoumunne OC, et al. Patterns of intra-cluster correlation from primary care research to inform study design and analysis. J Clin Epidemiol, 2004; 57: 785–94.</w:t>
      </w:r>
    </w:p>
  </w:footnote>
  <w:footnote w:id="2">
    <w:p w14:paraId="44285762" w14:textId="10E83CEC" w:rsidR="000874D6" w:rsidRDefault="000874D6">
      <w:pPr>
        <w:pStyle w:val="FootnoteText"/>
      </w:pPr>
      <w:r>
        <w:rPr>
          <w:rStyle w:val="FootnoteReference"/>
        </w:rPr>
        <w:footnoteRef/>
      </w:r>
      <w:r>
        <w:t xml:space="preserve"> </w:t>
      </w:r>
      <w:r w:rsidRPr="000874D6">
        <w:t>Pfund C, House S, et al. Training Mentors of Clinical and Translational Research Scholars: A Randomized Controlled Trial, Acad Med., 2014 May; 89(5): 774–782 doi:10.1097/ACM.0000000000000218.</w:t>
      </w:r>
    </w:p>
  </w:footnote>
  <w:footnote w:id="3">
    <w:p w14:paraId="69AF430E" w14:textId="0C193845" w:rsidR="000874D6" w:rsidRDefault="000874D6">
      <w:pPr>
        <w:pStyle w:val="FootnoteText"/>
      </w:pPr>
      <w:r>
        <w:rPr>
          <w:rStyle w:val="FootnoteReference"/>
        </w:rPr>
        <w:footnoteRef/>
      </w:r>
      <w:r>
        <w:t xml:space="preserve"> </w:t>
      </w:r>
      <w:r w:rsidRPr="000874D6">
        <w:t>Pfund C, House S, et al. Training Mentors of Clinical and Translational Research Scholars: A Randomized Controlled Trial, Acad Med., 2014 May; 89(5): 774–782 doi:10.1097/ACM.0000000000000218.</w:t>
      </w:r>
    </w:p>
  </w:footnote>
  <w:footnote w:id="4">
    <w:p w14:paraId="1C777E2D" w14:textId="0B64D341" w:rsidR="000874D6" w:rsidRDefault="000874D6">
      <w:pPr>
        <w:pStyle w:val="FootnoteText"/>
      </w:pPr>
      <w:r>
        <w:rPr>
          <w:rStyle w:val="FootnoteReference"/>
        </w:rPr>
        <w:footnoteRef/>
      </w:r>
      <w:r>
        <w:t xml:space="preserve"> </w:t>
      </w:r>
      <w:r w:rsidRPr="000874D6">
        <w:t>Saldaña J. The coding manual for qualitative researchers (2nd ed.). 2014. Thousand Oaks, CA: Sage.</w:t>
      </w:r>
    </w:p>
  </w:footnote>
  <w:footnote w:id="5">
    <w:p w14:paraId="1C8A5751" w14:textId="07064F49" w:rsidR="000874D6" w:rsidRDefault="000874D6">
      <w:pPr>
        <w:pStyle w:val="FootnoteText"/>
      </w:pPr>
      <w:r>
        <w:rPr>
          <w:rStyle w:val="FootnoteReference"/>
        </w:rPr>
        <w:footnoteRef/>
      </w:r>
      <w:r>
        <w:t xml:space="preserve"> </w:t>
      </w:r>
      <w:r w:rsidRPr="000874D6">
        <w:t>Miles MB &amp; Huberman AM. Qualitative data analysis: An expanded sourcebook. 1994. San Francisco, CA: Sage.</w:t>
      </w:r>
    </w:p>
  </w:footnote>
  <w:footnote w:id="6">
    <w:p w14:paraId="6FC1E433" w14:textId="3B16D014" w:rsidR="000874D6" w:rsidRDefault="000874D6">
      <w:pPr>
        <w:pStyle w:val="FootnoteText"/>
      </w:pPr>
      <w:r>
        <w:rPr>
          <w:rStyle w:val="FootnoteReference"/>
        </w:rPr>
        <w:footnoteRef/>
      </w:r>
      <w:r>
        <w:t xml:space="preserve"> </w:t>
      </w:r>
      <w:r w:rsidRPr="000874D6">
        <w:t xml:space="preserve">Singer E &amp; Ye C. The use and effects of incentives in surveys. Ann Am </w:t>
      </w:r>
      <w:r w:rsidRPr="000874D6">
        <w:t>Acad Polit Soc Sci, 2013; 645: 112-141.</w:t>
      </w:r>
    </w:p>
  </w:footnote>
  <w:footnote w:id="7">
    <w:p w14:paraId="035AED1D" w14:textId="0F75AA9D" w:rsidR="000874D6" w:rsidRDefault="000874D6">
      <w:pPr>
        <w:pStyle w:val="FootnoteText"/>
      </w:pPr>
      <w:r>
        <w:rPr>
          <w:rStyle w:val="FootnoteReference"/>
        </w:rPr>
        <w:footnoteRef/>
      </w:r>
      <w:r>
        <w:t xml:space="preserve"> </w:t>
      </w:r>
      <w:r w:rsidRPr="000874D6">
        <w:t>Estrada M, Woodcock A, Schultz PW.  Tailored Panel Management: A Theory-Based Approach to Building and Maintaining Participant Commitment to a Longitudinal Study.  Evaluation Review, 2014; 38: pp 3-28.</w:t>
      </w:r>
    </w:p>
  </w:footnote>
  <w:footnote w:id="8">
    <w:p w14:paraId="40B40C4B" w14:textId="5CEC605B" w:rsidR="000874D6" w:rsidRDefault="000874D6">
      <w:pPr>
        <w:pStyle w:val="FootnoteText"/>
      </w:pPr>
      <w:r>
        <w:rPr>
          <w:rStyle w:val="FootnoteReference"/>
        </w:rPr>
        <w:footnoteRef/>
      </w:r>
      <w:r>
        <w:t xml:space="preserve"> </w:t>
      </w:r>
      <w:r w:rsidRPr="000874D6">
        <w:t>To N.  Review of Federal Survey Program Experiences in Incentives. Bureau of Labor Statistics, July 23, 2015.  http://www.bls.gov/cex/research_papers/pdf/Review-of-Incentive-Experiences-Report.pdf</w:t>
      </w:r>
    </w:p>
  </w:footnote>
  <w:footnote w:id="9">
    <w:p w14:paraId="7E37A35E" w14:textId="1BE361B6" w:rsidR="000874D6" w:rsidRDefault="000874D6">
      <w:pPr>
        <w:pStyle w:val="FootnoteText"/>
      </w:pPr>
      <w:r>
        <w:rPr>
          <w:rStyle w:val="FootnoteReference"/>
        </w:rPr>
        <w:footnoteRef/>
      </w:r>
      <w:r>
        <w:t xml:space="preserve"> </w:t>
      </w:r>
      <w:r w:rsidRPr="000874D6">
        <w:t>Estrada M, Woodcock A, Schultz PW.  Tailored Panel Management: A Theory-Based Approach to Building and Maintaining Participant Commitment to a Longitudinal Study.  Evaluation Review, 2014; 38: pp 3-28.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2C54" w14:textId="4E0857FF" w:rsidR="00BC6C1C" w:rsidRDefault="00BC6C1C" w:rsidP="00BC6C1C">
    <w:pPr>
      <w:pStyle w:val="Header"/>
      <w:jc w:val="right"/>
      <w:rPr>
        <w:b/>
      </w:rPr>
    </w:pPr>
    <w:r w:rsidRPr="00BC6C1C">
      <w:rPr>
        <w:b/>
      </w:rPr>
      <w:t>OMB Control Number 0925-0747</w:t>
    </w:r>
  </w:p>
  <w:p w14:paraId="3124AB67" w14:textId="77777777" w:rsidR="00BC6C1C" w:rsidRPr="00BC6C1C" w:rsidRDefault="00BC6C1C" w:rsidP="00BC6C1C">
    <w:pPr>
      <w:pStyle w:val="Header"/>
      <w:jc w:val="right"/>
      <w:rPr>
        <w:b/>
      </w:rPr>
    </w:pPr>
  </w:p>
  <w:p w14:paraId="537BE6CA" w14:textId="77777777" w:rsidR="00BD79B5" w:rsidRDefault="00BD79B5"/>
  <w:p w14:paraId="5087238C" w14:textId="77777777" w:rsidR="00BD79B5" w:rsidRDefault="00BD79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5C6F"/>
    <w:multiLevelType w:val="hybridMultilevel"/>
    <w:tmpl w:val="CB12FC38"/>
    <w:lvl w:ilvl="0" w:tplc="A910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3662"/>
    <w:multiLevelType w:val="singleLevel"/>
    <w:tmpl w:val="BCEC5342"/>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0F333B5D"/>
    <w:multiLevelType w:val="hybridMultilevel"/>
    <w:tmpl w:val="0F2C6890"/>
    <w:lvl w:ilvl="0" w:tplc="A9103DD8">
      <w:start w:val="1"/>
      <w:numFmt w:val="decimal"/>
      <w:lvlText w:val="(%1)"/>
      <w:lvlJc w:val="left"/>
      <w:pPr>
        <w:ind w:left="720" w:hanging="360"/>
      </w:pPr>
      <w:rPr>
        <w:rFonts w:hint="default"/>
      </w:rPr>
    </w:lvl>
    <w:lvl w:ilvl="1" w:tplc="B628C42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85BDE"/>
    <w:multiLevelType w:val="hybridMultilevel"/>
    <w:tmpl w:val="4C9AFF8E"/>
    <w:lvl w:ilvl="0" w:tplc="87FEAAAE">
      <w:start w:val="1"/>
      <w:numFmt w:val="bullet"/>
      <w:lvlText w:val="•"/>
      <w:lvlJc w:val="left"/>
      <w:pPr>
        <w:tabs>
          <w:tab w:val="num" w:pos="720"/>
        </w:tabs>
        <w:ind w:left="720" w:hanging="360"/>
      </w:pPr>
      <w:rPr>
        <w:rFonts w:ascii="Arial" w:hAnsi="Arial" w:hint="default"/>
      </w:rPr>
    </w:lvl>
    <w:lvl w:ilvl="1" w:tplc="89562556" w:tentative="1">
      <w:start w:val="1"/>
      <w:numFmt w:val="bullet"/>
      <w:lvlText w:val="•"/>
      <w:lvlJc w:val="left"/>
      <w:pPr>
        <w:tabs>
          <w:tab w:val="num" w:pos="1440"/>
        </w:tabs>
        <w:ind w:left="1440" w:hanging="360"/>
      </w:pPr>
      <w:rPr>
        <w:rFonts w:ascii="Arial" w:hAnsi="Arial" w:hint="default"/>
      </w:rPr>
    </w:lvl>
    <w:lvl w:ilvl="2" w:tplc="B92A11A8" w:tentative="1">
      <w:start w:val="1"/>
      <w:numFmt w:val="bullet"/>
      <w:lvlText w:val="•"/>
      <w:lvlJc w:val="left"/>
      <w:pPr>
        <w:tabs>
          <w:tab w:val="num" w:pos="2160"/>
        </w:tabs>
        <w:ind w:left="2160" w:hanging="360"/>
      </w:pPr>
      <w:rPr>
        <w:rFonts w:ascii="Arial" w:hAnsi="Arial" w:hint="default"/>
      </w:rPr>
    </w:lvl>
    <w:lvl w:ilvl="3" w:tplc="E03AAD2E" w:tentative="1">
      <w:start w:val="1"/>
      <w:numFmt w:val="bullet"/>
      <w:lvlText w:val="•"/>
      <w:lvlJc w:val="left"/>
      <w:pPr>
        <w:tabs>
          <w:tab w:val="num" w:pos="2880"/>
        </w:tabs>
        <w:ind w:left="2880" w:hanging="360"/>
      </w:pPr>
      <w:rPr>
        <w:rFonts w:ascii="Arial" w:hAnsi="Arial" w:hint="default"/>
      </w:rPr>
    </w:lvl>
    <w:lvl w:ilvl="4" w:tplc="69E27D30" w:tentative="1">
      <w:start w:val="1"/>
      <w:numFmt w:val="bullet"/>
      <w:lvlText w:val="•"/>
      <w:lvlJc w:val="left"/>
      <w:pPr>
        <w:tabs>
          <w:tab w:val="num" w:pos="3600"/>
        </w:tabs>
        <w:ind w:left="3600" w:hanging="360"/>
      </w:pPr>
      <w:rPr>
        <w:rFonts w:ascii="Arial" w:hAnsi="Arial" w:hint="default"/>
      </w:rPr>
    </w:lvl>
    <w:lvl w:ilvl="5" w:tplc="12FE1404" w:tentative="1">
      <w:start w:val="1"/>
      <w:numFmt w:val="bullet"/>
      <w:lvlText w:val="•"/>
      <w:lvlJc w:val="left"/>
      <w:pPr>
        <w:tabs>
          <w:tab w:val="num" w:pos="4320"/>
        </w:tabs>
        <w:ind w:left="4320" w:hanging="360"/>
      </w:pPr>
      <w:rPr>
        <w:rFonts w:ascii="Arial" w:hAnsi="Arial" w:hint="default"/>
      </w:rPr>
    </w:lvl>
    <w:lvl w:ilvl="6" w:tplc="28A818D4" w:tentative="1">
      <w:start w:val="1"/>
      <w:numFmt w:val="bullet"/>
      <w:lvlText w:val="•"/>
      <w:lvlJc w:val="left"/>
      <w:pPr>
        <w:tabs>
          <w:tab w:val="num" w:pos="5040"/>
        </w:tabs>
        <w:ind w:left="5040" w:hanging="360"/>
      </w:pPr>
      <w:rPr>
        <w:rFonts w:ascii="Arial" w:hAnsi="Arial" w:hint="default"/>
      </w:rPr>
    </w:lvl>
    <w:lvl w:ilvl="7" w:tplc="F9CE00EE" w:tentative="1">
      <w:start w:val="1"/>
      <w:numFmt w:val="bullet"/>
      <w:lvlText w:val="•"/>
      <w:lvlJc w:val="left"/>
      <w:pPr>
        <w:tabs>
          <w:tab w:val="num" w:pos="5760"/>
        </w:tabs>
        <w:ind w:left="5760" w:hanging="360"/>
      </w:pPr>
      <w:rPr>
        <w:rFonts w:ascii="Arial" w:hAnsi="Arial" w:hint="default"/>
      </w:rPr>
    </w:lvl>
    <w:lvl w:ilvl="8" w:tplc="EA9036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C2641E"/>
    <w:multiLevelType w:val="hybridMultilevel"/>
    <w:tmpl w:val="19A6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3316"/>
    <w:multiLevelType w:val="hybridMultilevel"/>
    <w:tmpl w:val="0FFA5E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2530B"/>
    <w:multiLevelType w:val="hybridMultilevel"/>
    <w:tmpl w:val="30627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25B"/>
    <w:multiLevelType w:val="hybridMultilevel"/>
    <w:tmpl w:val="D3D07ECE"/>
    <w:lvl w:ilvl="0" w:tplc="386C14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51290"/>
    <w:multiLevelType w:val="hybridMultilevel"/>
    <w:tmpl w:val="AE3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34801"/>
    <w:multiLevelType w:val="hybridMultilevel"/>
    <w:tmpl w:val="092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415A2"/>
    <w:multiLevelType w:val="hybridMultilevel"/>
    <w:tmpl w:val="9B1E72E8"/>
    <w:lvl w:ilvl="0" w:tplc="A910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42C94"/>
    <w:multiLevelType w:val="hybridMultilevel"/>
    <w:tmpl w:val="C3A8A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9FE6D780">
      <w:start w:val="1"/>
      <w:numFmt w:val="lowerLetter"/>
      <w:lvlText w:val="%3."/>
      <w:lvlJc w:val="right"/>
      <w:pPr>
        <w:ind w:left="2160" w:hanging="180"/>
      </w:pPr>
      <w:rPr>
        <w:rFonts w:ascii="Calibri" w:eastAsia="Calibri"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13" w15:restartNumberingAfterBreak="0">
    <w:nsid w:val="5845190B"/>
    <w:multiLevelType w:val="hybridMultilevel"/>
    <w:tmpl w:val="F5D24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1527E"/>
    <w:multiLevelType w:val="hybridMultilevel"/>
    <w:tmpl w:val="049E8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8A123AA"/>
    <w:multiLevelType w:val="hybridMultilevel"/>
    <w:tmpl w:val="7D6C2880"/>
    <w:lvl w:ilvl="0" w:tplc="A810FB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B36EF2"/>
    <w:multiLevelType w:val="hybridMultilevel"/>
    <w:tmpl w:val="1B70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82C94"/>
    <w:multiLevelType w:val="hybridMultilevel"/>
    <w:tmpl w:val="E8A463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291A3166">
      <w:start w:val="1"/>
      <w:numFmt w:val="lowerLetter"/>
      <w:lvlText w:val="%3."/>
      <w:lvlJc w:val="left"/>
      <w:pPr>
        <w:ind w:left="2700" w:hanging="720"/>
      </w:pPr>
      <w:rPr>
        <w:rFonts w:ascii="Calibri" w:eastAsia="Calibri" w:hAnsi="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67600"/>
    <w:multiLevelType w:val="hybridMultilevel"/>
    <w:tmpl w:val="6D385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34E76"/>
    <w:multiLevelType w:val="hybridMultilevel"/>
    <w:tmpl w:val="A2E60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F4FA5"/>
    <w:multiLevelType w:val="hybridMultilevel"/>
    <w:tmpl w:val="004CCF5A"/>
    <w:lvl w:ilvl="0" w:tplc="A910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7"/>
  </w:num>
  <w:num w:numId="4">
    <w:abstractNumId w:val="1"/>
  </w:num>
  <w:num w:numId="5">
    <w:abstractNumId w:val="14"/>
  </w:num>
  <w:num w:numId="6">
    <w:abstractNumId w:val="21"/>
  </w:num>
  <w:num w:numId="7">
    <w:abstractNumId w:val="0"/>
  </w:num>
  <w:num w:numId="8">
    <w:abstractNumId w:val="2"/>
  </w:num>
  <w:num w:numId="9">
    <w:abstractNumId w:val="13"/>
  </w:num>
  <w:num w:numId="10">
    <w:abstractNumId w:val="18"/>
  </w:num>
  <w:num w:numId="11">
    <w:abstractNumId w:val="20"/>
  </w:num>
  <w:num w:numId="12">
    <w:abstractNumId w:val="17"/>
  </w:num>
  <w:num w:numId="13">
    <w:abstractNumId w:val="11"/>
  </w:num>
  <w:num w:numId="14">
    <w:abstractNumId w:val="19"/>
  </w:num>
  <w:num w:numId="15">
    <w:abstractNumId w:val="10"/>
  </w:num>
  <w:num w:numId="16">
    <w:abstractNumId w:val="5"/>
  </w:num>
  <w:num w:numId="17">
    <w:abstractNumId w:val="16"/>
  </w:num>
  <w:num w:numId="18">
    <w:abstractNumId w:val="3"/>
  </w:num>
  <w:num w:numId="19">
    <w:abstractNumId w:val="8"/>
  </w:num>
  <w:num w:numId="20">
    <w:abstractNumId w:val="9"/>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028C7"/>
    <w:rsid w:val="00003371"/>
    <w:rsid w:val="0000556E"/>
    <w:rsid w:val="00007846"/>
    <w:rsid w:val="00010A75"/>
    <w:rsid w:val="000311E5"/>
    <w:rsid w:val="000477AA"/>
    <w:rsid w:val="0005035B"/>
    <w:rsid w:val="000727FF"/>
    <w:rsid w:val="000802B7"/>
    <w:rsid w:val="000838E3"/>
    <w:rsid w:val="000864A6"/>
    <w:rsid w:val="000874D6"/>
    <w:rsid w:val="000A31A8"/>
    <w:rsid w:val="000B08F7"/>
    <w:rsid w:val="000B1A13"/>
    <w:rsid w:val="000B42A9"/>
    <w:rsid w:val="000B48C8"/>
    <w:rsid w:val="000C061C"/>
    <w:rsid w:val="000C7FBE"/>
    <w:rsid w:val="000D47F5"/>
    <w:rsid w:val="000E1239"/>
    <w:rsid w:val="000E1EA1"/>
    <w:rsid w:val="000E29FE"/>
    <w:rsid w:val="000E3526"/>
    <w:rsid w:val="00100E83"/>
    <w:rsid w:val="00110533"/>
    <w:rsid w:val="00114DB8"/>
    <w:rsid w:val="00117878"/>
    <w:rsid w:val="00137FA5"/>
    <w:rsid w:val="001410DD"/>
    <w:rsid w:val="00143E73"/>
    <w:rsid w:val="0014449A"/>
    <w:rsid w:val="00144705"/>
    <w:rsid w:val="00144958"/>
    <w:rsid w:val="0014683D"/>
    <w:rsid w:val="001648FE"/>
    <w:rsid w:val="0016603E"/>
    <w:rsid w:val="001663E8"/>
    <w:rsid w:val="00195A37"/>
    <w:rsid w:val="00197085"/>
    <w:rsid w:val="001A3DB6"/>
    <w:rsid w:val="001B26D4"/>
    <w:rsid w:val="001B4586"/>
    <w:rsid w:val="001D2DA3"/>
    <w:rsid w:val="001D4FBC"/>
    <w:rsid w:val="001E02A9"/>
    <w:rsid w:val="001E1AAA"/>
    <w:rsid w:val="001E2803"/>
    <w:rsid w:val="001E2C04"/>
    <w:rsid w:val="001E2E2A"/>
    <w:rsid w:val="001E50BB"/>
    <w:rsid w:val="001F3252"/>
    <w:rsid w:val="001F553C"/>
    <w:rsid w:val="00202081"/>
    <w:rsid w:val="002060D2"/>
    <w:rsid w:val="002118AD"/>
    <w:rsid w:val="00220B0C"/>
    <w:rsid w:val="0022417D"/>
    <w:rsid w:val="002257D9"/>
    <w:rsid w:val="00226613"/>
    <w:rsid w:val="0024029C"/>
    <w:rsid w:val="00242162"/>
    <w:rsid w:val="00247826"/>
    <w:rsid w:val="00253C78"/>
    <w:rsid w:val="00261279"/>
    <w:rsid w:val="00270371"/>
    <w:rsid w:val="00274526"/>
    <w:rsid w:val="00274EBD"/>
    <w:rsid w:val="00282C7C"/>
    <w:rsid w:val="00285627"/>
    <w:rsid w:val="002928BA"/>
    <w:rsid w:val="00292F39"/>
    <w:rsid w:val="00293373"/>
    <w:rsid w:val="002951F5"/>
    <w:rsid w:val="002B0541"/>
    <w:rsid w:val="002B2653"/>
    <w:rsid w:val="002B3A30"/>
    <w:rsid w:val="002C3642"/>
    <w:rsid w:val="002C67CA"/>
    <w:rsid w:val="002D2886"/>
    <w:rsid w:val="002D2CA0"/>
    <w:rsid w:val="002D33BB"/>
    <w:rsid w:val="002E05E1"/>
    <w:rsid w:val="002E4DA3"/>
    <w:rsid w:val="002F0E8E"/>
    <w:rsid w:val="002F4DEF"/>
    <w:rsid w:val="00303181"/>
    <w:rsid w:val="0031033D"/>
    <w:rsid w:val="00314AF6"/>
    <w:rsid w:val="00317CB0"/>
    <w:rsid w:val="00323F97"/>
    <w:rsid w:val="00331190"/>
    <w:rsid w:val="00333217"/>
    <w:rsid w:val="003427BF"/>
    <w:rsid w:val="00362988"/>
    <w:rsid w:val="0037556F"/>
    <w:rsid w:val="0037748B"/>
    <w:rsid w:val="0038191E"/>
    <w:rsid w:val="00382513"/>
    <w:rsid w:val="00382920"/>
    <w:rsid w:val="00390E3E"/>
    <w:rsid w:val="00395E54"/>
    <w:rsid w:val="003A0168"/>
    <w:rsid w:val="003A2A38"/>
    <w:rsid w:val="003B4389"/>
    <w:rsid w:val="003B43BC"/>
    <w:rsid w:val="003C485A"/>
    <w:rsid w:val="003C6AAB"/>
    <w:rsid w:val="003C7F21"/>
    <w:rsid w:val="003D36D9"/>
    <w:rsid w:val="003D3783"/>
    <w:rsid w:val="003E597B"/>
    <w:rsid w:val="003E5D3E"/>
    <w:rsid w:val="003E6341"/>
    <w:rsid w:val="003F1353"/>
    <w:rsid w:val="00406ABF"/>
    <w:rsid w:val="00413E24"/>
    <w:rsid w:val="00431A2A"/>
    <w:rsid w:val="00436A2C"/>
    <w:rsid w:val="00436F8B"/>
    <w:rsid w:val="0045295D"/>
    <w:rsid w:val="0045405A"/>
    <w:rsid w:val="004572C8"/>
    <w:rsid w:val="0047313D"/>
    <w:rsid w:val="00476658"/>
    <w:rsid w:val="00477510"/>
    <w:rsid w:val="00481C2F"/>
    <w:rsid w:val="00483A69"/>
    <w:rsid w:val="004860AD"/>
    <w:rsid w:val="00494C53"/>
    <w:rsid w:val="00495AC7"/>
    <w:rsid w:val="00496045"/>
    <w:rsid w:val="004A317D"/>
    <w:rsid w:val="004A6AFB"/>
    <w:rsid w:val="004A70E1"/>
    <w:rsid w:val="004B3260"/>
    <w:rsid w:val="004C0728"/>
    <w:rsid w:val="004C770F"/>
    <w:rsid w:val="004D3606"/>
    <w:rsid w:val="004D7222"/>
    <w:rsid w:val="004E147A"/>
    <w:rsid w:val="004E25B7"/>
    <w:rsid w:val="00530A5D"/>
    <w:rsid w:val="00532057"/>
    <w:rsid w:val="005371A7"/>
    <w:rsid w:val="0055098C"/>
    <w:rsid w:val="00552B5C"/>
    <w:rsid w:val="00554465"/>
    <w:rsid w:val="005545C5"/>
    <w:rsid w:val="0055571C"/>
    <w:rsid w:val="00557265"/>
    <w:rsid w:val="00562D42"/>
    <w:rsid w:val="005669B9"/>
    <w:rsid w:val="00567F73"/>
    <w:rsid w:val="00573FFC"/>
    <w:rsid w:val="00574786"/>
    <w:rsid w:val="00577E89"/>
    <w:rsid w:val="00581CD2"/>
    <w:rsid w:val="00581F92"/>
    <w:rsid w:val="00587CE3"/>
    <w:rsid w:val="005974BD"/>
    <w:rsid w:val="005A1C2C"/>
    <w:rsid w:val="005A27A5"/>
    <w:rsid w:val="005A59A9"/>
    <w:rsid w:val="005B492D"/>
    <w:rsid w:val="005C3DC2"/>
    <w:rsid w:val="005C5027"/>
    <w:rsid w:val="005C67C2"/>
    <w:rsid w:val="005C7B7D"/>
    <w:rsid w:val="005D2491"/>
    <w:rsid w:val="005D2DD7"/>
    <w:rsid w:val="005D2FE5"/>
    <w:rsid w:val="005D3103"/>
    <w:rsid w:val="005D396D"/>
    <w:rsid w:val="005D3DA0"/>
    <w:rsid w:val="005D596D"/>
    <w:rsid w:val="005D66D5"/>
    <w:rsid w:val="005E06C5"/>
    <w:rsid w:val="005E1A63"/>
    <w:rsid w:val="005E1E92"/>
    <w:rsid w:val="005E200B"/>
    <w:rsid w:val="005E3002"/>
    <w:rsid w:val="005E5877"/>
    <w:rsid w:val="005F0DC3"/>
    <w:rsid w:val="005F33DB"/>
    <w:rsid w:val="005F3912"/>
    <w:rsid w:val="00600FA2"/>
    <w:rsid w:val="006037AA"/>
    <w:rsid w:val="00603E27"/>
    <w:rsid w:val="006321FC"/>
    <w:rsid w:val="006339DE"/>
    <w:rsid w:val="0064007D"/>
    <w:rsid w:val="0064194B"/>
    <w:rsid w:val="006420DF"/>
    <w:rsid w:val="00644F71"/>
    <w:rsid w:val="00654981"/>
    <w:rsid w:val="00657EF5"/>
    <w:rsid w:val="00666564"/>
    <w:rsid w:val="0067103C"/>
    <w:rsid w:val="00672CCA"/>
    <w:rsid w:val="006732F8"/>
    <w:rsid w:val="00680E77"/>
    <w:rsid w:val="0068253F"/>
    <w:rsid w:val="00683464"/>
    <w:rsid w:val="00684A0D"/>
    <w:rsid w:val="00693374"/>
    <w:rsid w:val="006952E5"/>
    <w:rsid w:val="006A575F"/>
    <w:rsid w:val="006D06F9"/>
    <w:rsid w:val="006D4678"/>
    <w:rsid w:val="006D4A2D"/>
    <w:rsid w:val="006D6540"/>
    <w:rsid w:val="006D7983"/>
    <w:rsid w:val="006E0F6D"/>
    <w:rsid w:val="006E2B61"/>
    <w:rsid w:val="006E557B"/>
    <w:rsid w:val="006F1B10"/>
    <w:rsid w:val="00710964"/>
    <w:rsid w:val="00717507"/>
    <w:rsid w:val="00717FC5"/>
    <w:rsid w:val="00720249"/>
    <w:rsid w:val="0072201A"/>
    <w:rsid w:val="00741EE3"/>
    <w:rsid w:val="00744670"/>
    <w:rsid w:val="00753CB1"/>
    <w:rsid w:val="007541A2"/>
    <w:rsid w:val="0075488E"/>
    <w:rsid w:val="00754DCD"/>
    <w:rsid w:val="007602F1"/>
    <w:rsid w:val="00770176"/>
    <w:rsid w:val="00773552"/>
    <w:rsid w:val="0077506C"/>
    <w:rsid w:val="0078033B"/>
    <w:rsid w:val="0078787C"/>
    <w:rsid w:val="0079012C"/>
    <w:rsid w:val="00794B1C"/>
    <w:rsid w:val="00795153"/>
    <w:rsid w:val="007A0F20"/>
    <w:rsid w:val="007A12D8"/>
    <w:rsid w:val="007A66A8"/>
    <w:rsid w:val="007A6B3C"/>
    <w:rsid w:val="007A76C8"/>
    <w:rsid w:val="007A7EB5"/>
    <w:rsid w:val="007B39D1"/>
    <w:rsid w:val="007B55B4"/>
    <w:rsid w:val="007B621F"/>
    <w:rsid w:val="007B6EF4"/>
    <w:rsid w:val="007C0A89"/>
    <w:rsid w:val="007C16BD"/>
    <w:rsid w:val="007C4BCF"/>
    <w:rsid w:val="007D0175"/>
    <w:rsid w:val="007D30DA"/>
    <w:rsid w:val="007E51EF"/>
    <w:rsid w:val="00801246"/>
    <w:rsid w:val="00807E31"/>
    <w:rsid w:val="0081301A"/>
    <w:rsid w:val="00813D28"/>
    <w:rsid w:val="00821E82"/>
    <w:rsid w:val="00831BD1"/>
    <w:rsid w:val="00832D42"/>
    <w:rsid w:val="008343F7"/>
    <w:rsid w:val="00837582"/>
    <w:rsid w:val="008404FE"/>
    <w:rsid w:val="00842CFA"/>
    <w:rsid w:val="00842D4C"/>
    <w:rsid w:val="00844DD4"/>
    <w:rsid w:val="0085035C"/>
    <w:rsid w:val="0085671F"/>
    <w:rsid w:val="0085722F"/>
    <w:rsid w:val="00860957"/>
    <w:rsid w:val="008617E3"/>
    <w:rsid w:val="008625FE"/>
    <w:rsid w:val="008637B2"/>
    <w:rsid w:val="0086430C"/>
    <w:rsid w:val="008656C6"/>
    <w:rsid w:val="0086747E"/>
    <w:rsid w:val="00895B33"/>
    <w:rsid w:val="00896C6D"/>
    <w:rsid w:val="00897649"/>
    <w:rsid w:val="008A1C8B"/>
    <w:rsid w:val="008A2770"/>
    <w:rsid w:val="008B6FB8"/>
    <w:rsid w:val="008C310E"/>
    <w:rsid w:val="008E4CAC"/>
    <w:rsid w:val="008E73B0"/>
    <w:rsid w:val="008F048F"/>
    <w:rsid w:val="008F709D"/>
    <w:rsid w:val="00905C27"/>
    <w:rsid w:val="00905C81"/>
    <w:rsid w:val="0090788B"/>
    <w:rsid w:val="0091193A"/>
    <w:rsid w:val="0091542E"/>
    <w:rsid w:val="00932363"/>
    <w:rsid w:val="0093431F"/>
    <w:rsid w:val="00950E1F"/>
    <w:rsid w:val="009560FB"/>
    <w:rsid w:val="0095781C"/>
    <w:rsid w:val="00957F14"/>
    <w:rsid w:val="00962B18"/>
    <w:rsid w:val="00964142"/>
    <w:rsid w:val="00967A1B"/>
    <w:rsid w:val="00970A12"/>
    <w:rsid w:val="00977062"/>
    <w:rsid w:val="00991D01"/>
    <w:rsid w:val="00992147"/>
    <w:rsid w:val="0099343D"/>
    <w:rsid w:val="00994AC9"/>
    <w:rsid w:val="009965F7"/>
    <w:rsid w:val="009A3150"/>
    <w:rsid w:val="009A4C71"/>
    <w:rsid w:val="009B2EF0"/>
    <w:rsid w:val="009B5BA9"/>
    <w:rsid w:val="009B62FD"/>
    <w:rsid w:val="009C4608"/>
    <w:rsid w:val="009C6AC8"/>
    <w:rsid w:val="009D5EF3"/>
    <w:rsid w:val="009E4589"/>
    <w:rsid w:val="009E76B0"/>
    <w:rsid w:val="009F019E"/>
    <w:rsid w:val="009F1339"/>
    <w:rsid w:val="009F5464"/>
    <w:rsid w:val="00A006EA"/>
    <w:rsid w:val="00A0623E"/>
    <w:rsid w:val="00A06868"/>
    <w:rsid w:val="00A10AC6"/>
    <w:rsid w:val="00A124C3"/>
    <w:rsid w:val="00A20D08"/>
    <w:rsid w:val="00A22755"/>
    <w:rsid w:val="00A22F58"/>
    <w:rsid w:val="00A34B59"/>
    <w:rsid w:val="00A357BC"/>
    <w:rsid w:val="00A370BB"/>
    <w:rsid w:val="00A37B1C"/>
    <w:rsid w:val="00A42C04"/>
    <w:rsid w:val="00A51C53"/>
    <w:rsid w:val="00A54624"/>
    <w:rsid w:val="00A54A33"/>
    <w:rsid w:val="00A60522"/>
    <w:rsid w:val="00A61B94"/>
    <w:rsid w:val="00A71760"/>
    <w:rsid w:val="00A71EE2"/>
    <w:rsid w:val="00A749C6"/>
    <w:rsid w:val="00A80813"/>
    <w:rsid w:val="00A80B74"/>
    <w:rsid w:val="00A835C8"/>
    <w:rsid w:val="00A9340A"/>
    <w:rsid w:val="00A93C27"/>
    <w:rsid w:val="00AA0A3B"/>
    <w:rsid w:val="00AA3AA2"/>
    <w:rsid w:val="00AA4E58"/>
    <w:rsid w:val="00AB1C7F"/>
    <w:rsid w:val="00AB53FB"/>
    <w:rsid w:val="00AC0FF6"/>
    <w:rsid w:val="00AC4FF0"/>
    <w:rsid w:val="00AD0A61"/>
    <w:rsid w:val="00AE1FB7"/>
    <w:rsid w:val="00AF034C"/>
    <w:rsid w:val="00AF6E40"/>
    <w:rsid w:val="00B074FD"/>
    <w:rsid w:val="00B16302"/>
    <w:rsid w:val="00B30515"/>
    <w:rsid w:val="00B41EC6"/>
    <w:rsid w:val="00B429F1"/>
    <w:rsid w:val="00B42A69"/>
    <w:rsid w:val="00B52891"/>
    <w:rsid w:val="00B55092"/>
    <w:rsid w:val="00B5683E"/>
    <w:rsid w:val="00B56986"/>
    <w:rsid w:val="00B70C07"/>
    <w:rsid w:val="00B71B3A"/>
    <w:rsid w:val="00B71C0C"/>
    <w:rsid w:val="00B72329"/>
    <w:rsid w:val="00B738CB"/>
    <w:rsid w:val="00B75F51"/>
    <w:rsid w:val="00B760D3"/>
    <w:rsid w:val="00B76C48"/>
    <w:rsid w:val="00B8253E"/>
    <w:rsid w:val="00B82E77"/>
    <w:rsid w:val="00B834BA"/>
    <w:rsid w:val="00B83C8E"/>
    <w:rsid w:val="00B83EFB"/>
    <w:rsid w:val="00B9080B"/>
    <w:rsid w:val="00B914B7"/>
    <w:rsid w:val="00B96E57"/>
    <w:rsid w:val="00BA024F"/>
    <w:rsid w:val="00BA511B"/>
    <w:rsid w:val="00BB1CAE"/>
    <w:rsid w:val="00BB35D2"/>
    <w:rsid w:val="00BC4019"/>
    <w:rsid w:val="00BC4450"/>
    <w:rsid w:val="00BC4E67"/>
    <w:rsid w:val="00BC65E6"/>
    <w:rsid w:val="00BC6C1C"/>
    <w:rsid w:val="00BD78AD"/>
    <w:rsid w:val="00BD79B5"/>
    <w:rsid w:val="00BE021E"/>
    <w:rsid w:val="00BE0605"/>
    <w:rsid w:val="00BE7AEB"/>
    <w:rsid w:val="00BF3395"/>
    <w:rsid w:val="00BF3C40"/>
    <w:rsid w:val="00BF7FA4"/>
    <w:rsid w:val="00C01540"/>
    <w:rsid w:val="00C01D75"/>
    <w:rsid w:val="00C01FD4"/>
    <w:rsid w:val="00C05918"/>
    <w:rsid w:val="00C1102A"/>
    <w:rsid w:val="00C13C11"/>
    <w:rsid w:val="00C167B3"/>
    <w:rsid w:val="00C16C30"/>
    <w:rsid w:val="00C17439"/>
    <w:rsid w:val="00C33347"/>
    <w:rsid w:val="00C41E5E"/>
    <w:rsid w:val="00C541DC"/>
    <w:rsid w:val="00C54D36"/>
    <w:rsid w:val="00C62CC8"/>
    <w:rsid w:val="00C70D6F"/>
    <w:rsid w:val="00C76E94"/>
    <w:rsid w:val="00C81F0A"/>
    <w:rsid w:val="00C83219"/>
    <w:rsid w:val="00C94EE3"/>
    <w:rsid w:val="00CA02BF"/>
    <w:rsid w:val="00CA35A7"/>
    <w:rsid w:val="00CB7952"/>
    <w:rsid w:val="00CC11F5"/>
    <w:rsid w:val="00CC56E1"/>
    <w:rsid w:val="00CD679B"/>
    <w:rsid w:val="00CE2B2A"/>
    <w:rsid w:val="00CF3CBF"/>
    <w:rsid w:val="00CF4DBD"/>
    <w:rsid w:val="00CF51F8"/>
    <w:rsid w:val="00CF5365"/>
    <w:rsid w:val="00D02153"/>
    <w:rsid w:val="00D05B2C"/>
    <w:rsid w:val="00D075B4"/>
    <w:rsid w:val="00D1187E"/>
    <w:rsid w:val="00D24ED0"/>
    <w:rsid w:val="00D2540C"/>
    <w:rsid w:val="00D275A5"/>
    <w:rsid w:val="00D2794B"/>
    <w:rsid w:val="00D351BA"/>
    <w:rsid w:val="00D3751D"/>
    <w:rsid w:val="00D403EE"/>
    <w:rsid w:val="00D42D2E"/>
    <w:rsid w:val="00D5034C"/>
    <w:rsid w:val="00D52706"/>
    <w:rsid w:val="00D649F9"/>
    <w:rsid w:val="00D64A0A"/>
    <w:rsid w:val="00D70D0F"/>
    <w:rsid w:val="00D76F01"/>
    <w:rsid w:val="00D8063C"/>
    <w:rsid w:val="00D8270D"/>
    <w:rsid w:val="00D872D1"/>
    <w:rsid w:val="00D91E00"/>
    <w:rsid w:val="00D9224D"/>
    <w:rsid w:val="00D96668"/>
    <w:rsid w:val="00D9678B"/>
    <w:rsid w:val="00DB19DB"/>
    <w:rsid w:val="00DB2BE5"/>
    <w:rsid w:val="00DB7058"/>
    <w:rsid w:val="00DD00AB"/>
    <w:rsid w:val="00DE1AD2"/>
    <w:rsid w:val="00DE452B"/>
    <w:rsid w:val="00DF7186"/>
    <w:rsid w:val="00E04A99"/>
    <w:rsid w:val="00E0618B"/>
    <w:rsid w:val="00E11288"/>
    <w:rsid w:val="00E127A0"/>
    <w:rsid w:val="00E16340"/>
    <w:rsid w:val="00E200DA"/>
    <w:rsid w:val="00E23078"/>
    <w:rsid w:val="00E23B27"/>
    <w:rsid w:val="00E249DE"/>
    <w:rsid w:val="00E32F46"/>
    <w:rsid w:val="00E3479E"/>
    <w:rsid w:val="00E34D50"/>
    <w:rsid w:val="00E353DE"/>
    <w:rsid w:val="00E36942"/>
    <w:rsid w:val="00E36A07"/>
    <w:rsid w:val="00E4252C"/>
    <w:rsid w:val="00E43D6A"/>
    <w:rsid w:val="00E46EE4"/>
    <w:rsid w:val="00E520BA"/>
    <w:rsid w:val="00E52AF9"/>
    <w:rsid w:val="00E54293"/>
    <w:rsid w:val="00E542C8"/>
    <w:rsid w:val="00E57617"/>
    <w:rsid w:val="00E607DD"/>
    <w:rsid w:val="00E60D38"/>
    <w:rsid w:val="00E62522"/>
    <w:rsid w:val="00E76D59"/>
    <w:rsid w:val="00E800DE"/>
    <w:rsid w:val="00E800E0"/>
    <w:rsid w:val="00E80150"/>
    <w:rsid w:val="00E85176"/>
    <w:rsid w:val="00E91BE1"/>
    <w:rsid w:val="00E934F2"/>
    <w:rsid w:val="00E9652D"/>
    <w:rsid w:val="00EA6E4F"/>
    <w:rsid w:val="00EB1AF8"/>
    <w:rsid w:val="00EB3963"/>
    <w:rsid w:val="00EB4C85"/>
    <w:rsid w:val="00EC4EDC"/>
    <w:rsid w:val="00ED3288"/>
    <w:rsid w:val="00ED3523"/>
    <w:rsid w:val="00EE0966"/>
    <w:rsid w:val="00EE638E"/>
    <w:rsid w:val="00EE7C95"/>
    <w:rsid w:val="00EF03F4"/>
    <w:rsid w:val="00EF1EDB"/>
    <w:rsid w:val="00EF460F"/>
    <w:rsid w:val="00EF58A6"/>
    <w:rsid w:val="00F04002"/>
    <w:rsid w:val="00F06DD0"/>
    <w:rsid w:val="00F1068F"/>
    <w:rsid w:val="00F12E9E"/>
    <w:rsid w:val="00F168D0"/>
    <w:rsid w:val="00F21378"/>
    <w:rsid w:val="00F21B11"/>
    <w:rsid w:val="00F220BF"/>
    <w:rsid w:val="00F263BC"/>
    <w:rsid w:val="00F31965"/>
    <w:rsid w:val="00F41045"/>
    <w:rsid w:val="00F419AA"/>
    <w:rsid w:val="00F422FA"/>
    <w:rsid w:val="00F42447"/>
    <w:rsid w:val="00F4506A"/>
    <w:rsid w:val="00F460A8"/>
    <w:rsid w:val="00F51A60"/>
    <w:rsid w:val="00F5434D"/>
    <w:rsid w:val="00F6488B"/>
    <w:rsid w:val="00F673FD"/>
    <w:rsid w:val="00F81549"/>
    <w:rsid w:val="00F82654"/>
    <w:rsid w:val="00F91974"/>
    <w:rsid w:val="00F919E3"/>
    <w:rsid w:val="00F91A68"/>
    <w:rsid w:val="00F92D15"/>
    <w:rsid w:val="00F930C0"/>
    <w:rsid w:val="00F94A3F"/>
    <w:rsid w:val="00F95A8D"/>
    <w:rsid w:val="00FA3ADD"/>
    <w:rsid w:val="00FB0BB4"/>
    <w:rsid w:val="00FB1D53"/>
    <w:rsid w:val="00FC017B"/>
    <w:rsid w:val="00FC1964"/>
    <w:rsid w:val="00FC718E"/>
    <w:rsid w:val="00FE56F0"/>
    <w:rsid w:val="00FF5E57"/>
    <w:rsid w:val="00FF641A"/>
    <w:rsid w:val="00FF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46156E"/>
  <w15:docId w15:val="{3002DFEA-847F-4C19-8E0A-5BB1A95F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A59A9"/>
    <w:rPr>
      <w:sz w:val="24"/>
      <w:szCs w:val="24"/>
    </w:rPr>
  </w:style>
  <w:style w:type="paragraph" w:styleId="Heading1">
    <w:name w:val="heading 1"/>
    <w:basedOn w:val="Normal"/>
    <w:next w:val="Normal"/>
    <w:qFormat/>
    <w:rsid w:val="00476658"/>
    <w:pPr>
      <w:keepNext/>
      <w:outlineLvl w:val="0"/>
    </w:pPr>
    <w:rPr>
      <w:b/>
      <w:bCs/>
      <w:kern w:val="32"/>
    </w:rPr>
  </w:style>
  <w:style w:type="paragraph" w:styleId="Heading2">
    <w:name w:val="heading 2"/>
    <w:aliases w:val="H2-Sec. Head"/>
    <w:basedOn w:val="Normal"/>
    <w:next w:val="P1-StandPara"/>
    <w:link w:val="Heading2Char"/>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uiPriority w:val="9"/>
    <w:unhideWhenUsed/>
    <w:qFormat/>
    <w:rsid w:val="00E80150"/>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5E5877"/>
    <w:pPr>
      <w:tabs>
        <w:tab w:val="left" w:pos="0"/>
        <w:tab w:val="left" w:pos="720"/>
        <w:tab w:val="right" w:leader="dot" w:pos="9450"/>
      </w:tabs>
      <w:spacing w:before="120" w:after="120" w:line="480" w:lineRule="auto"/>
      <w:ind w:right="1350"/>
      <w:jc w:val="both"/>
    </w:pPr>
    <w:rPr>
      <w:caps/>
      <w:noProof/>
      <w:sz w:val="24"/>
      <w:szCs w:val="24"/>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BodyText">
    <w:name w:val="Body Text"/>
    <w:basedOn w:val="Normal"/>
    <w:link w:val="BodyTextChar"/>
    <w:rsid w:val="00CF3CBF"/>
    <w:pPr>
      <w:spacing w:after="120"/>
    </w:pPr>
  </w:style>
  <w:style w:type="character" w:customStyle="1" w:styleId="BodyTextChar">
    <w:name w:val="Body Text Char"/>
    <w:link w:val="BodyText"/>
    <w:rsid w:val="00CF3CBF"/>
    <w:rPr>
      <w:sz w:val="24"/>
      <w:szCs w:val="24"/>
    </w:rPr>
  </w:style>
  <w:style w:type="paragraph" w:customStyle="1" w:styleId="TableParagraph">
    <w:name w:val="Table Paragraph"/>
    <w:basedOn w:val="Normal"/>
    <w:uiPriority w:val="1"/>
    <w:qFormat/>
    <w:rsid w:val="00CF3CBF"/>
    <w:pPr>
      <w:widowControl w:val="0"/>
    </w:pPr>
    <w:rPr>
      <w:rFonts w:ascii="Calibri" w:eastAsia="Calibri" w:hAnsi="Calibri"/>
      <w:sz w:val="22"/>
      <w:szCs w:val="22"/>
    </w:rPr>
  </w:style>
  <w:style w:type="character" w:styleId="CommentReference">
    <w:name w:val="annotation reference"/>
    <w:uiPriority w:val="99"/>
    <w:rsid w:val="00436F8B"/>
    <w:rPr>
      <w:sz w:val="16"/>
      <w:szCs w:val="16"/>
    </w:rPr>
  </w:style>
  <w:style w:type="paragraph" w:styleId="CommentText">
    <w:name w:val="annotation text"/>
    <w:basedOn w:val="Normal"/>
    <w:link w:val="CommentTextChar"/>
    <w:uiPriority w:val="99"/>
    <w:rsid w:val="00436F8B"/>
    <w:rPr>
      <w:sz w:val="20"/>
      <w:szCs w:val="20"/>
    </w:rPr>
  </w:style>
  <w:style w:type="character" w:customStyle="1" w:styleId="CommentTextChar">
    <w:name w:val="Comment Text Char"/>
    <w:basedOn w:val="DefaultParagraphFont"/>
    <w:link w:val="CommentText"/>
    <w:uiPriority w:val="99"/>
    <w:rsid w:val="00436F8B"/>
  </w:style>
  <w:style w:type="paragraph" w:styleId="CommentSubject">
    <w:name w:val="annotation subject"/>
    <w:basedOn w:val="CommentText"/>
    <w:next w:val="CommentText"/>
    <w:link w:val="CommentSubjectChar"/>
    <w:rsid w:val="00436F8B"/>
    <w:rPr>
      <w:b/>
      <w:bCs/>
    </w:rPr>
  </w:style>
  <w:style w:type="character" w:customStyle="1" w:styleId="CommentSubjectChar">
    <w:name w:val="Comment Subject Char"/>
    <w:link w:val="CommentSubject"/>
    <w:rsid w:val="00436F8B"/>
    <w:rPr>
      <w:b/>
      <w:bCs/>
    </w:rPr>
  </w:style>
  <w:style w:type="paragraph" w:styleId="BalloonText">
    <w:name w:val="Balloon Text"/>
    <w:basedOn w:val="Normal"/>
    <w:link w:val="BalloonTextChar"/>
    <w:rsid w:val="00436F8B"/>
    <w:rPr>
      <w:rFonts w:ascii="Tahoma" w:hAnsi="Tahoma" w:cs="Tahoma"/>
      <w:sz w:val="16"/>
      <w:szCs w:val="16"/>
    </w:rPr>
  </w:style>
  <w:style w:type="character" w:customStyle="1" w:styleId="BalloonTextChar">
    <w:name w:val="Balloon Text Char"/>
    <w:link w:val="BalloonText"/>
    <w:rsid w:val="00436F8B"/>
    <w:rPr>
      <w:rFonts w:ascii="Tahoma" w:hAnsi="Tahoma" w:cs="Tahoma"/>
      <w:sz w:val="16"/>
      <w:szCs w:val="16"/>
    </w:rPr>
  </w:style>
  <w:style w:type="paragraph" w:styleId="Revision">
    <w:name w:val="Revision"/>
    <w:hidden/>
    <w:uiPriority w:val="99"/>
    <w:semiHidden/>
    <w:rsid w:val="00436F8B"/>
    <w:rPr>
      <w:sz w:val="24"/>
      <w:szCs w:val="24"/>
    </w:rPr>
  </w:style>
  <w:style w:type="paragraph" w:styleId="ListParagraph">
    <w:name w:val="List Paragraph"/>
    <w:basedOn w:val="Normal"/>
    <w:uiPriority w:val="34"/>
    <w:qFormat/>
    <w:rsid w:val="0064007D"/>
    <w:pPr>
      <w:spacing w:after="160" w:line="259" w:lineRule="auto"/>
      <w:ind w:left="720"/>
      <w:contextualSpacing/>
    </w:pPr>
    <w:rPr>
      <w:rFonts w:ascii="Calibri" w:eastAsia="Calibri" w:hAnsi="Calibri"/>
      <w:sz w:val="22"/>
      <w:szCs w:val="22"/>
    </w:rPr>
  </w:style>
  <w:style w:type="character" w:customStyle="1" w:styleId="Heading3Char">
    <w:name w:val="Heading 3 Char"/>
    <w:link w:val="Heading3"/>
    <w:uiPriority w:val="9"/>
    <w:rsid w:val="00E80150"/>
    <w:rPr>
      <w:b/>
      <w:bCs/>
      <w:sz w:val="24"/>
      <w:szCs w:val="26"/>
    </w:rPr>
  </w:style>
  <w:style w:type="paragraph" w:styleId="TOCHeading">
    <w:name w:val="TOC Heading"/>
    <w:basedOn w:val="Heading1"/>
    <w:next w:val="Normal"/>
    <w:uiPriority w:val="39"/>
    <w:unhideWhenUsed/>
    <w:qFormat/>
    <w:rsid w:val="00F919E3"/>
    <w:pPr>
      <w:outlineLvl w:val="9"/>
    </w:pPr>
    <w:rPr>
      <w:rFonts w:ascii="Cambria" w:hAnsi="Cambria"/>
    </w:rPr>
  </w:style>
  <w:style w:type="character" w:customStyle="1" w:styleId="FooterChar">
    <w:name w:val="Footer Char"/>
    <w:link w:val="Footer"/>
    <w:rsid w:val="00314AF6"/>
    <w:rPr>
      <w:sz w:val="22"/>
    </w:rPr>
  </w:style>
  <w:style w:type="character" w:styleId="Hyperlink">
    <w:name w:val="Hyperlink"/>
    <w:uiPriority w:val="99"/>
    <w:unhideWhenUsed/>
    <w:rsid w:val="00220B0C"/>
    <w:rPr>
      <w:color w:val="0563C1"/>
      <w:u w:val="single"/>
    </w:rPr>
  </w:style>
  <w:style w:type="paragraph" w:customStyle="1" w:styleId="Bullet">
    <w:name w:val="Bullet"/>
    <w:basedOn w:val="BodyText"/>
    <w:rsid w:val="000B48C8"/>
    <w:pPr>
      <w:numPr>
        <w:numId w:val="4"/>
      </w:numPr>
      <w:spacing w:before="120"/>
    </w:pPr>
  </w:style>
  <w:style w:type="paragraph" w:customStyle="1" w:styleId="bullet0">
    <w:name w:val="bullet"/>
    <w:basedOn w:val="Normal"/>
    <w:rsid w:val="000B48C8"/>
    <w:pPr>
      <w:tabs>
        <w:tab w:val="num" w:pos="360"/>
      </w:tabs>
      <w:spacing w:before="120" w:after="120"/>
      <w:ind w:left="360" w:hanging="360"/>
    </w:pPr>
  </w:style>
  <w:style w:type="character" w:customStyle="1" w:styleId="Heading2Char">
    <w:name w:val="Heading 2 Char"/>
    <w:aliases w:val="H2-Sec. Head Char"/>
    <w:link w:val="Heading2"/>
    <w:rsid w:val="005A59A9"/>
    <w:rPr>
      <w:b/>
      <w:sz w:val="22"/>
    </w:rPr>
  </w:style>
  <w:style w:type="paragraph" w:styleId="Header">
    <w:name w:val="header"/>
    <w:basedOn w:val="Normal"/>
    <w:link w:val="HeaderChar"/>
    <w:rsid w:val="00382920"/>
    <w:pPr>
      <w:tabs>
        <w:tab w:val="center" w:pos="4680"/>
        <w:tab w:val="right" w:pos="9360"/>
      </w:tabs>
    </w:pPr>
  </w:style>
  <w:style w:type="character" w:customStyle="1" w:styleId="HeaderChar">
    <w:name w:val="Header Char"/>
    <w:basedOn w:val="DefaultParagraphFont"/>
    <w:link w:val="Header"/>
    <w:rsid w:val="00382920"/>
    <w:rPr>
      <w:sz w:val="24"/>
      <w:szCs w:val="24"/>
    </w:rPr>
  </w:style>
  <w:style w:type="paragraph" w:styleId="NoSpacing">
    <w:name w:val="No Spacing"/>
    <w:uiPriority w:val="1"/>
    <w:qFormat/>
    <w:rsid w:val="00395E54"/>
    <w:rPr>
      <w:rFonts w:asciiTheme="minorHAnsi" w:eastAsiaTheme="minorHAnsi" w:hAnsiTheme="minorHAnsi" w:cstheme="minorBidi"/>
      <w:sz w:val="22"/>
      <w:szCs w:val="22"/>
    </w:rPr>
  </w:style>
  <w:style w:type="paragraph" w:customStyle="1" w:styleId="MediumGrid21">
    <w:name w:val="Medium Grid 21"/>
    <w:uiPriority w:val="1"/>
    <w:qFormat/>
    <w:rsid w:val="00F12E9E"/>
    <w:rPr>
      <w:rFonts w:ascii="Calibri" w:eastAsia="Calibri" w:hAnsi="Calibri"/>
      <w:sz w:val="22"/>
      <w:szCs w:val="22"/>
    </w:rPr>
  </w:style>
  <w:style w:type="table" w:styleId="TableGrid">
    <w:name w:val="Table Grid"/>
    <w:basedOn w:val="TableNormal"/>
    <w:rsid w:val="000D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0D38"/>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70A12"/>
    <w:pPr>
      <w:spacing w:after="100"/>
      <w:ind w:left="480"/>
    </w:pPr>
  </w:style>
  <w:style w:type="paragraph" w:styleId="FootnoteText">
    <w:name w:val="footnote text"/>
    <w:basedOn w:val="Normal"/>
    <w:link w:val="FootnoteTextChar"/>
    <w:semiHidden/>
    <w:unhideWhenUsed/>
    <w:rsid w:val="000874D6"/>
    <w:rPr>
      <w:sz w:val="20"/>
      <w:szCs w:val="20"/>
    </w:rPr>
  </w:style>
  <w:style w:type="character" w:customStyle="1" w:styleId="FootnoteTextChar">
    <w:name w:val="Footnote Text Char"/>
    <w:basedOn w:val="DefaultParagraphFont"/>
    <w:link w:val="FootnoteText"/>
    <w:semiHidden/>
    <w:rsid w:val="000874D6"/>
  </w:style>
  <w:style w:type="character" w:styleId="FootnoteReference">
    <w:name w:val="footnote reference"/>
    <w:basedOn w:val="DefaultParagraphFont"/>
    <w:semiHidden/>
    <w:unhideWhenUsed/>
    <w:rsid w:val="000874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929645">
      <w:bodyDiv w:val="1"/>
      <w:marLeft w:val="0"/>
      <w:marRight w:val="0"/>
      <w:marTop w:val="0"/>
      <w:marBottom w:val="0"/>
      <w:divBdr>
        <w:top w:val="none" w:sz="0" w:space="0" w:color="auto"/>
        <w:left w:val="none" w:sz="0" w:space="0" w:color="auto"/>
        <w:bottom w:val="none" w:sz="0" w:space="0" w:color="auto"/>
        <w:right w:val="none" w:sz="0" w:space="0" w:color="auto"/>
      </w:divBdr>
    </w:div>
    <w:div w:id="727605633">
      <w:bodyDiv w:val="1"/>
      <w:marLeft w:val="0"/>
      <w:marRight w:val="0"/>
      <w:marTop w:val="0"/>
      <w:marBottom w:val="0"/>
      <w:divBdr>
        <w:top w:val="none" w:sz="0" w:space="0" w:color="auto"/>
        <w:left w:val="none" w:sz="0" w:space="0" w:color="auto"/>
        <w:bottom w:val="none" w:sz="0" w:space="0" w:color="auto"/>
        <w:right w:val="none" w:sz="0" w:space="0" w:color="auto"/>
      </w:divBdr>
    </w:div>
    <w:div w:id="761948748">
      <w:bodyDiv w:val="1"/>
      <w:marLeft w:val="0"/>
      <w:marRight w:val="0"/>
      <w:marTop w:val="0"/>
      <w:marBottom w:val="0"/>
      <w:divBdr>
        <w:top w:val="none" w:sz="0" w:space="0" w:color="auto"/>
        <w:left w:val="none" w:sz="0" w:space="0" w:color="auto"/>
        <w:bottom w:val="none" w:sz="0" w:space="0" w:color="auto"/>
        <w:right w:val="none" w:sz="0" w:space="0" w:color="auto"/>
      </w:divBdr>
    </w:div>
    <w:div w:id="865564315">
      <w:bodyDiv w:val="1"/>
      <w:marLeft w:val="0"/>
      <w:marRight w:val="0"/>
      <w:marTop w:val="0"/>
      <w:marBottom w:val="0"/>
      <w:divBdr>
        <w:top w:val="none" w:sz="0" w:space="0" w:color="auto"/>
        <w:left w:val="none" w:sz="0" w:space="0" w:color="auto"/>
        <w:bottom w:val="none" w:sz="0" w:space="0" w:color="auto"/>
        <w:right w:val="none" w:sz="0" w:space="0" w:color="auto"/>
      </w:divBdr>
    </w:div>
    <w:div w:id="1871453542">
      <w:bodyDiv w:val="1"/>
      <w:marLeft w:val="0"/>
      <w:marRight w:val="0"/>
      <w:marTop w:val="0"/>
      <w:marBottom w:val="0"/>
      <w:divBdr>
        <w:top w:val="none" w:sz="0" w:space="0" w:color="auto"/>
        <w:left w:val="none" w:sz="0" w:space="0" w:color="auto"/>
        <w:bottom w:val="none" w:sz="0" w:space="0" w:color="auto"/>
        <w:right w:val="none" w:sz="0" w:space="0" w:color="auto"/>
      </w:divBdr>
      <w:divsChild>
        <w:div w:id="1858234106">
          <w:marLeft w:val="288"/>
          <w:marRight w:val="0"/>
          <w:marTop w:val="106"/>
          <w:marBottom w:val="0"/>
          <w:divBdr>
            <w:top w:val="none" w:sz="0" w:space="0" w:color="auto"/>
            <w:left w:val="none" w:sz="0" w:space="0" w:color="auto"/>
            <w:bottom w:val="none" w:sz="0" w:space="0" w:color="auto"/>
            <w:right w:val="none" w:sz="0" w:space="0" w:color="auto"/>
          </w:divBdr>
        </w:div>
        <w:div w:id="1581327925">
          <w:marLeft w:val="288"/>
          <w:marRight w:val="0"/>
          <w:marTop w:val="106"/>
          <w:marBottom w:val="0"/>
          <w:divBdr>
            <w:top w:val="none" w:sz="0" w:space="0" w:color="auto"/>
            <w:left w:val="none" w:sz="0" w:space="0" w:color="auto"/>
            <w:bottom w:val="none" w:sz="0" w:space="0" w:color="auto"/>
            <w:right w:val="none" w:sz="0" w:space="0" w:color="auto"/>
          </w:divBdr>
        </w:div>
        <w:div w:id="1448498963">
          <w:marLeft w:val="288"/>
          <w:marRight w:val="0"/>
          <w:marTop w:val="106"/>
          <w:marBottom w:val="0"/>
          <w:divBdr>
            <w:top w:val="none" w:sz="0" w:space="0" w:color="auto"/>
            <w:left w:val="none" w:sz="0" w:space="0" w:color="auto"/>
            <w:bottom w:val="none" w:sz="0" w:space="0" w:color="auto"/>
            <w:right w:val="none" w:sz="0" w:space="0" w:color="auto"/>
          </w:divBdr>
        </w:div>
        <w:div w:id="1608584039">
          <w:marLeft w:val="288"/>
          <w:marRight w:val="0"/>
          <w:marTop w:val="106"/>
          <w:marBottom w:val="0"/>
          <w:divBdr>
            <w:top w:val="none" w:sz="0" w:space="0" w:color="auto"/>
            <w:left w:val="none" w:sz="0" w:space="0" w:color="auto"/>
            <w:bottom w:val="none" w:sz="0" w:space="0" w:color="auto"/>
            <w:right w:val="none" w:sz="0" w:space="0" w:color="auto"/>
          </w:divBdr>
        </w:div>
      </w:divsChild>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73C48-EC3D-46A0-BBCE-AC2C260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'B' Preparation - 03/21/2011</vt:lpstr>
    </vt:vector>
  </TitlesOfParts>
  <Company>NIH\OD</Company>
  <LinksUpToDate>false</LinksUpToDate>
  <CharactersWithSpaces>26337</CharactersWithSpaces>
  <SharedDoc>false</SharedDoc>
  <HLinks>
    <vt:vector size="6" baseType="variant">
      <vt:variant>
        <vt:i4>852081</vt:i4>
      </vt:variant>
      <vt:variant>
        <vt:i4>0</vt:i4>
      </vt:variant>
      <vt:variant>
        <vt:i4>0</vt:i4>
      </vt:variant>
      <vt:variant>
        <vt:i4>5</vt:i4>
      </vt:variant>
      <vt:variant>
        <vt:lpwstr>mailto:allison.scott@nih.gov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- 03/21/2011</dc:title>
  <dc:subject>Supporting Statement 'B' Preparation - 03/21/2011</dc:subject>
  <dc:creator>OD/USER;CEC</dc:creator>
  <cp:keywords>Supporting Statement 'B' Preparation - 03/21/2011</cp:keywords>
  <cp:lastModifiedBy>Abdelmouti, Tawanda (NIH/OD) [E]</cp:lastModifiedBy>
  <cp:revision>2</cp:revision>
  <cp:lastPrinted>2019-12-04T15:01:00Z</cp:lastPrinted>
  <dcterms:created xsi:type="dcterms:W3CDTF">2020-02-05T22:11:00Z</dcterms:created>
  <dcterms:modified xsi:type="dcterms:W3CDTF">2020-02-05T22:11:00Z</dcterms:modified>
</cp:coreProperties>
</file>