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800E4" w14:textId="77777777" w:rsidR="009A593A" w:rsidRPr="00942A86" w:rsidRDefault="009A593A" w:rsidP="000C2C09">
      <w:pPr>
        <w:jc w:val="center"/>
        <w:rPr>
          <w:rFonts w:cs="Arial"/>
          <w:b/>
          <w:sz w:val="44"/>
          <w:szCs w:val="44"/>
        </w:rPr>
      </w:pPr>
      <w:bookmarkStart w:id="0" w:name="_GoBack"/>
      <w:bookmarkEnd w:id="0"/>
      <w:r w:rsidRPr="00942A86">
        <w:rPr>
          <w:rFonts w:cs="Arial"/>
          <w:b/>
          <w:sz w:val="44"/>
          <w:szCs w:val="44"/>
        </w:rPr>
        <w:t xml:space="preserve">Attachment </w:t>
      </w:r>
      <w:r w:rsidR="00FA3598">
        <w:rPr>
          <w:rFonts w:cs="Arial"/>
          <w:b/>
          <w:sz w:val="44"/>
          <w:szCs w:val="44"/>
        </w:rPr>
        <w:t>7</w:t>
      </w:r>
    </w:p>
    <w:p w14:paraId="10371D8C" w14:textId="77777777" w:rsidR="007622A8" w:rsidRPr="00942A86" w:rsidRDefault="007622A8" w:rsidP="000C2C09">
      <w:pPr>
        <w:jc w:val="center"/>
        <w:rPr>
          <w:rFonts w:cs="Arial"/>
          <w:b/>
          <w:sz w:val="44"/>
          <w:szCs w:val="44"/>
        </w:rPr>
      </w:pPr>
    </w:p>
    <w:p w14:paraId="2D753ADC" w14:textId="77777777" w:rsidR="007622A8" w:rsidRPr="00942A86" w:rsidRDefault="00942A86" w:rsidP="000C2C09">
      <w:pPr>
        <w:jc w:val="center"/>
        <w:rPr>
          <w:rFonts w:cs="Arial"/>
          <w:b/>
          <w:sz w:val="36"/>
          <w:szCs w:val="36"/>
        </w:rPr>
        <w:sectPr w:rsidR="007622A8" w:rsidRPr="00942A86" w:rsidSect="00DC0A2F">
          <w:footerReference w:type="even" r:id="rId9"/>
          <w:footerReference w:type="first" r:id="rId10"/>
          <w:type w:val="continuous"/>
          <w:pgSz w:w="12240" w:h="15840" w:code="1"/>
          <w:pgMar w:top="1440" w:right="1800" w:bottom="1440" w:left="1800" w:header="720" w:footer="720" w:gutter="0"/>
          <w:cols w:space="720"/>
          <w:docGrid w:linePitch="360"/>
        </w:sectPr>
      </w:pPr>
      <w:r w:rsidRPr="00942A86">
        <w:rPr>
          <w:rFonts w:cs="Arial"/>
          <w:b/>
          <w:sz w:val="36"/>
          <w:szCs w:val="36"/>
        </w:rPr>
        <w:t>NHANES</w:t>
      </w:r>
      <w:r w:rsidR="00FA3598">
        <w:rPr>
          <w:rFonts w:cs="Arial"/>
          <w:b/>
          <w:sz w:val="36"/>
          <w:szCs w:val="36"/>
        </w:rPr>
        <w:t xml:space="preserve"> History</w:t>
      </w:r>
    </w:p>
    <w:p w14:paraId="055FC9D7" w14:textId="69EA5E82" w:rsidR="009A593A" w:rsidRPr="00746C71" w:rsidRDefault="000B5A64" w:rsidP="008E0714">
      <w:pPr>
        <w:jc w:val="center"/>
        <w:outlineLvl w:val="1"/>
        <w:rPr>
          <w:rFonts w:cs="Arial"/>
          <w:color w:val="000000"/>
          <w:szCs w:val="22"/>
        </w:rPr>
      </w:pPr>
      <w:r>
        <w:rPr>
          <w:rFonts w:cs="Arial"/>
          <w:b/>
          <w:bCs/>
          <w:color w:val="000000"/>
          <w:szCs w:val="22"/>
        </w:rPr>
        <w:lastRenderedPageBreak/>
        <w:t>NHANES History</w:t>
      </w:r>
    </w:p>
    <w:p w14:paraId="46CEEE42" w14:textId="77777777" w:rsidR="00D47F69" w:rsidRDefault="00D47F69" w:rsidP="00D47F69">
      <w:pPr>
        <w:keepLines/>
        <w:rPr>
          <w:rFonts w:cs="Arial"/>
          <w:color w:val="000000"/>
          <w:szCs w:val="22"/>
        </w:rPr>
      </w:pPr>
    </w:p>
    <w:p w14:paraId="0B9739D0" w14:textId="77777777" w:rsidR="00D47F69" w:rsidRDefault="005B7328" w:rsidP="00D47F69">
      <w:pPr>
        <w:keepLines/>
        <w:rPr>
          <w:rFonts w:cs="Arial"/>
          <w:color w:val="000000"/>
          <w:szCs w:val="22"/>
        </w:rPr>
      </w:pPr>
      <w:r w:rsidRPr="000C3FAF">
        <w:rPr>
          <w:rFonts w:cs="Arial"/>
        </w:rPr>
        <w:t>The N</w:t>
      </w:r>
      <w:r w:rsidR="000B5A64">
        <w:rPr>
          <w:rFonts w:cs="Arial"/>
        </w:rPr>
        <w:t>ational Health and Nutrition Examination Survey (N</w:t>
      </w:r>
      <w:r w:rsidRPr="000C3FAF">
        <w:rPr>
          <w:rFonts w:cs="Arial"/>
        </w:rPr>
        <w:t>HANES</w:t>
      </w:r>
      <w:r w:rsidR="000B5A64">
        <w:rPr>
          <w:rFonts w:cs="Arial"/>
        </w:rPr>
        <w:t>)</w:t>
      </w:r>
      <w:r w:rsidRPr="000C3FAF">
        <w:rPr>
          <w:rFonts w:cs="Arial"/>
        </w:rPr>
        <w:t xml:space="preserve"> consists of three primary methods of data collection: the NHANES interviews</w:t>
      </w:r>
      <w:r>
        <w:rPr>
          <w:rFonts w:cs="Arial"/>
        </w:rPr>
        <w:t>,</w:t>
      </w:r>
      <w:r w:rsidRPr="000C3FAF">
        <w:rPr>
          <w:rFonts w:cs="Arial"/>
        </w:rPr>
        <w:t xml:space="preserve"> the NHANES examination</w:t>
      </w:r>
      <w:r>
        <w:rPr>
          <w:rFonts w:cs="Arial"/>
        </w:rPr>
        <w:t xml:space="preserve"> (including follow-up exams)</w:t>
      </w:r>
      <w:r w:rsidRPr="000C3FAF">
        <w:rPr>
          <w:rFonts w:cs="Arial"/>
        </w:rPr>
        <w:t>,</w:t>
      </w:r>
      <w:r>
        <w:rPr>
          <w:rFonts w:cs="Arial"/>
        </w:rPr>
        <w:t xml:space="preserve"> and </w:t>
      </w:r>
      <w:r w:rsidRPr="000C3FAF">
        <w:rPr>
          <w:rFonts w:cs="Arial"/>
        </w:rPr>
        <w:t>NHANES laboratory assessments.</w:t>
      </w:r>
    </w:p>
    <w:p w14:paraId="4391A040" w14:textId="77777777" w:rsidR="005B7328" w:rsidRDefault="005B7328" w:rsidP="00D47F69">
      <w:pPr>
        <w:keepLines/>
        <w:rPr>
          <w:rFonts w:cs="Arial"/>
          <w:color w:val="000000"/>
          <w:szCs w:val="22"/>
        </w:rPr>
      </w:pPr>
    </w:p>
    <w:p w14:paraId="44BDA039" w14:textId="77777777" w:rsidR="00D47F69" w:rsidRDefault="00D47F69" w:rsidP="00D47F69">
      <w:pPr>
        <w:keepLines/>
        <w:rPr>
          <w:rFonts w:cs="Arial"/>
          <w:color w:val="000000"/>
          <w:szCs w:val="22"/>
        </w:rPr>
      </w:pPr>
      <w:r>
        <w:rPr>
          <w:rFonts w:cs="Arial"/>
          <w:color w:val="000000"/>
          <w:szCs w:val="22"/>
        </w:rPr>
        <w:t>History of NHANES Content</w:t>
      </w:r>
    </w:p>
    <w:p w14:paraId="39B896E7" w14:textId="77777777" w:rsidR="00D47F69" w:rsidRDefault="00D47F69" w:rsidP="00D47F69">
      <w:pPr>
        <w:keepLines/>
        <w:rPr>
          <w:rFonts w:cs="Arial"/>
          <w:color w:val="000000"/>
          <w:szCs w:val="22"/>
        </w:rPr>
      </w:pPr>
    </w:p>
    <w:p w14:paraId="798200D8" w14:textId="77777777" w:rsidR="00D47F69" w:rsidRPr="00930564" w:rsidRDefault="00D47F69" w:rsidP="00D47F69">
      <w:pPr>
        <w:keepLines/>
        <w:rPr>
          <w:rFonts w:cs="Arial"/>
          <w:color w:val="000000"/>
          <w:szCs w:val="22"/>
        </w:rPr>
      </w:pPr>
      <w:r w:rsidRPr="00930564">
        <w:rPr>
          <w:rFonts w:cs="Arial"/>
          <w:color w:val="000000"/>
          <w:szCs w:val="22"/>
        </w:rPr>
        <w:t xml:space="preserve">Much of the content of the proposed NHANES field operations were part of previous NHANES.  This includes operational features such as listing and screening, sections of the questionnaires and components of the examination.  </w:t>
      </w:r>
    </w:p>
    <w:p w14:paraId="0B675203" w14:textId="77777777" w:rsidR="00D47F69" w:rsidRPr="00930564" w:rsidRDefault="00D47F69" w:rsidP="00D47F69">
      <w:pPr>
        <w:rPr>
          <w:rFonts w:cs="Arial"/>
          <w:color w:val="000000"/>
          <w:szCs w:val="22"/>
        </w:rPr>
      </w:pPr>
    </w:p>
    <w:p w14:paraId="15C1F42A" w14:textId="16A13625" w:rsidR="00D47F69" w:rsidRPr="00930564" w:rsidRDefault="00D47F69" w:rsidP="00D47F69">
      <w:pPr>
        <w:rPr>
          <w:rFonts w:cs="Arial"/>
          <w:color w:val="000000"/>
          <w:szCs w:val="22"/>
        </w:rPr>
      </w:pPr>
      <w:r w:rsidRPr="00930564">
        <w:rPr>
          <w:rFonts w:cs="Arial"/>
          <w:color w:val="000000"/>
          <w:szCs w:val="22"/>
        </w:rPr>
        <w:t>The questionnaire items in NHANES came from many sources that ensured adequate testing of the wording of the questions and selection of appropriate response categories.  Many questions were taken from the National Health Interview Survey (NHIS) core questionnaires (OMB No. 0920-0214</w:t>
      </w:r>
      <w:r w:rsidR="000227F2">
        <w:rPr>
          <w:rFonts w:cs="Arial"/>
          <w:color w:val="000000"/>
          <w:szCs w:val="22"/>
        </w:rPr>
        <w:t>, Exp. Date 12/31/2020</w:t>
      </w:r>
      <w:r w:rsidRPr="00930564">
        <w:rPr>
          <w:rFonts w:cs="Arial"/>
          <w:color w:val="000000"/>
          <w:szCs w:val="22"/>
        </w:rPr>
        <w:t>).  These questions have been tested in the NCHS Questionnaire Design Research Laboratory (QDRL) (OMB No. 0920-0222</w:t>
      </w:r>
      <w:r w:rsidR="000227F2">
        <w:rPr>
          <w:rFonts w:cs="Arial"/>
          <w:color w:val="000000"/>
          <w:szCs w:val="22"/>
        </w:rPr>
        <w:t>, Exp. Date 07/31/2018</w:t>
      </w:r>
      <w:r w:rsidRPr="00930564">
        <w:rPr>
          <w:rFonts w:cs="Arial"/>
          <w:color w:val="000000"/>
          <w:szCs w:val="22"/>
        </w:rPr>
        <w:t>) and then used in the field with thousands of respondents.  Additional NHANES questions were derived from standard instruments and tests as well as surveys done by other agencies and organizations.  Examples of these are the dietary questions and the mental health module.  Still other NHANES questions were taken from previous NHANES surveys.</w:t>
      </w:r>
    </w:p>
    <w:p w14:paraId="4CC0B624" w14:textId="77777777" w:rsidR="00D47F69" w:rsidRPr="00930564" w:rsidRDefault="00D47F69" w:rsidP="00D47F69">
      <w:pPr>
        <w:rPr>
          <w:rFonts w:cs="Arial"/>
          <w:color w:val="000000"/>
          <w:szCs w:val="22"/>
        </w:rPr>
      </w:pPr>
    </w:p>
    <w:p w14:paraId="1818567A" w14:textId="77777777" w:rsidR="00D47F69" w:rsidRPr="00930564" w:rsidRDefault="00D47F69" w:rsidP="00D47F69">
      <w:pPr>
        <w:rPr>
          <w:rFonts w:cs="Arial"/>
          <w:color w:val="000000"/>
          <w:szCs w:val="22"/>
        </w:rPr>
      </w:pPr>
      <w:r w:rsidRPr="00930564">
        <w:rPr>
          <w:rFonts w:cs="Arial"/>
          <w:color w:val="000000"/>
          <w:szCs w:val="22"/>
        </w:rPr>
        <w:t xml:space="preserve">Examination components have been included in previous NHANES and/or other population based studies.  A criterion for inclusion of examination content for the early years of NHANES was the existence of a standardized procedure for use on NHANES.  To incorporate new content in future years of the continuous NHANES, evaluation of objective data collection procedures used in other studies and testing of new procedures concurrent to NHANES data collection will be required.  This </w:t>
      </w:r>
      <w:r>
        <w:rPr>
          <w:rFonts w:cs="Arial"/>
          <w:color w:val="000000"/>
          <w:szCs w:val="22"/>
        </w:rPr>
        <w:t>developmental work</w:t>
      </w:r>
      <w:r w:rsidRPr="00930564">
        <w:rPr>
          <w:rFonts w:cs="Arial"/>
          <w:color w:val="000000"/>
          <w:szCs w:val="22"/>
        </w:rPr>
        <w:t xml:space="preserve"> may be done within the NHANES field operations or as a standalone study not using NHANES participants. All laboratory methods used in NHANES have been tested and deemed reliable and valid prior to their inclusion in NHANES.</w:t>
      </w:r>
    </w:p>
    <w:p w14:paraId="78BA4029" w14:textId="77777777" w:rsidR="009B4FB3" w:rsidRDefault="009B4FB3" w:rsidP="00942A86">
      <w:pPr>
        <w:rPr>
          <w:rFonts w:cs="Arial"/>
          <w:color w:val="000000"/>
        </w:rPr>
      </w:pPr>
    </w:p>
    <w:p w14:paraId="1C3C6DCB" w14:textId="77777777" w:rsidR="00D47F69" w:rsidRDefault="00D47F69" w:rsidP="00942A86">
      <w:pPr>
        <w:rPr>
          <w:rFonts w:cs="Arial"/>
          <w:color w:val="000000"/>
        </w:rPr>
      </w:pPr>
    </w:p>
    <w:p w14:paraId="554CB2D3" w14:textId="77777777" w:rsidR="00AC2E38" w:rsidRDefault="00AC2E38" w:rsidP="00942A86">
      <w:pPr>
        <w:rPr>
          <w:rFonts w:cs="Arial"/>
          <w:color w:val="000000"/>
        </w:rPr>
      </w:pPr>
    </w:p>
    <w:p w14:paraId="7A753DB0" w14:textId="5E1CB1EA" w:rsidR="00AC2E38" w:rsidRDefault="00203976" w:rsidP="00942A86">
      <w:pPr>
        <w:rPr>
          <w:rFonts w:cs="Arial"/>
          <w:color w:val="000000"/>
        </w:rPr>
      </w:pPr>
      <w:r>
        <w:rPr>
          <w:rFonts w:cs="Arial"/>
          <w:color w:val="000000"/>
        </w:rPr>
        <w:t xml:space="preserve">History of </w:t>
      </w:r>
      <w:r w:rsidR="002A3E47">
        <w:rPr>
          <w:rFonts w:cs="Arial"/>
          <w:color w:val="000000"/>
        </w:rPr>
        <w:t xml:space="preserve">Incentives </w:t>
      </w:r>
      <w:r>
        <w:rPr>
          <w:rFonts w:cs="Arial"/>
          <w:color w:val="000000"/>
        </w:rPr>
        <w:t>and Response Rates in NHANES</w:t>
      </w:r>
    </w:p>
    <w:p w14:paraId="7ECC7E7F" w14:textId="77777777" w:rsidR="00203976" w:rsidRDefault="00203976" w:rsidP="00942A86">
      <w:pPr>
        <w:rPr>
          <w:rFonts w:cs="Arial"/>
          <w:color w:val="000000"/>
        </w:rPr>
      </w:pPr>
    </w:p>
    <w:p w14:paraId="061DCE31" w14:textId="458904A9" w:rsidR="00AC2E38" w:rsidRPr="000C3FAF" w:rsidRDefault="00AC2E38" w:rsidP="00AC2E38">
      <w:pPr>
        <w:pStyle w:val="BodyText"/>
        <w:keepLines w:val="0"/>
        <w:widowControl w:val="0"/>
        <w:rPr>
          <w:rFonts w:cs="Arial"/>
        </w:rPr>
      </w:pPr>
      <w:r w:rsidRPr="000C3FAF">
        <w:rPr>
          <w:rFonts w:cs="Arial"/>
        </w:rPr>
        <w:t xml:space="preserve">To maximize response rates for the examination, NHANES participants have </w:t>
      </w:r>
      <w:r w:rsidR="002A3E47">
        <w:rPr>
          <w:rFonts w:cs="Arial"/>
        </w:rPr>
        <w:t>received incentives</w:t>
      </w:r>
      <w:r w:rsidRPr="000C3FAF">
        <w:rPr>
          <w:rFonts w:cs="Arial"/>
        </w:rPr>
        <w:t xml:space="preserve"> for their examination participation since the 1970s.  </w:t>
      </w:r>
      <w:r w:rsidR="002A3E47">
        <w:rPr>
          <w:rFonts w:cs="Arial"/>
        </w:rPr>
        <w:t>Incentives</w:t>
      </w:r>
      <w:r w:rsidR="002A3E47" w:rsidRPr="000C3FAF">
        <w:rPr>
          <w:rFonts w:cs="Arial"/>
        </w:rPr>
        <w:t xml:space="preserve"> </w:t>
      </w:r>
      <w:r w:rsidRPr="000C3FAF">
        <w:rPr>
          <w:rFonts w:cs="Arial"/>
        </w:rPr>
        <w:t xml:space="preserve">began after a study was conducted to test the effect of </w:t>
      </w:r>
      <w:r w:rsidR="002A3E47">
        <w:rPr>
          <w:rFonts w:cs="Arial"/>
        </w:rPr>
        <w:t>giving incentives to</w:t>
      </w:r>
      <w:r w:rsidR="002A3E47" w:rsidRPr="000C3FAF">
        <w:rPr>
          <w:rFonts w:cs="Arial"/>
        </w:rPr>
        <w:t xml:space="preserve"> </w:t>
      </w:r>
      <w:r w:rsidRPr="000C3FAF">
        <w:rPr>
          <w:rFonts w:cs="Arial"/>
        </w:rPr>
        <w:t xml:space="preserve">sample persons who participated in NHANES I.  The response rate for those who were told they would receive </w:t>
      </w:r>
      <w:r w:rsidR="002A3E47">
        <w:rPr>
          <w:rFonts w:cs="Arial"/>
        </w:rPr>
        <w:t>an incentive</w:t>
      </w:r>
      <w:r w:rsidR="002A3E47" w:rsidRPr="000C3FAF">
        <w:rPr>
          <w:rFonts w:cs="Arial"/>
        </w:rPr>
        <w:t xml:space="preserve"> </w:t>
      </w:r>
      <w:r w:rsidRPr="000C3FAF">
        <w:rPr>
          <w:rFonts w:cs="Arial"/>
        </w:rPr>
        <w:t xml:space="preserve">was 82%.  The response rate for those who were not told they would receive </w:t>
      </w:r>
      <w:r w:rsidR="002A3E47">
        <w:rPr>
          <w:rFonts w:cs="Arial"/>
        </w:rPr>
        <w:t>an incentive</w:t>
      </w:r>
      <w:r w:rsidR="002A3E47" w:rsidRPr="000C3FAF">
        <w:rPr>
          <w:rFonts w:cs="Arial"/>
        </w:rPr>
        <w:t xml:space="preserve"> </w:t>
      </w:r>
      <w:r w:rsidRPr="000C3FAF">
        <w:rPr>
          <w:rFonts w:cs="Arial"/>
        </w:rPr>
        <w:t xml:space="preserve">was 70%.  Results of the study were published as "A Study of the Effect of Remuneration Upon Response in the Health and Nutrition Examination Survey, United States," Vital and Health Statistics, Series 2-No.67.  </w:t>
      </w:r>
      <w:r w:rsidR="00304E8A">
        <w:rPr>
          <w:rFonts w:cs="Arial"/>
        </w:rPr>
        <w:t>In 1978, d</w:t>
      </w:r>
      <w:r w:rsidRPr="000C3FAF">
        <w:rPr>
          <w:rFonts w:cs="Arial"/>
        </w:rPr>
        <w:t xml:space="preserve">uring NHANES II another study was conducted, this time on the effect of increasing </w:t>
      </w:r>
      <w:r w:rsidR="002A3E47">
        <w:rPr>
          <w:rFonts w:cs="Arial"/>
        </w:rPr>
        <w:t>incentives</w:t>
      </w:r>
      <w:r w:rsidRPr="000C3FAF">
        <w:rPr>
          <w:rFonts w:cs="Arial"/>
        </w:rPr>
        <w:t xml:space="preserve">.  It showed that those who were told they would receive $20 after their examination had an examination rate of 79% while those who were told they would receive $10 had an examination rate of 74%. </w:t>
      </w:r>
    </w:p>
    <w:p w14:paraId="407BF19C" w14:textId="77777777" w:rsidR="00AC2E38" w:rsidRPr="000C3FAF" w:rsidRDefault="00AC2E38" w:rsidP="00AC2E38">
      <w:pPr>
        <w:pStyle w:val="BodyText"/>
        <w:keepLines w:val="0"/>
        <w:widowControl w:val="0"/>
        <w:rPr>
          <w:rFonts w:cs="Arial"/>
        </w:rPr>
      </w:pPr>
    </w:p>
    <w:p w14:paraId="6DF0D645" w14:textId="083AAF72" w:rsidR="00AC2E38" w:rsidRPr="000C3FAF" w:rsidRDefault="00AC2E38" w:rsidP="00AC2E38">
      <w:pPr>
        <w:pStyle w:val="BodyText"/>
        <w:keepLines w:val="0"/>
        <w:widowControl w:val="0"/>
        <w:rPr>
          <w:rFonts w:cs="Arial"/>
        </w:rPr>
      </w:pPr>
      <w:r w:rsidRPr="000C3FAF">
        <w:rPr>
          <w:rFonts w:cs="Arial"/>
        </w:rPr>
        <w:t>In NHANES III (1988</w:t>
      </w:r>
      <w:r w:rsidRPr="000C3FAF">
        <w:rPr>
          <w:rFonts w:cs="Arial"/>
        </w:rPr>
        <w:noBreakHyphen/>
        <w:t xml:space="preserve">94) differential </w:t>
      </w:r>
      <w:r w:rsidR="002A3E47">
        <w:rPr>
          <w:rFonts w:cs="Arial"/>
        </w:rPr>
        <w:t>incentives were</w:t>
      </w:r>
      <w:r w:rsidRPr="000C3FAF">
        <w:rPr>
          <w:rFonts w:cs="Arial"/>
        </w:rPr>
        <w:t xml:space="preserve"> successfully used to get participants to come to the examination session (morning, afternoon, or evening session) </w:t>
      </w:r>
      <w:r w:rsidR="00F27CDB">
        <w:rPr>
          <w:rFonts w:cs="Arial"/>
        </w:rPr>
        <w:t xml:space="preserve">to which </w:t>
      </w:r>
      <w:r w:rsidRPr="000C3FAF">
        <w:rPr>
          <w:rFonts w:cs="Arial"/>
        </w:rPr>
        <w:t xml:space="preserve">they were randomly assigned. </w:t>
      </w:r>
      <w:r w:rsidR="00F27CDB">
        <w:rPr>
          <w:rFonts w:cs="Arial"/>
        </w:rPr>
        <w:t xml:space="preserve">This was important because in </w:t>
      </w:r>
      <w:r w:rsidRPr="000C3FAF">
        <w:rPr>
          <w:rFonts w:cs="Arial"/>
        </w:rPr>
        <w:t xml:space="preserve">prior </w:t>
      </w:r>
      <w:r w:rsidR="00F27CDB">
        <w:rPr>
          <w:rFonts w:cs="Arial"/>
        </w:rPr>
        <w:t>years</w:t>
      </w:r>
      <w:r w:rsidR="00DE1F14">
        <w:rPr>
          <w:rFonts w:cs="Arial"/>
        </w:rPr>
        <w:t xml:space="preserve"> participants were asked to fast </w:t>
      </w:r>
      <w:r w:rsidR="00DE1F14">
        <w:rPr>
          <w:rFonts w:cs="Arial"/>
        </w:rPr>
        <w:lastRenderedPageBreak/>
        <w:t>for certain tests and arrive at specific session times to correspond with this testing. D</w:t>
      </w:r>
      <w:r w:rsidRPr="000C3FAF">
        <w:rPr>
          <w:rFonts w:cs="Arial"/>
        </w:rPr>
        <w:t xml:space="preserve">ata were lost due to </w:t>
      </w:r>
      <w:r w:rsidR="00F27CDB">
        <w:rPr>
          <w:rFonts w:cs="Arial"/>
        </w:rPr>
        <w:t xml:space="preserve">the </w:t>
      </w:r>
      <w:r w:rsidRPr="000C3FAF">
        <w:rPr>
          <w:rFonts w:cs="Arial"/>
        </w:rPr>
        <w:t xml:space="preserve">failure of the participants to attend the </w:t>
      </w:r>
      <w:r w:rsidR="00DE1F14">
        <w:rPr>
          <w:rFonts w:cs="Arial"/>
        </w:rPr>
        <w:t xml:space="preserve">appropriate </w:t>
      </w:r>
      <w:r w:rsidRPr="000C3FAF">
        <w:rPr>
          <w:rFonts w:cs="Arial"/>
        </w:rPr>
        <w:t>randomly assigned session</w:t>
      </w:r>
      <w:r w:rsidR="00DE1F14">
        <w:rPr>
          <w:rFonts w:cs="Arial"/>
        </w:rPr>
        <w:t>s</w:t>
      </w:r>
      <w:r w:rsidRPr="000C3FAF">
        <w:rPr>
          <w:rFonts w:cs="Arial"/>
        </w:rPr>
        <w:t xml:space="preserve">. </w:t>
      </w:r>
    </w:p>
    <w:p w14:paraId="4B5904C9" w14:textId="77777777" w:rsidR="00AC2E38" w:rsidRPr="000C3FAF" w:rsidRDefault="00AC2E38" w:rsidP="00AC2E38">
      <w:pPr>
        <w:pStyle w:val="BodyText"/>
        <w:keepLines w:val="0"/>
        <w:widowControl w:val="0"/>
        <w:rPr>
          <w:rFonts w:cs="Arial"/>
        </w:rPr>
      </w:pPr>
    </w:p>
    <w:p w14:paraId="31196644" w14:textId="7F0A8484" w:rsidR="00AC2E38" w:rsidRPr="000C3FAF" w:rsidRDefault="00AC2E38" w:rsidP="00AC2E38">
      <w:pPr>
        <w:pStyle w:val="BodyText"/>
        <w:keepLines w:val="0"/>
        <w:widowControl w:val="0"/>
        <w:rPr>
          <w:rFonts w:cs="Arial"/>
        </w:rPr>
      </w:pPr>
      <w:r w:rsidRPr="000C3FAF">
        <w:rPr>
          <w:rFonts w:cs="Arial"/>
        </w:rPr>
        <w:t>Continuous NHANES began in 1999 and the response rate was 72%</w:t>
      </w:r>
      <w:r w:rsidR="00F27CDB">
        <w:rPr>
          <w:rFonts w:cs="Arial"/>
        </w:rPr>
        <w:t xml:space="preserve">, </w:t>
      </w:r>
      <w:r w:rsidR="00550E34">
        <w:rPr>
          <w:rFonts w:cs="Arial"/>
        </w:rPr>
        <w:t>lower than previous response rates</w:t>
      </w:r>
      <w:r w:rsidR="00F27CDB">
        <w:rPr>
          <w:rFonts w:cs="Arial"/>
        </w:rPr>
        <w:t xml:space="preserve"> for NHANES I, II or III and resulted in </w:t>
      </w:r>
      <w:r w:rsidRPr="000C3FAF">
        <w:rPr>
          <w:rFonts w:cs="Arial"/>
        </w:rPr>
        <w:t>a</w:t>
      </w:r>
      <w:r w:rsidR="00F23D7E">
        <w:rPr>
          <w:rFonts w:cs="Arial"/>
        </w:rPr>
        <w:t>n</w:t>
      </w:r>
      <w:r w:rsidRPr="000C3FAF">
        <w:rPr>
          <w:rFonts w:cs="Arial"/>
        </w:rPr>
        <w:t xml:space="preserve"> </w:t>
      </w:r>
      <w:r w:rsidR="002A3E47">
        <w:rPr>
          <w:rFonts w:cs="Arial"/>
        </w:rPr>
        <w:t>incentive</w:t>
      </w:r>
      <w:r w:rsidR="002A3E47" w:rsidRPr="000C3FAF">
        <w:rPr>
          <w:rFonts w:cs="Arial"/>
        </w:rPr>
        <w:t xml:space="preserve"> </w:t>
      </w:r>
      <w:r w:rsidRPr="000C3FAF">
        <w:rPr>
          <w:rFonts w:cs="Arial"/>
        </w:rPr>
        <w:t xml:space="preserve">study in 2000.  The comparison groups were the current </w:t>
      </w:r>
      <w:r w:rsidR="002A3E47">
        <w:rPr>
          <w:rFonts w:cs="Arial"/>
        </w:rPr>
        <w:t xml:space="preserve">incentive </w:t>
      </w:r>
      <w:r w:rsidRPr="000C3FAF">
        <w:rPr>
          <w:rFonts w:cs="Arial"/>
        </w:rPr>
        <w:t xml:space="preserve">level </w:t>
      </w:r>
      <w:r w:rsidR="00CC3051">
        <w:rPr>
          <w:rFonts w:cs="Arial"/>
        </w:rPr>
        <w:t xml:space="preserve">versus an incentive level </w:t>
      </w:r>
      <w:r w:rsidRPr="000C3FAF">
        <w:rPr>
          <w:rFonts w:cs="Arial"/>
        </w:rPr>
        <w:t xml:space="preserve">approximately 50 percent higher.  After 5,900 </w:t>
      </w:r>
      <w:r w:rsidR="00CC3051" w:rsidRPr="000C3FAF">
        <w:rPr>
          <w:rFonts w:cs="Arial"/>
        </w:rPr>
        <w:t>observations,</w:t>
      </w:r>
      <w:r w:rsidRPr="000C3FAF">
        <w:rPr>
          <w:rFonts w:cs="Arial"/>
        </w:rPr>
        <w:t xml:space="preserve"> the overall response rate was the same in both groups.  Interviewers were not blinded to the </w:t>
      </w:r>
      <w:r w:rsidR="002A3E47">
        <w:rPr>
          <w:rFonts w:cs="Arial"/>
        </w:rPr>
        <w:t>incentives</w:t>
      </w:r>
      <w:r w:rsidR="002A3E47" w:rsidRPr="000C3FAF">
        <w:rPr>
          <w:rFonts w:cs="Arial"/>
        </w:rPr>
        <w:t xml:space="preserve"> </w:t>
      </w:r>
      <w:r w:rsidR="00CC3051">
        <w:rPr>
          <w:rFonts w:cs="Arial"/>
        </w:rPr>
        <w:t xml:space="preserve">groups, as their </w:t>
      </w:r>
      <w:r w:rsidRPr="000C3FAF">
        <w:rPr>
          <w:rFonts w:cs="Arial"/>
        </w:rPr>
        <w:t xml:space="preserve">primary objective </w:t>
      </w:r>
      <w:r w:rsidR="00CC3051">
        <w:rPr>
          <w:rFonts w:cs="Arial"/>
        </w:rPr>
        <w:t>was</w:t>
      </w:r>
      <w:r w:rsidR="00CC3051" w:rsidRPr="000C3FAF">
        <w:rPr>
          <w:rFonts w:cs="Arial"/>
        </w:rPr>
        <w:t xml:space="preserve"> </w:t>
      </w:r>
      <w:r w:rsidRPr="000C3FAF">
        <w:rPr>
          <w:rFonts w:cs="Arial"/>
        </w:rPr>
        <w:t>to get the participant</w:t>
      </w:r>
      <w:r w:rsidR="00CC3051">
        <w:rPr>
          <w:rFonts w:cs="Arial"/>
        </w:rPr>
        <w:t>s</w:t>
      </w:r>
      <w:r w:rsidRPr="000C3FAF">
        <w:rPr>
          <w:rFonts w:cs="Arial"/>
        </w:rPr>
        <w:t xml:space="preserve"> to the examination center.  Comments made during the debriefing suggested that interviewers spent more time convincing the lower </w:t>
      </w:r>
      <w:r w:rsidR="002A3E47">
        <w:rPr>
          <w:rFonts w:cs="Arial"/>
        </w:rPr>
        <w:t>incentive</w:t>
      </w:r>
      <w:r w:rsidR="002A3E47" w:rsidRPr="000C3FAF">
        <w:rPr>
          <w:rFonts w:cs="Arial"/>
        </w:rPr>
        <w:t xml:space="preserve"> </w:t>
      </w:r>
      <w:r w:rsidRPr="000C3FAF">
        <w:rPr>
          <w:rFonts w:cs="Arial"/>
        </w:rPr>
        <w:t xml:space="preserve">group to be examined.  </w:t>
      </w:r>
    </w:p>
    <w:p w14:paraId="367510FA" w14:textId="77777777" w:rsidR="00AC2E38" w:rsidRPr="000C3FAF" w:rsidRDefault="00AC2E38" w:rsidP="00AC2E38">
      <w:pPr>
        <w:pStyle w:val="BodyText"/>
        <w:keepLines w:val="0"/>
        <w:widowControl w:val="0"/>
        <w:rPr>
          <w:rFonts w:cs="Arial"/>
        </w:rPr>
      </w:pPr>
    </w:p>
    <w:p w14:paraId="44190B3B" w14:textId="4CED4BD1" w:rsidR="00AC2E38" w:rsidRPr="000C3FAF" w:rsidRDefault="00AC2E38" w:rsidP="00AC2E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0C3FAF">
        <w:rPr>
          <w:rFonts w:eastAsiaTheme="minorHAnsi"/>
        </w:rPr>
        <w:t xml:space="preserve">The response rates for participants examined for </w:t>
      </w:r>
      <w:r w:rsidRPr="000C3FAF">
        <w:rPr>
          <w:noProof/>
        </w:rPr>
        <w:t>201</w:t>
      </w:r>
      <w:r>
        <w:rPr>
          <w:noProof/>
        </w:rPr>
        <w:t>5</w:t>
      </w:r>
      <w:r w:rsidR="00BF5C1D">
        <w:rPr>
          <w:noProof/>
        </w:rPr>
        <w:t xml:space="preserve"> and 2016</w:t>
      </w:r>
      <w:r w:rsidRPr="000C3FAF">
        <w:rPr>
          <w:noProof/>
        </w:rPr>
        <w:t xml:space="preserve"> were 6</w:t>
      </w:r>
      <w:r w:rsidR="00BF5C1D">
        <w:rPr>
          <w:noProof/>
        </w:rPr>
        <w:t>3</w:t>
      </w:r>
      <w:r w:rsidRPr="000C3FAF">
        <w:rPr>
          <w:rFonts w:eastAsiaTheme="minorHAnsi"/>
        </w:rPr>
        <w:t xml:space="preserve">% and </w:t>
      </w:r>
      <w:r w:rsidR="00BF5C1D">
        <w:rPr>
          <w:noProof/>
        </w:rPr>
        <w:t>55</w:t>
      </w:r>
      <w:r w:rsidRPr="000C3FAF">
        <w:rPr>
          <w:rFonts w:eastAsiaTheme="minorHAnsi"/>
        </w:rPr>
        <w:t>% respectively. The response rates to the examination from 1999-</w:t>
      </w:r>
      <w:r w:rsidRPr="000C3FAF">
        <w:rPr>
          <w:noProof/>
        </w:rPr>
        <w:t>201</w:t>
      </w:r>
      <w:r w:rsidR="00BF5C1D">
        <w:rPr>
          <w:noProof/>
        </w:rPr>
        <w:t>6</w:t>
      </w:r>
      <w:r w:rsidRPr="000C3FAF">
        <w:rPr>
          <w:rFonts w:eastAsiaTheme="minorHAnsi"/>
        </w:rPr>
        <w:t xml:space="preserve"> are presented in the graph </w:t>
      </w:r>
    </w:p>
    <w:p w14:paraId="0FD0AA0F" w14:textId="77777777" w:rsidR="00AC2E38" w:rsidRPr="000C3FAF" w:rsidRDefault="00AC2E38" w:rsidP="00AC2E38">
      <w:pPr>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 w:rsidRPr="000C3FAF">
        <w:rPr>
          <w:rFonts w:eastAsiaTheme="minorHAnsi"/>
        </w:rPr>
        <w:t>below.</w:t>
      </w:r>
    </w:p>
    <w:p w14:paraId="5318A9D6" w14:textId="77777777" w:rsidR="00AC2E38" w:rsidRDefault="00AC2E38" w:rsidP="00AC2E38">
      <w:pPr>
        <w:pStyle w:val="BodyText"/>
        <w:keepLines w:val="0"/>
        <w:widowControl w:val="0"/>
        <w:rPr>
          <w:rFonts w:cs="Arial"/>
        </w:rPr>
      </w:pPr>
      <w:r w:rsidRPr="000C3FAF">
        <w:rPr>
          <w:noProof/>
        </w:rPr>
        <w:drawing>
          <wp:inline distT="0" distB="0" distL="0" distR="0" wp14:anchorId="163A8E4C" wp14:editId="5F71BC72">
            <wp:extent cx="5859780" cy="3848100"/>
            <wp:effectExtent l="0" t="0" r="762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384CE8" w14:textId="77777777" w:rsidR="00AC2E38" w:rsidRPr="000C3FAF" w:rsidRDefault="00AC2E38" w:rsidP="00AC2E38">
      <w:pPr>
        <w:tabs>
          <w:tab w:val="left" w:pos="504"/>
          <w:tab w:val="left" w:pos="1224"/>
          <w:tab w:val="left" w:pos="1944"/>
          <w:tab w:val="left" w:pos="2664"/>
          <w:tab w:val="left" w:pos="3028"/>
          <w:tab w:val="left" w:pos="3242"/>
          <w:tab w:val="left" w:pos="3750"/>
          <w:tab w:val="left" w:pos="3963"/>
          <w:tab w:val="left" w:pos="4471"/>
          <w:tab w:val="left" w:pos="4684"/>
          <w:tab w:val="left" w:pos="5192"/>
          <w:tab w:val="left" w:pos="5406"/>
          <w:tab w:val="left" w:pos="5913"/>
          <w:tab w:val="left" w:pos="6127"/>
          <w:tab w:val="left" w:pos="6634"/>
          <w:tab w:val="left" w:pos="6848"/>
          <w:tab w:val="left" w:pos="7356"/>
          <w:tab w:val="left" w:pos="7569"/>
          <w:tab w:val="left" w:pos="8077"/>
          <w:tab w:val="left" w:pos="8290"/>
          <w:tab w:val="left" w:pos="8798"/>
          <w:tab w:val="left" w:pos="9012"/>
          <w:tab w:val="left" w:pos="9519"/>
          <w:tab w:val="left" w:pos="9733"/>
        </w:tabs>
        <w:rPr>
          <w:rFonts w:cs="Arial"/>
          <w:color w:val="000000"/>
          <w:szCs w:val="22"/>
        </w:rPr>
      </w:pPr>
    </w:p>
    <w:p w14:paraId="2EEB5C24" w14:textId="77777777" w:rsidR="00AC2E38" w:rsidRDefault="00AC2E38" w:rsidP="00942A86">
      <w:pPr>
        <w:rPr>
          <w:rFonts w:cs="Arial"/>
          <w:color w:val="000000"/>
        </w:rPr>
      </w:pPr>
    </w:p>
    <w:sectPr w:rsidR="00AC2E38" w:rsidSect="00942A8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C23DB" w14:textId="77777777" w:rsidR="0050260D" w:rsidRDefault="0050260D">
      <w:r>
        <w:separator/>
      </w:r>
    </w:p>
  </w:endnote>
  <w:endnote w:type="continuationSeparator" w:id="0">
    <w:p w14:paraId="535D384A" w14:textId="77777777" w:rsidR="0050260D" w:rsidRDefault="0050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CF68D" w14:textId="77777777"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B693E" w14:textId="77777777" w:rsidR="00700511" w:rsidRDefault="00700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A82C5" w14:textId="77777777"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B76E8C" w14:textId="77777777" w:rsidR="00700511" w:rsidRDefault="00700511" w:rsidP="00DC0A2F">
    <w:pPr>
      <w:pStyle w:val="Footer"/>
      <w:tabs>
        <w:tab w:val="clear" w:pos="8640"/>
        <w:tab w:val="left" w:pos="432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02D8A" w14:textId="23C77514" w:rsidR="00700511" w:rsidRDefault="00700511" w:rsidP="00DC0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DA4">
      <w:rPr>
        <w:rStyle w:val="PageNumber"/>
        <w:noProof/>
      </w:rPr>
      <w:t>2</w:t>
    </w:r>
    <w:r>
      <w:rPr>
        <w:rStyle w:val="PageNumber"/>
      </w:rPr>
      <w:fldChar w:fldCharType="end"/>
    </w:r>
  </w:p>
  <w:p w14:paraId="1B2FDBCE" w14:textId="77777777" w:rsidR="00700511" w:rsidRDefault="00700511" w:rsidP="00DC0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7FD84" w14:textId="77777777" w:rsidR="0050260D" w:rsidRDefault="0050260D">
      <w:r>
        <w:separator/>
      </w:r>
    </w:p>
  </w:footnote>
  <w:footnote w:type="continuationSeparator" w:id="0">
    <w:p w14:paraId="2F497137" w14:textId="77777777" w:rsidR="0050260D" w:rsidRDefault="00502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12E12" w14:textId="77777777" w:rsidR="00700511" w:rsidRPr="007B4CDF" w:rsidRDefault="00700511" w:rsidP="007B4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AB2E5AC"/>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728CF08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2020D78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721"/>
        </w:tabs>
      </w:pPr>
      <w:rPr>
        <w:rFonts w:ascii="Arial" w:hAnsi="Arial" w:cs="Arial"/>
        <w:sz w:val="22"/>
        <w:szCs w:val="22"/>
      </w:rPr>
    </w:lvl>
  </w:abstractNum>
  <w:abstractNum w:abstractNumId="4">
    <w:nsid w:val="00000002"/>
    <w:multiLevelType w:val="singleLevel"/>
    <w:tmpl w:val="00000000"/>
    <w:lvl w:ilvl="0">
      <w:start w:val="1"/>
      <w:numFmt w:val="decimal"/>
      <w:pStyle w:val="Quick1"/>
      <w:lvlText w:val="%1."/>
      <w:lvlJc w:val="left"/>
      <w:pPr>
        <w:tabs>
          <w:tab w:val="num" w:pos="721"/>
        </w:tabs>
      </w:pPr>
    </w:lvl>
  </w:abstractNum>
  <w:abstractNum w:abstractNumId="5">
    <w:nsid w:val="738D3D8B"/>
    <w:multiLevelType w:val="hybridMultilevel"/>
    <w:tmpl w:val="EF0E8AE8"/>
    <w:lvl w:ilvl="0" w:tplc="4D320356">
      <w:start w:val="1"/>
      <w:numFmt w:val="bullet"/>
      <w:lvlText w:val=""/>
      <w:lvlJc w:val="left"/>
      <w:pPr>
        <w:tabs>
          <w:tab w:val="num" w:pos="720"/>
        </w:tabs>
        <w:ind w:left="720" w:hanging="360"/>
      </w:pPr>
      <w:rPr>
        <w:rFonts w:ascii="Wingdings" w:hAnsi="Wingdings" w:hint="default"/>
        <w:color w:val="FF6600"/>
      </w:rPr>
    </w:lvl>
    <w:lvl w:ilvl="1" w:tplc="04090005">
      <w:start w:val="1"/>
      <w:numFmt w:val="bullet"/>
      <w:lvlText w:val=""/>
      <w:lvlJc w:val="left"/>
      <w:pPr>
        <w:tabs>
          <w:tab w:val="num" w:pos="1440"/>
        </w:tabs>
        <w:ind w:left="1440" w:hanging="360"/>
      </w:pPr>
      <w:rPr>
        <w:rFonts w:ascii="Wingdings" w:hAnsi="Wingdings" w:hint="default"/>
        <w:color w:val="FF66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1C0804"/>
    <w:multiLevelType w:val="hybridMultilevel"/>
    <w:tmpl w:val="4F888D82"/>
    <w:lvl w:ilvl="0" w:tplc="00000000">
      <w:start w:val="1"/>
      <w:numFmt w:val="decimal"/>
      <w:pStyle w:val="A"/>
      <w:lvlText w:val="%1."/>
      <w:lvlJc w:val="left"/>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E4B5FE1"/>
    <w:multiLevelType w:val="hybridMultilevel"/>
    <w:tmpl w:val="D670259E"/>
    <w:lvl w:ilvl="0" w:tplc="9628E50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lvlOverride w:ilvl="0">
      <w:startOverride w:val="1"/>
      <w:lvl w:ilvl="0">
        <w:start w:val="1"/>
        <w:numFmt w:val="decimal"/>
        <w:pStyle w:val="1"/>
        <w:lvlText w:val="%1."/>
        <w:lvlJc w:val="left"/>
      </w:lvl>
    </w:lvlOverride>
  </w:num>
  <w:num w:numId="2">
    <w:abstractNumId w:val="4"/>
    <w:lvlOverride w:ilvl="0">
      <w:startOverride w:val="2"/>
      <w:lvl w:ilvl="0">
        <w:start w:val="2"/>
        <w:numFmt w:val="decimal"/>
        <w:pStyle w:val="Quick1"/>
        <w:lvlText w:val="%1."/>
        <w:lvlJc w:val="left"/>
      </w:lvl>
    </w:lvlOverride>
  </w:num>
  <w:num w:numId="3">
    <w:abstractNumId w:val="6"/>
  </w:num>
  <w:num w:numId="4">
    <w:abstractNumId w:val="1"/>
  </w:num>
  <w:num w:numId="5">
    <w:abstractNumId w:val="2"/>
  </w:num>
  <w:num w:numId="6">
    <w:abstractNumId w:val="0"/>
  </w:num>
  <w:num w:numId="7">
    <w:abstractNumId w:val="7"/>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10"/>
    <w:rsid w:val="00011551"/>
    <w:rsid w:val="00013E1D"/>
    <w:rsid w:val="000147C2"/>
    <w:rsid w:val="00014AFA"/>
    <w:rsid w:val="000227F2"/>
    <w:rsid w:val="000268B3"/>
    <w:rsid w:val="0004192C"/>
    <w:rsid w:val="00063911"/>
    <w:rsid w:val="000770A9"/>
    <w:rsid w:val="000802F9"/>
    <w:rsid w:val="000911AE"/>
    <w:rsid w:val="000B2529"/>
    <w:rsid w:val="000B5A64"/>
    <w:rsid w:val="000B7BD4"/>
    <w:rsid w:val="000C2C09"/>
    <w:rsid w:val="000D22CF"/>
    <w:rsid w:val="000D577C"/>
    <w:rsid w:val="000F697D"/>
    <w:rsid w:val="00102DCE"/>
    <w:rsid w:val="00107C98"/>
    <w:rsid w:val="001103F2"/>
    <w:rsid w:val="00135942"/>
    <w:rsid w:val="00137693"/>
    <w:rsid w:val="00137858"/>
    <w:rsid w:val="00137A0E"/>
    <w:rsid w:val="0015000E"/>
    <w:rsid w:val="00162D16"/>
    <w:rsid w:val="00177FBF"/>
    <w:rsid w:val="00187060"/>
    <w:rsid w:val="001B0B8A"/>
    <w:rsid w:val="001C44A2"/>
    <w:rsid w:val="001C47B4"/>
    <w:rsid w:val="001D3A9B"/>
    <w:rsid w:val="001E2241"/>
    <w:rsid w:val="001E40D5"/>
    <w:rsid w:val="0020054A"/>
    <w:rsid w:val="00203976"/>
    <w:rsid w:val="00211F18"/>
    <w:rsid w:val="002205F3"/>
    <w:rsid w:val="002636B7"/>
    <w:rsid w:val="00280822"/>
    <w:rsid w:val="002A1E1D"/>
    <w:rsid w:val="002A3E47"/>
    <w:rsid w:val="002C088D"/>
    <w:rsid w:val="002C1F37"/>
    <w:rsid w:val="002D004F"/>
    <w:rsid w:val="00304E8A"/>
    <w:rsid w:val="00305979"/>
    <w:rsid w:val="0031145F"/>
    <w:rsid w:val="00331847"/>
    <w:rsid w:val="00335602"/>
    <w:rsid w:val="00342D0E"/>
    <w:rsid w:val="00344EA7"/>
    <w:rsid w:val="003604CC"/>
    <w:rsid w:val="00373D81"/>
    <w:rsid w:val="00385A18"/>
    <w:rsid w:val="00393710"/>
    <w:rsid w:val="0039455A"/>
    <w:rsid w:val="003A00B4"/>
    <w:rsid w:val="003E23F6"/>
    <w:rsid w:val="003E4907"/>
    <w:rsid w:val="003F2156"/>
    <w:rsid w:val="003F66E8"/>
    <w:rsid w:val="00403422"/>
    <w:rsid w:val="00411D46"/>
    <w:rsid w:val="00421B6F"/>
    <w:rsid w:val="004240AB"/>
    <w:rsid w:val="00434EEB"/>
    <w:rsid w:val="004714E3"/>
    <w:rsid w:val="00473FA2"/>
    <w:rsid w:val="00476CD9"/>
    <w:rsid w:val="00497D38"/>
    <w:rsid w:val="004A1416"/>
    <w:rsid w:val="004A1A96"/>
    <w:rsid w:val="004A21BA"/>
    <w:rsid w:val="004A2713"/>
    <w:rsid w:val="004A6C73"/>
    <w:rsid w:val="004B1F98"/>
    <w:rsid w:val="004C3730"/>
    <w:rsid w:val="004C561B"/>
    <w:rsid w:val="004E64BF"/>
    <w:rsid w:val="004F26EF"/>
    <w:rsid w:val="00500A69"/>
    <w:rsid w:val="0050260D"/>
    <w:rsid w:val="0052230B"/>
    <w:rsid w:val="00550E34"/>
    <w:rsid w:val="005526B5"/>
    <w:rsid w:val="0058397A"/>
    <w:rsid w:val="00585CFC"/>
    <w:rsid w:val="00595A73"/>
    <w:rsid w:val="005B7328"/>
    <w:rsid w:val="005C44E1"/>
    <w:rsid w:val="005C6203"/>
    <w:rsid w:val="0060122D"/>
    <w:rsid w:val="00611FCA"/>
    <w:rsid w:val="00612CCE"/>
    <w:rsid w:val="00613401"/>
    <w:rsid w:val="00614F04"/>
    <w:rsid w:val="00660072"/>
    <w:rsid w:val="00660AC4"/>
    <w:rsid w:val="006861DA"/>
    <w:rsid w:val="006A0BDE"/>
    <w:rsid w:val="006A15F3"/>
    <w:rsid w:val="006B469A"/>
    <w:rsid w:val="006B5154"/>
    <w:rsid w:val="006C44F6"/>
    <w:rsid w:val="006D34A0"/>
    <w:rsid w:val="006D34AB"/>
    <w:rsid w:val="006D7641"/>
    <w:rsid w:val="006F6775"/>
    <w:rsid w:val="00700511"/>
    <w:rsid w:val="00700697"/>
    <w:rsid w:val="00700C07"/>
    <w:rsid w:val="00710C81"/>
    <w:rsid w:val="00721585"/>
    <w:rsid w:val="00743D69"/>
    <w:rsid w:val="007622A8"/>
    <w:rsid w:val="00766B89"/>
    <w:rsid w:val="007900C5"/>
    <w:rsid w:val="00792312"/>
    <w:rsid w:val="007A0F13"/>
    <w:rsid w:val="007B1FFC"/>
    <w:rsid w:val="007B4CDF"/>
    <w:rsid w:val="007B4D28"/>
    <w:rsid w:val="007B7671"/>
    <w:rsid w:val="007C1479"/>
    <w:rsid w:val="007C641D"/>
    <w:rsid w:val="007D704C"/>
    <w:rsid w:val="007E28A4"/>
    <w:rsid w:val="007E3910"/>
    <w:rsid w:val="007F32DD"/>
    <w:rsid w:val="00821B7F"/>
    <w:rsid w:val="00825F55"/>
    <w:rsid w:val="0084162D"/>
    <w:rsid w:val="00844611"/>
    <w:rsid w:val="00853DA1"/>
    <w:rsid w:val="00856037"/>
    <w:rsid w:val="00864CE9"/>
    <w:rsid w:val="008830D3"/>
    <w:rsid w:val="008A3FA9"/>
    <w:rsid w:val="008B7864"/>
    <w:rsid w:val="008D2A5C"/>
    <w:rsid w:val="008E0714"/>
    <w:rsid w:val="008E5DA0"/>
    <w:rsid w:val="00915A05"/>
    <w:rsid w:val="009212DA"/>
    <w:rsid w:val="009306AE"/>
    <w:rsid w:val="00942A86"/>
    <w:rsid w:val="00944DEE"/>
    <w:rsid w:val="00952662"/>
    <w:rsid w:val="009850B9"/>
    <w:rsid w:val="00994C83"/>
    <w:rsid w:val="009A112E"/>
    <w:rsid w:val="009A593A"/>
    <w:rsid w:val="009A7E2C"/>
    <w:rsid w:val="009B10C4"/>
    <w:rsid w:val="009B4B64"/>
    <w:rsid w:val="009B4FB3"/>
    <w:rsid w:val="009B5DA9"/>
    <w:rsid w:val="009C3E39"/>
    <w:rsid w:val="009F216D"/>
    <w:rsid w:val="009F3041"/>
    <w:rsid w:val="00A04787"/>
    <w:rsid w:val="00A0776A"/>
    <w:rsid w:val="00A208BD"/>
    <w:rsid w:val="00A2159F"/>
    <w:rsid w:val="00A2460C"/>
    <w:rsid w:val="00A25786"/>
    <w:rsid w:val="00A33638"/>
    <w:rsid w:val="00A35023"/>
    <w:rsid w:val="00A36DE7"/>
    <w:rsid w:val="00A74A10"/>
    <w:rsid w:val="00A7720F"/>
    <w:rsid w:val="00A921C9"/>
    <w:rsid w:val="00A9467A"/>
    <w:rsid w:val="00A9493E"/>
    <w:rsid w:val="00AC2E38"/>
    <w:rsid w:val="00AC6484"/>
    <w:rsid w:val="00AD0E41"/>
    <w:rsid w:val="00AD7CAE"/>
    <w:rsid w:val="00AE6AEE"/>
    <w:rsid w:val="00AE7D01"/>
    <w:rsid w:val="00AF31F0"/>
    <w:rsid w:val="00B003AE"/>
    <w:rsid w:val="00B034AD"/>
    <w:rsid w:val="00B05345"/>
    <w:rsid w:val="00B1448D"/>
    <w:rsid w:val="00B17DC5"/>
    <w:rsid w:val="00B25FFF"/>
    <w:rsid w:val="00B40851"/>
    <w:rsid w:val="00B661C2"/>
    <w:rsid w:val="00B71294"/>
    <w:rsid w:val="00B87DE7"/>
    <w:rsid w:val="00B910F5"/>
    <w:rsid w:val="00BA5691"/>
    <w:rsid w:val="00BA6920"/>
    <w:rsid w:val="00BC35F5"/>
    <w:rsid w:val="00BD69E0"/>
    <w:rsid w:val="00BF5C1D"/>
    <w:rsid w:val="00BF5EF9"/>
    <w:rsid w:val="00BF73C1"/>
    <w:rsid w:val="00C035D8"/>
    <w:rsid w:val="00C05AEB"/>
    <w:rsid w:val="00C118AB"/>
    <w:rsid w:val="00C20489"/>
    <w:rsid w:val="00C3128E"/>
    <w:rsid w:val="00C61F09"/>
    <w:rsid w:val="00C80466"/>
    <w:rsid w:val="00CA0570"/>
    <w:rsid w:val="00CA27EC"/>
    <w:rsid w:val="00CA4809"/>
    <w:rsid w:val="00CC3051"/>
    <w:rsid w:val="00CD0DA4"/>
    <w:rsid w:val="00CF4F7F"/>
    <w:rsid w:val="00D13BF8"/>
    <w:rsid w:val="00D2475C"/>
    <w:rsid w:val="00D34E2E"/>
    <w:rsid w:val="00D37764"/>
    <w:rsid w:val="00D4738A"/>
    <w:rsid w:val="00D47F69"/>
    <w:rsid w:val="00D60438"/>
    <w:rsid w:val="00D84CD3"/>
    <w:rsid w:val="00DB44F6"/>
    <w:rsid w:val="00DC0A2F"/>
    <w:rsid w:val="00DC0B68"/>
    <w:rsid w:val="00DC279B"/>
    <w:rsid w:val="00DE1F14"/>
    <w:rsid w:val="00DF6A0D"/>
    <w:rsid w:val="00E1766D"/>
    <w:rsid w:val="00E1788C"/>
    <w:rsid w:val="00E25303"/>
    <w:rsid w:val="00E276AE"/>
    <w:rsid w:val="00E57566"/>
    <w:rsid w:val="00E5766A"/>
    <w:rsid w:val="00E611B1"/>
    <w:rsid w:val="00E71B23"/>
    <w:rsid w:val="00E74587"/>
    <w:rsid w:val="00E75473"/>
    <w:rsid w:val="00E90E7C"/>
    <w:rsid w:val="00EA73D8"/>
    <w:rsid w:val="00EE49C1"/>
    <w:rsid w:val="00EE732F"/>
    <w:rsid w:val="00F0300A"/>
    <w:rsid w:val="00F1306D"/>
    <w:rsid w:val="00F23D7E"/>
    <w:rsid w:val="00F25377"/>
    <w:rsid w:val="00F27CDB"/>
    <w:rsid w:val="00F318D0"/>
    <w:rsid w:val="00F3261A"/>
    <w:rsid w:val="00F3340F"/>
    <w:rsid w:val="00F43DBA"/>
    <w:rsid w:val="00F50223"/>
    <w:rsid w:val="00F505F5"/>
    <w:rsid w:val="00F61032"/>
    <w:rsid w:val="00F7328C"/>
    <w:rsid w:val="00F776E0"/>
    <w:rsid w:val="00F84ACF"/>
    <w:rsid w:val="00F91526"/>
    <w:rsid w:val="00F943ED"/>
    <w:rsid w:val="00FA3598"/>
    <w:rsid w:val="00FB019A"/>
    <w:rsid w:val="00FD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A0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semiHidden/>
    <w:rsid w:val="00393710"/>
    <w:rPr>
      <w:sz w:val="16"/>
      <w:szCs w:val="16"/>
    </w:rPr>
  </w:style>
  <w:style w:type="paragraph" w:styleId="CommentText">
    <w:name w:val="annotation text"/>
    <w:basedOn w:val="Normal"/>
    <w:semiHidden/>
    <w:rsid w:val="00393710"/>
    <w:rPr>
      <w:sz w:val="20"/>
    </w:rPr>
  </w:style>
  <w:style w:type="paragraph" w:styleId="CommentSubject">
    <w:name w:val="annotation subject"/>
    <w:basedOn w:val="CommentText"/>
    <w:next w:val="CommentText"/>
    <w:semiHidden/>
    <w:rsid w:val="003937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032"/>
    <w:pPr>
      <w:widowControl w:val="0"/>
      <w:autoSpaceDE w:val="0"/>
      <w:autoSpaceDN w:val="0"/>
      <w:adjustRightInd w:val="0"/>
    </w:pPr>
    <w:rPr>
      <w:rFonts w:ascii="Arial" w:hAnsi="Arial"/>
      <w:sz w:val="22"/>
    </w:rPr>
  </w:style>
  <w:style w:type="paragraph" w:styleId="Heading1">
    <w:name w:val="heading 1"/>
    <w:basedOn w:val="Normal"/>
    <w:next w:val="Normal"/>
    <w:qFormat/>
    <w:rsid w:val="00A74A10"/>
    <w:pPr>
      <w:keepNext/>
      <w:spacing w:before="240" w:after="60"/>
      <w:outlineLvl w:val="0"/>
    </w:pPr>
    <w:rPr>
      <w:rFonts w:cs="Arial"/>
      <w:b/>
      <w:bCs/>
      <w:kern w:val="32"/>
      <w:sz w:val="32"/>
      <w:szCs w:val="32"/>
    </w:rPr>
  </w:style>
  <w:style w:type="paragraph" w:styleId="Heading2">
    <w:name w:val="heading 2"/>
    <w:basedOn w:val="Normal"/>
    <w:next w:val="Normal"/>
    <w:qFormat/>
    <w:rsid w:val="00A74A10"/>
    <w:pPr>
      <w:keepNext/>
      <w:spacing w:before="240" w:after="60"/>
      <w:outlineLvl w:val="1"/>
    </w:pPr>
    <w:rPr>
      <w:rFonts w:cs="Arial"/>
      <w:b/>
      <w:bCs/>
      <w:i/>
      <w:iCs/>
      <w:sz w:val="28"/>
      <w:szCs w:val="28"/>
    </w:rPr>
  </w:style>
  <w:style w:type="paragraph" w:styleId="Heading3">
    <w:name w:val="heading 3"/>
    <w:basedOn w:val="Normal"/>
    <w:next w:val="Normal"/>
    <w:qFormat/>
    <w:rsid w:val="00A74A10"/>
    <w:pPr>
      <w:keepNext/>
      <w:jc w:val="center"/>
      <w:outlineLvl w:val="2"/>
    </w:pPr>
    <w:rPr>
      <w:rFonts w:ascii="Times New Roman" w:hAnsi="Times New Roman"/>
      <w:b/>
      <w:bCs/>
      <w:sz w:val="60"/>
      <w:szCs w:val="60"/>
    </w:rPr>
  </w:style>
  <w:style w:type="paragraph" w:styleId="Heading4">
    <w:name w:val="heading 4"/>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3"/>
    </w:pPr>
    <w:rPr>
      <w:rFonts w:ascii="Times New Roman" w:hAnsi="Times New Roman"/>
      <w:b/>
      <w:bCs/>
      <w:sz w:val="28"/>
      <w:szCs w:val="28"/>
    </w:rPr>
  </w:style>
  <w:style w:type="paragraph" w:styleId="Heading5">
    <w:name w:val="heading 5"/>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4"/>
    </w:pPr>
    <w:rPr>
      <w:rFonts w:ascii="Times New Roman" w:hAnsi="Times New Roman"/>
      <w:b/>
      <w:bCs/>
      <w:sz w:val="32"/>
      <w:szCs w:val="32"/>
    </w:rPr>
  </w:style>
  <w:style w:type="paragraph" w:styleId="Heading6">
    <w:name w:val="heading 6"/>
    <w:basedOn w:val="Normal"/>
    <w:next w:val="Normal"/>
    <w:qFormat/>
    <w:rsid w:val="00A74A10"/>
    <w:pPr>
      <w:keepNext/>
      <w:spacing w:after="26" w:line="199" w:lineRule="exact"/>
      <w:jc w:val="center"/>
      <w:outlineLvl w:val="5"/>
    </w:pPr>
    <w:rPr>
      <w:rFonts w:ascii="Times New Roman" w:hAnsi="Times New Roman"/>
      <w:b/>
      <w:bCs/>
    </w:rPr>
  </w:style>
  <w:style w:type="paragraph" w:styleId="Heading7">
    <w:name w:val="heading 7"/>
    <w:basedOn w:val="Normal"/>
    <w:next w:val="Normal"/>
    <w:qFormat/>
    <w:rsid w:val="00A74A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outlineLvl w:val="6"/>
    </w:pPr>
    <w:rPr>
      <w:rFonts w:ascii="Times New Roman" w:hAnsi="Times New Roman"/>
      <w:b/>
      <w:bCs/>
      <w:sz w:val="24"/>
    </w:rPr>
  </w:style>
  <w:style w:type="paragraph" w:styleId="Heading8">
    <w:name w:val="heading 8"/>
    <w:basedOn w:val="Normal"/>
    <w:next w:val="Normal"/>
    <w:qFormat/>
    <w:rsid w:val="00A74A10"/>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Cs w:val="22"/>
      <w:u w:val="single"/>
    </w:rPr>
  </w:style>
  <w:style w:type="paragraph" w:styleId="Heading9">
    <w:name w:val="heading 9"/>
    <w:basedOn w:val="Normal"/>
    <w:next w:val="Normal"/>
    <w:qFormat/>
    <w:rsid w:val="00A74A10"/>
    <w:pPr>
      <w:keepNext/>
      <w:widowControl/>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A74A10"/>
    <w:pPr>
      <w:numPr>
        <w:numId w:val="1"/>
      </w:numPr>
      <w:ind w:left="721" w:hanging="721"/>
    </w:pPr>
  </w:style>
  <w:style w:type="paragraph" w:customStyle="1" w:styleId="Quick1">
    <w:name w:val="Quick 1."/>
    <w:basedOn w:val="Normal"/>
    <w:rsid w:val="00A74A10"/>
    <w:pPr>
      <w:numPr>
        <w:numId w:val="2"/>
      </w:numPr>
      <w:ind w:left="721" w:hanging="721"/>
    </w:pPr>
  </w:style>
  <w:style w:type="paragraph" w:customStyle="1" w:styleId="a0">
    <w:name w:val="_"/>
    <w:basedOn w:val="Normal"/>
    <w:rsid w:val="00A74A10"/>
    <w:pPr>
      <w:ind w:left="1440" w:hanging="720"/>
    </w:pPr>
  </w:style>
  <w:style w:type="paragraph" w:styleId="List">
    <w:name w:val="List"/>
    <w:basedOn w:val="Normal"/>
    <w:rsid w:val="00A74A10"/>
    <w:pPr>
      <w:ind w:left="720" w:hanging="720"/>
    </w:pPr>
  </w:style>
  <w:style w:type="paragraph" w:customStyle="1" w:styleId="Quick">
    <w:name w:val="Quick ·"/>
    <w:basedOn w:val="Normal"/>
    <w:rsid w:val="00A74A10"/>
    <w:pPr>
      <w:ind w:left="721" w:hanging="721"/>
    </w:pPr>
  </w:style>
  <w:style w:type="paragraph" w:customStyle="1" w:styleId="Quick0">
    <w:name w:val="Quick _"/>
    <w:basedOn w:val="Normal"/>
    <w:rsid w:val="00A74A10"/>
    <w:pPr>
      <w:ind w:left="720" w:hanging="720"/>
    </w:pPr>
  </w:style>
  <w:style w:type="paragraph" w:styleId="Title">
    <w:name w:val="Title"/>
    <w:basedOn w:val="Normal"/>
    <w:qFormat/>
    <w:rsid w:val="00A74A10"/>
    <w:pPr>
      <w:spacing w:before="240" w:after="60"/>
      <w:jc w:val="center"/>
      <w:outlineLvl w:val="0"/>
    </w:pPr>
    <w:rPr>
      <w:rFonts w:cs="Arial"/>
      <w:b/>
      <w:bCs/>
      <w:kern w:val="28"/>
      <w:sz w:val="32"/>
      <w:szCs w:val="32"/>
    </w:rPr>
  </w:style>
  <w:style w:type="paragraph" w:styleId="BodyTextIndent">
    <w:name w:val="Body Text Indent"/>
    <w:basedOn w:val="Normal"/>
    <w:rsid w:val="00A74A10"/>
    <w:pPr>
      <w:spacing w:after="120"/>
      <w:ind w:left="360"/>
    </w:pPr>
  </w:style>
  <w:style w:type="character" w:customStyle="1" w:styleId="BodyTextIn">
    <w:name w:val="Body Text In"/>
    <w:rsid w:val="00A74A10"/>
    <w:rPr>
      <w:rFonts w:ascii="Arial" w:hAnsi="Arial" w:cs="Arial"/>
      <w:sz w:val="23"/>
      <w:szCs w:val="23"/>
    </w:rPr>
  </w:style>
  <w:style w:type="paragraph" w:customStyle="1" w:styleId="Quick10">
    <w:name w:val="Quick _1"/>
    <w:basedOn w:val="Normal"/>
    <w:rsid w:val="00A74A10"/>
    <w:pPr>
      <w:ind w:left="720" w:hanging="720"/>
    </w:pPr>
  </w:style>
  <w:style w:type="character" w:styleId="Hyperlink">
    <w:name w:val="Hyperlink"/>
    <w:rsid w:val="00A74A10"/>
    <w:rPr>
      <w:color w:val="0000FF"/>
      <w:u w:val="single"/>
    </w:rPr>
  </w:style>
  <w:style w:type="paragraph" w:styleId="Header">
    <w:name w:val="header"/>
    <w:basedOn w:val="Normal"/>
    <w:rsid w:val="00A74A10"/>
    <w:pPr>
      <w:tabs>
        <w:tab w:val="center" w:pos="4320"/>
        <w:tab w:val="right" w:pos="8640"/>
      </w:tabs>
    </w:pPr>
  </w:style>
  <w:style w:type="character" w:styleId="FollowedHyperlink">
    <w:name w:val="FollowedHyperlink"/>
    <w:rsid w:val="00A74A10"/>
    <w:rPr>
      <w:color w:val="800080"/>
      <w:u w:val="single"/>
    </w:rPr>
  </w:style>
  <w:style w:type="paragraph" w:styleId="Footer">
    <w:name w:val="footer"/>
    <w:basedOn w:val="Normal"/>
    <w:rsid w:val="00A74A10"/>
    <w:pPr>
      <w:tabs>
        <w:tab w:val="center" w:pos="4320"/>
        <w:tab w:val="right" w:pos="8640"/>
      </w:tabs>
    </w:pPr>
    <w:rPr>
      <w:rFonts w:ascii="Times New Roman" w:hAnsi="Times New Roman"/>
    </w:rPr>
  </w:style>
  <w:style w:type="paragraph" w:customStyle="1" w:styleId="1b1">
    <w:name w:val="1b1"/>
    <w:rsid w:val="00A74A10"/>
    <w:pPr>
      <w:widowControl w:val="0"/>
      <w:autoSpaceDE w:val="0"/>
      <w:autoSpaceDN w:val="0"/>
      <w:adjustRightInd w:val="0"/>
    </w:pPr>
    <w:rPr>
      <w:sz w:val="24"/>
      <w:szCs w:val="24"/>
    </w:rPr>
  </w:style>
  <w:style w:type="paragraph" w:styleId="BodyText2">
    <w:name w:val="Body Text 2"/>
    <w:basedOn w:val="Normal"/>
    <w:rsid w:val="00A74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 w:line="199" w:lineRule="exact"/>
      <w:jc w:val="center"/>
    </w:pPr>
    <w:rPr>
      <w:rFonts w:ascii="Times New Roman" w:hAnsi="Times New Roman"/>
      <w:b/>
      <w:bCs/>
      <w:sz w:val="24"/>
    </w:rPr>
  </w:style>
  <w:style w:type="character" w:styleId="PageNumber">
    <w:name w:val="page number"/>
    <w:basedOn w:val="DefaultParagraphFont"/>
    <w:rsid w:val="00A74A10"/>
  </w:style>
  <w:style w:type="paragraph" w:customStyle="1" w:styleId="A">
    <w:name w:val="A"/>
    <w:aliases w:val="B"/>
    <w:basedOn w:val="Normal"/>
    <w:rsid w:val="00A74A10"/>
    <w:pPr>
      <w:numPr>
        <w:numId w:val="3"/>
      </w:numPr>
      <w:ind w:left="720" w:hanging="720"/>
    </w:pPr>
  </w:style>
  <w:style w:type="paragraph" w:customStyle="1" w:styleId="Level1">
    <w:name w:val="Level 1"/>
    <w:basedOn w:val="Normal"/>
    <w:rsid w:val="00A74A10"/>
    <w:pPr>
      <w:ind w:left="720" w:hanging="720"/>
      <w:outlineLvl w:val="0"/>
    </w:pPr>
  </w:style>
  <w:style w:type="paragraph" w:styleId="BodyText">
    <w:name w:val="Body Text"/>
    <w:basedOn w:val="Normal"/>
    <w:rsid w:val="00A74A10"/>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N1-1stBulle">
    <w:name w:val="N1-1st Bulle"/>
    <w:rsid w:val="00A74A10"/>
  </w:style>
  <w:style w:type="character" w:customStyle="1" w:styleId="Q1-FirstLev">
    <w:name w:val="Q1-First Lev"/>
    <w:rsid w:val="00A74A10"/>
  </w:style>
  <w:style w:type="character" w:customStyle="1" w:styleId="A5-2ndLeade">
    <w:name w:val="A5-2nd Leade"/>
    <w:rsid w:val="00A74A10"/>
  </w:style>
  <w:style w:type="paragraph" w:styleId="BodyText3">
    <w:name w:val="Body Text 3"/>
    <w:basedOn w:val="Normal"/>
    <w:rsid w:val="00A74A10"/>
    <w:rPr>
      <w:color w:val="008000"/>
    </w:rPr>
  </w:style>
  <w:style w:type="paragraph" w:customStyle="1" w:styleId="Q1-FirstLevelQuestion">
    <w:name w:val="Q1-First Level Question"/>
    <w:rsid w:val="00A74A10"/>
    <w:pPr>
      <w:tabs>
        <w:tab w:val="left" w:pos="1152"/>
      </w:tabs>
      <w:spacing w:line="240" w:lineRule="atLeast"/>
      <w:ind w:left="1152" w:hanging="1152"/>
      <w:jc w:val="both"/>
    </w:pPr>
    <w:rPr>
      <w:rFonts w:ascii="Arial" w:hAnsi="Arial"/>
      <w:sz w:val="18"/>
    </w:rPr>
  </w:style>
  <w:style w:type="paragraph" w:customStyle="1" w:styleId="A5-2ndLeader">
    <w:name w:val="A5-2nd Leader"/>
    <w:rsid w:val="00A74A10"/>
    <w:pPr>
      <w:tabs>
        <w:tab w:val="right" w:leader="dot" w:pos="7200"/>
        <w:tab w:val="right" w:pos="7488"/>
        <w:tab w:val="left" w:pos="7632"/>
      </w:tabs>
      <w:spacing w:line="240" w:lineRule="atLeast"/>
      <w:ind w:left="3600"/>
    </w:pPr>
    <w:rPr>
      <w:rFonts w:ascii="Arial" w:hAnsi="Arial"/>
      <w:sz w:val="18"/>
    </w:rPr>
  </w:style>
  <w:style w:type="paragraph" w:customStyle="1" w:styleId="Style1">
    <w:name w:val="Style1"/>
    <w:basedOn w:val="Normal"/>
    <w:rsid w:val="00A74A10"/>
    <w:pPr>
      <w:keepNext/>
      <w:keepLines/>
      <w:widowControl/>
      <w:autoSpaceDE/>
      <w:autoSpaceDN/>
      <w:adjustRightInd/>
      <w:ind w:left="1620" w:hanging="1620"/>
    </w:pPr>
    <w:rPr>
      <w:rFonts w:cs="Arial"/>
      <w:szCs w:val="22"/>
    </w:rPr>
  </w:style>
  <w:style w:type="paragraph" w:customStyle="1" w:styleId="1AutoList1">
    <w:name w:val="1AutoList1"/>
    <w:rsid w:val="00A74A10"/>
    <w:pPr>
      <w:tabs>
        <w:tab w:val="left" w:pos="720"/>
      </w:tabs>
      <w:autoSpaceDE w:val="0"/>
      <w:autoSpaceDN w:val="0"/>
      <w:adjustRightInd w:val="0"/>
      <w:ind w:left="720" w:hanging="720"/>
    </w:pPr>
    <w:rPr>
      <w:szCs w:val="24"/>
    </w:rPr>
  </w:style>
  <w:style w:type="character" w:customStyle="1" w:styleId="A52ndLeade">
    <w:name w:val="A52nd Leade"/>
    <w:rsid w:val="00A74A10"/>
  </w:style>
  <w:style w:type="character" w:customStyle="1" w:styleId="Q1FirstLev">
    <w:name w:val="Q1First Lev"/>
    <w:rsid w:val="00A74A10"/>
  </w:style>
  <w:style w:type="paragraph" w:styleId="BodyTextIndent3">
    <w:name w:val="Body Text Indent 3"/>
    <w:basedOn w:val="Normal"/>
    <w:rsid w:val="00A74A10"/>
    <w:pPr>
      <w:widowControl/>
      <w:tabs>
        <w:tab w:val="left" w:pos="-3600"/>
        <w:tab w:val="left" w:pos="0"/>
        <w:tab w:val="right" w:leader="dot" w:pos="3600"/>
        <w:tab w:val="right" w:pos="3888"/>
        <w:tab w:val="left" w:pos="4032"/>
        <w:tab w:val="left" w:pos="4320"/>
        <w:tab w:val="left" w:pos="5040"/>
      </w:tabs>
      <w:autoSpaceDE/>
      <w:autoSpaceDN/>
      <w:adjustRightInd/>
      <w:ind w:left="3600"/>
    </w:pPr>
    <w:rPr>
      <w:rFonts w:cs="Arial"/>
      <w:szCs w:val="22"/>
    </w:rPr>
  </w:style>
  <w:style w:type="paragraph" w:styleId="BlockText">
    <w:name w:val="Block Text"/>
    <w:basedOn w:val="Normal"/>
    <w:rsid w:val="00A74A10"/>
    <w:pPr>
      <w:tabs>
        <w:tab w:val="left" w:pos="-648"/>
        <w:tab w:val="left" w:pos="-287"/>
        <w:tab w:val="left" w:pos="434"/>
        <w:tab w:val="left" w:pos="1332"/>
        <w:tab w:val="left" w:pos="1710"/>
        <w:tab w:val="left" w:pos="1876"/>
        <w:tab w:val="left" w:pos="2598"/>
        <w:tab w:val="left" w:pos="3319"/>
        <w:tab w:val="left" w:pos="4040"/>
        <w:tab w:val="left" w:pos="4761"/>
        <w:tab w:val="left" w:pos="5482"/>
        <w:tab w:val="left" w:pos="6204"/>
        <w:tab w:val="left" w:pos="6925"/>
        <w:tab w:val="left" w:pos="7646"/>
        <w:tab w:val="left" w:pos="8367"/>
        <w:tab w:val="left" w:pos="9088"/>
        <w:tab w:val="left" w:pos="9810"/>
      </w:tabs>
      <w:ind w:left="144" w:right="144"/>
    </w:pPr>
    <w:rPr>
      <w:szCs w:val="22"/>
    </w:rPr>
  </w:style>
  <w:style w:type="paragraph" w:styleId="BodyTextIndent2">
    <w:name w:val="Body Text Indent 2"/>
    <w:basedOn w:val="Normal"/>
    <w:rsid w:val="00A74A10"/>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5760"/>
    </w:pPr>
    <w:rPr>
      <w:sz w:val="18"/>
      <w:szCs w:val="18"/>
    </w:rPr>
  </w:style>
  <w:style w:type="character" w:customStyle="1" w:styleId="A52ndLeade0">
    <w:name w:val="A5©2nd Leade"/>
    <w:rsid w:val="00A74A10"/>
  </w:style>
  <w:style w:type="character" w:customStyle="1" w:styleId="Q1FirstLev0">
    <w:name w:val="Q1©First Lev"/>
    <w:rsid w:val="00A74A10"/>
  </w:style>
  <w:style w:type="paragraph" w:customStyle="1" w:styleId="N6-DateInd">
    <w:name w:val="N6-Date Ind."/>
    <w:basedOn w:val="Normal"/>
    <w:rsid w:val="00A74A10"/>
    <w:pPr>
      <w:widowControl/>
      <w:tabs>
        <w:tab w:val="left" w:pos="5400"/>
      </w:tabs>
      <w:autoSpaceDE/>
      <w:autoSpaceDN/>
      <w:adjustRightInd/>
      <w:spacing w:line="240" w:lineRule="atLeast"/>
      <w:ind w:left="5400"/>
      <w:jc w:val="both"/>
    </w:pPr>
    <w:rPr>
      <w:rFonts w:ascii="Times New Roman" w:hAnsi="Times New Roman"/>
    </w:rPr>
  </w:style>
  <w:style w:type="paragraph" w:customStyle="1" w:styleId="SL-FlLftSgl">
    <w:name w:val="SL-Fl Lft Sgl"/>
    <w:rsid w:val="00A74A10"/>
    <w:pPr>
      <w:spacing w:line="240" w:lineRule="atLeast"/>
      <w:jc w:val="both"/>
    </w:pPr>
    <w:rPr>
      <w:sz w:val="22"/>
    </w:rPr>
  </w:style>
  <w:style w:type="paragraph" w:styleId="ListBullet2">
    <w:name w:val="List Bullet 2"/>
    <w:basedOn w:val="Normal"/>
    <w:autoRedefine/>
    <w:rsid w:val="00A74A10"/>
    <w:pPr>
      <w:numPr>
        <w:numId w:val="4"/>
      </w:numPr>
    </w:pPr>
  </w:style>
  <w:style w:type="paragraph" w:styleId="ListBullet">
    <w:name w:val="List Bullet"/>
    <w:basedOn w:val="Normal"/>
    <w:autoRedefine/>
    <w:rsid w:val="00A74A10"/>
    <w:pPr>
      <w:numPr>
        <w:numId w:val="5"/>
      </w:numPr>
    </w:pPr>
  </w:style>
  <w:style w:type="paragraph" w:styleId="ListBullet3">
    <w:name w:val="List Bullet 3"/>
    <w:basedOn w:val="Normal"/>
    <w:autoRedefine/>
    <w:rsid w:val="00A74A10"/>
    <w:pPr>
      <w:numPr>
        <w:numId w:val="6"/>
      </w:numPr>
    </w:pPr>
  </w:style>
  <w:style w:type="character" w:customStyle="1" w:styleId="QuickFormat3">
    <w:name w:val="QuickFormat3"/>
    <w:rsid w:val="00A74A10"/>
    <w:rPr>
      <w:sz w:val="20"/>
      <w:szCs w:val="20"/>
    </w:rPr>
  </w:style>
  <w:style w:type="paragraph" w:styleId="NormalWeb">
    <w:name w:val="Normal (Web)"/>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27">
    <w:name w:val="xl27"/>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8">
    <w:name w:val="xl28"/>
    <w:basedOn w:val="Normal"/>
    <w:rsid w:val="00A74A10"/>
    <w:pPr>
      <w:widowControl/>
      <w:pBdr>
        <w:top w:val="single" w:sz="4" w:space="0" w:color="auto"/>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29">
    <w:name w:val="xl29"/>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0">
    <w:name w:val="xl30"/>
    <w:basedOn w:val="Normal"/>
    <w:rsid w:val="00A74A10"/>
    <w:pPr>
      <w:widowControl/>
      <w:pBdr>
        <w:bottom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1">
    <w:name w:val="xl31"/>
    <w:basedOn w:val="Normal"/>
    <w:rsid w:val="00A74A10"/>
    <w:pPr>
      <w:widowControl/>
      <w:pBdr>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2">
    <w:name w:val="xl32"/>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3">
    <w:name w:val="xl33"/>
    <w:basedOn w:val="Normal"/>
    <w:rsid w:val="00A74A10"/>
    <w:pPr>
      <w:widowControl/>
      <w:autoSpaceDE/>
      <w:autoSpaceDN/>
      <w:adjustRightInd/>
      <w:spacing w:before="100" w:beforeAutospacing="1" w:after="100" w:afterAutospacing="1"/>
      <w:jc w:val="right"/>
    </w:pPr>
    <w:rPr>
      <w:rFonts w:ascii="Times New Roman" w:eastAsia="Arial Unicode MS" w:hAnsi="Times New Roman" w:cs="Arial Unicode MS"/>
      <w:sz w:val="24"/>
      <w:szCs w:val="24"/>
      <w:u w:val="single"/>
    </w:rPr>
  </w:style>
  <w:style w:type="paragraph" w:customStyle="1" w:styleId="xl34">
    <w:name w:val="xl34"/>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5">
    <w:name w:val="xl35"/>
    <w:basedOn w:val="Normal"/>
    <w:rsid w:val="00A74A10"/>
    <w:pPr>
      <w:widowControl/>
      <w:pBdr>
        <w:top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6">
    <w:name w:val="xl3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37">
    <w:name w:val="xl37"/>
    <w:basedOn w:val="Normal"/>
    <w:rsid w:val="00A74A10"/>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8">
    <w:name w:val="xl38"/>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39">
    <w:name w:val="xl39"/>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0">
    <w:name w:val="xl40"/>
    <w:basedOn w:val="Normal"/>
    <w:rsid w:val="00A74A1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1">
    <w:name w:val="xl41"/>
    <w:basedOn w:val="Normal"/>
    <w:rsid w:val="00A74A1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Arial Unicode MS" w:hAnsi="Times New Roman" w:cs="Arial Unicode MS"/>
      <w:sz w:val="24"/>
      <w:szCs w:val="24"/>
    </w:rPr>
  </w:style>
  <w:style w:type="paragraph" w:customStyle="1" w:styleId="xl42">
    <w:name w:val="xl42"/>
    <w:basedOn w:val="Normal"/>
    <w:rsid w:val="00A74A10"/>
    <w:pPr>
      <w:widowControl/>
      <w:pBdr>
        <w:top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3">
    <w:name w:val="xl43"/>
    <w:basedOn w:val="Normal"/>
    <w:rsid w:val="00A74A10"/>
    <w:pPr>
      <w:widowControl/>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4">
    <w:name w:val="xl44"/>
    <w:basedOn w:val="Normal"/>
    <w:rsid w:val="00A74A10"/>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eastAsia="Arial Unicode MS" w:hAnsi="Times New Roman" w:cs="Arial Unicode MS"/>
      <w:sz w:val="24"/>
      <w:szCs w:val="24"/>
    </w:rPr>
  </w:style>
  <w:style w:type="paragraph" w:customStyle="1" w:styleId="xl45">
    <w:name w:val="xl45"/>
    <w:basedOn w:val="Normal"/>
    <w:rsid w:val="00A74A10"/>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xl46">
    <w:name w:val="xl46"/>
    <w:basedOn w:val="Normal"/>
    <w:rsid w:val="00A74A10"/>
    <w:pPr>
      <w:widowControl/>
      <w:autoSpaceDE/>
      <w:autoSpaceDN/>
      <w:adjustRightInd/>
      <w:spacing w:before="100" w:beforeAutospacing="1" w:after="100" w:afterAutospacing="1"/>
    </w:pPr>
    <w:rPr>
      <w:rFonts w:ascii="Times New Roman" w:eastAsia="Arial Unicode MS" w:hAnsi="Times New Roman" w:cs="Arial Unicode MS"/>
      <w:sz w:val="18"/>
      <w:szCs w:val="18"/>
    </w:rPr>
  </w:style>
  <w:style w:type="character" w:customStyle="1" w:styleId="QuickFormat1">
    <w:name w:val="QuickFormat1"/>
    <w:rsid w:val="00A74A10"/>
    <w:rPr>
      <w:sz w:val="20"/>
      <w:szCs w:val="20"/>
    </w:rPr>
  </w:style>
  <w:style w:type="paragraph" w:styleId="BalloonText">
    <w:name w:val="Balloon Text"/>
    <w:basedOn w:val="Normal"/>
    <w:semiHidden/>
    <w:rsid w:val="003604CC"/>
    <w:rPr>
      <w:rFonts w:ascii="Tahoma" w:hAnsi="Tahoma" w:cs="Tahoma"/>
      <w:sz w:val="16"/>
      <w:szCs w:val="16"/>
    </w:rPr>
  </w:style>
  <w:style w:type="character" w:styleId="CommentReference">
    <w:name w:val="annotation reference"/>
    <w:semiHidden/>
    <w:rsid w:val="00393710"/>
    <w:rPr>
      <w:sz w:val="16"/>
      <w:szCs w:val="16"/>
    </w:rPr>
  </w:style>
  <w:style w:type="paragraph" w:styleId="CommentText">
    <w:name w:val="annotation text"/>
    <w:basedOn w:val="Normal"/>
    <w:semiHidden/>
    <w:rsid w:val="00393710"/>
    <w:rPr>
      <w:sz w:val="20"/>
    </w:rPr>
  </w:style>
  <w:style w:type="paragraph" w:styleId="CommentSubject">
    <w:name w:val="annotation subject"/>
    <w:basedOn w:val="CommentText"/>
    <w:next w:val="CommentText"/>
    <w:semiHidden/>
    <w:rsid w:val="00393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083">
      <w:bodyDiv w:val="1"/>
      <w:marLeft w:val="0"/>
      <w:marRight w:val="0"/>
      <w:marTop w:val="0"/>
      <w:marBottom w:val="0"/>
      <w:divBdr>
        <w:top w:val="none" w:sz="0" w:space="0" w:color="auto"/>
        <w:left w:val="none" w:sz="0" w:space="0" w:color="auto"/>
        <w:bottom w:val="none" w:sz="0" w:space="0" w:color="auto"/>
        <w:right w:val="none" w:sz="0" w:space="0" w:color="auto"/>
      </w:divBdr>
    </w:div>
    <w:div w:id="217715662">
      <w:bodyDiv w:val="1"/>
      <w:marLeft w:val="0"/>
      <w:marRight w:val="0"/>
      <w:marTop w:val="0"/>
      <w:marBottom w:val="0"/>
      <w:divBdr>
        <w:top w:val="none" w:sz="0" w:space="0" w:color="auto"/>
        <w:left w:val="none" w:sz="0" w:space="0" w:color="auto"/>
        <w:bottom w:val="none" w:sz="0" w:space="0" w:color="auto"/>
        <w:right w:val="none" w:sz="0" w:space="0" w:color="auto"/>
      </w:divBdr>
    </w:div>
    <w:div w:id="368840410">
      <w:bodyDiv w:val="1"/>
      <w:marLeft w:val="0"/>
      <w:marRight w:val="0"/>
      <w:marTop w:val="0"/>
      <w:marBottom w:val="0"/>
      <w:divBdr>
        <w:top w:val="none" w:sz="0" w:space="0" w:color="auto"/>
        <w:left w:val="none" w:sz="0" w:space="0" w:color="auto"/>
        <w:bottom w:val="none" w:sz="0" w:space="0" w:color="auto"/>
        <w:right w:val="none" w:sz="0" w:space="0" w:color="auto"/>
      </w:divBdr>
    </w:div>
    <w:div w:id="378359285">
      <w:bodyDiv w:val="1"/>
      <w:marLeft w:val="0"/>
      <w:marRight w:val="0"/>
      <w:marTop w:val="0"/>
      <w:marBottom w:val="0"/>
      <w:divBdr>
        <w:top w:val="none" w:sz="0" w:space="0" w:color="auto"/>
        <w:left w:val="none" w:sz="0" w:space="0" w:color="auto"/>
        <w:bottom w:val="none" w:sz="0" w:space="0" w:color="auto"/>
        <w:right w:val="none" w:sz="0" w:space="0" w:color="auto"/>
      </w:divBdr>
    </w:div>
    <w:div w:id="515848955">
      <w:bodyDiv w:val="1"/>
      <w:marLeft w:val="0"/>
      <w:marRight w:val="0"/>
      <w:marTop w:val="0"/>
      <w:marBottom w:val="0"/>
      <w:divBdr>
        <w:top w:val="none" w:sz="0" w:space="0" w:color="auto"/>
        <w:left w:val="none" w:sz="0" w:space="0" w:color="auto"/>
        <w:bottom w:val="none" w:sz="0" w:space="0" w:color="auto"/>
        <w:right w:val="none" w:sz="0" w:space="0" w:color="auto"/>
      </w:divBdr>
    </w:div>
    <w:div w:id="775246492">
      <w:bodyDiv w:val="1"/>
      <w:marLeft w:val="0"/>
      <w:marRight w:val="0"/>
      <w:marTop w:val="0"/>
      <w:marBottom w:val="0"/>
      <w:divBdr>
        <w:top w:val="none" w:sz="0" w:space="0" w:color="auto"/>
        <w:left w:val="none" w:sz="0" w:space="0" w:color="auto"/>
        <w:bottom w:val="none" w:sz="0" w:space="0" w:color="auto"/>
        <w:right w:val="none" w:sz="0" w:space="0" w:color="auto"/>
      </w:divBdr>
    </w:div>
    <w:div w:id="791443602">
      <w:bodyDiv w:val="1"/>
      <w:marLeft w:val="0"/>
      <w:marRight w:val="0"/>
      <w:marTop w:val="0"/>
      <w:marBottom w:val="0"/>
      <w:divBdr>
        <w:top w:val="none" w:sz="0" w:space="0" w:color="auto"/>
        <w:left w:val="none" w:sz="0" w:space="0" w:color="auto"/>
        <w:bottom w:val="none" w:sz="0" w:space="0" w:color="auto"/>
        <w:right w:val="none" w:sz="0" w:space="0" w:color="auto"/>
      </w:divBdr>
    </w:div>
    <w:div w:id="1075126517">
      <w:bodyDiv w:val="1"/>
      <w:marLeft w:val="0"/>
      <w:marRight w:val="0"/>
      <w:marTop w:val="0"/>
      <w:marBottom w:val="0"/>
      <w:divBdr>
        <w:top w:val="none" w:sz="0" w:space="0" w:color="auto"/>
        <w:left w:val="none" w:sz="0" w:space="0" w:color="auto"/>
        <w:bottom w:val="none" w:sz="0" w:space="0" w:color="auto"/>
        <w:right w:val="none" w:sz="0" w:space="0" w:color="auto"/>
      </w:divBdr>
    </w:div>
    <w:div w:id="1262491811">
      <w:bodyDiv w:val="1"/>
      <w:marLeft w:val="0"/>
      <w:marRight w:val="0"/>
      <w:marTop w:val="0"/>
      <w:marBottom w:val="0"/>
      <w:divBdr>
        <w:top w:val="none" w:sz="0" w:space="0" w:color="auto"/>
        <w:left w:val="none" w:sz="0" w:space="0" w:color="auto"/>
        <w:bottom w:val="none" w:sz="0" w:space="0" w:color="auto"/>
        <w:right w:val="none" w:sz="0" w:space="0" w:color="auto"/>
      </w:divBdr>
    </w:div>
    <w:div w:id="1316834779">
      <w:bodyDiv w:val="1"/>
      <w:marLeft w:val="0"/>
      <w:marRight w:val="0"/>
      <w:marTop w:val="0"/>
      <w:marBottom w:val="0"/>
      <w:divBdr>
        <w:top w:val="none" w:sz="0" w:space="0" w:color="auto"/>
        <w:left w:val="none" w:sz="0" w:space="0" w:color="auto"/>
        <w:bottom w:val="none" w:sz="0" w:space="0" w:color="auto"/>
        <w:right w:val="none" w:sz="0" w:space="0" w:color="auto"/>
      </w:divBdr>
    </w:div>
    <w:div w:id="1439132412">
      <w:bodyDiv w:val="1"/>
      <w:marLeft w:val="0"/>
      <w:marRight w:val="0"/>
      <w:marTop w:val="0"/>
      <w:marBottom w:val="0"/>
      <w:divBdr>
        <w:top w:val="none" w:sz="0" w:space="0" w:color="auto"/>
        <w:left w:val="none" w:sz="0" w:space="0" w:color="auto"/>
        <w:bottom w:val="none" w:sz="0" w:space="0" w:color="auto"/>
        <w:right w:val="none" w:sz="0" w:space="0" w:color="auto"/>
      </w:divBdr>
    </w:div>
    <w:div w:id="1787968175">
      <w:bodyDiv w:val="1"/>
      <w:marLeft w:val="0"/>
      <w:marRight w:val="0"/>
      <w:marTop w:val="0"/>
      <w:marBottom w:val="0"/>
      <w:divBdr>
        <w:top w:val="none" w:sz="0" w:space="0" w:color="auto"/>
        <w:left w:val="none" w:sz="0" w:space="0" w:color="auto"/>
        <w:bottom w:val="none" w:sz="0" w:space="0" w:color="auto"/>
        <w:right w:val="none" w:sz="0" w:space="0" w:color="auto"/>
      </w:divBdr>
    </w:div>
    <w:div w:id="1788507978">
      <w:bodyDiv w:val="1"/>
      <w:marLeft w:val="0"/>
      <w:marRight w:val="0"/>
      <w:marTop w:val="0"/>
      <w:marBottom w:val="0"/>
      <w:divBdr>
        <w:top w:val="none" w:sz="0" w:space="0" w:color="auto"/>
        <w:left w:val="none" w:sz="0" w:space="0" w:color="auto"/>
        <w:bottom w:val="none" w:sz="0" w:space="0" w:color="auto"/>
        <w:right w:val="none" w:sz="0" w:space="0" w:color="auto"/>
      </w:divBdr>
    </w:div>
    <w:div w:id="1827625478">
      <w:bodyDiv w:val="1"/>
      <w:marLeft w:val="0"/>
      <w:marRight w:val="0"/>
      <w:marTop w:val="0"/>
      <w:marBottom w:val="0"/>
      <w:divBdr>
        <w:top w:val="none" w:sz="0" w:space="0" w:color="auto"/>
        <w:left w:val="none" w:sz="0" w:space="0" w:color="auto"/>
        <w:bottom w:val="none" w:sz="0" w:space="0" w:color="auto"/>
        <w:right w:val="none" w:sz="0" w:space="0" w:color="auto"/>
      </w:divBdr>
    </w:div>
    <w:div w:id="1860852529">
      <w:bodyDiv w:val="1"/>
      <w:marLeft w:val="0"/>
      <w:marRight w:val="0"/>
      <w:marTop w:val="0"/>
      <w:marBottom w:val="0"/>
      <w:divBdr>
        <w:top w:val="none" w:sz="0" w:space="0" w:color="auto"/>
        <w:left w:val="none" w:sz="0" w:space="0" w:color="auto"/>
        <w:bottom w:val="none" w:sz="0" w:space="0" w:color="auto"/>
        <w:right w:val="none" w:sz="0" w:space="0" w:color="auto"/>
      </w:divBdr>
    </w:div>
    <w:div w:id="1892494066">
      <w:bodyDiv w:val="1"/>
      <w:marLeft w:val="0"/>
      <w:marRight w:val="0"/>
      <w:marTop w:val="0"/>
      <w:marBottom w:val="0"/>
      <w:divBdr>
        <w:top w:val="none" w:sz="0" w:space="0" w:color="auto"/>
        <w:left w:val="none" w:sz="0" w:space="0" w:color="auto"/>
        <w:bottom w:val="none" w:sz="0" w:space="0" w:color="auto"/>
        <w:right w:val="none" w:sz="0" w:space="0" w:color="auto"/>
      </w:divBdr>
    </w:div>
    <w:div w:id="2124958506">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3">
          <w:marLeft w:val="0"/>
          <w:marRight w:val="0"/>
          <w:marTop w:val="0"/>
          <w:marBottom w:val="0"/>
          <w:divBdr>
            <w:top w:val="none" w:sz="0" w:space="0" w:color="auto"/>
            <w:left w:val="none" w:sz="0" w:space="0" w:color="auto"/>
            <w:bottom w:val="none" w:sz="0" w:space="0" w:color="auto"/>
            <w:right w:val="none" w:sz="0" w:space="0" w:color="auto"/>
          </w:divBdr>
          <w:divsChild>
            <w:div w:id="1108505544">
              <w:marLeft w:val="0"/>
              <w:marRight w:val="0"/>
              <w:marTop w:val="0"/>
              <w:marBottom w:val="0"/>
              <w:divBdr>
                <w:top w:val="none" w:sz="0" w:space="0" w:color="auto"/>
                <w:left w:val="none" w:sz="0" w:space="0" w:color="auto"/>
                <w:bottom w:val="none" w:sz="0" w:space="0" w:color="auto"/>
                <w:right w:val="none" w:sz="0" w:space="0" w:color="auto"/>
              </w:divBdr>
              <w:divsChild>
                <w:div w:id="1104375597">
                  <w:marLeft w:val="0"/>
                  <w:marRight w:val="0"/>
                  <w:marTop w:val="0"/>
                  <w:marBottom w:val="0"/>
                  <w:divBdr>
                    <w:top w:val="none" w:sz="0" w:space="0" w:color="auto"/>
                    <w:left w:val="none" w:sz="0" w:space="0" w:color="auto"/>
                    <w:bottom w:val="none" w:sz="0" w:space="0" w:color="auto"/>
                    <w:right w:val="none" w:sz="0" w:space="0" w:color="auto"/>
                  </w:divBdr>
                  <w:divsChild>
                    <w:div w:id="1800613956">
                      <w:marLeft w:val="0"/>
                      <w:marRight w:val="0"/>
                      <w:marTop w:val="0"/>
                      <w:marBottom w:val="0"/>
                      <w:divBdr>
                        <w:top w:val="none" w:sz="0" w:space="0" w:color="auto"/>
                        <w:left w:val="none" w:sz="0" w:space="0" w:color="auto"/>
                        <w:bottom w:val="none" w:sz="0" w:space="0" w:color="auto"/>
                        <w:right w:val="none" w:sz="0" w:space="0" w:color="auto"/>
                      </w:divBdr>
                      <w:divsChild>
                        <w:div w:id="947616863">
                          <w:marLeft w:val="0"/>
                          <w:marRight w:val="0"/>
                          <w:marTop w:val="0"/>
                          <w:marBottom w:val="0"/>
                          <w:divBdr>
                            <w:top w:val="none" w:sz="0" w:space="0" w:color="auto"/>
                            <w:left w:val="none" w:sz="0" w:space="0" w:color="auto"/>
                            <w:bottom w:val="none" w:sz="0" w:space="0" w:color="auto"/>
                            <w:right w:val="none" w:sz="0" w:space="0" w:color="auto"/>
                          </w:divBdr>
                          <w:divsChild>
                            <w:div w:id="1943487467">
                              <w:marLeft w:val="-225"/>
                              <w:marRight w:val="0"/>
                              <w:marTop w:val="0"/>
                              <w:marBottom w:val="0"/>
                              <w:divBdr>
                                <w:top w:val="none" w:sz="0" w:space="0" w:color="auto"/>
                                <w:left w:val="none" w:sz="0" w:space="0" w:color="auto"/>
                                <w:bottom w:val="none" w:sz="0" w:space="0" w:color="auto"/>
                                <w:right w:val="none" w:sz="0" w:space="0" w:color="auto"/>
                              </w:divBdr>
                              <w:divsChild>
                                <w:div w:id="1179008364">
                                  <w:marLeft w:val="0"/>
                                  <w:marRight w:val="0"/>
                                  <w:marTop w:val="0"/>
                                  <w:marBottom w:val="0"/>
                                  <w:divBdr>
                                    <w:top w:val="none" w:sz="0" w:space="0" w:color="auto"/>
                                    <w:left w:val="none" w:sz="0" w:space="0" w:color="auto"/>
                                    <w:bottom w:val="none" w:sz="0" w:space="0" w:color="auto"/>
                                    <w:right w:val="none" w:sz="0" w:space="0" w:color="auto"/>
                                  </w:divBdr>
                                  <w:divsChild>
                                    <w:div w:id="1946304855">
                                      <w:marLeft w:val="0"/>
                                      <w:marRight w:val="0"/>
                                      <w:marTop w:val="0"/>
                                      <w:marBottom w:val="0"/>
                                      <w:divBdr>
                                        <w:top w:val="none" w:sz="0" w:space="0" w:color="auto"/>
                                        <w:left w:val="none" w:sz="0" w:space="0" w:color="auto"/>
                                        <w:bottom w:val="none" w:sz="0" w:space="0" w:color="auto"/>
                                        <w:right w:val="none" w:sz="0" w:space="0" w:color="auto"/>
                                      </w:divBdr>
                                      <w:divsChild>
                                        <w:div w:id="760033183">
                                          <w:marLeft w:val="0"/>
                                          <w:marRight w:val="0"/>
                                          <w:marTop w:val="0"/>
                                          <w:marBottom w:val="0"/>
                                          <w:divBdr>
                                            <w:top w:val="none" w:sz="0" w:space="0" w:color="auto"/>
                                            <w:left w:val="none" w:sz="0" w:space="0" w:color="auto"/>
                                            <w:bottom w:val="none" w:sz="0" w:space="0" w:color="auto"/>
                                            <w:right w:val="none" w:sz="0" w:space="0" w:color="auto"/>
                                          </w:divBdr>
                                          <w:divsChild>
                                            <w:div w:id="1608846802">
                                              <w:marLeft w:val="0"/>
                                              <w:marRight w:val="0"/>
                                              <w:marTop w:val="0"/>
                                              <w:marBottom w:val="0"/>
                                              <w:divBdr>
                                                <w:top w:val="none" w:sz="0" w:space="0" w:color="auto"/>
                                                <w:left w:val="none" w:sz="0" w:space="0" w:color="auto"/>
                                                <w:bottom w:val="none" w:sz="0" w:space="0" w:color="auto"/>
                                                <w:right w:val="none" w:sz="0" w:space="0" w:color="auto"/>
                                              </w:divBdr>
                                              <w:divsChild>
                                                <w:div w:id="1360551548">
                                                  <w:marLeft w:val="0"/>
                                                  <w:marRight w:val="0"/>
                                                  <w:marTop w:val="0"/>
                                                  <w:marBottom w:val="0"/>
                                                  <w:divBdr>
                                                    <w:top w:val="none" w:sz="0" w:space="0" w:color="auto"/>
                                                    <w:left w:val="none" w:sz="0" w:space="0" w:color="auto"/>
                                                    <w:bottom w:val="none" w:sz="0" w:space="0" w:color="auto"/>
                                                    <w:right w:val="none" w:sz="0" w:space="0" w:color="auto"/>
                                                  </w:divBdr>
                                                  <w:divsChild>
                                                    <w:div w:id="471098514">
                                                      <w:marLeft w:val="0"/>
                                                      <w:marRight w:val="0"/>
                                                      <w:marTop w:val="0"/>
                                                      <w:marBottom w:val="0"/>
                                                      <w:divBdr>
                                                        <w:top w:val="none" w:sz="0" w:space="0" w:color="auto"/>
                                                        <w:left w:val="none" w:sz="0" w:space="0" w:color="auto"/>
                                                        <w:bottom w:val="none" w:sz="0" w:space="0" w:color="auto"/>
                                                        <w:right w:val="none" w:sz="0" w:space="0" w:color="auto"/>
                                                      </w:divBdr>
                                                      <w:divsChild>
                                                        <w:div w:id="12100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922"/>
            </a:pPr>
            <a:r>
              <a:rPr lang="en-US"/>
              <a:t>Participant Response Rates</a:t>
            </a:r>
          </a:p>
        </c:rich>
      </c:tx>
      <c:overlay val="0"/>
    </c:title>
    <c:autoTitleDeleted val="0"/>
    <c:plotArea>
      <c:layout/>
      <c:lineChart>
        <c:grouping val="standard"/>
        <c:varyColors val="0"/>
        <c:ser>
          <c:idx val="0"/>
          <c:order val="0"/>
          <c:tx>
            <c:strRef>
              <c:f>Sheet1!$B$1</c:f>
              <c:strCache>
                <c:ptCount val="1"/>
                <c:pt idx="0">
                  <c:v>SP Response Rates</c:v>
                </c:pt>
              </c:strCache>
            </c:strRef>
          </c:tx>
          <c:spPr>
            <a:ln>
              <a:solidFill>
                <a:schemeClr val="tx1">
                  <a:lumMod val="95000"/>
                  <a:lumOff val="5000"/>
                </a:schemeClr>
              </a:solidFill>
            </a:ln>
          </c:spPr>
          <c:marker>
            <c:spPr>
              <a:solidFill>
                <a:schemeClr val="tx1">
                  <a:lumMod val="95000"/>
                  <a:lumOff val="5000"/>
                </a:schemeClr>
              </a:solidFill>
              <a:ln>
                <a:solidFill>
                  <a:schemeClr val="tx1">
                    <a:lumMod val="95000"/>
                    <a:lumOff val="5000"/>
                  </a:schemeClr>
                </a:solidFill>
              </a:ln>
            </c:spPr>
          </c:marker>
          <c:cat>
            <c:numRef>
              <c:f>Sheet1!$A$2:$A$19</c:f>
              <c:numCache>
                <c:formatCode>General</c:formatCode>
                <c:ptCount val="18"/>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numCache>
            </c:numRef>
          </c:cat>
          <c:val>
            <c:numRef>
              <c:f>Sheet1!$B$2:$B$19</c:f>
              <c:numCache>
                <c:formatCode>0</c:formatCode>
                <c:ptCount val="18"/>
                <c:pt idx="0">
                  <c:v>71.599999999999994</c:v>
                </c:pt>
                <c:pt idx="1">
                  <c:v>80</c:v>
                </c:pt>
                <c:pt idx="2">
                  <c:v>81.3</c:v>
                </c:pt>
                <c:pt idx="3">
                  <c:v>78</c:v>
                </c:pt>
                <c:pt idx="4">
                  <c:v>75.2</c:v>
                </c:pt>
                <c:pt idx="5">
                  <c:v>76.099999999999994</c:v>
                </c:pt>
                <c:pt idx="6">
                  <c:v>78</c:v>
                </c:pt>
                <c:pt idx="7">
                  <c:v>77.099999999999994</c:v>
                </c:pt>
                <c:pt idx="8">
                  <c:v>74.3</c:v>
                </c:pt>
                <c:pt idx="9">
                  <c:v>76.599999999999994</c:v>
                </c:pt>
                <c:pt idx="10">
                  <c:v>77.900000000000006</c:v>
                </c:pt>
                <c:pt idx="11">
                  <c:v>73.900000000000006</c:v>
                </c:pt>
                <c:pt idx="12">
                  <c:v>71</c:v>
                </c:pt>
                <c:pt idx="13">
                  <c:v>66</c:v>
                </c:pt>
                <c:pt idx="14">
                  <c:v>70</c:v>
                </c:pt>
                <c:pt idx="15">
                  <c:v>65</c:v>
                </c:pt>
                <c:pt idx="16">
                  <c:v>63</c:v>
                </c:pt>
                <c:pt idx="17">
                  <c:v>55</c:v>
                </c:pt>
              </c:numCache>
            </c:numRef>
          </c:val>
          <c:smooth val="0"/>
          <c:extLst xmlns:c16r2="http://schemas.microsoft.com/office/drawing/2015/06/chart">
            <c:ext xmlns:c16="http://schemas.microsoft.com/office/drawing/2014/chart" uri="{C3380CC4-5D6E-409C-BE32-E72D297353CC}">
              <c16:uniqueId val="{00000000-4EFB-449A-89F1-ACB181FB1559}"/>
            </c:ext>
          </c:extLst>
        </c:ser>
        <c:dLbls>
          <c:showLegendKey val="0"/>
          <c:showVal val="0"/>
          <c:showCatName val="0"/>
          <c:showSerName val="0"/>
          <c:showPercent val="0"/>
          <c:showBubbleSize val="0"/>
        </c:dLbls>
        <c:marker val="1"/>
        <c:smooth val="0"/>
        <c:axId val="42983424"/>
        <c:axId val="42985728"/>
      </c:lineChart>
      <c:catAx>
        <c:axId val="42983424"/>
        <c:scaling>
          <c:orientation val="minMax"/>
        </c:scaling>
        <c:delete val="0"/>
        <c:axPos val="b"/>
        <c:title>
          <c:tx>
            <c:rich>
              <a:bodyPr/>
              <a:lstStyle/>
              <a:p>
                <a:pPr>
                  <a:defRPr sz="920" b="1" i="0" u="none" strike="noStrike" baseline="0">
                    <a:solidFill>
                      <a:srgbClr val="000000"/>
                    </a:solidFill>
                    <a:latin typeface="Calibri"/>
                    <a:ea typeface="Calibri"/>
                    <a:cs typeface="Calibri"/>
                  </a:defRPr>
                </a:pPr>
                <a:r>
                  <a:rPr lang="en-US"/>
                  <a:t>Year</a:t>
                </a:r>
              </a:p>
            </c:rich>
          </c:tx>
          <c:overlay val="0"/>
        </c:title>
        <c:numFmt formatCode="General" sourceLinked="1"/>
        <c:majorTickMark val="out"/>
        <c:minorTickMark val="out"/>
        <c:tickLblPos val="nextTo"/>
        <c:crossAx val="42985728"/>
        <c:crosses val="autoZero"/>
        <c:auto val="1"/>
        <c:lblAlgn val="ctr"/>
        <c:lblOffset val="100"/>
        <c:noMultiLvlLbl val="0"/>
      </c:catAx>
      <c:valAx>
        <c:axId val="42985728"/>
        <c:scaling>
          <c:orientation val="minMax"/>
          <c:max val="90"/>
          <c:min val="50"/>
        </c:scaling>
        <c:delete val="0"/>
        <c:axPos val="l"/>
        <c:majorGridlines/>
        <c:title>
          <c:tx>
            <c:rich>
              <a:bodyPr/>
              <a:lstStyle/>
              <a:p>
                <a:pPr>
                  <a:defRPr sz="920" b="1" i="0" u="none" strike="noStrike" baseline="0">
                    <a:solidFill>
                      <a:srgbClr val="000000"/>
                    </a:solidFill>
                    <a:latin typeface="Calibri"/>
                    <a:ea typeface="Calibri"/>
                    <a:cs typeface="Calibri"/>
                  </a:defRPr>
                </a:pPr>
                <a:r>
                  <a:rPr lang="en-US"/>
                  <a:t>Response Rates</a:t>
                </a:r>
              </a:p>
            </c:rich>
          </c:tx>
          <c:overlay val="0"/>
        </c:title>
        <c:numFmt formatCode="0" sourceLinked="1"/>
        <c:majorTickMark val="none"/>
        <c:minorTickMark val="none"/>
        <c:tickLblPos val="nextTo"/>
        <c:crossAx val="42983424"/>
        <c:crosses val="autoZero"/>
        <c:crossBetween val="between"/>
      </c:valAx>
      <c:spPr>
        <a:solidFill>
          <a:schemeClr val="bg1">
            <a:lumMod val="85000"/>
          </a:schemeClr>
        </a:solidFill>
        <a:ln>
          <a:solidFill>
            <a:schemeClr val="tx1">
              <a:lumMod val="50000"/>
              <a:lumOff val="50000"/>
            </a:schemeClr>
          </a:solid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4CD8D-F1A1-408A-BD66-72823D5F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5 - Consultation with Outside Organizations and Individuals</vt:lpstr>
    </vt:vector>
  </TitlesOfParts>
  <Company>NCHS</Company>
  <LinksUpToDate>false</LinksUpToDate>
  <CharactersWithSpaces>4341</CharactersWithSpaces>
  <SharedDoc>false</SharedDoc>
  <HLinks>
    <vt:vector size="132" baseType="variant">
      <vt:variant>
        <vt:i4>1310774</vt:i4>
      </vt:variant>
      <vt:variant>
        <vt:i4>62</vt:i4>
      </vt:variant>
      <vt:variant>
        <vt:i4>0</vt:i4>
      </vt:variant>
      <vt:variant>
        <vt:i4>5</vt:i4>
      </vt:variant>
      <vt:variant>
        <vt:lpwstr>mailto:MZack@cdc.gov</vt:lpwstr>
      </vt:variant>
      <vt:variant>
        <vt:lpwstr/>
      </vt:variant>
      <vt:variant>
        <vt:i4>1179764</vt:i4>
      </vt:variant>
      <vt:variant>
        <vt:i4>59</vt:i4>
      </vt:variant>
      <vt:variant>
        <vt:i4>0</vt:i4>
      </vt:variant>
      <vt:variant>
        <vt:i4>5</vt:i4>
      </vt:variant>
      <vt:variant>
        <vt:lpwstr>mailto:Michael.Wolz@nih.gov</vt:lpwstr>
      </vt:variant>
      <vt:variant>
        <vt:lpwstr/>
      </vt:variant>
      <vt:variant>
        <vt:i4>8126559</vt:i4>
      </vt:variant>
      <vt:variant>
        <vt:i4>56</vt:i4>
      </vt:variant>
      <vt:variant>
        <vt:i4>0</vt:i4>
      </vt:variant>
      <vt:variant>
        <vt:i4>5</vt:i4>
      </vt:variant>
      <vt:variant>
        <vt:lpwstr>mailto:DEWilliams@cdc.gov</vt:lpwstr>
      </vt:variant>
      <vt:variant>
        <vt:lpwstr/>
      </vt:variant>
      <vt:variant>
        <vt:i4>2949199</vt:i4>
      </vt:variant>
      <vt:variant>
        <vt:i4>53</vt:i4>
      </vt:variant>
      <vt:variant>
        <vt:i4>0</vt:i4>
      </vt:variant>
      <vt:variant>
        <vt:i4>5</vt:i4>
      </vt:variant>
      <vt:variant>
        <vt:lpwstr>mailto:troianor@mail.nih.gov</vt:lpwstr>
      </vt:variant>
      <vt:variant>
        <vt:lpwstr/>
      </vt:variant>
      <vt:variant>
        <vt:i4>327728</vt:i4>
      </vt:variant>
      <vt:variant>
        <vt:i4>50</vt:i4>
      </vt:variant>
      <vt:variant>
        <vt:i4>0</vt:i4>
      </vt:variant>
      <vt:variant>
        <vt:i4>5</vt:i4>
      </vt:variant>
      <vt:variant>
        <vt:lpwstr>mailto:jsmith@cdcfoundation.org</vt:lpwstr>
      </vt:variant>
      <vt:variant>
        <vt:lpwstr/>
      </vt:variant>
      <vt:variant>
        <vt:i4>6946911</vt:i4>
      </vt:variant>
      <vt:variant>
        <vt:i4>47</vt:i4>
      </vt:variant>
      <vt:variant>
        <vt:i4>0</vt:i4>
      </vt:variant>
      <vt:variant>
        <vt:i4>5</vt:i4>
      </vt:variant>
      <vt:variant>
        <vt:lpwstr>mailto:Alanna.Moshfegh@ars.usda.gov</vt:lpwstr>
      </vt:variant>
      <vt:variant>
        <vt:lpwstr/>
      </vt:variant>
      <vt:variant>
        <vt:i4>6422606</vt:i4>
      </vt:variant>
      <vt:variant>
        <vt:i4>44</vt:i4>
      </vt:variant>
      <vt:variant>
        <vt:i4>0</vt:i4>
      </vt:variant>
      <vt:variant>
        <vt:i4>5</vt:i4>
      </vt:variant>
      <vt:variant>
        <vt:lpwstr>mailto:Lmarkowitz@cdc.gov</vt:lpwstr>
      </vt:variant>
      <vt:variant>
        <vt:lpwstr/>
      </vt:variant>
      <vt:variant>
        <vt:i4>1310764</vt:i4>
      </vt:variant>
      <vt:variant>
        <vt:i4>41</vt:i4>
      </vt:variant>
      <vt:variant>
        <vt:i4>0</vt:i4>
      </vt:variant>
      <vt:variant>
        <vt:i4>5</vt:i4>
      </vt:variant>
      <vt:variant>
        <vt:lpwstr>mailto:HKahn@cdc.gov</vt:lpwstr>
      </vt:variant>
      <vt:variant>
        <vt:lpwstr/>
      </vt:variant>
      <vt:variant>
        <vt:i4>2490384</vt:i4>
      </vt:variant>
      <vt:variant>
        <vt:i4>38</vt:i4>
      </vt:variant>
      <vt:variant>
        <vt:i4>0</vt:i4>
      </vt:variant>
      <vt:variant>
        <vt:i4>5</vt:i4>
      </vt:variant>
      <vt:variant>
        <vt:lpwstr>mailto:wenyen.juan@fda.hhs.gov</vt:lpwstr>
      </vt:variant>
      <vt:variant>
        <vt:lpwstr/>
      </vt:variant>
      <vt:variant>
        <vt:i4>7929944</vt:i4>
      </vt:variant>
      <vt:variant>
        <vt:i4>35</vt:i4>
      </vt:variant>
      <vt:variant>
        <vt:i4>0</vt:i4>
      </vt:variant>
      <vt:variant>
        <vt:i4>5</vt:i4>
      </vt:variant>
      <vt:variant>
        <vt:lpwstr>mailto:RJiles@cdc.gov</vt:lpwstr>
      </vt:variant>
      <vt:variant>
        <vt:lpwstr/>
      </vt:variant>
      <vt:variant>
        <vt:i4>4456509</vt:i4>
      </vt:variant>
      <vt:variant>
        <vt:i4>32</vt:i4>
      </vt:variant>
      <vt:variant>
        <vt:i4>0</vt:i4>
      </vt:variant>
      <vt:variant>
        <vt:i4>5</vt:i4>
      </vt:variant>
      <vt:variant>
        <vt:lpwstr>mailto:LTimothy.Iafolla@nih.gov</vt:lpwstr>
      </vt:variant>
      <vt:variant>
        <vt:lpwstr/>
      </vt:variant>
      <vt:variant>
        <vt:i4>2162764</vt:i4>
      </vt:variant>
      <vt:variant>
        <vt:i4>29</vt:i4>
      </vt:variant>
      <vt:variant>
        <vt:i4>0</vt:i4>
      </vt:variant>
      <vt:variant>
        <vt:i4>5</vt:i4>
      </vt:variant>
      <vt:variant>
        <vt:lpwstr>mailto:Howard.Hoffman@nih.gov</vt:lpwstr>
      </vt:variant>
      <vt:variant>
        <vt:lpwstr/>
      </vt:variant>
      <vt:variant>
        <vt:i4>8060958</vt:i4>
      </vt:variant>
      <vt:variant>
        <vt:i4>26</vt:i4>
      </vt:variant>
      <vt:variant>
        <vt:i4>0</vt:i4>
      </vt:variant>
      <vt:variant>
        <vt:i4>5</vt:i4>
      </vt:variant>
      <vt:variant>
        <vt:lpwstr>mailto:MDENBALY@ers.usda.gov</vt:lpwstr>
      </vt:variant>
      <vt:variant>
        <vt:lpwstr/>
      </vt:variant>
      <vt:variant>
        <vt:i4>8192080</vt:i4>
      </vt:variant>
      <vt:variant>
        <vt:i4>23</vt:i4>
      </vt:variant>
      <vt:variant>
        <vt:i4>0</vt:i4>
      </vt:variant>
      <vt:variant>
        <vt:i4>5</vt:i4>
      </vt:variant>
      <vt:variant>
        <vt:lpwstr>mailto:Lgeiss@cdc.gov</vt:lpwstr>
      </vt:variant>
      <vt:variant>
        <vt:lpwstr/>
      </vt:variant>
      <vt:variant>
        <vt:i4>6553616</vt:i4>
      </vt:variant>
      <vt:variant>
        <vt:i4>20</vt:i4>
      </vt:variant>
      <vt:variant>
        <vt:i4>0</vt:i4>
      </vt:variant>
      <vt:variant>
        <vt:i4>5</vt:i4>
      </vt:variant>
      <vt:variant>
        <vt:lpwstr>mailto:James.Everhart@nih.gov</vt:lpwstr>
      </vt:variant>
      <vt:variant>
        <vt:lpwstr/>
      </vt:variant>
      <vt:variant>
        <vt:i4>3932238</vt:i4>
      </vt:variant>
      <vt:variant>
        <vt:i4>17</vt:i4>
      </vt:variant>
      <vt:variant>
        <vt:i4>0</vt:i4>
      </vt:variant>
      <vt:variant>
        <vt:i4>5</vt:i4>
      </vt:variant>
      <vt:variant>
        <vt:lpwstr>mailto:emenaken@mail.nih.gov</vt:lpwstr>
      </vt:variant>
      <vt:variant>
        <vt:lpwstr/>
      </vt:variant>
      <vt:variant>
        <vt:i4>6291479</vt:i4>
      </vt:variant>
      <vt:variant>
        <vt:i4>14</vt:i4>
      </vt:variant>
      <vt:variant>
        <vt:i4>0</vt:i4>
      </vt:variant>
      <vt:variant>
        <vt:i4>5</vt:i4>
      </vt:variant>
      <vt:variant>
        <vt:lpwstr>mailto:eggersp@mail.nih.gov</vt:lpwstr>
      </vt:variant>
      <vt:variant>
        <vt:lpwstr/>
      </vt:variant>
      <vt:variant>
        <vt:i4>8126559</vt:i4>
      </vt:variant>
      <vt:variant>
        <vt:i4>11</vt:i4>
      </vt:variant>
      <vt:variant>
        <vt:i4>0</vt:i4>
      </vt:variant>
      <vt:variant>
        <vt:i4>5</vt:i4>
      </vt:variant>
      <vt:variant>
        <vt:lpwstr>mailto:cowiec@extra.niddk.nih.gov</vt:lpwstr>
      </vt:variant>
      <vt:variant>
        <vt:lpwstr/>
      </vt:variant>
      <vt:variant>
        <vt:i4>3539016</vt:i4>
      </vt:variant>
      <vt:variant>
        <vt:i4>8</vt:i4>
      </vt:variant>
      <vt:variant>
        <vt:i4>0</vt:i4>
      </vt:variant>
      <vt:variant>
        <vt:i4>5</vt:i4>
      </vt:variant>
      <vt:variant>
        <vt:lpwstr>mailto:Paul.Coates@nih.gov</vt:lpwstr>
      </vt:variant>
      <vt:variant>
        <vt:lpwstr/>
      </vt:variant>
      <vt:variant>
        <vt:i4>6422640</vt:i4>
      </vt:variant>
      <vt:variant>
        <vt:i4>6</vt:i4>
      </vt:variant>
      <vt:variant>
        <vt:i4>0</vt:i4>
      </vt:variant>
      <vt:variant>
        <vt:i4>5</vt:i4>
      </vt:variant>
      <vt:variant>
        <vt:lpwstr>mailto:</vt:lpwstr>
      </vt:variant>
      <vt:variant>
        <vt:lpwstr/>
      </vt:variant>
      <vt:variant>
        <vt:i4>1441907</vt:i4>
      </vt:variant>
      <vt:variant>
        <vt:i4>3</vt:i4>
      </vt:variant>
      <vt:variant>
        <vt:i4>0</vt:i4>
      </vt:variant>
      <vt:variant>
        <vt:i4>5</vt:i4>
      </vt:variant>
      <vt:variant>
        <vt:lpwstr>mailto:rfc8@cdc.gov</vt:lpwstr>
      </vt:variant>
      <vt:variant>
        <vt:lpwstr/>
      </vt:variant>
      <vt:variant>
        <vt:i4>1179711</vt:i4>
      </vt:variant>
      <vt:variant>
        <vt:i4>0</vt:i4>
      </vt:variant>
      <vt:variant>
        <vt:i4>0</vt:i4>
      </vt:variant>
      <vt:variant>
        <vt:i4>5</vt:i4>
      </vt:variant>
      <vt:variant>
        <vt:lpwstr>mailto:EBeltran@cdc.gov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5 - Consultation with Outside Organizations and Individuals</dc:title>
  <dc:creator>vlb2</dc:creator>
  <cp:lastModifiedBy>SYSTEM</cp:lastModifiedBy>
  <cp:revision>2</cp:revision>
  <cp:lastPrinted>2018-08-29T18:55:00Z</cp:lastPrinted>
  <dcterms:created xsi:type="dcterms:W3CDTF">2018-09-20T13:06:00Z</dcterms:created>
  <dcterms:modified xsi:type="dcterms:W3CDTF">2018-09-20T13:06:00Z</dcterms:modified>
</cp:coreProperties>
</file>