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63AF" w:rsidR="00957513" w:rsidP="005645C4" w:rsidRDefault="00957513" w14:paraId="7410E0B1" w14:textId="07E991F3">
      <w:pPr>
        <w:widowControl w:val="0"/>
        <w:autoSpaceDE w:val="0"/>
        <w:autoSpaceDN w:val="0"/>
        <w:adjustRightInd w:val="0"/>
        <w:rPr>
          <w:rFonts w:ascii="Times New Roman" w:hAnsi="Times New Roman"/>
          <w:b/>
          <w:sz w:val="24"/>
        </w:rPr>
      </w:pPr>
      <w:r w:rsidRPr="00DD0426">
        <w:rPr>
          <w:rFonts w:ascii="Times New Roman" w:hAnsi="Times New Roman"/>
          <w:b/>
          <w:sz w:val="24"/>
          <w:szCs w:val="24"/>
        </w:rPr>
        <w:t>TITLE OF INFORMATION COLLECTION</w:t>
      </w:r>
      <w:r w:rsidRPr="00C46CDF">
        <w:rPr>
          <w:rFonts w:ascii="Times New Roman" w:hAnsi="Times New Roman"/>
          <w:b/>
          <w:sz w:val="24"/>
          <w:szCs w:val="24"/>
        </w:rPr>
        <w:t>:</w:t>
      </w:r>
      <w:r w:rsidRPr="005645C4" w:rsidR="005645C4">
        <w:rPr>
          <w:rFonts w:ascii="Times New Roman" w:hAnsi="Times New Roman"/>
          <w:b/>
        </w:rPr>
        <w:t xml:space="preserve"> </w:t>
      </w:r>
      <w:bookmarkStart w:name="_Hlk30588653" w:id="0"/>
      <w:r w:rsidR="008363AF">
        <w:rPr>
          <w:rFonts w:ascii="Times New Roman" w:hAnsi="Times New Roman"/>
          <w:b/>
          <w:sz w:val="24"/>
        </w:rPr>
        <w:t xml:space="preserve">Qualitative Research to </w:t>
      </w:r>
      <w:r w:rsidRPr="00266887" w:rsidR="008363AF">
        <w:rPr>
          <w:rFonts w:ascii="Times New Roman" w:hAnsi="Times New Roman"/>
          <w:b/>
          <w:sz w:val="24"/>
        </w:rPr>
        <w:t>Design</w:t>
      </w:r>
      <w:r w:rsidR="008363AF">
        <w:rPr>
          <w:rFonts w:ascii="Times New Roman" w:hAnsi="Times New Roman"/>
          <w:b/>
          <w:sz w:val="24"/>
        </w:rPr>
        <w:t xml:space="preserve"> Advertising</w:t>
      </w:r>
      <w:r w:rsidRPr="00266887" w:rsidR="008363AF">
        <w:rPr>
          <w:rFonts w:ascii="Times New Roman" w:hAnsi="Times New Roman"/>
          <w:b/>
          <w:sz w:val="24"/>
        </w:rPr>
        <w:t xml:space="preserve"> to Encourage Quitting Among Adult Cigarette Smokers</w:t>
      </w:r>
      <w:bookmarkEnd w:id="0"/>
      <w:r w:rsidR="00C975AC">
        <w:rPr>
          <w:rFonts w:ascii="Times New Roman" w:hAnsi="Times New Roman"/>
          <w:b/>
          <w:sz w:val="24"/>
        </w:rPr>
        <w:t xml:space="preserve"> (SG</w:t>
      </w:r>
      <w:r w:rsidR="007D46EE">
        <w:rPr>
          <w:rFonts w:ascii="Times New Roman" w:hAnsi="Times New Roman"/>
          <w:b/>
          <w:sz w:val="24"/>
        </w:rPr>
        <w:t>M</w:t>
      </w:r>
      <w:r w:rsidR="00C975AC">
        <w:rPr>
          <w:rFonts w:ascii="Times New Roman" w:hAnsi="Times New Roman"/>
          <w:b/>
          <w:sz w:val="24"/>
        </w:rPr>
        <w:t xml:space="preserve"> Population)</w:t>
      </w:r>
      <w:r w:rsidR="008363AF">
        <w:rPr>
          <w:rFonts w:ascii="Times New Roman" w:hAnsi="Times New Roman"/>
          <w:b/>
          <w:sz w:val="24"/>
        </w:rPr>
        <w:t xml:space="preserve">; </w:t>
      </w:r>
      <w:r w:rsidRPr="00C46CDF">
        <w:rPr>
          <w:rFonts w:ascii="Times New Roman" w:hAnsi="Times New Roman"/>
          <w:szCs w:val="24"/>
        </w:rPr>
        <w:t>OMB Control Number</w:t>
      </w:r>
      <w:r w:rsidRPr="00C46CDF" w:rsidR="00374D82">
        <w:rPr>
          <w:rFonts w:ascii="Times New Roman" w:hAnsi="Times New Roman"/>
          <w:szCs w:val="24"/>
        </w:rPr>
        <w:t xml:space="preserve"> </w:t>
      </w:r>
      <w:r w:rsidRPr="00C46CDF" w:rsidR="007D7B23">
        <w:rPr>
          <w:rFonts w:ascii="Times New Roman" w:hAnsi="Times New Roman"/>
          <w:szCs w:val="24"/>
        </w:rPr>
        <w:t>0910-0796</w:t>
      </w:r>
      <w:r w:rsidRPr="00C46CDF" w:rsidR="0089024B">
        <w:rPr>
          <w:rFonts w:ascii="Times New Roman" w:hAnsi="Times New Roman"/>
          <w:szCs w:val="24"/>
        </w:rPr>
        <w:t>.</w:t>
      </w:r>
    </w:p>
    <w:p w:rsidRPr="00C46CDF" w:rsidR="00957513" w:rsidP="00BA2160" w:rsidRDefault="00957513" w14:paraId="4688E06F" w14:textId="77777777">
      <w:pPr>
        <w:pStyle w:val="Default"/>
        <w:ind w:firstLine="720"/>
        <w:rPr>
          <w:rFonts w:ascii="Arial" w:hAnsi="Arial" w:cs="Arial"/>
          <w:color w:val="auto"/>
        </w:rPr>
      </w:pPr>
    </w:p>
    <w:p w:rsidRPr="00E07C91" w:rsidR="0048710E" w:rsidP="002A7192" w:rsidRDefault="00957513" w14:paraId="0C16DF2A" w14:textId="77777777">
      <w:pPr>
        <w:pStyle w:val="Default"/>
        <w:rPr>
          <w:b/>
        </w:rPr>
      </w:pPr>
      <w:r w:rsidRPr="002A7279">
        <w:t xml:space="preserve"> </w:t>
      </w:r>
      <w:r w:rsidRPr="00E07C91">
        <w:rPr>
          <w:b/>
        </w:rPr>
        <w:t>DESCRIPTION OF THIS SPECIFIC COLLECTION</w:t>
      </w:r>
    </w:p>
    <w:p w:rsidRPr="00E07C91" w:rsidR="0017329A" w:rsidP="002A7192" w:rsidRDefault="0017329A" w14:paraId="647C03C1" w14:textId="77777777">
      <w:pPr>
        <w:pStyle w:val="Default"/>
        <w:rPr>
          <w:b/>
        </w:rPr>
      </w:pPr>
    </w:p>
    <w:p w:rsidRPr="00DA0858" w:rsidR="00DA0858" w:rsidP="0019069E" w:rsidRDefault="00957513" w14:paraId="113913EB" w14:textId="77777777">
      <w:pPr>
        <w:pStyle w:val="Default"/>
        <w:numPr>
          <w:ilvl w:val="0"/>
          <w:numId w:val="2"/>
        </w:numPr>
        <w:spacing w:line="276" w:lineRule="auto"/>
        <w:ind w:left="360" w:right="-180"/>
      </w:pPr>
      <w:r w:rsidRPr="00E07C91">
        <w:rPr>
          <w:b/>
        </w:rPr>
        <w:t xml:space="preserve"> Statement of </w:t>
      </w:r>
      <w:r w:rsidRPr="00A57BAF">
        <w:rPr>
          <w:b/>
        </w:rPr>
        <w:t>need:</w:t>
      </w:r>
    </w:p>
    <w:p w:rsidR="0019069E" w:rsidP="00DA0858" w:rsidRDefault="00957513" w14:paraId="00152652" w14:textId="4D24A0C9">
      <w:pPr>
        <w:pStyle w:val="Default"/>
        <w:spacing w:line="276" w:lineRule="auto"/>
        <w:ind w:left="360" w:right="-180"/>
      </w:pPr>
      <w:r w:rsidRPr="00A57BAF">
        <w:rPr>
          <w:b/>
        </w:rPr>
        <w:t xml:space="preserve"> </w:t>
      </w:r>
    </w:p>
    <w:p w:rsidR="001D2A31" w:rsidP="0019069E" w:rsidRDefault="0019069E" w14:paraId="2C11C308" w14:textId="77777777">
      <w:pPr>
        <w:numPr>
          <w:ilvl w:val="12"/>
          <w:numId w:val="0"/>
        </w:numPr>
        <w:ind w:left="360"/>
        <w:rPr>
          <w:rFonts w:ascii="Times New Roman" w:hAnsi="Times New Roman"/>
          <w:sz w:val="24"/>
        </w:rPr>
      </w:pPr>
      <w:r w:rsidRPr="00266887">
        <w:rPr>
          <w:rFonts w:ascii="Times New Roman" w:hAnsi="Times New Roman"/>
          <w:sz w:val="24"/>
        </w:rPr>
        <w:t>On June 22, 2009, the president signed the Family Smoking Prevention and Tobacco Control Act (TCA) (Public Law 111-31) into law. The TCA granted the FDA authority to regulate the manufactur</w:t>
      </w:r>
      <w:r>
        <w:rPr>
          <w:rFonts w:ascii="Times New Roman" w:hAnsi="Times New Roman"/>
          <w:sz w:val="24"/>
        </w:rPr>
        <w:t>ing</w:t>
      </w:r>
      <w:r w:rsidRPr="00266887">
        <w:rPr>
          <w:rFonts w:ascii="Times New Roman" w:hAnsi="Times New Roman"/>
          <w:sz w:val="24"/>
        </w:rPr>
        <w:t xml:space="preserve">, marketing, and distribution of tobacco products; to inform the public on health-related issues; and to protect public health by reducing tobacco use and by preventing death and disease caused by tobacco use. </w:t>
      </w:r>
    </w:p>
    <w:p w:rsidR="001D2A31" w:rsidP="0019069E" w:rsidRDefault="001D2A31" w14:paraId="397C01FB" w14:textId="77777777">
      <w:pPr>
        <w:numPr>
          <w:ilvl w:val="12"/>
          <w:numId w:val="0"/>
        </w:numPr>
        <w:ind w:left="360"/>
        <w:rPr>
          <w:rFonts w:ascii="Times New Roman" w:hAnsi="Times New Roman"/>
          <w:sz w:val="24"/>
        </w:rPr>
      </w:pPr>
    </w:p>
    <w:p w:rsidRPr="00266887" w:rsidR="0019069E" w:rsidP="0019069E" w:rsidRDefault="0019069E" w14:paraId="466BC439" w14:textId="4073E744">
      <w:pPr>
        <w:numPr>
          <w:ilvl w:val="12"/>
          <w:numId w:val="0"/>
        </w:numPr>
        <w:ind w:left="360"/>
        <w:rPr>
          <w:rFonts w:ascii="Times New Roman" w:hAnsi="Times New Roman"/>
          <w:sz w:val="24"/>
        </w:rPr>
      </w:pPr>
      <w:r w:rsidRPr="00266887">
        <w:rPr>
          <w:rFonts w:ascii="Times New Roman" w:hAnsi="Times New Roman"/>
          <w:sz w:val="24"/>
        </w:rPr>
        <w:t>Tobacco use is the leading preventable cause of disease, disability, and death in the United States. More than 480,000 deaths are caused by tobacco use each year in the United States (USDHHS</w:t>
      </w:r>
      <w:r w:rsidR="007847A6">
        <w:rPr>
          <w:rFonts w:ascii="Times New Roman" w:hAnsi="Times New Roman"/>
          <w:sz w:val="24"/>
        </w:rPr>
        <w:t xml:space="preserve"> Fact Sheet</w:t>
      </w:r>
      <w:r w:rsidRPr="00266887">
        <w:rPr>
          <w:rFonts w:ascii="Times New Roman" w:hAnsi="Times New Roman"/>
          <w:sz w:val="24"/>
        </w:rPr>
        <w:t>, 2014). Approximately 2 out of 3 adult</w:t>
      </w:r>
      <w:r>
        <w:rPr>
          <w:rFonts w:ascii="Times New Roman" w:hAnsi="Times New Roman"/>
          <w:sz w:val="24"/>
        </w:rPr>
        <w:t xml:space="preserve"> </w:t>
      </w:r>
      <w:r w:rsidRPr="00266887">
        <w:rPr>
          <w:rFonts w:ascii="Times New Roman" w:hAnsi="Times New Roman"/>
          <w:sz w:val="24"/>
        </w:rPr>
        <w:t>smokers, that is more than 22 million people</w:t>
      </w:r>
      <w:r>
        <w:rPr>
          <w:rFonts w:ascii="Times New Roman" w:hAnsi="Times New Roman"/>
          <w:sz w:val="24"/>
        </w:rPr>
        <w:t>,</w:t>
      </w:r>
      <w:r w:rsidRPr="00266887">
        <w:rPr>
          <w:rFonts w:ascii="Times New Roman" w:hAnsi="Times New Roman"/>
          <w:sz w:val="24"/>
        </w:rPr>
        <w:t xml:space="preserve"> say they would like to quit (CDC, 2017). The FDA Center for Tobacco Products (CTP) was created to carry out the authorities granted under the 2009 </w:t>
      </w:r>
      <w:r>
        <w:rPr>
          <w:rFonts w:ascii="Times New Roman" w:hAnsi="Times New Roman"/>
          <w:sz w:val="24"/>
        </w:rPr>
        <w:t>TCA</w:t>
      </w:r>
      <w:r w:rsidRPr="00266887">
        <w:rPr>
          <w:rFonts w:ascii="Times New Roman" w:hAnsi="Times New Roman"/>
          <w:sz w:val="24"/>
        </w:rPr>
        <w:t>, to educate the public about the dangers of tobacco use and serve as a public health resource for tobacco and health information.</w:t>
      </w:r>
    </w:p>
    <w:p w:rsidRPr="00266887" w:rsidR="0019069E" w:rsidP="0019069E" w:rsidRDefault="0019069E" w14:paraId="2F538D89" w14:textId="77777777">
      <w:pPr>
        <w:rPr>
          <w:rFonts w:ascii="Times New Roman" w:hAnsi="Times New Roman"/>
          <w:sz w:val="24"/>
        </w:rPr>
      </w:pPr>
    </w:p>
    <w:p w:rsidR="0019069E" w:rsidP="0019069E" w:rsidRDefault="0019069E" w14:paraId="772AF53C" w14:textId="49064E8F">
      <w:pPr>
        <w:ind w:left="360"/>
        <w:rPr>
          <w:rFonts w:ascii="Times New Roman" w:hAnsi="Times New Roman"/>
          <w:sz w:val="24"/>
        </w:rPr>
      </w:pPr>
      <w:r w:rsidRPr="00266887">
        <w:rPr>
          <w:rFonts w:ascii="Times New Roman" w:hAnsi="Times New Roman"/>
          <w:sz w:val="24"/>
        </w:rPr>
        <w:t>In 2015, out of 55% of adult smokers who made a quit attempt, only 7.4% were successful (CDC, 2017). Research suggests that it often takes multiple quit attempts to achieve long-term cessation (USDHHS Fact Sheet, 2014). The goal of the</w:t>
      </w:r>
      <w:r w:rsidR="006D0DA0">
        <w:rPr>
          <w:rFonts w:ascii="Times New Roman" w:hAnsi="Times New Roman"/>
          <w:sz w:val="24"/>
        </w:rPr>
        <w:t xml:space="preserve"> </w:t>
      </w:r>
      <w:r w:rsidRPr="00D21B2A">
        <w:rPr>
          <w:rFonts w:ascii="Times New Roman" w:hAnsi="Times New Roman"/>
          <w:i/>
          <w:iCs/>
          <w:sz w:val="24"/>
        </w:rPr>
        <w:t>Every Try Counts</w:t>
      </w:r>
      <w:r w:rsidRPr="00266887">
        <w:rPr>
          <w:rFonts w:ascii="Times New Roman" w:hAnsi="Times New Roman"/>
          <w:sz w:val="24"/>
        </w:rPr>
        <w:t xml:space="preserve"> campaign is to change attitudes and beliefs about what it means to quit smoking, increase motivation to try quitting again, and encourage smokers to </w:t>
      </w:r>
      <w:r>
        <w:rPr>
          <w:rFonts w:ascii="Times New Roman" w:hAnsi="Times New Roman"/>
          <w:sz w:val="24"/>
        </w:rPr>
        <w:t>“</w:t>
      </w:r>
      <w:r w:rsidRPr="00266887">
        <w:rPr>
          <w:rFonts w:ascii="Times New Roman" w:hAnsi="Times New Roman"/>
          <w:sz w:val="24"/>
        </w:rPr>
        <w:t>practice the quit</w:t>
      </w:r>
      <w:r>
        <w:rPr>
          <w:rFonts w:ascii="Times New Roman" w:hAnsi="Times New Roman"/>
          <w:sz w:val="24"/>
        </w:rPr>
        <w:t>”</w:t>
      </w:r>
      <w:r w:rsidRPr="00266887">
        <w:rPr>
          <w:rFonts w:ascii="Times New Roman" w:hAnsi="Times New Roman"/>
          <w:sz w:val="24"/>
        </w:rPr>
        <w:t xml:space="preserve"> as each attempt makes them more likely to succeed. </w:t>
      </w:r>
    </w:p>
    <w:p w:rsidR="0005351F" w:rsidP="0019069E" w:rsidRDefault="0005351F" w14:paraId="3FFFB136" w14:textId="4F3E2F78">
      <w:pPr>
        <w:ind w:left="360"/>
        <w:rPr>
          <w:rFonts w:ascii="Times New Roman" w:hAnsi="Times New Roman"/>
          <w:sz w:val="24"/>
        </w:rPr>
      </w:pPr>
    </w:p>
    <w:p w:rsidR="0005351F" w:rsidP="0005351F" w:rsidRDefault="0005351F" w14:paraId="3D183D9B" w14:textId="4B497786">
      <w:pPr>
        <w:widowControl w:val="0"/>
        <w:ind w:left="360"/>
        <w:rPr>
          <w:rFonts w:ascii="Times New Roman" w:hAnsi="Times New Roman"/>
          <w:sz w:val="24"/>
        </w:rPr>
      </w:pPr>
      <w:r w:rsidRPr="008D5300">
        <w:rPr>
          <w:rFonts w:ascii="Times New Roman" w:hAnsi="Times New Roman"/>
          <w:sz w:val="24"/>
        </w:rPr>
        <w:t xml:space="preserve">While </w:t>
      </w:r>
      <w:r w:rsidRPr="008D5300">
        <w:rPr>
          <w:rFonts w:ascii="Times New Roman" w:hAnsi="Times New Roman"/>
          <w:i/>
          <w:sz w:val="24"/>
        </w:rPr>
        <w:t>Every Try Counts</w:t>
      </w:r>
      <w:r w:rsidRPr="008D5300">
        <w:rPr>
          <w:rFonts w:ascii="Times New Roman" w:hAnsi="Times New Roman"/>
          <w:sz w:val="24"/>
        </w:rPr>
        <w:t xml:space="preserve"> has historically sought to reach a general population of adult smokers, research over the past decade demonstrates that smoking is disproportionately high among </w:t>
      </w:r>
      <w:r>
        <w:rPr>
          <w:rFonts w:ascii="Times New Roman" w:hAnsi="Times New Roman"/>
          <w:sz w:val="24"/>
        </w:rPr>
        <w:t xml:space="preserve">sexual and gender minority (SGM) </w:t>
      </w:r>
      <w:r w:rsidRPr="008D5300">
        <w:rPr>
          <w:rFonts w:ascii="Times New Roman" w:hAnsi="Times New Roman"/>
          <w:sz w:val="24"/>
        </w:rPr>
        <w:t xml:space="preserve">adults (Lee, Griffin &amp; Melvin, 2009; Li, Haardörfer, Vu, Windle &amp; Berg, 2018; McCabe et al., 2019). Researchers have proposed several factors that may contribute to elevated rates of tobacco use among </w:t>
      </w:r>
      <w:r>
        <w:rPr>
          <w:rFonts w:ascii="Times New Roman" w:hAnsi="Times New Roman"/>
          <w:sz w:val="24"/>
        </w:rPr>
        <w:t xml:space="preserve">SGM </w:t>
      </w:r>
      <w:r w:rsidRPr="008D5300">
        <w:rPr>
          <w:rFonts w:ascii="Times New Roman" w:hAnsi="Times New Roman"/>
          <w:sz w:val="24"/>
        </w:rPr>
        <w:t xml:space="preserve">adults, including targeted marketing to the </w:t>
      </w:r>
      <w:r>
        <w:rPr>
          <w:rFonts w:ascii="Times New Roman" w:hAnsi="Times New Roman"/>
          <w:sz w:val="24"/>
        </w:rPr>
        <w:t>SGM</w:t>
      </w:r>
      <w:r w:rsidRPr="008D5300">
        <w:rPr>
          <w:rFonts w:ascii="Times New Roman" w:hAnsi="Times New Roman"/>
          <w:sz w:val="24"/>
        </w:rPr>
        <w:t xml:space="preserve"> community by the tobacco industry (Ling &amp; Glantz, 2002; Stevens, Carlson, Hinman, 2004) and the use of smoking as a coping mechanism for feelings of stress associated with coming out, experiences of discrimination, and victimization (Matthews et al., 2018; Remafedi, 2007). However, recent reviews of the cessation landscape have revealed relatively few efforts focused on </w:t>
      </w:r>
      <w:r>
        <w:rPr>
          <w:rFonts w:ascii="Times New Roman" w:hAnsi="Times New Roman"/>
          <w:sz w:val="24"/>
        </w:rPr>
        <w:t>SGM</w:t>
      </w:r>
      <w:r w:rsidRPr="008D5300">
        <w:rPr>
          <w:rFonts w:ascii="Times New Roman" w:hAnsi="Times New Roman"/>
          <w:sz w:val="24"/>
        </w:rPr>
        <w:t xml:space="preserve"> adult cessation </w:t>
      </w:r>
      <w:r w:rsidRPr="008D5300">
        <w:rPr>
          <w:rFonts w:ascii="Times New Roman" w:hAnsi="Times New Roman"/>
          <w:sz w:val="24"/>
        </w:rPr>
        <w:lastRenderedPageBreak/>
        <w:t xml:space="preserve">(Baskerville et al., 2017; Berger &amp; Mooney-Somers, 2017; Lee et al., 2014). This is despite evidence that </w:t>
      </w:r>
      <w:r>
        <w:rPr>
          <w:rFonts w:ascii="Times New Roman" w:hAnsi="Times New Roman"/>
          <w:sz w:val="24"/>
        </w:rPr>
        <w:t>SGM</w:t>
      </w:r>
      <w:r w:rsidRPr="008D5300">
        <w:rPr>
          <w:rFonts w:ascii="Times New Roman" w:hAnsi="Times New Roman"/>
          <w:sz w:val="24"/>
        </w:rPr>
        <w:t xml:space="preserve"> individuals report that tailored messages are more acceptable, salient and motivating than non-tailored messages (Matthews et al., 2018; Dickson-Spillman et al, 2014). </w:t>
      </w:r>
    </w:p>
    <w:p w:rsidRPr="008D5300" w:rsidR="0005351F" w:rsidP="0005351F" w:rsidRDefault="0005351F" w14:paraId="66003354" w14:textId="77777777">
      <w:pPr>
        <w:widowControl w:val="0"/>
        <w:rPr>
          <w:rFonts w:ascii="Times New Roman" w:hAnsi="Times New Roman"/>
          <w:sz w:val="24"/>
        </w:rPr>
      </w:pPr>
    </w:p>
    <w:p w:rsidR="0019069E" w:rsidP="006D0DA0" w:rsidRDefault="0005351F" w14:paraId="49E06328" w14:textId="120090D4">
      <w:pPr>
        <w:ind w:left="360"/>
        <w:rPr>
          <w:rFonts w:ascii="Times New Roman" w:hAnsi="Times New Roman"/>
          <w:sz w:val="24"/>
        </w:rPr>
      </w:pPr>
      <w:r w:rsidRPr="008D5300">
        <w:rPr>
          <w:rFonts w:ascii="Times New Roman" w:hAnsi="Times New Roman"/>
          <w:sz w:val="24"/>
        </w:rPr>
        <w:t xml:space="preserve">Part of the FDA’s responsibility is to inform the public on health-related issues. In order to develop the appropriate messaging to support all populations in their quit attempts, it is important for the FDA to conduct this public health research to gain insight into </w:t>
      </w:r>
      <w:r>
        <w:rPr>
          <w:rFonts w:ascii="Times New Roman" w:hAnsi="Times New Roman"/>
          <w:sz w:val="24"/>
        </w:rPr>
        <w:t>SGM</w:t>
      </w:r>
      <w:r w:rsidRPr="008D5300">
        <w:rPr>
          <w:rFonts w:ascii="Times New Roman" w:hAnsi="Times New Roman"/>
          <w:sz w:val="24"/>
        </w:rPr>
        <w:t xml:space="preserve"> adult perceptions of tobacco cessation messaging. Information obtained will inform CTP’s effort to target </w:t>
      </w:r>
      <w:r>
        <w:rPr>
          <w:rFonts w:ascii="Times New Roman" w:hAnsi="Times New Roman"/>
          <w:sz w:val="24"/>
        </w:rPr>
        <w:t>SGM</w:t>
      </w:r>
      <w:r w:rsidRPr="008D5300">
        <w:rPr>
          <w:rFonts w:ascii="Times New Roman" w:hAnsi="Times New Roman"/>
          <w:sz w:val="24"/>
        </w:rPr>
        <w:t xml:space="preserve"> adults with tobacco cessation messaging that will effectively support those aiming to quit smoking.</w:t>
      </w:r>
    </w:p>
    <w:p w:rsidR="006D0DA0" w:rsidP="006D0DA0" w:rsidRDefault="006D0DA0" w14:paraId="3AC0D66E" w14:textId="77777777">
      <w:pPr>
        <w:ind w:left="360"/>
        <w:rPr>
          <w:rFonts w:ascii="Times New Roman" w:hAnsi="Times New Roman"/>
          <w:sz w:val="24"/>
        </w:rPr>
      </w:pPr>
    </w:p>
    <w:p w:rsidRPr="00266887" w:rsidR="0019069E" w:rsidP="0019069E" w:rsidRDefault="0019069E" w14:paraId="3369852E" w14:textId="3AAA1EBA">
      <w:pPr>
        <w:ind w:left="360"/>
        <w:rPr>
          <w:rFonts w:ascii="Times New Roman" w:hAnsi="Times New Roman"/>
          <w:sz w:val="24"/>
        </w:rPr>
      </w:pPr>
      <w:r w:rsidRPr="00266887">
        <w:rPr>
          <w:rFonts w:ascii="Times New Roman" w:hAnsi="Times New Roman"/>
          <w:sz w:val="24"/>
        </w:rPr>
        <w:t xml:space="preserve">To develop appropriate messaging to encourage </w:t>
      </w:r>
      <w:r w:rsidR="0005351F">
        <w:rPr>
          <w:rFonts w:ascii="Times New Roman" w:hAnsi="Times New Roman"/>
          <w:sz w:val="24"/>
        </w:rPr>
        <w:t xml:space="preserve">SGM </w:t>
      </w:r>
      <w:r w:rsidRPr="00266887">
        <w:rPr>
          <w:rFonts w:ascii="Times New Roman" w:hAnsi="Times New Roman"/>
          <w:sz w:val="24"/>
        </w:rPr>
        <w:t xml:space="preserve">cigarette smokers to quit, it is important for the FDA to conduct research to gain insight into </w:t>
      </w:r>
      <w:r w:rsidR="0005351F">
        <w:rPr>
          <w:rFonts w:ascii="Times New Roman" w:hAnsi="Times New Roman"/>
          <w:sz w:val="24"/>
        </w:rPr>
        <w:t xml:space="preserve">SGM </w:t>
      </w:r>
      <w:r w:rsidRPr="00266887">
        <w:rPr>
          <w:rFonts w:ascii="Times New Roman" w:hAnsi="Times New Roman"/>
          <w:sz w:val="24"/>
        </w:rPr>
        <w:t>adult perceptions of cigarettes</w:t>
      </w:r>
      <w:r>
        <w:rPr>
          <w:rFonts w:ascii="Times New Roman" w:hAnsi="Times New Roman"/>
          <w:sz w:val="24"/>
        </w:rPr>
        <w:t xml:space="preserve">, the changing product landscape, </w:t>
      </w:r>
      <w:r w:rsidR="0005351F">
        <w:rPr>
          <w:rFonts w:ascii="Times New Roman" w:hAnsi="Times New Roman"/>
          <w:sz w:val="24"/>
        </w:rPr>
        <w:t xml:space="preserve">SGM </w:t>
      </w:r>
      <w:r>
        <w:rPr>
          <w:rFonts w:ascii="Times New Roman" w:hAnsi="Times New Roman"/>
          <w:sz w:val="24"/>
        </w:rPr>
        <w:t xml:space="preserve">adult experiences with smoking and quitting, </w:t>
      </w:r>
      <w:r w:rsidRPr="00266887">
        <w:rPr>
          <w:rFonts w:ascii="Times New Roman" w:hAnsi="Times New Roman"/>
          <w:sz w:val="24"/>
        </w:rPr>
        <w:t>and reactions to draft advertising concepts.</w:t>
      </w:r>
      <w:r>
        <w:rPr>
          <w:rFonts w:ascii="Times New Roman" w:hAnsi="Times New Roman"/>
          <w:sz w:val="24"/>
        </w:rPr>
        <w:t xml:space="preserve"> </w:t>
      </w:r>
      <w:r w:rsidRPr="00266887">
        <w:rPr>
          <w:rFonts w:ascii="Times New Roman" w:hAnsi="Times New Roman"/>
          <w:sz w:val="24"/>
        </w:rPr>
        <w:t xml:space="preserve">Information obtained through this study will be used to develop and refine messaging related to encouraging quitting among adult smokers.  </w:t>
      </w:r>
    </w:p>
    <w:p w:rsidR="0019069E" w:rsidP="00E07C91" w:rsidRDefault="0019069E" w14:paraId="70929064" w14:textId="77777777">
      <w:pPr>
        <w:pStyle w:val="Default"/>
        <w:spacing w:line="276" w:lineRule="auto"/>
        <w:ind w:left="360" w:right="-180"/>
      </w:pPr>
    </w:p>
    <w:p w:rsidRPr="007F700C" w:rsidR="00D75CB3" w:rsidP="0019069E" w:rsidRDefault="00957513" w14:paraId="3C2730F3" w14:textId="0DA60CC8">
      <w:pPr>
        <w:autoSpaceDE w:val="0"/>
        <w:autoSpaceDN w:val="0"/>
        <w:adjustRightInd w:val="0"/>
        <w:ind w:left="360"/>
        <w:rPr>
          <w:rFonts w:ascii="Times New Roman" w:hAnsi="Times New Roman"/>
          <w:sz w:val="24"/>
          <w:szCs w:val="24"/>
        </w:rPr>
      </w:pPr>
      <w:r w:rsidRPr="007F700C">
        <w:rPr>
          <w:rFonts w:ascii="Times New Roman" w:hAnsi="Times New Roman"/>
          <w:sz w:val="24"/>
          <w:szCs w:val="24"/>
        </w:rPr>
        <w:t xml:space="preserve">The Food and Drug Administration (FDA) Center for Tobacco Products (CTP) is seeking OMB approval under generic clearance </w:t>
      </w:r>
      <w:r w:rsidRPr="007F700C" w:rsidR="00291253">
        <w:rPr>
          <w:rFonts w:ascii="Times New Roman" w:hAnsi="Times New Roman"/>
          <w:sz w:val="24"/>
          <w:szCs w:val="24"/>
        </w:rPr>
        <w:t xml:space="preserve">OMB </w:t>
      </w:r>
      <w:r w:rsidR="005115CF">
        <w:rPr>
          <w:rFonts w:ascii="Times New Roman" w:hAnsi="Times New Roman"/>
          <w:sz w:val="24"/>
          <w:szCs w:val="24"/>
        </w:rPr>
        <w:t xml:space="preserve">Control </w:t>
      </w:r>
      <w:r w:rsidRPr="007F700C" w:rsidR="00291253">
        <w:rPr>
          <w:rFonts w:ascii="Times New Roman" w:hAnsi="Times New Roman"/>
          <w:sz w:val="24"/>
          <w:szCs w:val="24"/>
        </w:rPr>
        <w:t xml:space="preserve">No. </w:t>
      </w:r>
      <w:r w:rsidRPr="007F700C" w:rsidR="00D466E1">
        <w:rPr>
          <w:rFonts w:ascii="Times New Roman" w:hAnsi="Times New Roman"/>
          <w:sz w:val="24"/>
          <w:szCs w:val="24"/>
        </w:rPr>
        <w:t>0910-0796</w:t>
      </w:r>
      <w:r w:rsidRPr="007F700C" w:rsidR="008B3FA9">
        <w:rPr>
          <w:rFonts w:ascii="Times New Roman" w:hAnsi="Times New Roman"/>
          <w:sz w:val="24"/>
          <w:szCs w:val="24"/>
        </w:rPr>
        <w:t xml:space="preserve"> </w:t>
      </w:r>
      <w:r w:rsidRPr="007F700C">
        <w:rPr>
          <w:rFonts w:ascii="Times New Roman" w:hAnsi="Times New Roman"/>
          <w:sz w:val="24"/>
          <w:szCs w:val="24"/>
        </w:rPr>
        <w:t>to conduct focus groups</w:t>
      </w:r>
      <w:r w:rsidRPr="007F700C" w:rsidR="00740DF6">
        <w:rPr>
          <w:rFonts w:ascii="Times New Roman" w:hAnsi="Times New Roman"/>
          <w:sz w:val="24"/>
          <w:szCs w:val="24"/>
        </w:rPr>
        <w:t xml:space="preserve"> with </w:t>
      </w:r>
      <w:r w:rsidR="0019069E">
        <w:rPr>
          <w:rFonts w:ascii="Times New Roman" w:hAnsi="Times New Roman"/>
          <w:sz w:val="24"/>
          <w:szCs w:val="24"/>
        </w:rPr>
        <w:t xml:space="preserve">adults </w:t>
      </w:r>
      <w:r w:rsidRPr="007F700C" w:rsidR="00740DF6">
        <w:rPr>
          <w:rFonts w:ascii="Times New Roman" w:hAnsi="Times New Roman"/>
          <w:sz w:val="24"/>
          <w:szCs w:val="24"/>
        </w:rPr>
        <w:t>aged</w:t>
      </w:r>
      <w:r w:rsidRPr="007F700C" w:rsidR="0048710E">
        <w:rPr>
          <w:rFonts w:ascii="Times New Roman" w:hAnsi="Times New Roman"/>
          <w:sz w:val="24"/>
          <w:szCs w:val="24"/>
        </w:rPr>
        <w:t xml:space="preserve"> 1</w:t>
      </w:r>
      <w:r w:rsidR="0019069E">
        <w:rPr>
          <w:rFonts w:ascii="Times New Roman" w:hAnsi="Times New Roman"/>
          <w:sz w:val="24"/>
          <w:szCs w:val="24"/>
        </w:rPr>
        <w:t>9 - 54</w:t>
      </w:r>
      <w:r w:rsidRPr="007F700C" w:rsidR="0042099B">
        <w:rPr>
          <w:rFonts w:ascii="Times New Roman" w:hAnsi="Times New Roman"/>
          <w:sz w:val="24"/>
          <w:szCs w:val="24"/>
        </w:rPr>
        <w:t xml:space="preserve"> </w:t>
      </w:r>
      <w:r w:rsidRPr="007F700C" w:rsidR="00D0018B">
        <w:rPr>
          <w:rFonts w:ascii="Times New Roman" w:hAnsi="Times New Roman"/>
          <w:sz w:val="24"/>
          <w:szCs w:val="24"/>
        </w:rPr>
        <w:t>(n=</w:t>
      </w:r>
      <w:r w:rsidR="0005351F">
        <w:rPr>
          <w:rFonts w:ascii="Times New Roman" w:hAnsi="Times New Roman"/>
          <w:sz w:val="24"/>
          <w:szCs w:val="24"/>
        </w:rPr>
        <w:t>240</w:t>
      </w:r>
      <w:r w:rsidRPr="007F700C" w:rsidR="00D0018B">
        <w:rPr>
          <w:rFonts w:ascii="Times New Roman" w:hAnsi="Times New Roman"/>
          <w:sz w:val="24"/>
          <w:szCs w:val="24"/>
        </w:rPr>
        <w:t xml:space="preserve">) </w:t>
      </w:r>
      <w:r w:rsidRPr="007F700C" w:rsidR="00D466E1">
        <w:rPr>
          <w:rFonts w:ascii="Times New Roman" w:hAnsi="Times New Roman"/>
          <w:sz w:val="24"/>
          <w:szCs w:val="24"/>
        </w:rPr>
        <w:t xml:space="preserve">who: </w:t>
      </w:r>
      <w:r w:rsidR="001D2A31">
        <w:rPr>
          <w:rFonts w:ascii="Times New Roman" w:hAnsi="Times New Roman"/>
          <w:sz w:val="24"/>
          <w:szCs w:val="24"/>
        </w:rPr>
        <w:t>(</w:t>
      </w:r>
      <w:r w:rsidRPr="007F700C" w:rsidR="00B061A2">
        <w:rPr>
          <w:rFonts w:ascii="Times New Roman" w:hAnsi="Times New Roman"/>
          <w:sz w:val="24"/>
          <w:szCs w:val="24"/>
        </w:rPr>
        <w:t xml:space="preserve">1) </w:t>
      </w:r>
      <w:r w:rsidR="0019069E">
        <w:rPr>
          <w:rFonts w:ascii="Times New Roman" w:hAnsi="Times New Roman"/>
          <w:sz w:val="24"/>
          <w:szCs w:val="24"/>
        </w:rPr>
        <w:t>are interested in quitting smoking</w:t>
      </w:r>
      <w:r w:rsidR="001D2A31">
        <w:rPr>
          <w:rFonts w:ascii="Times New Roman" w:hAnsi="Times New Roman"/>
          <w:sz w:val="24"/>
          <w:szCs w:val="24"/>
        </w:rPr>
        <w:t>;</w:t>
      </w:r>
      <w:r w:rsidR="0019069E">
        <w:rPr>
          <w:rFonts w:ascii="Times New Roman" w:hAnsi="Times New Roman"/>
          <w:sz w:val="24"/>
          <w:szCs w:val="24"/>
        </w:rPr>
        <w:t xml:space="preserve"> </w:t>
      </w:r>
      <w:r w:rsidR="001D2A31">
        <w:rPr>
          <w:rFonts w:ascii="Times New Roman" w:hAnsi="Times New Roman"/>
          <w:sz w:val="24"/>
          <w:szCs w:val="24"/>
        </w:rPr>
        <w:t>(</w:t>
      </w:r>
      <w:r w:rsidRPr="007F700C" w:rsidR="00B061A2">
        <w:rPr>
          <w:rFonts w:ascii="Times New Roman" w:hAnsi="Times New Roman"/>
          <w:sz w:val="24"/>
          <w:szCs w:val="24"/>
        </w:rPr>
        <w:t xml:space="preserve">2) have </w:t>
      </w:r>
      <w:r w:rsidR="0019069E">
        <w:rPr>
          <w:rFonts w:ascii="Times New Roman" w:hAnsi="Times New Roman"/>
          <w:sz w:val="24"/>
          <w:szCs w:val="24"/>
        </w:rPr>
        <w:t>tried to quit smoking within the past year but were unsuccessful and either currently smoke cigarettes or are dual users of cigarettes and other tobacco products</w:t>
      </w:r>
      <w:r w:rsidR="001D2A31">
        <w:rPr>
          <w:rFonts w:ascii="Times New Roman" w:hAnsi="Times New Roman"/>
          <w:sz w:val="24"/>
          <w:szCs w:val="24"/>
        </w:rPr>
        <w:t>;</w:t>
      </w:r>
      <w:r w:rsidR="0019069E">
        <w:rPr>
          <w:rFonts w:ascii="Times New Roman" w:hAnsi="Times New Roman"/>
          <w:sz w:val="24"/>
          <w:szCs w:val="24"/>
        </w:rPr>
        <w:t xml:space="preserve"> </w:t>
      </w:r>
      <w:r w:rsidR="001D2A31">
        <w:rPr>
          <w:rFonts w:ascii="Times New Roman" w:hAnsi="Times New Roman"/>
          <w:sz w:val="24"/>
          <w:szCs w:val="24"/>
        </w:rPr>
        <w:t>and (</w:t>
      </w:r>
      <w:r w:rsidRPr="007F700C" w:rsidR="00B061A2">
        <w:rPr>
          <w:rFonts w:ascii="Times New Roman" w:hAnsi="Times New Roman"/>
          <w:sz w:val="24"/>
          <w:szCs w:val="24"/>
        </w:rPr>
        <w:t xml:space="preserve">3) </w:t>
      </w:r>
      <w:r w:rsidR="0019069E">
        <w:rPr>
          <w:rFonts w:ascii="Times New Roman" w:hAnsi="Times New Roman"/>
          <w:sz w:val="24"/>
          <w:szCs w:val="24"/>
        </w:rPr>
        <w:t>identify as</w:t>
      </w:r>
      <w:r w:rsidR="0005351F">
        <w:rPr>
          <w:rFonts w:ascii="Times New Roman" w:hAnsi="Times New Roman"/>
          <w:sz w:val="24"/>
          <w:szCs w:val="24"/>
        </w:rPr>
        <w:t xml:space="preserve"> sexual and gender minority</w:t>
      </w:r>
      <w:r w:rsidR="008A7F44">
        <w:rPr>
          <w:rFonts w:ascii="Times New Roman" w:hAnsi="Times New Roman"/>
          <w:sz w:val="24"/>
          <w:szCs w:val="24"/>
        </w:rPr>
        <w:t xml:space="preserve">. </w:t>
      </w:r>
      <w:r w:rsidR="0019069E">
        <w:rPr>
          <w:rFonts w:ascii="Times New Roman" w:hAnsi="Times New Roman"/>
          <w:sz w:val="24"/>
          <w:szCs w:val="24"/>
        </w:rPr>
        <w:t>Adults</w:t>
      </w:r>
      <w:r w:rsidRPr="007F700C" w:rsidR="00D466E1">
        <w:rPr>
          <w:rFonts w:ascii="Times New Roman" w:hAnsi="Times New Roman"/>
          <w:sz w:val="24"/>
          <w:szCs w:val="24"/>
        </w:rPr>
        <w:t xml:space="preserve"> will be diverse in terms of race/ethnicity, gender, and geographical location</w:t>
      </w:r>
      <w:r w:rsidRPr="007F700C" w:rsidR="001A7886">
        <w:rPr>
          <w:rFonts w:ascii="Times New Roman" w:hAnsi="Times New Roman"/>
          <w:sz w:val="24"/>
          <w:szCs w:val="24"/>
        </w:rPr>
        <w:t xml:space="preserve">; we will ensure geographic diversity by conducting focus groups in </w:t>
      </w:r>
      <w:r w:rsidR="00826873">
        <w:rPr>
          <w:rFonts w:ascii="Times New Roman" w:hAnsi="Times New Roman"/>
          <w:sz w:val="24"/>
          <w:szCs w:val="24"/>
        </w:rPr>
        <w:t>several</w:t>
      </w:r>
      <w:r w:rsidRPr="007F700C" w:rsidR="001A7886">
        <w:rPr>
          <w:rFonts w:ascii="Times New Roman" w:hAnsi="Times New Roman"/>
          <w:sz w:val="24"/>
          <w:szCs w:val="24"/>
        </w:rPr>
        <w:t xml:space="preserve"> locations </w:t>
      </w:r>
      <w:r w:rsidRPr="007F700C" w:rsidR="004D62A9">
        <w:rPr>
          <w:rFonts w:ascii="Times New Roman" w:hAnsi="Times New Roman"/>
          <w:sz w:val="24"/>
          <w:szCs w:val="24"/>
        </w:rPr>
        <w:t>in</w:t>
      </w:r>
      <w:r w:rsidRPr="007F700C" w:rsidR="001A7886">
        <w:rPr>
          <w:rFonts w:ascii="Times New Roman" w:hAnsi="Times New Roman"/>
          <w:sz w:val="24"/>
          <w:szCs w:val="24"/>
        </w:rPr>
        <w:t xml:space="preserve"> the United States</w:t>
      </w:r>
      <w:r w:rsidRPr="007F700C" w:rsidR="00D466E1">
        <w:rPr>
          <w:rFonts w:ascii="Times New Roman" w:hAnsi="Times New Roman"/>
          <w:sz w:val="24"/>
          <w:szCs w:val="24"/>
        </w:rPr>
        <w:t>.</w:t>
      </w:r>
      <w:r w:rsidRPr="007F700C" w:rsidR="00D75CB3">
        <w:rPr>
          <w:rFonts w:ascii="Times New Roman" w:hAnsi="Times New Roman"/>
          <w:sz w:val="24"/>
          <w:szCs w:val="24"/>
        </w:rPr>
        <w:t xml:space="preserve"> </w:t>
      </w:r>
    </w:p>
    <w:p w:rsidRPr="00A57BAF" w:rsidR="00D75CB3" w:rsidP="00E07C91" w:rsidRDefault="00D75CB3" w14:paraId="605F1EA3" w14:textId="77777777">
      <w:pPr>
        <w:pStyle w:val="Default"/>
        <w:spacing w:line="276" w:lineRule="auto"/>
        <w:ind w:left="360" w:right="-180"/>
      </w:pPr>
    </w:p>
    <w:p w:rsidR="00192774" w:rsidP="00B061A2" w:rsidRDefault="00236FA3" w14:paraId="3994D0F2" w14:textId="48C89E41">
      <w:pPr>
        <w:pStyle w:val="Default"/>
        <w:spacing w:line="276" w:lineRule="auto"/>
        <w:ind w:left="360" w:right="-180"/>
      </w:pPr>
      <w:r w:rsidRPr="00A57BAF">
        <w:t>The purpose of these</w:t>
      </w:r>
      <w:r w:rsidR="00B061A2">
        <w:t xml:space="preserve"> </w:t>
      </w:r>
      <w:r w:rsidRPr="00A57BAF">
        <w:t xml:space="preserve">focus groups is to </w:t>
      </w:r>
      <w:r w:rsidR="00192774">
        <w:t>inform the development of appropriate messaging that will encourage</w:t>
      </w:r>
      <w:r w:rsidR="0005351F">
        <w:t xml:space="preserve"> SGM</w:t>
      </w:r>
      <w:r w:rsidR="00192774">
        <w:t xml:space="preserve"> smokers to quit. We will ask participants about their experiences with smoking and quitting and their perceptions of the current tobacco landscape. These responses are then used to refine and develop strategic and creative concepts that will be used to develop ads that encourage smokers to quit. </w:t>
      </w:r>
    </w:p>
    <w:p w:rsidRPr="00A57BAF" w:rsidR="00957513" w:rsidP="00162C39" w:rsidRDefault="00957513" w14:paraId="76BB1424" w14:textId="77777777">
      <w:pPr>
        <w:pStyle w:val="Default"/>
        <w:spacing w:line="276" w:lineRule="auto"/>
        <w:ind w:right="-180"/>
      </w:pPr>
    </w:p>
    <w:p w:rsidRPr="00DA0858" w:rsidR="00DA0858" w:rsidP="00E07C91" w:rsidRDefault="00957513" w14:paraId="6D0030D2" w14:textId="77777777">
      <w:pPr>
        <w:pStyle w:val="Default"/>
        <w:numPr>
          <w:ilvl w:val="0"/>
          <w:numId w:val="2"/>
        </w:numPr>
        <w:spacing w:line="276" w:lineRule="auto"/>
        <w:ind w:left="360" w:right="-180"/>
      </w:pPr>
      <w:r w:rsidRPr="00A57BAF">
        <w:rPr>
          <w:b/>
        </w:rPr>
        <w:t>Intended use of information:</w:t>
      </w:r>
    </w:p>
    <w:p w:rsidRPr="00A57BAF" w:rsidR="00E07C91" w:rsidP="00DA0858" w:rsidRDefault="00957513" w14:paraId="374FF28A" w14:textId="55BDCA21">
      <w:pPr>
        <w:pStyle w:val="Default"/>
        <w:spacing w:line="276" w:lineRule="auto"/>
        <w:ind w:left="360" w:right="-180"/>
      </w:pPr>
      <w:r w:rsidRPr="00A57BAF">
        <w:rPr>
          <w:b/>
        </w:rPr>
        <w:t xml:space="preserve"> </w:t>
      </w:r>
    </w:p>
    <w:p w:rsidRPr="003E2754" w:rsidR="00957513" w:rsidP="003E2754" w:rsidRDefault="00534B84" w14:paraId="6F3437D9" w14:textId="72D86670">
      <w:pPr>
        <w:pStyle w:val="Default"/>
        <w:spacing w:line="276" w:lineRule="auto"/>
        <w:ind w:left="360" w:right="-180"/>
        <w:rPr>
          <w:b/>
          <w:bCs/>
        </w:rPr>
      </w:pPr>
      <w:r w:rsidRPr="00A57BAF">
        <w:t xml:space="preserve">Information obtained through this study will inform the development and implementation of FDA’s </w:t>
      </w:r>
      <w:r w:rsidR="00B061A2">
        <w:t>public health campaign</w:t>
      </w:r>
      <w:r w:rsidR="00192774">
        <w:t xml:space="preserve"> </w:t>
      </w:r>
      <w:r w:rsidRPr="00A57BAF">
        <w:t xml:space="preserve">designed to </w:t>
      </w:r>
      <w:r w:rsidR="00192774">
        <w:t>encourage quitting among adult smokers</w:t>
      </w:r>
      <w:r w:rsidRPr="00A57BAF">
        <w:t xml:space="preserve">. </w:t>
      </w:r>
      <w:r w:rsidR="003E2754">
        <w:t xml:space="preserve">Specifically, focus group participants will answer questions regarding the changing product landscape, experiences with smoking and quitting, </w:t>
      </w:r>
      <w:r w:rsidRPr="00266887" w:rsidR="003E2754">
        <w:t xml:space="preserve">and reactions to </w:t>
      </w:r>
      <w:r w:rsidR="003E2754">
        <w:t xml:space="preserve">strategic and creative </w:t>
      </w:r>
      <w:r w:rsidRPr="00266887" w:rsidR="003E2754">
        <w:lastRenderedPageBreak/>
        <w:t>concepts.</w:t>
      </w:r>
      <w:r w:rsidR="003E2754">
        <w:t xml:space="preserve"> </w:t>
      </w:r>
      <w:r w:rsidRPr="00A57BAF" w:rsidR="00A846A2">
        <w:t>Study result</w:t>
      </w:r>
      <w:r w:rsidRPr="00A57BAF" w:rsidR="00D34423">
        <w:t>s</w:t>
      </w:r>
      <w:r w:rsidRPr="00A57BAF" w:rsidR="00244EE2">
        <w:t xml:space="preserve"> </w:t>
      </w:r>
      <w:r w:rsidR="003E2754">
        <w:t xml:space="preserve">indicate areas for refinement and development that will guide creation of effective advertisements. </w:t>
      </w:r>
    </w:p>
    <w:p w:rsidRPr="00A57BAF" w:rsidR="0017329A" w:rsidP="00162C39" w:rsidRDefault="0017329A" w14:paraId="1FED392C" w14:textId="77777777">
      <w:pPr>
        <w:pStyle w:val="Default"/>
        <w:spacing w:line="276" w:lineRule="auto"/>
        <w:ind w:right="-180"/>
      </w:pPr>
    </w:p>
    <w:p w:rsidRPr="00DA0858" w:rsidR="00DA0858" w:rsidP="00E07C91" w:rsidRDefault="00957513" w14:paraId="1CFA981B" w14:textId="77777777">
      <w:pPr>
        <w:pStyle w:val="Default"/>
        <w:numPr>
          <w:ilvl w:val="0"/>
          <w:numId w:val="2"/>
        </w:numPr>
        <w:spacing w:line="276" w:lineRule="auto"/>
        <w:ind w:left="360" w:right="-180"/>
      </w:pPr>
      <w:r w:rsidRPr="00A57BAF">
        <w:rPr>
          <w:b/>
        </w:rPr>
        <w:t>Description of respondents:</w:t>
      </w:r>
    </w:p>
    <w:p w:rsidRPr="00A57BAF" w:rsidR="00E07C91" w:rsidP="00DA0858" w:rsidRDefault="00957513" w14:paraId="6E91614C" w14:textId="3B5DEA84">
      <w:pPr>
        <w:pStyle w:val="Default"/>
        <w:spacing w:line="276" w:lineRule="auto"/>
        <w:ind w:left="360" w:right="-180"/>
      </w:pPr>
      <w:r w:rsidRPr="00A57BAF">
        <w:rPr>
          <w:b/>
        </w:rPr>
        <w:t xml:space="preserve"> </w:t>
      </w:r>
    </w:p>
    <w:p w:rsidRPr="00A57BAF" w:rsidR="00957513" w:rsidP="003E2754" w:rsidRDefault="00957513" w14:paraId="0A8815CF" w14:textId="2A6C1CC8">
      <w:pPr>
        <w:pStyle w:val="Default"/>
        <w:spacing w:line="276" w:lineRule="auto"/>
        <w:ind w:left="360" w:right="-180"/>
      </w:pPr>
      <w:r w:rsidRPr="00A57BAF">
        <w:t xml:space="preserve">The study will consist of </w:t>
      </w:r>
      <w:r w:rsidRPr="00A57BAF" w:rsidR="00D466E1">
        <w:t>up</w:t>
      </w:r>
      <w:r w:rsidRPr="00A57BAF" w:rsidR="00162C39">
        <w:t xml:space="preserve"> to </w:t>
      </w:r>
      <w:r w:rsidR="0005351F">
        <w:t>40</w:t>
      </w:r>
      <w:r w:rsidR="003E2754">
        <w:t xml:space="preserve"> focus groups</w:t>
      </w:r>
      <w:r w:rsidR="003C2345">
        <w:t xml:space="preserve"> total, </w:t>
      </w:r>
      <w:r w:rsidR="003E2754">
        <w:t xml:space="preserve">each with up to </w:t>
      </w:r>
      <w:r w:rsidR="0005351F">
        <w:t>6</w:t>
      </w:r>
      <w:r w:rsidR="003E2754">
        <w:t xml:space="preserve"> adults aged 19 – 54 who: </w:t>
      </w:r>
      <w:r w:rsidR="001D2A31">
        <w:t>(</w:t>
      </w:r>
      <w:r w:rsidRPr="007F700C" w:rsidR="003E2754">
        <w:t xml:space="preserve">1) </w:t>
      </w:r>
      <w:r w:rsidR="003E2754">
        <w:t>are interested in quitting smoking</w:t>
      </w:r>
      <w:r w:rsidR="001D2A31">
        <w:t>;</w:t>
      </w:r>
      <w:r w:rsidR="003E2754">
        <w:t xml:space="preserve"> </w:t>
      </w:r>
      <w:r w:rsidR="001D2A31">
        <w:t>(</w:t>
      </w:r>
      <w:r w:rsidRPr="007F700C" w:rsidR="003E2754">
        <w:t xml:space="preserve">2) have </w:t>
      </w:r>
      <w:r w:rsidR="003E2754">
        <w:t>tried to quit smoking within the past year but were unsuccessful and either currently smoke cigarettes or are dual users of cigarettes and other tobacco products</w:t>
      </w:r>
      <w:r w:rsidR="003C2345">
        <w:t xml:space="preserve">; </w:t>
      </w:r>
      <w:r w:rsidR="0005351F">
        <w:t xml:space="preserve">and </w:t>
      </w:r>
      <w:r w:rsidR="001D2A31">
        <w:t>(</w:t>
      </w:r>
      <w:r w:rsidR="0005351F">
        <w:t xml:space="preserve">3) who </w:t>
      </w:r>
      <w:r w:rsidR="003E2754">
        <w:t xml:space="preserve">identify as </w:t>
      </w:r>
      <w:r w:rsidR="0005351F">
        <w:t>s</w:t>
      </w:r>
      <w:r w:rsidR="008A7F44">
        <w:t xml:space="preserve">exual and </w:t>
      </w:r>
      <w:r w:rsidR="0005351F">
        <w:t>g</w:t>
      </w:r>
      <w:r w:rsidR="008A7F44">
        <w:t xml:space="preserve">ender </w:t>
      </w:r>
      <w:r w:rsidR="0005351F">
        <w:t>m</w:t>
      </w:r>
      <w:r w:rsidR="008A7F44">
        <w:t>inority</w:t>
      </w:r>
      <w:r w:rsidRPr="007F700C" w:rsidR="003E2754">
        <w:t>.</w:t>
      </w:r>
      <w:r w:rsidR="003E2754">
        <w:t xml:space="preserve"> </w:t>
      </w:r>
      <w:r w:rsidRPr="00A57BAF" w:rsidR="00D466E1">
        <w:t>The total sample size will be</w:t>
      </w:r>
      <w:r w:rsidRPr="00A57BAF" w:rsidR="00C55781">
        <w:t xml:space="preserve"> no more than</w:t>
      </w:r>
      <w:r w:rsidRPr="00A57BAF" w:rsidR="00D466E1">
        <w:t xml:space="preserve"> </w:t>
      </w:r>
      <w:r w:rsidR="0005351F">
        <w:t>240</w:t>
      </w:r>
      <w:r w:rsidR="003E2754">
        <w:t xml:space="preserve"> </w:t>
      </w:r>
      <w:r w:rsidRPr="00A57BAF" w:rsidR="00D466E1">
        <w:t xml:space="preserve">participants. </w:t>
      </w:r>
      <w:r w:rsidR="00C0656B">
        <w:t xml:space="preserve">The groups may be held in-person or through an online platform. </w:t>
      </w:r>
      <w:r w:rsidRPr="00A57BAF" w:rsidR="00F37A21">
        <w:t xml:space="preserve">Groups will be segmented by </w:t>
      </w:r>
      <w:r w:rsidRPr="00A57BAF" w:rsidR="00B01FF2">
        <w:t>age</w:t>
      </w:r>
      <w:r w:rsidR="003E2754">
        <w:t>, gender, socio-economic status, and self-reported tobacco use</w:t>
      </w:r>
      <w:r w:rsidRPr="00A57BAF" w:rsidR="00663C64">
        <w:t xml:space="preserve">. </w:t>
      </w:r>
      <w:r w:rsidRPr="00A57BAF" w:rsidR="000C3AA2">
        <w:t xml:space="preserve">Groups will be otherwise diverse by </w:t>
      </w:r>
      <w:r w:rsidRPr="00A57BAF" w:rsidR="00222F22">
        <w:t>other demographic variables (e.g., race/ethnicity)</w:t>
      </w:r>
      <w:r w:rsidRPr="00A57BAF" w:rsidR="000C3AA2">
        <w:t>.</w:t>
      </w:r>
      <w:r w:rsidRPr="00A57BAF" w:rsidR="00D75CB3">
        <w:t xml:space="preserve"> </w:t>
      </w:r>
    </w:p>
    <w:p w:rsidRPr="00A57BAF" w:rsidR="00685ADD" w:rsidP="00685ADD" w:rsidRDefault="00685ADD" w14:paraId="334F55F6" w14:textId="77777777">
      <w:pPr>
        <w:pStyle w:val="ListParagraph"/>
        <w:autoSpaceDE w:val="0"/>
        <w:autoSpaceDN w:val="0"/>
        <w:adjustRightInd w:val="0"/>
        <w:ind w:left="6030" w:right="-180"/>
        <w:rPr>
          <w:rFonts w:ascii="Times New Roman" w:hAnsi="Times New Roman"/>
          <w:b/>
          <w:color w:val="000000"/>
          <w:sz w:val="24"/>
          <w:szCs w:val="24"/>
        </w:rPr>
      </w:pPr>
    </w:p>
    <w:p w:rsidR="00957513" w:rsidP="00E07C91" w:rsidRDefault="00E07C91" w14:paraId="5F1C6EBC" w14:textId="567A633C">
      <w:pPr>
        <w:pStyle w:val="NoSpacing"/>
        <w:ind w:left="6030" w:hanging="6030"/>
        <w:rPr>
          <w:rFonts w:ascii="Times New Roman" w:hAnsi="Times New Roman" w:cs="Times New Roman"/>
          <w:b/>
        </w:rPr>
      </w:pPr>
      <w:r w:rsidRPr="00A57BAF">
        <w:rPr>
          <w:rFonts w:ascii="Times New Roman" w:hAnsi="Times New Roman" w:cs="Times New Roman"/>
          <w:b/>
        </w:rPr>
        <w:t xml:space="preserve">4.   </w:t>
      </w:r>
      <w:r w:rsidRPr="00A57BAF" w:rsidR="002B6165">
        <w:rPr>
          <w:rFonts w:ascii="Times New Roman" w:hAnsi="Times New Roman" w:cs="Times New Roman"/>
          <w:b/>
        </w:rPr>
        <w:t>Date(s) t</w:t>
      </w:r>
      <w:r w:rsidRPr="00A57BAF" w:rsidR="00957513">
        <w:rPr>
          <w:rFonts w:ascii="Times New Roman" w:hAnsi="Times New Roman" w:cs="Times New Roman"/>
          <w:b/>
        </w:rPr>
        <w:t xml:space="preserve">o be conducted: </w:t>
      </w:r>
    </w:p>
    <w:p w:rsidRPr="00A57BAF" w:rsidR="00DA0858" w:rsidP="00E07C91" w:rsidRDefault="00DA0858" w14:paraId="303DC7BE" w14:textId="77777777">
      <w:pPr>
        <w:pStyle w:val="NoSpacing"/>
        <w:ind w:left="6030" w:hanging="6030"/>
        <w:rPr>
          <w:rFonts w:ascii="Times New Roman" w:hAnsi="Times New Roman" w:cs="Times New Roman"/>
          <w:b/>
        </w:rPr>
      </w:pPr>
    </w:p>
    <w:p w:rsidRPr="00A57BAF" w:rsidR="00273C8B" w:rsidP="00162C39" w:rsidRDefault="00957513" w14:paraId="0132CFC8" w14:textId="1AB6B4D5">
      <w:pPr>
        <w:widowControl w:val="0"/>
        <w:autoSpaceDE w:val="0"/>
        <w:autoSpaceDN w:val="0"/>
        <w:adjustRightInd w:val="0"/>
        <w:ind w:left="360"/>
        <w:rPr>
          <w:rFonts w:ascii="Times New Roman" w:hAnsi="Times New Roman"/>
          <w:sz w:val="24"/>
          <w:szCs w:val="24"/>
        </w:rPr>
      </w:pPr>
      <w:r w:rsidRPr="00A57BAF">
        <w:rPr>
          <w:rFonts w:ascii="Times New Roman" w:hAnsi="Times New Roman"/>
          <w:sz w:val="24"/>
          <w:szCs w:val="24"/>
        </w:rPr>
        <w:t xml:space="preserve">The </w:t>
      </w:r>
      <w:r w:rsidRPr="00A57BAF" w:rsidR="00A846A2">
        <w:rPr>
          <w:rFonts w:ascii="Times New Roman" w:hAnsi="Times New Roman"/>
          <w:sz w:val="24"/>
          <w:szCs w:val="24"/>
        </w:rPr>
        <w:t xml:space="preserve">study is projected to occur between </w:t>
      </w:r>
      <w:r w:rsidR="003E2754">
        <w:rPr>
          <w:rFonts w:ascii="Times New Roman" w:hAnsi="Times New Roman"/>
          <w:sz w:val="24"/>
          <w:szCs w:val="24"/>
        </w:rPr>
        <w:t>February</w:t>
      </w:r>
      <w:r w:rsidR="00B061A2">
        <w:rPr>
          <w:rFonts w:ascii="Times New Roman" w:hAnsi="Times New Roman"/>
          <w:sz w:val="24"/>
          <w:szCs w:val="24"/>
        </w:rPr>
        <w:t xml:space="preserve"> 2020</w:t>
      </w:r>
      <w:r w:rsidRPr="00A57BAF" w:rsidR="00DD0426">
        <w:rPr>
          <w:rFonts w:ascii="Times New Roman" w:hAnsi="Times New Roman"/>
          <w:sz w:val="24"/>
          <w:szCs w:val="24"/>
        </w:rPr>
        <w:t xml:space="preserve"> and </w:t>
      </w:r>
      <w:r w:rsidR="003E2754">
        <w:rPr>
          <w:rFonts w:ascii="Times New Roman" w:hAnsi="Times New Roman"/>
          <w:sz w:val="24"/>
          <w:szCs w:val="24"/>
        </w:rPr>
        <w:t>December 2020</w:t>
      </w:r>
      <w:r w:rsidRPr="00A57BAF" w:rsidR="00273C8B">
        <w:rPr>
          <w:rFonts w:ascii="Times New Roman" w:hAnsi="Times New Roman"/>
          <w:sz w:val="24"/>
          <w:szCs w:val="24"/>
        </w:rPr>
        <w:t xml:space="preserve">. </w:t>
      </w:r>
    </w:p>
    <w:p w:rsidRPr="00A57BAF" w:rsidR="00E07C91" w:rsidP="00E07C91" w:rsidRDefault="00E07C91" w14:paraId="4DAB532B" w14:textId="77777777">
      <w:pPr>
        <w:pStyle w:val="ListParagraph"/>
        <w:autoSpaceDE w:val="0"/>
        <w:autoSpaceDN w:val="0"/>
        <w:adjustRightInd w:val="0"/>
        <w:ind w:left="6030" w:right="-180" w:hanging="5940"/>
        <w:rPr>
          <w:rFonts w:ascii="Times New Roman" w:hAnsi="Times New Roman"/>
          <w:sz w:val="24"/>
          <w:szCs w:val="24"/>
        </w:rPr>
      </w:pPr>
    </w:p>
    <w:p w:rsidRPr="00DA0858" w:rsidR="00DA0858" w:rsidP="00E07C91" w:rsidRDefault="00957513" w14:paraId="1A187F52" w14:textId="77777777">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How the </w:t>
      </w:r>
      <w:r w:rsidRPr="00A57BAF" w:rsidR="003766CC">
        <w:rPr>
          <w:rFonts w:ascii="Times New Roman" w:hAnsi="Times New Roman"/>
          <w:b/>
          <w:color w:val="000000"/>
          <w:sz w:val="24"/>
          <w:szCs w:val="24"/>
        </w:rPr>
        <w:t>i</w:t>
      </w:r>
      <w:r w:rsidRPr="00A57BAF">
        <w:rPr>
          <w:rFonts w:ascii="Times New Roman" w:hAnsi="Times New Roman"/>
          <w:b/>
          <w:color w:val="000000"/>
          <w:sz w:val="24"/>
          <w:szCs w:val="24"/>
        </w:rPr>
        <w:t>nformation is being collected:</w:t>
      </w:r>
    </w:p>
    <w:p w:rsidRPr="00A57BAF" w:rsidR="00957513" w:rsidP="00DA0858" w:rsidRDefault="00957513" w14:paraId="0B2CB1B5" w14:textId="54AA0898">
      <w:pPr>
        <w:pStyle w:val="ListParagraph"/>
        <w:autoSpaceDE w:val="0"/>
        <w:autoSpaceDN w:val="0"/>
        <w:adjustRightInd w:val="0"/>
        <w:ind w:left="360" w:right="-180"/>
        <w:rPr>
          <w:rFonts w:ascii="Times New Roman" w:hAnsi="Times New Roman"/>
          <w:color w:val="000000"/>
          <w:sz w:val="24"/>
          <w:szCs w:val="24"/>
        </w:rPr>
      </w:pPr>
      <w:r w:rsidRPr="00A57BAF">
        <w:rPr>
          <w:rFonts w:ascii="Times New Roman" w:hAnsi="Times New Roman"/>
          <w:b/>
          <w:color w:val="000000"/>
          <w:sz w:val="24"/>
          <w:szCs w:val="24"/>
        </w:rPr>
        <w:t xml:space="preserve"> </w:t>
      </w:r>
    </w:p>
    <w:p w:rsidRPr="00A57BAF" w:rsidR="00957513" w:rsidP="003E2754" w:rsidRDefault="00244EE2" w14:paraId="4CAA1FEE" w14:textId="3C80DBD5">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The information will be </w:t>
      </w:r>
      <w:r w:rsidRPr="00A57BAF" w:rsidR="00C7271C">
        <w:rPr>
          <w:rFonts w:ascii="Times New Roman" w:hAnsi="Times New Roman"/>
          <w:color w:val="000000"/>
          <w:sz w:val="24"/>
          <w:szCs w:val="24"/>
        </w:rPr>
        <w:t>collect</w:t>
      </w:r>
      <w:r w:rsidRPr="00A57BAF">
        <w:rPr>
          <w:rFonts w:ascii="Times New Roman" w:hAnsi="Times New Roman"/>
          <w:color w:val="000000"/>
          <w:sz w:val="24"/>
          <w:szCs w:val="24"/>
        </w:rPr>
        <w:t>ed</w:t>
      </w:r>
      <w:r w:rsidRPr="00A57BAF" w:rsidR="00C7271C">
        <w:rPr>
          <w:rFonts w:ascii="Times New Roman" w:hAnsi="Times New Roman"/>
          <w:color w:val="000000"/>
          <w:sz w:val="24"/>
          <w:szCs w:val="24"/>
        </w:rPr>
        <w:t xml:space="preserve"> through </w:t>
      </w:r>
      <w:r w:rsidR="003E2754">
        <w:rPr>
          <w:rFonts w:ascii="Times New Roman" w:hAnsi="Times New Roman"/>
          <w:color w:val="000000"/>
          <w:sz w:val="24"/>
          <w:szCs w:val="24"/>
        </w:rPr>
        <w:t xml:space="preserve">a combination of </w:t>
      </w:r>
      <w:r w:rsidRPr="00A57BAF" w:rsidR="00162C39">
        <w:rPr>
          <w:rFonts w:ascii="Times New Roman" w:hAnsi="Times New Roman"/>
          <w:color w:val="000000"/>
          <w:sz w:val="24"/>
          <w:szCs w:val="24"/>
        </w:rPr>
        <w:t xml:space="preserve">up to </w:t>
      </w:r>
      <w:r w:rsidR="00C84A1E">
        <w:rPr>
          <w:rFonts w:ascii="Times New Roman" w:hAnsi="Times New Roman"/>
          <w:color w:val="000000"/>
          <w:sz w:val="24"/>
          <w:szCs w:val="24"/>
        </w:rPr>
        <w:t>40</w:t>
      </w:r>
      <w:r w:rsidRPr="00A57BAF" w:rsidR="00C7271C">
        <w:rPr>
          <w:rFonts w:ascii="Times New Roman" w:hAnsi="Times New Roman"/>
          <w:color w:val="000000"/>
          <w:sz w:val="24"/>
          <w:szCs w:val="24"/>
        </w:rPr>
        <w:t xml:space="preserve"> </w:t>
      </w:r>
      <w:r w:rsidR="003E2754">
        <w:rPr>
          <w:rFonts w:ascii="Times New Roman" w:hAnsi="Times New Roman"/>
          <w:color w:val="000000"/>
          <w:sz w:val="24"/>
          <w:szCs w:val="24"/>
        </w:rPr>
        <w:t xml:space="preserve">virtual </w:t>
      </w:r>
      <w:r w:rsidR="00C84A1E">
        <w:rPr>
          <w:rFonts w:ascii="Times New Roman" w:hAnsi="Times New Roman"/>
          <w:color w:val="000000"/>
          <w:sz w:val="24"/>
          <w:szCs w:val="24"/>
        </w:rPr>
        <w:t xml:space="preserve">or in-person </w:t>
      </w:r>
      <w:r w:rsidRPr="00A57BAF" w:rsidR="00C7271C">
        <w:rPr>
          <w:rFonts w:ascii="Times New Roman" w:hAnsi="Times New Roman"/>
          <w:color w:val="000000"/>
          <w:sz w:val="24"/>
          <w:szCs w:val="24"/>
        </w:rPr>
        <w:t>focus groups</w:t>
      </w:r>
      <w:r w:rsidR="0022051C">
        <w:rPr>
          <w:rFonts w:ascii="Times New Roman" w:hAnsi="Times New Roman"/>
          <w:color w:val="000000"/>
          <w:sz w:val="24"/>
          <w:szCs w:val="24"/>
        </w:rPr>
        <w:t xml:space="preserve"> </w:t>
      </w:r>
      <w:r w:rsidRPr="00A57BAF">
        <w:rPr>
          <w:rFonts w:ascii="Times New Roman" w:hAnsi="Times New Roman"/>
          <w:color w:val="000000"/>
          <w:sz w:val="24"/>
          <w:szCs w:val="24"/>
        </w:rPr>
        <w:t xml:space="preserve">led by a professional moderator with experience leading focus groups with </w:t>
      </w:r>
      <w:r w:rsidR="003E2754">
        <w:rPr>
          <w:rFonts w:ascii="Times New Roman" w:hAnsi="Times New Roman"/>
          <w:color w:val="000000"/>
          <w:sz w:val="24"/>
          <w:szCs w:val="24"/>
        </w:rPr>
        <w:t>adults</w:t>
      </w:r>
      <w:r w:rsidRPr="00A57BAF" w:rsidR="003C5BA6">
        <w:rPr>
          <w:rFonts w:ascii="Times New Roman" w:hAnsi="Times New Roman"/>
          <w:color w:val="000000"/>
          <w:sz w:val="24"/>
          <w:szCs w:val="24"/>
        </w:rPr>
        <w:t>.</w:t>
      </w:r>
      <w:r w:rsidRPr="00A57BAF" w:rsidR="00957513">
        <w:rPr>
          <w:rFonts w:ascii="Times New Roman" w:hAnsi="Times New Roman"/>
          <w:color w:val="000000"/>
          <w:sz w:val="24"/>
          <w:szCs w:val="24"/>
        </w:rPr>
        <w:t xml:space="preserve"> </w:t>
      </w:r>
      <w:r w:rsidRPr="00A57BAF" w:rsidR="00451DD6">
        <w:rPr>
          <w:rFonts w:ascii="Times New Roman" w:hAnsi="Times New Roman"/>
          <w:color w:val="000000"/>
          <w:sz w:val="24"/>
          <w:szCs w:val="24"/>
        </w:rPr>
        <w:t xml:space="preserve">Each </w:t>
      </w:r>
      <w:r w:rsidRPr="00A57BAF">
        <w:rPr>
          <w:rFonts w:ascii="Times New Roman" w:hAnsi="Times New Roman"/>
          <w:color w:val="000000"/>
          <w:sz w:val="24"/>
          <w:szCs w:val="24"/>
        </w:rPr>
        <w:t xml:space="preserve">group </w:t>
      </w:r>
      <w:r w:rsidRPr="00A57BAF" w:rsidR="00451DD6">
        <w:rPr>
          <w:rFonts w:ascii="Times New Roman" w:hAnsi="Times New Roman"/>
          <w:color w:val="000000"/>
          <w:sz w:val="24"/>
          <w:szCs w:val="24"/>
        </w:rPr>
        <w:t xml:space="preserve">will be </w:t>
      </w:r>
      <w:r w:rsidRPr="00A57BAF" w:rsidR="00DA0794">
        <w:rPr>
          <w:rFonts w:ascii="Times New Roman" w:hAnsi="Times New Roman"/>
          <w:color w:val="000000"/>
          <w:sz w:val="24"/>
          <w:szCs w:val="24"/>
        </w:rPr>
        <w:t>shown</w:t>
      </w:r>
      <w:r w:rsidRPr="00A57BAF">
        <w:rPr>
          <w:rFonts w:ascii="Times New Roman" w:hAnsi="Times New Roman"/>
          <w:color w:val="000000"/>
          <w:sz w:val="24"/>
          <w:szCs w:val="24"/>
        </w:rPr>
        <w:t xml:space="preserve"> </w:t>
      </w:r>
      <w:r w:rsidRPr="00A57BAF" w:rsidR="00413113">
        <w:rPr>
          <w:rFonts w:ascii="Times New Roman" w:hAnsi="Times New Roman"/>
          <w:color w:val="000000"/>
          <w:sz w:val="24"/>
          <w:szCs w:val="24"/>
        </w:rPr>
        <w:t>strategic</w:t>
      </w:r>
      <w:r w:rsidRPr="00A57BAF" w:rsidR="00DA0794">
        <w:rPr>
          <w:rFonts w:ascii="Times New Roman" w:hAnsi="Times New Roman"/>
          <w:color w:val="000000"/>
          <w:sz w:val="24"/>
          <w:szCs w:val="24"/>
        </w:rPr>
        <w:t xml:space="preserve"> (written statements)</w:t>
      </w:r>
      <w:r w:rsidRPr="00A57BAF" w:rsidR="00413113">
        <w:rPr>
          <w:rFonts w:ascii="Times New Roman" w:hAnsi="Times New Roman"/>
          <w:color w:val="000000"/>
          <w:sz w:val="24"/>
          <w:szCs w:val="24"/>
        </w:rPr>
        <w:t xml:space="preserve"> and/or </w:t>
      </w:r>
      <w:r w:rsidRPr="00A57BAF" w:rsidR="00B817BA">
        <w:rPr>
          <w:rFonts w:ascii="Times New Roman" w:hAnsi="Times New Roman"/>
          <w:color w:val="000000"/>
          <w:sz w:val="24"/>
          <w:szCs w:val="24"/>
        </w:rPr>
        <w:t>creative</w:t>
      </w:r>
      <w:r w:rsidRPr="00A57BAF">
        <w:rPr>
          <w:rFonts w:ascii="Times New Roman" w:hAnsi="Times New Roman"/>
          <w:color w:val="000000"/>
          <w:sz w:val="24"/>
          <w:szCs w:val="24"/>
        </w:rPr>
        <w:t xml:space="preserve"> concepts</w:t>
      </w:r>
      <w:r w:rsidRPr="00A57BAF" w:rsidR="00DA0794">
        <w:rPr>
          <w:rFonts w:ascii="Times New Roman" w:hAnsi="Times New Roman"/>
          <w:color w:val="000000"/>
          <w:sz w:val="24"/>
          <w:szCs w:val="24"/>
        </w:rPr>
        <w:t xml:space="preserve"> (animatic storyboards</w:t>
      </w:r>
      <w:r w:rsidR="00D01A9E">
        <w:rPr>
          <w:rFonts w:ascii="Times New Roman" w:hAnsi="Times New Roman"/>
          <w:color w:val="000000"/>
          <w:sz w:val="24"/>
          <w:szCs w:val="24"/>
        </w:rPr>
        <w:t xml:space="preserve"> or finalized ad</w:t>
      </w:r>
      <w:r w:rsidRPr="00A57BAF" w:rsidR="00DA0794">
        <w:rPr>
          <w:rFonts w:ascii="Times New Roman" w:hAnsi="Times New Roman"/>
          <w:color w:val="000000"/>
          <w:sz w:val="24"/>
          <w:szCs w:val="24"/>
        </w:rPr>
        <w:t>)</w:t>
      </w:r>
      <w:r w:rsidRPr="00A57BAF">
        <w:rPr>
          <w:rFonts w:ascii="Times New Roman" w:hAnsi="Times New Roman"/>
          <w:color w:val="000000"/>
          <w:sz w:val="24"/>
          <w:szCs w:val="24"/>
        </w:rPr>
        <w:t xml:space="preserve"> and </w:t>
      </w:r>
      <w:r w:rsidRPr="00A57BAF" w:rsidR="000A705F">
        <w:rPr>
          <w:rFonts w:ascii="Times New Roman" w:hAnsi="Times New Roman"/>
          <w:color w:val="000000"/>
          <w:sz w:val="24"/>
          <w:szCs w:val="24"/>
        </w:rPr>
        <w:t>ask</w:t>
      </w:r>
      <w:r w:rsidRPr="00A57BAF" w:rsidR="00943926">
        <w:rPr>
          <w:rFonts w:ascii="Times New Roman" w:hAnsi="Times New Roman"/>
          <w:color w:val="000000"/>
          <w:sz w:val="24"/>
          <w:szCs w:val="24"/>
        </w:rPr>
        <w:t>ed</w:t>
      </w:r>
      <w:r w:rsidRPr="00A57BAF" w:rsidR="000A705F">
        <w:rPr>
          <w:rFonts w:ascii="Times New Roman" w:hAnsi="Times New Roman"/>
          <w:color w:val="000000"/>
          <w:sz w:val="24"/>
          <w:szCs w:val="24"/>
        </w:rPr>
        <w:t xml:space="preserve"> a series of questions using a </w:t>
      </w:r>
      <w:r w:rsidRPr="00A57BAF" w:rsidR="00E61DB2">
        <w:rPr>
          <w:rFonts w:ascii="Times New Roman" w:hAnsi="Times New Roman"/>
          <w:color w:val="000000"/>
          <w:sz w:val="24"/>
          <w:szCs w:val="24"/>
        </w:rPr>
        <w:t>semi-</w:t>
      </w:r>
      <w:r w:rsidRPr="00A57BAF" w:rsidR="000A705F">
        <w:rPr>
          <w:rFonts w:ascii="Times New Roman" w:hAnsi="Times New Roman"/>
          <w:color w:val="000000"/>
          <w:sz w:val="24"/>
          <w:szCs w:val="24"/>
        </w:rPr>
        <w:t>structured discussion guide</w:t>
      </w:r>
      <w:r w:rsidRPr="00A57BAF">
        <w:rPr>
          <w:rFonts w:ascii="Times New Roman" w:hAnsi="Times New Roman"/>
          <w:color w:val="000000"/>
          <w:sz w:val="24"/>
          <w:szCs w:val="24"/>
        </w:rPr>
        <w:t xml:space="preserve"> to encourage participants’ feedback around understanding, relevance, impact and motivation of the shared concepts and strategic concepts</w:t>
      </w:r>
      <w:r w:rsidRPr="00A57BAF" w:rsidR="00162C39">
        <w:rPr>
          <w:rFonts w:ascii="Times New Roman" w:hAnsi="Times New Roman"/>
          <w:color w:val="000000"/>
          <w:sz w:val="24"/>
          <w:szCs w:val="24"/>
        </w:rPr>
        <w:t xml:space="preserve"> (see</w:t>
      </w:r>
      <w:r w:rsidR="00745CC6">
        <w:rPr>
          <w:rFonts w:ascii="Times New Roman" w:hAnsi="Times New Roman"/>
          <w:color w:val="000000"/>
          <w:sz w:val="24"/>
          <w:szCs w:val="24"/>
        </w:rPr>
        <w:t xml:space="preserve"> </w:t>
      </w:r>
      <w:r w:rsidR="00054A2A">
        <w:rPr>
          <w:rFonts w:ascii="Times New Roman" w:hAnsi="Times New Roman"/>
          <w:color w:val="000000"/>
          <w:sz w:val="24"/>
          <w:szCs w:val="24"/>
        </w:rPr>
        <w:t>Attachment G: Stimuli and Attachment D: Discussion Guide</w:t>
      </w:r>
      <w:r w:rsidRPr="00A57BAF" w:rsidR="00162C39">
        <w:rPr>
          <w:rFonts w:ascii="Times New Roman" w:hAnsi="Times New Roman"/>
          <w:color w:val="000000"/>
          <w:sz w:val="24"/>
          <w:szCs w:val="24"/>
        </w:rPr>
        <w:t>)</w:t>
      </w:r>
      <w:r w:rsidRPr="00A57BAF">
        <w:rPr>
          <w:rFonts w:ascii="Times New Roman" w:hAnsi="Times New Roman"/>
          <w:color w:val="000000"/>
          <w:sz w:val="24"/>
          <w:szCs w:val="24"/>
        </w:rPr>
        <w:t>.</w:t>
      </w:r>
      <w:r w:rsidRPr="00A57BAF" w:rsidR="00162C39">
        <w:rPr>
          <w:rFonts w:ascii="Times New Roman" w:hAnsi="Times New Roman"/>
          <w:color w:val="000000"/>
          <w:sz w:val="24"/>
          <w:szCs w:val="24"/>
        </w:rPr>
        <w:t xml:space="preserve"> In each focus group, participants will be exposed to up to </w:t>
      </w:r>
      <w:r w:rsidR="003E2754">
        <w:rPr>
          <w:rFonts w:ascii="Times New Roman" w:hAnsi="Times New Roman"/>
          <w:color w:val="000000"/>
          <w:sz w:val="24"/>
          <w:szCs w:val="24"/>
        </w:rPr>
        <w:t>9</w:t>
      </w:r>
      <w:r w:rsidRPr="00A57BAF" w:rsidR="00162C39">
        <w:rPr>
          <w:rFonts w:ascii="Times New Roman" w:hAnsi="Times New Roman"/>
          <w:color w:val="000000"/>
          <w:sz w:val="24"/>
          <w:szCs w:val="24"/>
        </w:rPr>
        <w:t xml:space="preserve"> concept</w:t>
      </w:r>
      <w:r w:rsidR="001C3033">
        <w:rPr>
          <w:rFonts w:ascii="Times New Roman" w:hAnsi="Times New Roman"/>
          <w:color w:val="000000"/>
          <w:sz w:val="24"/>
          <w:szCs w:val="24"/>
        </w:rPr>
        <w:t>s</w:t>
      </w:r>
      <w:r w:rsidRPr="00A57BAF" w:rsidR="00162C39">
        <w:rPr>
          <w:rFonts w:ascii="Times New Roman" w:hAnsi="Times New Roman"/>
          <w:color w:val="000000"/>
          <w:sz w:val="24"/>
          <w:szCs w:val="24"/>
        </w:rPr>
        <w:t>.</w:t>
      </w:r>
      <w:r w:rsidRPr="00A57BAF" w:rsidR="00413113">
        <w:rPr>
          <w:rFonts w:ascii="Times New Roman" w:hAnsi="Times New Roman"/>
          <w:color w:val="000000"/>
          <w:sz w:val="24"/>
          <w:szCs w:val="24"/>
        </w:rPr>
        <w:t xml:space="preserve"> </w:t>
      </w:r>
      <w:r w:rsidRPr="00A57BAF">
        <w:rPr>
          <w:rFonts w:ascii="Times New Roman" w:hAnsi="Times New Roman"/>
          <w:color w:val="000000"/>
          <w:sz w:val="24"/>
          <w:szCs w:val="24"/>
        </w:rPr>
        <w:t>The moderator will</w:t>
      </w:r>
      <w:r w:rsidRPr="00A57BAF" w:rsidR="000A705F">
        <w:rPr>
          <w:rFonts w:ascii="Times New Roman" w:hAnsi="Times New Roman"/>
          <w:color w:val="000000"/>
          <w:sz w:val="24"/>
          <w:szCs w:val="24"/>
        </w:rPr>
        <w:t xml:space="preserve"> encourage participants to respond openly and spontaneously</w:t>
      </w:r>
      <w:r w:rsidRPr="00A57BAF" w:rsidR="00162C39">
        <w:rPr>
          <w:rFonts w:ascii="Times New Roman" w:hAnsi="Times New Roman"/>
          <w:color w:val="000000"/>
          <w:sz w:val="24"/>
          <w:szCs w:val="24"/>
        </w:rPr>
        <w:t xml:space="preserve">. </w:t>
      </w:r>
      <w:r w:rsidRPr="00A57BAF" w:rsidR="00A846A2">
        <w:rPr>
          <w:rFonts w:ascii="Times New Roman" w:hAnsi="Times New Roman"/>
          <w:color w:val="000000"/>
          <w:sz w:val="24"/>
          <w:szCs w:val="24"/>
        </w:rPr>
        <w:t>Data will be collected in professional meeting rooms or focus group facilities</w:t>
      </w:r>
      <w:r w:rsidRPr="00A57BAF" w:rsidR="00162C39">
        <w:rPr>
          <w:rFonts w:ascii="Times New Roman" w:hAnsi="Times New Roman"/>
          <w:color w:val="000000"/>
          <w:sz w:val="24"/>
          <w:szCs w:val="24"/>
        </w:rPr>
        <w:t xml:space="preserve"> and will be audio recorded</w:t>
      </w:r>
      <w:r w:rsidRPr="00A57BAF" w:rsidR="00A846A2">
        <w:rPr>
          <w:rFonts w:ascii="Times New Roman" w:hAnsi="Times New Roman"/>
          <w:sz w:val="24"/>
          <w:szCs w:val="24"/>
        </w:rPr>
        <w:t xml:space="preserve">. Each focus group will last </w:t>
      </w:r>
      <w:r w:rsidR="006D0DA0">
        <w:rPr>
          <w:rFonts w:ascii="Times New Roman" w:hAnsi="Times New Roman"/>
          <w:sz w:val="24"/>
          <w:szCs w:val="24"/>
        </w:rPr>
        <w:t xml:space="preserve">no more than </w:t>
      </w:r>
      <w:r w:rsidRPr="00A57BAF" w:rsidR="00A846A2">
        <w:rPr>
          <w:rFonts w:ascii="Times New Roman" w:hAnsi="Times New Roman"/>
          <w:sz w:val="24"/>
          <w:szCs w:val="24"/>
        </w:rPr>
        <w:t>9</w:t>
      </w:r>
      <w:r w:rsidRPr="00A57BAF" w:rsidR="00C46CDF">
        <w:rPr>
          <w:rFonts w:ascii="Times New Roman" w:hAnsi="Times New Roman"/>
          <w:sz w:val="24"/>
          <w:szCs w:val="24"/>
        </w:rPr>
        <w:t>5</w:t>
      </w:r>
      <w:r w:rsidRPr="00A57BAF" w:rsidR="00A846A2">
        <w:rPr>
          <w:rFonts w:ascii="Times New Roman" w:hAnsi="Times New Roman"/>
          <w:sz w:val="24"/>
          <w:szCs w:val="24"/>
        </w:rPr>
        <w:t xml:space="preserve"> minutes. </w:t>
      </w:r>
      <w:r w:rsidRPr="00A57BAF" w:rsidR="003C5BA6">
        <w:rPr>
          <w:rFonts w:ascii="Times New Roman" w:hAnsi="Times New Roman"/>
          <w:color w:val="000000"/>
          <w:sz w:val="24"/>
          <w:szCs w:val="24"/>
        </w:rPr>
        <w:t xml:space="preserve">The focus groups </w:t>
      </w:r>
      <w:r w:rsidRPr="00A57BAF" w:rsidR="00E139AA">
        <w:rPr>
          <w:rFonts w:ascii="Times New Roman" w:hAnsi="Times New Roman"/>
          <w:color w:val="000000"/>
          <w:sz w:val="24"/>
          <w:szCs w:val="24"/>
        </w:rPr>
        <w:t xml:space="preserve">will </w:t>
      </w:r>
      <w:r w:rsidRPr="00A57BAF" w:rsidR="000A705F">
        <w:rPr>
          <w:rFonts w:ascii="Times New Roman" w:hAnsi="Times New Roman"/>
          <w:color w:val="000000"/>
          <w:sz w:val="24"/>
          <w:szCs w:val="24"/>
        </w:rPr>
        <w:t xml:space="preserve">also </w:t>
      </w:r>
      <w:r w:rsidRPr="00A57BAF" w:rsidR="003C5BA6">
        <w:rPr>
          <w:rFonts w:ascii="Times New Roman" w:hAnsi="Times New Roman"/>
          <w:color w:val="000000"/>
          <w:sz w:val="24"/>
          <w:szCs w:val="24"/>
        </w:rPr>
        <w:t>be ob</w:t>
      </w:r>
      <w:r w:rsidRPr="00A57BAF" w:rsidR="000A705F">
        <w:rPr>
          <w:rFonts w:ascii="Times New Roman" w:hAnsi="Times New Roman"/>
          <w:color w:val="000000"/>
          <w:sz w:val="24"/>
          <w:szCs w:val="24"/>
        </w:rPr>
        <w:t xml:space="preserve">served by </w:t>
      </w:r>
      <w:r w:rsidRPr="00A57BAF" w:rsidR="00E139AA">
        <w:rPr>
          <w:rFonts w:ascii="Times New Roman" w:hAnsi="Times New Roman"/>
          <w:color w:val="000000"/>
          <w:sz w:val="24"/>
          <w:szCs w:val="24"/>
        </w:rPr>
        <w:t xml:space="preserve">FDA </w:t>
      </w:r>
      <w:r w:rsidRPr="00A57BAF" w:rsidR="00192721">
        <w:rPr>
          <w:rFonts w:ascii="Times New Roman" w:hAnsi="Times New Roman"/>
          <w:color w:val="000000"/>
          <w:sz w:val="24"/>
          <w:szCs w:val="24"/>
        </w:rPr>
        <w:t>and</w:t>
      </w:r>
      <w:r w:rsidRPr="00A57BAF" w:rsidR="00E139AA">
        <w:rPr>
          <w:rFonts w:ascii="Times New Roman" w:hAnsi="Times New Roman"/>
          <w:color w:val="000000"/>
          <w:sz w:val="24"/>
          <w:szCs w:val="24"/>
        </w:rPr>
        <w:t xml:space="preserve"> campaign</w:t>
      </w:r>
      <w:r w:rsidRPr="00A57BAF" w:rsidR="000A705F">
        <w:rPr>
          <w:rFonts w:ascii="Times New Roman" w:hAnsi="Times New Roman"/>
          <w:color w:val="000000"/>
          <w:sz w:val="24"/>
          <w:szCs w:val="24"/>
        </w:rPr>
        <w:t xml:space="preserve"> contractor</w:t>
      </w:r>
      <w:r w:rsidRPr="00A57BAF" w:rsidR="00192721">
        <w:rPr>
          <w:rFonts w:ascii="Times New Roman" w:hAnsi="Times New Roman"/>
          <w:color w:val="000000"/>
          <w:sz w:val="24"/>
          <w:szCs w:val="24"/>
        </w:rPr>
        <w:t xml:space="preserve"> staff.</w:t>
      </w:r>
    </w:p>
    <w:p w:rsidRPr="00A57BAF" w:rsidR="00FE7B75" w:rsidP="00162C39" w:rsidRDefault="00FE7B75" w14:paraId="619DA76D" w14:textId="77777777">
      <w:pPr>
        <w:autoSpaceDE w:val="0"/>
        <w:autoSpaceDN w:val="0"/>
        <w:adjustRightInd w:val="0"/>
        <w:ind w:left="360" w:right="-180"/>
        <w:rPr>
          <w:rFonts w:ascii="Times New Roman" w:hAnsi="Times New Roman"/>
          <w:color w:val="000000"/>
          <w:sz w:val="24"/>
          <w:szCs w:val="24"/>
        </w:rPr>
      </w:pPr>
    </w:p>
    <w:p w:rsidR="00657D71" w:rsidP="00657D71" w:rsidRDefault="00413113" w14:paraId="137B4B60" w14:textId="11AA907A">
      <w:pPr>
        <w:widowControl w:val="0"/>
        <w:autoSpaceDE w:val="0"/>
        <w:autoSpaceDN w:val="0"/>
        <w:adjustRightInd w:val="0"/>
        <w:ind w:left="360"/>
        <w:jc w:val="both"/>
        <w:rPr>
          <w:rFonts w:ascii="Times New Roman" w:hAnsi="Times New Roman"/>
          <w:color w:val="000000"/>
          <w:sz w:val="24"/>
          <w:szCs w:val="24"/>
        </w:rPr>
      </w:pPr>
      <w:r w:rsidRPr="00A57BAF">
        <w:rPr>
          <w:rFonts w:ascii="Times New Roman" w:hAnsi="Times New Roman"/>
          <w:sz w:val="24"/>
          <w:szCs w:val="24"/>
          <w:u w:val="single"/>
        </w:rPr>
        <w:t xml:space="preserve">Strategic and </w:t>
      </w:r>
      <w:r w:rsidRPr="00A57BAF" w:rsidR="009E68B6">
        <w:rPr>
          <w:rFonts w:ascii="Times New Roman" w:hAnsi="Times New Roman"/>
          <w:sz w:val="24"/>
          <w:szCs w:val="24"/>
          <w:u w:val="single"/>
        </w:rPr>
        <w:t>Creative Concepts Focus Groups (9</w:t>
      </w:r>
      <w:r w:rsidRPr="00A57BAF" w:rsidR="00C46CDF">
        <w:rPr>
          <w:rFonts w:ascii="Times New Roman" w:hAnsi="Times New Roman"/>
          <w:sz w:val="24"/>
          <w:szCs w:val="24"/>
          <w:u w:val="single"/>
        </w:rPr>
        <w:t>5</w:t>
      </w:r>
      <w:r w:rsidRPr="00A57BAF" w:rsidR="009E68B6">
        <w:rPr>
          <w:rFonts w:ascii="Times New Roman" w:hAnsi="Times New Roman"/>
          <w:sz w:val="24"/>
          <w:szCs w:val="24"/>
          <w:u w:val="single"/>
        </w:rPr>
        <w:t xml:space="preserve"> minutes)</w:t>
      </w:r>
      <w:r w:rsidRPr="00A57BAF" w:rsidR="009E68B6">
        <w:rPr>
          <w:rFonts w:ascii="Times New Roman" w:hAnsi="Times New Roman"/>
          <w:sz w:val="24"/>
          <w:szCs w:val="24"/>
        </w:rPr>
        <w:t xml:space="preserve">: </w:t>
      </w:r>
      <w:r w:rsidRPr="00A57BAF" w:rsidR="009E68B6">
        <w:rPr>
          <w:rFonts w:ascii="Times New Roman" w:hAnsi="Times New Roman"/>
          <w:color w:val="000000"/>
          <w:sz w:val="24"/>
          <w:szCs w:val="24"/>
        </w:rPr>
        <w:t xml:space="preserve">After a study introduction (5 </w:t>
      </w:r>
      <w:r w:rsidRPr="00A57BAF" w:rsidR="009E68B6">
        <w:rPr>
          <w:rFonts w:ascii="Times New Roman" w:hAnsi="Times New Roman"/>
          <w:sz w:val="24"/>
          <w:szCs w:val="24"/>
        </w:rPr>
        <w:t>minutes),</w:t>
      </w:r>
      <w:r w:rsidRPr="00A57BAF" w:rsidR="009E68B6">
        <w:rPr>
          <w:rFonts w:ascii="Times New Roman" w:hAnsi="Times New Roman"/>
          <w:color w:val="000000"/>
          <w:sz w:val="24"/>
          <w:szCs w:val="24"/>
        </w:rPr>
        <w:t xml:space="preserve"> the first activity will consist</w:t>
      </w:r>
      <w:r w:rsidR="00657D71">
        <w:rPr>
          <w:rFonts w:ascii="Times New Roman" w:hAnsi="Times New Roman"/>
          <w:color w:val="000000"/>
          <w:sz w:val="24"/>
          <w:szCs w:val="24"/>
        </w:rPr>
        <w:t xml:space="preserve"> of a discussion about “Smoking and Quitting Perceptions and Experiences” which will include questions about experiences and attitudes towards smoking and quitting (25 minutes). Next, participants will engage in a discussion focusing on “Reactions to Strategic/Creative Concepts” where they will be shown up to 9 concepts and will include questions regarding advertisements related to quitting smoking (30 minutes). See the stimuli attachment for examples. </w:t>
      </w:r>
      <w:r w:rsidRPr="00A57BAF" w:rsidR="00657D71">
        <w:rPr>
          <w:rFonts w:ascii="Times New Roman" w:hAnsi="Times New Roman"/>
          <w:color w:val="000000"/>
          <w:sz w:val="24"/>
          <w:szCs w:val="24"/>
        </w:rPr>
        <w:t xml:space="preserve">After each strategic and/or creative concept is shown, the moderator will ask a series of questions specific to the strategic and/or creative concept </w:t>
      </w:r>
      <w:r w:rsidRPr="00A57BAF" w:rsidR="00657D71">
        <w:rPr>
          <w:rFonts w:ascii="Times New Roman" w:hAnsi="Times New Roman"/>
          <w:sz w:val="24"/>
          <w:szCs w:val="24"/>
        </w:rPr>
        <w:t xml:space="preserve">(such as feelings about the concept and perceived main message of the concept) </w:t>
      </w:r>
      <w:r w:rsidRPr="00A57BAF" w:rsidR="00657D71">
        <w:rPr>
          <w:rFonts w:ascii="Times New Roman" w:hAnsi="Times New Roman"/>
          <w:color w:val="000000"/>
          <w:sz w:val="24"/>
          <w:szCs w:val="24"/>
        </w:rPr>
        <w:t xml:space="preserve">to </w:t>
      </w:r>
      <w:r w:rsidRPr="00A57BAF" w:rsidR="00657D71">
        <w:rPr>
          <w:rFonts w:ascii="Times New Roman" w:hAnsi="Times New Roman"/>
          <w:color w:val="000000"/>
          <w:sz w:val="24"/>
          <w:szCs w:val="24"/>
        </w:rPr>
        <w:lastRenderedPageBreak/>
        <w:t>obtain qualitative feedback from the group</w:t>
      </w:r>
      <w:r w:rsidR="00657D71">
        <w:rPr>
          <w:rFonts w:ascii="Times New Roman" w:hAnsi="Times New Roman"/>
          <w:color w:val="000000"/>
          <w:sz w:val="24"/>
          <w:szCs w:val="24"/>
        </w:rPr>
        <w:t>. Participants will then engage in a discussion focusing on “Potential Moments, Opportunities, and Message Optimization” which will include questions regarding quitting resources such as potential quit messages</w:t>
      </w:r>
      <w:r w:rsidR="00314CB1">
        <w:rPr>
          <w:rFonts w:ascii="Times New Roman" w:hAnsi="Times New Roman"/>
          <w:color w:val="000000"/>
          <w:sz w:val="24"/>
          <w:szCs w:val="24"/>
        </w:rPr>
        <w:t xml:space="preserve"> (30 minutes)</w:t>
      </w:r>
      <w:r w:rsidR="00657D71">
        <w:rPr>
          <w:rFonts w:ascii="Times New Roman" w:hAnsi="Times New Roman"/>
          <w:color w:val="000000"/>
          <w:sz w:val="24"/>
          <w:szCs w:val="24"/>
        </w:rPr>
        <w:t xml:space="preserve">. </w:t>
      </w:r>
      <w:r w:rsidRPr="00A57BAF" w:rsidR="00657D71">
        <w:rPr>
          <w:rFonts w:ascii="Times New Roman" w:hAnsi="Times New Roman"/>
          <w:sz w:val="24"/>
          <w:szCs w:val="24"/>
        </w:rPr>
        <w:t>Finally, the moderator will</w:t>
      </w:r>
      <w:r w:rsidRPr="00A57BAF" w:rsidR="00657D71">
        <w:rPr>
          <w:rFonts w:ascii="Times New Roman" w:hAnsi="Times New Roman"/>
          <w:color w:val="000000"/>
          <w:sz w:val="24"/>
          <w:szCs w:val="24"/>
        </w:rPr>
        <w:t xml:space="preserve"> end the focus group and </w:t>
      </w:r>
      <w:r w:rsidRPr="00A57BAF" w:rsidR="00657D71">
        <w:rPr>
          <w:rFonts w:ascii="Times New Roman" w:hAnsi="Times New Roman"/>
          <w:sz w:val="24"/>
          <w:szCs w:val="24"/>
        </w:rPr>
        <w:t>assist</w:t>
      </w:r>
      <w:r w:rsidRPr="00A57BAF" w:rsidR="00657D71">
        <w:rPr>
          <w:rFonts w:ascii="Times New Roman" w:hAnsi="Times New Roman"/>
          <w:color w:val="000000"/>
          <w:sz w:val="24"/>
          <w:szCs w:val="24"/>
        </w:rPr>
        <w:t xml:space="preserve"> participants with collecting their incentives and checking out of the focus group (</w:t>
      </w:r>
      <w:r w:rsidR="00657D71">
        <w:rPr>
          <w:rFonts w:ascii="Times New Roman" w:hAnsi="Times New Roman"/>
          <w:color w:val="000000"/>
          <w:sz w:val="24"/>
          <w:szCs w:val="24"/>
        </w:rPr>
        <w:t>5</w:t>
      </w:r>
      <w:r w:rsidRPr="00A57BAF" w:rsidR="00657D71">
        <w:rPr>
          <w:rFonts w:ascii="Times New Roman" w:hAnsi="Times New Roman"/>
          <w:color w:val="000000"/>
          <w:sz w:val="24"/>
          <w:szCs w:val="24"/>
        </w:rPr>
        <w:t xml:space="preserve"> minutes).</w:t>
      </w:r>
    </w:p>
    <w:p w:rsidRPr="00A57BAF" w:rsidR="00F26180" w:rsidP="00162C39" w:rsidRDefault="00F26180" w14:paraId="3597C9A0" w14:textId="77777777">
      <w:pPr>
        <w:pStyle w:val="Default"/>
        <w:spacing w:line="276" w:lineRule="auto"/>
      </w:pPr>
    </w:p>
    <w:p w:rsidRPr="00DA0858" w:rsidR="00DA0858" w:rsidP="00E07C91" w:rsidRDefault="00E139AA" w14:paraId="7DB776DD" w14:textId="77777777">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Confidentiality of respondents</w:t>
      </w:r>
      <w:r w:rsidRPr="00A57BAF" w:rsidR="00957513">
        <w:rPr>
          <w:rFonts w:ascii="Times New Roman" w:hAnsi="Times New Roman"/>
          <w:b/>
          <w:color w:val="000000"/>
          <w:sz w:val="24"/>
          <w:szCs w:val="24"/>
        </w:rPr>
        <w:t>:</w:t>
      </w:r>
    </w:p>
    <w:p w:rsidRPr="00A57BAF" w:rsidR="00957513" w:rsidP="00DA0858" w:rsidRDefault="00957513" w14:paraId="1B1EC2A3" w14:textId="38D926EF">
      <w:pPr>
        <w:pStyle w:val="ListParagraph"/>
        <w:autoSpaceDE w:val="0"/>
        <w:autoSpaceDN w:val="0"/>
        <w:adjustRightInd w:val="0"/>
        <w:ind w:left="360" w:right="-180"/>
        <w:rPr>
          <w:rFonts w:ascii="Times New Roman" w:hAnsi="Times New Roman"/>
          <w:color w:val="000000"/>
          <w:sz w:val="24"/>
          <w:szCs w:val="24"/>
        </w:rPr>
      </w:pPr>
      <w:r w:rsidRPr="00A57BAF">
        <w:rPr>
          <w:rFonts w:ascii="Times New Roman" w:hAnsi="Times New Roman"/>
          <w:b/>
          <w:color w:val="000000"/>
          <w:sz w:val="24"/>
          <w:szCs w:val="24"/>
        </w:rPr>
        <w:t xml:space="preserve"> </w:t>
      </w:r>
    </w:p>
    <w:p w:rsidRPr="00A57BAF" w:rsidR="00957513" w:rsidP="00162C39" w:rsidRDefault="00E139AA" w14:paraId="061DB3F2" w14:textId="77777777">
      <w:pPr>
        <w:autoSpaceDE w:val="0"/>
        <w:autoSpaceDN w:val="0"/>
        <w:adjustRightInd w:val="0"/>
        <w:ind w:left="360" w:right="-180"/>
        <w:rPr>
          <w:rFonts w:ascii="Times New Roman" w:hAnsi="Times New Roman"/>
          <w:color w:val="000000"/>
          <w:sz w:val="24"/>
          <w:szCs w:val="24"/>
        </w:rPr>
      </w:pPr>
      <w:r w:rsidRPr="00A57BAF">
        <w:rPr>
          <w:rFonts w:ascii="Times New Roman" w:hAnsi="Times New Roman"/>
          <w:sz w:val="24"/>
          <w:szCs w:val="24"/>
        </w:rPr>
        <w:t>All data will be collected with an assurance that the respondents</w:t>
      </w:r>
      <w:r w:rsidRPr="00A57BAF" w:rsidR="00BA2160">
        <w:rPr>
          <w:rFonts w:ascii="Times New Roman" w:hAnsi="Times New Roman"/>
          <w:sz w:val="24"/>
          <w:szCs w:val="24"/>
        </w:rPr>
        <w:t>’</w:t>
      </w:r>
      <w:r w:rsidRPr="00A57BAF">
        <w:rPr>
          <w:rFonts w:ascii="Times New Roman" w:hAnsi="Times New Roman"/>
          <w:sz w:val="24"/>
          <w:szCs w:val="24"/>
        </w:rPr>
        <w:t xml:space="preserve"> responses will remain private to the extent allowable by law.  </w:t>
      </w:r>
    </w:p>
    <w:p w:rsidRPr="00A57BAF" w:rsidR="00E5185C" w:rsidP="00657D71" w:rsidRDefault="00E5185C" w14:paraId="38F41D64" w14:textId="77777777">
      <w:pPr>
        <w:autoSpaceDE w:val="0"/>
        <w:autoSpaceDN w:val="0"/>
        <w:adjustRightInd w:val="0"/>
        <w:ind w:right="-180"/>
        <w:rPr>
          <w:rFonts w:ascii="Times New Roman" w:hAnsi="Times New Roman"/>
          <w:color w:val="000000"/>
          <w:sz w:val="24"/>
          <w:szCs w:val="24"/>
        </w:rPr>
      </w:pPr>
    </w:p>
    <w:p w:rsidRPr="00A57BAF" w:rsidR="00E5185C" w:rsidP="00162C39" w:rsidRDefault="00E5185C" w14:paraId="0818538F" w14:textId="348EA591">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Qualifying focus group participants will be asked to provide verbal </w:t>
      </w:r>
      <w:r w:rsidR="00657D71">
        <w:rPr>
          <w:rFonts w:ascii="Times New Roman" w:hAnsi="Times New Roman"/>
          <w:color w:val="000000"/>
          <w:sz w:val="24"/>
          <w:szCs w:val="24"/>
        </w:rPr>
        <w:t>consent</w:t>
      </w:r>
      <w:r w:rsidRPr="00A57BAF">
        <w:rPr>
          <w:rFonts w:ascii="Times New Roman" w:hAnsi="Times New Roman"/>
          <w:color w:val="000000"/>
          <w:sz w:val="24"/>
          <w:szCs w:val="24"/>
        </w:rPr>
        <w:t xml:space="preserve"> on the phone during screening. They will also be e-mailed </w:t>
      </w:r>
      <w:r w:rsidR="00657D71">
        <w:rPr>
          <w:rFonts w:ascii="Times New Roman" w:hAnsi="Times New Roman"/>
          <w:color w:val="000000"/>
          <w:sz w:val="24"/>
          <w:szCs w:val="24"/>
        </w:rPr>
        <w:t>a consent form</w:t>
      </w:r>
      <w:r w:rsidRPr="00A57BAF">
        <w:rPr>
          <w:rFonts w:ascii="Times New Roman" w:hAnsi="Times New Roman"/>
          <w:color w:val="000000"/>
          <w:sz w:val="24"/>
          <w:szCs w:val="24"/>
        </w:rPr>
        <w:t xml:space="preserve"> to review and either sign electronically or during the check-in process</w:t>
      </w:r>
      <w:r w:rsidRPr="00A57BAF" w:rsidR="00AF373F">
        <w:rPr>
          <w:rFonts w:ascii="Times New Roman" w:hAnsi="Times New Roman"/>
          <w:color w:val="000000"/>
          <w:sz w:val="24"/>
          <w:szCs w:val="24"/>
        </w:rPr>
        <w:t xml:space="preserve"> on the day of the focus group</w:t>
      </w:r>
      <w:r w:rsidRPr="00A57BAF">
        <w:rPr>
          <w:rFonts w:ascii="Times New Roman" w:hAnsi="Times New Roman"/>
          <w:color w:val="000000"/>
          <w:sz w:val="24"/>
          <w:szCs w:val="24"/>
        </w:rPr>
        <w:t xml:space="preserve">. </w:t>
      </w:r>
    </w:p>
    <w:p w:rsidRPr="00A57BAF" w:rsidR="00E5185C" w:rsidP="00162C39" w:rsidRDefault="00E5185C" w14:paraId="284A3A57" w14:textId="77777777">
      <w:pPr>
        <w:autoSpaceDE w:val="0"/>
        <w:autoSpaceDN w:val="0"/>
        <w:adjustRightInd w:val="0"/>
        <w:ind w:left="360" w:right="-180"/>
        <w:rPr>
          <w:rFonts w:ascii="Times New Roman" w:hAnsi="Times New Roman"/>
          <w:color w:val="000000"/>
          <w:sz w:val="24"/>
          <w:szCs w:val="24"/>
        </w:rPr>
      </w:pPr>
    </w:p>
    <w:p w:rsidRPr="00A57BAF" w:rsidR="00E139AA" w:rsidP="007F700C" w:rsidRDefault="00E139AA" w14:paraId="42ACE795" w14:textId="30FDA3CE">
      <w:pPr>
        <w:pStyle w:val="NoSpacing"/>
        <w:spacing w:line="276" w:lineRule="auto"/>
        <w:ind w:left="360"/>
        <w:jc w:val="both"/>
        <w:rPr>
          <w:rFonts w:ascii="Times New Roman" w:hAnsi="Times New Roman" w:cs="Times New Roman"/>
        </w:rPr>
      </w:pPr>
      <w:r w:rsidRPr="00A57BAF">
        <w:rPr>
          <w:rFonts w:ascii="Times New Roman" w:hAnsi="Times New Roman" w:cs="Times New Roman"/>
          <w:color w:val="000000"/>
        </w:rPr>
        <w:t xml:space="preserve">Before each group begins, the </w:t>
      </w:r>
      <w:r w:rsidRPr="00A57BAF" w:rsidR="00E5185C">
        <w:rPr>
          <w:rFonts w:ascii="Times New Roman" w:hAnsi="Times New Roman" w:cs="Times New Roman"/>
          <w:color w:val="000000"/>
        </w:rPr>
        <w:t xml:space="preserve">moderator will obtain verbal </w:t>
      </w:r>
      <w:r w:rsidR="00657D71">
        <w:rPr>
          <w:rFonts w:ascii="Times New Roman" w:hAnsi="Times New Roman" w:cs="Times New Roman"/>
          <w:color w:val="000000"/>
        </w:rPr>
        <w:t>consent</w:t>
      </w:r>
      <w:r w:rsidRPr="00A57BAF">
        <w:rPr>
          <w:rFonts w:ascii="Times New Roman" w:hAnsi="Times New Roman" w:cs="Times New Roman"/>
          <w:color w:val="000000"/>
        </w:rPr>
        <w:t xml:space="preserve"> from the participants to audiota</w:t>
      </w:r>
      <w:r w:rsidRPr="00A57BAF" w:rsidR="00E5185C">
        <w:rPr>
          <w:rFonts w:ascii="Times New Roman" w:hAnsi="Times New Roman" w:cs="Times New Roman"/>
          <w:color w:val="000000"/>
        </w:rPr>
        <w:t xml:space="preserve">pe the session. In the event </w:t>
      </w:r>
      <w:r w:rsidR="00417DF1">
        <w:rPr>
          <w:rFonts w:ascii="Times New Roman" w:hAnsi="Times New Roman" w:cs="Times New Roman"/>
          <w:color w:val="000000"/>
        </w:rPr>
        <w:t xml:space="preserve">consent </w:t>
      </w:r>
      <w:r w:rsidRPr="00A57BAF">
        <w:rPr>
          <w:rFonts w:ascii="Times New Roman" w:hAnsi="Times New Roman" w:cs="Times New Roman"/>
          <w:color w:val="000000"/>
        </w:rPr>
        <w:t>is not given, the contractor will refrain from audiotaping the session</w:t>
      </w:r>
      <w:r w:rsidRPr="00A57BAF" w:rsidR="008353AB">
        <w:rPr>
          <w:rFonts w:ascii="Times New Roman" w:hAnsi="Times New Roman" w:cs="Times New Roman"/>
          <w:color w:val="000000"/>
        </w:rPr>
        <w:t>, although live notes/transcriptions may still be taken</w:t>
      </w:r>
      <w:r w:rsidRPr="00A57BAF">
        <w:rPr>
          <w:rFonts w:ascii="Times New Roman" w:hAnsi="Times New Roman" w:cs="Times New Roman"/>
          <w:color w:val="000000"/>
        </w:rPr>
        <w:t>.</w:t>
      </w:r>
      <w:r w:rsidRPr="00A57BAF" w:rsidR="00AF373F">
        <w:rPr>
          <w:rFonts w:ascii="Times New Roman" w:hAnsi="Times New Roman" w:cs="Times New Roman"/>
        </w:rPr>
        <w:t xml:space="preserve"> </w:t>
      </w:r>
      <w:r w:rsidR="00417DF1">
        <w:rPr>
          <w:rFonts w:ascii="Times New Roman" w:hAnsi="Times New Roman" w:cs="Times New Roman"/>
        </w:rPr>
        <w:t>The consen</w:t>
      </w:r>
      <w:r w:rsidRPr="00A57BAF" w:rsidR="008A327A">
        <w:rPr>
          <w:rFonts w:ascii="Times New Roman" w:hAnsi="Times New Roman" w:cs="Times New Roman"/>
        </w:rPr>
        <w:t xml:space="preserve">t </w:t>
      </w:r>
      <w:r w:rsidRPr="00A57BAF" w:rsidR="00162C39">
        <w:rPr>
          <w:rFonts w:ascii="Times New Roman" w:hAnsi="Times New Roman" w:cs="Times New Roman"/>
        </w:rPr>
        <w:t>form</w:t>
      </w:r>
      <w:r w:rsidRPr="00A57BAF" w:rsidR="008A327A">
        <w:rPr>
          <w:rFonts w:ascii="Times New Roman" w:hAnsi="Times New Roman" w:cs="Times New Roman"/>
        </w:rPr>
        <w:t>s</w:t>
      </w:r>
      <w:r w:rsidRPr="00A57BAF" w:rsidR="00162C39">
        <w:rPr>
          <w:rFonts w:ascii="Times New Roman" w:hAnsi="Times New Roman" w:cs="Times New Roman"/>
        </w:rPr>
        <w:t xml:space="preserve"> will also contain a statement notifying participants that audio recording will occur.</w:t>
      </w:r>
    </w:p>
    <w:p w:rsidRPr="00A57BAF" w:rsidR="00E139AA" w:rsidP="00162C39" w:rsidRDefault="00E139AA" w14:paraId="0F508DDB" w14:textId="77777777">
      <w:pPr>
        <w:pStyle w:val="Default"/>
        <w:spacing w:line="276" w:lineRule="auto"/>
        <w:ind w:left="360" w:right="-180"/>
      </w:pPr>
    </w:p>
    <w:p w:rsidRPr="00A57BAF" w:rsidR="00E139AA" w:rsidP="00162C39" w:rsidRDefault="00E139AA" w14:paraId="205EC3E2" w14:textId="2FC12DBD">
      <w:pPr>
        <w:pStyle w:val="Default"/>
        <w:spacing w:line="276" w:lineRule="auto"/>
        <w:ind w:left="360" w:right="-180"/>
      </w:pPr>
      <w:r w:rsidRPr="00A57BAF">
        <w:t xml:space="preserve">Neither independent contractors nor focus group agencies will share personal information regarding </w:t>
      </w:r>
      <w:r w:rsidRPr="00A57BAF" w:rsidR="00BA2160">
        <w:t>participants</w:t>
      </w:r>
      <w:r w:rsidRPr="00A57BAF">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rsidRPr="00A57BAF" w:rsidR="001C3033" w:rsidP="00162C39" w:rsidRDefault="001C3033" w14:paraId="6F9E1F37" w14:textId="77777777">
      <w:pPr>
        <w:autoSpaceDE w:val="0"/>
        <w:autoSpaceDN w:val="0"/>
        <w:adjustRightInd w:val="0"/>
        <w:ind w:right="-180"/>
        <w:rPr>
          <w:rFonts w:ascii="Times New Roman" w:hAnsi="Times New Roman"/>
          <w:color w:val="000000"/>
          <w:sz w:val="24"/>
          <w:szCs w:val="24"/>
        </w:rPr>
      </w:pPr>
    </w:p>
    <w:p w:rsidRPr="00C84A1E" w:rsidR="009B0E71" w:rsidP="001D7B38" w:rsidRDefault="00957513" w14:paraId="2E5B9DD9" w14:textId="7316C80F">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Amount and justification for any proposed incentive: </w:t>
      </w:r>
    </w:p>
    <w:p w:rsidR="00C84A1E" w:rsidP="00C84A1E" w:rsidRDefault="00C84A1E" w14:paraId="4C05D944" w14:textId="176CDC40">
      <w:pPr>
        <w:pStyle w:val="ListParagraph"/>
        <w:autoSpaceDE w:val="0"/>
        <w:autoSpaceDN w:val="0"/>
        <w:adjustRightInd w:val="0"/>
        <w:ind w:left="360" w:right="-180"/>
        <w:rPr>
          <w:rFonts w:ascii="Times New Roman" w:hAnsi="Times New Roman"/>
          <w:b/>
          <w:color w:val="000000"/>
          <w:sz w:val="24"/>
          <w:szCs w:val="24"/>
        </w:rPr>
      </w:pPr>
    </w:p>
    <w:p w:rsidRPr="00F82056" w:rsidR="00436296" w:rsidP="00436296" w:rsidRDefault="00C84A1E" w14:paraId="0AC44AD9" w14:textId="31A3B36E">
      <w:pPr>
        <w:widowControl w:val="0"/>
        <w:autoSpaceDE w:val="0"/>
        <w:autoSpaceDN w:val="0"/>
        <w:adjustRightInd w:val="0"/>
        <w:spacing w:after="240"/>
        <w:ind w:left="360"/>
      </w:pPr>
      <w:r w:rsidRPr="00436296">
        <w:rPr>
          <w:rFonts w:ascii="Times New Roman" w:hAnsi="Times New Roman"/>
          <w:b/>
          <w:color w:val="000000"/>
          <w:sz w:val="24"/>
          <w:szCs w:val="24"/>
          <w:u w:val="single"/>
        </w:rPr>
        <w:t>Virtual focus groups</w:t>
      </w:r>
      <w:r w:rsidR="00436296">
        <w:rPr>
          <w:rFonts w:ascii="Times New Roman" w:hAnsi="Times New Roman"/>
          <w:b/>
          <w:color w:val="000000"/>
          <w:sz w:val="24"/>
          <w:szCs w:val="24"/>
          <w:u w:val="single"/>
        </w:rPr>
        <w:t xml:space="preserve">: </w:t>
      </w:r>
      <w:r w:rsidRPr="00436296" w:rsidR="009F1B31">
        <w:rPr>
          <w:rFonts w:ascii="Times New Roman" w:hAnsi="Times New Roman"/>
          <w:sz w:val="24"/>
          <w:szCs w:val="24"/>
        </w:rPr>
        <w:t xml:space="preserve">CTP will be offering </w:t>
      </w:r>
      <w:r w:rsidRPr="00436296" w:rsidR="00E139AA">
        <w:rPr>
          <w:rFonts w:ascii="Times New Roman" w:hAnsi="Times New Roman"/>
          <w:sz w:val="24"/>
          <w:szCs w:val="24"/>
        </w:rPr>
        <w:t>$</w:t>
      </w:r>
      <w:r w:rsidRPr="00436296">
        <w:rPr>
          <w:rFonts w:ascii="Times New Roman" w:hAnsi="Times New Roman"/>
          <w:sz w:val="24"/>
          <w:szCs w:val="24"/>
        </w:rPr>
        <w:t>50</w:t>
      </w:r>
      <w:r w:rsidRPr="00436296" w:rsidR="00417DF1">
        <w:rPr>
          <w:rFonts w:ascii="Times New Roman" w:hAnsi="Times New Roman"/>
          <w:sz w:val="24"/>
          <w:szCs w:val="24"/>
        </w:rPr>
        <w:t xml:space="preserve"> </w:t>
      </w:r>
      <w:r w:rsidRPr="00436296" w:rsidR="009F1B31">
        <w:rPr>
          <w:rFonts w:ascii="Times New Roman" w:hAnsi="Times New Roman"/>
          <w:sz w:val="24"/>
          <w:szCs w:val="24"/>
        </w:rPr>
        <w:t>to</w:t>
      </w:r>
      <w:r w:rsidR="00436296">
        <w:rPr>
          <w:rFonts w:ascii="Times New Roman" w:hAnsi="Times New Roman"/>
          <w:sz w:val="24"/>
          <w:szCs w:val="24"/>
        </w:rPr>
        <w:t xml:space="preserve"> </w:t>
      </w:r>
      <w:r w:rsidRPr="00436296" w:rsidR="00436296">
        <w:rPr>
          <w:rFonts w:ascii="Times New Roman" w:hAnsi="Times New Roman"/>
          <w:sz w:val="24"/>
          <w:szCs w:val="24"/>
        </w:rPr>
        <w:t>virtual focus groups</w:t>
      </w:r>
      <w:r w:rsidRPr="00436296" w:rsidR="003C21A0">
        <w:rPr>
          <w:rFonts w:ascii="Times New Roman" w:hAnsi="Times New Roman"/>
          <w:sz w:val="24"/>
          <w:szCs w:val="24"/>
        </w:rPr>
        <w:t xml:space="preserve"> participant</w:t>
      </w:r>
      <w:r w:rsidRPr="00436296" w:rsidR="009F1B31">
        <w:rPr>
          <w:rFonts w:ascii="Times New Roman" w:hAnsi="Times New Roman"/>
          <w:sz w:val="24"/>
          <w:szCs w:val="24"/>
        </w:rPr>
        <w:t>s</w:t>
      </w:r>
      <w:r w:rsidRPr="00436296">
        <w:rPr>
          <w:rFonts w:ascii="Times New Roman" w:hAnsi="Times New Roman"/>
          <w:sz w:val="24"/>
          <w:szCs w:val="24"/>
        </w:rPr>
        <w:t xml:space="preserve"> </w:t>
      </w:r>
      <w:r w:rsidRPr="00436296" w:rsidR="00317755">
        <w:rPr>
          <w:rFonts w:ascii="Times New Roman" w:hAnsi="Times New Roman"/>
          <w:sz w:val="24"/>
          <w:szCs w:val="24"/>
        </w:rPr>
        <w:t>as a token of appreciation, which will be offered in the form of reward points equivalent to $</w:t>
      </w:r>
      <w:r w:rsidRPr="00436296">
        <w:rPr>
          <w:rFonts w:ascii="Times New Roman" w:hAnsi="Times New Roman"/>
          <w:sz w:val="24"/>
          <w:szCs w:val="24"/>
        </w:rPr>
        <w:t>50</w:t>
      </w:r>
      <w:r w:rsidRPr="00436296" w:rsidR="00317755">
        <w:rPr>
          <w:rFonts w:ascii="Times New Roman" w:hAnsi="Times New Roman"/>
          <w:sz w:val="24"/>
          <w:szCs w:val="24"/>
        </w:rPr>
        <w:t xml:space="preserve"> </w:t>
      </w:r>
      <w:r w:rsidRPr="00436296">
        <w:rPr>
          <w:rFonts w:ascii="Times New Roman" w:hAnsi="Times New Roman"/>
          <w:sz w:val="24"/>
          <w:szCs w:val="24"/>
        </w:rPr>
        <w:t xml:space="preserve">that are awarded through their affiliated </w:t>
      </w:r>
      <w:r w:rsidRPr="00436296" w:rsidR="00317755">
        <w:rPr>
          <w:rFonts w:ascii="Times New Roman" w:hAnsi="Times New Roman"/>
          <w:sz w:val="24"/>
          <w:szCs w:val="24"/>
        </w:rPr>
        <w:t xml:space="preserve">research panel(s). </w:t>
      </w:r>
      <w:r w:rsidRPr="00436296" w:rsidR="004F2800">
        <w:rPr>
          <w:rFonts w:ascii="Times New Roman" w:hAnsi="Times New Roman"/>
          <w:sz w:val="24"/>
          <w:szCs w:val="24"/>
        </w:rPr>
        <w:t>The $</w:t>
      </w:r>
      <w:r w:rsidRPr="00436296">
        <w:rPr>
          <w:rFonts w:ascii="Times New Roman" w:hAnsi="Times New Roman"/>
          <w:sz w:val="24"/>
          <w:szCs w:val="24"/>
        </w:rPr>
        <w:t>50</w:t>
      </w:r>
      <w:r w:rsidRPr="00436296" w:rsidR="003C21A0">
        <w:rPr>
          <w:rFonts w:ascii="Times New Roman" w:hAnsi="Times New Roman"/>
          <w:sz w:val="24"/>
          <w:szCs w:val="24"/>
        </w:rPr>
        <w:t xml:space="preserve"> </w:t>
      </w:r>
      <w:r w:rsidRPr="00436296" w:rsidR="00317755">
        <w:rPr>
          <w:rFonts w:ascii="Times New Roman" w:hAnsi="Times New Roman"/>
          <w:sz w:val="24"/>
          <w:szCs w:val="24"/>
        </w:rPr>
        <w:t xml:space="preserve">token of appreciation </w:t>
      </w:r>
      <w:r w:rsidRPr="00436296" w:rsidR="003C21A0">
        <w:rPr>
          <w:rFonts w:ascii="Times New Roman" w:hAnsi="Times New Roman"/>
          <w:sz w:val="24"/>
          <w:szCs w:val="24"/>
        </w:rPr>
        <w:t>for participants i</w:t>
      </w:r>
      <w:r w:rsidRPr="00436296" w:rsidR="00632649">
        <w:rPr>
          <w:rFonts w:ascii="Times New Roman" w:hAnsi="Times New Roman"/>
          <w:sz w:val="24"/>
          <w:szCs w:val="24"/>
        </w:rPr>
        <w:t>s</w:t>
      </w:r>
      <w:r w:rsidRPr="00436296" w:rsidR="003C21A0">
        <w:rPr>
          <w:rFonts w:ascii="Times New Roman" w:hAnsi="Times New Roman"/>
          <w:sz w:val="24"/>
          <w:szCs w:val="24"/>
        </w:rPr>
        <w:t xml:space="preserve"> provided </w:t>
      </w:r>
      <w:r w:rsidRPr="00436296" w:rsidR="008A376B">
        <w:rPr>
          <w:rFonts w:ascii="Times New Roman" w:hAnsi="Times New Roman"/>
          <w:sz w:val="24"/>
          <w:szCs w:val="24"/>
        </w:rPr>
        <w:t xml:space="preserve">as thanks </w:t>
      </w:r>
      <w:r w:rsidRPr="00436296" w:rsidR="003C21A0">
        <w:rPr>
          <w:rFonts w:ascii="Times New Roman" w:hAnsi="Times New Roman"/>
          <w:sz w:val="24"/>
          <w:szCs w:val="24"/>
        </w:rPr>
        <w:t xml:space="preserve">for </w:t>
      </w:r>
      <w:r w:rsidRPr="00436296" w:rsidR="00BC50D3">
        <w:rPr>
          <w:rFonts w:ascii="Times New Roman" w:hAnsi="Times New Roman"/>
          <w:sz w:val="24"/>
          <w:szCs w:val="24"/>
        </w:rPr>
        <w:t>their entire burde</w:t>
      </w:r>
      <w:r w:rsidRPr="00436296" w:rsidR="002147ED">
        <w:rPr>
          <w:rFonts w:ascii="Times New Roman" w:hAnsi="Times New Roman"/>
          <w:sz w:val="24"/>
          <w:szCs w:val="24"/>
        </w:rPr>
        <w:t xml:space="preserve">n time, which includes </w:t>
      </w:r>
      <w:r w:rsidRPr="00436296" w:rsidR="00BC50D3">
        <w:rPr>
          <w:rFonts w:ascii="Times New Roman" w:hAnsi="Times New Roman"/>
          <w:sz w:val="24"/>
          <w:szCs w:val="24"/>
        </w:rPr>
        <w:t>obtaining</w:t>
      </w:r>
      <w:r w:rsidRPr="00436296" w:rsidR="00632649">
        <w:rPr>
          <w:rFonts w:ascii="Times New Roman" w:hAnsi="Times New Roman"/>
          <w:sz w:val="24"/>
          <w:szCs w:val="24"/>
        </w:rPr>
        <w:t xml:space="preserve"> </w:t>
      </w:r>
      <w:r w:rsidRPr="00436296" w:rsidR="00417DF1">
        <w:rPr>
          <w:rFonts w:ascii="Times New Roman" w:hAnsi="Times New Roman"/>
          <w:sz w:val="24"/>
          <w:szCs w:val="24"/>
        </w:rPr>
        <w:t>consent</w:t>
      </w:r>
      <w:r w:rsidR="006D0DA0">
        <w:rPr>
          <w:rFonts w:ascii="Times New Roman" w:hAnsi="Times New Roman"/>
          <w:sz w:val="24"/>
          <w:szCs w:val="24"/>
        </w:rPr>
        <w:t xml:space="preserve"> </w:t>
      </w:r>
      <w:r w:rsidRPr="00436296" w:rsidR="00417DF1">
        <w:rPr>
          <w:rFonts w:ascii="Times New Roman" w:hAnsi="Times New Roman"/>
          <w:sz w:val="24"/>
          <w:szCs w:val="24"/>
        </w:rPr>
        <w:t>and</w:t>
      </w:r>
      <w:r w:rsidRPr="00436296" w:rsidR="00BC50D3">
        <w:rPr>
          <w:rFonts w:ascii="Times New Roman" w:hAnsi="Times New Roman"/>
          <w:sz w:val="24"/>
          <w:szCs w:val="24"/>
        </w:rPr>
        <w:t xml:space="preserve"> participating in the 9</w:t>
      </w:r>
      <w:r w:rsidRPr="00436296" w:rsidR="009A7696">
        <w:rPr>
          <w:rFonts w:ascii="Times New Roman" w:hAnsi="Times New Roman"/>
          <w:sz w:val="24"/>
          <w:szCs w:val="24"/>
        </w:rPr>
        <w:t>5</w:t>
      </w:r>
      <w:r w:rsidRPr="00436296" w:rsidR="00BC50D3">
        <w:rPr>
          <w:rFonts w:ascii="Times New Roman" w:hAnsi="Times New Roman"/>
          <w:sz w:val="24"/>
          <w:szCs w:val="24"/>
        </w:rPr>
        <w:t xml:space="preserve">-minute focus group session. </w:t>
      </w:r>
      <w:r w:rsidRPr="00436296" w:rsidR="00436296">
        <w:rPr>
          <w:rFonts w:ascii="Times New Roman" w:hAnsi="Times New Roman"/>
          <w:sz w:val="24"/>
          <w:szCs w:val="24"/>
        </w:rPr>
        <w:t>As is customary with research conducted via panel sampling, pa</w:t>
      </w:r>
      <w:r w:rsidR="002427AF">
        <w:rPr>
          <w:rFonts w:ascii="Times New Roman" w:hAnsi="Times New Roman"/>
          <w:sz w:val="24"/>
          <w:szCs w:val="24"/>
        </w:rPr>
        <w:t>nelists</w:t>
      </w:r>
      <w:r w:rsidRPr="00436296" w:rsidR="00436296">
        <w:rPr>
          <w:rFonts w:ascii="Times New Roman" w:hAnsi="Times New Roman"/>
          <w:sz w:val="24"/>
          <w:szCs w:val="24"/>
        </w:rPr>
        <w:t xml:space="preserve"> are incentivized</w:t>
      </w:r>
      <w:r w:rsidR="00436296">
        <w:rPr>
          <w:rFonts w:ascii="Times New Roman" w:hAnsi="Times New Roman"/>
          <w:sz w:val="24"/>
          <w:szCs w:val="24"/>
        </w:rPr>
        <w:t xml:space="preserve"> </w:t>
      </w:r>
      <w:r w:rsidR="002427AF">
        <w:rPr>
          <w:rFonts w:ascii="Times New Roman" w:hAnsi="Times New Roman"/>
          <w:sz w:val="24"/>
          <w:szCs w:val="24"/>
        </w:rPr>
        <w:t>to participate in this research opportunity</w:t>
      </w:r>
      <w:r w:rsidRPr="00436296" w:rsidR="00436296">
        <w:rPr>
          <w:rFonts w:ascii="Times New Roman" w:hAnsi="Times New Roman"/>
          <w:sz w:val="24"/>
          <w:szCs w:val="24"/>
        </w:rPr>
        <w:t xml:space="preserve"> with award points that are accrued and redeemable with their affiliated research panel for cash or other rewards. The reward points offered for participation in this study will be valued at no more than $50.</w:t>
      </w:r>
    </w:p>
    <w:p w:rsidRPr="00436296" w:rsidR="00AB39ED" w:rsidP="00436296" w:rsidRDefault="00AB39ED" w14:paraId="794E9A3E" w14:textId="2D658D5A">
      <w:pPr>
        <w:pStyle w:val="ListParagraph"/>
        <w:autoSpaceDE w:val="0"/>
        <w:autoSpaceDN w:val="0"/>
        <w:adjustRightInd w:val="0"/>
        <w:ind w:left="360" w:right="-180"/>
        <w:rPr>
          <w:rFonts w:ascii="Times New Roman" w:hAnsi="Times New Roman"/>
          <w:sz w:val="24"/>
          <w:szCs w:val="24"/>
        </w:rPr>
      </w:pPr>
    </w:p>
    <w:p w:rsidRPr="006D0DA0" w:rsidR="00C84A1E" w:rsidP="006D0DA0" w:rsidRDefault="00436296" w14:paraId="60C49EFF" w14:textId="1E651BFD">
      <w:pPr>
        <w:pStyle w:val="Default"/>
        <w:spacing w:line="276" w:lineRule="auto"/>
        <w:ind w:left="360"/>
      </w:pPr>
      <w:r w:rsidRPr="00436296">
        <w:rPr>
          <w:b/>
          <w:u w:val="single"/>
        </w:rPr>
        <w:lastRenderedPageBreak/>
        <w:t>In-person focus groups</w:t>
      </w:r>
      <w:r>
        <w:rPr>
          <w:b/>
          <w:u w:val="single"/>
        </w:rPr>
        <w:t xml:space="preserve">: </w:t>
      </w:r>
      <w:r w:rsidR="00C84A1E">
        <w:t>CTP will be offering $75 to</w:t>
      </w:r>
      <w:r>
        <w:t xml:space="preserve"> in-person focus group</w:t>
      </w:r>
      <w:r w:rsidR="00C84A1E">
        <w:t xml:space="preserve"> participants as a token of appreciation, which will be offered in the form of a prepaid debit card. T</w:t>
      </w:r>
      <w:r w:rsidRPr="00A57BAF" w:rsidR="00C84A1E">
        <w:t>he $</w:t>
      </w:r>
      <w:r w:rsidR="00C84A1E">
        <w:t>75</w:t>
      </w:r>
      <w:r w:rsidRPr="00A57BAF" w:rsidR="00C84A1E">
        <w:t xml:space="preserve"> </w:t>
      </w:r>
      <w:r w:rsidR="00C84A1E">
        <w:t xml:space="preserve">token of appreciation </w:t>
      </w:r>
      <w:r w:rsidRPr="00A57BAF" w:rsidR="00C84A1E">
        <w:t xml:space="preserve">for participants is provided as thanks for their entire burden time, which includes obtaining </w:t>
      </w:r>
      <w:r w:rsidR="00C84A1E">
        <w:t>consent</w:t>
      </w:r>
      <w:r>
        <w:t xml:space="preserve">, travel to and from the focus group facility, </w:t>
      </w:r>
      <w:r w:rsidRPr="00A57BAF" w:rsidR="00C84A1E">
        <w:t>and participating in the 95-minute focus group session.</w:t>
      </w:r>
      <w:r>
        <w:t xml:space="preserve"> </w:t>
      </w:r>
      <w:r w:rsidRPr="00A57BAF">
        <w:t xml:space="preserve">The participation token of appreciation will be issued directly to the participant via a prepaid debit card (participants will </w:t>
      </w:r>
      <w:r w:rsidRPr="00A57BAF">
        <w:rPr>
          <w:bCs/>
        </w:rPr>
        <w:t>not</w:t>
      </w:r>
      <w:r w:rsidRPr="00A57BAF">
        <w:t xml:space="preserve"> be required to pay any potential fees associated with activating the card). There are several benefits to paying participants with a debit card versus cash or check, including</w:t>
      </w:r>
      <w:r w:rsidR="001D2A31">
        <w:t>:</w:t>
      </w:r>
      <w:r w:rsidRPr="00A57BAF">
        <w:t xml:space="preserve"> (1) Providing debit cards will prevent research staff from having to carry around large sums of cash</w:t>
      </w:r>
      <w:r w:rsidR="001D2A31">
        <w:t>;</w:t>
      </w:r>
      <w:r w:rsidRPr="00A57BAF">
        <w:t xml:space="preserve"> and (</w:t>
      </w:r>
      <w:r>
        <w:t>2</w:t>
      </w:r>
      <w:r w:rsidRPr="00A57BAF">
        <w:t xml:space="preserve">) Any issues preventing participants from cashing a check (e.g., no bank account) are avoided. </w:t>
      </w:r>
    </w:p>
    <w:p w:rsidRPr="00A57BAF" w:rsidR="00BC50D3" w:rsidP="002147ED" w:rsidRDefault="00BC50D3" w14:paraId="3986CE04" w14:textId="31B38134">
      <w:pPr>
        <w:pStyle w:val="Default"/>
        <w:spacing w:line="276" w:lineRule="auto"/>
      </w:pPr>
    </w:p>
    <w:p w:rsidRPr="00A57BAF" w:rsidR="002A7279" w:rsidP="00162C39" w:rsidRDefault="00BC50D3" w14:paraId="4AC0828C" w14:textId="1C6979F0">
      <w:pPr>
        <w:pStyle w:val="Default"/>
        <w:spacing w:line="276" w:lineRule="auto"/>
        <w:ind w:left="360"/>
      </w:pPr>
      <w:r w:rsidRPr="00A57BAF">
        <w:t>As participants often have competing demands for their time, incentives are used to encourage participation in research.</w:t>
      </w:r>
      <w:r w:rsidRPr="00A57BAF">
        <w:rPr>
          <w:lang w:val="en"/>
        </w:rPr>
        <w:t xml:space="preserve"> </w:t>
      </w:r>
      <w:r w:rsidRPr="00A57BAF">
        <w:t xml:space="preserve">When applied in a reasonable manner, incentives are not an unjust inducement and are an approach that acknowledges respondents for their participation (Halpern, 2004). </w:t>
      </w:r>
      <w:r w:rsidRPr="00A57BAF" w:rsidR="002A7279">
        <w:t>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w:t>
      </w:r>
    </w:p>
    <w:p w:rsidRPr="00A57BAF" w:rsidR="00BC50D3" w:rsidP="00162C39" w:rsidRDefault="00BC50D3" w14:paraId="28C7EE6F" w14:textId="77777777">
      <w:pPr>
        <w:pStyle w:val="Default"/>
        <w:spacing w:line="276" w:lineRule="auto"/>
        <w:ind w:left="360"/>
      </w:pPr>
    </w:p>
    <w:p w:rsidRPr="00A57BAF" w:rsidR="00471F79" w:rsidP="00162C39" w:rsidRDefault="00BC50D3" w14:paraId="20B41794" w14:textId="33B52498">
      <w:pPr>
        <w:ind w:left="360"/>
        <w:rPr>
          <w:rFonts w:ascii="Times New Roman" w:hAnsi="Times New Roman"/>
          <w:sz w:val="24"/>
          <w:szCs w:val="24"/>
        </w:rPr>
      </w:pPr>
      <w:r w:rsidRPr="00A57BAF">
        <w:rPr>
          <w:rFonts w:ascii="Times New Roman" w:hAnsi="Times New Roman"/>
          <w:sz w:val="24"/>
          <w:szCs w:val="24"/>
        </w:rPr>
        <w:t>Additionally, in the market research community, incentives are standard practice for all work conducted and are suggested by organizations that set the standards for conducting ethical market research among human subjects (CASRO Code of Standards and Ethics for Survey Research)</w:t>
      </w:r>
      <w:r w:rsidRPr="00A57BAF" w:rsidR="00E14DAD">
        <w:rPr>
          <w:rFonts w:ascii="Times New Roman" w:hAnsi="Times New Roman"/>
          <w:sz w:val="24"/>
          <w:szCs w:val="24"/>
        </w:rPr>
        <w:t>.  T</w:t>
      </w:r>
      <w:r w:rsidRPr="00A57BAF">
        <w:rPr>
          <w:rFonts w:ascii="Times New Roman" w:hAnsi="Times New Roman"/>
          <w:sz w:val="24"/>
          <w:szCs w:val="24"/>
        </w:rPr>
        <w:t>he contra</w:t>
      </w:r>
      <w:r w:rsidRPr="00A57BAF" w:rsidR="002147ED">
        <w:rPr>
          <w:rFonts w:ascii="Times New Roman" w:hAnsi="Times New Roman"/>
          <w:sz w:val="24"/>
          <w:szCs w:val="24"/>
        </w:rPr>
        <w:t xml:space="preserve">ctors conducting this research </w:t>
      </w:r>
      <w:r w:rsidRPr="00A57BAF">
        <w:rPr>
          <w:rFonts w:ascii="Times New Roman" w:hAnsi="Times New Roman"/>
          <w:sz w:val="24"/>
          <w:szCs w:val="24"/>
        </w:rPr>
        <w:t>consistently use this type of incentive structure for studies</w:t>
      </w:r>
      <w:r w:rsidR="00417DF1">
        <w:rPr>
          <w:rFonts w:ascii="Times New Roman" w:hAnsi="Times New Roman"/>
          <w:sz w:val="24"/>
          <w:szCs w:val="24"/>
        </w:rPr>
        <w:t xml:space="preserve"> conducted with adults</w:t>
      </w:r>
      <w:r w:rsidRPr="00A57BAF">
        <w:rPr>
          <w:rFonts w:ascii="Times New Roman" w:hAnsi="Times New Roman"/>
          <w:sz w:val="24"/>
          <w:szCs w:val="24"/>
        </w:rPr>
        <w:t xml:space="preserve">. An incentive less than </w:t>
      </w:r>
      <w:r w:rsidRPr="00A57BAF" w:rsidR="008D0734">
        <w:rPr>
          <w:rFonts w:ascii="Times New Roman" w:hAnsi="Times New Roman"/>
          <w:sz w:val="24"/>
          <w:szCs w:val="24"/>
        </w:rPr>
        <w:t>the suggested amount</w:t>
      </w:r>
      <w:r w:rsidRPr="00A57BAF">
        <w:rPr>
          <w:rFonts w:ascii="Times New Roman" w:hAnsi="Times New Roman"/>
          <w:sz w:val="24"/>
          <w:szCs w:val="24"/>
        </w:rPr>
        <w:t xml:space="preserve"> per </w:t>
      </w:r>
      <w:r w:rsidRPr="00A57BAF" w:rsidR="008D0734">
        <w:rPr>
          <w:rFonts w:ascii="Times New Roman" w:hAnsi="Times New Roman"/>
          <w:sz w:val="24"/>
          <w:szCs w:val="24"/>
        </w:rPr>
        <w:t>focus group</w:t>
      </w:r>
      <w:r w:rsidRPr="00A57BAF">
        <w:rPr>
          <w:rFonts w:ascii="Times New Roman" w:hAnsi="Times New Roman"/>
          <w:sz w:val="24"/>
          <w:szCs w:val="24"/>
        </w:rPr>
        <w:t xml:space="preserve"> will greatly inhibit the ability to successfully recruit participants who will show up for the </w:t>
      </w:r>
      <w:r w:rsidRPr="00A57BAF" w:rsidR="00E14DAD">
        <w:rPr>
          <w:rFonts w:ascii="Times New Roman" w:hAnsi="Times New Roman"/>
          <w:sz w:val="24"/>
          <w:szCs w:val="24"/>
        </w:rPr>
        <w:t>focus group</w:t>
      </w:r>
      <w:r w:rsidRPr="00A57BAF">
        <w:rPr>
          <w:rFonts w:ascii="Times New Roman" w:hAnsi="Times New Roman"/>
          <w:sz w:val="24"/>
          <w:szCs w:val="24"/>
        </w:rPr>
        <w:t xml:space="preserve"> session. As a minimal intervention study with low burden, the incentive amount is considered appropriate.   </w:t>
      </w:r>
    </w:p>
    <w:p w:rsidRPr="006D0DA0" w:rsidR="00BC50D3" w:rsidP="006D0DA0" w:rsidRDefault="00BC50D3" w14:paraId="1BC66D47" w14:textId="3E6CE86C">
      <w:pPr>
        <w:ind w:left="360"/>
        <w:rPr>
          <w:rFonts w:ascii="Times New Roman" w:hAnsi="Times New Roman"/>
          <w:sz w:val="24"/>
          <w:szCs w:val="24"/>
        </w:rPr>
      </w:pPr>
      <w:r w:rsidRPr="00A57BAF">
        <w:rPr>
          <w:rFonts w:ascii="Times New Roman" w:hAnsi="Times New Roman"/>
          <w:sz w:val="24"/>
          <w:szCs w:val="24"/>
        </w:rPr>
        <w:t xml:space="preserve">                                                                                    </w:t>
      </w:r>
    </w:p>
    <w:p w:rsidRPr="00A57BAF" w:rsidR="009F1B31" w:rsidP="009F1B31" w:rsidRDefault="009F1B31" w14:paraId="5E89A3B3" w14:textId="5C62F25E">
      <w:pPr>
        <w:pStyle w:val="Default"/>
        <w:spacing w:line="276" w:lineRule="auto"/>
        <w:ind w:left="360" w:right="-180"/>
      </w:pPr>
      <w:r w:rsidRPr="00A57BAF">
        <w:t>In previous studies</w:t>
      </w:r>
      <w:r w:rsidRPr="00A57BAF" w:rsidR="00222F22">
        <w:t>,</w:t>
      </w:r>
      <w:r w:rsidRPr="00A57BAF">
        <w:t xml:space="preserve"> </w:t>
      </w:r>
      <w:r w:rsidRPr="00A57BAF" w:rsidR="00E14DAD">
        <w:t>CTP</w:t>
      </w:r>
      <w:r w:rsidRPr="00A57BAF" w:rsidR="00322B56">
        <w:t xml:space="preserve"> </w:t>
      </w:r>
      <w:r w:rsidRPr="00A57BAF">
        <w:t xml:space="preserve">has conducted with similar groups of </w:t>
      </w:r>
      <w:r w:rsidR="00417DF1">
        <w:t>adults</w:t>
      </w:r>
      <w:r w:rsidRPr="00A57BAF">
        <w:t xml:space="preserve"> (e.g. participants </w:t>
      </w:r>
      <w:r w:rsidR="00417DF1">
        <w:t>who are current smokers</w:t>
      </w:r>
      <w:r w:rsidRPr="00A57BAF">
        <w:t xml:space="preserve">) using similar protocols (e.g. 90 minute focus groups in focus group facilities), </w:t>
      </w:r>
      <w:r w:rsidRPr="00A57BAF" w:rsidR="00E14DAD">
        <w:t>CTP</w:t>
      </w:r>
      <w:r w:rsidRPr="00A57BAF">
        <w:t xml:space="preserve"> has used </w:t>
      </w:r>
      <w:r w:rsidRPr="00A57BAF" w:rsidR="00E47AAC">
        <w:t xml:space="preserve">tokens of appreciation of this amount </w:t>
      </w:r>
      <w:r w:rsidRPr="00A57BAF">
        <w:t xml:space="preserve">and, with this </w:t>
      </w:r>
      <w:r w:rsidRPr="00A57BAF" w:rsidR="00E47AAC">
        <w:t>token of appreciation</w:t>
      </w:r>
      <w:r w:rsidRPr="00A57BAF">
        <w:t xml:space="preserve">, was successfully able to recruit and complete the focus groups within the relatively tight schedule for focus group research (4 geographic locations in 4 weeks). </w:t>
      </w:r>
    </w:p>
    <w:p w:rsidRPr="00A57BAF" w:rsidR="009F1B31" w:rsidP="009F1B31" w:rsidRDefault="009F1B31" w14:paraId="6159F21A" w14:textId="77777777">
      <w:pPr>
        <w:pStyle w:val="Default"/>
        <w:spacing w:line="276" w:lineRule="auto"/>
        <w:ind w:left="360" w:right="-180"/>
      </w:pPr>
    </w:p>
    <w:p w:rsidRPr="004E3D8E" w:rsidR="009A7696" w:rsidP="004E3D8E" w:rsidRDefault="009F1B31" w14:paraId="0A78F726" w14:textId="06543F0A">
      <w:pPr>
        <w:pStyle w:val="CommentText"/>
        <w:spacing w:line="276" w:lineRule="auto"/>
        <w:ind w:left="360"/>
      </w:pPr>
      <w:r w:rsidRPr="00A57BAF">
        <w:rPr>
          <w:rFonts w:ascii="Times New Roman" w:hAnsi="Times New Roman"/>
          <w:sz w:val="24"/>
        </w:rPr>
        <w:t xml:space="preserve">The previous studies that </w:t>
      </w:r>
      <w:r w:rsidRPr="00A57BAF" w:rsidR="00E14DAD">
        <w:rPr>
          <w:rFonts w:ascii="Times New Roman" w:hAnsi="Times New Roman"/>
          <w:sz w:val="24"/>
        </w:rPr>
        <w:t>CTP</w:t>
      </w:r>
      <w:r w:rsidRPr="00A57BAF">
        <w:rPr>
          <w:rFonts w:ascii="Times New Roman" w:hAnsi="Times New Roman"/>
          <w:sz w:val="24"/>
        </w:rPr>
        <w:t xml:space="preserve"> has successfully used </w:t>
      </w:r>
      <w:r w:rsidRPr="00A57BAF" w:rsidR="00E47AAC">
        <w:rPr>
          <w:rFonts w:ascii="Times New Roman" w:hAnsi="Times New Roman"/>
          <w:sz w:val="24"/>
        </w:rPr>
        <w:t xml:space="preserve">tokens of appreciation </w:t>
      </w:r>
      <w:r w:rsidRPr="00A57BAF">
        <w:rPr>
          <w:rFonts w:ascii="Times New Roman" w:hAnsi="Times New Roman"/>
          <w:sz w:val="24"/>
        </w:rPr>
        <w:t>for focus groups in focus group facilities are as follows</w:t>
      </w:r>
      <w:r w:rsidRPr="000957EF">
        <w:rPr>
          <w:rFonts w:ascii="Times New Roman" w:hAnsi="Times New Roman"/>
          <w:sz w:val="24"/>
          <w:szCs w:val="24"/>
        </w:rPr>
        <w:t>:</w:t>
      </w:r>
      <w:r w:rsidRPr="000957EF" w:rsidR="000957EF">
        <w:rPr>
          <w:rFonts w:ascii="Times New Roman" w:hAnsi="Times New Roman"/>
          <w:sz w:val="24"/>
          <w:szCs w:val="24"/>
        </w:rPr>
        <w:t xml:space="preserve"> Point-of-Sale Strategic Concept Testing – Focus Groups with Current Adult Smokers (OMB </w:t>
      </w:r>
      <w:r w:rsidR="00DA0858">
        <w:rPr>
          <w:rFonts w:ascii="Times New Roman" w:hAnsi="Times New Roman"/>
          <w:sz w:val="24"/>
          <w:szCs w:val="24"/>
        </w:rPr>
        <w:t xml:space="preserve">Control No. </w:t>
      </w:r>
      <w:r w:rsidRPr="000957EF" w:rsidR="000957EF">
        <w:rPr>
          <w:rFonts w:ascii="Times New Roman" w:hAnsi="Times New Roman"/>
          <w:sz w:val="24"/>
          <w:szCs w:val="24"/>
        </w:rPr>
        <w:t>0910-0674); LGBT Campaign: Focus Group Study of Brand and Creative Concepts Designed to Prevent LGBT Young Adult Tobacco Use</w:t>
      </w:r>
      <w:r w:rsidR="000957EF">
        <w:rPr>
          <w:rFonts w:ascii="Times New Roman" w:hAnsi="Times New Roman"/>
          <w:sz w:val="24"/>
          <w:szCs w:val="24"/>
        </w:rPr>
        <w:t xml:space="preserve"> (</w:t>
      </w:r>
      <w:r w:rsidRPr="000957EF" w:rsidR="000957EF">
        <w:rPr>
          <w:rFonts w:ascii="Times New Roman" w:hAnsi="Times New Roman"/>
          <w:sz w:val="24"/>
          <w:szCs w:val="24"/>
        </w:rPr>
        <w:t xml:space="preserve">OMB </w:t>
      </w:r>
      <w:r w:rsidR="00DA0858">
        <w:rPr>
          <w:rFonts w:ascii="Times New Roman" w:hAnsi="Times New Roman"/>
          <w:sz w:val="24"/>
          <w:szCs w:val="24"/>
        </w:rPr>
        <w:t xml:space="preserve">Control No. </w:t>
      </w:r>
      <w:r w:rsidRPr="000957EF" w:rsidR="000957EF">
        <w:rPr>
          <w:rFonts w:ascii="Times New Roman" w:hAnsi="Times New Roman"/>
          <w:sz w:val="24"/>
          <w:szCs w:val="24"/>
        </w:rPr>
        <w:t>0910-0674</w:t>
      </w:r>
      <w:r w:rsidR="000957EF">
        <w:rPr>
          <w:rFonts w:ascii="Times New Roman" w:hAnsi="Times New Roman"/>
          <w:sz w:val="24"/>
          <w:szCs w:val="24"/>
        </w:rPr>
        <w:t xml:space="preserve">); and, </w:t>
      </w:r>
      <w:r w:rsidRPr="00A452DE" w:rsidR="00A452DE">
        <w:rPr>
          <w:rFonts w:ascii="Times New Roman" w:hAnsi="Times New Roman"/>
          <w:sz w:val="24"/>
        </w:rPr>
        <w:t xml:space="preserve">Nicotine Education Project: </w:t>
      </w:r>
      <w:r w:rsidRPr="00A452DE" w:rsidR="00A452DE">
        <w:rPr>
          <w:rFonts w:ascii="Times New Roman" w:hAnsi="Times New Roman"/>
          <w:sz w:val="24"/>
        </w:rPr>
        <w:lastRenderedPageBreak/>
        <w:t xml:space="preserve">Qualitative Study to Gain Insights from Adult Current and Former Smokers to Educate the General Public about Changing Nicotine Standards; </w:t>
      </w:r>
      <w:r w:rsidR="00A452DE">
        <w:rPr>
          <w:rFonts w:ascii="Times New Roman" w:hAnsi="Times New Roman"/>
          <w:sz w:val="24"/>
        </w:rPr>
        <w:t>(</w:t>
      </w:r>
      <w:r w:rsidRPr="000957EF" w:rsidR="00DA0858">
        <w:rPr>
          <w:rFonts w:ascii="Times New Roman" w:hAnsi="Times New Roman"/>
          <w:sz w:val="24"/>
          <w:szCs w:val="24"/>
        </w:rPr>
        <w:t xml:space="preserve">OMB </w:t>
      </w:r>
      <w:r w:rsidR="00DA0858">
        <w:rPr>
          <w:rFonts w:ascii="Times New Roman" w:hAnsi="Times New Roman"/>
          <w:sz w:val="24"/>
          <w:szCs w:val="24"/>
        </w:rPr>
        <w:t xml:space="preserve">Control No. </w:t>
      </w:r>
      <w:r w:rsidRPr="00A452DE" w:rsidR="00A452DE">
        <w:rPr>
          <w:rFonts w:ascii="Times New Roman" w:hAnsi="Times New Roman"/>
          <w:sz w:val="24"/>
        </w:rPr>
        <w:t>0910-0796</w:t>
      </w:r>
      <w:r w:rsidR="00A452DE">
        <w:rPr>
          <w:rFonts w:ascii="Times New Roman" w:hAnsi="Times New Roman"/>
          <w:sz w:val="24"/>
        </w:rPr>
        <w:t>)</w:t>
      </w:r>
      <w:r w:rsidRPr="00A57BAF" w:rsidR="009A7696">
        <w:rPr>
          <w:rFonts w:ascii="Times New Roman" w:hAnsi="Times New Roman"/>
          <w:sz w:val="24"/>
        </w:rPr>
        <w:t>.</w:t>
      </w:r>
    </w:p>
    <w:p w:rsidRPr="00A57BAF" w:rsidR="00DA0858" w:rsidP="001D7B38" w:rsidRDefault="00DA0858" w14:paraId="3423DC7C" w14:textId="77777777">
      <w:pPr>
        <w:pStyle w:val="Default"/>
        <w:spacing w:line="276" w:lineRule="auto"/>
        <w:ind w:right="-180"/>
      </w:pPr>
    </w:p>
    <w:p w:rsidRPr="00DA0858" w:rsidR="00957513" w:rsidP="00E07C91" w:rsidRDefault="00957513" w14:paraId="3412A2A5" w14:textId="5ECE5F61">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Questions of a </w:t>
      </w:r>
      <w:r w:rsidRPr="00A57BAF" w:rsidR="004D3D53">
        <w:rPr>
          <w:rFonts w:ascii="Times New Roman" w:hAnsi="Times New Roman"/>
          <w:b/>
          <w:color w:val="000000"/>
          <w:sz w:val="24"/>
          <w:szCs w:val="24"/>
        </w:rPr>
        <w:t>s</w:t>
      </w:r>
      <w:r w:rsidRPr="00A57BAF">
        <w:rPr>
          <w:rFonts w:ascii="Times New Roman" w:hAnsi="Times New Roman"/>
          <w:b/>
          <w:color w:val="000000"/>
          <w:sz w:val="24"/>
          <w:szCs w:val="24"/>
        </w:rPr>
        <w:t xml:space="preserve">ensitive </w:t>
      </w:r>
      <w:r w:rsidRPr="00A57BAF" w:rsidR="004D3D53">
        <w:rPr>
          <w:rFonts w:ascii="Times New Roman" w:hAnsi="Times New Roman"/>
          <w:b/>
          <w:color w:val="000000"/>
          <w:sz w:val="24"/>
          <w:szCs w:val="24"/>
        </w:rPr>
        <w:t>n</w:t>
      </w:r>
      <w:r w:rsidRPr="00A57BAF">
        <w:rPr>
          <w:rFonts w:ascii="Times New Roman" w:hAnsi="Times New Roman"/>
          <w:b/>
          <w:color w:val="000000"/>
          <w:sz w:val="24"/>
          <w:szCs w:val="24"/>
        </w:rPr>
        <w:t xml:space="preserve">ature: </w:t>
      </w:r>
    </w:p>
    <w:p w:rsidRPr="00A57BAF" w:rsidR="00DA0858" w:rsidP="00DA0858" w:rsidRDefault="00DA0858" w14:paraId="2E2E0061" w14:textId="77777777">
      <w:pPr>
        <w:pStyle w:val="ListParagraph"/>
        <w:autoSpaceDE w:val="0"/>
        <w:autoSpaceDN w:val="0"/>
        <w:adjustRightInd w:val="0"/>
        <w:ind w:left="360" w:right="-180"/>
        <w:rPr>
          <w:rFonts w:ascii="Times New Roman" w:hAnsi="Times New Roman"/>
          <w:color w:val="000000"/>
          <w:sz w:val="24"/>
          <w:szCs w:val="24"/>
        </w:rPr>
      </w:pPr>
    </w:p>
    <w:p w:rsidRPr="00A57BAF" w:rsidR="00F52D8C" w:rsidP="00162C39" w:rsidRDefault="00F52D8C" w14:paraId="49F675A6" w14:textId="29F7C13B">
      <w:pPr>
        <w:pStyle w:val="Default"/>
        <w:spacing w:line="276" w:lineRule="auto"/>
        <w:ind w:left="360" w:right="-180"/>
      </w:pPr>
      <w:r w:rsidRPr="00A57BAF">
        <w:t>Some studies require the inclusion of people who match selected characteristics of the target audience that the FDA is trying to reach. This may require asking questions about race/ethnicity, incom</w:t>
      </w:r>
      <w:r w:rsidRPr="00A57BAF" w:rsidR="00F24041">
        <w:t xml:space="preserve">e, education, </w:t>
      </w:r>
      <w:r w:rsidRPr="00A57BAF" w:rsidR="00213CCA">
        <w:t xml:space="preserve">and/or </w:t>
      </w:r>
      <w:r w:rsidRPr="00A57BAF" w:rsidR="00F24041">
        <w:t>health behaviors</w:t>
      </w:r>
      <w:r w:rsidRPr="00A57BAF" w:rsidR="00322B56">
        <w:t xml:space="preserve"> </w:t>
      </w:r>
      <w:r w:rsidRPr="00A57BAF">
        <w:t>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w:t>
      </w:r>
      <w:r w:rsidRPr="00A57BAF" w:rsidR="007F1B4A">
        <w:t xml:space="preserve">ctive No. 15, October 1997 </w:t>
      </w:r>
      <w:r w:rsidRPr="00A57BAF">
        <w:t>(http://www.whitehouse.gov/omb/fedreg/1997standards.html).</w:t>
      </w:r>
    </w:p>
    <w:p w:rsidRPr="00A57BAF" w:rsidR="00F52D8C" w:rsidP="00162C39" w:rsidRDefault="00F52D8C" w14:paraId="0F0C35C1" w14:textId="77777777">
      <w:pPr>
        <w:pStyle w:val="Default"/>
        <w:spacing w:line="276" w:lineRule="auto"/>
        <w:ind w:left="360" w:right="-180"/>
      </w:pPr>
    </w:p>
    <w:p w:rsidRPr="00A57BAF" w:rsidR="00F52D8C" w:rsidP="00162C39" w:rsidRDefault="00F52D8C" w14:paraId="6276D56C" w14:textId="518BF165">
      <w:pPr>
        <w:pStyle w:val="Default"/>
        <w:spacing w:line="276" w:lineRule="auto"/>
        <w:ind w:left="360" w:right="-180"/>
      </w:pPr>
      <w:r w:rsidRPr="00A57BAF">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Pr="00A57BAF" w:rsidR="00F24041">
        <w:t>o that the messages, strategies</w:t>
      </w:r>
      <w:r w:rsidRPr="00A57BAF">
        <w:t xml:space="preserve"> and materials designed will be appropriate and sensitive. Questions of this nature, </w:t>
      </w:r>
      <w:r w:rsidR="00417DF1">
        <w:t>including those</w:t>
      </w:r>
      <w:r w:rsidRPr="00A57BAF">
        <w:t xml:space="preserve"> about sexual behavior or religious beliefs, for instance, </w:t>
      </w:r>
      <w:r w:rsidR="00417DF1">
        <w:t>will</w:t>
      </w:r>
      <w:r w:rsidRPr="00A57BAF">
        <w:t xml:space="preserve">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rsidRPr="00A57BAF" w:rsidR="00F52D8C" w:rsidP="005A4CAB" w:rsidRDefault="00F52D8C" w14:paraId="66FFE856" w14:textId="77777777">
      <w:pPr>
        <w:pStyle w:val="Default"/>
        <w:spacing w:line="276" w:lineRule="auto"/>
        <w:ind w:right="-180"/>
      </w:pPr>
    </w:p>
    <w:p w:rsidRPr="00A57BAF" w:rsidR="00F52D8C" w:rsidP="00162C39" w:rsidRDefault="00F52D8C" w14:paraId="02811100" w14:textId="77777777">
      <w:pPr>
        <w:pStyle w:val="Default"/>
        <w:spacing w:line="276" w:lineRule="auto"/>
        <w:ind w:left="360" w:right="-180"/>
      </w:pPr>
      <w:r w:rsidRPr="00A57BAF">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rsidRPr="00A57BAF" w:rsidR="00957513" w:rsidP="00162C39" w:rsidRDefault="00957513" w14:paraId="2C75D3BD" w14:textId="77777777">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 </w:t>
      </w:r>
    </w:p>
    <w:p w:rsidRPr="00DA0858" w:rsidR="00957513" w:rsidP="00E07C91" w:rsidRDefault="000202E6" w14:paraId="3F48CFFB" w14:textId="35D1518C">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Description of statistical methods</w:t>
      </w:r>
      <w:r w:rsidRPr="00A57BAF" w:rsidR="004D3D53">
        <w:rPr>
          <w:rFonts w:ascii="Times New Roman" w:hAnsi="Times New Roman"/>
          <w:b/>
          <w:color w:val="000000"/>
          <w:sz w:val="24"/>
          <w:szCs w:val="24"/>
        </w:rPr>
        <w:t>:</w:t>
      </w:r>
      <w:r w:rsidRPr="00A57BAF" w:rsidR="00957513">
        <w:rPr>
          <w:rFonts w:ascii="Times New Roman" w:hAnsi="Times New Roman"/>
          <w:b/>
          <w:color w:val="000000"/>
          <w:sz w:val="24"/>
          <w:szCs w:val="24"/>
        </w:rPr>
        <w:t xml:space="preserve"> </w:t>
      </w:r>
    </w:p>
    <w:p w:rsidRPr="00A57BAF" w:rsidR="00DA0858" w:rsidP="00DA0858" w:rsidRDefault="00DA0858" w14:paraId="3A322633" w14:textId="77777777">
      <w:pPr>
        <w:pStyle w:val="ListParagraph"/>
        <w:autoSpaceDE w:val="0"/>
        <w:autoSpaceDN w:val="0"/>
        <w:adjustRightInd w:val="0"/>
        <w:ind w:left="360" w:right="-180"/>
        <w:rPr>
          <w:rFonts w:ascii="Times New Roman" w:hAnsi="Times New Roman"/>
          <w:color w:val="000000"/>
          <w:sz w:val="24"/>
          <w:szCs w:val="24"/>
        </w:rPr>
      </w:pPr>
    </w:p>
    <w:p w:rsidRPr="00A57BAF" w:rsidR="00B72DAC" w:rsidP="00162C39" w:rsidRDefault="003F2554" w14:paraId="398C68DE" w14:textId="23B793AB">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This research relies on qualitative methods and is not intended to yield results that are statistically projectable. Participants will be identified using standard recruitment procedures that employ screening ques</w:t>
      </w:r>
      <w:r w:rsidRPr="00A57BAF" w:rsidR="00F24041">
        <w:rPr>
          <w:rFonts w:ascii="Times New Roman" w:hAnsi="Times New Roman"/>
          <w:color w:val="000000"/>
          <w:sz w:val="24"/>
          <w:szCs w:val="24"/>
        </w:rPr>
        <w:t xml:space="preserve">tions about age; current, past </w:t>
      </w:r>
      <w:r w:rsidRPr="00A57BAF">
        <w:rPr>
          <w:rFonts w:ascii="Times New Roman" w:hAnsi="Times New Roman"/>
          <w:color w:val="000000"/>
          <w:sz w:val="24"/>
          <w:szCs w:val="24"/>
        </w:rPr>
        <w:t>and intended tobacco use; race and ethnicity; and gender.</w:t>
      </w:r>
      <w:r w:rsidRPr="00A57BAF" w:rsidR="00413113">
        <w:rPr>
          <w:rFonts w:ascii="Times New Roman" w:hAnsi="Times New Roman"/>
          <w:color w:val="000000"/>
          <w:sz w:val="24"/>
          <w:szCs w:val="24"/>
        </w:rPr>
        <w:t xml:space="preserve"> </w:t>
      </w:r>
      <w:r w:rsidRPr="002655D4" w:rsidR="002655D4">
        <w:rPr>
          <w:rFonts w:ascii="Times New Roman" w:hAnsi="Times New Roman"/>
          <w:color w:val="000000"/>
          <w:sz w:val="24"/>
          <w:szCs w:val="24"/>
        </w:rPr>
        <w:t xml:space="preserve">We estimate we will </w:t>
      </w:r>
      <w:r w:rsidRPr="002655D4" w:rsidR="002655D4">
        <w:rPr>
          <w:rFonts w:ascii="Times New Roman" w:hAnsi="Times New Roman"/>
          <w:sz w:val="24"/>
          <w:szCs w:val="24"/>
        </w:rPr>
        <w:t>need to screen 2.5 times the number of participants to attain our sample number</w:t>
      </w:r>
      <w:r w:rsidR="002655D4">
        <w:t>.</w:t>
      </w:r>
      <w:r w:rsidRPr="00A57BAF" w:rsidR="00413113">
        <w:rPr>
          <w:rFonts w:ascii="Times New Roman" w:hAnsi="Times New Roman"/>
          <w:color w:val="000000"/>
          <w:sz w:val="24"/>
          <w:szCs w:val="24"/>
        </w:rPr>
        <w:t xml:space="preserve"> </w:t>
      </w:r>
      <w:r w:rsidRPr="00A57BAF">
        <w:rPr>
          <w:rFonts w:ascii="Times New Roman" w:hAnsi="Times New Roman"/>
          <w:color w:val="000000"/>
          <w:sz w:val="24"/>
          <w:szCs w:val="24"/>
        </w:rPr>
        <w:t xml:space="preserve">Recruitment will continue until a representative sample of the required number of participants for each </w:t>
      </w:r>
      <w:r w:rsidRPr="00A57BAF" w:rsidR="00D776F7">
        <w:rPr>
          <w:rFonts w:ascii="Times New Roman" w:hAnsi="Times New Roman"/>
          <w:color w:val="000000"/>
          <w:sz w:val="24"/>
          <w:szCs w:val="24"/>
        </w:rPr>
        <w:t>group</w:t>
      </w:r>
      <w:r w:rsidRPr="00A57BAF" w:rsidR="002A7279">
        <w:rPr>
          <w:rFonts w:ascii="Times New Roman" w:hAnsi="Times New Roman"/>
          <w:color w:val="000000"/>
          <w:sz w:val="24"/>
          <w:szCs w:val="24"/>
        </w:rPr>
        <w:t xml:space="preserve"> is obtained.</w:t>
      </w:r>
      <w:r w:rsidR="002655D4">
        <w:rPr>
          <w:rFonts w:ascii="Times New Roman" w:hAnsi="Times New Roman"/>
          <w:color w:val="000000"/>
          <w:sz w:val="24"/>
          <w:szCs w:val="24"/>
        </w:rPr>
        <w:t xml:space="preserve"> </w:t>
      </w:r>
    </w:p>
    <w:p w:rsidRPr="00A57BAF" w:rsidR="00F23A0D" w:rsidP="002A7192" w:rsidRDefault="00957513" w14:paraId="34921BD7" w14:textId="000510D3">
      <w:pPr>
        <w:spacing w:line="240" w:lineRule="auto"/>
        <w:rPr>
          <w:rFonts w:ascii="Times New Roman" w:hAnsi="Times New Roman"/>
          <w:i/>
          <w:color w:val="000000"/>
          <w:sz w:val="24"/>
          <w:szCs w:val="24"/>
        </w:rPr>
      </w:pPr>
      <w:r w:rsidRPr="00A57BAF">
        <w:rPr>
          <w:rFonts w:ascii="Times New Roman" w:hAnsi="Times New Roman"/>
          <w:b/>
          <w:color w:val="000000"/>
          <w:sz w:val="24"/>
          <w:szCs w:val="24"/>
        </w:rPr>
        <w:lastRenderedPageBreak/>
        <w:t xml:space="preserve">BURDEN HOUR COMPUTATION </w:t>
      </w:r>
      <w:r w:rsidRPr="00A57BAF" w:rsidR="004B7454">
        <w:rPr>
          <w:rFonts w:ascii="Times New Roman" w:hAnsi="Times New Roman"/>
          <w:i/>
          <w:color w:val="000000"/>
          <w:sz w:val="24"/>
          <w:szCs w:val="24"/>
        </w:rPr>
        <w:t>Number of respondents</w:t>
      </w:r>
      <w:r w:rsidRPr="00A57BAF">
        <w:rPr>
          <w:rFonts w:ascii="Times New Roman" w:hAnsi="Times New Roman"/>
          <w:i/>
          <w:color w:val="000000"/>
          <w:sz w:val="24"/>
          <w:szCs w:val="24"/>
        </w:rPr>
        <w:t xml:space="preserve"> (X) estimated response or participation time in min</w:t>
      </w:r>
      <w:r w:rsidRPr="00A57BAF" w:rsidR="002B6165">
        <w:rPr>
          <w:rFonts w:ascii="Times New Roman" w:hAnsi="Times New Roman"/>
          <w:i/>
          <w:color w:val="000000"/>
          <w:sz w:val="24"/>
          <w:szCs w:val="24"/>
        </w:rPr>
        <w:t>utes (/60) = annual burden hours</w:t>
      </w:r>
      <w:r w:rsidRPr="00A57BAF">
        <w:rPr>
          <w:rFonts w:ascii="Times New Roman" w:hAnsi="Times New Roman"/>
          <w:i/>
          <w:color w:val="000000"/>
          <w:sz w:val="24"/>
          <w:szCs w:val="24"/>
        </w:rPr>
        <w:t>:</w:t>
      </w:r>
    </w:p>
    <w:p w:rsidRPr="00A57BAF" w:rsidR="0093538B" w:rsidP="002A7192" w:rsidRDefault="0093538B" w14:paraId="4934622C" w14:textId="77777777">
      <w:pPr>
        <w:spacing w:line="240" w:lineRule="auto"/>
        <w:rPr>
          <w:rFonts w:ascii="Times New Roman" w:hAnsi="Times New Roman"/>
          <w:i/>
          <w:color w:val="000000"/>
          <w:sz w:val="24"/>
          <w:szCs w:val="24"/>
        </w:rPr>
      </w:pPr>
    </w:p>
    <w:p w:rsidRPr="00A57BAF" w:rsidR="00E07C91" w:rsidP="002A7192" w:rsidRDefault="00A26438" w14:paraId="74BF947B" w14:textId="3C3F7E5D">
      <w:pPr>
        <w:spacing w:line="240" w:lineRule="auto"/>
        <w:rPr>
          <w:rFonts w:ascii="Times New Roman" w:hAnsi="Times New Roman"/>
          <w:b/>
          <w:bCs/>
          <w:i/>
          <w:color w:val="000000"/>
          <w:sz w:val="24"/>
          <w:szCs w:val="24"/>
        </w:rPr>
      </w:pPr>
      <w:r w:rsidRPr="00A57BAF">
        <w:rPr>
          <w:rFonts w:ascii="Times New Roman" w:hAnsi="Times New Roman"/>
          <w:b/>
          <w:bCs/>
          <w:i/>
          <w:color w:val="000000"/>
          <w:sz w:val="24"/>
          <w:szCs w:val="24"/>
        </w:rPr>
        <w:t>Estimated Burden Hours:</w:t>
      </w:r>
    </w:p>
    <w:tbl>
      <w:tblPr>
        <w:tblStyle w:val="TableGrid1"/>
        <w:tblW w:w="9535" w:type="dxa"/>
        <w:tblLook w:val="00A0" w:firstRow="1" w:lastRow="0" w:firstColumn="1" w:lastColumn="0" w:noHBand="0" w:noVBand="0"/>
      </w:tblPr>
      <w:tblGrid>
        <w:gridCol w:w="1651"/>
        <w:gridCol w:w="1528"/>
        <w:gridCol w:w="1369"/>
        <w:gridCol w:w="1373"/>
        <w:gridCol w:w="1127"/>
        <w:gridCol w:w="1191"/>
        <w:gridCol w:w="1296"/>
      </w:tblGrid>
      <w:tr w:rsidRPr="00A57BAF" w:rsidR="008A376B" w:rsidTr="006D7F5D" w14:paraId="2B6DF2E6" w14:textId="77777777">
        <w:tc>
          <w:tcPr>
            <w:tcW w:w="1651" w:type="dxa"/>
            <w:shd w:val="clear" w:color="auto" w:fill="BFBFBF" w:themeFill="background1" w:themeFillShade="BF"/>
            <w:vAlign w:val="center"/>
          </w:tcPr>
          <w:p w:rsidRPr="00A57BAF" w:rsidR="00E07C91" w:rsidP="004F2800" w:rsidRDefault="00E07C91" w14:paraId="27777662" w14:textId="34732249">
            <w:pPr>
              <w:spacing w:line="240" w:lineRule="auto"/>
              <w:jc w:val="center"/>
              <w:rPr>
                <w:b/>
                <w:sz w:val="20"/>
                <w:szCs w:val="24"/>
              </w:rPr>
            </w:pPr>
            <w:r w:rsidRPr="00A57BAF">
              <w:rPr>
                <w:b/>
                <w:sz w:val="20"/>
                <w:szCs w:val="24"/>
              </w:rPr>
              <w:t>Respondent</w:t>
            </w:r>
          </w:p>
        </w:tc>
        <w:tc>
          <w:tcPr>
            <w:tcW w:w="1528" w:type="dxa"/>
            <w:shd w:val="clear" w:color="auto" w:fill="BFBFBF" w:themeFill="background1" w:themeFillShade="BF"/>
            <w:vAlign w:val="center"/>
          </w:tcPr>
          <w:p w:rsidRPr="00A57BAF" w:rsidR="00E07C91" w:rsidP="004F2800" w:rsidRDefault="00E07C91" w14:paraId="2D0567BE" w14:textId="77777777">
            <w:pPr>
              <w:spacing w:line="240" w:lineRule="auto"/>
              <w:jc w:val="center"/>
              <w:rPr>
                <w:b/>
                <w:sz w:val="20"/>
                <w:szCs w:val="24"/>
              </w:rPr>
            </w:pPr>
            <w:r w:rsidRPr="00A57BAF">
              <w:rPr>
                <w:b/>
                <w:sz w:val="20"/>
                <w:szCs w:val="24"/>
              </w:rPr>
              <w:t>Activity</w:t>
            </w:r>
          </w:p>
        </w:tc>
        <w:tc>
          <w:tcPr>
            <w:tcW w:w="0" w:type="auto"/>
            <w:shd w:val="clear" w:color="auto" w:fill="BFBFBF" w:themeFill="background1" w:themeFillShade="BF"/>
            <w:vAlign w:val="center"/>
          </w:tcPr>
          <w:p w:rsidRPr="00A57BAF" w:rsidR="00E07C91" w:rsidP="004F2800" w:rsidRDefault="00E07C91" w14:paraId="4369AB35" w14:textId="77777777">
            <w:pPr>
              <w:spacing w:line="240" w:lineRule="auto"/>
              <w:jc w:val="center"/>
              <w:rPr>
                <w:b/>
                <w:sz w:val="20"/>
                <w:szCs w:val="24"/>
              </w:rPr>
            </w:pPr>
            <w:r w:rsidRPr="00A57BAF">
              <w:rPr>
                <w:b/>
                <w:sz w:val="20"/>
                <w:szCs w:val="24"/>
              </w:rPr>
              <w:t>Number of Respondents</w:t>
            </w:r>
          </w:p>
        </w:tc>
        <w:tc>
          <w:tcPr>
            <w:tcW w:w="0" w:type="auto"/>
            <w:shd w:val="clear" w:color="auto" w:fill="BFBFBF" w:themeFill="background1" w:themeFillShade="BF"/>
            <w:vAlign w:val="center"/>
          </w:tcPr>
          <w:p w:rsidRPr="00A57BAF" w:rsidR="00E07C91" w:rsidP="004F2800" w:rsidRDefault="00E07C91" w14:paraId="47D9D929" w14:textId="77777777">
            <w:pPr>
              <w:spacing w:line="240" w:lineRule="auto"/>
              <w:jc w:val="center"/>
              <w:rPr>
                <w:b/>
                <w:sz w:val="20"/>
                <w:szCs w:val="24"/>
              </w:rPr>
            </w:pPr>
            <w:r w:rsidRPr="00A57BAF">
              <w:rPr>
                <w:b/>
                <w:sz w:val="20"/>
                <w:szCs w:val="24"/>
              </w:rPr>
              <w:t>Number of Responses per Respondent</w:t>
            </w:r>
          </w:p>
        </w:tc>
        <w:tc>
          <w:tcPr>
            <w:tcW w:w="0" w:type="auto"/>
            <w:shd w:val="clear" w:color="auto" w:fill="BFBFBF" w:themeFill="background1" w:themeFillShade="BF"/>
            <w:vAlign w:val="center"/>
          </w:tcPr>
          <w:p w:rsidRPr="00A57BAF" w:rsidR="00E07C91" w:rsidP="004F2800" w:rsidRDefault="00E07C91" w14:paraId="0B6CC99F" w14:textId="77777777">
            <w:pPr>
              <w:spacing w:line="240" w:lineRule="auto"/>
              <w:jc w:val="center"/>
              <w:rPr>
                <w:b/>
                <w:sz w:val="20"/>
                <w:szCs w:val="24"/>
              </w:rPr>
            </w:pPr>
            <w:r w:rsidRPr="00A57BAF">
              <w:rPr>
                <w:b/>
                <w:sz w:val="20"/>
                <w:szCs w:val="24"/>
              </w:rPr>
              <w:t>Total Responses</w:t>
            </w:r>
          </w:p>
        </w:tc>
        <w:tc>
          <w:tcPr>
            <w:tcW w:w="0" w:type="auto"/>
            <w:shd w:val="clear" w:color="auto" w:fill="BFBFBF" w:themeFill="background1" w:themeFillShade="BF"/>
            <w:vAlign w:val="center"/>
          </w:tcPr>
          <w:p w:rsidRPr="00A57BAF" w:rsidR="00E07C91" w:rsidP="004F2800" w:rsidRDefault="00E07C91" w14:paraId="677F966D" w14:textId="77777777">
            <w:pPr>
              <w:spacing w:line="240" w:lineRule="auto"/>
              <w:jc w:val="center"/>
              <w:rPr>
                <w:b/>
                <w:sz w:val="20"/>
                <w:szCs w:val="24"/>
              </w:rPr>
            </w:pPr>
            <w:r w:rsidRPr="00A57BAF">
              <w:rPr>
                <w:b/>
                <w:sz w:val="20"/>
                <w:szCs w:val="24"/>
              </w:rPr>
              <w:t>Average Burden per Response (in hours)</w:t>
            </w:r>
          </w:p>
        </w:tc>
        <w:tc>
          <w:tcPr>
            <w:tcW w:w="1296" w:type="dxa"/>
            <w:shd w:val="clear" w:color="auto" w:fill="BFBFBF" w:themeFill="background1" w:themeFillShade="BF"/>
            <w:vAlign w:val="center"/>
          </w:tcPr>
          <w:p w:rsidRPr="00A57BAF" w:rsidR="00E07C91" w:rsidP="004F2800" w:rsidRDefault="00E07C91" w14:paraId="24BAC03F" w14:textId="77777777">
            <w:pPr>
              <w:spacing w:line="240" w:lineRule="auto"/>
              <w:jc w:val="center"/>
              <w:rPr>
                <w:b/>
                <w:sz w:val="20"/>
                <w:szCs w:val="24"/>
              </w:rPr>
            </w:pPr>
            <w:r w:rsidRPr="00A57BAF">
              <w:rPr>
                <w:b/>
                <w:sz w:val="20"/>
                <w:szCs w:val="24"/>
              </w:rPr>
              <w:t>Total Hours</w:t>
            </w:r>
          </w:p>
        </w:tc>
      </w:tr>
      <w:tr w:rsidRPr="00A57BAF" w:rsidR="006D7F5D" w:rsidTr="006D7F5D" w14:paraId="1493DF91" w14:textId="77777777">
        <w:tc>
          <w:tcPr>
            <w:tcW w:w="1651" w:type="dxa"/>
            <w:vMerge w:val="restart"/>
            <w:vAlign w:val="center"/>
          </w:tcPr>
          <w:p w:rsidRPr="00A57BAF" w:rsidR="006D7F5D" w:rsidP="008D4DE3" w:rsidRDefault="006D7F5D" w14:paraId="25F66F38" w14:textId="77777777">
            <w:pPr>
              <w:spacing w:before="240" w:after="240" w:line="240" w:lineRule="auto"/>
              <w:rPr>
                <w:sz w:val="24"/>
                <w:szCs w:val="24"/>
              </w:rPr>
            </w:pPr>
            <w:r>
              <w:rPr>
                <w:sz w:val="24"/>
                <w:szCs w:val="24"/>
              </w:rPr>
              <w:t>Adult</w:t>
            </w:r>
          </w:p>
          <w:p w:rsidR="006D7F5D" w:rsidP="008D4DE3" w:rsidRDefault="006D7F5D" w14:paraId="006E7312" w14:textId="77777777">
            <w:pPr>
              <w:spacing w:before="240" w:after="240" w:line="240" w:lineRule="auto"/>
              <w:rPr>
                <w:sz w:val="24"/>
                <w:szCs w:val="24"/>
              </w:rPr>
            </w:pPr>
            <w:r w:rsidRPr="00A57BAF">
              <w:rPr>
                <w:sz w:val="24"/>
                <w:szCs w:val="24"/>
              </w:rPr>
              <w:t>Participants</w:t>
            </w:r>
          </w:p>
          <w:p w:rsidRPr="00A57BAF" w:rsidR="006D7F5D" w:rsidP="008D4DE3" w:rsidRDefault="006D7F5D" w14:paraId="340C3C5E" w14:textId="14EB71DF">
            <w:pPr>
              <w:spacing w:before="240" w:after="240" w:line="240" w:lineRule="auto"/>
              <w:rPr>
                <w:sz w:val="24"/>
                <w:szCs w:val="24"/>
              </w:rPr>
            </w:pPr>
            <w:r>
              <w:rPr>
                <w:sz w:val="24"/>
                <w:szCs w:val="24"/>
              </w:rPr>
              <w:t>(Ages 19-54)</w:t>
            </w:r>
          </w:p>
        </w:tc>
        <w:tc>
          <w:tcPr>
            <w:tcW w:w="1528" w:type="dxa"/>
            <w:vAlign w:val="center"/>
          </w:tcPr>
          <w:p w:rsidRPr="00A57BAF" w:rsidR="006D7F5D" w:rsidP="008D4DE3" w:rsidRDefault="006D7F5D" w14:paraId="5474C1AE" w14:textId="77777777">
            <w:pPr>
              <w:spacing w:before="240" w:after="240" w:line="240" w:lineRule="auto"/>
              <w:rPr>
                <w:sz w:val="24"/>
                <w:szCs w:val="24"/>
              </w:rPr>
            </w:pPr>
            <w:r w:rsidRPr="00A57BAF">
              <w:rPr>
                <w:sz w:val="24"/>
                <w:szCs w:val="24"/>
              </w:rPr>
              <w:t>Screener completion</w:t>
            </w:r>
          </w:p>
        </w:tc>
        <w:tc>
          <w:tcPr>
            <w:tcW w:w="0" w:type="auto"/>
            <w:vAlign w:val="center"/>
          </w:tcPr>
          <w:p w:rsidRPr="00A57BAF" w:rsidR="006D7F5D" w:rsidP="008D4DE3" w:rsidRDefault="002427AF" w14:paraId="1E3720C1" w14:textId="0DDBA099">
            <w:pPr>
              <w:spacing w:before="240" w:after="240" w:line="240" w:lineRule="auto"/>
              <w:jc w:val="center"/>
              <w:rPr>
                <w:sz w:val="24"/>
                <w:szCs w:val="24"/>
              </w:rPr>
            </w:pPr>
            <w:r>
              <w:rPr>
                <w:sz w:val="24"/>
                <w:szCs w:val="24"/>
              </w:rPr>
              <w:t>600</w:t>
            </w:r>
          </w:p>
        </w:tc>
        <w:tc>
          <w:tcPr>
            <w:tcW w:w="0" w:type="auto"/>
            <w:vAlign w:val="center"/>
          </w:tcPr>
          <w:p w:rsidRPr="00A57BAF" w:rsidR="006D7F5D" w:rsidP="008D4DE3" w:rsidRDefault="006D7F5D" w14:paraId="43F05F35" w14:textId="77777777">
            <w:pPr>
              <w:spacing w:before="240" w:after="240" w:line="240" w:lineRule="auto"/>
              <w:jc w:val="center"/>
              <w:rPr>
                <w:sz w:val="24"/>
                <w:szCs w:val="24"/>
              </w:rPr>
            </w:pPr>
            <w:r w:rsidRPr="00A57BAF">
              <w:rPr>
                <w:sz w:val="24"/>
                <w:szCs w:val="24"/>
              </w:rPr>
              <w:t>1</w:t>
            </w:r>
          </w:p>
        </w:tc>
        <w:tc>
          <w:tcPr>
            <w:tcW w:w="0" w:type="auto"/>
            <w:vAlign w:val="center"/>
          </w:tcPr>
          <w:p w:rsidRPr="00A57BAF" w:rsidR="006D7F5D" w:rsidP="008D4DE3" w:rsidRDefault="002427AF" w14:paraId="77815EF3" w14:textId="3DACD630">
            <w:pPr>
              <w:spacing w:before="240" w:after="240" w:line="240" w:lineRule="auto"/>
              <w:jc w:val="center"/>
              <w:rPr>
                <w:sz w:val="24"/>
                <w:szCs w:val="24"/>
              </w:rPr>
            </w:pPr>
            <w:r>
              <w:rPr>
                <w:sz w:val="24"/>
                <w:szCs w:val="24"/>
              </w:rPr>
              <w:t>600</w:t>
            </w:r>
          </w:p>
        </w:tc>
        <w:tc>
          <w:tcPr>
            <w:tcW w:w="0" w:type="auto"/>
            <w:vAlign w:val="center"/>
          </w:tcPr>
          <w:p w:rsidR="006D7F5D" w:rsidP="009B37FC" w:rsidRDefault="006D7F5D" w14:paraId="3EAD0977" w14:textId="495D4FE1">
            <w:pPr>
              <w:spacing w:before="120" w:after="120" w:line="240" w:lineRule="auto"/>
              <w:contextualSpacing/>
              <w:jc w:val="center"/>
              <w:rPr>
                <w:sz w:val="24"/>
                <w:szCs w:val="24"/>
              </w:rPr>
            </w:pPr>
            <w:r w:rsidRPr="00A57BAF">
              <w:rPr>
                <w:sz w:val="24"/>
                <w:szCs w:val="24"/>
              </w:rPr>
              <w:t>0.</w:t>
            </w:r>
            <w:r>
              <w:rPr>
                <w:sz w:val="24"/>
                <w:szCs w:val="24"/>
              </w:rPr>
              <w:t>08</w:t>
            </w:r>
          </w:p>
          <w:p w:rsidRPr="00A57BAF" w:rsidR="006D7F5D" w:rsidP="009B37FC" w:rsidRDefault="006D7F5D" w14:paraId="3924834B" w14:textId="51102B9F">
            <w:pPr>
              <w:spacing w:before="120" w:after="120" w:line="240" w:lineRule="auto"/>
              <w:contextualSpacing/>
              <w:jc w:val="center"/>
              <w:rPr>
                <w:sz w:val="24"/>
                <w:szCs w:val="24"/>
              </w:rPr>
            </w:pPr>
            <w:r w:rsidRPr="002A42AB">
              <w:rPr>
                <w:sz w:val="18"/>
                <w:szCs w:val="24"/>
              </w:rPr>
              <w:t>(</w:t>
            </w:r>
            <w:r>
              <w:rPr>
                <w:sz w:val="18"/>
                <w:szCs w:val="24"/>
              </w:rPr>
              <w:t>5</w:t>
            </w:r>
            <w:r w:rsidRPr="002A42AB">
              <w:rPr>
                <w:sz w:val="18"/>
                <w:szCs w:val="24"/>
              </w:rPr>
              <w:t xml:space="preserve"> minutes)</w:t>
            </w:r>
          </w:p>
        </w:tc>
        <w:tc>
          <w:tcPr>
            <w:tcW w:w="1296" w:type="dxa"/>
            <w:vAlign w:val="center"/>
          </w:tcPr>
          <w:p w:rsidRPr="00A57BAF" w:rsidR="006D7F5D" w:rsidP="009B37FC" w:rsidRDefault="00DA0858" w14:paraId="48CDA731" w14:textId="7887861A">
            <w:pPr>
              <w:spacing w:before="240" w:after="240" w:line="240" w:lineRule="auto"/>
              <w:jc w:val="center"/>
              <w:rPr>
                <w:sz w:val="24"/>
                <w:szCs w:val="24"/>
              </w:rPr>
            </w:pPr>
            <w:r>
              <w:rPr>
                <w:sz w:val="24"/>
                <w:szCs w:val="24"/>
              </w:rPr>
              <w:t>50</w:t>
            </w:r>
          </w:p>
        </w:tc>
      </w:tr>
      <w:tr w:rsidRPr="00A57BAF" w:rsidR="006D7F5D" w:rsidTr="006D7F5D" w14:paraId="19B97418" w14:textId="77777777">
        <w:tc>
          <w:tcPr>
            <w:tcW w:w="1651" w:type="dxa"/>
            <w:vMerge/>
          </w:tcPr>
          <w:p w:rsidRPr="00A57BAF" w:rsidR="006D7F5D" w:rsidP="008D4DE3" w:rsidRDefault="006D7F5D" w14:paraId="75DA974B" w14:textId="57A66826">
            <w:pPr>
              <w:spacing w:before="240" w:after="240" w:line="240" w:lineRule="auto"/>
              <w:rPr>
                <w:sz w:val="24"/>
                <w:szCs w:val="24"/>
              </w:rPr>
            </w:pPr>
          </w:p>
        </w:tc>
        <w:tc>
          <w:tcPr>
            <w:tcW w:w="1528" w:type="dxa"/>
            <w:vAlign w:val="center"/>
          </w:tcPr>
          <w:p w:rsidRPr="00A57BAF" w:rsidR="006D7F5D" w:rsidP="008D4DE3" w:rsidRDefault="006D7F5D" w14:paraId="5DEB0557" w14:textId="1D0F5CA0">
            <w:pPr>
              <w:spacing w:before="240" w:after="240" w:line="240" w:lineRule="auto"/>
              <w:rPr>
                <w:sz w:val="24"/>
                <w:szCs w:val="24"/>
              </w:rPr>
            </w:pPr>
            <w:r>
              <w:rPr>
                <w:sz w:val="24"/>
                <w:szCs w:val="24"/>
              </w:rPr>
              <w:t xml:space="preserve">Consent Form </w:t>
            </w:r>
          </w:p>
        </w:tc>
        <w:tc>
          <w:tcPr>
            <w:tcW w:w="0" w:type="auto"/>
            <w:vAlign w:val="center"/>
          </w:tcPr>
          <w:p w:rsidRPr="00A57BAF" w:rsidR="006D7F5D" w:rsidP="008D4DE3" w:rsidRDefault="002427AF" w14:paraId="1C38C66E" w14:textId="1BC1D9D2">
            <w:pPr>
              <w:spacing w:before="240" w:after="240" w:line="240" w:lineRule="auto"/>
              <w:jc w:val="center"/>
              <w:rPr>
                <w:sz w:val="24"/>
                <w:szCs w:val="24"/>
              </w:rPr>
            </w:pPr>
            <w:r>
              <w:rPr>
                <w:sz w:val="24"/>
                <w:szCs w:val="24"/>
              </w:rPr>
              <w:t>240</w:t>
            </w:r>
          </w:p>
        </w:tc>
        <w:tc>
          <w:tcPr>
            <w:tcW w:w="0" w:type="auto"/>
            <w:vAlign w:val="center"/>
          </w:tcPr>
          <w:p w:rsidRPr="00A57BAF" w:rsidR="006D7F5D" w:rsidP="008D4DE3" w:rsidRDefault="006D7F5D" w14:paraId="49212C0C" w14:textId="77777777">
            <w:pPr>
              <w:spacing w:before="240" w:after="240" w:line="240" w:lineRule="auto"/>
              <w:jc w:val="center"/>
              <w:rPr>
                <w:sz w:val="24"/>
                <w:szCs w:val="24"/>
              </w:rPr>
            </w:pPr>
            <w:r w:rsidRPr="00A57BAF">
              <w:rPr>
                <w:sz w:val="24"/>
                <w:szCs w:val="24"/>
              </w:rPr>
              <w:t>1</w:t>
            </w:r>
          </w:p>
        </w:tc>
        <w:tc>
          <w:tcPr>
            <w:tcW w:w="0" w:type="auto"/>
            <w:vAlign w:val="center"/>
          </w:tcPr>
          <w:p w:rsidRPr="00A57BAF" w:rsidR="006D7F5D" w:rsidP="008D4DE3" w:rsidRDefault="002427AF" w14:paraId="18A3AA25" w14:textId="76CE1212">
            <w:pPr>
              <w:spacing w:before="240" w:after="240" w:line="240" w:lineRule="auto"/>
              <w:jc w:val="center"/>
              <w:rPr>
                <w:sz w:val="24"/>
                <w:szCs w:val="24"/>
              </w:rPr>
            </w:pPr>
            <w:r>
              <w:rPr>
                <w:sz w:val="24"/>
                <w:szCs w:val="24"/>
              </w:rPr>
              <w:t>240</w:t>
            </w:r>
          </w:p>
        </w:tc>
        <w:tc>
          <w:tcPr>
            <w:tcW w:w="0" w:type="auto"/>
            <w:vAlign w:val="center"/>
          </w:tcPr>
          <w:p w:rsidR="006D7F5D" w:rsidP="009B37FC" w:rsidRDefault="006D7F5D" w14:paraId="32A485D4" w14:textId="77777777">
            <w:pPr>
              <w:spacing w:before="120" w:after="120" w:line="240" w:lineRule="auto"/>
              <w:contextualSpacing/>
              <w:jc w:val="center"/>
              <w:rPr>
                <w:sz w:val="24"/>
                <w:szCs w:val="24"/>
              </w:rPr>
            </w:pPr>
            <w:r w:rsidRPr="00A57BAF">
              <w:rPr>
                <w:sz w:val="24"/>
                <w:szCs w:val="24"/>
              </w:rPr>
              <w:t>0.08</w:t>
            </w:r>
          </w:p>
          <w:p w:rsidRPr="00A57BAF" w:rsidR="006D7F5D" w:rsidP="009B37FC" w:rsidRDefault="006D7F5D" w14:paraId="59C3027D" w14:textId="724BD4EB">
            <w:pPr>
              <w:spacing w:before="120" w:after="120" w:line="240" w:lineRule="auto"/>
              <w:contextualSpacing/>
              <w:jc w:val="center"/>
              <w:rPr>
                <w:sz w:val="24"/>
                <w:szCs w:val="24"/>
              </w:rPr>
            </w:pPr>
            <w:r w:rsidRPr="002A42AB">
              <w:rPr>
                <w:sz w:val="18"/>
                <w:szCs w:val="24"/>
              </w:rPr>
              <w:t>(5 minutes)</w:t>
            </w:r>
          </w:p>
        </w:tc>
        <w:tc>
          <w:tcPr>
            <w:tcW w:w="1296" w:type="dxa"/>
            <w:vAlign w:val="center"/>
          </w:tcPr>
          <w:p w:rsidRPr="00A57BAF" w:rsidR="006D7F5D" w:rsidP="009B37FC" w:rsidRDefault="00DA0858" w14:paraId="29436654" w14:textId="023099F2">
            <w:pPr>
              <w:spacing w:before="240" w:after="240" w:line="240" w:lineRule="auto"/>
              <w:jc w:val="center"/>
              <w:rPr>
                <w:sz w:val="24"/>
                <w:szCs w:val="24"/>
              </w:rPr>
            </w:pPr>
            <w:r>
              <w:rPr>
                <w:sz w:val="24"/>
                <w:szCs w:val="24"/>
              </w:rPr>
              <w:t>20</w:t>
            </w:r>
          </w:p>
        </w:tc>
      </w:tr>
      <w:tr w:rsidRPr="00A57BAF" w:rsidR="006D7F5D" w:rsidTr="006D7F5D" w14:paraId="6431B7EB" w14:textId="77777777">
        <w:trPr>
          <w:trHeight w:val="485"/>
        </w:trPr>
        <w:tc>
          <w:tcPr>
            <w:tcW w:w="1651" w:type="dxa"/>
            <w:vMerge/>
            <w:vAlign w:val="center"/>
          </w:tcPr>
          <w:p w:rsidRPr="00A57BAF" w:rsidR="006D7F5D" w:rsidP="008D4DE3" w:rsidRDefault="006D7F5D" w14:paraId="253FA1FB" w14:textId="77777777">
            <w:pPr>
              <w:spacing w:before="240" w:after="240" w:line="480" w:lineRule="auto"/>
              <w:ind w:left="360"/>
              <w:rPr>
                <w:sz w:val="24"/>
                <w:szCs w:val="24"/>
              </w:rPr>
            </w:pPr>
          </w:p>
        </w:tc>
        <w:tc>
          <w:tcPr>
            <w:tcW w:w="1528" w:type="dxa"/>
            <w:vAlign w:val="center"/>
          </w:tcPr>
          <w:p w:rsidR="006D7F5D" w:rsidP="008D4DE3" w:rsidRDefault="006D7F5D" w14:paraId="02BF0EE7" w14:textId="77777777">
            <w:pPr>
              <w:spacing w:before="240" w:after="240" w:line="240" w:lineRule="auto"/>
              <w:rPr>
                <w:sz w:val="24"/>
                <w:szCs w:val="24"/>
              </w:rPr>
            </w:pPr>
            <w:r w:rsidRPr="00A57BAF">
              <w:rPr>
                <w:sz w:val="24"/>
                <w:szCs w:val="24"/>
              </w:rPr>
              <w:t>Focus Group</w:t>
            </w:r>
          </w:p>
          <w:p w:rsidRPr="00A57BAF" w:rsidR="006D7F5D" w:rsidP="008D4DE3" w:rsidRDefault="006D7F5D" w14:paraId="1535DD53" w14:textId="7B28E3B1">
            <w:pPr>
              <w:spacing w:before="240" w:after="240" w:line="240" w:lineRule="auto"/>
              <w:rPr>
                <w:sz w:val="24"/>
                <w:szCs w:val="24"/>
              </w:rPr>
            </w:pPr>
            <w:r>
              <w:rPr>
                <w:sz w:val="24"/>
                <w:szCs w:val="24"/>
              </w:rPr>
              <w:t>(includes study introduction, general discussion, and check out)</w:t>
            </w:r>
          </w:p>
        </w:tc>
        <w:tc>
          <w:tcPr>
            <w:tcW w:w="0" w:type="auto"/>
            <w:vAlign w:val="center"/>
          </w:tcPr>
          <w:p w:rsidRPr="00A57BAF" w:rsidR="006D7F5D" w:rsidP="008D4DE3" w:rsidRDefault="002427AF" w14:paraId="4E786309" w14:textId="1BE96796">
            <w:pPr>
              <w:spacing w:before="240" w:after="240" w:line="240" w:lineRule="auto"/>
              <w:jc w:val="center"/>
              <w:rPr>
                <w:sz w:val="24"/>
                <w:szCs w:val="24"/>
              </w:rPr>
            </w:pPr>
            <w:r>
              <w:rPr>
                <w:sz w:val="24"/>
                <w:szCs w:val="24"/>
              </w:rPr>
              <w:t>240</w:t>
            </w:r>
          </w:p>
        </w:tc>
        <w:tc>
          <w:tcPr>
            <w:tcW w:w="0" w:type="auto"/>
            <w:vAlign w:val="center"/>
          </w:tcPr>
          <w:p w:rsidRPr="00A57BAF" w:rsidR="006D7F5D" w:rsidP="008D4DE3" w:rsidRDefault="006D7F5D" w14:paraId="7B7C3EB6" w14:textId="77777777">
            <w:pPr>
              <w:spacing w:before="240" w:after="240" w:line="240" w:lineRule="auto"/>
              <w:jc w:val="center"/>
              <w:rPr>
                <w:sz w:val="24"/>
                <w:szCs w:val="24"/>
              </w:rPr>
            </w:pPr>
            <w:r w:rsidRPr="00A57BAF">
              <w:rPr>
                <w:sz w:val="24"/>
                <w:szCs w:val="24"/>
              </w:rPr>
              <w:t>1</w:t>
            </w:r>
          </w:p>
        </w:tc>
        <w:tc>
          <w:tcPr>
            <w:tcW w:w="0" w:type="auto"/>
            <w:vAlign w:val="center"/>
          </w:tcPr>
          <w:p w:rsidRPr="00A57BAF" w:rsidR="006D7F5D" w:rsidP="008D4DE3" w:rsidRDefault="002427AF" w14:paraId="687EC247" w14:textId="64379E23">
            <w:pPr>
              <w:spacing w:before="240" w:after="240" w:line="240" w:lineRule="auto"/>
              <w:jc w:val="center"/>
              <w:rPr>
                <w:sz w:val="24"/>
                <w:szCs w:val="24"/>
              </w:rPr>
            </w:pPr>
            <w:r>
              <w:rPr>
                <w:sz w:val="24"/>
                <w:szCs w:val="24"/>
              </w:rPr>
              <w:t>240</w:t>
            </w:r>
          </w:p>
        </w:tc>
        <w:tc>
          <w:tcPr>
            <w:tcW w:w="0" w:type="auto"/>
            <w:vAlign w:val="center"/>
          </w:tcPr>
          <w:p w:rsidR="006D7F5D" w:rsidP="009B37FC" w:rsidRDefault="006D7F5D" w14:paraId="6C765EAC" w14:textId="77777777">
            <w:pPr>
              <w:spacing w:before="120" w:after="120" w:line="240" w:lineRule="auto"/>
              <w:contextualSpacing/>
              <w:jc w:val="center"/>
              <w:rPr>
                <w:sz w:val="24"/>
                <w:szCs w:val="24"/>
              </w:rPr>
            </w:pPr>
            <w:r w:rsidRPr="00A57BAF">
              <w:rPr>
                <w:sz w:val="24"/>
                <w:szCs w:val="24"/>
              </w:rPr>
              <w:t>1.6</w:t>
            </w:r>
          </w:p>
          <w:p w:rsidRPr="00A57BAF" w:rsidR="006D7F5D" w:rsidP="009B37FC" w:rsidRDefault="006D7F5D" w14:paraId="61F008DD" w14:textId="5486422F">
            <w:pPr>
              <w:spacing w:before="120" w:after="120" w:line="240" w:lineRule="auto"/>
              <w:contextualSpacing/>
              <w:jc w:val="center"/>
              <w:rPr>
                <w:sz w:val="24"/>
                <w:szCs w:val="24"/>
              </w:rPr>
            </w:pPr>
            <w:r w:rsidRPr="002A42AB">
              <w:rPr>
                <w:sz w:val="18"/>
                <w:szCs w:val="24"/>
              </w:rPr>
              <w:t>(95 minutes)</w:t>
            </w:r>
          </w:p>
        </w:tc>
        <w:tc>
          <w:tcPr>
            <w:tcW w:w="1296" w:type="dxa"/>
            <w:vAlign w:val="center"/>
          </w:tcPr>
          <w:p w:rsidRPr="00A57BAF" w:rsidR="006D7F5D" w:rsidP="009B37FC" w:rsidRDefault="00DA0858" w14:paraId="5090F5C7" w14:textId="1D8E8E31">
            <w:pPr>
              <w:spacing w:before="240" w:after="240" w:line="240" w:lineRule="auto"/>
              <w:jc w:val="center"/>
              <w:rPr>
                <w:sz w:val="24"/>
                <w:szCs w:val="24"/>
              </w:rPr>
            </w:pPr>
            <w:r>
              <w:rPr>
                <w:sz w:val="24"/>
                <w:szCs w:val="24"/>
              </w:rPr>
              <w:t>380</w:t>
            </w:r>
          </w:p>
        </w:tc>
      </w:tr>
      <w:tr w:rsidRPr="00A57BAF" w:rsidR="008D4DE3" w:rsidTr="00DA0858" w14:paraId="22422420" w14:textId="77777777">
        <w:tc>
          <w:tcPr>
            <w:tcW w:w="0" w:type="auto"/>
            <w:gridSpan w:val="2"/>
            <w:vAlign w:val="center"/>
          </w:tcPr>
          <w:p w:rsidRPr="00A57BAF" w:rsidR="008D4DE3" w:rsidP="008D4DE3" w:rsidRDefault="008D4DE3" w14:paraId="6269B066" w14:textId="77777777">
            <w:pPr>
              <w:spacing w:line="360" w:lineRule="auto"/>
              <w:ind w:left="360"/>
              <w:jc w:val="center"/>
              <w:rPr>
                <w:sz w:val="24"/>
                <w:szCs w:val="24"/>
              </w:rPr>
            </w:pPr>
            <w:r w:rsidRPr="00A57BAF">
              <w:rPr>
                <w:b/>
                <w:sz w:val="24"/>
                <w:szCs w:val="24"/>
              </w:rPr>
              <w:t>Total Annualized Hours</w:t>
            </w:r>
          </w:p>
        </w:tc>
        <w:tc>
          <w:tcPr>
            <w:tcW w:w="0" w:type="auto"/>
            <w:vAlign w:val="center"/>
          </w:tcPr>
          <w:p w:rsidRPr="00A57BAF" w:rsidR="008D4DE3" w:rsidP="008D4DE3" w:rsidRDefault="008D4DE3" w14:paraId="0BA126D4" w14:textId="77777777">
            <w:pPr>
              <w:spacing w:before="240" w:line="360" w:lineRule="auto"/>
              <w:ind w:left="360"/>
              <w:jc w:val="center"/>
              <w:rPr>
                <w:b/>
                <w:sz w:val="24"/>
                <w:szCs w:val="24"/>
              </w:rPr>
            </w:pPr>
          </w:p>
        </w:tc>
        <w:tc>
          <w:tcPr>
            <w:tcW w:w="0" w:type="auto"/>
            <w:vAlign w:val="center"/>
          </w:tcPr>
          <w:p w:rsidRPr="00A57BAF" w:rsidR="008D4DE3" w:rsidP="008D4DE3" w:rsidRDefault="008D4DE3" w14:paraId="405B4A76" w14:textId="77777777">
            <w:pPr>
              <w:spacing w:before="240" w:line="360" w:lineRule="auto"/>
              <w:ind w:left="360"/>
              <w:jc w:val="center"/>
              <w:rPr>
                <w:b/>
                <w:sz w:val="24"/>
                <w:szCs w:val="24"/>
              </w:rPr>
            </w:pPr>
          </w:p>
        </w:tc>
        <w:tc>
          <w:tcPr>
            <w:tcW w:w="0" w:type="auto"/>
            <w:vAlign w:val="center"/>
          </w:tcPr>
          <w:p w:rsidRPr="00A57BAF" w:rsidR="008D4DE3" w:rsidP="008D4DE3" w:rsidRDefault="008D4DE3" w14:paraId="09447A98" w14:textId="77777777">
            <w:pPr>
              <w:spacing w:before="240" w:line="360" w:lineRule="auto"/>
              <w:ind w:left="360"/>
              <w:jc w:val="center"/>
              <w:rPr>
                <w:b/>
                <w:sz w:val="24"/>
                <w:szCs w:val="24"/>
              </w:rPr>
            </w:pPr>
          </w:p>
        </w:tc>
        <w:tc>
          <w:tcPr>
            <w:tcW w:w="0" w:type="auto"/>
            <w:vAlign w:val="center"/>
          </w:tcPr>
          <w:p w:rsidRPr="00A57BAF" w:rsidR="008D4DE3" w:rsidP="009B37FC" w:rsidRDefault="008D4DE3" w14:paraId="231FD803" w14:textId="77777777">
            <w:pPr>
              <w:spacing w:before="240" w:line="360" w:lineRule="auto"/>
              <w:jc w:val="right"/>
              <w:rPr>
                <w:b/>
                <w:sz w:val="24"/>
                <w:szCs w:val="24"/>
              </w:rPr>
            </w:pPr>
          </w:p>
        </w:tc>
        <w:tc>
          <w:tcPr>
            <w:tcW w:w="1296" w:type="dxa"/>
            <w:vAlign w:val="center"/>
          </w:tcPr>
          <w:p w:rsidRPr="00A57BAF" w:rsidR="008D4DE3" w:rsidP="00DA0858" w:rsidRDefault="00DA0858" w14:paraId="17AEA6CF" w14:textId="00F1A6E7">
            <w:pPr>
              <w:spacing w:line="360" w:lineRule="auto"/>
              <w:jc w:val="center"/>
              <w:rPr>
                <w:b/>
                <w:sz w:val="24"/>
                <w:szCs w:val="24"/>
              </w:rPr>
            </w:pPr>
            <w:r>
              <w:rPr>
                <w:b/>
                <w:sz w:val="24"/>
                <w:szCs w:val="24"/>
              </w:rPr>
              <w:t>450</w:t>
            </w:r>
          </w:p>
        </w:tc>
      </w:tr>
    </w:tbl>
    <w:p w:rsidRPr="00A57BAF" w:rsidR="00E07C91" w:rsidP="002A7192" w:rsidRDefault="00E07C91" w14:paraId="74B03894" w14:textId="24C0E6B4">
      <w:pPr>
        <w:spacing w:line="240" w:lineRule="auto"/>
        <w:rPr>
          <w:rFonts w:ascii="Times New Roman" w:hAnsi="Times New Roman"/>
          <w:b/>
          <w:bCs/>
          <w:i/>
          <w:color w:val="000000"/>
          <w:sz w:val="24"/>
          <w:szCs w:val="24"/>
        </w:rPr>
      </w:pPr>
    </w:p>
    <w:p w:rsidRPr="00A57BAF" w:rsidR="00D03DFD" w:rsidP="002A7192" w:rsidRDefault="00D03DFD" w14:paraId="6B9D78DF" w14:textId="77777777">
      <w:pPr>
        <w:spacing w:line="240" w:lineRule="auto"/>
        <w:rPr>
          <w:rFonts w:ascii="Times New Roman" w:hAnsi="Times New Roman"/>
          <w:b/>
          <w:sz w:val="24"/>
          <w:szCs w:val="24"/>
        </w:rPr>
      </w:pPr>
    </w:p>
    <w:p w:rsidRPr="00A57BAF" w:rsidR="000202E6" w:rsidP="002B63C2" w:rsidRDefault="000202E6" w14:paraId="5AD29FDE" w14:textId="19E40299">
      <w:pPr>
        <w:spacing w:line="240" w:lineRule="auto"/>
        <w:rPr>
          <w:rFonts w:ascii="Times New Roman" w:hAnsi="Times New Roman"/>
          <w:b/>
          <w:sz w:val="24"/>
          <w:szCs w:val="24"/>
        </w:rPr>
      </w:pPr>
      <w:r w:rsidRPr="0052107E">
        <w:rPr>
          <w:rFonts w:ascii="Times New Roman" w:hAnsi="Times New Roman"/>
          <w:b/>
          <w:sz w:val="24"/>
          <w:szCs w:val="24"/>
        </w:rPr>
        <w:t xml:space="preserve">REQUESTED APPROVAL DATE: </w:t>
      </w:r>
      <w:r w:rsidRPr="0052107E" w:rsidR="009B0E71">
        <w:rPr>
          <w:rFonts w:ascii="Times New Roman" w:hAnsi="Times New Roman"/>
          <w:b/>
          <w:sz w:val="24"/>
          <w:szCs w:val="24"/>
        </w:rPr>
        <w:t xml:space="preserve"> </w:t>
      </w:r>
      <w:r w:rsidR="003C2345">
        <w:rPr>
          <w:rFonts w:ascii="Times New Roman" w:hAnsi="Times New Roman"/>
          <w:b/>
          <w:sz w:val="24"/>
          <w:szCs w:val="24"/>
        </w:rPr>
        <w:t xml:space="preserve">February </w:t>
      </w:r>
      <w:r w:rsidR="00EB5A80">
        <w:rPr>
          <w:rFonts w:ascii="Times New Roman" w:hAnsi="Times New Roman"/>
          <w:b/>
          <w:sz w:val="24"/>
          <w:szCs w:val="24"/>
        </w:rPr>
        <w:t>2</w:t>
      </w:r>
      <w:r w:rsidR="008062FD">
        <w:rPr>
          <w:rFonts w:ascii="Times New Roman" w:hAnsi="Times New Roman"/>
          <w:b/>
          <w:sz w:val="24"/>
          <w:szCs w:val="24"/>
        </w:rPr>
        <w:t>4</w:t>
      </w:r>
      <w:r w:rsidR="003C2345">
        <w:rPr>
          <w:rFonts w:ascii="Times New Roman" w:hAnsi="Times New Roman"/>
          <w:b/>
          <w:sz w:val="24"/>
          <w:szCs w:val="24"/>
        </w:rPr>
        <w:t>, 2020</w:t>
      </w:r>
    </w:p>
    <w:p w:rsidRPr="00A57BAF" w:rsidR="000202E6" w:rsidP="002A7192" w:rsidRDefault="000202E6" w14:paraId="5D4BDD97" w14:textId="77777777">
      <w:pPr>
        <w:spacing w:line="240" w:lineRule="auto"/>
        <w:rPr>
          <w:rFonts w:ascii="Times New Roman" w:hAnsi="Times New Roman"/>
          <w:b/>
          <w:sz w:val="24"/>
          <w:szCs w:val="24"/>
        </w:rPr>
      </w:pPr>
    </w:p>
    <w:p w:rsidRPr="00A57BAF" w:rsidR="000202E6" w:rsidP="002A7192" w:rsidRDefault="000202E6" w14:paraId="4280D0CF" w14:textId="77777777">
      <w:pPr>
        <w:spacing w:line="240" w:lineRule="auto"/>
        <w:rPr>
          <w:rFonts w:ascii="Times New Roman" w:hAnsi="Times New Roman"/>
          <w:b/>
          <w:sz w:val="24"/>
          <w:szCs w:val="24"/>
        </w:rPr>
      </w:pPr>
      <w:r w:rsidRPr="00A57BAF">
        <w:rPr>
          <w:rFonts w:ascii="Times New Roman" w:hAnsi="Times New Roman"/>
          <w:b/>
          <w:sz w:val="24"/>
          <w:szCs w:val="24"/>
        </w:rPr>
        <w:t xml:space="preserve">NAME OF PRA ANALYST &amp; PROGRAM CONTACT: </w:t>
      </w:r>
    </w:p>
    <w:p w:rsidRPr="00A57BAF" w:rsidR="000202E6" w:rsidP="002A7192" w:rsidRDefault="000202E6" w14:paraId="62D75EB4" w14:textId="77777777">
      <w:pPr>
        <w:spacing w:line="240" w:lineRule="auto"/>
        <w:rPr>
          <w:rFonts w:ascii="Times New Roman" w:hAnsi="Times New Roman"/>
          <w:b/>
          <w:sz w:val="24"/>
          <w:szCs w:val="24"/>
        </w:rPr>
      </w:pPr>
    </w:p>
    <w:p w:rsidRPr="00A57BAF" w:rsidR="008E24D5" w:rsidP="00FC50E3" w:rsidRDefault="00E87942" w14:paraId="2074F190" w14:textId="11AD0953">
      <w:pPr>
        <w:jc w:val="both"/>
        <w:rPr>
          <w:rFonts w:ascii="Times New Roman" w:hAnsi="Times New Roman"/>
          <w:b/>
          <w:sz w:val="24"/>
          <w:szCs w:val="24"/>
        </w:rPr>
      </w:pPr>
      <w:r w:rsidRPr="00A57BAF">
        <w:rPr>
          <w:rFonts w:ascii="Times New Roman" w:hAnsi="Times New Roman"/>
          <w:b/>
          <w:sz w:val="24"/>
          <w:szCs w:val="24"/>
        </w:rPr>
        <w:t>PRA Analyst</w:t>
      </w:r>
      <w:r w:rsidRPr="00A57BAF" w:rsidR="004F2800">
        <w:rPr>
          <w:rFonts w:ascii="Times New Roman" w:hAnsi="Times New Roman"/>
          <w:b/>
          <w:sz w:val="24"/>
          <w:szCs w:val="24"/>
        </w:rPr>
        <w:t>:</w:t>
      </w:r>
      <w:r w:rsidRPr="00A57BAF" w:rsidR="004F2800">
        <w:rPr>
          <w:rFonts w:ascii="Times New Roman" w:hAnsi="Times New Roman"/>
          <w:b/>
          <w:sz w:val="24"/>
          <w:szCs w:val="24"/>
        </w:rPr>
        <w:tab/>
      </w:r>
      <w:r w:rsidRPr="00A57BAF">
        <w:rPr>
          <w:rFonts w:ascii="Times New Roman" w:hAnsi="Times New Roman"/>
          <w:b/>
          <w:sz w:val="24"/>
          <w:szCs w:val="24"/>
        </w:rPr>
        <w:tab/>
      </w:r>
      <w:r w:rsidR="0082291A">
        <w:rPr>
          <w:rFonts w:ascii="Times New Roman" w:hAnsi="Times New Roman"/>
          <w:b/>
          <w:sz w:val="24"/>
          <w:szCs w:val="24"/>
        </w:rPr>
        <w:t xml:space="preserve">Ila </w:t>
      </w:r>
      <w:r w:rsidR="001D2A31">
        <w:rPr>
          <w:rFonts w:ascii="Times New Roman" w:hAnsi="Times New Roman"/>
          <w:b/>
          <w:sz w:val="24"/>
          <w:szCs w:val="24"/>
        </w:rPr>
        <w:t xml:space="preserve">S. </w:t>
      </w:r>
      <w:r w:rsidR="0082291A">
        <w:rPr>
          <w:rFonts w:ascii="Times New Roman" w:hAnsi="Times New Roman"/>
          <w:b/>
          <w:sz w:val="24"/>
          <w:szCs w:val="24"/>
        </w:rPr>
        <w:t xml:space="preserve">Mizrachi </w:t>
      </w:r>
    </w:p>
    <w:p w:rsidRPr="00A57BAF" w:rsidR="008E24D5" w:rsidP="008E24D5" w:rsidRDefault="008E24D5" w14:paraId="4163EAAB" w14:textId="18366118">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301-796-</w:t>
      </w:r>
      <w:r w:rsidR="00DA0858">
        <w:rPr>
          <w:rFonts w:ascii="Times New Roman" w:hAnsi="Times New Roman"/>
          <w:b/>
          <w:sz w:val="24"/>
          <w:szCs w:val="24"/>
        </w:rPr>
        <w:t>7726</w:t>
      </w:r>
    </w:p>
    <w:p w:rsidR="0082291A" w:rsidP="008E24D5" w:rsidRDefault="008E24D5" w14:paraId="50642B53" w14:textId="1F913519">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w:history="1" r:id="rId9">
        <w:r w:rsidRPr="00DE5C90" w:rsidR="0082291A">
          <w:rPr>
            <w:rStyle w:val="Hyperlink"/>
            <w:rFonts w:ascii="Times New Roman" w:hAnsi="Times New Roman"/>
            <w:b/>
            <w:sz w:val="24"/>
            <w:szCs w:val="24"/>
          </w:rPr>
          <w:t>Ila.Mizrachi@fda.hhs.gov</w:t>
        </w:r>
      </w:hyperlink>
    </w:p>
    <w:p w:rsidRPr="00A57BAF" w:rsidR="000202E6" w:rsidP="0082291A" w:rsidRDefault="004F2800" w14:paraId="36FC9CB2" w14:textId="20AED4C1">
      <w:pPr>
        <w:jc w:val="both"/>
        <w:rPr>
          <w:rFonts w:ascii="Times New Roman" w:hAnsi="Times New Roman"/>
          <w:b/>
          <w:sz w:val="24"/>
          <w:szCs w:val="24"/>
        </w:rPr>
      </w:pPr>
      <w:r w:rsidRPr="00A57BAF">
        <w:rPr>
          <w:rFonts w:ascii="Times New Roman" w:hAnsi="Times New Roman"/>
          <w:b/>
          <w:sz w:val="24"/>
          <w:szCs w:val="24"/>
        </w:rPr>
        <w:t xml:space="preserve"> </w:t>
      </w:r>
    </w:p>
    <w:p w:rsidRPr="00A57BAF" w:rsidR="00146303" w:rsidP="00146303" w:rsidRDefault="00146303" w14:paraId="1A7E04C3" w14:textId="29574B90">
      <w:pPr>
        <w:spacing w:line="240" w:lineRule="auto"/>
        <w:rPr>
          <w:rFonts w:ascii="Times New Roman" w:hAnsi="Times New Roman"/>
          <w:b/>
          <w:sz w:val="24"/>
          <w:szCs w:val="24"/>
        </w:rPr>
      </w:pPr>
      <w:r w:rsidRPr="00A57BAF">
        <w:rPr>
          <w:rFonts w:ascii="Times New Roman" w:hAnsi="Times New Roman"/>
          <w:b/>
          <w:sz w:val="24"/>
          <w:szCs w:val="24"/>
        </w:rPr>
        <w:t>Program Contact</w:t>
      </w:r>
      <w:r w:rsidRPr="00A57BAF" w:rsidR="004F2800">
        <w:rPr>
          <w:rFonts w:ascii="Times New Roman" w:hAnsi="Times New Roman"/>
          <w:b/>
          <w:sz w:val="24"/>
          <w:szCs w:val="24"/>
        </w:rPr>
        <w:t>:</w:t>
      </w:r>
      <w:r w:rsidRPr="00A57BAF">
        <w:rPr>
          <w:rFonts w:ascii="Times New Roman" w:hAnsi="Times New Roman"/>
          <w:b/>
          <w:sz w:val="24"/>
          <w:szCs w:val="24"/>
        </w:rPr>
        <w:tab/>
      </w:r>
      <w:r w:rsidR="009B37FC">
        <w:rPr>
          <w:rFonts w:ascii="Times New Roman" w:hAnsi="Times New Roman"/>
          <w:b/>
          <w:sz w:val="24"/>
          <w:szCs w:val="24"/>
        </w:rPr>
        <w:t>Tesfa Alexander</w:t>
      </w:r>
    </w:p>
    <w:p w:rsidRPr="00A57BAF" w:rsidR="00146303" w:rsidP="00146303" w:rsidRDefault="00146303" w14:paraId="6F89634F" w14:textId="7C3DBF6C">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r w:rsidRPr="009B37FC" w:rsidR="009B37FC">
        <w:rPr>
          <w:rFonts w:ascii="Times New Roman" w:hAnsi="Times New Roman"/>
          <w:b/>
          <w:sz w:val="24"/>
          <w:szCs w:val="24"/>
        </w:rPr>
        <w:t>301-796-7745</w:t>
      </w:r>
    </w:p>
    <w:p w:rsidRPr="00A57BAF" w:rsidR="00146303" w:rsidP="00146303" w:rsidRDefault="00146303" w14:paraId="04B3CFEE" w14:textId="1168637E">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w:history="1" r:id="rId10">
        <w:r w:rsidRPr="004250D4" w:rsidR="009B37FC">
          <w:rPr>
            <w:rStyle w:val="Hyperlink"/>
            <w:rFonts w:ascii="Times New Roman" w:hAnsi="Times New Roman"/>
            <w:b/>
            <w:sz w:val="24"/>
            <w:szCs w:val="24"/>
          </w:rPr>
          <w:t>Tesfa.Alexander@fda.hhs.gov</w:t>
        </w:r>
      </w:hyperlink>
      <w:r w:rsidRPr="00A57BAF">
        <w:rPr>
          <w:rFonts w:ascii="Times New Roman" w:hAnsi="Times New Roman"/>
          <w:b/>
          <w:sz w:val="24"/>
          <w:szCs w:val="24"/>
        </w:rPr>
        <w:t xml:space="preserve"> </w:t>
      </w:r>
    </w:p>
    <w:p w:rsidRPr="00A57BAF" w:rsidR="00410BEF" w:rsidP="00146303" w:rsidRDefault="00410BEF" w14:paraId="20D1C1F2" w14:textId="77777777">
      <w:pPr>
        <w:spacing w:line="240" w:lineRule="auto"/>
        <w:rPr>
          <w:rFonts w:ascii="Times New Roman" w:hAnsi="Times New Roman"/>
          <w:b/>
          <w:sz w:val="24"/>
          <w:szCs w:val="24"/>
        </w:rPr>
      </w:pPr>
    </w:p>
    <w:p w:rsidRPr="006578E6" w:rsidR="00146303" w:rsidP="00146303" w:rsidRDefault="00146303" w14:paraId="09CAED4C" w14:textId="4BF8CBDF">
      <w:pPr>
        <w:spacing w:line="240" w:lineRule="auto"/>
        <w:rPr>
          <w:rFonts w:ascii="Times New Roman" w:hAnsi="Times New Roman"/>
          <w:b/>
          <w:sz w:val="24"/>
          <w:szCs w:val="24"/>
        </w:rPr>
      </w:pPr>
      <w:r w:rsidRPr="00A57BAF">
        <w:rPr>
          <w:rFonts w:ascii="Times New Roman" w:hAnsi="Times New Roman"/>
          <w:b/>
          <w:sz w:val="24"/>
          <w:szCs w:val="24"/>
        </w:rPr>
        <w:t xml:space="preserve">FDA CENTER: </w:t>
      </w:r>
      <w:r w:rsidRPr="00A57BAF">
        <w:rPr>
          <w:rFonts w:ascii="Times New Roman" w:hAnsi="Times New Roman"/>
          <w:b/>
          <w:sz w:val="24"/>
          <w:szCs w:val="24"/>
        </w:rPr>
        <w:tab/>
        <w:t xml:space="preserve">Center for Tobacco Products </w:t>
      </w:r>
      <w:bookmarkStart w:name="_GoBack" w:id="1"/>
      <w:bookmarkEnd w:id="1"/>
      <w:r w:rsidRPr="006578E6">
        <w:rPr>
          <w:rFonts w:ascii="Times New Roman" w:hAnsi="Times New Roman"/>
          <w:b/>
          <w:sz w:val="24"/>
          <w:szCs w:val="24"/>
        </w:rPr>
        <w:t xml:space="preserve"> </w:t>
      </w:r>
    </w:p>
    <w:p w:rsidR="000202E6" w:rsidP="00BA2160" w:rsidRDefault="000202E6" w14:paraId="7B94B343" w14:textId="2A0A2267">
      <w:pPr>
        <w:spacing w:line="240" w:lineRule="auto"/>
        <w:rPr>
          <w:rFonts w:ascii="Times New Roman" w:hAnsi="Times New Roman"/>
          <w:sz w:val="24"/>
          <w:szCs w:val="24"/>
        </w:rPr>
      </w:pPr>
    </w:p>
    <w:p w:rsidR="00410BEF" w:rsidP="005A4CAB" w:rsidRDefault="00410BEF" w14:paraId="54C252CE" w14:textId="77777777">
      <w:pPr>
        <w:rPr>
          <w:rFonts w:ascii="Times New Roman" w:hAnsi="Times New Roman"/>
          <w:b/>
          <w:sz w:val="24"/>
          <w:szCs w:val="24"/>
        </w:rPr>
      </w:pPr>
    </w:p>
    <w:p w:rsidRPr="00410BEF" w:rsidR="00410BEF" w:rsidP="00410BEF" w:rsidRDefault="00410BEF" w14:paraId="76C08257" w14:textId="7F575770">
      <w:pPr>
        <w:ind w:left="720" w:hanging="720"/>
        <w:rPr>
          <w:rFonts w:ascii="Times New Roman" w:hAnsi="Times New Roman"/>
          <w:b/>
          <w:sz w:val="24"/>
          <w:szCs w:val="24"/>
        </w:rPr>
      </w:pPr>
      <w:r w:rsidRPr="00410BEF">
        <w:rPr>
          <w:rFonts w:ascii="Times New Roman" w:hAnsi="Times New Roman"/>
          <w:b/>
          <w:sz w:val="24"/>
          <w:szCs w:val="24"/>
        </w:rPr>
        <w:lastRenderedPageBreak/>
        <w:t>REFERENCES:</w:t>
      </w:r>
    </w:p>
    <w:p w:rsidR="007847A6" w:rsidP="00410BEF" w:rsidRDefault="007847A6" w14:paraId="02559E23" w14:textId="2D19BB8B">
      <w:pPr>
        <w:ind w:left="720" w:hanging="720"/>
        <w:rPr>
          <w:rFonts w:ascii="Times New Roman" w:hAnsi="Times New Roman"/>
          <w:sz w:val="24"/>
          <w:szCs w:val="24"/>
        </w:rPr>
      </w:pPr>
    </w:p>
    <w:p w:rsidRPr="00266887" w:rsidR="007847A6" w:rsidP="007847A6" w:rsidRDefault="007847A6" w14:paraId="60A3DDFC" w14:textId="77777777">
      <w:pPr>
        <w:widowControl w:val="0"/>
        <w:rPr>
          <w:rFonts w:ascii="Times New Roman" w:hAnsi="Times New Roman"/>
          <w:sz w:val="24"/>
        </w:rPr>
      </w:pPr>
      <w:r w:rsidRPr="00266887">
        <w:rPr>
          <w:rFonts w:ascii="Times New Roman" w:hAnsi="Times New Roman"/>
          <w:sz w:val="24"/>
        </w:rPr>
        <w:t>Baskerville, N.B., Dash, D., Shuh, A., Wong, K., Abramowicz, A., Yessis, J., Kennedy, R.D. (2017). Tobacco use cessation interventions for lesbian, gay, bisexual, transgender and queer youth and young adults: A scoping review. Preventative Medicine Reports. 6, 53-62. doi: 10.1016.j.pmedr.2017.02.004</w:t>
      </w:r>
    </w:p>
    <w:p w:rsidRPr="00266887" w:rsidR="007847A6" w:rsidP="007847A6" w:rsidRDefault="007847A6" w14:paraId="0987FE84" w14:textId="77777777">
      <w:pPr>
        <w:widowControl w:val="0"/>
        <w:rPr>
          <w:rFonts w:ascii="Times New Roman" w:hAnsi="Times New Roman"/>
          <w:sz w:val="24"/>
        </w:rPr>
      </w:pPr>
    </w:p>
    <w:p w:rsidRPr="007847A6" w:rsidR="007847A6" w:rsidP="007847A6" w:rsidRDefault="007847A6" w14:paraId="4F3C8AC1" w14:textId="32281F57">
      <w:pPr>
        <w:widowControl w:val="0"/>
        <w:rPr>
          <w:rFonts w:ascii="Times New Roman" w:hAnsi="Times New Roman"/>
          <w:sz w:val="24"/>
        </w:rPr>
      </w:pPr>
      <w:r w:rsidRPr="00266887">
        <w:rPr>
          <w:rFonts w:ascii="Times New Roman" w:hAnsi="Times New Roman"/>
          <w:sz w:val="24"/>
        </w:rPr>
        <w:t>Berger, I., Mooney-Somers, J. (2017). Smoking Cessation Programs for Lesbian, Gay, Bisexual, Transgender, and Intersex People: A Content-Based Systematic Review. Nicotine and Tobacco Research. 19(12) 1408-1417. doi: 10.1093/ntr/ntw216</w:t>
      </w:r>
    </w:p>
    <w:p w:rsidR="007847A6" w:rsidP="00410BEF" w:rsidRDefault="007847A6" w14:paraId="089A9383" w14:textId="77777777">
      <w:pPr>
        <w:ind w:left="720" w:hanging="720"/>
        <w:rPr>
          <w:rFonts w:ascii="Times New Roman" w:hAnsi="Times New Roman"/>
          <w:sz w:val="24"/>
          <w:szCs w:val="24"/>
        </w:rPr>
      </w:pPr>
    </w:p>
    <w:p w:rsidR="00410BEF" w:rsidP="00410BEF" w:rsidRDefault="00410BEF" w14:paraId="525530A0" w14:textId="29A06049">
      <w:pPr>
        <w:ind w:left="720" w:hanging="720"/>
        <w:rPr>
          <w:rFonts w:ascii="Times New Roman" w:hAnsi="Times New Roman"/>
          <w:sz w:val="24"/>
          <w:szCs w:val="24"/>
        </w:rPr>
      </w:pPr>
      <w:r>
        <w:rPr>
          <w:rFonts w:ascii="Times New Roman" w:hAnsi="Times New Roman"/>
          <w:sz w:val="24"/>
          <w:szCs w:val="24"/>
        </w:rPr>
        <w:t xml:space="preserve">CASRO. (2013) </w:t>
      </w:r>
      <w:r>
        <w:rPr>
          <w:rFonts w:ascii="Times New Roman" w:hAnsi="Times New Roman"/>
          <w:i/>
          <w:sz w:val="24"/>
          <w:szCs w:val="24"/>
        </w:rPr>
        <w:t>CASRO Code of Standards and Ethics,</w:t>
      </w:r>
      <w:r>
        <w:rPr>
          <w:rFonts w:ascii="Times New Roman" w:hAnsi="Times New Roman"/>
          <w:sz w:val="24"/>
          <w:szCs w:val="24"/>
        </w:rPr>
        <w:t xml:space="preserve"> Available at:</w:t>
      </w:r>
    </w:p>
    <w:p w:rsidR="00410BEF" w:rsidP="00410BEF" w:rsidRDefault="00410BEF" w14:paraId="29374F0E" w14:textId="3BECD460">
      <w:pPr>
        <w:ind w:left="720" w:hanging="720"/>
        <w:rPr>
          <w:rFonts w:ascii="Times New Roman" w:hAnsi="Times New Roman"/>
          <w:sz w:val="24"/>
          <w:szCs w:val="24"/>
        </w:rPr>
      </w:pPr>
      <w:r>
        <w:rPr>
          <w:rStyle w:val="Hyperlink3"/>
          <w:rFonts w:ascii="Times New Roman" w:hAnsi="Times New Roman"/>
          <w:u w:val="single"/>
        </w:rPr>
        <w:t>http://www.casro.org/?page=TheCASROCode.</w:t>
      </w:r>
      <w:r>
        <w:rPr>
          <w:rFonts w:ascii="Times New Roman" w:hAnsi="Times New Roman"/>
          <w:sz w:val="24"/>
          <w:szCs w:val="24"/>
        </w:rPr>
        <w:t xml:space="preserve">  Accessed on: 06/07/2013.</w:t>
      </w:r>
    </w:p>
    <w:p w:rsidR="006D0DA0" w:rsidP="00410BEF" w:rsidRDefault="006D0DA0" w14:paraId="079C3075" w14:textId="0DFBBA38">
      <w:pPr>
        <w:ind w:left="720" w:hanging="720"/>
        <w:rPr>
          <w:rFonts w:ascii="Times New Roman" w:hAnsi="Times New Roman"/>
          <w:sz w:val="24"/>
          <w:szCs w:val="24"/>
        </w:rPr>
      </w:pPr>
    </w:p>
    <w:p w:rsidRPr="00266887" w:rsidR="00D74CA7" w:rsidP="00D74CA7" w:rsidRDefault="00D74CA7" w14:paraId="120B3386" w14:textId="77777777">
      <w:pPr>
        <w:rPr>
          <w:rFonts w:ascii="Times New Roman" w:hAnsi="Times New Roman"/>
          <w:sz w:val="24"/>
        </w:rPr>
      </w:pPr>
      <w:bookmarkStart w:name="_Hlk31484978" w:id="2"/>
      <w:r w:rsidRPr="00266887">
        <w:rPr>
          <w:rFonts w:ascii="Times New Roman" w:hAnsi="Times New Roman"/>
          <w:sz w:val="24"/>
        </w:rPr>
        <w:t>Centers for Disease Control and Prevention (CDC). Quitting smoking among adults – United States, 2000-2015. Morbidity and Mortality Weekly Report. 2017;65(52):1457-1464.</w:t>
      </w:r>
    </w:p>
    <w:bookmarkEnd w:id="2"/>
    <w:p w:rsidR="00410BEF" w:rsidP="006D0DA0" w:rsidRDefault="00410BEF" w14:paraId="49E09943" w14:textId="3B2D9B7B">
      <w:pPr>
        <w:rPr>
          <w:rFonts w:ascii="Times New Roman" w:hAnsi="Times New Roman"/>
          <w:sz w:val="24"/>
          <w:szCs w:val="24"/>
        </w:rPr>
      </w:pPr>
    </w:p>
    <w:p w:rsidRPr="00266887" w:rsidR="006D0DA0" w:rsidP="006D0DA0" w:rsidRDefault="006D0DA0" w14:paraId="61E47BEB" w14:textId="77777777">
      <w:pPr>
        <w:widowControl w:val="0"/>
        <w:rPr>
          <w:rFonts w:ascii="Times New Roman" w:hAnsi="Times New Roman"/>
          <w:sz w:val="24"/>
        </w:rPr>
      </w:pPr>
      <w:r w:rsidRPr="00266887">
        <w:rPr>
          <w:rFonts w:ascii="Times New Roman" w:hAnsi="Times New Roman"/>
          <w:sz w:val="24"/>
        </w:rPr>
        <w:t>Dickson-Spillman, M., Sullivan, R., Zahno, B., Schaub, M.P. (2014). Queer quit: a pilot study of a smoking cessation programme tailored to gay men. BMC Public Health. 14(126). doi: 10.1186/1471-2458-14-126.</w:t>
      </w:r>
    </w:p>
    <w:p w:rsidR="006D0DA0" w:rsidP="006D0DA0" w:rsidRDefault="006D0DA0" w14:paraId="5FB29AAB" w14:textId="77777777">
      <w:pPr>
        <w:rPr>
          <w:rFonts w:ascii="Times New Roman" w:hAnsi="Times New Roman"/>
          <w:sz w:val="24"/>
          <w:szCs w:val="24"/>
        </w:rPr>
      </w:pPr>
    </w:p>
    <w:p w:rsidR="00410BEF" w:rsidP="00410BEF" w:rsidRDefault="00410BEF" w14:paraId="48647CA0" w14:textId="77777777">
      <w:pPr>
        <w:ind w:left="720" w:hanging="720"/>
        <w:rPr>
          <w:rFonts w:ascii="Times New Roman" w:hAnsi="Times New Roman"/>
          <w:sz w:val="24"/>
          <w:szCs w:val="24"/>
        </w:rPr>
      </w:pPr>
      <w:r>
        <w:rPr>
          <w:rFonts w:ascii="Times New Roman" w:hAnsi="Times New Roman"/>
          <w:sz w:val="24"/>
          <w:szCs w:val="24"/>
        </w:rPr>
        <w:t>Groth, S.W. (2010). Honorarium or coercion: use of incentives for participants in clinical</w:t>
      </w:r>
    </w:p>
    <w:p w:rsidR="00410BEF" w:rsidP="00410BEF" w:rsidRDefault="00410BEF" w14:paraId="520DE56F" w14:textId="7F1CABB9">
      <w:pPr>
        <w:ind w:left="720" w:hanging="720"/>
        <w:rPr>
          <w:rFonts w:ascii="Times New Roman" w:hAnsi="Times New Roman"/>
          <w:sz w:val="24"/>
          <w:szCs w:val="24"/>
        </w:rPr>
      </w:pPr>
      <w:r>
        <w:rPr>
          <w:rFonts w:ascii="Times New Roman" w:hAnsi="Times New Roman"/>
          <w:sz w:val="24"/>
          <w:szCs w:val="24"/>
        </w:rPr>
        <w:t>research</w:t>
      </w:r>
      <w:r>
        <w:rPr>
          <w:rFonts w:ascii="Times New Roman" w:hAnsi="Times New Roman"/>
          <w:i/>
          <w:iCs/>
          <w:sz w:val="24"/>
          <w:szCs w:val="24"/>
        </w:rPr>
        <w:t>. Journal of the New York State Nurses Association</w:t>
      </w:r>
      <w:r>
        <w:rPr>
          <w:rFonts w:ascii="Times New Roman" w:hAnsi="Times New Roman"/>
          <w:sz w:val="24"/>
          <w:szCs w:val="24"/>
        </w:rPr>
        <w:t xml:space="preserve">, </w:t>
      </w:r>
      <w:r>
        <w:rPr>
          <w:rFonts w:ascii="Times New Roman" w:hAnsi="Times New Roman"/>
          <w:i/>
          <w:sz w:val="24"/>
          <w:szCs w:val="24"/>
        </w:rPr>
        <w:t>41</w:t>
      </w:r>
      <w:r>
        <w:rPr>
          <w:rFonts w:ascii="Times New Roman" w:hAnsi="Times New Roman"/>
          <w:sz w:val="24"/>
          <w:szCs w:val="24"/>
        </w:rPr>
        <w:t>(1), 11.</w:t>
      </w:r>
    </w:p>
    <w:p w:rsidR="006D0DA0" w:rsidP="00410BEF" w:rsidRDefault="006D0DA0" w14:paraId="09F4DC29" w14:textId="11AEBF6E">
      <w:pPr>
        <w:ind w:left="720" w:hanging="720"/>
        <w:rPr>
          <w:rFonts w:ascii="Times New Roman" w:hAnsi="Times New Roman"/>
          <w:sz w:val="24"/>
          <w:szCs w:val="24"/>
        </w:rPr>
      </w:pPr>
    </w:p>
    <w:p w:rsidR="006D0DA0" w:rsidP="006D0DA0" w:rsidRDefault="006D0DA0" w14:paraId="2EC091AE" w14:textId="77777777">
      <w:pPr>
        <w:ind w:left="720" w:hanging="720"/>
        <w:rPr>
          <w:rFonts w:ascii="Times New Roman" w:hAnsi="Times New Roman"/>
          <w:sz w:val="24"/>
          <w:szCs w:val="24"/>
        </w:rPr>
      </w:pPr>
      <w:r>
        <w:rPr>
          <w:rFonts w:ascii="Times New Roman" w:hAnsi="Times New Roman"/>
          <w:sz w:val="24"/>
          <w:szCs w:val="24"/>
        </w:rPr>
        <w:t>Halpern, S.D., Karlawish, J.H., Casarett, D., Berlin, J.A., &amp; Asch, D.A. (2004). Empirical</w:t>
      </w:r>
    </w:p>
    <w:p w:rsidR="006D0DA0" w:rsidP="006D0DA0" w:rsidRDefault="006D0DA0" w14:paraId="2CA19C26" w14:textId="77777777">
      <w:pPr>
        <w:ind w:left="720" w:hanging="720"/>
        <w:rPr>
          <w:rFonts w:ascii="Times New Roman" w:hAnsi="Times New Roman"/>
          <w:sz w:val="24"/>
          <w:szCs w:val="24"/>
        </w:rPr>
      </w:pPr>
      <w:r>
        <w:rPr>
          <w:rFonts w:ascii="Times New Roman" w:hAnsi="Times New Roman"/>
          <w:sz w:val="24"/>
          <w:szCs w:val="24"/>
        </w:rPr>
        <w:t>assessment of whether moderate payments are undue or unjust inducements for participation</w:t>
      </w:r>
    </w:p>
    <w:p w:rsidR="00410BEF" w:rsidP="006D0DA0" w:rsidRDefault="006D0DA0" w14:paraId="7A27AEF5" w14:textId="66BF2B88">
      <w:pPr>
        <w:ind w:left="720" w:hanging="720"/>
        <w:rPr>
          <w:rFonts w:ascii="Times New Roman" w:hAnsi="Times New Roman"/>
          <w:sz w:val="24"/>
          <w:szCs w:val="24"/>
        </w:rPr>
      </w:pPr>
      <w:r>
        <w:rPr>
          <w:rFonts w:ascii="Times New Roman" w:hAnsi="Times New Roman"/>
          <w:sz w:val="24"/>
          <w:szCs w:val="24"/>
        </w:rPr>
        <w:t xml:space="preserve">in clinical trials. </w:t>
      </w:r>
      <w:r>
        <w:rPr>
          <w:rFonts w:ascii="Times New Roman" w:hAnsi="Times New Roman"/>
          <w:i/>
          <w:iCs/>
          <w:sz w:val="24"/>
          <w:szCs w:val="24"/>
        </w:rPr>
        <w:t>Archives of Internal Medicine, 164</w:t>
      </w:r>
      <w:r>
        <w:rPr>
          <w:rFonts w:ascii="Times New Roman" w:hAnsi="Times New Roman"/>
          <w:sz w:val="24"/>
          <w:szCs w:val="24"/>
        </w:rPr>
        <w:t>(7), 801-803.</w:t>
      </w:r>
    </w:p>
    <w:p w:rsidRPr="00266887" w:rsidR="006D0DA0" w:rsidP="006D0DA0" w:rsidRDefault="006D0DA0" w14:paraId="76331008" w14:textId="77777777">
      <w:pPr>
        <w:widowControl w:val="0"/>
        <w:spacing w:before="240"/>
        <w:rPr>
          <w:rFonts w:ascii="Times New Roman" w:hAnsi="Times New Roman"/>
          <w:sz w:val="24"/>
        </w:rPr>
      </w:pPr>
      <w:r w:rsidRPr="00266887">
        <w:rPr>
          <w:rFonts w:ascii="Times New Roman" w:hAnsi="Times New Roman"/>
          <w:sz w:val="24"/>
        </w:rPr>
        <w:t>Lee, J. G., Griffin, G. K., &amp; Melvin, C. L. (2009). Tobacco use among sexual minorities in the USA, 1987 to May 2007: a systematic review. Tobacco control, 18(4), 275-282.</w:t>
      </w:r>
    </w:p>
    <w:p w:rsidRPr="00266887" w:rsidR="006D0DA0" w:rsidP="006D0DA0" w:rsidRDefault="006D0DA0" w14:paraId="1FFB0116" w14:textId="77777777">
      <w:pPr>
        <w:widowControl w:val="0"/>
        <w:spacing w:before="240"/>
        <w:rPr>
          <w:rFonts w:ascii="Times New Roman" w:hAnsi="Times New Roman"/>
          <w:sz w:val="24"/>
        </w:rPr>
      </w:pPr>
      <w:r w:rsidRPr="00266887">
        <w:rPr>
          <w:rFonts w:ascii="Times New Roman" w:hAnsi="Times New Roman"/>
          <w:sz w:val="24"/>
        </w:rPr>
        <w:t>Lee, J.G.L., Matthews, A.K., McCullen, C.A., Melvin, C.L. (2014). Promotion of tobacco use cessation for lesbian, gay, bisexual, and transgender people: a systematic review. Am J Prev Med. 47(6) 823-831. doi: 10.1016.j.amepre.2014.07.051</w:t>
      </w:r>
    </w:p>
    <w:p w:rsidRPr="00266887" w:rsidR="006D0DA0" w:rsidP="006D0DA0" w:rsidRDefault="006D0DA0" w14:paraId="7B657E55" w14:textId="77777777">
      <w:pPr>
        <w:widowControl w:val="0"/>
        <w:rPr>
          <w:rFonts w:ascii="Times New Roman" w:hAnsi="Times New Roman"/>
          <w:sz w:val="24"/>
        </w:rPr>
      </w:pPr>
    </w:p>
    <w:p w:rsidRPr="00266887" w:rsidR="006D0DA0" w:rsidP="006D0DA0" w:rsidRDefault="006D0DA0" w14:paraId="7FAC7ECF" w14:textId="77777777">
      <w:pPr>
        <w:widowControl w:val="0"/>
        <w:autoSpaceDE w:val="0"/>
        <w:autoSpaceDN w:val="0"/>
        <w:adjustRightInd w:val="0"/>
        <w:spacing w:after="240"/>
        <w:rPr>
          <w:rFonts w:ascii="Times New Roman" w:hAnsi="Times New Roman"/>
          <w:sz w:val="24"/>
        </w:rPr>
      </w:pPr>
      <w:r w:rsidRPr="00266887">
        <w:rPr>
          <w:rFonts w:ascii="Times New Roman" w:hAnsi="Times New Roman"/>
          <w:color w:val="262626"/>
          <w:sz w:val="24"/>
        </w:rPr>
        <w:t xml:space="preserve">Lee, Y. O., Jordan, J. W., Djakaria, M., &amp; Ling, P. M. (2014). Using peer crowds to segment Black youth for smoking intervention. </w:t>
      </w:r>
      <w:r w:rsidRPr="00266887">
        <w:rPr>
          <w:rFonts w:ascii="Times New Roman" w:hAnsi="Times New Roman"/>
          <w:i/>
          <w:iCs/>
          <w:color w:val="262626"/>
          <w:sz w:val="24"/>
        </w:rPr>
        <w:t>Health Promotion Practice</w:t>
      </w:r>
      <w:r w:rsidRPr="00266887">
        <w:rPr>
          <w:rFonts w:ascii="Times New Roman" w:hAnsi="Times New Roman"/>
          <w:i/>
          <w:color w:val="262626"/>
          <w:sz w:val="24"/>
        </w:rPr>
        <w:t>, 15</w:t>
      </w:r>
      <w:r w:rsidRPr="00266887">
        <w:rPr>
          <w:rFonts w:ascii="Times New Roman" w:hAnsi="Times New Roman"/>
          <w:color w:val="262626"/>
          <w:sz w:val="24"/>
        </w:rPr>
        <w:t>(4), 530-537.</w:t>
      </w:r>
    </w:p>
    <w:p w:rsidR="00410BEF" w:rsidP="006D0DA0" w:rsidRDefault="006D0DA0" w14:paraId="7745989F" w14:textId="79315B8B">
      <w:pPr>
        <w:widowControl w:val="0"/>
        <w:spacing w:before="240"/>
        <w:rPr>
          <w:rFonts w:ascii="Times New Roman" w:hAnsi="Times New Roman"/>
          <w:sz w:val="24"/>
        </w:rPr>
      </w:pPr>
      <w:r w:rsidRPr="00266887">
        <w:rPr>
          <w:rFonts w:ascii="Times New Roman" w:hAnsi="Times New Roman"/>
          <w:sz w:val="24"/>
        </w:rPr>
        <w:t>Li, J., Haardörfer, R., Vu, M., Windle, M., &amp; Berg, C. J. (2018). Sex and sexual orientation in relation to tobacco use among young adult college students in the US: a cross-sectional study. BMC public health, 18(1), 1244.</w:t>
      </w:r>
    </w:p>
    <w:p w:rsidRPr="006D0DA0" w:rsidR="006D0DA0" w:rsidP="006D0DA0" w:rsidRDefault="006D0DA0" w14:paraId="7591CE0B" w14:textId="603B015C">
      <w:pPr>
        <w:widowControl w:val="0"/>
        <w:spacing w:before="240"/>
        <w:rPr>
          <w:rFonts w:ascii="Times New Roman" w:hAnsi="Times New Roman"/>
          <w:sz w:val="24"/>
        </w:rPr>
      </w:pPr>
      <w:r w:rsidRPr="00266887">
        <w:rPr>
          <w:rFonts w:ascii="Times New Roman" w:hAnsi="Times New Roman"/>
          <w:sz w:val="24"/>
        </w:rPr>
        <w:lastRenderedPageBreak/>
        <w:t>Ling, P. M., &amp; Glantz, S. A. (2002). Using tobacco-industry marketing research to design more effective tobacco-control campaigns. Jama, 287(22), 2983-2989.</w:t>
      </w:r>
    </w:p>
    <w:p w:rsidR="006D0DA0" w:rsidP="006D0DA0" w:rsidRDefault="006D0DA0" w14:paraId="32D9422C" w14:textId="0B4F7E66">
      <w:pPr>
        <w:widowControl w:val="0"/>
        <w:spacing w:before="240"/>
        <w:rPr>
          <w:rFonts w:ascii="Times New Roman" w:hAnsi="Times New Roman"/>
          <w:sz w:val="24"/>
        </w:rPr>
      </w:pPr>
      <w:r w:rsidRPr="00266887">
        <w:rPr>
          <w:rFonts w:ascii="Times New Roman" w:hAnsi="Times New Roman"/>
          <w:sz w:val="24"/>
        </w:rPr>
        <w:t>Matthews, A. K., Steffen, A. D., Kuhns, L. M., Ruiz, R. A., Ross, N. A., Burke, L. A., ... &amp; King, A. C. (2018). Evaluation of a Randomized Clinical Trial Comparing the Effectiveness of a Culturally Targeted and Nontargeted Smoking Cessation Intervention for Lesbian, Gay, Bisexual, and Transgender Smokers. Nicotine &amp; Tobacco Research.</w:t>
      </w:r>
    </w:p>
    <w:p w:rsidRPr="00266887" w:rsidR="006D0DA0" w:rsidP="006D0DA0" w:rsidRDefault="006D0DA0" w14:paraId="03B0CBE7" w14:textId="77777777">
      <w:pPr>
        <w:widowControl w:val="0"/>
        <w:rPr>
          <w:rFonts w:ascii="Times New Roman" w:hAnsi="Times New Roman"/>
          <w:sz w:val="24"/>
        </w:rPr>
      </w:pPr>
    </w:p>
    <w:p w:rsidRPr="00266887" w:rsidR="006D0DA0" w:rsidP="006D0DA0" w:rsidRDefault="006D0DA0" w14:paraId="28B87ABA" w14:textId="77777777">
      <w:pPr>
        <w:widowControl w:val="0"/>
        <w:rPr>
          <w:rFonts w:ascii="Times New Roman" w:hAnsi="Times New Roman"/>
          <w:sz w:val="24"/>
        </w:rPr>
      </w:pPr>
      <w:r w:rsidRPr="00266887">
        <w:rPr>
          <w:rFonts w:ascii="Times New Roman" w:hAnsi="Times New Roman"/>
          <w:sz w:val="24"/>
        </w:rPr>
        <w:t>McCabe, S. E., Hughes, T. L., Matthews, A. K., Lee, J. G., West, B. T., Boyd, C. J., &amp; Arslanian-Engoren, C. (2017). Sexual orientation discrimination and tobacco use disparities in the United States. Nicotine and Tobacco Research, 21(4), 523-531.</w:t>
      </w:r>
    </w:p>
    <w:p w:rsidR="006D0DA0" w:rsidP="006D0DA0" w:rsidRDefault="006D0DA0" w14:paraId="4D5D04AE" w14:textId="77777777">
      <w:pPr>
        <w:rPr>
          <w:rFonts w:ascii="Times New Roman" w:hAnsi="Times New Roman"/>
          <w:sz w:val="24"/>
          <w:szCs w:val="24"/>
        </w:rPr>
      </w:pPr>
    </w:p>
    <w:p w:rsidR="00410BEF" w:rsidP="00410BEF" w:rsidRDefault="00410BEF" w14:paraId="43FD030C" w14:textId="77777777">
      <w:pPr>
        <w:ind w:left="720" w:hanging="720"/>
        <w:rPr>
          <w:rFonts w:ascii="Times New Roman" w:hAnsi="Times New Roman"/>
          <w:sz w:val="24"/>
          <w:szCs w:val="24"/>
        </w:rPr>
      </w:pPr>
      <w:r>
        <w:rPr>
          <w:rFonts w:ascii="Times New Roman" w:hAnsi="Times New Roman"/>
          <w:sz w:val="24"/>
          <w:szCs w:val="24"/>
        </w:rPr>
        <w:t xml:space="preserve">Morgan, D.L. &amp; A.N. Scannell. (1998) </w:t>
      </w:r>
      <w:r>
        <w:rPr>
          <w:rFonts w:ascii="Times New Roman" w:hAnsi="Times New Roman"/>
          <w:i/>
          <w:sz w:val="24"/>
          <w:szCs w:val="24"/>
        </w:rPr>
        <w:t>Planning Focus Groups</w:t>
      </w:r>
      <w:r>
        <w:rPr>
          <w:rFonts w:ascii="Times New Roman" w:hAnsi="Times New Roman"/>
          <w:sz w:val="24"/>
          <w:szCs w:val="24"/>
        </w:rPr>
        <w:t>. Thousand Oaks, CA: Sage.</w:t>
      </w:r>
    </w:p>
    <w:p w:rsidR="006D0DA0" w:rsidP="00410BEF" w:rsidRDefault="00410BEF" w14:paraId="650E7DD0" w14:textId="309014DB">
      <w:pPr>
        <w:rPr>
          <w:rFonts w:ascii="Times New Roman" w:hAnsi="Times New Roman" w:eastAsia="Arial Unicode MS"/>
          <w:sz w:val="24"/>
          <w:szCs w:val="24"/>
        </w:rPr>
      </w:pPr>
      <w:r>
        <w:rPr>
          <w:rFonts w:ascii="Times New Roman" w:hAnsi="Times New Roman" w:eastAsia="Arial Unicode MS"/>
          <w:sz w:val="24"/>
          <w:szCs w:val="24"/>
        </w:rPr>
        <w:t>National Institute on Drug Abuse (NIDA). (2009). Smokeless tobacco. (Topics in Brief).</w:t>
      </w:r>
    </w:p>
    <w:p w:rsidRPr="006D0DA0" w:rsidR="006D0DA0" w:rsidP="006D0DA0" w:rsidRDefault="006D0DA0" w14:paraId="54ABA71C" w14:textId="227CD0FB">
      <w:pPr>
        <w:widowControl w:val="0"/>
        <w:spacing w:before="240"/>
        <w:rPr>
          <w:rFonts w:ascii="Times New Roman" w:hAnsi="Times New Roman"/>
          <w:sz w:val="24"/>
        </w:rPr>
      </w:pPr>
      <w:r w:rsidRPr="00266887">
        <w:rPr>
          <w:rFonts w:ascii="Times New Roman" w:hAnsi="Times New Roman"/>
          <w:sz w:val="24"/>
        </w:rPr>
        <w:t>Remafedi, G. (2007). Lesbian, gay, bisexual, and transgender youths: who smokes, and why?. Nicotine &amp; Tobacco Research, 9(Suppl_1), S65-S71.</w:t>
      </w:r>
    </w:p>
    <w:p w:rsidR="006D0DA0" w:rsidP="00410BEF" w:rsidRDefault="006D0DA0" w14:paraId="277BD20A" w14:textId="4AD168CE">
      <w:pPr>
        <w:rPr>
          <w:rFonts w:ascii="Times New Roman" w:hAnsi="Times New Roman" w:eastAsia="Arial Unicode MS"/>
          <w:sz w:val="24"/>
          <w:szCs w:val="24"/>
        </w:rPr>
      </w:pPr>
    </w:p>
    <w:p w:rsidR="007847A6" w:rsidP="007847A6" w:rsidRDefault="007847A6" w14:paraId="4CBF4E5C" w14:textId="77777777">
      <w:pPr>
        <w:widowControl w:val="0"/>
        <w:ind w:left="720" w:hanging="720"/>
        <w:rPr>
          <w:rFonts w:ascii="Times New Roman" w:hAnsi="Times New Roman"/>
          <w:sz w:val="24"/>
        </w:rPr>
      </w:pPr>
      <w:r w:rsidRPr="00266887">
        <w:rPr>
          <w:rFonts w:ascii="Times New Roman" w:hAnsi="Times New Roman"/>
          <w:sz w:val="24"/>
        </w:rPr>
        <w:t>Stevens, P., Carlson, L. M., &amp; Hinman, J. M. (2004). An analysis of tobacco industry marketing</w:t>
      </w:r>
    </w:p>
    <w:p w:rsidR="007847A6" w:rsidP="007847A6" w:rsidRDefault="007847A6" w14:paraId="26D79D8C" w14:textId="77777777">
      <w:pPr>
        <w:widowControl w:val="0"/>
        <w:ind w:left="720" w:hanging="720"/>
        <w:rPr>
          <w:rFonts w:ascii="Times New Roman" w:hAnsi="Times New Roman"/>
          <w:sz w:val="24"/>
        </w:rPr>
      </w:pPr>
      <w:r w:rsidRPr="00266887">
        <w:rPr>
          <w:rFonts w:ascii="Times New Roman" w:hAnsi="Times New Roman"/>
          <w:sz w:val="24"/>
        </w:rPr>
        <w:t>to lesbian, gay, bisexual, and transgender (LGBT) populations: strategies for mainstream tobacco</w:t>
      </w:r>
    </w:p>
    <w:p w:rsidRPr="00266887" w:rsidR="007847A6" w:rsidP="007847A6" w:rsidRDefault="007847A6" w14:paraId="6A3D1F7B" w14:textId="1927CC5C">
      <w:pPr>
        <w:widowControl w:val="0"/>
        <w:ind w:left="720" w:hanging="720"/>
        <w:rPr>
          <w:rFonts w:ascii="Times New Roman" w:hAnsi="Times New Roman"/>
          <w:sz w:val="24"/>
        </w:rPr>
      </w:pPr>
      <w:r w:rsidRPr="00266887">
        <w:rPr>
          <w:rFonts w:ascii="Times New Roman" w:hAnsi="Times New Roman"/>
          <w:sz w:val="24"/>
        </w:rPr>
        <w:t>control and prevention. Health Promotion Practice, 5(3_suppl), 129S-134S.</w:t>
      </w:r>
    </w:p>
    <w:p w:rsidR="007847A6" w:rsidP="00410BEF" w:rsidRDefault="007847A6" w14:paraId="5EAE92A8" w14:textId="77777777">
      <w:pPr>
        <w:rPr>
          <w:rFonts w:ascii="Times New Roman" w:hAnsi="Times New Roman" w:eastAsia="Arial Unicode MS"/>
          <w:sz w:val="24"/>
          <w:szCs w:val="24"/>
        </w:rPr>
      </w:pPr>
    </w:p>
    <w:p w:rsidR="006D0DA0" w:rsidP="006D0DA0" w:rsidRDefault="006D0DA0" w14:paraId="258B505B" w14:textId="77777777">
      <w:pPr>
        <w:ind w:left="720" w:hanging="720"/>
        <w:rPr>
          <w:rFonts w:ascii="Times New Roman" w:hAnsi="Times New Roman"/>
          <w:sz w:val="24"/>
        </w:rPr>
      </w:pPr>
      <w:r w:rsidRPr="00266887">
        <w:rPr>
          <w:rFonts w:ascii="Times New Roman" w:hAnsi="Times New Roman"/>
          <w:sz w:val="24"/>
        </w:rPr>
        <w:t>U.S. Department of Health and Human Services (USDHHS). What You Need to Know About</w:t>
      </w:r>
    </w:p>
    <w:p w:rsidRPr="00266887" w:rsidR="006D0DA0" w:rsidP="006D0DA0" w:rsidRDefault="006D0DA0" w14:paraId="73A2D1FC" w14:textId="46F0F8F3">
      <w:pPr>
        <w:rPr>
          <w:rFonts w:ascii="Times New Roman" w:hAnsi="Times New Roman"/>
          <w:sz w:val="24"/>
        </w:rPr>
      </w:pPr>
      <w:r w:rsidRPr="00266887">
        <w:rPr>
          <w:rFonts w:ascii="Times New Roman" w:hAnsi="Times New Roman"/>
          <w:sz w:val="24"/>
        </w:rPr>
        <w:t>Smoking: Advice from the Surgeon General’s Reports on Smoking and Health (Fact Sheet). Atlanta, GA: U.S. Department of Health and Human Services, Centers for Disease Control and Prevention, National Center for Chronic Disease Prevention and Health Promotion, Office on Smoking and Health; 2014.</w:t>
      </w:r>
    </w:p>
    <w:p w:rsidR="006D0DA0" w:rsidP="00410BEF" w:rsidRDefault="006D0DA0" w14:paraId="28CA4AC3" w14:textId="77777777">
      <w:pPr>
        <w:rPr>
          <w:rFonts w:ascii="Times New Roman" w:hAnsi="Times New Roman" w:eastAsia="Arial Unicode MS"/>
          <w:sz w:val="24"/>
          <w:szCs w:val="24"/>
        </w:rPr>
      </w:pPr>
    </w:p>
    <w:p w:rsidRPr="002A7279" w:rsidR="00410BEF" w:rsidP="00BA2160" w:rsidRDefault="00410BEF" w14:paraId="6F785778" w14:textId="77777777">
      <w:pPr>
        <w:spacing w:line="240" w:lineRule="auto"/>
        <w:rPr>
          <w:rFonts w:ascii="Times New Roman" w:hAnsi="Times New Roman"/>
          <w:sz w:val="24"/>
          <w:szCs w:val="24"/>
        </w:rPr>
      </w:pPr>
    </w:p>
    <w:sectPr w:rsidRPr="002A7279" w:rsidR="00410BEF" w:rsidSect="00A12CC2">
      <w:headerReference w:type="default" r:id="rId11"/>
      <w:footerReference w:type="default" r:id="rId12"/>
      <w:headerReference w:type="first" r:id="rId1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6DC8B" w14:textId="77777777" w:rsidR="001C08FA" w:rsidRDefault="001C08FA" w:rsidP="007F414A">
      <w:pPr>
        <w:spacing w:line="240" w:lineRule="auto"/>
      </w:pPr>
      <w:r>
        <w:separator/>
      </w:r>
    </w:p>
  </w:endnote>
  <w:endnote w:type="continuationSeparator" w:id="0">
    <w:p w14:paraId="356285C0" w14:textId="77777777" w:rsidR="001C08FA" w:rsidRDefault="001C08FA" w:rsidP="007F414A">
      <w:pPr>
        <w:spacing w:line="240" w:lineRule="auto"/>
      </w:pPr>
      <w:r>
        <w:continuationSeparator/>
      </w:r>
    </w:p>
  </w:endnote>
  <w:endnote w:type="continuationNotice" w:id="1">
    <w:p w14:paraId="0887411C" w14:textId="77777777" w:rsidR="001C08FA" w:rsidRDefault="001C08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2C9F" w14:textId="1811926C" w:rsidR="00C55781" w:rsidRPr="00BD2651" w:rsidRDefault="00C55781">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5D7F6C">
      <w:rPr>
        <w:rFonts w:ascii="Times New Roman" w:hAnsi="Times New Roman"/>
        <w:noProof/>
      </w:rPr>
      <w:t>1</w:t>
    </w:r>
    <w:r w:rsidRPr="00BD2651">
      <w:rPr>
        <w:rFonts w:ascii="Times New Roman" w:hAnsi="Times New Roman"/>
        <w:noProof/>
      </w:rPr>
      <w:fldChar w:fldCharType="end"/>
    </w:r>
  </w:p>
  <w:p w14:paraId="45B2B6DD" w14:textId="77777777" w:rsidR="00C55781" w:rsidRDefault="00C5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E4613" w14:textId="77777777" w:rsidR="001C08FA" w:rsidRDefault="001C08FA" w:rsidP="007F414A">
      <w:pPr>
        <w:spacing w:line="240" w:lineRule="auto"/>
      </w:pPr>
      <w:r>
        <w:separator/>
      </w:r>
    </w:p>
  </w:footnote>
  <w:footnote w:type="continuationSeparator" w:id="0">
    <w:p w14:paraId="24C8C01C" w14:textId="77777777" w:rsidR="001C08FA" w:rsidRDefault="001C08FA" w:rsidP="007F414A">
      <w:pPr>
        <w:spacing w:line="240" w:lineRule="auto"/>
      </w:pPr>
      <w:r>
        <w:continuationSeparator/>
      </w:r>
    </w:p>
  </w:footnote>
  <w:footnote w:type="continuationNotice" w:id="1">
    <w:p w14:paraId="4BADEB91" w14:textId="77777777" w:rsidR="001C08FA" w:rsidRDefault="001C08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CE36" w14:textId="77777777" w:rsidR="009160F9" w:rsidRPr="00DD0426" w:rsidRDefault="009160F9" w:rsidP="009160F9">
    <w:pPr>
      <w:pBdr>
        <w:bottom w:val="single" w:sz="12" w:space="1" w:color="auto"/>
      </w:pBdr>
      <w:spacing w:line="240" w:lineRule="auto"/>
      <w:jc w:val="center"/>
      <w:rPr>
        <w:rFonts w:ascii="Times New Roman" w:hAnsi="Times New Roman"/>
        <w:b/>
        <w:sz w:val="24"/>
        <w:szCs w:val="24"/>
      </w:rPr>
    </w:pPr>
  </w:p>
  <w:p w14:paraId="1FB1F42E" w14:textId="77777777" w:rsidR="009160F9" w:rsidRDefault="00916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1792" w14:textId="77777777"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FDA DOCUMENTATION FOR THE GENERAL CLEARANCE </w:t>
    </w:r>
  </w:p>
  <w:p w14:paraId="34673F1D" w14:textId="77ED1B24"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OF PRETESTING COMMUNICATIONS ON TOBACCO PRODUCTS </w:t>
    </w:r>
  </w:p>
  <w:p w14:paraId="1E861FF4" w14:textId="1A8498CD" w:rsidR="00D30702"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(#0910-0796)</w:t>
    </w:r>
  </w:p>
  <w:p w14:paraId="6BE6BD0C" w14:textId="77777777" w:rsidR="00D30702" w:rsidRDefault="00D30702" w:rsidP="00D30702">
    <w:pPr>
      <w:pBdr>
        <w:bottom w:val="single" w:sz="12" w:space="1" w:color="auto"/>
      </w:pBdr>
      <w:spacing w:line="240" w:lineRule="auto"/>
      <w:jc w:val="center"/>
      <w:rPr>
        <w:rFonts w:ascii="Times New Roman" w:hAnsi="Times New Roman"/>
        <w:b/>
        <w:sz w:val="24"/>
        <w:szCs w:val="24"/>
      </w:rPr>
    </w:pPr>
  </w:p>
  <w:p w14:paraId="51870F2B" w14:textId="77777777" w:rsidR="00A12CC2" w:rsidRDefault="00A12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8108E"/>
    <w:multiLevelType w:val="hybridMultilevel"/>
    <w:tmpl w:val="74741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907397"/>
    <w:multiLevelType w:val="hybridMultilevel"/>
    <w:tmpl w:val="800E3D7C"/>
    <w:lvl w:ilvl="0" w:tplc="C7163386">
      <w:start w:val="1"/>
      <w:numFmt w:val="decimal"/>
      <w:lvlText w:val="%1."/>
      <w:lvlJc w:val="left"/>
      <w:pPr>
        <w:ind w:left="60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4774D8"/>
    <w:multiLevelType w:val="hybridMultilevel"/>
    <w:tmpl w:val="703C0952"/>
    <w:lvl w:ilvl="0" w:tplc="ACBAF750">
      <w:start w:val="5"/>
      <w:numFmt w:val="decimal"/>
      <w:lvlText w:val="%1."/>
      <w:lvlJc w:val="left"/>
      <w:pPr>
        <w:ind w:left="6030" w:hanging="360"/>
      </w:pPr>
      <w:rPr>
        <w:rFonts w:hint="default"/>
        <w:b/>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 w15:restartNumberingAfterBreak="0">
    <w:nsid w:val="67057711"/>
    <w:multiLevelType w:val="hybridMultilevel"/>
    <w:tmpl w:val="0E729840"/>
    <w:lvl w:ilvl="0" w:tplc="6038C6D0">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13"/>
    <w:rsid w:val="00002B2D"/>
    <w:rsid w:val="000075EC"/>
    <w:rsid w:val="00007684"/>
    <w:rsid w:val="00010ECA"/>
    <w:rsid w:val="000202E6"/>
    <w:rsid w:val="000258FD"/>
    <w:rsid w:val="000261CE"/>
    <w:rsid w:val="00032851"/>
    <w:rsid w:val="00033D9B"/>
    <w:rsid w:val="00050DD6"/>
    <w:rsid w:val="00051F0C"/>
    <w:rsid w:val="0005351F"/>
    <w:rsid w:val="00054A2A"/>
    <w:rsid w:val="000606B8"/>
    <w:rsid w:val="00060FEE"/>
    <w:rsid w:val="00073668"/>
    <w:rsid w:val="000756C7"/>
    <w:rsid w:val="000957EF"/>
    <w:rsid w:val="00097EDA"/>
    <w:rsid w:val="000A1F54"/>
    <w:rsid w:val="000A3612"/>
    <w:rsid w:val="000A476A"/>
    <w:rsid w:val="000A705F"/>
    <w:rsid w:val="000B0CA5"/>
    <w:rsid w:val="000C22A9"/>
    <w:rsid w:val="000C3AA2"/>
    <w:rsid w:val="000C6870"/>
    <w:rsid w:val="000D2613"/>
    <w:rsid w:val="000D2D25"/>
    <w:rsid w:val="000D62C0"/>
    <w:rsid w:val="000E747B"/>
    <w:rsid w:val="000F617D"/>
    <w:rsid w:val="00107C31"/>
    <w:rsid w:val="00126E70"/>
    <w:rsid w:val="0013421E"/>
    <w:rsid w:val="0014168F"/>
    <w:rsid w:val="00144DC4"/>
    <w:rsid w:val="00146303"/>
    <w:rsid w:val="00150D9B"/>
    <w:rsid w:val="00162C39"/>
    <w:rsid w:val="00165BC1"/>
    <w:rsid w:val="0017329A"/>
    <w:rsid w:val="00177BB9"/>
    <w:rsid w:val="0019069E"/>
    <w:rsid w:val="00190F50"/>
    <w:rsid w:val="00192721"/>
    <w:rsid w:val="00192774"/>
    <w:rsid w:val="00194707"/>
    <w:rsid w:val="001969E7"/>
    <w:rsid w:val="001A11D7"/>
    <w:rsid w:val="001A3543"/>
    <w:rsid w:val="001A5488"/>
    <w:rsid w:val="001A64CD"/>
    <w:rsid w:val="001A7886"/>
    <w:rsid w:val="001B21B5"/>
    <w:rsid w:val="001B49C5"/>
    <w:rsid w:val="001B7ADA"/>
    <w:rsid w:val="001C08FA"/>
    <w:rsid w:val="001C3033"/>
    <w:rsid w:val="001C3408"/>
    <w:rsid w:val="001D2A31"/>
    <w:rsid w:val="001D3C7F"/>
    <w:rsid w:val="001D7B38"/>
    <w:rsid w:val="001F3729"/>
    <w:rsid w:val="001F73E2"/>
    <w:rsid w:val="00205453"/>
    <w:rsid w:val="00213CCA"/>
    <w:rsid w:val="002147ED"/>
    <w:rsid w:val="0022051C"/>
    <w:rsid w:val="00222F22"/>
    <w:rsid w:val="00236FA3"/>
    <w:rsid w:val="002413C2"/>
    <w:rsid w:val="002423B0"/>
    <w:rsid w:val="002427AF"/>
    <w:rsid w:val="00244EE2"/>
    <w:rsid w:val="00253696"/>
    <w:rsid w:val="002655D4"/>
    <w:rsid w:val="00265C99"/>
    <w:rsid w:val="00273C8B"/>
    <w:rsid w:val="00275DCE"/>
    <w:rsid w:val="0028666D"/>
    <w:rsid w:val="00291253"/>
    <w:rsid w:val="00292330"/>
    <w:rsid w:val="00293C71"/>
    <w:rsid w:val="002A09C5"/>
    <w:rsid w:val="002A32C6"/>
    <w:rsid w:val="002A42AB"/>
    <w:rsid w:val="002A7192"/>
    <w:rsid w:val="002A7279"/>
    <w:rsid w:val="002B6165"/>
    <w:rsid w:val="002B63C2"/>
    <w:rsid w:val="002C1221"/>
    <w:rsid w:val="002C2A16"/>
    <w:rsid w:val="002C3053"/>
    <w:rsid w:val="002C38C8"/>
    <w:rsid w:val="002C4956"/>
    <w:rsid w:val="002D7054"/>
    <w:rsid w:val="002E0458"/>
    <w:rsid w:val="002E2C04"/>
    <w:rsid w:val="002F1F1C"/>
    <w:rsid w:val="002F6062"/>
    <w:rsid w:val="00314CB1"/>
    <w:rsid w:val="00315801"/>
    <w:rsid w:val="00317755"/>
    <w:rsid w:val="00322356"/>
    <w:rsid w:val="00322A0F"/>
    <w:rsid w:val="00322B56"/>
    <w:rsid w:val="00323CEA"/>
    <w:rsid w:val="003534E9"/>
    <w:rsid w:val="00353F23"/>
    <w:rsid w:val="00360A91"/>
    <w:rsid w:val="003613B3"/>
    <w:rsid w:val="00374D82"/>
    <w:rsid w:val="003766CC"/>
    <w:rsid w:val="00392EA6"/>
    <w:rsid w:val="00394F81"/>
    <w:rsid w:val="0039502F"/>
    <w:rsid w:val="003C21A0"/>
    <w:rsid w:val="003C2345"/>
    <w:rsid w:val="003C3E80"/>
    <w:rsid w:val="003C5BA6"/>
    <w:rsid w:val="003D17BE"/>
    <w:rsid w:val="003D3AEB"/>
    <w:rsid w:val="003D7F39"/>
    <w:rsid w:val="003E2754"/>
    <w:rsid w:val="003E4427"/>
    <w:rsid w:val="003F1C82"/>
    <w:rsid w:val="003F2554"/>
    <w:rsid w:val="00410BEF"/>
    <w:rsid w:val="00412836"/>
    <w:rsid w:val="00413113"/>
    <w:rsid w:val="00415326"/>
    <w:rsid w:val="00417DF1"/>
    <w:rsid w:val="0042099B"/>
    <w:rsid w:val="0042517B"/>
    <w:rsid w:val="00425F49"/>
    <w:rsid w:val="00426566"/>
    <w:rsid w:val="00436296"/>
    <w:rsid w:val="0044129A"/>
    <w:rsid w:val="00443CB9"/>
    <w:rsid w:val="00445252"/>
    <w:rsid w:val="0044768D"/>
    <w:rsid w:val="00451DD6"/>
    <w:rsid w:val="004544E2"/>
    <w:rsid w:val="00455F84"/>
    <w:rsid w:val="00456D10"/>
    <w:rsid w:val="00471F79"/>
    <w:rsid w:val="00472F40"/>
    <w:rsid w:val="00473190"/>
    <w:rsid w:val="004735BC"/>
    <w:rsid w:val="0047628D"/>
    <w:rsid w:val="00481962"/>
    <w:rsid w:val="00482535"/>
    <w:rsid w:val="0048710E"/>
    <w:rsid w:val="00487B2C"/>
    <w:rsid w:val="004A2DC6"/>
    <w:rsid w:val="004A5EFB"/>
    <w:rsid w:val="004B7454"/>
    <w:rsid w:val="004B7DD0"/>
    <w:rsid w:val="004C6B4D"/>
    <w:rsid w:val="004D3D53"/>
    <w:rsid w:val="004D62A9"/>
    <w:rsid w:val="004E3D8E"/>
    <w:rsid w:val="004F2800"/>
    <w:rsid w:val="004F3441"/>
    <w:rsid w:val="004F7E8D"/>
    <w:rsid w:val="005115CF"/>
    <w:rsid w:val="0052107E"/>
    <w:rsid w:val="0052143D"/>
    <w:rsid w:val="005217D8"/>
    <w:rsid w:val="00527B86"/>
    <w:rsid w:val="00530034"/>
    <w:rsid w:val="00530A93"/>
    <w:rsid w:val="00534B84"/>
    <w:rsid w:val="005363BC"/>
    <w:rsid w:val="005377B5"/>
    <w:rsid w:val="00551AAE"/>
    <w:rsid w:val="00553CC1"/>
    <w:rsid w:val="00554991"/>
    <w:rsid w:val="005561D1"/>
    <w:rsid w:val="00557BCB"/>
    <w:rsid w:val="005639AE"/>
    <w:rsid w:val="005645C4"/>
    <w:rsid w:val="00565841"/>
    <w:rsid w:val="00571C09"/>
    <w:rsid w:val="00575153"/>
    <w:rsid w:val="00582B9B"/>
    <w:rsid w:val="0058310B"/>
    <w:rsid w:val="005860FD"/>
    <w:rsid w:val="0059326E"/>
    <w:rsid w:val="00594EA4"/>
    <w:rsid w:val="005960F7"/>
    <w:rsid w:val="005A4CAB"/>
    <w:rsid w:val="005B32CF"/>
    <w:rsid w:val="005B5425"/>
    <w:rsid w:val="005C057F"/>
    <w:rsid w:val="005C2AB8"/>
    <w:rsid w:val="005C4F4B"/>
    <w:rsid w:val="005D44E9"/>
    <w:rsid w:val="005D5835"/>
    <w:rsid w:val="005D7F6C"/>
    <w:rsid w:val="00615155"/>
    <w:rsid w:val="00615C8B"/>
    <w:rsid w:val="00632649"/>
    <w:rsid w:val="00635AA5"/>
    <w:rsid w:val="006510C6"/>
    <w:rsid w:val="00651F6B"/>
    <w:rsid w:val="00654FF2"/>
    <w:rsid w:val="00657D71"/>
    <w:rsid w:val="00663C64"/>
    <w:rsid w:val="00667C22"/>
    <w:rsid w:val="00671775"/>
    <w:rsid w:val="00685ADD"/>
    <w:rsid w:val="00696D3E"/>
    <w:rsid w:val="006A64B5"/>
    <w:rsid w:val="006B40B0"/>
    <w:rsid w:val="006C0E29"/>
    <w:rsid w:val="006C23D7"/>
    <w:rsid w:val="006D0DA0"/>
    <w:rsid w:val="006D15B9"/>
    <w:rsid w:val="006D1B24"/>
    <w:rsid w:val="006D6D27"/>
    <w:rsid w:val="006D7F5D"/>
    <w:rsid w:val="006E307B"/>
    <w:rsid w:val="006E7DA9"/>
    <w:rsid w:val="006F2BEC"/>
    <w:rsid w:val="006F46F8"/>
    <w:rsid w:val="006F6F67"/>
    <w:rsid w:val="007068C6"/>
    <w:rsid w:val="00735052"/>
    <w:rsid w:val="00736D7D"/>
    <w:rsid w:val="00740DF6"/>
    <w:rsid w:val="00742B8E"/>
    <w:rsid w:val="00743394"/>
    <w:rsid w:val="00745B11"/>
    <w:rsid w:val="00745CC6"/>
    <w:rsid w:val="00745FDD"/>
    <w:rsid w:val="0074726D"/>
    <w:rsid w:val="00761AA0"/>
    <w:rsid w:val="00775E32"/>
    <w:rsid w:val="007847A6"/>
    <w:rsid w:val="007849C9"/>
    <w:rsid w:val="00795EE2"/>
    <w:rsid w:val="007B4D76"/>
    <w:rsid w:val="007B64E2"/>
    <w:rsid w:val="007C17D7"/>
    <w:rsid w:val="007C5C96"/>
    <w:rsid w:val="007D46EE"/>
    <w:rsid w:val="007D7B23"/>
    <w:rsid w:val="007E69B3"/>
    <w:rsid w:val="007E7AD4"/>
    <w:rsid w:val="007F1B4A"/>
    <w:rsid w:val="007F32E1"/>
    <w:rsid w:val="007F38E8"/>
    <w:rsid w:val="007F414A"/>
    <w:rsid w:val="007F700C"/>
    <w:rsid w:val="007F7C36"/>
    <w:rsid w:val="00803BF5"/>
    <w:rsid w:val="00803E37"/>
    <w:rsid w:val="0080458F"/>
    <w:rsid w:val="008062FD"/>
    <w:rsid w:val="008079B8"/>
    <w:rsid w:val="0081058B"/>
    <w:rsid w:val="008110A3"/>
    <w:rsid w:val="00817D7A"/>
    <w:rsid w:val="0082291A"/>
    <w:rsid w:val="00823843"/>
    <w:rsid w:val="00826873"/>
    <w:rsid w:val="008279EF"/>
    <w:rsid w:val="0083067F"/>
    <w:rsid w:val="008353AB"/>
    <w:rsid w:val="008363AF"/>
    <w:rsid w:val="00873211"/>
    <w:rsid w:val="00874D23"/>
    <w:rsid w:val="00880AC3"/>
    <w:rsid w:val="00882024"/>
    <w:rsid w:val="008831AA"/>
    <w:rsid w:val="00885FA8"/>
    <w:rsid w:val="0089024B"/>
    <w:rsid w:val="008A327A"/>
    <w:rsid w:val="008A376B"/>
    <w:rsid w:val="008A412D"/>
    <w:rsid w:val="008A74DD"/>
    <w:rsid w:val="008A7F44"/>
    <w:rsid w:val="008B3046"/>
    <w:rsid w:val="008B3FA9"/>
    <w:rsid w:val="008D0734"/>
    <w:rsid w:val="008D4DE3"/>
    <w:rsid w:val="008E2385"/>
    <w:rsid w:val="008E24D5"/>
    <w:rsid w:val="008F51C0"/>
    <w:rsid w:val="00902888"/>
    <w:rsid w:val="009160F9"/>
    <w:rsid w:val="00925A6A"/>
    <w:rsid w:val="009326F8"/>
    <w:rsid w:val="0093538B"/>
    <w:rsid w:val="00943926"/>
    <w:rsid w:val="00956625"/>
    <w:rsid w:val="00957513"/>
    <w:rsid w:val="00962907"/>
    <w:rsid w:val="00967D91"/>
    <w:rsid w:val="009738F7"/>
    <w:rsid w:val="00974814"/>
    <w:rsid w:val="009951F9"/>
    <w:rsid w:val="009A7696"/>
    <w:rsid w:val="009B0E71"/>
    <w:rsid w:val="009B37FC"/>
    <w:rsid w:val="009D074E"/>
    <w:rsid w:val="009D52FB"/>
    <w:rsid w:val="009E68B6"/>
    <w:rsid w:val="009F1B31"/>
    <w:rsid w:val="009F2A76"/>
    <w:rsid w:val="00A03C25"/>
    <w:rsid w:val="00A076FE"/>
    <w:rsid w:val="00A12CC2"/>
    <w:rsid w:val="00A15F4D"/>
    <w:rsid w:val="00A26438"/>
    <w:rsid w:val="00A35A30"/>
    <w:rsid w:val="00A452DE"/>
    <w:rsid w:val="00A46085"/>
    <w:rsid w:val="00A50B00"/>
    <w:rsid w:val="00A51189"/>
    <w:rsid w:val="00A56143"/>
    <w:rsid w:val="00A57BAF"/>
    <w:rsid w:val="00A66478"/>
    <w:rsid w:val="00A70562"/>
    <w:rsid w:val="00A709A3"/>
    <w:rsid w:val="00A81F19"/>
    <w:rsid w:val="00A835A8"/>
    <w:rsid w:val="00A846A2"/>
    <w:rsid w:val="00AA2CBA"/>
    <w:rsid w:val="00AB2EA0"/>
    <w:rsid w:val="00AB39ED"/>
    <w:rsid w:val="00AC1D69"/>
    <w:rsid w:val="00AD38F2"/>
    <w:rsid w:val="00AE0ED3"/>
    <w:rsid w:val="00AE181C"/>
    <w:rsid w:val="00AE2EF0"/>
    <w:rsid w:val="00AE705E"/>
    <w:rsid w:val="00AE7C20"/>
    <w:rsid w:val="00AF31EB"/>
    <w:rsid w:val="00AF373F"/>
    <w:rsid w:val="00AF6255"/>
    <w:rsid w:val="00B00A0A"/>
    <w:rsid w:val="00B00DB9"/>
    <w:rsid w:val="00B01FF2"/>
    <w:rsid w:val="00B061A2"/>
    <w:rsid w:val="00B14F0C"/>
    <w:rsid w:val="00B17E23"/>
    <w:rsid w:val="00B317FF"/>
    <w:rsid w:val="00B33742"/>
    <w:rsid w:val="00B468DA"/>
    <w:rsid w:val="00B52EDA"/>
    <w:rsid w:val="00B571B8"/>
    <w:rsid w:val="00B72DAC"/>
    <w:rsid w:val="00B73BF9"/>
    <w:rsid w:val="00B7490B"/>
    <w:rsid w:val="00B74B93"/>
    <w:rsid w:val="00B7581E"/>
    <w:rsid w:val="00B817BA"/>
    <w:rsid w:val="00B83FF3"/>
    <w:rsid w:val="00B84A7D"/>
    <w:rsid w:val="00B928B7"/>
    <w:rsid w:val="00B934AA"/>
    <w:rsid w:val="00BA2160"/>
    <w:rsid w:val="00BA7774"/>
    <w:rsid w:val="00BB2014"/>
    <w:rsid w:val="00BB25CB"/>
    <w:rsid w:val="00BB4671"/>
    <w:rsid w:val="00BB58BD"/>
    <w:rsid w:val="00BC50D3"/>
    <w:rsid w:val="00BD0A5D"/>
    <w:rsid w:val="00BD2651"/>
    <w:rsid w:val="00BD5BA1"/>
    <w:rsid w:val="00BD6030"/>
    <w:rsid w:val="00BD749D"/>
    <w:rsid w:val="00C041EB"/>
    <w:rsid w:val="00C0656B"/>
    <w:rsid w:val="00C12983"/>
    <w:rsid w:val="00C12C43"/>
    <w:rsid w:val="00C139F1"/>
    <w:rsid w:val="00C23873"/>
    <w:rsid w:val="00C247E9"/>
    <w:rsid w:val="00C25637"/>
    <w:rsid w:val="00C2720E"/>
    <w:rsid w:val="00C304AD"/>
    <w:rsid w:val="00C312A8"/>
    <w:rsid w:val="00C43B76"/>
    <w:rsid w:val="00C46CDF"/>
    <w:rsid w:val="00C548AF"/>
    <w:rsid w:val="00C55781"/>
    <w:rsid w:val="00C66423"/>
    <w:rsid w:val="00C7271C"/>
    <w:rsid w:val="00C7391F"/>
    <w:rsid w:val="00C77BD7"/>
    <w:rsid w:val="00C81A7A"/>
    <w:rsid w:val="00C84A1E"/>
    <w:rsid w:val="00C86468"/>
    <w:rsid w:val="00C90120"/>
    <w:rsid w:val="00C921CC"/>
    <w:rsid w:val="00C95887"/>
    <w:rsid w:val="00C96DD1"/>
    <w:rsid w:val="00C975AC"/>
    <w:rsid w:val="00CB0277"/>
    <w:rsid w:val="00CB6B4D"/>
    <w:rsid w:val="00CC412A"/>
    <w:rsid w:val="00CC6716"/>
    <w:rsid w:val="00CD1A17"/>
    <w:rsid w:val="00CE3482"/>
    <w:rsid w:val="00D0018B"/>
    <w:rsid w:val="00D01A9E"/>
    <w:rsid w:val="00D03DFD"/>
    <w:rsid w:val="00D064F9"/>
    <w:rsid w:val="00D25222"/>
    <w:rsid w:val="00D3038C"/>
    <w:rsid w:val="00D30702"/>
    <w:rsid w:val="00D316A9"/>
    <w:rsid w:val="00D34423"/>
    <w:rsid w:val="00D43A9C"/>
    <w:rsid w:val="00D466E1"/>
    <w:rsid w:val="00D51CC3"/>
    <w:rsid w:val="00D63BCC"/>
    <w:rsid w:val="00D7021F"/>
    <w:rsid w:val="00D74CA7"/>
    <w:rsid w:val="00D7548D"/>
    <w:rsid w:val="00D75CB3"/>
    <w:rsid w:val="00D776F7"/>
    <w:rsid w:val="00D80104"/>
    <w:rsid w:val="00D81020"/>
    <w:rsid w:val="00D81587"/>
    <w:rsid w:val="00DA0794"/>
    <w:rsid w:val="00DA0858"/>
    <w:rsid w:val="00DA5BC5"/>
    <w:rsid w:val="00DB4229"/>
    <w:rsid w:val="00DB4D54"/>
    <w:rsid w:val="00DC7391"/>
    <w:rsid w:val="00DD0426"/>
    <w:rsid w:val="00DF10A9"/>
    <w:rsid w:val="00E01FB8"/>
    <w:rsid w:val="00E07C91"/>
    <w:rsid w:val="00E139AA"/>
    <w:rsid w:val="00E14DAD"/>
    <w:rsid w:val="00E15874"/>
    <w:rsid w:val="00E31F2D"/>
    <w:rsid w:val="00E449B4"/>
    <w:rsid w:val="00E468DB"/>
    <w:rsid w:val="00E47AAC"/>
    <w:rsid w:val="00E47DA0"/>
    <w:rsid w:val="00E5185C"/>
    <w:rsid w:val="00E51DE7"/>
    <w:rsid w:val="00E52AEE"/>
    <w:rsid w:val="00E61DB2"/>
    <w:rsid w:val="00E70E79"/>
    <w:rsid w:val="00E71BD0"/>
    <w:rsid w:val="00E71C4D"/>
    <w:rsid w:val="00E84529"/>
    <w:rsid w:val="00E87942"/>
    <w:rsid w:val="00E91ED4"/>
    <w:rsid w:val="00E929AA"/>
    <w:rsid w:val="00EA2CF3"/>
    <w:rsid w:val="00EA2E63"/>
    <w:rsid w:val="00EB20D7"/>
    <w:rsid w:val="00EB5A80"/>
    <w:rsid w:val="00ED36EA"/>
    <w:rsid w:val="00ED403B"/>
    <w:rsid w:val="00EF5B31"/>
    <w:rsid w:val="00F02FD1"/>
    <w:rsid w:val="00F07049"/>
    <w:rsid w:val="00F15634"/>
    <w:rsid w:val="00F237CA"/>
    <w:rsid w:val="00F23A0D"/>
    <w:rsid w:val="00F24041"/>
    <w:rsid w:val="00F24AEF"/>
    <w:rsid w:val="00F254A9"/>
    <w:rsid w:val="00F26180"/>
    <w:rsid w:val="00F31854"/>
    <w:rsid w:val="00F3435C"/>
    <w:rsid w:val="00F37A21"/>
    <w:rsid w:val="00F46475"/>
    <w:rsid w:val="00F52D8C"/>
    <w:rsid w:val="00F65817"/>
    <w:rsid w:val="00F93905"/>
    <w:rsid w:val="00F941BD"/>
    <w:rsid w:val="00FA3DD0"/>
    <w:rsid w:val="00FA66FC"/>
    <w:rsid w:val="00FA7DDF"/>
    <w:rsid w:val="00FB3459"/>
    <w:rsid w:val="00FB41C0"/>
    <w:rsid w:val="00FB7608"/>
    <w:rsid w:val="00FC20F7"/>
    <w:rsid w:val="00FC50E3"/>
    <w:rsid w:val="00FC5827"/>
    <w:rsid w:val="00FC6727"/>
    <w:rsid w:val="00FD150F"/>
    <w:rsid w:val="00FD7E04"/>
    <w:rsid w:val="00FE7B75"/>
    <w:rsid w:val="00FE7E36"/>
    <w:rsid w:val="00FF46B0"/>
    <w:rsid w:val="00FF5C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98C475"/>
  <w15:docId w15:val="{76543EB9-EDEB-46E1-8C6D-F5870FD7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 w:type="character" w:styleId="UnresolvedMention">
    <w:name w:val="Unresolved Mention"/>
    <w:basedOn w:val="DefaultParagraphFont"/>
    <w:uiPriority w:val="99"/>
    <w:semiHidden/>
    <w:unhideWhenUsed/>
    <w:rsid w:val="009B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65563822">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315717639">
      <w:bodyDiv w:val="1"/>
      <w:marLeft w:val="0"/>
      <w:marRight w:val="0"/>
      <w:marTop w:val="0"/>
      <w:marBottom w:val="0"/>
      <w:divBdr>
        <w:top w:val="none" w:sz="0" w:space="0" w:color="auto"/>
        <w:left w:val="none" w:sz="0" w:space="0" w:color="auto"/>
        <w:bottom w:val="none" w:sz="0" w:space="0" w:color="auto"/>
        <w:right w:val="none" w:sz="0" w:space="0" w:color="auto"/>
      </w:divBdr>
    </w:div>
    <w:div w:id="1776707364">
      <w:bodyDiv w:val="1"/>
      <w:marLeft w:val="0"/>
      <w:marRight w:val="0"/>
      <w:marTop w:val="0"/>
      <w:marBottom w:val="0"/>
      <w:divBdr>
        <w:top w:val="none" w:sz="0" w:space="0" w:color="auto"/>
        <w:left w:val="none" w:sz="0" w:space="0" w:color="auto"/>
        <w:bottom w:val="none" w:sz="0" w:space="0" w:color="auto"/>
        <w:right w:val="none" w:sz="0" w:space="0" w:color="auto"/>
      </w:divBdr>
    </w:div>
    <w:div w:id="1781102851">
      <w:bodyDiv w:val="1"/>
      <w:marLeft w:val="0"/>
      <w:marRight w:val="0"/>
      <w:marTop w:val="0"/>
      <w:marBottom w:val="0"/>
      <w:divBdr>
        <w:top w:val="none" w:sz="0" w:space="0" w:color="auto"/>
        <w:left w:val="none" w:sz="0" w:space="0" w:color="auto"/>
        <w:bottom w:val="none" w:sz="0" w:space="0" w:color="auto"/>
        <w:right w:val="none" w:sz="0" w:space="0" w:color="auto"/>
      </w:divBdr>
    </w:div>
    <w:div w:id="1949309580">
      <w:bodyDiv w:val="1"/>
      <w:marLeft w:val="0"/>
      <w:marRight w:val="0"/>
      <w:marTop w:val="0"/>
      <w:marBottom w:val="0"/>
      <w:divBdr>
        <w:top w:val="none" w:sz="0" w:space="0" w:color="auto"/>
        <w:left w:val="none" w:sz="0" w:space="0" w:color="auto"/>
        <w:bottom w:val="none" w:sz="0" w:space="0" w:color="auto"/>
        <w:right w:val="none" w:sz="0" w:space="0" w:color="auto"/>
      </w:divBdr>
    </w:div>
    <w:div w:id="19690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sfa.Alexander@fda.hhs.gov" TargetMode="External"/><Relationship Id="rId4" Type="http://schemas.openxmlformats.org/officeDocument/2006/relationships/styles" Target="styles.xml"/><Relationship Id="rId9" Type="http://schemas.openxmlformats.org/officeDocument/2006/relationships/hyperlink" Target="mailto:Ila.Mizrachi@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4F3C-CD4C-4C3D-A1C7-01DB643CE1D6}">
  <ds:schemaRefs>
    <ds:schemaRef ds:uri="http://schemas.openxmlformats.org/officeDocument/2006/bibliography"/>
  </ds:schemaRefs>
</ds:datastoreItem>
</file>

<file path=customXml/itemProps2.xml><?xml version="1.0" encoding="utf-8"?>
<ds:datastoreItem xmlns:ds="http://schemas.openxmlformats.org/officeDocument/2006/customXml" ds:itemID="{E9EA2450-2772-455A-AA5C-0B3F2931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Charlie (NYC-DRF)</dc:creator>
  <cp:lastModifiedBy>Mizrachi, Ila</cp:lastModifiedBy>
  <cp:revision>2</cp:revision>
  <cp:lastPrinted>2019-05-28T17:36:00Z</cp:lastPrinted>
  <dcterms:created xsi:type="dcterms:W3CDTF">2020-02-12T17:58:00Z</dcterms:created>
  <dcterms:modified xsi:type="dcterms:W3CDTF">2020-02-12T17:58:00Z</dcterms:modified>
</cp:coreProperties>
</file>