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51C5D" w:rsidR="00251144" w:rsidP="00DF25C6" w:rsidRDefault="00251144" w14:paraId="77B2ABDC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Supporting Statement A</w:t>
      </w:r>
    </w:p>
    <w:p w:rsidRPr="00751C5D" w:rsidR="00251144" w:rsidP="00DF25C6" w:rsidRDefault="00251144" w14:paraId="1C780DFC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751C5D" w:rsidR="00251144" w:rsidP="00DF25C6" w:rsidRDefault="00251144" w14:paraId="44BD4826" w14:textId="0899ABA5">
      <w:pPr>
        <w:widowControl w:val="0"/>
        <w:autoSpaceDE w:val="0"/>
        <w:autoSpaceDN w:val="0"/>
        <w:adjustRightInd w:val="0"/>
        <w:spacing w:after="120" w:line="240" w:lineRule="auto"/>
        <w:ind w:right="-14"/>
        <w:jc w:val="center"/>
        <w:rPr>
          <w:rFonts w:ascii="Times New Roman" w:hAnsi="Times New Roman" w:eastAsia="Times New Roman" w:cs="Times New Roman"/>
          <w:b/>
          <w:w w:val="105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w w:val="105"/>
          <w:sz w:val="24"/>
          <w:szCs w:val="24"/>
        </w:rPr>
        <w:t>Ending the HIV Epidemic Initiative</w:t>
      </w:r>
      <w:r w:rsidRPr="00751C5D" w:rsidR="009A765D">
        <w:rPr>
          <w:rFonts w:ascii="Times New Roman" w:hAnsi="Times New Roman" w:eastAsia="Times New Roman" w:cs="Times New Roman"/>
          <w:b/>
          <w:w w:val="105"/>
          <w:sz w:val="24"/>
          <w:szCs w:val="24"/>
        </w:rPr>
        <w:t>- New</w:t>
      </w:r>
    </w:p>
    <w:p w:rsidRPr="00751C5D" w:rsidR="00251144" w:rsidP="00DF25C6" w:rsidRDefault="00251144" w14:paraId="2C85BE36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751C5D" w:rsidR="00251144" w:rsidP="00DF25C6" w:rsidRDefault="00251144" w14:paraId="21DEE061" w14:textId="7A87B880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OMB Control No</w:t>
      </w:r>
      <w:r w:rsid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 </w:t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softHyphen/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softHyphen/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softHyphen/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softHyphen/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softHyphen/>
      </w:r>
      <w:r w:rsidRPr="00751C5D" w:rsidR="009A765D">
        <w:rPr>
          <w:rFonts w:ascii="Times New Roman" w:hAnsi="Times New Roman" w:eastAsia="Times New Roman" w:cs="Times New Roman"/>
          <w:b/>
          <w:bCs/>
          <w:sz w:val="24"/>
          <w:szCs w:val="24"/>
        </w:rPr>
        <w:t>0906-XXXX</w:t>
      </w:r>
    </w:p>
    <w:p w:rsidRPr="00751C5D" w:rsidR="00525C05" w:rsidP="00DF25C6" w:rsidRDefault="00525C05" w14:paraId="175F60AF" w14:textId="7E52B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251144" w:rsidP="00DF25C6" w:rsidRDefault="00251144" w14:paraId="35B572B2" w14:textId="7777777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sz w:val="24"/>
          <w:szCs w:val="24"/>
        </w:rPr>
        <w:t>Terms of Clearance: None</w:t>
      </w:r>
    </w:p>
    <w:p w:rsidRPr="00751C5D" w:rsidR="00251144" w:rsidP="00DF25C6" w:rsidRDefault="00251144" w14:paraId="0CFDDDD9" w14:textId="7777777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51C5D" w:rsidR="00251144" w:rsidP="002339A1" w:rsidRDefault="00251144" w14:paraId="023496BE" w14:textId="7777777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A.</w:t>
      </w: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  <w:t>Justification</w:t>
      </w:r>
    </w:p>
    <w:p w:rsidRPr="00751C5D" w:rsidR="002339A1" w:rsidP="002339A1" w:rsidRDefault="00251144" w14:paraId="34D9DFAF" w14:textId="1F7AFB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Circumstances Making the Collection of Information Necessary</w:t>
      </w:r>
    </w:p>
    <w:p w:rsidRPr="00751C5D" w:rsidR="002339A1" w:rsidP="002339A1" w:rsidRDefault="002339A1" w14:paraId="5BCB4985" w14:textId="7777777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474E16" w:rsidP="00474E16" w:rsidRDefault="00474E16" w14:paraId="457404B7" w14:textId="29DA0A8B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spacing w:val="0"/>
          <w:sz w:val="24"/>
          <w:szCs w:val="24"/>
        </w:rPr>
      </w:pPr>
      <w:r w:rsidRPr="00751C5D">
        <w:rPr>
          <w:rFonts w:ascii="Times New Roman" w:hAnsi="Times New Roman"/>
          <w:sz w:val="24"/>
          <w:szCs w:val="24"/>
        </w:rPr>
        <w:t>The Health Resources and Services Administration (HRSA) is requesting approval from the Office of Management and Budget (OMB) for a new data collection for the Ending the HIV Epidemic</w:t>
      </w:r>
      <w:r w:rsidRPr="00751C5D" w:rsidR="005B4692">
        <w:rPr>
          <w:rFonts w:ascii="Times New Roman" w:hAnsi="Times New Roman"/>
          <w:sz w:val="24"/>
          <w:szCs w:val="24"/>
        </w:rPr>
        <w:t xml:space="preserve"> (EHE) </w:t>
      </w:r>
      <w:r w:rsidRPr="00751C5D">
        <w:rPr>
          <w:rFonts w:ascii="Times New Roman" w:hAnsi="Times New Roman"/>
          <w:sz w:val="24"/>
          <w:szCs w:val="24"/>
        </w:rPr>
        <w:t xml:space="preserve"> Initiative</w:t>
      </w:r>
      <w:r w:rsidRPr="00751C5D" w:rsidR="005B4692">
        <w:rPr>
          <w:rFonts w:ascii="Times New Roman" w:hAnsi="Times New Roman"/>
          <w:sz w:val="24"/>
          <w:szCs w:val="24"/>
        </w:rPr>
        <w:t xml:space="preserve"> Triannual Module</w:t>
      </w:r>
      <w:r w:rsidRPr="00751C5D" w:rsidR="00F0042D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751C5D">
        <w:rPr>
          <w:rFonts w:ascii="Times New Roman" w:hAnsi="Times New Roman"/>
          <w:sz w:val="24"/>
          <w:szCs w:val="24"/>
        </w:rPr>
        <w:t xml:space="preserve">.  </w:t>
      </w:r>
      <w:r w:rsidRPr="00751C5D">
        <w:rPr>
          <w:rFonts w:ascii="Times New Roman" w:hAnsi="Times New Roman"/>
          <w:sz w:val="24"/>
          <w:szCs w:val="24"/>
        </w:rPr>
        <w:t xml:space="preserve">As introduced in the 2019 State of the Union address as the new “Ending the HIV Epidemic: </w:t>
      </w:r>
      <w:r w:rsidR="00751C5D">
        <w:rPr>
          <w:rFonts w:ascii="Times New Roman" w:hAnsi="Times New Roman"/>
          <w:sz w:val="24"/>
          <w:szCs w:val="24"/>
        </w:rPr>
        <w:t xml:space="preserve"> </w:t>
      </w:r>
      <w:r w:rsidRPr="00751C5D">
        <w:rPr>
          <w:rFonts w:ascii="Times New Roman" w:hAnsi="Times New Roman"/>
          <w:sz w:val="24"/>
          <w:szCs w:val="24"/>
        </w:rPr>
        <w:t xml:space="preserve">A Plan for America, the EHE is </w:t>
      </w:r>
      <w:r w:rsidRPr="00751C5D">
        <w:rPr>
          <w:rFonts w:ascii="Times New Roman" w:hAnsi="Times New Roman"/>
          <w:spacing w:val="0"/>
          <w:sz w:val="24"/>
          <w:szCs w:val="24"/>
        </w:rPr>
        <w:t>a ten-year initiative to achieve the goal of reducing new HIV infections to less than 3,000 per year by 2030</w:t>
      </w:r>
      <w:r w:rsidR="00751C5D">
        <w:rPr>
          <w:rFonts w:ascii="Times New Roman" w:hAnsi="Times New Roman"/>
          <w:spacing w:val="0"/>
          <w:sz w:val="24"/>
          <w:szCs w:val="24"/>
        </w:rPr>
        <w:t xml:space="preserve">.  </w:t>
      </w:r>
      <w:r w:rsidRPr="00751C5D">
        <w:rPr>
          <w:rFonts w:ascii="Times New Roman" w:hAnsi="Times New Roman"/>
          <w:spacing w:val="0"/>
          <w:sz w:val="24"/>
          <w:szCs w:val="24"/>
        </w:rPr>
        <w:t>Reducing new infections to this level would essentially mean that HIV transmissions would be</w:t>
      </w:r>
      <w:r w:rsidRPr="00751C5D" w:rsidR="0009666A">
        <w:rPr>
          <w:rFonts w:ascii="Times New Roman" w:hAnsi="Times New Roman"/>
          <w:spacing w:val="0"/>
          <w:sz w:val="24"/>
          <w:szCs w:val="24"/>
        </w:rPr>
        <w:t>come</w:t>
      </w:r>
      <w:r w:rsidRPr="00751C5D">
        <w:rPr>
          <w:rFonts w:ascii="Times New Roman" w:hAnsi="Times New Roman"/>
          <w:spacing w:val="0"/>
          <w:sz w:val="24"/>
          <w:szCs w:val="24"/>
        </w:rPr>
        <w:t xml:space="preserve"> rare and meet the definition of ending the epidemic</w:t>
      </w:r>
      <w:r w:rsidR="00751C5D">
        <w:rPr>
          <w:rFonts w:ascii="Times New Roman" w:hAnsi="Times New Roman"/>
          <w:spacing w:val="0"/>
          <w:sz w:val="24"/>
          <w:szCs w:val="24"/>
        </w:rPr>
        <w:t xml:space="preserve">.  </w:t>
      </w:r>
    </w:p>
    <w:p w:rsidRPr="00751C5D" w:rsidR="00474E16" w:rsidP="00105523" w:rsidRDefault="00474E16" w14:paraId="20F56D43" w14:textId="0FBD4F1E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sz w:val="24"/>
          <w:szCs w:val="24"/>
        </w:rPr>
      </w:pPr>
      <w:r w:rsidRPr="00751C5D">
        <w:rPr>
          <w:rFonts w:ascii="Times New Roman" w:hAnsi="Times New Roman"/>
          <w:spacing w:val="0"/>
          <w:sz w:val="24"/>
          <w:szCs w:val="24"/>
        </w:rPr>
        <w:t>The initiative will focus efforts in 48 counties, Washington, DC, San Juan (PR), and an additional seven states with a substantial number of HIV diagnoses in rural areas</w:t>
      </w:r>
      <w:r w:rsidR="00751C5D">
        <w:rPr>
          <w:rFonts w:ascii="Times New Roman" w:hAnsi="Times New Roman"/>
          <w:spacing w:val="0"/>
          <w:sz w:val="24"/>
          <w:szCs w:val="24"/>
        </w:rPr>
        <w:t xml:space="preserve">.  </w:t>
      </w:r>
      <w:r w:rsidRPr="00751C5D">
        <w:rPr>
          <w:rFonts w:ascii="Times New Roman" w:hAnsi="Times New Roman"/>
          <w:sz w:val="24"/>
          <w:szCs w:val="24"/>
        </w:rPr>
        <w:t xml:space="preserve">The efforts will focus on four key </w:t>
      </w:r>
      <w:r w:rsidRPr="00751C5D" w:rsidR="005B4692">
        <w:rPr>
          <w:rFonts w:ascii="Times New Roman" w:hAnsi="Times New Roman"/>
          <w:sz w:val="24"/>
          <w:szCs w:val="24"/>
        </w:rPr>
        <w:t>pillars</w:t>
      </w:r>
      <w:r w:rsidRPr="00751C5D">
        <w:rPr>
          <w:rFonts w:ascii="Times New Roman" w:hAnsi="Times New Roman"/>
          <w:sz w:val="24"/>
          <w:szCs w:val="24"/>
        </w:rPr>
        <w:t>:</w:t>
      </w:r>
    </w:p>
    <w:p w:rsidRPr="00751C5D" w:rsidR="00474E16" w:rsidP="00474E16" w:rsidRDefault="00474E16" w14:paraId="026D6009" w14:textId="77777777">
      <w:pPr>
        <w:pStyle w:val="ListParagraph"/>
        <w:numPr>
          <w:ilvl w:val="0"/>
          <w:numId w:val="7"/>
        </w:numPr>
        <w:spacing w:before="120"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Diagnose all people living with HIV as early as possible after transmission.</w:t>
      </w:r>
    </w:p>
    <w:p w:rsidRPr="00751C5D" w:rsidR="00474E16" w:rsidP="00474E16" w:rsidRDefault="00474E16" w14:paraId="3909F1B1" w14:textId="77777777">
      <w:pPr>
        <w:pStyle w:val="ListParagraph"/>
        <w:numPr>
          <w:ilvl w:val="0"/>
          <w:numId w:val="7"/>
        </w:numPr>
        <w:spacing w:before="120"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Treat HIV rapidly and effectively to achieve sustained viral suppression.</w:t>
      </w:r>
    </w:p>
    <w:p w:rsidRPr="00751C5D" w:rsidR="00474E16" w:rsidP="00474E16" w:rsidRDefault="00474E16" w14:paraId="4D89E486" w14:textId="77777777">
      <w:pPr>
        <w:pStyle w:val="ListParagraph"/>
        <w:numPr>
          <w:ilvl w:val="0"/>
          <w:numId w:val="7"/>
        </w:numPr>
        <w:spacing w:before="120"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Prevent HIV transmission among people at higher risk with Pre-Exposure Prophylaxis (PrEP) and prevention education.</w:t>
      </w:r>
    </w:p>
    <w:p w:rsidRPr="00751C5D" w:rsidR="00474E16" w:rsidP="00474E16" w:rsidRDefault="00474E16" w14:paraId="3E10D5A0" w14:textId="787884CC">
      <w:pPr>
        <w:pStyle w:val="ListParagraph"/>
        <w:numPr>
          <w:ilvl w:val="0"/>
          <w:numId w:val="7"/>
        </w:numPr>
        <w:spacing w:before="120"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Respond rapidly to detect and respond to HIV clusters and prevent new HIV infections.</w:t>
      </w:r>
    </w:p>
    <w:p w:rsidRPr="00751C5D" w:rsidR="005B4692" w:rsidP="00474E16" w:rsidRDefault="005B4692" w14:paraId="0D6C147C" w14:textId="129FA80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 xml:space="preserve">HRSA </w:t>
      </w:r>
      <w:r w:rsidRPr="00751C5D" w:rsidR="005B7DBC">
        <w:rPr>
          <w:rFonts w:ascii="Times New Roman" w:hAnsi="Times New Roman" w:cs="Times New Roman"/>
          <w:sz w:val="24"/>
          <w:szCs w:val="24"/>
        </w:rPr>
        <w:t>HIV/AIDS Bureau’s (</w:t>
      </w:r>
      <w:r w:rsidRPr="00751C5D">
        <w:rPr>
          <w:rFonts w:ascii="Times New Roman" w:hAnsi="Times New Roman" w:cs="Times New Roman"/>
          <w:sz w:val="24"/>
          <w:szCs w:val="24"/>
        </w:rPr>
        <w:t>HAB’s</w:t>
      </w:r>
      <w:r w:rsidRPr="00751C5D" w:rsidR="005B7DBC">
        <w:rPr>
          <w:rFonts w:ascii="Times New Roman" w:hAnsi="Times New Roman" w:cs="Times New Roman"/>
          <w:sz w:val="24"/>
          <w:szCs w:val="24"/>
        </w:rPr>
        <w:t>)</w:t>
      </w:r>
      <w:r w:rsidRPr="00751C5D">
        <w:rPr>
          <w:rFonts w:ascii="Times New Roman" w:hAnsi="Times New Roman" w:cs="Times New Roman"/>
          <w:sz w:val="24"/>
          <w:szCs w:val="24"/>
        </w:rPr>
        <w:t xml:space="preserve"> efforts will focus on pillars 2 (Treat) and 4 (Respond).</w:t>
      </w:r>
    </w:p>
    <w:p w:rsidR="00775456" w:rsidP="00775456" w:rsidRDefault="0036286F" w14:paraId="43B6BA2E" w14:textId="7777777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Data submission of EHE Initiative activities, including funding allocations, expenditures, service utilization and clients served is part of the grant award requirements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 w:rsidR="00474E16">
        <w:rPr>
          <w:rFonts w:ascii="Times New Roman" w:hAnsi="Times New Roman" w:cs="Times New Roman"/>
          <w:sz w:val="24"/>
          <w:szCs w:val="24"/>
        </w:rPr>
        <w:t xml:space="preserve">Some of the data element requirements will be incorporated in existing </w:t>
      </w:r>
      <w:r w:rsidRPr="00751C5D" w:rsidR="0009666A">
        <w:rPr>
          <w:rFonts w:ascii="Times New Roman" w:hAnsi="Times New Roman" w:cs="Times New Roman"/>
          <w:sz w:val="24"/>
          <w:szCs w:val="24"/>
        </w:rPr>
        <w:t xml:space="preserve">annual </w:t>
      </w:r>
      <w:r w:rsidRPr="00751C5D" w:rsidR="00474E16">
        <w:rPr>
          <w:rFonts w:ascii="Times New Roman" w:hAnsi="Times New Roman" w:cs="Times New Roman"/>
          <w:sz w:val="24"/>
          <w:szCs w:val="24"/>
        </w:rPr>
        <w:t xml:space="preserve">data collections </w:t>
      </w:r>
      <w:r w:rsidRPr="00751C5D" w:rsidR="00BD40F9">
        <w:rPr>
          <w:rFonts w:ascii="Times New Roman" w:hAnsi="Times New Roman" w:cs="Times New Roman"/>
          <w:sz w:val="24"/>
          <w:szCs w:val="24"/>
        </w:rPr>
        <w:t>in order to limit recipient burden</w:t>
      </w:r>
      <w:r w:rsidRPr="00751C5D" w:rsidR="00BA58A2">
        <w:rPr>
          <w:rFonts w:ascii="Times New Roman" w:hAnsi="Times New Roman" w:cs="Times New Roman"/>
          <w:sz w:val="24"/>
          <w:szCs w:val="24"/>
        </w:rPr>
        <w:t>,</w:t>
      </w:r>
      <w:r w:rsidRPr="00751C5D" w:rsidR="00BD40F9">
        <w:rPr>
          <w:rFonts w:ascii="Times New Roman" w:hAnsi="Times New Roman" w:cs="Times New Roman"/>
          <w:sz w:val="24"/>
          <w:szCs w:val="24"/>
        </w:rPr>
        <w:t xml:space="preserve"> </w:t>
      </w:r>
      <w:r w:rsidRPr="00751C5D" w:rsidR="00474E16">
        <w:rPr>
          <w:rFonts w:ascii="Times New Roman" w:hAnsi="Times New Roman" w:cs="Times New Roman"/>
          <w:sz w:val="24"/>
          <w:szCs w:val="24"/>
        </w:rPr>
        <w:t>and data elements</w:t>
      </w:r>
      <w:r w:rsidRPr="00751C5D" w:rsidR="0009666A">
        <w:rPr>
          <w:rFonts w:ascii="Times New Roman" w:hAnsi="Times New Roman" w:cs="Times New Roman"/>
          <w:sz w:val="24"/>
          <w:szCs w:val="24"/>
        </w:rPr>
        <w:t xml:space="preserve"> on service provision</w:t>
      </w:r>
      <w:r w:rsidRPr="00751C5D" w:rsidR="00474E16">
        <w:rPr>
          <w:rFonts w:ascii="Times New Roman" w:hAnsi="Times New Roman" w:cs="Times New Roman"/>
          <w:sz w:val="24"/>
          <w:szCs w:val="24"/>
        </w:rPr>
        <w:t xml:space="preserve"> will be collected in </w:t>
      </w:r>
      <w:r w:rsidRPr="00751C5D" w:rsidR="00BD40F9">
        <w:rPr>
          <w:rFonts w:ascii="Times New Roman" w:hAnsi="Times New Roman" w:cs="Times New Roman"/>
          <w:sz w:val="24"/>
          <w:szCs w:val="24"/>
        </w:rPr>
        <w:t>the</w:t>
      </w:r>
      <w:r w:rsidRPr="00751C5D" w:rsidR="00474E16">
        <w:rPr>
          <w:rFonts w:ascii="Times New Roman" w:hAnsi="Times New Roman" w:cs="Times New Roman"/>
          <w:sz w:val="24"/>
          <w:szCs w:val="24"/>
        </w:rPr>
        <w:t xml:space="preserve"> EHE</w:t>
      </w:r>
      <w:r w:rsidRPr="00751C5D" w:rsidR="005B4692">
        <w:rPr>
          <w:rFonts w:ascii="Times New Roman" w:hAnsi="Times New Roman" w:cs="Times New Roman"/>
          <w:sz w:val="24"/>
          <w:szCs w:val="24"/>
        </w:rPr>
        <w:t xml:space="preserve"> Triannual</w:t>
      </w:r>
      <w:r w:rsidRPr="00751C5D" w:rsidR="00474E16">
        <w:rPr>
          <w:rFonts w:ascii="Times New Roman" w:hAnsi="Times New Roman" w:cs="Times New Roman"/>
          <w:sz w:val="24"/>
          <w:szCs w:val="24"/>
        </w:rPr>
        <w:t xml:space="preserve"> Module three times a year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75456" w:rsidR="002339A1" w:rsidP="00775456" w:rsidRDefault="00251144" w14:paraId="5E693837" w14:textId="64A1354F">
      <w:pPr>
        <w:pStyle w:val="ListParagraph"/>
        <w:numPr>
          <w:ilvl w:val="0"/>
          <w:numId w:val="1"/>
        </w:numPr>
        <w:shd w:val="clear" w:color="auto" w:fill="FFFFFF"/>
        <w:tabs>
          <w:tab w:val="clear" w:pos="5940"/>
          <w:tab w:val="num" w:pos="558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5456">
        <w:rPr>
          <w:rFonts w:ascii="Times New Roman" w:hAnsi="Times New Roman" w:cs="Times New Roman"/>
          <w:b/>
          <w:sz w:val="24"/>
          <w:szCs w:val="24"/>
          <w:u w:val="single"/>
        </w:rPr>
        <w:t>Purpose and Use of Information Collection</w:t>
      </w:r>
    </w:p>
    <w:p w:rsidRPr="00751C5D" w:rsidR="002339A1" w:rsidP="002339A1" w:rsidRDefault="002339A1" w14:paraId="3A7E2B8B" w14:textId="6F04FBC0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w w:val="105"/>
          <w:sz w:val="24"/>
          <w:szCs w:val="24"/>
        </w:rPr>
      </w:pPr>
      <w:bookmarkStart w:name="_Hlk26184526" w:id="0"/>
      <w:r w:rsidRPr="00751C5D">
        <w:rPr>
          <w:rFonts w:ascii="Times New Roman" w:hAnsi="Times New Roman"/>
          <w:w w:val="105"/>
          <w:sz w:val="24"/>
          <w:szCs w:val="24"/>
        </w:rPr>
        <w:t xml:space="preserve">The EHE Initiative </w:t>
      </w:r>
      <w:bookmarkEnd w:id="0"/>
      <w:r w:rsidRPr="00751C5D" w:rsidR="0036286F">
        <w:rPr>
          <w:rFonts w:ascii="Times New Roman" w:hAnsi="Times New Roman"/>
          <w:w w:val="105"/>
          <w:sz w:val="24"/>
          <w:szCs w:val="24"/>
        </w:rPr>
        <w:t>data collection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 will assist HRSA</w:t>
      </w:r>
      <w:r w:rsidRPr="00751C5D" w:rsidR="0036286F">
        <w:rPr>
          <w:rFonts w:ascii="Times New Roman" w:hAnsi="Times New Roman"/>
          <w:w w:val="105"/>
          <w:sz w:val="24"/>
          <w:szCs w:val="24"/>
        </w:rPr>
        <w:t xml:space="preserve"> HAB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 in monitoring EHE Initiative activities and assessing progress towards national goals</w:t>
      </w:r>
      <w:r w:rsidR="00751C5D">
        <w:rPr>
          <w:rFonts w:ascii="Times New Roman" w:hAnsi="Times New Roman"/>
          <w:w w:val="105"/>
          <w:sz w:val="24"/>
          <w:szCs w:val="24"/>
        </w:rPr>
        <w:t xml:space="preserve">.  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The information provided will support </w:t>
      </w:r>
      <w:r w:rsidRPr="00751C5D" w:rsidR="00B80FA1">
        <w:rPr>
          <w:rFonts w:ascii="Times New Roman" w:hAnsi="Times New Roman"/>
          <w:w w:val="105"/>
          <w:sz w:val="24"/>
          <w:szCs w:val="24"/>
        </w:rPr>
        <w:t>HRSA HAB in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 monitoring and understanding </w:t>
      </w:r>
      <w:r w:rsidRPr="00751C5D" w:rsidR="00B80FA1">
        <w:rPr>
          <w:rFonts w:ascii="Times New Roman" w:hAnsi="Times New Roman"/>
          <w:w w:val="105"/>
          <w:sz w:val="24"/>
          <w:szCs w:val="24"/>
        </w:rPr>
        <w:t>the EHE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 service provision</w:t>
      </w:r>
      <w:r w:rsidRPr="00751C5D" w:rsidR="00F07FC7">
        <w:rPr>
          <w:rFonts w:ascii="Times New Roman" w:hAnsi="Times New Roman"/>
          <w:w w:val="105"/>
          <w:sz w:val="24"/>
          <w:szCs w:val="24"/>
        </w:rPr>
        <w:t>, including funding allocations, expenditures, and clients serv</w:t>
      </w:r>
      <w:r w:rsidRPr="00751C5D" w:rsidR="00B80FA1">
        <w:rPr>
          <w:rFonts w:ascii="Times New Roman" w:hAnsi="Times New Roman"/>
          <w:w w:val="105"/>
          <w:sz w:val="24"/>
          <w:szCs w:val="24"/>
        </w:rPr>
        <w:t>ed</w:t>
      </w:r>
      <w:r w:rsidR="00751C5D">
        <w:rPr>
          <w:rFonts w:ascii="Times New Roman" w:hAnsi="Times New Roman"/>
          <w:w w:val="105"/>
          <w:sz w:val="24"/>
          <w:szCs w:val="24"/>
        </w:rPr>
        <w:t xml:space="preserve">.  </w:t>
      </w:r>
      <w:r w:rsidRPr="00751C5D" w:rsidR="00B80FA1">
        <w:rPr>
          <w:rFonts w:ascii="Times New Roman" w:hAnsi="Times New Roman"/>
          <w:w w:val="105"/>
          <w:sz w:val="24"/>
          <w:szCs w:val="24"/>
        </w:rPr>
        <w:t>The</w:t>
      </w:r>
      <w:r w:rsidRPr="00751C5D">
        <w:rPr>
          <w:rFonts w:ascii="Times New Roman" w:hAnsi="Times New Roman"/>
          <w:w w:val="105"/>
          <w:sz w:val="24"/>
          <w:szCs w:val="24"/>
        </w:rPr>
        <w:t xml:space="preserve"> new data elements will allow HRSA to calculate multiple new data points relevant for monitoring EHE Initiative services including:</w:t>
      </w:r>
    </w:p>
    <w:p w:rsidRPr="00751C5D" w:rsidR="002339A1" w:rsidP="002339A1" w:rsidRDefault="002339A1" w14:paraId="15594AA4" w14:textId="77777777">
      <w:pPr>
        <w:pStyle w:val="Answerbulleted"/>
        <w:numPr>
          <w:ilvl w:val="0"/>
          <w:numId w:val="8"/>
        </w:numPr>
        <w:spacing w:before="0" w:after="0"/>
        <w:ind w:right="0"/>
        <w:rPr>
          <w:rFonts w:ascii="Times New Roman" w:hAnsi="Times New Roman"/>
          <w:w w:val="105"/>
          <w:sz w:val="24"/>
          <w:szCs w:val="24"/>
        </w:rPr>
      </w:pPr>
      <w:r w:rsidRPr="00751C5D">
        <w:rPr>
          <w:rFonts w:ascii="Times New Roman" w:hAnsi="Times New Roman"/>
          <w:w w:val="105"/>
          <w:sz w:val="24"/>
          <w:szCs w:val="24"/>
        </w:rPr>
        <w:t>Identifying new clients.</w:t>
      </w:r>
    </w:p>
    <w:p w:rsidRPr="00751C5D" w:rsidR="002339A1" w:rsidP="002339A1" w:rsidRDefault="002339A1" w14:paraId="1D913292" w14:textId="77777777">
      <w:pPr>
        <w:pStyle w:val="Answerbulleted"/>
        <w:numPr>
          <w:ilvl w:val="0"/>
          <w:numId w:val="8"/>
        </w:numPr>
        <w:spacing w:before="0" w:after="0"/>
        <w:ind w:right="0"/>
        <w:rPr>
          <w:rFonts w:ascii="Times New Roman" w:hAnsi="Times New Roman"/>
          <w:w w:val="105"/>
          <w:sz w:val="24"/>
          <w:szCs w:val="24"/>
        </w:rPr>
      </w:pPr>
      <w:r w:rsidRPr="00751C5D">
        <w:rPr>
          <w:rFonts w:ascii="Times New Roman" w:hAnsi="Times New Roman"/>
          <w:w w:val="105"/>
          <w:sz w:val="24"/>
          <w:szCs w:val="24"/>
        </w:rPr>
        <w:t>Identifying new clients that were recently diagnosed with HIV.</w:t>
      </w:r>
    </w:p>
    <w:p w:rsidRPr="00751C5D" w:rsidR="002339A1" w:rsidP="002339A1" w:rsidRDefault="002339A1" w14:paraId="664DDF55" w14:textId="77777777">
      <w:pPr>
        <w:pStyle w:val="Answerbulleted"/>
        <w:numPr>
          <w:ilvl w:val="0"/>
          <w:numId w:val="8"/>
        </w:numPr>
        <w:spacing w:before="0" w:after="0"/>
        <w:ind w:right="0"/>
        <w:rPr>
          <w:rFonts w:ascii="Times New Roman" w:hAnsi="Times New Roman"/>
          <w:w w:val="105"/>
          <w:sz w:val="24"/>
          <w:szCs w:val="24"/>
        </w:rPr>
      </w:pPr>
      <w:r w:rsidRPr="00751C5D">
        <w:rPr>
          <w:rFonts w:ascii="Times New Roman" w:hAnsi="Times New Roman"/>
          <w:w w:val="105"/>
          <w:sz w:val="24"/>
          <w:szCs w:val="24"/>
        </w:rPr>
        <w:lastRenderedPageBreak/>
        <w:t>Identifying clients who received some type of service in the previous year.</w:t>
      </w:r>
    </w:p>
    <w:p w:rsidRPr="00751C5D" w:rsidR="002339A1" w:rsidP="002339A1" w:rsidRDefault="002339A1" w14:paraId="1A192E6A" w14:textId="775241DE">
      <w:pPr>
        <w:pStyle w:val="Answerbulleted"/>
        <w:numPr>
          <w:ilvl w:val="0"/>
          <w:numId w:val="8"/>
        </w:numPr>
        <w:spacing w:before="0" w:after="0"/>
        <w:ind w:right="0"/>
        <w:rPr>
          <w:rFonts w:ascii="Times New Roman" w:hAnsi="Times New Roman"/>
          <w:w w:val="105"/>
          <w:sz w:val="24"/>
          <w:szCs w:val="24"/>
        </w:rPr>
      </w:pPr>
      <w:r w:rsidRPr="00751C5D">
        <w:rPr>
          <w:rFonts w:ascii="Times New Roman" w:hAnsi="Times New Roman"/>
          <w:w w:val="105"/>
          <w:sz w:val="24"/>
          <w:szCs w:val="24"/>
        </w:rPr>
        <w:t>Identifying existing clients who did not receive services in the previous year.</w:t>
      </w:r>
    </w:p>
    <w:p w:rsidRPr="00751C5D" w:rsidR="003E3C14" w:rsidP="003E3C14" w:rsidRDefault="003E3C14" w14:paraId="406FC7E9" w14:textId="77777777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Existing Data Collections</w:t>
      </w:r>
    </w:p>
    <w:p w:rsidRPr="00751C5D" w:rsidR="003E3C14" w:rsidP="003E3C14" w:rsidRDefault="003E3C14" w14:paraId="36A46881" w14:textId="24A9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A description of the data collection requirements for recipients of the EHE Initiative are described below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3E3C14" w:rsidP="003E3C14" w:rsidRDefault="003E3C14" w14:paraId="4DFF7AA3" w14:textId="5D10A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3E3C14" w:rsidP="003E3C14" w:rsidRDefault="003E3C14" w14:paraId="624245F2" w14:textId="19D72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EHE data elements in existing RWHAP data collections:</w:t>
      </w:r>
    </w:p>
    <w:p w:rsidRPr="00751C5D" w:rsidR="003E3C14" w:rsidP="003E3C14" w:rsidRDefault="003E3C14" w14:paraId="6E71A6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3E3C14" w:rsidP="003E3C14" w:rsidRDefault="003E3C14" w14:paraId="1B5506B8" w14:textId="60CCCBF4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  <w:u w:val="single"/>
        </w:rPr>
        <w:t>Ryan White Services Report (RSR):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  <w:r w:rsidR="00751C5D">
        <w:rPr>
          <w:rFonts w:ascii="Times New Roman" w:hAnsi="Times New Roman" w:cs="Times New Roman"/>
          <w:sz w:val="24"/>
          <w:szCs w:val="24"/>
        </w:rPr>
        <w:t xml:space="preserve"> </w:t>
      </w:r>
      <w:r w:rsidRPr="00751C5D">
        <w:rPr>
          <w:rFonts w:ascii="Times New Roman" w:hAnsi="Times New Roman" w:cs="Times New Roman"/>
          <w:sz w:val="24"/>
          <w:szCs w:val="24"/>
        </w:rPr>
        <w:t>Two EHE data elements will be added to the RSR that would allow HAB to identify new clients and clients who did not receive services in the previous calendar year</w:t>
      </w:r>
      <w:r w:rsidRPr="00751C5D" w:rsidR="00F0042D">
        <w:rPr>
          <w:rFonts w:ascii="Times New Roman" w:hAnsi="Times New Roman" w:cs="Times New Roman"/>
          <w:sz w:val="24"/>
          <w:szCs w:val="24"/>
        </w:rPr>
        <w:t xml:space="preserve"> (OMB Control Number: 0906-0039)</w:t>
      </w:r>
      <w:r w:rsidRPr="00751C5D">
        <w:rPr>
          <w:rFonts w:ascii="Times New Roman" w:hAnsi="Times New Roman" w:cs="Times New Roman"/>
          <w:sz w:val="24"/>
          <w:szCs w:val="24"/>
        </w:rPr>
        <w:t>.</w:t>
      </w:r>
    </w:p>
    <w:p w:rsidRPr="00751C5D" w:rsidR="003E3C14" w:rsidP="003E3C14" w:rsidRDefault="003E3C14" w14:paraId="2B61DC07" w14:textId="4BC1DC21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  <w:u w:val="single"/>
        </w:rPr>
        <w:t>Allocations</w:t>
      </w:r>
      <w:r w:rsidRPr="00751C5D" w:rsidR="00F0042D">
        <w:rPr>
          <w:rFonts w:ascii="Times New Roman" w:hAnsi="Times New Roman" w:cs="Times New Roman"/>
          <w:sz w:val="24"/>
          <w:szCs w:val="24"/>
          <w:u w:val="single"/>
        </w:rPr>
        <w:t xml:space="preserve"> and Expenditures</w:t>
      </w:r>
      <w:r w:rsidRPr="00751C5D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  <w:r w:rsidRPr="00751C5D" w:rsidR="00F004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751C5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  <w:r w:rsidR="00751C5D">
        <w:rPr>
          <w:rFonts w:ascii="Times New Roman" w:hAnsi="Times New Roman" w:cs="Times New Roman"/>
          <w:sz w:val="24"/>
          <w:szCs w:val="24"/>
        </w:rPr>
        <w:t xml:space="preserve"> </w:t>
      </w:r>
      <w:r w:rsidRPr="00751C5D">
        <w:rPr>
          <w:rFonts w:ascii="Times New Roman" w:hAnsi="Times New Roman" w:cs="Times New Roman"/>
          <w:sz w:val="24"/>
          <w:szCs w:val="24"/>
        </w:rPr>
        <w:t>Funding allocations for EHE services will be included in the Allocations Report</w:t>
      </w:r>
      <w:r w:rsidRPr="00751C5D" w:rsidR="00F0042D">
        <w:rPr>
          <w:rFonts w:ascii="Times New Roman" w:hAnsi="Times New Roman" w:cs="Times New Roman"/>
          <w:sz w:val="24"/>
          <w:szCs w:val="24"/>
        </w:rPr>
        <w:t>; expenditures data for how EHE funding was used will be included in the Expenditures Report (OMB Control Number: 0915-0318)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5446AC" w:rsidP="00D825C5" w:rsidRDefault="003E3C14" w14:paraId="41E4A4EB" w14:textId="4DE3E39D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  <w:u w:val="single"/>
        </w:rPr>
        <w:t>AIDS Education and Training Centers (AETC):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  <w:r w:rsidR="00751C5D">
        <w:rPr>
          <w:rFonts w:ascii="Times New Roman" w:hAnsi="Times New Roman" w:cs="Times New Roman"/>
          <w:sz w:val="24"/>
          <w:szCs w:val="24"/>
        </w:rPr>
        <w:t xml:space="preserve"> </w:t>
      </w:r>
      <w:r w:rsidRPr="00751C5D">
        <w:rPr>
          <w:rFonts w:ascii="Times New Roman" w:hAnsi="Times New Roman" w:cs="Times New Roman"/>
          <w:sz w:val="24"/>
          <w:szCs w:val="24"/>
        </w:rPr>
        <w:t>The AETC data submission already captures relevant EHE data and will be used in a</w:t>
      </w:r>
      <w:r w:rsidRPr="00751C5D" w:rsidR="00BA58A2">
        <w:rPr>
          <w:rFonts w:ascii="Times New Roman" w:hAnsi="Times New Roman" w:cs="Times New Roman"/>
          <w:sz w:val="24"/>
          <w:szCs w:val="24"/>
        </w:rPr>
        <w:t>ss</w:t>
      </w:r>
      <w:r w:rsidRPr="00751C5D">
        <w:rPr>
          <w:rFonts w:ascii="Times New Roman" w:hAnsi="Times New Roman" w:cs="Times New Roman"/>
          <w:sz w:val="24"/>
          <w:szCs w:val="24"/>
        </w:rPr>
        <w:t xml:space="preserve">essing </w:t>
      </w:r>
      <w:r w:rsidRPr="00751C5D" w:rsidR="00E62B92">
        <w:rPr>
          <w:rFonts w:ascii="Times New Roman" w:hAnsi="Times New Roman" w:cs="Times New Roman"/>
          <w:sz w:val="24"/>
          <w:szCs w:val="24"/>
        </w:rPr>
        <w:t>the EHE Initiative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 w:rsidR="00E62B92">
        <w:rPr>
          <w:rFonts w:ascii="Times New Roman" w:hAnsi="Times New Roman" w:cs="Times New Roman"/>
          <w:sz w:val="24"/>
          <w:szCs w:val="24"/>
        </w:rPr>
        <w:t>There will be no new EHE data elements</w:t>
      </w:r>
      <w:r w:rsidRPr="00751C5D" w:rsidR="00F0042D">
        <w:rPr>
          <w:rFonts w:ascii="Times New Roman" w:hAnsi="Times New Roman" w:cs="Times New Roman"/>
          <w:sz w:val="24"/>
          <w:szCs w:val="24"/>
        </w:rPr>
        <w:t xml:space="preserve"> (OMB Control Number: 0915-0281)</w:t>
      </w:r>
    </w:p>
    <w:p w:rsidRPr="00751C5D" w:rsidR="005446AC" w:rsidP="00D825C5" w:rsidRDefault="005446AC" w14:paraId="61026F2B" w14:textId="7F5908F5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  <w:u w:val="single"/>
        </w:rPr>
        <w:t>AIDS Drug Assistance Report (ADR):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  <w:r w:rsidR="00751C5D">
        <w:rPr>
          <w:rFonts w:ascii="Times New Roman" w:hAnsi="Times New Roman" w:cs="Times New Roman"/>
          <w:sz w:val="24"/>
          <w:szCs w:val="24"/>
        </w:rPr>
        <w:t xml:space="preserve"> </w:t>
      </w:r>
      <w:r w:rsidRPr="00751C5D">
        <w:rPr>
          <w:rFonts w:ascii="Times New Roman" w:hAnsi="Times New Roman" w:cs="Times New Roman"/>
          <w:sz w:val="24"/>
          <w:szCs w:val="24"/>
        </w:rPr>
        <w:t>One EHE data element will be added to the ADR requesting the total amount of funding contributions AIDS Drug Assistance Programs (ADAPs) received from EHE funded recipients</w:t>
      </w:r>
      <w:r w:rsidRPr="00751C5D" w:rsidR="00F0042D">
        <w:rPr>
          <w:rFonts w:ascii="Times New Roman" w:hAnsi="Times New Roman" w:cs="Times New Roman"/>
          <w:sz w:val="24"/>
          <w:szCs w:val="24"/>
        </w:rPr>
        <w:t xml:space="preserve"> (OMB Control Number: 0915-0345)</w:t>
      </w:r>
      <w:r w:rsidRPr="00751C5D">
        <w:rPr>
          <w:rFonts w:ascii="Times New Roman" w:hAnsi="Times New Roman" w:cs="Times New Roman"/>
          <w:sz w:val="24"/>
          <w:szCs w:val="24"/>
        </w:rPr>
        <w:t>.</w:t>
      </w:r>
    </w:p>
    <w:p w:rsidRPr="00751C5D" w:rsidR="00E62B92" w:rsidP="00E62B92" w:rsidRDefault="00E62B92" w14:paraId="51EE9F36" w14:textId="573A8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E62B92" w:rsidP="00E62B92" w:rsidRDefault="00E62B92" w14:paraId="7C6C46CE" w14:textId="44E63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New EHE Initiative Triannual Module (EHE Module):</w:t>
      </w:r>
    </w:p>
    <w:p w:rsidRPr="00751C5D" w:rsidR="00E62B92" w:rsidP="00E62B92" w:rsidRDefault="00E62B92" w14:paraId="4E85FD2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1C5D" w:rsidR="003E3C14" w:rsidP="00E62B92" w:rsidRDefault="00E62B92" w14:paraId="29B5D9C3" w14:textId="29F30015">
      <w:pPr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The EHE Module will be accessible via the EHBs</w:t>
      </w:r>
      <w:r w:rsidRPr="00751C5D" w:rsidR="00BA58A2">
        <w:rPr>
          <w:rFonts w:ascii="Times New Roman" w:hAnsi="Times New Roman" w:cs="Times New Roman"/>
          <w:sz w:val="24"/>
          <w:szCs w:val="24"/>
        </w:rPr>
        <w:t xml:space="preserve"> (as discussed further in the next section)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EHE initiative recipients will report aggregate information on the number of clients receiving specific services and the number of clients who were prescribed antiretroviral medications in the previous 4 months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Service providers would report three times per year on clients who received at least one service during the previous 4-month period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51C5D" w:rsidR="00251144" w:rsidP="002339A1" w:rsidRDefault="00251144" w14:paraId="0CD48BF9" w14:textId="4E77991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b/>
          <w:sz w:val="24"/>
          <w:szCs w:val="24"/>
          <w:u w:val="single"/>
        </w:rPr>
        <w:t>Use of Improved Information Technology and Burden Reduction</w:t>
      </w:r>
    </w:p>
    <w:p w:rsidRPr="00751C5D" w:rsidR="002339A1" w:rsidP="002339A1" w:rsidRDefault="002339A1" w14:paraId="3951F399" w14:textId="55601D6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 xml:space="preserve">The EHE Module </w:t>
      </w:r>
      <w:r w:rsidRPr="00751C5D" w:rsidR="005446AC">
        <w:rPr>
          <w:rFonts w:ascii="Times New Roman" w:hAnsi="Times New Roman" w:cs="Times New Roman"/>
          <w:sz w:val="24"/>
          <w:szCs w:val="24"/>
        </w:rPr>
        <w:t>will be</w:t>
      </w:r>
      <w:r w:rsidRPr="00751C5D">
        <w:rPr>
          <w:rFonts w:ascii="Times New Roman" w:hAnsi="Times New Roman" w:cs="Times New Roman"/>
          <w:sz w:val="24"/>
          <w:szCs w:val="24"/>
        </w:rPr>
        <w:t xml:space="preserve"> housed in the Electronic Handbooks (EHBs), an existing website for </w:t>
      </w:r>
      <w:r w:rsidRPr="00751C5D" w:rsidR="00B80FA1">
        <w:rPr>
          <w:rFonts w:ascii="Times New Roman" w:hAnsi="Times New Roman" w:cs="Times New Roman"/>
          <w:sz w:val="24"/>
          <w:szCs w:val="24"/>
        </w:rPr>
        <w:t xml:space="preserve">RWHAP </w:t>
      </w:r>
      <w:r w:rsidRPr="00751C5D">
        <w:rPr>
          <w:rFonts w:ascii="Times New Roman" w:hAnsi="Times New Roman" w:cs="Times New Roman"/>
          <w:sz w:val="24"/>
          <w:szCs w:val="24"/>
        </w:rPr>
        <w:t xml:space="preserve">recipients to enter other data required for RWHAP-funded agencies, such as the </w:t>
      </w:r>
      <w:r w:rsidRPr="00751C5D" w:rsidR="00970455">
        <w:rPr>
          <w:rFonts w:ascii="Times New Roman" w:hAnsi="Times New Roman" w:cs="Times New Roman"/>
          <w:sz w:val="24"/>
          <w:szCs w:val="24"/>
        </w:rPr>
        <w:t>Grantee Contract Management System (</w:t>
      </w:r>
      <w:r w:rsidRPr="00751C5D" w:rsidR="00DB63A4">
        <w:rPr>
          <w:rFonts w:ascii="Times New Roman" w:hAnsi="Times New Roman" w:cs="Times New Roman"/>
          <w:sz w:val="24"/>
          <w:szCs w:val="24"/>
        </w:rPr>
        <w:t>GCMS</w:t>
      </w:r>
      <w:r w:rsidRPr="00751C5D" w:rsidR="00970455">
        <w:rPr>
          <w:rFonts w:ascii="Times New Roman" w:hAnsi="Times New Roman" w:cs="Times New Roman"/>
          <w:sz w:val="24"/>
          <w:szCs w:val="24"/>
        </w:rPr>
        <w:t>)</w:t>
      </w:r>
      <w:r w:rsidRPr="00751C5D" w:rsidR="00DB63A4">
        <w:rPr>
          <w:rFonts w:ascii="Times New Roman" w:hAnsi="Times New Roman" w:cs="Times New Roman"/>
          <w:sz w:val="24"/>
          <w:szCs w:val="24"/>
        </w:rPr>
        <w:t xml:space="preserve">, RSR, </w:t>
      </w:r>
      <w:r w:rsidRPr="00751C5D" w:rsidR="00B80FA1">
        <w:rPr>
          <w:rFonts w:ascii="Times New Roman" w:hAnsi="Times New Roman" w:cs="Times New Roman"/>
          <w:sz w:val="24"/>
          <w:szCs w:val="24"/>
        </w:rPr>
        <w:t xml:space="preserve">and the </w:t>
      </w:r>
      <w:r w:rsidRPr="00751C5D" w:rsidR="00DB63A4">
        <w:rPr>
          <w:rFonts w:ascii="Times New Roman" w:hAnsi="Times New Roman" w:cs="Times New Roman"/>
          <w:sz w:val="24"/>
          <w:szCs w:val="24"/>
        </w:rPr>
        <w:t>Allocations and Expenditures</w:t>
      </w:r>
      <w:r w:rsidRPr="00751C5D" w:rsidR="00B80FA1">
        <w:rPr>
          <w:rFonts w:ascii="Times New Roman" w:hAnsi="Times New Roman" w:cs="Times New Roman"/>
          <w:sz w:val="24"/>
          <w:szCs w:val="24"/>
        </w:rPr>
        <w:t xml:space="preserve"> R</w:t>
      </w:r>
      <w:r w:rsidRPr="00751C5D" w:rsidR="00DB63A4">
        <w:rPr>
          <w:rFonts w:ascii="Times New Roman" w:hAnsi="Times New Roman" w:cs="Times New Roman"/>
          <w:sz w:val="24"/>
          <w:szCs w:val="24"/>
        </w:rPr>
        <w:t>eport</w:t>
      </w:r>
      <w:r w:rsidRPr="00751C5D" w:rsidR="00B80FA1">
        <w:rPr>
          <w:rFonts w:ascii="Times New Roman" w:hAnsi="Times New Roman" w:cs="Times New Roman"/>
          <w:sz w:val="24"/>
          <w:szCs w:val="24"/>
        </w:rPr>
        <w:t>s</w:t>
      </w:r>
      <w:r w:rsidRPr="00751C5D" w:rsidR="00DB63A4">
        <w:rPr>
          <w:rFonts w:ascii="Times New Roman" w:hAnsi="Times New Roman" w:cs="Times New Roman"/>
          <w:sz w:val="24"/>
          <w:szCs w:val="24"/>
        </w:rPr>
        <w:t xml:space="preserve"> which </w:t>
      </w:r>
      <w:r w:rsidRPr="00751C5D" w:rsidR="00B80FA1">
        <w:rPr>
          <w:rFonts w:ascii="Times New Roman" w:hAnsi="Times New Roman" w:cs="Times New Roman"/>
          <w:sz w:val="24"/>
          <w:szCs w:val="24"/>
        </w:rPr>
        <w:t>are</w:t>
      </w:r>
      <w:r w:rsidRPr="00751C5D" w:rsidR="00DB63A4">
        <w:rPr>
          <w:rFonts w:ascii="Times New Roman" w:hAnsi="Times New Roman" w:cs="Times New Roman"/>
          <w:sz w:val="24"/>
          <w:szCs w:val="24"/>
        </w:rPr>
        <w:t xml:space="preserve"> easily accessible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 w:rsidR="00F65625">
        <w:rPr>
          <w:rFonts w:ascii="Times New Roman" w:hAnsi="Times New Roman" w:cs="Times New Roman"/>
          <w:sz w:val="24"/>
          <w:szCs w:val="24"/>
        </w:rPr>
        <w:t>The integration of the EHE Module into the existing EHBs streamlines users’ access and technology knowledge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 xml:space="preserve">The EHBs </w:t>
      </w:r>
      <w:r w:rsidRPr="00751C5D" w:rsidR="00F65625">
        <w:rPr>
          <w:rFonts w:ascii="Times New Roman" w:hAnsi="Times New Roman" w:cs="Times New Roman"/>
          <w:sz w:val="24"/>
          <w:szCs w:val="24"/>
        </w:rPr>
        <w:t xml:space="preserve">also </w:t>
      </w:r>
      <w:r w:rsidRPr="00751C5D">
        <w:rPr>
          <w:rFonts w:ascii="Times New Roman" w:hAnsi="Times New Roman" w:cs="Times New Roman"/>
          <w:sz w:val="24"/>
          <w:szCs w:val="24"/>
        </w:rPr>
        <w:t>allows for some information to pre-populate, particularly organization details, while other data is stored and saved for the next data collection so that users can easily update or change their data.</w:t>
      </w:r>
    </w:p>
    <w:p w:rsidRPr="00751C5D" w:rsidR="00EE40C5" w:rsidP="00EE40C5" w:rsidRDefault="00251144" w14:paraId="1BFBED9D" w14:textId="1C30181C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240"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1C5D">
        <w:rPr>
          <w:rFonts w:ascii="Times New Roman" w:hAnsi="Times New Roman" w:cs="Times New Roman"/>
          <w:b/>
          <w:sz w:val="24"/>
          <w:szCs w:val="24"/>
          <w:u w:val="single"/>
        </w:rPr>
        <w:t>Efforts to Identify Duplication and Use of Similar Information</w:t>
      </w:r>
    </w:p>
    <w:p w:rsidRPr="00751C5D" w:rsidR="00EE40C5" w:rsidP="00EE40C5" w:rsidRDefault="00EE40C5" w14:paraId="7C19A73C" w14:textId="3050914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odyTextFi"/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Data required to evaluate </w:t>
      </w:r>
      <w:r w:rsidRPr="00751C5D" w:rsidR="00105523">
        <w:rPr>
          <w:rStyle w:val="BodyTextFi"/>
          <w:rFonts w:ascii="Times New Roman" w:hAnsi="Times New Roman" w:cs="Times New Roman"/>
          <w:sz w:val="24"/>
          <w:szCs w:val="24"/>
        </w:rPr>
        <w:t>and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monitor </w:t>
      </w:r>
      <w:r w:rsidRPr="00751C5D" w:rsidR="00105523">
        <w:rPr>
          <w:rStyle w:val="BodyTextFi"/>
          <w:rFonts w:ascii="Times New Roman" w:hAnsi="Times New Roman" w:cs="Times New Roman"/>
          <w:sz w:val="24"/>
          <w:szCs w:val="24"/>
        </w:rPr>
        <w:t>the EHE Initiative</w:t>
      </w:r>
      <w:r w:rsidRPr="00751C5D" w:rsidR="00F65625">
        <w:rPr>
          <w:rStyle w:val="BodyTextFi"/>
          <w:rFonts w:ascii="Times New Roman" w:hAnsi="Times New Roman" w:cs="Times New Roman"/>
          <w:sz w:val="24"/>
          <w:szCs w:val="24"/>
        </w:rPr>
        <w:t>, such as its services, funding</w:t>
      </w:r>
      <w:r w:rsidRPr="00751C5D" w:rsidR="00B80FA1">
        <w:rPr>
          <w:rStyle w:val="BodyTextFi"/>
          <w:rFonts w:ascii="Times New Roman" w:hAnsi="Times New Roman" w:cs="Times New Roman"/>
          <w:sz w:val="24"/>
          <w:szCs w:val="24"/>
        </w:rPr>
        <w:t xml:space="preserve"> allocations, e</w:t>
      </w:r>
      <w:r w:rsidRPr="00751C5D" w:rsidR="00F65625">
        <w:rPr>
          <w:rStyle w:val="BodyTextFi"/>
          <w:rFonts w:ascii="Times New Roman" w:hAnsi="Times New Roman" w:cs="Times New Roman"/>
          <w:sz w:val="24"/>
          <w:szCs w:val="24"/>
        </w:rPr>
        <w:t>xpen</w:t>
      </w:r>
      <w:r w:rsidRPr="00751C5D" w:rsidR="00B80FA1">
        <w:rPr>
          <w:rStyle w:val="BodyTextFi"/>
          <w:rFonts w:ascii="Times New Roman" w:hAnsi="Times New Roman" w:cs="Times New Roman"/>
          <w:sz w:val="24"/>
          <w:szCs w:val="24"/>
        </w:rPr>
        <w:t xml:space="preserve">ditures and clients serviced 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are not available elsewhere</w:t>
      </w:r>
      <w:r w:rsidRPr="00751C5D" w:rsidR="00105523">
        <w:rPr>
          <w:rStyle w:val="BodyTextFi"/>
          <w:rFonts w:ascii="Times New Roman" w:hAnsi="Times New Roman" w:cs="Times New Roman"/>
          <w:sz w:val="24"/>
          <w:szCs w:val="24"/>
        </w:rPr>
        <w:t xml:space="preserve"> as th</w:t>
      </w:r>
      <w:r w:rsidRPr="00751C5D" w:rsidR="00F65625">
        <w:rPr>
          <w:rStyle w:val="BodyTextFi"/>
          <w:rFonts w:ascii="Times New Roman" w:hAnsi="Times New Roman" w:cs="Times New Roman"/>
          <w:sz w:val="24"/>
          <w:szCs w:val="24"/>
        </w:rPr>
        <w:t>e program is new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251144" w:rsidP="003F3D65" w:rsidRDefault="00251144" w14:paraId="4729D26A" w14:textId="2CB7F9D6">
      <w:pPr>
        <w:pStyle w:val="Heading2"/>
        <w:pBdr>
          <w:bottom w:val="none" w:color="auto" w:sz="0" w:space="0"/>
        </w:pBdr>
        <w:tabs>
          <w:tab w:val="left" w:pos="360"/>
        </w:tabs>
        <w:spacing w:before="0" w:after="0"/>
        <w:rPr>
          <w:b/>
          <w:bCs/>
          <w:color w:val="auto"/>
          <w:u w:val="single"/>
        </w:rPr>
      </w:pPr>
      <w:bookmarkStart w:name="_Toc209407056" w:id="1"/>
      <w:r w:rsidRPr="00751C5D">
        <w:rPr>
          <w:b/>
          <w:bCs/>
          <w:color w:val="auto"/>
        </w:rPr>
        <w:t>5</w:t>
      </w:r>
      <w:r w:rsidR="00751C5D">
        <w:rPr>
          <w:b/>
          <w:bCs/>
          <w:color w:val="auto"/>
        </w:rPr>
        <w:t xml:space="preserve">.  </w:t>
      </w:r>
      <w:r w:rsidRPr="00751C5D">
        <w:rPr>
          <w:b/>
          <w:color w:val="auto"/>
        </w:rPr>
        <w:tab/>
      </w:r>
      <w:bookmarkEnd w:id="1"/>
      <w:r w:rsidRPr="00751C5D">
        <w:rPr>
          <w:b/>
          <w:bCs/>
          <w:color w:val="auto"/>
          <w:u w:val="single"/>
        </w:rPr>
        <w:t>Impact on Small Businesses or Other Small Entities</w:t>
      </w:r>
    </w:p>
    <w:p w:rsidRPr="00751C5D" w:rsidR="003F3D65" w:rsidP="003F3D65" w:rsidRDefault="003F3D65" w14:paraId="19B6EF4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:rsidRPr="00751C5D" w:rsidR="000B352D" w:rsidP="003F3D65" w:rsidRDefault="00C1410E" w14:paraId="5483C464" w14:textId="7B92A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No small businesses will be involved in this data collection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Part A and B recipients are state</w:t>
      </w:r>
      <w:r w:rsidRPr="00751C5D" w:rsidR="00E128E7">
        <w:rPr>
          <w:rFonts w:ascii="Times New Roman" w:hAnsi="Times New Roman" w:cs="Times New Roman"/>
          <w:sz w:val="24"/>
          <w:szCs w:val="24"/>
        </w:rPr>
        <w:t xml:space="preserve"> and local</w:t>
      </w:r>
      <w:r w:rsidRPr="00751C5D">
        <w:rPr>
          <w:rFonts w:ascii="Times New Roman" w:hAnsi="Times New Roman" w:cs="Times New Roman"/>
          <w:sz w:val="24"/>
          <w:szCs w:val="24"/>
        </w:rPr>
        <w:t xml:space="preserve"> agencies designated to administer the funds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 w:rsidR="000B352D">
        <w:rPr>
          <w:rFonts w:ascii="Times New Roman" w:hAnsi="Times New Roman" w:cs="Times New Roman"/>
          <w:sz w:val="24"/>
          <w:szCs w:val="24"/>
        </w:rPr>
        <w:t>The information being requested or required has been held to the minimum required for the intended use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251144" w:rsidP="00583766" w:rsidRDefault="00251144" w14:paraId="27A24DD8" w14:textId="1A0529B8">
      <w:pPr>
        <w:pStyle w:val="Heading2"/>
        <w:pBdr>
          <w:bottom w:val="none" w:color="auto" w:sz="0" w:space="0"/>
        </w:pBdr>
        <w:tabs>
          <w:tab w:val="left" w:pos="360"/>
        </w:tabs>
        <w:spacing w:before="0" w:after="0"/>
        <w:rPr>
          <w:b/>
          <w:bCs/>
          <w:color w:val="auto"/>
          <w:u w:val="single"/>
        </w:rPr>
      </w:pPr>
      <w:r w:rsidRPr="00751C5D">
        <w:rPr>
          <w:b/>
          <w:bCs/>
          <w:color w:val="auto"/>
        </w:rPr>
        <w:lastRenderedPageBreak/>
        <w:t>6.</w:t>
      </w:r>
      <w:r w:rsidRPr="00751C5D">
        <w:rPr>
          <w:b/>
          <w:color w:val="auto"/>
        </w:rPr>
        <w:tab/>
      </w:r>
      <w:r w:rsidRPr="00751C5D">
        <w:rPr>
          <w:b/>
          <w:bCs/>
          <w:color w:val="auto"/>
        </w:rPr>
        <w:t xml:space="preserve"> </w:t>
      </w:r>
      <w:bookmarkStart w:name="_Toc209407057" w:id="2"/>
      <w:r w:rsidRPr="00751C5D">
        <w:rPr>
          <w:b/>
          <w:bCs/>
          <w:color w:val="auto"/>
          <w:u w:val="single"/>
        </w:rPr>
        <w:t>Consequences of Collecting the Information Less Frequently</w:t>
      </w:r>
      <w:bookmarkEnd w:id="2"/>
    </w:p>
    <w:p w:rsidR="00775456" w:rsidP="00583766" w:rsidRDefault="00775456" w14:paraId="61C11F0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Style w:val="BodyTextFi"/>
          <w:rFonts w:ascii="Times New Roman" w:hAnsi="Times New Roman" w:cs="Times New Roman"/>
          <w:sz w:val="24"/>
          <w:szCs w:val="24"/>
        </w:rPr>
      </w:pPr>
    </w:p>
    <w:p w:rsidRPr="00751C5D" w:rsidR="00525C05" w:rsidP="00583766" w:rsidRDefault="00C1410E" w14:paraId="4E844EFC" w14:textId="3D61889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Style w:val="BodyTextFi"/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EHE data collected in the existing data collections will follow the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>ir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respective</w:t>
      </w:r>
      <w:r w:rsidRPr="00751C5D" w:rsidR="00525C05">
        <w:rPr>
          <w:rStyle w:val="BodyTextFi"/>
          <w:rFonts w:ascii="Times New Roman" w:hAnsi="Times New Roman" w:cs="Times New Roman"/>
          <w:sz w:val="24"/>
          <w:szCs w:val="24"/>
        </w:rPr>
        <w:t xml:space="preserve"> annual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submission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>s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The EHE Module will be collected three times a year, reporting service data in the previous four months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EE40C5" w:rsidP="00583766" w:rsidRDefault="00EE40C5" w14:paraId="7B4060BC" w14:textId="3D6DF73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Style w:val="BodyTextFi"/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Without annual reporting on the use of grant funds</w:t>
      </w:r>
      <w:r w:rsidRPr="00751C5D" w:rsidR="00DD7AF3">
        <w:rPr>
          <w:rStyle w:val="BodyTextFi"/>
          <w:rFonts w:ascii="Times New Roman" w:hAnsi="Times New Roman" w:cs="Times New Roman"/>
          <w:sz w:val="24"/>
          <w:szCs w:val="24"/>
        </w:rPr>
        <w:t>,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 xml:space="preserve"> expenditures and services,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HRSA would not be able to carry out its responsibility to oversee compliance with the intent of congressional appropriations in a timely manner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>R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eporting</w:t>
      </w:r>
      <w:r w:rsidRPr="00751C5D" w:rsidR="00AB4FB3">
        <w:rPr>
          <w:rStyle w:val="BodyTextFi"/>
          <w:rFonts w:ascii="Times New Roman" w:hAnsi="Times New Roman" w:cs="Times New Roman"/>
          <w:sz w:val="24"/>
          <w:szCs w:val="24"/>
        </w:rPr>
        <w:t xml:space="preserve"> three times a year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of 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 xml:space="preserve">services provided is 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necessary to determine whether the administration of funds is responding to </w:t>
      </w:r>
      <w:r w:rsidRPr="00751C5D" w:rsidR="00EB38AD">
        <w:rPr>
          <w:rStyle w:val="BodyTextFi"/>
          <w:rFonts w:ascii="Times New Roman" w:hAnsi="Times New Roman" w:cs="Times New Roman"/>
          <w:sz w:val="24"/>
          <w:szCs w:val="24"/>
        </w:rPr>
        <w:t>the needs of the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populations impacted by HIV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EE40C5" w:rsidP="00583766" w:rsidRDefault="00EE40C5" w14:paraId="4CA0095E" w14:textId="54C50B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If the information is not collected at all, HRSA will not know, and will not be able to report:</w:t>
      </w:r>
    </w:p>
    <w:p w:rsidRPr="00751C5D" w:rsidR="00EE40C5" w:rsidP="00EE40C5" w:rsidRDefault="00EE40C5" w14:paraId="32943ECE" w14:textId="77777777">
      <w:pPr>
        <w:pStyle w:val="ColorfulList-Accent11"/>
        <w:numPr>
          <w:ilvl w:val="0"/>
          <w:numId w:val="4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ulletInden"/>
          <w:sz w:val="24"/>
          <w:szCs w:val="24"/>
        </w:rPr>
      </w:pPr>
      <w:r w:rsidRPr="00751C5D">
        <w:rPr>
          <w:rStyle w:val="BulletInden"/>
          <w:sz w:val="24"/>
          <w:szCs w:val="24"/>
        </w:rPr>
        <w:t>Whether program funds are being spent for their intended purposes;</w:t>
      </w:r>
    </w:p>
    <w:p w:rsidRPr="00751C5D" w:rsidR="00EE40C5" w:rsidP="00EE40C5" w:rsidRDefault="00EE40C5" w14:paraId="7C3A2EA3" w14:textId="77777777">
      <w:pPr>
        <w:pStyle w:val="ColorfulList-Accent11"/>
        <w:numPr>
          <w:ilvl w:val="0"/>
          <w:numId w:val="4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ulletInden"/>
          <w:sz w:val="24"/>
          <w:szCs w:val="24"/>
        </w:rPr>
      </w:pPr>
      <w:r w:rsidRPr="00751C5D">
        <w:rPr>
          <w:rStyle w:val="BulletInden"/>
          <w:sz w:val="24"/>
          <w:szCs w:val="24"/>
        </w:rPr>
        <w:t>How program funds are being distributed among several discretionary categories by State and local grant recipients;</w:t>
      </w:r>
    </w:p>
    <w:p w:rsidRPr="00751C5D" w:rsidR="00EE40C5" w:rsidP="00EE40C5" w:rsidRDefault="00EE40C5" w14:paraId="5F1C2032" w14:textId="77777777">
      <w:pPr>
        <w:pStyle w:val="ColorfulList-Accent11"/>
        <w:numPr>
          <w:ilvl w:val="0"/>
          <w:numId w:val="4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ulletInden"/>
          <w:sz w:val="24"/>
          <w:szCs w:val="24"/>
        </w:rPr>
      </w:pPr>
      <w:r w:rsidRPr="00751C5D">
        <w:rPr>
          <w:rStyle w:val="BulletInden"/>
          <w:sz w:val="24"/>
          <w:szCs w:val="24"/>
        </w:rPr>
        <w:t>How many and what types of individuals are receiving services, and how various services are distributed across various types of individuals; and</w:t>
      </w:r>
    </w:p>
    <w:p w:rsidRPr="00751C5D" w:rsidR="00EE40C5" w:rsidP="00EE40C5" w:rsidRDefault="00EE40C5" w14:paraId="550BF71A" w14:textId="33987839">
      <w:pPr>
        <w:pStyle w:val="ColorfulList-Accent11"/>
        <w:numPr>
          <w:ilvl w:val="0"/>
          <w:numId w:val="4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ulletInden"/>
          <w:sz w:val="24"/>
          <w:szCs w:val="24"/>
        </w:rPr>
      </w:pPr>
      <w:r w:rsidRPr="00751C5D">
        <w:rPr>
          <w:rStyle w:val="BulletInden"/>
          <w:sz w:val="24"/>
          <w:szCs w:val="24"/>
        </w:rPr>
        <w:t>How the distribution of program funds</w:t>
      </w:r>
      <w:r w:rsidRPr="00751C5D" w:rsidR="00EB38AD">
        <w:rPr>
          <w:rStyle w:val="BulletInden"/>
          <w:sz w:val="24"/>
          <w:szCs w:val="24"/>
        </w:rPr>
        <w:t xml:space="preserve"> and</w:t>
      </w:r>
      <w:r w:rsidRPr="00751C5D">
        <w:rPr>
          <w:rStyle w:val="BulletInden"/>
          <w:sz w:val="24"/>
          <w:szCs w:val="24"/>
        </w:rPr>
        <w:t xml:space="preserve"> the distribution of services</w:t>
      </w:r>
      <w:r w:rsidRPr="00751C5D" w:rsidR="00EB38AD">
        <w:rPr>
          <w:rStyle w:val="BulletInden"/>
          <w:sz w:val="24"/>
          <w:szCs w:val="24"/>
        </w:rPr>
        <w:t xml:space="preserve"> </w:t>
      </w:r>
      <w:r w:rsidRPr="00751C5D">
        <w:rPr>
          <w:rStyle w:val="BulletInden"/>
          <w:sz w:val="24"/>
          <w:szCs w:val="24"/>
        </w:rPr>
        <w:t>are changing from one year to the next.</w:t>
      </w:r>
    </w:p>
    <w:p w:rsidRPr="00751C5D" w:rsidR="00EE40C5" w:rsidP="00EE40C5" w:rsidRDefault="00EE40C5" w14:paraId="47139196" w14:textId="77777777">
      <w:pPr>
        <w:pStyle w:val="ColorfulList-Accent11"/>
        <w:numPr>
          <w:ilvl w:val="0"/>
          <w:numId w:val="4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ulletInden"/>
          <w:sz w:val="24"/>
          <w:szCs w:val="24"/>
        </w:rPr>
      </w:pPr>
      <w:r w:rsidRPr="00751C5D">
        <w:rPr>
          <w:rStyle w:val="BulletInden"/>
          <w:sz w:val="24"/>
          <w:szCs w:val="24"/>
        </w:rPr>
        <w:t>The impact of the care and treatment on HIV health outcomes of PLWH served by the RWHAP.</w:t>
      </w:r>
    </w:p>
    <w:p w:rsidRPr="00751C5D" w:rsidR="00EE40C5" w:rsidP="00EE40C5" w:rsidRDefault="00EE40C5" w14:paraId="04259F72" w14:textId="77777777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Pr="00751C5D" w:rsidR="0046010E" w:rsidP="00DF25C6" w:rsidRDefault="0046010E" w14:paraId="0D7973AC" w14:textId="48ECA446">
      <w:pPr>
        <w:pStyle w:val="ColorfulList-Accent11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58" w:id="3"/>
      <w:r w:rsidRPr="00751C5D">
        <w:rPr>
          <w:b/>
          <w:bCs/>
          <w:sz w:val="24"/>
          <w:szCs w:val="24"/>
        </w:rPr>
        <w:t>7.</w:t>
      </w:r>
      <w:r w:rsidRPr="00751C5D">
        <w:rPr>
          <w:b/>
          <w:sz w:val="24"/>
          <w:szCs w:val="24"/>
        </w:rPr>
        <w:tab/>
      </w:r>
      <w:r w:rsidRPr="00751C5D">
        <w:rPr>
          <w:b/>
          <w:bCs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Special Circumstances Relating to the Guidelines in 5 CFR 1320.5</w:t>
      </w:r>
      <w:bookmarkEnd w:id="3"/>
    </w:p>
    <w:p w:rsidRPr="00751C5D" w:rsidR="00EE40C5" w:rsidP="00DF25C6" w:rsidRDefault="00EE40C5" w14:paraId="3966DF35" w14:textId="6FDE4B4D">
      <w:pPr>
        <w:pStyle w:val="ColorfulList-Accent11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0"/>
        <w:outlineLvl w:val="1"/>
        <w:rPr>
          <w:b/>
          <w:bCs/>
          <w:sz w:val="24"/>
          <w:szCs w:val="24"/>
          <w:u w:val="single"/>
        </w:rPr>
      </w:pPr>
      <w:r w:rsidRPr="00751C5D">
        <w:rPr>
          <w:rStyle w:val="BodyTextFi"/>
          <w:sz w:val="24"/>
          <w:szCs w:val="24"/>
        </w:rPr>
        <w:t>The data will be collected in a manner fully consistent with the guidelines in 5 CFR 1320.5.</w:t>
      </w:r>
    </w:p>
    <w:p w:rsidRPr="00751C5D" w:rsidR="0046010E" w:rsidP="00DF25C6" w:rsidRDefault="0046010E" w14:paraId="1256161F" w14:textId="50838D91">
      <w:pPr>
        <w:pStyle w:val="ColorfulList-Accent11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59" w:id="4"/>
      <w:r w:rsidRPr="00751C5D">
        <w:rPr>
          <w:b/>
          <w:bCs/>
          <w:sz w:val="24"/>
          <w:szCs w:val="24"/>
        </w:rPr>
        <w:t>8</w:t>
      </w:r>
      <w:r w:rsidR="00751C5D">
        <w:rPr>
          <w:b/>
          <w:bCs/>
          <w:sz w:val="24"/>
          <w:szCs w:val="24"/>
        </w:rPr>
        <w:t xml:space="preserve">.  </w:t>
      </w:r>
      <w:r w:rsidRPr="00751C5D">
        <w:rPr>
          <w:b/>
          <w:sz w:val="24"/>
          <w:szCs w:val="24"/>
        </w:rPr>
        <w:tab/>
      </w:r>
      <w:r w:rsidRPr="00751C5D">
        <w:rPr>
          <w:b/>
          <w:bCs/>
          <w:sz w:val="24"/>
          <w:szCs w:val="24"/>
          <w:u w:val="single"/>
        </w:rPr>
        <w:t>Comments in Response to the Federal Register Notice/Outside Consultation</w:t>
      </w:r>
      <w:bookmarkEnd w:id="4"/>
    </w:p>
    <w:p w:rsidRPr="00751C5D" w:rsidR="00D9292C" w:rsidP="00583766" w:rsidRDefault="0046010E" w14:paraId="19EE553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Style w:val="BodyTextFi"/>
          <w:rFonts w:ascii="Times New Roman" w:hAnsi="Times New Roman" w:cs="Times New Roman"/>
          <w:b/>
          <w:bCs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b/>
          <w:bCs/>
          <w:sz w:val="24"/>
          <w:szCs w:val="24"/>
        </w:rPr>
        <w:t>Section 8A:</w:t>
      </w:r>
    </w:p>
    <w:p w:rsidRPr="00751C5D" w:rsidR="00D9292C" w:rsidP="00583766" w:rsidRDefault="00D9292C" w14:paraId="2D0DD13E" w14:textId="0AB9160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A 60-day Federal Register Notice was published in the </w:t>
      </w:r>
      <w:r w:rsidRPr="00751C5D"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  <w:t>Federal Register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on October 15, 2019 (Vol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84, No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199, pp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55163–55164)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See Tab F for a copy of the notice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There w</w:t>
      </w:r>
      <w:r w:rsidRPr="00751C5D" w:rsidR="00E128E7">
        <w:rPr>
          <w:rFonts w:ascii="Times New Roman" w:hAnsi="Times New Roman" w:eastAsia="Times New Roman" w:cs="Times New Roman"/>
          <w:sz w:val="24"/>
          <w:szCs w:val="24"/>
          <w:lang w:eastAsia="ja-JP"/>
        </w:rPr>
        <w:t>as one</w:t>
      </w:r>
      <w:r w:rsidRPr="00751C5D" w:rsidR="00232E7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public comment</w:t>
      </w:r>
      <w:r w:rsidRPr="00751C5D" w:rsidR="009E50DD">
        <w:rPr>
          <w:rFonts w:ascii="Times New Roman" w:hAnsi="Times New Roman" w:eastAsia="Times New Roman" w:cs="Times New Roman"/>
          <w:sz w:val="24"/>
          <w:szCs w:val="24"/>
          <w:lang w:eastAsia="ja-JP"/>
        </w:rPr>
        <w:t>.</w:t>
      </w:r>
    </w:p>
    <w:p w:rsidRPr="00751C5D" w:rsidR="00B349C6" w:rsidP="00B349C6" w:rsidRDefault="00B349C6" w14:paraId="746E2BAC" w14:textId="75B80374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Section 8B:</w:t>
      </w:r>
    </w:p>
    <w:p w:rsidRPr="00751C5D" w:rsidR="005F10FE" w:rsidP="00B349C6" w:rsidRDefault="005F10FE" w14:paraId="2F697393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</w:p>
    <w:p w:rsidRPr="00751C5D" w:rsidR="00E128E7" w:rsidP="00B349C6" w:rsidRDefault="00B349C6" w14:paraId="3EF63227" w14:textId="09EF534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In July 2019, the EHE data collection was piloted with three Part A and three Part B recipients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Two 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small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Part B 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>recipients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>expressed concern about the new data collection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One stated that 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they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were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already struggling with 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collecting accurate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client 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>data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from their subrecipients; while the other did not have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adequate staff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to perform data collection activities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One recipient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also 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>suggested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that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the EHE Module be an annual data collection to reduce burden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and to ensure accurate data as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payments or reimbursements may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be</w:t>
      </w:r>
      <w:r w:rsidRPr="00751C5D" w:rsidR="003A5C26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recorded months after the service was provided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The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four other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pilot respondents expressed that the EHE data collection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and timelines were doable and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would not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create undue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burden as they have structures and technology in place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such as CAREWare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593A91">
        <w:rPr>
          <w:rFonts w:ascii="Times New Roman" w:hAnsi="Times New Roman" w:eastAsia="Times New Roman" w:cs="Times New Roman"/>
          <w:sz w:val="24"/>
          <w:szCs w:val="24"/>
          <w:lang w:eastAsia="ja-JP"/>
        </w:rPr>
        <w:t>One recipient did state they would need resources to incorporate the new date elements into their existing data systems and training for staff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4B723E">
        <w:rPr>
          <w:rFonts w:ascii="Times New Roman" w:hAnsi="Times New Roman" w:eastAsia="Times New Roman" w:cs="Times New Roman"/>
          <w:sz w:val="24"/>
          <w:szCs w:val="24"/>
          <w:lang w:eastAsia="ja-JP"/>
        </w:rPr>
        <w:t>HRSA HAB recognizes that EHE recipients would need additional technical assistance and resources to comply with the EHE data collection requirements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</w:p>
    <w:p w:rsidRPr="00751C5D" w:rsidR="00E128E7" w:rsidP="00B349C6" w:rsidRDefault="00E128E7" w14:paraId="4D5AA472" w14:textId="1007505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lastRenderedPageBreak/>
        <w:t>One potential EHE service provider submitted a public comment that expressed concern about the burden estimates inaccurately capturing true subrecipient reporting burden for the EHE Initiative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The respondent indicated that their estimated burden is 6 hours and not 1 hour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The burden estimates often vary based on</w:t>
      </w:r>
      <w:r w:rsidRPr="00751C5D" w:rsidR="00F74541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respondent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</w:t>
      </w:r>
      <w:r w:rsidRPr="00751C5D" w:rsidR="00F74541">
        <w:rPr>
          <w:rFonts w:ascii="Times New Roman" w:hAnsi="Times New Roman" w:eastAsia="Times New Roman" w:cs="Times New Roman"/>
          <w:sz w:val="24"/>
          <w:szCs w:val="24"/>
          <w:lang w:eastAsia="ja-JP"/>
        </w:rPr>
        <w:t>data systems, data reporting staff, and for other reasons listed above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B1268E">
        <w:rPr>
          <w:rFonts w:ascii="Times New Roman" w:hAnsi="Times New Roman" w:eastAsia="Times New Roman" w:cs="Times New Roman"/>
          <w:sz w:val="24"/>
          <w:szCs w:val="24"/>
          <w:lang w:eastAsia="ja-JP"/>
        </w:rPr>
        <w:t>The average burden among the six pilot respondents is 1.8 hours (11 hours/6 respondents)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z w:val="24"/>
          <w:szCs w:val="24"/>
          <w:lang w:eastAsia="ja-JP"/>
        </w:rPr>
        <w:t>HRSA HAB considers these reasons when developing data reporting proposals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z w:val="24"/>
          <w:szCs w:val="24"/>
          <w:lang w:eastAsia="ja-JP"/>
        </w:rPr>
        <w:t>The EHE Initiative is a newly created initiative mandated by the White House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z w:val="24"/>
          <w:szCs w:val="24"/>
          <w:lang w:eastAsia="ja-JP"/>
        </w:rPr>
        <w:t>HRSA HAB will work to refine its data reporting needs and attempt to reduce recipient/subrecipient burden as the Initiative matures over time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</w:p>
    <w:p w:rsidRPr="00751C5D" w:rsidR="00B349C6" w:rsidP="00583766" w:rsidRDefault="00B349C6" w14:paraId="1B3CEA68" w14:textId="2753248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>Below are the 6 RWHAP recipients who responded to the EHE data collection pilot:</w:t>
      </w:r>
    </w:p>
    <w:p w:rsidRPr="00751C5D" w:rsidR="00B349C6" w:rsidP="00583766" w:rsidRDefault="00B349C6" w14:paraId="2F72AE82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</w:p>
    <w:p w:rsidRPr="00751C5D" w:rsidR="00D9292C" w:rsidP="00583766" w:rsidRDefault="00D9292C" w14:paraId="084AC64E" w14:textId="2280C108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  <w:t>Part A Respondents</w:t>
      </w:r>
      <w:r w:rsidRPr="00751C5D" w:rsidR="00B349C6"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  <w:t>:</w:t>
      </w:r>
    </w:p>
    <w:p w:rsidRPr="00751C5D" w:rsidR="00813A78" w:rsidP="00813A78" w:rsidRDefault="00813A78" w14:paraId="226FACD0" w14:textId="78EE087B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813A78" w:rsidP="00813A78" w:rsidRDefault="00813A78" w14:paraId="5EC840A1" w14:textId="69F089C9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Adrienne Rogers</w:t>
      </w:r>
    </w:p>
    <w:p w:rsidRPr="00751C5D" w:rsidR="00813A78" w:rsidP="00813A78" w:rsidRDefault="003D115D" w14:paraId="4BE2C9D9" w14:textId="0C0138D6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Sacramento County Department of Health Services</w:t>
      </w:r>
    </w:p>
    <w:p w:rsidRPr="00751C5D" w:rsidR="00813A78" w:rsidP="00813A78" w:rsidRDefault="00813A78" w14:paraId="1A937B0E" w14:textId="781962B6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916 875 6211</w:t>
      </w:r>
    </w:p>
    <w:p w:rsidRPr="00751C5D" w:rsidR="00813A78" w:rsidP="00813A78" w:rsidRDefault="0046264F" w14:paraId="00ECD383" w14:textId="32E6133F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hyperlink w:history="1" r:id="rId8">
        <w:r w:rsidRPr="00751C5D" w:rsidR="00813A78">
          <w:rPr>
            <w:rStyle w:val="Hyperlink"/>
            <w:rFonts w:ascii="Times New Roman" w:hAnsi="Times New Roman" w:eastAsia="Times New Roman" w:cs="Times New Roman"/>
            <w:sz w:val="24"/>
            <w:szCs w:val="24"/>
            <w:lang w:eastAsia="ja-JP"/>
          </w:rPr>
          <w:t>rogersad@saccounty.net</w:t>
        </w:r>
      </w:hyperlink>
    </w:p>
    <w:p w:rsidRPr="00751C5D" w:rsidR="006E3ED2" w:rsidP="00813A78" w:rsidRDefault="006E3ED2" w14:paraId="09C92CF7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</w:p>
    <w:p w:rsidRPr="00751C5D" w:rsidR="00813A78" w:rsidP="00813A78" w:rsidRDefault="003D115D" w14:paraId="3999B59E" w14:textId="42747C16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Stephon Effinger</w:t>
      </w:r>
    </w:p>
    <w:p w:rsidRPr="00751C5D" w:rsidR="00813A78" w:rsidP="00D9292C" w:rsidRDefault="003D115D" w14:paraId="0D6C0867" w14:textId="28DBFCD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Baltimore City Health Department</w:t>
      </w:r>
    </w:p>
    <w:p w:rsidRPr="00751C5D" w:rsidR="003D115D" w:rsidP="00D9292C" w:rsidRDefault="003D115D" w14:paraId="1A8060FC" w14:textId="6DAEB1E9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410 545 1912</w:t>
      </w:r>
    </w:p>
    <w:p w:rsidRPr="00751C5D" w:rsidR="003D115D" w:rsidP="003D115D" w:rsidRDefault="0046264F" w14:paraId="5FB0C6A1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ja-JP"/>
        </w:rPr>
      </w:pPr>
      <w:hyperlink w:history="1" r:id="rId9">
        <w:r w:rsidRPr="00751C5D" w:rsidR="003D115D">
          <w:rPr>
            <w:rStyle w:val="Hyperlink"/>
            <w:rFonts w:ascii="Times New Roman" w:hAnsi="Times New Roman" w:eastAsia="Times New Roman" w:cs="Times New Roman"/>
            <w:sz w:val="24"/>
            <w:szCs w:val="24"/>
            <w:lang w:eastAsia="ja-JP"/>
          </w:rPr>
          <w:t>Stephon.effinger@baltimorecity.gov</w:t>
        </w:r>
      </w:hyperlink>
    </w:p>
    <w:p w:rsidRPr="00751C5D" w:rsidR="003D115D" w:rsidP="00D9292C" w:rsidRDefault="003D115D" w14:paraId="61EC1AB3" w14:textId="55D3CB33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3D115D" w:rsidP="00D9292C" w:rsidRDefault="003D115D" w14:paraId="3927478F" w14:textId="71192DC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Maricela McQueen</w:t>
      </w:r>
    </w:p>
    <w:p w:rsidRPr="00751C5D" w:rsidR="003D115D" w:rsidP="00D9292C" w:rsidRDefault="003D115D" w14:paraId="6DFF0EFA" w14:textId="193597D8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County of Bexar (Texas)</w:t>
      </w:r>
    </w:p>
    <w:p w:rsidRPr="00751C5D" w:rsidR="003D115D" w:rsidP="00D9292C" w:rsidRDefault="003D115D" w14:paraId="380EF064" w14:textId="3D48BCF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210 644 1369</w:t>
      </w:r>
    </w:p>
    <w:p w:rsidRPr="00751C5D" w:rsidR="003D115D" w:rsidP="003D115D" w:rsidRDefault="0046264F" w14:paraId="331AC921" w14:textId="486742C4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hyperlink w:history="1" r:id="rId10">
        <w:r w:rsidRPr="00751C5D" w:rsidR="003D115D">
          <w:rPr>
            <w:rStyle w:val="Hyperlink"/>
            <w:rFonts w:ascii="Times New Roman" w:hAnsi="Times New Roman" w:eastAsia="Times New Roman" w:cs="Times New Roman"/>
            <w:sz w:val="24"/>
            <w:szCs w:val="24"/>
            <w:lang w:eastAsia="ja-JP"/>
          </w:rPr>
          <w:t>Maricela.mcqueen@uhs-sa.com</w:t>
        </w:r>
      </w:hyperlink>
    </w:p>
    <w:p w:rsidRPr="00751C5D" w:rsidR="003D115D" w:rsidP="00D9292C" w:rsidRDefault="003D115D" w14:paraId="47AA855E" w14:textId="746F592A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</w:p>
    <w:p w:rsidR="00751C5D" w:rsidP="00D9292C" w:rsidRDefault="00751C5D" w14:paraId="54C5C5C6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</w:p>
    <w:p w:rsidR="00751C5D" w:rsidP="00D9292C" w:rsidRDefault="00751C5D" w14:paraId="4C18039F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</w:p>
    <w:p w:rsidR="00751C5D" w:rsidP="00D9292C" w:rsidRDefault="00751C5D" w14:paraId="6A09D8D8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</w:p>
    <w:p w:rsidRPr="00751C5D" w:rsidR="003D115D" w:rsidP="00D9292C" w:rsidRDefault="003D115D" w14:paraId="6EBC8F00" w14:textId="1B74C72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  <w:t>Part B</w:t>
      </w:r>
      <w:r w:rsidRPr="00751C5D" w:rsidR="00B349C6">
        <w:rPr>
          <w:rFonts w:ascii="Times New Roman" w:hAnsi="Times New Roman" w:eastAsia="Times New Roman" w:cs="Times New Roman"/>
          <w:i/>
          <w:iCs/>
          <w:sz w:val="24"/>
          <w:szCs w:val="24"/>
          <w:lang w:eastAsia="ja-JP"/>
        </w:rPr>
        <w:t xml:space="preserve"> Respondents:</w:t>
      </w:r>
    </w:p>
    <w:p w:rsidRPr="00751C5D" w:rsidR="003D115D" w:rsidP="00D9292C" w:rsidRDefault="003D115D" w14:paraId="36AB9984" w14:textId="702D2E2C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3D115D" w:rsidP="00D9292C" w:rsidRDefault="003D115D" w14:paraId="10514A4B" w14:textId="0C81C09E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bookmarkStart w:name="_Hlk25667293" w:id="5"/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Gloria Sims</w:t>
      </w:r>
    </w:p>
    <w:p w:rsidRPr="00751C5D" w:rsidR="003D115D" w:rsidP="00D9292C" w:rsidRDefault="003D115D" w14:paraId="704FD469" w14:textId="1310C288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Alabama Department of Public Health </w:t>
      </w:r>
    </w:p>
    <w:p w:rsidRPr="00751C5D" w:rsidR="003D115D" w:rsidP="00D9292C" w:rsidRDefault="003D115D" w14:paraId="050391E2" w14:textId="652D2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334 206 2094 </w:t>
      </w:r>
    </w:p>
    <w:p w:rsidRPr="00751C5D" w:rsidR="003D115D" w:rsidP="003D115D" w:rsidRDefault="0046264F" w14:paraId="36766EDA" w14:textId="5287C9B5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hyperlink w:history="1" r:id="rId11">
        <w:r w:rsidRPr="00751C5D" w:rsidR="003D115D">
          <w:rPr>
            <w:rStyle w:val="Hyperlink"/>
            <w:rFonts w:ascii="Times New Roman" w:hAnsi="Times New Roman" w:eastAsia="Times New Roman" w:cs="Times New Roman"/>
            <w:sz w:val="24"/>
            <w:szCs w:val="24"/>
            <w:lang w:eastAsia="ja-JP"/>
          </w:rPr>
          <w:t>Gloria.Sims@adph.state.al.us</w:t>
        </w:r>
      </w:hyperlink>
    </w:p>
    <w:bookmarkEnd w:id="5"/>
    <w:p w:rsidRPr="00751C5D" w:rsidR="003D115D" w:rsidP="00D9292C" w:rsidRDefault="003D115D" w14:paraId="104FF6D8" w14:textId="6E3B9560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3D115D" w:rsidP="00D9292C" w:rsidRDefault="00AC29CB" w14:paraId="4D64EAE7" w14:textId="7124318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Chloe Bernard</w:t>
      </w:r>
    </w:p>
    <w:p w:rsidRPr="00751C5D" w:rsidR="00AC29CB" w:rsidP="00D9292C" w:rsidRDefault="00AC29CB" w14:paraId="148DE42A" w14:textId="6F59563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Mississippi State Department of Health</w:t>
      </w:r>
    </w:p>
    <w:p w:rsidRPr="00751C5D" w:rsidR="00AC29CB" w:rsidP="00D9292C" w:rsidRDefault="00AC29CB" w14:paraId="514CAF8E" w14:textId="0BC85BAE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601 362 4879</w:t>
      </w:r>
    </w:p>
    <w:p w:rsidRPr="00751C5D" w:rsidR="00AC29CB" w:rsidP="00AC29CB" w:rsidRDefault="0046264F" w14:paraId="78152A81" w14:textId="77777777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hyperlink w:history="1" r:id="rId12">
        <w:r w:rsidRPr="00751C5D" w:rsidR="00AC29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Chloe.bernard@msdh.ms.gov</w:t>
        </w:r>
      </w:hyperlink>
    </w:p>
    <w:p w:rsidRPr="00751C5D" w:rsidR="00AC29CB" w:rsidP="00D9292C" w:rsidRDefault="00AC29CB" w14:paraId="2071E26D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AC29CB" w:rsidP="00AC29CB" w:rsidRDefault="00AC29CB" w14:paraId="497B662A" w14:textId="42DBB381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  <w:t>Debbie Purton</w:t>
      </w:r>
    </w:p>
    <w:p w:rsidRPr="00751C5D" w:rsidR="00AC29CB" w:rsidP="00AC29CB" w:rsidRDefault="00AC29CB" w14:paraId="1E0B3CF4" w14:textId="4152434B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Oklahoma Department of Health </w:t>
      </w:r>
    </w:p>
    <w:p w:rsidRPr="00751C5D" w:rsidR="00AC29CB" w:rsidP="00AC29CB" w:rsidRDefault="000D7EBC" w14:paraId="302E16C9" w14:textId="46DD5C38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405 271 9444</w:t>
      </w:r>
    </w:p>
    <w:p w:rsidRPr="00751C5D" w:rsidR="00AC29CB" w:rsidP="00D9292C" w:rsidRDefault="0046264F" w14:paraId="43DAA6B1" w14:textId="2E91F09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Style w:val="BodyTextFi"/>
          <w:rFonts w:ascii="Times New Roman" w:hAnsi="Times New Roman" w:eastAsia="Times New Roman" w:cs="Times New Roman"/>
          <w:sz w:val="24"/>
          <w:szCs w:val="24"/>
          <w:lang w:eastAsia="ja-JP"/>
        </w:rPr>
      </w:pPr>
      <w:hyperlink w:history="1" r:id="rId13">
        <w:r w:rsidRPr="00751C5D" w:rsidR="000D7EBC">
          <w:rPr>
            <w:rStyle w:val="Hyperlink"/>
            <w:rFonts w:ascii="Times New Roman" w:hAnsi="Times New Roman" w:eastAsia="Times New Roman" w:cs="Times New Roman"/>
            <w:sz w:val="24"/>
            <w:szCs w:val="24"/>
            <w:lang w:eastAsia="ja-JP"/>
          </w:rPr>
          <w:t>debbiep@health.ok.gov</w:t>
        </w:r>
      </w:hyperlink>
    </w:p>
    <w:p w:rsidRPr="00751C5D" w:rsidR="003E63AD" w:rsidP="003E63AD" w:rsidRDefault="003E63AD" w14:paraId="13846FC5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Style w:val="BodyTextFi"/>
          <w:rFonts w:ascii="Times New Roman" w:hAnsi="Times New Roman" w:eastAsia="Times New Roman" w:cs="Times New Roman"/>
          <w:b/>
          <w:bCs/>
          <w:sz w:val="24"/>
          <w:szCs w:val="24"/>
          <w:lang w:eastAsia="ja-JP"/>
        </w:rPr>
      </w:pPr>
    </w:p>
    <w:p w:rsidRPr="00751C5D" w:rsidR="0046010E" w:rsidP="00583766" w:rsidRDefault="0046010E" w14:paraId="11F96996" w14:textId="7D04FA99">
      <w:pPr>
        <w:pStyle w:val="ColorfulList-Accent11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60" w:id="6"/>
      <w:r w:rsidRPr="00751C5D">
        <w:rPr>
          <w:b/>
          <w:bCs/>
          <w:sz w:val="24"/>
          <w:szCs w:val="24"/>
        </w:rPr>
        <w:t>9.</w:t>
      </w:r>
      <w:r w:rsidRPr="00751C5D">
        <w:rPr>
          <w:b/>
          <w:sz w:val="24"/>
          <w:szCs w:val="24"/>
        </w:rPr>
        <w:tab/>
      </w:r>
      <w:r w:rsidRPr="00751C5D">
        <w:rPr>
          <w:b/>
          <w:bCs/>
          <w:sz w:val="24"/>
          <w:szCs w:val="24"/>
          <w:u w:val="single"/>
        </w:rPr>
        <w:t>Explanation of any Payment/Gift to Respondents</w:t>
      </w:r>
      <w:bookmarkEnd w:id="6"/>
    </w:p>
    <w:p w:rsidRPr="00751C5D" w:rsidR="003F3D65" w:rsidP="00583766" w:rsidRDefault="003F3D65" w14:paraId="16291BDB" w14:textId="77777777">
      <w:pPr>
        <w:pStyle w:val="ColorfulList-Accent11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outlineLvl w:val="1"/>
        <w:rPr>
          <w:b/>
          <w:bCs/>
          <w:sz w:val="24"/>
          <w:szCs w:val="24"/>
          <w:u w:val="single"/>
        </w:rPr>
      </w:pPr>
    </w:p>
    <w:p w:rsidRPr="00751C5D" w:rsidR="00927678" w:rsidP="00583766" w:rsidRDefault="00927678" w14:paraId="32E9334F" w14:textId="695FC268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The proposed collection of information does not involve any remuneration to respondents.</w:t>
      </w:r>
    </w:p>
    <w:p w:rsidRPr="00751C5D" w:rsidR="00583766" w:rsidP="00583766" w:rsidRDefault="00583766" w14:paraId="17BF9609" w14:textId="77777777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Style w:val="BodyTextFi"/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46010E" w:rsidP="00583766" w:rsidRDefault="0046010E" w14:paraId="66B9A49E" w14:textId="421E571B">
      <w:pPr>
        <w:pStyle w:val="ColorfulList-Accent11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outlineLvl w:val="1"/>
        <w:rPr>
          <w:b/>
          <w:bCs/>
          <w:sz w:val="24"/>
          <w:szCs w:val="24"/>
          <w:u w:val="single"/>
        </w:rPr>
      </w:pPr>
      <w:r w:rsidRPr="00751C5D">
        <w:rPr>
          <w:b/>
          <w:bCs/>
          <w:sz w:val="24"/>
          <w:szCs w:val="24"/>
        </w:rPr>
        <w:lastRenderedPageBreak/>
        <w:t>10.</w:t>
      </w:r>
      <w:r w:rsidRPr="00751C5D">
        <w:rPr>
          <w:b/>
          <w:sz w:val="24"/>
          <w:szCs w:val="24"/>
        </w:rPr>
        <w:tab/>
      </w:r>
      <w:r w:rsidRPr="00751C5D">
        <w:rPr>
          <w:b/>
          <w:bCs/>
          <w:sz w:val="24"/>
          <w:szCs w:val="24"/>
          <w:u w:val="single"/>
        </w:rPr>
        <w:t>Assurance of Confidentiality Provided to Respondents</w:t>
      </w:r>
    </w:p>
    <w:p w:rsidRPr="00751C5D" w:rsidR="00E415FE" w:rsidP="00E415FE" w:rsidRDefault="00E415FE" w14:paraId="633F87B7" w14:textId="022541C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 xml:space="preserve">The </w:t>
      </w:r>
      <w:r w:rsidRPr="00751C5D">
        <w:rPr>
          <w:rFonts w:ascii="Times New Roman" w:hAnsi="Times New Roman" w:cs="Times New Roman"/>
          <w:iCs/>
          <w:sz w:val="24"/>
          <w:szCs w:val="24"/>
        </w:rPr>
        <w:t>EHE data collection</w:t>
      </w:r>
      <w:r w:rsidRPr="00751C5D">
        <w:rPr>
          <w:rFonts w:ascii="Times New Roman" w:hAnsi="Times New Roman" w:cs="Times New Roman"/>
          <w:sz w:val="24"/>
          <w:szCs w:val="24"/>
        </w:rPr>
        <w:t xml:space="preserve"> does not require any information that could identify individual clients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Aggregate data on the number and type of clients who received services will be collected, but client names or other personally identifiable information will not be collected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A360F9" w:rsidP="00583766" w:rsidRDefault="00A360F9" w14:paraId="35FC21C3" w14:textId="77777777">
      <w:pPr>
        <w:keepLines/>
        <w:widowControl w:val="0"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46010E" w:rsidP="00E415FE" w:rsidRDefault="0046010E" w14:paraId="24DF85E5" w14:textId="7B080822">
      <w:pPr>
        <w:pStyle w:val="Heading2"/>
        <w:pBdr>
          <w:bottom w:val="none" w:color="auto" w:sz="0" w:space="0"/>
        </w:pBdr>
        <w:tabs>
          <w:tab w:val="left" w:pos="360"/>
        </w:tabs>
        <w:spacing w:before="0" w:after="0" w:line="360" w:lineRule="auto"/>
        <w:rPr>
          <w:b/>
          <w:bCs/>
          <w:color w:val="auto"/>
          <w:u w:val="single"/>
        </w:rPr>
      </w:pPr>
      <w:bookmarkStart w:name="_Toc209407062" w:id="7"/>
      <w:r w:rsidRPr="00751C5D">
        <w:rPr>
          <w:b/>
          <w:bCs/>
          <w:color w:val="auto"/>
        </w:rPr>
        <w:t>11.</w:t>
      </w:r>
      <w:r w:rsidRPr="00751C5D">
        <w:rPr>
          <w:b/>
          <w:color w:val="auto"/>
        </w:rPr>
        <w:tab/>
      </w:r>
      <w:r w:rsidRPr="00751C5D">
        <w:rPr>
          <w:b/>
          <w:bCs/>
          <w:color w:val="auto"/>
          <w:u w:val="single"/>
        </w:rPr>
        <w:t xml:space="preserve">Justification for Sensitive </w:t>
      </w:r>
      <w:bookmarkEnd w:id="7"/>
      <w:r w:rsidRPr="00751C5D">
        <w:rPr>
          <w:b/>
          <w:bCs/>
          <w:color w:val="auto"/>
          <w:u w:val="single"/>
        </w:rPr>
        <w:t>Questions</w:t>
      </w:r>
    </w:p>
    <w:p w:rsidRPr="00751C5D" w:rsidR="00927678" w:rsidP="00E415FE" w:rsidRDefault="00CE68A0" w14:paraId="5F7FC31E" w14:textId="402C9A3D">
      <w:pPr>
        <w:spacing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cs="Times New Roman"/>
          <w:sz w:val="24"/>
          <w:szCs w:val="24"/>
        </w:rPr>
        <w:t>There are no questions of a sensitive nature.</w:t>
      </w:r>
    </w:p>
    <w:p w:rsidRPr="00751C5D" w:rsidR="0046010E" w:rsidP="002805E4" w:rsidRDefault="0046010E" w14:paraId="666B080E" w14:textId="2CAD2275">
      <w:pPr>
        <w:pStyle w:val="Heading2"/>
        <w:pBdr>
          <w:bottom w:val="none" w:color="auto" w:sz="0" w:space="0"/>
        </w:pBdr>
        <w:tabs>
          <w:tab w:val="left" w:pos="360"/>
        </w:tabs>
        <w:spacing w:before="0" w:after="0" w:line="360" w:lineRule="auto"/>
        <w:rPr>
          <w:b/>
          <w:bCs/>
          <w:color w:val="auto"/>
          <w:u w:val="single"/>
        </w:rPr>
      </w:pPr>
      <w:bookmarkStart w:name="_Toc209407063" w:id="8"/>
      <w:r w:rsidRPr="00751C5D">
        <w:rPr>
          <w:b/>
          <w:bCs/>
          <w:color w:val="auto"/>
        </w:rPr>
        <w:t>12.</w:t>
      </w:r>
      <w:r w:rsidRPr="00751C5D">
        <w:rPr>
          <w:b/>
          <w:color w:val="auto"/>
        </w:rPr>
        <w:tab/>
      </w:r>
      <w:r w:rsidRPr="00751C5D">
        <w:rPr>
          <w:b/>
          <w:bCs/>
          <w:color w:val="auto"/>
        </w:rPr>
        <w:t xml:space="preserve"> </w:t>
      </w:r>
      <w:r w:rsidRPr="00751C5D">
        <w:rPr>
          <w:b/>
          <w:bCs/>
          <w:color w:val="auto"/>
          <w:u w:val="single"/>
        </w:rPr>
        <w:t>Estimates of Annualized Hour and Cost Burden</w:t>
      </w:r>
      <w:bookmarkEnd w:id="8"/>
    </w:p>
    <w:p w:rsidRPr="00751C5D" w:rsidR="0019596F" w:rsidP="002805E4" w:rsidRDefault="0019596F" w14:paraId="4FB05524" w14:textId="2D8D09DD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The estimated average annualized hour burden is </w:t>
      </w:r>
      <w:r w:rsidRPr="00751C5D" w:rsidR="00EF3F0D">
        <w:rPr>
          <w:rFonts w:ascii="Times New Roman" w:hAnsi="Times New Roman" w:eastAsia="Calibri" w:cs="Times New Roman"/>
          <w:sz w:val="24"/>
          <w:szCs w:val="24"/>
        </w:rPr>
        <w:t xml:space="preserve">5,087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hours per year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Burden estimates are broken out by recipient respondents as seen in Table 1</w:t>
      </w:r>
      <w:r w:rsidRPr="00751C5D" w:rsidR="00DE12CA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: 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Estimate</w:t>
      </w:r>
      <w:r w:rsidRPr="00751C5D" w:rsidR="00EF3F0D">
        <w:rPr>
          <w:rFonts w:ascii="Times New Roman" w:hAnsi="Times New Roman" w:eastAsia="Times New Roman" w:cs="Times New Roman"/>
          <w:sz w:val="24"/>
          <w:szCs w:val="24"/>
          <w:lang w:eastAsia="ja-JP"/>
        </w:rPr>
        <w:t>d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Annualized Burden</w:t>
      </w:r>
      <w:r w:rsidRPr="00751C5D" w:rsidR="00DE12CA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Hour</w:t>
      </w:r>
      <w:r w:rsidRPr="00751C5D" w:rsidR="00EF3F0D">
        <w:rPr>
          <w:rFonts w:ascii="Times New Roman" w:hAnsi="Times New Roman" w:eastAsia="Times New Roman" w:cs="Times New Roman"/>
          <w:sz w:val="24"/>
          <w:szCs w:val="24"/>
          <w:lang w:eastAsia="ja-JP"/>
        </w:rPr>
        <w:t>s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Estimates </w:t>
      </w:r>
      <w:r w:rsidRPr="00751C5D" w:rsidR="00DE12CA">
        <w:rPr>
          <w:rFonts w:ascii="Times New Roman" w:hAnsi="Times New Roman" w:eastAsia="Times New Roman" w:cs="Times New Roman"/>
          <w:sz w:val="24"/>
          <w:szCs w:val="24"/>
          <w:lang w:eastAsia="ja-JP"/>
        </w:rPr>
        <w:t>from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 grant recipients are based on prior experience in collecting, maintaining, and reporting data using the </w:t>
      </w:r>
      <w:r w:rsidRPr="00751C5D" w:rsidR="00EF3F0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RWHAP </w:t>
      </w: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data systems.</w:t>
      </w:r>
    </w:p>
    <w:p w:rsidRPr="00751C5D" w:rsidR="00583766" w:rsidP="00583766" w:rsidRDefault="00583766" w14:paraId="0932BE5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CE68A0" w:rsidP="00583766" w:rsidRDefault="00CE68A0" w14:paraId="6E5FDA25" w14:textId="25C17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i/>
          <w:iCs/>
          <w:sz w:val="24"/>
          <w:szCs w:val="24"/>
        </w:rPr>
        <w:t>Respondents:</w:t>
      </w:r>
    </w:p>
    <w:p w:rsidRPr="00751C5D" w:rsidR="00CE68A0" w:rsidP="00583766" w:rsidRDefault="00CE68A0" w14:paraId="6E40C210" w14:textId="33FA38A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Respondents for the </w:t>
      </w:r>
      <w:r w:rsidRPr="00751C5D" w:rsidR="0055531B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EHE </w:t>
      </w:r>
      <w:r w:rsidRPr="00751C5D" w:rsidR="00DE12CA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data collection</w:t>
      </w:r>
      <w:r w:rsidRP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 </w:t>
      </w:r>
      <w:r w:rsidRPr="00751C5D" w:rsidR="00DE12CA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are EHE Initiative </w:t>
      </w:r>
      <w:r w:rsidRP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recipients</w:t>
      </w:r>
      <w:r w:rsidRPr="00751C5D" w:rsidR="00F74541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/subrecipients </w:t>
      </w:r>
      <w:r w:rsidRPr="00751C5D" w:rsidR="00DE12CA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and are already receiving RWHAP Part A or/and B funding and therefore have prior experience collecting and submitting data to HRSA HAB</w:t>
      </w:r>
      <w:r w:rsid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As this Initiative is new, HRSA HAB does not have sufficient data on the number of potential subrecipients/service providers who will be contracted by funded recipients to do this work</w:t>
      </w:r>
      <w:r w:rsid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 As work on the Initiative matures, more accurate counts of funded subrecipients will be collected and reported</w:t>
      </w:r>
      <w:r w:rsid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.  </w:t>
      </w:r>
      <w:r w:rsidRPr="00751C5D" w:rsidR="00F74541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The tables below represent funded recipients at this time</w:t>
      </w:r>
      <w:r w:rsid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.  </w:t>
      </w:r>
      <w:r w:rsidRPr="00751C5D" w:rsidR="00D249F8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>The number of respondents in Table 1 is the number of recipients/subrecipients in EHE jurisdictions (48 counties, 7 states, the District of Columbia, and San Juan, Puerto Rico), who were also 2018 RWHAP-funded service providers</w:t>
      </w:r>
      <w:r w:rsidR="00751C5D">
        <w:rPr>
          <w:rFonts w:ascii="Times New Roman" w:hAnsi="Times New Roman" w:eastAsia="Times New Roman" w:cs="Times New Roman"/>
          <w:spacing w:val="1"/>
          <w:w w:val="105"/>
          <w:sz w:val="24"/>
          <w:szCs w:val="24"/>
        </w:rPr>
        <w:t xml:space="preserve">.  </w:t>
      </w:r>
      <w:r w:rsidRPr="00751C5D" w:rsidDel="00D249F8" w:rsidR="00D249F8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</w:p>
    <w:p w:rsidRPr="00751C5D" w:rsidR="00593F4F" w:rsidP="00593F4F" w:rsidRDefault="00593F4F" w14:paraId="5B5FF0F3" w14:textId="77777777">
      <w:pPr>
        <w:widowControl w:val="0"/>
        <w:spacing w:after="0" w:line="240" w:lineRule="auto"/>
        <w:rPr>
          <w:rStyle w:val="BodyTextFi"/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FE4082" w:rsidP="00583766" w:rsidRDefault="00FE4082" w14:paraId="345EE6DF" w14:textId="465D398B">
      <w:pPr>
        <w:spacing w:line="240" w:lineRule="auto"/>
        <w:rPr>
          <w:rStyle w:val="BodyTextFi"/>
          <w:rFonts w:ascii="Times New Roman" w:hAnsi="Times New Roman" w:cs="Times New Roman"/>
          <w:b/>
          <w:bCs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b/>
          <w:bCs/>
          <w:sz w:val="24"/>
          <w:szCs w:val="24"/>
        </w:rPr>
        <w:t>12A</w:t>
      </w:r>
      <w:r w:rsidR="0046264F">
        <w:rPr>
          <w:rStyle w:val="BodyTextFi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51C5D" w:rsidR="00DE12CA">
        <w:rPr>
          <w:rStyle w:val="BodyTextFi"/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751C5D">
        <w:rPr>
          <w:rStyle w:val="BodyTextFi"/>
          <w:rFonts w:ascii="Times New Roman" w:hAnsi="Times New Roman" w:cs="Times New Roman"/>
          <w:b/>
          <w:bCs/>
          <w:sz w:val="24"/>
          <w:szCs w:val="24"/>
        </w:rPr>
        <w:t>Estimated Annualized Burden Hours</w:t>
      </w:r>
    </w:p>
    <w:p w:rsidRPr="00751C5D" w:rsidR="00C318B6" w:rsidP="00583766" w:rsidRDefault="00C318B6" w14:paraId="757D408E" w14:textId="6AA77CA5">
      <w:pPr>
        <w:spacing w:line="240" w:lineRule="auto"/>
        <w:rPr>
          <w:rStyle w:val="BodyTextFi"/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The estimated annual time and cost burdens to respondents are presented in the tables below:</w:t>
      </w:r>
    </w:p>
    <w:tbl>
      <w:tblPr>
        <w:tblW w:w="9765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539"/>
        <w:gridCol w:w="1629"/>
        <w:gridCol w:w="1446"/>
        <w:gridCol w:w="1446"/>
        <w:gridCol w:w="1447"/>
      </w:tblGrid>
      <w:tr w:rsidRPr="00751C5D" w:rsidR="00B74A2D" w:rsidTr="00751C5D" w14:paraId="1861F70C" w14:textId="77777777">
        <w:trPr>
          <w:trHeight w:val="1370" w:hRule="exact"/>
        </w:trPr>
        <w:tc>
          <w:tcPr>
            <w:tcW w:w="225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D249F8" w:rsidRDefault="00B74A2D" w14:paraId="152B3080" w14:textId="14B65F1F">
            <w:pPr>
              <w:spacing w:line="252" w:lineRule="auto"/>
              <w:ind w:left="3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EHE Data Collection</w:t>
            </w:r>
          </w:p>
        </w:tc>
        <w:tc>
          <w:tcPr>
            <w:tcW w:w="15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D249F8" w:rsidRDefault="00B74A2D" w14:paraId="4C98ABD7" w14:textId="77777777">
            <w:pPr>
              <w:spacing w:line="242" w:lineRule="auto"/>
              <w:ind w:left="93" w:right="115"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751C5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of Respondents</w:t>
            </w:r>
          </w:p>
        </w:tc>
        <w:tc>
          <w:tcPr>
            <w:tcW w:w="1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D249F8" w:rsidRDefault="00B74A2D" w14:paraId="1A110724" w14:textId="77777777">
            <w:pPr>
              <w:spacing w:line="244" w:lineRule="auto"/>
              <w:ind w:left="201" w:right="20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751C5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of Responses</w:t>
            </w:r>
            <w:r w:rsidRPr="00751C5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per Respondent</w:t>
            </w:r>
          </w:p>
        </w:tc>
        <w:tc>
          <w:tcPr>
            <w:tcW w:w="14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D249F8" w:rsidRDefault="00B74A2D" w14:paraId="4AF889D7" w14:textId="77777777">
            <w:pPr>
              <w:spacing w:line="252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Total Responses</w:t>
            </w:r>
          </w:p>
        </w:tc>
        <w:tc>
          <w:tcPr>
            <w:tcW w:w="14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B74A2D" w:rsidRDefault="00B74A2D" w14:paraId="3BCCDA2B" w14:textId="77777777">
            <w:pPr>
              <w:spacing w:line="242" w:lineRule="auto"/>
              <w:ind w:left="122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Average burden per response (in hours)</w:t>
            </w:r>
          </w:p>
        </w:tc>
        <w:tc>
          <w:tcPr>
            <w:tcW w:w="1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B74A2D" w:rsidRDefault="00B74A2D" w14:paraId="22BBC42F" w14:textId="77777777">
            <w:pPr>
              <w:spacing w:line="244" w:lineRule="auto"/>
              <w:ind w:left="352" w:right="367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Total Burden Hours</w:t>
            </w:r>
          </w:p>
        </w:tc>
      </w:tr>
      <w:tr w:rsidRPr="00751C5D" w:rsidR="00B74A2D" w:rsidTr="00DB5FC5" w14:paraId="5BB29980" w14:textId="77777777">
        <w:trPr>
          <w:trHeight w:val="445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751C5D" w:rsidR="00B74A2D" w:rsidP="00B74A2D" w:rsidRDefault="00B74A2D" w14:paraId="086EEECD" w14:textId="512E8F7B">
            <w:pPr>
              <w:spacing w:line="252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EHE Module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B74A2D" w:rsidRDefault="00652CF8" w14:paraId="22CBF0DC" w14:textId="26119EA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B74A2D" w:rsidRDefault="00B74A2D" w14:paraId="04E3FF38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B74A2D" w:rsidRDefault="00652CF8" w14:paraId="39C2ABE9" w14:textId="0CFF182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2,826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722D79" w:rsidRDefault="00B74A2D" w14:paraId="7C49D5B2" w14:textId="7653C9B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C5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51C5D" w:rsidR="00722D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C37BF8" w:rsidRDefault="00652CF8" w14:paraId="3797F584" w14:textId="314F2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5,087</w:t>
            </w:r>
          </w:p>
        </w:tc>
      </w:tr>
      <w:tr w:rsidRPr="00751C5D" w:rsidR="00B74A2D" w:rsidTr="00DB5FC5" w14:paraId="136021E9" w14:textId="77777777">
        <w:trPr>
          <w:trHeight w:val="340" w:hRule="exac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751C5D" w:rsidR="00B74A2D" w:rsidP="00B74A2D" w:rsidRDefault="00B74A2D" w14:paraId="6DB7A774" w14:textId="77777777">
            <w:pPr>
              <w:spacing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B74A2D" w:rsidRDefault="00652CF8" w14:paraId="399FF2D2" w14:textId="4440DE1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B74A2D" w:rsidRDefault="00B74A2D" w14:paraId="4833287F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B74A2D" w:rsidP="00B74A2D" w:rsidRDefault="00F13427" w14:paraId="6DA5718B" w14:textId="079609F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Pr="00751C5D" w:rsidR="00652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:rsidRPr="00751C5D" w:rsidR="00D61AFF" w:rsidP="00B74A2D" w:rsidRDefault="00D61AFF" w14:paraId="7F01C06D" w14:textId="7702C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51C5D" w:rsidR="00B74A2D" w:rsidP="00C37BF8" w:rsidRDefault="00652CF8" w14:paraId="01401B33" w14:textId="7BA5835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5,087</w:t>
            </w:r>
          </w:p>
        </w:tc>
      </w:tr>
    </w:tbl>
    <w:p w:rsidRPr="00751C5D" w:rsidR="00583766" w:rsidP="00583766" w:rsidRDefault="00583766" w14:paraId="7505A3B8" w14:textId="77777777">
      <w:pPr>
        <w:spacing w:line="240" w:lineRule="auto"/>
        <w:rPr>
          <w:rFonts w:ascii="Times New Roman" w:hAnsi="Times New Roman" w:eastAsia="MS Mincho" w:cs="Times New Roman"/>
          <w:b/>
          <w:bCs/>
          <w:sz w:val="24"/>
          <w:szCs w:val="24"/>
        </w:rPr>
      </w:pPr>
    </w:p>
    <w:p w:rsidRPr="00751C5D" w:rsidR="003510FE" w:rsidP="00583766" w:rsidRDefault="0046010E" w14:paraId="5B4FA8C3" w14:textId="7D87CB6F">
      <w:pPr>
        <w:spacing w:line="240" w:lineRule="auto"/>
        <w:rPr>
          <w:rFonts w:ascii="Times New Roman" w:hAnsi="Times New Roman" w:eastAsia="MS Mincho" w:cs="Times New Roman"/>
          <w:b/>
          <w:bCs/>
          <w:sz w:val="24"/>
          <w:szCs w:val="24"/>
          <w:lang w:eastAsia="ja-JP"/>
        </w:rPr>
      </w:pPr>
      <w:r w:rsidRPr="00751C5D">
        <w:rPr>
          <w:rFonts w:ascii="Times New Roman" w:hAnsi="Times New Roman" w:eastAsia="MS Mincho" w:cs="Times New Roman"/>
          <w:b/>
          <w:bCs/>
          <w:sz w:val="24"/>
          <w:szCs w:val="24"/>
        </w:rPr>
        <w:t>12B</w:t>
      </w:r>
      <w:r w:rsidR="0046264F">
        <w:rPr>
          <w:rFonts w:ascii="Times New Roman" w:hAnsi="Times New Roman" w:eastAsia="MS Mincho" w:cs="Times New Roman"/>
          <w:sz w:val="24"/>
          <w:szCs w:val="24"/>
        </w:rPr>
        <w:t xml:space="preserve">. </w:t>
      </w:r>
      <w:bookmarkStart w:name="_GoBack" w:id="9"/>
      <w:bookmarkEnd w:id="9"/>
      <w:r w:rsidRPr="00751C5D" w:rsidR="00B74A2D">
        <w:rPr>
          <w:rFonts w:ascii="Times New Roman" w:hAnsi="Times New Roman" w:eastAsia="MS Mincho" w:cs="Times New Roman"/>
          <w:b/>
          <w:bCs/>
          <w:sz w:val="24"/>
          <w:szCs w:val="24"/>
          <w:lang w:eastAsia="ja-JP"/>
        </w:rPr>
        <w:t>Estimated Annualized Burden Costs</w:t>
      </w:r>
    </w:p>
    <w:p w:rsidRPr="00751C5D" w:rsidR="00DE12CA" w:rsidP="00D61AFF" w:rsidRDefault="00DE12CA" w14:paraId="2ACAF73C" w14:textId="7680FB0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sz w:val="24"/>
          <w:szCs w:val="24"/>
        </w:rPr>
        <w:t xml:space="preserve">The annualized burden costs for recipients is based on the May 2019 National Occupational Employment and Wage Estimates by the Bureau of Labor, </w:t>
      </w:r>
      <w:hyperlink w:history="1" r:id="rId14">
        <w:r w:rsidRPr="00751C5D">
          <w:rPr>
            <w:rFonts w:ascii="Times New Roman" w:hAnsi="Times New Roman" w:eastAsia="Times New Roman" w:cs="Times New Roman"/>
            <w:sz w:val="24"/>
            <w:szCs w:val="24"/>
          </w:rPr>
          <w:t>https://www.bls.gov/oes/current/oes_nat.htm</w:t>
        </w:r>
      </w:hyperlink>
      <w:r w:rsidR="00751C5D">
        <w:rPr>
          <w:rFonts w:ascii="Times New Roman" w:hAnsi="Times New Roman" w:eastAsia="Times New Roman" w:cs="Times New Roman"/>
          <w:bCs/>
          <w:sz w:val="24"/>
          <w:szCs w:val="24"/>
        </w:rPr>
        <w:t xml:space="preserve">. 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The respondent, a healthcare support worker (occupational code 31-9099), takes </w:t>
      </w:r>
      <w:r w:rsidRPr="00751C5D" w:rsidR="00B5620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5.4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hours (</w:t>
      </w:r>
      <w:r w:rsidRPr="00751C5D" w:rsidR="00B5620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5,087 </w:t>
      </w:r>
      <w:r w:rsidRPr="00751C5D" w:rsidR="005F10F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hours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in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lastRenderedPageBreak/>
        <w:t>total for all respondents) annually to complete the EHE data collection at a labor rate of $18.80 per hour</w:t>
      </w:r>
      <w:r w:rsidR="00751C5D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. 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The </w:t>
      </w:r>
      <w:r w:rsidRPr="00751C5D" w:rsidR="005F10F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net </w:t>
      </w:r>
      <w:r w:rsidRPr="00751C5D" w:rsidR="00D61AF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total hour cost</w:t>
      </w:r>
      <w:r w:rsidRPr="00751C5D" w:rsidR="005F10F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, </w:t>
      </w:r>
      <w:r w:rsidRPr="00751C5D" w:rsidR="0029251C">
        <w:rPr>
          <w:rFonts w:ascii="Times New Roman" w:hAnsi="Times New Roman" w:cs="Times New Roman"/>
          <w:bCs/>
          <w:sz w:val="24"/>
          <w:szCs w:val="24"/>
        </w:rPr>
        <w:t>$4,771.44</w:t>
      </w:r>
      <w:r w:rsidRPr="00751C5D" w:rsidR="005F10FE">
        <w:rPr>
          <w:rFonts w:ascii="Times New Roman" w:hAnsi="Times New Roman" w:cs="Times New Roman"/>
          <w:bCs/>
          <w:sz w:val="24"/>
          <w:szCs w:val="24"/>
        </w:rPr>
        <w:t>, is doubled to account for employer overhead and fringe benefits, yielding a total hour cost of $9,542.88.</w:t>
      </w:r>
    </w:p>
    <w:p w:rsidRPr="00751C5D" w:rsidR="00D61AFF" w:rsidP="00D61AFF" w:rsidRDefault="00D61AFF" w14:paraId="478390E2" w14:textId="7777777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eastAsia="MS Mincho" w:cs="Times New Roman"/>
          <w:b/>
          <w:bCs/>
          <w:sz w:val="24"/>
          <w:szCs w:val="24"/>
          <w:lang w:eastAsia="ja-JP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94"/>
        <w:gridCol w:w="2086"/>
        <w:gridCol w:w="1976"/>
        <w:gridCol w:w="3439"/>
      </w:tblGrid>
      <w:tr w:rsidRPr="00751C5D" w:rsidR="002058A4" w:rsidTr="00751C5D" w14:paraId="14699818" w14:textId="77777777">
        <w:trPr>
          <w:trHeight w:val="620"/>
        </w:trPr>
        <w:tc>
          <w:tcPr>
            <w:tcW w:w="1494" w:type="dxa"/>
            <w:vAlign w:val="center"/>
          </w:tcPr>
          <w:p w:rsidRPr="00751C5D" w:rsidR="002058A4" w:rsidP="00525C05" w:rsidRDefault="002058A4" w14:paraId="5CAD83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Form Name</w:t>
            </w:r>
          </w:p>
        </w:tc>
        <w:tc>
          <w:tcPr>
            <w:tcW w:w="2086" w:type="dxa"/>
            <w:vAlign w:val="center"/>
          </w:tcPr>
          <w:p w:rsidRPr="00751C5D" w:rsidR="002058A4" w:rsidP="00525C05" w:rsidRDefault="002058A4" w14:paraId="079D44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Total Burden Hours</w:t>
            </w:r>
          </w:p>
        </w:tc>
        <w:tc>
          <w:tcPr>
            <w:tcW w:w="1976" w:type="dxa"/>
            <w:vAlign w:val="center"/>
          </w:tcPr>
          <w:p w:rsidRPr="00751C5D" w:rsidR="002058A4" w:rsidP="00525C05" w:rsidRDefault="002058A4" w14:paraId="374FCD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Hourly Wage Rate</w:t>
            </w:r>
          </w:p>
        </w:tc>
        <w:tc>
          <w:tcPr>
            <w:tcW w:w="3439" w:type="dxa"/>
            <w:vAlign w:val="center"/>
          </w:tcPr>
          <w:p w:rsidRPr="00751C5D" w:rsidR="002058A4" w:rsidP="00525C05" w:rsidRDefault="002058A4" w14:paraId="0B9CAB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Total Respondents Costs</w:t>
            </w:r>
          </w:p>
        </w:tc>
      </w:tr>
      <w:tr w:rsidRPr="00751C5D" w:rsidR="002058A4" w:rsidTr="003D5B02" w14:paraId="3CAF318B" w14:textId="77777777">
        <w:trPr>
          <w:trHeight w:val="1134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2058A4" w14:paraId="04DE724A" w14:textId="69BDA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EHE Module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B5620E" w:rsidRDefault="00B5620E" w14:paraId="64D322AC" w14:textId="6D05D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5,087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3510FE" w14:paraId="12E61D9E" w14:textId="274B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$18.80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D825C5" w:rsidRDefault="00B5620E" w14:paraId="210AF6EA" w14:textId="1331E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$95,636.00</w:t>
            </w:r>
          </w:p>
        </w:tc>
      </w:tr>
      <w:tr w:rsidRPr="00751C5D" w:rsidR="002058A4" w:rsidTr="003D5B02" w14:paraId="64029234" w14:textId="77777777">
        <w:trPr>
          <w:trHeight w:val="70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2058A4" w14:paraId="7F5881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B5620E" w14:paraId="01796F45" w14:textId="7C4B6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5,087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2058A4" w14:paraId="2AAE68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5D" w:rsidR="002058A4" w:rsidP="00525C05" w:rsidRDefault="00B5620E" w14:paraId="786F2DA6" w14:textId="3A88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Cs/>
                <w:sz w:val="24"/>
                <w:szCs w:val="24"/>
              </w:rPr>
              <w:t>$95,636.00</w:t>
            </w:r>
            <w:r w:rsidRPr="00751C5D" w:rsidR="00836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1C5D" w:rsidR="009A765D">
              <w:rPr>
                <w:rFonts w:ascii="Times New Roman" w:hAnsi="Times New Roman" w:cs="Times New Roman"/>
                <w:bCs/>
                <w:sz w:val="24"/>
                <w:szCs w:val="24"/>
              </w:rPr>
              <w:t>x 2</w:t>
            </w:r>
            <w:r w:rsidRPr="00751C5D" w:rsidR="005F1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(overhead/fringe</w:t>
            </w:r>
            <w:r w:rsidRPr="00751C5D" w:rsidR="007C3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751C5D" w:rsidR="009A765D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  <w:p w:rsidRPr="00751C5D" w:rsidR="009A765D" w:rsidP="007C3279" w:rsidRDefault="00B5620E" w14:paraId="7FD9DD0F" w14:textId="44D65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$191,272</w:t>
            </w:r>
          </w:p>
        </w:tc>
      </w:tr>
    </w:tbl>
    <w:p w:rsidRPr="00751C5D" w:rsidR="004F358D" w:rsidP="00C318B6" w:rsidRDefault="004F358D" w14:paraId="198CC6AA" w14:textId="774C78ED">
      <w:pPr>
        <w:spacing w:line="240" w:lineRule="auto"/>
        <w:rPr>
          <w:rFonts w:ascii="Times New Roman" w:hAnsi="Times New Roman" w:eastAsia="MS Mincho" w:cs="Times New Roman"/>
          <w:sz w:val="24"/>
          <w:szCs w:val="24"/>
          <w:highlight w:val="yellow"/>
        </w:rPr>
      </w:pPr>
    </w:p>
    <w:p w:rsidRPr="00751C5D" w:rsidR="00C318B6" w:rsidP="00C318B6" w:rsidRDefault="00C318B6" w14:paraId="54072958" w14:textId="77777777">
      <w:pPr>
        <w:tabs>
          <w:tab w:val="num" w:pos="720"/>
        </w:tabs>
        <w:spacing w:before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1C5D">
        <w:rPr>
          <w:rFonts w:ascii="Times New Roman" w:hAnsi="Times New Roman" w:cs="Times New Roman"/>
          <w:bCs/>
          <w:i/>
          <w:iCs/>
          <w:sz w:val="24"/>
          <w:szCs w:val="24"/>
        </w:rPr>
        <w:t>Planned frequency of information collection:</w:t>
      </w:r>
    </w:p>
    <w:p w:rsidRPr="00751C5D" w:rsidR="00C318B6" w:rsidP="00C318B6" w:rsidRDefault="00C753D4" w14:paraId="4BC808D1" w14:textId="7C7A35C3">
      <w:pPr>
        <w:tabs>
          <w:tab w:val="num" w:pos="720"/>
        </w:tabs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1C5D">
        <w:rPr>
          <w:rFonts w:ascii="Times New Roman" w:hAnsi="Times New Roman" w:cs="Times New Roman"/>
          <w:bCs/>
          <w:sz w:val="24"/>
          <w:szCs w:val="24"/>
        </w:rPr>
        <w:t>For existing data collections to which EHE data elements will be added will occur once a year</w:t>
      </w:r>
      <w:r w:rsidR="00751C5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751C5D" w:rsidR="00C318B6">
        <w:rPr>
          <w:rFonts w:ascii="Times New Roman" w:hAnsi="Times New Roman" w:cs="Times New Roman"/>
          <w:bCs/>
          <w:sz w:val="24"/>
          <w:szCs w:val="24"/>
        </w:rPr>
        <w:t xml:space="preserve">The EHE Module </w:t>
      </w:r>
      <w:r w:rsidRPr="00751C5D" w:rsidR="002805E4">
        <w:rPr>
          <w:rFonts w:ascii="Times New Roman" w:hAnsi="Times New Roman" w:cs="Times New Roman"/>
          <w:bCs/>
          <w:sz w:val="24"/>
          <w:szCs w:val="24"/>
        </w:rPr>
        <w:t>will be</w:t>
      </w:r>
      <w:r w:rsidRPr="00751C5D" w:rsidR="00C318B6">
        <w:rPr>
          <w:rFonts w:ascii="Times New Roman" w:hAnsi="Times New Roman" w:cs="Times New Roman"/>
          <w:bCs/>
          <w:sz w:val="24"/>
          <w:szCs w:val="24"/>
        </w:rPr>
        <w:t xml:space="preserve"> open to </w:t>
      </w:r>
      <w:r w:rsidRPr="00751C5D" w:rsidR="00C318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recipients and subrecipients three times a year in </w:t>
      </w:r>
      <w:r w:rsidRPr="00751C5D" w:rsidR="00F13427">
        <w:rPr>
          <w:rFonts w:ascii="Times New Roman" w:hAnsi="Times New Roman" w:cs="Times New Roman"/>
          <w:spacing w:val="1"/>
          <w:w w:val="105"/>
          <w:sz w:val="24"/>
          <w:szCs w:val="24"/>
        </w:rPr>
        <w:t>July</w:t>
      </w:r>
      <w:r w:rsidRPr="00751C5D" w:rsidR="00C318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, </w:t>
      </w:r>
      <w:r w:rsidRPr="00751C5D" w:rsidR="00F13427">
        <w:rPr>
          <w:rFonts w:ascii="Times New Roman" w:hAnsi="Times New Roman" w:cs="Times New Roman"/>
          <w:spacing w:val="1"/>
          <w:w w:val="105"/>
          <w:sz w:val="24"/>
          <w:szCs w:val="24"/>
        </w:rPr>
        <w:t>November</w:t>
      </w:r>
      <w:r w:rsidRPr="00751C5D" w:rsidR="00C318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, and </w:t>
      </w:r>
      <w:r w:rsidRPr="00751C5D" w:rsidR="00F13427">
        <w:rPr>
          <w:rFonts w:ascii="Times New Roman" w:hAnsi="Times New Roman" w:cs="Times New Roman"/>
          <w:spacing w:val="1"/>
          <w:w w:val="105"/>
          <w:sz w:val="24"/>
          <w:szCs w:val="24"/>
        </w:rPr>
        <w:t>March</w:t>
      </w:r>
      <w:r w:rsidR="00751C5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.  </w:t>
      </w:r>
    </w:p>
    <w:p w:rsidRPr="00751C5D" w:rsidR="00B74A2D" w:rsidP="00583766" w:rsidRDefault="00DF25C6" w14:paraId="496B6741" w14:textId="2CAFAA68">
      <w:pPr>
        <w:tabs>
          <w:tab w:val="left" w:pos="360"/>
        </w:tabs>
        <w:autoSpaceDE w:val="0"/>
        <w:autoSpaceDN w:val="0"/>
        <w:adjustRightInd w:val="0"/>
        <w:spacing w:before="24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1C5D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751C5D">
        <w:rPr>
          <w:rFonts w:ascii="Times New Roman" w:hAnsi="Times New Roman" w:cs="Times New Roman"/>
          <w:b/>
          <w:sz w:val="24"/>
          <w:szCs w:val="24"/>
        </w:rPr>
        <w:tab/>
      </w:r>
      <w:r w:rsidR="00751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C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Estimates of other Total Annual Cost Burden to Respondents or </w:t>
      </w:r>
      <w:r w:rsidRPr="00751C5D" w:rsidR="008419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751C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751C5D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Recordkeepers/Capital Costs</w:t>
      </w:r>
    </w:p>
    <w:p w:rsidRPr="00751C5D" w:rsidR="002058A4" w:rsidP="00A146D7" w:rsidRDefault="002058A4" w14:paraId="745DE1B2" w14:textId="3D2F3255">
      <w:pPr>
        <w:rPr>
          <w:rFonts w:ascii="Times New Roman" w:hAnsi="Times New Roman" w:cs="Times New Roman"/>
          <w:sz w:val="24"/>
          <w:szCs w:val="24"/>
        </w:rPr>
      </w:pP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Grant recipients are responsible for maintaining their own data system </w:t>
      </w:r>
      <w:r w:rsidRPr="00751C5D" w:rsidR="00C753D4">
        <w:rPr>
          <w:rStyle w:val="BodyTextFi"/>
          <w:rFonts w:ascii="Times New Roman" w:hAnsi="Times New Roman" w:cs="Times New Roman"/>
          <w:sz w:val="24"/>
          <w:szCs w:val="24"/>
        </w:rPr>
        <w:t>and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</w:t>
      </w:r>
      <w:r w:rsidRPr="00751C5D" w:rsidR="00C753D4">
        <w:rPr>
          <w:rStyle w:val="BodyTextFi"/>
          <w:rFonts w:ascii="Times New Roman" w:hAnsi="Times New Roman" w:cs="Times New Roman"/>
          <w:sz w:val="24"/>
          <w:szCs w:val="24"/>
        </w:rPr>
        <w:t>already have access to the EHBs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There are no direct costs to </w:t>
      </w:r>
      <w:r w:rsidRPr="00751C5D" w:rsidR="00C753D4">
        <w:rPr>
          <w:rStyle w:val="BodyTextFi"/>
          <w:rFonts w:ascii="Times New Roman" w:hAnsi="Times New Roman" w:cs="Times New Roman"/>
          <w:sz w:val="24"/>
          <w:szCs w:val="24"/>
        </w:rPr>
        <w:t>recipients</w:t>
      </w:r>
      <w:r w:rsidRPr="00751C5D">
        <w:rPr>
          <w:rStyle w:val="BodyTextFi"/>
          <w:rFonts w:ascii="Times New Roman" w:hAnsi="Times New Roman" w:cs="Times New Roman"/>
          <w:sz w:val="24"/>
          <w:szCs w:val="24"/>
        </w:rPr>
        <w:t xml:space="preserve"> other than their time in participating in the data collection and quality assurance.</w:t>
      </w:r>
    </w:p>
    <w:p w:rsidRPr="00751C5D" w:rsidR="00DF25C6" w:rsidP="00DF25C6" w:rsidRDefault="00DF25C6" w14:paraId="1AB3EBAD" w14:textId="513272F6">
      <w:pPr>
        <w:pStyle w:val="ColorfulList-Accent11"/>
        <w:widowControl/>
        <w:tabs>
          <w:tab w:val="left" w:pos="360"/>
        </w:tabs>
        <w:spacing w:line="480" w:lineRule="auto"/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65" w:id="10"/>
      <w:r w:rsidRPr="00751C5D">
        <w:rPr>
          <w:b/>
          <w:bCs/>
          <w:sz w:val="24"/>
          <w:szCs w:val="24"/>
        </w:rPr>
        <w:t>14.</w:t>
      </w:r>
      <w:r w:rsidRPr="00751C5D">
        <w:rPr>
          <w:b/>
          <w:sz w:val="24"/>
          <w:szCs w:val="24"/>
        </w:rPr>
        <w:tab/>
      </w:r>
      <w:r w:rsidR="00751C5D">
        <w:rPr>
          <w:b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Annualized Cost to the Federal Government</w:t>
      </w:r>
      <w:bookmarkEnd w:id="10"/>
    </w:p>
    <w:p w:rsidRPr="00751C5D" w:rsidR="00C753D4" w:rsidP="00C753D4" w:rsidRDefault="00C753D4" w14:paraId="500A796A" w14:textId="48A70042">
      <w:pPr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The contract task that supports the initial system setup and supports system maintenance and data collection efforts each year is $120,000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In addition, there will be the cost for a GS 13 (Step 3) at 12% (approximately $12,800) and a GS 14 (Step 5) at 6% (approximately $8,000) time to monitor the project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>The estimated total cost is $140,800</w:t>
      </w:r>
      <w:r w:rsidR="00751C5D">
        <w:rPr>
          <w:rFonts w:ascii="Times New Roman" w:hAnsi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51C5D" w:rsidR="00B74A2D" w:rsidP="003F3D65" w:rsidRDefault="00B74A2D" w14:paraId="1869334E" w14:textId="3CE0A4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DF25C6" w:rsidP="00DF25C6" w:rsidRDefault="00DF25C6" w14:paraId="7901F53F" w14:textId="1E7CA188">
      <w:pPr>
        <w:pStyle w:val="ColorfulList-Accent11"/>
        <w:widowControl/>
        <w:tabs>
          <w:tab w:val="left" w:pos="360"/>
        </w:tabs>
        <w:spacing w:line="480" w:lineRule="auto"/>
        <w:ind w:left="0"/>
        <w:outlineLvl w:val="1"/>
        <w:rPr>
          <w:b/>
          <w:bCs/>
          <w:sz w:val="24"/>
          <w:szCs w:val="24"/>
          <w:u w:val="single"/>
        </w:rPr>
      </w:pPr>
      <w:r w:rsidRPr="00751C5D">
        <w:rPr>
          <w:b/>
          <w:bCs/>
          <w:sz w:val="24"/>
          <w:szCs w:val="24"/>
        </w:rPr>
        <w:t>15.</w:t>
      </w:r>
      <w:r w:rsidRPr="00751C5D">
        <w:rPr>
          <w:b/>
          <w:sz w:val="24"/>
          <w:szCs w:val="24"/>
        </w:rPr>
        <w:tab/>
      </w:r>
      <w:r w:rsidR="00751C5D">
        <w:rPr>
          <w:b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Explanation for Program Changes or Adjustments</w:t>
      </w:r>
    </w:p>
    <w:p w:rsidRPr="00751C5D" w:rsidR="005224E2" w:rsidP="005224E2" w:rsidRDefault="00C3279B" w14:paraId="7BE6D64D" w14:textId="27EC74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The</w:t>
      </w:r>
      <w:r w:rsidRPr="00751C5D" w:rsidR="005224E2">
        <w:rPr>
          <w:rFonts w:ascii="Times New Roman" w:hAnsi="Times New Roman" w:cs="Times New Roman"/>
          <w:sz w:val="24"/>
          <w:szCs w:val="24"/>
        </w:rPr>
        <w:t xml:space="preserve"> EHE </w:t>
      </w:r>
      <w:r w:rsidRPr="00751C5D" w:rsidR="00593F4F">
        <w:rPr>
          <w:rFonts w:ascii="Times New Roman" w:hAnsi="Times New Roman" w:cs="Times New Roman"/>
          <w:sz w:val="24"/>
          <w:szCs w:val="24"/>
        </w:rPr>
        <w:t xml:space="preserve">Initiative </w:t>
      </w:r>
      <w:r w:rsidRPr="00751C5D" w:rsidR="005224E2">
        <w:rPr>
          <w:rFonts w:ascii="Times New Roman" w:hAnsi="Times New Roman" w:cs="Times New Roman"/>
          <w:sz w:val="24"/>
          <w:szCs w:val="24"/>
        </w:rPr>
        <w:t xml:space="preserve">Module is </w:t>
      </w:r>
      <w:r w:rsidRPr="00751C5D">
        <w:rPr>
          <w:rFonts w:ascii="Times New Roman" w:hAnsi="Times New Roman" w:cs="Times New Roman"/>
          <w:sz w:val="24"/>
          <w:szCs w:val="24"/>
        </w:rPr>
        <w:t>a new data collection</w:t>
      </w:r>
      <w:r w:rsidR="00751C5D">
        <w:rPr>
          <w:rStyle w:val="BodyTextFi"/>
          <w:rFonts w:ascii="Times New Roman" w:hAnsi="Times New Roman" w:cs="Times New Roman"/>
          <w:sz w:val="24"/>
          <w:szCs w:val="24"/>
        </w:rPr>
        <w:t xml:space="preserve">.  </w:t>
      </w:r>
    </w:p>
    <w:p w:rsidRPr="00751C5D" w:rsidR="005224E2" w:rsidP="00583766" w:rsidRDefault="005224E2" w14:paraId="0676EAE6" w14:textId="77777777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highlight w:val="yellow"/>
          <w:u w:val="single"/>
        </w:rPr>
      </w:pPr>
    </w:p>
    <w:p w:rsidRPr="00751C5D" w:rsidR="00593F4F" w:rsidP="00583766" w:rsidRDefault="00DF25C6" w14:paraId="1A1E02FA" w14:textId="0718573D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67" w:id="11"/>
      <w:r w:rsidRPr="00751C5D">
        <w:rPr>
          <w:b/>
          <w:bCs/>
          <w:sz w:val="24"/>
          <w:szCs w:val="24"/>
        </w:rPr>
        <w:t>16.</w:t>
      </w:r>
      <w:r w:rsidRPr="00751C5D">
        <w:rPr>
          <w:b/>
          <w:sz w:val="24"/>
          <w:szCs w:val="24"/>
        </w:rPr>
        <w:tab/>
      </w:r>
      <w:r w:rsidR="00751C5D">
        <w:rPr>
          <w:b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Plans for Tabulation, Publication, and Project Time Schedule</w:t>
      </w:r>
      <w:bookmarkEnd w:id="11"/>
    </w:p>
    <w:p w:rsidRPr="00751C5D" w:rsidR="005027E7" w:rsidP="005027E7" w:rsidRDefault="005027E7" w14:paraId="0C55FE72" w14:textId="56A1581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sz w:val="24"/>
          <w:szCs w:val="24"/>
        </w:rPr>
        <w:t xml:space="preserve">Below are the timelines for </w:t>
      </w:r>
      <w:r w:rsidRPr="00751C5D" w:rsidR="00C753D4">
        <w:rPr>
          <w:rFonts w:ascii="Times New Roman" w:hAnsi="Times New Roman" w:eastAsia="Times New Roman" w:cs="Times New Roman"/>
          <w:sz w:val="24"/>
          <w:szCs w:val="24"/>
        </w:rPr>
        <w:t xml:space="preserve">EHE </w:t>
      </w:r>
      <w:r w:rsidRPr="00751C5D" w:rsidR="00523DA8">
        <w:rPr>
          <w:rFonts w:ascii="Times New Roman" w:hAnsi="Times New Roman" w:eastAsia="Times New Roman" w:cs="Times New Roman"/>
          <w:sz w:val="24"/>
          <w:szCs w:val="24"/>
        </w:rPr>
        <w:t xml:space="preserve">Initiative Module 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>data collection</w:t>
      </w:r>
      <w:r w:rsidR="00751C5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>The existing data collections to which EHE data elements will be added will follow their customary timelines</w:t>
      </w:r>
      <w:r w:rsidR="00751C5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>See below for these timelines</w:t>
      </w:r>
      <w:r w:rsidR="00751C5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751C5D" w:rsidR="00593F4F">
        <w:rPr>
          <w:rFonts w:ascii="Times New Roman" w:hAnsi="Times New Roman" w:eastAsia="Times New Roman" w:cs="Times New Roman"/>
          <w:sz w:val="24"/>
          <w:szCs w:val="24"/>
        </w:rPr>
        <w:t>The EHE Initiative Module will be available to RWHAP recipients and subrecipients to enter annual data three times a year</w:t>
      </w:r>
      <w:r w:rsidR="00751C5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751C5D" w:rsidR="00593F4F">
        <w:rPr>
          <w:rFonts w:ascii="Times New Roman" w:hAnsi="Times New Roman" w:eastAsia="Times New Roman" w:cs="Times New Roman"/>
          <w:sz w:val="24"/>
          <w:szCs w:val="24"/>
        </w:rPr>
        <w:t>Below is the schedule specifying the annual period</w:t>
      </w:r>
      <w:r w:rsidR="00751C5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Pr="00751C5D" w:rsidR="005027E7" w:rsidP="005027E7" w:rsidRDefault="005027E7" w14:paraId="61136441" w14:textId="03442CA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Allocations Reports: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 xml:space="preserve"> 90 Days after the budget period begins.</w:t>
      </w:r>
    </w:p>
    <w:p w:rsidRPr="00751C5D" w:rsidR="005027E7" w:rsidP="005027E7" w:rsidRDefault="005027E7" w14:paraId="2320FACB" w14:textId="7777777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Expenditures Reports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>: 90 days after the end of the funding year.</w:t>
      </w:r>
    </w:p>
    <w:p w:rsidRPr="00751C5D" w:rsidR="005027E7" w:rsidP="005027E7" w:rsidRDefault="005027E7" w14:paraId="328B451F" w14:textId="53D0FE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RSR: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 xml:space="preserve"> Third Monday in March</w:t>
      </w:r>
      <w:r w:rsidRPr="00751C5D" w:rsidR="00523DA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51C5D" w:rsidR="00523DA8" w:rsidP="005027E7" w:rsidRDefault="00523DA8" w14:paraId="5EAFE049" w14:textId="44BDA0F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ADR: </w:t>
      </w:r>
      <w:r w:rsidRPr="00751C5D">
        <w:rPr>
          <w:rFonts w:ascii="Times New Roman" w:hAnsi="Times New Roman" w:eastAsia="Times New Roman" w:cs="Times New Roman"/>
          <w:bCs/>
          <w:sz w:val="24"/>
          <w:szCs w:val="24"/>
        </w:rPr>
        <w:t>Third Monday in June</w:t>
      </w:r>
      <w:r w:rsidR="00751C5D">
        <w:rPr>
          <w:rFonts w:ascii="Times New Roman" w:hAnsi="Times New Roman" w:eastAsia="Times New Roman" w:cs="Times New Roman"/>
          <w:bCs/>
          <w:sz w:val="24"/>
          <w:szCs w:val="24"/>
        </w:rPr>
        <w:t xml:space="preserve">.  </w:t>
      </w:r>
    </w:p>
    <w:p w:rsidRPr="00751C5D" w:rsidR="005027E7" w:rsidP="005027E7" w:rsidRDefault="005027E7" w14:paraId="45782E98" w14:textId="431383B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bCs/>
          <w:sz w:val="24"/>
          <w:szCs w:val="24"/>
        </w:rPr>
        <w:t>AETC:</w:t>
      </w:r>
      <w:r w:rsidRPr="00751C5D">
        <w:rPr>
          <w:rFonts w:ascii="Times New Roman" w:hAnsi="Times New Roman" w:eastAsia="Times New Roman" w:cs="Times New Roman"/>
          <w:sz w:val="24"/>
          <w:szCs w:val="24"/>
        </w:rPr>
        <w:t xml:space="preserve"> August 30</w:t>
      </w:r>
      <w:r w:rsidRPr="00751C5D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Pr="00751C5D" w:rsidR="005027E7" w:rsidP="005027E7" w:rsidRDefault="005027E7" w14:paraId="75499F28" w14:textId="246BC3C2">
      <w:pPr>
        <w:widowControl w:val="0"/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51C5D">
        <w:rPr>
          <w:rFonts w:ascii="Times New Roman" w:hAnsi="Times New Roman" w:eastAsia="Times New Roman" w:cs="Times New Roman"/>
          <w:b/>
          <w:sz w:val="24"/>
          <w:szCs w:val="24"/>
        </w:rPr>
        <w:t>EHE Initiative Module: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4"/>
        <w:gridCol w:w="4316"/>
      </w:tblGrid>
      <w:tr w:rsidRPr="00751C5D" w:rsidR="00DB27E3" w:rsidTr="00DB27E3" w14:paraId="1E5023BF" w14:textId="77777777">
        <w:tc>
          <w:tcPr>
            <w:tcW w:w="4314" w:type="dxa"/>
          </w:tcPr>
          <w:p w:rsidRPr="00751C5D" w:rsidR="00DB27E3" w:rsidP="005027E7" w:rsidRDefault="00DB27E3" w14:paraId="705179FC" w14:textId="77777777">
            <w:pPr>
              <w:pStyle w:val="ListParagraph"/>
              <w:spacing w:before="100" w:beforeAutospacing="1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Reporting Period</w:t>
            </w:r>
          </w:p>
        </w:tc>
        <w:tc>
          <w:tcPr>
            <w:tcW w:w="4316" w:type="dxa"/>
          </w:tcPr>
          <w:p w:rsidRPr="00751C5D" w:rsidR="00DB27E3" w:rsidP="005027E7" w:rsidRDefault="00DB27E3" w14:paraId="00C19A7B" w14:textId="77777777">
            <w:pPr>
              <w:pStyle w:val="ListParagraph"/>
              <w:spacing w:before="100" w:beforeAutospacing="1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Submission</w:t>
            </w:r>
          </w:p>
        </w:tc>
      </w:tr>
      <w:tr w:rsidRPr="00751C5D" w:rsidR="00DB27E3" w:rsidTr="00DB27E3" w14:paraId="37030EBA" w14:textId="77777777">
        <w:tc>
          <w:tcPr>
            <w:tcW w:w="4314" w:type="dxa"/>
          </w:tcPr>
          <w:p w:rsidRPr="00751C5D" w:rsidR="00DB27E3" w:rsidP="005027E7" w:rsidRDefault="00F73123" w14:paraId="03781FAC" w14:textId="6C86910E">
            <w:pPr>
              <w:pStyle w:val="ListParagraph"/>
              <w:spacing w:before="100" w:before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March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June 30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6" w:type="dxa"/>
          </w:tcPr>
          <w:p w:rsidRPr="00751C5D" w:rsidR="00DB27E3" w:rsidP="005027E7" w:rsidRDefault="00F73123" w14:paraId="3263BAD3" w14:textId="7575A461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July 31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51C5D" w:rsidR="00DB27E3" w:rsidTr="00DB27E3" w14:paraId="51A20374" w14:textId="77777777">
        <w:tc>
          <w:tcPr>
            <w:tcW w:w="4314" w:type="dxa"/>
          </w:tcPr>
          <w:p w:rsidRPr="00751C5D" w:rsidR="00DB27E3" w:rsidP="00583766" w:rsidRDefault="00F73123" w14:paraId="0B58BE24" w14:textId="035037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October 31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6" w:type="dxa"/>
          </w:tcPr>
          <w:p w:rsidRPr="00751C5D" w:rsidR="00DB27E3" w:rsidP="00583766" w:rsidRDefault="00F73123" w14:paraId="66832EA9" w14:textId="4DA13CB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November 30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51C5D" w:rsidR="00DB27E3" w:rsidTr="00DB27E3" w14:paraId="0C8042F7" w14:textId="77777777">
        <w:tc>
          <w:tcPr>
            <w:tcW w:w="4314" w:type="dxa"/>
          </w:tcPr>
          <w:p w:rsidRPr="00751C5D" w:rsidR="00DB27E3" w:rsidP="00583766" w:rsidRDefault="00F73123" w14:paraId="4F6B4EDC" w14:textId="1FFB2A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February 28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6" w:type="dxa"/>
          </w:tcPr>
          <w:p w:rsidRPr="00751C5D" w:rsidR="00DB27E3" w:rsidP="00583766" w:rsidRDefault="00F73123" w14:paraId="62BD1FF7" w14:textId="6F561D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>March 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– March 31</w:t>
            </w:r>
            <w:r w:rsidRPr="0075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5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Pr="00751C5D" w:rsidR="00DB27E3" w:rsidP="00583766" w:rsidRDefault="00DB27E3" w14:paraId="1243DB21" w14:textId="16DE8D47">
      <w:pPr>
        <w:pStyle w:val="ColorfulList-Accent11"/>
        <w:widowControl/>
        <w:tabs>
          <w:tab w:val="left" w:pos="360"/>
        </w:tabs>
        <w:ind w:left="0"/>
        <w:outlineLvl w:val="1"/>
        <w:rPr>
          <w:sz w:val="24"/>
          <w:szCs w:val="24"/>
        </w:rPr>
      </w:pPr>
    </w:p>
    <w:p w:rsidRPr="00751C5D" w:rsidR="002805E4" w:rsidP="00583766" w:rsidRDefault="002805E4" w14:paraId="72DE9D4E" w14:textId="723138A8">
      <w:pPr>
        <w:pStyle w:val="ColorfulList-Accent11"/>
        <w:widowControl/>
        <w:tabs>
          <w:tab w:val="left" w:pos="360"/>
        </w:tabs>
        <w:ind w:left="0"/>
        <w:outlineLvl w:val="1"/>
        <w:rPr>
          <w:sz w:val="24"/>
          <w:szCs w:val="24"/>
        </w:rPr>
      </w:pPr>
      <w:r w:rsidRPr="00751C5D">
        <w:rPr>
          <w:sz w:val="24"/>
          <w:szCs w:val="24"/>
        </w:rPr>
        <w:t>Data from the EHE Module will be extracted within two weeks of the close of the reporting period to allow for frequent analysis of the reach of the EHE Initiative.</w:t>
      </w:r>
    </w:p>
    <w:p w:rsidRPr="00751C5D" w:rsidR="00C753D4" w:rsidP="00583766" w:rsidRDefault="00C753D4" w14:paraId="3048534E" w14:textId="77777777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</w:p>
    <w:p w:rsidRPr="00751C5D" w:rsidR="00DF25C6" w:rsidP="003F3D65" w:rsidRDefault="00DF25C6" w14:paraId="6BE2BB1E" w14:textId="16825C17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68" w:id="12"/>
      <w:r w:rsidRPr="00751C5D">
        <w:rPr>
          <w:b/>
          <w:bCs/>
          <w:sz w:val="24"/>
          <w:szCs w:val="24"/>
        </w:rPr>
        <w:t>17.</w:t>
      </w:r>
      <w:r w:rsidRPr="00751C5D">
        <w:rPr>
          <w:b/>
          <w:sz w:val="24"/>
          <w:szCs w:val="24"/>
        </w:rPr>
        <w:tab/>
      </w:r>
      <w:r w:rsidR="00751C5D">
        <w:rPr>
          <w:b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Reason(s) Display of OMB Expiration Date</w:t>
      </w:r>
      <w:bookmarkEnd w:id="12"/>
      <w:r w:rsidRPr="00751C5D">
        <w:rPr>
          <w:b/>
          <w:bCs/>
          <w:sz w:val="24"/>
          <w:szCs w:val="24"/>
          <w:u w:val="single"/>
        </w:rPr>
        <w:t xml:space="preserve"> is Inappropriate</w:t>
      </w:r>
    </w:p>
    <w:p w:rsidRPr="00751C5D" w:rsidR="003F3D65" w:rsidP="003F3D65" w:rsidRDefault="003F3D65" w14:paraId="4C04CE51" w14:textId="77777777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</w:p>
    <w:p w:rsidRPr="00751C5D" w:rsidR="00B74A2D" w:rsidP="003F3D65" w:rsidRDefault="00B74A2D" w14:paraId="42F50C54" w14:textId="74945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The expiration date will be displayed appropriately.</w:t>
      </w:r>
    </w:p>
    <w:p w:rsidRPr="00751C5D" w:rsidR="00DF25C6" w:rsidP="00583766" w:rsidRDefault="00DF25C6" w14:paraId="0426AAF0" w14:textId="30BB2D5D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  <w:bookmarkStart w:name="_Toc209407069" w:id="13"/>
      <w:r w:rsidRPr="00751C5D">
        <w:rPr>
          <w:b/>
          <w:bCs/>
          <w:sz w:val="24"/>
          <w:szCs w:val="24"/>
        </w:rPr>
        <w:t>18.</w:t>
      </w:r>
      <w:r w:rsidRPr="00751C5D">
        <w:rPr>
          <w:b/>
          <w:bCs/>
          <w:sz w:val="24"/>
          <w:szCs w:val="24"/>
        </w:rPr>
        <w:tab/>
      </w:r>
      <w:r w:rsidR="00751C5D">
        <w:rPr>
          <w:b/>
          <w:bCs/>
          <w:sz w:val="24"/>
          <w:szCs w:val="24"/>
        </w:rPr>
        <w:t xml:space="preserve"> </w:t>
      </w:r>
      <w:r w:rsidRPr="00751C5D">
        <w:rPr>
          <w:b/>
          <w:bCs/>
          <w:sz w:val="24"/>
          <w:szCs w:val="24"/>
          <w:u w:val="single"/>
        </w:rPr>
        <w:t>Exceptions to Certifications for Paperwork Reduction Act Submissions</w:t>
      </w:r>
      <w:bookmarkEnd w:id="13"/>
    </w:p>
    <w:p w:rsidRPr="00751C5D" w:rsidR="003F3D65" w:rsidP="00583766" w:rsidRDefault="003F3D65" w14:paraId="39E9BADC" w14:textId="77777777">
      <w:pPr>
        <w:pStyle w:val="ColorfulList-Accent11"/>
        <w:widowControl/>
        <w:tabs>
          <w:tab w:val="left" w:pos="360"/>
        </w:tabs>
        <w:ind w:left="0"/>
        <w:outlineLvl w:val="1"/>
        <w:rPr>
          <w:b/>
          <w:bCs/>
          <w:sz w:val="24"/>
          <w:szCs w:val="24"/>
          <w:u w:val="single"/>
        </w:rPr>
      </w:pPr>
    </w:p>
    <w:p w:rsidRPr="00751C5D" w:rsidR="007A541D" w:rsidP="00583766" w:rsidRDefault="00B74A2D" w14:paraId="66E60FB1" w14:textId="3C584CF8">
      <w:pPr>
        <w:widowControl w:val="0"/>
        <w:spacing w:after="0" w:line="240" w:lineRule="auto"/>
        <w:contextualSpacing/>
        <w:outlineLvl w:val="0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 w:rsidRP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>This information collection fully complies with the guidelines in 5 CFR 1320.9</w:t>
      </w:r>
      <w:r w:rsidR="00751C5D">
        <w:rPr>
          <w:rFonts w:ascii="Times New Roman" w:hAnsi="Times New Roman" w:eastAsia="Times New Roman" w:cs="Times New Roman"/>
          <w:sz w:val="24"/>
          <w:szCs w:val="24"/>
          <w:lang w:eastAsia="ja-JP"/>
        </w:rPr>
        <w:t xml:space="preserve">.  </w:t>
      </w:r>
    </w:p>
    <w:p w:rsidRPr="00751C5D" w:rsidR="00A146D7" w:rsidP="00583766" w:rsidRDefault="00A146D7" w14:paraId="76FC0355" w14:textId="3D18DA3A">
      <w:pPr>
        <w:widowControl w:val="0"/>
        <w:spacing w:after="0" w:line="240" w:lineRule="auto"/>
        <w:contextualSpacing/>
        <w:outlineLvl w:val="0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A146D7" w:rsidP="002058A4" w:rsidRDefault="00A146D7" w14:paraId="3ED3A35A" w14:textId="582E91F5">
      <w:pPr>
        <w:widowControl w:val="0"/>
        <w:spacing w:after="0" w:line="240" w:lineRule="auto"/>
        <w:contextualSpacing/>
        <w:outlineLvl w:val="0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A146D7" w:rsidP="002058A4" w:rsidRDefault="00A146D7" w14:paraId="0DA241D1" w14:textId="24C3B24A">
      <w:pPr>
        <w:widowControl w:val="0"/>
        <w:spacing w:after="0" w:line="240" w:lineRule="auto"/>
        <w:contextualSpacing/>
        <w:outlineLvl w:val="0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</w:p>
    <w:p w:rsidRPr="00751C5D" w:rsidR="007A541D" w:rsidP="007A541D" w:rsidRDefault="007A541D" w14:paraId="5FC3EB03" w14:textId="77777777">
      <w:pPr>
        <w:pStyle w:val="ColorfulList-Accent11"/>
        <w:ind w:left="0"/>
        <w:outlineLvl w:val="0"/>
        <w:rPr>
          <w:sz w:val="24"/>
          <w:szCs w:val="24"/>
        </w:rPr>
      </w:pPr>
    </w:p>
    <w:p w:rsidRPr="00751C5D" w:rsidR="007A541D" w:rsidP="00DF25C6" w:rsidRDefault="007A541D" w14:paraId="2AC41F2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Pr="00751C5D" w:rsidR="007A541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C46B8F" w16cid:durableId="218FB869"/>
  <w16cid:commentId w16cid:paraId="795D9C6D" w16cid:durableId="219A895F"/>
  <w16cid:commentId w16cid:paraId="5B7BDC15" w16cid:durableId="219A8BDE"/>
  <w16cid:commentId w16cid:paraId="3936A152" w16cid:durableId="219B4F8B"/>
  <w16cid:commentId w16cid:paraId="36B73088" w16cid:durableId="219B4E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54301" w14:textId="77777777" w:rsidR="005159B3" w:rsidRDefault="005159B3" w:rsidP="006E3ED2">
      <w:pPr>
        <w:spacing w:after="0" w:line="240" w:lineRule="auto"/>
      </w:pPr>
      <w:r>
        <w:separator/>
      </w:r>
    </w:p>
  </w:endnote>
  <w:endnote w:type="continuationSeparator" w:id="0">
    <w:p w14:paraId="7F4F8976" w14:textId="77777777" w:rsidR="005159B3" w:rsidRDefault="005159B3" w:rsidP="006E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DB38" w14:textId="058EF36A" w:rsidR="006E3ED2" w:rsidRPr="00751C5D" w:rsidRDefault="006E3ED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</w:rPr>
    </w:pPr>
    <w:r w:rsidRPr="00751C5D">
      <w:rPr>
        <w:rFonts w:ascii="Times New Roman" w:hAnsi="Times New Roman" w:cs="Times New Roman"/>
        <w:caps/>
      </w:rPr>
      <w:fldChar w:fldCharType="begin"/>
    </w:r>
    <w:r w:rsidRPr="00751C5D">
      <w:rPr>
        <w:rFonts w:ascii="Times New Roman" w:hAnsi="Times New Roman" w:cs="Times New Roman"/>
        <w:caps/>
      </w:rPr>
      <w:instrText xml:space="preserve"> PAGE   \* MERGEFORMAT </w:instrText>
    </w:r>
    <w:r w:rsidRPr="00751C5D">
      <w:rPr>
        <w:rFonts w:ascii="Times New Roman" w:hAnsi="Times New Roman" w:cs="Times New Roman"/>
        <w:caps/>
      </w:rPr>
      <w:fldChar w:fldCharType="separate"/>
    </w:r>
    <w:r w:rsidR="0046264F">
      <w:rPr>
        <w:rFonts w:ascii="Times New Roman" w:hAnsi="Times New Roman" w:cs="Times New Roman"/>
        <w:caps/>
        <w:noProof/>
      </w:rPr>
      <w:t>2</w:t>
    </w:r>
    <w:r w:rsidRPr="00751C5D">
      <w:rPr>
        <w:rFonts w:ascii="Times New Roman" w:hAnsi="Times New Roman" w:cs="Times New Roman"/>
        <w:caps/>
        <w:noProof/>
      </w:rPr>
      <w:fldChar w:fldCharType="end"/>
    </w:r>
  </w:p>
  <w:p w14:paraId="0A0972CF" w14:textId="77777777" w:rsidR="006E3ED2" w:rsidRDefault="006E3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76AE" w14:textId="77777777" w:rsidR="005159B3" w:rsidRDefault="005159B3" w:rsidP="006E3ED2">
      <w:pPr>
        <w:spacing w:after="0" w:line="240" w:lineRule="auto"/>
      </w:pPr>
      <w:r>
        <w:separator/>
      </w:r>
    </w:p>
  </w:footnote>
  <w:footnote w:type="continuationSeparator" w:id="0">
    <w:p w14:paraId="24A06388" w14:textId="77777777" w:rsidR="005159B3" w:rsidRDefault="005159B3" w:rsidP="006E3ED2">
      <w:pPr>
        <w:spacing w:after="0" w:line="240" w:lineRule="auto"/>
      </w:pPr>
      <w:r>
        <w:continuationSeparator/>
      </w:r>
    </w:p>
  </w:footnote>
  <w:footnote w:id="1">
    <w:p w14:paraId="442C405E" w14:textId="6AA409B0" w:rsidR="00F0042D" w:rsidRPr="00751C5D" w:rsidRDefault="00F0042D">
      <w:pPr>
        <w:pStyle w:val="FootnoteText"/>
        <w:rPr>
          <w:rFonts w:ascii="Times New Roman" w:hAnsi="Times New Roman" w:cs="Times New Roman"/>
        </w:rPr>
      </w:pPr>
      <w:r w:rsidRPr="00751C5D">
        <w:rPr>
          <w:rStyle w:val="FootnoteReference"/>
          <w:rFonts w:ascii="Times New Roman" w:hAnsi="Times New Roman" w:cs="Times New Roman"/>
        </w:rPr>
        <w:footnoteRef/>
      </w:r>
      <w:r w:rsidRPr="00751C5D">
        <w:rPr>
          <w:rFonts w:ascii="Times New Roman" w:hAnsi="Times New Roman" w:cs="Times New Roman"/>
        </w:rPr>
        <w:t xml:space="preserve"> EHE Initiative activities were granted increased Authority under Public Health Service Act, Section 311(c) (42 USC 243(c)) and title XXVI (42 U.S.C</w:t>
      </w:r>
      <w:r w:rsidR="00751C5D" w:rsidRPr="00751C5D">
        <w:rPr>
          <w:rFonts w:ascii="Times New Roman" w:hAnsi="Times New Roman" w:cs="Times New Roman"/>
        </w:rPr>
        <w:t xml:space="preserve">.  </w:t>
      </w:r>
      <w:r w:rsidRPr="00751C5D">
        <w:rPr>
          <w:rFonts w:ascii="Times New Roman" w:hAnsi="Times New Roman" w:cs="Times New Roman"/>
        </w:rPr>
        <w:t>§§ 300ff-11 et seq.)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CE"/>
    <w:multiLevelType w:val="hybridMultilevel"/>
    <w:tmpl w:val="F890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E5556"/>
    <w:multiLevelType w:val="hybridMultilevel"/>
    <w:tmpl w:val="2AC88274"/>
    <w:lvl w:ilvl="0" w:tplc="3C2A7B70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30FF5EFD"/>
    <w:multiLevelType w:val="hybridMultilevel"/>
    <w:tmpl w:val="CB54C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C28B8"/>
    <w:multiLevelType w:val="hybridMultilevel"/>
    <w:tmpl w:val="C8A2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A2DB4"/>
    <w:multiLevelType w:val="multilevel"/>
    <w:tmpl w:val="1666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632F1"/>
    <w:multiLevelType w:val="hybridMultilevel"/>
    <w:tmpl w:val="9224055A"/>
    <w:lvl w:ilvl="0" w:tplc="E89C6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25DD6"/>
    <w:multiLevelType w:val="hybridMultilevel"/>
    <w:tmpl w:val="3440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F45B4"/>
    <w:multiLevelType w:val="hybridMultilevel"/>
    <w:tmpl w:val="7D9C55E4"/>
    <w:styleLink w:val="StyleBulleted33"/>
    <w:lvl w:ilvl="0" w:tplc="842626D8">
      <w:start w:val="1"/>
      <w:numFmt w:val="bullet"/>
      <w:pStyle w:val="Answerbulleted"/>
      <w:lvlText w:val=""/>
      <w:lvlJc w:val="left"/>
      <w:pPr>
        <w:ind w:left="990" w:hanging="360"/>
      </w:pPr>
      <w:rPr>
        <w:rFonts w:ascii="Symbol" w:hAnsi="Symbol" w:hint="default"/>
        <w:b w:val="0"/>
        <w:i w:val="0"/>
        <w:color w:val="5C85BC"/>
        <w:position w:val="2"/>
        <w:sz w:val="20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lvl w:ilvl="0" w:tplc="842626D8">
        <w:start w:val="1"/>
        <w:numFmt w:val="bullet"/>
        <w:pStyle w:val="Answerbulleted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color w:val="auto"/>
          <w:position w:val="2"/>
          <w:sz w:val="20"/>
        </w:rPr>
      </w:lvl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AE"/>
    <w:rsid w:val="00014AC7"/>
    <w:rsid w:val="00022694"/>
    <w:rsid w:val="00060F95"/>
    <w:rsid w:val="000905B3"/>
    <w:rsid w:val="00091680"/>
    <w:rsid w:val="0009666A"/>
    <w:rsid w:val="000973E5"/>
    <w:rsid w:val="000B352D"/>
    <w:rsid w:val="000C74ED"/>
    <w:rsid w:val="000D7EBC"/>
    <w:rsid w:val="00105523"/>
    <w:rsid w:val="00127C3B"/>
    <w:rsid w:val="001307EE"/>
    <w:rsid w:val="00133099"/>
    <w:rsid w:val="00147E97"/>
    <w:rsid w:val="0019596F"/>
    <w:rsid w:val="001A45C5"/>
    <w:rsid w:val="001B32D3"/>
    <w:rsid w:val="002057ED"/>
    <w:rsid w:val="002058A4"/>
    <w:rsid w:val="00227DA1"/>
    <w:rsid w:val="00232E76"/>
    <w:rsid w:val="002339A1"/>
    <w:rsid w:val="00240743"/>
    <w:rsid w:val="0024369C"/>
    <w:rsid w:val="00251144"/>
    <w:rsid w:val="002805E4"/>
    <w:rsid w:val="00286068"/>
    <w:rsid w:val="0029251C"/>
    <w:rsid w:val="00297F36"/>
    <w:rsid w:val="002C6C2B"/>
    <w:rsid w:val="003204C9"/>
    <w:rsid w:val="00342963"/>
    <w:rsid w:val="003510FE"/>
    <w:rsid w:val="0036286F"/>
    <w:rsid w:val="00393671"/>
    <w:rsid w:val="003A5C26"/>
    <w:rsid w:val="003A6623"/>
    <w:rsid w:val="003D115D"/>
    <w:rsid w:val="003D5B02"/>
    <w:rsid w:val="003E0F6A"/>
    <w:rsid w:val="003E3C14"/>
    <w:rsid w:val="003E63AD"/>
    <w:rsid w:val="003F3D65"/>
    <w:rsid w:val="0046010E"/>
    <w:rsid w:val="0046264F"/>
    <w:rsid w:val="00463D2F"/>
    <w:rsid w:val="00474E16"/>
    <w:rsid w:val="004937B8"/>
    <w:rsid w:val="004B723E"/>
    <w:rsid w:val="004F358D"/>
    <w:rsid w:val="005027E7"/>
    <w:rsid w:val="00502F21"/>
    <w:rsid w:val="005159A7"/>
    <w:rsid w:val="005159B3"/>
    <w:rsid w:val="00516ED7"/>
    <w:rsid w:val="005224E2"/>
    <w:rsid w:val="00523DA8"/>
    <w:rsid w:val="00525C05"/>
    <w:rsid w:val="005430CF"/>
    <w:rsid w:val="005446AC"/>
    <w:rsid w:val="0055531B"/>
    <w:rsid w:val="00562384"/>
    <w:rsid w:val="005649F5"/>
    <w:rsid w:val="00566EFF"/>
    <w:rsid w:val="005772CF"/>
    <w:rsid w:val="00583766"/>
    <w:rsid w:val="00593A91"/>
    <w:rsid w:val="00593F4F"/>
    <w:rsid w:val="005B17B6"/>
    <w:rsid w:val="005B2BFA"/>
    <w:rsid w:val="005B4644"/>
    <w:rsid w:val="005B4692"/>
    <w:rsid w:val="005B46EB"/>
    <w:rsid w:val="005B7DBC"/>
    <w:rsid w:val="005C701D"/>
    <w:rsid w:val="005F10FE"/>
    <w:rsid w:val="00611916"/>
    <w:rsid w:val="00641DFB"/>
    <w:rsid w:val="00652CF8"/>
    <w:rsid w:val="00654071"/>
    <w:rsid w:val="006720CD"/>
    <w:rsid w:val="006B2D8E"/>
    <w:rsid w:val="006E16AA"/>
    <w:rsid w:val="006E3ED2"/>
    <w:rsid w:val="006E5A5C"/>
    <w:rsid w:val="006F5F2A"/>
    <w:rsid w:val="00717CBE"/>
    <w:rsid w:val="00722D79"/>
    <w:rsid w:val="00751C5D"/>
    <w:rsid w:val="0077438F"/>
    <w:rsid w:val="00775456"/>
    <w:rsid w:val="00780621"/>
    <w:rsid w:val="007A0933"/>
    <w:rsid w:val="007A541D"/>
    <w:rsid w:val="007B3222"/>
    <w:rsid w:val="007B5E2D"/>
    <w:rsid w:val="007C3279"/>
    <w:rsid w:val="00813A78"/>
    <w:rsid w:val="008265B8"/>
    <w:rsid w:val="00836542"/>
    <w:rsid w:val="008365AE"/>
    <w:rsid w:val="008419C5"/>
    <w:rsid w:val="0087650F"/>
    <w:rsid w:val="00887D09"/>
    <w:rsid w:val="00897333"/>
    <w:rsid w:val="008A7CEC"/>
    <w:rsid w:val="008D1934"/>
    <w:rsid w:val="008D4F1F"/>
    <w:rsid w:val="008D66BF"/>
    <w:rsid w:val="008F1167"/>
    <w:rsid w:val="00914B95"/>
    <w:rsid w:val="009205DD"/>
    <w:rsid w:val="00927678"/>
    <w:rsid w:val="00970455"/>
    <w:rsid w:val="009A765D"/>
    <w:rsid w:val="009E50DD"/>
    <w:rsid w:val="00A05A19"/>
    <w:rsid w:val="00A146D7"/>
    <w:rsid w:val="00A360F9"/>
    <w:rsid w:val="00A716B8"/>
    <w:rsid w:val="00AB4FB3"/>
    <w:rsid w:val="00AC29CB"/>
    <w:rsid w:val="00AD7BF4"/>
    <w:rsid w:val="00AE2DF7"/>
    <w:rsid w:val="00AE4EAF"/>
    <w:rsid w:val="00AF2C9E"/>
    <w:rsid w:val="00B1268E"/>
    <w:rsid w:val="00B24E1E"/>
    <w:rsid w:val="00B349C6"/>
    <w:rsid w:val="00B5282B"/>
    <w:rsid w:val="00B5620E"/>
    <w:rsid w:val="00B74A2D"/>
    <w:rsid w:val="00B80FA1"/>
    <w:rsid w:val="00BA077C"/>
    <w:rsid w:val="00BA58A2"/>
    <w:rsid w:val="00BD40F9"/>
    <w:rsid w:val="00BE3255"/>
    <w:rsid w:val="00BE7982"/>
    <w:rsid w:val="00C1410E"/>
    <w:rsid w:val="00C20980"/>
    <w:rsid w:val="00C318B6"/>
    <w:rsid w:val="00C3279B"/>
    <w:rsid w:val="00C37BF8"/>
    <w:rsid w:val="00C40621"/>
    <w:rsid w:val="00C53FB7"/>
    <w:rsid w:val="00C55D12"/>
    <w:rsid w:val="00C706EF"/>
    <w:rsid w:val="00C753D4"/>
    <w:rsid w:val="00CC6BF2"/>
    <w:rsid w:val="00CE68A0"/>
    <w:rsid w:val="00D249F8"/>
    <w:rsid w:val="00D61AFF"/>
    <w:rsid w:val="00D825C5"/>
    <w:rsid w:val="00D867B0"/>
    <w:rsid w:val="00D87F6E"/>
    <w:rsid w:val="00D9292C"/>
    <w:rsid w:val="00D9296A"/>
    <w:rsid w:val="00DB27E3"/>
    <w:rsid w:val="00DB5FC5"/>
    <w:rsid w:val="00DB63A4"/>
    <w:rsid w:val="00DB7C19"/>
    <w:rsid w:val="00DD6EDE"/>
    <w:rsid w:val="00DD7AF3"/>
    <w:rsid w:val="00DE12CA"/>
    <w:rsid w:val="00DE2C57"/>
    <w:rsid w:val="00DF25C6"/>
    <w:rsid w:val="00E128E7"/>
    <w:rsid w:val="00E332BE"/>
    <w:rsid w:val="00E415FE"/>
    <w:rsid w:val="00E45148"/>
    <w:rsid w:val="00E4704C"/>
    <w:rsid w:val="00E62B92"/>
    <w:rsid w:val="00EA1186"/>
    <w:rsid w:val="00EB38AD"/>
    <w:rsid w:val="00EE40C5"/>
    <w:rsid w:val="00EF3F0D"/>
    <w:rsid w:val="00F0042D"/>
    <w:rsid w:val="00F052DD"/>
    <w:rsid w:val="00F07FC7"/>
    <w:rsid w:val="00F13427"/>
    <w:rsid w:val="00F614B2"/>
    <w:rsid w:val="00F65625"/>
    <w:rsid w:val="00F700C4"/>
    <w:rsid w:val="00F73123"/>
    <w:rsid w:val="00F74541"/>
    <w:rsid w:val="00FA2B32"/>
    <w:rsid w:val="00FC725A"/>
    <w:rsid w:val="00FE4082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875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1144"/>
    <w:pPr>
      <w:widowControl w:val="0"/>
      <w:pBdr>
        <w:bottom w:val="single" w:sz="8" w:space="1" w:color="4F81BD"/>
      </w:pBdr>
      <w:spacing w:before="200" w:after="80" w:line="240" w:lineRule="auto"/>
      <w:outlineLvl w:val="1"/>
    </w:pPr>
    <w:rPr>
      <w:rFonts w:ascii="Times New Roman" w:eastAsia="Times New Roman" w:hAnsi="Times New Roman" w:cs="Times New Roman"/>
      <w:color w:val="365F91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44"/>
    <w:rPr>
      <w:rFonts w:ascii="Segoe UI" w:hAnsi="Segoe UI" w:cs="Segoe UI"/>
      <w:sz w:val="18"/>
      <w:szCs w:val="18"/>
    </w:rPr>
  </w:style>
  <w:style w:type="paragraph" w:customStyle="1" w:styleId="Answerbulleted">
    <w:name w:val="Answer bulleted"/>
    <w:basedOn w:val="Normal"/>
    <w:rsid w:val="00251144"/>
    <w:pPr>
      <w:widowControl w:val="0"/>
      <w:numPr>
        <w:numId w:val="2"/>
      </w:numPr>
      <w:spacing w:before="120" w:after="120" w:line="240" w:lineRule="auto"/>
      <w:ind w:right="446"/>
    </w:pPr>
    <w:rPr>
      <w:rFonts w:ascii="Cambria" w:eastAsia="Times New Roman" w:hAnsi="Cambria" w:cs="Times New Roman"/>
      <w:spacing w:val="-1"/>
    </w:rPr>
  </w:style>
  <w:style w:type="numbering" w:customStyle="1" w:styleId="StyleBulleted33">
    <w:name w:val="Style Bulleted 33"/>
    <w:rsid w:val="00251144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511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51144"/>
    <w:rPr>
      <w:rFonts w:ascii="Times New Roman" w:eastAsia="Times New Roman" w:hAnsi="Times New Roman" w:cs="Times New Roman"/>
      <w:color w:val="365F91"/>
      <w:sz w:val="24"/>
      <w:szCs w:val="24"/>
      <w:lang w:eastAsia="ja-JP"/>
    </w:rPr>
  </w:style>
  <w:style w:type="character" w:customStyle="1" w:styleId="BodyTextFi">
    <w:name w:val="Body Text Fi"/>
    <w:rsid w:val="00251144"/>
  </w:style>
  <w:style w:type="paragraph" w:customStyle="1" w:styleId="ColorfulList-Accent11">
    <w:name w:val="Colorful List - Accent 11"/>
    <w:basedOn w:val="Normal"/>
    <w:uiPriority w:val="34"/>
    <w:qFormat/>
    <w:rsid w:val="0046010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BulletInden">
    <w:name w:val="Bullet Inden"/>
    <w:rsid w:val="00EE40C5"/>
  </w:style>
  <w:style w:type="character" w:styleId="Hyperlink">
    <w:name w:val="Hyperlink"/>
    <w:basedOn w:val="DefaultParagraphFont"/>
    <w:uiPriority w:val="99"/>
    <w:unhideWhenUsed/>
    <w:rsid w:val="00813A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3A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13A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A7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D2"/>
  </w:style>
  <w:style w:type="paragraph" w:styleId="Footer">
    <w:name w:val="footer"/>
    <w:basedOn w:val="Normal"/>
    <w:link w:val="FooterChar"/>
    <w:uiPriority w:val="99"/>
    <w:unhideWhenUsed/>
    <w:rsid w:val="006E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D2"/>
  </w:style>
  <w:style w:type="paragraph" w:styleId="FootnoteText">
    <w:name w:val="footnote text"/>
    <w:basedOn w:val="Normal"/>
    <w:link w:val="FootnoteTextChar"/>
    <w:uiPriority w:val="99"/>
    <w:semiHidden/>
    <w:unhideWhenUsed/>
    <w:rsid w:val="00F00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42D"/>
    <w:rPr>
      <w:vertAlign w:val="superscript"/>
    </w:rPr>
  </w:style>
  <w:style w:type="paragraph" w:styleId="Revision">
    <w:name w:val="Revision"/>
    <w:hidden/>
    <w:uiPriority w:val="99"/>
    <w:semiHidden/>
    <w:rsid w:val="00F13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sad@saccounty.net" TargetMode="External"/><Relationship Id="rId13" Type="http://schemas.openxmlformats.org/officeDocument/2006/relationships/hyperlink" Target="mailto:debbiep@health.o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loe.bernard@msdh.ms.gov" TargetMode="Externa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oria.Sims@adph.state.al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cela.mcqueen@uhs-s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on.effinger@baltimorecity.gov" TargetMode="External"/><Relationship Id="rId14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C899-ECBA-4176-BFD5-DC5F6D2F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2020-04-29T15:06:00Z</dcterms:created>
  <dcterms:modified xsi:type="dcterms:W3CDTF">2020-04-29T15:18:00Z</dcterms:modified>
</cp:coreProperties>
</file>