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5919" w:rsidR="00BA1A0C" w:rsidP="00CE5AA9" w:rsidRDefault="009B3794" w14:paraId="5B9726F5" w14:textId="77777777">
      <w:pPr>
        <w:tabs>
          <w:tab w:val="center" w:pos="4680"/>
        </w:tabs>
        <w:spacing w:before="120"/>
        <w:jc w:val="center"/>
        <w:rPr>
          <w:rFonts w:ascii="Arial" w:hAnsi="Arial" w:cs="Arial"/>
          <w:b/>
          <w:bCs/>
          <w:sz w:val="32"/>
          <w:szCs w:val="32"/>
        </w:rPr>
      </w:pPr>
      <w:bookmarkStart w:name="_GoBack" w:id="0"/>
      <w:bookmarkEnd w:id="0"/>
      <w:r w:rsidRPr="006D5919">
        <w:rPr>
          <w:rFonts w:ascii="Arial" w:hAnsi="Arial" w:cs="Arial"/>
          <w:b/>
          <w:bCs/>
          <w:sz w:val="32"/>
          <w:szCs w:val="32"/>
        </w:rPr>
        <w:t xml:space="preserve">Supporting Statement </w:t>
      </w:r>
      <w:r w:rsidRPr="006D5919" w:rsidR="00BA1A0C">
        <w:rPr>
          <w:rFonts w:ascii="Arial" w:hAnsi="Arial" w:cs="Arial"/>
          <w:b/>
          <w:bCs/>
          <w:sz w:val="32"/>
          <w:szCs w:val="32"/>
        </w:rPr>
        <w:t>A</w:t>
      </w:r>
    </w:p>
    <w:p w:rsidRPr="006D5919" w:rsidR="00BA1A0C" w:rsidP="00CE5AA9" w:rsidRDefault="00BA1A0C" w14:paraId="5B9726F6" w14:textId="77777777">
      <w:pPr>
        <w:tabs>
          <w:tab w:val="center" w:pos="4680"/>
        </w:tabs>
        <w:spacing w:before="120"/>
        <w:jc w:val="center"/>
        <w:rPr>
          <w:rFonts w:ascii="Arial" w:hAnsi="Arial" w:cs="Arial"/>
          <w:b/>
          <w:bCs/>
          <w:sz w:val="32"/>
          <w:szCs w:val="32"/>
        </w:rPr>
      </w:pPr>
    </w:p>
    <w:p w:rsidRPr="006D5919" w:rsidR="009B3794" w:rsidP="00CE5AA9" w:rsidRDefault="006D5919" w14:paraId="5B9726F7" w14:textId="6E190F06">
      <w:pPr>
        <w:tabs>
          <w:tab w:val="center" w:pos="4680"/>
        </w:tabs>
        <w:spacing w:before="120"/>
        <w:jc w:val="center"/>
        <w:rPr>
          <w:rFonts w:ascii="Arial" w:hAnsi="Arial" w:cs="Arial"/>
          <w:b/>
          <w:bCs/>
          <w:sz w:val="32"/>
          <w:szCs w:val="32"/>
        </w:rPr>
      </w:pPr>
      <w:r w:rsidRPr="006D5919">
        <w:rPr>
          <w:rFonts w:ascii="Arial" w:hAnsi="Arial" w:cs="Arial"/>
          <w:b/>
          <w:bCs/>
          <w:sz w:val="32"/>
          <w:szCs w:val="32"/>
        </w:rPr>
        <w:t>Evaluation of the Maternal and Child Health Bureau Pediatric Mental Health Care Access and Screening and Treatment for Maternal Depression and Related Behavioral Disorders Programs Project</w:t>
      </w:r>
    </w:p>
    <w:p w:rsidRPr="006D5919" w:rsidR="00BA1A0C" w:rsidP="00CE5AA9" w:rsidRDefault="00BA1A0C" w14:paraId="5B9726F8" w14:textId="77777777">
      <w:pPr>
        <w:tabs>
          <w:tab w:val="center" w:pos="4680"/>
        </w:tabs>
        <w:spacing w:before="120"/>
        <w:jc w:val="center"/>
        <w:rPr>
          <w:rFonts w:ascii="Arial" w:hAnsi="Arial" w:cs="Arial"/>
          <w:b/>
          <w:bCs/>
          <w:sz w:val="32"/>
          <w:szCs w:val="32"/>
        </w:rPr>
      </w:pPr>
    </w:p>
    <w:p w:rsidRPr="006D5919" w:rsidR="00BA1A0C" w:rsidP="00CE5AA9" w:rsidRDefault="00BA1A0C" w14:paraId="5B9726F9" w14:textId="572DF7F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OMB Control No. </w:t>
      </w:r>
      <w:r w:rsidRPr="006D5919" w:rsidR="006D5919">
        <w:rPr>
          <w:rFonts w:ascii="Arial" w:hAnsi="Arial" w:cs="Arial"/>
          <w:b/>
          <w:bCs/>
          <w:sz w:val="32"/>
          <w:szCs w:val="32"/>
        </w:rPr>
        <w:t>0906-xxxx</w:t>
      </w:r>
    </w:p>
    <w:p w:rsidRPr="006D5919" w:rsidR="009B3794" w:rsidP="00CE5AA9" w:rsidRDefault="009B3794" w14:paraId="5B9726FB" w14:textId="77777777">
      <w:pPr>
        <w:tabs>
          <w:tab w:val="center" w:pos="4680"/>
        </w:tabs>
        <w:spacing w:before="120"/>
        <w:jc w:val="center"/>
        <w:rPr>
          <w:rFonts w:ascii="Arial" w:hAnsi="Arial" w:cs="Arial"/>
          <w:b/>
          <w:bCs/>
          <w:sz w:val="32"/>
          <w:szCs w:val="32"/>
        </w:rPr>
      </w:pPr>
    </w:p>
    <w:p w:rsidRPr="006D5919" w:rsidR="009B3794" w:rsidP="00CE5AA9" w:rsidRDefault="00DE3A45" w14:paraId="5B9726FC" w14:textId="463F87EB">
      <w:pPr>
        <w:spacing w:before="120"/>
        <w:rPr>
          <w:rFonts w:ascii="Arial" w:hAnsi="Arial" w:cs="Arial"/>
          <w:b/>
          <w:sz w:val="24"/>
        </w:rPr>
      </w:pPr>
      <w:r w:rsidRPr="006D5919">
        <w:rPr>
          <w:rFonts w:ascii="Arial" w:hAnsi="Arial" w:cs="Arial"/>
          <w:b/>
          <w:sz w:val="24"/>
        </w:rPr>
        <w:t>Terms of Clearance</w:t>
      </w:r>
      <w:r w:rsidRPr="006D5919" w:rsidR="00BA1A0C">
        <w:rPr>
          <w:rFonts w:ascii="Arial" w:hAnsi="Arial" w:cs="Arial"/>
          <w:b/>
          <w:sz w:val="24"/>
        </w:rPr>
        <w:t>:</w:t>
      </w:r>
      <w:r w:rsidRPr="006D5919" w:rsidR="00BA1A0C">
        <w:rPr>
          <w:rFonts w:ascii="Arial" w:hAnsi="Arial" w:cs="Arial"/>
          <w:sz w:val="24"/>
        </w:rPr>
        <w:t xml:space="preserve"> </w:t>
      </w:r>
      <w:r w:rsidRPr="006D5919" w:rsidR="006D5919">
        <w:rPr>
          <w:rFonts w:ascii="Arial" w:hAnsi="Arial" w:cs="Arial"/>
          <w:sz w:val="24"/>
        </w:rPr>
        <w:t>None</w:t>
      </w:r>
    </w:p>
    <w:p w:rsidRPr="006D5919" w:rsidR="009B3794" w:rsidP="00CA3DA6" w:rsidRDefault="009B3794" w14:paraId="5B9726FD" w14:textId="77777777">
      <w:pPr>
        <w:spacing w:before="120"/>
        <w:rPr>
          <w:rFonts w:ascii="Arial" w:hAnsi="Arial" w:cs="Arial"/>
          <w:b/>
          <w:bCs/>
          <w:sz w:val="24"/>
        </w:rPr>
      </w:pPr>
      <w:r w:rsidRPr="006D5919">
        <w:rPr>
          <w:rFonts w:ascii="Arial" w:hAnsi="Arial" w:cs="Arial"/>
          <w:b/>
          <w:bCs/>
          <w:sz w:val="24"/>
        </w:rPr>
        <w:t>A.</w:t>
      </w:r>
      <w:r w:rsidRPr="006D5919">
        <w:rPr>
          <w:rFonts w:ascii="Arial" w:hAnsi="Arial" w:cs="Arial"/>
          <w:b/>
          <w:bCs/>
          <w:sz w:val="24"/>
        </w:rPr>
        <w:tab/>
        <w:t>Justification</w:t>
      </w:r>
    </w:p>
    <w:p w:rsidRPr="00FB0FD9" w:rsidR="009B3794" w:rsidP="00B354FC" w:rsidRDefault="009B3794" w14:paraId="5B9726FE" w14:textId="060AFE38">
      <w:pPr>
        <w:numPr>
          <w:ilvl w:val="0"/>
          <w:numId w:val="1"/>
        </w:numPr>
        <w:tabs>
          <w:tab w:val="clear" w:pos="1080"/>
          <w:tab w:val="num" w:pos="360"/>
        </w:tabs>
        <w:spacing w:before="240" w:after="240"/>
        <w:ind w:left="360"/>
        <w:rPr>
          <w:rFonts w:ascii="Arial" w:hAnsi="Arial" w:cs="Arial"/>
          <w:b/>
          <w:sz w:val="24"/>
        </w:rPr>
      </w:pPr>
      <w:r w:rsidRPr="006D5919">
        <w:rPr>
          <w:rFonts w:ascii="Arial" w:hAnsi="Arial" w:cs="Arial"/>
          <w:b/>
          <w:sz w:val="24"/>
          <w:u w:val="single"/>
        </w:rPr>
        <w:t>Circumstances Making the Collection of Information Necessary</w:t>
      </w:r>
      <w:r w:rsidR="00E23D1F">
        <w:rPr>
          <w:rFonts w:ascii="Arial" w:hAnsi="Arial" w:cs="Arial"/>
          <w:b/>
          <w:sz w:val="24"/>
          <w:u w:val="single"/>
        </w:rPr>
        <w:t xml:space="preserve"> </w:t>
      </w:r>
    </w:p>
    <w:p w:rsidRPr="00CF661F" w:rsidR="00FB0FD9" w:rsidP="00FB0FD9" w:rsidRDefault="00FB0FD9" w14:paraId="218D354F" w14:textId="520AFF15">
      <w:pPr>
        <w:spacing w:after="240"/>
        <w:rPr>
          <w:rFonts w:ascii="Arial" w:hAnsi="Arial" w:cs="Arial"/>
          <w:sz w:val="24"/>
        </w:rPr>
      </w:pPr>
      <w:r w:rsidRPr="00FB0FD9">
        <w:rPr>
          <w:rFonts w:ascii="Arial" w:hAnsi="Arial" w:cs="Arial"/>
          <w:sz w:val="24"/>
        </w:rPr>
        <w:t xml:space="preserve">In compliance with Section 3506(c)(2)(A) of the </w:t>
      </w:r>
      <w:r w:rsidRPr="00CF661F">
        <w:rPr>
          <w:rFonts w:ascii="Arial" w:hAnsi="Arial" w:cs="Arial"/>
          <w:sz w:val="24"/>
        </w:rPr>
        <w:t>Paperwork Reduction Act of 1995, this submission requests O</w:t>
      </w:r>
      <w:r w:rsidRPr="00CF661F" w:rsidR="008C1950">
        <w:rPr>
          <w:rFonts w:ascii="Arial" w:hAnsi="Arial" w:cs="Arial"/>
          <w:sz w:val="24"/>
        </w:rPr>
        <w:t>ffice of Management and Budget (O</w:t>
      </w:r>
      <w:r w:rsidRPr="00CF661F">
        <w:rPr>
          <w:rFonts w:ascii="Arial" w:hAnsi="Arial" w:cs="Arial"/>
          <w:sz w:val="24"/>
        </w:rPr>
        <w:t>MB</w:t>
      </w:r>
      <w:r w:rsidRPr="00CF661F" w:rsidR="008C1950">
        <w:rPr>
          <w:rFonts w:ascii="Arial" w:hAnsi="Arial" w:cs="Arial"/>
          <w:sz w:val="24"/>
        </w:rPr>
        <w:t>)</w:t>
      </w:r>
      <w:r w:rsidRPr="00CF661F">
        <w:rPr>
          <w:rFonts w:ascii="Arial" w:hAnsi="Arial" w:cs="Arial"/>
          <w:sz w:val="24"/>
        </w:rPr>
        <w:t xml:space="preserve"> approval o</w:t>
      </w:r>
      <w:r w:rsidRPr="00CF661F" w:rsidR="001A2B69">
        <w:rPr>
          <w:rFonts w:ascii="Arial" w:hAnsi="Arial" w:cs="Arial"/>
          <w:sz w:val="24"/>
        </w:rPr>
        <w:t>f</w:t>
      </w:r>
      <w:r w:rsidRPr="00CF661F">
        <w:rPr>
          <w:rFonts w:ascii="Arial" w:hAnsi="Arial" w:cs="Arial"/>
          <w:sz w:val="24"/>
        </w:rPr>
        <w:t xml:space="preserve"> a </w:t>
      </w:r>
      <w:r w:rsidRPr="00CF661F" w:rsidR="00321B04">
        <w:rPr>
          <w:rFonts w:ascii="Arial" w:hAnsi="Arial" w:cs="Arial"/>
          <w:sz w:val="24"/>
        </w:rPr>
        <w:t>3</w:t>
      </w:r>
      <w:r w:rsidRPr="00CF661F">
        <w:rPr>
          <w:rFonts w:ascii="Arial" w:hAnsi="Arial" w:cs="Arial"/>
          <w:sz w:val="24"/>
        </w:rPr>
        <w:t xml:space="preserve">-year clearance for the Health Resources and Services Administration (HRSA) to conduct an evaluation of the Maternal and Child Health Bureau (MCHB) Pediatric Mental Health Care Access (PMHCA) and Screening and Treatment for Maternal Depression and Related Behavioral Disorders (MDRBD) </w:t>
      </w:r>
      <w:r w:rsidRPr="00CF661F" w:rsidR="008C1950">
        <w:rPr>
          <w:rFonts w:ascii="Arial" w:hAnsi="Arial" w:cs="Arial"/>
          <w:sz w:val="24"/>
        </w:rPr>
        <w:t>p</w:t>
      </w:r>
      <w:r w:rsidRPr="00CF661F">
        <w:rPr>
          <w:rFonts w:ascii="Arial" w:hAnsi="Arial" w:cs="Arial"/>
          <w:sz w:val="24"/>
        </w:rPr>
        <w:t xml:space="preserve">rograms. This project will collect data to provide HRSA with information to guide future </w:t>
      </w:r>
      <w:r w:rsidRPr="00CF661F" w:rsidR="00DF6E24">
        <w:rPr>
          <w:rFonts w:ascii="Arial" w:hAnsi="Arial" w:cs="Arial"/>
          <w:sz w:val="24"/>
        </w:rPr>
        <w:t xml:space="preserve">program and </w:t>
      </w:r>
      <w:r w:rsidRPr="00CF661F">
        <w:rPr>
          <w:rFonts w:ascii="Arial" w:hAnsi="Arial" w:cs="Arial"/>
          <w:sz w:val="24"/>
        </w:rPr>
        <w:t xml:space="preserve">policy decisions regarding increasing health care providers’ </w:t>
      </w:r>
      <w:r w:rsidRPr="00CF661F" w:rsidR="004728AD">
        <w:rPr>
          <w:rFonts w:ascii="Arial" w:hAnsi="Arial" w:cs="Arial"/>
          <w:sz w:val="24"/>
        </w:rPr>
        <w:t xml:space="preserve">(i.e., physicians, nurse practitioners, physician assistants, nurse midwives, and other health care professionals) </w:t>
      </w:r>
      <w:r w:rsidRPr="00CF661F">
        <w:rPr>
          <w:rFonts w:ascii="Arial" w:hAnsi="Arial" w:cs="Arial"/>
          <w:sz w:val="24"/>
        </w:rPr>
        <w:t xml:space="preserve">capacity to address patients’ behavioral health and access to behavioral health services. </w:t>
      </w:r>
    </w:p>
    <w:p w:rsidRPr="00CF661F" w:rsidR="00FB0FD9" w:rsidP="00E25761" w:rsidRDefault="00FB0FD9" w14:paraId="32F9F2EE" w14:textId="4218F8D4">
      <w:pPr>
        <w:pStyle w:val="NoSpacing"/>
        <w:rPr>
          <w:rFonts w:ascii="Arial" w:hAnsi="Arial" w:cs="Arial"/>
          <w:sz w:val="24"/>
        </w:rPr>
      </w:pPr>
      <w:r w:rsidRPr="00CF661F">
        <w:rPr>
          <w:rFonts w:ascii="Arial" w:hAnsi="Arial" w:cs="Arial"/>
          <w:sz w:val="24"/>
        </w:rPr>
        <w:t>Title X of the 21st Century Cures Act (Cures Act) strengthens mental health and substance use disorder care for wo</w:t>
      </w:r>
      <w:r w:rsidR="00D321F2">
        <w:rPr>
          <w:rFonts w:ascii="Arial" w:hAnsi="Arial" w:cs="Arial"/>
          <w:sz w:val="24"/>
        </w:rPr>
        <w:t>men, children, and adolescents.</w:t>
      </w:r>
      <w:r w:rsidR="00721F5A">
        <w:rPr>
          <w:rFonts w:ascii="Arial" w:hAnsi="Arial" w:cs="Arial"/>
          <w:sz w:val="24"/>
        </w:rPr>
        <w:t xml:space="preserve"> </w:t>
      </w:r>
      <w:r w:rsidRPr="00CF661F">
        <w:rPr>
          <w:rFonts w:ascii="Arial" w:hAnsi="Arial" w:cs="Arial"/>
          <w:sz w:val="24"/>
        </w:rPr>
        <w:t xml:space="preserve">The PMHCA and MDRBD Notice of Funding Opportunity </w:t>
      </w:r>
      <w:r w:rsidR="002D306C">
        <w:rPr>
          <w:rFonts w:ascii="Arial" w:hAnsi="Arial" w:cs="Arial"/>
          <w:sz w:val="24"/>
        </w:rPr>
        <w:t xml:space="preserve">(NOFO) </w:t>
      </w:r>
      <w:r w:rsidRPr="00CF661F">
        <w:rPr>
          <w:rFonts w:ascii="Arial" w:hAnsi="Arial" w:cs="Arial"/>
          <w:sz w:val="24"/>
        </w:rPr>
        <w:t xml:space="preserve">announcements </w:t>
      </w:r>
      <w:r w:rsidR="00740CE0">
        <w:rPr>
          <w:rFonts w:ascii="Arial" w:hAnsi="Arial" w:cs="Arial"/>
          <w:sz w:val="24"/>
        </w:rPr>
        <w:t xml:space="preserve">(PMHCA 2018 NOFO Number: </w:t>
      </w:r>
      <w:r w:rsidRPr="00740CE0" w:rsidR="00740CE0">
        <w:rPr>
          <w:rFonts w:ascii="Arial" w:hAnsi="Arial" w:cs="Arial"/>
          <w:sz w:val="24"/>
        </w:rPr>
        <w:t>HRSA-18-1</w:t>
      </w:r>
      <w:r w:rsidR="004B6439">
        <w:rPr>
          <w:rFonts w:ascii="Arial" w:hAnsi="Arial" w:cs="Arial"/>
          <w:sz w:val="24"/>
        </w:rPr>
        <w:t>22</w:t>
      </w:r>
      <w:r w:rsidR="00740CE0">
        <w:rPr>
          <w:rFonts w:ascii="Arial" w:hAnsi="Arial" w:cs="Arial"/>
          <w:sz w:val="24"/>
        </w:rPr>
        <w:t xml:space="preserve">, PMHCA 2019 NOFO Number: </w:t>
      </w:r>
      <w:r w:rsidRPr="00740CE0" w:rsidR="00740CE0">
        <w:rPr>
          <w:rFonts w:ascii="Arial" w:hAnsi="Arial" w:cs="Arial"/>
          <w:sz w:val="24"/>
        </w:rPr>
        <w:t>HRSA</w:t>
      </w:r>
      <w:r w:rsidR="00740CE0">
        <w:rPr>
          <w:rFonts w:ascii="Arial" w:hAnsi="Arial" w:cs="Arial"/>
          <w:sz w:val="24"/>
        </w:rPr>
        <w:t>-</w:t>
      </w:r>
      <w:r w:rsidRPr="00740CE0" w:rsidR="00740CE0">
        <w:rPr>
          <w:rFonts w:ascii="Arial" w:hAnsi="Arial" w:cs="Arial"/>
          <w:sz w:val="24"/>
        </w:rPr>
        <w:t>19</w:t>
      </w:r>
      <w:r w:rsidR="00740CE0">
        <w:rPr>
          <w:rFonts w:ascii="Arial" w:hAnsi="Arial" w:cs="Arial"/>
          <w:sz w:val="24"/>
        </w:rPr>
        <w:t>-</w:t>
      </w:r>
      <w:r w:rsidRPr="00740CE0" w:rsidR="00740CE0">
        <w:rPr>
          <w:rFonts w:ascii="Arial" w:hAnsi="Arial" w:cs="Arial"/>
          <w:sz w:val="24"/>
        </w:rPr>
        <w:t>096</w:t>
      </w:r>
      <w:r w:rsidR="00740CE0">
        <w:rPr>
          <w:rFonts w:ascii="Arial" w:hAnsi="Arial" w:cs="Arial"/>
          <w:sz w:val="24"/>
        </w:rPr>
        <w:t xml:space="preserve">, MDRBD 2018 NOFO Number: </w:t>
      </w:r>
      <w:r w:rsidRPr="00740CE0" w:rsidR="00740CE0">
        <w:rPr>
          <w:rFonts w:ascii="Arial" w:hAnsi="Arial" w:cs="Arial"/>
          <w:sz w:val="24"/>
        </w:rPr>
        <w:t>HRSA-18-101</w:t>
      </w:r>
      <w:r w:rsidR="00740CE0">
        <w:rPr>
          <w:rFonts w:ascii="Arial" w:hAnsi="Arial" w:cs="Arial"/>
          <w:sz w:val="24"/>
        </w:rPr>
        <w:t xml:space="preserve">) </w:t>
      </w:r>
      <w:r w:rsidRPr="00CF661F">
        <w:rPr>
          <w:rFonts w:ascii="Arial" w:hAnsi="Arial" w:cs="Arial"/>
          <w:sz w:val="24"/>
        </w:rPr>
        <w:t>were based on the Cures Act and articulate the requirements for each cooperative agreement-funded program. Section 10002 of the Cures Act supports increased access to pediatric mental health care. It authorizes HRSA to provide funding to promote behavioral health integration in pediatric primary care by supporting the development and improvement of existing statewide or regional pediatric mental health care telehealth access programs. Section 10005 supports screening</w:t>
      </w:r>
      <w:r w:rsidRPr="00CF661F" w:rsidR="00F45E63">
        <w:rPr>
          <w:rFonts w:ascii="Arial" w:hAnsi="Arial" w:cs="Arial"/>
          <w:sz w:val="24"/>
        </w:rPr>
        <w:t>, assessment</w:t>
      </w:r>
      <w:r w:rsidRPr="00CF661F" w:rsidR="007D025C">
        <w:rPr>
          <w:rFonts w:ascii="Arial" w:hAnsi="Arial" w:cs="Arial"/>
          <w:sz w:val="24"/>
        </w:rPr>
        <w:t>,</w:t>
      </w:r>
      <w:r w:rsidRPr="00CF661F">
        <w:rPr>
          <w:rFonts w:ascii="Arial" w:hAnsi="Arial" w:cs="Arial"/>
          <w:sz w:val="24"/>
        </w:rPr>
        <w:t xml:space="preserve"> and tr</w:t>
      </w:r>
      <w:r w:rsidR="00D321F2">
        <w:rPr>
          <w:rFonts w:ascii="Arial" w:hAnsi="Arial" w:cs="Arial"/>
          <w:sz w:val="24"/>
        </w:rPr>
        <w:t>eatment of maternal depression.</w:t>
      </w:r>
      <w:r w:rsidR="00721F5A">
        <w:rPr>
          <w:rFonts w:ascii="Arial" w:hAnsi="Arial" w:cs="Arial"/>
          <w:sz w:val="24"/>
        </w:rPr>
        <w:t xml:space="preserve"> </w:t>
      </w:r>
      <w:r w:rsidRPr="00CF661F">
        <w:rPr>
          <w:rFonts w:ascii="Arial" w:hAnsi="Arial" w:cs="Arial"/>
          <w:sz w:val="24"/>
        </w:rPr>
        <w:t xml:space="preserve">It provides funds for states to establish, improve, or maintain existing programs that screen, assess, and </w:t>
      </w:r>
      <w:r w:rsidRPr="00CF661F">
        <w:rPr>
          <w:rFonts w:ascii="Arial" w:hAnsi="Arial" w:cs="Arial"/>
          <w:sz w:val="24"/>
        </w:rPr>
        <w:lastRenderedPageBreak/>
        <w:t xml:space="preserve">treat women who are pregnant or gave birth in the </w:t>
      </w:r>
      <w:r w:rsidRPr="00CF661F" w:rsidR="00F45E63">
        <w:rPr>
          <w:rFonts w:ascii="Arial" w:hAnsi="Arial" w:cs="Arial"/>
          <w:sz w:val="24"/>
        </w:rPr>
        <w:t>preceding</w:t>
      </w:r>
      <w:r w:rsidRPr="00CF661F">
        <w:rPr>
          <w:rFonts w:ascii="Arial" w:hAnsi="Arial" w:cs="Arial"/>
          <w:sz w:val="24"/>
        </w:rPr>
        <w:t xml:space="preserve"> 12 months</w:t>
      </w:r>
      <w:r w:rsidRPr="00CF661F" w:rsidR="00F45E63">
        <w:rPr>
          <w:rFonts w:ascii="Arial" w:hAnsi="Arial" w:cs="Arial"/>
          <w:sz w:val="24"/>
        </w:rPr>
        <w:t>,</w:t>
      </w:r>
      <w:r w:rsidRPr="00CF661F">
        <w:rPr>
          <w:rFonts w:ascii="Arial" w:hAnsi="Arial" w:cs="Arial"/>
          <w:sz w:val="24"/>
        </w:rPr>
        <w:t xml:space="preserve"> for maternal depression.</w:t>
      </w:r>
      <w:r w:rsidR="00721F5A">
        <w:rPr>
          <w:rFonts w:ascii="Arial" w:hAnsi="Arial" w:cs="Arial"/>
          <w:sz w:val="24"/>
        </w:rPr>
        <w:t xml:space="preserve"> </w:t>
      </w:r>
      <w:r w:rsidRPr="00CF661F">
        <w:rPr>
          <w:rFonts w:ascii="Arial" w:hAnsi="Arial" w:cs="Arial"/>
          <w:sz w:val="24"/>
        </w:rPr>
        <w:t xml:space="preserve">The services must include culturally and linguistically appropriate </w:t>
      </w:r>
      <w:r w:rsidRPr="00CF661F" w:rsidR="001A2B69">
        <w:rPr>
          <w:rFonts w:ascii="Arial" w:hAnsi="Arial" w:cs="Arial"/>
          <w:sz w:val="24"/>
        </w:rPr>
        <w:t>component</w:t>
      </w:r>
      <w:r w:rsidRPr="00CF661F">
        <w:rPr>
          <w:rFonts w:ascii="Arial" w:hAnsi="Arial" w:cs="Arial"/>
          <w:sz w:val="24"/>
        </w:rPr>
        <w:t>s. PMHCA and MDRBD programs aim to increase identification of behavioral health conditions by screening specified populations (e.g., children, adolescents, young adults, pregnant and postpartum women</w:t>
      </w:r>
      <w:r w:rsidRPr="00CF661F" w:rsidR="001A2B69">
        <w:rPr>
          <w:rFonts w:ascii="Arial" w:hAnsi="Arial" w:cs="Arial"/>
          <w:sz w:val="24"/>
        </w:rPr>
        <w:t>)</w:t>
      </w:r>
      <w:r w:rsidRPr="00CF661F">
        <w:rPr>
          <w:rFonts w:ascii="Arial" w:hAnsi="Arial" w:cs="Arial"/>
          <w:sz w:val="24"/>
        </w:rPr>
        <w:t xml:space="preserve">, especially those in rural, isolated, and/or underserved areas; providing clinical behavioral health consultation, care coordination support (i.e., communication/collaboration, accessing resources, </w:t>
      </w:r>
      <w:r w:rsidRPr="00CF661F" w:rsidR="008C1950">
        <w:rPr>
          <w:rFonts w:ascii="Arial" w:hAnsi="Arial" w:cs="Arial"/>
          <w:sz w:val="24"/>
        </w:rPr>
        <w:t xml:space="preserve">and </w:t>
      </w:r>
      <w:r w:rsidRPr="00CF661F">
        <w:rPr>
          <w:rFonts w:ascii="Arial" w:hAnsi="Arial" w:cs="Arial"/>
          <w:sz w:val="24"/>
        </w:rPr>
        <w:t>referral services), and training to health care providers; and increasing access to clinical interventions, including by telehealth. Provider education and training will support the knowledge and skills acquisition needed to accomplish this goal.</w:t>
      </w:r>
      <w:r w:rsidR="00721F5A">
        <w:rPr>
          <w:rFonts w:ascii="Arial" w:hAnsi="Arial" w:cs="Arial"/>
          <w:sz w:val="24"/>
        </w:rPr>
        <w:t xml:space="preserve"> </w:t>
      </w:r>
      <w:r w:rsidRPr="00CF661F">
        <w:rPr>
          <w:rFonts w:ascii="Arial" w:hAnsi="Arial" w:cs="Arial"/>
          <w:sz w:val="24"/>
        </w:rPr>
        <w:t>This evaluation will allow HRSA to determine the extent to which PMHCA and MDRBD programs have met these objectives.</w:t>
      </w:r>
      <w:r w:rsidR="00721F5A">
        <w:rPr>
          <w:rFonts w:ascii="Arial" w:hAnsi="Arial" w:cs="Arial"/>
          <w:sz w:val="24"/>
        </w:rPr>
        <w:t xml:space="preserve"> </w:t>
      </w:r>
      <w:r w:rsidRPr="00CF661F">
        <w:rPr>
          <w:rFonts w:ascii="Arial" w:hAnsi="Arial" w:cs="Arial"/>
          <w:sz w:val="24"/>
        </w:rPr>
        <w:t xml:space="preserve">The evaluation will be implemented by </w:t>
      </w:r>
      <w:r w:rsidRPr="00CF661F">
        <w:rPr>
          <w:rFonts w:ascii="Arial" w:hAnsi="Arial" w:cs="Arial"/>
          <w:sz w:val="24"/>
          <w:szCs w:val="24"/>
        </w:rPr>
        <w:t xml:space="preserve">JBS International, Inc. </w:t>
      </w:r>
      <w:r w:rsidRPr="00CF661F" w:rsidR="008C1950">
        <w:rPr>
          <w:rFonts w:ascii="Arial" w:hAnsi="Arial" w:cs="Arial"/>
          <w:sz w:val="24"/>
          <w:szCs w:val="24"/>
        </w:rPr>
        <w:t xml:space="preserve">(JBS), </w:t>
      </w:r>
      <w:r w:rsidRPr="00CF661F">
        <w:rPr>
          <w:rFonts w:ascii="Arial" w:hAnsi="Arial" w:cs="Arial"/>
          <w:sz w:val="24"/>
          <w:szCs w:val="24"/>
        </w:rPr>
        <w:t>as part of a contract that is funded by HRSA (</w:t>
      </w:r>
      <w:r w:rsidRPr="00CF661F" w:rsidR="00695769">
        <w:rPr>
          <w:rFonts w:ascii="Arial" w:hAnsi="Arial" w:cs="Arial"/>
          <w:sz w:val="24"/>
          <w:szCs w:val="24"/>
        </w:rPr>
        <w:t>Contract No. HHSH250201400044I/HHSH25034007T</w:t>
      </w:r>
      <w:r w:rsidRPr="00CF661F">
        <w:rPr>
          <w:rFonts w:ascii="Arial" w:hAnsi="Arial" w:cs="Arial"/>
          <w:sz w:val="24"/>
          <w:szCs w:val="24"/>
        </w:rPr>
        <w:t>).</w:t>
      </w:r>
    </w:p>
    <w:p w:rsidRPr="00CF661F" w:rsidR="009B3794" w:rsidP="00B354FC" w:rsidRDefault="009B3794" w14:paraId="5B972703" w14:textId="6960D171">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Purpose and Use of Information Collection</w:t>
      </w:r>
    </w:p>
    <w:p w:rsidRPr="00CF661F" w:rsidR="00321B04" w:rsidP="00321B04" w:rsidRDefault="00321B04" w14:paraId="61EB261C" w14:textId="49607BA2">
      <w:pPr>
        <w:widowControl/>
        <w:autoSpaceDE/>
        <w:autoSpaceDN/>
        <w:adjustRightInd/>
        <w:spacing w:before="120"/>
        <w:rPr>
          <w:rFonts w:ascii="Arial" w:hAnsi="Arial" w:cs="Arial"/>
          <w:sz w:val="24"/>
        </w:rPr>
      </w:pPr>
      <w:r w:rsidRPr="00CF661F">
        <w:rPr>
          <w:rFonts w:ascii="Arial" w:hAnsi="Arial" w:cs="Arial"/>
          <w:sz w:val="24"/>
        </w:rPr>
        <w:t xml:space="preserve">As stated in Section A.1, the goal of this project is to provide HRSA with information to guide future </w:t>
      </w:r>
      <w:r w:rsidRPr="00CF661F" w:rsidR="00DF6E24">
        <w:rPr>
          <w:rFonts w:ascii="Arial" w:hAnsi="Arial" w:cs="Arial"/>
          <w:sz w:val="24"/>
        </w:rPr>
        <w:t xml:space="preserve">program and </w:t>
      </w:r>
      <w:r w:rsidRPr="00CF661F">
        <w:rPr>
          <w:rFonts w:ascii="Arial" w:hAnsi="Arial" w:cs="Arial"/>
          <w:sz w:val="24"/>
        </w:rPr>
        <w:t>policy decisions regarding increasing health care providers’ capacity to address patients’ behavioral health and access to behavioral health services.</w:t>
      </w:r>
    </w:p>
    <w:p w:rsidR="00A803F8" w:rsidP="00321B04" w:rsidRDefault="00321B04" w14:paraId="1BD5DDF6" w14:textId="39B984C0">
      <w:pPr>
        <w:widowControl/>
        <w:autoSpaceDE/>
        <w:autoSpaceDN/>
        <w:adjustRightInd/>
        <w:spacing w:before="120"/>
        <w:rPr>
          <w:rFonts w:ascii="Arial" w:hAnsi="Arial" w:cs="Arial"/>
          <w:sz w:val="24"/>
        </w:rPr>
      </w:pPr>
      <w:r w:rsidRPr="00CF661F">
        <w:rPr>
          <w:rFonts w:ascii="Arial" w:hAnsi="Arial" w:cs="Arial"/>
          <w:sz w:val="24"/>
        </w:rPr>
        <w:t>The evaluation uses a mixed-methods design with data collection activities across all HRSA MCHB awardees.</w:t>
      </w:r>
      <w:r w:rsidR="00721F5A">
        <w:rPr>
          <w:rFonts w:ascii="Arial" w:hAnsi="Arial" w:cs="Arial"/>
          <w:sz w:val="24"/>
        </w:rPr>
        <w:t xml:space="preserve"> </w:t>
      </w:r>
      <w:r w:rsidRPr="00CF661F">
        <w:rPr>
          <w:rFonts w:ascii="Arial" w:hAnsi="Arial" w:cs="Arial"/>
          <w:sz w:val="24"/>
        </w:rPr>
        <w:t>Methodologies for this study include surveys (e.g., online, mailed) and semi-structured interviews</w:t>
      </w:r>
      <w:r w:rsidRPr="00CF661F" w:rsidR="00E02D11">
        <w:rPr>
          <w:rFonts w:ascii="Arial" w:hAnsi="Arial" w:cs="Arial"/>
          <w:sz w:val="24"/>
        </w:rPr>
        <w:t xml:space="preserve"> (SSIs)</w:t>
      </w:r>
      <w:r w:rsidR="004866CA">
        <w:rPr>
          <w:rFonts w:ascii="Arial" w:hAnsi="Arial" w:cs="Arial"/>
          <w:sz w:val="24"/>
        </w:rPr>
        <w:t xml:space="preserve">. </w:t>
      </w:r>
    </w:p>
    <w:p w:rsidR="00321B04" w:rsidP="00321B04" w:rsidRDefault="00321B04" w14:paraId="79C5C61E" w14:textId="3C37CD6C">
      <w:pPr>
        <w:widowControl/>
        <w:autoSpaceDE/>
        <w:autoSpaceDN/>
        <w:adjustRightInd/>
        <w:spacing w:before="120"/>
        <w:rPr>
          <w:rFonts w:ascii="Arial" w:hAnsi="Arial" w:cs="Arial"/>
          <w:sz w:val="24"/>
        </w:rPr>
      </w:pPr>
      <w:r w:rsidRPr="00CF661F">
        <w:rPr>
          <w:rFonts w:ascii="Arial" w:hAnsi="Arial" w:cs="Arial"/>
          <w:sz w:val="24"/>
        </w:rPr>
        <w:t xml:space="preserve">The project will collect data from two groups: those enrolled in PMHCA and MDRBD programs (i.e., participating health care providers and practices) and </w:t>
      </w:r>
      <w:r w:rsidRPr="00CF661F" w:rsidR="00E25761">
        <w:rPr>
          <w:rFonts w:ascii="Arial" w:hAnsi="Arial" w:cs="Arial"/>
          <w:sz w:val="24"/>
        </w:rPr>
        <w:t xml:space="preserve">project leadership </w:t>
      </w:r>
      <w:r w:rsidRPr="00CF661F">
        <w:rPr>
          <w:rFonts w:ascii="Arial" w:hAnsi="Arial" w:cs="Arial"/>
          <w:sz w:val="24"/>
        </w:rPr>
        <w:t>implementing the programs</w:t>
      </w:r>
      <w:r w:rsidRPr="00CF661F" w:rsidR="00463AE7">
        <w:rPr>
          <w:rFonts w:ascii="Arial" w:hAnsi="Arial" w:cs="Arial"/>
          <w:sz w:val="24"/>
        </w:rPr>
        <w:t>,</w:t>
      </w:r>
      <w:r w:rsidRPr="00CF661F">
        <w:rPr>
          <w:rFonts w:ascii="Arial" w:hAnsi="Arial" w:cs="Arial"/>
          <w:sz w:val="24"/>
        </w:rPr>
        <w:t xml:space="preserve"> </w:t>
      </w:r>
      <w:r w:rsidRPr="00CF661F" w:rsidR="00E25761">
        <w:rPr>
          <w:rFonts w:ascii="Arial" w:hAnsi="Arial" w:cs="Arial"/>
          <w:sz w:val="24"/>
        </w:rPr>
        <w:t xml:space="preserve">such as </w:t>
      </w:r>
      <w:r w:rsidRPr="00CF661F" w:rsidR="00F45E63">
        <w:rPr>
          <w:rFonts w:ascii="Arial" w:hAnsi="Arial" w:cs="Arial"/>
          <w:sz w:val="24"/>
        </w:rPr>
        <w:t xml:space="preserve">state-level </w:t>
      </w:r>
      <w:r w:rsidRPr="00CF661F" w:rsidR="008C1950">
        <w:rPr>
          <w:rFonts w:ascii="Arial" w:hAnsi="Arial" w:cs="Arial"/>
          <w:sz w:val="24"/>
        </w:rPr>
        <w:t>p</w:t>
      </w:r>
      <w:r w:rsidRPr="00CF661F">
        <w:rPr>
          <w:rFonts w:ascii="Arial" w:hAnsi="Arial" w:cs="Arial"/>
          <w:sz w:val="24"/>
        </w:rPr>
        <w:t xml:space="preserve">roject </w:t>
      </w:r>
      <w:r w:rsidRPr="00CF661F" w:rsidR="008C1950">
        <w:rPr>
          <w:rFonts w:ascii="Arial" w:hAnsi="Arial" w:cs="Arial"/>
          <w:sz w:val="24"/>
        </w:rPr>
        <w:t>d</w:t>
      </w:r>
      <w:r w:rsidRPr="00CF661F">
        <w:rPr>
          <w:rFonts w:ascii="Arial" w:hAnsi="Arial" w:cs="Arial"/>
          <w:sz w:val="24"/>
        </w:rPr>
        <w:t>irectors</w:t>
      </w:r>
      <w:r w:rsidRPr="00CF661F" w:rsidR="008C1950">
        <w:rPr>
          <w:rFonts w:ascii="Arial" w:hAnsi="Arial" w:cs="Arial"/>
          <w:sz w:val="24"/>
        </w:rPr>
        <w:t xml:space="preserve"> and p</w:t>
      </w:r>
      <w:r w:rsidRPr="00CF661F">
        <w:rPr>
          <w:rFonts w:ascii="Arial" w:hAnsi="Arial" w:cs="Arial"/>
          <w:sz w:val="24"/>
        </w:rPr>
        <w:t xml:space="preserve">rincipal </w:t>
      </w:r>
      <w:r w:rsidRPr="00CF661F" w:rsidR="008C1950">
        <w:rPr>
          <w:rFonts w:ascii="Arial" w:hAnsi="Arial" w:cs="Arial"/>
          <w:sz w:val="24"/>
        </w:rPr>
        <w:t>i</w:t>
      </w:r>
      <w:r w:rsidRPr="00CF661F">
        <w:rPr>
          <w:rFonts w:ascii="Arial" w:hAnsi="Arial" w:cs="Arial"/>
          <w:sz w:val="24"/>
        </w:rPr>
        <w:t>nvestigators.</w:t>
      </w:r>
      <w:r w:rsidR="00721F5A">
        <w:rPr>
          <w:rFonts w:ascii="Arial" w:hAnsi="Arial" w:cs="Arial"/>
          <w:sz w:val="24"/>
        </w:rPr>
        <w:t xml:space="preserve"> </w:t>
      </w:r>
      <w:r w:rsidRPr="00CF661F">
        <w:rPr>
          <w:rFonts w:ascii="Arial" w:hAnsi="Arial" w:cs="Arial"/>
          <w:sz w:val="24"/>
        </w:rPr>
        <w:t>Both groups will complete surveys annually in 2020, 2021, and 2022</w:t>
      </w:r>
      <w:r w:rsidR="00A803F8">
        <w:rPr>
          <w:rFonts w:ascii="Arial" w:hAnsi="Arial" w:cs="Arial"/>
          <w:sz w:val="24"/>
        </w:rPr>
        <w:t xml:space="preserve"> and an SSI with project leadership will be conducted in 2022</w:t>
      </w:r>
      <w:r w:rsidRPr="00CF661F">
        <w:rPr>
          <w:rFonts w:ascii="Arial" w:hAnsi="Arial" w:cs="Arial"/>
          <w:sz w:val="24"/>
        </w:rPr>
        <w:t>.</w:t>
      </w:r>
      <w:r w:rsidR="00721F5A">
        <w:rPr>
          <w:rFonts w:ascii="Arial" w:hAnsi="Arial" w:cs="Arial"/>
          <w:sz w:val="24"/>
        </w:rPr>
        <w:t xml:space="preserve"> </w:t>
      </w:r>
      <w:r w:rsidR="00A803F8">
        <w:rPr>
          <w:rFonts w:ascii="Arial" w:hAnsi="Arial" w:cs="Arial"/>
          <w:sz w:val="24"/>
        </w:rPr>
        <w:t>Specifically, HRSA is requesting approval for the following:</w:t>
      </w:r>
      <w:r w:rsidRPr="00CF661F">
        <w:rPr>
          <w:rFonts w:ascii="Arial" w:hAnsi="Arial" w:cs="Arial"/>
          <w:sz w:val="24"/>
        </w:rPr>
        <w:t xml:space="preserve"> </w:t>
      </w:r>
    </w:p>
    <w:p w:rsidRPr="00DF6064" w:rsidR="00A803F8" w:rsidP="00A803F8" w:rsidRDefault="00A803F8" w14:paraId="26DB18B2" w14:textId="77777777">
      <w:pPr>
        <w:widowControl/>
        <w:autoSpaceDE/>
        <w:autoSpaceDN/>
        <w:adjustRightInd/>
        <w:spacing w:before="120"/>
        <w:rPr>
          <w:rFonts w:ascii="Arial" w:hAnsi="Arial" w:cs="Arial"/>
          <w:sz w:val="24"/>
        </w:rPr>
      </w:pPr>
      <w:r>
        <w:rPr>
          <w:rFonts w:ascii="Arial" w:hAnsi="Arial" w:cs="Arial"/>
          <w:b/>
          <w:bCs/>
          <w:sz w:val="24"/>
        </w:rPr>
        <w:t xml:space="preserve">PMHCA </w:t>
      </w:r>
      <w:r w:rsidRPr="00CF661F">
        <w:rPr>
          <w:rFonts w:ascii="Arial" w:hAnsi="Arial" w:cs="Arial"/>
          <w:b/>
          <w:bCs/>
          <w:sz w:val="24"/>
        </w:rPr>
        <w:t>Health Care Provider (HCP) Survey</w:t>
      </w:r>
      <w:r>
        <w:rPr>
          <w:rFonts w:ascii="Arial" w:hAnsi="Arial" w:cs="Arial"/>
          <w:sz w:val="24"/>
        </w:rPr>
        <w:t xml:space="preserve"> – survey of enrolled PMHCA program HCPs examining their </w:t>
      </w:r>
      <w:r w:rsidRPr="00CF661F">
        <w:rPr>
          <w:rFonts w:ascii="Arial" w:hAnsi="Arial" w:cs="Arial"/>
          <w:sz w:val="24"/>
        </w:rPr>
        <w:t>behavioral health capacity</w:t>
      </w:r>
      <w:r>
        <w:rPr>
          <w:rFonts w:ascii="Arial" w:hAnsi="Arial" w:cs="Arial"/>
          <w:sz w:val="24"/>
        </w:rPr>
        <w:t xml:space="preserve"> and their </w:t>
      </w:r>
      <w:r w:rsidRPr="00CF661F">
        <w:rPr>
          <w:rFonts w:ascii="Arial" w:hAnsi="Arial" w:cs="Arial"/>
          <w:sz w:val="24"/>
        </w:rPr>
        <w:t>screening, assessment, and treatment of behavioral health condition</w:t>
      </w:r>
      <w:r>
        <w:rPr>
          <w:rFonts w:ascii="Arial" w:hAnsi="Arial" w:cs="Arial"/>
          <w:sz w:val="24"/>
        </w:rPr>
        <w:t>s</w:t>
      </w:r>
      <w:r w:rsidRPr="00CF661F">
        <w:rPr>
          <w:rFonts w:ascii="Arial" w:hAnsi="Arial" w:cs="Arial"/>
          <w:sz w:val="24"/>
        </w:rPr>
        <w:t>.</w:t>
      </w:r>
    </w:p>
    <w:p w:rsidRPr="00DF6064" w:rsidR="00A803F8" w:rsidP="00A803F8" w:rsidRDefault="00A803F8" w14:paraId="3E4F2361" w14:textId="77777777">
      <w:pPr>
        <w:widowControl/>
        <w:autoSpaceDE/>
        <w:autoSpaceDN/>
        <w:adjustRightInd/>
        <w:spacing w:before="120"/>
        <w:rPr>
          <w:rFonts w:ascii="Arial" w:hAnsi="Arial" w:cs="Arial"/>
          <w:sz w:val="24"/>
        </w:rPr>
      </w:pPr>
      <w:r>
        <w:rPr>
          <w:rFonts w:ascii="Arial" w:hAnsi="Arial" w:cs="Arial"/>
          <w:b/>
          <w:bCs/>
          <w:sz w:val="24"/>
        </w:rPr>
        <w:t xml:space="preserve">MDRBD HCP Survey </w:t>
      </w:r>
      <w:r>
        <w:rPr>
          <w:rFonts w:ascii="Arial" w:hAnsi="Arial" w:cs="Arial"/>
          <w:sz w:val="24"/>
        </w:rPr>
        <w:t xml:space="preserve">– survey of enrolled MDRBD program HCPs examining their </w:t>
      </w:r>
      <w:r w:rsidRPr="00CF661F">
        <w:rPr>
          <w:rFonts w:ascii="Arial" w:hAnsi="Arial" w:cs="Arial"/>
          <w:sz w:val="24"/>
        </w:rPr>
        <w:t>behavioral health capacity</w:t>
      </w:r>
      <w:r>
        <w:rPr>
          <w:rFonts w:ascii="Arial" w:hAnsi="Arial" w:cs="Arial"/>
          <w:sz w:val="24"/>
        </w:rPr>
        <w:t xml:space="preserve"> and their </w:t>
      </w:r>
      <w:r w:rsidRPr="00CF661F">
        <w:rPr>
          <w:rFonts w:ascii="Arial" w:hAnsi="Arial" w:cs="Arial"/>
          <w:sz w:val="24"/>
        </w:rPr>
        <w:t>screening, assessment, and treatment of behavioral health condition</w:t>
      </w:r>
      <w:r>
        <w:rPr>
          <w:rFonts w:ascii="Arial" w:hAnsi="Arial" w:cs="Arial"/>
          <w:sz w:val="24"/>
        </w:rPr>
        <w:t>s</w:t>
      </w:r>
      <w:r w:rsidRPr="00CF661F">
        <w:rPr>
          <w:rFonts w:ascii="Arial" w:hAnsi="Arial" w:cs="Arial"/>
          <w:sz w:val="24"/>
        </w:rPr>
        <w:t>.</w:t>
      </w:r>
    </w:p>
    <w:p w:rsidRPr="00DF6064" w:rsidR="00A803F8" w:rsidP="00A803F8" w:rsidRDefault="00A803F8" w14:paraId="7D0D1B59" w14:textId="77777777">
      <w:pPr>
        <w:widowControl/>
        <w:autoSpaceDE/>
        <w:autoSpaceDN/>
        <w:adjustRightInd/>
        <w:spacing w:before="120"/>
        <w:rPr>
          <w:rFonts w:ascii="Arial" w:hAnsi="Arial" w:cs="Arial"/>
          <w:sz w:val="24"/>
        </w:rPr>
      </w:pPr>
      <w:r>
        <w:rPr>
          <w:rFonts w:ascii="Arial" w:hAnsi="Arial" w:cs="Arial"/>
          <w:b/>
          <w:bCs/>
          <w:sz w:val="24"/>
        </w:rPr>
        <w:t xml:space="preserve">PMHCA Practice-level Survey </w:t>
      </w:r>
      <w:r>
        <w:rPr>
          <w:rFonts w:ascii="Arial" w:hAnsi="Arial" w:cs="Arial"/>
          <w:sz w:val="24"/>
        </w:rPr>
        <w:t xml:space="preserve">– survey of enrolled PMHCA program office managers/office leadership examining their practices’ </w:t>
      </w:r>
      <w:r w:rsidRPr="00CF661F">
        <w:rPr>
          <w:rFonts w:ascii="Arial" w:hAnsi="Arial" w:cs="Arial"/>
          <w:sz w:val="24"/>
        </w:rPr>
        <w:t>behavioral health services, behavioral health capacity, community linkages, operations, and staff training.</w:t>
      </w:r>
    </w:p>
    <w:p w:rsidR="00A803F8" w:rsidP="00A803F8" w:rsidRDefault="00A803F8" w14:paraId="7ADF20BC" w14:textId="2E8E78EF">
      <w:pPr>
        <w:widowControl/>
        <w:autoSpaceDE/>
        <w:autoSpaceDN/>
        <w:adjustRightInd/>
        <w:spacing w:before="120"/>
        <w:rPr>
          <w:rFonts w:ascii="Arial" w:hAnsi="Arial" w:cs="Arial"/>
          <w:b/>
          <w:bCs/>
          <w:sz w:val="24"/>
        </w:rPr>
      </w:pPr>
      <w:r>
        <w:rPr>
          <w:rFonts w:ascii="Arial" w:hAnsi="Arial" w:cs="Arial"/>
          <w:b/>
          <w:bCs/>
          <w:sz w:val="24"/>
        </w:rPr>
        <w:t>MDRBD Practice-level Survey</w:t>
      </w:r>
      <w:r w:rsidR="00721F5A">
        <w:rPr>
          <w:rFonts w:ascii="Arial" w:hAnsi="Arial" w:cs="Arial"/>
          <w:b/>
          <w:bCs/>
          <w:sz w:val="24"/>
        </w:rPr>
        <w:t xml:space="preserve"> </w:t>
      </w:r>
      <w:r>
        <w:rPr>
          <w:rFonts w:ascii="Arial" w:hAnsi="Arial" w:cs="Arial"/>
          <w:sz w:val="24"/>
        </w:rPr>
        <w:t xml:space="preserve">– survey of enrolled MDRBD program office managers/office leadership examining their practices’ </w:t>
      </w:r>
      <w:r w:rsidRPr="00CF661F">
        <w:rPr>
          <w:rFonts w:ascii="Arial" w:hAnsi="Arial" w:cs="Arial"/>
          <w:sz w:val="24"/>
        </w:rPr>
        <w:t>behavioral health services, behavioral health capacity, community linkages, operations, and staff training.</w:t>
      </w:r>
    </w:p>
    <w:p w:rsidRPr="00DF6064" w:rsidR="00A803F8" w:rsidP="00A803F8" w:rsidRDefault="00A803F8" w14:paraId="5CF7D2CB" w14:textId="77777777">
      <w:pPr>
        <w:widowControl/>
        <w:autoSpaceDE/>
        <w:autoSpaceDN/>
        <w:adjustRightInd/>
        <w:spacing w:before="120"/>
        <w:rPr>
          <w:rFonts w:ascii="Arial" w:hAnsi="Arial" w:cs="Arial"/>
          <w:sz w:val="24"/>
        </w:rPr>
      </w:pPr>
      <w:r>
        <w:rPr>
          <w:rFonts w:ascii="Arial" w:hAnsi="Arial" w:cs="Arial"/>
          <w:b/>
          <w:bCs/>
          <w:sz w:val="24"/>
        </w:rPr>
        <w:lastRenderedPageBreak/>
        <w:t xml:space="preserve">PMHCA Program Implementation Survey </w:t>
      </w:r>
      <w:r>
        <w:rPr>
          <w:rFonts w:ascii="Arial" w:hAnsi="Arial" w:cs="Arial"/>
          <w:sz w:val="24"/>
        </w:rPr>
        <w:t>– survey of PMHCA program Project Directors examining HCP</w:t>
      </w:r>
      <w:r w:rsidRPr="00CF661F">
        <w:rPr>
          <w:rFonts w:ascii="Arial" w:hAnsi="Arial" w:cs="Arial"/>
          <w:sz w:val="24"/>
        </w:rPr>
        <w:t xml:space="preserve">/practice recruitment and enrollment, </w:t>
      </w:r>
      <w:r>
        <w:rPr>
          <w:rFonts w:ascii="Arial" w:hAnsi="Arial" w:cs="Arial"/>
          <w:sz w:val="24"/>
        </w:rPr>
        <w:t>HCP</w:t>
      </w:r>
      <w:r w:rsidRPr="00CF661F">
        <w:rPr>
          <w:rFonts w:ascii="Arial" w:hAnsi="Arial" w:cs="Arial"/>
          <w:sz w:val="24"/>
        </w:rPr>
        <w:t xml:space="preserve"> training, clinical behavioral health consultation, care coordination support, community linkages, program outreach and dissemination, and sustainability</w:t>
      </w:r>
    </w:p>
    <w:p w:rsidR="00A803F8" w:rsidP="00A803F8" w:rsidRDefault="00A803F8" w14:paraId="2A5E9163" w14:textId="77777777">
      <w:pPr>
        <w:widowControl/>
        <w:autoSpaceDE/>
        <w:autoSpaceDN/>
        <w:adjustRightInd/>
        <w:spacing w:before="120"/>
        <w:rPr>
          <w:rFonts w:ascii="Arial" w:hAnsi="Arial" w:cs="Arial"/>
          <w:b/>
          <w:bCs/>
          <w:sz w:val="24"/>
        </w:rPr>
      </w:pPr>
      <w:r>
        <w:rPr>
          <w:rFonts w:ascii="Arial" w:hAnsi="Arial" w:cs="Arial"/>
          <w:b/>
          <w:bCs/>
          <w:sz w:val="24"/>
        </w:rPr>
        <w:t xml:space="preserve">MDBRD Program Implementation Survey </w:t>
      </w:r>
      <w:r>
        <w:rPr>
          <w:rFonts w:ascii="Arial" w:hAnsi="Arial" w:cs="Arial"/>
          <w:sz w:val="24"/>
        </w:rPr>
        <w:t>– survey of MDRBD program Project Directors examining HCP</w:t>
      </w:r>
      <w:r w:rsidRPr="00CF661F">
        <w:rPr>
          <w:rFonts w:ascii="Arial" w:hAnsi="Arial" w:cs="Arial"/>
          <w:sz w:val="24"/>
        </w:rPr>
        <w:t xml:space="preserve">/practice recruitment and enrollment, </w:t>
      </w:r>
      <w:r>
        <w:rPr>
          <w:rFonts w:ascii="Arial" w:hAnsi="Arial" w:cs="Arial"/>
          <w:sz w:val="24"/>
        </w:rPr>
        <w:t>HCP</w:t>
      </w:r>
      <w:r w:rsidRPr="00CF661F">
        <w:rPr>
          <w:rFonts w:ascii="Arial" w:hAnsi="Arial" w:cs="Arial"/>
          <w:sz w:val="24"/>
        </w:rPr>
        <w:t xml:space="preserve"> training, clinical behavioral health consultation, care coordination support, community linkages, program outreach and dissemination, and sustainability</w:t>
      </w:r>
    </w:p>
    <w:p w:rsidRPr="00DF6064" w:rsidR="00A803F8" w:rsidP="00A803F8" w:rsidRDefault="00A803F8" w14:paraId="08FC3C10" w14:textId="716BEA7A">
      <w:pPr>
        <w:widowControl/>
        <w:autoSpaceDE/>
        <w:autoSpaceDN/>
        <w:adjustRightInd/>
        <w:spacing w:before="120"/>
        <w:rPr>
          <w:rFonts w:ascii="Arial" w:hAnsi="Arial" w:cs="Arial"/>
          <w:sz w:val="24"/>
        </w:rPr>
      </w:pPr>
      <w:r>
        <w:rPr>
          <w:rFonts w:ascii="Arial" w:hAnsi="Arial" w:cs="Arial"/>
          <w:b/>
          <w:bCs/>
          <w:sz w:val="24"/>
        </w:rPr>
        <w:t>PMHCA Program Implementation Semi-Structured Interviews</w:t>
      </w:r>
      <w:r>
        <w:rPr>
          <w:rFonts w:ascii="Arial" w:hAnsi="Arial" w:cs="Arial"/>
          <w:sz w:val="24"/>
        </w:rPr>
        <w:t xml:space="preserve"> – interview with PMHCA program project leadership examining their programs’ implementation </w:t>
      </w:r>
      <w:r w:rsidRPr="00A803F8">
        <w:rPr>
          <w:rFonts w:ascii="Arial" w:hAnsi="Arial" w:cs="Arial"/>
          <w:sz w:val="24"/>
        </w:rPr>
        <w:t>to complement and expand on data collected in the program implementation surveys</w:t>
      </w:r>
      <w:r>
        <w:rPr>
          <w:rFonts w:ascii="Arial" w:hAnsi="Arial" w:cs="Arial"/>
          <w:sz w:val="24"/>
        </w:rPr>
        <w:t xml:space="preserve">. </w:t>
      </w:r>
    </w:p>
    <w:p w:rsidR="00A803F8" w:rsidP="00A803F8" w:rsidRDefault="00A803F8" w14:paraId="4F98F506" w14:textId="6C7EA20D">
      <w:pPr>
        <w:widowControl/>
        <w:autoSpaceDE/>
        <w:autoSpaceDN/>
        <w:adjustRightInd/>
        <w:spacing w:before="120"/>
        <w:rPr>
          <w:rFonts w:ascii="Arial" w:hAnsi="Arial" w:cs="Arial"/>
          <w:b/>
          <w:bCs/>
          <w:sz w:val="24"/>
        </w:rPr>
      </w:pPr>
      <w:r>
        <w:rPr>
          <w:rFonts w:ascii="Arial" w:hAnsi="Arial" w:cs="Arial"/>
          <w:b/>
          <w:bCs/>
          <w:sz w:val="24"/>
        </w:rPr>
        <w:t xml:space="preserve">MDBRD Program Implementation Semi-Structured Interviews </w:t>
      </w:r>
      <w:r>
        <w:rPr>
          <w:rFonts w:ascii="Arial" w:hAnsi="Arial" w:cs="Arial"/>
          <w:sz w:val="24"/>
        </w:rPr>
        <w:t xml:space="preserve">– interview with MDRBD program project leadership examining their programs’ implementation </w:t>
      </w:r>
      <w:r w:rsidRPr="00A803F8">
        <w:rPr>
          <w:rFonts w:ascii="Arial" w:hAnsi="Arial" w:cs="Arial"/>
          <w:sz w:val="24"/>
        </w:rPr>
        <w:t>to complement and expand on data collected in the program implementation surveys</w:t>
      </w:r>
      <w:r>
        <w:rPr>
          <w:rFonts w:ascii="Arial" w:hAnsi="Arial" w:cs="Arial"/>
          <w:sz w:val="24"/>
        </w:rPr>
        <w:t>.</w:t>
      </w:r>
    </w:p>
    <w:p w:rsidRPr="00CF661F" w:rsidR="00321B04" w:rsidP="00321B04" w:rsidRDefault="00321B04" w14:paraId="51653674" w14:textId="5C2C9D3B">
      <w:pPr>
        <w:widowControl/>
        <w:autoSpaceDE/>
        <w:autoSpaceDN/>
        <w:adjustRightInd/>
        <w:spacing w:before="120"/>
        <w:rPr>
          <w:rFonts w:ascii="Arial" w:hAnsi="Arial" w:cs="Arial"/>
          <w:sz w:val="24"/>
        </w:rPr>
      </w:pPr>
      <w:r w:rsidRPr="00CF661F">
        <w:rPr>
          <w:rFonts w:ascii="Arial" w:hAnsi="Arial" w:cs="Arial"/>
          <w:sz w:val="24"/>
        </w:rPr>
        <w:t xml:space="preserve">These data will assist in understanding the implementation and outcomes of PMHCA and MDRBD programs, which were initially funded in 2018 and have not yet been evaluated. Specifically, the </w:t>
      </w:r>
      <w:r w:rsidRPr="00CF661F" w:rsidR="00194C13">
        <w:rPr>
          <w:rFonts w:ascii="Arial" w:hAnsi="Arial" w:cs="Arial"/>
          <w:sz w:val="24"/>
        </w:rPr>
        <w:t xml:space="preserve">collected </w:t>
      </w:r>
      <w:r w:rsidRPr="00CF661F">
        <w:rPr>
          <w:rFonts w:ascii="Arial" w:hAnsi="Arial" w:cs="Arial"/>
          <w:sz w:val="24"/>
        </w:rPr>
        <w:t>data will be used to:</w:t>
      </w:r>
    </w:p>
    <w:p w:rsidRPr="00CF661F" w:rsidR="00321B04" w:rsidP="00B354FC" w:rsidRDefault="00321B04" w14:paraId="32E6E811" w14:textId="3698C5AA">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 xml:space="preserve">Study the efforts of awardee programs to achieve key outcomes. </w:t>
      </w:r>
    </w:p>
    <w:p w:rsidRPr="00CF661F" w:rsidR="00321B04" w:rsidP="00B354FC" w:rsidRDefault="00321B04" w14:paraId="0EE0805A" w14:textId="1DE3CD72">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Measure whether and to what extent awardee programs are associated with changes in these key outcomes</w:t>
      </w:r>
      <w:r w:rsidRPr="00CF661F" w:rsidR="008C1950">
        <w:rPr>
          <w:rFonts w:ascii="Arial" w:hAnsi="Arial" w:cs="Arial"/>
          <w:sz w:val="24"/>
        </w:rPr>
        <w:t>.</w:t>
      </w:r>
    </w:p>
    <w:p w:rsidRPr="00CF661F" w:rsidR="00321B04" w:rsidP="00B354FC" w:rsidRDefault="00321B04" w14:paraId="770F56DC" w14:textId="29F02B9E">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Examine changes over time, within a state and/or across PM</w:t>
      </w:r>
      <w:r w:rsidRPr="00CF661F" w:rsidR="00225DAD">
        <w:rPr>
          <w:rFonts w:ascii="Arial" w:hAnsi="Arial" w:cs="Arial"/>
          <w:sz w:val="24"/>
        </w:rPr>
        <w:t>H</w:t>
      </w:r>
      <w:r w:rsidRPr="00CF661F">
        <w:rPr>
          <w:rFonts w:ascii="Arial" w:hAnsi="Arial" w:cs="Arial"/>
          <w:sz w:val="24"/>
        </w:rPr>
        <w:t>CA and MDRBD programs, regard</w:t>
      </w:r>
      <w:r w:rsidRPr="00CF661F" w:rsidR="00194C13">
        <w:rPr>
          <w:rFonts w:ascii="Arial" w:hAnsi="Arial" w:cs="Arial"/>
          <w:sz w:val="24"/>
        </w:rPr>
        <w:t>ing</w:t>
      </w:r>
      <w:r w:rsidRPr="00CF661F">
        <w:rPr>
          <w:rFonts w:ascii="Arial" w:hAnsi="Arial" w:cs="Arial"/>
          <w:sz w:val="24"/>
        </w:rPr>
        <w:t xml:space="preserve"> (1) enrolled providers/practices related to screening, referral, and care coordination for behavioral health conditions; (2) provision of behavioral health services for mental health conditions in primary care settings by enrolled health care providers; (3) use of consultative services; and (4) facilitation of access to behavioral health services for mental health conditions.</w:t>
      </w:r>
    </w:p>
    <w:p w:rsidRPr="00CF661F" w:rsidR="00321B04" w:rsidP="00B354FC" w:rsidRDefault="00321B04" w14:paraId="5F61AB8A" w14:textId="66CE1A72">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 xml:space="preserve">Provide the data in reports to HRSA MCHB. </w:t>
      </w:r>
    </w:p>
    <w:p w:rsidR="00321B04" w:rsidP="00B354FC" w:rsidRDefault="00321B04" w14:paraId="40FEC565" w14:textId="2CADA1A2">
      <w:pPr>
        <w:pStyle w:val="ListParagraph"/>
        <w:widowControl/>
        <w:numPr>
          <w:ilvl w:val="0"/>
          <w:numId w:val="7"/>
        </w:numPr>
        <w:autoSpaceDE/>
        <w:autoSpaceDN/>
        <w:adjustRightInd/>
        <w:spacing w:before="120"/>
        <w:rPr>
          <w:rFonts w:ascii="Arial" w:hAnsi="Arial" w:cs="Arial"/>
          <w:sz w:val="24"/>
        </w:rPr>
      </w:pPr>
      <w:r w:rsidRPr="00CF661F">
        <w:rPr>
          <w:rFonts w:ascii="Arial" w:hAnsi="Arial" w:cs="Arial"/>
          <w:sz w:val="24"/>
        </w:rPr>
        <w:t>Develop infographics for dissemination by HRSA MCHB.</w:t>
      </w:r>
    </w:p>
    <w:p w:rsidRPr="00CF661F" w:rsidR="002D306C" w:rsidP="00B354FC" w:rsidRDefault="002D306C" w14:paraId="1C1E820B" w14:textId="0EA69856">
      <w:pPr>
        <w:pStyle w:val="ListParagraph"/>
        <w:widowControl/>
        <w:numPr>
          <w:ilvl w:val="0"/>
          <w:numId w:val="7"/>
        </w:numPr>
        <w:autoSpaceDE/>
        <w:autoSpaceDN/>
        <w:adjustRightInd/>
        <w:spacing w:before="120"/>
        <w:rPr>
          <w:rFonts w:ascii="Arial" w:hAnsi="Arial" w:cs="Arial"/>
          <w:sz w:val="24"/>
        </w:rPr>
      </w:pPr>
      <w:r>
        <w:rPr>
          <w:rFonts w:ascii="Arial" w:hAnsi="Arial" w:cs="Arial"/>
          <w:sz w:val="24"/>
        </w:rPr>
        <w:t xml:space="preserve">Inform </w:t>
      </w:r>
      <w:r w:rsidRPr="002D306C">
        <w:rPr>
          <w:rFonts w:ascii="Arial" w:hAnsi="Arial" w:cs="Arial"/>
          <w:sz w:val="24"/>
        </w:rPr>
        <w:t>future program implementation (e.g., future NOFOs) or other policy recommendations</w:t>
      </w:r>
      <w:r>
        <w:rPr>
          <w:rFonts w:ascii="Arial" w:hAnsi="Arial" w:cs="Arial"/>
          <w:sz w:val="24"/>
        </w:rPr>
        <w:t>.</w:t>
      </w:r>
    </w:p>
    <w:p w:rsidRPr="00CF661F" w:rsidR="006132FD" w:rsidP="006132FD" w:rsidRDefault="006132FD" w14:paraId="64F8E638" w14:textId="218C7210">
      <w:pPr>
        <w:widowControl/>
        <w:autoSpaceDE/>
        <w:autoSpaceDN/>
        <w:adjustRightInd/>
        <w:spacing w:before="120"/>
        <w:rPr>
          <w:rFonts w:ascii="Arial" w:hAnsi="Arial" w:cs="Arial"/>
          <w:sz w:val="24"/>
        </w:rPr>
      </w:pPr>
    </w:p>
    <w:p w:rsidRPr="00CF661F" w:rsidR="006132FD" w:rsidP="006132FD" w:rsidRDefault="006132FD" w14:paraId="7C7CC8DE" w14:textId="7A4D7C60">
      <w:pPr>
        <w:rPr>
          <w:rFonts w:ascii="Arial" w:hAnsi="Arial" w:cs="Arial"/>
          <w:sz w:val="24"/>
        </w:rPr>
      </w:pPr>
      <w:r w:rsidRPr="00CF661F">
        <w:rPr>
          <w:rFonts w:ascii="Arial" w:hAnsi="Arial" w:cs="Arial"/>
          <w:sz w:val="24"/>
        </w:rPr>
        <w:t>Section B contains additional information on study procedures on collection of information using these data collection tools.</w:t>
      </w:r>
      <w:r w:rsidR="00721F5A">
        <w:rPr>
          <w:rFonts w:ascii="Arial" w:hAnsi="Arial" w:cs="Arial"/>
          <w:sz w:val="24"/>
        </w:rPr>
        <w:t xml:space="preserve"> </w:t>
      </w:r>
      <w:r w:rsidRPr="00CF661F">
        <w:rPr>
          <w:rFonts w:ascii="Arial" w:hAnsi="Arial" w:cs="Arial"/>
          <w:sz w:val="24"/>
        </w:rPr>
        <w:t>The data collection tools are also included as attachments in Section B.</w:t>
      </w:r>
    </w:p>
    <w:p w:rsidRPr="00CF661F" w:rsidR="009B3794" w:rsidP="00B354FC" w:rsidRDefault="009B3794" w14:paraId="5B972708" w14:textId="77777777">
      <w:pPr>
        <w:numPr>
          <w:ilvl w:val="0"/>
          <w:numId w:val="1"/>
        </w:numPr>
        <w:tabs>
          <w:tab w:val="clear" w:pos="1080"/>
          <w:tab w:val="num" w:pos="360"/>
        </w:tabs>
        <w:spacing w:before="240"/>
        <w:ind w:left="360"/>
        <w:rPr>
          <w:rFonts w:ascii="Arial" w:hAnsi="Arial" w:cs="Arial"/>
          <w:sz w:val="24"/>
        </w:rPr>
      </w:pPr>
      <w:r w:rsidRPr="00CF661F">
        <w:rPr>
          <w:rFonts w:ascii="Arial" w:hAnsi="Arial" w:cs="Arial"/>
          <w:b/>
          <w:sz w:val="24"/>
          <w:u w:val="single"/>
        </w:rPr>
        <w:t>Use of Improved Information Technology and Burden Reduction</w:t>
      </w:r>
    </w:p>
    <w:p w:rsidRPr="00CF661F" w:rsidR="00CD4ACF" w:rsidP="00321B04" w:rsidRDefault="00CD4ACF" w14:paraId="18C95510" w14:textId="4FF139BA">
      <w:pPr>
        <w:spacing w:before="120"/>
        <w:rPr>
          <w:rFonts w:ascii="Arial" w:hAnsi="Arial" w:cs="Arial"/>
          <w:sz w:val="24"/>
        </w:rPr>
      </w:pPr>
      <w:r w:rsidRPr="00CF661F">
        <w:rPr>
          <w:rFonts w:ascii="Arial" w:hAnsi="Arial" w:cs="Arial"/>
          <w:sz w:val="24"/>
        </w:rPr>
        <w:t>The</w:t>
      </w:r>
      <w:r w:rsidRPr="00CF661F" w:rsidR="009B77DD">
        <w:rPr>
          <w:rFonts w:ascii="Arial" w:hAnsi="Arial" w:cs="Arial"/>
          <w:sz w:val="24"/>
        </w:rPr>
        <w:t xml:space="preserve"> evaluation of MCHB PMHCA and MDRBD programs</w:t>
      </w:r>
      <w:r w:rsidRPr="00CF661F">
        <w:rPr>
          <w:rFonts w:ascii="Arial" w:hAnsi="Arial" w:cs="Arial"/>
          <w:sz w:val="24"/>
        </w:rPr>
        <w:t xml:space="preserve"> will </w:t>
      </w:r>
      <w:r w:rsidRPr="00CF661F" w:rsidR="00AB4A6F">
        <w:rPr>
          <w:rFonts w:ascii="Arial" w:hAnsi="Arial" w:cs="Arial"/>
          <w:sz w:val="24"/>
        </w:rPr>
        <w:t>follow</w:t>
      </w:r>
      <w:r w:rsidRPr="00CF661F" w:rsidR="005608C5">
        <w:rPr>
          <w:rFonts w:ascii="Arial" w:hAnsi="Arial" w:cs="Arial"/>
          <w:sz w:val="24"/>
        </w:rPr>
        <w:t xml:space="preserve"> </w:t>
      </w:r>
      <w:r w:rsidRPr="00CF661F">
        <w:rPr>
          <w:rFonts w:ascii="Arial" w:hAnsi="Arial" w:cs="Arial"/>
          <w:sz w:val="24"/>
        </w:rPr>
        <w:t xml:space="preserve">a multimethod </w:t>
      </w:r>
      <w:r w:rsidRPr="00CF661F">
        <w:rPr>
          <w:rFonts w:ascii="Arial" w:hAnsi="Arial" w:cs="Arial"/>
          <w:sz w:val="24"/>
        </w:rPr>
        <w:lastRenderedPageBreak/>
        <w:t xml:space="preserve">approach. </w:t>
      </w:r>
      <w:r w:rsidRPr="00CF661F" w:rsidR="00316171">
        <w:rPr>
          <w:rFonts w:ascii="Arial" w:hAnsi="Arial" w:cs="Arial"/>
          <w:sz w:val="24"/>
        </w:rPr>
        <w:t>Data collection m</w:t>
      </w:r>
      <w:r w:rsidRPr="00CF661F">
        <w:rPr>
          <w:rFonts w:ascii="Arial" w:hAnsi="Arial" w:cs="Arial"/>
          <w:sz w:val="24"/>
        </w:rPr>
        <w:t xml:space="preserve">ethodologies for this </w:t>
      </w:r>
      <w:r w:rsidRPr="00CF661F" w:rsidR="00316171">
        <w:rPr>
          <w:rFonts w:ascii="Arial" w:hAnsi="Arial" w:cs="Arial"/>
          <w:sz w:val="24"/>
        </w:rPr>
        <w:t>evaluation</w:t>
      </w:r>
      <w:r w:rsidRPr="00CF661F">
        <w:rPr>
          <w:rFonts w:ascii="Arial" w:hAnsi="Arial" w:cs="Arial"/>
          <w:sz w:val="24"/>
        </w:rPr>
        <w:t xml:space="preserve"> </w:t>
      </w:r>
      <w:r w:rsidRPr="00CF661F" w:rsidR="00F17B82">
        <w:rPr>
          <w:rFonts w:ascii="Arial" w:hAnsi="Arial" w:cs="Arial"/>
          <w:sz w:val="24"/>
        </w:rPr>
        <w:t>will</w:t>
      </w:r>
      <w:r w:rsidRPr="00CF661F">
        <w:rPr>
          <w:rFonts w:ascii="Arial" w:hAnsi="Arial" w:cs="Arial"/>
          <w:sz w:val="24"/>
        </w:rPr>
        <w:t xml:space="preserve"> </w:t>
      </w:r>
      <w:r w:rsidRPr="00CF661F" w:rsidR="00AB4A6F">
        <w:rPr>
          <w:rFonts w:ascii="Arial" w:hAnsi="Arial" w:cs="Arial"/>
          <w:sz w:val="24"/>
        </w:rPr>
        <w:t>use</w:t>
      </w:r>
      <w:r w:rsidRPr="00CF661F">
        <w:rPr>
          <w:rFonts w:ascii="Arial" w:hAnsi="Arial" w:cs="Arial"/>
          <w:sz w:val="24"/>
        </w:rPr>
        <w:t xml:space="preserve"> survey</w:t>
      </w:r>
      <w:r w:rsidRPr="00CF661F" w:rsidR="00316171">
        <w:rPr>
          <w:rFonts w:ascii="Arial" w:hAnsi="Arial" w:cs="Arial"/>
          <w:sz w:val="24"/>
        </w:rPr>
        <w:t>s</w:t>
      </w:r>
      <w:r w:rsidRPr="00CF661F">
        <w:rPr>
          <w:rFonts w:ascii="Arial" w:hAnsi="Arial" w:cs="Arial"/>
          <w:sz w:val="24"/>
        </w:rPr>
        <w:t xml:space="preserve"> (</w:t>
      </w:r>
      <w:r w:rsidRPr="00CF661F" w:rsidR="00AB4A6F">
        <w:rPr>
          <w:rFonts w:ascii="Arial" w:hAnsi="Arial" w:cs="Arial"/>
          <w:sz w:val="24"/>
        </w:rPr>
        <w:t>i.</w:t>
      </w:r>
      <w:r w:rsidRPr="00CF661F" w:rsidR="00316171">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eb-based</w:t>
      </w:r>
      <w:r w:rsidRPr="00CF661F" w:rsidR="00AB4A6F">
        <w:rPr>
          <w:rFonts w:ascii="Arial" w:hAnsi="Arial" w:cs="Arial"/>
          <w:sz w:val="24"/>
        </w:rPr>
        <w:t xml:space="preserve"> and</w:t>
      </w:r>
      <w:r w:rsidRPr="00CF661F">
        <w:rPr>
          <w:rFonts w:ascii="Arial" w:hAnsi="Arial" w:cs="Arial"/>
          <w:sz w:val="24"/>
        </w:rPr>
        <w:t xml:space="preserve"> email) and </w:t>
      </w:r>
      <w:r w:rsidRPr="00CF661F" w:rsidR="00E02D11">
        <w:rPr>
          <w:rFonts w:ascii="Arial" w:hAnsi="Arial" w:cs="Arial"/>
          <w:sz w:val="24"/>
        </w:rPr>
        <w:t>SSI</w:t>
      </w:r>
      <w:r w:rsidRPr="00CF661F">
        <w:rPr>
          <w:rFonts w:ascii="Arial" w:hAnsi="Arial" w:cs="Arial"/>
          <w:sz w:val="24"/>
        </w:rPr>
        <w:t>s (</w:t>
      </w:r>
      <w:r w:rsidRPr="00CF661F" w:rsidR="00AB4A6F">
        <w:rPr>
          <w:rFonts w:ascii="Arial" w:hAnsi="Arial" w:cs="Arial"/>
          <w:sz w:val="24"/>
        </w:rPr>
        <w:t>i.</w:t>
      </w:r>
      <w:r w:rsidRPr="00CF661F">
        <w:rPr>
          <w:rFonts w:ascii="Arial" w:hAnsi="Arial" w:cs="Arial"/>
          <w:sz w:val="24"/>
        </w:rPr>
        <w:t>e., telephone).</w:t>
      </w:r>
      <w:r w:rsidR="00721F5A">
        <w:rPr>
          <w:rFonts w:ascii="Arial" w:hAnsi="Arial" w:cs="Arial"/>
          <w:sz w:val="24"/>
        </w:rPr>
        <w:t xml:space="preserve"> </w:t>
      </w:r>
      <w:r w:rsidRPr="00CF661F">
        <w:rPr>
          <w:rFonts w:ascii="Arial" w:hAnsi="Arial" w:cs="Arial"/>
          <w:sz w:val="24"/>
        </w:rPr>
        <w:t>All technology used for the survey administration (</w:t>
      </w:r>
      <w:r w:rsidRPr="00CF661F" w:rsidR="00AB4A6F">
        <w:rPr>
          <w:rFonts w:ascii="Arial" w:hAnsi="Arial" w:cs="Arial"/>
          <w:sz w:val="24"/>
        </w:rPr>
        <w:t>i.</w:t>
      </w:r>
      <w:r w:rsidRPr="00CF661F">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eb-linked survey administered via email</w:t>
      </w:r>
      <w:r w:rsidRPr="00CF661F" w:rsidR="00AB4A6F">
        <w:rPr>
          <w:rFonts w:ascii="Arial" w:hAnsi="Arial" w:cs="Arial"/>
          <w:sz w:val="24"/>
        </w:rPr>
        <w:t xml:space="preserve"> and</w:t>
      </w:r>
      <w:r w:rsidRPr="00CF661F">
        <w:rPr>
          <w:rFonts w:ascii="Arial" w:hAnsi="Arial" w:cs="Arial"/>
          <w:sz w:val="24"/>
        </w:rPr>
        <w:t xml:space="preserve"> </w:t>
      </w:r>
      <w:r w:rsidRPr="00CF661F" w:rsidR="00F71A8D">
        <w:rPr>
          <w:rFonts w:ascii="Arial" w:hAnsi="Arial" w:cs="Arial"/>
          <w:sz w:val="24"/>
        </w:rPr>
        <w:t>w</w:t>
      </w:r>
      <w:r w:rsidRPr="00CF661F">
        <w:rPr>
          <w:rFonts w:ascii="Arial" w:hAnsi="Arial" w:cs="Arial"/>
          <w:sz w:val="24"/>
        </w:rPr>
        <w:t xml:space="preserve">eb-linked survey </w:t>
      </w:r>
      <w:r w:rsidRPr="00CF661F" w:rsidR="00F17B82">
        <w:rPr>
          <w:rFonts w:ascii="Arial" w:hAnsi="Arial" w:cs="Arial"/>
          <w:sz w:val="24"/>
        </w:rPr>
        <w:t>administered via survey platform</w:t>
      </w:r>
      <w:r w:rsidRPr="00CF661F">
        <w:rPr>
          <w:rFonts w:ascii="Arial" w:hAnsi="Arial" w:cs="Arial"/>
          <w:sz w:val="24"/>
        </w:rPr>
        <w:t>) will meet Federal requirements for Section 508 accessibility.</w:t>
      </w:r>
      <w:r w:rsidR="00721F5A">
        <w:rPr>
          <w:rFonts w:ascii="Arial" w:hAnsi="Arial" w:cs="Arial"/>
          <w:sz w:val="24"/>
        </w:rPr>
        <w:t xml:space="preserve"> </w:t>
      </w:r>
      <w:r w:rsidRPr="00CF661F">
        <w:rPr>
          <w:rFonts w:ascii="Arial" w:hAnsi="Arial" w:cs="Arial"/>
          <w:sz w:val="24"/>
        </w:rPr>
        <w:t>Information technology will be used in the following ways:</w:t>
      </w:r>
    </w:p>
    <w:p w:rsidRPr="00CF661F" w:rsidR="00CD4ACF" w:rsidP="00B354FC" w:rsidRDefault="007F124A" w14:paraId="7ED0FAF6" w14:textId="6A5C3B56">
      <w:pPr>
        <w:pStyle w:val="ListParagraph"/>
        <w:numPr>
          <w:ilvl w:val="0"/>
          <w:numId w:val="6"/>
        </w:numPr>
        <w:spacing w:before="120"/>
        <w:rPr>
          <w:rFonts w:ascii="Arial" w:hAnsi="Arial" w:cs="Arial"/>
          <w:sz w:val="24"/>
        </w:rPr>
      </w:pPr>
      <w:r w:rsidRPr="00CF661F">
        <w:rPr>
          <w:rFonts w:ascii="Arial" w:hAnsi="Arial" w:cs="Arial"/>
          <w:sz w:val="24"/>
        </w:rPr>
        <w:t>All s</w:t>
      </w:r>
      <w:r w:rsidRPr="00CF661F" w:rsidR="00F17B82">
        <w:rPr>
          <w:rFonts w:ascii="Arial" w:hAnsi="Arial" w:cs="Arial"/>
          <w:sz w:val="24"/>
        </w:rPr>
        <w:t>urvey p</w:t>
      </w:r>
      <w:r w:rsidRPr="00CF661F" w:rsidR="00CD4ACF">
        <w:rPr>
          <w:rFonts w:ascii="Arial" w:hAnsi="Arial" w:cs="Arial"/>
          <w:sz w:val="24"/>
        </w:rPr>
        <w:t>articipants will</w:t>
      </w:r>
      <w:r w:rsidRPr="00CF661F" w:rsidR="00F17B82">
        <w:rPr>
          <w:rFonts w:ascii="Arial" w:hAnsi="Arial" w:cs="Arial"/>
          <w:sz w:val="24"/>
        </w:rPr>
        <w:t xml:space="preserve"> receive the web-linked survey via email</w:t>
      </w:r>
      <w:r w:rsidRPr="00CF661F" w:rsidR="00CD4ACF">
        <w:rPr>
          <w:rFonts w:ascii="Arial" w:hAnsi="Arial" w:cs="Arial"/>
          <w:sz w:val="24"/>
        </w:rPr>
        <w:t xml:space="preserve">. Electronic responses will be downloaded directly into </w:t>
      </w:r>
      <w:r w:rsidRPr="00CF661F" w:rsidR="00F17B82">
        <w:rPr>
          <w:rFonts w:ascii="Arial" w:hAnsi="Arial" w:cs="Arial"/>
          <w:sz w:val="24"/>
        </w:rPr>
        <w:t>a securely stored</w:t>
      </w:r>
      <w:r w:rsidRPr="00CF661F" w:rsidR="00CD4ACF">
        <w:rPr>
          <w:rFonts w:ascii="Arial" w:hAnsi="Arial" w:cs="Arial"/>
          <w:sz w:val="24"/>
        </w:rPr>
        <w:t xml:space="preserve"> database.</w:t>
      </w:r>
      <w:r w:rsidR="00721F5A">
        <w:rPr>
          <w:rFonts w:ascii="Arial" w:hAnsi="Arial" w:cs="Arial"/>
          <w:sz w:val="24"/>
        </w:rPr>
        <w:t xml:space="preserve"> </w:t>
      </w:r>
    </w:p>
    <w:p w:rsidRPr="00CF661F" w:rsidR="00CD4ACF" w:rsidP="00B354FC" w:rsidRDefault="00792057" w14:paraId="40616C11" w14:textId="684DD90E">
      <w:pPr>
        <w:pStyle w:val="ListParagraph"/>
        <w:numPr>
          <w:ilvl w:val="0"/>
          <w:numId w:val="6"/>
        </w:numPr>
        <w:spacing w:before="120"/>
        <w:rPr>
          <w:rFonts w:ascii="Arial" w:hAnsi="Arial" w:cs="Arial"/>
          <w:sz w:val="24"/>
        </w:rPr>
      </w:pPr>
      <w:r w:rsidRPr="00CF661F">
        <w:rPr>
          <w:rFonts w:ascii="Arial" w:hAnsi="Arial" w:cs="Arial"/>
          <w:sz w:val="24"/>
        </w:rPr>
        <w:t xml:space="preserve">All </w:t>
      </w:r>
      <w:r w:rsidRPr="00CF661F" w:rsidR="00E02D11">
        <w:rPr>
          <w:rFonts w:ascii="Arial" w:hAnsi="Arial" w:cs="Arial"/>
          <w:sz w:val="24"/>
        </w:rPr>
        <w:t>SSI</w:t>
      </w:r>
      <w:r w:rsidRPr="00CF661F" w:rsidR="00CD4ACF">
        <w:rPr>
          <w:rFonts w:ascii="Arial" w:hAnsi="Arial" w:cs="Arial"/>
          <w:sz w:val="24"/>
        </w:rPr>
        <w:t xml:space="preserve">s will be conducted by telephone. For respondents who agree to </w:t>
      </w:r>
      <w:r w:rsidRPr="00CF661F" w:rsidR="00AB4A6F">
        <w:rPr>
          <w:rFonts w:ascii="Arial" w:hAnsi="Arial" w:cs="Arial"/>
          <w:sz w:val="24"/>
        </w:rPr>
        <w:t>be</w:t>
      </w:r>
      <w:r w:rsidRPr="00CF661F" w:rsidR="00CD4ACF">
        <w:rPr>
          <w:rFonts w:ascii="Arial" w:hAnsi="Arial" w:cs="Arial"/>
          <w:sz w:val="24"/>
        </w:rPr>
        <w:t xml:space="preserve"> recorded, interviewers will record </w:t>
      </w:r>
      <w:r w:rsidRPr="00CF661F" w:rsidR="00041C15">
        <w:rPr>
          <w:rFonts w:ascii="Arial" w:hAnsi="Arial" w:cs="Arial"/>
          <w:sz w:val="24"/>
        </w:rPr>
        <w:t>responses</w:t>
      </w:r>
      <w:r w:rsidRPr="00CF661F" w:rsidR="00CD4ACF">
        <w:rPr>
          <w:rFonts w:ascii="Arial" w:hAnsi="Arial" w:cs="Arial"/>
          <w:sz w:val="24"/>
        </w:rPr>
        <w:t xml:space="preserve"> as they are given and will upload the </w:t>
      </w:r>
      <w:r w:rsidRPr="00CF661F" w:rsidR="00FA2B07">
        <w:rPr>
          <w:rFonts w:ascii="Arial" w:hAnsi="Arial" w:cs="Arial"/>
          <w:sz w:val="24"/>
        </w:rPr>
        <w:t>recordings to a secure</w:t>
      </w:r>
      <w:r w:rsidRPr="00CF661F" w:rsidR="00041C15">
        <w:rPr>
          <w:rFonts w:ascii="Arial" w:hAnsi="Arial" w:cs="Arial"/>
          <w:sz w:val="24"/>
        </w:rPr>
        <w:t>d</w:t>
      </w:r>
      <w:r w:rsidRPr="00CF661F" w:rsidR="00FA2B07">
        <w:rPr>
          <w:rFonts w:ascii="Arial" w:hAnsi="Arial" w:cs="Arial"/>
          <w:sz w:val="24"/>
        </w:rPr>
        <w:t xml:space="preserve"> drive</w:t>
      </w:r>
      <w:r w:rsidRPr="00CF661F" w:rsidR="00CD4ACF">
        <w:rPr>
          <w:rFonts w:ascii="Arial" w:hAnsi="Arial" w:cs="Arial"/>
          <w:sz w:val="24"/>
        </w:rPr>
        <w:t>.</w:t>
      </w:r>
      <w:r w:rsidR="00D321F2">
        <w:rPr>
          <w:rFonts w:ascii="Arial" w:hAnsi="Arial" w:cs="Arial"/>
          <w:sz w:val="24"/>
        </w:rPr>
        <w:t xml:space="preserve"> </w:t>
      </w:r>
      <w:r w:rsidRPr="00CF661F" w:rsidR="00FA2B07">
        <w:rPr>
          <w:rFonts w:ascii="Arial" w:hAnsi="Arial" w:cs="Arial"/>
          <w:sz w:val="24"/>
        </w:rPr>
        <w:t>For respondents</w:t>
      </w:r>
      <w:r w:rsidRPr="00CF661F" w:rsidR="00CD4ACF">
        <w:rPr>
          <w:rFonts w:ascii="Arial" w:hAnsi="Arial" w:cs="Arial"/>
          <w:sz w:val="24"/>
        </w:rPr>
        <w:t xml:space="preserve"> </w:t>
      </w:r>
      <w:r w:rsidRPr="00CF661F" w:rsidR="00FA2B07">
        <w:rPr>
          <w:rFonts w:ascii="Arial" w:hAnsi="Arial" w:cs="Arial"/>
          <w:sz w:val="24"/>
        </w:rPr>
        <w:t xml:space="preserve">who do not </w:t>
      </w:r>
      <w:r w:rsidRPr="00CF661F" w:rsidR="00AB4A6F">
        <w:rPr>
          <w:rFonts w:ascii="Arial" w:hAnsi="Arial" w:cs="Arial"/>
          <w:sz w:val="24"/>
        </w:rPr>
        <w:t xml:space="preserve">agree to </w:t>
      </w:r>
      <w:r w:rsidRPr="00CF661F" w:rsidR="005608C5">
        <w:rPr>
          <w:rFonts w:ascii="Arial" w:hAnsi="Arial" w:cs="Arial"/>
          <w:sz w:val="24"/>
        </w:rPr>
        <w:t>be</w:t>
      </w:r>
      <w:r w:rsidRPr="00CF661F" w:rsidR="00FA2B07">
        <w:rPr>
          <w:rFonts w:ascii="Arial" w:hAnsi="Arial" w:cs="Arial"/>
          <w:sz w:val="24"/>
        </w:rPr>
        <w:t xml:space="preserve"> recorded, </w:t>
      </w:r>
      <w:r w:rsidRPr="00CF661F" w:rsidR="00041C15">
        <w:rPr>
          <w:rFonts w:ascii="Arial" w:hAnsi="Arial" w:cs="Arial"/>
          <w:sz w:val="24"/>
        </w:rPr>
        <w:t xml:space="preserve">a notetaker will record responses and upload call notes to </w:t>
      </w:r>
      <w:r w:rsidRPr="00CF661F" w:rsidR="00AB4A6F">
        <w:rPr>
          <w:rFonts w:ascii="Arial" w:hAnsi="Arial" w:cs="Arial"/>
          <w:sz w:val="24"/>
        </w:rPr>
        <w:t>a</w:t>
      </w:r>
      <w:r w:rsidRPr="00CF661F" w:rsidR="00041C15">
        <w:rPr>
          <w:rFonts w:ascii="Arial" w:hAnsi="Arial" w:cs="Arial"/>
          <w:sz w:val="24"/>
        </w:rPr>
        <w:t xml:space="preserve"> secured drive.</w:t>
      </w:r>
    </w:p>
    <w:p w:rsidRPr="00CF661F" w:rsidR="00CD4ACF" w:rsidP="00B354FC" w:rsidRDefault="00CD4ACF" w14:paraId="747BA0BD" w14:textId="62CA63A4">
      <w:pPr>
        <w:pStyle w:val="ListParagraph"/>
        <w:numPr>
          <w:ilvl w:val="0"/>
          <w:numId w:val="6"/>
        </w:numPr>
        <w:spacing w:before="120"/>
        <w:rPr>
          <w:rFonts w:ascii="Arial" w:hAnsi="Arial" w:cs="Arial"/>
          <w:sz w:val="24"/>
        </w:rPr>
      </w:pPr>
      <w:r w:rsidRPr="00CF661F">
        <w:rPr>
          <w:rFonts w:ascii="Arial" w:hAnsi="Arial" w:cs="Arial"/>
          <w:sz w:val="24"/>
        </w:rPr>
        <w:t>Reports</w:t>
      </w:r>
      <w:r w:rsidRPr="00CF661F" w:rsidR="00C54D58">
        <w:rPr>
          <w:rFonts w:ascii="Arial" w:hAnsi="Arial" w:cs="Arial"/>
          <w:sz w:val="24"/>
        </w:rPr>
        <w:t xml:space="preserve"> and materials</w:t>
      </w:r>
      <w:r w:rsidRPr="00CF661F" w:rsidR="007C7470">
        <w:rPr>
          <w:rFonts w:ascii="Arial" w:hAnsi="Arial" w:cs="Arial"/>
          <w:sz w:val="24"/>
        </w:rPr>
        <w:t xml:space="preserve"> (e.g., infographics)</w:t>
      </w:r>
      <w:r w:rsidRPr="00CF661F">
        <w:rPr>
          <w:rFonts w:ascii="Arial" w:hAnsi="Arial" w:cs="Arial"/>
          <w:sz w:val="24"/>
        </w:rPr>
        <w:t xml:space="preserve"> generated from this project may be made available to the public through </w:t>
      </w:r>
      <w:r w:rsidRPr="00CF661F" w:rsidR="00AB4A6F">
        <w:rPr>
          <w:rFonts w:ascii="Arial" w:hAnsi="Arial" w:cs="Arial"/>
          <w:sz w:val="24"/>
        </w:rPr>
        <w:t xml:space="preserve">the </w:t>
      </w:r>
      <w:r w:rsidRPr="00CF661F" w:rsidR="00C54D58">
        <w:rPr>
          <w:rFonts w:ascii="Arial" w:hAnsi="Arial" w:cs="Arial"/>
          <w:sz w:val="24"/>
        </w:rPr>
        <w:t>HRSA MCHB</w:t>
      </w:r>
      <w:r w:rsidRPr="00CF661F">
        <w:rPr>
          <w:rFonts w:ascii="Arial" w:hAnsi="Arial" w:cs="Arial"/>
          <w:sz w:val="24"/>
        </w:rPr>
        <w:t xml:space="preserve"> website.</w:t>
      </w:r>
    </w:p>
    <w:p w:rsidRPr="00CF661F" w:rsidR="00CD4ACF" w:rsidP="00CD4ACF" w:rsidRDefault="00BE7FBE" w14:paraId="61A904E4" w14:textId="5FF4F343">
      <w:pPr>
        <w:spacing w:before="120"/>
        <w:rPr>
          <w:rFonts w:ascii="Arial" w:hAnsi="Arial" w:cs="Arial"/>
          <w:sz w:val="24"/>
        </w:rPr>
      </w:pPr>
      <w:r w:rsidRPr="00CF661F">
        <w:rPr>
          <w:rFonts w:ascii="Arial" w:hAnsi="Arial" w:cs="Arial"/>
          <w:sz w:val="24"/>
        </w:rPr>
        <w:t>The</w:t>
      </w:r>
      <w:r w:rsidRPr="00CF661F" w:rsidR="00234C53">
        <w:rPr>
          <w:rFonts w:ascii="Arial" w:hAnsi="Arial" w:cs="Arial"/>
          <w:sz w:val="24"/>
        </w:rPr>
        <w:t xml:space="preserve"> data collection </w:t>
      </w:r>
      <w:r w:rsidRPr="00CF661F">
        <w:rPr>
          <w:rFonts w:ascii="Arial" w:hAnsi="Arial" w:cs="Arial"/>
          <w:sz w:val="24"/>
        </w:rPr>
        <w:t>me</w:t>
      </w:r>
      <w:r w:rsidRPr="00CF661F" w:rsidR="00AB4A6F">
        <w:rPr>
          <w:rFonts w:ascii="Arial" w:hAnsi="Arial" w:cs="Arial"/>
          <w:sz w:val="24"/>
        </w:rPr>
        <w:t>thods</w:t>
      </w:r>
      <w:r w:rsidRPr="00CF661F">
        <w:rPr>
          <w:rFonts w:ascii="Arial" w:hAnsi="Arial" w:cs="Arial"/>
          <w:sz w:val="24"/>
        </w:rPr>
        <w:t xml:space="preserve"> were selected</w:t>
      </w:r>
      <w:r w:rsidRPr="00CF661F" w:rsidR="007C7470">
        <w:rPr>
          <w:rFonts w:ascii="Arial" w:hAnsi="Arial" w:cs="Arial"/>
          <w:sz w:val="24"/>
        </w:rPr>
        <w:t xml:space="preserve"> for the evaluation</w:t>
      </w:r>
      <w:r w:rsidRPr="00CF661F">
        <w:rPr>
          <w:rFonts w:ascii="Arial" w:hAnsi="Arial" w:cs="Arial"/>
          <w:sz w:val="24"/>
        </w:rPr>
        <w:t xml:space="preserve"> </w:t>
      </w:r>
      <w:r w:rsidRPr="00CF661F" w:rsidR="00F71A8D">
        <w:rPr>
          <w:rFonts w:ascii="Arial" w:hAnsi="Arial" w:cs="Arial"/>
          <w:sz w:val="24"/>
        </w:rPr>
        <w:t>because</w:t>
      </w:r>
      <w:r w:rsidRPr="00CF661F">
        <w:rPr>
          <w:rFonts w:ascii="Arial" w:hAnsi="Arial" w:cs="Arial"/>
          <w:sz w:val="24"/>
        </w:rPr>
        <w:t xml:space="preserve"> they will reduce </w:t>
      </w:r>
      <w:r w:rsidRPr="00CF661F" w:rsidR="00AB4A6F">
        <w:rPr>
          <w:rFonts w:ascii="Arial" w:hAnsi="Arial" w:cs="Arial"/>
          <w:sz w:val="24"/>
        </w:rPr>
        <w:t xml:space="preserve">participant </w:t>
      </w:r>
      <w:r w:rsidRPr="00CF661F">
        <w:rPr>
          <w:rFonts w:ascii="Arial" w:hAnsi="Arial" w:cs="Arial"/>
          <w:sz w:val="24"/>
        </w:rPr>
        <w:t>burden while providing the evaluation with necessary data.</w:t>
      </w:r>
      <w:r w:rsidR="00721F5A">
        <w:rPr>
          <w:rFonts w:ascii="Arial" w:hAnsi="Arial" w:cs="Arial"/>
          <w:sz w:val="24"/>
        </w:rPr>
        <w:t xml:space="preserve"> </w:t>
      </w:r>
      <w:r w:rsidRPr="00CF661F" w:rsidR="00AB4A6F">
        <w:rPr>
          <w:rFonts w:ascii="Arial" w:hAnsi="Arial" w:cs="Arial"/>
          <w:sz w:val="24"/>
        </w:rPr>
        <w:t>O</w:t>
      </w:r>
      <w:r w:rsidRPr="00CF661F" w:rsidR="00CD4ACF">
        <w:rPr>
          <w:rFonts w:ascii="Arial" w:hAnsi="Arial" w:cs="Arial"/>
          <w:sz w:val="24"/>
        </w:rPr>
        <w:t xml:space="preserve">ffering </w:t>
      </w:r>
      <w:r w:rsidRPr="00CF661F">
        <w:rPr>
          <w:rFonts w:ascii="Arial" w:hAnsi="Arial" w:cs="Arial"/>
          <w:sz w:val="24"/>
        </w:rPr>
        <w:t xml:space="preserve">a </w:t>
      </w:r>
      <w:r w:rsidRPr="00CF661F" w:rsidR="00F71A8D">
        <w:rPr>
          <w:rFonts w:ascii="Arial" w:hAnsi="Arial" w:cs="Arial"/>
          <w:sz w:val="24"/>
        </w:rPr>
        <w:t>w</w:t>
      </w:r>
      <w:r w:rsidRPr="00CF661F">
        <w:rPr>
          <w:rFonts w:ascii="Arial" w:hAnsi="Arial" w:cs="Arial"/>
          <w:sz w:val="24"/>
        </w:rPr>
        <w:t>eb-based</w:t>
      </w:r>
      <w:r w:rsidRPr="00CF661F" w:rsidR="00CD4ACF">
        <w:rPr>
          <w:rFonts w:ascii="Arial" w:hAnsi="Arial" w:cs="Arial"/>
          <w:sz w:val="24"/>
        </w:rPr>
        <w:t xml:space="preserve"> survey</w:t>
      </w:r>
      <w:r w:rsidRPr="00CF661F" w:rsidR="00AB4A6F">
        <w:rPr>
          <w:rFonts w:ascii="Arial" w:hAnsi="Arial" w:cs="Arial"/>
          <w:sz w:val="24"/>
        </w:rPr>
        <w:t xml:space="preserve"> reduces</w:t>
      </w:r>
      <w:r w:rsidRPr="00CF661F" w:rsidR="00CD4ACF">
        <w:rPr>
          <w:rFonts w:ascii="Arial" w:hAnsi="Arial" w:cs="Arial"/>
          <w:sz w:val="24"/>
        </w:rPr>
        <w:t xml:space="preserve"> burden to </w:t>
      </w:r>
      <w:r w:rsidRPr="00CF661F" w:rsidR="00426FFC">
        <w:rPr>
          <w:rFonts w:ascii="Arial" w:hAnsi="Arial" w:cs="Arial"/>
          <w:sz w:val="24"/>
        </w:rPr>
        <w:t>participant</w:t>
      </w:r>
      <w:r w:rsidRPr="00CF661F" w:rsidR="00CD4ACF">
        <w:rPr>
          <w:rFonts w:ascii="Arial" w:hAnsi="Arial" w:cs="Arial"/>
          <w:sz w:val="24"/>
        </w:rPr>
        <w:t xml:space="preserve">s by eliminating the time it takes to write responses on a </w:t>
      </w:r>
      <w:r w:rsidRPr="00CF661F">
        <w:rPr>
          <w:rFonts w:ascii="Arial" w:hAnsi="Arial" w:cs="Arial"/>
          <w:sz w:val="24"/>
        </w:rPr>
        <w:t>paper-based</w:t>
      </w:r>
      <w:r w:rsidRPr="00CF661F" w:rsidR="00AB4A6F">
        <w:rPr>
          <w:rFonts w:ascii="Arial" w:hAnsi="Arial" w:cs="Arial"/>
          <w:sz w:val="24"/>
        </w:rPr>
        <w:t>,</w:t>
      </w:r>
      <w:r w:rsidRPr="00CF661F">
        <w:rPr>
          <w:rFonts w:ascii="Arial" w:hAnsi="Arial" w:cs="Arial"/>
          <w:sz w:val="24"/>
        </w:rPr>
        <w:t xml:space="preserve"> </w:t>
      </w:r>
      <w:r w:rsidRPr="00CF661F" w:rsidR="00AB4A6F">
        <w:rPr>
          <w:rFonts w:ascii="Arial" w:hAnsi="Arial" w:cs="Arial"/>
          <w:sz w:val="24"/>
        </w:rPr>
        <w:t xml:space="preserve">mail-in </w:t>
      </w:r>
      <w:r w:rsidRPr="00CF661F">
        <w:rPr>
          <w:rFonts w:ascii="Arial" w:hAnsi="Arial" w:cs="Arial"/>
          <w:sz w:val="24"/>
        </w:rPr>
        <w:t>survey</w:t>
      </w:r>
      <w:r w:rsidRPr="00CF661F" w:rsidR="00CD4ACF">
        <w:rPr>
          <w:rFonts w:ascii="Arial" w:hAnsi="Arial" w:cs="Arial"/>
          <w:sz w:val="24"/>
        </w:rPr>
        <w:t>.</w:t>
      </w:r>
      <w:r w:rsidR="00721F5A">
        <w:rPr>
          <w:rFonts w:ascii="Arial" w:hAnsi="Arial" w:cs="Arial"/>
          <w:sz w:val="24"/>
        </w:rPr>
        <w:t xml:space="preserve"> </w:t>
      </w:r>
      <w:r w:rsidRPr="00CF661F" w:rsidR="00CD4ACF">
        <w:rPr>
          <w:rFonts w:ascii="Arial" w:hAnsi="Arial" w:cs="Arial"/>
          <w:sz w:val="24"/>
        </w:rPr>
        <w:t>This same burden is reduced for respondents participating in telephone interviews</w:t>
      </w:r>
      <w:r w:rsidRPr="00CF661F" w:rsidR="007C7470">
        <w:rPr>
          <w:rFonts w:ascii="Arial" w:hAnsi="Arial" w:cs="Arial"/>
          <w:sz w:val="24"/>
        </w:rPr>
        <w:t xml:space="preserve"> </w:t>
      </w:r>
      <w:r w:rsidRPr="00CF661F" w:rsidR="00F71A8D">
        <w:rPr>
          <w:rFonts w:ascii="Arial" w:hAnsi="Arial" w:cs="Arial"/>
          <w:sz w:val="24"/>
        </w:rPr>
        <w:t>because</w:t>
      </w:r>
      <w:r w:rsidRPr="00CF661F" w:rsidR="007C7470">
        <w:rPr>
          <w:rFonts w:ascii="Arial" w:hAnsi="Arial" w:cs="Arial"/>
          <w:sz w:val="24"/>
        </w:rPr>
        <w:t xml:space="preserve"> they will </w:t>
      </w:r>
      <w:r w:rsidRPr="00CF661F" w:rsidR="00AB4A6F">
        <w:rPr>
          <w:rFonts w:ascii="Arial" w:hAnsi="Arial" w:cs="Arial"/>
          <w:sz w:val="24"/>
        </w:rPr>
        <w:t xml:space="preserve">not </w:t>
      </w:r>
      <w:r w:rsidRPr="00CF661F" w:rsidR="00E31B29">
        <w:rPr>
          <w:rFonts w:ascii="Arial" w:hAnsi="Arial" w:cs="Arial"/>
          <w:sz w:val="24"/>
        </w:rPr>
        <w:t>hav</w:t>
      </w:r>
      <w:r w:rsidRPr="00CF661F" w:rsidR="00AB4A6F">
        <w:rPr>
          <w:rFonts w:ascii="Arial" w:hAnsi="Arial" w:cs="Arial"/>
          <w:sz w:val="24"/>
        </w:rPr>
        <w:t>e</w:t>
      </w:r>
      <w:r w:rsidRPr="00CF661F" w:rsidR="00E31B29">
        <w:rPr>
          <w:rFonts w:ascii="Arial" w:hAnsi="Arial" w:cs="Arial"/>
          <w:sz w:val="24"/>
        </w:rPr>
        <w:t xml:space="preserve"> to write </w:t>
      </w:r>
      <w:r w:rsidRPr="00CF661F" w:rsidR="00AB4A6F">
        <w:rPr>
          <w:rFonts w:ascii="Arial" w:hAnsi="Arial" w:cs="Arial"/>
          <w:sz w:val="24"/>
        </w:rPr>
        <w:t>down</w:t>
      </w:r>
      <w:r w:rsidRPr="00CF661F" w:rsidR="00E31B29">
        <w:rPr>
          <w:rFonts w:ascii="Arial" w:hAnsi="Arial" w:cs="Arial"/>
          <w:sz w:val="24"/>
        </w:rPr>
        <w:t xml:space="preserve"> responses to</w:t>
      </w:r>
      <w:r w:rsidRPr="00CF661F" w:rsidR="007C7470">
        <w:rPr>
          <w:rFonts w:ascii="Arial" w:hAnsi="Arial" w:cs="Arial"/>
          <w:sz w:val="24"/>
        </w:rPr>
        <w:t xml:space="preserve"> the</w:t>
      </w:r>
      <w:r w:rsidRPr="00CF661F" w:rsidR="00FC66A8">
        <w:rPr>
          <w:rFonts w:ascii="Arial" w:hAnsi="Arial" w:cs="Arial"/>
          <w:sz w:val="24"/>
        </w:rPr>
        <w:t xml:space="preserve"> questionnaires</w:t>
      </w:r>
      <w:r w:rsidRPr="00CF661F">
        <w:rPr>
          <w:rFonts w:ascii="Arial" w:hAnsi="Arial" w:cs="Arial"/>
          <w:sz w:val="24"/>
        </w:rPr>
        <w:t>.</w:t>
      </w:r>
      <w:r w:rsidR="00721F5A">
        <w:rPr>
          <w:rFonts w:ascii="Arial" w:hAnsi="Arial" w:cs="Arial"/>
          <w:sz w:val="24"/>
        </w:rPr>
        <w:t xml:space="preserve"> </w:t>
      </w:r>
      <w:r w:rsidRPr="00CF661F" w:rsidR="00CD4ACF">
        <w:rPr>
          <w:rFonts w:ascii="Arial" w:hAnsi="Arial" w:cs="Arial"/>
          <w:sz w:val="24"/>
        </w:rPr>
        <w:t xml:space="preserve">In addition, </w:t>
      </w:r>
      <w:r w:rsidRPr="00CF661F" w:rsidR="009241F2">
        <w:rPr>
          <w:rFonts w:ascii="Arial" w:hAnsi="Arial" w:cs="Arial"/>
          <w:sz w:val="24"/>
        </w:rPr>
        <w:t>having</w:t>
      </w:r>
      <w:r w:rsidRPr="00CF661F" w:rsidR="00CD4ACF">
        <w:rPr>
          <w:rFonts w:ascii="Arial" w:hAnsi="Arial" w:cs="Arial"/>
          <w:sz w:val="24"/>
        </w:rPr>
        <w:t xml:space="preserve"> </w:t>
      </w:r>
      <w:r w:rsidRPr="00CF661F" w:rsidR="00426FFC">
        <w:rPr>
          <w:rFonts w:ascii="Arial" w:hAnsi="Arial" w:cs="Arial"/>
          <w:sz w:val="24"/>
        </w:rPr>
        <w:t>participants</w:t>
      </w:r>
      <w:r w:rsidRPr="00CF661F" w:rsidR="00CD4ACF">
        <w:rPr>
          <w:rFonts w:ascii="Arial" w:hAnsi="Arial" w:cs="Arial"/>
          <w:sz w:val="24"/>
        </w:rPr>
        <w:t xml:space="preserve"> respond </w:t>
      </w:r>
      <w:r w:rsidRPr="00CF661F" w:rsidR="00AB4A6F">
        <w:rPr>
          <w:rFonts w:ascii="Arial" w:hAnsi="Arial" w:cs="Arial"/>
          <w:sz w:val="24"/>
        </w:rPr>
        <w:t xml:space="preserve">to an </w:t>
      </w:r>
      <w:r w:rsidRPr="00CF661F" w:rsidR="00CD4ACF">
        <w:rPr>
          <w:rFonts w:ascii="Arial" w:hAnsi="Arial" w:cs="Arial"/>
          <w:sz w:val="24"/>
        </w:rPr>
        <w:t>online</w:t>
      </w:r>
      <w:r w:rsidRPr="00CF661F" w:rsidR="00AB4A6F">
        <w:rPr>
          <w:rFonts w:ascii="Arial" w:hAnsi="Arial" w:cs="Arial"/>
          <w:sz w:val="24"/>
        </w:rPr>
        <w:t xml:space="preserve"> survey eliminates </w:t>
      </w:r>
      <w:r w:rsidRPr="00CF661F" w:rsidR="00CD4ACF">
        <w:rPr>
          <w:rFonts w:ascii="Arial" w:hAnsi="Arial" w:cs="Arial"/>
          <w:sz w:val="24"/>
        </w:rPr>
        <w:t xml:space="preserve">the time </w:t>
      </w:r>
      <w:r w:rsidRPr="00CF661F" w:rsidR="00AB4A6F">
        <w:rPr>
          <w:rFonts w:ascii="Arial" w:hAnsi="Arial" w:cs="Arial"/>
          <w:sz w:val="24"/>
        </w:rPr>
        <w:t xml:space="preserve">needed to </w:t>
      </w:r>
      <w:r w:rsidRPr="00CF661F" w:rsidR="00CD4ACF">
        <w:rPr>
          <w:rFonts w:ascii="Arial" w:hAnsi="Arial" w:cs="Arial"/>
          <w:sz w:val="24"/>
        </w:rPr>
        <w:t>mail</w:t>
      </w:r>
      <w:r w:rsidRPr="00CF661F" w:rsidR="00AB4A6F">
        <w:rPr>
          <w:rFonts w:ascii="Arial" w:hAnsi="Arial" w:cs="Arial"/>
          <w:sz w:val="24"/>
        </w:rPr>
        <w:t xml:space="preserve"> back</w:t>
      </w:r>
      <w:r w:rsidRPr="00CF661F" w:rsidR="00CD4ACF">
        <w:rPr>
          <w:rFonts w:ascii="Arial" w:hAnsi="Arial" w:cs="Arial"/>
          <w:sz w:val="24"/>
        </w:rPr>
        <w:t xml:space="preserve"> </w:t>
      </w:r>
      <w:r w:rsidRPr="00CF661F" w:rsidR="00426FFC">
        <w:rPr>
          <w:rFonts w:ascii="Arial" w:hAnsi="Arial" w:cs="Arial"/>
          <w:sz w:val="24"/>
        </w:rPr>
        <w:t>a</w:t>
      </w:r>
      <w:r w:rsidRPr="00CF661F" w:rsidR="00CD4ACF">
        <w:rPr>
          <w:rFonts w:ascii="Arial" w:hAnsi="Arial" w:cs="Arial"/>
          <w:sz w:val="24"/>
        </w:rPr>
        <w:t xml:space="preserve"> </w:t>
      </w:r>
      <w:r w:rsidRPr="00CF661F" w:rsidR="00AB4A6F">
        <w:rPr>
          <w:rFonts w:ascii="Arial" w:hAnsi="Arial" w:cs="Arial"/>
          <w:sz w:val="24"/>
        </w:rPr>
        <w:t>paper-based</w:t>
      </w:r>
      <w:r w:rsidRPr="00CF661F" w:rsidR="00CD4ACF">
        <w:rPr>
          <w:rFonts w:ascii="Arial" w:hAnsi="Arial" w:cs="Arial"/>
          <w:sz w:val="24"/>
        </w:rPr>
        <w:t xml:space="preserve"> </w:t>
      </w:r>
      <w:r w:rsidRPr="00CF661F" w:rsidR="00E31B29">
        <w:rPr>
          <w:rFonts w:ascii="Arial" w:hAnsi="Arial" w:cs="Arial"/>
          <w:sz w:val="24"/>
        </w:rPr>
        <w:t>survey</w:t>
      </w:r>
      <w:r w:rsidRPr="00CF661F" w:rsidR="00CD4ACF">
        <w:rPr>
          <w:rFonts w:ascii="Arial" w:hAnsi="Arial" w:cs="Arial"/>
          <w:sz w:val="24"/>
        </w:rPr>
        <w:t>.</w:t>
      </w:r>
    </w:p>
    <w:p w:rsidRPr="00CF661F" w:rsidR="00BE7FBE" w:rsidP="00CD4ACF" w:rsidRDefault="00BE7FBE" w14:paraId="6FBBD45D" w14:textId="01387900">
      <w:pPr>
        <w:spacing w:before="120"/>
        <w:rPr>
          <w:rFonts w:ascii="Arial" w:hAnsi="Arial" w:cs="Arial"/>
          <w:sz w:val="24"/>
        </w:rPr>
      </w:pPr>
      <w:r w:rsidRPr="00CF661F">
        <w:rPr>
          <w:rFonts w:ascii="Arial" w:hAnsi="Arial" w:cs="Arial"/>
          <w:sz w:val="24"/>
        </w:rPr>
        <w:t>Using protected electronic data is the most secure form of data management because it eliminates the possibility of paper documents being lost or of data being lost in transit or delivered to an incorrect location.</w:t>
      </w:r>
      <w:r w:rsidR="00721F5A">
        <w:rPr>
          <w:rFonts w:ascii="Arial" w:hAnsi="Arial" w:cs="Arial"/>
          <w:sz w:val="24"/>
        </w:rPr>
        <w:t xml:space="preserve"> </w:t>
      </w:r>
      <w:r w:rsidRPr="00CF661F">
        <w:rPr>
          <w:rFonts w:ascii="Arial" w:hAnsi="Arial" w:cs="Arial"/>
          <w:sz w:val="24"/>
        </w:rPr>
        <w:t>However,</w:t>
      </w:r>
      <w:r w:rsidRPr="00CF661F" w:rsidR="00CF2103">
        <w:rPr>
          <w:rFonts w:ascii="Arial" w:hAnsi="Arial" w:cs="Arial"/>
          <w:sz w:val="24"/>
        </w:rPr>
        <w:t xml:space="preserve"> </w:t>
      </w:r>
      <w:r w:rsidRPr="00CF661F" w:rsidR="00F71A8D">
        <w:rPr>
          <w:rFonts w:ascii="Arial" w:hAnsi="Arial" w:cs="Arial"/>
          <w:sz w:val="24"/>
        </w:rPr>
        <w:t>because</w:t>
      </w:r>
      <w:r w:rsidRPr="00CF661F" w:rsidR="00CF2103">
        <w:rPr>
          <w:rFonts w:ascii="Arial" w:hAnsi="Arial" w:cs="Arial"/>
          <w:sz w:val="24"/>
        </w:rPr>
        <w:t xml:space="preserve"> </w:t>
      </w:r>
      <w:r w:rsidRPr="00CF661F">
        <w:rPr>
          <w:rFonts w:ascii="Arial" w:hAnsi="Arial" w:cs="Arial"/>
          <w:sz w:val="24"/>
        </w:rPr>
        <w:t xml:space="preserve">not all </w:t>
      </w:r>
      <w:r w:rsidRPr="00CF661F" w:rsidR="007C7470">
        <w:rPr>
          <w:rFonts w:ascii="Arial" w:hAnsi="Arial" w:cs="Arial"/>
          <w:sz w:val="24"/>
        </w:rPr>
        <w:t>respondents</w:t>
      </w:r>
      <w:r w:rsidRPr="00CF661F">
        <w:rPr>
          <w:rFonts w:ascii="Arial" w:hAnsi="Arial" w:cs="Arial"/>
          <w:sz w:val="24"/>
        </w:rPr>
        <w:t xml:space="preserve"> may </w:t>
      </w:r>
      <w:r w:rsidRPr="00CF661F" w:rsidR="00CF2103">
        <w:rPr>
          <w:rFonts w:ascii="Arial" w:hAnsi="Arial" w:cs="Arial"/>
          <w:sz w:val="24"/>
        </w:rPr>
        <w:t xml:space="preserve">prefer </w:t>
      </w:r>
      <w:r w:rsidRPr="00CF661F">
        <w:rPr>
          <w:rFonts w:ascii="Arial" w:hAnsi="Arial" w:cs="Arial"/>
          <w:sz w:val="24"/>
        </w:rPr>
        <w:t xml:space="preserve">to </w:t>
      </w:r>
      <w:r w:rsidRPr="00CF661F" w:rsidR="007C7470">
        <w:rPr>
          <w:rFonts w:ascii="Arial" w:hAnsi="Arial" w:cs="Arial"/>
          <w:sz w:val="24"/>
        </w:rPr>
        <w:t xml:space="preserve">complete </w:t>
      </w:r>
      <w:r w:rsidRPr="00CF661F" w:rsidR="00F71A8D">
        <w:rPr>
          <w:rFonts w:ascii="Arial" w:hAnsi="Arial" w:cs="Arial"/>
          <w:sz w:val="24"/>
        </w:rPr>
        <w:t>w</w:t>
      </w:r>
      <w:r w:rsidRPr="00CF661F" w:rsidR="007C7470">
        <w:rPr>
          <w:rFonts w:ascii="Arial" w:hAnsi="Arial" w:cs="Arial"/>
          <w:sz w:val="24"/>
        </w:rPr>
        <w:t>eb-based survey</w:t>
      </w:r>
      <w:r w:rsidRPr="00CF661F" w:rsidR="00F71A8D">
        <w:rPr>
          <w:rFonts w:ascii="Arial" w:hAnsi="Arial" w:cs="Arial"/>
          <w:sz w:val="24"/>
        </w:rPr>
        <w:t xml:space="preserve"> and</w:t>
      </w:r>
      <w:r w:rsidRPr="00CF661F">
        <w:rPr>
          <w:rFonts w:ascii="Arial" w:hAnsi="Arial" w:cs="Arial"/>
          <w:sz w:val="24"/>
        </w:rPr>
        <w:t xml:space="preserve"> </w:t>
      </w:r>
      <w:r w:rsidRPr="00CF661F" w:rsidR="00CF2103">
        <w:rPr>
          <w:rFonts w:ascii="Arial" w:hAnsi="Arial" w:cs="Arial"/>
          <w:sz w:val="24"/>
        </w:rPr>
        <w:t>to maximize completion rates</w:t>
      </w:r>
      <w:r w:rsidRPr="00CF661F" w:rsidR="00F71A8D">
        <w:rPr>
          <w:rFonts w:ascii="Arial" w:hAnsi="Arial" w:cs="Arial"/>
          <w:sz w:val="24"/>
        </w:rPr>
        <w:t>,</w:t>
      </w:r>
      <w:r w:rsidRPr="00CF661F" w:rsidR="00CF2103">
        <w:rPr>
          <w:rFonts w:ascii="Arial" w:hAnsi="Arial" w:cs="Arial"/>
          <w:sz w:val="24"/>
        </w:rPr>
        <w:t xml:space="preserve"> we may use alternat</w:t>
      </w:r>
      <w:r w:rsidRPr="00CF661F" w:rsidR="00F71A8D">
        <w:rPr>
          <w:rFonts w:ascii="Arial" w:hAnsi="Arial" w:cs="Arial"/>
          <w:sz w:val="24"/>
        </w:rPr>
        <w:t>iv</w:t>
      </w:r>
      <w:r w:rsidRPr="00CF661F" w:rsidR="00CF2103">
        <w:rPr>
          <w:rFonts w:ascii="Arial" w:hAnsi="Arial" w:cs="Arial"/>
          <w:sz w:val="24"/>
        </w:rPr>
        <w:t xml:space="preserve">e forms of administration (e.g., providing a </w:t>
      </w:r>
      <w:r w:rsidRPr="00CF661F" w:rsidR="004275F0">
        <w:rPr>
          <w:rFonts w:ascii="Arial" w:hAnsi="Arial" w:cs="Arial"/>
          <w:sz w:val="24"/>
        </w:rPr>
        <w:t>printable PDF</w:t>
      </w:r>
      <w:r w:rsidRPr="00CF661F" w:rsidR="00A01D7E">
        <w:rPr>
          <w:rFonts w:ascii="Arial" w:hAnsi="Arial" w:cs="Arial"/>
          <w:sz w:val="24"/>
        </w:rPr>
        <w:t xml:space="preserve"> to </w:t>
      </w:r>
      <w:r w:rsidRPr="00CF661F" w:rsidR="00426FFC">
        <w:rPr>
          <w:rFonts w:ascii="Arial" w:hAnsi="Arial" w:cs="Arial"/>
          <w:sz w:val="24"/>
        </w:rPr>
        <w:t>participant</w:t>
      </w:r>
      <w:r w:rsidRPr="00CF661F" w:rsidR="00A01D7E">
        <w:rPr>
          <w:rFonts w:ascii="Arial" w:hAnsi="Arial" w:cs="Arial"/>
          <w:sz w:val="24"/>
        </w:rPr>
        <w:t>s</w:t>
      </w:r>
      <w:r w:rsidRPr="00CF661F" w:rsidR="00CF2103">
        <w:rPr>
          <w:rFonts w:ascii="Arial" w:hAnsi="Arial" w:cs="Arial"/>
          <w:sz w:val="24"/>
        </w:rPr>
        <w:t>).</w:t>
      </w:r>
      <w:r w:rsidR="00721F5A">
        <w:rPr>
          <w:rFonts w:ascii="Arial" w:hAnsi="Arial" w:cs="Arial"/>
          <w:sz w:val="24"/>
        </w:rPr>
        <w:t xml:space="preserve"> </w:t>
      </w:r>
      <w:r w:rsidRPr="00CF661F" w:rsidR="00CF2103">
        <w:rPr>
          <w:rFonts w:ascii="Arial" w:hAnsi="Arial" w:cs="Arial"/>
          <w:sz w:val="24"/>
        </w:rPr>
        <w:t>I</w:t>
      </w:r>
      <w:r w:rsidRPr="00CF661F">
        <w:rPr>
          <w:rFonts w:ascii="Arial" w:hAnsi="Arial" w:cs="Arial"/>
          <w:sz w:val="24"/>
        </w:rPr>
        <w:t>n</w:t>
      </w:r>
      <w:r w:rsidRPr="00CF661F" w:rsidR="00CF2103">
        <w:rPr>
          <w:rFonts w:ascii="Arial" w:hAnsi="Arial" w:cs="Arial"/>
          <w:sz w:val="24"/>
        </w:rPr>
        <w:t xml:space="preserve"> this case,</w:t>
      </w:r>
      <w:r w:rsidRPr="00CF661F">
        <w:rPr>
          <w:rFonts w:ascii="Arial" w:hAnsi="Arial" w:cs="Arial"/>
          <w:sz w:val="24"/>
        </w:rPr>
        <w:t xml:space="preserve"> </w:t>
      </w:r>
      <w:r w:rsidRPr="00CF661F" w:rsidR="004275F0">
        <w:rPr>
          <w:rFonts w:ascii="Arial" w:hAnsi="Arial" w:cs="Arial"/>
          <w:sz w:val="24"/>
        </w:rPr>
        <w:t>the printable PDF surveys c</w:t>
      </w:r>
      <w:r w:rsidRPr="00CF661F" w:rsidR="00A01D7E">
        <w:rPr>
          <w:rFonts w:ascii="Arial" w:hAnsi="Arial" w:cs="Arial"/>
          <w:sz w:val="24"/>
        </w:rPr>
        <w:t>an</w:t>
      </w:r>
      <w:r w:rsidRPr="00CF661F" w:rsidR="004275F0">
        <w:rPr>
          <w:rFonts w:ascii="Arial" w:hAnsi="Arial" w:cs="Arial"/>
          <w:sz w:val="24"/>
        </w:rPr>
        <w:t xml:space="preserve"> </w:t>
      </w:r>
      <w:r w:rsidRPr="00CF661F" w:rsidR="00A01D7E">
        <w:rPr>
          <w:rFonts w:ascii="Arial" w:hAnsi="Arial" w:cs="Arial"/>
          <w:sz w:val="24"/>
        </w:rPr>
        <w:t xml:space="preserve">be </w:t>
      </w:r>
      <w:r w:rsidRPr="00CF661F" w:rsidR="004275F0">
        <w:rPr>
          <w:rFonts w:ascii="Arial" w:hAnsi="Arial" w:cs="Arial"/>
          <w:sz w:val="24"/>
        </w:rPr>
        <w:t xml:space="preserve">returned </w:t>
      </w:r>
      <w:r w:rsidRPr="00CF661F" w:rsidR="00A01D7E">
        <w:rPr>
          <w:rFonts w:ascii="Arial" w:hAnsi="Arial" w:cs="Arial"/>
          <w:sz w:val="24"/>
        </w:rPr>
        <w:t xml:space="preserve">either </w:t>
      </w:r>
      <w:r w:rsidRPr="00CF661F" w:rsidR="004275F0">
        <w:rPr>
          <w:rFonts w:ascii="Arial" w:hAnsi="Arial" w:cs="Arial"/>
          <w:sz w:val="24"/>
        </w:rPr>
        <w:t xml:space="preserve">as attachments </w:t>
      </w:r>
      <w:r w:rsidRPr="00CF661F" w:rsidR="00A01D7E">
        <w:rPr>
          <w:rFonts w:ascii="Arial" w:hAnsi="Arial" w:cs="Arial"/>
          <w:sz w:val="24"/>
        </w:rPr>
        <w:t>through</w:t>
      </w:r>
      <w:r w:rsidRPr="00CF661F" w:rsidR="004275F0">
        <w:rPr>
          <w:rFonts w:ascii="Arial" w:hAnsi="Arial" w:cs="Arial"/>
          <w:sz w:val="24"/>
        </w:rPr>
        <w:t xml:space="preserve"> encrypted emails or via mail</w:t>
      </w:r>
      <w:r w:rsidRPr="00CF661F" w:rsidR="00EB6522">
        <w:rPr>
          <w:rFonts w:ascii="Arial" w:hAnsi="Arial" w:cs="Arial"/>
          <w:sz w:val="24"/>
        </w:rPr>
        <w:t>, depending on the respondent</w:t>
      </w:r>
      <w:r w:rsidRPr="00CF661F" w:rsidR="002F7D9A">
        <w:rPr>
          <w:rFonts w:ascii="Arial" w:hAnsi="Arial" w:cs="Arial"/>
          <w:sz w:val="24"/>
        </w:rPr>
        <w:t>’</w:t>
      </w:r>
      <w:r w:rsidRPr="00CF661F" w:rsidR="00EB6522">
        <w:rPr>
          <w:rFonts w:ascii="Arial" w:hAnsi="Arial" w:cs="Arial"/>
          <w:sz w:val="24"/>
        </w:rPr>
        <w:t>s preference</w:t>
      </w:r>
      <w:r w:rsidRPr="00CF661F" w:rsidR="004275F0">
        <w:rPr>
          <w:rFonts w:ascii="Arial" w:hAnsi="Arial" w:cs="Arial"/>
          <w:sz w:val="24"/>
        </w:rPr>
        <w:t>.</w:t>
      </w:r>
      <w:r w:rsidR="00721F5A">
        <w:rPr>
          <w:rFonts w:ascii="Arial" w:hAnsi="Arial" w:cs="Arial"/>
          <w:sz w:val="24"/>
        </w:rPr>
        <w:t xml:space="preserve"> </w:t>
      </w:r>
      <w:r w:rsidRPr="00CF661F" w:rsidR="004275F0">
        <w:rPr>
          <w:rFonts w:ascii="Arial" w:hAnsi="Arial" w:cs="Arial"/>
          <w:sz w:val="24"/>
        </w:rPr>
        <w:t>A</w:t>
      </w:r>
      <w:r w:rsidRPr="00CF661F" w:rsidR="00426FFC">
        <w:rPr>
          <w:rFonts w:ascii="Arial" w:hAnsi="Arial" w:cs="Arial"/>
          <w:sz w:val="24"/>
        </w:rPr>
        <w:t>ll</w:t>
      </w:r>
      <w:r w:rsidRPr="00CF661F" w:rsidR="004275F0">
        <w:rPr>
          <w:rFonts w:ascii="Arial" w:hAnsi="Arial" w:cs="Arial"/>
          <w:sz w:val="24"/>
        </w:rPr>
        <w:t xml:space="preserve"> </w:t>
      </w:r>
      <w:r w:rsidRPr="00CF661F" w:rsidR="001709BF">
        <w:rPr>
          <w:rFonts w:ascii="Arial" w:hAnsi="Arial" w:cs="Arial"/>
          <w:sz w:val="24"/>
        </w:rPr>
        <w:t xml:space="preserve">hard </w:t>
      </w:r>
      <w:r w:rsidRPr="00CF661F">
        <w:rPr>
          <w:rFonts w:ascii="Arial" w:hAnsi="Arial" w:cs="Arial"/>
          <w:sz w:val="24"/>
        </w:rPr>
        <w:t xml:space="preserve">copies </w:t>
      </w:r>
      <w:r w:rsidRPr="00CF661F" w:rsidR="00461AA2">
        <w:rPr>
          <w:rFonts w:ascii="Arial" w:hAnsi="Arial" w:cs="Arial"/>
          <w:sz w:val="24"/>
        </w:rPr>
        <w:t xml:space="preserve">will </w:t>
      </w:r>
      <w:r w:rsidRPr="00CF661F">
        <w:rPr>
          <w:rFonts w:ascii="Arial" w:hAnsi="Arial" w:cs="Arial"/>
          <w:sz w:val="24"/>
        </w:rPr>
        <w:t>be submitted to JBS with unique alphanumeric identifiers</w:t>
      </w:r>
      <w:r w:rsidRPr="00CF661F" w:rsidR="00F71A8D">
        <w:rPr>
          <w:rFonts w:ascii="Arial" w:hAnsi="Arial" w:cs="Arial"/>
          <w:sz w:val="24"/>
        </w:rPr>
        <w:t>,</w:t>
      </w:r>
      <w:r w:rsidRPr="00CF661F">
        <w:rPr>
          <w:rFonts w:ascii="Arial" w:hAnsi="Arial" w:cs="Arial"/>
          <w:sz w:val="24"/>
        </w:rPr>
        <w:t xml:space="preserve"> and the data will be entered into the online system at JBS.</w:t>
      </w:r>
      <w:r w:rsidR="00721F5A">
        <w:rPr>
          <w:rFonts w:ascii="Arial" w:hAnsi="Arial" w:cs="Arial"/>
          <w:sz w:val="24"/>
        </w:rPr>
        <w:t xml:space="preserve"> </w:t>
      </w:r>
      <w:r w:rsidRPr="00CF661F" w:rsidR="001709BF">
        <w:rPr>
          <w:rFonts w:ascii="Arial" w:hAnsi="Arial" w:cs="Arial"/>
          <w:sz w:val="24"/>
        </w:rPr>
        <w:t xml:space="preserve">Hard </w:t>
      </w:r>
      <w:r w:rsidRPr="00CF661F">
        <w:rPr>
          <w:rFonts w:ascii="Arial" w:hAnsi="Arial" w:cs="Arial"/>
          <w:sz w:val="24"/>
        </w:rPr>
        <w:t>copies will be stored in a locked file cabinet, with no name or identifying information attach</w:t>
      </w:r>
      <w:r w:rsidRPr="00CF661F" w:rsidR="007C7470">
        <w:rPr>
          <w:rFonts w:ascii="Arial" w:hAnsi="Arial" w:cs="Arial"/>
          <w:sz w:val="24"/>
        </w:rPr>
        <w:t>ed.</w:t>
      </w:r>
    </w:p>
    <w:p w:rsidRPr="00CF661F" w:rsidR="009B3794" w:rsidP="00B354FC" w:rsidRDefault="009B3794" w14:paraId="5B97270D" w14:textId="764F620E">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 xml:space="preserve">Efforts </w:t>
      </w:r>
      <w:r w:rsidRPr="00CF661F" w:rsidR="00F71A8D">
        <w:rPr>
          <w:rFonts w:ascii="Arial" w:hAnsi="Arial" w:cs="Arial"/>
          <w:b/>
          <w:sz w:val="24"/>
          <w:u w:val="single"/>
        </w:rPr>
        <w:t>T</w:t>
      </w:r>
      <w:r w:rsidRPr="00CF661F">
        <w:rPr>
          <w:rFonts w:ascii="Arial" w:hAnsi="Arial" w:cs="Arial"/>
          <w:b/>
          <w:sz w:val="24"/>
          <w:u w:val="single"/>
        </w:rPr>
        <w:t>o Identify Duplication and Use of Similar Information</w:t>
      </w:r>
    </w:p>
    <w:p w:rsidRPr="00CF661F" w:rsidR="002F34BF" w:rsidP="00CA3DA6" w:rsidRDefault="00706205" w14:paraId="216BFAF9" w14:textId="74593A72">
      <w:pPr>
        <w:spacing w:before="120"/>
        <w:rPr>
          <w:rFonts w:ascii="Arial" w:hAnsi="Arial" w:cs="Arial"/>
          <w:sz w:val="24"/>
        </w:rPr>
      </w:pPr>
      <w:r w:rsidRPr="00CF661F">
        <w:rPr>
          <w:rFonts w:ascii="Arial" w:hAnsi="Arial" w:cs="Arial"/>
          <w:sz w:val="24"/>
        </w:rPr>
        <w:t>There have been no prior studies or evaluations of HRSA MCHB PMHCA and MDRBD progr</w:t>
      </w:r>
      <w:r w:rsidR="00D321F2">
        <w:rPr>
          <w:rFonts w:ascii="Arial" w:hAnsi="Arial" w:cs="Arial"/>
          <w:sz w:val="24"/>
        </w:rPr>
        <w:t>ams among any study population.</w:t>
      </w:r>
      <w:r w:rsidR="00721F5A">
        <w:rPr>
          <w:rFonts w:ascii="Arial" w:hAnsi="Arial" w:cs="Arial"/>
          <w:sz w:val="24"/>
        </w:rPr>
        <w:t xml:space="preserve"> </w:t>
      </w:r>
      <w:r w:rsidRPr="00CF661F" w:rsidR="00234C53">
        <w:rPr>
          <w:rFonts w:ascii="Arial" w:hAnsi="Arial" w:cs="Arial"/>
          <w:sz w:val="24"/>
        </w:rPr>
        <w:t>The</w:t>
      </w:r>
      <w:r w:rsidRPr="00CF661F">
        <w:rPr>
          <w:rFonts w:ascii="Arial" w:hAnsi="Arial" w:cs="Arial"/>
          <w:sz w:val="24"/>
        </w:rPr>
        <w:t xml:space="preserve"> lack of evaluative studies is</w:t>
      </w:r>
      <w:r w:rsidRPr="00CF661F" w:rsidR="00234C53">
        <w:rPr>
          <w:rFonts w:ascii="Arial" w:hAnsi="Arial" w:cs="Arial"/>
          <w:sz w:val="24"/>
        </w:rPr>
        <w:t xml:space="preserve"> due to the</w:t>
      </w:r>
      <w:r w:rsidRPr="00CF661F">
        <w:rPr>
          <w:rFonts w:ascii="Arial" w:hAnsi="Arial" w:cs="Arial"/>
          <w:sz w:val="24"/>
        </w:rPr>
        <w:t xml:space="preserve"> </w:t>
      </w:r>
      <w:r w:rsidRPr="00CF661F" w:rsidR="000C7D82">
        <w:rPr>
          <w:rFonts w:ascii="Arial" w:hAnsi="Arial" w:cs="Arial"/>
          <w:sz w:val="24"/>
        </w:rPr>
        <w:t xml:space="preserve">Cures Act legislation </w:t>
      </w:r>
      <w:r w:rsidR="00FC5A71">
        <w:rPr>
          <w:rFonts w:ascii="Arial" w:hAnsi="Arial" w:cs="Arial"/>
          <w:sz w:val="24"/>
        </w:rPr>
        <w:t xml:space="preserve">having </w:t>
      </w:r>
      <w:r w:rsidRPr="00CF661F" w:rsidR="000C7D82">
        <w:rPr>
          <w:rFonts w:ascii="Arial" w:hAnsi="Arial" w:cs="Arial"/>
          <w:sz w:val="24"/>
        </w:rPr>
        <w:t>authorized these programs in 2016 and the first</w:t>
      </w:r>
      <w:r w:rsidRPr="00CF661F">
        <w:rPr>
          <w:rFonts w:ascii="Arial" w:hAnsi="Arial" w:cs="Arial"/>
          <w:sz w:val="24"/>
        </w:rPr>
        <w:t xml:space="preserve"> cooperative agreement programs </w:t>
      </w:r>
      <w:r w:rsidR="00FC5A71">
        <w:rPr>
          <w:rFonts w:ascii="Arial" w:hAnsi="Arial" w:cs="Arial"/>
          <w:sz w:val="24"/>
        </w:rPr>
        <w:t>having been</w:t>
      </w:r>
      <w:r w:rsidRPr="00CF661F" w:rsidR="00FC5A71">
        <w:rPr>
          <w:rFonts w:ascii="Arial" w:hAnsi="Arial" w:cs="Arial"/>
          <w:sz w:val="24"/>
        </w:rPr>
        <w:t xml:space="preserve"> </w:t>
      </w:r>
      <w:r w:rsidRPr="00CF661F">
        <w:rPr>
          <w:rFonts w:ascii="Arial" w:hAnsi="Arial" w:cs="Arial"/>
          <w:sz w:val="24"/>
        </w:rPr>
        <w:t xml:space="preserve">funded starting in </w:t>
      </w:r>
      <w:r w:rsidRPr="00CF661F" w:rsidR="00F71A8D">
        <w:rPr>
          <w:rFonts w:ascii="Arial" w:hAnsi="Arial" w:cs="Arial"/>
          <w:sz w:val="24"/>
        </w:rPr>
        <w:t>f</w:t>
      </w:r>
      <w:r w:rsidRPr="00CF661F">
        <w:rPr>
          <w:rFonts w:ascii="Arial" w:hAnsi="Arial" w:cs="Arial"/>
          <w:sz w:val="24"/>
        </w:rPr>
        <w:t xml:space="preserve">iscal </w:t>
      </w:r>
      <w:r w:rsidRPr="00CF661F" w:rsidR="00F71A8D">
        <w:rPr>
          <w:rFonts w:ascii="Arial" w:hAnsi="Arial" w:cs="Arial"/>
          <w:sz w:val="24"/>
        </w:rPr>
        <w:t>y</w:t>
      </w:r>
      <w:r w:rsidRPr="00CF661F">
        <w:rPr>
          <w:rFonts w:ascii="Arial" w:hAnsi="Arial" w:cs="Arial"/>
          <w:sz w:val="24"/>
        </w:rPr>
        <w:t>ear 2018</w:t>
      </w:r>
      <w:r w:rsidRPr="00CF661F" w:rsidR="0074545D">
        <w:rPr>
          <w:rFonts w:ascii="Arial" w:hAnsi="Arial" w:cs="Arial"/>
          <w:sz w:val="24"/>
        </w:rPr>
        <w:t>.</w:t>
      </w:r>
      <w:r w:rsidR="00721F5A">
        <w:rPr>
          <w:rFonts w:ascii="Arial" w:hAnsi="Arial" w:cs="Arial"/>
          <w:sz w:val="24"/>
        </w:rPr>
        <w:t xml:space="preserve"> </w:t>
      </w:r>
      <w:r w:rsidRPr="00CF661F" w:rsidR="002F34BF">
        <w:rPr>
          <w:rFonts w:ascii="Arial" w:hAnsi="Arial" w:cs="Arial"/>
          <w:sz w:val="24"/>
        </w:rPr>
        <w:t xml:space="preserve">Because HRSA MCHB PMHCA and MDRBD cooperative agreement-funded programs have not yet been evaluated, there is no similar </w:t>
      </w:r>
      <w:r w:rsidRPr="00CF661F" w:rsidR="007464AB">
        <w:rPr>
          <w:rFonts w:ascii="Arial" w:hAnsi="Arial" w:cs="Arial"/>
          <w:sz w:val="24"/>
        </w:rPr>
        <w:t xml:space="preserve">or existing </w:t>
      </w:r>
      <w:r w:rsidRPr="00CF661F" w:rsidR="002F34BF">
        <w:rPr>
          <w:rFonts w:ascii="Arial" w:hAnsi="Arial" w:cs="Arial"/>
          <w:sz w:val="24"/>
        </w:rPr>
        <w:t>information available o</w:t>
      </w:r>
      <w:r w:rsidRPr="00CF661F" w:rsidR="00426FFC">
        <w:rPr>
          <w:rFonts w:ascii="Arial" w:hAnsi="Arial" w:cs="Arial"/>
          <w:sz w:val="24"/>
        </w:rPr>
        <w:t>n</w:t>
      </w:r>
      <w:r w:rsidRPr="00CF661F" w:rsidR="002F34BF">
        <w:rPr>
          <w:rFonts w:ascii="Arial" w:hAnsi="Arial" w:cs="Arial"/>
          <w:sz w:val="24"/>
        </w:rPr>
        <w:t xml:space="preserve"> th</w:t>
      </w:r>
      <w:r w:rsidRPr="00CF661F" w:rsidR="007464AB">
        <w:rPr>
          <w:rFonts w:ascii="Arial" w:hAnsi="Arial" w:cs="Arial"/>
          <w:sz w:val="24"/>
        </w:rPr>
        <w:t>ese</w:t>
      </w:r>
      <w:r w:rsidRPr="00CF661F" w:rsidR="002F34BF">
        <w:rPr>
          <w:rFonts w:ascii="Arial" w:hAnsi="Arial" w:cs="Arial"/>
          <w:sz w:val="24"/>
        </w:rPr>
        <w:t xml:space="preserve"> pro</w:t>
      </w:r>
      <w:r w:rsidRPr="00CF661F" w:rsidR="007464AB">
        <w:rPr>
          <w:rFonts w:ascii="Arial" w:hAnsi="Arial" w:cs="Arial"/>
          <w:sz w:val="24"/>
        </w:rPr>
        <w:t>grams</w:t>
      </w:r>
      <w:r w:rsidRPr="00CF661F" w:rsidR="00F71A8D">
        <w:rPr>
          <w:rFonts w:ascii="Arial" w:hAnsi="Arial" w:cs="Arial"/>
          <w:sz w:val="24"/>
        </w:rPr>
        <w:t>;</w:t>
      </w:r>
      <w:r w:rsidRPr="00CF661F" w:rsidR="002F34BF">
        <w:rPr>
          <w:rFonts w:ascii="Arial" w:hAnsi="Arial" w:cs="Arial"/>
          <w:sz w:val="24"/>
        </w:rPr>
        <w:t xml:space="preserve"> hence</w:t>
      </w:r>
      <w:r w:rsidRPr="00CF661F" w:rsidR="00F71A8D">
        <w:rPr>
          <w:rFonts w:ascii="Arial" w:hAnsi="Arial" w:cs="Arial"/>
          <w:sz w:val="24"/>
        </w:rPr>
        <w:t>,</w:t>
      </w:r>
      <w:r w:rsidRPr="00CF661F" w:rsidR="002F34BF">
        <w:rPr>
          <w:rFonts w:ascii="Arial" w:hAnsi="Arial" w:cs="Arial"/>
          <w:sz w:val="24"/>
        </w:rPr>
        <w:t xml:space="preserve"> there is no duplication of effort</w:t>
      </w:r>
      <w:r w:rsidRPr="00CF661F" w:rsidR="00A3724A">
        <w:rPr>
          <w:rFonts w:ascii="Arial" w:hAnsi="Arial" w:cs="Arial"/>
          <w:sz w:val="24"/>
        </w:rPr>
        <w:t>s</w:t>
      </w:r>
      <w:r w:rsidRPr="00CF661F" w:rsidR="002F34BF">
        <w:rPr>
          <w:rFonts w:ascii="Arial" w:hAnsi="Arial" w:cs="Arial"/>
          <w:sz w:val="24"/>
        </w:rPr>
        <w:t>.</w:t>
      </w:r>
      <w:r w:rsidR="00721F5A">
        <w:rPr>
          <w:rFonts w:ascii="Arial" w:hAnsi="Arial" w:cs="Arial"/>
          <w:sz w:val="24"/>
        </w:rPr>
        <w:t xml:space="preserve"> </w:t>
      </w:r>
      <w:r w:rsidRPr="00CF661F" w:rsidR="002F34BF">
        <w:rPr>
          <w:rFonts w:ascii="Arial" w:hAnsi="Arial" w:cs="Arial"/>
          <w:sz w:val="24"/>
        </w:rPr>
        <w:t>No other bureaus or agencies are currently evaluating the programs.</w:t>
      </w:r>
    </w:p>
    <w:p w:rsidRPr="00CF661F" w:rsidR="009B065E" w:rsidP="00CA3DA6" w:rsidRDefault="009B065E" w14:paraId="33E79C8C" w14:textId="139063AE">
      <w:pPr>
        <w:spacing w:before="120"/>
        <w:rPr>
          <w:rFonts w:ascii="Arial" w:hAnsi="Arial" w:cs="Arial"/>
          <w:sz w:val="24"/>
        </w:rPr>
      </w:pPr>
      <w:r w:rsidRPr="00CF661F">
        <w:rPr>
          <w:rFonts w:ascii="Arial" w:hAnsi="Arial" w:cs="Arial"/>
          <w:sz w:val="24"/>
        </w:rPr>
        <w:lastRenderedPageBreak/>
        <w:t xml:space="preserve">In addition, there is no duplication of information within this evaluation because the data collection surveys and </w:t>
      </w:r>
      <w:r w:rsidRPr="00CF661F" w:rsidR="00E02D11">
        <w:rPr>
          <w:rFonts w:ascii="Arial" w:hAnsi="Arial" w:cs="Arial"/>
          <w:sz w:val="24"/>
        </w:rPr>
        <w:t>SSI</w:t>
      </w:r>
      <w:r w:rsidRPr="00CF661F">
        <w:rPr>
          <w:rFonts w:ascii="Arial" w:hAnsi="Arial" w:cs="Arial"/>
          <w:sz w:val="24"/>
        </w:rPr>
        <w:t xml:space="preserve"> guide were d</w:t>
      </w:r>
      <w:r w:rsidRPr="00CF661F" w:rsidR="00E35393">
        <w:rPr>
          <w:rFonts w:ascii="Arial" w:hAnsi="Arial" w:cs="Arial"/>
          <w:sz w:val="24"/>
        </w:rPr>
        <w:t>eveloped while taking into account th</w:t>
      </w:r>
      <w:r w:rsidRPr="00CF661F" w:rsidR="00F71A8D">
        <w:rPr>
          <w:rFonts w:ascii="Arial" w:hAnsi="Arial" w:cs="Arial"/>
          <w:sz w:val="24"/>
        </w:rPr>
        <w:t>at</w:t>
      </w:r>
      <w:r w:rsidRPr="00CF661F" w:rsidR="00E35393">
        <w:rPr>
          <w:rFonts w:ascii="Arial" w:hAnsi="Arial" w:cs="Arial"/>
          <w:sz w:val="24"/>
        </w:rPr>
        <w:t xml:space="preserve"> data awardees are required to report to HRSA based on their cooperative agreements.</w:t>
      </w:r>
      <w:r w:rsidR="00721F5A">
        <w:rPr>
          <w:rFonts w:ascii="Arial" w:hAnsi="Arial" w:cs="Arial"/>
          <w:sz w:val="24"/>
        </w:rPr>
        <w:t xml:space="preserve"> </w:t>
      </w:r>
      <w:r w:rsidRPr="00CF661F" w:rsidR="00E35393">
        <w:rPr>
          <w:rFonts w:ascii="Arial" w:hAnsi="Arial" w:cs="Arial"/>
          <w:sz w:val="24"/>
        </w:rPr>
        <w:t>All potential data items were mapped to the evaluation questions to ensure no duplication of information and to reduce participant burden.</w:t>
      </w:r>
    </w:p>
    <w:p w:rsidRPr="00CF661F" w:rsidR="009B3794" w:rsidP="00B354FC" w:rsidRDefault="009B3794" w14:paraId="5B97270F" w14:textId="77777777">
      <w:pPr>
        <w:numPr>
          <w:ilvl w:val="0"/>
          <w:numId w:val="1"/>
        </w:numPr>
        <w:tabs>
          <w:tab w:val="clear" w:pos="1080"/>
          <w:tab w:val="num" w:pos="360"/>
        </w:tabs>
        <w:spacing w:before="240"/>
        <w:ind w:left="360"/>
        <w:rPr>
          <w:rFonts w:ascii="Arial" w:hAnsi="Arial" w:cs="Arial"/>
          <w:color w:val="000000"/>
          <w:sz w:val="24"/>
        </w:rPr>
      </w:pPr>
      <w:r w:rsidRPr="00CF661F">
        <w:rPr>
          <w:rFonts w:ascii="Arial" w:hAnsi="Arial" w:cs="Arial"/>
          <w:b/>
          <w:sz w:val="24"/>
          <w:u w:val="single"/>
        </w:rPr>
        <w:t>Impact on Small Businesses or Other Small Entities</w:t>
      </w:r>
    </w:p>
    <w:p w:rsidR="00D321F2" w:rsidP="000E4426" w:rsidRDefault="009111CB" w14:paraId="1A738F47" w14:textId="7B27DD6F">
      <w:pPr>
        <w:spacing w:before="120"/>
        <w:rPr>
          <w:rFonts w:ascii="Arial" w:hAnsi="Arial" w:cs="Arial"/>
          <w:sz w:val="24"/>
        </w:rPr>
      </w:pPr>
      <w:r w:rsidRPr="00CF661F">
        <w:rPr>
          <w:rFonts w:ascii="Arial" w:hAnsi="Arial" w:cs="Arial"/>
          <w:sz w:val="24"/>
        </w:rPr>
        <w:t>Physicians</w:t>
      </w:r>
      <w:r w:rsidRPr="00CF661F" w:rsidR="00BE2861">
        <w:rPr>
          <w:rFonts w:ascii="Arial" w:hAnsi="Arial" w:cs="Arial"/>
          <w:sz w:val="24"/>
        </w:rPr>
        <w:t>, as part of participating health care providers (see section A-12</w:t>
      </w:r>
      <w:r w:rsidRPr="00CF661F" w:rsidR="004728AD">
        <w:rPr>
          <w:rFonts w:ascii="Arial" w:hAnsi="Arial" w:cs="Arial"/>
          <w:sz w:val="24"/>
        </w:rPr>
        <w:t xml:space="preserve"> for additional information</w:t>
      </w:r>
      <w:r w:rsidRPr="00CF661F" w:rsidR="00BE2861">
        <w:rPr>
          <w:rFonts w:ascii="Arial" w:hAnsi="Arial" w:cs="Arial"/>
          <w:sz w:val="24"/>
        </w:rPr>
        <w:t>),</w:t>
      </w:r>
      <w:r w:rsidRPr="00CF661F">
        <w:rPr>
          <w:rFonts w:ascii="Arial" w:hAnsi="Arial" w:cs="Arial"/>
          <w:sz w:val="24"/>
        </w:rPr>
        <w:t xml:space="preserve"> </w:t>
      </w:r>
      <w:r w:rsidRPr="00CF661F" w:rsidR="00670D9B">
        <w:rPr>
          <w:rFonts w:ascii="Arial" w:hAnsi="Arial" w:cs="Arial"/>
          <w:sz w:val="24"/>
        </w:rPr>
        <w:t xml:space="preserve">and participating practices </w:t>
      </w:r>
      <w:r w:rsidRPr="00CF661F">
        <w:rPr>
          <w:rFonts w:ascii="Arial" w:hAnsi="Arial" w:cs="Arial"/>
          <w:sz w:val="24"/>
        </w:rPr>
        <w:t>are included in the data collection efforts</w:t>
      </w:r>
      <w:r w:rsidRPr="00CF661F" w:rsidR="00E161C2">
        <w:rPr>
          <w:rFonts w:ascii="Arial" w:hAnsi="Arial" w:cs="Arial"/>
          <w:sz w:val="24"/>
        </w:rPr>
        <w:t xml:space="preserve"> (e.g., survey</w:t>
      </w:r>
      <w:r w:rsidRPr="00CF661F" w:rsidR="006C5983">
        <w:rPr>
          <w:rFonts w:ascii="Arial" w:hAnsi="Arial" w:cs="Arial"/>
          <w:sz w:val="24"/>
        </w:rPr>
        <w:t>s</w:t>
      </w:r>
      <w:r w:rsidRPr="00CF661F" w:rsidR="00E161C2">
        <w:rPr>
          <w:rFonts w:ascii="Arial" w:hAnsi="Arial" w:cs="Arial"/>
          <w:sz w:val="24"/>
        </w:rPr>
        <w:t>)</w:t>
      </w:r>
      <w:r w:rsidRPr="00CF661F">
        <w:rPr>
          <w:rFonts w:ascii="Arial" w:hAnsi="Arial" w:cs="Arial"/>
          <w:sz w:val="24"/>
        </w:rPr>
        <w:t xml:space="preserve"> for this evaluation.</w:t>
      </w:r>
      <w:r w:rsidR="00721F5A">
        <w:rPr>
          <w:rFonts w:ascii="Arial" w:hAnsi="Arial" w:cs="Arial"/>
          <w:sz w:val="24"/>
        </w:rPr>
        <w:t xml:space="preserve"> </w:t>
      </w:r>
      <w:r w:rsidRPr="00CF661F">
        <w:rPr>
          <w:rFonts w:ascii="Arial" w:hAnsi="Arial" w:cs="Arial"/>
          <w:sz w:val="24"/>
        </w:rPr>
        <w:t>Although a portion</w:t>
      </w:r>
      <w:r w:rsidRPr="00CF661F" w:rsidR="008232A9">
        <w:rPr>
          <w:rFonts w:ascii="Arial" w:hAnsi="Arial" w:cs="Arial"/>
          <w:sz w:val="24"/>
        </w:rPr>
        <w:t xml:space="preserve"> of physicians</w:t>
      </w:r>
      <w:r w:rsidRPr="00CF661F">
        <w:rPr>
          <w:rFonts w:ascii="Arial" w:hAnsi="Arial" w:cs="Arial"/>
          <w:sz w:val="24"/>
        </w:rPr>
        <w:t xml:space="preserve"> may be employed by large hospitals or health systems, none of which are considered small businesses, some may be in a private practice or practice in small groups of physicians.</w:t>
      </w:r>
      <w:r w:rsidR="00721F5A">
        <w:rPr>
          <w:rFonts w:ascii="Arial" w:hAnsi="Arial" w:cs="Arial"/>
          <w:sz w:val="24"/>
        </w:rPr>
        <w:t xml:space="preserve"> </w:t>
      </w:r>
      <w:r w:rsidRPr="00CF661F" w:rsidR="0037233B">
        <w:rPr>
          <w:rFonts w:ascii="Arial" w:hAnsi="Arial" w:cs="Arial"/>
          <w:sz w:val="24"/>
        </w:rPr>
        <w:t>Similarly, some participating practices may be part of large systems and</w:t>
      </w:r>
      <w:r w:rsidRPr="00CF661F" w:rsidR="00F71A8D">
        <w:rPr>
          <w:rFonts w:ascii="Arial" w:hAnsi="Arial" w:cs="Arial"/>
          <w:sz w:val="24"/>
        </w:rPr>
        <w:t>,</w:t>
      </w:r>
      <w:r w:rsidRPr="00CF661F" w:rsidR="0037233B">
        <w:rPr>
          <w:rFonts w:ascii="Arial" w:hAnsi="Arial" w:cs="Arial"/>
          <w:sz w:val="24"/>
        </w:rPr>
        <w:t xml:space="preserve"> therefore</w:t>
      </w:r>
      <w:r w:rsidRPr="00CF661F" w:rsidR="00F71A8D">
        <w:rPr>
          <w:rFonts w:ascii="Arial" w:hAnsi="Arial" w:cs="Arial"/>
          <w:sz w:val="24"/>
        </w:rPr>
        <w:t>, are</w:t>
      </w:r>
      <w:r w:rsidRPr="00CF661F" w:rsidR="0037233B">
        <w:rPr>
          <w:rFonts w:ascii="Arial" w:hAnsi="Arial" w:cs="Arial"/>
          <w:sz w:val="24"/>
        </w:rPr>
        <w:t xml:space="preserve"> not considered small business</w:t>
      </w:r>
      <w:r w:rsidRPr="00CF661F" w:rsidR="004A1DA5">
        <w:rPr>
          <w:rFonts w:ascii="Arial" w:hAnsi="Arial" w:cs="Arial"/>
          <w:sz w:val="24"/>
        </w:rPr>
        <w:t>es</w:t>
      </w:r>
      <w:r w:rsidRPr="00CF661F" w:rsidR="0037233B">
        <w:rPr>
          <w:rFonts w:ascii="Arial" w:hAnsi="Arial" w:cs="Arial"/>
          <w:sz w:val="24"/>
        </w:rPr>
        <w:t>, wh</w:t>
      </w:r>
      <w:r w:rsidRPr="00CF661F" w:rsidR="00F71A8D">
        <w:rPr>
          <w:rFonts w:ascii="Arial" w:hAnsi="Arial" w:cs="Arial"/>
          <w:sz w:val="24"/>
        </w:rPr>
        <w:t>ereas</w:t>
      </w:r>
      <w:r w:rsidRPr="00CF661F" w:rsidR="0037233B">
        <w:rPr>
          <w:rFonts w:ascii="Arial" w:hAnsi="Arial" w:cs="Arial"/>
          <w:sz w:val="24"/>
        </w:rPr>
        <w:t xml:space="preserve"> others may be private practices. </w:t>
      </w:r>
      <w:r w:rsidRPr="00CF661F" w:rsidR="000E4426">
        <w:rPr>
          <w:rFonts w:ascii="Arial" w:hAnsi="Arial" w:cs="Arial"/>
          <w:sz w:val="24"/>
        </w:rPr>
        <w:t xml:space="preserve">Information collection for </w:t>
      </w:r>
    </w:p>
    <w:p w:rsidR="00D321F2" w:rsidP="000E4426" w:rsidRDefault="00D321F2" w14:paraId="32E23654" w14:textId="77777777">
      <w:pPr>
        <w:spacing w:before="120"/>
        <w:rPr>
          <w:rFonts w:ascii="Arial" w:hAnsi="Arial" w:cs="Arial"/>
          <w:sz w:val="24"/>
        </w:rPr>
      </w:pPr>
    </w:p>
    <w:p w:rsidRPr="00CF661F" w:rsidR="000E4426" w:rsidP="000E4426" w:rsidRDefault="000E4426" w14:paraId="0A9CB534" w14:textId="0EBAE4A5">
      <w:pPr>
        <w:spacing w:before="120"/>
        <w:rPr>
          <w:rFonts w:ascii="Arial" w:hAnsi="Arial" w:cs="Arial"/>
          <w:sz w:val="24"/>
        </w:rPr>
      </w:pPr>
      <w:r w:rsidRPr="00CF661F">
        <w:rPr>
          <w:rFonts w:ascii="Arial" w:hAnsi="Arial" w:cs="Arial"/>
          <w:sz w:val="24"/>
        </w:rPr>
        <w:t xml:space="preserve">this </w:t>
      </w:r>
      <w:r w:rsidRPr="00CF661F" w:rsidR="00087950">
        <w:rPr>
          <w:rFonts w:ascii="Arial" w:hAnsi="Arial" w:cs="Arial"/>
          <w:sz w:val="24"/>
        </w:rPr>
        <w:t>evaluation</w:t>
      </w:r>
      <w:r w:rsidRPr="00CF661F">
        <w:rPr>
          <w:rFonts w:ascii="Arial" w:hAnsi="Arial" w:cs="Arial"/>
          <w:sz w:val="24"/>
        </w:rPr>
        <w:t xml:space="preserve"> is not anticipated to have a significant impact on </w:t>
      </w:r>
      <w:r w:rsidRPr="00CF661F" w:rsidR="00087950">
        <w:rPr>
          <w:rFonts w:ascii="Arial" w:hAnsi="Arial" w:cs="Arial"/>
          <w:sz w:val="24"/>
        </w:rPr>
        <w:t>physicians</w:t>
      </w:r>
      <w:r w:rsidRPr="00CF661F">
        <w:rPr>
          <w:rFonts w:ascii="Arial" w:hAnsi="Arial" w:cs="Arial"/>
          <w:sz w:val="24"/>
        </w:rPr>
        <w:t xml:space="preserve"> or </w:t>
      </w:r>
      <w:r w:rsidRPr="00CF661F" w:rsidR="002E76BF">
        <w:rPr>
          <w:rFonts w:ascii="Arial" w:hAnsi="Arial" w:cs="Arial"/>
          <w:sz w:val="24"/>
        </w:rPr>
        <w:t xml:space="preserve">their </w:t>
      </w:r>
      <w:r w:rsidRPr="00CF661F">
        <w:rPr>
          <w:rFonts w:ascii="Arial" w:hAnsi="Arial" w:cs="Arial"/>
          <w:sz w:val="24"/>
        </w:rPr>
        <w:t xml:space="preserve">practices. </w:t>
      </w:r>
    </w:p>
    <w:p w:rsidRPr="00CF661F" w:rsidR="009111CB" w:rsidP="008F55CB" w:rsidRDefault="000E4426" w14:paraId="78EDF6DD" w14:textId="23A5FEB2">
      <w:pPr>
        <w:spacing w:before="120"/>
        <w:rPr>
          <w:rFonts w:ascii="Arial" w:hAnsi="Arial" w:cs="Arial"/>
          <w:sz w:val="24"/>
        </w:rPr>
      </w:pPr>
      <w:r w:rsidRPr="00CF661F">
        <w:rPr>
          <w:rFonts w:ascii="Arial" w:hAnsi="Arial" w:cs="Arial"/>
          <w:sz w:val="24"/>
        </w:rPr>
        <w:t xml:space="preserve">The information to be obtained from </w:t>
      </w:r>
      <w:r w:rsidRPr="00CF661F" w:rsidR="00E161C2">
        <w:rPr>
          <w:rFonts w:ascii="Arial" w:hAnsi="Arial" w:cs="Arial"/>
          <w:sz w:val="24"/>
        </w:rPr>
        <w:t>physicians</w:t>
      </w:r>
      <w:r w:rsidRPr="00CF661F" w:rsidR="006C5983">
        <w:rPr>
          <w:rFonts w:ascii="Arial" w:hAnsi="Arial" w:cs="Arial"/>
          <w:sz w:val="24"/>
        </w:rPr>
        <w:t xml:space="preserve"> and participating practices</w:t>
      </w:r>
      <w:r w:rsidRPr="00CF661F">
        <w:rPr>
          <w:rFonts w:ascii="Arial" w:hAnsi="Arial" w:cs="Arial"/>
          <w:sz w:val="24"/>
        </w:rPr>
        <w:t xml:space="preserve"> </w:t>
      </w:r>
      <w:r w:rsidRPr="00CF661F" w:rsidR="008F55CB">
        <w:rPr>
          <w:rFonts w:ascii="Arial" w:hAnsi="Arial" w:cs="Arial"/>
          <w:sz w:val="24"/>
        </w:rPr>
        <w:t xml:space="preserve">is the minimum required for the intended use of the data and </w:t>
      </w:r>
      <w:r w:rsidRPr="00CF661F">
        <w:rPr>
          <w:rFonts w:ascii="Arial" w:hAnsi="Arial" w:cs="Arial"/>
          <w:sz w:val="24"/>
        </w:rPr>
        <w:t>to achieve the objectives of the evaluation; however, completion of survey instruments will likely induce</w:t>
      </w:r>
      <w:r w:rsidRPr="00CF661F" w:rsidR="008F55CB">
        <w:rPr>
          <w:rFonts w:ascii="Arial" w:hAnsi="Arial" w:cs="Arial"/>
          <w:sz w:val="24"/>
        </w:rPr>
        <w:t xml:space="preserve"> minimum</w:t>
      </w:r>
      <w:r w:rsidR="00D321F2">
        <w:rPr>
          <w:rFonts w:ascii="Arial" w:hAnsi="Arial" w:cs="Arial"/>
          <w:sz w:val="24"/>
        </w:rPr>
        <w:t xml:space="preserve"> burden.</w:t>
      </w:r>
      <w:r w:rsidR="00721F5A">
        <w:rPr>
          <w:rFonts w:ascii="Arial" w:hAnsi="Arial" w:cs="Arial"/>
          <w:sz w:val="24"/>
        </w:rPr>
        <w:t xml:space="preserve"> </w:t>
      </w:r>
      <w:r w:rsidRPr="00CF661F">
        <w:rPr>
          <w:rFonts w:ascii="Arial" w:hAnsi="Arial" w:cs="Arial"/>
          <w:sz w:val="24"/>
        </w:rPr>
        <w:t>To reduce this burden,</w:t>
      </w:r>
      <w:r w:rsidRPr="00CF661F" w:rsidR="008F55CB">
        <w:rPr>
          <w:rFonts w:ascii="Arial" w:hAnsi="Arial" w:cs="Arial"/>
          <w:sz w:val="24"/>
        </w:rPr>
        <w:t xml:space="preserve"> the survey</w:t>
      </w:r>
      <w:r w:rsidRPr="00CF661F" w:rsidR="006C5983">
        <w:rPr>
          <w:rFonts w:ascii="Arial" w:hAnsi="Arial" w:cs="Arial"/>
          <w:sz w:val="24"/>
        </w:rPr>
        <w:t>s</w:t>
      </w:r>
      <w:r w:rsidRPr="00CF661F" w:rsidR="008F55CB">
        <w:rPr>
          <w:rFonts w:ascii="Arial" w:hAnsi="Arial" w:cs="Arial"/>
          <w:sz w:val="24"/>
        </w:rPr>
        <w:t xml:space="preserve"> ha</w:t>
      </w:r>
      <w:r w:rsidRPr="00CF661F" w:rsidR="006C5983">
        <w:rPr>
          <w:rFonts w:ascii="Arial" w:hAnsi="Arial" w:cs="Arial"/>
          <w:sz w:val="24"/>
        </w:rPr>
        <w:t>ve</w:t>
      </w:r>
      <w:r w:rsidRPr="00CF661F" w:rsidR="008F55CB">
        <w:rPr>
          <w:rFonts w:ascii="Arial" w:hAnsi="Arial" w:cs="Arial"/>
          <w:sz w:val="24"/>
        </w:rPr>
        <w:t xml:space="preserve"> been </w:t>
      </w:r>
      <w:r w:rsidRPr="00CF661F" w:rsidR="008232A9">
        <w:rPr>
          <w:rFonts w:ascii="Arial" w:hAnsi="Arial" w:cs="Arial"/>
          <w:sz w:val="24"/>
        </w:rPr>
        <w:t>developed to be</w:t>
      </w:r>
      <w:r w:rsidRPr="00CF661F" w:rsidR="008F55CB">
        <w:rPr>
          <w:rFonts w:ascii="Arial" w:hAnsi="Arial" w:cs="Arial"/>
          <w:sz w:val="24"/>
        </w:rPr>
        <w:t xml:space="preserve"> as short as possible</w:t>
      </w:r>
      <w:r w:rsidRPr="00CF661F" w:rsidR="008232A9">
        <w:rPr>
          <w:rFonts w:ascii="Arial" w:hAnsi="Arial" w:cs="Arial"/>
          <w:sz w:val="24"/>
        </w:rPr>
        <w:t>, while still collecting necessary data,</w:t>
      </w:r>
      <w:r w:rsidRPr="00CF661F" w:rsidR="008F55CB">
        <w:rPr>
          <w:rFonts w:ascii="Arial" w:hAnsi="Arial" w:cs="Arial"/>
          <w:sz w:val="24"/>
        </w:rPr>
        <w:t xml:space="preserve"> and</w:t>
      </w:r>
      <w:r w:rsidRPr="00CF661F">
        <w:rPr>
          <w:rFonts w:ascii="Arial" w:hAnsi="Arial" w:cs="Arial"/>
          <w:sz w:val="24"/>
        </w:rPr>
        <w:t xml:space="preserve"> attempt</w:t>
      </w:r>
      <w:r w:rsidRPr="00CF661F" w:rsidR="008F55CB">
        <w:rPr>
          <w:rFonts w:ascii="Arial" w:hAnsi="Arial" w:cs="Arial"/>
          <w:sz w:val="24"/>
        </w:rPr>
        <w:t>s</w:t>
      </w:r>
      <w:r w:rsidRPr="00CF661F">
        <w:rPr>
          <w:rFonts w:ascii="Arial" w:hAnsi="Arial" w:cs="Arial"/>
          <w:sz w:val="24"/>
        </w:rPr>
        <w:t xml:space="preserve"> </w:t>
      </w:r>
      <w:r w:rsidRPr="00CF661F" w:rsidR="008F55CB">
        <w:rPr>
          <w:rFonts w:ascii="Arial" w:hAnsi="Arial" w:cs="Arial"/>
          <w:sz w:val="24"/>
        </w:rPr>
        <w:t>have been</w:t>
      </w:r>
      <w:r w:rsidRPr="00CF661F">
        <w:rPr>
          <w:rFonts w:ascii="Arial" w:hAnsi="Arial" w:cs="Arial"/>
          <w:sz w:val="24"/>
        </w:rPr>
        <w:t xml:space="preserve"> made to move respondents quickly through questions</w:t>
      </w:r>
      <w:r w:rsidRPr="00CF661F" w:rsidR="008F55CB">
        <w:rPr>
          <w:rFonts w:ascii="Arial" w:hAnsi="Arial" w:cs="Arial"/>
          <w:sz w:val="24"/>
        </w:rPr>
        <w:t>.</w:t>
      </w:r>
      <w:r w:rsidR="00721F5A">
        <w:rPr>
          <w:rFonts w:ascii="Arial" w:hAnsi="Arial" w:cs="Arial"/>
          <w:sz w:val="24"/>
        </w:rPr>
        <w:t xml:space="preserve"> </w:t>
      </w:r>
      <w:r w:rsidRPr="00CF661F" w:rsidR="008F55CB">
        <w:rPr>
          <w:rFonts w:ascii="Arial" w:hAnsi="Arial" w:cs="Arial"/>
          <w:sz w:val="24"/>
        </w:rPr>
        <w:t xml:space="preserve">For example, skip patterns </w:t>
      </w:r>
      <w:r w:rsidRPr="00CF661F" w:rsidR="006C5983">
        <w:rPr>
          <w:rFonts w:ascii="Arial" w:hAnsi="Arial" w:cs="Arial"/>
          <w:sz w:val="24"/>
        </w:rPr>
        <w:t xml:space="preserve">have been added </w:t>
      </w:r>
      <w:r w:rsidRPr="00CF661F" w:rsidR="008F55CB">
        <w:rPr>
          <w:rFonts w:ascii="Arial" w:hAnsi="Arial" w:cs="Arial"/>
          <w:sz w:val="24"/>
        </w:rPr>
        <w:t>to the survey</w:t>
      </w:r>
      <w:r w:rsidRPr="00CF661F" w:rsidR="006C5983">
        <w:rPr>
          <w:rFonts w:ascii="Arial" w:hAnsi="Arial" w:cs="Arial"/>
          <w:sz w:val="24"/>
        </w:rPr>
        <w:t>s</w:t>
      </w:r>
      <w:r w:rsidRPr="00CF661F" w:rsidR="008F55CB">
        <w:rPr>
          <w:rFonts w:ascii="Arial" w:hAnsi="Arial" w:cs="Arial"/>
          <w:sz w:val="24"/>
        </w:rPr>
        <w:t xml:space="preserve"> so respondents do not need to answer questions that may not be relevant to them.</w:t>
      </w:r>
      <w:r w:rsidRPr="00CF661F" w:rsidR="006C5983">
        <w:rPr>
          <w:rFonts w:ascii="Arial" w:hAnsi="Arial" w:cs="Arial"/>
          <w:sz w:val="24"/>
        </w:rPr>
        <w:t xml:space="preserve"> </w:t>
      </w:r>
    </w:p>
    <w:p w:rsidRPr="00CF661F" w:rsidR="009B3794" w:rsidP="00B354FC" w:rsidRDefault="009B3794" w14:paraId="5B972715" w14:textId="74DE167A">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Consequences of Collecting the Information Less Frequent</w:t>
      </w:r>
      <w:r w:rsidRPr="00CF661F" w:rsidR="001325B2">
        <w:rPr>
          <w:rFonts w:ascii="Arial" w:hAnsi="Arial" w:cs="Arial"/>
          <w:b/>
          <w:sz w:val="24"/>
          <w:u w:val="single"/>
        </w:rPr>
        <w:t>ly</w:t>
      </w:r>
    </w:p>
    <w:p w:rsidRPr="00CF661F" w:rsidR="00A67A94" w:rsidP="00A67A94" w:rsidRDefault="00A67A94" w14:paraId="7187B40C" w14:textId="5F46448C">
      <w:pPr>
        <w:widowControl/>
        <w:autoSpaceDE/>
        <w:autoSpaceDN/>
        <w:adjustRightInd/>
        <w:spacing w:before="120"/>
        <w:rPr>
          <w:rFonts w:ascii="Arial" w:hAnsi="Arial" w:cs="Arial"/>
          <w:sz w:val="24"/>
        </w:rPr>
      </w:pPr>
      <w:r w:rsidRPr="00CF661F">
        <w:rPr>
          <w:rFonts w:ascii="Arial" w:hAnsi="Arial" w:cs="Arial"/>
          <w:sz w:val="24"/>
        </w:rPr>
        <w:t xml:space="preserve">As noted above in Section A.2., the collection of these data is critical to assessing </w:t>
      </w:r>
      <w:r w:rsidRPr="00CF661F" w:rsidR="00321B04">
        <w:rPr>
          <w:rFonts w:ascii="Arial" w:hAnsi="Arial" w:cs="Arial"/>
          <w:sz w:val="24"/>
        </w:rPr>
        <w:t>the efforts of awardee programs to achieve key outcomes; measuring whether and to what extent awardee programs are associated with changes in these key outcomes; and examining changes over time, within a state and/or across PMH</w:t>
      </w:r>
      <w:r w:rsidRPr="00CF661F" w:rsidR="00225DAD">
        <w:rPr>
          <w:rFonts w:ascii="Arial" w:hAnsi="Arial" w:cs="Arial"/>
          <w:sz w:val="24"/>
        </w:rPr>
        <w:t>C</w:t>
      </w:r>
      <w:r w:rsidRPr="00CF661F" w:rsidR="00321B04">
        <w:rPr>
          <w:rFonts w:ascii="Arial" w:hAnsi="Arial" w:cs="Arial"/>
          <w:sz w:val="24"/>
        </w:rPr>
        <w:t>A and MDRBD programs, with regard to evaluation variables of interest</w:t>
      </w:r>
      <w:r w:rsidRPr="00CF661F">
        <w:rPr>
          <w:rFonts w:ascii="Arial" w:hAnsi="Arial" w:cs="Arial"/>
          <w:sz w:val="24"/>
        </w:rPr>
        <w:t>.</w:t>
      </w:r>
      <w:r w:rsidR="00721F5A">
        <w:rPr>
          <w:rFonts w:ascii="Arial" w:hAnsi="Arial" w:cs="Arial"/>
          <w:sz w:val="24"/>
        </w:rPr>
        <w:t xml:space="preserve"> </w:t>
      </w:r>
      <w:r w:rsidRPr="00CF661F">
        <w:rPr>
          <w:rFonts w:ascii="Arial" w:hAnsi="Arial" w:cs="Arial"/>
          <w:sz w:val="24"/>
        </w:rPr>
        <w:t xml:space="preserve">The frequency of data collection as specified below is held to the minimum necessary to meet the needs of the evaluation goals and objectives. </w:t>
      </w:r>
    </w:p>
    <w:p w:rsidRPr="00CF661F" w:rsidR="00A67A94" w:rsidP="00A67A94" w:rsidRDefault="00A67A94" w14:paraId="7E1328EA" w14:textId="5ACA1C36">
      <w:pPr>
        <w:widowControl/>
        <w:autoSpaceDE/>
        <w:autoSpaceDN/>
        <w:adjustRightInd/>
        <w:spacing w:before="120"/>
        <w:rPr>
          <w:rFonts w:ascii="Arial" w:hAnsi="Arial" w:cs="Arial"/>
          <w:sz w:val="24"/>
        </w:rPr>
      </w:pPr>
      <w:r w:rsidRPr="00CF661F">
        <w:rPr>
          <w:rFonts w:ascii="Arial" w:hAnsi="Arial" w:cs="Arial"/>
          <w:b/>
          <w:bCs/>
          <w:sz w:val="24"/>
        </w:rPr>
        <w:t>HCP Surveys.</w:t>
      </w:r>
      <w:r w:rsidR="00721F5A">
        <w:rPr>
          <w:rFonts w:ascii="Arial" w:hAnsi="Arial" w:cs="Arial"/>
          <w:b/>
          <w:bCs/>
          <w:sz w:val="24"/>
        </w:rPr>
        <w:t xml:space="preserve"> </w:t>
      </w:r>
      <w:r w:rsidRPr="00CF661F" w:rsidR="00A75EC8">
        <w:rPr>
          <w:rFonts w:ascii="Arial" w:hAnsi="Arial" w:cs="Arial"/>
          <w:sz w:val="24"/>
        </w:rPr>
        <w:t>HCP</w:t>
      </w:r>
      <w:r w:rsidRPr="00CF661F">
        <w:rPr>
          <w:rFonts w:ascii="Arial" w:hAnsi="Arial" w:cs="Arial"/>
          <w:sz w:val="24"/>
        </w:rPr>
        <w:t xml:space="preserve"> Surveys will be administered annually to health care providers enrolled in PMHCA and MDRBD programs with anticipated data collection in 2020, 2021, and 2022.</w:t>
      </w:r>
      <w:r w:rsidR="00721F5A">
        <w:rPr>
          <w:rFonts w:ascii="Arial" w:hAnsi="Arial" w:cs="Arial"/>
          <w:sz w:val="24"/>
        </w:rPr>
        <w:t xml:space="preserve"> </w:t>
      </w:r>
      <w:r w:rsidRPr="00CF661F">
        <w:rPr>
          <w:rFonts w:ascii="Arial" w:hAnsi="Arial" w:cs="Arial"/>
          <w:sz w:val="24"/>
        </w:rPr>
        <w:t>Annual HCP Survey administration will allow for data collection from all potential</w:t>
      </w:r>
      <w:r w:rsidRPr="00CF661F" w:rsidR="00796ED6">
        <w:rPr>
          <w:rFonts w:ascii="Arial" w:hAnsi="Arial" w:cs="Arial"/>
          <w:sz w:val="24"/>
        </w:rPr>
        <w:t>ly</w:t>
      </w:r>
      <w:r w:rsidRPr="00CF661F">
        <w:rPr>
          <w:rFonts w:ascii="Arial" w:hAnsi="Arial" w:cs="Arial"/>
          <w:sz w:val="24"/>
        </w:rPr>
        <w:t xml:space="preserve"> enrolled health care providers</w:t>
      </w:r>
      <w:r w:rsidRPr="00CF661F" w:rsidR="00796ED6">
        <w:rPr>
          <w:rFonts w:ascii="Arial" w:hAnsi="Arial" w:cs="Arial"/>
          <w:sz w:val="24"/>
        </w:rPr>
        <w:t xml:space="preserve"> because</w:t>
      </w:r>
      <w:r w:rsidRPr="00CF661F">
        <w:rPr>
          <w:rFonts w:ascii="Arial" w:hAnsi="Arial" w:cs="Arial"/>
          <w:sz w:val="24"/>
        </w:rPr>
        <w:t xml:space="preserve"> health care providers may enroll in PMHCA and MDRBD programs on a rolling basis</w:t>
      </w:r>
      <w:r w:rsidRPr="00CF661F" w:rsidR="00A75EC8">
        <w:rPr>
          <w:rFonts w:ascii="Arial" w:hAnsi="Arial" w:cs="Arial"/>
          <w:sz w:val="24"/>
        </w:rPr>
        <w:t>.</w:t>
      </w:r>
      <w:r w:rsidR="00721F5A">
        <w:rPr>
          <w:rFonts w:ascii="Arial" w:hAnsi="Arial" w:cs="Arial"/>
          <w:sz w:val="24"/>
        </w:rPr>
        <w:t xml:space="preserve"> </w:t>
      </w:r>
      <w:r w:rsidRPr="00CF661F" w:rsidR="00A75EC8">
        <w:rPr>
          <w:rFonts w:ascii="Arial" w:hAnsi="Arial" w:cs="Arial"/>
          <w:sz w:val="24"/>
        </w:rPr>
        <w:t xml:space="preserve">Annual HCP Survey administration will also allow for </w:t>
      </w:r>
      <w:r w:rsidRPr="00CF661F">
        <w:rPr>
          <w:rFonts w:ascii="Arial" w:hAnsi="Arial" w:cs="Arial"/>
          <w:sz w:val="24"/>
        </w:rPr>
        <w:t xml:space="preserve">examination of changes over time in </w:t>
      </w:r>
      <w:r w:rsidRPr="00CF661F" w:rsidR="00321B04">
        <w:rPr>
          <w:rFonts w:ascii="Arial" w:hAnsi="Arial" w:cs="Arial"/>
          <w:sz w:val="24"/>
        </w:rPr>
        <w:t xml:space="preserve">behavioral health capacity and </w:t>
      </w:r>
      <w:r w:rsidRPr="00CF661F" w:rsidR="00796ED6">
        <w:rPr>
          <w:rFonts w:ascii="Arial" w:hAnsi="Arial" w:cs="Arial"/>
          <w:sz w:val="24"/>
        </w:rPr>
        <w:t xml:space="preserve">in </w:t>
      </w:r>
      <w:r w:rsidRPr="00CF661F" w:rsidR="00321B04">
        <w:rPr>
          <w:rFonts w:ascii="Arial" w:hAnsi="Arial" w:cs="Arial"/>
          <w:sz w:val="24"/>
        </w:rPr>
        <w:lastRenderedPageBreak/>
        <w:t xml:space="preserve">screening, assessment, and treatment of behavioral health conditions </w:t>
      </w:r>
      <w:r w:rsidRPr="00CF661F">
        <w:rPr>
          <w:rFonts w:ascii="Arial" w:hAnsi="Arial" w:cs="Arial"/>
          <w:sz w:val="24"/>
        </w:rPr>
        <w:t xml:space="preserve">for health care providers who complete the survey more than one time. </w:t>
      </w:r>
    </w:p>
    <w:p w:rsidRPr="00CF661F" w:rsidR="00A67A94" w:rsidP="00A67A94" w:rsidRDefault="00A67A94" w14:paraId="4015A340" w14:textId="69D79AB4">
      <w:pPr>
        <w:widowControl/>
        <w:autoSpaceDE/>
        <w:autoSpaceDN/>
        <w:adjustRightInd/>
        <w:spacing w:before="120"/>
        <w:rPr>
          <w:rFonts w:ascii="Arial" w:hAnsi="Arial" w:cs="Arial"/>
          <w:sz w:val="24"/>
        </w:rPr>
      </w:pPr>
      <w:r w:rsidRPr="00CF661F">
        <w:rPr>
          <w:rFonts w:ascii="Arial" w:hAnsi="Arial" w:cs="Arial"/>
          <w:b/>
          <w:bCs/>
          <w:sz w:val="24"/>
        </w:rPr>
        <w:t>Practice-level Surveys.</w:t>
      </w:r>
      <w:r w:rsidR="00721F5A">
        <w:rPr>
          <w:rFonts w:ascii="Arial" w:hAnsi="Arial" w:cs="Arial"/>
          <w:b/>
          <w:bCs/>
          <w:sz w:val="24"/>
        </w:rPr>
        <w:t xml:space="preserve"> </w:t>
      </w:r>
      <w:r w:rsidRPr="00CF661F">
        <w:rPr>
          <w:rFonts w:ascii="Arial" w:hAnsi="Arial" w:cs="Arial"/>
          <w:sz w:val="24"/>
        </w:rPr>
        <w:t>Practice-level Surveys will be administered annually to practice managers for practices enrolled in PMHCA and MDRBD programs with anticipated data collection in 2020, 2021, and 2022.</w:t>
      </w:r>
      <w:r w:rsidR="00721F5A">
        <w:rPr>
          <w:rFonts w:ascii="Arial" w:hAnsi="Arial" w:cs="Arial"/>
          <w:sz w:val="24"/>
        </w:rPr>
        <w:t xml:space="preserve"> </w:t>
      </w:r>
      <w:r w:rsidRPr="00CF661F">
        <w:rPr>
          <w:rFonts w:ascii="Arial" w:hAnsi="Arial" w:cs="Arial"/>
          <w:sz w:val="24"/>
        </w:rPr>
        <w:t>Annual Practice-level Survey administration will allow for data collection from all potential</w:t>
      </w:r>
      <w:r w:rsidRPr="00CF661F" w:rsidR="00796ED6">
        <w:rPr>
          <w:rFonts w:ascii="Arial" w:hAnsi="Arial" w:cs="Arial"/>
          <w:sz w:val="24"/>
        </w:rPr>
        <w:t>ly</w:t>
      </w:r>
      <w:r w:rsidRPr="00CF661F">
        <w:rPr>
          <w:rFonts w:ascii="Arial" w:hAnsi="Arial" w:cs="Arial"/>
          <w:sz w:val="24"/>
        </w:rPr>
        <w:t xml:space="preserve"> enrolled practices </w:t>
      </w:r>
      <w:r w:rsidRPr="00CF661F" w:rsidR="00796ED6">
        <w:rPr>
          <w:rFonts w:ascii="Arial" w:hAnsi="Arial" w:cs="Arial"/>
          <w:sz w:val="24"/>
        </w:rPr>
        <w:t xml:space="preserve">because </w:t>
      </w:r>
      <w:r w:rsidRPr="00CF661F">
        <w:rPr>
          <w:rFonts w:ascii="Arial" w:hAnsi="Arial" w:cs="Arial"/>
          <w:sz w:val="24"/>
        </w:rPr>
        <w:t>practices may enroll in PMHCA and MDRBD programs on a rolling basis</w:t>
      </w:r>
      <w:r w:rsidRPr="00CF661F" w:rsidR="00A75EC8">
        <w:rPr>
          <w:rFonts w:ascii="Arial" w:hAnsi="Arial" w:cs="Arial"/>
          <w:sz w:val="24"/>
        </w:rPr>
        <w:t xml:space="preserve">. Annual Practice-level Survey administration will also allow for </w:t>
      </w:r>
      <w:r w:rsidRPr="00CF661F">
        <w:rPr>
          <w:rFonts w:ascii="Arial" w:hAnsi="Arial" w:cs="Arial"/>
          <w:sz w:val="24"/>
        </w:rPr>
        <w:t xml:space="preserve">examination of changes over time in </w:t>
      </w:r>
      <w:r w:rsidRPr="00CF661F" w:rsidR="00321B04">
        <w:rPr>
          <w:rFonts w:ascii="Arial" w:hAnsi="Arial" w:cs="Arial"/>
          <w:sz w:val="24"/>
        </w:rPr>
        <w:t>behavioral health services</w:t>
      </w:r>
      <w:r w:rsidRPr="00CF661F" w:rsidR="00796ED6">
        <w:rPr>
          <w:rFonts w:ascii="Arial" w:hAnsi="Arial" w:cs="Arial"/>
          <w:sz w:val="24"/>
        </w:rPr>
        <w:t>,</w:t>
      </w:r>
      <w:r w:rsidRPr="00CF661F" w:rsidR="00321B04">
        <w:rPr>
          <w:rFonts w:ascii="Arial" w:hAnsi="Arial" w:cs="Arial"/>
          <w:sz w:val="24"/>
        </w:rPr>
        <w:t xml:space="preserve"> practice behavioral health capacity</w:t>
      </w:r>
      <w:r w:rsidRPr="00CF661F" w:rsidR="00796ED6">
        <w:rPr>
          <w:rFonts w:ascii="Arial" w:hAnsi="Arial" w:cs="Arial"/>
          <w:sz w:val="24"/>
        </w:rPr>
        <w:t>,</w:t>
      </w:r>
      <w:r w:rsidRPr="00CF661F" w:rsidR="00321B04">
        <w:rPr>
          <w:rFonts w:ascii="Arial" w:hAnsi="Arial" w:cs="Arial"/>
          <w:sz w:val="24"/>
        </w:rPr>
        <w:t xml:space="preserve"> community linkages</w:t>
      </w:r>
      <w:r w:rsidRPr="00CF661F" w:rsidR="00796ED6">
        <w:rPr>
          <w:rFonts w:ascii="Arial" w:hAnsi="Arial" w:cs="Arial"/>
          <w:sz w:val="24"/>
        </w:rPr>
        <w:t>,</w:t>
      </w:r>
      <w:r w:rsidRPr="00CF661F" w:rsidR="00321B04">
        <w:rPr>
          <w:rFonts w:ascii="Arial" w:hAnsi="Arial" w:cs="Arial"/>
          <w:sz w:val="24"/>
        </w:rPr>
        <w:t xml:space="preserve"> practice operations</w:t>
      </w:r>
      <w:r w:rsidRPr="00CF661F" w:rsidR="00796ED6">
        <w:rPr>
          <w:rFonts w:ascii="Arial" w:hAnsi="Arial" w:cs="Arial"/>
          <w:sz w:val="24"/>
        </w:rPr>
        <w:t>,</w:t>
      </w:r>
      <w:r w:rsidRPr="00CF661F" w:rsidR="00321B04">
        <w:rPr>
          <w:rFonts w:ascii="Arial" w:hAnsi="Arial" w:cs="Arial"/>
          <w:sz w:val="24"/>
        </w:rPr>
        <w:t xml:space="preserve"> and staff training</w:t>
      </w:r>
      <w:r w:rsidRPr="00CF661F">
        <w:rPr>
          <w:rFonts w:ascii="Arial" w:hAnsi="Arial" w:cs="Arial"/>
          <w:sz w:val="24"/>
        </w:rPr>
        <w:t xml:space="preserve"> for practices that complete the survey more than one time.</w:t>
      </w:r>
    </w:p>
    <w:p w:rsidR="00D321F2" w:rsidP="00D321F2" w:rsidRDefault="00D321F2" w14:paraId="64A40FED" w14:textId="77777777">
      <w:pPr>
        <w:widowControl/>
        <w:autoSpaceDE/>
        <w:autoSpaceDN/>
        <w:adjustRightInd/>
        <w:rPr>
          <w:rFonts w:ascii="Arial" w:hAnsi="Arial" w:cs="Arial"/>
          <w:b/>
          <w:bCs/>
          <w:sz w:val="24"/>
        </w:rPr>
      </w:pPr>
    </w:p>
    <w:p w:rsidR="00D321F2" w:rsidP="00D321F2" w:rsidRDefault="00A67A94" w14:paraId="12B04F1E" w14:textId="0F605408">
      <w:pPr>
        <w:widowControl/>
        <w:autoSpaceDE/>
        <w:autoSpaceDN/>
        <w:adjustRightInd/>
        <w:rPr>
          <w:rFonts w:ascii="Arial" w:hAnsi="Arial" w:cs="Arial"/>
          <w:sz w:val="24"/>
        </w:rPr>
      </w:pPr>
      <w:r w:rsidRPr="00CF661F">
        <w:rPr>
          <w:rFonts w:ascii="Arial" w:hAnsi="Arial" w:cs="Arial"/>
          <w:b/>
          <w:bCs/>
          <w:sz w:val="24"/>
        </w:rPr>
        <w:t>Program Implementation Surveys.</w:t>
      </w:r>
      <w:r w:rsidR="00721F5A">
        <w:rPr>
          <w:rFonts w:ascii="Arial" w:hAnsi="Arial" w:cs="Arial"/>
          <w:b/>
          <w:bCs/>
          <w:sz w:val="24"/>
        </w:rPr>
        <w:t xml:space="preserve"> </w:t>
      </w:r>
      <w:r w:rsidRPr="00CF661F">
        <w:rPr>
          <w:rFonts w:ascii="Arial" w:hAnsi="Arial" w:cs="Arial"/>
          <w:sz w:val="24"/>
        </w:rPr>
        <w:t xml:space="preserve">Program Implementation Surveys will be administered annually to </w:t>
      </w:r>
      <w:r w:rsidRPr="00CF661F" w:rsidR="00796ED6">
        <w:rPr>
          <w:rFonts w:ascii="Arial" w:hAnsi="Arial" w:cs="Arial"/>
          <w:sz w:val="24"/>
        </w:rPr>
        <w:t>p</w:t>
      </w:r>
      <w:r w:rsidRPr="00CF661F">
        <w:rPr>
          <w:rFonts w:ascii="Arial" w:hAnsi="Arial" w:cs="Arial"/>
          <w:sz w:val="24"/>
        </w:rPr>
        <w:t xml:space="preserve">roject </w:t>
      </w:r>
      <w:r w:rsidRPr="00CF661F" w:rsidR="00796ED6">
        <w:rPr>
          <w:rFonts w:ascii="Arial" w:hAnsi="Arial" w:cs="Arial"/>
          <w:sz w:val="24"/>
        </w:rPr>
        <w:t>d</w:t>
      </w:r>
      <w:r w:rsidRPr="00CF661F">
        <w:rPr>
          <w:rFonts w:ascii="Arial" w:hAnsi="Arial" w:cs="Arial"/>
          <w:sz w:val="24"/>
        </w:rPr>
        <w:t>irectors/</w:t>
      </w:r>
      <w:r w:rsidRPr="00CF661F" w:rsidR="00796ED6">
        <w:rPr>
          <w:rFonts w:ascii="Arial" w:hAnsi="Arial" w:cs="Arial"/>
          <w:sz w:val="24"/>
        </w:rPr>
        <w:t>p</w:t>
      </w:r>
      <w:r w:rsidRPr="00CF661F">
        <w:rPr>
          <w:rFonts w:ascii="Arial" w:hAnsi="Arial" w:cs="Arial"/>
          <w:sz w:val="24"/>
        </w:rPr>
        <w:t xml:space="preserve">rincipal </w:t>
      </w:r>
      <w:r w:rsidRPr="00CF661F" w:rsidR="00796ED6">
        <w:rPr>
          <w:rFonts w:ascii="Arial" w:hAnsi="Arial" w:cs="Arial"/>
          <w:sz w:val="24"/>
        </w:rPr>
        <w:t>i</w:t>
      </w:r>
      <w:r w:rsidRPr="00CF661F">
        <w:rPr>
          <w:rFonts w:ascii="Arial" w:hAnsi="Arial" w:cs="Arial"/>
          <w:sz w:val="24"/>
        </w:rPr>
        <w:t xml:space="preserve">nvestigators from each of the 28 PMHCA and MDRBD </w:t>
      </w:r>
      <w:r w:rsidRPr="00CF661F" w:rsidR="00F45E63">
        <w:rPr>
          <w:rFonts w:ascii="Arial" w:hAnsi="Arial" w:cs="Arial"/>
          <w:sz w:val="24"/>
        </w:rPr>
        <w:t xml:space="preserve">state </w:t>
      </w:r>
      <w:r w:rsidRPr="00CF661F">
        <w:rPr>
          <w:rFonts w:ascii="Arial" w:hAnsi="Arial" w:cs="Arial"/>
          <w:sz w:val="24"/>
        </w:rPr>
        <w:t xml:space="preserve">awardees with anticipated data collection in 2020, 2021, </w:t>
      </w:r>
    </w:p>
    <w:p w:rsidRPr="00CF661F" w:rsidR="00A67A94" w:rsidP="00D321F2" w:rsidRDefault="00A67A94" w14:paraId="1924AD09" w14:textId="5B98E748">
      <w:pPr>
        <w:widowControl/>
        <w:autoSpaceDE/>
        <w:autoSpaceDN/>
        <w:adjustRightInd/>
        <w:rPr>
          <w:rFonts w:ascii="Arial" w:hAnsi="Arial" w:cs="Arial"/>
          <w:sz w:val="24"/>
        </w:rPr>
      </w:pPr>
      <w:r w:rsidRPr="00CF661F">
        <w:rPr>
          <w:rFonts w:ascii="Arial" w:hAnsi="Arial" w:cs="Arial"/>
          <w:sz w:val="24"/>
        </w:rPr>
        <w:t>and 2022).</w:t>
      </w:r>
      <w:r w:rsidR="00721F5A">
        <w:rPr>
          <w:rFonts w:ascii="Arial" w:hAnsi="Arial" w:cs="Arial"/>
          <w:sz w:val="24"/>
        </w:rPr>
        <w:t xml:space="preserve"> </w:t>
      </w:r>
      <w:r w:rsidRPr="00CF661F">
        <w:rPr>
          <w:rFonts w:ascii="Arial" w:hAnsi="Arial" w:cs="Arial"/>
          <w:sz w:val="24"/>
        </w:rPr>
        <w:t xml:space="preserve">Program Implementation Survey data will be collected annually to allow for examination </w:t>
      </w:r>
      <w:r w:rsidRPr="00CF661F" w:rsidR="00796ED6">
        <w:rPr>
          <w:rFonts w:ascii="Arial" w:hAnsi="Arial" w:cs="Arial"/>
          <w:sz w:val="24"/>
        </w:rPr>
        <w:t xml:space="preserve">of </w:t>
      </w:r>
      <w:r w:rsidRPr="00CF661F">
        <w:rPr>
          <w:rFonts w:ascii="Arial" w:hAnsi="Arial" w:cs="Arial"/>
          <w:sz w:val="24"/>
        </w:rPr>
        <w:t xml:space="preserve">changes in </w:t>
      </w:r>
      <w:r w:rsidRPr="00CF661F" w:rsidR="00321B04">
        <w:rPr>
          <w:rFonts w:ascii="Arial" w:hAnsi="Arial" w:cs="Arial"/>
          <w:sz w:val="24"/>
        </w:rPr>
        <w:t>health care provider/practice recruitment and enrollment</w:t>
      </w:r>
      <w:r w:rsidRPr="00CF661F" w:rsidR="00796ED6">
        <w:rPr>
          <w:rFonts w:ascii="Arial" w:hAnsi="Arial" w:cs="Arial"/>
          <w:sz w:val="24"/>
        </w:rPr>
        <w:t>,</w:t>
      </w:r>
      <w:r w:rsidRPr="00CF661F" w:rsidR="00321B04">
        <w:rPr>
          <w:rFonts w:ascii="Arial" w:hAnsi="Arial" w:cs="Arial"/>
          <w:sz w:val="24"/>
        </w:rPr>
        <w:t xml:space="preserve"> health care provider training</w:t>
      </w:r>
      <w:r w:rsidRPr="00CF661F" w:rsidR="00796ED6">
        <w:rPr>
          <w:rFonts w:ascii="Arial" w:hAnsi="Arial" w:cs="Arial"/>
          <w:sz w:val="24"/>
        </w:rPr>
        <w:t>,</w:t>
      </w:r>
      <w:r w:rsidRPr="00CF661F" w:rsidR="00321B04">
        <w:rPr>
          <w:rFonts w:ascii="Arial" w:hAnsi="Arial" w:cs="Arial"/>
          <w:sz w:val="24"/>
        </w:rPr>
        <w:t xml:space="preserve"> clinical behavioral health consultation</w:t>
      </w:r>
      <w:r w:rsidRPr="00CF661F" w:rsidR="00796ED6">
        <w:rPr>
          <w:rFonts w:ascii="Arial" w:hAnsi="Arial" w:cs="Arial"/>
          <w:sz w:val="24"/>
        </w:rPr>
        <w:t>,</w:t>
      </w:r>
      <w:r w:rsidRPr="00CF661F" w:rsidR="00321B04">
        <w:rPr>
          <w:rFonts w:ascii="Arial" w:hAnsi="Arial" w:cs="Arial"/>
          <w:sz w:val="24"/>
        </w:rPr>
        <w:t xml:space="preserve"> care coordination support</w:t>
      </w:r>
      <w:r w:rsidRPr="00CF661F" w:rsidR="00796ED6">
        <w:rPr>
          <w:rFonts w:ascii="Arial" w:hAnsi="Arial" w:cs="Arial"/>
          <w:sz w:val="24"/>
        </w:rPr>
        <w:t>,</w:t>
      </w:r>
      <w:r w:rsidRPr="00CF661F" w:rsidR="00321B04">
        <w:rPr>
          <w:rFonts w:ascii="Arial" w:hAnsi="Arial" w:cs="Arial"/>
          <w:sz w:val="24"/>
        </w:rPr>
        <w:t xml:space="preserve"> community linkages</w:t>
      </w:r>
      <w:r w:rsidRPr="00CF661F" w:rsidR="00796ED6">
        <w:rPr>
          <w:rFonts w:ascii="Arial" w:hAnsi="Arial" w:cs="Arial"/>
          <w:sz w:val="24"/>
        </w:rPr>
        <w:t>,</w:t>
      </w:r>
      <w:r w:rsidRPr="00CF661F" w:rsidR="00321B04">
        <w:rPr>
          <w:rFonts w:ascii="Arial" w:hAnsi="Arial" w:cs="Arial"/>
          <w:sz w:val="24"/>
        </w:rPr>
        <w:t xml:space="preserve"> program outreach and dissemination</w:t>
      </w:r>
      <w:r w:rsidRPr="00CF661F" w:rsidR="00796ED6">
        <w:rPr>
          <w:rFonts w:ascii="Arial" w:hAnsi="Arial" w:cs="Arial"/>
          <w:sz w:val="24"/>
        </w:rPr>
        <w:t>,</w:t>
      </w:r>
      <w:r w:rsidRPr="00CF661F" w:rsidR="00321B04">
        <w:rPr>
          <w:rFonts w:ascii="Arial" w:hAnsi="Arial" w:cs="Arial"/>
          <w:sz w:val="24"/>
        </w:rPr>
        <w:t xml:space="preserve"> and sustainability</w:t>
      </w:r>
      <w:r w:rsidRPr="00CF661F">
        <w:rPr>
          <w:rFonts w:ascii="Arial" w:hAnsi="Arial" w:cs="Arial"/>
          <w:sz w:val="24"/>
        </w:rPr>
        <w:t>.</w:t>
      </w:r>
    </w:p>
    <w:p w:rsidRPr="00CF661F" w:rsidR="00A67A94" w:rsidP="00A67A94" w:rsidRDefault="00A67A94" w14:paraId="2F0F037E" w14:textId="3E989FD6">
      <w:pPr>
        <w:widowControl/>
        <w:autoSpaceDE/>
        <w:autoSpaceDN/>
        <w:adjustRightInd/>
        <w:spacing w:before="120"/>
        <w:rPr>
          <w:rFonts w:ascii="Arial" w:hAnsi="Arial" w:cs="Arial"/>
          <w:sz w:val="24"/>
        </w:rPr>
      </w:pPr>
      <w:r w:rsidRPr="00CF661F">
        <w:rPr>
          <w:rFonts w:ascii="Arial" w:hAnsi="Arial" w:cs="Arial"/>
          <w:b/>
          <w:bCs/>
          <w:sz w:val="24"/>
        </w:rPr>
        <w:t>Program Implementation Semi-Structured Interviews.</w:t>
      </w:r>
      <w:r w:rsidR="00721F5A">
        <w:rPr>
          <w:rFonts w:ascii="Arial" w:hAnsi="Arial" w:cs="Arial"/>
          <w:sz w:val="24"/>
        </w:rPr>
        <w:t xml:space="preserve"> </w:t>
      </w:r>
      <w:r w:rsidRPr="00CF661F">
        <w:rPr>
          <w:rFonts w:ascii="Arial" w:hAnsi="Arial" w:cs="Arial"/>
          <w:sz w:val="24"/>
        </w:rPr>
        <w:t>S</w:t>
      </w:r>
      <w:r w:rsidRPr="00CF661F" w:rsidR="00E02D11">
        <w:rPr>
          <w:rFonts w:ascii="Arial" w:hAnsi="Arial" w:cs="Arial"/>
          <w:sz w:val="24"/>
        </w:rPr>
        <w:t>SI</w:t>
      </w:r>
      <w:r w:rsidRPr="00CF661F">
        <w:rPr>
          <w:rFonts w:ascii="Arial" w:hAnsi="Arial" w:cs="Arial"/>
          <w:sz w:val="24"/>
        </w:rPr>
        <w:t xml:space="preserve">s will be administered one time via telephone to </w:t>
      </w:r>
      <w:r w:rsidRPr="00CF661F" w:rsidR="00796ED6">
        <w:rPr>
          <w:rFonts w:ascii="Arial" w:hAnsi="Arial" w:cs="Arial"/>
          <w:sz w:val="24"/>
        </w:rPr>
        <w:t>p</w:t>
      </w:r>
      <w:r w:rsidRPr="00CF661F">
        <w:rPr>
          <w:rFonts w:ascii="Arial" w:hAnsi="Arial" w:cs="Arial"/>
          <w:sz w:val="24"/>
        </w:rPr>
        <w:t xml:space="preserve">roject </w:t>
      </w:r>
      <w:r w:rsidRPr="00CF661F" w:rsidR="00796ED6">
        <w:rPr>
          <w:rFonts w:ascii="Arial" w:hAnsi="Arial" w:cs="Arial"/>
          <w:sz w:val="24"/>
        </w:rPr>
        <w:t>d</w:t>
      </w:r>
      <w:r w:rsidRPr="00CF661F">
        <w:rPr>
          <w:rFonts w:ascii="Arial" w:hAnsi="Arial" w:cs="Arial"/>
          <w:sz w:val="24"/>
        </w:rPr>
        <w:t>irectors/</w:t>
      </w:r>
      <w:r w:rsidRPr="00CF661F" w:rsidR="00796ED6">
        <w:rPr>
          <w:rFonts w:ascii="Arial" w:hAnsi="Arial" w:cs="Arial"/>
          <w:sz w:val="24"/>
        </w:rPr>
        <w:t>p</w:t>
      </w:r>
      <w:r w:rsidRPr="00CF661F">
        <w:rPr>
          <w:rFonts w:ascii="Arial" w:hAnsi="Arial" w:cs="Arial"/>
          <w:sz w:val="24"/>
        </w:rPr>
        <w:t xml:space="preserve">rincipal </w:t>
      </w:r>
      <w:r w:rsidRPr="00CF661F" w:rsidR="00796ED6">
        <w:rPr>
          <w:rFonts w:ascii="Arial" w:hAnsi="Arial" w:cs="Arial"/>
          <w:sz w:val="24"/>
        </w:rPr>
        <w:t>i</w:t>
      </w:r>
      <w:r w:rsidRPr="00CF661F">
        <w:rPr>
          <w:rFonts w:ascii="Arial" w:hAnsi="Arial" w:cs="Arial"/>
          <w:sz w:val="24"/>
        </w:rPr>
        <w:t>nvestigators from each of the 28 PMHCA and MDRBD awardees with anticipated data collection in 2022.</w:t>
      </w:r>
      <w:r w:rsidR="00721F5A">
        <w:rPr>
          <w:rFonts w:ascii="Arial" w:hAnsi="Arial" w:cs="Arial"/>
          <w:sz w:val="24"/>
        </w:rPr>
        <w:t xml:space="preserve"> </w:t>
      </w:r>
      <w:r w:rsidRPr="00CF661F" w:rsidR="00321B04">
        <w:rPr>
          <w:rFonts w:ascii="Arial" w:hAnsi="Arial" w:cs="Arial"/>
          <w:sz w:val="24"/>
        </w:rPr>
        <w:t xml:space="preserve">Topics will be </w:t>
      </w:r>
      <w:r w:rsidRPr="00CF661F" w:rsidR="00A75EC8">
        <w:rPr>
          <w:rFonts w:ascii="Arial" w:hAnsi="Arial" w:cs="Arial"/>
          <w:sz w:val="24"/>
        </w:rPr>
        <w:t>similar to</w:t>
      </w:r>
      <w:r w:rsidRPr="00CF661F" w:rsidR="00321B04">
        <w:rPr>
          <w:rFonts w:ascii="Arial" w:hAnsi="Arial" w:cs="Arial"/>
          <w:sz w:val="24"/>
        </w:rPr>
        <w:t xml:space="preserve"> the </w:t>
      </w:r>
      <w:r w:rsidRPr="00CF661F" w:rsidR="00A75EC8">
        <w:rPr>
          <w:rFonts w:ascii="Arial" w:hAnsi="Arial" w:cs="Arial"/>
          <w:sz w:val="24"/>
        </w:rPr>
        <w:t>P</w:t>
      </w:r>
      <w:r w:rsidRPr="00CF661F" w:rsidR="00321B04">
        <w:rPr>
          <w:rFonts w:ascii="Arial" w:hAnsi="Arial" w:cs="Arial"/>
          <w:sz w:val="24"/>
        </w:rPr>
        <w:t xml:space="preserve">rogram </w:t>
      </w:r>
      <w:r w:rsidRPr="00CF661F" w:rsidR="00A75EC8">
        <w:rPr>
          <w:rFonts w:ascii="Arial" w:hAnsi="Arial" w:cs="Arial"/>
          <w:sz w:val="24"/>
        </w:rPr>
        <w:t>I</w:t>
      </w:r>
      <w:r w:rsidRPr="00CF661F" w:rsidR="00321B04">
        <w:rPr>
          <w:rFonts w:ascii="Arial" w:hAnsi="Arial" w:cs="Arial"/>
          <w:sz w:val="24"/>
        </w:rPr>
        <w:t xml:space="preserve">mplementation </w:t>
      </w:r>
      <w:r w:rsidRPr="00CF661F" w:rsidR="00A75EC8">
        <w:rPr>
          <w:rFonts w:ascii="Arial" w:hAnsi="Arial" w:cs="Arial"/>
          <w:sz w:val="24"/>
        </w:rPr>
        <w:t>S</w:t>
      </w:r>
      <w:r w:rsidRPr="00CF661F" w:rsidR="00321B04">
        <w:rPr>
          <w:rFonts w:ascii="Arial" w:hAnsi="Arial" w:cs="Arial"/>
          <w:sz w:val="24"/>
        </w:rPr>
        <w:t xml:space="preserve">urveys but will provide </w:t>
      </w:r>
      <w:r w:rsidRPr="00CF661F" w:rsidR="00796ED6">
        <w:rPr>
          <w:rFonts w:ascii="Arial" w:hAnsi="Arial" w:cs="Arial"/>
          <w:sz w:val="24"/>
        </w:rPr>
        <w:t>p</w:t>
      </w:r>
      <w:r w:rsidRPr="00CF661F" w:rsidR="00321B04">
        <w:rPr>
          <w:rFonts w:ascii="Arial" w:hAnsi="Arial" w:cs="Arial"/>
          <w:sz w:val="24"/>
        </w:rPr>
        <w:t xml:space="preserve">roject </w:t>
      </w:r>
      <w:r w:rsidRPr="00CF661F" w:rsidR="00796ED6">
        <w:rPr>
          <w:rFonts w:ascii="Arial" w:hAnsi="Arial" w:cs="Arial"/>
          <w:sz w:val="24"/>
        </w:rPr>
        <w:t>d</w:t>
      </w:r>
      <w:r w:rsidRPr="00CF661F" w:rsidR="00321B04">
        <w:rPr>
          <w:rFonts w:ascii="Arial" w:hAnsi="Arial" w:cs="Arial"/>
          <w:sz w:val="24"/>
        </w:rPr>
        <w:t>irectors/</w:t>
      </w:r>
      <w:r w:rsidRPr="00CF661F" w:rsidR="00796ED6">
        <w:rPr>
          <w:rFonts w:ascii="Arial" w:hAnsi="Arial" w:cs="Arial"/>
          <w:sz w:val="24"/>
        </w:rPr>
        <w:t>p</w:t>
      </w:r>
      <w:r w:rsidRPr="00CF661F" w:rsidR="00321B04">
        <w:rPr>
          <w:rFonts w:ascii="Arial" w:hAnsi="Arial" w:cs="Arial"/>
          <w:sz w:val="24"/>
        </w:rPr>
        <w:t xml:space="preserve">rincipal </w:t>
      </w:r>
      <w:r w:rsidRPr="00CF661F" w:rsidR="00796ED6">
        <w:rPr>
          <w:rFonts w:ascii="Arial" w:hAnsi="Arial" w:cs="Arial"/>
          <w:sz w:val="24"/>
        </w:rPr>
        <w:t>i</w:t>
      </w:r>
      <w:r w:rsidRPr="00CF661F" w:rsidR="00321B04">
        <w:rPr>
          <w:rFonts w:ascii="Arial" w:hAnsi="Arial" w:cs="Arial"/>
          <w:sz w:val="24"/>
        </w:rPr>
        <w:t xml:space="preserve">nvestigators an opportunity to discuss program implementation toward the end of the project period. </w:t>
      </w:r>
    </w:p>
    <w:p w:rsidRPr="00CF661F" w:rsidR="00A67A94" w:rsidP="00A67A94" w:rsidRDefault="00A67A94" w14:paraId="6E05CEB7" w14:textId="77777777">
      <w:pPr>
        <w:widowControl/>
        <w:autoSpaceDE/>
        <w:autoSpaceDN/>
        <w:adjustRightInd/>
        <w:spacing w:before="120"/>
        <w:rPr>
          <w:rFonts w:ascii="Arial" w:hAnsi="Arial" w:cs="Arial"/>
          <w:sz w:val="24"/>
        </w:rPr>
      </w:pPr>
      <w:r w:rsidRPr="00CF661F">
        <w:rPr>
          <w:rFonts w:ascii="Arial" w:hAnsi="Arial" w:cs="Arial"/>
          <w:sz w:val="24"/>
        </w:rPr>
        <w:t>There are no legal obstacles to reduce the burden.</w:t>
      </w:r>
    </w:p>
    <w:p w:rsidRPr="00CF661F" w:rsidR="009B3794" w:rsidP="00B354FC" w:rsidRDefault="009B3794" w14:paraId="5B97271A" w14:textId="39251E88">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Special Circumstances Relating to the Guidelines of 5 CFR 1320.5</w:t>
      </w:r>
    </w:p>
    <w:p w:rsidRPr="00CF661F" w:rsidR="004728AD" w:rsidP="00A54AF5" w:rsidRDefault="008D3927" w14:paraId="1670010D" w14:textId="0DB94E1A">
      <w:pPr>
        <w:widowControl/>
        <w:spacing w:before="120"/>
        <w:rPr>
          <w:rFonts w:ascii="Arial" w:hAnsi="Arial" w:cs="Arial"/>
          <w:b/>
          <w:iCs/>
          <w:sz w:val="24"/>
          <w:u w:val="single"/>
        </w:rPr>
      </w:pPr>
      <w:r w:rsidRPr="00CF661F">
        <w:rPr>
          <w:rFonts w:ascii="Arial" w:hAnsi="Arial" w:cs="Arial"/>
          <w:bCs/>
          <w:sz w:val="24"/>
        </w:rPr>
        <w:t>The request fully complies with the regulation.</w:t>
      </w:r>
    </w:p>
    <w:p w:rsidRPr="00CF661F" w:rsidR="009B3794" w:rsidP="00B354FC" w:rsidRDefault="009B3794" w14:paraId="5B972724" w14:textId="0706441F">
      <w:pPr>
        <w:numPr>
          <w:ilvl w:val="0"/>
          <w:numId w:val="1"/>
        </w:numPr>
        <w:tabs>
          <w:tab w:val="clear" w:pos="1080"/>
          <w:tab w:val="num" w:pos="360"/>
        </w:tabs>
        <w:spacing w:before="240"/>
        <w:ind w:left="360"/>
        <w:rPr>
          <w:rFonts w:ascii="Arial" w:hAnsi="Arial" w:cs="Arial"/>
          <w:b/>
          <w:sz w:val="24"/>
        </w:rPr>
      </w:pPr>
      <w:r w:rsidRPr="00CF661F">
        <w:rPr>
          <w:rFonts w:ascii="Arial" w:hAnsi="Arial" w:cs="Arial"/>
          <w:b/>
          <w:iCs/>
          <w:sz w:val="24"/>
          <w:u w:val="single"/>
        </w:rPr>
        <w:t>Comments in Response to the Federal Register</w:t>
      </w:r>
      <w:r w:rsidRPr="00CF661F">
        <w:rPr>
          <w:rFonts w:ascii="Arial" w:hAnsi="Arial" w:cs="Arial"/>
          <w:b/>
          <w:sz w:val="24"/>
          <w:u w:val="single"/>
        </w:rPr>
        <w:t xml:space="preserve"> Notice/Outside Consultation</w:t>
      </w:r>
    </w:p>
    <w:p w:rsidRPr="00CF661F" w:rsidR="00DE3A45" w:rsidP="00CA3DA6" w:rsidRDefault="00DE3A45" w14:paraId="5B972725" w14:textId="7EA5112A">
      <w:pPr>
        <w:spacing w:before="120"/>
        <w:rPr>
          <w:rFonts w:ascii="Arial" w:hAnsi="Arial" w:cs="Arial"/>
          <w:b/>
          <w:sz w:val="28"/>
          <w:szCs w:val="28"/>
        </w:rPr>
      </w:pPr>
      <w:r w:rsidRPr="00CF661F">
        <w:rPr>
          <w:rFonts w:ascii="Arial" w:hAnsi="Arial" w:cs="Arial"/>
          <w:b/>
          <w:sz w:val="28"/>
          <w:szCs w:val="28"/>
        </w:rPr>
        <w:t>Section 8A</w:t>
      </w:r>
    </w:p>
    <w:p w:rsidRPr="006D5919" w:rsidR="006D5919" w:rsidP="006D5919" w:rsidRDefault="006D5919" w14:paraId="386E1BAD" w14:textId="01C1A891">
      <w:pPr>
        <w:spacing w:before="120"/>
        <w:rPr>
          <w:rFonts w:ascii="Arial" w:hAnsi="Arial" w:cs="Arial"/>
          <w:bCs/>
          <w:sz w:val="24"/>
        </w:rPr>
      </w:pPr>
      <w:r w:rsidRPr="00CF661F">
        <w:rPr>
          <w:rFonts w:ascii="Arial" w:hAnsi="Arial" w:cs="Arial"/>
          <w:bCs/>
          <w:sz w:val="24"/>
        </w:rPr>
        <w:t xml:space="preserve">A 60-day Federal Register Notice was published in the </w:t>
      </w:r>
      <w:r w:rsidRPr="00CF661F">
        <w:rPr>
          <w:rFonts w:ascii="Arial" w:hAnsi="Arial" w:cs="Arial"/>
          <w:bCs/>
          <w:i/>
          <w:iCs/>
          <w:sz w:val="24"/>
        </w:rPr>
        <w:t xml:space="preserve">Federal Register </w:t>
      </w:r>
      <w:r w:rsidRPr="00CF661F">
        <w:rPr>
          <w:rFonts w:ascii="Arial" w:hAnsi="Arial" w:cs="Arial"/>
          <w:bCs/>
          <w:sz w:val="24"/>
        </w:rPr>
        <w:t xml:space="preserve">on </w:t>
      </w:r>
      <w:r w:rsidRPr="00CF661F" w:rsidR="007D025C">
        <w:rPr>
          <w:rFonts w:ascii="Arial" w:hAnsi="Arial" w:cs="Arial"/>
          <w:bCs/>
          <w:sz w:val="24"/>
        </w:rPr>
        <w:t>October 17</w:t>
      </w:r>
      <w:r w:rsidRPr="00CF661F">
        <w:rPr>
          <w:rFonts w:ascii="Arial" w:hAnsi="Arial" w:cs="Arial"/>
          <w:bCs/>
          <w:sz w:val="24"/>
        </w:rPr>
        <w:t xml:space="preserve">, 2019, </w:t>
      </w:r>
      <w:r w:rsidRPr="00CF661F" w:rsidR="00CC21E0">
        <w:rPr>
          <w:rFonts w:ascii="Arial" w:hAnsi="Arial" w:cs="Arial"/>
          <w:bCs/>
          <w:sz w:val="24"/>
        </w:rPr>
        <w:t>V</w:t>
      </w:r>
      <w:r w:rsidRPr="00CF661F">
        <w:rPr>
          <w:rFonts w:ascii="Arial" w:hAnsi="Arial" w:cs="Arial"/>
          <w:bCs/>
          <w:sz w:val="24"/>
        </w:rPr>
        <w:t xml:space="preserve">ol. </w:t>
      </w:r>
      <w:r w:rsidRPr="00CF661F" w:rsidR="007D025C">
        <w:rPr>
          <w:rFonts w:ascii="Arial" w:hAnsi="Arial" w:cs="Arial"/>
          <w:bCs/>
          <w:sz w:val="24"/>
        </w:rPr>
        <w:t>84</w:t>
      </w:r>
      <w:r w:rsidRPr="00CF661F">
        <w:rPr>
          <w:rFonts w:ascii="Arial" w:hAnsi="Arial" w:cs="Arial"/>
          <w:bCs/>
          <w:sz w:val="24"/>
        </w:rPr>
        <w:t xml:space="preserve">, No. </w:t>
      </w:r>
      <w:r w:rsidRPr="00CF661F" w:rsidR="007D025C">
        <w:rPr>
          <w:rFonts w:ascii="Arial" w:hAnsi="Arial" w:cs="Arial"/>
          <w:bCs/>
          <w:sz w:val="24"/>
        </w:rPr>
        <w:t>201</w:t>
      </w:r>
      <w:r w:rsidRPr="00CF661F" w:rsidR="00CC21E0">
        <w:rPr>
          <w:rFonts w:ascii="Arial" w:hAnsi="Arial" w:cs="Arial"/>
          <w:bCs/>
          <w:sz w:val="24"/>
        </w:rPr>
        <w:t>,</w:t>
      </w:r>
      <w:r w:rsidRPr="00CF661F">
        <w:rPr>
          <w:rFonts w:ascii="Arial" w:hAnsi="Arial" w:cs="Arial"/>
          <w:bCs/>
          <w:sz w:val="24"/>
        </w:rPr>
        <w:t xml:space="preserve"> pp. </w:t>
      </w:r>
      <w:r w:rsidRPr="00CF661F" w:rsidR="007D025C">
        <w:rPr>
          <w:rFonts w:ascii="Arial" w:hAnsi="Arial" w:cs="Arial"/>
          <w:bCs/>
          <w:sz w:val="24"/>
        </w:rPr>
        <w:t>55579</w:t>
      </w:r>
      <w:r w:rsidRPr="00CF661F">
        <w:rPr>
          <w:rFonts w:ascii="Arial" w:hAnsi="Arial" w:cs="Arial"/>
          <w:bCs/>
          <w:sz w:val="24"/>
        </w:rPr>
        <w:t>-</w:t>
      </w:r>
      <w:r w:rsidRPr="00CF661F" w:rsidR="007D025C">
        <w:rPr>
          <w:rFonts w:ascii="Arial" w:hAnsi="Arial" w:cs="Arial"/>
          <w:bCs/>
          <w:sz w:val="24"/>
        </w:rPr>
        <w:t>80</w:t>
      </w:r>
      <w:r w:rsidRPr="00CF661F">
        <w:rPr>
          <w:rFonts w:ascii="Arial" w:hAnsi="Arial" w:cs="Arial"/>
          <w:bCs/>
          <w:sz w:val="24"/>
        </w:rPr>
        <w:t xml:space="preserve"> (see </w:t>
      </w:r>
      <w:r w:rsidRPr="00CF661F" w:rsidR="00CC21E0">
        <w:rPr>
          <w:rFonts w:ascii="Arial" w:hAnsi="Arial" w:cs="Arial"/>
          <w:bCs/>
          <w:sz w:val="24"/>
        </w:rPr>
        <w:t>A</w:t>
      </w:r>
      <w:r w:rsidRPr="00CF661F">
        <w:rPr>
          <w:rFonts w:ascii="Arial" w:hAnsi="Arial" w:cs="Arial"/>
          <w:bCs/>
          <w:sz w:val="24"/>
        </w:rPr>
        <w:t xml:space="preserve">ttachment </w:t>
      </w:r>
      <w:r w:rsidRPr="00CF661F" w:rsidR="007D025C">
        <w:rPr>
          <w:rFonts w:ascii="Arial" w:hAnsi="Arial" w:cs="Arial"/>
          <w:bCs/>
          <w:sz w:val="24"/>
        </w:rPr>
        <w:t>A1</w:t>
      </w:r>
      <w:r w:rsidRPr="00CF661F">
        <w:rPr>
          <w:rFonts w:ascii="Arial" w:hAnsi="Arial" w:cs="Arial"/>
          <w:bCs/>
          <w:sz w:val="24"/>
        </w:rPr>
        <w:t>).</w:t>
      </w:r>
      <w:r w:rsidR="00721F5A">
        <w:rPr>
          <w:rFonts w:ascii="Arial" w:hAnsi="Arial" w:cs="Arial"/>
          <w:bCs/>
          <w:sz w:val="24"/>
        </w:rPr>
        <w:t xml:space="preserve"> </w:t>
      </w:r>
      <w:r w:rsidRPr="00D952A5" w:rsidR="00D952A5">
        <w:rPr>
          <w:rFonts w:ascii="Arial" w:hAnsi="Arial" w:cs="Arial"/>
          <w:bCs/>
          <w:sz w:val="24"/>
        </w:rPr>
        <w:t xml:space="preserve">Public comments are provided and responses to comments are provided as </w:t>
      </w:r>
      <w:r w:rsidR="00D952A5">
        <w:rPr>
          <w:rFonts w:ascii="Arial" w:hAnsi="Arial" w:cs="Arial"/>
          <w:bCs/>
          <w:sz w:val="24"/>
        </w:rPr>
        <w:t>attachment</w:t>
      </w:r>
      <w:r w:rsidR="00F930DF">
        <w:rPr>
          <w:rFonts w:ascii="Arial" w:hAnsi="Arial" w:cs="Arial"/>
          <w:bCs/>
          <w:sz w:val="24"/>
        </w:rPr>
        <w:t>s</w:t>
      </w:r>
      <w:r w:rsidRPr="00D952A5" w:rsidR="00D952A5">
        <w:rPr>
          <w:rFonts w:ascii="Arial" w:hAnsi="Arial" w:cs="Arial"/>
          <w:bCs/>
          <w:sz w:val="24"/>
        </w:rPr>
        <w:t xml:space="preserve"> to this supporting statement.</w:t>
      </w:r>
    </w:p>
    <w:p w:rsidRPr="006D5919" w:rsidR="00DE3A45" w:rsidP="00CA3DA6" w:rsidRDefault="00DE3A45" w14:paraId="5B972729" w14:textId="09459647">
      <w:pPr>
        <w:spacing w:before="120"/>
        <w:rPr>
          <w:rFonts w:ascii="Arial" w:hAnsi="Arial" w:cs="Arial"/>
          <w:b/>
          <w:sz w:val="28"/>
          <w:szCs w:val="28"/>
        </w:rPr>
      </w:pPr>
      <w:r w:rsidRPr="006D5919">
        <w:rPr>
          <w:rFonts w:ascii="Arial" w:hAnsi="Arial" w:cs="Arial"/>
          <w:b/>
          <w:sz w:val="28"/>
          <w:szCs w:val="28"/>
        </w:rPr>
        <w:t>Section 8B</w:t>
      </w:r>
    </w:p>
    <w:p w:rsidRPr="00CF661F" w:rsidR="00683594" w:rsidP="00683594" w:rsidRDefault="00683594" w14:paraId="0BCCC092" w14:textId="3349F587">
      <w:pPr>
        <w:spacing w:before="120"/>
        <w:rPr>
          <w:rFonts w:ascii="Arial" w:hAnsi="Arial" w:cs="Arial"/>
          <w:sz w:val="24"/>
        </w:rPr>
      </w:pPr>
      <w:r w:rsidRPr="00CF661F">
        <w:rPr>
          <w:rFonts w:ascii="Arial" w:hAnsi="Arial" w:cs="Arial"/>
          <w:sz w:val="24"/>
        </w:rPr>
        <w:t xml:space="preserve">Consultations on the </w:t>
      </w:r>
      <w:r w:rsidRPr="00CF661F" w:rsidR="00CF493B">
        <w:rPr>
          <w:rFonts w:ascii="Arial" w:hAnsi="Arial" w:cs="Arial"/>
          <w:sz w:val="24"/>
        </w:rPr>
        <w:t xml:space="preserve">evaluation </w:t>
      </w:r>
      <w:r w:rsidRPr="00CF661F">
        <w:rPr>
          <w:rFonts w:ascii="Arial" w:hAnsi="Arial" w:cs="Arial"/>
          <w:sz w:val="24"/>
        </w:rPr>
        <w:t xml:space="preserve">design,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Pr="00CF661F" w:rsidR="00CF493B">
        <w:rPr>
          <w:rFonts w:ascii="Arial" w:hAnsi="Arial" w:cs="Arial"/>
          <w:sz w:val="24"/>
        </w:rPr>
        <w:t xml:space="preserve"> and protocols</w:t>
      </w:r>
      <w:r w:rsidRPr="00CF661F">
        <w:rPr>
          <w:rFonts w:ascii="Arial" w:hAnsi="Arial" w:cs="Arial"/>
          <w:sz w:val="24"/>
        </w:rPr>
        <w:t>, survey</w:t>
      </w:r>
      <w:r w:rsidRPr="00CF661F" w:rsidR="00EF20F8">
        <w:rPr>
          <w:rFonts w:ascii="Arial" w:hAnsi="Arial" w:cs="Arial"/>
          <w:sz w:val="24"/>
        </w:rPr>
        <w:t xml:space="preserve"> and </w:t>
      </w:r>
      <w:r w:rsidRPr="00CF661F" w:rsidR="00E02D11">
        <w:rPr>
          <w:rFonts w:ascii="Arial" w:hAnsi="Arial" w:cs="Arial"/>
          <w:sz w:val="24"/>
        </w:rPr>
        <w:t>SSI</w:t>
      </w:r>
      <w:r w:rsidRPr="00CF661F">
        <w:rPr>
          <w:rFonts w:ascii="Arial" w:hAnsi="Arial" w:cs="Arial"/>
          <w:sz w:val="24"/>
        </w:rPr>
        <w:t xml:space="preserve"> questions, data management, and analysis of this evaluation have occurred throughout the planning phase of this project.</w:t>
      </w:r>
      <w:r w:rsidR="00721F5A">
        <w:rPr>
          <w:rFonts w:ascii="Arial" w:hAnsi="Arial" w:cs="Arial"/>
          <w:sz w:val="24"/>
        </w:rPr>
        <w:t xml:space="preserve"> </w:t>
      </w:r>
      <w:r w:rsidRPr="00CF661F">
        <w:rPr>
          <w:rFonts w:ascii="Arial" w:hAnsi="Arial" w:cs="Arial"/>
          <w:sz w:val="24"/>
        </w:rPr>
        <w:t xml:space="preserve">These consultations have </w:t>
      </w:r>
      <w:r w:rsidRPr="00CF661F">
        <w:rPr>
          <w:rFonts w:ascii="Arial" w:hAnsi="Arial" w:cs="Arial"/>
          <w:sz w:val="24"/>
        </w:rPr>
        <w:lastRenderedPageBreak/>
        <w:t xml:space="preserve">provided, and will continue to provide, the opportunity to ensure the technical quality and appropriateness of the overall </w:t>
      </w:r>
      <w:r w:rsidRPr="00CF661F" w:rsidR="009C7BB4">
        <w:rPr>
          <w:rFonts w:ascii="Arial" w:hAnsi="Arial" w:cs="Arial"/>
          <w:sz w:val="24"/>
        </w:rPr>
        <w:t>evaluation</w:t>
      </w:r>
      <w:r w:rsidRPr="00CF661F">
        <w:rPr>
          <w:rFonts w:ascii="Arial" w:hAnsi="Arial" w:cs="Arial"/>
          <w:sz w:val="24"/>
        </w:rPr>
        <w:t xml:space="preserve"> design</w:t>
      </w:r>
      <w:r w:rsidRPr="00CF661F" w:rsidR="009C7BB4">
        <w:rPr>
          <w:rFonts w:ascii="Arial" w:hAnsi="Arial" w:cs="Arial"/>
          <w:sz w:val="24"/>
        </w:rPr>
        <w:t xml:space="preserve"> </w:t>
      </w:r>
      <w:r w:rsidRPr="00CF661F">
        <w:rPr>
          <w:rFonts w:ascii="Arial" w:hAnsi="Arial" w:cs="Arial"/>
          <w:sz w:val="24"/>
        </w:rPr>
        <w:t>and data analysis plans</w:t>
      </w:r>
      <w:r w:rsidRPr="00CF661F" w:rsidR="00796ED6">
        <w:rPr>
          <w:rFonts w:ascii="Arial" w:hAnsi="Arial" w:cs="Arial"/>
          <w:sz w:val="24"/>
        </w:rPr>
        <w:t>,</w:t>
      </w:r>
      <w:r w:rsidRPr="00CF661F">
        <w:rPr>
          <w:rFonts w:ascii="Arial" w:hAnsi="Arial" w:cs="Arial"/>
          <w:sz w:val="24"/>
        </w:rPr>
        <w:t xml:space="preserve"> to obtain advice and recommendations concerning the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Pr="00CF661F" w:rsidR="00796ED6">
        <w:rPr>
          <w:rFonts w:ascii="Arial" w:hAnsi="Arial" w:cs="Arial"/>
          <w:sz w:val="24"/>
        </w:rPr>
        <w:t>,</w:t>
      </w:r>
      <w:r w:rsidRPr="00CF661F">
        <w:rPr>
          <w:rFonts w:ascii="Arial" w:hAnsi="Arial" w:cs="Arial"/>
          <w:sz w:val="24"/>
        </w:rPr>
        <w:t xml:space="preserve"> and to structure the </w:t>
      </w:r>
      <w:r w:rsidRPr="00CF661F" w:rsidR="009C7BB4">
        <w:rPr>
          <w:rFonts w:ascii="Arial" w:hAnsi="Arial" w:cs="Arial"/>
          <w:sz w:val="24"/>
        </w:rPr>
        <w:t>evaluation</w:t>
      </w:r>
      <w:r w:rsidRPr="00CF661F">
        <w:rPr>
          <w:rFonts w:ascii="Arial" w:hAnsi="Arial" w:cs="Arial"/>
          <w:sz w:val="24"/>
        </w:rPr>
        <w:t xml:space="preserve"> and instruments to minimize overall and individual response burden.</w:t>
      </w:r>
      <w:r w:rsidR="00721F5A">
        <w:rPr>
          <w:rFonts w:ascii="Arial" w:hAnsi="Arial" w:cs="Arial"/>
          <w:sz w:val="24"/>
        </w:rPr>
        <w:t xml:space="preserve"> </w:t>
      </w:r>
      <w:r w:rsidRPr="00CF661F" w:rsidR="00C13938">
        <w:rPr>
          <w:rFonts w:ascii="Arial" w:hAnsi="Arial" w:cs="Arial"/>
          <w:sz w:val="24"/>
        </w:rPr>
        <w:t>Consultations have occurred with the following individuals in connection with this study (listed in alphabetical order):</w:t>
      </w:r>
    </w:p>
    <w:p w:rsidRPr="00CF661F" w:rsidR="00C13938" w:rsidP="00AE27A3" w:rsidRDefault="00C13938" w14:paraId="52FE4B48" w14:textId="09D54880">
      <w:pPr>
        <w:spacing w:before="120"/>
        <w:rPr>
          <w:rFonts w:ascii="Arial" w:hAnsi="Arial" w:cs="Arial"/>
          <w:sz w:val="24"/>
        </w:rPr>
      </w:pPr>
      <w:r w:rsidRPr="00CF661F">
        <w:rPr>
          <w:rFonts w:ascii="Arial" w:hAnsi="Arial" w:cs="Arial"/>
          <w:b/>
          <w:bCs/>
          <w:sz w:val="24"/>
        </w:rPr>
        <w:t>John Straus, M.D.,</w:t>
      </w:r>
      <w:r w:rsidRPr="00CF661F" w:rsidR="00AE27A3">
        <w:rPr>
          <w:rFonts w:ascii="Arial" w:hAnsi="Arial" w:cs="Arial"/>
          <w:sz w:val="24"/>
        </w:rPr>
        <w:t xml:space="preserve"> Director of Special Projects Massachusetts Behavioral Health Partnership</w:t>
      </w:r>
      <w:r w:rsidRPr="00CF661F" w:rsidR="007C5BD3">
        <w:rPr>
          <w:rFonts w:ascii="Arial" w:hAnsi="Arial" w:cs="Arial"/>
          <w:sz w:val="24"/>
        </w:rPr>
        <w:t>,</w:t>
      </w:r>
      <w:r w:rsidRPr="00CF661F" w:rsidR="004E1062">
        <w:rPr>
          <w:rFonts w:ascii="Arial" w:hAnsi="Arial" w:cs="Arial"/>
          <w:sz w:val="24"/>
        </w:rPr>
        <w:t xml:space="preserve"> </w:t>
      </w:r>
      <w:r w:rsidRPr="00CF661F" w:rsidR="00F65A78">
        <w:rPr>
          <w:rFonts w:ascii="Arial" w:hAnsi="Arial" w:cs="Arial"/>
          <w:sz w:val="24"/>
        </w:rPr>
        <w:t>Co-</w:t>
      </w:r>
      <w:r w:rsidRPr="00CF661F" w:rsidR="004E1062">
        <w:rPr>
          <w:rFonts w:ascii="Arial" w:hAnsi="Arial" w:cs="Arial"/>
          <w:sz w:val="24"/>
        </w:rPr>
        <w:t>Founder National Network of Child Psychiatry Access Programs,</w:t>
      </w:r>
      <w:r w:rsidRPr="00CF661F" w:rsidR="007C5BD3">
        <w:rPr>
          <w:rFonts w:ascii="Arial" w:hAnsi="Arial" w:cs="Arial"/>
          <w:sz w:val="24"/>
        </w:rPr>
        <w:t xml:space="preserve"> 617-790-4120,</w:t>
      </w:r>
      <w:r w:rsidRPr="00CF661F">
        <w:rPr>
          <w:rFonts w:ascii="Arial" w:hAnsi="Arial" w:cs="Arial"/>
          <w:b/>
          <w:bCs/>
          <w:sz w:val="24"/>
        </w:rPr>
        <w:t xml:space="preserve"> </w:t>
      </w:r>
      <w:hyperlink w:history="1" r:id="rId8">
        <w:r w:rsidRPr="00CF661F" w:rsidR="00AE27A3">
          <w:rPr>
            <w:rStyle w:val="Hyperlink"/>
            <w:rFonts w:ascii="Arial" w:hAnsi="Arial" w:cs="Arial"/>
            <w:color w:val="auto"/>
            <w:sz w:val="24"/>
            <w:u w:val="none"/>
          </w:rPr>
          <w:t>John.Straus@beaconhealthoptions.com</w:t>
        </w:r>
      </w:hyperlink>
      <w:r w:rsidRPr="00CF661F" w:rsidR="00AE27A3">
        <w:rPr>
          <w:rFonts w:ascii="Arial" w:hAnsi="Arial" w:cs="Arial"/>
          <w:sz w:val="24"/>
        </w:rPr>
        <w:t>.</w:t>
      </w:r>
      <w:r w:rsidR="00721F5A">
        <w:rPr>
          <w:rFonts w:ascii="Arial" w:hAnsi="Arial" w:cs="Arial"/>
          <w:sz w:val="24"/>
        </w:rPr>
        <w:t xml:space="preserve"> </w:t>
      </w:r>
      <w:r w:rsidRPr="00CF661F" w:rsidR="00AE27A3">
        <w:rPr>
          <w:rFonts w:ascii="Arial" w:hAnsi="Arial" w:cs="Arial"/>
          <w:sz w:val="24"/>
        </w:rPr>
        <w:t xml:space="preserve">Years </w:t>
      </w:r>
      <w:r w:rsidRPr="00CF661F" w:rsidR="000D0D88">
        <w:rPr>
          <w:rFonts w:ascii="Arial" w:hAnsi="Arial" w:cs="Arial"/>
          <w:sz w:val="24"/>
        </w:rPr>
        <w:t xml:space="preserve">and areas </w:t>
      </w:r>
      <w:r w:rsidRPr="00CF661F" w:rsidR="00AE27A3">
        <w:rPr>
          <w:rFonts w:ascii="Arial" w:hAnsi="Arial" w:cs="Arial"/>
          <w:sz w:val="24"/>
        </w:rPr>
        <w:t>of consultation: 2018</w:t>
      </w:r>
      <w:r w:rsidRPr="00CF661F" w:rsidR="00796ED6">
        <w:rPr>
          <w:rFonts w:ascii="Arial" w:hAnsi="Arial" w:cs="Arial"/>
          <w:sz w:val="24"/>
        </w:rPr>
        <w:t>‒</w:t>
      </w:r>
      <w:r w:rsidRPr="00CF661F" w:rsidR="000D0D88">
        <w:rPr>
          <w:rFonts w:ascii="Arial" w:hAnsi="Arial" w:cs="Arial"/>
          <w:sz w:val="24"/>
        </w:rPr>
        <w:t>present</w:t>
      </w:r>
      <w:r w:rsidRPr="00CF661F" w:rsidR="00796ED6">
        <w:rPr>
          <w:rFonts w:ascii="Arial" w:hAnsi="Arial" w:cs="Arial"/>
          <w:sz w:val="24"/>
        </w:rPr>
        <w:t>,</w:t>
      </w:r>
      <w:r w:rsidRPr="00CF661F" w:rsidR="000D0D88">
        <w:rPr>
          <w:rFonts w:ascii="Arial" w:hAnsi="Arial" w:cs="Arial"/>
          <w:sz w:val="24"/>
        </w:rPr>
        <w:t xml:space="preserve"> serves as a representative of those from whom information is to be obtained</w:t>
      </w:r>
      <w:r w:rsidRPr="00CF661F" w:rsidR="007C5BD3">
        <w:rPr>
          <w:rFonts w:ascii="Arial" w:hAnsi="Arial" w:cs="Arial"/>
          <w:sz w:val="24"/>
        </w:rPr>
        <w:t>.</w:t>
      </w:r>
    </w:p>
    <w:p w:rsidRPr="00CF661F" w:rsidR="00C13938" w:rsidP="00683594" w:rsidRDefault="00C13938" w14:paraId="3C3F6D9A" w14:textId="187145FE">
      <w:pPr>
        <w:spacing w:before="120"/>
        <w:rPr>
          <w:rFonts w:ascii="Arial" w:hAnsi="Arial" w:cs="Arial"/>
          <w:sz w:val="24"/>
        </w:rPr>
      </w:pPr>
      <w:r w:rsidRPr="00CF661F">
        <w:rPr>
          <w:rFonts w:ascii="Arial" w:hAnsi="Arial" w:cs="Arial"/>
          <w:b/>
          <w:bCs/>
          <w:sz w:val="24"/>
        </w:rPr>
        <w:t>Mi</w:t>
      </w:r>
      <w:r w:rsidRPr="00CF661F" w:rsidR="007C5BD3">
        <w:rPr>
          <w:rFonts w:ascii="Arial" w:hAnsi="Arial" w:cs="Arial"/>
          <w:b/>
          <w:bCs/>
          <w:sz w:val="24"/>
        </w:rPr>
        <w:t>n Qi</w:t>
      </w:r>
      <w:r w:rsidRPr="00CF661F">
        <w:rPr>
          <w:rFonts w:ascii="Arial" w:hAnsi="Arial" w:cs="Arial"/>
          <w:b/>
          <w:bCs/>
          <w:sz w:val="24"/>
        </w:rPr>
        <w:t xml:space="preserve"> Wang</w:t>
      </w:r>
      <w:r w:rsidRPr="00CF661F" w:rsidR="007C5BD3">
        <w:rPr>
          <w:rFonts w:ascii="Arial" w:hAnsi="Arial" w:cs="Arial"/>
          <w:b/>
          <w:bCs/>
          <w:sz w:val="24"/>
        </w:rPr>
        <w:t>, Ph</w:t>
      </w:r>
      <w:r w:rsidRPr="00CF661F" w:rsidR="00796ED6">
        <w:rPr>
          <w:rFonts w:ascii="Arial" w:hAnsi="Arial" w:cs="Arial"/>
          <w:b/>
          <w:bCs/>
          <w:sz w:val="24"/>
        </w:rPr>
        <w:t>.</w:t>
      </w:r>
      <w:r w:rsidRPr="00CF661F" w:rsidR="007C5BD3">
        <w:rPr>
          <w:rFonts w:ascii="Arial" w:hAnsi="Arial" w:cs="Arial"/>
          <w:b/>
          <w:bCs/>
          <w:sz w:val="24"/>
        </w:rPr>
        <w:t xml:space="preserve">D., </w:t>
      </w:r>
      <w:r w:rsidRPr="00CF661F" w:rsidR="00EF20F8">
        <w:rPr>
          <w:rFonts w:ascii="Arial" w:hAnsi="Arial" w:cs="Arial"/>
          <w:sz w:val="24"/>
        </w:rPr>
        <w:t xml:space="preserve">Professor, Behavioral and Community Health, University of Maryland School of Public </w:t>
      </w:r>
      <w:r w:rsidRPr="00CF661F" w:rsidR="00C93F82">
        <w:rPr>
          <w:rFonts w:ascii="Arial" w:hAnsi="Arial" w:cs="Arial"/>
          <w:sz w:val="24"/>
        </w:rPr>
        <w:t>Health</w:t>
      </w:r>
      <w:r w:rsidRPr="00CF661F" w:rsidR="00EF20F8">
        <w:rPr>
          <w:rFonts w:ascii="Arial" w:hAnsi="Arial" w:cs="Arial"/>
          <w:sz w:val="24"/>
        </w:rPr>
        <w:t>,</w:t>
      </w:r>
      <w:r w:rsidRPr="00CF661F" w:rsidR="007C5BD3">
        <w:rPr>
          <w:rFonts w:ascii="Arial" w:hAnsi="Arial" w:cs="Arial"/>
          <w:sz w:val="24"/>
        </w:rPr>
        <w:t xml:space="preserve"> 301-405-6652, mqw@umd.edu.</w:t>
      </w:r>
      <w:r w:rsidR="00721F5A">
        <w:rPr>
          <w:rFonts w:ascii="Arial" w:hAnsi="Arial" w:cs="Arial"/>
          <w:sz w:val="24"/>
        </w:rPr>
        <w:t xml:space="preserve"> </w:t>
      </w:r>
      <w:r w:rsidRPr="00CF661F" w:rsidR="007C5BD3">
        <w:rPr>
          <w:rFonts w:ascii="Arial" w:hAnsi="Arial" w:cs="Arial"/>
          <w:sz w:val="24"/>
        </w:rPr>
        <w:t xml:space="preserve">Years </w:t>
      </w:r>
      <w:r w:rsidRPr="00CF661F" w:rsidR="000D0D88">
        <w:rPr>
          <w:rFonts w:ascii="Arial" w:hAnsi="Arial" w:cs="Arial"/>
          <w:sz w:val="24"/>
        </w:rPr>
        <w:t xml:space="preserve">and areas </w:t>
      </w:r>
      <w:r w:rsidRPr="00CF661F" w:rsidR="007C5BD3">
        <w:rPr>
          <w:rFonts w:ascii="Arial" w:hAnsi="Arial" w:cs="Arial"/>
          <w:sz w:val="24"/>
        </w:rPr>
        <w:t>of consultation: 2019</w:t>
      </w:r>
      <w:r w:rsidRPr="00CF661F" w:rsidR="000D0D88">
        <w:rPr>
          <w:rFonts w:ascii="Arial" w:hAnsi="Arial" w:cs="Arial"/>
          <w:sz w:val="24"/>
        </w:rPr>
        <w:t>–present</w:t>
      </w:r>
      <w:r w:rsidRPr="00CF661F" w:rsidR="00796ED6">
        <w:rPr>
          <w:rFonts w:ascii="Arial" w:hAnsi="Arial" w:cs="Arial"/>
          <w:sz w:val="24"/>
        </w:rPr>
        <w:t>,</w:t>
      </w:r>
      <w:r w:rsidRPr="00CF661F" w:rsidR="000D0D88">
        <w:rPr>
          <w:rFonts w:ascii="Arial" w:hAnsi="Arial" w:cs="Arial"/>
          <w:sz w:val="24"/>
        </w:rPr>
        <w:t xml:space="preserve"> methodological and analytic expertise</w:t>
      </w:r>
      <w:r w:rsidRPr="00CF661F" w:rsidR="007C5BD3">
        <w:rPr>
          <w:rFonts w:ascii="Arial" w:hAnsi="Arial" w:cs="Arial"/>
          <w:sz w:val="24"/>
        </w:rPr>
        <w:t>.</w:t>
      </w:r>
    </w:p>
    <w:p w:rsidRPr="00CF661F" w:rsidR="009B3794" w:rsidP="00B354FC" w:rsidRDefault="009B3794" w14:paraId="5B972732" w14:textId="20AD21FE">
      <w:pPr>
        <w:numPr>
          <w:ilvl w:val="0"/>
          <w:numId w:val="1"/>
        </w:numPr>
        <w:tabs>
          <w:tab w:val="clear" w:pos="1080"/>
          <w:tab w:val="num" w:pos="360"/>
        </w:tabs>
        <w:spacing w:before="240"/>
        <w:ind w:left="360"/>
        <w:rPr>
          <w:rFonts w:ascii="Arial" w:hAnsi="Arial" w:cs="Arial"/>
          <w:b/>
          <w:sz w:val="24"/>
        </w:rPr>
      </w:pPr>
      <w:r w:rsidRPr="00CF661F">
        <w:rPr>
          <w:rFonts w:ascii="Arial" w:hAnsi="Arial" w:cs="Arial"/>
          <w:b/>
          <w:sz w:val="24"/>
          <w:u w:val="single"/>
        </w:rPr>
        <w:t xml:space="preserve">Explanation of </w:t>
      </w:r>
      <w:r w:rsidRPr="00CF661F" w:rsidR="00796ED6">
        <w:rPr>
          <w:rFonts w:ascii="Arial" w:hAnsi="Arial" w:cs="Arial"/>
          <w:b/>
          <w:sz w:val="24"/>
          <w:u w:val="single"/>
        </w:rPr>
        <w:t>A</w:t>
      </w:r>
      <w:r w:rsidRPr="00CF661F">
        <w:rPr>
          <w:rFonts w:ascii="Arial" w:hAnsi="Arial" w:cs="Arial"/>
          <w:b/>
          <w:sz w:val="24"/>
          <w:u w:val="single"/>
        </w:rPr>
        <w:t>ny Payment/Gift to Respondents</w:t>
      </w:r>
    </w:p>
    <w:p w:rsidRPr="00CF661F" w:rsidR="006D5919" w:rsidP="006D5919" w:rsidRDefault="006D5919" w14:paraId="18BEA7A3" w14:textId="14476C1F">
      <w:pPr>
        <w:spacing w:before="120"/>
        <w:rPr>
          <w:rFonts w:ascii="Arial" w:hAnsi="Arial" w:cs="Arial"/>
          <w:bCs/>
          <w:sz w:val="24"/>
        </w:rPr>
      </w:pPr>
      <w:r w:rsidRPr="00CF661F">
        <w:rPr>
          <w:rFonts w:ascii="Arial" w:hAnsi="Arial" w:cs="Arial"/>
          <w:bCs/>
          <w:sz w:val="24"/>
        </w:rPr>
        <w:t>Respondents will not receive any payments or gifts.</w:t>
      </w:r>
    </w:p>
    <w:p w:rsidRPr="00CF661F" w:rsidR="009B3794" w:rsidP="00B354FC" w:rsidRDefault="00721F5A" w14:paraId="5B972736" w14:textId="55C7E93E">
      <w:pPr>
        <w:numPr>
          <w:ilvl w:val="0"/>
          <w:numId w:val="1"/>
        </w:numPr>
        <w:tabs>
          <w:tab w:val="clear" w:pos="1080"/>
          <w:tab w:val="num" w:pos="360"/>
        </w:tabs>
        <w:spacing w:before="240" w:after="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Assurance of Confidentiality Provided to Respondents</w:t>
      </w:r>
    </w:p>
    <w:p w:rsidRPr="00CF661F" w:rsidR="008F5EFE" w:rsidP="008F5EFE" w:rsidRDefault="008F5EFE" w14:paraId="0325199A" w14:textId="053EF207">
      <w:pPr>
        <w:rPr>
          <w:rFonts w:ascii="Arial" w:hAnsi="Arial" w:cs="Arial"/>
          <w:sz w:val="24"/>
        </w:rPr>
      </w:pPr>
      <w:r w:rsidRPr="00CF661F">
        <w:rPr>
          <w:rFonts w:ascii="Arial" w:hAnsi="Arial" w:cs="Arial"/>
          <w:sz w:val="24"/>
        </w:rPr>
        <w:t>The current project will fully comply with the Privacy Act of 1974 (5 U.S.C. Section 552a, 1998</w:t>
      </w:r>
      <w:r w:rsidRPr="00CF661F" w:rsidR="00CC21E0">
        <w:rPr>
          <w:rFonts w:ascii="Arial" w:hAnsi="Arial" w:cs="Arial"/>
          <w:sz w:val="24"/>
        </w:rPr>
        <w:t>;</w:t>
      </w:r>
      <w:r w:rsidRPr="00CF661F">
        <w:rPr>
          <w:rFonts w:ascii="Arial" w:hAnsi="Arial" w:cs="Arial"/>
          <w:sz w:val="24"/>
        </w:rPr>
        <w:t xml:space="preserve"> </w:t>
      </w:r>
      <w:hyperlink w:history="1" r:id="rId9">
        <w:r w:rsidRPr="00CF661F" w:rsidR="000E2B45">
          <w:rPr>
            <w:rStyle w:val="Hyperlink"/>
            <w:rFonts w:ascii="Arial" w:hAnsi="Arial" w:cs="Arial"/>
            <w:sz w:val="24"/>
          </w:rPr>
          <w:t>https://www.justice.gov/opcl/privacy-act-1974</w:t>
        </w:r>
      </w:hyperlink>
      <w:r w:rsidRPr="00CF661F">
        <w:rPr>
          <w:rFonts w:ascii="Arial" w:hAnsi="Arial" w:cs="Arial"/>
          <w:sz w:val="24"/>
        </w:rPr>
        <w:t>).</w:t>
      </w:r>
      <w:r w:rsidR="00721F5A">
        <w:rPr>
          <w:rFonts w:ascii="Arial" w:hAnsi="Arial" w:cs="Arial"/>
          <w:sz w:val="24"/>
        </w:rPr>
        <w:t xml:space="preserve"> </w:t>
      </w:r>
      <w:r w:rsidRPr="00CF661F">
        <w:rPr>
          <w:rFonts w:ascii="Arial" w:hAnsi="Arial" w:cs="Arial"/>
          <w:sz w:val="24"/>
        </w:rPr>
        <w:t>The Privacy Act may apply to some data collection activities (e.g., the study will collect email addresses from some respondents).</w:t>
      </w:r>
    </w:p>
    <w:p w:rsidRPr="00CF661F" w:rsidR="008F5EFE" w:rsidP="008F5EFE" w:rsidRDefault="008F5EFE" w14:paraId="4153E962" w14:textId="77777777">
      <w:pPr>
        <w:rPr>
          <w:rFonts w:ascii="Arial" w:hAnsi="Arial" w:cs="Arial"/>
          <w:sz w:val="24"/>
        </w:rPr>
      </w:pPr>
    </w:p>
    <w:p w:rsidRPr="00CF661F" w:rsidR="008F5EFE" w:rsidP="008F5EFE" w:rsidRDefault="008F5EFE" w14:paraId="4B2D3689" w14:textId="11B8F753">
      <w:pPr>
        <w:rPr>
          <w:rFonts w:ascii="Arial" w:hAnsi="Arial" w:cs="Arial"/>
          <w:sz w:val="24"/>
        </w:rPr>
      </w:pPr>
      <w:r w:rsidRPr="00CF661F">
        <w:rPr>
          <w:rFonts w:ascii="Arial" w:hAnsi="Arial" w:cs="Arial"/>
          <w:sz w:val="24"/>
        </w:rPr>
        <w:t xml:space="preserve">All respondents will be assured that their </w:t>
      </w:r>
      <w:r w:rsidRPr="00CF661F" w:rsidR="00321B04">
        <w:rPr>
          <w:rFonts w:ascii="Arial" w:hAnsi="Arial" w:cs="Arial"/>
          <w:sz w:val="24"/>
        </w:rPr>
        <w:t>data will be kept private to the extent allowed by law</w:t>
      </w:r>
      <w:r w:rsidRPr="00CF661F">
        <w:rPr>
          <w:rFonts w:ascii="Arial" w:hAnsi="Arial" w:cs="Arial"/>
          <w:sz w:val="24"/>
        </w:rPr>
        <w:t>. In addition, emails to inform participants about the data collection and any other introductory materials about the data collection will indicate HRSA’s Federal status and the purpose of the data collection.</w:t>
      </w:r>
      <w:r w:rsidR="00721F5A">
        <w:rPr>
          <w:rFonts w:ascii="Arial" w:hAnsi="Arial" w:cs="Arial"/>
          <w:sz w:val="24"/>
        </w:rPr>
        <w:t xml:space="preserve"> </w:t>
      </w:r>
      <w:r w:rsidRPr="00CF661F">
        <w:rPr>
          <w:rFonts w:ascii="Arial" w:hAnsi="Arial" w:cs="Arial"/>
          <w:sz w:val="24"/>
        </w:rPr>
        <w:t xml:space="preserve">Please see Attachments </w:t>
      </w:r>
      <w:r w:rsidRPr="00CF661F" w:rsidR="00D36A2A">
        <w:rPr>
          <w:rFonts w:ascii="Arial" w:hAnsi="Arial" w:cs="Arial"/>
          <w:sz w:val="24"/>
        </w:rPr>
        <w:t>A</w:t>
      </w:r>
      <w:r w:rsidRPr="00CF661F" w:rsidR="007D025C">
        <w:rPr>
          <w:rFonts w:ascii="Arial" w:hAnsi="Arial" w:cs="Arial"/>
          <w:sz w:val="24"/>
        </w:rPr>
        <w:t>2</w:t>
      </w:r>
      <w:r w:rsidRPr="00CF661F" w:rsidR="00CC21E0">
        <w:rPr>
          <w:rFonts w:ascii="Arial" w:hAnsi="Arial" w:cs="Arial"/>
          <w:sz w:val="24"/>
        </w:rPr>
        <w:t>‒</w:t>
      </w:r>
      <w:r w:rsidRPr="00CF661F" w:rsidR="00364CDA">
        <w:rPr>
          <w:rFonts w:ascii="Arial" w:hAnsi="Arial" w:cs="Arial"/>
          <w:sz w:val="24"/>
        </w:rPr>
        <w:t>3</w:t>
      </w:r>
      <w:r w:rsidRPr="00CF661F" w:rsidR="007D025C">
        <w:rPr>
          <w:rFonts w:ascii="Arial" w:hAnsi="Arial" w:cs="Arial"/>
          <w:sz w:val="24"/>
        </w:rPr>
        <w:t>7</w:t>
      </w:r>
      <w:r w:rsidRPr="00CF661F">
        <w:rPr>
          <w:rFonts w:ascii="Arial" w:hAnsi="Arial" w:cs="Arial"/>
          <w:sz w:val="24"/>
        </w:rPr>
        <w:t xml:space="preserve"> </w:t>
      </w:r>
      <w:r w:rsidRPr="00CF661F" w:rsidR="00364CDA">
        <w:rPr>
          <w:rFonts w:ascii="Arial" w:hAnsi="Arial" w:cs="Arial"/>
          <w:sz w:val="24"/>
        </w:rPr>
        <w:t xml:space="preserve">for </w:t>
      </w:r>
      <w:r w:rsidRPr="00CF661F">
        <w:rPr>
          <w:rFonts w:ascii="Arial" w:hAnsi="Arial" w:cs="Arial"/>
          <w:sz w:val="24"/>
        </w:rPr>
        <w:t>email notifications.</w:t>
      </w:r>
      <w:r w:rsidR="00721F5A">
        <w:rPr>
          <w:rFonts w:ascii="Arial" w:hAnsi="Arial" w:cs="Arial"/>
          <w:sz w:val="24"/>
        </w:rPr>
        <w:t xml:space="preserve"> </w:t>
      </w:r>
      <w:r w:rsidRPr="00CF661F">
        <w:rPr>
          <w:rFonts w:ascii="Arial" w:hAnsi="Arial" w:cs="Arial"/>
          <w:sz w:val="24"/>
        </w:rPr>
        <w:t>Section B contains additional information on study procedures related to email communication.</w:t>
      </w:r>
    </w:p>
    <w:p w:rsidR="00CF661F" w:rsidP="00364CDA" w:rsidRDefault="00CF661F" w14:paraId="38D70760" w14:textId="77777777">
      <w:pPr>
        <w:tabs>
          <w:tab w:val="left" w:pos="1440"/>
        </w:tabs>
        <w:rPr>
          <w:rFonts w:ascii="Arial" w:hAnsi="Arial" w:cs="Arial"/>
          <w:sz w:val="24"/>
        </w:rPr>
      </w:pPr>
    </w:p>
    <w:p w:rsidR="00BD7513" w:rsidP="004B58D1" w:rsidRDefault="007E02C1" w14:paraId="19244E97" w14:textId="608CCE73">
      <w:pPr>
        <w:tabs>
          <w:tab w:val="left" w:pos="1440"/>
        </w:tabs>
        <w:rPr>
          <w:rFonts w:ascii="Arial" w:hAnsi="Arial" w:cs="Arial"/>
          <w:sz w:val="24"/>
        </w:rPr>
      </w:pPr>
      <w:r w:rsidRPr="00CF661F">
        <w:rPr>
          <w:rFonts w:ascii="Arial" w:hAnsi="Arial" w:cs="Arial"/>
          <w:sz w:val="24"/>
        </w:rPr>
        <w:t>T</w:t>
      </w:r>
      <w:r w:rsidRPr="00CF661F" w:rsidR="008F5EFE">
        <w:rPr>
          <w:rFonts w:ascii="Arial" w:hAnsi="Arial" w:cs="Arial"/>
          <w:sz w:val="24"/>
        </w:rPr>
        <w:t xml:space="preserve">he study meets the Common Rule definitions for human subjects research </w:t>
      </w:r>
      <w:r w:rsidRPr="00CF661F" w:rsidR="00CC21E0">
        <w:rPr>
          <w:rFonts w:ascii="Arial" w:hAnsi="Arial" w:cs="Arial"/>
          <w:sz w:val="24"/>
        </w:rPr>
        <w:t>(</w:t>
      </w:r>
      <w:r w:rsidRPr="00CF661F" w:rsidR="008F5EFE">
        <w:rPr>
          <w:rFonts w:ascii="Arial" w:hAnsi="Arial" w:cs="Arial"/>
          <w:sz w:val="24"/>
        </w:rPr>
        <w:t>45 CFR 46</w:t>
      </w:r>
      <w:r w:rsidRPr="00CF661F" w:rsidR="00CC21E0">
        <w:rPr>
          <w:rFonts w:ascii="Arial" w:hAnsi="Arial" w:cs="Arial"/>
          <w:sz w:val="24"/>
        </w:rPr>
        <w:t>,</w:t>
      </w:r>
      <w:r w:rsidRPr="00CF661F" w:rsidR="008F5EFE">
        <w:rPr>
          <w:rFonts w:ascii="Arial" w:hAnsi="Arial" w:cs="Arial"/>
          <w:sz w:val="24"/>
        </w:rPr>
        <w:t xml:space="preserve"> Regulations for Protection of Human Subjects)</w:t>
      </w:r>
      <w:r w:rsidRPr="00CF661F" w:rsidR="00EA23E8">
        <w:rPr>
          <w:rFonts w:ascii="Arial" w:hAnsi="Arial" w:cs="Arial"/>
          <w:sz w:val="24"/>
        </w:rPr>
        <w:t>;</w:t>
      </w:r>
      <w:r w:rsidRPr="00CF661F" w:rsidR="008F5EFE">
        <w:rPr>
          <w:rFonts w:ascii="Arial" w:hAnsi="Arial" w:cs="Arial"/>
          <w:sz w:val="24"/>
        </w:rPr>
        <w:t xml:space="preserve"> </w:t>
      </w:r>
      <w:r w:rsidRPr="00CF661F">
        <w:rPr>
          <w:rFonts w:ascii="Arial" w:hAnsi="Arial" w:cs="Arial"/>
          <w:sz w:val="24"/>
        </w:rPr>
        <w:t>however, the JBS I</w:t>
      </w:r>
      <w:r w:rsidRPr="00CF661F" w:rsidR="00EA23E8">
        <w:rPr>
          <w:rFonts w:ascii="Arial" w:hAnsi="Arial" w:cs="Arial"/>
          <w:sz w:val="24"/>
        </w:rPr>
        <w:t xml:space="preserve">nstitutional Review </w:t>
      </w:r>
      <w:r w:rsidRPr="00CF661F">
        <w:rPr>
          <w:rFonts w:ascii="Arial" w:hAnsi="Arial" w:cs="Arial"/>
          <w:sz w:val="24"/>
        </w:rPr>
        <w:t>B</w:t>
      </w:r>
      <w:r w:rsidRPr="00CF661F" w:rsidR="00EA23E8">
        <w:rPr>
          <w:rFonts w:ascii="Arial" w:hAnsi="Arial" w:cs="Arial"/>
          <w:sz w:val="24"/>
        </w:rPr>
        <w:t>oard</w:t>
      </w:r>
      <w:r w:rsidRPr="00CF661F">
        <w:rPr>
          <w:rFonts w:ascii="Arial" w:hAnsi="Arial" w:cs="Arial"/>
          <w:sz w:val="24"/>
        </w:rPr>
        <w:t xml:space="preserve"> </w:t>
      </w:r>
      <w:r w:rsidRPr="00CF661F" w:rsidR="00EA23E8">
        <w:rPr>
          <w:rFonts w:ascii="Arial" w:hAnsi="Arial" w:cs="Arial"/>
          <w:sz w:val="24"/>
        </w:rPr>
        <w:t xml:space="preserve">(IRB) </w:t>
      </w:r>
      <w:r w:rsidRPr="00CF661F">
        <w:rPr>
          <w:rFonts w:ascii="Arial" w:hAnsi="Arial" w:cs="Arial"/>
          <w:sz w:val="24"/>
        </w:rPr>
        <w:t xml:space="preserve">determined that this research is eligible for exemption under 45 CFR 46.101(b)(5) from 45 CFR </w:t>
      </w:r>
      <w:r w:rsidRPr="00CF661F" w:rsidR="00CC21E0">
        <w:rPr>
          <w:rFonts w:ascii="Arial" w:hAnsi="Arial" w:cs="Arial"/>
          <w:sz w:val="24"/>
        </w:rPr>
        <w:t>P</w:t>
      </w:r>
      <w:r w:rsidRPr="00CF661F">
        <w:rPr>
          <w:rFonts w:ascii="Arial" w:hAnsi="Arial" w:cs="Arial"/>
          <w:sz w:val="24"/>
        </w:rPr>
        <w:t>art 46 requirements</w:t>
      </w:r>
      <w:r w:rsidRPr="00CF661F" w:rsidR="00D36A2A">
        <w:rPr>
          <w:rFonts w:ascii="Arial" w:hAnsi="Arial" w:cs="Arial"/>
          <w:sz w:val="24"/>
        </w:rPr>
        <w:t xml:space="preserve"> (see Attachment A</w:t>
      </w:r>
      <w:r w:rsidRPr="00CF661F" w:rsidR="00364CDA">
        <w:rPr>
          <w:rFonts w:ascii="Arial" w:hAnsi="Arial" w:cs="Arial"/>
          <w:sz w:val="24"/>
        </w:rPr>
        <w:t>3</w:t>
      </w:r>
      <w:r w:rsidRPr="00CF661F" w:rsidR="007D025C">
        <w:rPr>
          <w:rFonts w:ascii="Arial" w:hAnsi="Arial" w:cs="Arial"/>
          <w:sz w:val="24"/>
        </w:rPr>
        <w:t>8</w:t>
      </w:r>
      <w:r w:rsidRPr="00CF661F" w:rsidR="00D36A2A">
        <w:rPr>
          <w:rFonts w:ascii="Arial" w:hAnsi="Arial" w:cs="Arial"/>
          <w:sz w:val="24"/>
        </w:rPr>
        <w:t>)</w:t>
      </w:r>
      <w:r w:rsidRPr="00CF661F" w:rsidR="008F5EFE">
        <w:rPr>
          <w:rFonts w:ascii="Arial" w:hAnsi="Arial" w:cs="Arial"/>
          <w:sz w:val="24"/>
        </w:rPr>
        <w:t>.</w:t>
      </w:r>
      <w:r w:rsidR="00721F5A">
        <w:rPr>
          <w:rFonts w:ascii="Arial" w:hAnsi="Arial" w:cs="Arial"/>
          <w:sz w:val="24"/>
        </w:rPr>
        <w:t xml:space="preserve"> </w:t>
      </w:r>
      <w:r w:rsidRPr="00CF661F" w:rsidR="008F5EFE">
        <w:rPr>
          <w:rFonts w:ascii="Arial" w:hAnsi="Arial" w:cs="Arial"/>
          <w:sz w:val="24"/>
        </w:rPr>
        <w:t>The JBS IRB requires that data collected be kept secure.</w:t>
      </w:r>
      <w:r w:rsidR="00721F5A">
        <w:rPr>
          <w:rFonts w:ascii="Arial" w:hAnsi="Arial" w:cs="Arial"/>
          <w:sz w:val="24"/>
        </w:rPr>
        <w:t xml:space="preserve"> </w:t>
      </w:r>
      <w:r w:rsidRPr="00CF661F" w:rsidR="008F5EFE">
        <w:rPr>
          <w:rFonts w:ascii="Arial" w:hAnsi="Arial" w:cs="Arial"/>
          <w:sz w:val="24"/>
        </w:rPr>
        <w:t>Participants will be informed that the information they provide will be kept private.</w:t>
      </w:r>
      <w:r w:rsidR="00721F5A">
        <w:rPr>
          <w:rFonts w:ascii="Arial" w:hAnsi="Arial" w:cs="Arial"/>
          <w:sz w:val="24"/>
        </w:rPr>
        <w:t xml:space="preserve"> </w:t>
      </w:r>
      <w:r w:rsidRPr="00CF661F" w:rsidR="008F5EFE">
        <w:rPr>
          <w:rFonts w:ascii="Arial" w:hAnsi="Arial" w:cs="Arial"/>
          <w:sz w:val="24"/>
        </w:rPr>
        <w:t xml:space="preserve">HRSA will </w:t>
      </w:r>
      <w:r w:rsidRPr="00CF661F" w:rsidR="00A54AF5">
        <w:rPr>
          <w:rFonts w:ascii="Arial" w:hAnsi="Arial" w:cs="Arial"/>
          <w:sz w:val="24"/>
        </w:rPr>
        <w:t xml:space="preserve">only receive </w:t>
      </w:r>
      <w:r w:rsidRPr="00CF661F" w:rsidR="008F5EFE">
        <w:rPr>
          <w:rFonts w:ascii="Arial" w:hAnsi="Arial" w:cs="Arial"/>
          <w:sz w:val="24"/>
        </w:rPr>
        <w:t>the</w:t>
      </w:r>
      <w:r w:rsidRPr="00CF661F" w:rsidR="00A54AF5">
        <w:rPr>
          <w:rFonts w:ascii="Arial" w:hAnsi="Arial" w:cs="Arial"/>
          <w:sz w:val="24"/>
        </w:rPr>
        <w:t xml:space="preserve"> deidentified </w:t>
      </w:r>
      <w:r w:rsidRPr="00CF661F" w:rsidR="008F5EFE">
        <w:rPr>
          <w:rFonts w:ascii="Arial" w:hAnsi="Arial" w:cs="Arial"/>
          <w:sz w:val="24"/>
        </w:rPr>
        <w:t>data.</w:t>
      </w:r>
      <w:r w:rsidR="00721F5A">
        <w:rPr>
          <w:rFonts w:ascii="Arial" w:hAnsi="Arial" w:cs="Arial"/>
          <w:sz w:val="24"/>
        </w:rPr>
        <w:t xml:space="preserve"> </w:t>
      </w:r>
      <w:r w:rsidRPr="00CF661F" w:rsidR="00EA23E8">
        <w:rPr>
          <w:rFonts w:ascii="Arial" w:hAnsi="Arial" w:cs="Arial"/>
          <w:sz w:val="24"/>
        </w:rPr>
        <w:t>T</w:t>
      </w:r>
      <w:r w:rsidRPr="00CF661F" w:rsidR="008F5EFE">
        <w:rPr>
          <w:rFonts w:ascii="Arial" w:hAnsi="Arial" w:cs="Arial"/>
          <w:sz w:val="24"/>
        </w:rPr>
        <w:t xml:space="preserve">o protect </w:t>
      </w:r>
      <w:r w:rsidRPr="00CF661F" w:rsidR="00CC21E0">
        <w:rPr>
          <w:rFonts w:ascii="Arial" w:hAnsi="Arial" w:cs="Arial"/>
          <w:sz w:val="24"/>
        </w:rPr>
        <w:t xml:space="preserve">the subjects’ </w:t>
      </w:r>
      <w:r w:rsidRPr="00CF661F" w:rsidR="008F5EFE">
        <w:rPr>
          <w:rFonts w:ascii="Arial" w:hAnsi="Arial" w:cs="Arial"/>
          <w:sz w:val="24"/>
        </w:rPr>
        <w:t>privacy, each subject will be assigned a unique study ID number.</w:t>
      </w:r>
      <w:r w:rsidR="00721F5A">
        <w:rPr>
          <w:rFonts w:ascii="Arial" w:hAnsi="Arial" w:cs="Arial"/>
          <w:sz w:val="24"/>
        </w:rPr>
        <w:t xml:space="preserve"> </w:t>
      </w:r>
      <w:r w:rsidRPr="00CF661F" w:rsidR="008F5EFE">
        <w:rPr>
          <w:rFonts w:ascii="Arial" w:hAnsi="Arial" w:cs="Arial"/>
          <w:sz w:val="24"/>
        </w:rPr>
        <w:t xml:space="preserve">All documents that identify participants by name will be kept in a locked file cabinet in the office of the </w:t>
      </w:r>
      <w:r w:rsidRPr="00CF661F" w:rsidR="00EA23E8">
        <w:rPr>
          <w:rFonts w:ascii="Arial" w:hAnsi="Arial" w:cs="Arial"/>
          <w:sz w:val="24"/>
        </w:rPr>
        <w:t>r</w:t>
      </w:r>
      <w:r w:rsidRPr="00CF661F" w:rsidR="008F5EFE">
        <w:rPr>
          <w:rFonts w:ascii="Arial" w:hAnsi="Arial" w:cs="Arial"/>
          <w:sz w:val="24"/>
        </w:rPr>
        <w:t xml:space="preserve">esearch </w:t>
      </w:r>
      <w:r w:rsidRPr="00CF661F" w:rsidR="00EA23E8">
        <w:rPr>
          <w:rFonts w:ascii="Arial" w:hAnsi="Arial" w:cs="Arial"/>
          <w:sz w:val="24"/>
        </w:rPr>
        <w:t>p</w:t>
      </w:r>
      <w:r w:rsidRPr="00CF661F" w:rsidR="008F5EFE">
        <w:rPr>
          <w:rFonts w:ascii="Arial" w:hAnsi="Arial" w:cs="Arial"/>
          <w:sz w:val="24"/>
        </w:rPr>
        <w:t xml:space="preserve">roject </w:t>
      </w:r>
      <w:r w:rsidRPr="00CF661F" w:rsidR="00EA23E8">
        <w:rPr>
          <w:rFonts w:ascii="Arial" w:hAnsi="Arial" w:cs="Arial"/>
          <w:sz w:val="24"/>
        </w:rPr>
        <w:t>m</w:t>
      </w:r>
      <w:r w:rsidRPr="00CF661F" w:rsidR="008F5EFE">
        <w:rPr>
          <w:rFonts w:ascii="Arial" w:hAnsi="Arial" w:cs="Arial"/>
          <w:sz w:val="24"/>
        </w:rPr>
        <w:t>anagers.</w:t>
      </w:r>
      <w:r w:rsidR="00721F5A">
        <w:rPr>
          <w:rFonts w:ascii="Arial" w:hAnsi="Arial" w:cs="Arial"/>
          <w:sz w:val="24"/>
        </w:rPr>
        <w:t xml:space="preserve"> </w:t>
      </w:r>
      <w:r w:rsidRPr="00CF661F" w:rsidR="008F5EFE">
        <w:rPr>
          <w:rFonts w:ascii="Arial" w:hAnsi="Arial" w:cs="Arial"/>
          <w:sz w:val="24"/>
        </w:rPr>
        <w:t>The documents will be stored for 3 years (along with all data) and then destroyed.</w:t>
      </w:r>
      <w:r w:rsidR="00721F5A">
        <w:rPr>
          <w:rFonts w:ascii="Arial" w:hAnsi="Arial" w:cs="Arial"/>
          <w:sz w:val="24"/>
        </w:rPr>
        <w:t xml:space="preserve"> </w:t>
      </w:r>
      <w:r w:rsidRPr="00CF661F" w:rsidR="008F5EFE">
        <w:rPr>
          <w:rFonts w:ascii="Arial" w:hAnsi="Arial" w:cs="Arial"/>
          <w:sz w:val="24"/>
        </w:rPr>
        <w:t>All databases related to the study will</w:t>
      </w:r>
      <w:r w:rsidRPr="00CF661F" w:rsidR="00EA23E8">
        <w:rPr>
          <w:rFonts w:ascii="Arial" w:hAnsi="Arial" w:cs="Arial"/>
          <w:sz w:val="24"/>
        </w:rPr>
        <w:t>,</w:t>
      </w:r>
      <w:r w:rsidRPr="00CF661F" w:rsidR="008F5EFE">
        <w:rPr>
          <w:rFonts w:ascii="Arial" w:hAnsi="Arial" w:cs="Arial"/>
          <w:sz w:val="24"/>
        </w:rPr>
        <w:t xml:space="preserve"> therefore</w:t>
      </w:r>
      <w:r w:rsidRPr="00CF661F" w:rsidR="00EA23E8">
        <w:rPr>
          <w:rFonts w:ascii="Arial" w:hAnsi="Arial" w:cs="Arial"/>
          <w:sz w:val="24"/>
        </w:rPr>
        <w:t>,</w:t>
      </w:r>
      <w:r w:rsidRPr="00CF661F" w:rsidR="008F5EFE">
        <w:rPr>
          <w:rFonts w:ascii="Arial" w:hAnsi="Arial" w:cs="Arial"/>
          <w:sz w:val="24"/>
        </w:rPr>
        <w:t xml:space="preserve"> not contain subjects</w:t>
      </w:r>
      <w:r w:rsidRPr="00CF661F" w:rsidR="00EA23E8">
        <w:rPr>
          <w:rFonts w:ascii="Arial" w:hAnsi="Arial" w:cs="Arial"/>
          <w:sz w:val="24"/>
        </w:rPr>
        <w:t>’</w:t>
      </w:r>
      <w:r w:rsidRPr="00CF661F" w:rsidR="008F5EFE">
        <w:rPr>
          <w:rFonts w:ascii="Arial" w:hAnsi="Arial" w:cs="Arial"/>
          <w:sz w:val="24"/>
        </w:rPr>
        <w:t xml:space="preserve"> name</w:t>
      </w:r>
      <w:r w:rsidRPr="00CF661F" w:rsidR="00EA23E8">
        <w:rPr>
          <w:rFonts w:ascii="Arial" w:hAnsi="Arial" w:cs="Arial"/>
          <w:sz w:val="24"/>
        </w:rPr>
        <w:t>s</w:t>
      </w:r>
      <w:r w:rsidRPr="00CF661F" w:rsidR="008F5EFE">
        <w:rPr>
          <w:rFonts w:ascii="Arial" w:hAnsi="Arial" w:cs="Arial"/>
          <w:sz w:val="24"/>
        </w:rPr>
        <w:t xml:space="preserve"> or other personal identification (e.g., </w:t>
      </w:r>
      <w:r w:rsidRPr="00CF661F" w:rsidR="00321B04">
        <w:rPr>
          <w:rFonts w:ascii="Arial" w:hAnsi="Arial" w:cs="Arial"/>
          <w:sz w:val="24"/>
        </w:rPr>
        <w:t xml:space="preserve">email </w:t>
      </w:r>
      <w:r w:rsidRPr="00CF661F" w:rsidR="00321B04">
        <w:rPr>
          <w:rFonts w:ascii="Arial" w:hAnsi="Arial" w:cs="Arial"/>
          <w:sz w:val="24"/>
        </w:rPr>
        <w:lastRenderedPageBreak/>
        <w:t>address</w:t>
      </w:r>
      <w:r w:rsidRPr="00CF661F" w:rsidR="00EA23E8">
        <w:rPr>
          <w:rFonts w:ascii="Arial" w:hAnsi="Arial" w:cs="Arial"/>
          <w:sz w:val="24"/>
        </w:rPr>
        <w:t>es</w:t>
      </w:r>
      <w:r w:rsidRPr="00CF661F" w:rsidR="008F5EFE">
        <w:rPr>
          <w:rFonts w:ascii="Arial" w:hAnsi="Arial" w:cs="Arial"/>
          <w:sz w:val="24"/>
        </w:rPr>
        <w:t>).</w:t>
      </w:r>
      <w:r w:rsidR="00721F5A">
        <w:rPr>
          <w:rFonts w:ascii="Arial" w:hAnsi="Arial" w:cs="Arial"/>
          <w:sz w:val="24"/>
        </w:rPr>
        <w:t xml:space="preserve"> </w:t>
      </w:r>
      <w:r w:rsidRPr="00CF661F" w:rsidR="008F5EFE">
        <w:rPr>
          <w:rFonts w:ascii="Arial" w:hAnsi="Arial" w:cs="Arial"/>
          <w:sz w:val="24"/>
        </w:rPr>
        <w:t>Th</w:t>
      </w:r>
      <w:r w:rsidRPr="00CF661F" w:rsidR="00CC21E0">
        <w:rPr>
          <w:rFonts w:ascii="Arial" w:hAnsi="Arial" w:cs="Arial"/>
          <w:sz w:val="24"/>
        </w:rPr>
        <w:t xml:space="preserve">is information </w:t>
      </w:r>
      <w:r w:rsidRPr="00CF661F" w:rsidR="008F5EFE">
        <w:rPr>
          <w:rFonts w:ascii="Arial" w:hAnsi="Arial" w:cs="Arial"/>
          <w:sz w:val="24"/>
        </w:rPr>
        <w:t xml:space="preserve">will be </w:t>
      </w:r>
      <w:r w:rsidRPr="00CF661F" w:rsidR="00EA23E8">
        <w:rPr>
          <w:rFonts w:ascii="Arial" w:hAnsi="Arial" w:cs="Arial"/>
          <w:sz w:val="24"/>
        </w:rPr>
        <w:t xml:space="preserve">stored in </w:t>
      </w:r>
      <w:r w:rsidRPr="00CF661F" w:rsidR="008F5EFE">
        <w:rPr>
          <w:rFonts w:ascii="Arial" w:hAnsi="Arial" w:cs="Arial"/>
          <w:sz w:val="24"/>
        </w:rPr>
        <w:t>password</w:t>
      </w:r>
      <w:r w:rsidRPr="00CF661F" w:rsidR="00EA23E8">
        <w:rPr>
          <w:rFonts w:ascii="Arial" w:hAnsi="Arial" w:cs="Arial"/>
          <w:sz w:val="24"/>
        </w:rPr>
        <w:t>-</w:t>
      </w:r>
      <w:r w:rsidRPr="00CF661F" w:rsidR="008F5EFE">
        <w:rPr>
          <w:rFonts w:ascii="Arial" w:hAnsi="Arial" w:cs="Arial"/>
          <w:sz w:val="24"/>
        </w:rPr>
        <w:t xml:space="preserve">protected databases with </w:t>
      </w:r>
      <w:r w:rsidRPr="00CF661F" w:rsidR="00321B04">
        <w:rPr>
          <w:rFonts w:ascii="Arial" w:hAnsi="Arial" w:cs="Arial"/>
          <w:sz w:val="24"/>
        </w:rPr>
        <w:t>well-established</w:t>
      </w:r>
      <w:r w:rsidRPr="00CF661F" w:rsidR="008F5EFE">
        <w:rPr>
          <w:rFonts w:ascii="Arial" w:hAnsi="Arial" w:cs="Arial"/>
          <w:sz w:val="24"/>
        </w:rPr>
        <w:t xml:space="preserve"> security systems to prevent unauthorized access.</w:t>
      </w:r>
      <w:r w:rsidR="00721F5A">
        <w:rPr>
          <w:rFonts w:ascii="Arial" w:hAnsi="Arial" w:cs="Arial"/>
          <w:sz w:val="24"/>
        </w:rPr>
        <w:t xml:space="preserve"> </w:t>
      </w:r>
      <w:bookmarkStart w:name="_Hlk19714216" w:id="1"/>
    </w:p>
    <w:p w:rsidR="00BD7513" w:rsidP="004B58D1" w:rsidRDefault="00BD7513" w14:paraId="6C1C66F9" w14:textId="77777777">
      <w:pPr>
        <w:tabs>
          <w:tab w:val="left" w:pos="1440"/>
        </w:tabs>
        <w:rPr>
          <w:rFonts w:ascii="Arial" w:hAnsi="Arial" w:cs="Arial"/>
          <w:sz w:val="24"/>
        </w:rPr>
      </w:pPr>
    </w:p>
    <w:p w:rsidRPr="00BD7513" w:rsidR="009B3794" w:rsidP="00BD7513" w:rsidRDefault="00721F5A" w14:paraId="5B97273E" w14:textId="64F88E59">
      <w:pPr>
        <w:pStyle w:val="ListParagraph"/>
        <w:numPr>
          <w:ilvl w:val="0"/>
          <w:numId w:val="1"/>
        </w:numPr>
        <w:tabs>
          <w:tab w:val="clear" w:pos="1080"/>
          <w:tab w:val="left" w:pos="1440"/>
        </w:tabs>
        <w:ind w:left="360"/>
        <w:rPr>
          <w:rFonts w:ascii="Arial" w:hAnsi="Arial" w:cs="Arial"/>
          <w:sz w:val="24"/>
        </w:rPr>
      </w:pPr>
      <w:r>
        <w:rPr>
          <w:rFonts w:ascii="Arial" w:hAnsi="Arial" w:cs="Arial"/>
          <w:b/>
          <w:sz w:val="24"/>
        </w:rPr>
        <w:t xml:space="preserve"> </w:t>
      </w:r>
      <w:r w:rsidRPr="00BD7513" w:rsidR="009B3794">
        <w:rPr>
          <w:rFonts w:ascii="Arial" w:hAnsi="Arial" w:cs="Arial"/>
          <w:b/>
          <w:sz w:val="24"/>
          <w:u w:val="single"/>
        </w:rPr>
        <w:t>Justification for Sensitive Questions</w:t>
      </w:r>
    </w:p>
    <w:p w:rsidRPr="00CF661F" w:rsidR="008F5EFE" w:rsidP="008F5EFE" w:rsidRDefault="008F5EFE" w14:paraId="1C096309" w14:textId="5C0AEC40">
      <w:pPr>
        <w:spacing w:before="240"/>
        <w:rPr>
          <w:rFonts w:ascii="Arial" w:hAnsi="Arial" w:cs="Arial"/>
          <w:bCs/>
          <w:sz w:val="24"/>
        </w:rPr>
      </w:pPr>
      <w:bookmarkStart w:name="_Hlk19709775" w:id="2"/>
      <w:r w:rsidRPr="00CF661F">
        <w:rPr>
          <w:rFonts w:ascii="Arial" w:hAnsi="Arial" w:cs="Arial"/>
          <w:bCs/>
          <w:sz w:val="24"/>
        </w:rPr>
        <w:t xml:space="preserve">Personally identifiable information </w:t>
      </w:r>
      <w:r w:rsidRPr="00CF661F" w:rsidR="005A2725">
        <w:rPr>
          <w:rFonts w:ascii="Arial" w:hAnsi="Arial" w:cs="Arial"/>
          <w:bCs/>
          <w:sz w:val="24"/>
        </w:rPr>
        <w:t xml:space="preserve">(PII) </w:t>
      </w:r>
      <w:r w:rsidRPr="00CF661F">
        <w:rPr>
          <w:rFonts w:ascii="Arial" w:hAnsi="Arial" w:cs="Arial"/>
          <w:bCs/>
          <w:sz w:val="24"/>
        </w:rPr>
        <w:t xml:space="preserve">including </w:t>
      </w:r>
      <w:r w:rsidRPr="00CF661F" w:rsidR="00CC21E0">
        <w:rPr>
          <w:rFonts w:ascii="Arial" w:hAnsi="Arial" w:cs="Arial"/>
          <w:bCs/>
          <w:sz w:val="24"/>
        </w:rPr>
        <w:t xml:space="preserve">participants’ </w:t>
      </w:r>
      <w:r w:rsidRPr="00CF661F">
        <w:rPr>
          <w:rFonts w:ascii="Arial" w:hAnsi="Arial" w:cs="Arial"/>
          <w:bCs/>
          <w:sz w:val="24"/>
        </w:rPr>
        <w:t xml:space="preserve">names and email addresses will be collected for </w:t>
      </w:r>
      <w:r w:rsidRPr="00CF661F" w:rsidR="00EA23E8">
        <w:rPr>
          <w:rFonts w:ascii="Arial" w:hAnsi="Arial" w:cs="Arial"/>
          <w:bCs/>
          <w:sz w:val="24"/>
        </w:rPr>
        <w:t>administration</w:t>
      </w:r>
      <w:r w:rsidRPr="00CF661F">
        <w:rPr>
          <w:rFonts w:ascii="Arial" w:hAnsi="Arial" w:cs="Arial"/>
          <w:bCs/>
          <w:sz w:val="24"/>
        </w:rPr>
        <w:t xml:space="preserve"> of </w:t>
      </w:r>
      <w:r w:rsidRPr="00CF661F" w:rsidR="00EA23E8">
        <w:rPr>
          <w:rFonts w:ascii="Arial" w:hAnsi="Arial" w:cs="Arial"/>
          <w:bCs/>
          <w:sz w:val="24"/>
        </w:rPr>
        <w:t xml:space="preserve">the </w:t>
      </w:r>
      <w:r w:rsidRPr="00CF661F">
        <w:rPr>
          <w:rFonts w:ascii="Arial" w:hAnsi="Arial" w:cs="Arial"/>
          <w:bCs/>
          <w:sz w:val="24"/>
        </w:rPr>
        <w:t>survey</w:t>
      </w:r>
      <w:r w:rsidRPr="00CF661F" w:rsidR="00EA23E8">
        <w:rPr>
          <w:rFonts w:ascii="Arial" w:hAnsi="Arial" w:cs="Arial"/>
          <w:bCs/>
          <w:sz w:val="24"/>
        </w:rPr>
        <w:t>s</w:t>
      </w:r>
      <w:r w:rsidRPr="00CF661F">
        <w:rPr>
          <w:rFonts w:ascii="Arial" w:hAnsi="Arial" w:cs="Arial"/>
          <w:bCs/>
          <w:sz w:val="24"/>
        </w:rPr>
        <w:t xml:space="preserve"> and </w:t>
      </w:r>
      <w:r w:rsidRPr="00CF661F" w:rsidR="00E02D11">
        <w:rPr>
          <w:rFonts w:ascii="Arial" w:hAnsi="Arial" w:cs="Arial"/>
          <w:bCs/>
          <w:sz w:val="24"/>
        </w:rPr>
        <w:t>SSIs</w:t>
      </w:r>
      <w:r w:rsidRPr="00CF661F">
        <w:rPr>
          <w:rFonts w:ascii="Arial" w:hAnsi="Arial" w:cs="Arial"/>
          <w:bCs/>
          <w:sz w:val="24"/>
        </w:rPr>
        <w:t>.</w:t>
      </w:r>
      <w:r w:rsidR="00721F5A">
        <w:rPr>
          <w:rFonts w:ascii="Arial" w:hAnsi="Arial" w:cs="Arial"/>
          <w:bCs/>
          <w:sz w:val="24"/>
        </w:rPr>
        <w:t xml:space="preserve"> </w:t>
      </w:r>
      <w:r w:rsidRPr="00CF661F" w:rsidR="005B6390">
        <w:rPr>
          <w:rFonts w:ascii="Arial" w:hAnsi="Arial" w:cs="Arial"/>
          <w:bCs/>
          <w:sz w:val="24"/>
        </w:rPr>
        <w:t>The surveys do not ask for information of a sensitive nature (e.g., sexual practices, alcohol or drug use, religious preference) other than race/ethnicity.</w:t>
      </w:r>
      <w:r w:rsidR="00721F5A">
        <w:rPr>
          <w:rFonts w:ascii="Arial" w:hAnsi="Arial" w:cs="Arial"/>
          <w:bCs/>
          <w:sz w:val="24"/>
        </w:rPr>
        <w:t xml:space="preserve"> </w:t>
      </w:r>
      <w:r w:rsidRPr="00CF661F" w:rsidR="005B6390">
        <w:rPr>
          <w:rFonts w:ascii="Arial" w:hAnsi="Arial" w:cs="Arial"/>
          <w:bCs/>
          <w:sz w:val="24"/>
        </w:rPr>
        <w:t>Specifically, H</w:t>
      </w:r>
      <w:r w:rsidRPr="00CF661F">
        <w:rPr>
          <w:rFonts w:ascii="Arial" w:hAnsi="Arial" w:cs="Arial"/>
          <w:bCs/>
          <w:sz w:val="24"/>
        </w:rPr>
        <w:t>CP Survey respondents will be asked for their race and ethnicity.</w:t>
      </w:r>
      <w:r w:rsidR="00721F5A">
        <w:rPr>
          <w:rFonts w:ascii="Arial" w:hAnsi="Arial" w:cs="Arial"/>
          <w:bCs/>
          <w:sz w:val="24"/>
        </w:rPr>
        <w:t xml:space="preserve"> </w:t>
      </w:r>
      <w:r w:rsidRPr="00CF661F">
        <w:rPr>
          <w:rFonts w:ascii="Arial" w:hAnsi="Arial" w:cs="Arial"/>
          <w:bCs/>
          <w:sz w:val="24"/>
        </w:rPr>
        <w:t xml:space="preserve">Collection of these data are </w:t>
      </w:r>
      <w:r w:rsidRPr="00CF661F" w:rsidR="00487F07">
        <w:rPr>
          <w:rFonts w:ascii="Arial" w:hAnsi="Arial" w:cs="Arial"/>
          <w:bCs/>
          <w:sz w:val="24"/>
        </w:rPr>
        <w:t>necessary for</w:t>
      </w:r>
      <w:r w:rsidRPr="00CF661F">
        <w:rPr>
          <w:rFonts w:ascii="Arial" w:hAnsi="Arial" w:cs="Arial"/>
          <w:bCs/>
          <w:sz w:val="24"/>
        </w:rPr>
        <w:t xml:space="preserve"> the evaluation because </w:t>
      </w:r>
      <w:r w:rsidRPr="00CF661F" w:rsidR="00A75EC8">
        <w:rPr>
          <w:rFonts w:ascii="Arial" w:hAnsi="Arial" w:cs="Arial"/>
          <w:sz w:val="24"/>
        </w:rPr>
        <w:t>a diverse workforce is important to patient</w:t>
      </w:r>
      <w:r w:rsidRPr="00CF661F" w:rsidR="00EA23E8">
        <w:rPr>
          <w:rFonts w:ascii="Arial" w:hAnsi="Arial" w:cs="Arial"/>
          <w:sz w:val="24"/>
        </w:rPr>
        <w:t>‒</w:t>
      </w:r>
      <w:r w:rsidRPr="00CF661F" w:rsidR="00A75EC8">
        <w:rPr>
          <w:rFonts w:ascii="Arial" w:hAnsi="Arial" w:cs="Arial"/>
          <w:sz w:val="24"/>
        </w:rPr>
        <w:t>clinician communication and access to care for patients belonging to minority populations</w:t>
      </w:r>
      <w:r w:rsidRPr="00CF661F" w:rsidR="00EA23E8">
        <w:rPr>
          <w:rFonts w:ascii="Arial" w:hAnsi="Arial" w:cs="Arial"/>
          <w:sz w:val="24"/>
        </w:rPr>
        <w:t xml:space="preserve"> </w:t>
      </w:r>
      <w:r w:rsidRPr="00CF661F" w:rsidR="00487F07">
        <w:rPr>
          <w:rFonts w:ascii="Arial" w:hAnsi="Arial" w:cs="Arial"/>
          <w:sz w:val="24"/>
        </w:rPr>
        <w:t>(</w:t>
      </w:r>
      <w:r w:rsidRPr="00CF661F" w:rsidR="00EA23E8">
        <w:rPr>
          <w:rFonts w:ascii="Arial" w:hAnsi="Arial" w:cs="Arial"/>
          <w:sz w:val="24"/>
        </w:rPr>
        <w:t>U.S. Department of Health and Human Services, 2017)</w:t>
      </w:r>
      <w:r w:rsidRPr="00CF661F">
        <w:rPr>
          <w:rFonts w:ascii="Arial" w:hAnsi="Arial" w:cs="Arial"/>
          <w:bCs/>
          <w:sz w:val="24"/>
        </w:rPr>
        <w:t>.</w:t>
      </w:r>
      <w:r w:rsidR="00721F5A">
        <w:rPr>
          <w:rFonts w:ascii="Arial" w:hAnsi="Arial" w:cs="Arial"/>
          <w:bCs/>
          <w:sz w:val="24"/>
        </w:rPr>
        <w:t xml:space="preserve"> </w:t>
      </w:r>
      <w:r w:rsidRPr="00CF661F">
        <w:rPr>
          <w:rFonts w:ascii="Arial" w:hAnsi="Arial" w:cs="Arial"/>
          <w:bCs/>
          <w:sz w:val="24"/>
        </w:rPr>
        <w:t xml:space="preserve">All data and information from participants will be stored in the secure facilities for </w:t>
      </w:r>
      <w:r w:rsidRPr="00CF661F" w:rsidR="00EA23E8">
        <w:rPr>
          <w:rFonts w:ascii="Arial" w:hAnsi="Arial" w:cs="Arial"/>
          <w:bCs/>
          <w:sz w:val="24"/>
        </w:rPr>
        <w:t>3</w:t>
      </w:r>
      <w:r w:rsidRPr="00CF661F">
        <w:rPr>
          <w:rFonts w:ascii="Arial" w:hAnsi="Arial" w:cs="Arial"/>
          <w:bCs/>
          <w:sz w:val="24"/>
        </w:rPr>
        <w:t xml:space="preserve"> years after the study is completed</w:t>
      </w:r>
      <w:r w:rsidRPr="00CF661F" w:rsidR="005A2725">
        <w:rPr>
          <w:rFonts w:ascii="Arial" w:hAnsi="Arial" w:cs="Arial"/>
          <w:bCs/>
          <w:sz w:val="24"/>
        </w:rPr>
        <w:t xml:space="preserve"> and we will adhere to Federal requirements regarding collection and storage of PII</w:t>
      </w:r>
      <w:r w:rsidRPr="00CF661F">
        <w:rPr>
          <w:rFonts w:ascii="Arial" w:hAnsi="Arial" w:cs="Arial"/>
          <w:bCs/>
          <w:sz w:val="24"/>
        </w:rPr>
        <w:t>.</w:t>
      </w:r>
    </w:p>
    <w:bookmarkEnd w:id="1"/>
    <w:bookmarkEnd w:id="2"/>
    <w:p w:rsidRPr="00CF661F" w:rsidR="009B3794" w:rsidP="00B354FC" w:rsidRDefault="00721F5A" w14:paraId="5B972744" w14:textId="65EB9780">
      <w:pPr>
        <w:numPr>
          <w:ilvl w:val="0"/>
          <w:numId w:val="1"/>
        </w:numPr>
        <w:tabs>
          <w:tab w:val="clear" w:pos="1080"/>
          <w:tab w:val="num" w:pos="360"/>
        </w:tabs>
        <w:spacing w:before="240"/>
        <w:ind w:left="360"/>
        <w:rPr>
          <w:rFonts w:ascii="Arial" w:hAnsi="Arial" w:cs="Arial"/>
          <w:sz w:val="24"/>
        </w:rPr>
      </w:pPr>
      <w:r>
        <w:rPr>
          <w:rFonts w:ascii="Arial" w:hAnsi="Arial" w:cs="Arial"/>
          <w:b/>
          <w:sz w:val="24"/>
        </w:rPr>
        <w:t xml:space="preserve"> </w:t>
      </w:r>
      <w:r w:rsidRPr="00CF661F" w:rsidR="009B3794">
        <w:rPr>
          <w:rFonts w:ascii="Arial" w:hAnsi="Arial" w:cs="Arial"/>
          <w:b/>
          <w:sz w:val="24"/>
          <w:u w:val="single"/>
        </w:rPr>
        <w:t>Estimates of Annualized Hour and Cost Burden</w:t>
      </w:r>
      <w:r>
        <w:rPr>
          <w:rFonts w:ascii="Arial" w:hAnsi="Arial" w:cs="Arial"/>
          <w:b/>
          <w:sz w:val="24"/>
          <w:u w:val="single"/>
        </w:rPr>
        <w:t xml:space="preserve"> </w:t>
      </w:r>
    </w:p>
    <w:p w:rsidRPr="00CF661F" w:rsidR="009B3794" w:rsidP="00CA3DA6" w:rsidRDefault="009B3794" w14:paraId="5B972745" w14:textId="6FBF5B61">
      <w:pPr>
        <w:spacing w:before="120"/>
        <w:rPr>
          <w:rFonts w:ascii="Arial" w:hAnsi="Arial" w:cs="Arial"/>
          <w:sz w:val="24"/>
        </w:rPr>
      </w:pPr>
      <w:r w:rsidRPr="00CF661F">
        <w:rPr>
          <w:rFonts w:ascii="Arial" w:hAnsi="Arial" w:cs="Arial"/>
          <w:sz w:val="24"/>
        </w:rPr>
        <w:t>This section summarizes the total burden hours for this information collection</w:t>
      </w:r>
      <w:r w:rsidRPr="00CF661F" w:rsidR="00487F07">
        <w:rPr>
          <w:rFonts w:ascii="Arial" w:hAnsi="Arial" w:cs="Arial"/>
          <w:sz w:val="24"/>
        </w:rPr>
        <w:t xml:space="preserve"> effort</w:t>
      </w:r>
      <w:r w:rsidRPr="00CF661F">
        <w:rPr>
          <w:rFonts w:ascii="Arial" w:hAnsi="Arial" w:cs="Arial"/>
          <w:sz w:val="24"/>
        </w:rPr>
        <w:t xml:space="preserve"> in addition to the cost associated with those hours. </w:t>
      </w:r>
    </w:p>
    <w:p w:rsidRPr="00CF661F" w:rsidR="009B3794" w:rsidP="00CA3DA6" w:rsidRDefault="009B3794" w14:paraId="5B972747" w14:textId="440652F7">
      <w:pPr>
        <w:widowControl/>
        <w:tabs>
          <w:tab w:val="num" w:pos="720"/>
        </w:tabs>
        <w:spacing w:before="120"/>
        <w:rPr>
          <w:rFonts w:ascii="Arial" w:hAnsi="Arial" w:cs="Arial"/>
          <w:b/>
          <w:sz w:val="24"/>
        </w:rPr>
      </w:pPr>
      <w:r w:rsidRPr="00CF661F">
        <w:rPr>
          <w:rFonts w:ascii="Arial" w:hAnsi="Arial" w:cs="Arial"/>
          <w:b/>
          <w:sz w:val="28"/>
          <w:szCs w:val="28"/>
        </w:rPr>
        <w:t>12A.</w:t>
      </w:r>
      <w:r w:rsidR="00721F5A">
        <w:rPr>
          <w:rFonts w:ascii="Arial" w:hAnsi="Arial" w:cs="Arial"/>
          <w:sz w:val="24"/>
        </w:rPr>
        <w:t xml:space="preserve"> </w:t>
      </w:r>
      <w:r w:rsidRPr="00CF661F">
        <w:rPr>
          <w:rFonts w:ascii="Arial" w:hAnsi="Arial" w:cs="Arial"/>
          <w:b/>
          <w:sz w:val="24"/>
        </w:rPr>
        <w:t>Estimated Annualized Burden Hours</w:t>
      </w:r>
    </w:p>
    <w:p w:rsidRPr="00CF661F" w:rsidR="0098218E" w:rsidP="0098218E" w:rsidRDefault="000C1491" w14:paraId="39B9D9BD" w14:textId="1187650E">
      <w:pPr>
        <w:keepNext/>
        <w:tabs>
          <w:tab w:val="left" w:pos="90"/>
        </w:tabs>
        <w:rPr>
          <w:rFonts w:ascii="Arial" w:hAnsi="Arial" w:cs="Arial"/>
          <w:sz w:val="24"/>
        </w:rPr>
      </w:pPr>
      <w:r w:rsidRPr="00CF661F">
        <w:rPr>
          <w:rFonts w:ascii="Arial" w:hAnsi="Arial" w:cs="Arial"/>
          <w:sz w:val="24"/>
        </w:rPr>
        <w:t>Exhibit</w:t>
      </w:r>
      <w:r w:rsidRPr="00CF661F" w:rsidR="0098218E">
        <w:rPr>
          <w:rFonts w:ascii="Arial" w:hAnsi="Arial" w:cs="Arial"/>
          <w:sz w:val="24"/>
        </w:rPr>
        <w:t xml:space="preserve"> 1 contains estimated response burdens for each subject population participating in the evaluation’s data collection</w:t>
      </w:r>
      <w:r w:rsidRPr="00CF661F" w:rsidR="0085004C">
        <w:rPr>
          <w:rFonts w:ascii="Arial" w:hAnsi="Arial" w:cs="Arial"/>
          <w:sz w:val="24"/>
        </w:rPr>
        <w:t xml:space="preserve"> activities</w:t>
      </w:r>
      <w:r w:rsidRPr="00CF661F" w:rsidR="0098218E">
        <w:rPr>
          <w:rFonts w:ascii="Arial" w:hAnsi="Arial" w:cs="Arial"/>
          <w:sz w:val="24"/>
        </w:rPr>
        <w:t>.</w:t>
      </w:r>
    </w:p>
    <w:p w:rsidRPr="00CF661F" w:rsidR="0098218E" w:rsidP="0098218E" w:rsidRDefault="0098218E" w14:paraId="29E30672" w14:textId="77777777">
      <w:pPr>
        <w:rPr>
          <w:rFonts w:ascii="Arial" w:hAnsi="Arial" w:cs="Arial"/>
          <w:sz w:val="24"/>
        </w:rPr>
      </w:pPr>
    </w:p>
    <w:p w:rsidR="004B58D1" w:rsidP="00F474E6" w:rsidRDefault="004B58D1" w14:paraId="76144EFD" w14:textId="77777777">
      <w:pPr>
        <w:rPr>
          <w:rFonts w:ascii="Arial" w:hAnsi="Arial" w:cs="Arial"/>
          <w:sz w:val="24"/>
        </w:rPr>
      </w:pPr>
    </w:p>
    <w:p w:rsidR="00364CDA" w:rsidP="00F474E6" w:rsidRDefault="0098218E" w14:paraId="54E53EC7" w14:textId="0516B02C">
      <w:pPr>
        <w:rPr>
          <w:rFonts w:ascii="Arial" w:hAnsi="Arial" w:cs="Arial"/>
          <w:sz w:val="24"/>
        </w:rPr>
      </w:pPr>
      <w:r w:rsidRPr="00CF661F">
        <w:rPr>
          <w:rFonts w:ascii="Arial" w:hAnsi="Arial" w:cs="Arial"/>
          <w:sz w:val="24"/>
        </w:rPr>
        <w:t xml:space="preserve">Estimates for </w:t>
      </w:r>
      <w:r w:rsidRPr="00CF661F" w:rsidR="00D659DC">
        <w:rPr>
          <w:rFonts w:ascii="Arial" w:hAnsi="Arial" w:cs="Arial"/>
          <w:sz w:val="24"/>
        </w:rPr>
        <w:t xml:space="preserve">the </w:t>
      </w:r>
      <w:r w:rsidRPr="00CF661F">
        <w:rPr>
          <w:rFonts w:ascii="Arial" w:hAnsi="Arial" w:cs="Arial"/>
          <w:sz w:val="24"/>
        </w:rPr>
        <w:t>response</w:t>
      </w:r>
      <w:r w:rsidRPr="00CF661F" w:rsidR="00354F6A">
        <w:rPr>
          <w:rFonts w:ascii="Arial" w:hAnsi="Arial" w:cs="Arial"/>
          <w:sz w:val="24"/>
        </w:rPr>
        <w:t>-</w:t>
      </w:r>
      <w:r w:rsidRPr="00CF661F" w:rsidR="00D659DC">
        <w:rPr>
          <w:rFonts w:ascii="Arial" w:hAnsi="Arial" w:cs="Arial"/>
          <w:sz w:val="24"/>
        </w:rPr>
        <w:t>hour</w:t>
      </w:r>
      <w:r w:rsidRPr="00CF661F">
        <w:rPr>
          <w:rFonts w:ascii="Arial" w:hAnsi="Arial" w:cs="Arial"/>
          <w:sz w:val="24"/>
        </w:rPr>
        <w:t xml:space="preserve"> burden </w:t>
      </w:r>
      <w:r w:rsidRPr="00CF661F" w:rsidR="008D2C60">
        <w:rPr>
          <w:rFonts w:ascii="Arial" w:hAnsi="Arial" w:cs="Arial"/>
          <w:sz w:val="24"/>
        </w:rPr>
        <w:t>were calculated</w:t>
      </w:r>
      <w:r w:rsidRPr="00CF661F">
        <w:rPr>
          <w:rFonts w:ascii="Arial" w:hAnsi="Arial" w:cs="Arial"/>
          <w:sz w:val="24"/>
        </w:rPr>
        <w:t xml:space="preserve"> based on the methodology being used with each </w:t>
      </w:r>
      <w:r w:rsidRPr="00CF661F" w:rsidR="00D659DC">
        <w:rPr>
          <w:rFonts w:ascii="Arial" w:hAnsi="Arial" w:cs="Arial"/>
          <w:sz w:val="24"/>
        </w:rPr>
        <w:t>respondent</w:t>
      </w:r>
      <w:r w:rsidRPr="00CF661F">
        <w:rPr>
          <w:rFonts w:ascii="Arial" w:hAnsi="Arial" w:cs="Arial"/>
          <w:sz w:val="24"/>
        </w:rPr>
        <w:t xml:space="preserve"> population and </w:t>
      </w:r>
      <w:r w:rsidRPr="00CF661F" w:rsidR="00D659DC">
        <w:rPr>
          <w:rFonts w:ascii="Arial" w:hAnsi="Arial" w:cs="Arial"/>
          <w:sz w:val="24"/>
        </w:rPr>
        <w:t>were calculated using the average completion time based on instrument pilot testing</w:t>
      </w:r>
      <w:r w:rsidRPr="00CF661F" w:rsidR="00BA581F">
        <w:rPr>
          <w:rFonts w:ascii="Arial" w:hAnsi="Arial" w:cs="Arial"/>
          <w:sz w:val="24"/>
        </w:rPr>
        <w:t>.</w:t>
      </w:r>
      <w:r w:rsidR="00721F5A">
        <w:rPr>
          <w:rFonts w:ascii="Arial" w:hAnsi="Arial" w:cs="Arial"/>
          <w:sz w:val="24"/>
        </w:rPr>
        <w:t xml:space="preserve"> </w:t>
      </w:r>
      <w:r w:rsidRPr="00CF661F">
        <w:rPr>
          <w:rFonts w:ascii="Arial" w:hAnsi="Arial" w:cs="Arial"/>
          <w:sz w:val="24"/>
        </w:rPr>
        <w:t xml:space="preserve">For example, for the </w:t>
      </w:r>
      <w:r w:rsidRPr="00CF661F" w:rsidR="00B22E17">
        <w:rPr>
          <w:rFonts w:ascii="Arial" w:hAnsi="Arial" w:cs="Arial"/>
          <w:sz w:val="24"/>
        </w:rPr>
        <w:t>Program Implementation</w:t>
      </w:r>
      <w:r w:rsidRPr="00CF661F" w:rsidR="00D659DC">
        <w:rPr>
          <w:rFonts w:ascii="Arial" w:hAnsi="Arial" w:cs="Arial"/>
          <w:sz w:val="24"/>
        </w:rPr>
        <w:t xml:space="preserve"> Survey</w:t>
      </w:r>
      <w:r w:rsidRPr="00CF661F">
        <w:rPr>
          <w:rFonts w:ascii="Arial" w:hAnsi="Arial" w:cs="Arial"/>
          <w:sz w:val="24"/>
        </w:rPr>
        <w:t>, the average time of completion</w:t>
      </w:r>
      <w:r w:rsidRPr="00CF661F" w:rsidR="00D659DC">
        <w:rPr>
          <w:rFonts w:ascii="Arial" w:hAnsi="Arial" w:cs="Arial"/>
          <w:sz w:val="24"/>
        </w:rPr>
        <w:t xml:space="preserve"> among pilot testers</w:t>
      </w:r>
      <w:r w:rsidRPr="00CF661F">
        <w:rPr>
          <w:rFonts w:ascii="Arial" w:hAnsi="Arial" w:cs="Arial"/>
          <w:sz w:val="24"/>
        </w:rPr>
        <w:t xml:space="preserve"> was </w:t>
      </w:r>
      <w:r w:rsidRPr="00CF661F" w:rsidR="00F474E6">
        <w:rPr>
          <w:rFonts w:ascii="Arial" w:hAnsi="Arial" w:cs="Arial"/>
          <w:sz w:val="24"/>
        </w:rPr>
        <w:t>16</w:t>
      </w:r>
      <w:r w:rsidRPr="00CF661F">
        <w:rPr>
          <w:rFonts w:ascii="Arial" w:hAnsi="Arial" w:cs="Arial"/>
          <w:sz w:val="24"/>
        </w:rPr>
        <w:t xml:space="preserve"> minutes</w:t>
      </w:r>
      <w:r w:rsidRPr="00CF661F" w:rsidR="00F474E6">
        <w:rPr>
          <w:rFonts w:ascii="Arial" w:hAnsi="Arial" w:cs="Arial"/>
          <w:sz w:val="24"/>
        </w:rPr>
        <w:t xml:space="preserve">; however, we have rounded the </w:t>
      </w:r>
      <w:r w:rsidRPr="00CF661F">
        <w:rPr>
          <w:rFonts w:ascii="Arial" w:hAnsi="Arial" w:cs="Arial"/>
          <w:sz w:val="24"/>
        </w:rPr>
        <w:t>burden estimate</w:t>
      </w:r>
      <w:r w:rsidRPr="00CF661F" w:rsidR="00F474E6">
        <w:rPr>
          <w:rFonts w:ascii="Arial" w:hAnsi="Arial" w:cs="Arial"/>
          <w:sz w:val="24"/>
        </w:rPr>
        <w:t xml:space="preserve"> to 20 minutes </w:t>
      </w:r>
      <w:r w:rsidRPr="00CF661F">
        <w:rPr>
          <w:rFonts w:ascii="Arial" w:hAnsi="Arial" w:cs="Arial"/>
          <w:sz w:val="24"/>
        </w:rPr>
        <w:t xml:space="preserve">for </w:t>
      </w:r>
      <w:r w:rsidRPr="00CF661F" w:rsidR="00B22E17">
        <w:rPr>
          <w:rFonts w:ascii="Arial" w:hAnsi="Arial" w:cs="Arial"/>
          <w:sz w:val="24"/>
        </w:rPr>
        <w:t>th</w:t>
      </w:r>
      <w:r w:rsidRPr="00CF661F" w:rsidR="00D36A2A">
        <w:rPr>
          <w:rFonts w:ascii="Arial" w:hAnsi="Arial" w:cs="Arial"/>
          <w:sz w:val="24"/>
        </w:rPr>
        <w:t>is</w:t>
      </w:r>
      <w:r w:rsidRPr="00CF661F" w:rsidR="00B22E17">
        <w:rPr>
          <w:rFonts w:ascii="Arial" w:hAnsi="Arial" w:cs="Arial"/>
          <w:sz w:val="24"/>
        </w:rPr>
        <w:t xml:space="preserve"> particular survey</w:t>
      </w:r>
      <w:r w:rsidRPr="00CF661F" w:rsidR="00F474E6">
        <w:rPr>
          <w:rFonts w:ascii="Arial" w:hAnsi="Arial" w:cs="Arial"/>
          <w:sz w:val="24"/>
        </w:rPr>
        <w:t xml:space="preserve"> to allow for additional time to provide responses to open-ended questions</w:t>
      </w:r>
      <w:r w:rsidRPr="00CF661F">
        <w:rPr>
          <w:rFonts w:ascii="Arial" w:hAnsi="Arial" w:cs="Arial"/>
          <w:sz w:val="24"/>
        </w:rPr>
        <w:t>.</w:t>
      </w:r>
      <w:r w:rsidR="00721F5A">
        <w:rPr>
          <w:rFonts w:ascii="Arial" w:hAnsi="Arial" w:cs="Arial"/>
          <w:sz w:val="24"/>
        </w:rPr>
        <w:t xml:space="preserve"> </w:t>
      </w:r>
      <w:r w:rsidRPr="00CF661F" w:rsidR="00BA581F">
        <w:rPr>
          <w:rFonts w:ascii="Arial" w:hAnsi="Arial" w:cs="Arial"/>
          <w:sz w:val="24"/>
        </w:rPr>
        <w:t>Section B contains additional information on pilot tests of the data collection tools to be used in the evaluation as well as summaries of pilot test feedback and changes that were made to the data collection tools based on this feedback.</w:t>
      </w:r>
    </w:p>
    <w:p w:rsidR="00B74A05" w:rsidP="00F474E6" w:rsidRDefault="00B74A05" w14:paraId="0464FC6C" w14:textId="1AA46941">
      <w:pPr>
        <w:rPr>
          <w:rFonts w:ascii="Arial" w:hAnsi="Arial" w:cs="Arial"/>
          <w:sz w:val="24"/>
        </w:rPr>
      </w:pPr>
    </w:p>
    <w:p w:rsidR="0098218E" w:rsidP="00CA3DA6" w:rsidRDefault="000C1491" w14:paraId="394C287B" w14:textId="5DF7448B">
      <w:pPr>
        <w:widowControl/>
        <w:tabs>
          <w:tab w:val="num" w:pos="720"/>
        </w:tabs>
        <w:spacing w:before="120"/>
        <w:rPr>
          <w:rFonts w:ascii="Arial" w:hAnsi="Arial" w:cs="Arial"/>
          <w:b/>
          <w:bCs/>
          <w:sz w:val="24"/>
        </w:rPr>
      </w:pPr>
      <w:r w:rsidRPr="00CF661F">
        <w:rPr>
          <w:rFonts w:ascii="Arial" w:hAnsi="Arial" w:cs="Arial"/>
          <w:b/>
          <w:bCs/>
          <w:sz w:val="24"/>
        </w:rPr>
        <w:t>Exhibit</w:t>
      </w:r>
      <w:r w:rsidRPr="00CF661F" w:rsidR="0098218E">
        <w:rPr>
          <w:rFonts w:ascii="Arial" w:hAnsi="Arial" w:cs="Arial"/>
          <w:b/>
          <w:bCs/>
          <w:sz w:val="24"/>
        </w:rPr>
        <w:t xml:space="preserve"> 1.</w:t>
      </w:r>
      <w:r w:rsidR="00721F5A">
        <w:rPr>
          <w:rFonts w:ascii="Arial" w:hAnsi="Arial" w:cs="Arial"/>
          <w:b/>
          <w:bCs/>
          <w:sz w:val="24"/>
        </w:rPr>
        <w:t xml:space="preserve"> </w:t>
      </w:r>
      <w:r w:rsidRPr="00CF661F" w:rsidR="0098218E">
        <w:rPr>
          <w:rFonts w:ascii="Arial" w:hAnsi="Arial" w:cs="Arial"/>
          <w:b/>
          <w:bCs/>
          <w:sz w:val="24"/>
        </w:rPr>
        <w:t>Estimated Annualized Burden Hours</w:t>
      </w:r>
    </w:p>
    <w:p w:rsidR="00F64FD8" w:rsidP="00CA3DA6" w:rsidRDefault="00F64FD8" w14:paraId="7374DAE0" w14:textId="5A855C1A">
      <w:pPr>
        <w:widowControl/>
        <w:tabs>
          <w:tab w:val="num" w:pos="720"/>
        </w:tabs>
        <w:spacing w:before="120"/>
        <w:rPr>
          <w:rFonts w:ascii="Arial" w:hAnsi="Arial" w:cs="Arial"/>
          <w:b/>
          <w:bCs/>
          <w:sz w:val="24"/>
        </w:rPr>
      </w:pPr>
    </w:p>
    <w:tbl>
      <w:tblPr>
        <w:tblW w:w="9573" w:type="dxa"/>
        <w:tblInd w:w="97" w:type="dxa"/>
        <w:tblLayout w:type="fixed"/>
        <w:tblCellMar>
          <w:left w:w="97" w:type="dxa"/>
          <w:right w:w="97" w:type="dxa"/>
        </w:tblCellMar>
        <w:tblLook w:val="0000" w:firstRow="0" w:lastRow="0" w:firstColumn="0" w:lastColumn="0" w:noHBand="0" w:noVBand="0"/>
      </w:tblPr>
      <w:tblGrid>
        <w:gridCol w:w="2031"/>
        <w:gridCol w:w="1683"/>
        <w:gridCol w:w="1588"/>
        <w:gridCol w:w="1454"/>
        <w:gridCol w:w="1363"/>
        <w:gridCol w:w="1454"/>
      </w:tblGrid>
      <w:tr w:rsidRPr="00E00DF3" w:rsidR="00F64FD8" w:rsidTr="004B58D1" w14:paraId="1512ADF5" w14:textId="77777777">
        <w:tc>
          <w:tcPr>
            <w:tcW w:w="2031"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66BAD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Pr="00E00DF3" w:rsidR="00F64FD8" w:rsidP="00F64FD8" w:rsidRDefault="00F64FD8" w14:paraId="3BE30D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E00DF3">
              <w:rPr>
                <w:rFonts w:ascii="Arial" w:hAnsi="Arial" w:cs="Arial"/>
                <w:sz w:val="24"/>
              </w:rPr>
              <w:t>Form Name</w:t>
            </w:r>
          </w:p>
        </w:tc>
        <w:tc>
          <w:tcPr>
            <w:tcW w:w="1683"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07B7565" w14:textId="77777777">
            <w:pPr>
              <w:widowControl/>
              <w:jc w:val="center"/>
              <w:rPr>
                <w:rFonts w:ascii="Arial" w:hAnsi="Arial" w:cs="Arial"/>
                <w:sz w:val="24"/>
              </w:rPr>
            </w:pPr>
            <w:r w:rsidRPr="00E00DF3">
              <w:rPr>
                <w:rFonts w:ascii="Arial" w:hAnsi="Arial" w:cs="Arial"/>
                <w:sz w:val="24"/>
              </w:rPr>
              <w:t>Number of Respondents</w:t>
            </w:r>
          </w:p>
        </w:tc>
        <w:tc>
          <w:tcPr>
            <w:tcW w:w="1588"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6B536554" w14:textId="77777777">
            <w:pPr>
              <w:widowControl/>
              <w:jc w:val="center"/>
              <w:rPr>
                <w:rFonts w:ascii="Arial" w:hAnsi="Arial" w:cs="Arial"/>
                <w:sz w:val="24"/>
              </w:rPr>
            </w:pPr>
          </w:p>
          <w:p w:rsidRPr="00E00DF3" w:rsidR="00F64FD8" w:rsidP="00F64FD8" w:rsidRDefault="00F64FD8" w14:paraId="796325D9" w14:textId="77777777">
            <w:pPr>
              <w:widowControl/>
              <w:jc w:val="center"/>
              <w:rPr>
                <w:rFonts w:ascii="Arial" w:hAnsi="Arial" w:cs="Arial"/>
                <w:sz w:val="24"/>
              </w:rPr>
            </w:pPr>
            <w:r w:rsidRPr="00E00DF3">
              <w:rPr>
                <w:rFonts w:ascii="Arial" w:hAnsi="Arial" w:cs="Arial"/>
                <w:sz w:val="24"/>
              </w:rPr>
              <w:t>Number of Responses per Respondent</w:t>
            </w:r>
          </w:p>
        </w:tc>
        <w:tc>
          <w:tcPr>
            <w:tcW w:w="1454"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6BAFEA0B" w14:textId="77777777">
            <w:pPr>
              <w:widowControl/>
              <w:jc w:val="center"/>
              <w:rPr>
                <w:rFonts w:ascii="Arial" w:hAnsi="Arial" w:cs="Arial"/>
                <w:sz w:val="24"/>
              </w:rPr>
            </w:pPr>
          </w:p>
          <w:p w:rsidRPr="00E00DF3" w:rsidR="00F64FD8" w:rsidP="00F64FD8" w:rsidRDefault="00F64FD8" w14:paraId="56B29DB5" w14:textId="77777777">
            <w:pPr>
              <w:widowControl/>
              <w:jc w:val="center"/>
              <w:rPr>
                <w:rFonts w:ascii="Arial" w:hAnsi="Arial" w:cs="Arial"/>
                <w:sz w:val="24"/>
              </w:rPr>
            </w:pPr>
            <w:r w:rsidRPr="00E00DF3">
              <w:rPr>
                <w:rFonts w:ascii="Arial" w:hAnsi="Arial" w:cs="Arial"/>
                <w:sz w:val="24"/>
              </w:rPr>
              <w:t>Total Responses</w:t>
            </w:r>
          </w:p>
        </w:tc>
        <w:tc>
          <w:tcPr>
            <w:tcW w:w="1363"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1D591062" w14:textId="77777777">
            <w:pPr>
              <w:widowControl/>
              <w:jc w:val="center"/>
              <w:rPr>
                <w:rFonts w:ascii="Arial" w:hAnsi="Arial" w:cs="Arial"/>
                <w:sz w:val="24"/>
              </w:rPr>
            </w:pPr>
          </w:p>
          <w:p w:rsidRPr="00E00DF3" w:rsidR="00F64FD8" w:rsidP="00F64FD8" w:rsidRDefault="00F64FD8" w14:paraId="7CD63B17" w14:textId="77777777">
            <w:pPr>
              <w:widowControl/>
              <w:jc w:val="center"/>
              <w:rPr>
                <w:rFonts w:ascii="Arial" w:hAnsi="Arial" w:cs="Arial"/>
                <w:sz w:val="24"/>
              </w:rPr>
            </w:pPr>
            <w:r w:rsidRPr="00E00DF3">
              <w:rPr>
                <w:rFonts w:ascii="Arial" w:hAnsi="Arial" w:cs="Arial"/>
                <w:sz w:val="24"/>
              </w:rPr>
              <w:t>Average Burden per Response (in hours)</w:t>
            </w:r>
          </w:p>
        </w:tc>
        <w:tc>
          <w:tcPr>
            <w:tcW w:w="1454" w:type="dxa"/>
            <w:tcBorders>
              <w:top w:val="single" w:color="auto" w:sz="2" w:space="0"/>
              <w:left w:val="single" w:color="auto" w:sz="2" w:space="0"/>
              <w:bottom w:val="single" w:color="auto" w:sz="2" w:space="0"/>
              <w:right w:val="single" w:color="auto" w:sz="2" w:space="0"/>
            </w:tcBorders>
            <w:vAlign w:val="bottom"/>
          </w:tcPr>
          <w:p w:rsidRPr="00E00DF3" w:rsidR="00F64FD8" w:rsidP="00F64FD8" w:rsidRDefault="00F64FD8" w14:paraId="41A5EA1A" w14:textId="77777777">
            <w:pPr>
              <w:widowControl/>
              <w:jc w:val="center"/>
              <w:rPr>
                <w:rFonts w:ascii="Arial" w:hAnsi="Arial" w:cs="Arial"/>
                <w:sz w:val="24"/>
              </w:rPr>
            </w:pPr>
            <w:r w:rsidRPr="00E00DF3">
              <w:rPr>
                <w:rFonts w:ascii="Arial" w:hAnsi="Arial" w:cs="Arial"/>
                <w:sz w:val="24"/>
              </w:rPr>
              <w:t>Total Burden Hours</w:t>
            </w:r>
          </w:p>
        </w:tc>
      </w:tr>
      <w:tr w:rsidRPr="00E00DF3" w:rsidR="00F64FD8" w:rsidTr="004B58D1" w14:paraId="0DD3493D"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08A84090" w14:textId="77777777">
            <w:pPr>
              <w:widowControl/>
              <w:autoSpaceDE/>
              <w:autoSpaceDN/>
              <w:adjustRightInd/>
              <w:rPr>
                <w:rFonts w:ascii="Arial" w:hAnsi="Arial" w:cs="Arial"/>
                <w:sz w:val="24"/>
              </w:rPr>
            </w:pPr>
            <w:r w:rsidRPr="00E00DF3">
              <w:rPr>
                <w:rFonts w:ascii="Arial" w:hAnsi="Arial" w:cs="Arial"/>
                <w:sz w:val="24"/>
              </w:rPr>
              <w:lastRenderedPageBreak/>
              <w:t>Health Care Provider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39C17C66" w14:textId="77777777">
            <w:pPr>
              <w:widowControl/>
              <w:autoSpaceDE/>
              <w:autoSpaceDN/>
              <w:adjustRightInd/>
              <w:jc w:val="right"/>
              <w:rPr>
                <w:rFonts w:ascii="Arial" w:hAnsi="Arial" w:cs="Arial"/>
                <w:sz w:val="24"/>
              </w:rPr>
            </w:pPr>
            <w:r w:rsidRPr="00E00DF3">
              <w:rPr>
                <w:rFonts w:ascii="Arial" w:hAnsi="Arial" w:cs="Arial"/>
                <w:sz w:val="24"/>
                <w:lang w:val="fr-FR"/>
              </w:rPr>
              <w:t>13,035</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4ECE35B6"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7EF6D18" w14:textId="77777777">
            <w:pPr>
              <w:widowControl/>
              <w:autoSpaceDE/>
              <w:autoSpaceDN/>
              <w:adjustRightInd/>
              <w:jc w:val="right"/>
              <w:rPr>
                <w:rFonts w:ascii="Arial" w:hAnsi="Arial" w:cs="Arial"/>
                <w:sz w:val="24"/>
              </w:rPr>
            </w:pPr>
            <w:r w:rsidRPr="00E00DF3">
              <w:rPr>
                <w:rFonts w:ascii="Arial" w:hAnsi="Arial" w:cs="Arial"/>
                <w:sz w:val="24"/>
                <w:lang w:val="fr-FR"/>
              </w:rPr>
              <w:t>39,105</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73913BA" w14:textId="77777777">
            <w:pPr>
              <w:widowControl/>
              <w:autoSpaceDE/>
              <w:autoSpaceDN/>
              <w:adjustRightInd/>
              <w:jc w:val="right"/>
              <w:rPr>
                <w:rFonts w:ascii="Arial" w:hAnsi="Arial" w:cs="Arial"/>
                <w:sz w:val="24"/>
              </w:rPr>
            </w:pPr>
            <w:r w:rsidRPr="00E00DF3">
              <w:rPr>
                <w:rFonts w:ascii="Arial" w:hAnsi="Arial" w:cs="Arial"/>
                <w:sz w:val="24"/>
                <w:lang w:val="fr-FR"/>
              </w:rPr>
              <w:t>0.17</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3B69087" w14:textId="77777777">
            <w:pPr>
              <w:widowControl/>
              <w:autoSpaceDE/>
              <w:autoSpaceDN/>
              <w:adjustRightInd/>
              <w:jc w:val="right"/>
              <w:rPr>
                <w:rFonts w:ascii="Arial" w:hAnsi="Arial" w:cs="Arial"/>
                <w:sz w:val="24"/>
              </w:rPr>
            </w:pPr>
            <w:r w:rsidRPr="00E00DF3">
              <w:rPr>
                <w:rFonts w:ascii="Arial" w:hAnsi="Arial" w:cs="Arial"/>
                <w:sz w:val="24"/>
                <w:lang w:val="fr-FR"/>
              </w:rPr>
              <w:t>6,648</w:t>
            </w:r>
          </w:p>
        </w:tc>
      </w:tr>
      <w:tr w:rsidRPr="00E00DF3" w:rsidR="00F64FD8" w:rsidTr="004B58D1" w14:paraId="2D1D4187"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7DAD537E" w14:textId="77777777">
            <w:pPr>
              <w:widowControl/>
              <w:autoSpaceDE/>
              <w:autoSpaceDN/>
              <w:adjustRightInd/>
              <w:rPr>
                <w:rFonts w:ascii="Arial" w:hAnsi="Arial" w:cs="Arial"/>
                <w:sz w:val="24"/>
              </w:rPr>
            </w:pPr>
            <w:r w:rsidRPr="00E00DF3">
              <w:rPr>
                <w:rFonts w:ascii="Arial" w:hAnsi="Arial" w:cs="Arial"/>
                <w:sz w:val="24"/>
              </w:rPr>
              <w:t>Practice-Level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7D68FAA9" w14:textId="77777777">
            <w:pPr>
              <w:widowControl/>
              <w:autoSpaceDE/>
              <w:autoSpaceDN/>
              <w:adjustRightInd/>
              <w:jc w:val="right"/>
              <w:rPr>
                <w:rFonts w:ascii="Arial" w:hAnsi="Arial" w:cs="Arial"/>
                <w:sz w:val="24"/>
              </w:rPr>
            </w:pPr>
            <w:r w:rsidRPr="00E00DF3">
              <w:rPr>
                <w:rFonts w:ascii="Arial" w:hAnsi="Arial" w:cs="Arial"/>
                <w:sz w:val="24"/>
                <w:lang w:val="fr-FR"/>
              </w:rPr>
              <w:t>4,165</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3F652932"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26EA2A1F" w14:textId="77777777">
            <w:pPr>
              <w:widowControl/>
              <w:autoSpaceDE/>
              <w:autoSpaceDN/>
              <w:adjustRightInd/>
              <w:jc w:val="right"/>
              <w:rPr>
                <w:rFonts w:ascii="Arial" w:hAnsi="Arial" w:cs="Arial"/>
                <w:sz w:val="24"/>
              </w:rPr>
            </w:pPr>
            <w:r w:rsidRPr="00E00DF3">
              <w:rPr>
                <w:rFonts w:ascii="Arial" w:hAnsi="Arial" w:cs="Arial"/>
                <w:sz w:val="24"/>
                <w:lang w:val="fr-FR"/>
              </w:rPr>
              <w:t>12,495</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05EC1A1" w14:textId="77777777">
            <w:pPr>
              <w:widowControl/>
              <w:autoSpaceDE/>
              <w:autoSpaceDN/>
              <w:adjustRightInd/>
              <w:jc w:val="right"/>
              <w:rPr>
                <w:rFonts w:ascii="Arial" w:hAnsi="Arial" w:cs="Arial"/>
                <w:sz w:val="24"/>
              </w:rPr>
            </w:pPr>
            <w:r w:rsidRPr="00E00DF3">
              <w:rPr>
                <w:rFonts w:ascii="Arial" w:hAnsi="Arial" w:cs="Arial"/>
                <w:sz w:val="24"/>
                <w:lang w:val="fr-FR"/>
              </w:rPr>
              <w:t>0.25</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4E36F336" w14:textId="77777777">
            <w:pPr>
              <w:widowControl/>
              <w:autoSpaceDE/>
              <w:autoSpaceDN/>
              <w:adjustRightInd/>
              <w:jc w:val="right"/>
              <w:rPr>
                <w:rFonts w:ascii="Arial" w:hAnsi="Arial" w:cs="Arial"/>
                <w:sz w:val="24"/>
              </w:rPr>
            </w:pPr>
            <w:r w:rsidRPr="00E00DF3">
              <w:rPr>
                <w:rFonts w:ascii="Arial" w:hAnsi="Arial" w:cs="Arial"/>
                <w:sz w:val="24"/>
                <w:lang w:val="fr-FR"/>
              </w:rPr>
              <w:t>3,124</w:t>
            </w:r>
          </w:p>
        </w:tc>
      </w:tr>
      <w:tr w:rsidRPr="00E00DF3" w:rsidR="00F64FD8" w:rsidTr="004B58D1" w14:paraId="533AC35B"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566790EA" w14:textId="77777777">
            <w:pPr>
              <w:widowControl/>
              <w:autoSpaceDE/>
              <w:autoSpaceDN/>
              <w:adjustRightInd/>
              <w:rPr>
                <w:rFonts w:ascii="Arial" w:hAnsi="Arial" w:cs="Arial"/>
                <w:sz w:val="24"/>
              </w:rPr>
            </w:pPr>
            <w:r w:rsidRPr="00E00DF3">
              <w:rPr>
                <w:rFonts w:ascii="Arial" w:hAnsi="Arial" w:cs="Arial"/>
                <w:sz w:val="24"/>
              </w:rPr>
              <w:t>Program Implementation Survey</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E2F35AD"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42B116D" w14:textId="77777777">
            <w:pPr>
              <w:widowControl/>
              <w:autoSpaceDE/>
              <w:autoSpaceDN/>
              <w:adjustRightInd/>
              <w:jc w:val="right"/>
              <w:rPr>
                <w:rFonts w:ascii="Arial" w:hAnsi="Arial" w:cs="Arial"/>
                <w:sz w:val="24"/>
              </w:rPr>
            </w:pPr>
            <w:r w:rsidRPr="00E00DF3">
              <w:rPr>
                <w:rFonts w:ascii="Arial" w:hAnsi="Arial" w:cs="Arial"/>
                <w:sz w:val="24"/>
                <w:lang w:val="fr-FR"/>
              </w:rPr>
              <w:t>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3486BCD" w14:textId="77777777">
            <w:pPr>
              <w:widowControl/>
              <w:autoSpaceDE/>
              <w:autoSpaceDN/>
              <w:adjustRightInd/>
              <w:jc w:val="right"/>
              <w:rPr>
                <w:rFonts w:ascii="Arial" w:hAnsi="Arial" w:cs="Arial"/>
                <w:sz w:val="24"/>
              </w:rPr>
            </w:pPr>
            <w:r w:rsidRPr="00E00DF3">
              <w:rPr>
                <w:rFonts w:ascii="Arial" w:hAnsi="Arial" w:cs="Arial"/>
                <w:sz w:val="24"/>
                <w:lang w:val="fr-FR"/>
              </w:rPr>
              <w:t>84</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C5C4BD9" w14:textId="1E242525">
            <w:pPr>
              <w:widowControl/>
              <w:autoSpaceDE/>
              <w:autoSpaceDN/>
              <w:adjustRightInd/>
              <w:jc w:val="right"/>
              <w:rPr>
                <w:rFonts w:ascii="Arial" w:hAnsi="Arial" w:cs="Arial"/>
                <w:sz w:val="24"/>
              </w:rPr>
            </w:pPr>
            <w:r w:rsidRPr="00E00DF3">
              <w:rPr>
                <w:rFonts w:ascii="Arial" w:hAnsi="Arial" w:cs="Arial"/>
                <w:sz w:val="24"/>
                <w:lang w:val="fr-FR"/>
              </w:rPr>
              <w:t>0.</w:t>
            </w:r>
            <w:r w:rsidR="00740CE0">
              <w:rPr>
                <w:rFonts w:ascii="Arial" w:hAnsi="Arial" w:cs="Arial"/>
                <w:sz w:val="24"/>
                <w:lang w:val="fr-FR"/>
              </w:rPr>
              <w:t>33</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740CE0" w14:paraId="5BD69C65" w14:textId="6BB1CE7C">
            <w:pPr>
              <w:widowControl/>
              <w:autoSpaceDE/>
              <w:autoSpaceDN/>
              <w:adjustRightInd/>
              <w:jc w:val="right"/>
              <w:rPr>
                <w:rFonts w:ascii="Arial" w:hAnsi="Arial" w:cs="Arial"/>
                <w:sz w:val="24"/>
              </w:rPr>
            </w:pPr>
            <w:r>
              <w:rPr>
                <w:rFonts w:ascii="Arial" w:hAnsi="Arial" w:cs="Arial"/>
                <w:sz w:val="24"/>
                <w:lang w:val="fr-FR"/>
              </w:rPr>
              <w:t>28</w:t>
            </w:r>
          </w:p>
        </w:tc>
      </w:tr>
      <w:tr w:rsidRPr="00E00DF3" w:rsidR="00F64FD8" w:rsidTr="004B58D1" w14:paraId="4BADCB08"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10654CC8" w14:textId="77777777">
            <w:pPr>
              <w:widowControl/>
              <w:autoSpaceDE/>
              <w:autoSpaceDN/>
              <w:adjustRightInd/>
              <w:rPr>
                <w:rFonts w:ascii="Arial" w:hAnsi="Arial" w:cs="Arial"/>
                <w:sz w:val="24"/>
              </w:rPr>
            </w:pPr>
            <w:r w:rsidRPr="00E00DF3">
              <w:rPr>
                <w:rFonts w:ascii="Arial" w:hAnsi="Arial" w:cs="Arial"/>
                <w:sz w:val="24"/>
              </w:rPr>
              <w:t>Program Implementation Semi-Structured Interview</w:t>
            </w:r>
          </w:p>
        </w:tc>
        <w:tc>
          <w:tcPr>
            <w:tcW w:w="168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193F5C84"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588"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2ECCEED9" w14:textId="77777777">
            <w:pPr>
              <w:widowControl/>
              <w:autoSpaceDE/>
              <w:autoSpaceDN/>
              <w:adjustRightInd/>
              <w:jc w:val="right"/>
              <w:rPr>
                <w:rFonts w:ascii="Arial" w:hAnsi="Arial" w:cs="Arial"/>
                <w:sz w:val="24"/>
              </w:rPr>
            </w:pPr>
            <w:r w:rsidRPr="00E00DF3">
              <w:rPr>
                <w:rFonts w:ascii="Arial" w:hAnsi="Arial" w:cs="Arial"/>
                <w:sz w:val="24"/>
                <w:lang w:val="fr-FR"/>
              </w:rPr>
              <w:t>1</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6F3CBD5" w14:textId="77777777">
            <w:pPr>
              <w:widowControl/>
              <w:autoSpaceDE/>
              <w:autoSpaceDN/>
              <w:adjustRightInd/>
              <w:jc w:val="right"/>
              <w:rPr>
                <w:rFonts w:ascii="Arial" w:hAnsi="Arial" w:cs="Arial"/>
                <w:sz w:val="24"/>
              </w:rPr>
            </w:pPr>
            <w:r w:rsidRPr="00E00DF3">
              <w:rPr>
                <w:rFonts w:ascii="Arial" w:hAnsi="Arial" w:cs="Arial"/>
                <w:sz w:val="24"/>
                <w:lang w:val="fr-FR"/>
              </w:rPr>
              <w:t>28</w:t>
            </w:r>
          </w:p>
        </w:tc>
        <w:tc>
          <w:tcPr>
            <w:tcW w:w="1363"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51DF6B6A" w14:textId="77777777">
            <w:pPr>
              <w:widowControl/>
              <w:autoSpaceDE/>
              <w:autoSpaceDN/>
              <w:adjustRightInd/>
              <w:jc w:val="right"/>
              <w:rPr>
                <w:rFonts w:ascii="Arial" w:hAnsi="Arial" w:cs="Arial"/>
                <w:sz w:val="24"/>
              </w:rPr>
            </w:pPr>
            <w:r w:rsidRPr="00E00DF3">
              <w:rPr>
                <w:rFonts w:ascii="Arial" w:hAnsi="Arial" w:cs="Arial"/>
                <w:sz w:val="24"/>
                <w:lang w:val="fr-FR"/>
              </w:rPr>
              <w:t>1</w:t>
            </w:r>
          </w:p>
        </w:tc>
        <w:tc>
          <w:tcPr>
            <w:tcW w:w="1454" w:type="dxa"/>
            <w:tcBorders>
              <w:top w:val="single" w:color="auto" w:sz="2" w:space="0"/>
              <w:left w:val="single" w:color="auto" w:sz="2" w:space="0"/>
              <w:bottom w:val="single" w:color="auto" w:sz="2" w:space="0"/>
              <w:right w:val="single" w:color="auto" w:sz="2" w:space="0"/>
            </w:tcBorders>
            <w:vAlign w:val="center"/>
          </w:tcPr>
          <w:p w:rsidRPr="00E00DF3" w:rsidR="00F64FD8" w:rsidP="00E00DF3" w:rsidRDefault="00F64FD8" w14:paraId="0328B4D4" w14:textId="77777777">
            <w:pPr>
              <w:widowControl/>
              <w:autoSpaceDE/>
              <w:autoSpaceDN/>
              <w:adjustRightInd/>
              <w:jc w:val="right"/>
              <w:rPr>
                <w:rFonts w:ascii="Arial" w:hAnsi="Arial" w:cs="Arial"/>
                <w:sz w:val="24"/>
              </w:rPr>
            </w:pPr>
            <w:r w:rsidRPr="00E00DF3">
              <w:rPr>
                <w:rFonts w:ascii="Arial" w:hAnsi="Arial" w:cs="Arial"/>
                <w:sz w:val="24"/>
                <w:lang w:val="fr-FR"/>
              </w:rPr>
              <w:t>28</w:t>
            </w:r>
          </w:p>
        </w:tc>
      </w:tr>
      <w:tr w:rsidRPr="00E00DF3" w:rsidR="00F64FD8" w:rsidTr="004B58D1" w14:paraId="249BFEF0" w14:textId="77777777">
        <w:tc>
          <w:tcPr>
            <w:tcW w:w="2031"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6552DD94" w14:textId="77777777">
            <w:pPr>
              <w:widowControl/>
              <w:autoSpaceDE/>
              <w:autoSpaceDN/>
              <w:adjustRightInd/>
              <w:jc w:val="center"/>
              <w:rPr>
                <w:rFonts w:ascii="Arial" w:hAnsi="Arial" w:cs="Arial"/>
                <w:sz w:val="24"/>
              </w:rPr>
            </w:pPr>
            <w:r w:rsidRPr="00E00DF3">
              <w:rPr>
                <w:rFonts w:ascii="Arial" w:hAnsi="Arial" w:cs="Arial"/>
                <w:sz w:val="24"/>
              </w:rPr>
              <w:t>Total</w:t>
            </w:r>
          </w:p>
        </w:tc>
        <w:tc>
          <w:tcPr>
            <w:tcW w:w="1683"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70B6848" w14:textId="77777777">
            <w:pPr>
              <w:widowControl/>
              <w:autoSpaceDE/>
              <w:autoSpaceDN/>
              <w:adjustRightInd/>
              <w:jc w:val="right"/>
              <w:rPr>
                <w:rFonts w:ascii="Arial" w:hAnsi="Arial" w:cs="Arial"/>
                <w:sz w:val="24"/>
              </w:rPr>
            </w:pPr>
            <w:r w:rsidRPr="00E00DF3">
              <w:rPr>
                <w:rFonts w:ascii="Arial" w:hAnsi="Arial" w:cs="Arial"/>
                <w:sz w:val="24"/>
              </w:rPr>
              <w:t>17,256</w:t>
            </w:r>
          </w:p>
        </w:tc>
        <w:tc>
          <w:tcPr>
            <w:tcW w:w="1588"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4BAC731D" w14:textId="77777777">
            <w:pPr>
              <w:widowControl/>
              <w:autoSpaceDE/>
              <w:autoSpaceDN/>
              <w:adjustRightInd/>
              <w:jc w:val="right"/>
              <w:rPr>
                <w:rFonts w:ascii="Arial" w:hAnsi="Arial" w:cs="Arial"/>
                <w:sz w:val="24"/>
              </w:rPr>
            </w:pPr>
          </w:p>
        </w:tc>
        <w:tc>
          <w:tcPr>
            <w:tcW w:w="1454"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1C8FB06" w14:textId="77777777">
            <w:pPr>
              <w:widowControl/>
              <w:autoSpaceDE/>
              <w:autoSpaceDN/>
              <w:adjustRightInd/>
              <w:jc w:val="right"/>
              <w:rPr>
                <w:rFonts w:ascii="Arial" w:hAnsi="Arial" w:cs="Arial"/>
                <w:sz w:val="24"/>
              </w:rPr>
            </w:pPr>
            <w:r w:rsidRPr="00E00DF3">
              <w:rPr>
                <w:rFonts w:ascii="Arial" w:hAnsi="Arial" w:cs="Arial"/>
                <w:sz w:val="24"/>
              </w:rPr>
              <w:t>51,712</w:t>
            </w:r>
          </w:p>
        </w:tc>
        <w:tc>
          <w:tcPr>
            <w:tcW w:w="1363"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0652E6B5" w14:textId="77777777">
            <w:pPr>
              <w:widowControl/>
              <w:autoSpaceDE/>
              <w:autoSpaceDN/>
              <w:adjustRightInd/>
              <w:jc w:val="right"/>
              <w:rPr>
                <w:rFonts w:ascii="Arial" w:hAnsi="Arial" w:cs="Arial"/>
                <w:sz w:val="24"/>
              </w:rPr>
            </w:pPr>
          </w:p>
        </w:tc>
        <w:tc>
          <w:tcPr>
            <w:tcW w:w="1454" w:type="dxa"/>
            <w:tcBorders>
              <w:top w:val="single" w:color="auto" w:sz="2" w:space="0"/>
              <w:left w:val="single" w:color="auto" w:sz="2" w:space="0"/>
              <w:bottom w:val="single" w:color="auto" w:sz="2" w:space="0"/>
              <w:right w:val="single" w:color="auto" w:sz="2" w:space="0"/>
            </w:tcBorders>
          </w:tcPr>
          <w:p w:rsidRPr="00E00DF3" w:rsidR="00F64FD8" w:rsidP="00F64FD8" w:rsidRDefault="00F64FD8" w14:paraId="356952D8" w14:textId="1F4B6748">
            <w:pPr>
              <w:widowControl/>
              <w:autoSpaceDE/>
              <w:autoSpaceDN/>
              <w:adjustRightInd/>
              <w:jc w:val="right"/>
              <w:rPr>
                <w:rFonts w:ascii="Arial" w:hAnsi="Arial" w:cs="Arial"/>
                <w:sz w:val="24"/>
              </w:rPr>
            </w:pPr>
            <w:r w:rsidRPr="00E00DF3">
              <w:rPr>
                <w:rFonts w:ascii="Arial" w:hAnsi="Arial" w:cs="Arial"/>
                <w:sz w:val="24"/>
              </w:rPr>
              <w:t>9,8</w:t>
            </w:r>
            <w:r w:rsidR="00740CE0">
              <w:rPr>
                <w:rFonts w:ascii="Arial" w:hAnsi="Arial" w:cs="Arial"/>
                <w:sz w:val="24"/>
              </w:rPr>
              <w:t>28</w:t>
            </w:r>
          </w:p>
        </w:tc>
      </w:tr>
    </w:tbl>
    <w:p w:rsidR="00F64FD8" w:rsidP="00CA3DA6" w:rsidRDefault="00F64FD8" w14:paraId="492B3CD1" w14:textId="76A0DB92">
      <w:pPr>
        <w:widowControl/>
        <w:tabs>
          <w:tab w:val="num" w:pos="720"/>
        </w:tabs>
        <w:spacing w:before="120"/>
        <w:rPr>
          <w:rFonts w:ascii="Arial" w:hAnsi="Arial" w:cs="Arial"/>
          <w:b/>
          <w:bCs/>
          <w:sz w:val="24"/>
        </w:rPr>
      </w:pPr>
    </w:p>
    <w:p w:rsidRPr="00CF661F" w:rsidR="00D92E1D" w:rsidP="00CA3DA6" w:rsidRDefault="009B3794" w14:paraId="5B97277A" w14:textId="2C42D19B">
      <w:pPr>
        <w:widowControl/>
        <w:spacing w:before="120"/>
        <w:rPr>
          <w:rFonts w:ascii="Arial" w:hAnsi="Arial" w:cs="Arial"/>
          <w:b/>
          <w:sz w:val="24"/>
        </w:rPr>
      </w:pPr>
      <w:r w:rsidRPr="00CF661F">
        <w:rPr>
          <w:rFonts w:ascii="Arial" w:hAnsi="Arial" w:cs="Arial"/>
          <w:b/>
          <w:sz w:val="28"/>
          <w:szCs w:val="28"/>
        </w:rPr>
        <w:t>12B</w:t>
      </w:r>
      <w:r w:rsidRPr="00CF661F">
        <w:rPr>
          <w:rFonts w:ascii="Arial" w:hAnsi="Arial" w:cs="Arial"/>
          <w:sz w:val="28"/>
          <w:szCs w:val="28"/>
        </w:rPr>
        <w:t xml:space="preserve">. </w:t>
      </w:r>
      <w:r w:rsidRPr="00CF661F" w:rsidR="006D5919">
        <w:rPr>
          <w:rFonts w:ascii="Arial" w:hAnsi="Arial" w:cs="Arial"/>
          <w:b/>
          <w:sz w:val="24"/>
        </w:rPr>
        <w:t>Estimated Annualized Burden Costs</w:t>
      </w:r>
    </w:p>
    <w:p w:rsidRPr="00CF661F" w:rsidR="0034578F" w:rsidP="00CA3DA6" w:rsidRDefault="000C1491" w14:paraId="1D962FAD" w14:textId="14B6BB44">
      <w:pPr>
        <w:widowControl/>
        <w:spacing w:before="120"/>
        <w:rPr>
          <w:rFonts w:ascii="Arial" w:hAnsi="Arial" w:cs="Arial"/>
          <w:sz w:val="24"/>
        </w:rPr>
      </w:pPr>
      <w:r w:rsidRPr="00CF661F">
        <w:rPr>
          <w:rFonts w:ascii="Arial" w:hAnsi="Arial" w:cs="Arial"/>
          <w:sz w:val="24"/>
        </w:rPr>
        <w:t>Exhibit</w:t>
      </w:r>
      <w:r w:rsidRPr="00CF661F" w:rsidR="0034578F">
        <w:rPr>
          <w:rFonts w:ascii="Arial" w:hAnsi="Arial" w:cs="Arial"/>
          <w:sz w:val="24"/>
        </w:rPr>
        <w:t xml:space="preserve"> 2</w:t>
      </w:r>
      <w:r w:rsidRPr="00CF661F" w:rsidR="0067036A">
        <w:rPr>
          <w:rFonts w:ascii="Arial" w:hAnsi="Arial" w:cs="Arial"/>
          <w:sz w:val="24"/>
        </w:rPr>
        <w:t xml:space="preserve"> </w:t>
      </w:r>
      <w:r w:rsidRPr="00CF661F" w:rsidR="0034578F">
        <w:rPr>
          <w:rFonts w:ascii="Arial" w:hAnsi="Arial" w:cs="Arial"/>
          <w:sz w:val="24"/>
        </w:rPr>
        <w:t>summarizes the estimated annualized cost burden to respondents of the evaluation.</w:t>
      </w:r>
      <w:r w:rsidR="00721F5A">
        <w:rPr>
          <w:rFonts w:ascii="Arial" w:hAnsi="Arial" w:cs="Arial"/>
          <w:sz w:val="24"/>
        </w:rPr>
        <w:t xml:space="preserve"> </w:t>
      </w:r>
      <w:r w:rsidRPr="00CF661F" w:rsidR="0067036A">
        <w:rPr>
          <w:rFonts w:ascii="Arial" w:hAnsi="Arial" w:cs="Arial"/>
          <w:sz w:val="24"/>
        </w:rPr>
        <w:t>Average hourly w</w:t>
      </w:r>
      <w:r w:rsidRPr="00CF661F" w:rsidR="0034578F">
        <w:rPr>
          <w:rFonts w:ascii="Arial" w:hAnsi="Arial" w:cs="Arial"/>
          <w:sz w:val="24"/>
        </w:rPr>
        <w:t>age estimates</w:t>
      </w:r>
      <w:r w:rsidRPr="00CF661F" w:rsidR="00496ADF">
        <w:rPr>
          <w:rFonts w:ascii="Arial" w:hAnsi="Arial" w:cs="Arial"/>
          <w:sz w:val="24"/>
        </w:rPr>
        <w:t xml:space="preserve"> and occupational profile codes</w:t>
      </w:r>
      <w:r w:rsidRPr="00CF661F" w:rsidR="0034578F">
        <w:rPr>
          <w:rFonts w:ascii="Arial" w:hAnsi="Arial" w:cs="Arial"/>
          <w:sz w:val="24"/>
        </w:rPr>
        <w:t xml:space="preserve"> were obtained from the U.S.</w:t>
      </w:r>
      <w:r w:rsidR="00721F5A">
        <w:rPr>
          <w:rFonts w:ascii="Arial" w:hAnsi="Arial" w:cs="Arial"/>
          <w:sz w:val="24"/>
        </w:rPr>
        <w:t xml:space="preserve"> </w:t>
      </w:r>
      <w:r w:rsidRPr="00CF661F" w:rsidR="0034578F">
        <w:rPr>
          <w:rFonts w:ascii="Arial" w:hAnsi="Arial" w:cs="Arial"/>
          <w:sz w:val="24"/>
        </w:rPr>
        <w:t xml:space="preserve">Department of Labor, Bureau of Labor Statistics using </w:t>
      </w:r>
      <w:r w:rsidRPr="00CF661F" w:rsidR="00EF12DA">
        <w:rPr>
          <w:rFonts w:ascii="Arial" w:hAnsi="Arial" w:cs="Arial"/>
          <w:sz w:val="24"/>
        </w:rPr>
        <w:t>wage estimates from 2018</w:t>
      </w:r>
      <w:r w:rsidRPr="00CF661F" w:rsidR="00496ADF">
        <w:rPr>
          <w:rFonts w:ascii="Arial" w:hAnsi="Arial" w:cs="Arial"/>
          <w:sz w:val="24"/>
        </w:rPr>
        <w:t xml:space="preserve"> (the most recently available estimates)</w:t>
      </w:r>
      <w:r w:rsidRPr="00CF661F" w:rsidR="0034578F">
        <w:rPr>
          <w:rFonts w:ascii="Arial" w:hAnsi="Arial" w:cs="Arial"/>
          <w:sz w:val="24"/>
        </w:rPr>
        <w:t>.</w:t>
      </w:r>
      <w:r w:rsidR="00721F5A">
        <w:rPr>
          <w:rFonts w:ascii="Arial" w:hAnsi="Arial" w:cs="Arial"/>
          <w:sz w:val="24"/>
        </w:rPr>
        <w:t xml:space="preserve"> </w:t>
      </w:r>
      <w:r w:rsidRPr="00CF661F" w:rsidR="00CA0AEA">
        <w:rPr>
          <w:rFonts w:ascii="Arial" w:hAnsi="Arial" w:cs="Arial"/>
          <w:sz w:val="24"/>
        </w:rPr>
        <w:t xml:space="preserve">The total respondent cost is calculated as </w:t>
      </w:r>
      <w:r w:rsidR="00C72090">
        <w:rPr>
          <w:rFonts w:ascii="Arial" w:hAnsi="Arial" w:cs="Arial"/>
          <w:sz w:val="24"/>
        </w:rPr>
        <w:t xml:space="preserve">total burden hours X </w:t>
      </w:r>
      <w:r w:rsidR="009F68F5">
        <w:rPr>
          <w:rFonts w:ascii="Arial" w:hAnsi="Arial" w:cs="Arial"/>
          <w:sz w:val="24"/>
        </w:rPr>
        <w:t>(</w:t>
      </w:r>
      <w:r w:rsidRPr="00CF661F" w:rsidR="00CA0AEA">
        <w:rPr>
          <w:rFonts w:ascii="Arial" w:hAnsi="Arial" w:cs="Arial"/>
          <w:sz w:val="24"/>
        </w:rPr>
        <w:t xml:space="preserve">hourly wage rate </w:t>
      </w:r>
      <w:r w:rsidR="00C72090">
        <w:rPr>
          <w:rFonts w:ascii="Arial" w:hAnsi="Arial" w:cs="Arial"/>
          <w:sz w:val="24"/>
        </w:rPr>
        <w:t>+</w:t>
      </w:r>
      <w:r w:rsidRPr="00CF661F" w:rsidR="00C72090">
        <w:rPr>
          <w:rFonts w:ascii="Arial" w:hAnsi="Arial" w:cs="Arial"/>
          <w:sz w:val="24"/>
        </w:rPr>
        <w:t xml:space="preserve"> </w:t>
      </w:r>
      <w:r w:rsidRPr="00B15EC7" w:rsidR="00B15EC7">
        <w:rPr>
          <w:rFonts w:ascii="Arial" w:hAnsi="Arial" w:cs="Arial"/>
          <w:sz w:val="24"/>
        </w:rPr>
        <w:t>the cost of fringe benefits and overhead</w:t>
      </w:r>
      <w:r w:rsidR="00450325">
        <w:rPr>
          <w:rFonts w:ascii="Arial" w:hAnsi="Arial" w:cs="Arial"/>
          <w:sz w:val="24"/>
        </w:rPr>
        <w:t xml:space="preserve">, </w:t>
      </w:r>
      <w:r w:rsidRPr="00B15EC7" w:rsidR="00B15EC7">
        <w:rPr>
          <w:rFonts w:ascii="Arial" w:hAnsi="Arial" w:cs="Arial"/>
          <w:sz w:val="24"/>
        </w:rPr>
        <w:t xml:space="preserve">calculated at 100 percent of </w:t>
      </w:r>
      <w:r w:rsidR="00C72090">
        <w:rPr>
          <w:rFonts w:ascii="Arial" w:hAnsi="Arial" w:cs="Arial"/>
          <w:sz w:val="24"/>
        </w:rPr>
        <w:t>hourly wage rate</w:t>
      </w:r>
      <w:r w:rsidRPr="00B15EC7" w:rsidR="00B15EC7">
        <w:rPr>
          <w:rFonts w:ascii="Arial" w:hAnsi="Arial" w:cs="Arial"/>
          <w:sz w:val="24"/>
        </w:rPr>
        <w:t xml:space="preserve">).  </w:t>
      </w:r>
    </w:p>
    <w:p w:rsidRPr="00CF661F" w:rsidR="0034578F" w:rsidP="005D0D9F" w:rsidRDefault="000C1491" w14:paraId="64A5D895" w14:textId="068308D0">
      <w:pPr>
        <w:widowControl/>
        <w:tabs>
          <w:tab w:val="num" w:pos="720"/>
        </w:tabs>
        <w:spacing w:before="120"/>
        <w:rPr>
          <w:rFonts w:ascii="Arial" w:hAnsi="Arial" w:cs="Arial"/>
          <w:b/>
          <w:bCs/>
          <w:sz w:val="24"/>
        </w:rPr>
      </w:pPr>
      <w:r w:rsidRPr="00CF661F">
        <w:rPr>
          <w:rFonts w:ascii="Arial" w:hAnsi="Arial" w:cs="Arial"/>
          <w:b/>
          <w:bCs/>
          <w:sz w:val="24"/>
        </w:rPr>
        <w:t>Exhibit</w:t>
      </w:r>
      <w:r w:rsidRPr="00CF661F" w:rsidR="0034578F">
        <w:rPr>
          <w:rFonts w:ascii="Arial" w:hAnsi="Arial" w:cs="Arial"/>
          <w:b/>
          <w:bCs/>
          <w:sz w:val="24"/>
        </w:rPr>
        <w:t xml:space="preserve"> 2. Estimated Annualized Burden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5"/>
        <w:gridCol w:w="1350"/>
        <w:gridCol w:w="1619"/>
        <w:gridCol w:w="1575"/>
        <w:gridCol w:w="1751"/>
      </w:tblGrid>
      <w:tr w:rsidRPr="00CF661F" w:rsidR="00337437" w:rsidTr="00C72090" w14:paraId="375A28C0" w14:textId="77777777">
        <w:tc>
          <w:tcPr>
            <w:tcW w:w="1634" w:type="pct"/>
          </w:tcPr>
          <w:p w:rsidRPr="00CF661F" w:rsidR="00337437" w:rsidP="004B58D1" w:rsidRDefault="00337437" w14:paraId="63D86700" w14:textId="77777777">
            <w:pPr>
              <w:widowControl/>
              <w:jc w:val="center"/>
              <w:rPr>
                <w:rFonts w:ascii="Arial" w:hAnsi="Arial" w:cs="Arial"/>
                <w:b/>
                <w:bCs/>
                <w:sz w:val="24"/>
              </w:rPr>
            </w:pPr>
            <w:r w:rsidRPr="00CF661F">
              <w:rPr>
                <w:rFonts w:ascii="Arial" w:hAnsi="Arial" w:cs="Arial"/>
                <w:b/>
                <w:bCs/>
                <w:sz w:val="24"/>
              </w:rPr>
              <w:t>Type of</w:t>
            </w:r>
          </w:p>
          <w:p w:rsidRPr="00CF661F" w:rsidR="00337437" w:rsidP="004B58D1" w:rsidRDefault="00337437" w14:paraId="5BD33D51" w14:textId="7C489B5C">
            <w:pPr>
              <w:widowControl/>
              <w:jc w:val="center"/>
              <w:rPr>
                <w:rFonts w:ascii="Arial" w:hAnsi="Arial" w:cs="Arial"/>
                <w:b/>
                <w:bCs/>
                <w:sz w:val="24"/>
              </w:rPr>
            </w:pPr>
            <w:r w:rsidRPr="00CF661F">
              <w:rPr>
                <w:rFonts w:ascii="Arial" w:hAnsi="Arial" w:cs="Arial"/>
                <w:b/>
                <w:bCs/>
                <w:sz w:val="24"/>
              </w:rPr>
              <w:t>Respondent (Occupational profile code)</w:t>
            </w:r>
          </w:p>
        </w:tc>
        <w:tc>
          <w:tcPr>
            <w:tcW w:w="722" w:type="pct"/>
          </w:tcPr>
          <w:p w:rsidRPr="00CF661F" w:rsidR="00337437" w:rsidP="004B58D1" w:rsidRDefault="00337437" w14:paraId="51E42750" w14:textId="77777777">
            <w:pPr>
              <w:widowControl/>
              <w:jc w:val="center"/>
              <w:rPr>
                <w:rFonts w:ascii="Arial" w:hAnsi="Arial" w:cs="Arial"/>
                <w:b/>
                <w:bCs/>
                <w:sz w:val="24"/>
              </w:rPr>
            </w:pPr>
            <w:r w:rsidRPr="00CF661F">
              <w:rPr>
                <w:rFonts w:ascii="Arial" w:hAnsi="Arial" w:cs="Arial"/>
                <w:b/>
                <w:bCs/>
                <w:sz w:val="24"/>
              </w:rPr>
              <w:t>Total Burden</w:t>
            </w:r>
          </w:p>
          <w:p w:rsidRPr="00CF661F" w:rsidR="00337437" w:rsidP="004B58D1" w:rsidRDefault="00337437" w14:paraId="7ACC96BB" w14:textId="716D9EFA">
            <w:pPr>
              <w:widowControl/>
              <w:jc w:val="center"/>
              <w:rPr>
                <w:rFonts w:ascii="Arial" w:hAnsi="Arial" w:cs="Arial"/>
                <w:b/>
                <w:bCs/>
                <w:sz w:val="24"/>
              </w:rPr>
            </w:pPr>
            <w:r w:rsidRPr="00CF661F">
              <w:rPr>
                <w:rFonts w:ascii="Arial" w:hAnsi="Arial" w:cs="Arial"/>
                <w:b/>
                <w:bCs/>
                <w:sz w:val="24"/>
              </w:rPr>
              <w:t>Hours</w:t>
            </w:r>
          </w:p>
        </w:tc>
        <w:tc>
          <w:tcPr>
            <w:tcW w:w="866" w:type="pct"/>
          </w:tcPr>
          <w:p w:rsidRPr="00CF661F" w:rsidR="00337437" w:rsidP="004B58D1" w:rsidRDefault="00337437" w14:paraId="15BF7DC5" w14:textId="77777777">
            <w:pPr>
              <w:widowControl/>
              <w:jc w:val="center"/>
              <w:rPr>
                <w:rFonts w:ascii="Arial" w:hAnsi="Arial" w:cs="Arial"/>
                <w:b/>
                <w:bCs/>
                <w:sz w:val="24"/>
              </w:rPr>
            </w:pPr>
            <w:r w:rsidRPr="00CF661F">
              <w:rPr>
                <w:rFonts w:ascii="Arial" w:hAnsi="Arial" w:cs="Arial"/>
                <w:b/>
                <w:bCs/>
                <w:sz w:val="24"/>
              </w:rPr>
              <w:t>Hourly</w:t>
            </w:r>
          </w:p>
          <w:p w:rsidR="00337437" w:rsidP="004B58D1" w:rsidRDefault="00337437" w14:paraId="6E48AF87" w14:textId="7C2CE6F5">
            <w:pPr>
              <w:widowControl/>
              <w:jc w:val="center"/>
              <w:rPr>
                <w:rFonts w:ascii="Arial" w:hAnsi="Arial" w:cs="Arial"/>
                <w:b/>
                <w:bCs/>
                <w:sz w:val="24"/>
              </w:rPr>
            </w:pPr>
            <w:r w:rsidRPr="00CF661F">
              <w:rPr>
                <w:rFonts w:ascii="Arial" w:hAnsi="Arial" w:cs="Arial"/>
                <w:b/>
                <w:bCs/>
                <w:sz w:val="24"/>
              </w:rPr>
              <w:t>Wage Rate*</w:t>
            </w:r>
          </w:p>
          <w:p w:rsidRPr="00337437" w:rsidR="00337437" w:rsidP="004B58D1" w:rsidRDefault="00337437" w14:paraId="61A5504C" w14:textId="19EADDAC">
            <w:pPr>
              <w:widowControl/>
              <w:jc w:val="center"/>
              <w:rPr>
                <w:rFonts w:ascii="Arial" w:hAnsi="Arial" w:cs="Arial"/>
                <w:b/>
                <w:bCs/>
                <w:sz w:val="24"/>
              </w:rPr>
            </w:pPr>
            <w:r w:rsidRPr="00337437">
              <w:rPr>
                <w:rFonts w:ascii="Arial" w:hAnsi="Arial" w:cs="Arial"/>
                <w:b/>
                <w:bCs/>
                <w:sz w:val="24"/>
              </w:rPr>
              <w:t>($/hr)</w:t>
            </w:r>
          </w:p>
          <w:p w:rsidRPr="00CF661F" w:rsidR="00337437" w:rsidP="004B58D1" w:rsidRDefault="00337437" w14:paraId="7582BA63" w14:textId="77777777">
            <w:pPr>
              <w:widowControl/>
              <w:spacing w:before="120"/>
              <w:jc w:val="center"/>
              <w:rPr>
                <w:rFonts w:ascii="Arial" w:hAnsi="Arial" w:cs="Arial"/>
                <w:b/>
                <w:bCs/>
                <w:sz w:val="24"/>
              </w:rPr>
            </w:pPr>
          </w:p>
        </w:tc>
        <w:tc>
          <w:tcPr>
            <w:tcW w:w="842" w:type="pct"/>
          </w:tcPr>
          <w:p w:rsidRPr="00CF661F" w:rsidR="00337437" w:rsidP="00337437" w:rsidRDefault="00337437" w14:paraId="6B43AD27" w14:textId="015A3196">
            <w:pPr>
              <w:widowControl/>
              <w:jc w:val="center"/>
              <w:rPr>
                <w:rFonts w:ascii="Arial" w:hAnsi="Arial" w:cs="Arial"/>
                <w:b/>
                <w:bCs/>
                <w:sz w:val="24"/>
              </w:rPr>
            </w:pPr>
            <w:r w:rsidRPr="00337437">
              <w:rPr>
                <w:rFonts w:ascii="Arial" w:hAnsi="Arial" w:cs="Arial"/>
                <w:b/>
                <w:bCs/>
                <w:sz w:val="24"/>
              </w:rPr>
              <w:t>Fringe Benefits and Overhead</w:t>
            </w:r>
            <w:r>
              <w:rPr>
                <w:rFonts w:ascii="Arial" w:hAnsi="Arial" w:cs="Arial"/>
                <w:b/>
                <w:bCs/>
                <w:sz w:val="24"/>
              </w:rPr>
              <w:t xml:space="preserve"> </w:t>
            </w:r>
            <w:r w:rsidRPr="00337437">
              <w:rPr>
                <w:rFonts w:ascii="Arial" w:hAnsi="Arial" w:cs="Arial"/>
                <w:b/>
                <w:bCs/>
                <w:sz w:val="24"/>
              </w:rPr>
              <w:t>($/hr)</w:t>
            </w:r>
          </w:p>
        </w:tc>
        <w:tc>
          <w:tcPr>
            <w:tcW w:w="936" w:type="pct"/>
          </w:tcPr>
          <w:p w:rsidRPr="00CF661F" w:rsidR="00337437" w:rsidP="00337437" w:rsidRDefault="00337437" w14:paraId="20F02222" w14:textId="7CDB9A51">
            <w:pPr>
              <w:widowControl/>
              <w:jc w:val="center"/>
              <w:rPr>
                <w:rFonts w:ascii="Arial" w:hAnsi="Arial" w:cs="Arial"/>
                <w:b/>
                <w:bCs/>
                <w:sz w:val="24"/>
              </w:rPr>
            </w:pPr>
            <w:r w:rsidRPr="00CF661F">
              <w:rPr>
                <w:rFonts w:ascii="Arial" w:hAnsi="Arial" w:cs="Arial"/>
                <w:b/>
                <w:bCs/>
                <w:sz w:val="24"/>
              </w:rPr>
              <w:t>Total Respondent Costs</w:t>
            </w:r>
          </w:p>
        </w:tc>
      </w:tr>
      <w:tr w:rsidRPr="00CF661F" w:rsidR="00337437" w:rsidTr="00C72090" w14:paraId="6144DBC5" w14:textId="77777777">
        <w:tc>
          <w:tcPr>
            <w:tcW w:w="1634" w:type="pct"/>
          </w:tcPr>
          <w:p w:rsidRPr="00CF661F" w:rsidR="00337437" w:rsidP="00337437" w:rsidRDefault="00337437" w14:paraId="18DA22A5" w14:textId="2F4E95DE">
            <w:pPr>
              <w:spacing w:before="120"/>
              <w:rPr>
                <w:rFonts w:ascii="Arial" w:hAnsi="Arial" w:cs="Arial"/>
                <w:sz w:val="24"/>
              </w:rPr>
            </w:pPr>
            <w:r w:rsidRPr="00CF661F">
              <w:rPr>
                <w:rFonts w:ascii="Arial" w:hAnsi="Arial" w:cs="Arial"/>
                <w:sz w:val="24"/>
              </w:rPr>
              <w:t xml:space="preserve">Physicians (29-1069) </w:t>
            </w:r>
          </w:p>
        </w:tc>
        <w:tc>
          <w:tcPr>
            <w:tcW w:w="722" w:type="pct"/>
          </w:tcPr>
          <w:p w:rsidRPr="00CF661F" w:rsidR="00337437" w:rsidP="00337437" w:rsidRDefault="00337437" w14:paraId="036FE611" w14:textId="27029B4A">
            <w:pPr>
              <w:spacing w:before="120"/>
              <w:rPr>
                <w:rFonts w:ascii="Arial" w:hAnsi="Arial" w:cs="Arial"/>
                <w:sz w:val="24"/>
              </w:rPr>
            </w:pPr>
            <w:r w:rsidRPr="00CF661F">
              <w:rPr>
                <w:rFonts w:ascii="Arial" w:hAnsi="Arial" w:cs="Arial"/>
                <w:sz w:val="24"/>
              </w:rPr>
              <w:t>3,903</w:t>
            </w:r>
          </w:p>
        </w:tc>
        <w:tc>
          <w:tcPr>
            <w:tcW w:w="866" w:type="pct"/>
          </w:tcPr>
          <w:p w:rsidRPr="00CF661F" w:rsidR="00337437" w:rsidP="00337437" w:rsidRDefault="00337437" w14:paraId="76D9D0A5" w14:textId="77218A8C">
            <w:pPr>
              <w:spacing w:before="120"/>
              <w:jc w:val="right"/>
              <w:rPr>
                <w:rFonts w:ascii="Arial" w:hAnsi="Arial" w:cs="Arial"/>
                <w:sz w:val="24"/>
              </w:rPr>
            </w:pPr>
            <w:r w:rsidRPr="00CF661F">
              <w:rPr>
                <w:rFonts w:ascii="Arial" w:hAnsi="Arial" w:cs="Arial"/>
                <w:sz w:val="24"/>
              </w:rPr>
              <w:t xml:space="preserve"> $98.02 </w:t>
            </w:r>
          </w:p>
        </w:tc>
        <w:tc>
          <w:tcPr>
            <w:tcW w:w="842" w:type="pct"/>
          </w:tcPr>
          <w:p w:rsidRPr="00CF661F" w:rsidR="00337437" w:rsidP="00337437" w:rsidRDefault="00337437" w14:paraId="7AD489D0" w14:textId="2F395CE1">
            <w:pPr>
              <w:spacing w:before="120"/>
              <w:jc w:val="right"/>
              <w:rPr>
                <w:rFonts w:ascii="Arial" w:hAnsi="Arial" w:cs="Arial"/>
                <w:sz w:val="24"/>
              </w:rPr>
            </w:pPr>
            <w:r w:rsidRPr="00CF661F">
              <w:rPr>
                <w:rFonts w:ascii="Arial" w:hAnsi="Arial" w:cs="Arial"/>
                <w:sz w:val="24"/>
              </w:rPr>
              <w:t xml:space="preserve"> $98.02 </w:t>
            </w:r>
          </w:p>
        </w:tc>
        <w:tc>
          <w:tcPr>
            <w:tcW w:w="936" w:type="pct"/>
          </w:tcPr>
          <w:p w:rsidRPr="00B15EC7" w:rsidR="00337437" w:rsidP="00337437" w:rsidRDefault="00337437" w14:paraId="1D264C2B" w14:textId="413AD3EE">
            <w:pPr>
              <w:spacing w:before="120"/>
              <w:jc w:val="right"/>
              <w:rPr>
                <w:rFonts w:ascii="Arial" w:hAnsi="Arial" w:cs="Arial"/>
                <w:sz w:val="24"/>
              </w:rPr>
            </w:pPr>
            <w:r w:rsidRPr="00B15EC7">
              <w:rPr>
                <w:rFonts w:ascii="Arial" w:hAnsi="Arial" w:cs="Arial"/>
                <w:sz w:val="24"/>
              </w:rPr>
              <w:t xml:space="preserve">$765,144.12 </w:t>
            </w:r>
          </w:p>
        </w:tc>
      </w:tr>
      <w:tr w:rsidRPr="00CF661F" w:rsidR="00337437" w:rsidTr="00C72090" w14:paraId="0262ABEE" w14:textId="77777777">
        <w:tc>
          <w:tcPr>
            <w:tcW w:w="1634" w:type="pct"/>
          </w:tcPr>
          <w:p w:rsidRPr="00CF661F" w:rsidR="00337437" w:rsidP="00337437" w:rsidRDefault="00337437" w14:paraId="7F12ACD5" w14:textId="49122C27">
            <w:pPr>
              <w:spacing w:before="120"/>
              <w:rPr>
                <w:rFonts w:ascii="Arial" w:hAnsi="Arial" w:cs="Arial"/>
                <w:sz w:val="24"/>
              </w:rPr>
            </w:pPr>
            <w:r w:rsidRPr="00CF661F">
              <w:rPr>
                <w:rFonts w:ascii="Arial" w:hAnsi="Arial" w:cs="Arial"/>
                <w:sz w:val="24"/>
              </w:rPr>
              <w:t xml:space="preserve">Nurse Practitioners (29-1171) </w:t>
            </w:r>
          </w:p>
        </w:tc>
        <w:tc>
          <w:tcPr>
            <w:tcW w:w="722" w:type="pct"/>
          </w:tcPr>
          <w:p w:rsidRPr="00CF661F" w:rsidR="00337437" w:rsidP="00337437" w:rsidRDefault="00337437" w14:paraId="0A7D6291" w14:textId="70C80C1A">
            <w:pPr>
              <w:spacing w:before="120"/>
              <w:rPr>
                <w:rFonts w:ascii="Arial" w:hAnsi="Arial" w:cs="Arial"/>
                <w:sz w:val="24"/>
              </w:rPr>
            </w:pPr>
            <w:r w:rsidRPr="00CF661F">
              <w:rPr>
                <w:rFonts w:ascii="Arial" w:hAnsi="Arial" w:cs="Arial"/>
                <w:sz w:val="24"/>
              </w:rPr>
              <w:t>1,556</w:t>
            </w:r>
          </w:p>
        </w:tc>
        <w:tc>
          <w:tcPr>
            <w:tcW w:w="866" w:type="pct"/>
          </w:tcPr>
          <w:p w:rsidRPr="00CF661F" w:rsidR="00337437" w:rsidP="00337437" w:rsidRDefault="00337437" w14:paraId="073AF978" w14:textId="32DD7385">
            <w:pPr>
              <w:spacing w:before="120"/>
              <w:jc w:val="right"/>
              <w:rPr>
                <w:rFonts w:ascii="Arial" w:hAnsi="Arial" w:cs="Arial"/>
                <w:sz w:val="24"/>
              </w:rPr>
            </w:pPr>
            <w:r w:rsidRPr="00CF661F">
              <w:rPr>
                <w:rFonts w:ascii="Arial" w:hAnsi="Arial" w:cs="Arial"/>
                <w:sz w:val="24"/>
              </w:rPr>
              <w:t xml:space="preserve"> $52.90 </w:t>
            </w:r>
          </w:p>
        </w:tc>
        <w:tc>
          <w:tcPr>
            <w:tcW w:w="842" w:type="pct"/>
          </w:tcPr>
          <w:p w:rsidRPr="00CF661F" w:rsidR="00337437" w:rsidP="00337437" w:rsidRDefault="00337437" w14:paraId="18B38B81" w14:textId="46ACF389">
            <w:pPr>
              <w:spacing w:before="120"/>
              <w:jc w:val="right"/>
              <w:rPr>
                <w:rFonts w:ascii="Arial" w:hAnsi="Arial" w:cs="Arial"/>
                <w:sz w:val="24"/>
              </w:rPr>
            </w:pPr>
            <w:r w:rsidRPr="00CF661F">
              <w:rPr>
                <w:rFonts w:ascii="Arial" w:hAnsi="Arial" w:cs="Arial"/>
                <w:sz w:val="24"/>
              </w:rPr>
              <w:t xml:space="preserve"> $52.90 </w:t>
            </w:r>
          </w:p>
        </w:tc>
        <w:tc>
          <w:tcPr>
            <w:tcW w:w="936" w:type="pct"/>
          </w:tcPr>
          <w:p w:rsidRPr="00B15EC7" w:rsidR="00337437" w:rsidP="00337437" w:rsidRDefault="00337437" w14:paraId="7C812B2F" w14:textId="08E11C18">
            <w:pPr>
              <w:spacing w:before="120"/>
              <w:jc w:val="right"/>
              <w:rPr>
                <w:rFonts w:ascii="Arial" w:hAnsi="Arial" w:cs="Arial"/>
                <w:sz w:val="24"/>
              </w:rPr>
            </w:pPr>
            <w:r w:rsidRPr="00B15EC7">
              <w:rPr>
                <w:rFonts w:ascii="Arial" w:hAnsi="Arial" w:cs="Arial"/>
                <w:sz w:val="24"/>
              </w:rPr>
              <w:t xml:space="preserve">$164,624.80 </w:t>
            </w:r>
          </w:p>
        </w:tc>
      </w:tr>
      <w:tr w:rsidRPr="00CF661F" w:rsidR="00337437" w:rsidTr="00C72090" w14:paraId="2E041FD8" w14:textId="77777777">
        <w:tc>
          <w:tcPr>
            <w:tcW w:w="1634" w:type="pct"/>
          </w:tcPr>
          <w:p w:rsidRPr="00CF661F" w:rsidR="00337437" w:rsidP="00337437" w:rsidRDefault="00337437" w14:paraId="29AFFFB7" w14:textId="6289790D">
            <w:pPr>
              <w:spacing w:before="120"/>
              <w:rPr>
                <w:rFonts w:ascii="Arial" w:hAnsi="Arial" w:cs="Arial"/>
                <w:sz w:val="24"/>
              </w:rPr>
            </w:pPr>
            <w:r w:rsidRPr="00CF661F">
              <w:rPr>
                <w:rFonts w:ascii="Arial" w:hAnsi="Arial" w:cs="Arial"/>
                <w:sz w:val="24"/>
              </w:rPr>
              <w:t xml:space="preserve">Physician Assistants (29-1071) </w:t>
            </w:r>
          </w:p>
        </w:tc>
        <w:tc>
          <w:tcPr>
            <w:tcW w:w="722" w:type="pct"/>
          </w:tcPr>
          <w:p w:rsidRPr="00CF661F" w:rsidR="00337437" w:rsidP="00337437" w:rsidRDefault="00337437" w14:paraId="5FF1DF94" w14:textId="3AC818C2">
            <w:pPr>
              <w:spacing w:before="120"/>
              <w:rPr>
                <w:rFonts w:ascii="Arial" w:hAnsi="Arial" w:cs="Arial"/>
                <w:sz w:val="24"/>
              </w:rPr>
            </w:pPr>
            <w:r w:rsidRPr="00CF661F">
              <w:rPr>
                <w:rFonts w:ascii="Arial" w:hAnsi="Arial" w:cs="Arial"/>
                <w:sz w:val="24"/>
              </w:rPr>
              <w:t>770</w:t>
            </w:r>
          </w:p>
        </w:tc>
        <w:tc>
          <w:tcPr>
            <w:tcW w:w="866" w:type="pct"/>
          </w:tcPr>
          <w:p w:rsidRPr="00CF661F" w:rsidR="00337437" w:rsidP="00337437" w:rsidRDefault="00337437" w14:paraId="5D1B1146" w14:textId="7F9BC8C1">
            <w:pPr>
              <w:spacing w:before="120"/>
              <w:jc w:val="right"/>
              <w:rPr>
                <w:rFonts w:ascii="Arial" w:hAnsi="Arial" w:cs="Arial"/>
                <w:sz w:val="24"/>
              </w:rPr>
            </w:pPr>
            <w:r w:rsidRPr="00CF661F">
              <w:rPr>
                <w:rFonts w:ascii="Arial" w:hAnsi="Arial" w:cs="Arial"/>
                <w:sz w:val="24"/>
              </w:rPr>
              <w:t xml:space="preserve"> $52.13 </w:t>
            </w:r>
          </w:p>
        </w:tc>
        <w:tc>
          <w:tcPr>
            <w:tcW w:w="842" w:type="pct"/>
          </w:tcPr>
          <w:p w:rsidRPr="00CF661F" w:rsidR="00337437" w:rsidP="00337437" w:rsidRDefault="00337437" w14:paraId="5ED182C9" w14:textId="7407B9C4">
            <w:pPr>
              <w:spacing w:before="120"/>
              <w:jc w:val="right"/>
              <w:rPr>
                <w:rFonts w:ascii="Arial" w:hAnsi="Arial" w:cs="Arial"/>
                <w:sz w:val="24"/>
              </w:rPr>
            </w:pPr>
            <w:r w:rsidRPr="00CF661F">
              <w:rPr>
                <w:rFonts w:ascii="Arial" w:hAnsi="Arial" w:cs="Arial"/>
                <w:sz w:val="24"/>
              </w:rPr>
              <w:t xml:space="preserve"> $52.13 </w:t>
            </w:r>
          </w:p>
        </w:tc>
        <w:tc>
          <w:tcPr>
            <w:tcW w:w="936" w:type="pct"/>
          </w:tcPr>
          <w:p w:rsidRPr="00B15EC7" w:rsidR="00337437" w:rsidP="00337437" w:rsidRDefault="00337437" w14:paraId="72728278" w14:textId="3EFF74E6">
            <w:pPr>
              <w:spacing w:before="120"/>
              <w:jc w:val="right"/>
              <w:rPr>
                <w:rFonts w:ascii="Arial" w:hAnsi="Arial" w:cs="Arial"/>
                <w:sz w:val="24"/>
              </w:rPr>
            </w:pPr>
            <w:r w:rsidRPr="00B15EC7">
              <w:rPr>
                <w:rFonts w:ascii="Arial" w:hAnsi="Arial" w:cs="Arial"/>
                <w:sz w:val="24"/>
              </w:rPr>
              <w:t xml:space="preserve">$80,280.20 </w:t>
            </w:r>
          </w:p>
        </w:tc>
      </w:tr>
      <w:tr w:rsidRPr="00CF661F" w:rsidR="00337437" w:rsidTr="00C72090" w14:paraId="08E3B600" w14:textId="77777777">
        <w:tc>
          <w:tcPr>
            <w:tcW w:w="1634" w:type="pct"/>
          </w:tcPr>
          <w:p w:rsidRPr="00CF661F" w:rsidR="00337437" w:rsidP="00337437" w:rsidRDefault="00337437" w14:paraId="5C895D28" w14:textId="51D40AE3">
            <w:pPr>
              <w:spacing w:before="120"/>
              <w:rPr>
                <w:rFonts w:ascii="Arial" w:hAnsi="Arial" w:cs="Arial"/>
                <w:sz w:val="24"/>
              </w:rPr>
            </w:pPr>
            <w:r w:rsidRPr="00CF661F">
              <w:rPr>
                <w:rFonts w:ascii="Arial" w:hAnsi="Arial" w:cs="Arial"/>
                <w:sz w:val="24"/>
              </w:rPr>
              <w:t>Nurse Midwives (29-1161)</w:t>
            </w:r>
          </w:p>
        </w:tc>
        <w:tc>
          <w:tcPr>
            <w:tcW w:w="722" w:type="pct"/>
          </w:tcPr>
          <w:p w:rsidRPr="00CF661F" w:rsidR="00337437" w:rsidP="00337437" w:rsidRDefault="00337437" w14:paraId="1CC79FB9" w14:textId="14595D48">
            <w:pPr>
              <w:spacing w:before="120"/>
              <w:rPr>
                <w:rFonts w:ascii="Arial" w:hAnsi="Arial" w:cs="Arial"/>
                <w:sz w:val="24"/>
              </w:rPr>
            </w:pPr>
            <w:r w:rsidRPr="00CF661F">
              <w:rPr>
                <w:rFonts w:ascii="Arial" w:hAnsi="Arial" w:cs="Arial"/>
                <w:sz w:val="24"/>
              </w:rPr>
              <w:t>112</w:t>
            </w:r>
          </w:p>
        </w:tc>
        <w:tc>
          <w:tcPr>
            <w:tcW w:w="866" w:type="pct"/>
          </w:tcPr>
          <w:p w:rsidRPr="00CF661F" w:rsidR="00337437" w:rsidP="00337437" w:rsidRDefault="00337437" w14:paraId="31474E08" w14:textId="3D64DC06">
            <w:pPr>
              <w:spacing w:before="120"/>
              <w:jc w:val="right"/>
              <w:rPr>
                <w:rFonts w:ascii="Arial" w:hAnsi="Arial" w:cs="Arial"/>
                <w:sz w:val="24"/>
              </w:rPr>
            </w:pPr>
            <w:r w:rsidRPr="00CF661F">
              <w:rPr>
                <w:rFonts w:ascii="Arial" w:hAnsi="Arial" w:cs="Arial"/>
                <w:sz w:val="24"/>
              </w:rPr>
              <w:t xml:space="preserve"> $51.40 </w:t>
            </w:r>
          </w:p>
        </w:tc>
        <w:tc>
          <w:tcPr>
            <w:tcW w:w="842" w:type="pct"/>
          </w:tcPr>
          <w:p w:rsidRPr="00CF661F" w:rsidR="00337437" w:rsidP="00337437" w:rsidRDefault="00337437" w14:paraId="78944DC5" w14:textId="676E7CBA">
            <w:pPr>
              <w:spacing w:before="120"/>
              <w:jc w:val="right"/>
              <w:rPr>
                <w:rFonts w:ascii="Arial" w:hAnsi="Arial" w:cs="Arial"/>
                <w:sz w:val="24"/>
              </w:rPr>
            </w:pPr>
            <w:r w:rsidRPr="00CF661F">
              <w:rPr>
                <w:rFonts w:ascii="Arial" w:hAnsi="Arial" w:cs="Arial"/>
                <w:sz w:val="24"/>
              </w:rPr>
              <w:t xml:space="preserve"> $51.40 </w:t>
            </w:r>
          </w:p>
        </w:tc>
        <w:tc>
          <w:tcPr>
            <w:tcW w:w="936" w:type="pct"/>
          </w:tcPr>
          <w:p w:rsidRPr="00B15EC7" w:rsidR="00337437" w:rsidP="00337437" w:rsidRDefault="00337437" w14:paraId="178949DF" w14:textId="69346D86">
            <w:pPr>
              <w:spacing w:before="120"/>
              <w:jc w:val="right"/>
              <w:rPr>
                <w:rFonts w:ascii="Arial" w:hAnsi="Arial" w:cs="Arial"/>
                <w:sz w:val="24"/>
              </w:rPr>
            </w:pPr>
            <w:r w:rsidRPr="00B15EC7">
              <w:rPr>
                <w:rFonts w:ascii="Arial" w:hAnsi="Arial" w:cs="Arial"/>
                <w:sz w:val="24"/>
              </w:rPr>
              <w:t xml:space="preserve">$11,513.60 </w:t>
            </w:r>
          </w:p>
        </w:tc>
      </w:tr>
      <w:tr w:rsidRPr="00CF661F" w:rsidR="00337437" w:rsidTr="00C72090" w14:paraId="7ACAA99D" w14:textId="77777777">
        <w:tc>
          <w:tcPr>
            <w:tcW w:w="1634" w:type="pct"/>
          </w:tcPr>
          <w:p w:rsidRPr="00CF661F" w:rsidR="00337437" w:rsidP="00337437" w:rsidRDefault="00337437" w14:paraId="22C9C424" w14:textId="5DC0E05C">
            <w:pPr>
              <w:spacing w:before="120"/>
              <w:rPr>
                <w:rFonts w:ascii="Arial" w:hAnsi="Arial" w:cs="Arial"/>
                <w:sz w:val="24"/>
              </w:rPr>
            </w:pPr>
            <w:r w:rsidRPr="00CF661F">
              <w:rPr>
                <w:rFonts w:ascii="Arial" w:hAnsi="Arial" w:cs="Arial"/>
                <w:sz w:val="24"/>
              </w:rPr>
              <w:t>Other Health Care Professionals (29-0000)</w:t>
            </w:r>
          </w:p>
        </w:tc>
        <w:tc>
          <w:tcPr>
            <w:tcW w:w="722" w:type="pct"/>
          </w:tcPr>
          <w:p w:rsidRPr="00CF661F" w:rsidR="00337437" w:rsidP="00337437" w:rsidRDefault="00337437" w14:paraId="31765E03" w14:textId="765B5FA5">
            <w:pPr>
              <w:spacing w:before="120"/>
              <w:rPr>
                <w:rFonts w:ascii="Arial" w:hAnsi="Arial" w:cs="Arial"/>
                <w:sz w:val="24"/>
              </w:rPr>
            </w:pPr>
            <w:r w:rsidRPr="00CF661F">
              <w:rPr>
                <w:rFonts w:ascii="Arial" w:hAnsi="Arial" w:cs="Arial"/>
                <w:sz w:val="24"/>
              </w:rPr>
              <w:t>308</w:t>
            </w:r>
          </w:p>
        </w:tc>
        <w:tc>
          <w:tcPr>
            <w:tcW w:w="866" w:type="pct"/>
          </w:tcPr>
          <w:p w:rsidRPr="00CF661F" w:rsidR="00337437" w:rsidP="00337437" w:rsidRDefault="00337437" w14:paraId="25017720" w14:textId="799B0CE2">
            <w:pPr>
              <w:spacing w:before="120"/>
              <w:jc w:val="right"/>
              <w:rPr>
                <w:rFonts w:ascii="Arial" w:hAnsi="Arial" w:cs="Arial"/>
                <w:sz w:val="24"/>
              </w:rPr>
            </w:pPr>
            <w:r w:rsidRPr="00CF661F">
              <w:rPr>
                <w:rFonts w:ascii="Arial" w:hAnsi="Arial" w:cs="Arial"/>
                <w:sz w:val="24"/>
              </w:rPr>
              <w:t xml:space="preserve"> $39.42 </w:t>
            </w:r>
          </w:p>
        </w:tc>
        <w:tc>
          <w:tcPr>
            <w:tcW w:w="842" w:type="pct"/>
          </w:tcPr>
          <w:p w:rsidRPr="00CF661F" w:rsidR="00337437" w:rsidP="00337437" w:rsidRDefault="00337437" w14:paraId="6687332B" w14:textId="14B3D466">
            <w:pPr>
              <w:spacing w:before="120"/>
              <w:jc w:val="right"/>
              <w:rPr>
                <w:rFonts w:ascii="Arial" w:hAnsi="Arial" w:cs="Arial"/>
                <w:sz w:val="24"/>
              </w:rPr>
            </w:pPr>
            <w:r w:rsidRPr="00CF661F">
              <w:rPr>
                <w:rFonts w:ascii="Arial" w:hAnsi="Arial" w:cs="Arial"/>
                <w:sz w:val="24"/>
              </w:rPr>
              <w:t xml:space="preserve"> $39.42 </w:t>
            </w:r>
          </w:p>
        </w:tc>
        <w:tc>
          <w:tcPr>
            <w:tcW w:w="936" w:type="pct"/>
          </w:tcPr>
          <w:p w:rsidRPr="00B15EC7" w:rsidR="00337437" w:rsidP="00337437" w:rsidRDefault="00337437" w14:paraId="4443DEE4" w14:textId="1B5AA2F2">
            <w:pPr>
              <w:spacing w:before="120"/>
              <w:jc w:val="right"/>
              <w:rPr>
                <w:rFonts w:ascii="Arial" w:hAnsi="Arial" w:cs="Arial"/>
                <w:sz w:val="24"/>
              </w:rPr>
            </w:pPr>
            <w:r w:rsidRPr="00B15EC7">
              <w:rPr>
                <w:rFonts w:ascii="Arial" w:hAnsi="Arial" w:cs="Arial"/>
                <w:sz w:val="24"/>
              </w:rPr>
              <w:t xml:space="preserve">$24,282.72 </w:t>
            </w:r>
          </w:p>
        </w:tc>
      </w:tr>
      <w:tr w:rsidRPr="00CF661F" w:rsidR="00337437" w:rsidTr="00C72090" w14:paraId="095CFE26" w14:textId="77777777">
        <w:trPr>
          <w:trHeight w:val="440"/>
        </w:trPr>
        <w:tc>
          <w:tcPr>
            <w:tcW w:w="1634" w:type="pct"/>
          </w:tcPr>
          <w:p w:rsidRPr="00CF661F" w:rsidR="00337437" w:rsidP="00337437" w:rsidRDefault="00337437" w14:paraId="4AC094C9" w14:textId="379F8D5C">
            <w:pPr>
              <w:widowControl/>
              <w:spacing w:before="120"/>
              <w:rPr>
                <w:rFonts w:ascii="Arial" w:hAnsi="Arial" w:cs="Arial"/>
                <w:sz w:val="24"/>
              </w:rPr>
            </w:pPr>
            <w:r w:rsidRPr="00CF661F">
              <w:rPr>
                <w:rFonts w:ascii="Arial" w:hAnsi="Arial" w:cs="Arial"/>
                <w:sz w:val="24"/>
              </w:rPr>
              <w:t>Practice Manager (11-9111)</w:t>
            </w:r>
          </w:p>
        </w:tc>
        <w:tc>
          <w:tcPr>
            <w:tcW w:w="722" w:type="pct"/>
          </w:tcPr>
          <w:p w:rsidRPr="00CF661F" w:rsidR="00337437" w:rsidP="00337437" w:rsidRDefault="00337437" w14:paraId="5918C39A" w14:textId="65A94821">
            <w:pPr>
              <w:widowControl/>
              <w:spacing w:before="120"/>
              <w:rPr>
                <w:rFonts w:ascii="Arial" w:hAnsi="Arial" w:cs="Arial"/>
                <w:sz w:val="24"/>
              </w:rPr>
            </w:pPr>
            <w:r w:rsidRPr="00CF661F">
              <w:rPr>
                <w:rFonts w:ascii="Arial" w:hAnsi="Arial" w:cs="Arial"/>
                <w:sz w:val="24"/>
              </w:rPr>
              <w:t>3,124</w:t>
            </w:r>
          </w:p>
        </w:tc>
        <w:tc>
          <w:tcPr>
            <w:tcW w:w="866" w:type="pct"/>
          </w:tcPr>
          <w:p w:rsidRPr="00CF661F" w:rsidR="00337437" w:rsidP="00337437" w:rsidRDefault="00337437" w14:paraId="2614C9F5" w14:textId="376A287F">
            <w:pPr>
              <w:widowControl/>
              <w:spacing w:before="120"/>
              <w:jc w:val="right"/>
              <w:rPr>
                <w:rFonts w:ascii="Arial" w:hAnsi="Arial" w:cs="Arial"/>
                <w:sz w:val="24"/>
              </w:rPr>
            </w:pPr>
            <w:r w:rsidRPr="00CF661F">
              <w:rPr>
                <w:rFonts w:ascii="Arial" w:hAnsi="Arial" w:cs="Arial"/>
                <w:sz w:val="24"/>
              </w:rPr>
              <w:t>$54.68</w:t>
            </w:r>
          </w:p>
        </w:tc>
        <w:tc>
          <w:tcPr>
            <w:tcW w:w="842" w:type="pct"/>
          </w:tcPr>
          <w:p w:rsidRPr="00CF661F" w:rsidR="00337437" w:rsidP="00337437" w:rsidRDefault="00337437" w14:paraId="310D111F" w14:textId="51E804F3">
            <w:pPr>
              <w:widowControl/>
              <w:spacing w:before="120"/>
              <w:jc w:val="right"/>
              <w:rPr>
                <w:rFonts w:ascii="Arial" w:hAnsi="Arial" w:cs="Arial"/>
                <w:sz w:val="24"/>
              </w:rPr>
            </w:pPr>
            <w:r w:rsidRPr="00CF661F">
              <w:rPr>
                <w:rFonts w:ascii="Arial" w:hAnsi="Arial" w:cs="Arial"/>
                <w:sz w:val="24"/>
              </w:rPr>
              <w:t>$54.68</w:t>
            </w:r>
          </w:p>
        </w:tc>
        <w:tc>
          <w:tcPr>
            <w:tcW w:w="936" w:type="pct"/>
          </w:tcPr>
          <w:p w:rsidRPr="00B15EC7" w:rsidR="00337437" w:rsidP="00337437" w:rsidRDefault="00337437" w14:paraId="06947BC6" w14:textId="7F29DBA7">
            <w:pPr>
              <w:widowControl/>
              <w:spacing w:before="120"/>
              <w:jc w:val="right"/>
              <w:rPr>
                <w:rFonts w:ascii="Arial" w:hAnsi="Arial" w:cs="Arial"/>
                <w:sz w:val="24"/>
              </w:rPr>
            </w:pPr>
            <w:r w:rsidRPr="00B15EC7">
              <w:rPr>
                <w:rFonts w:ascii="Arial" w:hAnsi="Arial" w:cs="Arial"/>
                <w:sz w:val="24"/>
              </w:rPr>
              <w:t xml:space="preserve">$341,640.64 </w:t>
            </w:r>
          </w:p>
        </w:tc>
      </w:tr>
      <w:tr w:rsidRPr="00CF661F" w:rsidR="00337437" w:rsidTr="00C72090" w14:paraId="4FB1A407" w14:textId="77777777">
        <w:trPr>
          <w:trHeight w:val="440"/>
        </w:trPr>
        <w:tc>
          <w:tcPr>
            <w:tcW w:w="1634" w:type="pct"/>
          </w:tcPr>
          <w:p w:rsidRPr="00CF661F" w:rsidR="00337437" w:rsidP="00337437" w:rsidRDefault="00337437" w14:paraId="25FD3BBC" w14:textId="27DB8ACE">
            <w:pPr>
              <w:widowControl/>
              <w:spacing w:before="120"/>
              <w:rPr>
                <w:rFonts w:ascii="Arial" w:hAnsi="Arial" w:cs="Arial"/>
                <w:sz w:val="24"/>
              </w:rPr>
            </w:pPr>
            <w:r w:rsidRPr="00CF661F">
              <w:rPr>
                <w:rFonts w:ascii="Arial" w:hAnsi="Arial" w:cs="Arial"/>
                <w:sz w:val="24"/>
              </w:rPr>
              <w:t>Project Director/Principal Investigator (19-3099)</w:t>
            </w:r>
          </w:p>
        </w:tc>
        <w:tc>
          <w:tcPr>
            <w:tcW w:w="722" w:type="pct"/>
          </w:tcPr>
          <w:p w:rsidRPr="00CF661F" w:rsidR="00337437" w:rsidP="00337437" w:rsidRDefault="00337437" w14:paraId="7EE971C3" w14:textId="7E0FC68F">
            <w:pPr>
              <w:widowControl/>
              <w:spacing w:before="120"/>
              <w:rPr>
                <w:rFonts w:ascii="Arial" w:hAnsi="Arial" w:cs="Arial"/>
                <w:sz w:val="24"/>
              </w:rPr>
            </w:pPr>
            <w:r w:rsidRPr="00CF661F">
              <w:rPr>
                <w:rFonts w:ascii="Arial" w:hAnsi="Arial" w:cs="Arial"/>
                <w:sz w:val="24"/>
              </w:rPr>
              <w:t>56</w:t>
            </w:r>
          </w:p>
        </w:tc>
        <w:tc>
          <w:tcPr>
            <w:tcW w:w="866" w:type="pct"/>
          </w:tcPr>
          <w:p w:rsidRPr="00CF661F" w:rsidR="00337437" w:rsidP="00337437" w:rsidRDefault="00337437" w14:paraId="5CBE3734" w14:textId="108B4F37">
            <w:pPr>
              <w:widowControl/>
              <w:spacing w:before="120"/>
              <w:jc w:val="right"/>
              <w:rPr>
                <w:rFonts w:ascii="Arial" w:hAnsi="Arial" w:cs="Arial"/>
                <w:sz w:val="24"/>
              </w:rPr>
            </w:pPr>
            <w:r w:rsidRPr="00CF661F">
              <w:rPr>
                <w:rFonts w:ascii="Arial" w:hAnsi="Arial" w:cs="Arial"/>
                <w:sz w:val="24"/>
              </w:rPr>
              <w:t>$41.22</w:t>
            </w:r>
          </w:p>
        </w:tc>
        <w:tc>
          <w:tcPr>
            <w:tcW w:w="842" w:type="pct"/>
          </w:tcPr>
          <w:p w:rsidRPr="00CF661F" w:rsidR="00337437" w:rsidP="00337437" w:rsidRDefault="00337437" w14:paraId="5D0A61AC" w14:textId="4D12CB73">
            <w:pPr>
              <w:widowControl/>
              <w:spacing w:before="120"/>
              <w:jc w:val="right"/>
              <w:rPr>
                <w:rFonts w:ascii="Arial" w:hAnsi="Arial" w:cs="Arial"/>
                <w:sz w:val="24"/>
              </w:rPr>
            </w:pPr>
            <w:r w:rsidRPr="00CF661F">
              <w:rPr>
                <w:rFonts w:ascii="Arial" w:hAnsi="Arial" w:cs="Arial"/>
                <w:sz w:val="24"/>
              </w:rPr>
              <w:t>$41.22</w:t>
            </w:r>
          </w:p>
        </w:tc>
        <w:tc>
          <w:tcPr>
            <w:tcW w:w="936" w:type="pct"/>
          </w:tcPr>
          <w:p w:rsidRPr="00B15EC7" w:rsidR="00337437" w:rsidP="00337437" w:rsidRDefault="00337437" w14:paraId="0858BF5A" w14:textId="03DC8949">
            <w:pPr>
              <w:widowControl/>
              <w:spacing w:before="120"/>
              <w:jc w:val="right"/>
              <w:rPr>
                <w:rFonts w:ascii="Arial" w:hAnsi="Arial" w:cs="Arial"/>
                <w:sz w:val="24"/>
              </w:rPr>
            </w:pPr>
            <w:r w:rsidRPr="00B15EC7">
              <w:rPr>
                <w:rFonts w:ascii="Arial" w:hAnsi="Arial" w:cs="Arial"/>
                <w:sz w:val="24"/>
              </w:rPr>
              <w:t xml:space="preserve">$4,616.64 </w:t>
            </w:r>
          </w:p>
        </w:tc>
      </w:tr>
      <w:tr w:rsidRPr="00CF661F" w:rsidR="00337437" w:rsidTr="00C72090" w14:paraId="783261AA" w14:textId="77777777">
        <w:trPr>
          <w:trHeight w:val="440"/>
        </w:trPr>
        <w:tc>
          <w:tcPr>
            <w:tcW w:w="1634" w:type="pct"/>
          </w:tcPr>
          <w:p w:rsidRPr="00CF661F" w:rsidR="00337437" w:rsidP="00337437" w:rsidRDefault="00337437" w14:paraId="6F466AD2" w14:textId="77777777">
            <w:pPr>
              <w:widowControl/>
              <w:spacing w:before="120"/>
              <w:rPr>
                <w:rFonts w:ascii="Arial" w:hAnsi="Arial" w:cs="Arial"/>
                <w:sz w:val="24"/>
              </w:rPr>
            </w:pPr>
            <w:r w:rsidRPr="00CF661F">
              <w:rPr>
                <w:rFonts w:ascii="Arial" w:hAnsi="Arial" w:cs="Arial"/>
                <w:sz w:val="24"/>
              </w:rPr>
              <w:lastRenderedPageBreak/>
              <w:t>Total</w:t>
            </w:r>
          </w:p>
        </w:tc>
        <w:tc>
          <w:tcPr>
            <w:tcW w:w="722" w:type="pct"/>
          </w:tcPr>
          <w:p w:rsidRPr="00CF661F" w:rsidR="00337437" w:rsidP="00337437" w:rsidRDefault="00337437" w14:paraId="7B7CF3D2" w14:textId="77777777">
            <w:pPr>
              <w:widowControl/>
              <w:spacing w:before="120"/>
              <w:rPr>
                <w:rFonts w:ascii="Arial" w:hAnsi="Arial" w:cs="Arial"/>
                <w:sz w:val="24"/>
              </w:rPr>
            </w:pPr>
          </w:p>
        </w:tc>
        <w:tc>
          <w:tcPr>
            <w:tcW w:w="866" w:type="pct"/>
          </w:tcPr>
          <w:p w:rsidRPr="00CF661F" w:rsidR="00337437" w:rsidP="00337437" w:rsidRDefault="00337437" w14:paraId="03A2B11C" w14:textId="77777777">
            <w:pPr>
              <w:widowControl/>
              <w:spacing w:before="120"/>
              <w:jc w:val="right"/>
              <w:rPr>
                <w:rFonts w:ascii="Arial" w:hAnsi="Arial" w:cs="Arial"/>
                <w:sz w:val="24"/>
              </w:rPr>
            </w:pPr>
          </w:p>
        </w:tc>
        <w:tc>
          <w:tcPr>
            <w:tcW w:w="842" w:type="pct"/>
          </w:tcPr>
          <w:p w:rsidRPr="00CF661F" w:rsidR="00337437" w:rsidP="00337437" w:rsidRDefault="00337437" w14:paraId="4D701F1D" w14:textId="77777777">
            <w:pPr>
              <w:widowControl/>
              <w:spacing w:before="120"/>
              <w:jc w:val="right"/>
              <w:rPr>
                <w:rFonts w:ascii="Arial" w:hAnsi="Arial" w:cs="Arial"/>
                <w:sz w:val="24"/>
              </w:rPr>
            </w:pPr>
          </w:p>
        </w:tc>
        <w:tc>
          <w:tcPr>
            <w:tcW w:w="936" w:type="pct"/>
          </w:tcPr>
          <w:p w:rsidRPr="00CF661F" w:rsidR="00337437" w:rsidP="00B15EC7" w:rsidRDefault="00B15EC7" w14:paraId="13712F5B" w14:textId="7D9128C7">
            <w:pPr>
              <w:widowControl/>
              <w:spacing w:before="120"/>
              <w:jc w:val="right"/>
              <w:rPr>
                <w:rFonts w:ascii="Arial" w:hAnsi="Arial" w:cs="Arial"/>
                <w:sz w:val="24"/>
              </w:rPr>
            </w:pPr>
            <w:r>
              <w:rPr>
                <w:rFonts w:ascii="Arial" w:hAnsi="Arial" w:cs="Arial"/>
                <w:sz w:val="24"/>
              </w:rPr>
              <w:t>$1,392,10</w:t>
            </w:r>
            <w:r w:rsidR="00337437">
              <w:rPr>
                <w:rFonts w:ascii="Arial" w:hAnsi="Arial" w:cs="Arial"/>
                <w:sz w:val="24"/>
              </w:rPr>
              <w:t>2</w:t>
            </w:r>
            <w:r>
              <w:rPr>
                <w:rFonts w:ascii="Arial" w:hAnsi="Arial" w:cs="Arial"/>
                <w:sz w:val="24"/>
              </w:rPr>
              <w:t>.72</w:t>
            </w:r>
          </w:p>
        </w:tc>
      </w:tr>
    </w:tbl>
    <w:p w:rsidRPr="00CF661F" w:rsidR="001F1B5E" w:rsidP="001F1B5E" w:rsidRDefault="00BA0EA8" w14:paraId="6C9E15D9" w14:textId="2AC5EEED">
      <w:pPr>
        <w:ind w:left="360"/>
        <w:rPr>
          <w:rFonts w:ascii="Arial" w:hAnsi="Arial" w:cs="Arial"/>
          <w:szCs w:val="20"/>
        </w:rPr>
      </w:pPr>
      <w:r w:rsidRPr="00CF661F">
        <w:rPr>
          <w:rFonts w:ascii="Arial" w:hAnsi="Arial" w:cs="Arial"/>
          <w:szCs w:val="20"/>
        </w:rPr>
        <w:t>*SOURCE: U.S. Department of Labor, Bureau of Labor Statistics</w:t>
      </w:r>
      <w:r w:rsidRPr="00CF661F" w:rsidR="00487F07">
        <w:rPr>
          <w:rFonts w:ascii="Arial" w:hAnsi="Arial" w:cs="Arial"/>
          <w:szCs w:val="20"/>
        </w:rPr>
        <w:t>.</w:t>
      </w:r>
      <w:r w:rsidRPr="00CF661F">
        <w:rPr>
          <w:rFonts w:ascii="Arial" w:hAnsi="Arial" w:cs="Arial"/>
          <w:szCs w:val="20"/>
        </w:rPr>
        <w:t xml:space="preserve"> </w:t>
      </w:r>
      <w:r w:rsidRPr="00CF661F" w:rsidR="00487F07">
        <w:rPr>
          <w:rFonts w:ascii="Arial" w:hAnsi="Arial" w:cs="Arial"/>
          <w:szCs w:val="20"/>
        </w:rPr>
        <w:t>(</w:t>
      </w:r>
      <w:r w:rsidRPr="00CF661F" w:rsidR="00212A6F">
        <w:rPr>
          <w:rFonts w:ascii="Arial" w:hAnsi="Arial" w:cs="Arial"/>
          <w:szCs w:val="20"/>
        </w:rPr>
        <w:t>20</w:t>
      </w:r>
      <w:r w:rsidR="00212A6F">
        <w:rPr>
          <w:rFonts w:ascii="Arial" w:hAnsi="Arial" w:cs="Arial"/>
          <w:szCs w:val="20"/>
        </w:rPr>
        <w:t>1</w:t>
      </w:r>
      <w:r w:rsidRPr="00CF661F" w:rsidR="00212A6F">
        <w:rPr>
          <w:rFonts w:ascii="Arial" w:hAnsi="Arial" w:cs="Arial"/>
          <w:szCs w:val="20"/>
        </w:rPr>
        <w:t>8</w:t>
      </w:r>
      <w:r w:rsidRPr="00CF661F" w:rsidR="00487F07">
        <w:rPr>
          <w:rFonts w:ascii="Arial" w:hAnsi="Arial" w:cs="Arial"/>
          <w:szCs w:val="20"/>
        </w:rPr>
        <w:t>).</w:t>
      </w:r>
      <w:r w:rsidRPr="00CF661F">
        <w:rPr>
          <w:rFonts w:ascii="Arial" w:hAnsi="Arial" w:cs="Arial"/>
          <w:szCs w:val="20"/>
        </w:rPr>
        <w:t xml:space="preserve"> </w:t>
      </w:r>
      <w:r w:rsidRPr="00CF661F">
        <w:rPr>
          <w:rFonts w:ascii="Arial" w:hAnsi="Arial" w:cs="Arial"/>
          <w:i/>
          <w:iCs/>
          <w:szCs w:val="20"/>
        </w:rPr>
        <w:t xml:space="preserve">Occupational </w:t>
      </w:r>
      <w:r w:rsidRPr="00CF661F" w:rsidR="00E02D11">
        <w:rPr>
          <w:rFonts w:ascii="Arial" w:hAnsi="Arial" w:cs="Arial"/>
          <w:i/>
          <w:iCs/>
          <w:szCs w:val="20"/>
        </w:rPr>
        <w:t>e</w:t>
      </w:r>
      <w:r w:rsidRPr="00CF661F">
        <w:rPr>
          <w:rFonts w:ascii="Arial" w:hAnsi="Arial" w:cs="Arial"/>
          <w:i/>
          <w:iCs/>
          <w:szCs w:val="20"/>
        </w:rPr>
        <w:t xml:space="preserve">mployment </w:t>
      </w:r>
      <w:r w:rsidRPr="00CF661F" w:rsidR="00E02D11">
        <w:rPr>
          <w:rFonts w:ascii="Arial" w:hAnsi="Arial" w:cs="Arial"/>
          <w:i/>
          <w:iCs/>
          <w:szCs w:val="20"/>
        </w:rPr>
        <w:t xml:space="preserve">statistics. </w:t>
      </w:r>
      <w:r w:rsidRPr="00CF661F" w:rsidR="00E02D11">
        <w:rPr>
          <w:rFonts w:ascii="Arial" w:hAnsi="Arial" w:cs="Arial"/>
          <w:szCs w:val="20"/>
        </w:rPr>
        <w:t xml:space="preserve">Retrieved from </w:t>
      </w:r>
      <w:hyperlink w:history="1" r:id="rId10">
        <w:r w:rsidRPr="00CF661F" w:rsidR="00E02D11">
          <w:rPr>
            <w:rStyle w:val="Hyperlink"/>
            <w:rFonts w:ascii="Arial" w:hAnsi="Arial" w:cs="Arial"/>
            <w:szCs w:val="20"/>
          </w:rPr>
          <w:t>https://www.bls.gov/oes/current/oes_stru.htm</w:t>
        </w:r>
      </w:hyperlink>
    </w:p>
    <w:p w:rsidRPr="00BD7513" w:rsidR="009B3794" w:rsidP="00BD7513" w:rsidRDefault="00721F5A" w14:paraId="5B972799" w14:textId="7C81FF9B">
      <w:pPr>
        <w:pStyle w:val="ListParagraph"/>
        <w:numPr>
          <w:ilvl w:val="0"/>
          <w:numId w:val="12"/>
        </w:numPr>
        <w:spacing w:before="240"/>
        <w:ind w:left="360"/>
        <w:rPr>
          <w:rFonts w:ascii="Arial" w:hAnsi="Arial" w:cs="Arial"/>
          <w:b/>
          <w:sz w:val="24"/>
        </w:rPr>
      </w:pPr>
      <w:r>
        <w:rPr>
          <w:rFonts w:ascii="Arial" w:hAnsi="Arial" w:cs="Arial"/>
          <w:b/>
          <w:sz w:val="24"/>
        </w:rPr>
        <w:t xml:space="preserve"> </w:t>
      </w:r>
      <w:r w:rsidRPr="00BD7513" w:rsidR="009B3794">
        <w:rPr>
          <w:rFonts w:ascii="Arial" w:hAnsi="Arial" w:cs="Arial"/>
          <w:b/>
          <w:sz w:val="24"/>
          <w:u w:val="single"/>
        </w:rPr>
        <w:t xml:space="preserve">Estimates of </w:t>
      </w:r>
      <w:r w:rsidRPr="00BD7513" w:rsidR="00E02D11">
        <w:rPr>
          <w:rFonts w:ascii="Arial" w:hAnsi="Arial" w:cs="Arial"/>
          <w:b/>
          <w:sz w:val="24"/>
          <w:u w:val="single"/>
        </w:rPr>
        <w:t>O</w:t>
      </w:r>
      <w:r w:rsidRPr="00BD7513" w:rsidR="009B3794">
        <w:rPr>
          <w:rFonts w:ascii="Arial" w:hAnsi="Arial" w:cs="Arial"/>
          <w:b/>
          <w:sz w:val="24"/>
          <w:u w:val="single"/>
        </w:rPr>
        <w:t>ther Total Annual Cost Burden to Respondents or</w:t>
      </w:r>
      <w:r>
        <w:rPr>
          <w:rFonts w:ascii="Arial" w:hAnsi="Arial" w:cs="Arial"/>
          <w:b/>
          <w:sz w:val="24"/>
          <w:u w:val="single"/>
        </w:rPr>
        <w:t xml:space="preserve"> </w:t>
      </w:r>
      <w:r w:rsidRPr="00BD7513" w:rsidR="009B3794">
        <w:rPr>
          <w:rFonts w:ascii="Arial" w:hAnsi="Arial" w:cs="Arial"/>
          <w:b/>
          <w:sz w:val="24"/>
          <w:u w:val="single"/>
        </w:rPr>
        <w:t>Recordkeepers/Capital Costs</w:t>
      </w:r>
    </w:p>
    <w:p w:rsidRPr="00CF661F" w:rsidR="006D1D6A" w:rsidP="000E2B45" w:rsidRDefault="009F5144" w14:paraId="34A77635" w14:textId="297C62EF">
      <w:pPr>
        <w:pStyle w:val="BodyTextIndent"/>
        <w:tabs>
          <w:tab w:val="left" w:pos="0"/>
        </w:tabs>
        <w:spacing w:before="120"/>
        <w:ind w:left="0"/>
        <w:rPr>
          <w:rFonts w:ascii="Arial" w:hAnsi="Arial" w:cs="Arial"/>
        </w:rPr>
      </w:pPr>
      <w:r w:rsidRPr="00CF661F">
        <w:rPr>
          <w:rFonts w:ascii="Arial" w:hAnsi="Arial" w:cs="Arial"/>
        </w:rPr>
        <w:t>Other than time, there is no cost to respondents</w:t>
      </w:r>
      <w:r w:rsidRPr="00CF661F" w:rsidR="00156ED2">
        <w:rPr>
          <w:rFonts w:ascii="Arial" w:hAnsi="Arial" w:cs="Arial"/>
        </w:rPr>
        <w:t>.</w:t>
      </w:r>
    </w:p>
    <w:p w:rsidRPr="00CF661F" w:rsidR="009B3794" w:rsidP="00BD7513" w:rsidRDefault="00721F5A" w14:paraId="5B97279D" w14:textId="59542178">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Annualized Cost to Federal Government</w:t>
      </w:r>
    </w:p>
    <w:p w:rsidRPr="00CF661F" w:rsidR="00A75EC8" w:rsidP="00A75EC8" w:rsidRDefault="00A75EC8" w14:paraId="6F224563" w14:textId="48CA2362">
      <w:pPr>
        <w:pStyle w:val="BodyTextIndent"/>
        <w:spacing w:before="120"/>
        <w:ind w:left="0"/>
        <w:rPr>
          <w:rFonts w:ascii="Arial" w:hAnsi="Arial" w:cs="Arial"/>
        </w:rPr>
      </w:pPr>
      <w:r w:rsidRPr="00CF661F">
        <w:rPr>
          <w:rFonts w:ascii="Arial" w:hAnsi="Arial" w:cs="Arial"/>
        </w:rPr>
        <w:t>The cost to the Federal Government for this 5-year project is $2,456,817, or $491,363 per year</w:t>
      </w:r>
      <w:r w:rsidRPr="00CF661F" w:rsidR="0004582E">
        <w:rPr>
          <w:rFonts w:ascii="Arial" w:hAnsi="Arial" w:cs="Arial"/>
        </w:rPr>
        <w:t xml:space="preserve"> on average</w:t>
      </w:r>
      <w:r w:rsidRPr="00CF661F">
        <w:rPr>
          <w:rFonts w:ascii="Arial" w:hAnsi="Arial" w:cs="Arial"/>
        </w:rPr>
        <w:t xml:space="preserve">. The total average cost for the project is $491,363 over a </w:t>
      </w:r>
      <w:r w:rsidRPr="00CF661F" w:rsidR="0004582E">
        <w:rPr>
          <w:rFonts w:ascii="Arial" w:hAnsi="Arial" w:cs="Arial"/>
        </w:rPr>
        <w:t>1</w:t>
      </w:r>
      <w:r w:rsidRPr="00CF661F">
        <w:rPr>
          <w:rFonts w:ascii="Arial" w:hAnsi="Arial" w:cs="Arial"/>
        </w:rPr>
        <w:t>-year period.</w:t>
      </w:r>
      <w:r w:rsidR="00721F5A">
        <w:rPr>
          <w:rFonts w:ascii="Arial" w:hAnsi="Arial" w:cs="Arial"/>
        </w:rPr>
        <w:t xml:space="preserve"> </w:t>
      </w:r>
      <w:r w:rsidRPr="00CF661F">
        <w:rPr>
          <w:rFonts w:ascii="Arial" w:hAnsi="Arial" w:cs="Arial"/>
        </w:rPr>
        <w:t>These costs cover all aspects of survey design, testing, data collection, and analysis.</w:t>
      </w:r>
      <w:r w:rsidR="00721F5A">
        <w:rPr>
          <w:rFonts w:ascii="Arial" w:hAnsi="Arial" w:cs="Arial"/>
        </w:rPr>
        <w:t xml:space="preserve"> </w:t>
      </w:r>
      <w:r w:rsidRPr="00CF661F" w:rsidR="00B83EAB">
        <w:rPr>
          <w:rFonts w:ascii="Arial" w:hAnsi="Arial" w:cs="Arial"/>
        </w:rPr>
        <w:t>The method used to estimate the cost includes preparation of a detailed line-item budget that specifies all staff/consultant rates and labor hours by task</w:t>
      </w:r>
      <w:r w:rsidRPr="00CF661F" w:rsidR="009C58BD">
        <w:rPr>
          <w:rFonts w:ascii="Arial" w:hAnsi="Arial" w:cs="Arial"/>
        </w:rPr>
        <w:t>,</w:t>
      </w:r>
      <w:r w:rsidRPr="00CF661F" w:rsidR="00102956">
        <w:rPr>
          <w:rFonts w:ascii="Arial" w:hAnsi="Arial" w:cs="Arial"/>
        </w:rPr>
        <w:t xml:space="preserve"> along with </w:t>
      </w:r>
      <w:r w:rsidRPr="00CF661F" w:rsidR="00B83EAB">
        <w:rPr>
          <w:rFonts w:ascii="Arial" w:hAnsi="Arial" w:cs="Arial"/>
        </w:rPr>
        <w:t xml:space="preserve">operational and other direct costs (e.g., telephone calls, reproduction). </w:t>
      </w:r>
    </w:p>
    <w:p w:rsidR="00A75EC8" w:rsidP="00A75EC8" w:rsidRDefault="00A75EC8" w14:paraId="10CCE2E6" w14:textId="09FB40FC">
      <w:pPr>
        <w:pStyle w:val="BodyTextIndent"/>
        <w:spacing w:before="120"/>
        <w:ind w:left="0"/>
        <w:rPr>
          <w:rFonts w:ascii="Arial" w:hAnsi="Arial" w:cs="Arial"/>
        </w:rPr>
      </w:pPr>
      <w:r w:rsidRPr="00CF661F">
        <w:rPr>
          <w:rFonts w:ascii="Arial" w:hAnsi="Arial" w:cs="Arial"/>
        </w:rPr>
        <w:t xml:space="preserve">In addition, it is estimated that one full-time equivalent HRSA staff member </w:t>
      </w:r>
      <w:r w:rsidRPr="00CF661F" w:rsidR="009C58BD">
        <w:rPr>
          <w:rFonts w:ascii="Arial" w:hAnsi="Arial" w:cs="Arial"/>
        </w:rPr>
        <w:t xml:space="preserve">(Grade 13, Step 5) </w:t>
      </w:r>
      <w:r w:rsidRPr="00CF661F">
        <w:rPr>
          <w:rFonts w:ascii="Arial" w:hAnsi="Arial" w:cs="Arial"/>
        </w:rPr>
        <w:t xml:space="preserve">will spend </w:t>
      </w:r>
      <w:r w:rsidRPr="00CF661F" w:rsidR="00FB7D82">
        <w:rPr>
          <w:rFonts w:ascii="Arial" w:hAnsi="Arial" w:cs="Arial"/>
        </w:rPr>
        <w:t>20</w:t>
      </w:r>
      <w:r w:rsidRPr="00CF661F">
        <w:rPr>
          <w:rFonts w:ascii="Arial" w:hAnsi="Arial" w:cs="Arial"/>
        </w:rPr>
        <w:t>% of his or her time (</w:t>
      </w:r>
      <w:r w:rsidRPr="00CF661F" w:rsidR="00FB7D82">
        <w:rPr>
          <w:rFonts w:ascii="Arial" w:hAnsi="Arial" w:cs="Arial"/>
        </w:rPr>
        <w:t>384</w:t>
      </w:r>
      <w:r w:rsidRPr="00CF661F">
        <w:rPr>
          <w:rFonts w:ascii="Arial" w:hAnsi="Arial" w:cs="Arial"/>
        </w:rPr>
        <w:t xml:space="preserve"> hours) to manage and administer the project.</w:t>
      </w:r>
      <w:r w:rsidR="00721F5A">
        <w:rPr>
          <w:rFonts w:ascii="Arial" w:hAnsi="Arial" w:cs="Arial"/>
        </w:rPr>
        <w:t xml:space="preserve"> </w:t>
      </w:r>
      <w:r w:rsidRPr="00CF661F">
        <w:rPr>
          <w:rFonts w:ascii="Arial" w:hAnsi="Arial" w:cs="Arial"/>
        </w:rPr>
        <w:t>Assuming an annual salary of $</w:t>
      </w:r>
      <w:r w:rsidRPr="00CF661F" w:rsidR="00FB7D82">
        <w:rPr>
          <w:rFonts w:ascii="Arial" w:hAnsi="Arial" w:cs="Arial"/>
        </w:rPr>
        <w:t>148,445</w:t>
      </w:r>
      <w:r w:rsidRPr="00CF661F">
        <w:rPr>
          <w:rFonts w:ascii="Arial" w:hAnsi="Arial" w:cs="Arial"/>
        </w:rPr>
        <w:t>, government personnel costs will be $</w:t>
      </w:r>
      <w:r w:rsidRPr="00CF661F" w:rsidR="00FB7D82">
        <w:rPr>
          <w:rFonts w:ascii="Arial" w:hAnsi="Arial" w:cs="Arial"/>
        </w:rPr>
        <w:t>29,689</w:t>
      </w:r>
      <w:r w:rsidRPr="00CF661F">
        <w:rPr>
          <w:rFonts w:ascii="Arial" w:hAnsi="Arial" w:cs="Arial"/>
        </w:rPr>
        <w:t xml:space="preserve"> over a </w:t>
      </w:r>
      <w:r w:rsidRPr="00CF661F" w:rsidR="0004582E">
        <w:rPr>
          <w:rFonts w:ascii="Arial" w:hAnsi="Arial" w:cs="Arial"/>
        </w:rPr>
        <w:t>1</w:t>
      </w:r>
      <w:r w:rsidRPr="00CF661F">
        <w:rPr>
          <w:rFonts w:ascii="Arial" w:hAnsi="Arial" w:cs="Arial"/>
        </w:rPr>
        <w:t>-year period.</w:t>
      </w:r>
    </w:p>
    <w:p w:rsidR="00212A6F" w:rsidP="00A75EC8" w:rsidRDefault="00212A6F" w14:paraId="73D23BF9" w14:textId="5113E1F4">
      <w:pPr>
        <w:pStyle w:val="BodyTextIndent"/>
        <w:spacing w:before="120"/>
        <w:ind w:left="0"/>
        <w:rPr>
          <w:rFonts w:ascii="Arial" w:hAnsi="Arial" w:cs="Arial"/>
        </w:rPr>
      </w:pPr>
      <w:r>
        <w:rPr>
          <w:rFonts w:ascii="Arial" w:hAnsi="Arial" w:cs="Arial"/>
        </w:rPr>
        <w:t>Total costs to the Federal Government are, therefore, $</w:t>
      </w:r>
      <w:r w:rsidRPr="00212A6F">
        <w:rPr>
          <w:rFonts w:ascii="Arial" w:hAnsi="Arial" w:cs="Arial"/>
        </w:rPr>
        <w:t>521</w:t>
      </w:r>
      <w:r>
        <w:rPr>
          <w:rFonts w:ascii="Arial" w:hAnsi="Arial" w:cs="Arial"/>
        </w:rPr>
        <w:t>,</w:t>
      </w:r>
      <w:r w:rsidRPr="00212A6F">
        <w:rPr>
          <w:rFonts w:ascii="Arial" w:hAnsi="Arial" w:cs="Arial"/>
        </w:rPr>
        <w:t>052</w:t>
      </w:r>
      <w:r>
        <w:rPr>
          <w:rFonts w:ascii="Arial" w:hAnsi="Arial" w:cs="Arial"/>
        </w:rPr>
        <w:t xml:space="preserve"> annually.</w:t>
      </w:r>
    </w:p>
    <w:p w:rsidRPr="00CF661F" w:rsidR="009B3794" w:rsidP="00BD7513" w:rsidRDefault="00721F5A" w14:paraId="5B9727A0" w14:textId="0FBD2568">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Explanation for Program Changes or Adjustments</w:t>
      </w:r>
    </w:p>
    <w:p w:rsidRPr="00CF661F" w:rsidR="006D5919" w:rsidP="006D5919" w:rsidRDefault="006D5919" w14:paraId="2709E469" w14:textId="3ABBE68A">
      <w:pPr>
        <w:spacing w:before="240"/>
        <w:rPr>
          <w:rFonts w:ascii="Arial" w:hAnsi="Arial" w:cs="Arial"/>
          <w:bCs/>
          <w:sz w:val="24"/>
        </w:rPr>
      </w:pPr>
      <w:r w:rsidRPr="00CF661F">
        <w:rPr>
          <w:rFonts w:ascii="Arial" w:hAnsi="Arial" w:cs="Arial"/>
          <w:bCs/>
          <w:sz w:val="24"/>
        </w:rPr>
        <w:t>This is a new information collection</w:t>
      </w:r>
      <w:r w:rsidRPr="00CF661F" w:rsidR="00E02D11">
        <w:rPr>
          <w:rFonts w:ascii="Arial" w:hAnsi="Arial" w:cs="Arial"/>
          <w:bCs/>
          <w:sz w:val="24"/>
        </w:rPr>
        <w:t xml:space="preserve"> effort</w:t>
      </w:r>
      <w:r w:rsidRPr="00CF661F">
        <w:rPr>
          <w:rFonts w:ascii="Arial" w:hAnsi="Arial" w:cs="Arial"/>
          <w:bCs/>
          <w:sz w:val="24"/>
        </w:rPr>
        <w:t xml:space="preserve">. </w:t>
      </w:r>
    </w:p>
    <w:p w:rsidRPr="00CF661F" w:rsidR="009B3794" w:rsidP="00BD7513" w:rsidRDefault="00721F5A" w14:paraId="5B9727A8" w14:textId="40F813CE">
      <w:pPr>
        <w:numPr>
          <w:ilvl w:val="0"/>
          <w:numId w:val="12"/>
        </w:numPr>
        <w:spacing w:before="240" w:after="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Plans for Tabulation</w:t>
      </w:r>
      <w:r w:rsidRPr="00CF661F" w:rsidR="002118B4">
        <w:rPr>
          <w:rFonts w:ascii="Arial" w:hAnsi="Arial" w:cs="Arial"/>
          <w:b/>
          <w:sz w:val="24"/>
          <w:u w:val="single"/>
        </w:rPr>
        <w:t xml:space="preserve">, </w:t>
      </w:r>
      <w:r w:rsidRPr="00CF661F" w:rsidR="009B3794">
        <w:rPr>
          <w:rFonts w:ascii="Arial" w:hAnsi="Arial" w:cs="Arial"/>
          <w:b/>
          <w:sz w:val="24"/>
          <w:u w:val="single"/>
        </w:rPr>
        <w:t>Publication</w:t>
      </w:r>
      <w:r w:rsidRPr="00CF661F" w:rsidR="002118B4">
        <w:rPr>
          <w:rFonts w:ascii="Arial" w:hAnsi="Arial" w:cs="Arial"/>
          <w:b/>
          <w:sz w:val="24"/>
          <w:u w:val="single"/>
        </w:rPr>
        <w:t>,</w:t>
      </w:r>
      <w:r w:rsidRPr="00CF661F" w:rsidR="009B3794">
        <w:rPr>
          <w:rFonts w:ascii="Arial" w:hAnsi="Arial" w:cs="Arial"/>
          <w:b/>
          <w:sz w:val="24"/>
          <w:u w:val="single"/>
        </w:rPr>
        <w:t xml:space="preserve"> and Project Time Schedule</w:t>
      </w:r>
    </w:p>
    <w:p w:rsidRPr="00CF661F" w:rsidR="00985C9A" w:rsidP="00985C9A" w:rsidRDefault="00985C9A" w14:paraId="642F81A9" w14:textId="066BD5AA">
      <w:pPr>
        <w:pStyle w:val="BodyTextIndent"/>
        <w:ind w:left="0"/>
        <w:rPr>
          <w:rFonts w:ascii="Arial" w:hAnsi="Arial" w:cs="Arial"/>
        </w:rPr>
      </w:pPr>
      <w:r w:rsidRPr="00CF661F">
        <w:rPr>
          <w:rFonts w:ascii="Arial" w:hAnsi="Arial" w:cs="Arial"/>
          <w:b/>
        </w:rPr>
        <w:t>Project Time Schedule.</w:t>
      </w:r>
      <w:r w:rsidR="00721F5A">
        <w:rPr>
          <w:rFonts w:ascii="Arial" w:hAnsi="Arial" w:cs="Arial"/>
          <w:b/>
        </w:rPr>
        <w:t xml:space="preserve"> </w:t>
      </w:r>
      <w:r w:rsidRPr="00CF661F" w:rsidR="0004582E">
        <w:rPr>
          <w:rFonts w:ascii="Arial" w:hAnsi="Arial" w:cs="Arial"/>
        </w:rPr>
        <w:t>As shown in Exhibit 3, t</w:t>
      </w:r>
      <w:r w:rsidRPr="00CF661F">
        <w:rPr>
          <w:rFonts w:ascii="Arial" w:hAnsi="Arial" w:cs="Arial"/>
        </w:rPr>
        <w:t xml:space="preserve">he project covers </w:t>
      </w:r>
      <w:r w:rsidR="00643591">
        <w:rPr>
          <w:rFonts w:ascii="Arial" w:hAnsi="Arial" w:cs="Arial"/>
        </w:rPr>
        <w:t>the</w:t>
      </w:r>
      <w:r w:rsidRPr="00CF661F">
        <w:rPr>
          <w:rFonts w:ascii="Arial" w:hAnsi="Arial" w:cs="Arial"/>
        </w:rPr>
        <w:t xml:space="preserve"> 3-year</w:t>
      </w:r>
      <w:r w:rsidR="00643591">
        <w:rPr>
          <w:rFonts w:ascii="Arial" w:hAnsi="Arial" w:cs="Arial"/>
        </w:rPr>
        <w:t xml:space="preserve"> data collection</w:t>
      </w:r>
      <w:r w:rsidRPr="00CF661F">
        <w:rPr>
          <w:rFonts w:ascii="Arial" w:hAnsi="Arial" w:cs="Arial"/>
        </w:rPr>
        <w:t xml:space="preserve"> period commencing upon receipt of OMB approval</w:t>
      </w:r>
      <w:r w:rsidRPr="00CF661F" w:rsidR="00B354FC">
        <w:rPr>
          <w:rFonts w:ascii="Arial" w:hAnsi="Arial" w:cs="Arial"/>
        </w:rPr>
        <w:t>.</w:t>
      </w:r>
    </w:p>
    <w:p w:rsidRPr="00CF661F" w:rsidR="00985C9A" w:rsidP="00985C9A" w:rsidRDefault="00985C9A" w14:paraId="4F0BA737" w14:textId="77777777">
      <w:pPr>
        <w:pStyle w:val="BodyTextIndent"/>
        <w:ind w:left="0"/>
        <w:rPr>
          <w:rFonts w:ascii="Arial" w:hAnsi="Arial" w:cs="Arial"/>
          <w:b/>
        </w:rPr>
      </w:pPr>
    </w:p>
    <w:p w:rsidRPr="00CF661F" w:rsidR="00985C9A" w:rsidP="00985C9A" w:rsidRDefault="00985C9A" w14:paraId="0D8E2CA1" w14:textId="24304AE7">
      <w:pPr>
        <w:pStyle w:val="BodyTextIndent"/>
        <w:ind w:left="0"/>
        <w:rPr>
          <w:rFonts w:ascii="Arial" w:hAnsi="Arial" w:cs="Arial"/>
          <w:b/>
        </w:rPr>
      </w:pPr>
      <w:r w:rsidRPr="00CF661F">
        <w:rPr>
          <w:rFonts w:ascii="Arial" w:hAnsi="Arial" w:cs="Arial"/>
          <w:b/>
        </w:rPr>
        <w:t xml:space="preserve">Exhibit </w:t>
      </w:r>
      <w:r w:rsidRPr="00CF661F" w:rsidR="000C1491">
        <w:rPr>
          <w:rFonts w:ascii="Arial" w:hAnsi="Arial" w:cs="Arial"/>
          <w:b/>
        </w:rPr>
        <w:t>3</w:t>
      </w:r>
      <w:r w:rsidRPr="00CF661F" w:rsidR="0004582E">
        <w:rPr>
          <w:rFonts w:ascii="Arial" w:hAnsi="Arial" w:cs="Arial"/>
          <w:b/>
        </w:rPr>
        <w:t>.</w:t>
      </w:r>
      <w:r w:rsidR="00721F5A">
        <w:rPr>
          <w:rFonts w:ascii="Arial" w:hAnsi="Arial" w:cs="Arial"/>
          <w:b/>
        </w:rPr>
        <w:t xml:space="preserve"> </w:t>
      </w:r>
      <w:r w:rsidRPr="00CF661F">
        <w:rPr>
          <w:rFonts w:ascii="Arial" w:hAnsi="Arial" w:cs="Arial"/>
          <w:b/>
        </w:rPr>
        <w:t xml:space="preserve">Project Time Schedule </w:t>
      </w:r>
    </w:p>
    <w:tbl>
      <w:tblPr>
        <w:tblStyle w:val="TableGrid"/>
        <w:tblW w:w="0" w:type="auto"/>
        <w:tblInd w:w="360" w:type="dxa"/>
        <w:tblLook w:val="04A0" w:firstRow="1" w:lastRow="0" w:firstColumn="1" w:lastColumn="0" w:noHBand="0" w:noVBand="1"/>
      </w:tblPr>
      <w:tblGrid>
        <w:gridCol w:w="4502"/>
        <w:gridCol w:w="4488"/>
      </w:tblGrid>
      <w:tr w:rsidRPr="00CF661F" w:rsidR="00985C9A" w:rsidTr="000D4D27" w14:paraId="3B3A1BD8" w14:textId="77777777">
        <w:tc>
          <w:tcPr>
            <w:tcW w:w="4502" w:type="dxa"/>
          </w:tcPr>
          <w:p w:rsidRPr="00CF661F" w:rsidR="00985C9A" w:rsidP="000D4D27" w:rsidRDefault="00985C9A" w14:paraId="2252D61C" w14:textId="77777777">
            <w:pPr>
              <w:pStyle w:val="BodyTextIndent"/>
              <w:ind w:left="0"/>
              <w:jc w:val="center"/>
              <w:rPr>
                <w:rFonts w:ascii="Arial" w:hAnsi="Arial" w:cs="Arial"/>
                <w:b/>
              </w:rPr>
            </w:pPr>
            <w:r w:rsidRPr="00CF661F">
              <w:rPr>
                <w:rFonts w:ascii="Arial" w:hAnsi="Arial" w:cs="Arial"/>
                <w:b/>
              </w:rPr>
              <w:t>Activity</w:t>
            </w:r>
          </w:p>
        </w:tc>
        <w:tc>
          <w:tcPr>
            <w:tcW w:w="4488" w:type="dxa"/>
          </w:tcPr>
          <w:p w:rsidRPr="00CF661F" w:rsidR="00985C9A" w:rsidP="000D4D27" w:rsidRDefault="00985C9A" w14:paraId="5EECBDCC" w14:textId="77777777">
            <w:pPr>
              <w:pStyle w:val="BodyTextIndent"/>
              <w:ind w:left="0"/>
              <w:jc w:val="center"/>
              <w:rPr>
                <w:rFonts w:ascii="Arial" w:hAnsi="Arial" w:cs="Arial"/>
                <w:b/>
              </w:rPr>
            </w:pPr>
            <w:r w:rsidRPr="00CF661F">
              <w:rPr>
                <w:rFonts w:ascii="Arial" w:hAnsi="Arial" w:cs="Arial"/>
                <w:b/>
              </w:rPr>
              <w:t>Time Schedule</w:t>
            </w:r>
          </w:p>
        </w:tc>
      </w:tr>
      <w:tr w:rsidRPr="00CF661F" w:rsidR="00A75EC8" w:rsidTr="000D4D27" w14:paraId="2EF56144" w14:textId="77777777">
        <w:tc>
          <w:tcPr>
            <w:tcW w:w="4502" w:type="dxa"/>
          </w:tcPr>
          <w:p w:rsidRPr="00CF661F" w:rsidR="00A75EC8" w:rsidP="00A75EC8" w:rsidRDefault="00A75EC8" w14:paraId="5523F46B" w14:textId="08D9C64C">
            <w:pPr>
              <w:pStyle w:val="BodyTextIndent"/>
              <w:ind w:left="0"/>
              <w:rPr>
                <w:rFonts w:ascii="Arial" w:hAnsi="Arial" w:cs="Arial"/>
                <w:bCs/>
              </w:rPr>
            </w:pPr>
            <w:r w:rsidRPr="00CF661F">
              <w:rPr>
                <w:rFonts w:ascii="Arial" w:hAnsi="Arial" w:cs="Arial"/>
                <w:bCs/>
              </w:rPr>
              <w:t xml:space="preserve">Obtain OMB approval </w:t>
            </w:r>
          </w:p>
        </w:tc>
        <w:tc>
          <w:tcPr>
            <w:tcW w:w="4488" w:type="dxa"/>
          </w:tcPr>
          <w:p w:rsidRPr="00CF661F" w:rsidR="00A75EC8" w:rsidP="00A75EC8" w:rsidRDefault="00A75EC8" w14:paraId="5F648955" w14:textId="7D1CE46E">
            <w:pPr>
              <w:pStyle w:val="BodyTextIndent"/>
              <w:ind w:left="0"/>
              <w:rPr>
                <w:rFonts w:ascii="Arial" w:hAnsi="Arial" w:cs="Arial"/>
                <w:bCs/>
              </w:rPr>
            </w:pPr>
            <w:r w:rsidRPr="00CF661F">
              <w:rPr>
                <w:rFonts w:ascii="Arial" w:hAnsi="Arial" w:cs="Arial"/>
                <w:bCs/>
              </w:rPr>
              <w:t>Spring 2020</w:t>
            </w:r>
          </w:p>
        </w:tc>
      </w:tr>
      <w:tr w:rsidRPr="00CF661F" w:rsidR="00407FCB" w:rsidTr="000D4D27" w14:paraId="2047CFF2" w14:textId="77777777">
        <w:tc>
          <w:tcPr>
            <w:tcW w:w="4502" w:type="dxa"/>
          </w:tcPr>
          <w:p w:rsidRPr="00CF661F" w:rsidR="00407FCB" w:rsidP="00407FCB" w:rsidRDefault="00407FCB" w14:paraId="6AB18F0A" w14:textId="5DDB3E9B">
            <w:pPr>
              <w:pStyle w:val="BodyTextIndent"/>
              <w:ind w:left="0"/>
              <w:rPr>
                <w:rFonts w:ascii="Arial" w:hAnsi="Arial" w:cs="Arial"/>
                <w:bCs/>
              </w:rPr>
            </w:pPr>
            <w:r w:rsidRPr="00CF661F">
              <w:rPr>
                <w:rFonts w:ascii="Arial" w:hAnsi="Arial" w:cs="Arial"/>
                <w:bCs/>
              </w:rPr>
              <w:t xml:space="preserve">Administer Program Implementation Survey </w:t>
            </w:r>
          </w:p>
        </w:tc>
        <w:tc>
          <w:tcPr>
            <w:tcW w:w="4488" w:type="dxa"/>
          </w:tcPr>
          <w:p w:rsidRPr="00CF661F" w:rsidR="00407FCB" w:rsidP="00407FCB" w:rsidRDefault="00407FCB" w14:paraId="38C95ED4" w14:textId="101A55AA">
            <w:pPr>
              <w:pStyle w:val="BodyTextIndent"/>
              <w:ind w:left="0"/>
              <w:rPr>
                <w:rFonts w:ascii="Arial" w:hAnsi="Arial" w:cs="Arial"/>
                <w:bCs/>
              </w:rPr>
            </w:pPr>
            <w:r w:rsidRPr="00CF661F">
              <w:rPr>
                <w:rFonts w:ascii="Arial" w:hAnsi="Arial" w:cs="Arial"/>
                <w:bCs/>
              </w:rPr>
              <w:t>1–</w:t>
            </w:r>
            <w:r w:rsidRPr="00CF661F" w:rsidR="005E1A6C">
              <w:rPr>
                <w:rFonts w:ascii="Arial" w:hAnsi="Arial" w:cs="Arial"/>
                <w:bCs/>
              </w:rPr>
              <w:t xml:space="preserve">3 </w:t>
            </w:r>
            <w:r w:rsidRPr="00CF661F">
              <w:rPr>
                <w:rFonts w:ascii="Arial" w:hAnsi="Arial" w:cs="Arial"/>
                <w:bCs/>
              </w:rPr>
              <w:t xml:space="preserve">months after OMB approval and at same timeframe 1 and 2 years </w:t>
            </w:r>
            <w:r w:rsidRPr="00CF661F" w:rsidR="0004582E">
              <w:rPr>
                <w:rFonts w:ascii="Arial" w:hAnsi="Arial" w:cs="Arial"/>
                <w:bCs/>
              </w:rPr>
              <w:t xml:space="preserve">after </w:t>
            </w:r>
            <w:r w:rsidRPr="00CF661F">
              <w:rPr>
                <w:rFonts w:ascii="Arial" w:hAnsi="Arial" w:cs="Arial"/>
                <w:bCs/>
              </w:rPr>
              <w:t>OMB approval</w:t>
            </w:r>
          </w:p>
        </w:tc>
      </w:tr>
      <w:tr w:rsidRPr="00CF661F" w:rsidR="00407FCB" w:rsidTr="000D4D27" w14:paraId="36634F00" w14:textId="77777777">
        <w:tc>
          <w:tcPr>
            <w:tcW w:w="4502" w:type="dxa"/>
          </w:tcPr>
          <w:p w:rsidRPr="00CF661F" w:rsidR="00407FCB" w:rsidP="00407FCB" w:rsidRDefault="00407FCB" w14:paraId="3F4AF40D" w14:textId="21E4F2EC">
            <w:pPr>
              <w:pStyle w:val="BodyTextIndent"/>
              <w:ind w:left="0"/>
              <w:rPr>
                <w:rFonts w:ascii="Arial" w:hAnsi="Arial" w:cs="Arial"/>
                <w:bCs/>
              </w:rPr>
            </w:pPr>
            <w:r w:rsidRPr="00CF661F">
              <w:rPr>
                <w:rFonts w:ascii="Arial" w:hAnsi="Arial" w:cs="Arial"/>
                <w:bCs/>
              </w:rPr>
              <w:t>Administer HCP Survey and Practice</w:t>
            </w:r>
            <w:r w:rsidRPr="00CF661F" w:rsidR="00E02D11">
              <w:rPr>
                <w:rFonts w:ascii="Arial" w:hAnsi="Arial" w:cs="Arial"/>
                <w:bCs/>
              </w:rPr>
              <w:t>-l</w:t>
            </w:r>
            <w:r w:rsidRPr="00CF661F">
              <w:rPr>
                <w:rFonts w:ascii="Arial" w:hAnsi="Arial" w:cs="Arial"/>
                <w:bCs/>
              </w:rPr>
              <w:t>evel Survey</w:t>
            </w:r>
          </w:p>
        </w:tc>
        <w:tc>
          <w:tcPr>
            <w:tcW w:w="4488" w:type="dxa"/>
          </w:tcPr>
          <w:p w:rsidRPr="00CF661F" w:rsidR="00407FCB" w:rsidP="00407FCB" w:rsidRDefault="00407FCB" w14:paraId="3981749C" w14:textId="7CF09C52">
            <w:pPr>
              <w:pStyle w:val="BodyTextIndent"/>
              <w:ind w:left="0"/>
              <w:rPr>
                <w:rFonts w:ascii="Arial" w:hAnsi="Arial" w:cs="Arial"/>
                <w:bCs/>
              </w:rPr>
            </w:pPr>
            <w:r w:rsidRPr="00CF661F">
              <w:rPr>
                <w:rFonts w:ascii="Arial" w:hAnsi="Arial" w:cs="Arial"/>
                <w:bCs/>
              </w:rPr>
              <w:t>2–</w:t>
            </w:r>
            <w:r w:rsidRPr="00CF661F" w:rsidR="005E1A6C">
              <w:rPr>
                <w:rFonts w:ascii="Arial" w:hAnsi="Arial" w:cs="Arial"/>
                <w:bCs/>
              </w:rPr>
              <w:t xml:space="preserve">4 </w:t>
            </w:r>
            <w:r w:rsidRPr="00CF661F">
              <w:rPr>
                <w:rFonts w:ascii="Arial" w:hAnsi="Arial" w:cs="Arial"/>
                <w:bCs/>
              </w:rPr>
              <w:t xml:space="preserve">months after OMB approval and at same timeframe 1 and 2 years </w:t>
            </w:r>
            <w:r w:rsidRPr="00CF661F" w:rsidR="0004582E">
              <w:rPr>
                <w:rFonts w:ascii="Arial" w:hAnsi="Arial" w:cs="Arial"/>
                <w:bCs/>
              </w:rPr>
              <w:t xml:space="preserve">after </w:t>
            </w:r>
            <w:r w:rsidRPr="00CF661F">
              <w:rPr>
                <w:rFonts w:ascii="Arial" w:hAnsi="Arial" w:cs="Arial"/>
                <w:bCs/>
              </w:rPr>
              <w:t>OMB approval</w:t>
            </w:r>
          </w:p>
        </w:tc>
      </w:tr>
      <w:tr w:rsidRPr="00CF661F" w:rsidR="00407FCB" w:rsidTr="000D4D27" w14:paraId="0829789A" w14:textId="77777777">
        <w:tc>
          <w:tcPr>
            <w:tcW w:w="4502" w:type="dxa"/>
          </w:tcPr>
          <w:p w:rsidRPr="00CF661F" w:rsidR="00407FCB" w:rsidP="00407FCB" w:rsidRDefault="00407FCB" w14:paraId="1857A287" w14:textId="0931726E">
            <w:pPr>
              <w:pStyle w:val="BodyTextIndent"/>
              <w:ind w:left="0"/>
              <w:rPr>
                <w:rFonts w:ascii="Arial" w:hAnsi="Arial" w:cs="Arial"/>
                <w:bCs/>
              </w:rPr>
            </w:pPr>
            <w:r w:rsidRPr="00CF661F">
              <w:rPr>
                <w:rFonts w:ascii="Arial" w:hAnsi="Arial" w:cs="Arial"/>
                <w:bCs/>
              </w:rPr>
              <w:t xml:space="preserve">Administer Program Implementation </w:t>
            </w:r>
            <w:r w:rsidRPr="00CF661F" w:rsidR="00ED4540">
              <w:rPr>
                <w:rFonts w:ascii="Arial" w:hAnsi="Arial" w:cs="Arial"/>
                <w:bCs/>
              </w:rPr>
              <w:t>SSI</w:t>
            </w:r>
          </w:p>
        </w:tc>
        <w:tc>
          <w:tcPr>
            <w:tcW w:w="4488" w:type="dxa"/>
          </w:tcPr>
          <w:p w:rsidRPr="00CF661F" w:rsidR="00407FCB" w:rsidP="00407FCB" w:rsidRDefault="00407FCB" w14:paraId="7502D16F" w14:textId="35A9FD2F">
            <w:pPr>
              <w:pStyle w:val="BodyTextIndent"/>
              <w:ind w:left="0"/>
              <w:rPr>
                <w:rFonts w:ascii="Arial" w:hAnsi="Arial" w:cs="Arial"/>
                <w:bCs/>
              </w:rPr>
            </w:pPr>
            <w:r w:rsidRPr="00CF661F">
              <w:rPr>
                <w:rFonts w:ascii="Arial" w:hAnsi="Arial" w:cs="Arial"/>
                <w:bCs/>
              </w:rPr>
              <w:t xml:space="preserve">2 years </w:t>
            </w:r>
            <w:r w:rsidRPr="00CF661F" w:rsidR="0004582E">
              <w:rPr>
                <w:rFonts w:ascii="Arial" w:hAnsi="Arial" w:cs="Arial"/>
                <w:bCs/>
              </w:rPr>
              <w:t xml:space="preserve">after </w:t>
            </w:r>
            <w:r w:rsidRPr="00CF661F">
              <w:rPr>
                <w:rFonts w:ascii="Arial" w:hAnsi="Arial" w:cs="Arial"/>
                <w:bCs/>
              </w:rPr>
              <w:t xml:space="preserve">OMB approval </w:t>
            </w:r>
          </w:p>
        </w:tc>
      </w:tr>
      <w:tr w:rsidRPr="00CF661F" w:rsidR="00407FCB" w:rsidTr="000D4D27" w14:paraId="6738922F" w14:textId="77777777">
        <w:tc>
          <w:tcPr>
            <w:tcW w:w="4502" w:type="dxa"/>
          </w:tcPr>
          <w:p w:rsidRPr="00CF661F" w:rsidR="00407FCB" w:rsidP="00407FCB" w:rsidRDefault="00407FCB" w14:paraId="1ADA9409" w14:textId="577275B5">
            <w:pPr>
              <w:pStyle w:val="BodyTextIndent"/>
              <w:ind w:left="0"/>
              <w:rPr>
                <w:rFonts w:ascii="Arial" w:hAnsi="Arial" w:cs="Arial"/>
                <w:bCs/>
              </w:rPr>
            </w:pPr>
            <w:r w:rsidRPr="00CF661F">
              <w:rPr>
                <w:rFonts w:ascii="Arial" w:hAnsi="Arial" w:cs="Arial"/>
              </w:rPr>
              <w:t>Data analysis</w:t>
            </w:r>
          </w:p>
        </w:tc>
        <w:tc>
          <w:tcPr>
            <w:tcW w:w="4488" w:type="dxa"/>
          </w:tcPr>
          <w:p w:rsidRPr="00CF661F" w:rsidR="00407FCB" w:rsidP="00407FCB" w:rsidRDefault="00407FCB" w14:paraId="4E6DD95D" w14:textId="4BCFCCAD">
            <w:pPr>
              <w:pStyle w:val="BodyTextIndent"/>
              <w:ind w:left="0"/>
              <w:rPr>
                <w:rFonts w:ascii="Arial" w:hAnsi="Arial" w:cs="Arial"/>
                <w:bCs/>
              </w:rPr>
            </w:pPr>
            <w:r w:rsidRPr="00CF661F">
              <w:rPr>
                <w:rFonts w:ascii="Arial" w:hAnsi="Arial" w:cs="Arial"/>
              </w:rPr>
              <w:t xml:space="preserve">Beginning 3 months </w:t>
            </w:r>
            <w:r w:rsidRPr="00CF661F" w:rsidR="0004582E">
              <w:rPr>
                <w:rFonts w:ascii="Arial" w:hAnsi="Arial" w:cs="Arial"/>
              </w:rPr>
              <w:t xml:space="preserve">after </w:t>
            </w:r>
            <w:r w:rsidRPr="00CF661F">
              <w:rPr>
                <w:rFonts w:ascii="Arial" w:hAnsi="Arial" w:cs="Arial"/>
              </w:rPr>
              <w:t>OMB approval</w:t>
            </w:r>
          </w:p>
        </w:tc>
      </w:tr>
      <w:tr w:rsidRPr="00CF661F" w:rsidR="00407FCB" w:rsidTr="000D4D27" w14:paraId="30995312" w14:textId="77777777">
        <w:tc>
          <w:tcPr>
            <w:tcW w:w="4502" w:type="dxa"/>
          </w:tcPr>
          <w:p w:rsidRPr="00CF661F" w:rsidR="00407FCB" w:rsidP="00407FCB" w:rsidRDefault="00407FCB" w14:paraId="004D0745" w14:textId="7D75E5E0">
            <w:pPr>
              <w:pStyle w:val="BodyTextIndent"/>
              <w:ind w:left="0"/>
              <w:rPr>
                <w:rFonts w:ascii="Arial" w:hAnsi="Arial" w:cs="Arial"/>
                <w:bCs/>
              </w:rPr>
            </w:pPr>
            <w:r w:rsidRPr="00CF661F">
              <w:rPr>
                <w:rFonts w:ascii="Arial" w:hAnsi="Arial" w:cs="Arial"/>
              </w:rPr>
              <w:t xml:space="preserve">Dissemination of findings through </w:t>
            </w:r>
            <w:r w:rsidRPr="00CF661F">
              <w:rPr>
                <w:rFonts w:ascii="Arial" w:hAnsi="Arial" w:cs="Arial"/>
              </w:rPr>
              <w:br/>
            </w:r>
            <w:r w:rsidRPr="00CF661F">
              <w:rPr>
                <w:rFonts w:ascii="Arial" w:hAnsi="Arial" w:cs="Arial"/>
              </w:rPr>
              <w:lastRenderedPageBreak/>
              <w:t>interim reports, infographics, final report</w:t>
            </w:r>
          </w:p>
        </w:tc>
        <w:tc>
          <w:tcPr>
            <w:tcW w:w="4488" w:type="dxa"/>
          </w:tcPr>
          <w:p w:rsidRPr="00CF661F" w:rsidR="00407FCB" w:rsidP="00407FCB" w:rsidRDefault="00407FCB" w14:paraId="261C8EA7" w14:textId="606C68B1">
            <w:pPr>
              <w:pStyle w:val="BodyTextIndent"/>
              <w:ind w:left="0"/>
              <w:rPr>
                <w:rFonts w:ascii="Arial" w:hAnsi="Arial" w:cs="Arial"/>
                <w:bCs/>
              </w:rPr>
            </w:pPr>
            <w:r w:rsidRPr="00CF661F">
              <w:rPr>
                <w:rFonts w:ascii="Arial" w:hAnsi="Arial" w:cs="Arial"/>
              </w:rPr>
              <w:lastRenderedPageBreak/>
              <w:t xml:space="preserve">Beginning 3 months </w:t>
            </w:r>
            <w:r w:rsidRPr="00CF661F" w:rsidR="0004582E">
              <w:rPr>
                <w:rFonts w:ascii="Arial" w:hAnsi="Arial" w:cs="Arial"/>
              </w:rPr>
              <w:t xml:space="preserve">after </w:t>
            </w:r>
            <w:r w:rsidRPr="00CF661F">
              <w:rPr>
                <w:rFonts w:ascii="Arial" w:hAnsi="Arial" w:cs="Arial"/>
              </w:rPr>
              <w:t xml:space="preserve">OMB approval </w:t>
            </w:r>
            <w:r w:rsidRPr="00CF661F">
              <w:rPr>
                <w:rFonts w:ascii="Arial" w:hAnsi="Arial" w:cs="Arial"/>
              </w:rPr>
              <w:lastRenderedPageBreak/>
              <w:t>through 2023</w:t>
            </w:r>
          </w:p>
        </w:tc>
      </w:tr>
    </w:tbl>
    <w:p w:rsidRPr="00CF661F" w:rsidR="00407FCB" w:rsidP="00985C9A" w:rsidRDefault="00407FCB" w14:paraId="55AA0825" w14:textId="77777777">
      <w:pPr>
        <w:spacing w:before="120"/>
        <w:rPr>
          <w:rFonts w:ascii="Arial" w:hAnsi="Arial" w:cs="Arial"/>
          <w:b/>
          <w:bCs/>
          <w:sz w:val="24"/>
        </w:rPr>
      </w:pPr>
    </w:p>
    <w:p w:rsidR="009859F6" w:rsidP="00FA34A9" w:rsidRDefault="009859F6" w14:paraId="08ADFD95" w14:textId="309D9893">
      <w:pPr>
        <w:spacing w:before="120"/>
        <w:rPr>
          <w:rFonts w:ascii="Arial" w:hAnsi="Arial" w:cs="Arial"/>
          <w:sz w:val="24"/>
        </w:rPr>
      </w:pPr>
      <w:r>
        <w:rPr>
          <w:rFonts w:ascii="Arial" w:hAnsi="Arial" w:cs="Arial"/>
          <w:b/>
          <w:bCs/>
          <w:sz w:val="24"/>
        </w:rPr>
        <w:t>Analysis Plan.</w:t>
      </w:r>
      <w:r>
        <w:rPr>
          <w:rFonts w:ascii="Arial" w:hAnsi="Arial" w:cs="Arial"/>
          <w:sz w:val="24"/>
        </w:rPr>
        <w:t xml:space="preserve"> </w:t>
      </w:r>
      <w:r w:rsidRPr="00CF661F" w:rsidR="00B51B4A">
        <w:rPr>
          <w:rFonts w:ascii="Arial" w:hAnsi="Arial" w:cs="Arial"/>
          <w:sz w:val="24"/>
        </w:rPr>
        <w:t xml:space="preserve">The HRSA MCHB evaluation will </w:t>
      </w:r>
      <w:r w:rsidR="00FA1313">
        <w:rPr>
          <w:rFonts w:ascii="Arial" w:hAnsi="Arial" w:cs="Arial"/>
          <w:sz w:val="24"/>
        </w:rPr>
        <w:t xml:space="preserve">employ a mixed-methods approach to data collection and analysis through </w:t>
      </w:r>
      <w:r w:rsidRPr="00CF661F" w:rsidR="00B51B4A">
        <w:rPr>
          <w:rFonts w:ascii="Arial" w:hAnsi="Arial" w:cs="Arial"/>
          <w:sz w:val="24"/>
        </w:rPr>
        <w:t xml:space="preserve">the use of multiple </w:t>
      </w:r>
      <w:r w:rsidR="00FA1313">
        <w:rPr>
          <w:rFonts w:ascii="Arial" w:hAnsi="Arial" w:cs="Arial"/>
          <w:sz w:val="24"/>
        </w:rPr>
        <w:t xml:space="preserve">data collection </w:t>
      </w:r>
      <w:r w:rsidRPr="00CF661F" w:rsidR="00B51B4A">
        <w:rPr>
          <w:rFonts w:ascii="Arial" w:hAnsi="Arial" w:cs="Arial"/>
          <w:sz w:val="24"/>
        </w:rPr>
        <w:t xml:space="preserve">instruments and </w:t>
      </w:r>
      <w:r w:rsidR="00FA1313">
        <w:rPr>
          <w:rFonts w:ascii="Arial" w:hAnsi="Arial" w:cs="Arial"/>
          <w:sz w:val="24"/>
        </w:rPr>
        <w:t xml:space="preserve">both quantitative and qualitative </w:t>
      </w:r>
      <w:r w:rsidRPr="00CF661F" w:rsidR="00B51B4A">
        <w:rPr>
          <w:rFonts w:ascii="Arial" w:hAnsi="Arial" w:cs="Arial"/>
          <w:sz w:val="24"/>
        </w:rPr>
        <w:t xml:space="preserve">analytical strategies. </w:t>
      </w:r>
      <w:r w:rsidR="00FA1313">
        <w:rPr>
          <w:rFonts w:ascii="Arial" w:hAnsi="Arial" w:cs="Arial"/>
          <w:sz w:val="24"/>
        </w:rPr>
        <w:t xml:space="preserve">The ultimate aim is to use this mixed-methods approach to </w:t>
      </w:r>
      <w:r w:rsidRPr="00CF661F" w:rsidR="00B51B4A">
        <w:rPr>
          <w:rFonts w:ascii="Arial" w:hAnsi="Arial" w:cs="Arial"/>
          <w:sz w:val="24"/>
        </w:rPr>
        <w:t>assess health care providers’ capacity to address patients’ behavioral health and access to behavioral health services among PMHCA and MDRBD programs.</w:t>
      </w:r>
      <w:r w:rsidR="00B51B4A">
        <w:rPr>
          <w:rFonts w:ascii="Arial" w:hAnsi="Arial" w:cs="Arial"/>
          <w:sz w:val="24"/>
        </w:rPr>
        <w:t xml:space="preserve"> </w:t>
      </w:r>
      <w:r w:rsidRPr="00CF661F" w:rsidR="00B51B4A">
        <w:rPr>
          <w:rFonts w:ascii="Arial" w:hAnsi="Arial" w:cs="Arial"/>
          <w:sz w:val="24"/>
        </w:rPr>
        <w:t xml:space="preserve">Qualitative data analysis will use a </w:t>
      </w:r>
      <w:r w:rsidR="00807E5E">
        <w:rPr>
          <w:rFonts w:ascii="Arial" w:hAnsi="Arial" w:cs="Arial"/>
          <w:sz w:val="24"/>
        </w:rPr>
        <w:t>deductive</w:t>
      </w:r>
      <w:r w:rsidRPr="00CF661F" w:rsidR="00807E5E">
        <w:rPr>
          <w:rFonts w:ascii="Arial" w:hAnsi="Arial" w:cs="Arial"/>
          <w:sz w:val="24"/>
        </w:rPr>
        <w:t xml:space="preserve"> </w:t>
      </w:r>
      <w:r w:rsidRPr="00CF661F" w:rsidR="00B51B4A">
        <w:rPr>
          <w:rFonts w:ascii="Arial" w:hAnsi="Arial" w:cs="Arial"/>
          <w:sz w:val="24"/>
        </w:rPr>
        <w:t xml:space="preserve">approach to uncover underlying </w:t>
      </w:r>
      <w:r w:rsidR="00807E5E">
        <w:rPr>
          <w:rFonts w:ascii="Arial" w:hAnsi="Arial" w:cs="Arial"/>
          <w:sz w:val="24"/>
        </w:rPr>
        <w:t xml:space="preserve">or recurring </w:t>
      </w:r>
      <w:r w:rsidRPr="00CF661F" w:rsidR="00B51B4A">
        <w:rPr>
          <w:rFonts w:ascii="Arial" w:hAnsi="Arial" w:cs="Arial"/>
          <w:sz w:val="24"/>
        </w:rPr>
        <w:t>themes among the SSI responses.</w:t>
      </w:r>
      <w:r w:rsidR="00B51B4A">
        <w:rPr>
          <w:rFonts w:ascii="Arial" w:hAnsi="Arial" w:cs="Arial"/>
          <w:sz w:val="24"/>
        </w:rPr>
        <w:t xml:space="preserve"> </w:t>
      </w:r>
      <w:r w:rsidR="006A1460">
        <w:rPr>
          <w:rFonts w:ascii="Arial" w:hAnsi="Arial" w:cs="Arial"/>
          <w:sz w:val="24"/>
        </w:rPr>
        <w:t>Q</w:t>
      </w:r>
      <w:r w:rsidR="009505BA">
        <w:rPr>
          <w:rFonts w:ascii="Arial" w:hAnsi="Arial" w:cs="Arial"/>
          <w:sz w:val="24"/>
        </w:rPr>
        <w:t xml:space="preserve">uantitative </w:t>
      </w:r>
      <w:r w:rsidR="006A1460">
        <w:rPr>
          <w:rFonts w:ascii="Arial" w:hAnsi="Arial" w:cs="Arial"/>
          <w:sz w:val="24"/>
        </w:rPr>
        <w:t xml:space="preserve">data </w:t>
      </w:r>
      <w:r w:rsidR="009505BA">
        <w:rPr>
          <w:rFonts w:ascii="Arial" w:hAnsi="Arial" w:cs="Arial"/>
          <w:sz w:val="24"/>
        </w:rPr>
        <w:t xml:space="preserve">analyses will allow for examination of the </w:t>
      </w:r>
      <w:r w:rsidR="00F52D5D">
        <w:rPr>
          <w:rFonts w:ascii="Arial" w:hAnsi="Arial" w:cs="Arial"/>
          <w:sz w:val="24"/>
        </w:rPr>
        <w:t xml:space="preserve">association between </w:t>
      </w:r>
      <w:r w:rsidR="009505BA">
        <w:rPr>
          <w:rFonts w:ascii="Arial" w:hAnsi="Arial" w:cs="Arial"/>
          <w:sz w:val="24"/>
        </w:rPr>
        <w:t xml:space="preserve">independent variables (i.e., related to awardee program activities or awardee characteristics) </w:t>
      </w:r>
      <w:r w:rsidR="00F52D5D">
        <w:rPr>
          <w:rFonts w:ascii="Arial" w:hAnsi="Arial" w:cs="Arial"/>
          <w:sz w:val="24"/>
        </w:rPr>
        <w:t>and</w:t>
      </w:r>
      <w:r w:rsidR="009505BA">
        <w:rPr>
          <w:rFonts w:ascii="Arial" w:hAnsi="Arial" w:cs="Arial"/>
          <w:sz w:val="24"/>
        </w:rPr>
        <w:t xml:space="preserve"> the </w:t>
      </w:r>
      <w:r w:rsidR="00F52D5D">
        <w:rPr>
          <w:rFonts w:ascii="Arial" w:hAnsi="Arial" w:cs="Arial"/>
          <w:sz w:val="24"/>
        </w:rPr>
        <w:t>outcomes of interest</w:t>
      </w:r>
      <w:r w:rsidR="001F6590">
        <w:rPr>
          <w:rFonts w:ascii="Arial" w:hAnsi="Arial" w:cs="Arial"/>
          <w:sz w:val="24"/>
        </w:rPr>
        <w:t xml:space="preserve"> </w:t>
      </w:r>
      <w:r w:rsidR="009505BA">
        <w:rPr>
          <w:rFonts w:ascii="Arial" w:hAnsi="Arial" w:cs="Arial"/>
          <w:sz w:val="24"/>
        </w:rPr>
        <w:t xml:space="preserve">(e.g., </w:t>
      </w:r>
      <w:r w:rsidR="001F6590">
        <w:rPr>
          <w:rFonts w:ascii="Arial" w:hAnsi="Arial" w:cs="Arial"/>
          <w:sz w:val="24"/>
        </w:rPr>
        <w:t xml:space="preserve">questions related to </w:t>
      </w:r>
      <w:r w:rsidR="009505BA">
        <w:rPr>
          <w:rFonts w:ascii="Arial" w:hAnsi="Arial" w:cs="Arial"/>
          <w:sz w:val="24"/>
        </w:rPr>
        <w:t xml:space="preserve">health care providers’ capacity to address patients’ behavioral health). While causal inferences cannot be made, </w:t>
      </w:r>
      <w:r w:rsidR="0035003B">
        <w:rPr>
          <w:rFonts w:ascii="Arial" w:hAnsi="Arial" w:cs="Arial"/>
          <w:sz w:val="24"/>
        </w:rPr>
        <w:t>the study will examine</w:t>
      </w:r>
      <w:r w:rsidR="009505BA">
        <w:rPr>
          <w:rFonts w:ascii="Arial" w:hAnsi="Arial" w:cs="Arial"/>
          <w:sz w:val="24"/>
        </w:rPr>
        <w:t xml:space="preserve"> factors that contribute to</w:t>
      </w:r>
      <w:r w:rsidR="0001192E">
        <w:rPr>
          <w:rFonts w:ascii="Arial" w:hAnsi="Arial" w:cs="Arial"/>
          <w:sz w:val="24"/>
        </w:rPr>
        <w:t>,</w:t>
      </w:r>
      <w:r w:rsidR="009505BA">
        <w:rPr>
          <w:rFonts w:ascii="Arial" w:hAnsi="Arial" w:cs="Arial"/>
          <w:sz w:val="24"/>
        </w:rPr>
        <w:t xml:space="preserve"> or are associated with</w:t>
      </w:r>
      <w:r w:rsidR="0001192E">
        <w:rPr>
          <w:rFonts w:ascii="Arial" w:hAnsi="Arial" w:cs="Arial"/>
          <w:sz w:val="24"/>
        </w:rPr>
        <w:t>,</w:t>
      </w:r>
      <w:r w:rsidR="009505BA">
        <w:rPr>
          <w:rFonts w:ascii="Arial" w:hAnsi="Arial" w:cs="Arial"/>
          <w:sz w:val="24"/>
        </w:rPr>
        <w:t xml:space="preserve"> outcomes of interest</w:t>
      </w:r>
      <w:r w:rsidRPr="009505BA" w:rsidR="009505BA">
        <w:rPr>
          <w:rFonts w:ascii="Arial" w:hAnsi="Arial" w:cs="Arial"/>
          <w:sz w:val="24"/>
        </w:rPr>
        <w:t>.</w:t>
      </w:r>
      <w:r w:rsidR="009505BA">
        <w:rPr>
          <w:rFonts w:ascii="Arial" w:hAnsi="Arial" w:cs="Arial"/>
          <w:sz w:val="24"/>
        </w:rPr>
        <w:t xml:space="preserve"> </w:t>
      </w:r>
      <w:r w:rsidRPr="00CF661F" w:rsidR="00B51B4A">
        <w:rPr>
          <w:rFonts w:ascii="Arial" w:hAnsi="Arial" w:cs="Arial"/>
          <w:sz w:val="24"/>
        </w:rPr>
        <w:t xml:space="preserve">Finally, triangulation of methods (i.e., qualitative and quantitative data), when feasible, will be used to examine additional aspects of program achievements that may not be accomplished </w:t>
      </w:r>
      <w:r w:rsidR="00807E5E">
        <w:rPr>
          <w:rFonts w:ascii="Arial" w:hAnsi="Arial" w:cs="Arial"/>
          <w:sz w:val="24"/>
        </w:rPr>
        <w:t>through the use of</w:t>
      </w:r>
      <w:r w:rsidRPr="00CF661F" w:rsidR="00807E5E">
        <w:rPr>
          <w:rFonts w:ascii="Arial" w:hAnsi="Arial" w:cs="Arial"/>
          <w:sz w:val="24"/>
        </w:rPr>
        <w:t xml:space="preserve"> </w:t>
      </w:r>
      <w:r w:rsidR="00807E5E">
        <w:rPr>
          <w:rFonts w:ascii="Arial" w:hAnsi="Arial" w:cs="Arial"/>
          <w:sz w:val="24"/>
        </w:rPr>
        <w:t>either</w:t>
      </w:r>
      <w:r w:rsidRPr="00CF661F" w:rsidR="00807E5E">
        <w:rPr>
          <w:rFonts w:ascii="Arial" w:hAnsi="Arial" w:cs="Arial"/>
          <w:sz w:val="24"/>
        </w:rPr>
        <w:t xml:space="preserve"> </w:t>
      </w:r>
      <w:r w:rsidRPr="00CF661F" w:rsidR="00B51B4A">
        <w:rPr>
          <w:rFonts w:ascii="Arial" w:hAnsi="Arial" w:cs="Arial"/>
          <w:sz w:val="24"/>
        </w:rPr>
        <w:t>method</w:t>
      </w:r>
      <w:r w:rsidR="00807E5E">
        <w:rPr>
          <w:rFonts w:ascii="Arial" w:hAnsi="Arial" w:cs="Arial"/>
          <w:sz w:val="24"/>
        </w:rPr>
        <w:t xml:space="preserve"> alone</w:t>
      </w:r>
      <w:r w:rsidRPr="0035003B">
        <w:rPr>
          <w:rFonts w:ascii="Arial" w:hAnsi="Arial" w:cs="Arial"/>
          <w:sz w:val="24"/>
        </w:rPr>
        <w:t>.</w:t>
      </w:r>
      <w:r w:rsidR="0035003B">
        <w:rPr>
          <w:rFonts w:ascii="Arial" w:hAnsi="Arial" w:cs="Arial"/>
          <w:sz w:val="24"/>
        </w:rPr>
        <w:t xml:space="preserve"> </w:t>
      </w:r>
      <w:r w:rsidRPr="0035003B" w:rsidR="00FA34A9">
        <w:rPr>
          <w:rFonts w:ascii="Arial" w:hAnsi="Arial" w:cs="Arial"/>
          <w:sz w:val="24"/>
        </w:rPr>
        <w:t xml:space="preserve">The </w:t>
      </w:r>
      <w:r w:rsidRPr="006F1F15" w:rsidR="00FA34A9">
        <w:rPr>
          <w:rFonts w:ascii="Arial" w:hAnsi="Arial" w:cs="Arial"/>
          <w:sz w:val="24"/>
        </w:rPr>
        <w:t xml:space="preserve">planned </w:t>
      </w:r>
      <w:r w:rsidR="00FA34A9">
        <w:rPr>
          <w:rFonts w:ascii="Arial" w:hAnsi="Arial" w:cs="Arial"/>
          <w:sz w:val="24"/>
        </w:rPr>
        <w:t xml:space="preserve">quantitative and </w:t>
      </w:r>
      <w:r w:rsidRPr="006F1F15" w:rsidR="00FA34A9">
        <w:rPr>
          <w:rFonts w:ascii="Arial" w:hAnsi="Arial" w:cs="Arial"/>
          <w:sz w:val="24"/>
        </w:rPr>
        <w:t>qualitative data analys</w:t>
      </w:r>
      <w:r w:rsidR="004C4F80">
        <w:rPr>
          <w:rFonts w:ascii="Arial" w:hAnsi="Arial" w:cs="Arial"/>
          <w:sz w:val="24"/>
        </w:rPr>
        <w:t>i</w:t>
      </w:r>
      <w:r w:rsidRPr="006F1F15" w:rsidR="00FA34A9">
        <w:rPr>
          <w:rFonts w:ascii="Arial" w:hAnsi="Arial" w:cs="Arial"/>
          <w:sz w:val="24"/>
        </w:rPr>
        <w:t xml:space="preserve">s </w:t>
      </w:r>
      <w:r w:rsidR="004C4F80">
        <w:rPr>
          <w:rFonts w:ascii="Arial" w:hAnsi="Arial" w:cs="Arial"/>
          <w:sz w:val="24"/>
        </w:rPr>
        <w:t>approaches</w:t>
      </w:r>
      <w:r w:rsidR="00E73129">
        <w:rPr>
          <w:rFonts w:ascii="Arial" w:hAnsi="Arial" w:cs="Arial"/>
          <w:sz w:val="24"/>
        </w:rPr>
        <w:t xml:space="preserve"> are provided below followed by examples of</w:t>
      </w:r>
      <w:r w:rsidRPr="0035003B" w:rsidR="00E73129">
        <w:rPr>
          <w:rFonts w:ascii="Arial" w:hAnsi="Arial" w:cs="Arial"/>
          <w:sz w:val="24"/>
        </w:rPr>
        <w:t xml:space="preserve"> analyses addressing the </w:t>
      </w:r>
      <w:r w:rsidR="00E73129">
        <w:rPr>
          <w:rFonts w:ascii="Arial" w:hAnsi="Arial" w:cs="Arial"/>
          <w:sz w:val="24"/>
        </w:rPr>
        <w:t xml:space="preserve">overarching </w:t>
      </w:r>
      <w:r w:rsidRPr="0035003B" w:rsidR="00E73129">
        <w:rPr>
          <w:rFonts w:ascii="Arial" w:hAnsi="Arial" w:cs="Arial"/>
          <w:sz w:val="24"/>
        </w:rPr>
        <w:t xml:space="preserve">evaluation questions </w:t>
      </w:r>
      <w:r w:rsidR="00E73129">
        <w:rPr>
          <w:rFonts w:ascii="Arial" w:hAnsi="Arial" w:cs="Arial"/>
          <w:sz w:val="24"/>
        </w:rPr>
        <w:t>i</w:t>
      </w:r>
      <w:r w:rsidR="00FA34A9">
        <w:rPr>
          <w:rFonts w:ascii="Arial" w:hAnsi="Arial" w:cs="Arial"/>
          <w:sz w:val="24"/>
        </w:rPr>
        <w:t xml:space="preserve">n </w:t>
      </w:r>
      <w:r w:rsidRPr="0035003B" w:rsidR="00FA34A9">
        <w:rPr>
          <w:rFonts w:ascii="Arial" w:hAnsi="Arial" w:cs="Arial"/>
          <w:sz w:val="24"/>
        </w:rPr>
        <w:t>the remainder of this section.</w:t>
      </w:r>
      <w:r w:rsidRPr="00FA34A9" w:rsidDel="00FA34A9" w:rsidR="00FA34A9">
        <w:rPr>
          <w:rStyle w:val="CommentReference"/>
          <w:strike/>
        </w:rPr>
        <w:t xml:space="preserve"> </w:t>
      </w:r>
    </w:p>
    <w:p w:rsidRPr="00B51B4A" w:rsidR="00584FAC" w:rsidP="00584FAC" w:rsidRDefault="00584FAC" w14:paraId="612947EC" w14:textId="77AC6445">
      <w:pPr>
        <w:spacing w:before="120"/>
        <w:rPr>
          <w:rFonts w:ascii="Arial" w:hAnsi="Arial" w:cs="Arial"/>
          <w:sz w:val="24"/>
        </w:rPr>
      </w:pPr>
      <w:bookmarkStart w:name="_Toc10796660" w:id="3"/>
      <w:r w:rsidRPr="00CF661F">
        <w:rPr>
          <w:rFonts w:ascii="Arial" w:hAnsi="Arial" w:cs="Arial"/>
          <w:sz w:val="24"/>
          <w:u w:val="single"/>
        </w:rPr>
        <w:t>Quantitative Data Analysis</w:t>
      </w:r>
      <w:r w:rsidR="004C4F80">
        <w:rPr>
          <w:rFonts w:ascii="Arial" w:hAnsi="Arial" w:cs="Arial"/>
          <w:sz w:val="24"/>
          <w:u w:val="single"/>
        </w:rPr>
        <w:t xml:space="preserve"> Approach</w:t>
      </w:r>
      <w:r w:rsidRPr="00CF661F">
        <w:rPr>
          <w:rFonts w:ascii="Arial" w:hAnsi="Arial" w:cs="Arial"/>
          <w:sz w:val="24"/>
          <w:u w:val="single"/>
        </w:rPr>
        <w:t>:</w:t>
      </w:r>
      <w:r>
        <w:rPr>
          <w:rFonts w:ascii="Arial" w:hAnsi="Arial" w:cs="Arial"/>
          <w:sz w:val="24"/>
          <w:u w:val="single"/>
        </w:rPr>
        <w:t xml:space="preserve"> </w:t>
      </w:r>
      <w:r w:rsidRPr="00CF661F">
        <w:rPr>
          <w:rFonts w:ascii="Arial" w:hAnsi="Arial" w:cs="Arial"/>
          <w:sz w:val="24"/>
        </w:rPr>
        <w:t xml:space="preserve">The quantitative data for this evaluation will </w:t>
      </w:r>
      <w:r w:rsidR="007E69E8">
        <w:rPr>
          <w:rFonts w:ascii="Arial" w:hAnsi="Arial" w:cs="Arial"/>
          <w:sz w:val="24"/>
        </w:rPr>
        <w:t>be collected through</w:t>
      </w:r>
      <w:r w:rsidRPr="00CF661F">
        <w:rPr>
          <w:rFonts w:ascii="Arial" w:hAnsi="Arial" w:cs="Arial"/>
          <w:sz w:val="24"/>
        </w:rPr>
        <w:t xml:space="preserve"> the HCP, Practice-level, and Program Implementation Surveys </w:t>
      </w:r>
      <w:r w:rsidR="007E69E8">
        <w:rPr>
          <w:rFonts w:ascii="Arial" w:hAnsi="Arial" w:cs="Arial"/>
          <w:sz w:val="24"/>
        </w:rPr>
        <w:t xml:space="preserve">administered to </w:t>
      </w:r>
      <w:r w:rsidRPr="00CF661F">
        <w:rPr>
          <w:rFonts w:ascii="Arial" w:hAnsi="Arial" w:cs="Arial"/>
          <w:sz w:val="24"/>
        </w:rPr>
        <w:t>PMHCA- and MDRBD-enrolled health care providers, medical practice managers, and project directors/principal investigators.</w:t>
      </w:r>
      <w:r>
        <w:rPr>
          <w:rFonts w:ascii="Arial" w:hAnsi="Arial" w:cs="Arial"/>
          <w:sz w:val="24"/>
        </w:rPr>
        <w:t xml:space="preserve"> </w:t>
      </w:r>
      <w:r w:rsidRPr="00CF661F">
        <w:rPr>
          <w:rFonts w:ascii="Arial" w:hAnsi="Arial" w:cs="Arial"/>
          <w:sz w:val="24"/>
        </w:rPr>
        <w:t xml:space="preserve">Selection of statistical analyses </w:t>
      </w:r>
      <w:r w:rsidR="007E69E8">
        <w:rPr>
          <w:rFonts w:ascii="Arial" w:hAnsi="Arial" w:cs="Arial"/>
          <w:sz w:val="24"/>
        </w:rPr>
        <w:t>will be</w:t>
      </w:r>
      <w:r w:rsidRPr="00CF661F" w:rsidR="007E69E8">
        <w:rPr>
          <w:rFonts w:ascii="Arial" w:hAnsi="Arial" w:cs="Arial"/>
          <w:sz w:val="24"/>
        </w:rPr>
        <w:t xml:space="preserve"> </w:t>
      </w:r>
      <w:r w:rsidRPr="00CF661F">
        <w:rPr>
          <w:rFonts w:ascii="Arial" w:hAnsi="Arial" w:cs="Arial"/>
          <w:sz w:val="24"/>
        </w:rPr>
        <w:t xml:space="preserve">determined by the evaluation questions, the measurement </w:t>
      </w:r>
      <w:r w:rsidR="00326525">
        <w:rPr>
          <w:rFonts w:ascii="Arial" w:hAnsi="Arial" w:cs="Arial"/>
          <w:sz w:val="24"/>
        </w:rPr>
        <w:t xml:space="preserve">characteristics </w:t>
      </w:r>
      <w:r w:rsidRPr="00CF661F">
        <w:rPr>
          <w:rFonts w:ascii="Arial" w:hAnsi="Arial" w:cs="Arial"/>
          <w:sz w:val="24"/>
        </w:rPr>
        <w:t>of variables, the type of sampling</w:t>
      </w:r>
      <w:r w:rsidR="007E69E8">
        <w:rPr>
          <w:rFonts w:ascii="Arial" w:hAnsi="Arial" w:cs="Arial"/>
          <w:sz w:val="24"/>
        </w:rPr>
        <w:t xml:space="preserve"> and sample size</w:t>
      </w:r>
      <w:r w:rsidRPr="00CF661F">
        <w:rPr>
          <w:rFonts w:ascii="Arial" w:hAnsi="Arial" w:cs="Arial"/>
          <w:sz w:val="24"/>
        </w:rPr>
        <w:t xml:space="preserve">, and the </w:t>
      </w:r>
      <w:r w:rsidR="00326525">
        <w:rPr>
          <w:rFonts w:ascii="Arial" w:hAnsi="Arial" w:cs="Arial"/>
          <w:sz w:val="24"/>
        </w:rPr>
        <w:t>specific</w:t>
      </w:r>
      <w:r w:rsidRPr="00CF661F">
        <w:rPr>
          <w:rFonts w:ascii="Arial" w:hAnsi="Arial" w:cs="Arial"/>
          <w:sz w:val="24"/>
        </w:rPr>
        <w:t xml:space="preserve"> independent variables and outcome variables</w:t>
      </w:r>
      <w:r w:rsidR="00326525">
        <w:rPr>
          <w:rFonts w:ascii="Arial" w:hAnsi="Arial" w:cs="Arial"/>
          <w:sz w:val="24"/>
        </w:rPr>
        <w:t xml:space="preserve"> of interest</w:t>
      </w:r>
      <w:r w:rsidRPr="00CF661F">
        <w:rPr>
          <w:rFonts w:ascii="Arial" w:hAnsi="Arial" w:cs="Arial"/>
          <w:sz w:val="24"/>
        </w:rPr>
        <w:t>.</w:t>
      </w:r>
      <w:r w:rsidR="00DB1361">
        <w:rPr>
          <w:rFonts w:ascii="Arial" w:hAnsi="Arial" w:cs="Arial"/>
          <w:sz w:val="24"/>
        </w:rPr>
        <w:t xml:space="preserve"> </w:t>
      </w:r>
      <w:r>
        <w:rPr>
          <w:rFonts w:ascii="Arial" w:hAnsi="Arial" w:cs="Arial"/>
          <w:sz w:val="24"/>
        </w:rPr>
        <w:t>T</w:t>
      </w:r>
      <w:r w:rsidRPr="00235444">
        <w:rPr>
          <w:rFonts w:ascii="Arial" w:hAnsi="Arial" w:cs="Arial"/>
          <w:sz w:val="24"/>
        </w:rPr>
        <w:t xml:space="preserve">he following </w:t>
      </w:r>
      <w:r w:rsidR="007E69E8">
        <w:rPr>
          <w:rFonts w:ascii="Arial" w:hAnsi="Arial" w:cs="Arial"/>
          <w:sz w:val="24"/>
        </w:rPr>
        <w:t xml:space="preserve">three-step </w:t>
      </w:r>
      <w:r w:rsidRPr="00235444">
        <w:rPr>
          <w:rFonts w:ascii="Arial" w:hAnsi="Arial" w:cs="Arial"/>
          <w:sz w:val="24"/>
        </w:rPr>
        <w:t xml:space="preserve">analytic </w:t>
      </w:r>
      <w:r w:rsidR="001F195F">
        <w:rPr>
          <w:rFonts w:ascii="Arial" w:hAnsi="Arial" w:cs="Arial"/>
          <w:sz w:val="24"/>
        </w:rPr>
        <w:t>approach</w:t>
      </w:r>
      <w:r w:rsidRPr="00235444">
        <w:rPr>
          <w:rFonts w:ascii="Arial" w:hAnsi="Arial" w:cs="Arial"/>
          <w:sz w:val="24"/>
        </w:rPr>
        <w:t xml:space="preserve"> </w:t>
      </w:r>
      <w:r w:rsidR="00264BAE">
        <w:rPr>
          <w:rFonts w:ascii="Arial" w:hAnsi="Arial" w:cs="Arial"/>
          <w:sz w:val="24"/>
        </w:rPr>
        <w:t xml:space="preserve">is planned </w:t>
      </w:r>
      <w:r w:rsidRPr="00235444">
        <w:rPr>
          <w:rFonts w:ascii="Arial" w:hAnsi="Arial" w:cs="Arial"/>
          <w:sz w:val="24"/>
        </w:rPr>
        <w:t>to guide data analyses:</w:t>
      </w:r>
    </w:p>
    <w:p w:rsidRPr="00803747" w:rsidR="00803747" w:rsidP="00584FAC" w:rsidRDefault="00803747" w14:paraId="1D69BC89" w14:textId="2B8FABDF">
      <w:pPr>
        <w:spacing w:before="120"/>
        <w:rPr>
          <w:rFonts w:ascii="Arial" w:hAnsi="Arial" w:cs="Arial"/>
          <w:i/>
          <w:iCs/>
          <w:sz w:val="24"/>
        </w:rPr>
      </w:pPr>
      <w:r w:rsidRPr="00803747">
        <w:rPr>
          <w:rFonts w:ascii="Arial" w:hAnsi="Arial" w:cs="Arial"/>
          <w:i/>
          <w:iCs/>
          <w:sz w:val="24"/>
        </w:rPr>
        <w:t xml:space="preserve">Step 1: Assessing the distribution </w:t>
      </w:r>
      <w:r w:rsidR="00326525">
        <w:rPr>
          <w:rFonts w:ascii="Arial" w:hAnsi="Arial" w:cs="Arial"/>
          <w:i/>
          <w:iCs/>
          <w:sz w:val="24"/>
        </w:rPr>
        <w:t xml:space="preserve">of data </w:t>
      </w:r>
      <w:r w:rsidRPr="00803747">
        <w:rPr>
          <w:rFonts w:ascii="Arial" w:hAnsi="Arial" w:cs="Arial"/>
          <w:i/>
          <w:iCs/>
          <w:sz w:val="24"/>
        </w:rPr>
        <w:t xml:space="preserve">and </w:t>
      </w:r>
      <w:r w:rsidR="00326525">
        <w:rPr>
          <w:rFonts w:ascii="Arial" w:hAnsi="Arial" w:cs="Arial"/>
          <w:i/>
          <w:iCs/>
          <w:sz w:val="24"/>
        </w:rPr>
        <w:t xml:space="preserve">provider </w:t>
      </w:r>
      <w:r w:rsidRPr="00803747">
        <w:rPr>
          <w:rFonts w:ascii="Arial" w:hAnsi="Arial" w:cs="Arial"/>
          <w:i/>
          <w:iCs/>
          <w:sz w:val="24"/>
        </w:rPr>
        <w:t>characteristics.</w:t>
      </w:r>
    </w:p>
    <w:p w:rsidR="00584FAC" w:rsidP="00584FAC" w:rsidRDefault="00584FAC" w14:paraId="5B405D46" w14:textId="13A8F2B3">
      <w:pPr>
        <w:spacing w:before="120"/>
        <w:rPr>
          <w:rFonts w:ascii="Arial" w:hAnsi="Arial" w:cs="Arial"/>
          <w:sz w:val="24"/>
        </w:rPr>
      </w:pPr>
      <w:r w:rsidRPr="00CF661F">
        <w:rPr>
          <w:rFonts w:ascii="Arial" w:hAnsi="Arial" w:cs="Arial"/>
          <w:sz w:val="24"/>
        </w:rPr>
        <w:t xml:space="preserve">The HRSA MCHB evaluation will use descriptive statistics to describe </w:t>
      </w:r>
      <w:r w:rsidR="00326525">
        <w:rPr>
          <w:rFonts w:ascii="Arial" w:hAnsi="Arial" w:cs="Arial"/>
          <w:sz w:val="24"/>
        </w:rPr>
        <w:t xml:space="preserve">the </w:t>
      </w:r>
      <w:r w:rsidRPr="00CF661F">
        <w:rPr>
          <w:rFonts w:ascii="Arial" w:hAnsi="Arial" w:cs="Arial"/>
          <w:sz w:val="24"/>
        </w:rPr>
        <w:t xml:space="preserve">PMHCA and MDRBD </w:t>
      </w:r>
      <w:r w:rsidR="00C44391">
        <w:rPr>
          <w:rFonts w:ascii="Arial" w:hAnsi="Arial" w:cs="Arial"/>
          <w:sz w:val="24"/>
        </w:rPr>
        <w:t>awardees</w:t>
      </w:r>
      <w:r w:rsidRPr="00CF661F">
        <w:rPr>
          <w:rFonts w:ascii="Arial" w:hAnsi="Arial" w:cs="Arial"/>
          <w:sz w:val="24"/>
        </w:rPr>
        <w:t xml:space="preserve"> and their programmatic activities.</w:t>
      </w:r>
      <w:r>
        <w:rPr>
          <w:rFonts w:ascii="Arial" w:hAnsi="Arial" w:cs="Arial"/>
          <w:sz w:val="24"/>
        </w:rPr>
        <w:t xml:space="preserve"> </w:t>
      </w:r>
      <w:r w:rsidRPr="00CF661F">
        <w:rPr>
          <w:rFonts w:ascii="Arial" w:hAnsi="Arial" w:cs="Arial"/>
          <w:sz w:val="24"/>
        </w:rPr>
        <w:t xml:space="preserve">The purpose of </w:t>
      </w:r>
      <w:r w:rsidR="00410AA2">
        <w:rPr>
          <w:rFonts w:ascii="Arial" w:hAnsi="Arial" w:cs="Arial"/>
          <w:sz w:val="24"/>
        </w:rPr>
        <w:t>these</w:t>
      </w:r>
      <w:r w:rsidRPr="00CF661F" w:rsidR="00410AA2">
        <w:rPr>
          <w:rFonts w:ascii="Arial" w:hAnsi="Arial" w:cs="Arial"/>
          <w:sz w:val="24"/>
        </w:rPr>
        <w:t xml:space="preserve"> analys</w:t>
      </w:r>
      <w:r w:rsidR="00410AA2">
        <w:rPr>
          <w:rFonts w:ascii="Arial" w:hAnsi="Arial" w:cs="Arial"/>
          <w:sz w:val="24"/>
        </w:rPr>
        <w:t>e</w:t>
      </w:r>
      <w:r w:rsidRPr="00CF661F" w:rsidR="00410AA2">
        <w:rPr>
          <w:rFonts w:ascii="Arial" w:hAnsi="Arial" w:cs="Arial"/>
          <w:sz w:val="24"/>
        </w:rPr>
        <w:t xml:space="preserve">s </w:t>
      </w:r>
      <w:r w:rsidRPr="00CF661F">
        <w:rPr>
          <w:rFonts w:ascii="Arial" w:hAnsi="Arial" w:cs="Arial"/>
          <w:sz w:val="24"/>
        </w:rPr>
        <w:t xml:space="preserve">will be to </w:t>
      </w:r>
      <w:r w:rsidR="00410AA2">
        <w:rPr>
          <w:rFonts w:ascii="Arial" w:hAnsi="Arial" w:cs="Arial"/>
          <w:sz w:val="24"/>
        </w:rPr>
        <w:t>examine</w:t>
      </w:r>
      <w:r w:rsidRPr="00CF661F" w:rsidR="00410AA2">
        <w:rPr>
          <w:rFonts w:ascii="Arial" w:hAnsi="Arial" w:cs="Arial"/>
          <w:sz w:val="24"/>
        </w:rPr>
        <w:t xml:space="preserve"> </w:t>
      </w:r>
      <w:r w:rsidRPr="00CF661F">
        <w:rPr>
          <w:rFonts w:ascii="Arial" w:hAnsi="Arial" w:cs="Arial"/>
          <w:sz w:val="24"/>
        </w:rPr>
        <w:t xml:space="preserve">the distribution of </w:t>
      </w:r>
      <w:r w:rsidR="00410AA2">
        <w:rPr>
          <w:rFonts w:ascii="Arial" w:hAnsi="Arial" w:cs="Arial"/>
          <w:sz w:val="24"/>
        </w:rPr>
        <w:t xml:space="preserve">data for </w:t>
      </w:r>
      <w:r w:rsidRPr="00CF661F">
        <w:rPr>
          <w:rFonts w:ascii="Arial" w:hAnsi="Arial" w:cs="Arial"/>
          <w:sz w:val="24"/>
        </w:rPr>
        <w:t xml:space="preserve">variables of interest, </w:t>
      </w:r>
      <w:r w:rsidRPr="00CF661F">
        <w:rPr>
          <w:rFonts w:ascii="Arial" w:hAnsi="Arial" w:cs="Arial"/>
          <w:bCs/>
          <w:sz w:val="24"/>
        </w:rPr>
        <w:t xml:space="preserve">assess the </w:t>
      </w:r>
      <w:r w:rsidRPr="00CF661F">
        <w:rPr>
          <w:rFonts w:ascii="Arial" w:hAnsi="Arial" w:cs="Arial"/>
          <w:sz w:val="24"/>
        </w:rPr>
        <w:t xml:space="preserve">accuracy of measurements, identify </w:t>
      </w:r>
      <w:r w:rsidR="00410AA2">
        <w:rPr>
          <w:rFonts w:ascii="Arial" w:hAnsi="Arial" w:cs="Arial"/>
          <w:sz w:val="24"/>
        </w:rPr>
        <w:t xml:space="preserve">potential </w:t>
      </w:r>
      <w:r w:rsidRPr="00CF661F">
        <w:rPr>
          <w:rFonts w:ascii="Arial" w:hAnsi="Arial" w:cs="Arial"/>
          <w:sz w:val="24"/>
        </w:rPr>
        <w:t xml:space="preserve">sources of </w:t>
      </w:r>
      <w:r w:rsidR="00410AA2">
        <w:rPr>
          <w:rFonts w:ascii="Arial" w:hAnsi="Arial" w:cs="Arial"/>
          <w:sz w:val="24"/>
        </w:rPr>
        <w:t>bias/</w:t>
      </w:r>
      <w:r w:rsidRPr="00CF661F">
        <w:rPr>
          <w:rFonts w:ascii="Arial" w:hAnsi="Arial" w:cs="Arial"/>
          <w:sz w:val="24"/>
        </w:rPr>
        <w:t xml:space="preserve">error, and </w:t>
      </w:r>
      <w:r w:rsidR="00410AA2">
        <w:rPr>
          <w:rFonts w:ascii="Arial" w:hAnsi="Arial" w:cs="Arial"/>
          <w:sz w:val="24"/>
        </w:rPr>
        <w:t>assess for missing values to determine potential bias of missing values</w:t>
      </w:r>
      <w:r w:rsidRPr="00CF661F">
        <w:rPr>
          <w:rFonts w:ascii="Arial" w:hAnsi="Arial" w:cs="Arial"/>
          <w:sz w:val="24"/>
        </w:rPr>
        <w:t>.</w:t>
      </w:r>
      <w:r>
        <w:rPr>
          <w:rFonts w:ascii="Arial" w:hAnsi="Arial" w:cs="Arial"/>
          <w:sz w:val="24"/>
        </w:rPr>
        <w:t xml:space="preserve"> </w:t>
      </w:r>
      <w:r w:rsidR="00410AA2">
        <w:rPr>
          <w:rFonts w:ascii="Arial" w:hAnsi="Arial" w:cs="Arial"/>
          <w:sz w:val="24"/>
        </w:rPr>
        <w:t>Analyses will produce f</w:t>
      </w:r>
      <w:r w:rsidRPr="00CF661F" w:rsidR="00410AA2">
        <w:rPr>
          <w:rFonts w:ascii="Arial" w:hAnsi="Arial" w:cs="Arial"/>
          <w:sz w:val="24"/>
        </w:rPr>
        <w:t>requencies</w:t>
      </w:r>
      <w:r w:rsidR="009A6652">
        <w:rPr>
          <w:rFonts w:ascii="Arial" w:hAnsi="Arial" w:cs="Arial"/>
          <w:sz w:val="24"/>
        </w:rPr>
        <w:t xml:space="preserve">, measures of central tendency (i.e., means), and </w:t>
      </w:r>
      <w:r w:rsidRPr="00CF661F">
        <w:rPr>
          <w:rFonts w:ascii="Arial" w:hAnsi="Arial" w:cs="Arial"/>
          <w:sz w:val="24"/>
        </w:rPr>
        <w:t>standard deviations.</w:t>
      </w:r>
      <w:r>
        <w:rPr>
          <w:rFonts w:ascii="Arial" w:hAnsi="Arial" w:cs="Arial"/>
          <w:sz w:val="24"/>
        </w:rPr>
        <w:t xml:space="preserve"> </w:t>
      </w:r>
      <w:r w:rsidRPr="00CF661F">
        <w:rPr>
          <w:rFonts w:ascii="Arial" w:hAnsi="Arial" w:cs="Arial"/>
          <w:sz w:val="24"/>
        </w:rPr>
        <w:t xml:space="preserve">Knowledge of the distribution of data will inform the use of </w:t>
      </w:r>
      <w:r w:rsidR="009A6652">
        <w:rPr>
          <w:rFonts w:ascii="Arial" w:hAnsi="Arial" w:cs="Arial"/>
          <w:sz w:val="24"/>
        </w:rPr>
        <w:t>appropriate</w:t>
      </w:r>
      <w:r w:rsidRPr="00CF661F" w:rsidR="009A6652">
        <w:rPr>
          <w:rFonts w:ascii="Arial" w:hAnsi="Arial" w:cs="Arial"/>
          <w:sz w:val="24"/>
        </w:rPr>
        <w:t xml:space="preserve"> </w:t>
      </w:r>
      <w:r w:rsidRPr="00CF661F">
        <w:rPr>
          <w:rFonts w:ascii="Arial" w:hAnsi="Arial" w:cs="Arial"/>
          <w:sz w:val="24"/>
        </w:rPr>
        <w:t xml:space="preserve">statistical </w:t>
      </w:r>
      <w:r w:rsidR="009A6652">
        <w:rPr>
          <w:rFonts w:ascii="Arial" w:hAnsi="Arial" w:cs="Arial"/>
          <w:sz w:val="24"/>
        </w:rPr>
        <w:t>strategies</w:t>
      </w:r>
      <w:r w:rsidRPr="00CF661F" w:rsidR="009A6652">
        <w:rPr>
          <w:rFonts w:ascii="Arial" w:hAnsi="Arial" w:cs="Arial"/>
          <w:sz w:val="24"/>
        </w:rPr>
        <w:t xml:space="preserve"> </w:t>
      </w:r>
      <w:r w:rsidRPr="00CF661F">
        <w:rPr>
          <w:rFonts w:ascii="Arial" w:hAnsi="Arial" w:cs="Arial"/>
          <w:sz w:val="24"/>
        </w:rPr>
        <w:t>moving forward.</w:t>
      </w:r>
      <w:r>
        <w:rPr>
          <w:rFonts w:ascii="Arial" w:hAnsi="Arial" w:cs="Arial"/>
          <w:sz w:val="24"/>
        </w:rPr>
        <w:t xml:space="preserve"> </w:t>
      </w:r>
    </w:p>
    <w:p w:rsidRPr="002A7B10" w:rsidR="00584FAC" w:rsidP="00584FAC" w:rsidRDefault="00584FAC" w14:paraId="4F473267" w14:textId="77777777">
      <w:pPr>
        <w:spacing w:before="120"/>
        <w:rPr>
          <w:rFonts w:ascii="Arial" w:hAnsi="Arial" w:cs="Arial"/>
          <w:sz w:val="24"/>
        </w:rPr>
      </w:pPr>
      <w:r w:rsidRPr="004045B3">
        <w:rPr>
          <w:rFonts w:ascii="Arial" w:hAnsi="Arial" w:cs="Arial"/>
          <w:sz w:val="24"/>
        </w:rPr>
        <w:t xml:space="preserve"> </w:t>
      </w:r>
      <w:r w:rsidRPr="002A7B10">
        <w:rPr>
          <w:rFonts w:ascii="Arial" w:hAnsi="Arial" w:cs="Arial"/>
          <w:sz w:val="24"/>
        </w:rPr>
        <w:t>The most practical technique for testing missing completely at random (MCAR) is to create dummy variables for whether a variable is missing</w:t>
      </w:r>
      <w:r>
        <w:rPr>
          <w:rFonts w:ascii="Arial" w:hAnsi="Arial" w:cs="Arial"/>
          <w:sz w:val="24"/>
        </w:rPr>
        <w:t xml:space="preserve"> (</w:t>
      </w:r>
      <w:r w:rsidRPr="002A7B10">
        <w:rPr>
          <w:rFonts w:ascii="Arial" w:hAnsi="Arial" w:cs="Arial"/>
          <w:sz w:val="24"/>
        </w:rPr>
        <w:t>i.e., 1 = missing; 0 = observed</w:t>
      </w:r>
      <w:r>
        <w:rPr>
          <w:rFonts w:ascii="Arial" w:hAnsi="Arial" w:cs="Arial"/>
          <w:sz w:val="24"/>
        </w:rPr>
        <w:t xml:space="preserve">) and </w:t>
      </w:r>
      <w:r w:rsidRPr="002A7B10">
        <w:rPr>
          <w:rFonts w:ascii="Arial" w:hAnsi="Arial" w:cs="Arial"/>
          <w:sz w:val="24"/>
        </w:rPr>
        <w:t xml:space="preserve">run t-tests and chi-square tests between this variable and other variables in </w:t>
      </w:r>
      <w:r>
        <w:rPr>
          <w:rFonts w:ascii="Arial" w:hAnsi="Arial" w:cs="Arial"/>
          <w:sz w:val="24"/>
        </w:rPr>
        <w:t>the</w:t>
      </w:r>
      <w:r w:rsidRPr="002A7B10">
        <w:rPr>
          <w:rFonts w:ascii="Arial" w:hAnsi="Arial" w:cs="Arial"/>
          <w:sz w:val="24"/>
        </w:rPr>
        <w:t xml:space="preserve"> database to see if missingness on this variable is related to the values of other variables.</w:t>
      </w:r>
      <w:r>
        <w:rPr>
          <w:rFonts w:ascii="Arial" w:hAnsi="Arial" w:cs="Arial"/>
          <w:sz w:val="24"/>
        </w:rPr>
        <w:t xml:space="preserve"> A</w:t>
      </w:r>
      <w:r w:rsidRPr="002A7B10">
        <w:rPr>
          <w:rFonts w:ascii="Arial" w:hAnsi="Arial" w:cs="Arial"/>
          <w:sz w:val="24"/>
        </w:rPr>
        <w:t>lgorithms</w:t>
      </w:r>
      <w:r>
        <w:rPr>
          <w:rFonts w:ascii="Arial" w:hAnsi="Arial" w:cs="Arial"/>
          <w:sz w:val="24"/>
        </w:rPr>
        <w:t xml:space="preserve"> have been developed </w:t>
      </w:r>
      <w:r w:rsidRPr="002A7B10">
        <w:rPr>
          <w:rFonts w:ascii="Arial" w:hAnsi="Arial" w:cs="Arial"/>
          <w:sz w:val="24"/>
        </w:rPr>
        <w:t xml:space="preserve">for doing this automatically without having </w:t>
      </w:r>
      <w:r w:rsidRPr="002A7B10">
        <w:rPr>
          <w:rFonts w:ascii="Arial" w:hAnsi="Arial" w:cs="Arial"/>
          <w:sz w:val="24"/>
        </w:rPr>
        <w:lastRenderedPageBreak/>
        <w:t>to create all those dummy variables.</w:t>
      </w:r>
      <w:r>
        <w:rPr>
          <w:rFonts w:ascii="Arial" w:hAnsi="Arial" w:cs="Arial"/>
          <w:sz w:val="24"/>
        </w:rPr>
        <w:t xml:space="preserve"> </w:t>
      </w:r>
      <w:r w:rsidRPr="002A7B10">
        <w:rPr>
          <w:rFonts w:ascii="Arial" w:hAnsi="Arial" w:cs="Arial"/>
          <w:sz w:val="24"/>
        </w:rPr>
        <w:t>When this test statistic is not significant, the data are considered MCAR.</w:t>
      </w:r>
      <w:r>
        <w:rPr>
          <w:rFonts w:ascii="Arial" w:hAnsi="Arial" w:cs="Arial"/>
          <w:sz w:val="24"/>
        </w:rPr>
        <w:t xml:space="preserve"> </w:t>
      </w:r>
      <w:r w:rsidRPr="002A7B10">
        <w:rPr>
          <w:rFonts w:ascii="Arial" w:hAnsi="Arial" w:cs="Arial"/>
          <w:sz w:val="24"/>
        </w:rPr>
        <w:t>If the test statistic is significant, this significant variable</w:t>
      </w:r>
      <w:r>
        <w:rPr>
          <w:rFonts w:ascii="Arial" w:hAnsi="Arial" w:cs="Arial"/>
          <w:sz w:val="24"/>
        </w:rPr>
        <w:t xml:space="preserve"> will be included</w:t>
      </w:r>
      <w:r w:rsidRPr="002A7B10">
        <w:rPr>
          <w:rFonts w:ascii="Arial" w:hAnsi="Arial" w:cs="Arial"/>
          <w:sz w:val="24"/>
        </w:rPr>
        <w:t xml:space="preserve"> in the multiple imputations together with other predictors. Missing data can be continuous or categorical and they will be handled differently</w:t>
      </w:r>
      <w:r>
        <w:rPr>
          <w:rFonts w:ascii="Arial" w:hAnsi="Arial" w:cs="Arial"/>
          <w:sz w:val="24"/>
        </w:rPr>
        <w:t xml:space="preserve"> as described below</w:t>
      </w:r>
      <w:r w:rsidRPr="002A7B10">
        <w:rPr>
          <w:rFonts w:ascii="Arial" w:hAnsi="Arial" w:cs="Arial"/>
          <w:sz w:val="24"/>
        </w:rPr>
        <w:t>.</w:t>
      </w:r>
    </w:p>
    <w:p w:rsidRPr="000E643A" w:rsidR="00584FAC" w:rsidP="00584FAC" w:rsidRDefault="00584FAC" w14:paraId="79656970" w14:textId="77777777">
      <w:pPr>
        <w:pStyle w:val="ListParagraph"/>
        <w:numPr>
          <w:ilvl w:val="0"/>
          <w:numId w:val="14"/>
        </w:numPr>
        <w:spacing w:before="120"/>
        <w:rPr>
          <w:rFonts w:ascii="Arial" w:hAnsi="Arial" w:cs="Arial"/>
          <w:sz w:val="24"/>
        </w:rPr>
      </w:pPr>
      <w:r w:rsidRPr="000E643A">
        <w:rPr>
          <w:rFonts w:ascii="Arial" w:hAnsi="Arial" w:cs="Arial"/>
          <w:sz w:val="24"/>
        </w:rPr>
        <w:t xml:space="preserve">For </w:t>
      </w:r>
      <w:r w:rsidRPr="000E643A">
        <w:rPr>
          <w:rFonts w:ascii="Arial" w:hAnsi="Arial" w:cs="Arial"/>
          <w:b/>
          <w:bCs/>
          <w:sz w:val="24"/>
        </w:rPr>
        <w:t>continuous data</w:t>
      </w:r>
      <w:r w:rsidRPr="000E643A">
        <w:rPr>
          <w:rFonts w:ascii="Arial" w:hAnsi="Arial" w:cs="Arial"/>
          <w:sz w:val="24"/>
        </w:rPr>
        <w:t xml:space="preserve">, the most popular method for multiple imputation of missing data is the Markov Chain Monte Carlo (MCMC) algorithm. This method </w:t>
      </w:r>
      <w:r>
        <w:rPr>
          <w:rFonts w:ascii="Arial" w:hAnsi="Arial" w:cs="Arial"/>
          <w:sz w:val="24"/>
        </w:rPr>
        <w:t>assumes</w:t>
      </w:r>
      <w:r w:rsidRPr="000E643A">
        <w:rPr>
          <w:rFonts w:ascii="Arial" w:hAnsi="Arial" w:cs="Arial"/>
          <w:sz w:val="24"/>
        </w:rPr>
        <w:t xml:space="preserve"> multivariate normality which implies that valid imputations may be generated by linear regression equations. The algorithm is widely available and, most importantly, can handle arbitrary patterns of missing data. </w:t>
      </w:r>
    </w:p>
    <w:p w:rsidRPr="0046437B" w:rsidR="00584FAC" w:rsidP="00584FAC" w:rsidRDefault="00584FAC" w14:paraId="428AED97" w14:textId="77777777">
      <w:pPr>
        <w:pStyle w:val="ListParagraph"/>
        <w:numPr>
          <w:ilvl w:val="0"/>
          <w:numId w:val="14"/>
        </w:numPr>
        <w:spacing w:before="120"/>
        <w:rPr>
          <w:rFonts w:ascii="Arial" w:hAnsi="Arial" w:cs="Arial"/>
          <w:sz w:val="24"/>
        </w:rPr>
      </w:pPr>
      <w:r w:rsidRPr="000E643A">
        <w:rPr>
          <w:rFonts w:ascii="Arial" w:hAnsi="Arial" w:cs="Arial"/>
          <w:sz w:val="24"/>
        </w:rPr>
        <w:t xml:space="preserve">For </w:t>
      </w:r>
      <w:r w:rsidRPr="000E643A">
        <w:rPr>
          <w:rFonts w:ascii="Arial" w:hAnsi="Arial" w:cs="Arial"/>
          <w:b/>
          <w:bCs/>
          <w:sz w:val="24"/>
        </w:rPr>
        <w:t>categorical variables</w:t>
      </w:r>
      <w:r w:rsidRPr="000E643A">
        <w:rPr>
          <w:rFonts w:ascii="Arial" w:hAnsi="Arial" w:cs="Arial"/>
          <w:sz w:val="24"/>
        </w:rPr>
        <w:t>, we will adopt the regularized iterative Multiple Correspondence Analysis (MCA) algorithm. The regularized iterative MCA algorithm first consists of coding the categorical variables using the indicator matrix of dummy variables. Then, in the initialization step, missing values are imputed with initial values such as the proportion of the category for each category using the non-missing entries. The second step of the regularized iterative MCA algorithm consists of performing MCA on the completed dataset. Then, it imputes the missing values with the regularized reconstruction formulae of the fitted matrix for the regularized scores and loadings. These steps of estimation of the parameters via MCA and imputation of the missing values using the regularized fitted matrix are iterate</w:t>
      </w:r>
      <w:r>
        <w:rPr>
          <w:rFonts w:ascii="Arial" w:hAnsi="Arial" w:cs="Arial"/>
          <w:sz w:val="24"/>
        </w:rPr>
        <w:t>d</w:t>
      </w:r>
      <w:r w:rsidRPr="000E643A">
        <w:rPr>
          <w:rFonts w:ascii="Arial" w:hAnsi="Arial" w:cs="Arial"/>
          <w:sz w:val="24"/>
        </w:rPr>
        <w:t xml:space="preserve"> until convergence</w:t>
      </w:r>
      <w:r w:rsidRPr="0046437B">
        <w:rPr>
          <w:rFonts w:ascii="Arial" w:hAnsi="Arial" w:cs="Arial"/>
          <w:sz w:val="24"/>
        </w:rPr>
        <w:t xml:space="preserve">. </w:t>
      </w:r>
    </w:p>
    <w:p w:rsidRPr="00CF661F" w:rsidR="00584FAC" w:rsidP="00584FAC" w:rsidRDefault="00584FAC" w14:paraId="66C99617" w14:textId="77777777">
      <w:pPr>
        <w:spacing w:before="120"/>
        <w:rPr>
          <w:rFonts w:ascii="Arial" w:hAnsi="Arial" w:cs="Arial"/>
          <w:sz w:val="24"/>
        </w:rPr>
      </w:pPr>
      <w:r w:rsidRPr="00CF661F">
        <w:rPr>
          <w:rFonts w:ascii="Arial" w:hAnsi="Arial" w:cs="Arial"/>
          <w:sz w:val="24"/>
        </w:rPr>
        <w:t>The team will review, select, and apply the most efficient method, based on careful consideration of the data set and type of missing data.</w:t>
      </w:r>
      <w:r>
        <w:rPr>
          <w:rFonts w:ascii="Arial" w:hAnsi="Arial" w:cs="Arial"/>
          <w:sz w:val="24"/>
        </w:rPr>
        <w:t xml:space="preserve"> Any final reporting issuing from the data will indicate that missing values were imputed, if necessary, and will indicate the imputation method as described above. </w:t>
      </w:r>
      <w:r w:rsidRPr="00CF661F">
        <w:rPr>
          <w:rFonts w:ascii="Arial" w:hAnsi="Arial" w:cs="Arial"/>
          <w:sz w:val="24"/>
        </w:rPr>
        <w:t>The quantitative analysis team will also conduct cross tabulations to examine the relationship between the variables.</w:t>
      </w:r>
      <w:r>
        <w:rPr>
          <w:rFonts w:ascii="Arial" w:hAnsi="Arial" w:cs="Arial"/>
          <w:sz w:val="24"/>
        </w:rPr>
        <w:t xml:space="preserve"> </w:t>
      </w:r>
      <w:r w:rsidRPr="00CF661F">
        <w:rPr>
          <w:rFonts w:ascii="Arial" w:hAnsi="Arial" w:cs="Arial"/>
          <w:sz w:val="24"/>
        </w:rPr>
        <w:t xml:space="preserve">The degree and statistical significance of association between variables is important not only for reporting relationships of interest, but also for supporting higher level analyses. </w:t>
      </w:r>
    </w:p>
    <w:p w:rsidR="00C41AF6" w:rsidP="00221342" w:rsidRDefault="00C41AF6" w14:paraId="36023FCD" w14:textId="205F58FB">
      <w:pPr>
        <w:spacing w:before="120"/>
        <w:rPr>
          <w:rFonts w:ascii="Arial" w:hAnsi="Arial" w:cs="Arial"/>
          <w:i/>
          <w:iCs/>
          <w:sz w:val="24"/>
        </w:rPr>
      </w:pPr>
      <w:r w:rsidRPr="00803747">
        <w:rPr>
          <w:rFonts w:ascii="Arial" w:hAnsi="Arial" w:cs="Arial"/>
          <w:i/>
          <w:iCs/>
          <w:sz w:val="24"/>
        </w:rPr>
        <w:t xml:space="preserve">Step </w:t>
      </w:r>
      <w:r>
        <w:rPr>
          <w:rFonts w:ascii="Arial" w:hAnsi="Arial" w:cs="Arial"/>
          <w:i/>
          <w:iCs/>
          <w:sz w:val="24"/>
        </w:rPr>
        <w:t>2</w:t>
      </w:r>
      <w:r w:rsidRPr="00803747">
        <w:rPr>
          <w:rFonts w:ascii="Arial" w:hAnsi="Arial" w:cs="Arial"/>
          <w:i/>
          <w:iCs/>
          <w:sz w:val="24"/>
        </w:rPr>
        <w:t xml:space="preserve">: </w:t>
      </w:r>
      <w:r w:rsidRPr="00C41AF6">
        <w:rPr>
          <w:rFonts w:ascii="Arial" w:hAnsi="Arial" w:cs="Arial"/>
          <w:i/>
          <w:iCs/>
          <w:sz w:val="24"/>
        </w:rPr>
        <w:t xml:space="preserve">Assessing associations </w:t>
      </w:r>
      <w:r w:rsidR="008E385D">
        <w:rPr>
          <w:rFonts w:ascii="Arial" w:hAnsi="Arial" w:cs="Arial"/>
          <w:i/>
          <w:iCs/>
          <w:sz w:val="24"/>
        </w:rPr>
        <w:t xml:space="preserve">between variables </w:t>
      </w:r>
      <w:r w:rsidRPr="00C41AF6">
        <w:rPr>
          <w:rFonts w:ascii="Arial" w:hAnsi="Arial" w:cs="Arial"/>
          <w:i/>
          <w:iCs/>
          <w:sz w:val="24"/>
        </w:rPr>
        <w:t xml:space="preserve">to identify significant variable(s) associated with the outcome in the evaluation questions. </w:t>
      </w:r>
    </w:p>
    <w:p w:rsidRPr="00D429F5" w:rsidR="00584FAC" w:rsidP="00C41AF6" w:rsidRDefault="00E73129" w14:paraId="5E8FE132" w14:textId="797DF2D5">
      <w:pPr>
        <w:spacing w:before="120"/>
        <w:rPr>
          <w:rFonts w:ascii="Arial" w:hAnsi="Arial" w:cs="Arial"/>
          <w:i/>
          <w:iCs/>
          <w:sz w:val="24"/>
        </w:rPr>
      </w:pPr>
      <w:r w:rsidRPr="00FD4853">
        <w:rPr>
          <w:rFonts w:ascii="Arial" w:hAnsi="Arial" w:cs="Arial"/>
          <w:sz w:val="24"/>
        </w:rPr>
        <w:t>To identify variables associated with the outcomes of interest, we will use (1)</w:t>
      </w:r>
      <w:r>
        <w:rPr>
          <w:rFonts w:ascii="Arial" w:hAnsi="Arial" w:cs="Arial"/>
          <w:sz w:val="24"/>
        </w:rPr>
        <w:t xml:space="preserve"> </w:t>
      </w:r>
      <w:r w:rsidRPr="00FD4853">
        <w:rPr>
          <w:rFonts w:ascii="Arial" w:hAnsi="Arial" w:cs="Arial"/>
          <w:sz w:val="24"/>
        </w:rPr>
        <w:t>contingency tables and chi-square tests for independence (Pearson’s), t-tests and analysis of variance, linear logistic models when the dependent variable is binary, (2) linear regression when the dependent variable is continuous, and/or (3) Poisson regression when the dependent variable is measured in counts.</w:t>
      </w:r>
      <w:r>
        <w:rPr>
          <w:rFonts w:ascii="Arial" w:hAnsi="Arial" w:cs="Arial"/>
          <w:sz w:val="24"/>
        </w:rPr>
        <w:t xml:space="preserve"> </w:t>
      </w:r>
      <w:r w:rsidRPr="00E73129" w:rsidR="00D429F5">
        <w:rPr>
          <w:rFonts w:ascii="Arial" w:hAnsi="Arial" w:cs="Arial"/>
          <w:sz w:val="24"/>
        </w:rPr>
        <w:t>Through</w:t>
      </w:r>
      <w:r w:rsidR="00D429F5">
        <w:rPr>
          <w:rFonts w:ascii="Arial" w:hAnsi="Arial" w:cs="Arial"/>
          <w:sz w:val="24"/>
        </w:rPr>
        <w:t xml:space="preserve"> this step,</w:t>
      </w:r>
      <w:r w:rsidRPr="00C41AF6" w:rsidR="00584FAC">
        <w:rPr>
          <w:rFonts w:ascii="Arial" w:hAnsi="Arial" w:cs="Arial"/>
          <w:sz w:val="24"/>
        </w:rPr>
        <w:t xml:space="preserve"> the significant variables and the nonsignificant variables can be separated</w:t>
      </w:r>
      <w:r w:rsidR="0001192E">
        <w:rPr>
          <w:rFonts w:ascii="Arial" w:hAnsi="Arial" w:cs="Arial"/>
          <w:sz w:val="24"/>
        </w:rPr>
        <w:t>,</w:t>
      </w:r>
      <w:r w:rsidRPr="00C41AF6" w:rsidR="00584FAC">
        <w:rPr>
          <w:rFonts w:ascii="Arial" w:hAnsi="Arial" w:cs="Arial"/>
          <w:sz w:val="24"/>
        </w:rPr>
        <w:t xml:space="preserve"> and decisions made on what to include in multivariate analysis.</w:t>
      </w:r>
    </w:p>
    <w:p w:rsidR="001D3A6B" w:rsidP="00584FAC" w:rsidRDefault="001D3A6B" w14:paraId="7E46CD95" w14:textId="77777777">
      <w:pPr>
        <w:spacing w:before="120"/>
        <w:rPr>
          <w:rFonts w:ascii="Arial" w:hAnsi="Arial" w:cs="Arial"/>
          <w:bCs/>
          <w:i/>
          <w:iCs/>
          <w:sz w:val="24"/>
        </w:rPr>
      </w:pPr>
    </w:p>
    <w:p w:rsidR="001D3A6B" w:rsidP="00584FAC" w:rsidRDefault="001D3A6B" w14:paraId="1203D6E4" w14:textId="77777777">
      <w:pPr>
        <w:spacing w:before="120"/>
        <w:rPr>
          <w:rFonts w:ascii="Arial" w:hAnsi="Arial" w:cs="Arial"/>
          <w:bCs/>
          <w:i/>
          <w:iCs/>
          <w:sz w:val="24"/>
        </w:rPr>
      </w:pPr>
    </w:p>
    <w:p w:rsidRPr="00D429F5" w:rsidR="00D429F5" w:rsidP="00584FAC" w:rsidRDefault="00D429F5" w14:paraId="111A931A" w14:textId="7D49C47C">
      <w:pPr>
        <w:spacing w:before="120"/>
        <w:rPr>
          <w:rFonts w:ascii="Arial" w:hAnsi="Arial" w:cs="Arial"/>
          <w:bCs/>
          <w:i/>
          <w:iCs/>
          <w:sz w:val="24"/>
        </w:rPr>
      </w:pPr>
      <w:r w:rsidRPr="00D429F5">
        <w:rPr>
          <w:rFonts w:ascii="Arial" w:hAnsi="Arial" w:cs="Arial"/>
          <w:bCs/>
          <w:i/>
          <w:iCs/>
          <w:sz w:val="24"/>
        </w:rPr>
        <w:t>Step 3. Conducting the multivariate analysis in order to investigate the evaluation questions.</w:t>
      </w:r>
    </w:p>
    <w:p w:rsidRPr="00CF661F" w:rsidR="00584FAC" w:rsidP="00584FAC" w:rsidRDefault="00A63D7B" w14:paraId="50BF2A22" w14:textId="0C5F8C6E">
      <w:pPr>
        <w:spacing w:before="120"/>
        <w:rPr>
          <w:rFonts w:ascii="Arial" w:hAnsi="Arial" w:cs="Arial"/>
          <w:bCs/>
          <w:sz w:val="24"/>
        </w:rPr>
      </w:pPr>
      <w:r>
        <w:rPr>
          <w:rFonts w:ascii="Arial" w:hAnsi="Arial" w:cs="Arial"/>
          <w:sz w:val="24"/>
        </w:rPr>
        <w:lastRenderedPageBreak/>
        <w:t>M</w:t>
      </w:r>
      <w:r w:rsidRPr="00CF661F" w:rsidR="00584FAC">
        <w:rPr>
          <w:rFonts w:ascii="Arial" w:hAnsi="Arial" w:cs="Arial"/>
          <w:sz w:val="24"/>
        </w:rPr>
        <w:t xml:space="preserve">ultivariate </w:t>
      </w:r>
      <w:r w:rsidRPr="00CF661F">
        <w:rPr>
          <w:rFonts w:ascii="Arial" w:hAnsi="Arial" w:cs="Arial"/>
          <w:sz w:val="24"/>
        </w:rPr>
        <w:t>analys</w:t>
      </w:r>
      <w:r>
        <w:rPr>
          <w:rFonts w:ascii="Arial" w:hAnsi="Arial" w:cs="Arial"/>
          <w:sz w:val="24"/>
        </w:rPr>
        <w:t>e</w:t>
      </w:r>
      <w:r w:rsidRPr="00CF661F">
        <w:rPr>
          <w:rFonts w:ascii="Arial" w:hAnsi="Arial" w:cs="Arial"/>
          <w:sz w:val="24"/>
        </w:rPr>
        <w:t xml:space="preserve">s </w:t>
      </w:r>
      <w:r w:rsidRPr="00CF661F" w:rsidR="00584FAC">
        <w:rPr>
          <w:rFonts w:ascii="Arial" w:hAnsi="Arial" w:cs="Arial"/>
          <w:sz w:val="24"/>
        </w:rPr>
        <w:t xml:space="preserve">will </w:t>
      </w:r>
      <w:r w:rsidRPr="00CF661F" w:rsidR="00584FAC">
        <w:rPr>
          <w:rFonts w:ascii="Arial" w:hAnsi="Arial" w:cs="Arial"/>
          <w:sz w:val="24"/>
          <w:lang w:val="en"/>
        </w:rPr>
        <w:t xml:space="preserve">provide information about the </w:t>
      </w:r>
      <w:r w:rsidR="007A7A46">
        <w:rPr>
          <w:rFonts w:ascii="Arial" w:hAnsi="Arial" w:cs="Arial"/>
          <w:sz w:val="24"/>
          <w:lang w:val="en"/>
        </w:rPr>
        <w:t>grantee and programmatic characteristics</w:t>
      </w:r>
      <w:r w:rsidRPr="00CF661F" w:rsidR="007A7A46">
        <w:rPr>
          <w:rFonts w:ascii="Arial" w:hAnsi="Arial" w:cs="Arial"/>
          <w:sz w:val="24"/>
          <w:lang w:val="en"/>
        </w:rPr>
        <w:t xml:space="preserve"> </w:t>
      </w:r>
      <w:r w:rsidR="007A7A46">
        <w:rPr>
          <w:rFonts w:ascii="Arial" w:hAnsi="Arial" w:cs="Arial"/>
          <w:sz w:val="24"/>
          <w:lang w:val="en"/>
        </w:rPr>
        <w:t>that may be attributed to the</w:t>
      </w:r>
      <w:r w:rsidRPr="00CF661F" w:rsidR="00584FAC">
        <w:rPr>
          <w:rFonts w:ascii="Arial" w:hAnsi="Arial" w:cs="Arial"/>
          <w:sz w:val="24"/>
          <w:lang w:val="en"/>
        </w:rPr>
        <w:t xml:space="preserve"> PMHCA and MDRBD programs.</w:t>
      </w:r>
      <w:r w:rsidR="00584FAC">
        <w:rPr>
          <w:rFonts w:ascii="Arial" w:hAnsi="Arial" w:cs="Arial"/>
          <w:sz w:val="24"/>
          <w:lang w:val="en"/>
        </w:rPr>
        <w:t xml:space="preserve"> </w:t>
      </w:r>
      <w:r w:rsidRPr="00CF661F" w:rsidR="00584FAC">
        <w:rPr>
          <w:rFonts w:ascii="Arial" w:hAnsi="Arial" w:cs="Arial"/>
          <w:bCs/>
          <w:sz w:val="24"/>
        </w:rPr>
        <w:t xml:space="preserve">Based on the evaluation questions and variable identification through </w:t>
      </w:r>
      <w:r w:rsidR="00D429F5">
        <w:rPr>
          <w:rFonts w:ascii="Arial" w:hAnsi="Arial" w:cs="Arial"/>
          <w:bCs/>
          <w:sz w:val="24"/>
        </w:rPr>
        <w:t>Steps 1 and 2</w:t>
      </w:r>
      <w:r w:rsidRPr="00CF661F" w:rsidR="00584FAC">
        <w:rPr>
          <w:rFonts w:ascii="Arial" w:hAnsi="Arial" w:cs="Arial"/>
          <w:bCs/>
          <w:sz w:val="24"/>
        </w:rPr>
        <w:t xml:space="preserve">, the appropriate multivariate analysis </w:t>
      </w:r>
      <w:r w:rsidR="007A7A46">
        <w:rPr>
          <w:rFonts w:ascii="Arial" w:hAnsi="Arial" w:cs="Arial"/>
          <w:bCs/>
          <w:sz w:val="24"/>
        </w:rPr>
        <w:t xml:space="preserve">strategy </w:t>
      </w:r>
      <w:r w:rsidRPr="00CF661F" w:rsidR="00584FAC">
        <w:rPr>
          <w:rFonts w:ascii="Arial" w:hAnsi="Arial" w:cs="Arial"/>
          <w:bCs/>
          <w:sz w:val="24"/>
        </w:rPr>
        <w:t>will be determined and applied (e.g., linear or logistic regression</w:t>
      </w:r>
      <w:r w:rsidR="000C08E2">
        <w:rPr>
          <w:rFonts w:ascii="Arial" w:hAnsi="Arial" w:cs="Arial"/>
          <w:bCs/>
          <w:sz w:val="24"/>
        </w:rPr>
        <w:t xml:space="preserve"> </w:t>
      </w:r>
      <w:r w:rsidRPr="00235444" w:rsidR="000C08E2">
        <w:rPr>
          <w:rFonts w:ascii="Arial" w:hAnsi="Arial" w:cs="Arial"/>
          <w:bCs/>
          <w:sz w:val="24"/>
        </w:rPr>
        <w:t>models or multinomial regression, depending on the measurement of the outcome variable</w:t>
      </w:r>
      <w:r w:rsidR="000C08E2">
        <w:rPr>
          <w:rFonts w:ascii="Arial" w:hAnsi="Arial" w:cs="Arial"/>
          <w:bCs/>
          <w:sz w:val="24"/>
        </w:rPr>
        <w:t>;</w:t>
      </w:r>
      <w:r w:rsidRPr="00CF661F" w:rsidR="00584FAC">
        <w:rPr>
          <w:rFonts w:ascii="Arial" w:hAnsi="Arial" w:cs="Arial"/>
          <w:bCs/>
          <w:sz w:val="24"/>
        </w:rPr>
        <w:t xml:space="preserve"> </w:t>
      </w:r>
      <w:r w:rsidRPr="00A32CB3" w:rsidR="00E73129">
        <w:rPr>
          <w:rFonts w:ascii="Arial" w:hAnsi="Arial" w:cs="Arial"/>
          <w:bCs/>
          <w:sz w:val="24"/>
        </w:rPr>
        <w:t>generalized estimating equations</w:t>
      </w:r>
      <w:r w:rsidRPr="00A32CB3" w:rsidR="00E73129">
        <w:rPr>
          <w:rFonts w:ascii="Arial" w:hAnsi="Arial" w:cs="Arial"/>
          <w:sz w:val="24"/>
        </w:rPr>
        <w:t xml:space="preserve"> (GEE)</w:t>
      </w:r>
      <w:r w:rsidR="000C08E2">
        <w:rPr>
          <w:rFonts w:ascii="Arial" w:hAnsi="Arial" w:cs="Arial"/>
          <w:bCs/>
          <w:sz w:val="24"/>
        </w:rPr>
        <w:t xml:space="preserve"> w</w:t>
      </w:r>
      <w:r w:rsidRPr="000C08E2" w:rsidR="000C08E2">
        <w:rPr>
          <w:rFonts w:ascii="Arial" w:hAnsi="Arial" w:cs="Arial"/>
          <w:bCs/>
          <w:sz w:val="24"/>
        </w:rPr>
        <w:t>hen the data consist of multiple time points</w:t>
      </w:r>
      <w:r w:rsidR="000C08E2">
        <w:rPr>
          <w:rFonts w:ascii="Arial" w:hAnsi="Arial" w:cs="Arial"/>
          <w:bCs/>
          <w:sz w:val="24"/>
        </w:rPr>
        <w:t>;</w:t>
      </w:r>
      <w:r w:rsidRPr="00CF661F" w:rsidR="00584FAC">
        <w:rPr>
          <w:rFonts w:ascii="Arial" w:hAnsi="Arial" w:cs="Arial"/>
          <w:bCs/>
          <w:sz w:val="24"/>
        </w:rPr>
        <w:t xml:space="preserve"> multilevel analysis, </w:t>
      </w:r>
      <w:r w:rsidR="00B47F66">
        <w:rPr>
          <w:rFonts w:ascii="Arial" w:hAnsi="Arial" w:cs="Arial"/>
          <w:bCs/>
          <w:sz w:val="24"/>
        </w:rPr>
        <w:t xml:space="preserve">which </w:t>
      </w:r>
      <w:r w:rsidRPr="00B47F66" w:rsidR="00B47F66">
        <w:rPr>
          <w:rFonts w:ascii="Arial" w:hAnsi="Arial" w:cs="Arial"/>
          <w:bCs/>
          <w:sz w:val="24"/>
        </w:rPr>
        <w:t>can be used for the hierarchical data structure where data are considered clustere</w:t>
      </w:r>
      <w:r w:rsidR="00B47F66">
        <w:rPr>
          <w:rFonts w:ascii="Arial" w:hAnsi="Arial" w:cs="Arial"/>
          <w:bCs/>
          <w:sz w:val="24"/>
        </w:rPr>
        <w:t xml:space="preserve">d; </w:t>
      </w:r>
      <w:r w:rsidRPr="00CF661F" w:rsidR="00584FAC">
        <w:rPr>
          <w:rFonts w:ascii="Arial" w:hAnsi="Arial" w:cs="Arial"/>
          <w:bCs/>
          <w:sz w:val="24"/>
        </w:rPr>
        <w:t>cluster analysis</w:t>
      </w:r>
      <w:r w:rsidR="00B47F66">
        <w:rPr>
          <w:rFonts w:ascii="Arial" w:hAnsi="Arial" w:cs="Arial"/>
          <w:bCs/>
          <w:sz w:val="24"/>
        </w:rPr>
        <w:t xml:space="preserve"> i</w:t>
      </w:r>
      <w:r w:rsidRPr="00B47F66" w:rsidR="00B47F66">
        <w:rPr>
          <w:rFonts w:ascii="Arial" w:hAnsi="Arial" w:cs="Arial"/>
          <w:bCs/>
          <w:sz w:val="24"/>
        </w:rPr>
        <w:t>f the data contain a series of variables reflecting the characteristics of samples</w:t>
      </w:r>
      <w:r w:rsidR="00B47F66">
        <w:rPr>
          <w:rFonts w:ascii="Arial" w:hAnsi="Arial" w:cs="Arial"/>
          <w:bCs/>
          <w:sz w:val="24"/>
        </w:rPr>
        <w:t>;</w:t>
      </w:r>
      <w:r w:rsidRPr="00CF661F" w:rsidR="00584FAC">
        <w:rPr>
          <w:rFonts w:ascii="Arial" w:hAnsi="Arial" w:cs="Arial"/>
          <w:bCs/>
          <w:sz w:val="24"/>
        </w:rPr>
        <w:t xml:space="preserve"> structural equation modeling</w:t>
      </w:r>
      <w:r w:rsidR="00D429F5">
        <w:rPr>
          <w:rFonts w:ascii="Arial" w:hAnsi="Arial" w:cs="Arial"/>
          <w:bCs/>
          <w:sz w:val="24"/>
        </w:rPr>
        <w:t xml:space="preserve"> [SEM]</w:t>
      </w:r>
      <w:r w:rsidRPr="00CF661F" w:rsidR="00584FAC">
        <w:rPr>
          <w:rFonts w:ascii="Arial" w:hAnsi="Arial" w:cs="Arial"/>
          <w:bCs/>
          <w:sz w:val="24"/>
        </w:rPr>
        <w:t>)</w:t>
      </w:r>
      <w:r w:rsidR="00B47F66">
        <w:rPr>
          <w:rFonts w:ascii="Arial" w:hAnsi="Arial" w:cs="Arial"/>
          <w:bCs/>
          <w:sz w:val="24"/>
        </w:rPr>
        <w:t>, i</w:t>
      </w:r>
      <w:r w:rsidRPr="00B47F66" w:rsidR="00B47F66">
        <w:rPr>
          <w:rFonts w:ascii="Arial" w:hAnsi="Arial" w:cs="Arial"/>
          <w:bCs/>
          <w:sz w:val="24"/>
        </w:rPr>
        <w:t xml:space="preserve">f we are testing theory </w:t>
      </w:r>
      <w:r w:rsidR="00B47F66">
        <w:rPr>
          <w:rFonts w:ascii="Arial" w:hAnsi="Arial" w:cs="Arial"/>
          <w:bCs/>
          <w:sz w:val="24"/>
        </w:rPr>
        <w:t>[</w:t>
      </w:r>
      <w:r w:rsidRPr="00B47F66" w:rsidR="00B47F66">
        <w:rPr>
          <w:rFonts w:ascii="Arial" w:hAnsi="Arial" w:cs="Arial"/>
          <w:bCs/>
          <w:sz w:val="24"/>
        </w:rPr>
        <w:t>as outlined in the theoretical/conceptual framework</w:t>
      </w:r>
      <w:r w:rsidR="00B47F66">
        <w:rPr>
          <w:rFonts w:ascii="Arial" w:hAnsi="Arial" w:cs="Arial"/>
          <w:bCs/>
          <w:sz w:val="24"/>
        </w:rPr>
        <w:t>]</w:t>
      </w:r>
      <w:r w:rsidRPr="00B47F66" w:rsidR="00B47F66">
        <w:rPr>
          <w:rFonts w:ascii="Arial" w:hAnsi="Arial" w:cs="Arial"/>
          <w:bCs/>
          <w:sz w:val="24"/>
        </w:rPr>
        <w:t xml:space="preserve"> or interrelationship among variables</w:t>
      </w:r>
      <w:r w:rsidR="00B47F66">
        <w:rPr>
          <w:rFonts w:ascii="Arial" w:hAnsi="Arial" w:cs="Arial"/>
          <w:b/>
          <w:bCs/>
          <w:sz w:val="24"/>
        </w:rPr>
        <w:t>.</w:t>
      </w:r>
      <w:r w:rsidRPr="001D3A6B" w:rsidDel="00F82422" w:rsidR="00D429F5">
        <w:rPr>
          <w:rFonts w:ascii="Arial" w:hAnsi="Arial" w:cs="Arial"/>
          <w:bCs/>
          <w:sz w:val="24"/>
        </w:rPr>
        <w:t xml:space="preserve"> </w:t>
      </w:r>
      <w:r w:rsidRPr="00CF661F" w:rsidR="00584FAC">
        <w:rPr>
          <w:rFonts w:ascii="Arial" w:hAnsi="Arial" w:cs="Arial"/>
          <w:sz w:val="24"/>
        </w:rPr>
        <w:t>When interpreting the results of the analyses, both the statistical significance and the practical importance of the findings will be evaluated.</w:t>
      </w:r>
      <w:r w:rsidR="00584FAC">
        <w:rPr>
          <w:rFonts w:ascii="Arial" w:hAnsi="Arial" w:cs="Arial"/>
          <w:sz w:val="24"/>
        </w:rPr>
        <w:t xml:space="preserve"> </w:t>
      </w:r>
      <w:r w:rsidRPr="00CF661F" w:rsidR="00584FAC">
        <w:rPr>
          <w:rFonts w:ascii="Arial" w:hAnsi="Arial" w:cs="Arial"/>
          <w:sz w:val="24"/>
        </w:rPr>
        <w:t xml:space="preserve">The magnitude of changes will be compared with the literature and with practically meaningful standards. </w:t>
      </w:r>
    </w:p>
    <w:p w:rsidRPr="009612D9" w:rsidR="00E73129" w:rsidP="00E73129" w:rsidRDefault="00E73129" w14:paraId="64057FBD" w14:textId="77C8E3C9">
      <w:pPr>
        <w:spacing w:before="120"/>
        <w:rPr>
          <w:rFonts w:ascii="Arial" w:hAnsi="Arial" w:cs="Arial"/>
          <w:color w:val="000000"/>
          <w:sz w:val="24"/>
        </w:rPr>
      </w:pPr>
      <w:r>
        <w:rPr>
          <w:rFonts w:ascii="Arial" w:hAnsi="Arial" w:cs="Arial"/>
          <w:sz w:val="24"/>
          <w:u w:val="single"/>
        </w:rPr>
        <w:t xml:space="preserve">Approach for </w:t>
      </w:r>
      <w:r w:rsidR="001D3A6B">
        <w:rPr>
          <w:rFonts w:ascii="Arial" w:hAnsi="Arial" w:cs="Arial"/>
          <w:sz w:val="24"/>
          <w:u w:val="single"/>
        </w:rPr>
        <w:t xml:space="preserve">Quantitative </w:t>
      </w:r>
      <w:r>
        <w:rPr>
          <w:rFonts w:ascii="Arial" w:hAnsi="Arial" w:cs="Arial"/>
          <w:sz w:val="24"/>
          <w:u w:val="single"/>
        </w:rPr>
        <w:t>Analyses Addressing O</w:t>
      </w:r>
      <w:r w:rsidRPr="00CE0DAE">
        <w:rPr>
          <w:rFonts w:ascii="Arial" w:hAnsi="Arial" w:cs="Arial"/>
          <w:sz w:val="24"/>
          <w:u w:val="single"/>
        </w:rPr>
        <w:t xml:space="preserve">verarching </w:t>
      </w:r>
      <w:r>
        <w:rPr>
          <w:rFonts w:ascii="Arial" w:hAnsi="Arial" w:cs="Arial"/>
          <w:sz w:val="24"/>
          <w:u w:val="single"/>
        </w:rPr>
        <w:t>E</w:t>
      </w:r>
      <w:r w:rsidRPr="00CE0DAE">
        <w:rPr>
          <w:rFonts w:ascii="Arial" w:hAnsi="Arial" w:cs="Arial"/>
          <w:sz w:val="24"/>
          <w:u w:val="single"/>
        </w:rPr>
        <w:t xml:space="preserve">valuation </w:t>
      </w:r>
      <w:r>
        <w:rPr>
          <w:rFonts w:ascii="Arial" w:hAnsi="Arial" w:cs="Arial"/>
          <w:sz w:val="24"/>
          <w:u w:val="single"/>
        </w:rPr>
        <w:t>Q</w:t>
      </w:r>
      <w:r w:rsidRPr="00CE0DAE">
        <w:rPr>
          <w:rFonts w:ascii="Arial" w:hAnsi="Arial" w:cs="Arial"/>
          <w:sz w:val="24"/>
          <w:u w:val="single"/>
        </w:rPr>
        <w:t>uestions.</w:t>
      </w:r>
      <w:r>
        <w:rPr>
          <w:rFonts w:ascii="Arial" w:hAnsi="Arial" w:cs="Arial"/>
          <w:b/>
          <w:bCs/>
          <w:i/>
          <w:iCs/>
          <w:sz w:val="24"/>
        </w:rPr>
        <w:t xml:space="preserve"> </w:t>
      </w:r>
      <w:r>
        <w:rPr>
          <w:rFonts w:ascii="Arial" w:hAnsi="Arial" w:cs="Arial"/>
          <w:sz w:val="24"/>
        </w:rPr>
        <w:t>With regard to the overarching evaluation questions of interest, t</w:t>
      </w:r>
      <w:r w:rsidRPr="006D66A9">
        <w:rPr>
          <w:rFonts w:ascii="Arial" w:hAnsi="Arial" w:cs="Arial"/>
          <w:sz w:val="24"/>
        </w:rPr>
        <w:t>o</w:t>
      </w:r>
      <w:r>
        <w:rPr>
          <w:rFonts w:ascii="Arial" w:hAnsi="Arial" w:cs="Arial"/>
          <w:sz w:val="24"/>
        </w:rPr>
        <w:t xml:space="preserve"> examine evaluation questions related to </w:t>
      </w:r>
      <w:r w:rsidRPr="004045B3">
        <w:rPr>
          <w:rFonts w:ascii="Arial" w:hAnsi="Arial" w:cs="Arial"/>
          <w:b/>
          <w:bCs/>
          <w:sz w:val="24"/>
        </w:rPr>
        <w:t xml:space="preserve">programs’ activities supporting providers’ capacity to address patients’ </w:t>
      </w:r>
      <w:r w:rsidRPr="0046437B">
        <w:rPr>
          <w:rFonts w:ascii="Arial" w:hAnsi="Arial" w:cs="Arial"/>
          <w:b/>
          <w:bCs/>
          <w:sz w:val="24"/>
        </w:rPr>
        <w:t>behavioral</w:t>
      </w:r>
      <w:r w:rsidRPr="004045B3">
        <w:rPr>
          <w:rFonts w:ascii="Arial" w:hAnsi="Arial" w:cs="Arial"/>
          <w:b/>
          <w:bCs/>
          <w:sz w:val="24"/>
        </w:rPr>
        <w:t xml:space="preserve"> health</w:t>
      </w:r>
      <w:r>
        <w:rPr>
          <w:rFonts w:ascii="Arial" w:hAnsi="Arial" w:cs="Arial"/>
          <w:sz w:val="24"/>
        </w:rPr>
        <w:t xml:space="preserve">, </w:t>
      </w:r>
      <w:r w:rsidRPr="006D66A9">
        <w:rPr>
          <w:rFonts w:ascii="Arial" w:hAnsi="Arial" w:cs="Arial"/>
          <w:sz w:val="24"/>
        </w:rPr>
        <w:t xml:space="preserve">it is expected that </w:t>
      </w:r>
      <w:r>
        <w:rPr>
          <w:rFonts w:ascii="Arial" w:hAnsi="Arial" w:cs="Arial"/>
          <w:sz w:val="24"/>
        </w:rPr>
        <w:t xml:space="preserve">data analyses </w:t>
      </w:r>
      <w:r w:rsidRPr="006D66A9">
        <w:rPr>
          <w:rFonts w:ascii="Arial" w:hAnsi="Arial" w:cs="Arial"/>
          <w:sz w:val="24"/>
        </w:rPr>
        <w:t>will include the frequency distribution, percentages, b</w:t>
      </w:r>
      <w:r w:rsidRPr="009612D9">
        <w:rPr>
          <w:rFonts w:ascii="Arial" w:hAnsi="Arial" w:cs="Arial"/>
          <w:color w:val="000000"/>
          <w:sz w:val="24"/>
        </w:rPr>
        <w:t xml:space="preserve">inomial test to determine whether the observed proportion is significantly different from a known proportion, </w:t>
      </w:r>
      <w:r>
        <w:rPr>
          <w:rFonts w:ascii="Arial" w:hAnsi="Arial" w:cs="Arial"/>
          <w:color w:val="000000"/>
          <w:sz w:val="24"/>
        </w:rPr>
        <w:t xml:space="preserve">and </w:t>
      </w:r>
      <w:r w:rsidRPr="009612D9">
        <w:rPr>
          <w:rFonts w:ascii="Arial" w:hAnsi="Arial" w:cs="Arial"/>
          <w:color w:val="000000"/>
          <w:sz w:val="24"/>
        </w:rPr>
        <w:t>Chi-square (χ</w:t>
      </w:r>
      <w:r w:rsidRPr="009612D9">
        <w:rPr>
          <w:rFonts w:ascii="Arial" w:hAnsi="Arial" w:cs="Arial"/>
          <w:color w:val="000000"/>
          <w:sz w:val="24"/>
          <w:vertAlign w:val="superscript"/>
        </w:rPr>
        <w:t>2</w:t>
      </w:r>
      <w:r w:rsidRPr="009612D9">
        <w:rPr>
          <w:rFonts w:ascii="Arial" w:hAnsi="Arial" w:cs="Arial"/>
          <w:color w:val="000000"/>
          <w:sz w:val="24"/>
        </w:rPr>
        <w:t>) test to determine whether a statistically significant association exists between rows and columns in a contingency table.</w:t>
      </w:r>
      <w:r>
        <w:rPr>
          <w:rFonts w:ascii="Arial" w:hAnsi="Arial" w:cs="Arial"/>
          <w:color w:val="000000"/>
          <w:sz w:val="24"/>
        </w:rPr>
        <w:t xml:space="preserve"> Associations may also be made </w:t>
      </w:r>
      <w:r w:rsidRPr="009612D9">
        <w:rPr>
          <w:rFonts w:ascii="Arial" w:hAnsi="Arial" w:cs="Arial"/>
          <w:color w:val="000000"/>
          <w:sz w:val="24"/>
        </w:rPr>
        <w:t>using logistic regression to predict the outcome measures with a selected group of predictors.</w:t>
      </w:r>
    </w:p>
    <w:p w:rsidRPr="00FD4853" w:rsidR="00E73129" w:rsidP="00FD4853" w:rsidRDefault="00E73129" w14:paraId="72EBF10C" w14:textId="489B145A">
      <w:pPr>
        <w:spacing w:before="120"/>
        <w:rPr>
          <w:rFonts w:ascii="Arial" w:hAnsi="Arial" w:cs="Arial"/>
          <w:sz w:val="24"/>
        </w:rPr>
      </w:pPr>
      <w:r w:rsidRPr="00FD4853">
        <w:rPr>
          <w:rFonts w:ascii="Arial" w:hAnsi="Arial" w:cs="Arial"/>
          <w:sz w:val="24"/>
        </w:rPr>
        <w:t xml:space="preserve">Data analyses to examine evaluation questions related to </w:t>
      </w:r>
      <w:r w:rsidRPr="00FD4853">
        <w:rPr>
          <w:rFonts w:ascii="Arial" w:hAnsi="Arial" w:cs="Arial"/>
          <w:b/>
          <w:bCs/>
          <w:sz w:val="24"/>
        </w:rPr>
        <w:t xml:space="preserve">changes in health care </w:t>
      </w:r>
      <w:r w:rsidRPr="00FD4853">
        <w:rPr>
          <w:rFonts w:ascii="Arial" w:hAnsi="Arial" w:cs="Arial"/>
          <w:b/>
          <w:bCs/>
          <w:sz w:val="24"/>
          <w:u w:val="single"/>
        </w:rPr>
        <w:t>providers’</w:t>
      </w:r>
      <w:r w:rsidRPr="00FD4853">
        <w:rPr>
          <w:rFonts w:ascii="Arial" w:hAnsi="Arial" w:cs="Arial"/>
          <w:b/>
          <w:bCs/>
          <w:sz w:val="24"/>
        </w:rPr>
        <w:t xml:space="preserve"> capacity to address patients’ behavioral health</w:t>
      </w:r>
      <w:r w:rsidRPr="00FD4853">
        <w:rPr>
          <w:rFonts w:ascii="Arial" w:hAnsi="Arial" w:cs="Arial"/>
          <w:sz w:val="24"/>
        </w:rPr>
        <w:t xml:space="preserve"> will include GEE and mixed models will be adopted to investigate the longitudinal trend of behavioral health changes. The health care providers’ capacity may serve as time-varying variable in relation to the changes of the outcome. </w:t>
      </w:r>
      <w:r>
        <w:rPr>
          <w:rFonts w:ascii="Arial" w:hAnsi="Arial" w:cs="Arial"/>
          <w:sz w:val="24"/>
        </w:rPr>
        <w:t xml:space="preserve">For example, </w:t>
      </w:r>
      <w:r w:rsidRPr="00FD4853">
        <w:rPr>
          <w:rFonts w:ascii="Arial" w:hAnsi="Arial" w:cs="Arial"/>
          <w:sz w:val="24"/>
        </w:rPr>
        <w:t xml:space="preserve">to determine </w:t>
      </w:r>
      <w:r w:rsidRPr="00FD4853">
        <w:rPr>
          <w:rFonts w:ascii="Arial" w:hAnsi="Arial" w:cs="Arial"/>
          <w:b/>
          <w:bCs/>
          <w:sz w:val="24"/>
        </w:rPr>
        <w:t>whether and how health care providers’ access to clinical behavioral health consultation has changed over time</w:t>
      </w:r>
      <w:r w:rsidRPr="00FD4853">
        <w:rPr>
          <w:rFonts w:ascii="Arial" w:hAnsi="Arial" w:cs="Arial"/>
          <w:sz w:val="24"/>
        </w:rPr>
        <w:t xml:space="preserve">, a key consideration is the identification of a variable for “health care provider access.” Using the steps outlined below, Following the steps above, the analysis team will review the data from </w:t>
      </w:r>
      <w:r w:rsidRPr="00FD4853">
        <w:rPr>
          <w:rFonts w:ascii="Arial" w:hAnsi="Arial" w:cs="Arial"/>
          <w:bCs/>
          <w:sz w:val="24"/>
        </w:rPr>
        <w:t>the descriptive statistics (Step 1) and associations between variables (Step 2)</w:t>
      </w:r>
      <w:r w:rsidRPr="00FD4853">
        <w:rPr>
          <w:rFonts w:ascii="Arial" w:hAnsi="Arial" w:cs="Arial"/>
          <w:sz w:val="24"/>
        </w:rPr>
        <w:t>, as well as a cluster analysis if performed, and will confirm the data time points that can be used to examine change over time. Based on this information, the analysis team will determine the appropriate multivariate analyses (Step 3).</w:t>
      </w:r>
    </w:p>
    <w:p w:rsidR="00E73129" w:rsidP="00E73129" w:rsidRDefault="00E73129" w14:paraId="70C72F9B" w14:textId="77777777">
      <w:pPr>
        <w:spacing w:before="120"/>
        <w:rPr>
          <w:rFonts w:ascii="Arial" w:hAnsi="Arial" w:cs="Arial"/>
          <w:sz w:val="24"/>
        </w:rPr>
      </w:pPr>
      <w:r>
        <w:rPr>
          <w:rFonts w:ascii="Arial" w:hAnsi="Arial" w:cs="Arial"/>
          <w:sz w:val="24"/>
        </w:rPr>
        <w:t xml:space="preserve">Similarly, examination of evaluation questions related to </w:t>
      </w:r>
      <w:r>
        <w:rPr>
          <w:rFonts w:ascii="Arial" w:hAnsi="Arial" w:cs="Arial"/>
          <w:b/>
          <w:bCs/>
          <w:sz w:val="24"/>
        </w:rPr>
        <w:t xml:space="preserve">changes in </w:t>
      </w:r>
      <w:r w:rsidRPr="009612D9">
        <w:rPr>
          <w:rFonts w:ascii="Arial" w:hAnsi="Arial" w:cs="Arial"/>
          <w:b/>
          <w:sz w:val="24"/>
        </w:rPr>
        <w:t xml:space="preserve">health care </w:t>
      </w:r>
      <w:r w:rsidRPr="004045B3">
        <w:rPr>
          <w:rFonts w:ascii="Arial" w:hAnsi="Arial" w:cs="Arial"/>
          <w:b/>
          <w:sz w:val="24"/>
          <w:u w:val="single"/>
        </w:rPr>
        <w:t>practices’</w:t>
      </w:r>
      <w:r w:rsidRPr="009612D9">
        <w:rPr>
          <w:rFonts w:ascii="Arial" w:hAnsi="Arial" w:cs="Arial"/>
          <w:b/>
          <w:sz w:val="24"/>
        </w:rPr>
        <w:t xml:space="preserve"> capacity to address patients’ behavioral health </w:t>
      </w:r>
      <w:r w:rsidRPr="002D055B">
        <w:rPr>
          <w:rFonts w:ascii="Arial" w:hAnsi="Arial" w:cs="Arial"/>
          <w:sz w:val="24"/>
        </w:rPr>
        <w:t xml:space="preserve">will include </w:t>
      </w:r>
      <w:r>
        <w:rPr>
          <w:rFonts w:ascii="Arial" w:hAnsi="Arial" w:cs="Arial"/>
          <w:sz w:val="24"/>
        </w:rPr>
        <w:t xml:space="preserve">GEE and mixed models will be adopted to investigate the longitudinal trend of </w:t>
      </w:r>
      <w:r w:rsidRPr="007A5649">
        <w:rPr>
          <w:rFonts w:ascii="Arial" w:hAnsi="Arial" w:cs="Arial"/>
          <w:sz w:val="24"/>
        </w:rPr>
        <w:t>behavioral</w:t>
      </w:r>
      <w:r>
        <w:rPr>
          <w:rFonts w:ascii="Arial" w:hAnsi="Arial" w:cs="Arial"/>
          <w:sz w:val="24"/>
        </w:rPr>
        <w:t xml:space="preserve"> health changes. As with health care providers, the </w:t>
      </w:r>
      <w:r w:rsidRPr="006B2141">
        <w:rPr>
          <w:rFonts w:ascii="Arial" w:hAnsi="Arial" w:cs="Arial"/>
          <w:sz w:val="24"/>
        </w:rPr>
        <w:t xml:space="preserve">health care practices’ </w:t>
      </w:r>
      <w:r>
        <w:rPr>
          <w:rFonts w:ascii="Arial" w:hAnsi="Arial" w:cs="Arial"/>
          <w:sz w:val="24"/>
        </w:rPr>
        <w:t xml:space="preserve">capacity may serve as time-varying variable in relation to the changes of the outcome. </w:t>
      </w:r>
    </w:p>
    <w:p w:rsidR="00E73129" w:rsidP="00E73129" w:rsidRDefault="00E73129" w14:paraId="13E79118" w14:textId="77777777">
      <w:pPr>
        <w:rPr>
          <w:rFonts w:ascii="Arial" w:hAnsi="Arial" w:cs="Arial"/>
          <w:sz w:val="24"/>
        </w:rPr>
      </w:pPr>
    </w:p>
    <w:p w:rsidRPr="00FD4853" w:rsidR="004C4F80" w:rsidP="001D3A6B" w:rsidRDefault="00E73129" w14:paraId="17120FB4" w14:textId="26BA6A04">
      <w:pPr>
        <w:rPr>
          <w:rFonts w:ascii="Arial" w:hAnsi="Arial" w:cs="Arial"/>
          <w:sz w:val="24"/>
        </w:rPr>
      </w:pPr>
      <w:r>
        <w:rPr>
          <w:rFonts w:ascii="Arial" w:hAnsi="Arial" w:cs="Arial"/>
          <w:sz w:val="24"/>
        </w:rPr>
        <w:lastRenderedPageBreak/>
        <w:t>Data analyses to examine evaluation questions related to how</w:t>
      </w:r>
      <w:r w:rsidRPr="009612D9">
        <w:rPr>
          <w:rFonts w:ascii="Arial" w:hAnsi="Arial" w:cs="Arial"/>
          <w:b/>
          <w:sz w:val="24"/>
        </w:rPr>
        <w:t xml:space="preserve"> program activities </w:t>
      </w:r>
      <w:r>
        <w:rPr>
          <w:rFonts w:ascii="Arial" w:hAnsi="Arial" w:cs="Arial"/>
          <w:b/>
          <w:sz w:val="24"/>
        </w:rPr>
        <w:t xml:space="preserve">are </w:t>
      </w:r>
      <w:r w:rsidRPr="009612D9">
        <w:rPr>
          <w:rFonts w:ascii="Arial" w:hAnsi="Arial" w:cs="Arial"/>
          <w:b/>
          <w:sz w:val="24"/>
        </w:rPr>
        <w:t>associated with changes over time in access to behavioral health services</w:t>
      </w:r>
      <w:r>
        <w:rPr>
          <w:rFonts w:ascii="Arial" w:hAnsi="Arial" w:cs="Arial"/>
          <w:sz w:val="24"/>
        </w:rPr>
        <w:t xml:space="preserve"> </w:t>
      </w:r>
      <w:r w:rsidRPr="002D055B">
        <w:rPr>
          <w:rFonts w:ascii="Arial" w:hAnsi="Arial" w:cs="Arial"/>
          <w:sz w:val="24"/>
        </w:rPr>
        <w:t xml:space="preserve">will include </w:t>
      </w:r>
      <w:r>
        <w:rPr>
          <w:rFonts w:ascii="Arial" w:hAnsi="Arial" w:cs="Arial"/>
          <w:sz w:val="24"/>
        </w:rPr>
        <w:t xml:space="preserve">mediation and moderation modeling to examine interrelations and potentially causal effect of </w:t>
      </w:r>
      <w:r w:rsidRPr="00E73129">
        <w:rPr>
          <w:rFonts w:ascii="Arial" w:hAnsi="Arial" w:cs="Arial"/>
          <w:sz w:val="24"/>
        </w:rPr>
        <w:t xml:space="preserve">factors associated with these changes over time in access to behavioral health services. </w:t>
      </w:r>
      <w:r w:rsidRPr="00FD4853">
        <w:rPr>
          <w:rFonts w:ascii="Arial" w:hAnsi="Arial" w:cs="Arial"/>
          <w:sz w:val="24"/>
        </w:rPr>
        <w:t xml:space="preserve">For </w:t>
      </w:r>
      <w:r w:rsidRPr="00E73129" w:rsidR="004C4F80">
        <w:rPr>
          <w:rFonts w:ascii="Arial" w:hAnsi="Arial" w:cs="Arial"/>
          <w:sz w:val="24"/>
        </w:rPr>
        <w:t>example</w:t>
      </w:r>
      <w:r w:rsidRPr="00E73129" w:rsidR="00BE781A">
        <w:rPr>
          <w:rFonts w:ascii="Arial" w:hAnsi="Arial" w:cs="Arial"/>
          <w:sz w:val="24"/>
        </w:rPr>
        <w:t>,</w:t>
      </w:r>
      <w:r w:rsidRPr="00E73129" w:rsidR="004C4F80">
        <w:rPr>
          <w:rFonts w:ascii="Arial" w:hAnsi="Arial" w:cs="Arial"/>
          <w:sz w:val="24"/>
        </w:rPr>
        <w:t xml:space="preserve"> when examining which </w:t>
      </w:r>
      <w:r w:rsidRPr="00E73129" w:rsidR="004C4F80">
        <w:rPr>
          <w:rFonts w:ascii="Arial" w:hAnsi="Arial" w:cs="Arial"/>
          <w:b/>
          <w:bCs/>
          <w:sz w:val="24"/>
        </w:rPr>
        <w:t>variables are associated with changes in provider delivery of screening over time</w:t>
      </w:r>
      <w:r w:rsidRPr="00E73129" w:rsidR="004C4F80">
        <w:rPr>
          <w:rFonts w:ascii="Arial" w:hAnsi="Arial" w:cs="Arial"/>
          <w:sz w:val="24"/>
        </w:rPr>
        <w:t xml:space="preserve">, we will examine the assessment of the data distribution and characteristics </w:t>
      </w:r>
      <w:r w:rsidRPr="00E73129" w:rsidR="00BE781A">
        <w:rPr>
          <w:rFonts w:ascii="Arial" w:hAnsi="Arial" w:cs="Arial"/>
          <w:sz w:val="24"/>
        </w:rPr>
        <w:t xml:space="preserve">from </w:t>
      </w:r>
      <w:r w:rsidRPr="00E73129" w:rsidR="004C4F80">
        <w:rPr>
          <w:rFonts w:ascii="Arial" w:hAnsi="Arial" w:cs="Arial"/>
          <w:sz w:val="24"/>
        </w:rPr>
        <w:t>Step 1</w:t>
      </w:r>
      <w:r w:rsidRPr="00E73129" w:rsidR="00BE781A">
        <w:rPr>
          <w:rFonts w:ascii="Arial" w:hAnsi="Arial" w:cs="Arial"/>
          <w:sz w:val="24"/>
        </w:rPr>
        <w:t xml:space="preserve"> and significant</w:t>
      </w:r>
      <w:r w:rsidRPr="00E73129" w:rsidR="004C4F80">
        <w:rPr>
          <w:rFonts w:ascii="Arial" w:hAnsi="Arial" w:cs="Arial"/>
          <w:sz w:val="24"/>
        </w:rPr>
        <w:t xml:space="preserve"> variables </w:t>
      </w:r>
      <w:r w:rsidRPr="00E73129" w:rsidR="00BE781A">
        <w:rPr>
          <w:rFonts w:ascii="Arial" w:hAnsi="Arial" w:cs="Arial"/>
          <w:sz w:val="24"/>
        </w:rPr>
        <w:t xml:space="preserve">from </w:t>
      </w:r>
      <w:r w:rsidRPr="00E73129" w:rsidR="004C4F80">
        <w:rPr>
          <w:rFonts w:ascii="Arial" w:hAnsi="Arial" w:cs="Arial"/>
          <w:sz w:val="24"/>
        </w:rPr>
        <w:t>Step 2 and then include the significant variables into a multivariate logistic model or multiple linear regression to screen out a group of the most robust and significant predictors</w:t>
      </w:r>
      <w:r w:rsidRPr="00E73129" w:rsidR="00BE781A">
        <w:rPr>
          <w:rFonts w:ascii="Arial" w:hAnsi="Arial" w:cs="Arial"/>
          <w:sz w:val="24"/>
        </w:rPr>
        <w:t xml:space="preserve"> (Step 3)</w:t>
      </w:r>
      <w:r w:rsidRPr="00E73129" w:rsidR="004C4F80">
        <w:rPr>
          <w:rFonts w:ascii="Arial" w:hAnsi="Arial" w:cs="Arial"/>
          <w:sz w:val="24"/>
        </w:rPr>
        <w:t>. Furthermore, the SEM may be adopted to examine the interrelationships among independent variables in relation to the dependent variable</w:t>
      </w:r>
      <w:r w:rsidRPr="00FD4853" w:rsidR="004C4F80">
        <w:rPr>
          <w:rFonts w:ascii="Arial" w:hAnsi="Arial" w:cs="Arial"/>
          <w:sz w:val="24"/>
        </w:rPr>
        <w:t>.</w:t>
      </w:r>
    </w:p>
    <w:bookmarkEnd w:id="3"/>
    <w:p w:rsidR="0035003B" w:rsidP="00235444" w:rsidRDefault="0035003B" w14:paraId="5EA50258" w14:textId="77777777">
      <w:pPr>
        <w:rPr>
          <w:rFonts w:ascii="Arial" w:hAnsi="Arial" w:cs="Arial"/>
          <w:sz w:val="24"/>
          <w:u w:val="single"/>
        </w:rPr>
      </w:pPr>
    </w:p>
    <w:p w:rsidRPr="00CF661F" w:rsidR="001C597A" w:rsidP="00235444" w:rsidRDefault="00ED4540" w14:paraId="3317EF16" w14:textId="1D188120">
      <w:pPr>
        <w:rPr>
          <w:rFonts w:ascii="Arial" w:hAnsi="Arial" w:cs="Arial"/>
          <w:sz w:val="24"/>
        </w:rPr>
      </w:pPr>
      <w:r w:rsidRPr="00CF661F">
        <w:rPr>
          <w:rFonts w:ascii="Arial" w:hAnsi="Arial" w:cs="Arial"/>
          <w:sz w:val="24"/>
          <w:u w:val="single"/>
        </w:rPr>
        <w:t>Qualitative Data Analysis:</w:t>
      </w:r>
      <w:r w:rsidR="00721F5A">
        <w:rPr>
          <w:rFonts w:ascii="Arial" w:hAnsi="Arial" w:cs="Arial"/>
          <w:sz w:val="24"/>
        </w:rPr>
        <w:t xml:space="preserve"> </w:t>
      </w:r>
      <w:r w:rsidRPr="00CF661F">
        <w:rPr>
          <w:rFonts w:ascii="Arial" w:hAnsi="Arial" w:cs="Arial"/>
          <w:sz w:val="24"/>
        </w:rPr>
        <w:t>The qualitative data for this evaluation will come from the</w:t>
      </w:r>
      <w:r w:rsidRPr="00CF661F" w:rsidR="001E74C2">
        <w:rPr>
          <w:rFonts w:ascii="Arial" w:hAnsi="Arial" w:cs="Arial"/>
          <w:sz w:val="24"/>
        </w:rPr>
        <w:t xml:space="preserve"> </w:t>
      </w:r>
      <w:r w:rsidRPr="00CF661F" w:rsidR="00E02D11">
        <w:rPr>
          <w:rFonts w:ascii="Arial" w:hAnsi="Arial" w:cs="Arial"/>
          <w:sz w:val="24"/>
        </w:rPr>
        <w:t>SSI response</w:t>
      </w:r>
      <w:r w:rsidRPr="00CF661F" w:rsidR="001E74C2">
        <w:rPr>
          <w:rFonts w:ascii="Arial" w:hAnsi="Arial" w:cs="Arial"/>
          <w:sz w:val="24"/>
        </w:rPr>
        <w:t>s.</w:t>
      </w:r>
      <w:r w:rsidR="00721F5A">
        <w:rPr>
          <w:rFonts w:ascii="Arial" w:hAnsi="Arial" w:cs="Arial"/>
          <w:sz w:val="24"/>
        </w:rPr>
        <w:t xml:space="preserve"> </w:t>
      </w:r>
      <w:r w:rsidRPr="00CF661F" w:rsidR="001E74C2">
        <w:rPr>
          <w:rFonts w:ascii="Arial" w:hAnsi="Arial" w:cs="Arial"/>
          <w:sz w:val="24"/>
        </w:rPr>
        <w:t xml:space="preserve">The information collected will provide contextual information to better understand the nuances related to program implementation and will complement data collected </w:t>
      </w:r>
      <w:r w:rsidRPr="00CF661F" w:rsidR="00D95422">
        <w:rPr>
          <w:rFonts w:ascii="Arial" w:hAnsi="Arial" w:cs="Arial"/>
          <w:sz w:val="24"/>
        </w:rPr>
        <w:t>from</w:t>
      </w:r>
      <w:r w:rsidRPr="00CF661F" w:rsidR="001E74C2">
        <w:rPr>
          <w:rFonts w:ascii="Arial" w:hAnsi="Arial" w:cs="Arial"/>
          <w:sz w:val="24"/>
        </w:rPr>
        <w:t xml:space="preserve"> the </w:t>
      </w:r>
      <w:r w:rsidRPr="00CF661F" w:rsidR="0092572A">
        <w:rPr>
          <w:rFonts w:ascii="Arial" w:hAnsi="Arial" w:cs="Arial"/>
          <w:sz w:val="24"/>
        </w:rPr>
        <w:t>P</w:t>
      </w:r>
      <w:r w:rsidRPr="00CF661F" w:rsidR="001E74C2">
        <w:rPr>
          <w:rFonts w:ascii="Arial" w:hAnsi="Arial" w:cs="Arial"/>
          <w:sz w:val="24"/>
        </w:rPr>
        <w:t xml:space="preserve">rogram </w:t>
      </w:r>
      <w:r w:rsidRPr="00CF661F" w:rsidR="0092572A">
        <w:rPr>
          <w:rFonts w:ascii="Arial" w:hAnsi="Arial" w:cs="Arial"/>
          <w:sz w:val="24"/>
        </w:rPr>
        <w:t>I</w:t>
      </w:r>
      <w:r w:rsidRPr="00CF661F" w:rsidR="001E74C2">
        <w:rPr>
          <w:rFonts w:ascii="Arial" w:hAnsi="Arial" w:cs="Arial"/>
          <w:sz w:val="24"/>
        </w:rPr>
        <w:t xml:space="preserve">mplementation </w:t>
      </w:r>
      <w:r w:rsidRPr="00CF661F" w:rsidR="0092572A">
        <w:rPr>
          <w:rFonts w:ascii="Arial" w:hAnsi="Arial" w:cs="Arial"/>
          <w:sz w:val="24"/>
        </w:rPr>
        <w:t>S</w:t>
      </w:r>
      <w:r w:rsidRPr="00CF661F" w:rsidR="001E74C2">
        <w:rPr>
          <w:rFonts w:ascii="Arial" w:hAnsi="Arial" w:cs="Arial"/>
          <w:sz w:val="24"/>
        </w:rPr>
        <w:t>urveys.</w:t>
      </w:r>
      <w:r w:rsidRPr="00CF661F" w:rsidR="001C597A">
        <w:rPr>
          <w:rFonts w:ascii="Arial" w:hAnsi="Arial" w:cs="Arial"/>
          <w:sz w:val="24"/>
        </w:rPr>
        <w:t xml:space="preserve"> The interview data will be analyzed to identify themes from the </w:t>
      </w:r>
      <w:r w:rsidRPr="00CF661F" w:rsidR="00665F01">
        <w:rPr>
          <w:rFonts w:ascii="Arial" w:hAnsi="Arial" w:cs="Arial"/>
          <w:sz w:val="24"/>
        </w:rPr>
        <w:t xml:space="preserve">responses of </w:t>
      </w:r>
      <w:r w:rsidRPr="00CF661F" w:rsidR="0004582E">
        <w:rPr>
          <w:rFonts w:ascii="Arial" w:hAnsi="Arial" w:cs="Arial"/>
          <w:sz w:val="24"/>
        </w:rPr>
        <w:t>p</w:t>
      </w:r>
      <w:r w:rsidRPr="00CF661F" w:rsidR="001C597A">
        <w:rPr>
          <w:rFonts w:ascii="Arial" w:hAnsi="Arial" w:cs="Arial"/>
          <w:sz w:val="24"/>
        </w:rPr>
        <w:t xml:space="preserve">roject </w:t>
      </w:r>
      <w:r w:rsidRPr="00CF661F" w:rsidR="0004582E">
        <w:rPr>
          <w:rFonts w:ascii="Arial" w:hAnsi="Arial" w:cs="Arial"/>
          <w:sz w:val="24"/>
        </w:rPr>
        <w:t>d</w:t>
      </w:r>
      <w:r w:rsidRPr="00CF661F" w:rsidR="001C597A">
        <w:rPr>
          <w:rFonts w:ascii="Arial" w:hAnsi="Arial" w:cs="Arial"/>
          <w:sz w:val="24"/>
        </w:rPr>
        <w:t>irector</w:t>
      </w:r>
      <w:r w:rsidRPr="00CF661F" w:rsidR="00665F01">
        <w:rPr>
          <w:rFonts w:ascii="Arial" w:hAnsi="Arial" w:cs="Arial"/>
          <w:sz w:val="24"/>
        </w:rPr>
        <w:t>s</w:t>
      </w:r>
      <w:r w:rsidRPr="00CF661F" w:rsidR="001C597A">
        <w:rPr>
          <w:rFonts w:ascii="Arial" w:hAnsi="Arial" w:cs="Arial"/>
          <w:sz w:val="24"/>
        </w:rPr>
        <w:t>/</w:t>
      </w:r>
      <w:r w:rsidRPr="00CF661F" w:rsidR="0004582E">
        <w:rPr>
          <w:rFonts w:ascii="Arial" w:hAnsi="Arial" w:cs="Arial"/>
          <w:sz w:val="24"/>
        </w:rPr>
        <w:t>p</w:t>
      </w:r>
      <w:r w:rsidRPr="00CF661F" w:rsidR="001C597A">
        <w:rPr>
          <w:rFonts w:ascii="Arial" w:hAnsi="Arial" w:cs="Arial"/>
          <w:sz w:val="24"/>
        </w:rPr>
        <w:t xml:space="preserve">rincipal </w:t>
      </w:r>
      <w:r w:rsidRPr="00CF661F" w:rsidR="0004582E">
        <w:rPr>
          <w:rFonts w:ascii="Arial" w:hAnsi="Arial" w:cs="Arial"/>
          <w:sz w:val="24"/>
        </w:rPr>
        <w:t>i</w:t>
      </w:r>
      <w:r w:rsidRPr="00CF661F" w:rsidR="001C597A">
        <w:rPr>
          <w:rFonts w:ascii="Arial" w:hAnsi="Arial" w:cs="Arial"/>
          <w:sz w:val="24"/>
        </w:rPr>
        <w:t>nvestigators about their program.</w:t>
      </w:r>
      <w:r w:rsidR="00721F5A">
        <w:rPr>
          <w:rFonts w:ascii="Arial" w:hAnsi="Arial" w:cs="Arial"/>
          <w:sz w:val="24"/>
        </w:rPr>
        <w:t xml:space="preserve"> </w:t>
      </w:r>
      <w:r w:rsidRPr="00CF661F" w:rsidR="001C597A">
        <w:rPr>
          <w:rFonts w:ascii="Arial" w:hAnsi="Arial" w:cs="Arial"/>
          <w:sz w:val="24"/>
        </w:rPr>
        <w:t>As the first step in the data</w:t>
      </w:r>
      <w:r w:rsidRPr="00CF661F" w:rsidR="00665F01">
        <w:rPr>
          <w:rFonts w:ascii="Arial" w:hAnsi="Arial" w:cs="Arial"/>
          <w:sz w:val="24"/>
        </w:rPr>
        <w:t>-</w:t>
      </w:r>
      <w:r w:rsidRPr="00CF661F" w:rsidR="001C597A">
        <w:rPr>
          <w:rFonts w:ascii="Arial" w:hAnsi="Arial" w:cs="Arial"/>
          <w:sz w:val="24"/>
        </w:rPr>
        <w:t>cleaning process, audiotapes of the interviews will be transcribed</w:t>
      </w:r>
      <w:r w:rsidR="00E6423D">
        <w:rPr>
          <w:rFonts w:ascii="Arial" w:hAnsi="Arial" w:cs="Arial"/>
          <w:sz w:val="24"/>
        </w:rPr>
        <w:t>,</w:t>
      </w:r>
      <w:r w:rsidR="00C44391">
        <w:rPr>
          <w:rFonts w:ascii="Arial" w:hAnsi="Arial" w:cs="Arial"/>
          <w:sz w:val="24"/>
        </w:rPr>
        <w:t xml:space="preserve"> </w:t>
      </w:r>
      <w:r w:rsidR="00E6423D">
        <w:rPr>
          <w:rFonts w:ascii="Arial" w:hAnsi="Arial" w:cs="Arial"/>
          <w:sz w:val="24"/>
        </w:rPr>
        <w:t>deidentified,</w:t>
      </w:r>
      <w:r w:rsidRPr="00CF661F" w:rsidR="001C597A">
        <w:rPr>
          <w:rFonts w:ascii="Arial" w:hAnsi="Arial" w:cs="Arial"/>
          <w:sz w:val="24"/>
        </w:rPr>
        <w:t xml:space="preserve"> and </w:t>
      </w:r>
      <w:r w:rsidR="00E6423D">
        <w:rPr>
          <w:rFonts w:ascii="Arial" w:hAnsi="Arial" w:cs="Arial"/>
          <w:sz w:val="24"/>
        </w:rPr>
        <w:t xml:space="preserve">cleared of </w:t>
      </w:r>
      <w:r w:rsidRPr="00CF661F" w:rsidR="001C597A">
        <w:rPr>
          <w:rFonts w:ascii="Arial" w:hAnsi="Arial" w:cs="Arial"/>
          <w:sz w:val="24"/>
        </w:rPr>
        <w:t xml:space="preserve">any transcription mistakes; these transcriptions will </w:t>
      </w:r>
      <w:r w:rsidRPr="00CF661F" w:rsidR="00463AE7">
        <w:rPr>
          <w:rFonts w:ascii="Arial" w:hAnsi="Arial" w:cs="Arial"/>
          <w:sz w:val="24"/>
        </w:rPr>
        <w:t xml:space="preserve">serve as </w:t>
      </w:r>
      <w:r w:rsidRPr="00CF661F" w:rsidR="001C597A">
        <w:rPr>
          <w:rFonts w:ascii="Arial" w:hAnsi="Arial" w:cs="Arial"/>
          <w:sz w:val="24"/>
        </w:rPr>
        <w:t>the qualitative data used for the study.</w:t>
      </w:r>
      <w:r w:rsidR="00721F5A">
        <w:rPr>
          <w:rFonts w:ascii="Arial" w:hAnsi="Arial" w:cs="Arial"/>
          <w:sz w:val="24"/>
        </w:rPr>
        <w:t xml:space="preserve"> </w:t>
      </w:r>
    </w:p>
    <w:p w:rsidR="00534521" w:rsidP="00EF0AC3" w:rsidRDefault="00534521" w14:paraId="2F071E58" w14:textId="3F29D2E3">
      <w:pPr>
        <w:widowControl/>
        <w:autoSpaceDE/>
        <w:autoSpaceDN/>
        <w:adjustRightInd/>
        <w:rPr>
          <w:rFonts w:ascii="Arial" w:hAnsi="Arial" w:cs="Arial"/>
          <w:sz w:val="24"/>
        </w:rPr>
      </w:pPr>
    </w:p>
    <w:p w:rsidRPr="00CF661F" w:rsidR="00ED4540" w:rsidP="00EF0AC3" w:rsidRDefault="001E74C2" w14:paraId="23DB998E" w14:textId="6FA89067">
      <w:pPr>
        <w:widowControl/>
        <w:autoSpaceDE/>
        <w:autoSpaceDN/>
        <w:adjustRightInd/>
        <w:rPr>
          <w:rFonts w:ascii="Arial" w:hAnsi="Arial" w:cs="Arial"/>
          <w:sz w:val="24"/>
        </w:rPr>
      </w:pPr>
      <w:r w:rsidRPr="00CF661F">
        <w:rPr>
          <w:rFonts w:ascii="Arial" w:hAnsi="Arial" w:cs="Arial"/>
          <w:sz w:val="24"/>
        </w:rPr>
        <w:t xml:space="preserve">To facilitate the systematic analysis of the interview data, a computer-assisted qualitative </w:t>
      </w:r>
      <w:r w:rsidRPr="00CF661F" w:rsidR="00EB20D7">
        <w:rPr>
          <w:rFonts w:ascii="Arial" w:hAnsi="Arial" w:cs="Arial"/>
          <w:sz w:val="24"/>
        </w:rPr>
        <w:t>and mixed</w:t>
      </w:r>
      <w:r w:rsidRPr="00CF661F" w:rsidR="0004582E">
        <w:rPr>
          <w:rFonts w:ascii="Arial" w:hAnsi="Arial" w:cs="Arial"/>
          <w:sz w:val="24"/>
        </w:rPr>
        <w:t>-</w:t>
      </w:r>
      <w:r w:rsidRPr="00CF661F" w:rsidR="00EB20D7">
        <w:rPr>
          <w:rFonts w:ascii="Arial" w:hAnsi="Arial" w:cs="Arial"/>
          <w:sz w:val="24"/>
        </w:rPr>
        <w:t xml:space="preserve">methods </w:t>
      </w:r>
      <w:r w:rsidRPr="00CF661F">
        <w:rPr>
          <w:rFonts w:ascii="Arial" w:hAnsi="Arial" w:cs="Arial"/>
          <w:sz w:val="24"/>
        </w:rPr>
        <w:t>data analysis software package</w:t>
      </w:r>
      <w:r w:rsidRPr="00CF661F" w:rsidR="00516698">
        <w:rPr>
          <w:rFonts w:ascii="Arial" w:hAnsi="Arial" w:cs="Arial"/>
          <w:sz w:val="24"/>
        </w:rPr>
        <w:t xml:space="preserve"> </w:t>
      </w:r>
      <w:r w:rsidRPr="00CF661F" w:rsidR="00FA679B">
        <w:rPr>
          <w:rFonts w:ascii="Arial" w:hAnsi="Arial" w:cs="Arial"/>
          <w:sz w:val="24"/>
        </w:rPr>
        <w:t xml:space="preserve">such as MAXQDA (Version 18.2.0) </w:t>
      </w:r>
      <w:r w:rsidRPr="00CF661F">
        <w:rPr>
          <w:rFonts w:ascii="Arial" w:hAnsi="Arial" w:cs="Arial"/>
          <w:sz w:val="24"/>
        </w:rPr>
        <w:t>will be u</w:t>
      </w:r>
      <w:r w:rsidRPr="00CF661F" w:rsidR="0004582E">
        <w:rPr>
          <w:rFonts w:ascii="Arial" w:hAnsi="Arial" w:cs="Arial"/>
          <w:sz w:val="24"/>
        </w:rPr>
        <w:t>s</w:t>
      </w:r>
      <w:r w:rsidRPr="00CF661F">
        <w:rPr>
          <w:rFonts w:ascii="Arial" w:hAnsi="Arial" w:cs="Arial"/>
          <w:sz w:val="24"/>
        </w:rPr>
        <w:t>ed.</w:t>
      </w:r>
      <w:r w:rsidR="00721F5A">
        <w:rPr>
          <w:rFonts w:ascii="Arial" w:hAnsi="Arial" w:cs="Arial"/>
          <w:sz w:val="24"/>
        </w:rPr>
        <w:t xml:space="preserve"> </w:t>
      </w:r>
      <w:r w:rsidRPr="00CF661F">
        <w:rPr>
          <w:rFonts w:ascii="Arial" w:hAnsi="Arial" w:cs="Arial"/>
          <w:sz w:val="24"/>
        </w:rPr>
        <w:t xml:space="preserve">Before the analyses begin, </w:t>
      </w:r>
      <w:r w:rsidRPr="00CF661F" w:rsidR="008158A9">
        <w:rPr>
          <w:rFonts w:ascii="Arial" w:hAnsi="Arial" w:cs="Arial"/>
          <w:sz w:val="24"/>
        </w:rPr>
        <w:t>HRSA MCHB</w:t>
      </w:r>
      <w:r w:rsidRPr="00CF661F">
        <w:rPr>
          <w:rFonts w:ascii="Arial" w:hAnsi="Arial" w:cs="Arial"/>
          <w:sz w:val="24"/>
        </w:rPr>
        <w:t xml:space="preserve"> </w:t>
      </w:r>
      <w:r w:rsidRPr="00CF661F" w:rsidR="0075267A">
        <w:rPr>
          <w:rFonts w:ascii="Arial" w:hAnsi="Arial" w:cs="Arial"/>
          <w:sz w:val="24"/>
        </w:rPr>
        <w:t>e</w:t>
      </w:r>
      <w:r w:rsidRPr="00CF661F">
        <w:rPr>
          <w:rFonts w:ascii="Arial" w:hAnsi="Arial" w:cs="Arial"/>
          <w:sz w:val="24"/>
        </w:rPr>
        <w:t xml:space="preserve">valuation </w:t>
      </w:r>
      <w:r w:rsidRPr="00CF661F" w:rsidR="008158A9">
        <w:rPr>
          <w:rFonts w:ascii="Arial" w:hAnsi="Arial" w:cs="Arial"/>
          <w:sz w:val="24"/>
        </w:rPr>
        <w:t>t</w:t>
      </w:r>
      <w:r w:rsidRPr="00CF661F">
        <w:rPr>
          <w:rFonts w:ascii="Arial" w:hAnsi="Arial" w:cs="Arial"/>
          <w:sz w:val="24"/>
        </w:rPr>
        <w:t>eam staff will part</w:t>
      </w:r>
      <w:r w:rsidRPr="00CF661F" w:rsidR="00665F01">
        <w:rPr>
          <w:rFonts w:ascii="Arial" w:hAnsi="Arial" w:cs="Arial"/>
          <w:sz w:val="24"/>
        </w:rPr>
        <w:t>icipate</w:t>
      </w:r>
      <w:r w:rsidRPr="00CF661F">
        <w:rPr>
          <w:rFonts w:ascii="Arial" w:hAnsi="Arial" w:cs="Arial"/>
          <w:sz w:val="24"/>
        </w:rPr>
        <w:t xml:space="preserve"> in a training workshop t</w:t>
      </w:r>
      <w:r w:rsidRPr="00CF661F" w:rsidR="00017C8E">
        <w:rPr>
          <w:rFonts w:ascii="Arial" w:hAnsi="Arial" w:cs="Arial"/>
          <w:sz w:val="24"/>
        </w:rPr>
        <w:t>hat specifies the qualitative analytic procedures and explains the importance of adherence to the procedures and examination of inter-rater reliability</w:t>
      </w:r>
      <w:r w:rsidRPr="00CF661F">
        <w:rPr>
          <w:rFonts w:ascii="Arial" w:hAnsi="Arial" w:cs="Arial"/>
          <w:sz w:val="24"/>
        </w:rPr>
        <w:t>.</w:t>
      </w:r>
      <w:r w:rsidR="00721F5A">
        <w:rPr>
          <w:rFonts w:ascii="Arial" w:hAnsi="Arial" w:cs="Arial"/>
          <w:sz w:val="24"/>
        </w:rPr>
        <w:t xml:space="preserve"> </w:t>
      </w:r>
      <w:r w:rsidRPr="00CF661F" w:rsidR="00BB1DB2">
        <w:rPr>
          <w:rFonts w:ascii="Arial" w:hAnsi="Arial" w:cs="Arial"/>
          <w:sz w:val="24"/>
        </w:rPr>
        <w:t xml:space="preserve">A codebook will be developed to guide the deductive coding process that contains the descriptive codes and their operational definitions based on the specific evaluation questions under investigation and on the topics covered in the </w:t>
      </w:r>
      <w:r w:rsidRPr="00CF661F" w:rsidR="00E02D11">
        <w:rPr>
          <w:rFonts w:ascii="Arial" w:hAnsi="Arial" w:cs="Arial"/>
          <w:sz w:val="24"/>
        </w:rPr>
        <w:t>SSI</w:t>
      </w:r>
      <w:r w:rsidRPr="00CF661F" w:rsidR="00BB1DB2">
        <w:rPr>
          <w:rFonts w:ascii="Arial" w:hAnsi="Arial" w:cs="Arial"/>
          <w:sz w:val="24"/>
        </w:rPr>
        <w:t xml:space="preserve"> guides.</w:t>
      </w:r>
      <w:r w:rsidR="00721F5A">
        <w:rPr>
          <w:rFonts w:ascii="Arial" w:hAnsi="Arial" w:cs="Arial"/>
          <w:sz w:val="24"/>
        </w:rPr>
        <w:t xml:space="preserve"> </w:t>
      </w:r>
      <w:r w:rsidRPr="00CF661F" w:rsidR="00BB1DB2">
        <w:rPr>
          <w:rFonts w:ascii="Arial" w:hAnsi="Arial" w:cs="Arial"/>
          <w:sz w:val="24"/>
        </w:rPr>
        <w:t xml:space="preserve">The purpose of deductive coding will be to apply the descriptive codes in the codebook to the </w:t>
      </w:r>
      <w:r w:rsidRPr="00CF661F" w:rsidR="00E02D11">
        <w:rPr>
          <w:rFonts w:ascii="Arial" w:hAnsi="Arial" w:cs="Arial"/>
          <w:sz w:val="24"/>
        </w:rPr>
        <w:t>SSI</w:t>
      </w:r>
      <w:r w:rsidRPr="00CF661F" w:rsidR="00BB1DB2">
        <w:rPr>
          <w:rFonts w:ascii="Arial" w:hAnsi="Arial" w:cs="Arial"/>
          <w:sz w:val="24"/>
        </w:rPr>
        <w:t xml:space="preserve"> transcripts.</w:t>
      </w:r>
      <w:r w:rsidR="00721F5A">
        <w:rPr>
          <w:rFonts w:ascii="Arial" w:hAnsi="Arial" w:cs="Arial"/>
          <w:sz w:val="24"/>
        </w:rPr>
        <w:t xml:space="preserve"> </w:t>
      </w:r>
      <w:r w:rsidRPr="00CF661F" w:rsidR="00BB1DB2">
        <w:rPr>
          <w:rFonts w:ascii="Arial" w:hAnsi="Arial" w:cs="Arial"/>
          <w:sz w:val="24"/>
        </w:rPr>
        <w:t>The text passages to which these descriptive codes are applied will then be used in the inductive qualitative analysis.</w:t>
      </w:r>
      <w:r w:rsidR="00721F5A">
        <w:rPr>
          <w:rFonts w:ascii="Arial" w:hAnsi="Arial" w:cs="Arial"/>
          <w:sz w:val="24"/>
        </w:rPr>
        <w:t xml:space="preserve"> </w:t>
      </w:r>
      <w:r w:rsidRPr="00CF661F" w:rsidR="00ED7E28">
        <w:rPr>
          <w:rFonts w:ascii="Arial" w:hAnsi="Arial" w:cs="Arial"/>
          <w:sz w:val="24"/>
        </w:rPr>
        <w:t>The initial step in the</w:t>
      </w:r>
      <w:r w:rsidRPr="00CF661F" w:rsidR="00D7363D">
        <w:rPr>
          <w:rFonts w:ascii="Arial" w:hAnsi="Arial" w:cs="Arial"/>
          <w:sz w:val="24"/>
        </w:rPr>
        <w:t xml:space="preserve"> </w:t>
      </w:r>
      <w:r w:rsidRPr="00CF661F" w:rsidR="00BB1DB2">
        <w:rPr>
          <w:rFonts w:ascii="Arial" w:hAnsi="Arial" w:cs="Arial"/>
          <w:sz w:val="24"/>
        </w:rPr>
        <w:t xml:space="preserve">inductive </w:t>
      </w:r>
      <w:r w:rsidRPr="00CF661F" w:rsidR="00ED7E28">
        <w:rPr>
          <w:rFonts w:ascii="Arial" w:hAnsi="Arial" w:cs="Arial"/>
          <w:sz w:val="24"/>
        </w:rPr>
        <w:t>analysis process will be reading the raw data (i.e., cleaned and coded interview transcripts) to discover underlying raw data themes. The raw data themes will then be grouped into lower order themes based on common topics.</w:t>
      </w:r>
      <w:r w:rsidR="00721F5A">
        <w:rPr>
          <w:rFonts w:ascii="Arial" w:hAnsi="Arial" w:cs="Arial"/>
          <w:sz w:val="24"/>
        </w:rPr>
        <w:t xml:space="preserve"> </w:t>
      </w:r>
      <w:r w:rsidRPr="00CF661F" w:rsidR="00ED7E28">
        <w:rPr>
          <w:rFonts w:ascii="Arial" w:hAnsi="Arial" w:cs="Arial"/>
          <w:sz w:val="24"/>
        </w:rPr>
        <w:t>Next, following the same coding procedures for grouping raw data themes, lower order themes will be grouped into higher order themes.</w:t>
      </w:r>
      <w:r w:rsidR="00721F5A">
        <w:rPr>
          <w:rFonts w:ascii="Arial" w:hAnsi="Arial" w:cs="Arial"/>
          <w:sz w:val="24"/>
        </w:rPr>
        <w:t xml:space="preserve"> </w:t>
      </w:r>
      <w:r w:rsidRPr="00CF661F" w:rsidR="00ED7E28">
        <w:rPr>
          <w:rFonts w:ascii="Arial" w:hAnsi="Arial" w:cs="Arial"/>
          <w:sz w:val="24"/>
        </w:rPr>
        <w:t>Finally, higher order themes will be grouped into major categories.</w:t>
      </w:r>
      <w:r w:rsidR="00721F5A">
        <w:rPr>
          <w:rFonts w:ascii="Arial" w:hAnsi="Arial" w:cs="Arial"/>
          <w:sz w:val="24"/>
        </w:rPr>
        <w:t xml:space="preserve"> </w:t>
      </w:r>
      <w:r w:rsidRPr="00CF661F" w:rsidR="00ED7E28">
        <w:rPr>
          <w:rFonts w:ascii="Arial" w:hAnsi="Arial" w:cs="Arial"/>
          <w:sz w:val="24"/>
        </w:rPr>
        <w:t xml:space="preserve">Consensus among </w:t>
      </w:r>
      <w:r w:rsidRPr="00CF661F" w:rsidR="00544F66">
        <w:rPr>
          <w:rFonts w:ascii="Arial" w:hAnsi="Arial" w:cs="Arial"/>
          <w:sz w:val="24"/>
        </w:rPr>
        <w:t>HRSA MCHB</w:t>
      </w:r>
      <w:r w:rsidRPr="00CF661F" w:rsidR="00ED7E28">
        <w:rPr>
          <w:rFonts w:ascii="Arial" w:hAnsi="Arial" w:cs="Arial"/>
          <w:sz w:val="24"/>
        </w:rPr>
        <w:t xml:space="preserve"> </w:t>
      </w:r>
      <w:r w:rsidRPr="00CF661F" w:rsidR="0075267A">
        <w:rPr>
          <w:rFonts w:ascii="Arial" w:hAnsi="Arial" w:cs="Arial"/>
          <w:sz w:val="24"/>
        </w:rPr>
        <w:t>e</w:t>
      </w:r>
      <w:r w:rsidRPr="00CF661F" w:rsidR="00ED7E28">
        <w:rPr>
          <w:rFonts w:ascii="Arial" w:hAnsi="Arial" w:cs="Arial"/>
          <w:sz w:val="24"/>
        </w:rPr>
        <w:t xml:space="preserve">valuation </w:t>
      </w:r>
      <w:r w:rsidRPr="00CF661F" w:rsidR="00544F66">
        <w:rPr>
          <w:rFonts w:ascii="Arial" w:hAnsi="Arial" w:cs="Arial"/>
          <w:sz w:val="24"/>
        </w:rPr>
        <w:t>t</w:t>
      </w:r>
      <w:r w:rsidRPr="00CF661F" w:rsidR="00ED7E28">
        <w:rPr>
          <w:rFonts w:ascii="Arial" w:hAnsi="Arial" w:cs="Arial"/>
          <w:sz w:val="24"/>
        </w:rPr>
        <w:t>eam members conducting the analyses will be reached at each step of the analytical process (i.e., raw data themes, lower order themes, higher order themes, and major categories) before proceeding to the next step to achieve inter-coder reliability. This process ensures a consistent understanding and interpretation of the data.</w:t>
      </w:r>
    </w:p>
    <w:p w:rsidRPr="00CF661F" w:rsidR="00A75EC8" w:rsidP="00A75EC8" w:rsidRDefault="00985C9A" w14:paraId="367DA2B3" w14:textId="2C1178D4">
      <w:pPr>
        <w:spacing w:before="120"/>
        <w:rPr>
          <w:rFonts w:ascii="Arial" w:hAnsi="Arial" w:cs="Arial"/>
          <w:sz w:val="24"/>
        </w:rPr>
      </w:pPr>
      <w:r w:rsidRPr="00CF661F">
        <w:rPr>
          <w:rFonts w:ascii="Arial" w:hAnsi="Arial" w:cs="Arial"/>
          <w:b/>
          <w:bCs/>
          <w:sz w:val="24"/>
        </w:rPr>
        <w:lastRenderedPageBreak/>
        <w:t>Publication Plan.</w:t>
      </w:r>
      <w:r w:rsidR="00721F5A">
        <w:rPr>
          <w:rFonts w:ascii="Arial" w:hAnsi="Arial" w:cs="Arial"/>
          <w:sz w:val="24"/>
        </w:rPr>
        <w:t xml:space="preserve"> </w:t>
      </w:r>
      <w:r w:rsidRPr="00CF661F" w:rsidR="00A75EC8">
        <w:rPr>
          <w:rFonts w:ascii="Arial" w:hAnsi="Arial" w:cs="Arial"/>
          <w:sz w:val="24"/>
        </w:rPr>
        <w:t>As stated in Section A.2, the goal of the evaluation of MCHB PMH</w:t>
      </w:r>
      <w:r w:rsidRPr="00CF661F" w:rsidR="00225DAD">
        <w:rPr>
          <w:rFonts w:ascii="Arial" w:hAnsi="Arial" w:cs="Arial"/>
          <w:sz w:val="24"/>
        </w:rPr>
        <w:t>C</w:t>
      </w:r>
      <w:r w:rsidRPr="00CF661F" w:rsidR="00A75EC8">
        <w:rPr>
          <w:rFonts w:ascii="Arial" w:hAnsi="Arial" w:cs="Arial"/>
          <w:sz w:val="24"/>
        </w:rPr>
        <w:t>A and MDRBD programs is to provide HRSA with information to guide future policy decisions regarding increasing health care providers’ capacity to address patients’ behavioral health and access to behavioral health services.</w:t>
      </w:r>
      <w:r w:rsidR="00721F5A">
        <w:rPr>
          <w:rFonts w:ascii="Arial" w:hAnsi="Arial" w:cs="Arial"/>
          <w:sz w:val="24"/>
        </w:rPr>
        <w:t xml:space="preserve"> </w:t>
      </w:r>
      <w:r w:rsidRPr="00CF661F" w:rsidR="00A75EC8">
        <w:rPr>
          <w:rFonts w:ascii="Arial" w:hAnsi="Arial" w:cs="Arial"/>
          <w:sz w:val="24"/>
        </w:rPr>
        <w:t>It is therefore important to prepare and disseminate information that clearly and concisely presents evaluation results so that they can be appreciated by both technical and nontechnical audiences.</w:t>
      </w:r>
      <w:r w:rsidR="00721F5A">
        <w:rPr>
          <w:rFonts w:ascii="Arial" w:hAnsi="Arial" w:cs="Arial"/>
          <w:sz w:val="24"/>
        </w:rPr>
        <w:t xml:space="preserve"> </w:t>
      </w:r>
      <w:r w:rsidRPr="00CF661F" w:rsidR="00A75EC8">
        <w:rPr>
          <w:rFonts w:ascii="Arial" w:hAnsi="Arial" w:cs="Arial"/>
          <w:sz w:val="24"/>
        </w:rPr>
        <w:t>Publication activities will include:</w:t>
      </w:r>
    </w:p>
    <w:p w:rsidRPr="00CF661F" w:rsidR="00A75EC8" w:rsidP="00B354FC" w:rsidRDefault="00A75EC8" w14:paraId="3239C2E7" w14:textId="6FBB197D">
      <w:pPr>
        <w:pStyle w:val="ListParagraph"/>
        <w:numPr>
          <w:ilvl w:val="0"/>
          <w:numId w:val="8"/>
        </w:numPr>
        <w:spacing w:before="120"/>
        <w:rPr>
          <w:rFonts w:ascii="Arial" w:hAnsi="Arial" w:cs="Arial"/>
          <w:sz w:val="24"/>
        </w:rPr>
      </w:pPr>
      <w:r w:rsidRPr="00CF661F">
        <w:rPr>
          <w:rFonts w:ascii="Arial" w:hAnsi="Arial" w:cs="Arial"/>
          <w:sz w:val="24"/>
        </w:rPr>
        <w:t>Preparing and submitting to HRSA annual interim evaluation reports and a final evaluation report</w:t>
      </w:r>
      <w:r w:rsidRPr="00CF661F" w:rsidR="00EC15ED">
        <w:rPr>
          <w:rFonts w:ascii="Arial" w:hAnsi="Arial" w:cs="Arial"/>
          <w:sz w:val="24"/>
        </w:rPr>
        <w:t>.</w:t>
      </w:r>
    </w:p>
    <w:p w:rsidRPr="00CF661F" w:rsidR="00407FCB" w:rsidP="00B354FC" w:rsidRDefault="00407FCB" w14:paraId="6A33A869" w14:textId="77CDD5EE">
      <w:pPr>
        <w:pStyle w:val="ListParagraph"/>
        <w:numPr>
          <w:ilvl w:val="0"/>
          <w:numId w:val="8"/>
        </w:numPr>
        <w:spacing w:before="120"/>
        <w:rPr>
          <w:rFonts w:ascii="Arial" w:hAnsi="Arial" w:cs="Arial"/>
          <w:sz w:val="24"/>
        </w:rPr>
      </w:pPr>
      <w:r w:rsidRPr="00CF661F">
        <w:rPr>
          <w:rFonts w:ascii="Arial" w:hAnsi="Arial" w:cs="Arial"/>
          <w:sz w:val="24"/>
        </w:rPr>
        <w:t xml:space="preserve">Preparing and submitting to HRSA a series of </w:t>
      </w:r>
      <w:r w:rsidRPr="00CF661F" w:rsidR="00B354FC">
        <w:rPr>
          <w:rFonts w:ascii="Arial" w:hAnsi="Arial" w:cs="Arial"/>
          <w:sz w:val="24"/>
        </w:rPr>
        <w:t xml:space="preserve">17 </w:t>
      </w:r>
      <w:r w:rsidRPr="00CF661F">
        <w:rPr>
          <w:rFonts w:ascii="Arial" w:hAnsi="Arial" w:cs="Arial"/>
          <w:sz w:val="24"/>
        </w:rPr>
        <w:t>infographics</w:t>
      </w:r>
      <w:r w:rsidRPr="00CF661F" w:rsidR="00B354FC">
        <w:rPr>
          <w:rFonts w:ascii="Arial" w:hAnsi="Arial" w:cs="Arial"/>
          <w:sz w:val="24"/>
        </w:rPr>
        <w:t xml:space="preserve"> incorporating evaluation data</w:t>
      </w:r>
      <w:r w:rsidRPr="00CF661F" w:rsidR="00EC15ED">
        <w:rPr>
          <w:rFonts w:ascii="Arial" w:hAnsi="Arial" w:cs="Arial"/>
          <w:sz w:val="24"/>
        </w:rPr>
        <w:t>.</w:t>
      </w:r>
    </w:p>
    <w:p w:rsidRPr="00CF661F" w:rsidR="009B3794" w:rsidP="00BD7513" w:rsidRDefault="00721F5A" w14:paraId="5B9727AB" w14:textId="1EC7BC85">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 xml:space="preserve">Reason Display of OMB Expiration Date </w:t>
      </w:r>
      <w:r w:rsidRPr="00CF661F" w:rsidR="00EC15ED">
        <w:rPr>
          <w:rFonts w:ascii="Arial" w:hAnsi="Arial" w:cs="Arial"/>
          <w:b/>
          <w:sz w:val="24"/>
          <w:u w:val="single"/>
        </w:rPr>
        <w:t>I</w:t>
      </w:r>
      <w:r w:rsidRPr="00CF661F" w:rsidR="009B3794">
        <w:rPr>
          <w:rFonts w:ascii="Arial" w:hAnsi="Arial" w:cs="Arial"/>
          <w:b/>
          <w:sz w:val="24"/>
          <w:u w:val="single"/>
        </w:rPr>
        <w:t>s Inappropriate</w:t>
      </w:r>
    </w:p>
    <w:p w:rsidRPr="00CF661F" w:rsidR="006D5919" w:rsidP="000E2B45" w:rsidRDefault="006D5919" w14:paraId="25322B6E" w14:textId="3E93BB68">
      <w:pPr>
        <w:pStyle w:val="BodyTextIndent"/>
        <w:spacing w:before="120"/>
        <w:ind w:left="90"/>
        <w:rPr>
          <w:rFonts w:ascii="Arial" w:hAnsi="Arial" w:cs="Arial"/>
          <w:bCs/>
        </w:rPr>
      </w:pPr>
      <w:r w:rsidRPr="00CF661F">
        <w:rPr>
          <w:rFonts w:ascii="Arial" w:hAnsi="Arial" w:cs="Arial"/>
          <w:bCs/>
        </w:rPr>
        <w:t>The OMB number and Expiration date will be displayed on every page of every form/instrument.</w:t>
      </w:r>
    </w:p>
    <w:p w:rsidRPr="00CF661F" w:rsidR="009B3794" w:rsidP="00BD7513" w:rsidRDefault="00721F5A" w14:paraId="5B9727AD" w14:textId="364D4B18">
      <w:pPr>
        <w:numPr>
          <w:ilvl w:val="0"/>
          <w:numId w:val="12"/>
        </w:numPr>
        <w:spacing w:before="240"/>
        <w:ind w:left="360"/>
        <w:rPr>
          <w:rFonts w:ascii="Arial" w:hAnsi="Arial" w:cs="Arial"/>
          <w:b/>
          <w:sz w:val="24"/>
        </w:rPr>
      </w:pPr>
      <w:r>
        <w:rPr>
          <w:rFonts w:ascii="Arial" w:hAnsi="Arial" w:cs="Arial"/>
          <w:b/>
          <w:sz w:val="24"/>
        </w:rPr>
        <w:t xml:space="preserve"> </w:t>
      </w:r>
      <w:r w:rsidRPr="00CF661F" w:rsidR="009B3794">
        <w:rPr>
          <w:rFonts w:ascii="Arial" w:hAnsi="Arial" w:cs="Arial"/>
          <w:b/>
          <w:sz w:val="24"/>
          <w:u w:val="single"/>
        </w:rPr>
        <w:t>Exceptions to Certification for Paperwork Reduction Act Submissions</w:t>
      </w:r>
    </w:p>
    <w:p w:rsidR="004B58D1" w:rsidP="004728AD" w:rsidRDefault="006D5919" w14:paraId="38DD3A38" w14:textId="77777777">
      <w:pPr>
        <w:pStyle w:val="BodyTextIndent"/>
        <w:spacing w:before="120"/>
        <w:ind w:left="360" w:hanging="360"/>
        <w:rPr>
          <w:rFonts w:ascii="Arial" w:hAnsi="Arial" w:cs="Arial"/>
          <w:bCs/>
        </w:rPr>
      </w:pPr>
      <w:r w:rsidRPr="00CF661F">
        <w:rPr>
          <w:rFonts w:ascii="Arial" w:hAnsi="Arial" w:cs="Arial"/>
          <w:bCs/>
        </w:rPr>
        <w:t>There are no exceptions to the certification.</w:t>
      </w:r>
    </w:p>
    <w:p w:rsidR="004B58D1" w:rsidP="00EA23E8" w:rsidRDefault="004B58D1" w14:paraId="7F697513" w14:textId="77777777">
      <w:pPr>
        <w:pStyle w:val="BodyTextIndent"/>
        <w:spacing w:before="120"/>
        <w:ind w:left="0"/>
        <w:rPr>
          <w:rFonts w:ascii="Arial" w:hAnsi="Arial" w:cs="Arial"/>
          <w:b/>
          <w:bCs/>
        </w:rPr>
      </w:pPr>
    </w:p>
    <w:p w:rsidRPr="00CF661F" w:rsidR="00EA23E8" w:rsidP="00EA23E8" w:rsidRDefault="00EA23E8" w14:paraId="04AA5917" w14:textId="0BDB8427">
      <w:pPr>
        <w:pStyle w:val="BodyTextIndent"/>
        <w:spacing w:before="120"/>
        <w:ind w:left="0"/>
        <w:rPr>
          <w:rFonts w:ascii="Arial" w:hAnsi="Arial" w:cs="Arial"/>
          <w:b/>
          <w:bCs/>
        </w:rPr>
      </w:pPr>
      <w:r w:rsidRPr="00CF661F">
        <w:rPr>
          <w:rFonts w:ascii="Arial" w:hAnsi="Arial" w:cs="Arial"/>
          <w:b/>
          <w:bCs/>
        </w:rPr>
        <w:t>Reference</w:t>
      </w:r>
    </w:p>
    <w:p w:rsidRPr="00C45431" w:rsidR="00EA23E8" w:rsidP="000E2B45" w:rsidRDefault="00EA23E8" w14:paraId="2BAEFB27" w14:textId="0AA11F89">
      <w:pPr>
        <w:pStyle w:val="BodyTextIndent"/>
        <w:spacing w:before="120"/>
        <w:ind w:left="0"/>
        <w:rPr>
          <w:rFonts w:ascii="Arial" w:hAnsi="Arial" w:cs="Arial"/>
        </w:rPr>
      </w:pPr>
      <w:r w:rsidRPr="00CF661F">
        <w:rPr>
          <w:rFonts w:ascii="Arial" w:hAnsi="Arial" w:cs="Arial"/>
        </w:rPr>
        <w:t xml:space="preserve">U.S. Department of Health and Human Services. (2017). </w:t>
      </w:r>
      <w:r w:rsidRPr="00CF661F">
        <w:rPr>
          <w:rFonts w:ascii="Arial" w:hAnsi="Arial" w:cs="Arial"/>
          <w:i/>
          <w:iCs/>
        </w:rPr>
        <w:t>Sex, race, and ethnic diversity of U.S. health occupations (2011‒2015).</w:t>
      </w:r>
      <w:r w:rsidRPr="00CF661F">
        <w:rPr>
          <w:rFonts w:ascii="Arial" w:hAnsi="Arial" w:cs="Arial"/>
        </w:rPr>
        <w:t xml:space="preserve"> Rockville, MD: Health Resources and Services Administration, National Center for Health Workforce Analysis. Retrieved from </w:t>
      </w:r>
      <w:hyperlink w:history="1" r:id="rId11">
        <w:r w:rsidRPr="00CF661F">
          <w:rPr>
            <w:rStyle w:val="Hyperlink"/>
            <w:rFonts w:ascii="Arial" w:hAnsi="Arial" w:cs="Arial"/>
          </w:rPr>
          <w:t>https://bhw.hrsa.gov/sites/default/files/bhw/nchwa/diversityushealthoccupations.pdf</w:t>
        </w:r>
      </w:hyperlink>
      <w:r>
        <w:rPr>
          <w:rFonts w:ascii="Arial" w:hAnsi="Arial" w:cs="Arial"/>
        </w:rPr>
        <w:t xml:space="preserve"> </w:t>
      </w:r>
    </w:p>
    <w:sectPr w:rsidRPr="00C45431" w:rsidR="00EA23E8" w:rsidSect="00BE0A27">
      <w:footerReference w:type="default" r:id="rId12"/>
      <w:endnotePr>
        <w:numFmt w:val="decimal"/>
      </w:endnotePr>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46C0FB" w16cid:durableId="224AAFF9"/>
  <w16cid:commentId w16cid:paraId="616686AC" w16cid:durableId="224D3308"/>
  <w16cid:commentId w16cid:paraId="41C606FA" w16cid:durableId="224AAFFA"/>
  <w16cid:commentId w16cid:paraId="73CF2780" w16cid:durableId="224D33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75724" w14:textId="77777777" w:rsidR="0064447C" w:rsidRDefault="0064447C">
      <w:r>
        <w:separator/>
      </w:r>
    </w:p>
  </w:endnote>
  <w:endnote w:type="continuationSeparator" w:id="0">
    <w:p w14:paraId="217CCD6F" w14:textId="77777777" w:rsidR="0064447C" w:rsidRDefault="0064447C">
      <w:r>
        <w:continuationSeparator/>
      </w:r>
    </w:p>
  </w:endnote>
  <w:endnote w:type="continuationNotice" w:id="1">
    <w:p w14:paraId="3536CD10" w14:textId="77777777" w:rsidR="0064447C" w:rsidRDefault="0064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27B3" w14:textId="77777777" w:rsidR="00721F5A" w:rsidRDefault="00721F5A">
    <w:pPr>
      <w:spacing w:line="240" w:lineRule="exact"/>
    </w:pPr>
  </w:p>
  <w:p w14:paraId="5B9727B4" w14:textId="5A8BC529" w:rsidR="00721F5A" w:rsidRPr="00D321F2" w:rsidRDefault="00721F5A">
    <w:pPr>
      <w:framePr w:w="9361" w:wrap="notBeside" w:vAnchor="text" w:hAnchor="text" w:x="1" w:y="1"/>
      <w:jc w:val="center"/>
      <w:rPr>
        <w:rFonts w:ascii="Arial" w:hAnsi="Arial" w:cs="Arial"/>
        <w:sz w:val="24"/>
      </w:rPr>
    </w:pPr>
    <w:r w:rsidRPr="00D321F2">
      <w:rPr>
        <w:rFonts w:ascii="Arial" w:hAnsi="Arial" w:cs="Arial"/>
        <w:sz w:val="24"/>
      </w:rPr>
      <w:fldChar w:fldCharType="begin"/>
    </w:r>
    <w:r w:rsidRPr="00D321F2">
      <w:rPr>
        <w:rFonts w:ascii="Arial" w:hAnsi="Arial" w:cs="Arial"/>
        <w:sz w:val="24"/>
      </w:rPr>
      <w:instrText xml:space="preserve">PAGE </w:instrText>
    </w:r>
    <w:r w:rsidRPr="00D321F2">
      <w:rPr>
        <w:rFonts w:ascii="Arial" w:hAnsi="Arial" w:cs="Arial"/>
        <w:sz w:val="24"/>
      </w:rPr>
      <w:fldChar w:fldCharType="separate"/>
    </w:r>
    <w:r w:rsidR="00EE0360">
      <w:rPr>
        <w:rFonts w:ascii="Arial" w:hAnsi="Arial" w:cs="Arial"/>
        <w:noProof/>
        <w:sz w:val="24"/>
      </w:rPr>
      <w:t>15</w:t>
    </w:r>
    <w:r w:rsidRPr="00D321F2">
      <w:rPr>
        <w:rFonts w:ascii="Arial" w:hAnsi="Arial" w:cs="Arial"/>
        <w:sz w:val="24"/>
      </w:rPr>
      <w:fldChar w:fldCharType="end"/>
    </w:r>
  </w:p>
  <w:p w14:paraId="5B9727B5" w14:textId="77777777" w:rsidR="00721F5A" w:rsidRDefault="00721F5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3D470" w14:textId="77777777" w:rsidR="0064447C" w:rsidRDefault="0064447C">
      <w:r>
        <w:separator/>
      </w:r>
    </w:p>
  </w:footnote>
  <w:footnote w:type="continuationSeparator" w:id="0">
    <w:p w14:paraId="37631DC0" w14:textId="77777777" w:rsidR="0064447C" w:rsidRDefault="0064447C">
      <w:r>
        <w:continuationSeparator/>
      </w:r>
    </w:p>
  </w:footnote>
  <w:footnote w:type="continuationNotice" w:id="1">
    <w:p w14:paraId="70063DD5" w14:textId="77777777" w:rsidR="0064447C" w:rsidRDefault="006444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3EB"/>
    <w:multiLevelType w:val="hybridMultilevel"/>
    <w:tmpl w:val="F8F0D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C2651A"/>
    <w:multiLevelType w:val="hybridMultilevel"/>
    <w:tmpl w:val="512200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FD2080"/>
    <w:multiLevelType w:val="hybridMultilevel"/>
    <w:tmpl w:val="5B0EAA2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F11A1"/>
    <w:multiLevelType w:val="hybridMultilevel"/>
    <w:tmpl w:val="177679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221B"/>
    <w:multiLevelType w:val="hybridMultilevel"/>
    <w:tmpl w:val="4774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3D23467"/>
    <w:multiLevelType w:val="hybridMultilevel"/>
    <w:tmpl w:val="2F16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43E55"/>
    <w:multiLevelType w:val="hybridMultilevel"/>
    <w:tmpl w:val="2648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50860"/>
    <w:multiLevelType w:val="hybridMultilevel"/>
    <w:tmpl w:val="0C10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87481"/>
    <w:multiLevelType w:val="hybridMultilevel"/>
    <w:tmpl w:val="881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A5B"/>
    <w:multiLevelType w:val="hybridMultilevel"/>
    <w:tmpl w:val="40A2E2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2693D86"/>
    <w:multiLevelType w:val="hybridMultilevel"/>
    <w:tmpl w:val="6E1E16FC"/>
    <w:lvl w:ilvl="0" w:tplc="D4D6B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4"/>
  </w:num>
  <w:num w:numId="3">
    <w:abstractNumId w:val="7"/>
  </w:num>
  <w:num w:numId="4">
    <w:abstractNumId w:val="15"/>
  </w:num>
  <w:num w:numId="5">
    <w:abstractNumId w:val="5"/>
  </w:num>
  <w:num w:numId="6">
    <w:abstractNumId w:val="8"/>
  </w:num>
  <w:num w:numId="7">
    <w:abstractNumId w:val="14"/>
  </w:num>
  <w:num w:numId="8">
    <w:abstractNumId w:val="10"/>
  </w:num>
  <w:num w:numId="9">
    <w:abstractNumId w:val="9"/>
  </w:num>
  <w:num w:numId="10">
    <w:abstractNumId w:val="13"/>
  </w:num>
  <w:num w:numId="11">
    <w:abstractNumId w:val="6"/>
  </w:num>
  <w:num w:numId="12">
    <w:abstractNumId w:val="2"/>
  </w:num>
  <w:num w:numId="13">
    <w:abstractNumId w:val="0"/>
  </w:num>
  <w:num w:numId="14">
    <w:abstractNumId w:val="1"/>
  </w:num>
  <w:num w:numId="15">
    <w:abstractNumId w:val="3"/>
  </w:num>
  <w:num w:numId="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2554"/>
    <w:rsid w:val="00002876"/>
    <w:rsid w:val="000052AA"/>
    <w:rsid w:val="0001192E"/>
    <w:rsid w:val="00015505"/>
    <w:rsid w:val="00015A5C"/>
    <w:rsid w:val="00017C8E"/>
    <w:rsid w:val="00022CB8"/>
    <w:rsid w:val="00023D46"/>
    <w:rsid w:val="00037551"/>
    <w:rsid w:val="00041C15"/>
    <w:rsid w:val="0004582E"/>
    <w:rsid w:val="00046EAA"/>
    <w:rsid w:val="00050143"/>
    <w:rsid w:val="00050718"/>
    <w:rsid w:val="0006076A"/>
    <w:rsid w:val="0006086E"/>
    <w:rsid w:val="00065133"/>
    <w:rsid w:val="0008762F"/>
    <w:rsid w:val="00087950"/>
    <w:rsid w:val="00091C46"/>
    <w:rsid w:val="000B2A3B"/>
    <w:rsid w:val="000B2B78"/>
    <w:rsid w:val="000C08E2"/>
    <w:rsid w:val="000C0D46"/>
    <w:rsid w:val="000C1491"/>
    <w:rsid w:val="000C4A9B"/>
    <w:rsid w:val="000C7D82"/>
    <w:rsid w:val="000D0D88"/>
    <w:rsid w:val="000D4D27"/>
    <w:rsid w:val="000E2B45"/>
    <w:rsid w:val="000E3F65"/>
    <w:rsid w:val="000E4426"/>
    <w:rsid w:val="000E643A"/>
    <w:rsid w:val="000F147F"/>
    <w:rsid w:val="000F506D"/>
    <w:rsid w:val="0010107C"/>
    <w:rsid w:val="00102956"/>
    <w:rsid w:val="0010518A"/>
    <w:rsid w:val="00120B62"/>
    <w:rsid w:val="00123F61"/>
    <w:rsid w:val="001325B2"/>
    <w:rsid w:val="00156ED2"/>
    <w:rsid w:val="001709BF"/>
    <w:rsid w:val="00180138"/>
    <w:rsid w:val="001920C3"/>
    <w:rsid w:val="00194C13"/>
    <w:rsid w:val="00195764"/>
    <w:rsid w:val="00197949"/>
    <w:rsid w:val="001A2B69"/>
    <w:rsid w:val="001B3544"/>
    <w:rsid w:val="001B6338"/>
    <w:rsid w:val="001B70B6"/>
    <w:rsid w:val="001C597A"/>
    <w:rsid w:val="001D0DC9"/>
    <w:rsid w:val="001D3A6B"/>
    <w:rsid w:val="001D3EDB"/>
    <w:rsid w:val="001D4856"/>
    <w:rsid w:val="001D5F82"/>
    <w:rsid w:val="001E4B62"/>
    <w:rsid w:val="001E74C2"/>
    <w:rsid w:val="001F195F"/>
    <w:rsid w:val="001F1B5E"/>
    <w:rsid w:val="001F39F6"/>
    <w:rsid w:val="001F6590"/>
    <w:rsid w:val="00204CB9"/>
    <w:rsid w:val="002054FB"/>
    <w:rsid w:val="002058D7"/>
    <w:rsid w:val="002077B1"/>
    <w:rsid w:val="002118B4"/>
    <w:rsid w:val="00212A6F"/>
    <w:rsid w:val="00213EC4"/>
    <w:rsid w:val="002156DB"/>
    <w:rsid w:val="00215AC6"/>
    <w:rsid w:val="00221342"/>
    <w:rsid w:val="00225DAD"/>
    <w:rsid w:val="0023284D"/>
    <w:rsid w:val="00234C53"/>
    <w:rsid w:val="00235444"/>
    <w:rsid w:val="00241C21"/>
    <w:rsid w:val="00250145"/>
    <w:rsid w:val="0025364B"/>
    <w:rsid w:val="00255F07"/>
    <w:rsid w:val="00256895"/>
    <w:rsid w:val="002640E7"/>
    <w:rsid w:val="00264BAE"/>
    <w:rsid w:val="002B7A81"/>
    <w:rsid w:val="002D306C"/>
    <w:rsid w:val="002D3A55"/>
    <w:rsid w:val="002D70F9"/>
    <w:rsid w:val="002E0808"/>
    <w:rsid w:val="002E76BF"/>
    <w:rsid w:val="002F324A"/>
    <w:rsid w:val="002F34BF"/>
    <w:rsid w:val="002F7D9A"/>
    <w:rsid w:val="00300C0A"/>
    <w:rsid w:val="00303427"/>
    <w:rsid w:val="00310ACE"/>
    <w:rsid w:val="00310D89"/>
    <w:rsid w:val="00316171"/>
    <w:rsid w:val="00317AD2"/>
    <w:rsid w:val="003218CB"/>
    <w:rsid w:val="00321B04"/>
    <w:rsid w:val="00322313"/>
    <w:rsid w:val="00326525"/>
    <w:rsid w:val="00337437"/>
    <w:rsid w:val="00340D99"/>
    <w:rsid w:val="0034578F"/>
    <w:rsid w:val="0035003B"/>
    <w:rsid w:val="00354F6A"/>
    <w:rsid w:val="00364CDA"/>
    <w:rsid w:val="00366D68"/>
    <w:rsid w:val="0037233B"/>
    <w:rsid w:val="00373B13"/>
    <w:rsid w:val="00375F02"/>
    <w:rsid w:val="00382C68"/>
    <w:rsid w:val="00384BA5"/>
    <w:rsid w:val="00391E16"/>
    <w:rsid w:val="003A1EE6"/>
    <w:rsid w:val="003B611A"/>
    <w:rsid w:val="003C0393"/>
    <w:rsid w:val="003D23B1"/>
    <w:rsid w:val="003F02C0"/>
    <w:rsid w:val="003F6AB1"/>
    <w:rsid w:val="004045B3"/>
    <w:rsid w:val="00407FCB"/>
    <w:rsid w:val="00410AA2"/>
    <w:rsid w:val="00414A67"/>
    <w:rsid w:val="0041549D"/>
    <w:rsid w:val="004222DD"/>
    <w:rsid w:val="00423D1A"/>
    <w:rsid w:val="00425E13"/>
    <w:rsid w:val="00426FFC"/>
    <w:rsid w:val="004275F0"/>
    <w:rsid w:val="004429C1"/>
    <w:rsid w:val="00450325"/>
    <w:rsid w:val="004607BE"/>
    <w:rsid w:val="00461AA2"/>
    <w:rsid w:val="00463AE7"/>
    <w:rsid w:val="0046437B"/>
    <w:rsid w:val="004648A0"/>
    <w:rsid w:val="004666B3"/>
    <w:rsid w:val="00467601"/>
    <w:rsid w:val="00472847"/>
    <w:rsid w:val="004728AD"/>
    <w:rsid w:val="004746CA"/>
    <w:rsid w:val="004866CA"/>
    <w:rsid w:val="00487F07"/>
    <w:rsid w:val="00490720"/>
    <w:rsid w:val="00496ADF"/>
    <w:rsid w:val="00497882"/>
    <w:rsid w:val="00497D6D"/>
    <w:rsid w:val="004A04AD"/>
    <w:rsid w:val="004A1DA5"/>
    <w:rsid w:val="004A1E63"/>
    <w:rsid w:val="004A3CFA"/>
    <w:rsid w:val="004A4C59"/>
    <w:rsid w:val="004B486E"/>
    <w:rsid w:val="004B58D1"/>
    <w:rsid w:val="004B6439"/>
    <w:rsid w:val="004B6A3E"/>
    <w:rsid w:val="004C4F80"/>
    <w:rsid w:val="004D0E47"/>
    <w:rsid w:val="004D64F5"/>
    <w:rsid w:val="004E1062"/>
    <w:rsid w:val="004E1A81"/>
    <w:rsid w:val="004E687D"/>
    <w:rsid w:val="004F1400"/>
    <w:rsid w:val="00503BAB"/>
    <w:rsid w:val="00516698"/>
    <w:rsid w:val="00522307"/>
    <w:rsid w:val="0053443B"/>
    <w:rsid w:val="00534521"/>
    <w:rsid w:val="005346BA"/>
    <w:rsid w:val="005351E2"/>
    <w:rsid w:val="00544F66"/>
    <w:rsid w:val="005562A9"/>
    <w:rsid w:val="005608C5"/>
    <w:rsid w:val="00566852"/>
    <w:rsid w:val="005839F7"/>
    <w:rsid w:val="00584646"/>
    <w:rsid w:val="00584FAC"/>
    <w:rsid w:val="00586C79"/>
    <w:rsid w:val="00594286"/>
    <w:rsid w:val="00596DEE"/>
    <w:rsid w:val="005A2725"/>
    <w:rsid w:val="005B6390"/>
    <w:rsid w:val="005D0D9F"/>
    <w:rsid w:val="005D3ADE"/>
    <w:rsid w:val="005D7625"/>
    <w:rsid w:val="005E1765"/>
    <w:rsid w:val="005E1A6C"/>
    <w:rsid w:val="006034D7"/>
    <w:rsid w:val="00611CEE"/>
    <w:rsid w:val="006129EB"/>
    <w:rsid w:val="006132FD"/>
    <w:rsid w:val="00621E35"/>
    <w:rsid w:val="00624019"/>
    <w:rsid w:val="00624F5E"/>
    <w:rsid w:val="00627FFD"/>
    <w:rsid w:val="00637C5E"/>
    <w:rsid w:val="00643591"/>
    <w:rsid w:val="0064447C"/>
    <w:rsid w:val="00646D2E"/>
    <w:rsid w:val="00661FD0"/>
    <w:rsid w:val="00665F01"/>
    <w:rsid w:val="0067036A"/>
    <w:rsid w:val="00670D9B"/>
    <w:rsid w:val="00672AFE"/>
    <w:rsid w:val="0067634E"/>
    <w:rsid w:val="00680D76"/>
    <w:rsid w:val="0068108D"/>
    <w:rsid w:val="006811A8"/>
    <w:rsid w:val="00683594"/>
    <w:rsid w:val="00684B76"/>
    <w:rsid w:val="00687EAF"/>
    <w:rsid w:val="0069275E"/>
    <w:rsid w:val="0069283C"/>
    <w:rsid w:val="00695769"/>
    <w:rsid w:val="006A1460"/>
    <w:rsid w:val="006B10C9"/>
    <w:rsid w:val="006B6599"/>
    <w:rsid w:val="006C5983"/>
    <w:rsid w:val="006D002C"/>
    <w:rsid w:val="006D1D6A"/>
    <w:rsid w:val="006D5919"/>
    <w:rsid w:val="006E67AB"/>
    <w:rsid w:val="00706205"/>
    <w:rsid w:val="00712F86"/>
    <w:rsid w:val="00713E84"/>
    <w:rsid w:val="00721F5A"/>
    <w:rsid w:val="0073114C"/>
    <w:rsid w:val="00731F7C"/>
    <w:rsid w:val="0073267A"/>
    <w:rsid w:val="00740CE0"/>
    <w:rsid w:val="007426AD"/>
    <w:rsid w:val="0074482D"/>
    <w:rsid w:val="0074545D"/>
    <w:rsid w:val="007464AB"/>
    <w:rsid w:val="0075233E"/>
    <w:rsid w:val="0075267A"/>
    <w:rsid w:val="00760689"/>
    <w:rsid w:val="00760CEC"/>
    <w:rsid w:val="00762971"/>
    <w:rsid w:val="00785DB0"/>
    <w:rsid w:val="00787A22"/>
    <w:rsid w:val="00792057"/>
    <w:rsid w:val="00794979"/>
    <w:rsid w:val="00795A48"/>
    <w:rsid w:val="00796ED6"/>
    <w:rsid w:val="007A24A4"/>
    <w:rsid w:val="007A34AC"/>
    <w:rsid w:val="007A7A46"/>
    <w:rsid w:val="007B21CA"/>
    <w:rsid w:val="007C2641"/>
    <w:rsid w:val="007C5BD3"/>
    <w:rsid w:val="007C7470"/>
    <w:rsid w:val="007D025C"/>
    <w:rsid w:val="007D08A9"/>
    <w:rsid w:val="007D1B4B"/>
    <w:rsid w:val="007D3B2C"/>
    <w:rsid w:val="007D6B6C"/>
    <w:rsid w:val="007E02C1"/>
    <w:rsid w:val="007E11A0"/>
    <w:rsid w:val="007E69E8"/>
    <w:rsid w:val="007F047A"/>
    <w:rsid w:val="007F124A"/>
    <w:rsid w:val="007F6862"/>
    <w:rsid w:val="007F6E73"/>
    <w:rsid w:val="008002AB"/>
    <w:rsid w:val="00803747"/>
    <w:rsid w:val="00806244"/>
    <w:rsid w:val="00807E5E"/>
    <w:rsid w:val="008158A9"/>
    <w:rsid w:val="008210DC"/>
    <w:rsid w:val="008232A9"/>
    <w:rsid w:val="0085004C"/>
    <w:rsid w:val="00854CB3"/>
    <w:rsid w:val="008553A1"/>
    <w:rsid w:val="00876F01"/>
    <w:rsid w:val="00881350"/>
    <w:rsid w:val="008854FA"/>
    <w:rsid w:val="00894380"/>
    <w:rsid w:val="008A0868"/>
    <w:rsid w:val="008B04CA"/>
    <w:rsid w:val="008C1950"/>
    <w:rsid w:val="008C2216"/>
    <w:rsid w:val="008C33D3"/>
    <w:rsid w:val="008D2C60"/>
    <w:rsid w:val="008D2D67"/>
    <w:rsid w:val="008D3675"/>
    <w:rsid w:val="008D3927"/>
    <w:rsid w:val="008D51F1"/>
    <w:rsid w:val="008D5BE5"/>
    <w:rsid w:val="008E385D"/>
    <w:rsid w:val="008E693D"/>
    <w:rsid w:val="008F55CB"/>
    <w:rsid w:val="008F5EFE"/>
    <w:rsid w:val="00900E69"/>
    <w:rsid w:val="009111CB"/>
    <w:rsid w:val="009116F2"/>
    <w:rsid w:val="009241F2"/>
    <w:rsid w:val="0092572A"/>
    <w:rsid w:val="00935E77"/>
    <w:rsid w:val="0094068C"/>
    <w:rsid w:val="009505BA"/>
    <w:rsid w:val="009608BE"/>
    <w:rsid w:val="00960D88"/>
    <w:rsid w:val="0098133D"/>
    <w:rsid w:val="0098218E"/>
    <w:rsid w:val="0098292D"/>
    <w:rsid w:val="009859F6"/>
    <w:rsid w:val="00985C9A"/>
    <w:rsid w:val="009A1387"/>
    <w:rsid w:val="009A323A"/>
    <w:rsid w:val="009A6652"/>
    <w:rsid w:val="009B065E"/>
    <w:rsid w:val="009B3794"/>
    <w:rsid w:val="009B77DD"/>
    <w:rsid w:val="009B7E4D"/>
    <w:rsid w:val="009C080D"/>
    <w:rsid w:val="009C34C1"/>
    <w:rsid w:val="009C58BD"/>
    <w:rsid w:val="009C7BB4"/>
    <w:rsid w:val="009E6FF9"/>
    <w:rsid w:val="009F1AFD"/>
    <w:rsid w:val="009F3AE4"/>
    <w:rsid w:val="009F5144"/>
    <w:rsid w:val="009F68F5"/>
    <w:rsid w:val="00A01D7E"/>
    <w:rsid w:val="00A124A3"/>
    <w:rsid w:val="00A1333B"/>
    <w:rsid w:val="00A14A79"/>
    <w:rsid w:val="00A1688A"/>
    <w:rsid w:val="00A318FF"/>
    <w:rsid w:val="00A3225E"/>
    <w:rsid w:val="00A3724A"/>
    <w:rsid w:val="00A42997"/>
    <w:rsid w:val="00A54AF5"/>
    <w:rsid w:val="00A63D7B"/>
    <w:rsid w:val="00A67A94"/>
    <w:rsid w:val="00A742BC"/>
    <w:rsid w:val="00A75EC8"/>
    <w:rsid w:val="00A803F8"/>
    <w:rsid w:val="00A84703"/>
    <w:rsid w:val="00A92247"/>
    <w:rsid w:val="00A92CAB"/>
    <w:rsid w:val="00A96A5B"/>
    <w:rsid w:val="00AA7019"/>
    <w:rsid w:val="00AB47AA"/>
    <w:rsid w:val="00AB4A6F"/>
    <w:rsid w:val="00AC68D0"/>
    <w:rsid w:val="00AD3A19"/>
    <w:rsid w:val="00AD410B"/>
    <w:rsid w:val="00AD6F2C"/>
    <w:rsid w:val="00AE0172"/>
    <w:rsid w:val="00AE27A3"/>
    <w:rsid w:val="00AE7154"/>
    <w:rsid w:val="00B15EC7"/>
    <w:rsid w:val="00B21F1C"/>
    <w:rsid w:val="00B22E17"/>
    <w:rsid w:val="00B26A57"/>
    <w:rsid w:val="00B354FC"/>
    <w:rsid w:val="00B41D05"/>
    <w:rsid w:val="00B47F66"/>
    <w:rsid w:val="00B51B4A"/>
    <w:rsid w:val="00B53052"/>
    <w:rsid w:val="00B655C6"/>
    <w:rsid w:val="00B74A05"/>
    <w:rsid w:val="00B83EAB"/>
    <w:rsid w:val="00B84886"/>
    <w:rsid w:val="00B932B7"/>
    <w:rsid w:val="00B933AF"/>
    <w:rsid w:val="00BA0EA8"/>
    <w:rsid w:val="00BA0F41"/>
    <w:rsid w:val="00BA1A0C"/>
    <w:rsid w:val="00BA581F"/>
    <w:rsid w:val="00BA7A55"/>
    <w:rsid w:val="00BB1DB2"/>
    <w:rsid w:val="00BB23D6"/>
    <w:rsid w:val="00BC060C"/>
    <w:rsid w:val="00BC3932"/>
    <w:rsid w:val="00BD0BC9"/>
    <w:rsid w:val="00BD1793"/>
    <w:rsid w:val="00BD5C47"/>
    <w:rsid w:val="00BD7513"/>
    <w:rsid w:val="00BE0A27"/>
    <w:rsid w:val="00BE159B"/>
    <w:rsid w:val="00BE2861"/>
    <w:rsid w:val="00BE781A"/>
    <w:rsid w:val="00BE7FBE"/>
    <w:rsid w:val="00BF7E76"/>
    <w:rsid w:val="00C06E5A"/>
    <w:rsid w:val="00C0774D"/>
    <w:rsid w:val="00C13938"/>
    <w:rsid w:val="00C31189"/>
    <w:rsid w:val="00C3445A"/>
    <w:rsid w:val="00C41AF6"/>
    <w:rsid w:val="00C44391"/>
    <w:rsid w:val="00C45431"/>
    <w:rsid w:val="00C50948"/>
    <w:rsid w:val="00C54D58"/>
    <w:rsid w:val="00C60EB8"/>
    <w:rsid w:val="00C642A6"/>
    <w:rsid w:val="00C71BDC"/>
    <w:rsid w:val="00C72090"/>
    <w:rsid w:val="00C72749"/>
    <w:rsid w:val="00C74B86"/>
    <w:rsid w:val="00C82F27"/>
    <w:rsid w:val="00C83ED1"/>
    <w:rsid w:val="00C87703"/>
    <w:rsid w:val="00C93F82"/>
    <w:rsid w:val="00C97C66"/>
    <w:rsid w:val="00CA0AEA"/>
    <w:rsid w:val="00CA1A42"/>
    <w:rsid w:val="00CA3DA6"/>
    <w:rsid w:val="00CB198C"/>
    <w:rsid w:val="00CB38D7"/>
    <w:rsid w:val="00CC162A"/>
    <w:rsid w:val="00CC21E0"/>
    <w:rsid w:val="00CD36E7"/>
    <w:rsid w:val="00CD4ACF"/>
    <w:rsid w:val="00CE0DAE"/>
    <w:rsid w:val="00CE1F98"/>
    <w:rsid w:val="00CE2522"/>
    <w:rsid w:val="00CE5AA9"/>
    <w:rsid w:val="00CF2103"/>
    <w:rsid w:val="00CF493B"/>
    <w:rsid w:val="00CF661F"/>
    <w:rsid w:val="00D10D65"/>
    <w:rsid w:val="00D11CA3"/>
    <w:rsid w:val="00D20974"/>
    <w:rsid w:val="00D321F2"/>
    <w:rsid w:val="00D34949"/>
    <w:rsid w:val="00D36A2A"/>
    <w:rsid w:val="00D429F5"/>
    <w:rsid w:val="00D46313"/>
    <w:rsid w:val="00D5070E"/>
    <w:rsid w:val="00D52FBA"/>
    <w:rsid w:val="00D56CC2"/>
    <w:rsid w:val="00D659DC"/>
    <w:rsid w:val="00D70B73"/>
    <w:rsid w:val="00D72FFD"/>
    <w:rsid w:val="00D7363D"/>
    <w:rsid w:val="00D74B86"/>
    <w:rsid w:val="00D84B8A"/>
    <w:rsid w:val="00D92E1D"/>
    <w:rsid w:val="00D952A5"/>
    <w:rsid w:val="00D95422"/>
    <w:rsid w:val="00D97979"/>
    <w:rsid w:val="00DB1361"/>
    <w:rsid w:val="00DB603B"/>
    <w:rsid w:val="00DB649D"/>
    <w:rsid w:val="00DB687E"/>
    <w:rsid w:val="00DD429A"/>
    <w:rsid w:val="00DE3A45"/>
    <w:rsid w:val="00DF6E24"/>
    <w:rsid w:val="00E00CEE"/>
    <w:rsid w:val="00E00DF3"/>
    <w:rsid w:val="00E02D11"/>
    <w:rsid w:val="00E07819"/>
    <w:rsid w:val="00E12232"/>
    <w:rsid w:val="00E1492F"/>
    <w:rsid w:val="00E15A94"/>
    <w:rsid w:val="00E15C88"/>
    <w:rsid w:val="00E161C2"/>
    <w:rsid w:val="00E203FA"/>
    <w:rsid w:val="00E22F43"/>
    <w:rsid w:val="00E23272"/>
    <w:rsid w:val="00E23D1F"/>
    <w:rsid w:val="00E25761"/>
    <w:rsid w:val="00E31B29"/>
    <w:rsid w:val="00E34914"/>
    <w:rsid w:val="00E34A1F"/>
    <w:rsid w:val="00E34C7D"/>
    <w:rsid w:val="00E35393"/>
    <w:rsid w:val="00E505C3"/>
    <w:rsid w:val="00E53772"/>
    <w:rsid w:val="00E63D94"/>
    <w:rsid w:val="00E6423D"/>
    <w:rsid w:val="00E73129"/>
    <w:rsid w:val="00E733F7"/>
    <w:rsid w:val="00E80F4E"/>
    <w:rsid w:val="00E86CE6"/>
    <w:rsid w:val="00E87554"/>
    <w:rsid w:val="00E962DB"/>
    <w:rsid w:val="00E96A9F"/>
    <w:rsid w:val="00EA23E8"/>
    <w:rsid w:val="00EA2767"/>
    <w:rsid w:val="00EA32BE"/>
    <w:rsid w:val="00EB20D7"/>
    <w:rsid w:val="00EB6522"/>
    <w:rsid w:val="00EC0C41"/>
    <w:rsid w:val="00EC0D2E"/>
    <w:rsid w:val="00EC15ED"/>
    <w:rsid w:val="00EC15FF"/>
    <w:rsid w:val="00EC38CD"/>
    <w:rsid w:val="00ED13AF"/>
    <w:rsid w:val="00ED18EA"/>
    <w:rsid w:val="00ED4540"/>
    <w:rsid w:val="00ED7E28"/>
    <w:rsid w:val="00EE0360"/>
    <w:rsid w:val="00EE4554"/>
    <w:rsid w:val="00EE529C"/>
    <w:rsid w:val="00EF0AC3"/>
    <w:rsid w:val="00EF0E7D"/>
    <w:rsid w:val="00EF0EC8"/>
    <w:rsid w:val="00EF1003"/>
    <w:rsid w:val="00EF12DA"/>
    <w:rsid w:val="00EF1EA1"/>
    <w:rsid w:val="00EF20F8"/>
    <w:rsid w:val="00EF357E"/>
    <w:rsid w:val="00EF692E"/>
    <w:rsid w:val="00EF6F3F"/>
    <w:rsid w:val="00F11919"/>
    <w:rsid w:val="00F17B82"/>
    <w:rsid w:val="00F24385"/>
    <w:rsid w:val="00F352EC"/>
    <w:rsid w:val="00F4221E"/>
    <w:rsid w:val="00F45E63"/>
    <w:rsid w:val="00F474E6"/>
    <w:rsid w:val="00F52D5D"/>
    <w:rsid w:val="00F53241"/>
    <w:rsid w:val="00F55420"/>
    <w:rsid w:val="00F5542D"/>
    <w:rsid w:val="00F56B4A"/>
    <w:rsid w:val="00F6121D"/>
    <w:rsid w:val="00F64FD8"/>
    <w:rsid w:val="00F65A78"/>
    <w:rsid w:val="00F71A8D"/>
    <w:rsid w:val="00F930DF"/>
    <w:rsid w:val="00FA0D28"/>
    <w:rsid w:val="00FA1313"/>
    <w:rsid w:val="00FA2B07"/>
    <w:rsid w:val="00FA34A9"/>
    <w:rsid w:val="00FA679B"/>
    <w:rsid w:val="00FB0323"/>
    <w:rsid w:val="00FB0FD9"/>
    <w:rsid w:val="00FB37B1"/>
    <w:rsid w:val="00FB7D82"/>
    <w:rsid w:val="00FC46A0"/>
    <w:rsid w:val="00FC5A71"/>
    <w:rsid w:val="00FC66A8"/>
    <w:rsid w:val="00FD4853"/>
    <w:rsid w:val="00FD52DE"/>
    <w:rsid w:val="00FE6C30"/>
    <w:rsid w:val="00F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9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235444"/>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AB4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6D5919"/>
    <w:rPr>
      <w:sz w:val="16"/>
      <w:szCs w:val="16"/>
    </w:rPr>
  </w:style>
  <w:style w:type="paragraph" w:styleId="CommentText">
    <w:name w:val="annotation text"/>
    <w:basedOn w:val="Normal"/>
    <w:link w:val="CommentTextChar"/>
    <w:unhideWhenUsed/>
    <w:rsid w:val="006D5919"/>
    <w:rPr>
      <w:szCs w:val="20"/>
    </w:rPr>
  </w:style>
  <w:style w:type="character" w:customStyle="1" w:styleId="CommentTextChar">
    <w:name w:val="Comment Text Char"/>
    <w:basedOn w:val="DefaultParagraphFont"/>
    <w:link w:val="CommentText"/>
    <w:rsid w:val="006D5919"/>
  </w:style>
  <w:style w:type="paragraph" w:styleId="CommentSubject">
    <w:name w:val="annotation subject"/>
    <w:basedOn w:val="CommentText"/>
    <w:next w:val="CommentText"/>
    <w:link w:val="CommentSubjectChar"/>
    <w:semiHidden/>
    <w:unhideWhenUsed/>
    <w:rsid w:val="006D5919"/>
    <w:rPr>
      <w:b/>
      <w:bCs/>
    </w:rPr>
  </w:style>
  <w:style w:type="character" w:customStyle="1" w:styleId="CommentSubjectChar">
    <w:name w:val="Comment Subject Char"/>
    <w:basedOn w:val="CommentTextChar"/>
    <w:link w:val="CommentSubject"/>
    <w:semiHidden/>
    <w:rsid w:val="006D5919"/>
    <w:rPr>
      <w:b/>
      <w:bCs/>
    </w:rPr>
  </w:style>
  <w:style w:type="character" w:customStyle="1" w:styleId="UnresolvedMention1">
    <w:name w:val="Unresolved Mention1"/>
    <w:basedOn w:val="DefaultParagraphFont"/>
    <w:uiPriority w:val="99"/>
    <w:semiHidden/>
    <w:unhideWhenUsed/>
    <w:rsid w:val="00BF7E76"/>
    <w:rPr>
      <w:color w:val="605E5C"/>
      <w:shd w:val="clear" w:color="auto" w:fill="E1DFDD"/>
    </w:r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B354FC"/>
    <w:rPr>
      <w:szCs w:val="24"/>
    </w:rPr>
  </w:style>
  <w:style w:type="paragraph" w:styleId="NoSpacing">
    <w:name w:val="No Spacing"/>
    <w:uiPriority w:val="1"/>
    <w:qFormat/>
    <w:rsid w:val="00695769"/>
    <w:rPr>
      <w:rFonts w:asciiTheme="minorHAnsi" w:eastAsiaTheme="minorHAnsi" w:hAnsiTheme="minorHAnsi" w:cstheme="minorBidi"/>
      <w:sz w:val="22"/>
      <w:szCs w:val="22"/>
    </w:rPr>
  </w:style>
  <w:style w:type="paragraph" w:styleId="Revision">
    <w:name w:val="Revision"/>
    <w:hidden/>
    <w:uiPriority w:val="99"/>
    <w:semiHidden/>
    <w:rsid w:val="00AB47AA"/>
    <w:rPr>
      <w:szCs w:val="24"/>
    </w:rPr>
  </w:style>
  <w:style w:type="character" w:customStyle="1" w:styleId="NewNormalChar">
    <w:name w:val="New Normal Char"/>
    <w:basedOn w:val="DefaultParagraphFont"/>
    <w:link w:val="NewNormal"/>
    <w:locked/>
    <w:rsid w:val="00AB47AA"/>
    <w:rPr>
      <w:rFonts w:eastAsia="Calibri"/>
      <w:sz w:val="24"/>
      <w:szCs w:val="24"/>
    </w:rPr>
  </w:style>
  <w:style w:type="paragraph" w:customStyle="1" w:styleId="NewNormal">
    <w:name w:val="New Normal"/>
    <w:basedOn w:val="Normal"/>
    <w:link w:val="NewNormalChar"/>
    <w:rsid w:val="00AB47AA"/>
    <w:pPr>
      <w:widowControl/>
      <w:autoSpaceDE/>
      <w:autoSpaceDN/>
      <w:adjustRightInd/>
      <w:spacing w:after="200"/>
      <w:ind w:right="2880"/>
    </w:pPr>
    <w:rPr>
      <w:rFonts w:eastAsia="Calibri"/>
      <w:sz w:val="24"/>
    </w:rPr>
  </w:style>
  <w:style w:type="paragraph" w:customStyle="1" w:styleId="L3HRSA">
    <w:name w:val="L3_HRSA"/>
    <w:basedOn w:val="Heading4"/>
    <w:autoRedefine/>
    <w:qFormat/>
    <w:rsid w:val="00AB47AA"/>
    <w:pPr>
      <w:widowControl/>
      <w:autoSpaceDE/>
      <w:autoSpaceDN/>
      <w:adjustRightInd/>
      <w:spacing w:before="0" w:line="271" w:lineRule="auto"/>
    </w:pPr>
    <w:rPr>
      <w:rFonts w:ascii="Arial" w:hAnsi="Arial" w:cs="Arial"/>
      <w:b/>
      <w:color w:val="991C21"/>
      <w:sz w:val="22"/>
      <w:szCs w:val="22"/>
    </w:rPr>
  </w:style>
  <w:style w:type="character" w:customStyle="1" w:styleId="Heading4Char">
    <w:name w:val="Heading 4 Char"/>
    <w:basedOn w:val="DefaultParagraphFont"/>
    <w:link w:val="Heading4"/>
    <w:semiHidden/>
    <w:rsid w:val="00AB47AA"/>
    <w:rPr>
      <w:rFonts w:asciiTheme="majorHAnsi" w:eastAsiaTheme="majorEastAsia" w:hAnsiTheme="majorHAnsi" w:cstheme="majorBidi"/>
      <w:i/>
      <w:iCs/>
      <w:color w:val="365F91" w:themeColor="accent1" w:themeShade="BF"/>
      <w:szCs w:val="24"/>
    </w:rPr>
  </w:style>
  <w:style w:type="character" w:styleId="FollowedHyperlink">
    <w:name w:val="FollowedHyperlink"/>
    <w:basedOn w:val="DefaultParagraphFont"/>
    <w:semiHidden/>
    <w:unhideWhenUsed/>
    <w:rsid w:val="00366D68"/>
    <w:rPr>
      <w:color w:val="800080" w:themeColor="followedHyperlink"/>
      <w:u w:val="single"/>
    </w:rPr>
  </w:style>
  <w:style w:type="paragraph" w:styleId="Header">
    <w:name w:val="header"/>
    <w:basedOn w:val="Normal"/>
    <w:link w:val="HeaderChar"/>
    <w:unhideWhenUsed/>
    <w:rsid w:val="009608BE"/>
    <w:pPr>
      <w:tabs>
        <w:tab w:val="center" w:pos="4680"/>
        <w:tab w:val="right" w:pos="9360"/>
      </w:tabs>
    </w:pPr>
  </w:style>
  <w:style w:type="character" w:customStyle="1" w:styleId="HeaderChar">
    <w:name w:val="Header Char"/>
    <w:basedOn w:val="DefaultParagraphFont"/>
    <w:link w:val="Header"/>
    <w:rsid w:val="009608BE"/>
    <w:rPr>
      <w:szCs w:val="24"/>
    </w:rPr>
  </w:style>
  <w:style w:type="paragraph" w:styleId="BodyText">
    <w:name w:val="Body Text"/>
    <w:basedOn w:val="Normal"/>
    <w:link w:val="BodyTextChar"/>
    <w:semiHidden/>
    <w:unhideWhenUsed/>
    <w:rsid w:val="00F64FD8"/>
    <w:pPr>
      <w:spacing w:after="120"/>
    </w:pPr>
  </w:style>
  <w:style w:type="character" w:customStyle="1" w:styleId="BodyTextChar">
    <w:name w:val="Body Text Char"/>
    <w:basedOn w:val="DefaultParagraphFont"/>
    <w:link w:val="BodyText"/>
    <w:semiHidden/>
    <w:rsid w:val="00F64FD8"/>
    <w:rPr>
      <w:szCs w:val="24"/>
    </w:rPr>
  </w:style>
  <w:style w:type="paragraph" w:styleId="Footer">
    <w:name w:val="footer"/>
    <w:basedOn w:val="Normal"/>
    <w:link w:val="FooterChar"/>
    <w:unhideWhenUsed/>
    <w:rsid w:val="00D321F2"/>
    <w:pPr>
      <w:tabs>
        <w:tab w:val="center" w:pos="4680"/>
        <w:tab w:val="right" w:pos="9360"/>
      </w:tabs>
    </w:pPr>
  </w:style>
  <w:style w:type="character" w:customStyle="1" w:styleId="FooterChar">
    <w:name w:val="Footer Char"/>
    <w:basedOn w:val="DefaultParagraphFont"/>
    <w:link w:val="Footer"/>
    <w:rsid w:val="00D321F2"/>
    <w:rPr>
      <w:szCs w:val="24"/>
    </w:rPr>
  </w:style>
  <w:style w:type="paragraph" w:customStyle="1" w:styleId="L2HRSA">
    <w:name w:val="L2_HRSA"/>
    <w:basedOn w:val="Heading3"/>
    <w:autoRedefine/>
    <w:qFormat/>
    <w:rsid w:val="00235444"/>
    <w:pPr>
      <w:widowControl/>
      <w:autoSpaceDE/>
      <w:autoSpaceDN/>
      <w:adjustRightInd/>
      <w:spacing w:before="240" w:after="120" w:line="271" w:lineRule="auto"/>
      <w:contextualSpacing/>
    </w:pPr>
    <w:rPr>
      <w:rFonts w:ascii="Arial Bold" w:hAnsi="Arial Bold" w:cs="Times New Roman"/>
      <w:b/>
      <w:color w:val="0550B3"/>
    </w:rPr>
  </w:style>
  <w:style w:type="character" w:customStyle="1" w:styleId="Heading3Char">
    <w:name w:val="Heading 3 Char"/>
    <w:basedOn w:val="DefaultParagraphFont"/>
    <w:link w:val="Heading3"/>
    <w:semiHidden/>
    <w:rsid w:val="002354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552">
      <w:bodyDiv w:val="1"/>
      <w:marLeft w:val="0"/>
      <w:marRight w:val="0"/>
      <w:marTop w:val="0"/>
      <w:marBottom w:val="0"/>
      <w:divBdr>
        <w:top w:val="none" w:sz="0" w:space="0" w:color="auto"/>
        <w:left w:val="none" w:sz="0" w:space="0" w:color="auto"/>
        <w:bottom w:val="none" w:sz="0" w:space="0" w:color="auto"/>
        <w:right w:val="none" w:sz="0" w:space="0" w:color="auto"/>
      </w:divBdr>
    </w:div>
    <w:div w:id="14967194">
      <w:bodyDiv w:val="1"/>
      <w:marLeft w:val="0"/>
      <w:marRight w:val="0"/>
      <w:marTop w:val="0"/>
      <w:marBottom w:val="0"/>
      <w:divBdr>
        <w:top w:val="none" w:sz="0" w:space="0" w:color="auto"/>
        <w:left w:val="none" w:sz="0" w:space="0" w:color="auto"/>
        <w:bottom w:val="none" w:sz="0" w:space="0" w:color="auto"/>
        <w:right w:val="none" w:sz="0" w:space="0" w:color="auto"/>
      </w:divBdr>
    </w:div>
    <w:div w:id="67502396">
      <w:bodyDiv w:val="1"/>
      <w:marLeft w:val="0"/>
      <w:marRight w:val="0"/>
      <w:marTop w:val="0"/>
      <w:marBottom w:val="0"/>
      <w:divBdr>
        <w:top w:val="none" w:sz="0" w:space="0" w:color="auto"/>
        <w:left w:val="none" w:sz="0" w:space="0" w:color="auto"/>
        <w:bottom w:val="none" w:sz="0" w:space="0" w:color="auto"/>
        <w:right w:val="none" w:sz="0" w:space="0" w:color="auto"/>
      </w:divBdr>
    </w:div>
    <w:div w:id="102726314">
      <w:bodyDiv w:val="1"/>
      <w:marLeft w:val="0"/>
      <w:marRight w:val="0"/>
      <w:marTop w:val="0"/>
      <w:marBottom w:val="0"/>
      <w:divBdr>
        <w:top w:val="none" w:sz="0" w:space="0" w:color="auto"/>
        <w:left w:val="none" w:sz="0" w:space="0" w:color="auto"/>
        <w:bottom w:val="none" w:sz="0" w:space="0" w:color="auto"/>
        <w:right w:val="none" w:sz="0" w:space="0" w:color="auto"/>
      </w:divBdr>
    </w:div>
    <w:div w:id="219170643">
      <w:bodyDiv w:val="1"/>
      <w:marLeft w:val="0"/>
      <w:marRight w:val="0"/>
      <w:marTop w:val="0"/>
      <w:marBottom w:val="0"/>
      <w:divBdr>
        <w:top w:val="none" w:sz="0" w:space="0" w:color="auto"/>
        <w:left w:val="none" w:sz="0" w:space="0" w:color="auto"/>
        <w:bottom w:val="none" w:sz="0" w:space="0" w:color="auto"/>
        <w:right w:val="none" w:sz="0" w:space="0" w:color="auto"/>
      </w:divBdr>
    </w:div>
    <w:div w:id="314917829">
      <w:bodyDiv w:val="1"/>
      <w:marLeft w:val="0"/>
      <w:marRight w:val="0"/>
      <w:marTop w:val="0"/>
      <w:marBottom w:val="0"/>
      <w:divBdr>
        <w:top w:val="none" w:sz="0" w:space="0" w:color="auto"/>
        <w:left w:val="none" w:sz="0" w:space="0" w:color="auto"/>
        <w:bottom w:val="none" w:sz="0" w:space="0" w:color="auto"/>
        <w:right w:val="none" w:sz="0" w:space="0" w:color="auto"/>
      </w:divBdr>
    </w:div>
    <w:div w:id="347996248">
      <w:bodyDiv w:val="1"/>
      <w:marLeft w:val="0"/>
      <w:marRight w:val="0"/>
      <w:marTop w:val="0"/>
      <w:marBottom w:val="0"/>
      <w:divBdr>
        <w:top w:val="none" w:sz="0" w:space="0" w:color="auto"/>
        <w:left w:val="none" w:sz="0" w:space="0" w:color="auto"/>
        <w:bottom w:val="none" w:sz="0" w:space="0" w:color="auto"/>
        <w:right w:val="none" w:sz="0" w:space="0" w:color="auto"/>
      </w:divBdr>
    </w:div>
    <w:div w:id="434902493">
      <w:bodyDiv w:val="1"/>
      <w:marLeft w:val="0"/>
      <w:marRight w:val="0"/>
      <w:marTop w:val="0"/>
      <w:marBottom w:val="0"/>
      <w:divBdr>
        <w:top w:val="none" w:sz="0" w:space="0" w:color="auto"/>
        <w:left w:val="none" w:sz="0" w:space="0" w:color="auto"/>
        <w:bottom w:val="none" w:sz="0" w:space="0" w:color="auto"/>
        <w:right w:val="none" w:sz="0" w:space="0" w:color="auto"/>
      </w:divBdr>
    </w:div>
    <w:div w:id="567036286">
      <w:bodyDiv w:val="1"/>
      <w:marLeft w:val="0"/>
      <w:marRight w:val="0"/>
      <w:marTop w:val="0"/>
      <w:marBottom w:val="0"/>
      <w:divBdr>
        <w:top w:val="none" w:sz="0" w:space="0" w:color="auto"/>
        <w:left w:val="none" w:sz="0" w:space="0" w:color="auto"/>
        <w:bottom w:val="none" w:sz="0" w:space="0" w:color="auto"/>
        <w:right w:val="none" w:sz="0" w:space="0" w:color="auto"/>
      </w:divBdr>
      <w:divsChild>
        <w:div w:id="1580745503">
          <w:marLeft w:val="0"/>
          <w:marRight w:val="0"/>
          <w:marTop w:val="0"/>
          <w:marBottom w:val="0"/>
          <w:divBdr>
            <w:top w:val="none" w:sz="0" w:space="0" w:color="auto"/>
            <w:left w:val="none" w:sz="0" w:space="0" w:color="auto"/>
            <w:bottom w:val="none" w:sz="0" w:space="0" w:color="auto"/>
            <w:right w:val="none" w:sz="0" w:space="0" w:color="auto"/>
          </w:divBdr>
        </w:div>
      </w:divsChild>
    </w:div>
    <w:div w:id="605430928">
      <w:bodyDiv w:val="1"/>
      <w:marLeft w:val="0"/>
      <w:marRight w:val="0"/>
      <w:marTop w:val="0"/>
      <w:marBottom w:val="0"/>
      <w:divBdr>
        <w:top w:val="none" w:sz="0" w:space="0" w:color="auto"/>
        <w:left w:val="none" w:sz="0" w:space="0" w:color="auto"/>
        <w:bottom w:val="none" w:sz="0" w:space="0" w:color="auto"/>
        <w:right w:val="none" w:sz="0" w:space="0" w:color="auto"/>
      </w:divBdr>
    </w:div>
    <w:div w:id="672420322">
      <w:bodyDiv w:val="1"/>
      <w:marLeft w:val="0"/>
      <w:marRight w:val="0"/>
      <w:marTop w:val="0"/>
      <w:marBottom w:val="0"/>
      <w:divBdr>
        <w:top w:val="none" w:sz="0" w:space="0" w:color="auto"/>
        <w:left w:val="none" w:sz="0" w:space="0" w:color="auto"/>
        <w:bottom w:val="none" w:sz="0" w:space="0" w:color="auto"/>
        <w:right w:val="none" w:sz="0" w:space="0" w:color="auto"/>
      </w:divBdr>
      <w:divsChild>
        <w:div w:id="379137775">
          <w:marLeft w:val="0"/>
          <w:marRight w:val="0"/>
          <w:marTop w:val="0"/>
          <w:marBottom w:val="0"/>
          <w:divBdr>
            <w:top w:val="none" w:sz="0" w:space="0" w:color="auto"/>
            <w:left w:val="none" w:sz="0" w:space="0" w:color="auto"/>
            <w:bottom w:val="none" w:sz="0" w:space="0" w:color="auto"/>
            <w:right w:val="none" w:sz="0" w:space="0" w:color="auto"/>
          </w:divBdr>
        </w:div>
      </w:divsChild>
    </w:div>
    <w:div w:id="829370209">
      <w:bodyDiv w:val="1"/>
      <w:marLeft w:val="0"/>
      <w:marRight w:val="0"/>
      <w:marTop w:val="0"/>
      <w:marBottom w:val="0"/>
      <w:divBdr>
        <w:top w:val="none" w:sz="0" w:space="0" w:color="auto"/>
        <w:left w:val="none" w:sz="0" w:space="0" w:color="auto"/>
        <w:bottom w:val="none" w:sz="0" w:space="0" w:color="auto"/>
        <w:right w:val="none" w:sz="0" w:space="0" w:color="auto"/>
      </w:divBdr>
    </w:div>
    <w:div w:id="1145731721">
      <w:bodyDiv w:val="1"/>
      <w:marLeft w:val="0"/>
      <w:marRight w:val="0"/>
      <w:marTop w:val="0"/>
      <w:marBottom w:val="0"/>
      <w:divBdr>
        <w:top w:val="none" w:sz="0" w:space="0" w:color="auto"/>
        <w:left w:val="none" w:sz="0" w:space="0" w:color="auto"/>
        <w:bottom w:val="none" w:sz="0" w:space="0" w:color="auto"/>
        <w:right w:val="none" w:sz="0" w:space="0" w:color="auto"/>
      </w:divBdr>
    </w:div>
    <w:div w:id="1182813411">
      <w:bodyDiv w:val="1"/>
      <w:marLeft w:val="0"/>
      <w:marRight w:val="0"/>
      <w:marTop w:val="0"/>
      <w:marBottom w:val="0"/>
      <w:divBdr>
        <w:top w:val="none" w:sz="0" w:space="0" w:color="auto"/>
        <w:left w:val="none" w:sz="0" w:space="0" w:color="auto"/>
        <w:bottom w:val="none" w:sz="0" w:space="0" w:color="auto"/>
        <w:right w:val="none" w:sz="0" w:space="0" w:color="auto"/>
      </w:divBdr>
      <w:divsChild>
        <w:div w:id="1176264816">
          <w:marLeft w:val="0"/>
          <w:marRight w:val="0"/>
          <w:marTop w:val="0"/>
          <w:marBottom w:val="0"/>
          <w:divBdr>
            <w:top w:val="none" w:sz="0" w:space="0" w:color="auto"/>
            <w:left w:val="none" w:sz="0" w:space="0" w:color="auto"/>
            <w:bottom w:val="none" w:sz="0" w:space="0" w:color="auto"/>
            <w:right w:val="none" w:sz="0" w:space="0" w:color="auto"/>
          </w:divBdr>
          <w:divsChild>
            <w:div w:id="2109084522">
              <w:marLeft w:val="0"/>
              <w:marRight w:val="0"/>
              <w:marTop w:val="0"/>
              <w:marBottom w:val="0"/>
              <w:divBdr>
                <w:top w:val="none" w:sz="0" w:space="0" w:color="auto"/>
                <w:left w:val="none" w:sz="0" w:space="0" w:color="auto"/>
                <w:bottom w:val="none" w:sz="0" w:space="0" w:color="auto"/>
                <w:right w:val="none" w:sz="0" w:space="0" w:color="auto"/>
              </w:divBdr>
              <w:divsChild>
                <w:div w:id="1696421410">
                  <w:marLeft w:val="0"/>
                  <w:marRight w:val="0"/>
                  <w:marTop w:val="0"/>
                  <w:marBottom w:val="0"/>
                  <w:divBdr>
                    <w:top w:val="none" w:sz="0" w:space="0" w:color="auto"/>
                    <w:left w:val="none" w:sz="0" w:space="0" w:color="auto"/>
                    <w:bottom w:val="none" w:sz="0" w:space="0" w:color="auto"/>
                    <w:right w:val="none" w:sz="0" w:space="0" w:color="auto"/>
                  </w:divBdr>
                  <w:divsChild>
                    <w:div w:id="559749675">
                      <w:marLeft w:val="0"/>
                      <w:marRight w:val="0"/>
                      <w:marTop w:val="0"/>
                      <w:marBottom w:val="0"/>
                      <w:divBdr>
                        <w:top w:val="none" w:sz="0" w:space="0" w:color="auto"/>
                        <w:left w:val="none" w:sz="0" w:space="0" w:color="auto"/>
                        <w:bottom w:val="none" w:sz="0" w:space="0" w:color="auto"/>
                        <w:right w:val="none" w:sz="0" w:space="0" w:color="auto"/>
                      </w:divBdr>
                      <w:divsChild>
                        <w:div w:id="2623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29120">
      <w:bodyDiv w:val="1"/>
      <w:marLeft w:val="0"/>
      <w:marRight w:val="0"/>
      <w:marTop w:val="0"/>
      <w:marBottom w:val="0"/>
      <w:divBdr>
        <w:top w:val="none" w:sz="0" w:space="0" w:color="auto"/>
        <w:left w:val="none" w:sz="0" w:space="0" w:color="auto"/>
        <w:bottom w:val="none" w:sz="0" w:space="0" w:color="auto"/>
        <w:right w:val="none" w:sz="0" w:space="0" w:color="auto"/>
      </w:divBdr>
    </w:div>
    <w:div w:id="1393650427">
      <w:bodyDiv w:val="1"/>
      <w:marLeft w:val="0"/>
      <w:marRight w:val="0"/>
      <w:marTop w:val="0"/>
      <w:marBottom w:val="0"/>
      <w:divBdr>
        <w:top w:val="none" w:sz="0" w:space="0" w:color="auto"/>
        <w:left w:val="none" w:sz="0" w:space="0" w:color="auto"/>
        <w:bottom w:val="none" w:sz="0" w:space="0" w:color="auto"/>
        <w:right w:val="none" w:sz="0" w:space="0" w:color="auto"/>
      </w:divBdr>
    </w:div>
    <w:div w:id="1809007814">
      <w:bodyDiv w:val="1"/>
      <w:marLeft w:val="0"/>
      <w:marRight w:val="0"/>
      <w:marTop w:val="0"/>
      <w:marBottom w:val="0"/>
      <w:divBdr>
        <w:top w:val="none" w:sz="0" w:space="0" w:color="auto"/>
        <w:left w:val="none" w:sz="0" w:space="0" w:color="auto"/>
        <w:bottom w:val="none" w:sz="0" w:space="0" w:color="auto"/>
        <w:right w:val="none" w:sz="0" w:space="0" w:color="auto"/>
      </w:divBdr>
    </w:div>
    <w:div w:id="1923292381">
      <w:bodyDiv w:val="1"/>
      <w:marLeft w:val="0"/>
      <w:marRight w:val="0"/>
      <w:marTop w:val="0"/>
      <w:marBottom w:val="0"/>
      <w:divBdr>
        <w:top w:val="none" w:sz="0" w:space="0" w:color="auto"/>
        <w:left w:val="none" w:sz="0" w:space="0" w:color="auto"/>
        <w:bottom w:val="none" w:sz="0" w:space="0" w:color="auto"/>
        <w:right w:val="none" w:sz="0" w:space="0" w:color="auto"/>
      </w:divBdr>
    </w:div>
    <w:div w:id="2006548107">
      <w:bodyDiv w:val="1"/>
      <w:marLeft w:val="0"/>
      <w:marRight w:val="0"/>
      <w:marTop w:val="0"/>
      <w:marBottom w:val="0"/>
      <w:divBdr>
        <w:top w:val="none" w:sz="0" w:space="0" w:color="auto"/>
        <w:left w:val="none" w:sz="0" w:space="0" w:color="auto"/>
        <w:bottom w:val="none" w:sz="0" w:space="0" w:color="auto"/>
        <w:right w:val="none" w:sz="0" w:space="0" w:color="auto"/>
      </w:divBdr>
    </w:div>
    <w:div w:id="2009676393">
      <w:bodyDiv w:val="1"/>
      <w:marLeft w:val="0"/>
      <w:marRight w:val="0"/>
      <w:marTop w:val="0"/>
      <w:marBottom w:val="0"/>
      <w:divBdr>
        <w:top w:val="none" w:sz="0" w:space="0" w:color="auto"/>
        <w:left w:val="none" w:sz="0" w:space="0" w:color="auto"/>
        <w:bottom w:val="none" w:sz="0" w:space="0" w:color="auto"/>
        <w:right w:val="none" w:sz="0" w:space="0" w:color="auto"/>
      </w:divBdr>
    </w:div>
    <w:div w:id="2105148084">
      <w:bodyDiv w:val="1"/>
      <w:marLeft w:val="0"/>
      <w:marRight w:val="0"/>
      <w:marTop w:val="0"/>
      <w:marBottom w:val="0"/>
      <w:divBdr>
        <w:top w:val="none" w:sz="0" w:space="0" w:color="auto"/>
        <w:left w:val="none" w:sz="0" w:space="0" w:color="auto"/>
        <w:bottom w:val="none" w:sz="0" w:space="0" w:color="auto"/>
        <w:right w:val="none" w:sz="0" w:space="0" w:color="auto"/>
      </w:divBdr>
      <w:divsChild>
        <w:div w:id="44592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Straus@beaconhealthoption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w.hrsa.gov/sites/default/files/bhw/nchwa/diversityushealthoccupations.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bls.gov/oes/current/oes_stru.htm" TargetMode="External"/><Relationship Id="rId4" Type="http://schemas.openxmlformats.org/officeDocument/2006/relationships/settings" Target="settings.xml"/><Relationship Id="rId9" Type="http://schemas.openxmlformats.org/officeDocument/2006/relationships/hyperlink" Target="https://www.justice.gov/opcl/privacy-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A526E-2E2A-4604-A54A-FE420F64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5559</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2020-05-13T20:36:00Z</dcterms:created>
  <dcterms:modified xsi:type="dcterms:W3CDTF">2020-05-20T18:40:00Z</dcterms:modified>
</cp:coreProperties>
</file>