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45D19" w:rsidR="00463D10" w:rsidP="00463D10" w:rsidRDefault="00463D10" w14:paraId="6A0B8E1F" w14:textId="77777777">
      <w:pPr>
        <w:spacing w:after="0" w:line="240" w:lineRule="auto"/>
        <w:jc w:val="center"/>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SUPPORTING STATEMENT</w:t>
      </w:r>
    </w:p>
    <w:p w:rsidRPr="00E45D19" w:rsidR="00BA045D" w:rsidP="00463D10" w:rsidRDefault="00BA045D" w14:paraId="7F30ED46" w14:textId="7486D9B9">
      <w:pPr>
        <w:spacing w:after="0" w:line="240" w:lineRule="auto"/>
        <w:jc w:val="center"/>
        <w:rPr>
          <w:rFonts w:ascii="Arial" w:hAnsi="Arial" w:cs="Arial"/>
          <w:b/>
          <w:color w:val="0D0D0D" w:themeColor="text1" w:themeTint="F2"/>
          <w:sz w:val="24"/>
          <w:szCs w:val="24"/>
        </w:rPr>
      </w:pPr>
      <w:r w:rsidRPr="00E45D19">
        <w:rPr>
          <w:rFonts w:ascii="Arial" w:hAnsi="Arial" w:cs="Arial"/>
          <w:b/>
          <w:color w:val="0D0D0D" w:themeColor="text1" w:themeTint="F2"/>
          <w:sz w:val="24"/>
          <w:szCs w:val="24"/>
        </w:rPr>
        <w:t xml:space="preserve">APPLICATION FOR AUTHORITY TO CLOSE LOANS ON AN AUTOMATIC BASIS NONSUPERVISED LENDERS </w:t>
      </w:r>
    </w:p>
    <w:p w:rsidRPr="00E45D19" w:rsidR="00463D10" w:rsidP="00463D10" w:rsidRDefault="00463D10" w14:paraId="6A0B8E21" w14:textId="53004530">
      <w:pPr>
        <w:spacing w:after="0" w:line="240" w:lineRule="auto"/>
        <w:jc w:val="center"/>
        <w:rPr>
          <w:rFonts w:ascii="Arial" w:hAnsi="Arial" w:eastAsia="Times New Roman" w:cs="Arial"/>
          <w:color w:val="0D0D0D" w:themeColor="text1" w:themeTint="F2"/>
          <w:sz w:val="24"/>
          <w:szCs w:val="24"/>
        </w:rPr>
      </w:pPr>
      <w:r w:rsidRPr="00E45D19">
        <w:rPr>
          <w:rFonts w:ascii="Arial" w:hAnsi="Arial" w:eastAsia="Times New Roman" w:cs="Arial"/>
          <w:b/>
          <w:color w:val="0D0D0D" w:themeColor="text1" w:themeTint="F2"/>
          <w:sz w:val="24"/>
          <w:szCs w:val="24"/>
        </w:rPr>
        <w:t>OMB 2900-</w:t>
      </w:r>
      <w:r w:rsidRPr="00E45D19" w:rsidR="00BA045D">
        <w:rPr>
          <w:rFonts w:ascii="Arial" w:hAnsi="Arial" w:eastAsia="Times New Roman" w:cs="Arial"/>
          <w:b/>
          <w:color w:val="0D0D0D" w:themeColor="text1" w:themeTint="F2"/>
          <w:sz w:val="24"/>
          <w:szCs w:val="24"/>
        </w:rPr>
        <w:t>0252</w:t>
      </w:r>
      <w:r w:rsidRPr="00E45D19">
        <w:rPr>
          <w:rFonts w:ascii="Arial" w:hAnsi="Arial" w:eastAsia="Times New Roman" w:cs="Arial"/>
          <w:b/>
          <w:color w:val="0D0D0D" w:themeColor="text1" w:themeTint="F2"/>
          <w:sz w:val="24"/>
          <w:szCs w:val="24"/>
        </w:rPr>
        <w:br/>
        <w:t>VA FORM 2</w:t>
      </w:r>
      <w:r w:rsidRPr="00E45D19" w:rsidR="002E1B36">
        <w:rPr>
          <w:rFonts w:ascii="Arial" w:hAnsi="Arial" w:eastAsia="Times New Roman" w:cs="Arial"/>
          <w:b/>
          <w:color w:val="0D0D0D" w:themeColor="text1" w:themeTint="F2"/>
          <w:sz w:val="24"/>
          <w:szCs w:val="24"/>
        </w:rPr>
        <w:t>6</w:t>
      </w:r>
      <w:r w:rsidRPr="00E45D19">
        <w:rPr>
          <w:rFonts w:ascii="Arial" w:hAnsi="Arial" w:eastAsia="Times New Roman" w:cs="Arial"/>
          <w:b/>
          <w:color w:val="0D0D0D" w:themeColor="text1" w:themeTint="F2"/>
          <w:sz w:val="24"/>
          <w:szCs w:val="24"/>
        </w:rPr>
        <w:t>-</w:t>
      </w:r>
      <w:r w:rsidRPr="00E45D19" w:rsidR="00BA045D">
        <w:rPr>
          <w:rFonts w:ascii="Arial" w:hAnsi="Arial" w:eastAsia="Times New Roman" w:cs="Arial"/>
          <w:b/>
          <w:color w:val="0D0D0D" w:themeColor="text1" w:themeTint="F2"/>
          <w:sz w:val="24"/>
          <w:szCs w:val="24"/>
        </w:rPr>
        <w:t>8736</w:t>
      </w:r>
      <w:r w:rsidRPr="00E45D19">
        <w:rPr>
          <w:rFonts w:ascii="Arial" w:hAnsi="Arial" w:eastAsia="Times New Roman" w:cs="Arial"/>
          <w:b/>
          <w:color w:val="0D0D0D" w:themeColor="text1" w:themeTint="F2"/>
          <w:sz w:val="24"/>
          <w:szCs w:val="24"/>
        </w:rPr>
        <w:br/>
      </w:r>
    </w:p>
    <w:p w:rsidRPr="00E45D19" w:rsidR="00463D10" w:rsidP="00463D10" w:rsidRDefault="00463D10" w14:paraId="6A0B8E22" w14:textId="77777777">
      <w:pPr>
        <w:tabs>
          <w:tab w:val="left" w:pos="480"/>
          <w:tab w:val="right" w:pos="8640"/>
        </w:tabs>
        <w:spacing w:after="0" w:line="240" w:lineRule="auto"/>
        <w:ind w:right="684"/>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 xml:space="preserve">A.  </w:t>
      </w:r>
      <w:r w:rsidRPr="00E45D19">
        <w:rPr>
          <w:rFonts w:ascii="Arial" w:hAnsi="Arial" w:eastAsia="Times New Roman" w:cs="Arial"/>
          <w:b/>
          <w:color w:val="0D0D0D" w:themeColor="text1" w:themeTint="F2"/>
          <w:sz w:val="24"/>
          <w:szCs w:val="24"/>
          <w:u w:val="single"/>
        </w:rPr>
        <w:t>Justification</w:t>
      </w:r>
    </w:p>
    <w:p w:rsidRPr="00E45D19" w:rsidR="00463D10" w:rsidP="00463D10" w:rsidRDefault="00463D10" w14:paraId="6A0B8E23" w14:textId="77777777">
      <w:pPr>
        <w:tabs>
          <w:tab w:val="left" w:pos="480"/>
          <w:tab w:val="right" w:pos="8640"/>
        </w:tabs>
        <w:spacing w:after="0" w:line="240" w:lineRule="auto"/>
        <w:ind w:right="684"/>
        <w:rPr>
          <w:rFonts w:ascii="Arial" w:hAnsi="Arial" w:eastAsia="Times New Roman" w:cs="Arial"/>
          <w:b/>
          <w:color w:val="0D0D0D" w:themeColor="text1" w:themeTint="F2"/>
          <w:sz w:val="24"/>
          <w:szCs w:val="24"/>
        </w:rPr>
      </w:pPr>
    </w:p>
    <w:p w:rsidRPr="00E45D19" w:rsidR="00463D10" w:rsidP="00463D10" w:rsidRDefault="00463D10" w14:paraId="6A0B8E24" w14:textId="77777777">
      <w:pPr>
        <w:numPr>
          <w:ilvl w:val="0"/>
          <w:numId w:val="1"/>
        </w:numPr>
        <w:spacing w:after="0" w:line="240" w:lineRule="auto"/>
        <w:ind w:right="540"/>
        <w:contextualSpacing/>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 xml:space="preserve">Explain the circumstances that make the collection of information necessary.  Identify legal or administrative requirements that necessitate the collection of information.  </w:t>
      </w:r>
    </w:p>
    <w:p w:rsidRPr="00E45D19" w:rsidR="00463D10" w:rsidP="00463D10" w:rsidRDefault="00463D10" w14:paraId="6A0B8E25" w14:textId="77777777">
      <w:pPr>
        <w:spacing w:after="0" w:line="240" w:lineRule="auto"/>
        <w:ind w:left="720" w:right="540"/>
        <w:contextualSpacing/>
        <w:rPr>
          <w:rFonts w:ascii="Arial" w:hAnsi="Arial" w:eastAsia="Times New Roman" w:cs="Arial"/>
          <w:color w:val="0D0D0D" w:themeColor="text1" w:themeTint="F2"/>
          <w:sz w:val="24"/>
          <w:szCs w:val="24"/>
        </w:rPr>
      </w:pPr>
    </w:p>
    <w:p w:rsidRPr="00E45D19" w:rsidR="00A918E1" w:rsidP="00AC3859" w:rsidRDefault="00A918E1" w14:paraId="7C7D5B1F" w14:textId="77777777">
      <w:pPr>
        <w:ind w:left="360"/>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Section 3702(d)(3) of title 38, U.S.C. provides for non-supervised lenders to make automatically guaranteed loans if they are approved for such purpose by the Secretary of Veterans Affairs.  Automatic lending privileges eliminate the requirement for submission of loans to VA for prior approval.  Lending institutions with automatic loan privileges may process and disburse such loans and subsequently report the loan to Department of Veterans Affairs (VA) for issuance of guaranty.  </w:t>
      </w:r>
    </w:p>
    <w:p w:rsidRPr="00E45D19" w:rsidR="00463D10" w:rsidP="00463D10" w:rsidRDefault="00463D10" w14:paraId="6A0B8E27" w14:textId="77777777">
      <w:pPr>
        <w:spacing w:after="0" w:line="240" w:lineRule="auto"/>
        <w:ind w:left="720"/>
        <w:rPr>
          <w:rFonts w:ascii="Arial" w:hAnsi="Arial" w:eastAsia="Times New Roman" w:cs="Arial"/>
          <w:color w:val="0D0D0D" w:themeColor="text1" w:themeTint="F2"/>
          <w:sz w:val="24"/>
          <w:szCs w:val="24"/>
        </w:rPr>
      </w:pPr>
    </w:p>
    <w:p w:rsidRPr="00E45D19" w:rsidR="00463D10" w:rsidP="00463D10" w:rsidRDefault="00463D10" w14:paraId="6A0B8E29" w14:textId="77777777">
      <w:pPr>
        <w:numPr>
          <w:ilvl w:val="0"/>
          <w:numId w:val="1"/>
        </w:numPr>
        <w:spacing w:after="0" w:line="240" w:lineRule="auto"/>
        <w:contextualSpacing/>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Indicate how, by whom, and for what purposes the information is to be used; indicate actual use the agency has made of the information received from current collection.</w:t>
      </w:r>
    </w:p>
    <w:p w:rsidRPr="00E45D19" w:rsidR="00463D10" w:rsidP="00463D10" w:rsidRDefault="00463D10" w14:paraId="6A0B8E2A" w14:textId="77777777">
      <w:pPr>
        <w:spacing w:after="0" w:line="240" w:lineRule="auto"/>
        <w:ind w:left="720"/>
        <w:contextualSpacing/>
        <w:rPr>
          <w:rFonts w:ascii="Arial" w:hAnsi="Arial" w:eastAsia="Times New Roman" w:cs="Arial"/>
          <w:color w:val="0D0D0D" w:themeColor="text1" w:themeTint="F2"/>
          <w:sz w:val="24"/>
          <w:szCs w:val="24"/>
        </w:rPr>
      </w:pPr>
    </w:p>
    <w:p w:rsidRPr="00E45D19" w:rsidR="00A918E1" w:rsidP="00AC3859" w:rsidRDefault="00A918E1" w14:paraId="7571AA30" w14:textId="78E0BEC5">
      <w:pPr>
        <w:ind w:left="360"/>
        <w:rPr>
          <w:rFonts w:ascii="Arial" w:hAnsi="Arial" w:cs="Arial"/>
          <w:color w:val="0D0D0D" w:themeColor="text1" w:themeTint="F2"/>
          <w:sz w:val="24"/>
          <w:szCs w:val="24"/>
        </w:rPr>
      </w:pPr>
      <w:r w:rsidRPr="00E45D19">
        <w:rPr>
          <w:rFonts w:ascii="Arial" w:hAnsi="Arial" w:cs="Arial"/>
          <w:color w:val="0D0D0D" w:themeColor="text1" w:themeTint="F2"/>
          <w:sz w:val="24"/>
          <w:szCs w:val="24"/>
        </w:rPr>
        <w:t>VA Form 26-8736 is used by non-supervised lenders requesting approval to close loans on an automatic basis.  The form contains information and data considered crucial for making acceptability determinations as to lenders who shall be approved for this privilege.</w:t>
      </w:r>
    </w:p>
    <w:p w:rsidRPr="00E45D19" w:rsidR="00A918E1" w:rsidP="00AC3859" w:rsidRDefault="00A918E1" w14:paraId="249AF058" w14:textId="77777777">
      <w:pPr>
        <w:ind w:left="360"/>
        <w:rPr>
          <w:rFonts w:ascii="Arial" w:hAnsi="Arial" w:cs="Arial"/>
          <w:color w:val="0D0D0D" w:themeColor="text1" w:themeTint="F2"/>
          <w:sz w:val="24"/>
          <w:szCs w:val="24"/>
        </w:rPr>
      </w:pPr>
      <w:r w:rsidRPr="00E45D19">
        <w:rPr>
          <w:rFonts w:ascii="Arial" w:hAnsi="Arial" w:cs="Arial"/>
          <w:color w:val="0D0D0D" w:themeColor="text1" w:themeTint="F2"/>
          <w:sz w:val="24"/>
          <w:szCs w:val="24"/>
        </w:rPr>
        <w:t>Upon receipt of the form, the VA Regional Loan Centers will process and evaluate the information.  They will then advise the lender-applicant of their decision.  Without this information, VA would not be able to determine if lender-applicants meet the qualifications for processing loans on an automatic basis.</w:t>
      </w:r>
    </w:p>
    <w:p w:rsidRPr="00E45D19" w:rsidR="00463D10" w:rsidP="00463D10" w:rsidRDefault="00463D10" w14:paraId="6A0B8E2C" w14:textId="77777777">
      <w:pPr>
        <w:spacing w:after="0" w:line="240" w:lineRule="auto"/>
        <w:ind w:left="720"/>
        <w:contextualSpacing/>
        <w:rPr>
          <w:rFonts w:ascii="Arial" w:hAnsi="Arial" w:eastAsia="Times New Roman" w:cs="Arial"/>
          <w:color w:val="0D0D0D" w:themeColor="text1" w:themeTint="F2"/>
          <w:sz w:val="24"/>
          <w:szCs w:val="24"/>
        </w:rPr>
      </w:pPr>
    </w:p>
    <w:p w:rsidRPr="00E45D19" w:rsidR="00463D10" w:rsidP="00463D10" w:rsidRDefault="00463D10" w14:paraId="6A0B8E2D" w14:textId="77777777">
      <w:pPr>
        <w:numPr>
          <w:ilvl w:val="0"/>
          <w:numId w:val="1"/>
        </w:numPr>
        <w:spacing w:after="0" w:line="240" w:lineRule="auto"/>
        <w:contextualSpacing/>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45D19" w:rsidR="00463D10" w:rsidP="00463D10" w:rsidRDefault="00463D10" w14:paraId="6A0B8E2E" w14:textId="77777777">
      <w:pPr>
        <w:spacing w:after="0" w:line="240" w:lineRule="auto"/>
        <w:ind w:left="720"/>
        <w:contextualSpacing/>
        <w:rPr>
          <w:rFonts w:ascii="Arial" w:hAnsi="Arial" w:eastAsia="Times New Roman" w:cs="Arial"/>
          <w:color w:val="0D0D0D" w:themeColor="text1" w:themeTint="F2"/>
          <w:sz w:val="24"/>
          <w:szCs w:val="24"/>
        </w:rPr>
      </w:pPr>
    </w:p>
    <w:p w:rsidRPr="00E45D19" w:rsidR="00DE7A3E" w:rsidP="00AC3859" w:rsidRDefault="00DE7A3E" w14:paraId="35E947C9" w14:textId="77777777">
      <w:pPr>
        <w:ind w:left="360"/>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The form is available in a fillable format on the One-VA forms website which allows lenders easy access to it.  The information requested on the form is varied and </w:t>
      </w:r>
      <w:r w:rsidRPr="00E45D19">
        <w:rPr>
          <w:rFonts w:ascii="Arial" w:hAnsi="Arial" w:cs="Arial"/>
          <w:color w:val="0D0D0D" w:themeColor="text1" w:themeTint="F2"/>
          <w:sz w:val="24"/>
          <w:szCs w:val="24"/>
        </w:rPr>
        <w:lastRenderedPageBreak/>
        <w:t>specific to each individual applicant.  An electronic submission system is not advantageous to the government as the number of estimated respondents (120) does not justify the cost of creating and maintaining such a system.</w:t>
      </w:r>
    </w:p>
    <w:p w:rsidRPr="00E45D19" w:rsidR="00463D10" w:rsidP="00463D10" w:rsidRDefault="00463D10" w14:paraId="6A0B8E32" w14:textId="77777777">
      <w:pPr>
        <w:numPr>
          <w:ilvl w:val="0"/>
          <w:numId w:val="1"/>
        </w:numPr>
        <w:spacing w:after="0" w:line="240" w:lineRule="auto"/>
        <w:contextualSpacing/>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Describe efforts to identify duplication.  Show specifically why any similar information already available cannot be used or modified for use for the purposes described in Item 2 above.</w:t>
      </w:r>
    </w:p>
    <w:p w:rsidRPr="00E45D19" w:rsidR="00463D10" w:rsidP="00463D10" w:rsidRDefault="00463D10" w14:paraId="6A0B8E33" w14:textId="77777777">
      <w:pPr>
        <w:spacing w:after="0" w:line="240" w:lineRule="auto"/>
        <w:ind w:left="720"/>
        <w:contextualSpacing/>
        <w:rPr>
          <w:rFonts w:ascii="Arial" w:hAnsi="Arial" w:eastAsia="Times New Roman" w:cs="Arial"/>
          <w:color w:val="0D0D0D" w:themeColor="text1" w:themeTint="F2"/>
          <w:sz w:val="24"/>
          <w:szCs w:val="24"/>
        </w:rPr>
      </w:pPr>
    </w:p>
    <w:p w:rsidRPr="00E45D19" w:rsidR="00DE7A3E" w:rsidP="00AC3859" w:rsidRDefault="00DE7A3E" w14:paraId="206D62D3" w14:textId="77777777">
      <w:pPr>
        <w:ind w:left="360"/>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The information is not contained in any other VA records.  Similar information is not available elsewhere.  </w:t>
      </w:r>
    </w:p>
    <w:p w:rsidRPr="00E45D19" w:rsidR="00463D10" w:rsidP="00463D10" w:rsidRDefault="00463D10" w14:paraId="6A0B8E37" w14:textId="77777777">
      <w:pPr>
        <w:numPr>
          <w:ilvl w:val="0"/>
          <w:numId w:val="1"/>
        </w:numPr>
        <w:spacing w:after="0" w:line="240" w:lineRule="auto"/>
        <w:contextualSpacing/>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If the collection of information impacts small businesses or other small entities, describe any methods used to minimize burden.</w:t>
      </w:r>
    </w:p>
    <w:p w:rsidRPr="00E45D19" w:rsidR="00463D10" w:rsidP="00463D10" w:rsidRDefault="00463D10" w14:paraId="6A0B8E38" w14:textId="77777777">
      <w:pPr>
        <w:spacing w:after="0" w:line="240" w:lineRule="auto"/>
        <w:ind w:left="720"/>
        <w:contextualSpacing/>
        <w:rPr>
          <w:rFonts w:ascii="Arial" w:hAnsi="Arial" w:eastAsia="Times New Roman" w:cs="Arial"/>
          <w:color w:val="0D0D0D" w:themeColor="text1" w:themeTint="F2"/>
          <w:sz w:val="24"/>
          <w:szCs w:val="24"/>
        </w:rPr>
      </w:pPr>
    </w:p>
    <w:p w:rsidRPr="00E45D19" w:rsidR="00F631AF" w:rsidP="00AC3859" w:rsidRDefault="00F631AF" w14:paraId="411A8A81" w14:textId="10636EF0">
      <w:pPr>
        <w:tabs>
          <w:tab w:val="left" w:pos="360"/>
        </w:tabs>
        <w:ind w:left="360"/>
        <w:rPr>
          <w:rFonts w:ascii="Arial" w:hAnsi="Arial" w:cs="Arial"/>
          <w:color w:val="0D0D0D" w:themeColor="text1" w:themeTint="F2"/>
          <w:sz w:val="24"/>
          <w:szCs w:val="24"/>
        </w:rPr>
      </w:pPr>
      <w:r w:rsidRPr="00E45D19">
        <w:rPr>
          <w:rFonts w:ascii="Arial" w:hAnsi="Arial" w:cs="Arial"/>
          <w:color w:val="0D0D0D" w:themeColor="text1" w:themeTint="F2"/>
          <w:sz w:val="24"/>
          <w:szCs w:val="24"/>
        </w:rPr>
        <w:t>Small organizations are involved, however, the information requested is the minimum necessary to determine compliance with VA-approved plans and specifications and VA minimum property standards.</w:t>
      </w:r>
    </w:p>
    <w:p w:rsidRPr="00E45D19" w:rsidR="00463D10" w:rsidP="00463D10" w:rsidRDefault="00463D10" w14:paraId="6A0B8E3B" w14:textId="77777777">
      <w:pPr>
        <w:numPr>
          <w:ilvl w:val="0"/>
          <w:numId w:val="1"/>
        </w:numPr>
        <w:spacing w:after="0" w:line="240" w:lineRule="auto"/>
        <w:contextualSpacing/>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Describe the consequences to Federal program or policy activities if the collection is not conducted or is conducted less frequently as well as any technical or legal obstacles to reducing burden.</w:t>
      </w:r>
    </w:p>
    <w:p w:rsidRPr="00E45D19" w:rsidR="00463D10" w:rsidP="00463D10" w:rsidRDefault="00463D10" w14:paraId="6A0B8E3C" w14:textId="77777777">
      <w:pPr>
        <w:spacing w:after="0" w:line="240" w:lineRule="auto"/>
        <w:contextualSpacing/>
        <w:rPr>
          <w:rFonts w:ascii="Arial" w:hAnsi="Arial" w:eastAsia="Times New Roman" w:cs="Arial"/>
          <w:b/>
          <w:color w:val="0D0D0D" w:themeColor="text1" w:themeTint="F2"/>
          <w:sz w:val="24"/>
          <w:szCs w:val="24"/>
        </w:rPr>
      </w:pPr>
    </w:p>
    <w:p w:rsidRPr="00E45D19" w:rsidR="00F631AF" w:rsidP="00AC3859" w:rsidRDefault="00F631AF" w14:paraId="2E4BD946" w14:textId="0F5FB406">
      <w:pPr>
        <w:tabs>
          <w:tab w:val="left" w:pos="360"/>
        </w:tabs>
        <w:ind w:left="360"/>
        <w:rPr>
          <w:rFonts w:ascii="Arial" w:hAnsi="Arial" w:cs="Arial"/>
          <w:color w:val="0D0D0D" w:themeColor="text1" w:themeTint="F2"/>
          <w:sz w:val="24"/>
          <w:szCs w:val="24"/>
        </w:rPr>
      </w:pPr>
      <w:r w:rsidRPr="00E45D19">
        <w:rPr>
          <w:rFonts w:ascii="Arial" w:hAnsi="Arial" w:cs="Arial"/>
          <w:color w:val="0D0D0D" w:themeColor="text1" w:themeTint="F2"/>
          <w:sz w:val="24"/>
          <w:szCs w:val="24"/>
        </w:rPr>
        <w:t>This information collection is not a recurring or repetitive report.  It is accomplished on a one-time basis per individual applicant.</w:t>
      </w:r>
    </w:p>
    <w:p w:rsidRPr="00E45D19" w:rsidR="00463D10" w:rsidP="00463D10" w:rsidRDefault="00463D10" w14:paraId="6A0B8E40" w14:textId="77777777">
      <w:pPr>
        <w:numPr>
          <w:ilvl w:val="0"/>
          <w:numId w:val="1"/>
        </w:numPr>
        <w:spacing w:after="0" w:line="240" w:lineRule="auto"/>
        <w:contextualSpacing/>
        <w:rPr>
          <w:rFonts w:ascii="Arial" w:hAnsi="Arial" w:eastAsia="Times New Roman" w:cs="Arial"/>
          <w:b/>
          <w:bCs/>
          <w:color w:val="0D0D0D" w:themeColor="text1" w:themeTint="F2"/>
          <w:sz w:val="24"/>
          <w:szCs w:val="24"/>
        </w:rPr>
      </w:pPr>
      <w:r w:rsidRPr="00E45D19">
        <w:rPr>
          <w:rFonts w:ascii="Arial" w:hAnsi="Arial" w:eastAsia="Times New Roman" w:cs="Arial"/>
          <w:b/>
          <w:color w:val="0D0D0D" w:themeColor="text1" w:themeTint="F2"/>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E45D19" w:rsidR="00463D10" w:rsidP="00463D10" w:rsidRDefault="00463D10" w14:paraId="6A0B8E41" w14:textId="77777777">
      <w:pPr>
        <w:spacing w:after="0" w:line="240" w:lineRule="auto"/>
        <w:ind w:left="720"/>
        <w:contextualSpacing/>
        <w:rPr>
          <w:rFonts w:ascii="Arial" w:hAnsi="Arial" w:eastAsia="Times New Roman" w:cs="Arial"/>
          <w:bCs/>
          <w:color w:val="0D0D0D" w:themeColor="text1" w:themeTint="F2"/>
          <w:sz w:val="24"/>
          <w:szCs w:val="24"/>
        </w:rPr>
      </w:pPr>
    </w:p>
    <w:p w:rsidRPr="00E45D19" w:rsidR="00463D10" w:rsidP="00463D10" w:rsidRDefault="00463D10" w14:paraId="6A0B8E42" w14:textId="77777777">
      <w:pPr>
        <w:spacing w:after="0" w:line="240" w:lineRule="auto"/>
        <w:ind w:left="720"/>
        <w:contextualSpacing/>
        <w:rPr>
          <w:rFonts w:ascii="Arial" w:hAnsi="Arial" w:eastAsia="Times New Roman" w:cs="Arial"/>
          <w:bCs/>
          <w:color w:val="0D0D0D" w:themeColor="text1" w:themeTint="F2"/>
          <w:sz w:val="24"/>
          <w:szCs w:val="24"/>
        </w:rPr>
      </w:pPr>
      <w:r w:rsidRPr="00E45D19">
        <w:rPr>
          <w:rFonts w:ascii="Arial" w:hAnsi="Arial" w:eastAsia="Times New Roman" w:cs="Arial"/>
          <w:bCs/>
          <w:color w:val="0D0D0D" w:themeColor="text1" w:themeTint="F2"/>
          <w:sz w:val="24"/>
          <w:szCs w:val="24"/>
        </w:rPr>
        <w:t>There is no special circumstance requiring collection in a manner inconsistent with 5 CFR 1320.6 guidelines.</w:t>
      </w:r>
    </w:p>
    <w:p w:rsidRPr="00E45D19" w:rsidR="00463D10" w:rsidP="00463D10" w:rsidRDefault="00463D10" w14:paraId="6A0B8E43" w14:textId="77777777">
      <w:pPr>
        <w:spacing w:after="0" w:line="240" w:lineRule="auto"/>
        <w:rPr>
          <w:rFonts w:ascii="Arial" w:hAnsi="Arial" w:eastAsia="Times New Roman" w:cs="Arial"/>
          <w:bCs/>
          <w:color w:val="0D0D0D" w:themeColor="text1" w:themeTint="F2"/>
          <w:sz w:val="24"/>
          <w:szCs w:val="24"/>
        </w:rPr>
      </w:pPr>
    </w:p>
    <w:p w:rsidRPr="00E45D19" w:rsidR="00463D10" w:rsidP="00463D10" w:rsidRDefault="00463D10" w14:paraId="6A0B8E44" w14:textId="77777777">
      <w:pPr>
        <w:numPr>
          <w:ilvl w:val="0"/>
          <w:numId w:val="1"/>
        </w:numPr>
        <w:tabs>
          <w:tab w:val="left" w:pos="480"/>
          <w:tab w:val="right" w:pos="8640"/>
        </w:tabs>
        <w:spacing w:after="0" w:line="240" w:lineRule="auto"/>
        <w:ind w:right="684"/>
        <w:contextualSpacing/>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 xml:space="preserve">If applicable, provide a copy and identify the date and page number of </w:t>
      </w:r>
      <w:proofErr w:type="gramStart"/>
      <w:r w:rsidRPr="00E45D19">
        <w:rPr>
          <w:rFonts w:ascii="Arial" w:hAnsi="Arial" w:eastAsia="Times New Roman" w:cs="Arial"/>
          <w:b/>
          <w:color w:val="0D0D0D" w:themeColor="text1" w:themeTint="F2"/>
          <w:sz w:val="24"/>
          <w:szCs w:val="24"/>
        </w:rPr>
        <w:t>publication</w:t>
      </w:r>
      <w:proofErr w:type="gramEnd"/>
      <w:r w:rsidRPr="00E45D19">
        <w:rPr>
          <w:rFonts w:ascii="Arial" w:hAnsi="Arial" w:eastAsia="Times New Roman" w:cs="Arial"/>
          <w:b/>
          <w:color w:val="0D0D0D" w:themeColor="text1" w:themeTint="F2"/>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E45D19" w:rsidR="00463D10" w:rsidP="00463D10" w:rsidRDefault="00463D10" w14:paraId="6A0B8E45"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p>
    <w:p w:rsidRPr="00E45D19" w:rsidR="002A5C4F" w:rsidP="00463D10" w:rsidRDefault="00463D10" w14:paraId="36831CFB"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r w:rsidRPr="00E45D19">
        <w:rPr>
          <w:rFonts w:ascii="Arial" w:hAnsi="Arial" w:eastAsia="Times New Roman" w:cs="Arial"/>
          <w:color w:val="0D0D0D" w:themeColor="text1" w:themeTint="F2"/>
          <w:sz w:val="24"/>
          <w:szCs w:val="24"/>
        </w:rPr>
        <w:t xml:space="preserve">The Department notice was published in the Federal Register on </w:t>
      </w:r>
    </w:p>
    <w:p w:rsidRPr="00E45D19" w:rsidR="00463D10" w:rsidP="00463D10" w:rsidRDefault="00A00F1D" w14:paraId="6A0B8E46" w14:textId="458BE748">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r w:rsidRPr="00E45D19">
        <w:rPr>
          <w:rFonts w:ascii="Arial" w:hAnsi="Arial" w:eastAsia="Times New Roman" w:cs="Arial"/>
          <w:color w:val="0D0D0D" w:themeColor="text1" w:themeTint="F2"/>
          <w:sz w:val="24"/>
          <w:szCs w:val="24"/>
        </w:rPr>
        <w:t>March 4, 2020</w:t>
      </w:r>
      <w:r w:rsidRPr="00E45D19" w:rsidR="00463D10">
        <w:rPr>
          <w:rFonts w:ascii="Arial" w:hAnsi="Arial" w:eastAsia="Times New Roman" w:cs="Arial"/>
          <w:color w:val="0D0D0D" w:themeColor="text1" w:themeTint="F2"/>
          <w:sz w:val="24"/>
          <w:szCs w:val="24"/>
        </w:rPr>
        <w:t>, Volume</w:t>
      </w:r>
      <w:r w:rsidRPr="00E45D19" w:rsidR="002A5C4F">
        <w:rPr>
          <w:rFonts w:ascii="Arial" w:hAnsi="Arial" w:eastAsia="Times New Roman" w:cs="Arial"/>
          <w:color w:val="0D0D0D" w:themeColor="text1" w:themeTint="F2"/>
          <w:sz w:val="24"/>
          <w:szCs w:val="24"/>
        </w:rPr>
        <w:t xml:space="preserve"> </w:t>
      </w:r>
      <w:r w:rsidRPr="00E45D19">
        <w:rPr>
          <w:rFonts w:ascii="Arial" w:hAnsi="Arial" w:eastAsia="Times New Roman" w:cs="Arial"/>
          <w:color w:val="0D0D0D" w:themeColor="text1" w:themeTint="F2"/>
          <w:sz w:val="24"/>
          <w:szCs w:val="24"/>
        </w:rPr>
        <w:t>85</w:t>
      </w:r>
      <w:r w:rsidRPr="00E45D19" w:rsidR="00463D10">
        <w:rPr>
          <w:rFonts w:ascii="Arial" w:hAnsi="Arial" w:eastAsia="Times New Roman" w:cs="Arial"/>
          <w:color w:val="0D0D0D" w:themeColor="text1" w:themeTint="F2"/>
          <w:sz w:val="24"/>
          <w:szCs w:val="24"/>
        </w:rPr>
        <w:t>, No.</w:t>
      </w:r>
      <w:r w:rsidRPr="00E45D19" w:rsidR="002A5C4F">
        <w:rPr>
          <w:rFonts w:ascii="Arial" w:hAnsi="Arial" w:eastAsia="Times New Roman" w:cs="Arial"/>
          <w:color w:val="0D0D0D" w:themeColor="text1" w:themeTint="F2"/>
          <w:sz w:val="24"/>
          <w:szCs w:val="24"/>
        </w:rPr>
        <w:t xml:space="preserve"> </w:t>
      </w:r>
      <w:r w:rsidRPr="00E45D19">
        <w:rPr>
          <w:rFonts w:ascii="Arial" w:hAnsi="Arial" w:eastAsia="Times New Roman" w:cs="Arial"/>
          <w:color w:val="0D0D0D" w:themeColor="text1" w:themeTint="F2"/>
          <w:sz w:val="24"/>
          <w:szCs w:val="24"/>
        </w:rPr>
        <w:t>4</w:t>
      </w:r>
      <w:r w:rsidRPr="00E45D19" w:rsidR="00463D10">
        <w:rPr>
          <w:rFonts w:ascii="Arial" w:hAnsi="Arial" w:eastAsia="Times New Roman" w:cs="Arial"/>
          <w:color w:val="0D0D0D" w:themeColor="text1" w:themeTint="F2"/>
          <w:sz w:val="24"/>
          <w:szCs w:val="24"/>
        </w:rPr>
        <w:t>, pages</w:t>
      </w:r>
      <w:r w:rsidRPr="00E45D19" w:rsidR="002A5C4F">
        <w:rPr>
          <w:rFonts w:ascii="Arial" w:hAnsi="Arial" w:eastAsia="Times New Roman" w:cs="Arial"/>
          <w:color w:val="0D0D0D" w:themeColor="text1" w:themeTint="F2"/>
          <w:sz w:val="24"/>
          <w:szCs w:val="24"/>
        </w:rPr>
        <w:t xml:space="preserve"> </w:t>
      </w:r>
      <w:r w:rsidRPr="00E45D19">
        <w:rPr>
          <w:rFonts w:ascii="Arial" w:hAnsi="Arial" w:eastAsia="Times New Roman" w:cs="Arial"/>
          <w:color w:val="0D0D0D" w:themeColor="text1" w:themeTint="F2"/>
          <w:sz w:val="24"/>
          <w:szCs w:val="24"/>
        </w:rPr>
        <w:t>12823</w:t>
      </w:r>
      <w:r w:rsidRPr="00E45D19" w:rsidR="002A5C4F">
        <w:rPr>
          <w:rFonts w:ascii="Arial" w:hAnsi="Arial" w:eastAsia="Times New Roman" w:cs="Arial"/>
          <w:color w:val="0D0D0D" w:themeColor="text1" w:themeTint="F2"/>
          <w:sz w:val="24"/>
          <w:szCs w:val="24"/>
        </w:rPr>
        <w:t xml:space="preserve">. </w:t>
      </w:r>
      <w:r w:rsidRPr="00E45D19" w:rsidR="00463D10">
        <w:rPr>
          <w:rFonts w:ascii="Arial" w:hAnsi="Arial" w:eastAsia="Times New Roman" w:cs="Arial"/>
          <w:color w:val="0D0D0D" w:themeColor="text1" w:themeTint="F2"/>
          <w:sz w:val="24"/>
          <w:szCs w:val="24"/>
        </w:rPr>
        <w:t xml:space="preserve">  </w:t>
      </w:r>
    </w:p>
    <w:p w:rsidRPr="00E45D19" w:rsidR="00463D10" w:rsidP="00463D10" w:rsidRDefault="00463D10" w14:paraId="6A0B8E47" w14:textId="77777777">
      <w:pPr>
        <w:spacing w:after="0" w:line="240" w:lineRule="auto"/>
        <w:ind w:left="720"/>
        <w:contextualSpacing/>
        <w:rPr>
          <w:rFonts w:ascii="Arial" w:hAnsi="Arial" w:eastAsia="Times New Roman" w:cs="Arial"/>
          <w:bCs/>
          <w:color w:val="0D0D0D" w:themeColor="text1" w:themeTint="F2"/>
          <w:sz w:val="24"/>
          <w:szCs w:val="24"/>
        </w:rPr>
      </w:pPr>
    </w:p>
    <w:p w:rsidRPr="00E45D19" w:rsidR="00463D10" w:rsidP="00463D10" w:rsidRDefault="00463D10" w14:paraId="6A0B8E48" w14:textId="77777777">
      <w:pPr>
        <w:numPr>
          <w:ilvl w:val="0"/>
          <w:numId w:val="1"/>
        </w:numPr>
        <w:tabs>
          <w:tab w:val="left" w:pos="480"/>
          <w:tab w:val="right" w:pos="8640"/>
        </w:tabs>
        <w:spacing w:after="0" w:line="240" w:lineRule="auto"/>
        <w:ind w:right="684"/>
        <w:contextualSpacing/>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Explain any decision to provide any payment or gift to respondents, other than remuneration of contractors or grantees.</w:t>
      </w:r>
    </w:p>
    <w:p w:rsidRPr="00E45D19" w:rsidR="00463D10" w:rsidP="00463D10" w:rsidRDefault="00463D10" w14:paraId="6A0B8E49"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p>
    <w:p w:rsidRPr="00E45D19" w:rsidR="00463D10" w:rsidP="00463D10" w:rsidRDefault="00463D10" w14:paraId="6A0B8E4A"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r w:rsidRPr="00E45D19">
        <w:rPr>
          <w:rFonts w:ascii="Arial" w:hAnsi="Arial" w:eastAsia="Times New Roman" w:cs="Arial"/>
          <w:bCs/>
          <w:color w:val="0D0D0D" w:themeColor="text1" w:themeTint="F2"/>
          <w:sz w:val="24"/>
          <w:szCs w:val="24"/>
        </w:rPr>
        <w:t>No payments or gifts to respondents have been made under this collection of information.</w:t>
      </w:r>
    </w:p>
    <w:p w:rsidRPr="00E45D19" w:rsidR="00463D10" w:rsidP="00463D10" w:rsidRDefault="00463D10" w14:paraId="6A0B8E4B" w14:textId="77777777">
      <w:pPr>
        <w:spacing w:after="0" w:line="240" w:lineRule="auto"/>
        <w:ind w:left="720"/>
        <w:contextualSpacing/>
        <w:rPr>
          <w:rFonts w:ascii="Arial" w:hAnsi="Arial" w:eastAsia="Times New Roman" w:cs="Arial"/>
          <w:color w:val="0D0D0D" w:themeColor="text1" w:themeTint="F2"/>
          <w:sz w:val="24"/>
          <w:szCs w:val="24"/>
        </w:rPr>
      </w:pPr>
    </w:p>
    <w:p w:rsidRPr="00E45D19" w:rsidR="00463D10" w:rsidP="00463D10" w:rsidRDefault="00463D10" w14:paraId="6A0B8E4C" w14:textId="77777777">
      <w:pPr>
        <w:numPr>
          <w:ilvl w:val="0"/>
          <w:numId w:val="1"/>
        </w:numPr>
        <w:tabs>
          <w:tab w:val="left" w:pos="480"/>
          <w:tab w:val="right" w:pos="8640"/>
        </w:tabs>
        <w:spacing w:after="0" w:line="240" w:lineRule="auto"/>
        <w:ind w:right="684"/>
        <w:contextualSpacing/>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Describe any assurance of privacy, to the extent permitted by law, provided to respondents and the basis for the assurance in statute, regulation, or agency policy.</w:t>
      </w:r>
    </w:p>
    <w:p w:rsidRPr="00E45D19" w:rsidR="00463D10" w:rsidP="00463D10" w:rsidRDefault="00463D10" w14:paraId="6A0B8E4D"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p>
    <w:p w:rsidRPr="00E45D19" w:rsidR="00463D10" w:rsidP="00463D10" w:rsidRDefault="00463D10" w14:paraId="6A0B8E4E" w14:textId="77777777">
      <w:pPr>
        <w:spacing w:after="0" w:line="240" w:lineRule="auto"/>
        <w:ind w:left="720"/>
        <w:contextualSpacing/>
        <w:rPr>
          <w:rFonts w:ascii="Arial" w:hAnsi="Arial" w:eastAsia="Times New Roman" w:cs="Arial"/>
          <w:color w:val="0D0D0D" w:themeColor="text1" w:themeTint="F2"/>
          <w:sz w:val="24"/>
          <w:szCs w:val="24"/>
        </w:rPr>
      </w:pPr>
    </w:p>
    <w:p w:rsidRPr="00E45D19" w:rsidR="00F80BEE" w:rsidP="00AC3859" w:rsidRDefault="00F80BEE" w14:paraId="1D9BDF5E" w14:textId="77777777">
      <w:pPr>
        <w:ind w:left="360"/>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VA will not disclose information collected on this form to any source other than what has been authorized under the Privacy Act of 1974 or Title 38, Code of Federal Regulations 1.576 for routine uses identified in the VA system of records, 55VA26, Loan Guaranty Home, Condominium and Manufactured Home Loan Applicant Records, Specially Adapted Housing Applicant Records, and Vendee Loan Applicants Records – VA, and published in the Federal Register.  </w:t>
      </w:r>
    </w:p>
    <w:p w:rsidRPr="00E45D19" w:rsidR="00463D10" w:rsidP="00463D10" w:rsidRDefault="00463D10" w14:paraId="6A0B8E51" w14:textId="77777777">
      <w:pPr>
        <w:numPr>
          <w:ilvl w:val="0"/>
          <w:numId w:val="1"/>
        </w:numPr>
        <w:tabs>
          <w:tab w:val="left" w:pos="480"/>
          <w:tab w:val="right" w:pos="8640"/>
        </w:tabs>
        <w:spacing w:after="0" w:line="240" w:lineRule="auto"/>
        <w:ind w:right="684"/>
        <w:contextualSpacing/>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E45D19" w:rsidR="00463D10" w:rsidP="00463D10" w:rsidRDefault="00463D10" w14:paraId="6A0B8E52"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p>
    <w:p w:rsidRPr="00E45D19" w:rsidR="00463D10" w:rsidP="00463D10" w:rsidRDefault="00463D10" w14:paraId="6A0B8E53"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r w:rsidRPr="00E45D19">
        <w:rPr>
          <w:rFonts w:ascii="Arial" w:hAnsi="Arial" w:eastAsia="Times New Roman" w:cs="Arial"/>
          <w:color w:val="0D0D0D" w:themeColor="text1" w:themeTint="F2"/>
          <w:sz w:val="24"/>
          <w:szCs w:val="24"/>
        </w:rPr>
        <w:t>There are no questions of a sensitive nature.</w:t>
      </w:r>
    </w:p>
    <w:p w:rsidRPr="00E45D19" w:rsidR="00463D10" w:rsidP="00463D10" w:rsidRDefault="00463D10" w14:paraId="6A0B8E54" w14:textId="77777777">
      <w:pPr>
        <w:spacing w:after="0" w:line="240" w:lineRule="auto"/>
        <w:ind w:left="720"/>
        <w:contextualSpacing/>
        <w:rPr>
          <w:rFonts w:ascii="Arial" w:hAnsi="Arial" w:eastAsia="Times New Roman" w:cs="Arial"/>
          <w:color w:val="0D0D0D" w:themeColor="text1" w:themeTint="F2"/>
          <w:sz w:val="24"/>
          <w:szCs w:val="24"/>
        </w:rPr>
      </w:pPr>
    </w:p>
    <w:p w:rsidRPr="00E45D19" w:rsidR="00463D10" w:rsidP="00463D10" w:rsidRDefault="00463D10" w14:paraId="6A0B8E55" w14:textId="77777777">
      <w:pPr>
        <w:numPr>
          <w:ilvl w:val="0"/>
          <w:numId w:val="1"/>
        </w:numPr>
        <w:tabs>
          <w:tab w:val="left" w:pos="480"/>
          <w:tab w:val="right" w:pos="8640"/>
        </w:tabs>
        <w:spacing w:after="0" w:line="240" w:lineRule="auto"/>
        <w:ind w:right="684"/>
        <w:contextualSpacing/>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Estimate of the hour burden of the collection of information:</w:t>
      </w:r>
    </w:p>
    <w:p w:rsidRPr="00E45D19" w:rsidR="00463D10" w:rsidP="00463D10" w:rsidRDefault="00463D10" w14:paraId="6A0B8E56"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p>
    <w:p w:rsidRPr="00E45D19" w:rsidR="00463D10" w:rsidP="00463D10" w:rsidRDefault="00463D10" w14:paraId="6A0B8E57"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r w:rsidRPr="00E45D19">
        <w:rPr>
          <w:rFonts w:ascii="Arial" w:hAnsi="Arial" w:eastAsia="Times New Roman" w:cs="Arial"/>
          <w:color w:val="0D0D0D" w:themeColor="text1" w:themeTint="F2"/>
          <w:sz w:val="24"/>
          <w:szCs w:val="24"/>
        </w:rPr>
        <w:t>Estimate of Information Collection Burden.</w:t>
      </w:r>
    </w:p>
    <w:p w:rsidRPr="00E45D19" w:rsidR="00463D10" w:rsidP="00463D10" w:rsidRDefault="00463D10" w14:paraId="6A0B8E58" w14:textId="77777777">
      <w:pPr>
        <w:spacing w:after="0" w:line="240" w:lineRule="auto"/>
        <w:rPr>
          <w:rFonts w:ascii="Arial" w:hAnsi="Arial" w:eastAsia="Times New Roman" w:cs="Arial"/>
          <w:color w:val="0D0D0D" w:themeColor="text1" w:themeTint="F2"/>
          <w:sz w:val="24"/>
          <w:szCs w:val="24"/>
        </w:rPr>
      </w:pPr>
    </w:p>
    <w:p w:rsidRPr="00E45D19" w:rsidR="00F80BEE" w:rsidP="00F80BEE" w:rsidRDefault="00F80BEE" w14:paraId="6ABBA6AE" w14:textId="77777777">
      <w:pPr>
        <w:ind w:firstLine="720"/>
        <w:rPr>
          <w:rFonts w:ascii="Arial" w:hAnsi="Arial" w:cs="Arial"/>
          <w:color w:val="0D0D0D" w:themeColor="text1" w:themeTint="F2"/>
          <w:sz w:val="24"/>
          <w:szCs w:val="24"/>
        </w:rPr>
      </w:pPr>
      <w:r w:rsidRPr="00E45D19">
        <w:rPr>
          <w:rFonts w:ascii="Arial" w:hAnsi="Arial" w:cs="Arial"/>
          <w:color w:val="0D0D0D" w:themeColor="text1" w:themeTint="F2"/>
          <w:sz w:val="24"/>
          <w:szCs w:val="24"/>
        </w:rPr>
        <w:t>a.  Number of respondents is estimated at 120 per year.</w:t>
      </w:r>
    </w:p>
    <w:p w:rsidRPr="00E45D19" w:rsidR="00F80BEE" w:rsidP="00F80BEE" w:rsidRDefault="00F80BEE" w14:paraId="7603F12D" w14:textId="77777777">
      <w:pPr>
        <w:ind w:firstLine="720"/>
        <w:rPr>
          <w:rFonts w:ascii="Arial" w:hAnsi="Arial" w:cs="Arial"/>
          <w:color w:val="0D0D0D" w:themeColor="text1" w:themeTint="F2"/>
          <w:sz w:val="24"/>
          <w:szCs w:val="24"/>
        </w:rPr>
      </w:pPr>
      <w:r w:rsidRPr="00E45D19">
        <w:rPr>
          <w:rFonts w:ascii="Arial" w:hAnsi="Arial" w:cs="Arial"/>
          <w:color w:val="0D0D0D" w:themeColor="text1" w:themeTint="F2"/>
          <w:sz w:val="24"/>
          <w:szCs w:val="24"/>
        </w:rPr>
        <w:t>b.  Frequency of response is generally one-time.</w:t>
      </w:r>
    </w:p>
    <w:p w:rsidRPr="00E45D19" w:rsidR="00F80BEE" w:rsidP="00F80BEE" w:rsidRDefault="00F80BEE" w14:paraId="4075F2BF" w14:textId="77777777">
      <w:pPr>
        <w:ind w:firstLine="720"/>
        <w:rPr>
          <w:rFonts w:ascii="Arial" w:hAnsi="Arial" w:cs="Arial"/>
          <w:color w:val="0D0D0D" w:themeColor="text1" w:themeTint="F2"/>
          <w:sz w:val="24"/>
          <w:szCs w:val="24"/>
        </w:rPr>
      </w:pPr>
      <w:r w:rsidRPr="00E45D19">
        <w:rPr>
          <w:rFonts w:ascii="Arial" w:hAnsi="Arial" w:cs="Arial"/>
          <w:color w:val="0D0D0D" w:themeColor="text1" w:themeTint="F2"/>
          <w:sz w:val="24"/>
          <w:szCs w:val="24"/>
        </w:rPr>
        <w:t>c.  Annual burden is 50 hours (120 respondents X 25 minutes = 50/60 min).</w:t>
      </w:r>
    </w:p>
    <w:p w:rsidRPr="00E45D19" w:rsidR="00F80BEE" w:rsidP="00F80BEE" w:rsidRDefault="00F80BEE" w14:paraId="5E506607" w14:textId="77777777">
      <w:pPr>
        <w:ind w:firstLine="720"/>
        <w:rPr>
          <w:rFonts w:ascii="Arial" w:hAnsi="Arial" w:cs="Arial"/>
          <w:color w:val="0D0D0D" w:themeColor="text1" w:themeTint="F2"/>
          <w:sz w:val="24"/>
          <w:szCs w:val="24"/>
        </w:rPr>
      </w:pPr>
      <w:r w:rsidRPr="00E45D19">
        <w:rPr>
          <w:rFonts w:ascii="Arial" w:hAnsi="Arial" w:cs="Arial"/>
          <w:color w:val="0D0D0D" w:themeColor="text1" w:themeTint="F2"/>
          <w:sz w:val="24"/>
          <w:szCs w:val="24"/>
        </w:rPr>
        <w:t>d.  The estimated response time is 25 minutes per response.</w:t>
      </w:r>
    </w:p>
    <w:p w:rsidRPr="00E45D19" w:rsidR="00723367" w:rsidP="00723367" w:rsidRDefault="00F80BEE" w14:paraId="266A12B4" w14:textId="747F3DBE">
      <w:pPr>
        <w:ind w:left="720"/>
        <w:rPr>
          <w:rFonts w:ascii="Arial" w:hAnsi="Arial" w:cs="Arial"/>
          <w:color w:val="0D0D0D" w:themeColor="text1" w:themeTint="F2"/>
          <w:sz w:val="24"/>
          <w:szCs w:val="24"/>
        </w:rPr>
      </w:pPr>
      <w:r w:rsidRPr="00E45D19">
        <w:rPr>
          <w:rFonts w:ascii="Arial" w:hAnsi="Arial" w:cs="Arial"/>
          <w:color w:val="0D0D0D" w:themeColor="text1" w:themeTint="F2"/>
          <w:sz w:val="24"/>
          <w:szCs w:val="24"/>
        </w:rPr>
        <w:lastRenderedPageBreak/>
        <w:t>e. The Bureau of Labor Statistics (BLS) gathers information on full-time wage and salary workers.  According to the latest available BLS data, the median weekly earnings of full-time wage and salary workers are $1,46</w:t>
      </w:r>
      <w:r w:rsidRPr="00E45D19" w:rsidR="007D5A4F">
        <w:rPr>
          <w:rFonts w:ascii="Arial" w:hAnsi="Arial" w:cs="Arial"/>
          <w:color w:val="0D0D0D" w:themeColor="text1" w:themeTint="F2"/>
          <w:sz w:val="24"/>
          <w:szCs w:val="24"/>
        </w:rPr>
        <w:t>5</w:t>
      </w:r>
      <w:r w:rsidRPr="00E45D19">
        <w:rPr>
          <w:rFonts w:ascii="Arial" w:hAnsi="Arial" w:cs="Arial"/>
          <w:color w:val="0D0D0D" w:themeColor="text1" w:themeTint="F2"/>
          <w:sz w:val="24"/>
          <w:szCs w:val="24"/>
        </w:rPr>
        <w:t>.</w:t>
      </w:r>
      <w:r w:rsidRPr="00E45D19" w:rsidR="007D5A4F">
        <w:rPr>
          <w:rFonts w:ascii="Arial" w:hAnsi="Arial" w:cs="Arial"/>
          <w:color w:val="0D0D0D" w:themeColor="text1" w:themeTint="F2"/>
          <w:sz w:val="24"/>
          <w:szCs w:val="24"/>
        </w:rPr>
        <w:t>6</w:t>
      </w:r>
      <w:r w:rsidRPr="00E45D19">
        <w:rPr>
          <w:rFonts w:ascii="Arial" w:hAnsi="Arial" w:cs="Arial"/>
          <w:color w:val="0D0D0D" w:themeColor="text1" w:themeTint="F2"/>
          <w:sz w:val="24"/>
          <w:szCs w:val="24"/>
        </w:rPr>
        <w:t>0.  Assuming a forty (40) hour work week, the mean hourly wage is $36.6</w:t>
      </w:r>
      <w:r w:rsidRPr="00E45D19" w:rsidR="002C0461">
        <w:rPr>
          <w:rFonts w:ascii="Arial" w:hAnsi="Arial" w:cs="Arial"/>
          <w:color w:val="0D0D0D" w:themeColor="text1" w:themeTint="F2"/>
          <w:sz w:val="24"/>
          <w:szCs w:val="24"/>
        </w:rPr>
        <w:t>4</w:t>
      </w:r>
      <w:r w:rsidRPr="00E45D19">
        <w:rPr>
          <w:rFonts w:ascii="Arial" w:hAnsi="Arial" w:cs="Arial"/>
          <w:color w:val="0D0D0D" w:themeColor="text1" w:themeTint="F2"/>
          <w:sz w:val="24"/>
          <w:szCs w:val="24"/>
        </w:rPr>
        <w:t xml:space="preserve"> based on the BLS wage code – “13-2072 Loan Officers. This information was taken from the following website:</w:t>
      </w:r>
      <w:r w:rsidRPr="00E45D19" w:rsidR="00F95992">
        <w:rPr>
          <w:rFonts w:ascii="Arial" w:hAnsi="Arial" w:cs="Arial"/>
          <w:sz w:val="24"/>
          <w:szCs w:val="24"/>
        </w:rPr>
        <w:t xml:space="preserve"> </w:t>
      </w:r>
      <w:hyperlink w:history="1" r:id="rId12">
        <w:r w:rsidRPr="00E45D19" w:rsidR="00F95992">
          <w:rPr>
            <w:rStyle w:val="Hyperlink"/>
            <w:rFonts w:ascii="Arial" w:hAnsi="Arial" w:cs="Arial"/>
            <w:sz w:val="24"/>
            <w:szCs w:val="24"/>
          </w:rPr>
          <w:t>https://www.bls.gov/oes/current/oes_nat.htm</w:t>
        </w:r>
      </w:hyperlink>
      <w:r w:rsidRPr="00E45D19">
        <w:rPr>
          <w:rFonts w:ascii="Arial" w:hAnsi="Arial" w:cs="Arial"/>
          <w:color w:val="0D0D0D" w:themeColor="text1" w:themeTint="F2"/>
          <w:sz w:val="24"/>
          <w:szCs w:val="24"/>
        </w:rPr>
        <w:t xml:space="preserve">, May </w:t>
      </w:r>
      <w:r w:rsidRPr="00E45D19" w:rsidR="00F95992">
        <w:rPr>
          <w:rFonts w:ascii="Arial" w:hAnsi="Arial" w:cs="Arial"/>
          <w:color w:val="0D0D0D" w:themeColor="text1" w:themeTint="F2"/>
          <w:sz w:val="24"/>
          <w:szCs w:val="24"/>
        </w:rPr>
        <w:t>2019</w:t>
      </w:r>
      <w:r w:rsidRPr="00E45D19">
        <w:rPr>
          <w:rFonts w:ascii="Arial" w:hAnsi="Arial" w:cs="Arial"/>
          <w:color w:val="0D0D0D" w:themeColor="text1" w:themeTint="F2"/>
          <w:sz w:val="24"/>
          <w:szCs w:val="24"/>
        </w:rPr>
        <w:t>). </w:t>
      </w:r>
    </w:p>
    <w:p w:rsidRPr="00E45D19" w:rsidR="00F80BEE" w:rsidP="00723367" w:rsidRDefault="00F80BEE" w14:paraId="4AD9EF4F" w14:textId="1A61ACF6">
      <w:pPr>
        <w:ind w:left="720"/>
        <w:rPr>
          <w:rFonts w:ascii="Arial" w:hAnsi="Arial" w:cs="Arial"/>
          <w:color w:val="0D0D0D" w:themeColor="text1" w:themeTint="F2"/>
          <w:sz w:val="24"/>
          <w:szCs w:val="24"/>
        </w:rPr>
      </w:pPr>
      <w:r w:rsidRPr="00E45D19">
        <w:rPr>
          <w:rFonts w:ascii="Arial" w:hAnsi="Arial" w:cs="Arial"/>
          <w:color w:val="0D0D0D" w:themeColor="text1" w:themeTint="F2"/>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the Federal government an estimated $</w:t>
      </w:r>
      <w:r w:rsidRPr="00E45D19" w:rsidR="002C58BF">
        <w:rPr>
          <w:rFonts w:ascii="Arial" w:hAnsi="Arial" w:cs="Arial"/>
          <w:color w:val="0D0D0D" w:themeColor="text1" w:themeTint="F2"/>
          <w:sz w:val="24"/>
          <w:szCs w:val="24"/>
        </w:rPr>
        <w:t>1,83</w:t>
      </w:r>
      <w:r w:rsidRPr="00E45D19" w:rsidR="002C0461">
        <w:rPr>
          <w:rFonts w:ascii="Arial" w:hAnsi="Arial" w:cs="Arial"/>
          <w:color w:val="0D0D0D" w:themeColor="text1" w:themeTint="F2"/>
          <w:sz w:val="24"/>
          <w:szCs w:val="24"/>
        </w:rPr>
        <w:t>2.0</w:t>
      </w:r>
      <w:r w:rsidRPr="00E45D19" w:rsidR="002C58BF">
        <w:rPr>
          <w:rFonts w:ascii="Arial" w:hAnsi="Arial" w:cs="Arial"/>
          <w:color w:val="0D0D0D" w:themeColor="text1" w:themeTint="F2"/>
          <w:sz w:val="24"/>
          <w:szCs w:val="24"/>
        </w:rPr>
        <w:t>0</w:t>
      </w:r>
      <w:r w:rsidRPr="00E45D19">
        <w:rPr>
          <w:rFonts w:ascii="Arial" w:hAnsi="Arial" w:cs="Arial"/>
          <w:color w:val="0D0D0D" w:themeColor="text1" w:themeTint="F2"/>
          <w:sz w:val="24"/>
          <w:szCs w:val="24"/>
        </w:rPr>
        <w:t xml:space="preserve"> hours x $36.67 per hour).</w:t>
      </w:r>
    </w:p>
    <w:p w:rsidRPr="00E45D19" w:rsidR="00463D10" w:rsidP="00E45D19" w:rsidRDefault="00463D10" w14:paraId="6A0B8E6D" w14:textId="02717339">
      <w:pPr>
        <w:pStyle w:val="ListParagraph"/>
        <w:numPr>
          <w:ilvl w:val="0"/>
          <w:numId w:val="1"/>
        </w:numPr>
        <w:tabs>
          <w:tab w:val="left" w:pos="480"/>
          <w:tab w:val="left" w:pos="1080"/>
          <w:tab w:val="left" w:pos="1680"/>
        </w:tabs>
        <w:spacing w:line="240" w:lineRule="auto"/>
        <w:jc w:val="both"/>
        <w:rPr>
          <w:rFonts w:ascii="Arial" w:hAnsi="Arial" w:eastAsia="Times New Roman" w:cs="Arial"/>
          <w:b/>
          <w:color w:val="0D0D0D" w:themeColor="text1" w:themeTint="F2"/>
          <w:sz w:val="24"/>
          <w:szCs w:val="24"/>
        </w:rPr>
      </w:pPr>
      <w:r w:rsidRPr="00E45D19">
        <w:rPr>
          <w:rFonts w:ascii="Arial" w:hAnsi="Arial" w:cs="Arial"/>
          <w:color w:val="0D0D0D" w:themeColor="text1" w:themeTint="F2"/>
          <w:sz w:val="24"/>
          <w:szCs w:val="24"/>
        </w:rPr>
        <w:t xml:space="preserve"> </w:t>
      </w:r>
      <w:r w:rsidRPr="00E45D19">
        <w:rPr>
          <w:rFonts w:ascii="Arial" w:hAnsi="Arial" w:eastAsia="Times New Roman" w:cs="Arial"/>
          <w:b/>
          <w:color w:val="0D0D0D" w:themeColor="text1" w:themeTint="F2"/>
          <w:sz w:val="24"/>
          <w:szCs w:val="24"/>
        </w:rPr>
        <w:t>Provide an estimate of the total annual cost burden to respondents or record-keepers resulting from the collection of information.  (Do not include the cost of any hour burden shown in Items 12 and 14).</w:t>
      </w:r>
    </w:p>
    <w:p w:rsidRPr="00E45D19" w:rsidR="00463D10" w:rsidP="00463D10" w:rsidRDefault="00463D10" w14:paraId="6A0B8E6F"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r w:rsidRPr="00E45D19">
        <w:rPr>
          <w:rFonts w:ascii="Arial" w:hAnsi="Arial" w:eastAsia="Times New Roman" w:cs="Arial"/>
          <w:color w:val="0D0D0D" w:themeColor="text1" w:themeTint="F2"/>
          <w:sz w:val="24"/>
          <w:szCs w:val="24"/>
        </w:rPr>
        <w:t>This submission does not involve any recordkeeping costs.</w:t>
      </w:r>
    </w:p>
    <w:p w:rsidRPr="00E45D19" w:rsidR="00463D10" w:rsidP="00463D10" w:rsidRDefault="00463D10" w14:paraId="6A0B8E70" w14:textId="77777777">
      <w:pPr>
        <w:spacing w:after="0" w:line="240" w:lineRule="auto"/>
        <w:rPr>
          <w:rFonts w:ascii="Arial" w:hAnsi="Arial" w:eastAsia="Times New Roman" w:cs="Arial"/>
          <w:color w:val="0D0D0D" w:themeColor="text1" w:themeTint="F2"/>
          <w:sz w:val="24"/>
          <w:szCs w:val="24"/>
        </w:rPr>
      </w:pPr>
    </w:p>
    <w:p w:rsidRPr="00E45D19" w:rsidR="00463D10" w:rsidP="00463D10" w:rsidRDefault="00463D10" w14:paraId="6A0B8E71" w14:textId="117EDBEA">
      <w:pPr>
        <w:numPr>
          <w:ilvl w:val="0"/>
          <w:numId w:val="1"/>
        </w:numPr>
        <w:tabs>
          <w:tab w:val="left" w:pos="480"/>
          <w:tab w:val="right" w:pos="8640"/>
        </w:tabs>
        <w:spacing w:after="0" w:line="240" w:lineRule="auto"/>
        <w:ind w:right="684"/>
        <w:contextualSpacing/>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E45D19" w:rsidR="000513C4" w:rsidP="000513C4" w:rsidRDefault="000513C4" w14:paraId="4AC756B5" w14:textId="704F6E87">
      <w:pPr>
        <w:tabs>
          <w:tab w:val="left" w:pos="480"/>
          <w:tab w:val="right" w:pos="8640"/>
        </w:tabs>
        <w:spacing w:after="0" w:line="240" w:lineRule="auto"/>
        <w:ind w:left="720" w:right="684"/>
        <w:contextualSpacing/>
        <w:rPr>
          <w:rFonts w:ascii="Arial" w:hAnsi="Arial" w:eastAsia="Times New Roman" w:cs="Arial"/>
          <w:b/>
          <w:color w:val="0D0D0D" w:themeColor="text1" w:themeTint="F2"/>
          <w:sz w:val="24"/>
          <w:szCs w:val="24"/>
        </w:rPr>
      </w:pPr>
    </w:p>
    <w:p w:rsidRPr="00E45D19" w:rsidR="004814CC" w:rsidP="00AC3859" w:rsidRDefault="006D11F3" w14:paraId="178A5B93" w14:textId="31F36E2F">
      <w:pPr>
        <w:pStyle w:val="BodyText"/>
        <w:ind w:left="360"/>
        <w:rPr>
          <w:rFonts w:ascii="Arial" w:hAnsi="Arial" w:cs="Arial"/>
          <w:color w:val="0D0D0D" w:themeColor="text1" w:themeTint="F2"/>
          <w:szCs w:val="24"/>
        </w:rPr>
      </w:pPr>
      <w:r w:rsidRPr="00E45D19">
        <w:rPr>
          <w:rFonts w:ascii="Arial" w:hAnsi="Arial" w:cs="Arial"/>
          <w:color w:val="0D0D0D" w:themeColor="text1" w:themeTint="F2"/>
          <w:szCs w:val="24"/>
        </w:rPr>
        <w:t>Estimated</w:t>
      </w:r>
      <w:r w:rsidRPr="00E45D19">
        <w:rPr>
          <w:rFonts w:ascii="Arial" w:hAnsi="Arial" w:cs="Arial"/>
          <w:color w:val="0D0D0D" w:themeColor="text1" w:themeTint="F2"/>
          <w:spacing w:val="26"/>
          <w:szCs w:val="24"/>
        </w:rPr>
        <w:t xml:space="preserve"> </w:t>
      </w:r>
      <w:r w:rsidRPr="00E45D19">
        <w:rPr>
          <w:rFonts w:ascii="Arial" w:hAnsi="Arial" w:cs="Arial"/>
          <w:color w:val="0D0D0D" w:themeColor="text1" w:themeTint="F2"/>
          <w:szCs w:val="24"/>
        </w:rPr>
        <w:t>Costs</w:t>
      </w:r>
      <w:r w:rsidRPr="00E45D19">
        <w:rPr>
          <w:rFonts w:ascii="Arial" w:hAnsi="Arial" w:cs="Arial"/>
          <w:color w:val="0D0D0D" w:themeColor="text1" w:themeTint="F2"/>
          <w:spacing w:val="13"/>
          <w:szCs w:val="24"/>
        </w:rPr>
        <w:t xml:space="preserve"> </w:t>
      </w:r>
      <w:r w:rsidRPr="00E45D19">
        <w:rPr>
          <w:rFonts w:ascii="Arial" w:hAnsi="Arial" w:cs="Arial"/>
          <w:color w:val="0D0D0D" w:themeColor="text1" w:themeTint="F2"/>
          <w:szCs w:val="24"/>
        </w:rPr>
        <w:t>to</w:t>
      </w:r>
      <w:r w:rsidRPr="00E45D19">
        <w:rPr>
          <w:rFonts w:ascii="Arial" w:hAnsi="Arial" w:cs="Arial"/>
          <w:color w:val="0D0D0D" w:themeColor="text1" w:themeTint="F2"/>
          <w:spacing w:val="21"/>
          <w:szCs w:val="24"/>
        </w:rPr>
        <w:t xml:space="preserve"> </w:t>
      </w:r>
      <w:r w:rsidRPr="00E45D19">
        <w:rPr>
          <w:rFonts w:ascii="Arial" w:hAnsi="Arial" w:cs="Arial"/>
          <w:color w:val="0D0D0D" w:themeColor="text1" w:themeTint="F2"/>
          <w:szCs w:val="24"/>
        </w:rPr>
        <w:t>the</w:t>
      </w:r>
      <w:r w:rsidRPr="00E45D19">
        <w:rPr>
          <w:rFonts w:ascii="Arial" w:hAnsi="Arial" w:cs="Arial"/>
          <w:color w:val="0D0D0D" w:themeColor="text1" w:themeTint="F2"/>
          <w:spacing w:val="32"/>
          <w:szCs w:val="24"/>
        </w:rPr>
        <w:t xml:space="preserve"> </w:t>
      </w:r>
      <w:r w:rsidRPr="00E45D19">
        <w:rPr>
          <w:rFonts w:ascii="Arial" w:hAnsi="Arial" w:cs="Arial"/>
          <w:color w:val="0D0D0D" w:themeColor="text1" w:themeTint="F2"/>
          <w:szCs w:val="24"/>
        </w:rPr>
        <w:t>Federal</w:t>
      </w:r>
      <w:r w:rsidRPr="00E45D19">
        <w:rPr>
          <w:rFonts w:ascii="Arial" w:hAnsi="Arial" w:cs="Arial"/>
          <w:color w:val="0D0D0D" w:themeColor="text1" w:themeTint="F2"/>
          <w:spacing w:val="16"/>
          <w:szCs w:val="24"/>
        </w:rPr>
        <w:t xml:space="preserve"> </w:t>
      </w:r>
      <w:r w:rsidRPr="00E45D19">
        <w:rPr>
          <w:rFonts w:ascii="Arial" w:hAnsi="Arial" w:cs="Arial"/>
          <w:color w:val="0D0D0D" w:themeColor="text1" w:themeTint="F2"/>
          <w:szCs w:val="24"/>
        </w:rPr>
        <w:t>Government are accessible through this link</w:t>
      </w:r>
      <w:r w:rsidRPr="00E45D19" w:rsidR="004814CC">
        <w:rPr>
          <w:rFonts w:ascii="Arial" w:hAnsi="Arial" w:cs="Arial"/>
          <w:color w:val="0D0D0D" w:themeColor="text1" w:themeTint="F2"/>
          <w:szCs w:val="24"/>
        </w:rPr>
        <w:t xml:space="preserve"> </w:t>
      </w:r>
      <w:hyperlink w:history="1" r:id="rId13">
        <w:r w:rsidRPr="00E45D19" w:rsidR="00AC3859">
          <w:rPr>
            <w:rStyle w:val="Hyperlink"/>
            <w:rFonts w:ascii="Arial" w:hAnsi="Arial" w:cs="Arial"/>
            <w:color w:val="0D0DFF" w:themeColor="hyperlink" w:themeTint="F2"/>
            <w:szCs w:val="24"/>
          </w:rPr>
          <w:t>https://www.opm.gov/policy-data-oversight/pay-leave/salaries-wages/salary-tables/pdf/2020/RUS_h.pdf</w:t>
        </w:r>
      </w:hyperlink>
    </w:p>
    <w:p w:rsidRPr="00E45D19" w:rsidR="004814CC" w:rsidP="004814CC" w:rsidRDefault="004814CC" w14:paraId="31E7E048" w14:textId="77777777">
      <w:pPr>
        <w:pStyle w:val="BodyText"/>
        <w:rPr>
          <w:rStyle w:val="Hyperlink"/>
          <w:rFonts w:ascii="Arial" w:hAnsi="Arial" w:cs="Arial"/>
          <w:color w:val="0D0D0D" w:themeColor="text1" w:themeTint="F2"/>
          <w:szCs w:val="24"/>
        </w:rPr>
      </w:pPr>
    </w:p>
    <w:tbl>
      <w:tblPr>
        <w:tblW w:w="8820" w:type="dxa"/>
        <w:tblInd w:w="558" w:type="dxa"/>
        <w:tblCellMar>
          <w:left w:w="0" w:type="dxa"/>
          <w:right w:w="0" w:type="dxa"/>
        </w:tblCellMar>
        <w:tblLook w:val="04A0" w:firstRow="1" w:lastRow="0" w:firstColumn="1" w:lastColumn="0" w:noHBand="0" w:noVBand="1"/>
      </w:tblPr>
      <w:tblGrid>
        <w:gridCol w:w="884"/>
        <w:gridCol w:w="710"/>
        <w:gridCol w:w="990"/>
        <w:gridCol w:w="1083"/>
        <w:gridCol w:w="953"/>
        <w:gridCol w:w="1297"/>
        <w:gridCol w:w="1417"/>
        <w:gridCol w:w="1486"/>
      </w:tblGrid>
      <w:tr w:rsidRPr="00E45D19" w:rsidR="00AC3859" w:rsidTr="00AA4FE7" w14:paraId="5F31D21B"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383B6B59"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     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5A920A4D"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2FA20510"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75A90F86"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71C58A47"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4256B6B6"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13AC33C5"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504AC343"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Total</w:t>
            </w:r>
          </w:p>
        </w:tc>
      </w:tr>
      <w:tr w:rsidRPr="00E45D19" w:rsidR="00AC3859" w:rsidTr="00AA4FE7" w14:paraId="3F5F4AFB"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15563DD0"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11</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288E0C89"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6C83B18B" w14:textId="7A915BF4">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50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133F102B"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1.00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755C0009"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$35.78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657A3EDF"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$35.78</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1DCAD68B" w14:textId="0EB38273">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    120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09954AB2" w14:textId="068219C9">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$ 1,789.00</w:t>
            </w:r>
          </w:p>
        </w:tc>
      </w:tr>
      <w:tr w:rsidRPr="00E45D19" w:rsidR="00AC3859" w:rsidTr="00AA4FE7" w14:paraId="378E9E3B"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45D19" w:rsidR="002C58BF" w:rsidP="00AA4FE7" w:rsidRDefault="002C58BF" w14:paraId="45CC617D" w14:textId="77777777">
            <w:pPr>
              <w:rPr>
                <w:rFonts w:ascii="Arial" w:hAnsi="Arial" w:cs="Arial"/>
                <w:color w:val="0D0D0D" w:themeColor="text1" w:themeTint="F2"/>
                <w:sz w:val="24"/>
                <w:szCs w:val="24"/>
              </w:rPr>
            </w:pPr>
            <w:r w:rsidRPr="00E45D19">
              <w:rPr>
                <w:rFonts w:ascii="Arial" w:hAnsi="Arial" w:cs="Arial"/>
                <w:color w:val="0D0D0D" w:themeColor="text1" w:themeTint="F2"/>
                <w:sz w:val="24"/>
                <w:szCs w:val="24"/>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4CC4DE3D" w14:textId="0389CA63">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   1,789.00 </w:t>
            </w:r>
          </w:p>
        </w:tc>
      </w:tr>
      <w:tr w:rsidRPr="00E45D19" w:rsidR="00AC3859" w:rsidTr="00AA4FE7" w14:paraId="0B6E2AFB"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75590FA1"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12</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74B9774A"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0A224FFE" w14:textId="37467CA5">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25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61636B5C"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0.50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3E1A8914"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$42.89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1B09AA3F"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$21.45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5CD4EE87" w14:textId="2954153F">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    120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6FCFA15C" w14:textId="2AE70A42">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 $     536.25 </w:t>
            </w:r>
          </w:p>
        </w:tc>
      </w:tr>
      <w:tr w:rsidRPr="00E45D19" w:rsidR="00AC3859" w:rsidTr="00AA4FE7" w14:paraId="07EED5B0"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45D19" w:rsidR="002C58BF" w:rsidP="00AA4FE7" w:rsidRDefault="002C58BF" w14:paraId="1C7389AC" w14:textId="77777777">
            <w:pPr>
              <w:rPr>
                <w:rFonts w:ascii="Arial" w:hAnsi="Arial" w:cs="Arial"/>
                <w:color w:val="0D0D0D" w:themeColor="text1" w:themeTint="F2"/>
                <w:sz w:val="24"/>
                <w:szCs w:val="24"/>
              </w:rPr>
            </w:pPr>
            <w:r w:rsidRPr="00E45D19">
              <w:rPr>
                <w:rFonts w:ascii="Arial" w:hAnsi="Arial" w:cs="Arial"/>
                <w:color w:val="0D0D0D" w:themeColor="text1" w:themeTint="F2"/>
                <w:sz w:val="24"/>
                <w:szCs w:val="24"/>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17753E97" w14:textId="64E29E14">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     536.25 </w:t>
            </w:r>
          </w:p>
        </w:tc>
      </w:tr>
      <w:tr w:rsidRPr="00E45D19" w:rsidR="00AC3859" w:rsidTr="00AA4FE7" w14:paraId="39A1A2DC"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70888891"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13</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40EC1564"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3BFD7AC4" w14:textId="0343D072">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12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065B7817"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0.25</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7E1AB762"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$51.00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61FA312C"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$12.75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563D4784" w14:textId="54B4BF52">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    120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07ED6753" w14:textId="3DE8C94A">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 $     153.00 </w:t>
            </w:r>
          </w:p>
        </w:tc>
      </w:tr>
      <w:tr w:rsidRPr="00E45D19" w:rsidR="00AC3859" w:rsidTr="00AA4FE7" w14:paraId="42F2637E"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45D19" w:rsidR="002C58BF" w:rsidP="00AA4FE7" w:rsidRDefault="002C58BF" w14:paraId="08F1A53F" w14:textId="77777777">
            <w:pPr>
              <w:rPr>
                <w:rFonts w:ascii="Arial" w:hAnsi="Arial" w:cs="Arial"/>
                <w:color w:val="0D0D0D" w:themeColor="text1" w:themeTint="F2"/>
                <w:sz w:val="24"/>
                <w:szCs w:val="24"/>
              </w:rPr>
            </w:pPr>
            <w:r w:rsidRPr="00E45D19">
              <w:rPr>
                <w:rFonts w:ascii="Arial" w:hAnsi="Arial" w:cs="Arial"/>
                <w:color w:val="0D0D0D" w:themeColor="text1" w:themeTint="F2"/>
                <w:sz w:val="24"/>
                <w:szCs w:val="24"/>
              </w:rPr>
              <w:lastRenderedPageBreak/>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395D14C4" w14:textId="40369953">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     153.00 </w:t>
            </w:r>
          </w:p>
        </w:tc>
      </w:tr>
      <w:tr w:rsidRPr="00E45D19" w:rsidR="00AC3859" w:rsidTr="00AA4FE7" w14:paraId="46046FAC"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45D19" w:rsidR="002C58BF" w:rsidP="00AA4FE7" w:rsidRDefault="002C58BF" w14:paraId="67DFACC4"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0AF3CCCC"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w:t>
            </w:r>
          </w:p>
        </w:tc>
      </w:tr>
      <w:tr w:rsidRPr="00E45D19" w:rsidR="00AC3859" w:rsidTr="00AA4FE7" w14:paraId="032D39A7"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45D19" w:rsidR="002C58BF" w:rsidP="00AA4FE7" w:rsidRDefault="002C58BF" w14:paraId="333CF0DA" w14:textId="77777777">
            <w:pPr>
              <w:rPr>
                <w:rFonts w:ascii="Arial" w:hAnsi="Arial" w:cs="Arial"/>
                <w:color w:val="0D0D0D" w:themeColor="text1" w:themeTint="F2"/>
                <w:sz w:val="24"/>
                <w:szCs w:val="24"/>
              </w:rPr>
            </w:pPr>
            <w:r w:rsidRPr="00E45D19">
              <w:rPr>
                <w:rFonts w:ascii="Arial" w:hAnsi="Arial" w:cs="Arial"/>
                <w:color w:val="0D0D0D" w:themeColor="text1" w:themeTint="F2"/>
                <w:sz w:val="24"/>
                <w:szCs w:val="24"/>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43F0AD18" w14:textId="22D2277F">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   2,478.25 </w:t>
            </w:r>
          </w:p>
        </w:tc>
      </w:tr>
      <w:tr w:rsidRPr="00E45D19" w:rsidR="00AC3859" w:rsidTr="00AA4FE7" w14:paraId="2FB5A403"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45D19" w:rsidR="002C58BF" w:rsidP="00AA4FE7" w:rsidRDefault="002C58BF" w14:paraId="79097D87" w14:textId="77777777">
            <w:pPr>
              <w:rPr>
                <w:rFonts w:ascii="Arial" w:hAnsi="Arial" w:cs="Arial"/>
                <w:color w:val="0D0D0D" w:themeColor="text1" w:themeTint="F2"/>
                <w:sz w:val="24"/>
                <w:szCs w:val="24"/>
              </w:rPr>
            </w:pPr>
            <w:r w:rsidRPr="00E45D19">
              <w:rPr>
                <w:rFonts w:ascii="Arial" w:hAnsi="Arial" w:cs="Arial"/>
                <w:color w:val="0D0D0D" w:themeColor="text1" w:themeTint="F2"/>
                <w:sz w:val="24"/>
                <w:szCs w:val="24"/>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7C219748" w14:textId="77777777">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       0.00 </w:t>
            </w:r>
          </w:p>
        </w:tc>
      </w:tr>
      <w:tr w:rsidRPr="00E45D19" w:rsidR="00AC3859" w:rsidTr="00AA4FE7" w14:paraId="7BA61CA2"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45D19" w:rsidR="002C58BF" w:rsidP="00AA4FE7" w:rsidRDefault="002C58BF" w14:paraId="6661CE7F" w14:textId="77777777">
            <w:pPr>
              <w:rPr>
                <w:rFonts w:ascii="Arial" w:hAnsi="Arial" w:cs="Arial"/>
                <w:color w:val="0D0D0D" w:themeColor="text1" w:themeTint="F2"/>
                <w:sz w:val="24"/>
                <w:szCs w:val="24"/>
              </w:rPr>
            </w:pPr>
            <w:r w:rsidRPr="00E45D19">
              <w:rPr>
                <w:rFonts w:ascii="Arial" w:hAnsi="Arial" w:cs="Arial"/>
                <w:color w:val="0D0D0D" w:themeColor="text1" w:themeTint="F2"/>
                <w:sz w:val="24"/>
                <w:szCs w:val="24"/>
              </w:rPr>
              <w:t>Total Cost to Government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45D19" w:rsidR="002C58BF" w:rsidP="00AA4FE7" w:rsidRDefault="002C58BF" w14:paraId="513BBBF2" w14:textId="6115640C">
            <w:pPr>
              <w:jc w:val="center"/>
              <w:rPr>
                <w:rFonts w:ascii="Arial" w:hAnsi="Arial" w:cs="Arial"/>
                <w:color w:val="0D0D0D" w:themeColor="text1" w:themeTint="F2"/>
                <w:sz w:val="24"/>
                <w:szCs w:val="24"/>
              </w:rPr>
            </w:pPr>
            <w:r w:rsidRPr="00E45D19">
              <w:rPr>
                <w:rFonts w:ascii="Arial" w:hAnsi="Arial" w:cs="Arial"/>
                <w:color w:val="0D0D0D" w:themeColor="text1" w:themeTint="F2"/>
                <w:sz w:val="24"/>
                <w:szCs w:val="24"/>
              </w:rPr>
              <w:t xml:space="preserve">$   2,478.25 </w:t>
            </w:r>
          </w:p>
        </w:tc>
      </w:tr>
    </w:tbl>
    <w:p w:rsidRPr="00E45D19" w:rsidR="000513C4" w:rsidP="000513C4" w:rsidRDefault="000513C4" w14:paraId="4FBAEF8F" w14:textId="7383B609">
      <w:pPr>
        <w:pStyle w:val="BodyText"/>
        <w:ind w:left="720"/>
        <w:rPr>
          <w:rStyle w:val="Hyperlink"/>
          <w:rFonts w:ascii="Arial" w:hAnsi="Arial" w:cs="Arial"/>
          <w:color w:val="0D0D0D" w:themeColor="text1" w:themeTint="F2"/>
          <w:szCs w:val="24"/>
        </w:rPr>
      </w:pPr>
      <w:r w:rsidRPr="00E45D19">
        <w:rPr>
          <w:rFonts w:ascii="Arial" w:hAnsi="Arial" w:cs="Arial"/>
          <w:color w:val="0D0D0D" w:themeColor="text1" w:themeTint="F2"/>
          <w:szCs w:val="24"/>
        </w:rPr>
        <w:t>The</w:t>
      </w:r>
      <w:r w:rsidRPr="00E45D19">
        <w:rPr>
          <w:rFonts w:ascii="Arial" w:hAnsi="Arial" w:cs="Arial"/>
          <w:color w:val="0D0D0D" w:themeColor="text1" w:themeTint="F2"/>
          <w:spacing w:val="28"/>
          <w:szCs w:val="24"/>
        </w:rPr>
        <w:t xml:space="preserve"> </w:t>
      </w:r>
      <w:r w:rsidRPr="00E45D19">
        <w:rPr>
          <w:rFonts w:ascii="Arial" w:hAnsi="Arial" w:cs="Arial"/>
          <w:color w:val="0D0D0D" w:themeColor="text1" w:themeTint="F2"/>
          <w:szCs w:val="24"/>
        </w:rPr>
        <w:t>processing</w:t>
      </w:r>
      <w:r w:rsidRPr="00E45D19">
        <w:rPr>
          <w:rFonts w:ascii="Arial" w:hAnsi="Arial" w:cs="Arial"/>
          <w:color w:val="0D0D0D" w:themeColor="text1" w:themeTint="F2"/>
          <w:spacing w:val="18"/>
          <w:szCs w:val="24"/>
        </w:rPr>
        <w:t xml:space="preserve"> </w:t>
      </w:r>
      <w:r w:rsidRPr="00E45D19">
        <w:rPr>
          <w:rFonts w:ascii="Arial" w:hAnsi="Arial" w:cs="Arial"/>
          <w:color w:val="0D0D0D" w:themeColor="text1" w:themeTint="F2"/>
          <w:szCs w:val="24"/>
        </w:rPr>
        <w:t>time</w:t>
      </w:r>
      <w:r w:rsidRPr="00E45D19">
        <w:rPr>
          <w:rFonts w:ascii="Arial" w:hAnsi="Arial" w:cs="Arial"/>
          <w:color w:val="0D0D0D" w:themeColor="text1" w:themeTint="F2"/>
          <w:spacing w:val="21"/>
          <w:szCs w:val="24"/>
        </w:rPr>
        <w:t xml:space="preserve"> </w:t>
      </w:r>
      <w:r w:rsidRPr="00E45D19">
        <w:rPr>
          <w:rFonts w:ascii="Arial" w:hAnsi="Arial" w:cs="Arial"/>
          <w:color w:val="0D0D0D" w:themeColor="text1" w:themeTint="F2"/>
          <w:szCs w:val="24"/>
        </w:rPr>
        <w:t>estimates</w:t>
      </w:r>
      <w:r w:rsidRPr="00E45D19">
        <w:rPr>
          <w:rFonts w:ascii="Arial" w:hAnsi="Arial" w:cs="Arial"/>
          <w:color w:val="0D0D0D" w:themeColor="text1" w:themeTint="F2"/>
          <w:spacing w:val="36"/>
          <w:szCs w:val="24"/>
        </w:rPr>
        <w:t xml:space="preserve"> </w:t>
      </w:r>
      <w:r w:rsidRPr="00E45D19">
        <w:rPr>
          <w:rFonts w:ascii="Arial" w:hAnsi="Arial" w:cs="Arial"/>
          <w:color w:val="0D0D0D" w:themeColor="text1" w:themeTint="F2"/>
          <w:szCs w:val="24"/>
        </w:rPr>
        <w:t>above</w:t>
      </w:r>
      <w:r w:rsidRPr="00E45D19">
        <w:rPr>
          <w:rFonts w:ascii="Arial" w:hAnsi="Arial" w:cs="Arial"/>
          <w:color w:val="0D0D0D" w:themeColor="text1" w:themeTint="F2"/>
          <w:spacing w:val="23"/>
          <w:szCs w:val="24"/>
        </w:rPr>
        <w:t xml:space="preserve"> </w:t>
      </w:r>
      <w:r w:rsidRPr="00E45D19">
        <w:rPr>
          <w:rFonts w:ascii="Arial" w:hAnsi="Arial" w:cs="Arial"/>
          <w:color w:val="0D0D0D" w:themeColor="text1" w:themeTint="F2"/>
          <w:szCs w:val="24"/>
        </w:rPr>
        <w:t>are</w:t>
      </w:r>
      <w:r w:rsidRPr="00E45D19">
        <w:rPr>
          <w:rFonts w:ascii="Arial" w:hAnsi="Arial" w:cs="Arial"/>
          <w:color w:val="0D0D0D" w:themeColor="text1" w:themeTint="F2"/>
          <w:spacing w:val="17"/>
          <w:szCs w:val="24"/>
        </w:rPr>
        <w:t xml:space="preserve"> </w:t>
      </w:r>
      <w:r w:rsidRPr="00E45D19">
        <w:rPr>
          <w:rFonts w:ascii="Arial" w:hAnsi="Arial" w:cs="Arial"/>
          <w:color w:val="0D0D0D" w:themeColor="text1" w:themeTint="F2"/>
          <w:szCs w:val="24"/>
        </w:rPr>
        <w:t>based</w:t>
      </w:r>
      <w:r w:rsidRPr="00E45D19">
        <w:rPr>
          <w:rFonts w:ascii="Arial" w:hAnsi="Arial" w:cs="Arial"/>
          <w:color w:val="0D0D0D" w:themeColor="text1" w:themeTint="F2"/>
          <w:spacing w:val="15"/>
          <w:szCs w:val="24"/>
        </w:rPr>
        <w:t xml:space="preserve"> </w:t>
      </w:r>
      <w:r w:rsidRPr="00E45D19">
        <w:rPr>
          <w:rFonts w:ascii="Arial" w:hAnsi="Arial" w:cs="Arial"/>
          <w:color w:val="0D0D0D" w:themeColor="text1" w:themeTint="F2"/>
          <w:szCs w:val="24"/>
        </w:rPr>
        <w:t>on</w:t>
      </w:r>
      <w:r w:rsidRPr="00E45D19">
        <w:rPr>
          <w:rFonts w:ascii="Arial" w:hAnsi="Arial" w:cs="Arial"/>
          <w:color w:val="0D0D0D" w:themeColor="text1" w:themeTint="F2"/>
          <w:spacing w:val="4"/>
          <w:szCs w:val="24"/>
        </w:rPr>
        <w:t xml:space="preserve"> </w:t>
      </w:r>
      <w:r w:rsidRPr="00E45D19">
        <w:rPr>
          <w:rFonts w:ascii="Arial" w:hAnsi="Arial" w:cs="Arial"/>
          <w:color w:val="0D0D0D" w:themeColor="text1" w:themeTint="F2"/>
          <w:szCs w:val="24"/>
        </w:rPr>
        <w:t>the</w:t>
      </w:r>
      <w:r w:rsidRPr="00E45D19">
        <w:rPr>
          <w:rFonts w:ascii="Arial" w:hAnsi="Arial" w:cs="Arial"/>
          <w:color w:val="0D0D0D" w:themeColor="text1" w:themeTint="F2"/>
          <w:spacing w:val="17"/>
          <w:szCs w:val="24"/>
        </w:rPr>
        <w:t xml:space="preserve"> </w:t>
      </w:r>
      <w:r w:rsidRPr="00E45D19">
        <w:rPr>
          <w:rFonts w:ascii="Arial" w:hAnsi="Arial" w:cs="Arial"/>
          <w:color w:val="0D0D0D" w:themeColor="text1" w:themeTint="F2"/>
          <w:szCs w:val="24"/>
        </w:rPr>
        <w:t>actual</w:t>
      </w:r>
      <w:r w:rsidRPr="00E45D19">
        <w:rPr>
          <w:rFonts w:ascii="Arial" w:hAnsi="Arial" w:cs="Arial"/>
          <w:color w:val="0D0D0D" w:themeColor="text1" w:themeTint="F2"/>
          <w:spacing w:val="13"/>
          <w:szCs w:val="24"/>
        </w:rPr>
        <w:t xml:space="preserve"> </w:t>
      </w:r>
      <w:r w:rsidRPr="00E45D19">
        <w:rPr>
          <w:rFonts w:ascii="Arial" w:hAnsi="Arial" w:cs="Arial"/>
          <w:color w:val="0D0D0D" w:themeColor="text1" w:themeTint="F2"/>
          <w:szCs w:val="24"/>
        </w:rPr>
        <w:t>amount</w:t>
      </w:r>
      <w:r w:rsidRPr="00E45D19">
        <w:rPr>
          <w:rFonts w:ascii="Arial" w:hAnsi="Arial" w:cs="Arial"/>
          <w:color w:val="0D0D0D" w:themeColor="text1" w:themeTint="F2"/>
          <w:spacing w:val="21"/>
          <w:szCs w:val="24"/>
        </w:rPr>
        <w:t xml:space="preserve"> </w:t>
      </w:r>
      <w:r w:rsidRPr="00E45D19">
        <w:rPr>
          <w:rFonts w:ascii="Arial" w:hAnsi="Arial" w:cs="Arial"/>
          <w:color w:val="0D0D0D" w:themeColor="text1" w:themeTint="F2"/>
          <w:szCs w:val="24"/>
        </w:rPr>
        <w:t>of</w:t>
      </w:r>
      <w:r w:rsidRPr="00E45D19">
        <w:rPr>
          <w:rFonts w:ascii="Arial" w:hAnsi="Arial" w:cs="Arial"/>
          <w:color w:val="0D0D0D" w:themeColor="text1" w:themeTint="F2"/>
          <w:spacing w:val="5"/>
          <w:szCs w:val="24"/>
        </w:rPr>
        <w:t xml:space="preserve"> </w:t>
      </w:r>
      <w:r w:rsidRPr="00E45D19">
        <w:rPr>
          <w:rFonts w:ascii="Arial" w:hAnsi="Arial" w:cs="Arial"/>
          <w:color w:val="0D0D0D" w:themeColor="text1" w:themeTint="F2"/>
          <w:szCs w:val="24"/>
        </w:rPr>
        <w:t>time</w:t>
      </w:r>
      <w:r w:rsidRPr="00E45D19">
        <w:rPr>
          <w:rFonts w:ascii="Arial" w:hAnsi="Arial" w:cs="Arial"/>
          <w:color w:val="0D0D0D" w:themeColor="text1" w:themeTint="F2"/>
          <w:w w:val="97"/>
          <w:szCs w:val="24"/>
        </w:rPr>
        <w:t xml:space="preserve"> </w:t>
      </w:r>
      <w:r w:rsidRPr="00E45D19">
        <w:rPr>
          <w:rFonts w:ascii="Arial" w:hAnsi="Arial" w:cs="Arial"/>
          <w:color w:val="0D0D0D" w:themeColor="text1" w:themeTint="F2"/>
          <w:spacing w:val="-1"/>
          <w:szCs w:val="24"/>
        </w:rPr>
        <w:t>employees</w:t>
      </w:r>
      <w:r w:rsidRPr="00E45D19">
        <w:rPr>
          <w:rFonts w:ascii="Arial" w:hAnsi="Arial" w:cs="Arial"/>
          <w:color w:val="0D0D0D" w:themeColor="text1" w:themeTint="F2"/>
          <w:spacing w:val="26"/>
          <w:szCs w:val="24"/>
        </w:rPr>
        <w:t xml:space="preserve"> </w:t>
      </w:r>
      <w:r w:rsidRPr="00E45D19">
        <w:rPr>
          <w:rFonts w:ascii="Arial" w:hAnsi="Arial" w:cs="Arial"/>
          <w:color w:val="0D0D0D" w:themeColor="text1" w:themeTint="F2"/>
          <w:szCs w:val="24"/>
        </w:rPr>
        <w:t>of</w:t>
      </w:r>
      <w:r w:rsidRPr="00E45D19">
        <w:rPr>
          <w:rFonts w:ascii="Arial" w:hAnsi="Arial" w:cs="Arial"/>
          <w:color w:val="0D0D0D" w:themeColor="text1" w:themeTint="F2"/>
          <w:spacing w:val="4"/>
          <w:szCs w:val="24"/>
        </w:rPr>
        <w:t xml:space="preserve"> </w:t>
      </w:r>
      <w:r w:rsidRPr="00E45D19">
        <w:rPr>
          <w:rFonts w:ascii="Arial" w:hAnsi="Arial" w:cs="Arial"/>
          <w:color w:val="0D0D0D" w:themeColor="text1" w:themeTint="F2"/>
          <w:szCs w:val="24"/>
        </w:rPr>
        <w:t>the</w:t>
      </w:r>
      <w:r w:rsidRPr="00E45D19">
        <w:rPr>
          <w:rFonts w:ascii="Arial" w:hAnsi="Arial" w:cs="Arial"/>
          <w:color w:val="0D0D0D" w:themeColor="text1" w:themeTint="F2"/>
          <w:spacing w:val="11"/>
          <w:szCs w:val="24"/>
        </w:rPr>
        <w:t xml:space="preserve"> </w:t>
      </w:r>
      <w:r w:rsidRPr="00E45D19">
        <w:rPr>
          <w:rFonts w:ascii="Arial" w:hAnsi="Arial" w:cs="Arial"/>
          <w:color w:val="0D0D0D" w:themeColor="text1" w:themeTint="F2"/>
          <w:szCs w:val="24"/>
        </w:rPr>
        <w:t>grade</w:t>
      </w:r>
      <w:r w:rsidRPr="00E45D19">
        <w:rPr>
          <w:rFonts w:ascii="Arial" w:hAnsi="Arial" w:cs="Arial"/>
          <w:color w:val="0D0D0D" w:themeColor="text1" w:themeTint="F2"/>
          <w:spacing w:val="28"/>
          <w:szCs w:val="24"/>
        </w:rPr>
        <w:t xml:space="preserve"> </w:t>
      </w:r>
      <w:r w:rsidRPr="00E45D19">
        <w:rPr>
          <w:rFonts w:ascii="Arial" w:hAnsi="Arial" w:cs="Arial"/>
          <w:color w:val="0D0D0D" w:themeColor="text1" w:themeTint="F2"/>
          <w:szCs w:val="24"/>
        </w:rPr>
        <w:t>level</w:t>
      </w:r>
      <w:r w:rsidRPr="00E45D19">
        <w:rPr>
          <w:rFonts w:ascii="Arial" w:hAnsi="Arial" w:cs="Arial"/>
          <w:color w:val="0D0D0D" w:themeColor="text1" w:themeTint="F2"/>
          <w:spacing w:val="11"/>
          <w:szCs w:val="24"/>
        </w:rPr>
        <w:t xml:space="preserve"> </w:t>
      </w:r>
      <w:r w:rsidRPr="00E45D19">
        <w:rPr>
          <w:rFonts w:ascii="Arial" w:hAnsi="Arial" w:cs="Arial"/>
          <w:color w:val="0D0D0D" w:themeColor="text1" w:themeTint="F2"/>
          <w:szCs w:val="24"/>
        </w:rPr>
        <w:t>spend</w:t>
      </w:r>
      <w:r w:rsidRPr="00E45D19">
        <w:rPr>
          <w:rFonts w:ascii="Arial" w:hAnsi="Arial" w:cs="Arial"/>
          <w:color w:val="0D0D0D" w:themeColor="text1" w:themeTint="F2"/>
          <w:spacing w:val="19"/>
          <w:szCs w:val="24"/>
        </w:rPr>
        <w:t xml:space="preserve"> </w:t>
      </w:r>
      <w:r w:rsidRPr="00E45D19">
        <w:rPr>
          <w:rFonts w:ascii="Arial" w:hAnsi="Arial" w:cs="Arial"/>
          <w:color w:val="0D0D0D" w:themeColor="text1" w:themeTint="F2"/>
          <w:szCs w:val="24"/>
        </w:rPr>
        <w:t>to</w:t>
      </w:r>
      <w:r w:rsidRPr="00E45D19">
        <w:rPr>
          <w:rFonts w:ascii="Arial" w:hAnsi="Arial" w:cs="Arial"/>
          <w:color w:val="0D0D0D" w:themeColor="text1" w:themeTint="F2"/>
          <w:spacing w:val="21"/>
          <w:szCs w:val="24"/>
        </w:rPr>
        <w:t xml:space="preserve"> </w:t>
      </w:r>
      <w:r w:rsidRPr="00E45D19">
        <w:rPr>
          <w:rFonts w:ascii="Arial" w:hAnsi="Arial" w:cs="Arial"/>
          <w:color w:val="0D0D0D" w:themeColor="text1" w:themeTint="F2"/>
          <w:szCs w:val="24"/>
        </w:rPr>
        <w:t>process</w:t>
      </w:r>
      <w:r w:rsidRPr="00E45D19">
        <w:rPr>
          <w:rFonts w:ascii="Arial" w:hAnsi="Arial" w:cs="Arial"/>
          <w:color w:val="0D0D0D" w:themeColor="text1" w:themeTint="F2"/>
          <w:spacing w:val="14"/>
          <w:szCs w:val="24"/>
        </w:rPr>
        <w:t xml:space="preserve"> </w:t>
      </w:r>
      <w:r w:rsidRPr="00E45D19">
        <w:rPr>
          <w:rFonts w:ascii="Arial" w:hAnsi="Arial" w:cs="Arial"/>
          <w:color w:val="0D0D0D" w:themeColor="text1" w:themeTint="F2"/>
          <w:szCs w:val="24"/>
        </w:rPr>
        <w:t>to</w:t>
      </w:r>
      <w:r w:rsidRPr="00E45D19">
        <w:rPr>
          <w:rFonts w:ascii="Arial" w:hAnsi="Arial" w:cs="Arial"/>
          <w:color w:val="0D0D0D" w:themeColor="text1" w:themeTint="F2"/>
          <w:spacing w:val="21"/>
          <w:szCs w:val="24"/>
        </w:rPr>
        <w:t xml:space="preserve"> </w:t>
      </w:r>
      <w:r w:rsidRPr="00E45D19">
        <w:rPr>
          <w:rFonts w:ascii="Arial" w:hAnsi="Arial" w:cs="Arial"/>
          <w:color w:val="0D0D0D" w:themeColor="text1" w:themeTint="F2"/>
          <w:szCs w:val="24"/>
        </w:rPr>
        <w:t>completion</w:t>
      </w:r>
      <w:r w:rsidRPr="00E45D19">
        <w:rPr>
          <w:rFonts w:ascii="Arial" w:hAnsi="Arial" w:cs="Arial"/>
          <w:color w:val="0D0D0D" w:themeColor="text1" w:themeTint="F2"/>
          <w:spacing w:val="30"/>
          <w:szCs w:val="24"/>
        </w:rPr>
        <w:t xml:space="preserve"> </w:t>
      </w:r>
      <w:r w:rsidRPr="00E45D19">
        <w:rPr>
          <w:rFonts w:ascii="Arial" w:hAnsi="Arial" w:cs="Arial"/>
          <w:color w:val="0D0D0D" w:themeColor="text1" w:themeTint="F2"/>
          <w:szCs w:val="24"/>
        </w:rPr>
        <w:t>a</w:t>
      </w:r>
      <w:r w:rsidRPr="00E45D19">
        <w:rPr>
          <w:rFonts w:ascii="Arial" w:hAnsi="Arial" w:cs="Arial"/>
          <w:color w:val="0D0D0D" w:themeColor="text1" w:themeTint="F2"/>
          <w:spacing w:val="15"/>
          <w:szCs w:val="24"/>
        </w:rPr>
        <w:t xml:space="preserve"> </w:t>
      </w:r>
      <w:r w:rsidRPr="00E45D19">
        <w:rPr>
          <w:rFonts w:ascii="Arial" w:hAnsi="Arial" w:cs="Arial"/>
          <w:color w:val="0D0D0D" w:themeColor="text1" w:themeTint="F2"/>
          <w:szCs w:val="24"/>
        </w:rPr>
        <w:t>claim</w:t>
      </w:r>
      <w:r w:rsidRPr="00E45D19">
        <w:rPr>
          <w:rFonts w:ascii="Arial" w:hAnsi="Arial" w:cs="Arial"/>
          <w:color w:val="0D0D0D" w:themeColor="text1" w:themeTint="F2"/>
          <w:spacing w:val="28"/>
          <w:szCs w:val="24"/>
        </w:rPr>
        <w:t xml:space="preserve"> </w:t>
      </w:r>
      <w:r w:rsidRPr="00E45D19">
        <w:rPr>
          <w:rFonts w:ascii="Arial" w:hAnsi="Arial" w:cs="Arial"/>
          <w:color w:val="0D0D0D" w:themeColor="text1" w:themeTint="F2"/>
          <w:szCs w:val="24"/>
        </w:rPr>
        <w:t>received</w:t>
      </w:r>
      <w:r w:rsidRPr="00E45D19">
        <w:rPr>
          <w:rFonts w:ascii="Arial" w:hAnsi="Arial" w:cs="Arial"/>
          <w:color w:val="0D0D0D" w:themeColor="text1" w:themeTint="F2"/>
          <w:spacing w:val="32"/>
          <w:szCs w:val="24"/>
        </w:rPr>
        <w:t xml:space="preserve"> </w:t>
      </w:r>
      <w:r w:rsidRPr="00E45D19">
        <w:rPr>
          <w:rFonts w:ascii="Arial" w:hAnsi="Arial" w:cs="Arial"/>
          <w:color w:val="0D0D0D" w:themeColor="text1" w:themeTint="F2"/>
          <w:szCs w:val="24"/>
        </w:rPr>
        <w:t>on</w:t>
      </w:r>
      <w:r w:rsidRPr="00E45D19">
        <w:rPr>
          <w:rFonts w:ascii="Arial" w:hAnsi="Arial" w:cs="Arial"/>
          <w:color w:val="0D0D0D" w:themeColor="text1" w:themeTint="F2"/>
          <w:spacing w:val="26"/>
          <w:w w:val="99"/>
          <w:szCs w:val="24"/>
        </w:rPr>
        <w:t xml:space="preserve"> </w:t>
      </w:r>
      <w:r w:rsidRPr="00E45D19">
        <w:rPr>
          <w:rFonts w:ascii="Arial" w:hAnsi="Arial" w:cs="Arial"/>
          <w:color w:val="0D0D0D" w:themeColor="text1" w:themeTint="F2"/>
          <w:szCs w:val="24"/>
        </w:rPr>
        <w:t>this</w:t>
      </w:r>
      <w:r w:rsidRPr="00E45D19">
        <w:rPr>
          <w:rFonts w:ascii="Arial" w:hAnsi="Arial" w:cs="Arial"/>
          <w:color w:val="0D0D0D" w:themeColor="text1" w:themeTint="F2"/>
          <w:spacing w:val="25"/>
          <w:szCs w:val="24"/>
        </w:rPr>
        <w:t xml:space="preserve"> </w:t>
      </w:r>
      <w:r w:rsidRPr="00E45D19">
        <w:rPr>
          <w:rFonts w:ascii="Arial" w:hAnsi="Arial" w:cs="Arial"/>
          <w:color w:val="0D0D0D" w:themeColor="text1" w:themeTint="F2"/>
          <w:szCs w:val="24"/>
        </w:rPr>
        <w:t>for</w:t>
      </w:r>
      <w:r w:rsidRPr="00E45D19">
        <w:rPr>
          <w:rFonts w:ascii="Arial" w:hAnsi="Arial" w:cs="Arial"/>
          <w:color w:val="0D0D0D" w:themeColor="text1" w:themeTint="F2"/>
          <w:spacing w:val="27"/>
          <w:szCs w:val="24"/>
        </w:rPr>
        <w:t>m</w:t>
      </w:r>
      <w:r w:rsidRPr="00E45D19">
        <w:rPr>
          <w:rFonts w:ascii="Arial" w:hAnsi="Arial" w:cs="Arial"/>
          <w:color w:val="0D0D0D" w:themeColor="text1" w:themeTint="F2"/>
          <w:szCs w:val="24"/>
        </w:rPr>
        <w:t>.</w:t>
      </w:r>
    </w:p>
    <w:p w:rsidRPr="00E45D19" w:rsidR="00463D10" w:rsidP="00463D10" w:rsidRDefault="00463D10" w14:paraId="6A0B8E82" w14:textId="77777777">
      <w:pPr>
        <w:tabs>
          <w:tab w:val="left" w:pos="480"/>
          <w:tab w:val="right" w:pos="8640"/>
        </w:tabs>
        <w:spacing w:after="0" w:line="240" w:lineRule="auto"/>
        <w:ind w:right="684"/>
        <w:rPr>
          <w:rFonts w:ascii="Arial" w:hAnsi="Arial" w:eastAsia="Times New Roman" w:cs="Arial"/>
          <w:color w:val="0D0D0D" w:themeColor="text1" w:themeTint="F2"/>
          <w:sz w:val="24"/>
          <w:szCs w:val="24"/>
        </w:rPr>
      </w:pPr>
    </w:p>
    <w:p w:rsidRPr="00E45D19" w:rsidR="00463D10" w:rsidP="00463D10" w:rsidRDefault="00463D10" w14:paraId="6A0B8E83" w14:textId="77777777">
      <w:pPr>
        <w:numPr>
          <w:ilvl w:val="0"/>
          <w:numId w:val="1"/>
        </w:numPr>
        <w:tabs>
          <w:tab w:val="left" w:pos="480"/>
          <w:tab w:val="right" w:pos="8640"/>
        </w:tabs>
        <w:spacing w:after="0" w:line="240" w:lineRule="auto"/>
        <w:ind w:right="684"/>
        <w:contextualSpacing/>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Explain the reason for any burden hour changes since the last submission.</w:t>
      </w:r>
    </w:p>
    <w:p w:rsidRPr="00E45D19" w:rsidR="00463D10" w:rsidP="00463D10" w:rsidRDefault="00463D10" w14:paraId="6A0B8E84"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p>
    <w:p w:rsidRPr="00E45D19" w:rsidR="006C7A43" w:rsidP="006C7A43" w:rsidRDefault="004814CC" w14:paraId="50ACC629" w14:textId="77777777">
      <w:pPr>
        <w:spacing w:after="0" w:line="240" w:lineRule="auto"/>
        <w:ind w:firstLine="720"/>
        <w:rPr>
          <w:rFonts w:ascii="Arial" w:hAnsi="Arial" w:eastAsia="Times New Roman" w:cs="Arial"/>
          <w:color w:val="0D0D0D" w:themeColor="text1" w:themeTint="F2"/>
          <w:sz w:val="24"/>
          <w:szCs w:val="24"/>
        </w:rPr>
      </w:pPr>
      <w:r w:rsidRPr="00E45D19">
        <w:rPr>
          <w:rFonts w:ascii="Arial" w:hAnsi="Arial" w:eastAsia="Times New Roman" w:cs="Arial"/>
          <w:color w:val="0D0D0D" w:themeColor="text1" w:themeTint="F2"/>
          <w:sz w:val="24"/>
          <w:szCs w:val="24"/>
        </w:rPr>
        <w:t>There has been an increase in foreign educational institutions seeking approval</w:t>
      </w:r>
    </w:p>
    <w:p w:rsidRPr="00E45D19" w:rsidR="004814CC" w:rsidP="006C7A43" w:rsidRDefault="006C7A43" w14:paraId="117537C6" w14:textId="101CE694">
      <w:pPr>
        <w:spacing w:after="0" w:line="240" w:lineRule="auto"/>
        <w:ind w:firstLine="720"/>
        <w:rPr>
          <w:rFonts w:ascii="Arial" w:hAnsi="Arial" w:cs="Arial"/>
          <w:color w:val="0D0D0D" w:themeColor="text1" w:themeTint="F2"/>
          <w:sz w:val="24"/>
          <w:szCs w:val="24"/>
        </w:rPr>
      </w:pPr>
      <w:r w:rsidRPr="00E45D19">
        <w:rPr>
          <w:rFonts w:ascii="Arial" w:hAnsi="Arial" w:eastAsia="Times New Roman" w:cs="Arial"/>
          <w:color w:val="0D0D0D" w:themeColor="text1" w:themeTint="F2"/>
          <w:sz w:val="24"/>
          <w:szCs w:val="24"/>
        </w:rPr>
        <w:t xml:space="preserve"> </w:t>
      </w:r>
      <w:r w:rsidRPr="00E45D19" w:rsidR="004814CC">
        <w:rPr>
          <w:rFonts w:ascii="Arial" w:hAnsi="Arial" w:eastAsia="Times New Roman" w:cs="Arial"/>
          <w:color w:val="0D0D0D" w:themeColor="text1" w:themeTint="F2"/>
          <w:sz w:val="24"/>
          <w:szCs w:val="24"/>
        </w:rPr>
        <w:t>for their post-</w:t>
      </w:r>
      <w:r w:rsidRPr="00E45D19" w:rsidR="002C58BF">
        <w:rPr>
          <w:rFonts w:ascii="Arial" w:hAnsi="Arial" w:eastAsia="Times New Roman" w:cs="Arial"/>
          <w:color w:val="0D0D0D" w:themeColor="text1" w:themeTint="F2"/>
          <w:sz w:val="24"/>
          <w:szCs w:val="24"/>
        </w:rPr>
        <w:t>secondary</w:t>
      </w:r>
      <w:r w:rsidRPr="00E45D19" w:rsidR="002C58BF">
        <w:rPr>
          <w:rFonts w:ascii="Arial" w:hAnsi="Arial" w:cs="Arial"/>
          <w:color w:val="0D0D0D" w:themeColor="text1" w:themeTint="F2"/>
          <w:sz w:val="24"/>
          <w:szCs w:val="24"/>
        </w:rPr>
        <w:t xml:space="preserve"> programs</w:t>
      </w:r>
      <w:r w:rsidRPr="00E45D19" w:rsidR="004814CC">
        <w:rPr>
          <w:rFonts w:ascii="Arial" w:hAnsi="Arial" w:cs="Arial"/>
          <w:color w:val="0D0D0D" w:themeColor="text1" w:themeTint="F2"/>
          <w:sz w:val="24"/>
          <w:szCs w:val="24"/>
        </w:rPr>
        <w:t>.</w:t>
      </w:r>
    </w:p>
    <w:p w:rsidRPr="00E45D19" w:rsidR="006C7A43" w:rsidP="00B9372E" w:rsidRDefault="006C7A43" w14:paraId="48DC1D5B" w14:textId="77777777">
      <w:pPr>
        <w:spacing w:after="0" w:line="240" w:lineRule="auto"/>
        <w:ind w:firstLine="720"/>
        <w:rPr>
          <w:rFonts w:ascii="Arial" w:hAnsi="Arial" w:cs="Arial"/>
          <w:color w:val="0D0D0D" w:themeColor="text1" w:themeTint="F2"/>
          <w:sz w:val="24"/>
          <w:szCs w:val="24"/>
        </w:rPr>
      </w:pPr>
    </w:p>
    <w:p w:rsidRPr="00E45D19" w:rsidR="00463D10" w:rsidP="00463D10" w:rsidRDefault="00463D10" w14:paraId="6A0B8E87" w14:textId="77777777">
      <w:pPr>
        <w:numPr>
          <w:ilvl w:val="0"/>
          <w:numId w:val="1"/>
        </w:numPr>
        <w:tabs>
          <w:tab w:val="left" w:pos="480"/>
          <w:tab w:val="right" w:pos="8640"/>
        </w:tabs>
        <w:spacing w:after="0" w:line="240" w:lineRule="auto"/>
        <w:ind w:right="684"/>
        <w:contextualSpacing/>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45D19" w:rsidR="00463D10" w:rsidP="00463D10" w:rsidRDefault="00463D10" w14:paraId="6A0B8E88"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p>
    <w:p w:rsidRPr="00E45D19" w:rsidR="000513C4" w:rsidP="000513C4" w:rsidRDefault="000513C4" w14:paraId="7C078EDE" w14:textId="77777777">
      <w:pPr>
        <w:pStyle w:val="BodyText"/>
        <w:ind w:firstLine="720"/>
        <w:rPr>
          <w:rFonts w:ascii="Arial" w:hAnsi="Arial" w:cs="Arial"/>
          <w:color w:val="0D0D0D" w:themeColor="text1" w:themeTint="F2"/>
          <w:szCs w:val="24"/>
        </w:rPr>
      </w:pPr>
      <w:r w:rsidRPr="00E45D19">
        <w:rPr>
          <w:rFonts w:ascii="Arial" w:hAnsi="Arial" w:cs="Arial"/>
          <w:color w:val="0D0D0D" w:themeColor="text1" w:themeTint="F2"/>
          <w:szCs w:val="24"/>
        </w:rPr>
        <w:t>VA does not publish this information or make it available for publication.</w:t>
      </w:r>
    </w:p>
    <w:p w:rsidRPr="00E45D19" w:rsidR="00463D10" w:rsidP="00463D10" w:rsidRDefault="00463D10" w14:paraId="6A0B8E8A" w14:textId="77777777">
      <w:pPr>
        <w:spacing w:after="0" w:line="240" w:lineRule="auto"/>
        <w:ind w:left="720"/>
        <w:contextualSpacing/>
        <w:rPr>
          <w:rFonts w:ascii="Arial" w:hAnsi="Arial" w:eastAsia="Times New Roman" w:cs="Arial"/>
          <w:color w:val="0D0D0D" w:themeColor="text1" w:themeTint="F2"/>
          <w:sz w:val="24"/>
          <w:szCs w:val="24"/>
        </w:rPr>
      </w:pPr>
    </w:p>
    <w:p w:rsidRPr="00E45D19" w:rsidR="00463D10" w:rsidP="00463D10" w:rsidRDefault="00463D10" w14:paraId="6A0B8E8B" w14:textId="77777777">
      <w:pPr>
        <w:numPr>
          <w:ilvl w:val="0"/>
          <w:numId w:val="1"/>
        </w:numPr>
        <w:tabs>
          <w:tab w:val="left" w:pos="480"/>
          <w:tab w:val="right" w:pos="8640"/>
        </w:tabs>
        <w:spacing w:after="0" w:line="240" w:lineRule="auto"/>
        <w:ind w:right="684"/>
        <w:contextualSpacing/>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If seeking approval to not display the expiration date for OMB approval of the information collection, explain the reasons that display would be inappropriate.</w:t>
      </w:r>
    </w:p>
    <w:p w:rsidRPr="00E45D19" w:rsidR="00463D10" w:rsidP="00463D10" w:rsidRDefault="00463D10" w14:paraId="6A0B8E8C"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p>
    <w:p w:rsidRPr="00E45D19" w:rsidR="00463D10" w:rsidP="00463D10" w:rsidRDefault="00463D10" w14:paraId="6A0B8E8D" w14:textId="5E5E3CD8">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r w:rsidRPr="00E45D19">
        <w:rPr>
          <w:rFonts w:ascii="Arial" w:hAnsi="Arial" w:eastAsia="Times New Roman" w:cs="Arial"/>
          <w:color w:val="0D0D0D" w:themeColor="text1" w:themeTint="F2"/>
          <w:sz w:val="24"/>
          <w:szCs w:val="24"/>
        </w:rPr>
        <w:t>We are not seeking approval to omit the expiration date for OMB approval.</w:t>
      </w:r>
    </w:p>
    <w:p w:rsidRPr="00E45D19" w:rsidR="00125F42" w:rsidP="00463D10" w:rsidRDefault="00125F42" w14:paraId="60511B4F"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p>
    <w:p w:rsidRPr="00E45D19" w:rsidR="00463D10" w:rsidP="00463D10" w:rsidRDefault="00463D10" w14:paraId="6A0B8E8F" w14:textId="77777777">
      <w:pPr>
        <w:pStyle w:val="ListParagraph"/>
        <w:numPr>
          <w:ilvl w:val="0"/>
          <w:numId w:val="1"/>
        </w:numPr>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Explain each exception to the certification statement identified in Item 19, “Certification for Paperwork Reduction Act Submissions,” of OMB 83-I.</w:t>
      </w:r>
    </w:p>
    <w:p w:rsidRPr="00E45D19" w:rsidR="00463D10" w:rsidP="00463D10" w:rsidRDefault="00463D10" w14:paraId="6A0B8E90"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p>
    <w:p w:rsidRPr="00E45D19" w:rsidR="000513C4" w:rsidP="000513C4" w:rsidRDefault="000513C4" w14:paraId="26F44C2A" w14:textId="051AAC32">
      <w:pPr>
        <w:pStyle w:val="BodyText"/>
        <w:ind w:firstLine="720"/>
        <w:rPr>
          <w:rFonts w:ascii="Arial" w:hAnsi="Arial" w:cs="Arial"/>
          <w:color w:val="0D0D0D" w:themeColor="text1" w:themeTint="F2"/>
          <w:szCs w:val="24"/>
        </w:rPr>
      </w:pPr>
      <w:r w:rsidRPr="00E45D19">
        <w:rPr>
          <w:rFonts w:ascii="Arial" w:hAnsi="Arial" w:cs="Arial"/>
          <w:color w:val="0D0D0D" w:themeColor="text1" w:themeTint="F2"/>
          <w:szCs w:val="24"/>
        </w:rPr>
        <w:t>This information collection fully complies with all the requirements of 5 CFR 1</w:t>
      </w:r>
      <w:r w:rsidRPr="00E45D19">
        <w:rPr>
          <w:rFonts w:ascii="Arial" w:hAnsi="Arial" w:cs="Arial"/>
          <w:color w:val="0D0D0D" w:themeColor="text1" w:themeTint="F2"/>
          <w:szCs w:val="24"/>
        </w:rPr>
        <w:tab/>
        <w:t>320.8(b)(3).</w:t>
      </w:r>
    </w:p>
    <w:p w:rsidRPr="00E45D19" w:rsidR="00463D10" w:rsidP="00463D10" w:rsidRDefault="00463D10" w14:paraId="6A0B8E92" w14:textId="77777777">
      <w:pPr>
        <w:tabs>
          <w:tab w:val="left" w:pos="480"/>
          <w:tab w:val="right" w:pos="8640"/>
        </w:tabs>
        <w:spacing w:after="0" w:line="240" w:lineRule="auto"/>
        <w:ind w:right="684"/>
        <w:rPr>
          <w:rFonts w:ascii="Arial" w:hAnsi="Arial" w:eastAsia="Times New Roman" w:cs="Arial"/>
          <w:bCs/>
          <w:color w:val="0D0D0D" w:themeColor="text1" w:themeTint="F2"/>
          <w:sz w:val="24"/>
          <w:szCs w:val="24"/>
        </w:rPr>
      </w:pPr>
    </w:p>
    <w:p w:rsidRPr="00E45D19" w:rsidR="00463D10" w:rsidP="00463D10" w:rsidRDefault="00463D10" w14:paraId="6A0B8E93" w14:textId="62D6C8C7">
      <w:pPr>
        <w:spacing w:after="0" w:line="240" w:lineRule="auto"/>
        <w:ind w:firstLine="360"/>
        <w:rPr>
          <w:rFonts w:ascii="Arial" w:hAnsi="Arial" w:eastAsia="Times New Roman" w:cs="Arial"/>
          <w:b/>
          <w:color w:val="0D0D0D" w:themeColor="text1" w:themeTint="F2"/>
          <w:sz w:val="24"/>
          <w:szCs w:val="24"/>
        </w:rPr>
      </w:pPr>
      <w:r w:rsidRPr="00E45D19">
        <w:rPr>
          <w:rFonts w:ascii="Arial" w:hAnsi="Arial" w:eastAsia="Times New Roman" w:cs="Arial"/>
          <w:b/>
          <w:color w:val="0D0D0D" w:themeColor="text1" w:themeTint="F2"/>
          <w:sz w:val="24"/>
          <w:szCs w:val="24"/>
        </w:rPr>
        <w:t xml:space="preserve">B.  </w:t>
      </w:r>
      <w:r w:rsidRPr="00E45D19">
        <w:rPr>
          <w:rFonts w:ascii="Arial" w:hAnsi="Arial" w:eastAsia="Times New Roman" w:cs="Arial"/>
          <w:b/>
          <w:color w:val="0D0D0D" w:themeColor="text1" w:themeTint="F2"/>
          <w:sz w:val="24"/>
          <w:szCs w:val="24"/>
          <w:u w:val="single"/>
        </w:rPr>
        <w:t>Collection of Information Employing Statistical Methods</w:t>
      </w:r>
    </w:p>
    <w:p w:rsidRPr="00E45D19" w:rsidR="00463D10" w:rsidP="00463D10" w:rsidRDefault="00463D10" w14:paraId="6A0B8E94" w14:textId="77777777">
      <w:pPr>
        <w:spacing w:after="0" w:line="240" w:lineRule="auto"/>
        <w:rPr>
          <w:rFonts w:ascii="Arial" w:hAnsi="Arial" w:eastAsia="Times New Roman" w:cs="Arial"/>
          <w:color w:val="0D0D0D" w:themeColor="text1" w:themeTint="F2"/>
          <w:sz w:val="24"/>
          <w:szCs w:val="24"/>
        </w:rPr>
      </w:pPr>
    </w:p>
    <w:p w:rsidRPr="00E45D19" w:rsidR="000513C4" w:rsidP="000513C4" w:rsidRDefault="000513C4" w14:paraId="11FE20AB" w14:textId="77777777">
      <w:pPr>
        <w:pStyle w:val="BodyText"/>
        <w:ind w:left="720"/>
        <w:rPr>
          <w:rFonts w:ascii="Arial" w:hAnsi="Arial" w:cs="Arial"/>
          <w:color w:val="0D0D0D" w:themeColor="text1" w:themeTint="F2"/>
          <w:szCs w:val="24"/>
        </w:rPr>
      </w:pPr>
      <w:r w:rsidRPr="00E45D19">
        <w:rPr>
          <w:rFonts w:ascii="Arial" w:hAnsi="Arial" w:cs="Arial"/>
          <w:color w:val="0D0D0D" w:themeColor="text1" w:themeTint="F2"/>
          <w:szCs w:val="24"/>
        </w:rPr>
        <w:t>This collection of information by the Veterans Benefits Administration does not employ statistical methods.</w:t>
      </w:r>
    </w:p>
    <w:p w:rsidRPr="00AC3859" w:rsidR="000F7B91" w:rsidRDefault="00E45D19" w14:paraId="6A0B8E98" w14:textId="77777777">
      <w:pPr>
        <w:rPr>
          <w:rFonts w:ascii="Arial" w:hAnsi="Arial" w:cs="Arial"/>
          <w:color w:val="0D0D0D" w:themeColor="text1" w:themeTint="F2"/>
        </w:rPr>
      </w:pPr>
      <w:bookmarkStart w:name="_GoBack" w:id="0"/>
      <w:bookmarkEnd w:id="0"/>
    </w:p>
    <w:sectPr w:rsidRPr="00AC3859" w:rsidR="000F7B9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E73D4" w14:textId="77777777" w:rsidR="005272B9" w:rsidRDefault="005272B9" w:rsidP="005F453F">
      <w:pPr>
        <w:spacing w:after="0" w:line="240" w:lineRule="auto"/>
      </w:pPr>
      <w:r>
        <w:separator/>
      </w:r>
    </w:p>
  </w:endnote>
  <w:endnote w:type="continuationSeparator" w:id="0">
    <w:p w14:paraId="31045850" w14:textId="77777777" w:rsidR="005272B9" w:rsidRDefault="005272B9" w:rsidP="005F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552898"/>
      <w:docPartObj>
        <w:docPartGallery w:val="Page Numbers (Bottom of Page)"/>
        <w:docPartUnique/>
      </w:docPartObj>
    </w:sdtPr>
    <w:sdtEndPr>
      <w:rPr>
        <w:rFonts w:ascii="Arial" w:hAnsi="Arial" w:cs="Arial"/>
        <w:noProof/>
        <w:sz w:val="24"/>
        <w:szCs w:val="24"/>
      </w:rPr>
    </w:sdtEndPr>
    <w:sdtContent>
      <w:p w14:paraId="3D4FB34E" w14:textId="2108C7F1" w:rsidR="00421F04" w:rsidRPr="00421F04" w:rsidRDefault="00421F04">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14:paraId="6150A19C" w14:textId="77777777" w:rsidR="00421F04" w:rsidRDefault="0042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5CF86" w14:textId="77777777" w:rsidR="005272B9" w:rsidRDefault="005272B9" w:rsidP="005F453F">
      <w:pPr>
        <w:spacing w:after="0" w:line="240" w:lineRule="auto"/>
      </w:pPr>
      <w:r>
        <w:separator/>
      </w:r>
    </w:p>
  </w:footnote>
  <w:footnote w:type="continuationSeparator" w:id="0">
    <w:p w14:paraId="7DBCA31F" w14:textId="77777777" w:rsidR="005272B9" w:rsidRDefault="005272B9" w:rsidP="005F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F4B72AD"/>
    <w:multiLevelType w:val="hybridMultilevel"/>
    <w:tmpl w:val="00065D92"/>
    <w:lvl w:ilvl="0" w:tplc="BBAC4838">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513C4"/>
    <w:rsid w:val="00125F42"/>
    <w:rsid w:val="001269E4"/>
    <w:rsid w:val="001451EE"/>
    <w:rsid w:val="00206E36"/>
    <w:rsid w:val="00215DC3"/>
    <w:rsid w:val="00255A1C"/>
    <w:rsid w:val="002A5C4F"/>
    <w:rsid w:val="002C0461"/>
    <w:rsid w:val="002C58BF"/>
    <w:rsid w:val="002E1B36"/>
    <w:rsid w:val="00344A7B"/>
    <w:rsid w:val="00421F04"/>
    <w:rsid w:val="004557DA"/>
    <w:rsid w:val="00463D10"/>
    <w:rsid w:val="004814CC"/>
    <w:rsid w:val="004C2042"/>
    <w:rsid w:val="005272B9"/>
    <w:rsid w:val="005F453F"/>
    <w:rsid w:val="005F7370"/>
    <w:rsid w:val="00646C5F"/>
    <w:rsid w:val="006C7A43"/>
    <w:rsid w:val="006D11F3"/>
    <w:rsid w:val="00723367"/>
    <w:rsid w:val="007977A3"/>
    <w:rsid w:val="007D5A4F"/>
    <w:rsid w:val="007F0162"/>
    <w:rsid w:val="008A2A7A"/>
    <w:rsid w:val="008F4CE8"/>
    <w:rsid w:val="00A00F1D"/>
    <w:rsid w:val="00A2152D"/>
    <w:rsid w:val="00A918E1"/>
    <w:rsid w:val="00A92A5E"/>
    <w:rsid w:val="00AA212B"/>
    <w:rsid w:val="00AC3859"/>
    <w:rsid w:val="00AE799C"/>
    <w:rsid w:val="00B572A2"/>
    <w:rsid w:val="00B82092"/>
    <w:rsid w:val="00B90E79"/>
    <w:rsid w:val="00B9372E"/>
    <w:rsid w:val="00BA045D"/>
    <w:rsid w:val="00BF1095"/>
    <w:rsid w:val="00C17DA8"/>
    <w:rsid w:val="00C33BAE"/>
    <w:rsid w:val="00CB7E10"/>
    <w:rsid w:val="00DB6F48"/>
    <w:rsid w:val="00DE3E87"/>
    <w:rsid w:val="00DE7A3E"/>
    <w:rsid w:val="00E11ADD"/>
    <w:rsid w:val="00E42ED3"/>
    <w:rsid w:val="00E45518"/>
    <w:rsid w:val="00E45D19"/>
    <w:rsid w:val="00EC0EBB"/>
    <w:rsid w:val="00F1030C"/>
    <w:rsid w:val="00F43544"/>
    <w:rsid w:val="00F631AF"/>
    <w:rsid w:val="00F80BEE"/>
    <w:rsid w:val="00F9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AC3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0/RUS_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EDUSHARE-207-1284</_dlc_DocId>
    <_dlc_DocIdUrl xmlns="ced1f988-d16c-4eb7-9443-312b8723c36c">
      <Url>https://vaww.infoshare.va.gov/sites/educationservice/225/225C/_layouts/15/DocIdRedir.aspx?ID=EDUSHARE-207-1284</Url>
      <Description>EDUSHARE-207-1284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2.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ced1f988-d16c-4eb7-9443-312b8723c36c"/>
  </ds:schemaRefs>
</ds:datastoreItem>
</file>

<file path=customXml/itemProps3.xml><?xml version="1.0" encoding="utf-8"?>
<ds:datastoreItem xmlns:ds="http://schemas.openxmlformats.org/officeDocument/2006/customXml" ds:itemID="{ADBC49F4-8B7D-4FEC-92D0-1A30ACD6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7A5B8-5941-4FDE-A164-AB66BDECB859}">
  <ds:schemaRefs>
    <ds:schemaRef ds:uri="http://schemas.microsoft.com/sharepoint/events"/>
  </ds:schemaRefs>
</ds:datastoreItem>
</file>

<file path=customXml/itemProps5.xml><?xml version="1.0" encoding="utf-8"?>
<ds:datastoreItem xmlns:ds="http://schemas.openxmlformats.org/officeDocument/2006/customXml" ds:itemID="{5DC079AA-61EB-47A2-8085-5998ED76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subject/>
  <dc:creator>Hopkins, Rodney, VBAVACO</dc:creator>
  <cp:keywords/>
  <dc:description/>
  <cp:lastModifiedBy>Richardson, Charnae, VBAVACO</cp:lastModifiedBy>
  <cp:revision>15</cp:revision>
  <dcterms:created xsi:type="dcterms:W3CDTF">2020-01-02T19:09:00Z</dcterms:created>
  <dcterms:modified xsi:type="dcterms:W3CDTF">2020-05-07T12:37:00Z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597cdca1-c2ce-4bfb-a905-6851913e9eb5</vt:lpwstr>
  </property>
</Properties>
</file>