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3B1" w:rsidP="006C7FAE" w:rsidRDefault="009E13B1" w14:paraId="42A96C7F" w14:textId="77777777">
      <w:pPr>
        <w:jc w:val="center"/>
        <w:rPr>
          <w:b/>
          <w:sz w:val="24"/>
          <w:szCs w:val="24"/>
        </w:rPr>
      </w:pPr>
      <w:r w:rsidRPr="00167E53">
        <w:rPr>
          <w:b/>
          <w:sz w:val="24"/>
          <w:szCs w:val="24"/>
        </w:rPr>
        <w:t>Supporting Statement for Paperwork Reduction Act Submissions</w:t>
      </w:r>
    </w:p>
    <w:p w:rsidR="007F66C2" w:rsidP="007F66C2" w:rsidRDefault="007F66C2" w14:paraId="78B425D7" w14:textId="77777777">
      <w:pPr>
        <w:tabs>
          <w:tab w:val="center" w:pos="4680"/>
        </w:tabs>
        <w:suppressAutoHyphens/>
        <w:jc w:val="center"/>
        <w:rPr>
          <w:b/>
          <w:color w:val="000000"/>
          <w:sz w:val="24"/>
          <w:szCs w:val="24"/>
        </w:rPr>
      </w:pPr>
      <w:r>
        <w:rPr>
          <w:b/>
          <w:color w:val="000000"/>
          <w:sz w:val="24"/>
          <w:szCs w:val="24"/>
        </w:rPr>
        <w:t>24 CFR Part 55, Floodplain Management and Protection of Wetlands</w:t>
      </w:r>
    </w:p>
    <w:p w:rsidRPr="00167E53" w:rsidR="007F66C2" w:rsidP="007F66C2" w:rsidRDefault="007F66C2" w14:paraId="321CA3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 OMB# </w:t>
      </w:r>
      <w:r>
        <w:rPr>
          <w:b/>
          <w:sz w:val="24"/>
          <w:szCs w:val="24"/>
        </w:rPr>
        <w:t>2506-0151</w:t>
      </w:r>
    </w:p>
    <w:p w:rsidRPr="00167E53" w:rsidR="009E13B1" w:rsidP="006C7FAE" w:rsidRDefault="009E13B1" w14:paraId="0FC916C3" w14:textId="77777777">
      <w:pPr>
        <w:rPr>
          <w:b/>
          <w:sz w:val="24"/>
          <w:szCs w:val="24"/>
        </w:rPr>
      </w:pPr>
    </w:p>
    <w:p w:rsidRPr="006C7FAE" w:rsidR="009E13B1" w:rsidRDefault="009E13B1" w14:paraId="307AE6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75EF1D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P="00F81B8D" w:rsidRDefault="00F81B8D" w14:paraId="71490ED4" w14:textId="77777777">
      <w:pPr>
        <w:keepLines/>
        <w:tabs>
          <w:tab w:val="left" w:pos="450"/>
        </w:tabs>
        <w:spacing w:after="80"/>
        <w:ind w:left="360" w:hanging="360"/>
        <w:rPr>
          <w:sz w:val="24"/>
          <w:szCs w:val="24"/>
        </w:rPr>
      </w:pPr>
      <w:r>
        <w:rPr>
          <w:sz w:val="24"/>
          <w:szCs w:val="24"/>
        </w:rPr>
        <w:t xml:space="preserve">1.   </w:t>
      </w:r>
      <w:r w:rsidRPr="006C7FAE" w:rsidR="009E13B1">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60D7" w:rsidP="007F66C2" w:rsidRDefault="007F66C2" w14:paraId="1ACABD40" w14:textId="77777777">
      <w:pPr>
        <w:keepLines/>
        <w:tabs>
          <w:tab w:val="left" w:pos="360"/>
        </w:tabs>
        <w:spacing w:after="80"/>
        <w:ind w:left="360" w:hanging="360"/>
        <w:rPr>
          <w:sz w:val="24"/>
          <w:szCs w:val="24"/>
        </w:rPr>
      </w:pPr>
      <w:r>
        <w:rPr>
          <w:sz w:val="24"/>
          <w:szCs w:val="24"/>
        </w:rPr>
        <w:tab/>
      </w:r>
    </w:p>
    <w:p w:rsidR="007F66C2" w:rsidP="007F66C2" w:rsidRDefault="006360D7" w14:paraId="6ECAF8D1" w14:textId="77777777">
      <w:pPr>
        <w:keepLines/>
        <w:tabs>
          <w:tab w:val="left" w:pos="360"/>
        </w:tabs>
        <w:spacing w:after="80"/>
        <w:ind w:left="360" w:hanging="360"/>
        <w:rPr>
          <w:sz w:val="24"/>
          <w:szCs w:val="24"/>
        </w:rPr>
      </w:pPr>
      <w:r>
        <w:rPr>
          <w:sz w:val="24"/>
          <w:szCs w:val="24"/>
        </w:rPr>
        <w:tab/>
      </w:r>
      <w:r w:rsidR="007F66C2">
        <w:rPr>
          <w:sz w:val="24"/>
          <w:szCs w:val="24"/>
        </w:rPr>
        <w:t xml:space="preserve">The legal and administrative requirements for this collection are Sec. 3(d) of Executive Order 11988 (Floodplain Management) and Sec. 6 of Executive Order 11990 (Protection of Wetlands) that require HUD to issue or amend its existing procedures in order to comply with these Orders. HUD has issued 24 CFR Part 55 (Floodplain Management and Protection of Wetlands) implementing E.O. 11988 and E.O. 11990. These Orders require that applicants who propose the use of HUD financial assistance for projects located within floodplain and wetland locations are to seek to avoid such sites, and avoidance is not practicable, must comply with the decision-making procedures prescribed in the Executive Orders (Secs. 1, 2, and 9 of E.O. 11988; and Secs. 1, 2, 5, and 10 of E.O. 11990). Documentation (Sec. 55.27) requires </w:t>
      </w:r>
      <w:proofErr w:type="spellStart"/>
      <w:r w:rsidR="007F66C2">
        <w:rPr>
          <w:sz w:val="24"/>
          <w:szCs w:val="24"/>
        </w:rPr>
        <w:t>compliancers</w:t>
      </w:r>
      <w:proofErr w:type="spellEnd"/>
      <w:r w:rsidR="007F66C2">
        <w:rPr>
          <w:sz w:val="24"/>
          <w:szCs w:val="24"/>
        </w:rPr>
        <w:t xml:space="preserve"> to provide the basic evidence of compliance with the prescribed procedures of the Executive Orders and Subpart C of 24 CFR 55. Sec. 55.21 [“Notification of floodplain hazard”] as prescribed in Sec. 4 of E.O. 11988 requires </w:t>
      </w:r>
      <w:proofErr w:type="spellStart"/>
      <w:r w:rsidR="007F66C2">
        <w:rPr>
          <w:sz w:val="24"/>
          <w:szCs w:val="24"/>
        </w:rPr>
        <w:t>compliancers</w:t>
      </w:r>
      <w:proofErr w:type="spellEnd"/>
      <w:r w:rsidR="007F66C2">
        <w:rPr>
          <w:sz w:val="24"/>
          <w:szCs w:val="24"/>
        </w:rPr>
        <w:t xml:space="preserve"> to notify any private party of flood hazards prior to the transaction (i.e., buying or renting property located within a floodplain). </w:t>
      </w:r>
    </w:p>
    <w:p w:rsidR="006360D7" w:rsidP="007F66C2" w:rsidRDefault="007F66C2" w14:paraId="7BB86F72" w14:textId="77777777">
      <w:pPr>
        <w:keepLines/>
        <w:tabs>
          <w:tab w:val="left" w:pos="360"/>
        </w:tabs>
        <w:spacing w:after="80"/>
        <w:ind w:left="360" w:hanging="360"/>
        <w:rPr>
          <w:sz w:val="24"/>
          <w:szCs w:val="24"/>
        </w:rPr>
      </w:pPr>
      <w:r>
        <w:rPr>
          <w:sz w:val="24"/>
          <w:szCs w:val="24"/>
        </w:rPr>
        <w:tab/>
      </w:r>
    </w:p>
    <w:p w:rsidRPr="006C7FAE" w:rsidR="007F66C2" w:rsidP="007F66C2" w:rsidRDefault="006360D7" w14:paraId="6D985CA0" w14:textId="77777777">
      <w:pPr>
        <w:keepLines/>
        <w:tabs>
          <w:tab w:val="left" w:pos="360"/>
        </w:tabs>
        <w:spacing w:after="80"/>
        <w:ind w:left="360" w:hanging="360"/>
        <w:rPr>
          <w:sz w:val="24"/>
          <w:szCs w:val="24"/>
        </w:rPr>
      </w:pPr>
      <w:r>
        <w:rPr>
          <w:sz w:val="24"/>
          <w:szCs w:val="24"/>
        </w:rPr>
        <w:tab/>
      </w:r>
      <w:r w:rsidR="007F66C2">
        <w:rPr>
          <w:sz w:val="24"/>
          <w:szCs w:val="24"/>
        </w:rPr>
        <w:t xml:space="preserve">HUD administers these requirements within the context of the National Environmental Policy Act (NEPA) and its implementing regulations at 24 CFR 50 and 58. A cross-reference to these requirements is provided at 24 CFR 50.4(b) and 58.5(b) as part of the environmental review process. Sec. 50.3(h) requires information collection in the environmental review process. </w:t>
      </w:r>
    </w:p>
    <w:p w:rsidRPr="006C7FAE" w:rsidR="009E13B1" w:rsidRDefault="009E13B1" w14:paraId="09265BD7" w14:textId="77777777">
      <w:pPr>
        <w:tabs>
          <w:tab w:val="left" w:pos="360"/>
        </w:tabs>
        <w:ind w:left="360" w:hanging="360"/>
        <w:rPr>
          <w:sz w:val="24"/>
          <w:szCs w:val="24"/>
        </w:rPr>
      </w:pPr>
    </w:p>
    <w:p w:rsidR="007F66C2" w:rsidP="0091011C" w:rsidRDefault="009E13B1" w14:paraId="1F9E085F"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Pr="006C7FAE" w:rsidR="007F66C2" w:rsidP="007F66C2" w:rsidRDefault="007F66C2" w14:paraId="0CB3E002" w14:textId="77777777">
      <w:pPr>
        <w:keepLines/>
        <w:tabs>
          <w:tab w:val="left" w:pos="360"/>
        </w:tabs>
        <w:spacing w:after="80"/>
        <w:ind w:left="360" w:hanging="360"/>
        <w:rPr>
          <w:sz w:val="24"/>
          <w:szCs w:val="24"/>
        </w:rPr>
      </w:pPr>
      <w:r>
        <w:rPr>
          <w:sz w:val="24"/>
          <w:szCs w:val="24"/>
        </w:rPr>
        <w:tab/>
        <w:t xml:space="preserve">The respondents are HUD recipients proposing to use HUD financial assistance for their projects located within floodplains or wetlands. The information, together with other environmental compliances that a proposed project may require under NEPA and related laws, serve to obtain the approval of an application under Part 50 or will allow the use of grant funds or assistance already awarded under Part 58. In addition, HUD uses the collection: (1) to obtain and/or provide evidence in challenges by the public or by other government agencies (Federal, State, and local) as to the technical adequacy or procedural completeness of the actions taken by </w:t>
      </w:r>
      <w:proofErr w:type="spellStart"/>
      <w:r>
        <w:rPr>
          <w:sz w:val="24"/>
          <w:szCs w:val="24"/>
        </w:rPr>
        <w:t>compliancers</w:t>
      </w:r>
      <w:proofErr w:type="spellEnd"/>
      <w:r>
        <w:rPr>
          <w:sz w:val="24"/>
          <w:szCs w:val="24"/>
        </w:rPr>
        <w:t xml:space="preserve"> when approving HUD financial assistance for projects within floodplain and wetland locations; and (2) to monitor the performance and adequacy of compliance with prescribed procedures and requirements of 24 CFR 55.</w:t>
      </w:r>
    </w:p>
    <w:p w:rsidRPr="006C7FAE" w:rsidR="007F66C2" w:rsidP="007F66C2" w:rsidRDefault="007F66C2" w14:paraId="6BA568BE" w14:textId="77777777">
      <w:pPr>
        <w:keepLines/>
        <w:tabs>
          <w:tab w:val="left" w:pos="360"/>
          <w:tab w:val="left" w:pos="720"/>
        </w:tabs>
        <w:rPr>
          <w:sz w:val="24"/>
          <w:szCs w:val="24"/>
        </w:rPr>
      </w:pPr>
    </w:p>
    <w:p w:rsidR="009E13B1" w:rsidRDefault="009E13B1" w14:paraId="43B02DD2" w14:textId="77777777">
      <w:pPr>
        <w:keepLines/>
        <w:tabs>
          <w:tab w:val="left" w:pos="360"/>
        </w:tabs>
        <w:spacing w:after="80"/>
        <w:ind w:left="360" w:hanging="360"/>
        <w:rPr>
          <w:sz w:val="24"/>
          <w:szCs w:val="24"/>
        </w:rPr>
      </w:pPr>
      <w:r w:rsidRPr="006C7FAE">
        <w:rPr>
          <w:sz w:val="24"/>
          <w:szCs w:val="24"/>
        </w:rPr>
        <w:lastRenderedPageBreak/>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360D7" w:rsidRDefault="007F66C2" w14:paraId="58DAA13D" w14:textId="77777777">
      <w:pPr>
        <w:keepLines/>
        <w:tabs>
          <w:tab w:val="left" w:pos="360"/>
        </w:tabs>
        <w:spacing w:after="80"/>
        <w:ind w:left="360" w:hanging="360"/>
        <w:rPr>
          <w:sz w:val="24"/>
          <w:szCs w:val="24"/>
        </w:rPr>
      </w:pPr>
      <w:r>
        <w:rPr>
          <w:sz w:val="24"/>
          <w:szCs w:val="24"/>
        </w:rPr>
        <w:tab/>
      </w:r>
    </w:p>
    <w:p w:rsidRPr="006C7FAE" w:rsidR="007F66C2" w:rsidRDefault="006360D7" w14:paraId="566873BB" w14:textId="77777777">
      <w:pPr>
        <w:keepLines/>
        <w:tabs>
          <w:tab w:val="left" w:pos="360"/>
        </w:tabs>
        <w:spacing w:after="80"/>
        <w:ind w:left="360" w:hanging="360"/>
        <w:rPr>
          <w:sz w:val="24"/>
          <w:szCs w:val="24"/>
        </w:rPr>
      </w:pPr>
      <w:r>
        <w:rPr>
          <w:sz w:val="24"/>
          <w:szCs w:val="24"/>
        </w:rPr>
        <w:tab/>
      </w:r>
      <w:r w:rsidR="007F66C2">
        <w:rPr>
          <w:sz w:val="24"/>
          <w:szCs w:val="24"/>
        </w:rPr>
        <w:t xml:space="preserve">Respondents are encouraged to </w:t>
      </w:r>
      <w:r w:rsidR="00F81B8D">
        <w:rPr>
          <w:sz w:val="24"/>
          <w:szCs w:val="24"/>
        </w:rPr>
        <w:t>prepare</w:t>
      </w:r>
      <w:r w:rsidR="007F66C2">
        <w:rPr>
          <w:sz w:val="24"/>
          <w:szCs w:val="24"/>
        </w:rPr>
        <w:t xml:space="preserve"> the information electronically </w:t>
      </w:r>
      <w:r w:rsidR="005D6456">
        <w:rPr>
          <w:sz w:val="24"/>
          <w:szCs w:val="24"/>
        </w:rPr>
        <w:t xml:space="preserve">through the HUD Environmental Review System (HEROS) </w:t>
      </w:r>
      <w:r w:rsidR="007F66C2">
        <w:rPr>
          <w:sz w:val="24"/>
          <w:szCs w:val="24"/>
        </w:rPr>
        <w:t xml:space="preserve">whenever HUD assistance is proposed for a project in a floodplain or wetland location. The public is encouraged to provide comments electronically, and information on major projects most often is accessible on the respondent’s website. HUD is considering a change to Part 55 permitting public notices to be posted on appropriate local news media or government websites in lieu of publishing in a print newspaper. It is at the option of </w:t>
      </w:r>
      <w:proofErr w:type="spellStart"/>
      <w:r w:rsidR="007F66C2">
        <w:rPr>
          <w:sz w:val="24"/>
          <w:szCs w:val="24"/>
        </w:rPr>
        <w:t>compliancers</w:t>
      </w:r>
      <w:proofErr w:type="spellEnd"/>
      <w:r w:rsidR="007F66C2">
        <w:rPr>
          <w:sz w:val="24"/>
          <w:szCs w:val="24"/>
        </w:rPr>
        <w:t xml:space="preserve"> to use automated, electronic, mechanical, or other technological collection techniques or other forms of information technology as appropriate. HUD encourages appropriate cost-effective methods but does not prescribe </w:t>
      </w:r>
      <w:proofErr w:type="gramStart"/>
      <w:r w:rsidR="007F66C2">
        <w:rPr>
          <w:sz w:val="24"/>
          <w:szCs w:val="24"/>
        </w:rPr>
        <w:t>particular technological</w:t>
      </w:r>
      <w:proofErr w:type="gramEnd"/>
      <w:r w:rsidR="007F66C2">
        <w:rPr>
          <w:sz w:val="24"/>
          <w:szCs w:val="24"/>
        </w:rPr>
        <w:t xml:space="preserve"> collection techniques. Digitized maps showing floodplains and wetlands are accessible from websites administered respectively under the National Flood Insurance Program (NFIP) by the Federal Emergency Management Agency, Department of Homeland Security, and under the National Wetlands Inventory (NWI) by the Fish and Wildlife Service, Department of the Interior. Also, localities may have digitized land use maps showing vacant sites that can be used to locate sites outside the floodplain and wetland when complying with the Executive Orders and Part 55.</w:t>
      </w:r>
    </w:p>
    <w:p w:rsidRPr="006C7FAE" w:rsidR="009E13B1" w:rsidRDefault="009E13B1" w14:paraId="002CAD38" w14:textId="77777777">
      <w:pPr>
        <w:tabs>
          <w:tab w:val="left" w:pos="360"/>
        </w:tabs>
        <w:ind w:left="360" w:hanging="360"/>
        <w:rPr>
          <w:sz w:val="24"/>
          <w:szCs w:val="24"/>
        </w:rPr>
      </w:pPr>
    </w:p>
    <w:p w:rsidRPr="006C7FAE" w:rsidR="009E13B1" w:rsidRDefault="009E13B1" w14:paraId="4CFE007B"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6360D7" w:rsidP="007F66C2" w:rsidRDefault="007F66C2" w14:paraId="47653EEF" w14:textId="77777777">
      <w:pPr>
        <w:keepLines/>
        <w:tabs>
          <w:tab w:val="left" w:pos="360"/>
        </w:tabs>
        <w:spacing w:after="80"/>
        <w:ind w:left="360" w:hanging="360"/>
        <w:rPr>
          <w:sz w:val="24"/>
          <w:szCs w:val="24"/>
        </w:rPr>
      </w:pPr>
      <w:r>
        <w:rPr>
          <w:sz w:val="24"/>
          <w:szCs w:val="24"/>
        </w:rPr>
        <w:tab/>
      </w:r>
    </w:p>
    <w:p w:rsidRPr="006C7FAE" w:rsidR="007F66C2" w:rsidP="007F66C2" w:rsidRDefault="006360D7" w14:paraId="122C2D4B" w14:textId="77777777">
      <w:pPr>
        <w:keepLines/>
        <w:tabs>
          <w:tab w:val="left" w:pos="360"/>
        </w:tabs>
        <w:spacing w:after="80"/>
        <w:ind w:left="360" w:hanging="360"/>
        <w:rPr>
          <w:sz w:val="24"/>
          <w:szCs w:val="24"/>
        </w:rPr>
      </w:pPr>
      <w:r>
        <w:rPr>
          <w:sz w:val="24"/>
          <w:szCs w:val="24"/>
        </w:rPr>
        <w:tab/>
      </w:r>
      <w:r w:rsidR="007F66C2">
        <w:rPr>
          <w:sz w:val="24"/>
          <w:szCs w:val="24"/>
        </w:rPr>
        <w:t xml:space="preserve">The information necessary for the collection is not available except through a respondent’s compliance for a specific project site. To promote cost-effectiveness, HUD encourages a singular review through: (1) batching two or more sites (Sec. 55.24 Aggregation), (2) using the entire housing market area as a basis for compliance (Sec. 55.25 Areawide compliance), and (3) adoption of another agency’s environmental review data (Sec. 55.26 Adoption of another agency’s review under the executive orders) to prevent the potential for duplication. </w:t>
      </w:r>
    </w:p>
    <w:p w:rsidRPr="006C7FAE" w:rsidR="007F66C2" w:rsidP="007F66C2" w:rsidRDefault="007F66C2" w14:paraId="43D26140" w14:textId="77777777">
      <w:pPr>
        <w:keepLines/>
        <w:tabs>
          <w:tab w:val="left" w:pos="360"/>
          <w:tab w:val="left" w:pos="720"/>
        </w:tabs>
        <w:rPr>
          <w:sz w:val="24"/>
          <w:szCs w:val="24"/>
        </w:rPr>
      </w:pPr>
    </w:p>
    <w:p w:rsidRPr="006C7FAE" w:rsidR="009E13B1" w:rsidRDefault="009E13B1" w14:paraId="78E9A744"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006360D7" w:rsidRDefault="007F66C2" w14:paraId="36C2E5CC" w14:textId="77777777">
      <w:pPr>
        <w:tabs>
          <w:tab w:val="left" w:pos="360"/>
        </w:tabs>
        <w:ind w:left="360" w:hanging="360"/>
        <w:rPr>
          <w:sz w:val="24"/>
          <w:szCs w:val="24"/>
        </w:rPr>
      </w:pPr>
      <w:r>
        <w:rPr>
          <w:sz w:val="24"/>
          <w:szCs w:val="24"/>
        </w:rPr>
        <w:tab/>
      </w:r>
    </w:p>
    <w:p w:rsidR="007F66C2" w:rsidRDefault="006360D7" w14:paraId="6DF693F4" w14:textId="77777777">
      <w:pPr>
        <w:tabs>
          <w:tab w:val="left" w:pos="360"/>
        </w:tabs>
        <w:ind w:left="360" w:hanging="360"/>
        <w:rPr>
          <w:sz w:val="24"/>
          <w:szCs w:val="24"/>
        </w:rPr>
      </w:pPr>
      <w:r>
        <w:rPr>
          <w:sz w:val="24"/>
          <w:szCs w:val="24"/>
        </w:rPr>
        <w:tab/>
      </w:r>
      <w:r w:rsidR="007F66C2">
        <w:rPr>
          <w:sz w:val="24"/>
          <w:szCs w:val="24"/>
        </w:rPr>
        <w:t>This collection will not have a significant impact on small businesses or other small entities. Any costs for complying with the legal and administrative requirements are eligible as project costs and fundable under HUD programs.</w:t>
      </w:r>
    </w:p>
    <w:p w:rsidR="007F66C2" w:rsidRDefault="007F66C2" w14:paraId="2796F778" w14:textId="77777777">
      <w:pPr>
        <w:tabs>
          <w:tab w:val="left" w:pos="360"/>
        </w:tabs>
        <w:ind w:left="360" w:hanging="360"/>
        <w:rPr>
          <w:sz w:val="24"/>
          <w:szCs w:val="24"/>
        </w:rPr>
      </w:pPr>
    </w:p>
    <w:p w:rsidR="00DC56CC" w:rsidRDefault="00DC56CC" w14:paraId="65A08BEF" w14:textId="77777777">
      <w:pPr>
        <w:tabs>
          <w:tab w:val="left" w:pos="360"/>
        </w:tabs>
        <w:ind w:left="360" w:hanging="360"/>
        <w:rPr>
          <w:sz w:val="24"/>
          <w:szCs w:val="24"/>
        </w:rPr>
      </w:pPr>
    </w:p>
    <w:p w:rsidR="00DC56CC" w:rsidRDefault="00DC56CC" w14:paraId="5B254BC1" w14:textId="77777777">
      <w:pPr>
        <w:tabs>
          <w:tab w:val="left" w:pos="360"/>
        </w:tabs>
        <w:ind w:left="360" w:hanging="360"/>
        <w:rPr>
          <w:sz w:val="24"/>
          <w:szCs w:val="24"/>
        </w:rPr>
      </w:pPr>
    </w:p>
    <w:p w:rsidR="00DC56CC" w:rsidRDefault="00DC56CC" w14:paraId="40D81596" w14:textId="77777777">
      <w:pPr>
        <w:tabs>
          <w:tab w:val="left" w:pos="360"/>
        </w:tabs>
        <w:ind w:left="360" w:hanging="360"/>
        <w:rPr>
          <w:sz w:val="24"/>
          <w:szCs w:val="24"/>
        </w:rPr>
      </w:pPr>
    </w:p>
    <w:p w:rsidR="00DC56CC" w:rsidRDefault="00DC56CC" w14:paraId="3CC0F99A" w14:textId="77777777">
      <w:pPr>
        <w:tabs>
          <w:tab w:val="left" w:pos="360"/>
        </w:tabs>
        <w:ind w:left="360" w:hanging="360"/>
        <w:rPr>
          <w:sz w:val="24"/>
          <w:szCs w:val="24"/>
        </w:rPr>
      </w:pPr>
    </w:p>
    <w:p w:rsidRPr="006C7FAE" w:rsidR="009E13B1" w:rsidRDefault="009E13B1" w14:paraId="5234682E" w14:textId="77777777">
      <w:pPr>
        <w:keepLines/>
        <w:tabs>
          <w:tab w:val="left" w:pos="360"/>
        </w:tabs>
        <w:spacing w:after="80"/>
        <w:ind w:left="360" w:hanging="360"/>
        <w:rPr>
          <w:sz w:val="24"/>
          <w:szCs w:val="24"/>
        </w:rPr>
      </w:pPr>
      <w:r w:rsidRPr="006C7FAE">
        <w:rPr>
          <w:sz w:val="24"/>
          <w:szCs w:val="24"/>
        </w:rPr>
        <w:lastRenderedPageBreak/>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DC56CC" w:rsidP="00DC56CC" w:rsidRDefault="007F66C2" w14:paraId="3F8D8161" w14:textId="77777777">
      <w:pPr>
        <w:pStyle w:val="NoSpacing"/>
      </w:pPr>
      <w:r>
        <w:tab/>
      </w:r>
    </w:p>
    <w:p w:rsidRPr="006C7FAE" w:rsidR="007F66C2" w:rsidP="00DC56CC" w:rsidRDefault="007F66C2" w14:paraId="32A949D2" w14:textId="77777777">
      <w:pPr>
        <w:keepLines/>
        <w:tabs>
          <w:tab w:val="left" w:pos="360"/>
        </w:tabs>
        <w:spacing w:after="80"/>
        <w:ind w:left="360"/>
        <w:rPr>
          <w:sz w:val="24"/>
          <w:szCs w:val="24"/>
        </w:rPr>
      </w:pPr>
      <w:r>
        <w:rPr>
          <w:sz w:val="24"/>
          <w:szCs w:val="24"/>
        </w:rPr>
        <w:t xml:space="preserve">If the collection is not conducted, HUD’s capability to comply with E.O.s 11988 and 11990 would be significantly impaired. The collection is already a one-time collection for a specific site and cannot be conducted less frequently. Nevertheless, to reduce the burden for certain categories of proposed actions, HUD has allowed exclusions listed at Sec. 55.12. </w:t>
      </w:r>
    </w:p>
    <w:p w:rsidRPr="006C7FAE" w:rsidR="007F66C2" w:rsidRDefault="007F66C2" w14:paraId="2381C021" w14:textId="77777777">
      <w:pPr>
        <w:keepLines/>
        <w:tabs>
          <w:tab w:val="left" w:pos="360"/>
          <w:tab w:val="left" w:pos="720"/>
        </w:tabs>
        <w:ind w:left="360"/>
        <w:rPr>
          <w:sz w:val="24"/>
          <w:szCs w:val="24"/>
        </w:rPr>
      </w:pPr>
    </w:p>
    <w:p w:rsidRPr="006C7FAE" w:rsidR="009E13B1" w:rsidRDefault="009E13B1" w14:paraId="43B4665D"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r w:rsidR="00BE62BF">
        <w:rPr>
          <w:sz w:val="24"/>
          <w:szCs w:val="24"/>
        </w:rPr>
        <w:t xml:space="preserve"> </w:t>
      </w:r>
      <w:r w:rsidRPr="006C7FAE">
        <w:rPr>
          <w:sz w:val="24"/>
          <w:szCs w:val="24"/>
        </w:rPr>
        <w:t xml:space="preserve"> </w:t>
      </w:r>
    </w:p>
    <w:p w:rsidRPr="006C7FAE" w:rsidR="009E13B1" w:rsidRDefault="009E13B1" w14:paraId="7AC7D659"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6360D7" w:rsidR="006360D7">
        <w:rPr>
          <w:b/>
          <w:bCs/>
          <w:sz w:val="24"/>
          <w:szCs w:val="24"/>
        </w:rPr>
        <w:t>N/A</w:t>
      </w:r>
    </w:p>
    <w:p w:rsidRPr="006C7FAE" w:rsidR="009E13B1" w:rsidRDefault="009E13B1" w14:paraId="5F7708FE"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6360D7" w:rsidR="006360D7">
        <w:rPr>
          <w:b/>
          <w:bCs/>
          <w:sz w:val="24"/>
          <w:szCs w:val="24"/>
        </w:rPr>
        <w:t>N/A</w:t>
      </w:r>
    </w:p>
    <w:p w:rsidRPr="006C7FAE" w:rsidR="009E13B1" w:rsidRDefault="009E13B1" w14:paraId="74A0F16E"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6360D7" w:rsidR="006360D7">
        <w:rPr>
          <w:b/>
          <w:bCs/>
          <w:sz w:val="24"/>
          <w:szCs w:val="24"/>
        </w:rPr>
        <w:t>N/A</w:t>
      </w:r>
    </w:p>
    <w:p w:rsidRPr="006C7FAE" w:rsidR="009E13B1" w:rsidRDefault="009E13B1" w14:paraId="5D5AFE26"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6360D7" w:rsidR="006360D7">
        <w:rPr>
          <w:b/>
          <w:bCs/>
          <w:sz w:val="24"/>
          <w:szCs w:val="24"/>
        </w:rPr>
        <w:t>N/A</w:t>
      </w:r>
    </w:p>
    <w:p w:rsidRPr="006C7FAE" w:rsidR="009E13B1" w:rsidRDefault="009E13B1" w14:paraId="06D4D4F2"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6360D7" w:rsidR="006360D7">
        <w:rPr>
          <w:b/>
          <w:bCs/>
          <w:sz w:val="24"/>
          <w:szCs w:val="24"/>
        </w:rPr>
        <w:t>N/A</w:t>
      </w:r>
    </w:p>
    <w:p w:rsidRPr="006C7FAE" w:rsidR="009E13B1" w:rsidRDefault="009E13B1" w14:paraId="2DF9F2ED"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6360D7" w:rsidR="006360D7">
        <w:rPr>
          <w:b/>
          <w:bCs/>
          <w:sz w:val="24"/>
          <w:szCs w:val="24"/>
        </w:rPr>
        <w:t>N/A</w:t>
      </w:r>
    </w:p>
    <w:p w:rsidRPr="006C7FAE" w:rsidR="009E13B1" w:rsidRDefault="009E13B1" w14:paraId="68E92B9D"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6360D7" w:rsidR="006360D7">
        <w:rPr>
          <w:b/>
          <w:bCs/>
          <w:sz w:val="24"/>
          <w:szCs w:val="24"/>
        </w:rPr>
        <w:t>N/A</w:t>
      </w:r>
    </w:p>
    <w:p w:rsidRPr="00DC56CC" w:rsidR="009E13B1" w:rsidRDefault="009E13B1" w14:paraId="543B04BE"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BE62BF">
        <w:rPr>
          <w:sz w:val="24"/>
          <w:szCs w:val="24"/>
        </w:rPr>
        <w:t xml:space="preserve"> </w:t>
      </w:r>
      <w:r w:rsidRPr="006360D7" w:rsidR="006360D7">
        <w:rPr>
          <w:b/>
          <w:bCs/>
          <w:sz w:val="24"/>
          <w:szCs w:val="24"/>
        </w:rPr>
        <w:t>N/A</w:t>
      </w:r>
    </w:p>
    <w:p w:rsidRPr="006C7FAE" w:rsidR="00DC56CC" w:rsidP="00DC56CC" w:rsidRDefault="00DC56CC" w14:paraId="7731DDA3" w14:textId="77777777">
      <w:pPr>
        <w:keepLines/>
        <w:tabs>
          <w:tab w:val="left" w:pos="600"/>
        </w:tabs>
        <w:spacing w:after="80"/>
        <w:ind w:left="504"/>
        <w:rPr>
          <w:sz w:val="24"/>
          <w:szCs w:val="24"/>
        </w:rPr>
      </w:pPr>
    </w:p>
    <w:p w:rsidRPr="006C7FAE" w:rsidR="007F66C2" w:rsidP="007F66C2" w:rsidRDefault="007F66C2" w14:paraId="4F10B6A4" w14:textId="77777777">
      <w:pPr>
        <w:keepLines/>
        <w:spacing w:after="80"/>
        <w:ind w:left="360"/>
        <w:rPr>
          <w:sz w:val="24"/>
          <w:szCs w:val="24"/>
        </w:rPr>
      </w:pPr>
      <w:r>
        <w:rPr>
          <w:sz w:val="24"/>
          <w:szCs w:val="24"/>
        </w:rPr>
        <w:t xml:space="preserve">There are no special circumstances that would cause this information collection to be conducted in a manner as explained above. The information collected remains in the respondents’ environmental review records (Sec. 55.27). </w:t>
      </w:r>
    </w:p>
    <w:p w:rsidRPr="006C7FAE" w:rsidR="007F66C2" w:rsidRDefault="007F66C2" w14:paraId="4F3B984E" w14:textId="77777777">
      <w:pPr>
        <w:tabs>
          <w:tab w:val="left" w:pos="360"/>
        </w:tabs>
        <w:ind w:left="360" w:hanging="360"/>
        <w:rPr>
          <w:sz w:val="24"/>
          <w:szCs w:val="24"/>
        </w:rPr>
      </w:pPr>
    </w:p>
    <w:p w:rsidR="009E13B1" w:rsidP="00DC56CC" w:rsidRDefault="009E13B1" w14:paraId="3C4EC34D"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sidR="00BE62BF">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DC56CC" w:rsidP="00DC56CC" w:rsidRDefault="00DC56CC" w14:paraId="34A72815" w14:textId="77777777">
      <w:pPr>
        <w:tabs>
          <w:tab w:val="left" w:pos="360"/>
        </w:tabs>
        <w:rPr>
          <w:sz w:val="24"/>
          <w:szCs w:val="24"/>
        </w:rPr>
      </w:pPr>
    </w:p>
    <w:p w:rsidR="009E13B1" w:rsidRDefault="009E13B1" w14:paraId="0BB96F9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DC56CC" w:rsidP="00DC56CC" w:rsidRDefault="00DC56CC" w14:paraId="63F9E185" w14:textId="77777777">
      <w:pPr>
        <w:tabs>
          <w:tab w:val="left" w:pos="360"/>
        </w:tabs>
        <w:ind w:left="480"/>
        <w:rPr>
          <w:sz w:val="24"/>
          <w:szCs w:val="24"/>
        </w:rPr>
      </w:pPr>
    </w:p>
    <w:p w:rsidRPr="006C7FAE" w:rsidR="009E13B1" w:rsidRDefault="009E13B1" w14:paraId="044D8EFA" w14:textId="77777777">
      <w:pPr>
        <w:keepLines/>
        <w:numPr>
          <w:ilvl w:val="0"/>
          <w:numId w:val="14"/>
        </w:numPr>
        <w:tabs>
          <w:tab w:val="left" w:pos="360"/>
        </w:tabs>
        <w:spacing w:after="80"/>
        <w:ind w:left="480"/>
        <w:rPr>
          <w:sz w:val="24"/>
          <w:szCs w:val="24"/>
        </w:rPr>
      </w:pPr>
      <w:r w:rsidRPr="006C7FAE">
        <w:rPr>
          <w:sz w:val="24"/>
          <w:szCs w:val="24"/>
        </w:rPr>
        <w:lastRenderedPageBreak/>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6360D7" w:rsidP="00DC56CC" w:rsidRDefault="006360D7" w14:paraId="2E72B043" w14:textId="77777777">
      <w:pPr>
        <w:pStyle w:val="NoSpacing"/>
      </w:pPr>
    </w:p>
    <w:p w:rsidR="007F66C2" w:rsidP="0091011C" w:rsidRDefault="007F66C2" w14:paraId="00E0D0F6" w14:textId="77777777">
      <w:pPr>
        <w:keepLines/>
        <w:tabs>
          <w:tab w:val="left" w:pos="360"/>
        </w:tabs>
        <w:spacing w:after="80"/>
        <w:ind w:left="360"/>
        <w:rPr>
          <w:sz w:val="24"/>
          <w:szCs w:val="24"/>
        </w:rPr>
      </w:pPr>
      <w:r>
        <w:rPr>
          <w:sz w:val="24"/>
          <w:szCs w:val="24"/>
        </w:rPr>
        <w:t xml:space="preserve">HUD published the 60-Day Notice of Proposed Information Collection in the Federal Register on </w:t>
      </w:r>
      <w:r w:rsidR="00BE62BF">
        <w:rPr>
          <w:sz w:val="24"/>
          <w:szCs w:val="24"/>
        </w:rPr>
        <w:t>January 6, 2020</w:t>
      </w:r>
      <w:r>
        <w:rPr>
          <w:sz w:val="24"/>
          <w:szCs w:val="24"/>
        </w:rPr>
        <w:t xml:space="preserve">. The Notice appears on pages </w:t>
      </w:r>
      <w:r w:rsidR="00BE62BF">
        <w:rPr>
          <w:sz w:val="24"/>
          <w:szCs w:val="24"/>
        </w:rPr>
        <w:t>85</w:t>
      </w:r>
      <w:r>
        <w:rPr>
          <w:sz w:val="24"/>
          <w:szCs w:val="24"/>
        </w:rPr>
        <w:t xml:space="preserve"> and at </w:t>
      </w:r>
      <w:r w:rsidR="00BE62BF">
        <w:rPr>
          <w:sz w:val="24"/>
          <w:szCs w:val="24"/>
        </w:rPr>
        <w:t>519</w:t>
      </w:r>
      <w:r>
        <w:rPr>
          <w:sz w:val="24"/>
          <w:szCs w:val="24"/>
        </w:rPr>
        <w:t xml:space="preserve">. </w:t>
      </w:r>
      <w:r w:rsidR="00BE62BF">
        <w:rPr>
          <w:sz w:val="24"/>
          <w:szCs w:val="24"/>
        </w:rPr>
        <w:t>No</w:t>
      </w:r>
      <w:r>
        <w:rPr>
          <w:sz w:val="24"/>
          <w:szCs w:val="24"/>
        </w:rPr>
        <w:t xml:space="preserve"> comments have been received on this Notice. </w:t>
      </w:r>
    </w:p>
    <w:p w:rsidRPr="006C7FAE" w:rsidR="007F66C2" w:rsidRDefault="007F66C2" w14:paraId="4BBD1FF2" w14:textId="77777777">
      <w:pPr>
        <w:tabs>
          <w:tab w:val="left" w:pos="360"/>
        </w:tabs>
        <w:ind w:left="360" w:hanging="360"/>
        <w:rPr>
          <w:sz w:val="24"/>
          <w:szCs w:val="24"/>
        </w:rPr>
      </w:pPr>
    </w:p>
    <w:p w:rsidRPr="006C7FAE" w:rsidR="009E13B1" w:rsidRDefault="009E13B1" w14:paraId="317F51B2"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proofErr w:type="spellStart"/>
      <w:r w:rsidRPr="006C7FAE">
        <w:rPr>
          <w:sz w:val="24"/>
          <w:szCs w:val="24"/>
        </w:rPr>
        <w:t>reenumeration</w:t>
      </w:r>
      <w:proofErr w:type="spellEnd"/>
      <w:r w:rsidRPr="006C7FAE">
        <w:rPr>
          <w:sz w:val="24"/>
          <w:szCs w:val="24"/>
        </w:rPr>
        <w:t xml:space="preserve"> of contractors or grantees.</w:t>
      </w:r>
    </w:p>
    <w:p w:rsidR="006360D7" w:rsidP="00DC56CC" w:rsidRDefault="007F66C2" w14:paraId="7C6DE33E" w14:textId="77777777">
      <w:pPr>
        <w:pStyle w:val="NoSpacing"/>
      </w:pPr>
      <w:r>
        <w:tab/>
      </w:r>
    </w:p>
    <w:p w:rsidRPr="006C7FAE" w:rsidR="007F66C2" w:rsidP="007F66C2" w:rsidRDefault="006360D7" w14:paraId="1EB3A99A" w14:textId="77777777">
      <w:pPr>
        <w:keepLines/>
        <w:tabs>
          <w:tab w:val="left" w:pos="360"/>
        </w:tabs>
        <w:spacing w:after="80"/>
        <w:ind w:left="360" w:hanging="360"/>
        <w:rPr>
          <w:sz w:val="24"/>
          <w:szCs w:val="24"/>
        </w:rPr>
      </w:pPr>
      <w:r>
        <w:rPr>
          <w:sz w:val="24"/>
          <w:szCs w:val="24"/>
        </w:rPr>
        <w:tab/>
      </w:r>
      <w:r w:rsidR="007F66C2">
        <w:rPr>
          <w:sz w:val="24"/>
          <w:szCs w:val="24"/>
        </w:rPr>
        <w:t xml:space="preserve">No payment or gift is provided. </w:t>
      </w:r>
    </w:p>
    <w:p w:rsidRPr="006C7FAE" w:rsidR="009E13B1" w:rsidP="00DC56CC" w:rsidRDefault="009E13B1" w14:paraId="6D7E37F5" w14:textId="77777777">
      <w:pPr>
        <w:pStyle w:val="NoSpacing"/>
      </w:pPr>
    </w:p>
    <w:p w:rsidRPr="006C7FAE" w:rsidR="009E13B1" w:rsidRDefault="009E13B1" w14:paraId="1E35A8FE"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p>
    <w:p w:rsidR="006360D7" w:rsidP="00DC56CC" w:rsidRDefault="007F66C2" w14:paraId="0BA0DCD6" w14:textId="77777777">
      <w:pPr>
        <w:pStyle w:val="NoSpacing"/>
      </w:pPr>
      <w:r>
        <w:tab/>
      </w:r>
    </w:p>
    <w:p w:rsidRPr="009712C4" w:rsidR="005D6456" w:rsidP="005D6456" w:rsidRDefault="005D6456" w14:paraId="3544B8F0" w14:textId="77777777">
      <w:pPr>
        <w:keepLines/>
        <w:tabs>
          <w:tab w:val="left" w:pos="360"/>
        </w:tabs>
        <w:spacing w:after="80"/>
        <w:ind w:left="360"/>
        <w:rPr>
          <w:sz w:val="24"/>
          <w:szCs w:val="24"/>
        </w:rPr>
      </w:pPr>
      <w:r w:rsidRPr="009712C4">
        <w:rPr>
          <w:sz w:val="24"/>
          <w:szCs w:val="24"/>
        </w:rPr>
        <w:t xml:space="preserve">The respondent’s </w:t>
      </w:r>
      <w:r>
        <w:rPr>
          <w:sz w:val="24"/>
          <w:szCs w:val="24"/>
        </w:rPr>
        <w:t>submission</w:t>
      </w:r>
      <w:r w:rsidRPr="009712C4">
        <w:rPr>
          <w:sz w:val="24"/>
          <w:szCs w:val="24"/>
        </w:rPr>
        <w:t xml:space="preserve"> to HUD is a public document that must also be made available upon requires to any member of the public, and therefore usage of the form by the respondent provides no assurance of confidentiality under HUD environmental review procedures. </w:t>
      </w:r>
    </w:p>
    <w:p w:rsidRPr="009712C4" w:rsidR="005D6456" w:rsidP="005D6456" w:rsidRDefault="005D6456" w14:paraId="287795B2" w14:textId="77777777">
      <w:pPr>
        <w:overflowPunct/>
        <w:autoSpaceDE/>
        <w:autoSpaceDN/>
        <w:adjustRightInd/>
        <w:ind w:left="360"/>
        <w:textAlignment w:val="auto"/>
        <w:rPr>
          <w:rFonts w:eastAsia="Calibri"/>
          <w:sz w:val="24"/>
          <w:szCs w:val="24"/>
        </w:rPr>
      </w:pPr>
      <w:r w:rsidRPr="009712C4">
        <w:rPr>
          <w:rFonts w:eastAsia="Calibri"/>
          <w:sz w:val="24"/>
          <w:szCs w:val="24"/>
        </w:rPr>
        <w:t>The Privacy Act of 1974 provided privacy protection to respondents.  There are no assurances of confidentiality provided.</w:t>
      </w:r>
    </w:p>
    <w:p w:rsidRPr="006C7FAE" w:rsidR="009E13B1" w:rsidRDefault="009E13B1" w14:paraId="0EB6A496" w14:textId="77777777">
      <w:pPr>
        <w:tabs>
          <w:tab w:val="left" w:pos="360"/>
        </w:tabs>
        <w:ind w:left="360" w:hanging="360"/>
        <w:rPr>
          <w:sz w:val="24"/>
          <w:szCs w:val="24"/>
        </w:rPr>
      </w:pPr>
    </w:p>
    <w:p w:rsidRPr="006C7FAE" w:rsidR="009E13B1" w:rsidRDefault="009E13B1" w14:paraId="0FD4B695"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60D7" w:rsidP="007F66C2" w:rsidRDefault="007F66C2" w14:paraId="6E6D2C6C" w14:textId="77777777">
      <w:pPr>
        <w:tabs>
          <w:tab w:val="left" w:pos="360"/>
        </w:tabs>
        <w:ind w:left="360" w:hanging="360"/>
        <w:rPr>
          <w:sz w:val="24"/>
          <w:szCs w:val="24"/>
        </w:rPr>
      </w:pPr>
      <w:r>
        <w:rPr>
          <w:sz w:val="24"/>
          <w:szCs w:val="24"/>
        </w:rPr>
        <w:tab/>
      </w:r>
    </w:p>
    <w:p w:rsidR="007F66C2" w:rsidP="007F66C2" w:rsidRDefault="006360D7" w14:paraId="6D4E1136" w14:textId="77777777">
      <w:pPr>
        <w:tabs>
          <w:tab w:val="left" w:pos="360"/>
        </w:tabs>
        <w:ind w:left="360" w:hanging="360"/>
        <w:rPr>
          <w:sz w:val="24"/>
          <w:szCs w:val="24"/>
        </w:rPr>
      </w:pPr>
      <w:r>
        <w:rPr>
          <w:sz w:val="24"/>
          <w:szCs w:val="24"/>
        </w:rPr>
        <w:tab/>
      </w:r>
      <w:r w:rsidR="007F66C2">
        <w:rPr>
          <w:sz w:val="24"/>
          <w:szCs w:val="24"/>
        </w:rPr>
        <w:t xml:space="preserve">No questions of a sensitive nature are involved. </w:t>
      </w:r>
    </w:p>
    <w:p w:rsidRPr="006C7FAE" w:rsidR="009E13B1" w:rsidRDefault="009E13B1" w14:paraId="66F726B2" w14:textId="77777777">
      <w:pPr>
        <w:tabs>
          <w:tab w:val="left" w:pos="360"/>
        </w:tabs>
        <w:ind w:left="360" w:hanging="360"/>
        <w:rPr>
          <w:sz w:val="24"/>
          <w:szCs w:val="24"/>
        </w:rPr>
      </w:pPr>
    </w:p>
    <w:p w:rsidRPr="006C7FAE" w:rsidR="009E13B1" w:rsidRDefault="009E13B1" w14:paraId="32947207"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03E73796"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9E13B1" w:rsidRDefault="009E13B1" w14:paraId="584C1C14"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Pr="006C7FAE" w:rsidR="009E13B1" w:rsidRDefault="009E13B1" w14:paraId="7ADE1A02" w14:textId="77777777">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6C7FAE" w:rsidR="009E13B1" w:rsidRDefault="009E13B1" w14:paraId="3598AA66"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9543" w:type="dxa"/>
        <w:tblInd w:w="72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Pr>
      <w:tblGrid>
        <w:gridCol w:w="1469"/>
        <w:gridCol w:w="1419"/>
        <w:gridCol w:w="1224"/>
        <w:gridCol w:w="1186"/>
        <w:gridCol w:w="1100"/>
        <w:gridCol w:w="929"/>
        <w:gridCol w:w="1100"/>
        <w:gridCol w:w="1116"/>
      </w:tblGrid>
      <w:tr w:rsidRPr="006C7FAE" w:rsidR="007F66C2" w:rsidTr="00DC56CC" w14:paraId="6057E5B1" w14:textId="77777777">
        <w:tc>
          <w:tcPr>
            <w:tcW w:w="1469" w:type="dxa"/>
            <w:tcBorders>
              <w:bottom w:val="single" w:color="666666" w:sz="12" w:space="0"/>
            </w:tcBorders>
            <w:shd w:val="clear" w:color="auto" w:fill="auto"/>
            <w:hideMark/>
          </w:tcPr>
          <w:p w:rsidRPr="00921506" w:rsidR="007F66C2" w:rsidP="00C2169C" w:rsidRDefault="007F66C2" w14:paraId="3CCDE5A5" w14:textId="77777777">
            <w:pPr>
              <w:adjustRightInd/>
              <w:jc w:val="center"/>
              <w:textAlignment w:val="auto"/>
              <w:rPr>
                <w:rFonts w:eastAsia="Calibri"/>
                <w:b/>
                <w:bCs/>
                <w:color w:val="000000"/>
              </w:rPr>
            </w:pPr>
            <w:r w:rsidRPr="00921506">
              <w:rPr>
                <w:rFonts w:eastAsia="Calibri"/>
                <w:b/>
                <w:bCs/>
                <w:color w:val="000000"/>
              </w:rPr>
              <w:t>Information Collection</w:t>
            </w:r>
          </w:p>
        </w:tc>
        <w:tc>
          <w:tcPr>
            <w:tcW w:w="1419" w:type="dxa"/>
            <w:tcBorders>
              <w:bottom w:val="single" w:color="666666" w:sz="12" w:space="0"/>
            </w:tcBorders>
            <w:shd w:val="clear" w:color="auto" w:fill="auto"/>
            <w:hideMark/>
          </w:tcPr>
          <w:p w:rsidRPr="00921506" w:rsidR="007F66C2" w:rsidP="00C2169C" w:rsidRDefault="007F66C2" w14:paraId="41EFB592" w14:textId="77777777">
            <w:pPr>
              <w:adjustRightInd/>
              <w:jc w:val="center"/>
              <w:textAlignment w:val="auto"/>
              <w:rPr>
                <w:rFonts w:eastAsia="Calibri"/>
                <w:b/>
                <w:bCs/>
                <w:color w:val="000000"/>
              </w:rPr>
            </w:pPr>
            <w:r w:rsidRPr="00921506">
              <w:rPr>
                <w:rFonts w:eastAsia="Calibri"/>
                <w:b/>
                <w:bCs/>
                <w:color w:val="000000"/>
              </w:rPr>
              <w:t>Number of Respondents</w:t>
            </w:r>
          </w:p>
        </w:tc>
        <w:tc>
          <w:tcPr>
            <w:tcW w:w="1224" w:type="dxa"/>
            <w:tcBorders>
              <w:bottom w:val="single" w:color="666666" w:sz="12" w:space="0"/>
            </w:tcBorders>
            <w:shd w:val="clear" w:color="auto" w:fill="auto"/>
            <w:hideMark/>
          </w:tcPr>
          <w:p w:rsidRPr="00921506" w:rsidR="007F66C2" w:rsidP="00C2169C" w:rsidRDefault="007F66C2" w14:paraId="24157895" w14:textId="77777777">
            <w:pPr>
              <w:adjustRightInd/>
              <w:jc w:val="center"/>
              <w:textAlignment w:val="auto"/>
              <w:rPr>
                <w:rFonts w:eastAsia="Calibri"/>
                <w:b/>
                <w:bCs/>
                <w:color w:val="000000"/>
              </w:rPr>
            </w:pPr>
            <w:r w:rsidRPr="00921506">
              <w:rPr>
                <w:rFonts w:eastAsia="Calibri"/>
                <w:b/>
                <w:bCs/>
                <w:color w:val="000000"/>
              </w:rPr>
              <w:t>Frequency of Response</w:t>
            </w:r>
          </w:p>
        </w:tc>
        <w:tc>
          <w:tcPr>
            <w:tcW w:w="1186" w:type="dxa"/>
            <w:tcBorders>
              <w:bottom w:val="single" w:color="666666" w:sz="12" w:space="0"/>
            </w:tcBorders>
            <w:shd w:val="clear" w:color="auto" w:fill="auto"/>
            <w:hideMark/>
          </w:tcPr>
          <w:p w:rsidRPr="00921506" w:rsidR="007F66C2" w:rsidP="00C2169C" w:rsidRDefault="007F66C2" w14:paraId="66BFBE19" w14:textId="77777777">
            <w:pPr>
              <w:overflowPunct/>
              <w:autoSpaceDE/>
              <w:autoSpaceDN/>
              <w:adjustRightInd/>
              <w:jc w:val="center"/>
              <w:textAlignment w:val="auto"/>
              <w:rPr>
                <w:rFonts w:eastAsia="Calibri"/>
                <w:b/>
                <w:bCs/>
                <w:color w:val="000000"/>
              </w:rPr>
            </w:pPr>
            <w:r w:rsidRPr="00921506">
              <w:rPr>
                <w:rFonts w:eastAsia="Calibri"/>
                <w:b/>
                <w:bCs/>
                <w:color w:val="000000"/>
              </w:rPr>
              <w:t>Responses</w:t>
            </w:r>
          </w:p>
          <w:p w:rsidRPr="00921506" w:rsidR="007F66C2" w:rsidP="00C2169C" w:rsidRDefault="007F66C2" w14:paraId="64ECBA58" w14:textId="77777777">
            <w:pPr>
              <w:adjustRightInd/>
              <w:jc w:val="center"/>
              <w:textAlignment w:val="auto"/>
              <w:rPr>
                <w:rFonts w:eastAsia="Calibri"/>
                <w:b/>
                <w:bCs/>
                <w:color w:val="000000"/>
              </w:rPr>
            </w:pPr>
            <w:r w:rsidRPr="00921506">
              <w:rPr>
                <w:rFonts w:eastAsia="Calibri"/>
                <w:b/>
                <w:bCs/>
                <w:color w:val="000000"/>
              </w:rPr>
              <w:t>Per Annum</w:t>
            </w:r>
          </w:p>
        </w:tc>
        <w:tc>
          <w:tcPr>
            <w:tcW w:w="1100" w:type="dxa"/>
            <w:tcBorders>
              <w:bottom w:val="single" w:color="666666" w:sz="12" w:space="0"/>
            </w:tcBorders>
            <w:shd w:val="clear" w:color="auto" w:fill="auto"/>
            <w:hideMark/>
          </w:tcPr>
          <w:p w:rsidRPr="00921506" w:rsidR="007F66C2" w:rsidP="00C2169C" w:rsidRDefault="007F66C2" w14:paraId="68B5A612" w14:textId="77777777">
            <w:pPr>
              <w:adjustRightInd/>
              <w:jc w:val="center"/>
              <w:textAlignment w:val="auto"/>
              <w:rPr>
                <w:rFonts w:eastAsia="Calibri"/>
                <w:b/>
                <w:bCs/>
                <w:color w:val="000000"/>
              </w:rPr>
            </w:pPr>
            <w:r w:rsidRPr="00921506">
              <w:rPr>
                <w:rFonts w:eastAsia="Calibri"/>
                <w:b/>
                <w:bCs/>
                <w:color w:val="000000"/>
              </w:rPr>
              <w:t>Burden Hour Per Response</w:t>
            </w:r>
          </w:p>
        </w:tc>
        <w:tc>
          <w:tcPr>
            <w:tcW w:w="929" w:type="dxa"/>
            <w:tcBorders>
              <w:bottom w:val="single" w:color="666666" w:sz="12" w:space="0"/>
            </w:tcBorders>
            <w:shd w:val="clear" w:color="auto" w:fill="auto"/>
            <w:hideMark/>
          </w:tcPr>
          <w:p w:rsidRPr="00921506" w:rsidR="007F66C2" w:rsidP="00C2169C" w:rsidRDefault="007F66C2" w14:paraId="1BB0F428" w14:textId="77777777">
            <w:pPr>
              <w:adjustRightInd/>
              <w:jc w:val="center"/>
              <w:textAlignment w:val="auto"/>
              <w:rPr>
                <w:rFonts w:eastAsia="Calibri"/>
                <w:b/>
                <w:bCs/>
                <w:color w:val="000000"/>
              </w:rPr>
            </w:pPr>
            <w:r w:rsidRPr="00921506">
              <w:rPr>
                <w:rFonts w:eastAsia="Calibri"/>
                <w:b/>
                <w:bCs/>
                <w:color w:val="000000"/>
              </w:rPr>
              <w:t>Annual Burden Hours</w:t>
            </w:r>
          </w:p>
        </w:tc>
        <w:tc>
          <w:tcPr>
            <w:tcW w:w="1100" w:type="dxa"/>
            <w:tcBorders>
              <w:bottom w:val="single" w:color="666666" w:sz="12" w:space="0"/>
            </w:tcBorders>
            <w:shd w:val="clear" w:color="auto" w:fill="auto"/>
            <w:hideMark/>
          </w:tcPr>
          <w:p w:rsidRPr="00921506" w:rsidR="007F66C2" w:rsidP="00C2169C" w:rsidRDefault="007F66C2" w14:paraId="6E93606B" w14:textId="77777777">
            <w:pPr>
              <w:adjustRightInd/>
              <w:jc w:val="center"/>
              <w:textAlignment w:val="auto"/>
              <w:rPr>
                <w:rFonts w:eastAsia="Calibri"/>
                <w:b/>
                <w:bCs/>
                <w:color w:val="000000"/>
              </w:rPr>
            </w:pPr>
            <w:r w:rsidRPr="00921506">
              <w:rPr>
                <w:rFonts w:eastAsia="Calibri"/>
                <w:b/>
                <w:bCs/>
                <w:color w:val="000000"/>
              </w:rPr>
              <w:t>Hourly Cost Per Response</w:t>
            </w:r>
          </w:p>
        </w:tc>
        <w:tc>
          <w:tcPr>
            <w:tcW w:w="1116" w:type="dxa"/>
            <w:tcBorders>
              <w:bottom w:val="single" w:color="666666" w:sz="12" w:space="0"/>
            </w:tcBorders>
            <w:shd w:val="clear" w:color="auto" w:fill="auto"/>
          </w:tcPr>
          <w:p w:rsidRPr="00921506" w:rsidR="007F66C2" w:rsidP="00C2169C" w:rsidRDefault="007F66C2" w14:paraId="26E6EA6D" w14:textId="77777777">
            <w:pPr>
              <w:overflowPunct/>
              <w:autoSpaceDE/>
              <w:autoSpaceDN/>
              <w:adjustRightInd/>
              <w:jc w:val="center"/>
              <w:textAlignment w:val="auto"/>
              <w:rPr>
                <w:rFonts w:eastAsia="Calibri"/>
                <w:b/>
                <w:bCs/>
                <w:color w:val="000000"/>
              </w:rPr>
            </w:pPr>
            <w:r w:rsidRPr="00921506">
              <w:rPr>
                <w:rFonts w:eastAsia="Calibri"/>
                <w:b/>
                <w:bCs/>
                <w:color w:val="000000"/>
              </w:rPr>
              <w:t>Annual Cost</w:t>
            </w:r>
          </w:p>
          <w:p w:rsidRPr="00921506" w:rsidR="007F66C2" w:rsidP="00C2169C" w:rsidRDefault="007F66C2" w14:paraId="03BC0D53" w14:textId="77777777">
            <w:pPr>
              <w:adjustRightInd/>
              <w:jc w:val="center"/>
              <w:textAlignment w:val="auto"/>
              <w:rPr>
                <w:rFonts w:eastAsia="Calibri"/>
                <w:b/>
                <w:bCs/>
                <w:color w:val="000000"/>
              </w:rPr>
            </w:pPr>
          </w:p>
        </w:tc>
      </w:tr>
      <w:tr w:rsidRPr="006C7FAE" w:rsidR="007F66C2" w:rsidTr="00DC56CC" w14:paraId="23934CD1" w14:textId="77777777">
        <w:tc>
          <w:tcPr>
            <w:tcW w:w="1469" w:type="dxa"/>
            <w:shd w:val="clear" w:color="auto" w:fill="auto"/>
          </w:tcPr>
          <w:p w:rsidRPr="00921506" w:rsidR="007F66C2" w:rsidP="00C2169C" w:rsidRDefault="007F66C2" w14:paraId="2713AE83" w14:textId="77777777">
            <w:pPr>
              <w:rPr>
                <w:b/>
                <w:bCs/>
                <w:color w:val="000000"/>
              </w:rPr>
            </w:pPr>
            <w:r w:rsidRPr="00921506">
              <w:rPr>
                <w:b/>
                <w:bCs/>
                <w:color w:val="000000"/>
              </w:rPr>
              <w:t>Sec. 55.20</w:t>
            </w:r>
          </w:p>
        </w:tc>
        <w:tc>
          <w:tcPr>
            <w:tcW w:w="1419" w:type="dxa"/>
            <w:shd w:val="clear" w:color="auto" w:fill="auto"/>
          </w:tcPr>
          <w:p w:rsidRPr="00921506" w:rsidR="007F66C2" w:rsidP="00E12F83" w:rsidRDefault="007F66C2" w14:paraId="391AB10E" w14:textId="77777777">
            <w:pPr>
              <w:jc w:val="right"/>
              <w:rPr>
                <w:b/>
                <w:bCs/>
                <w:color w:val="000000"/>
              </w:rPr>
            </w:pPr>
            <w:r w:rsidRPr="00921506">
              <w:rPr>
                <w:b/>
                <w:bCs/>
                <w:color w:val="000000"/>
              </w:rPr>
              <w:t>275</w:t>
            </w:r>
            <w:r w:rsidR="00E12F83">
              <w:rPr>
                <w:b/>
                <w:bCs/>
                <w:color w:val="000000"/>
              </w:rPr>
              <w:t>.00</w:t>
            </w:r>
          </w:p>
        </w:tc>
        <w:tc>
          <w:tcPr>
            <w:tcW w:w="1224" w:type="dxa"/>
            <w:shd w:val="clear" w:color="auto" w:fill="auto"/>
          </w:tcPr>
          <w:p w:rsidRPr="00921506" w:rsidR="007F66C2" w:rsidP="00E12F83" w:rsidRDefault="007F66C2" w14:paraId="50073B47" w14:textId="77777777">
            <w:pPr>
              <w:jc w:val="right"/>
              <w:rPr>
                <w:rFonts w:eastAsia="Calibri"/>
                <w:b/>
                <w:bCs/>
                <w:color w:val="000000"/>
              </w:rPr>
            </w:pPr>
            <w:r w:rsidRPr="00921506">
              <w:rPr>
                <w:rFonts w:eastAsia="Calibri"/>
                <w:b/>
                <w:bCs/>
                <w:color w:val="000000"/>
              </w:rPr>
              <w:t>1</w:t>
            </w:r>
            <w:r w:rsidR="00E12F83">
              <w:rPr>
                <w:rFonts w:eastAsia="Calibri"/>
                <w:b/>
                <w:bCs/>
                <w:color w:val="000000"/>
              </w:rPr>
              <w:t>.00</w:t>
            </w:r>
          </w:p>
        </w:tc>
        <w:tc>
          <w:tcPr>
            <w:tcW w:w="1186" w:type="dxa"/>
            <w:shd w:val="clear" w:color="auto" w:fill="auto"/>
          </w:tcPr>
          <w:p w:rsidRPr="00921506" w:rsidR="007F66C2" w:rsidP="00E12F83" w:rsidRDefault="007F66C2" w14:paraId="407A00CA" w14:textId="77777777">
            <w:pPr>
              <w:jc w:val="right"/>
              <w:rPr>
                <w:rFonts w:eastAsia="Calibri"/>
                <w:b/>
                <w:bCs/>
                <w:color w:val="000000"/>
              </w:rPr>
            </w:pPr>
            <w:r w:rsidRPr="00921506">
              <w:rPr>
                <w:rFonts w:eastAsia="Calibri"/>
                <w:b/>
                <w:bCs/>
                <w:color w:val="000000"/>
              </w:rPr>
              <w:t>275</w:t>
            </w:r>
            <w:r w:rsidR="00E12F83">
              <w:rPr>
                <w:rFonts w:eastAsia="Calibri"/>
                <w:b/>
                <w:bCs/>
                <w:color w:val="000000"/>
              </w:rPr>
              <w:t>.00</w:t>
            </w:r>
          </w:p>
        </w:tc>
        <w:tc>
          <w:tcPr>
            <w:tcW w:w="1100" w:type="dxa"/>
            <w:shd w:val="clear" w:color="auto" w:fill="auto"/>
          </w:tcPr>
          <w:p w:rsidRPr="00921506" w:rsidR="007F66C2" w:rsidP="00E12F83" w:rsidRDefault="007F66C2" w14:paraId="237D11BD" w14:textId="77777777">
            <w:pPr>
              <w:jc w:val="right"/>
              <w:rPr>
                <w:rFonts w:eastAsia="Calibri"/>
                <w:b/>
                <w:bCs/>
                <w:color w:val="000000"/>
              </w:rPr>
            </w:pPr>
            <w:r w:rsidRPr="00921506">
              <w:rPr>
                <w:rFonts w:eastAsia="Calibri"/>
                <w:b/>
                <w:bCs/>
                <w:color w:val="000000"/>
              </w:rPr>
              <w:t>8</w:t>
            </w:r>
            <w:r w:rsidR="00E12F83">
              <w:rPr>
                <w:rFonts w:eastAsia="Calibri"/>
                <w:b/>
                <w:bCs/>
                <w:color w:val="000000"/>
              </w:rPr>
              <w:t>.00</w:t>
            </w:r>
          </w:p>
        </w:tc>
        <w:tc>
          <w:tcPr>
            <w:tcW w:w="929" w:type="dxa"/>
            <w:shd w:val="clear" w:color="auto" w:fill="auto"/>
          </w:tcPr>
          <w:p w:rsidRPr="00921506" w:rsidR="007F66C2" w:rsidP="00E12F83" w:rsidRDefault="007F66C2" w14:paraId="101E36A9" w14:textId="77777777">
            <w:pPr>
              <w:jc w:val="right"/>
              <w:rPr>
                <w:rFonts w:eastAsia="Calibri"/>
                <w:b/>
                <w:bCs/>
                <w:color w:val="000000"/>
              </w:rPr>
            </w:pPr>
            <w:r w:rsidRPr="00921506">
              <w:rPr>
                <w:rFonts w:eastAsia="Calibri"/>
                <w:b/>
                <w:bCs/>
                <w:color w:val="000000"/>
              </w:rPr>
              <w:t>2,200</w:t>
            </w:r>
            <w:r w:rsidR="00E12F83">
              <w:rPr>
                <w:rFonts w:eastAsia="Calibri"/>
                <w:b/>
                <w:bCs/>
                <w:color w:val="000000"/>
              </w:rPr>
              <w:t>.00</w:t>
            </w:r>
          </w:p>
        </w:tc>
        <w:tc>
          <w:tcPr>
            <w:tcW w:w="1100" w:type="dxa"/>
            <w:shd w:val="clear" w:color="auto" w:fill="auto"/>
          </w:tcPr>
          <w:p w:rsidRPr="00921506" w:rsidR="007F66C2" w:rsidP="00E12F83" w:rsidRDefault="007F66C2" w14:paraId="7223B14E" w14:textId="77777777">
            <w:pPr>
              <w:jc w:val="right"/>
              <w:rPr>
                <w:rFonts w:eastAsia="Calibri"/>
                <w:b/>
                <w:bCs/>
                <w:color w:val="000000"/>
              </w:rPr>
            </w:pPr>
            <w:r w:rsidRPr="00921506">
              <w:rPr>
                <w:rFonts w:eastAsia="Calibri"/>
                <w:b/>
                <w:bCs/>
                <w:color w:val="000000"/>
              </w:rPr>
              <w:t>40</w:t>
            </w:r>
            <w:r w:rsidR="00E12F83">
              <w:rPr>
                <w:rFonts w:eastAsia="Calibri"/>
                <w:b/>
                <w:bCs/>
                <w:color w:val="000000"/>
              </w:rPr>
              <w:t>.00</w:t>
            </w:r>
          </w:p>
        </w:tc>
        <w:tc>
          <w:tcPr>
            <w:tcW w:w="1116" w:type="dxa"/>
            <w:shd w:val="clear" w:color="auto" w:fill="auto"/>
          </w:tcPr>
          <w:p w:rsidRPr="00921506" w:rsidR="007F66C2" w:rsidP="00E12F83" w:rsidRDefault="007F66C2" w14:paraId="5E55FB37" w14:textId="77777777">
            <w:pPr>
              <w:jc w:val="right"/>
              <w:rPr>
                <w:rFonts w:eastAsia="Calibri"/>
                <w:b/>
                <w:bCs/>
                <w:color w:val="000000"/>
              </w:rPr>
            </w:pPr>
            <w:r w:rsidRPr="00921506">
              <w:rPr>
                <w:rFonts w:eastAsia="Calibri"/>
                <w:b/>
                <w:bCs/>
                <w:color w:val="000000"/>
              </w:rPr>
              <w:t>88,000</w:t>
            </w:r>
            <w:r w:rsidR="00E12F83">
              <w:rPr>
                <w:rFonts w:eastAsia="Calibri"/>
                <w:b/>
                <w:bCs/>
                <w:color w:val="000000"/>
              </w:rPr>
              <w:t>.00</w:t>
            </w:r>
          </w:p>
        </w:tc>
      </w:tr>
      <w:tr w:rsidRPr="006C7FAE" w:rsidR="007F66C2" w:rsidTr="00DC56CC" w14:paraId="24E31FA8" w14:textId="77777777">
        <w:tc>
          <w:tcPr>
            <w:tcW w:w="1469" w:type="dxa"/>
            <w:shd w:val="clear" w:color="auto" w:fill="auto"/>
          </w:tcPr>
          <w:p w:rsidRPr="00921506" w:rsidR="007F66C2" w:rsidP="00C2169C" w:rsidRDefault="007F66C2" w14:paraId="64F6AD9D" w14:textId="77777777">
            <w:pPr>
              <w:rPr>
                <w:b/>
                <w:bCs/>
                <w:color w:val="000000"/>
              </w:rPr>
            </w:pPr>
            <w:r w:rsidRPr="00921506">
              <w:rPr>
                <w:b/>
                <w:bCs/>
                <w:color w:val="000000"/>
              </w:rPr>
              <w:t>Sec. 55.21</w:t>
            </w:r>
          </w:p>
        </w:tc>
        <w:tc>
          <w:tcPr>
            <w:tcW w:w="1419" w:type="dxa"/>
            <w:shd w:val="clear" w:color="auto" w:fill="auto"/>
          </w:tcPr>
          <w:p w:rsidRPr="00921506" w:rsidR="007F66C2" w:rsidP="00E12F83" w:rsidRDefault="007F66C2" w14:paraId="666F4902" w14:textId="77777777">
            <w:pPr>
              <w:jc w:val="right"/>
              <w:rPr>
                <w:b/>
                <w:bCs/>
                <w:color w:val="000000"/>
              </w:rPr>
            </w:pPr>
            <w:r w:rsidRPr="00921506">
              <w:rPr>
                <w:b/>
                <w:bCs/>
                <w:color w:val="000000"/>
              </w:rPr>
              <w:t>300</w:t>
            </w:r>
            <w:r w:rsidR="00E12F83">
              <w:rPr>
                <w:b/>
                <w:bCs/>
                <w:color w:val="000000"/>
              </w:rPr>
              <w:t>.00</w:t>
            </w:r>
          </w:p>
        </w:tc>
        <w:tc>
          <w:tcPr>
            <w:tcW w:w="1224" w:type="dxa"/>
            <w:shd w:val="clear" w:color="auto" w:fill="auto"/>
          </w:tcPr>
          <w:p w:rsidRPr="00921506" w:rsidR="007F66C2" w:rsidP="00E12F83" w:rsidRDefault="007F66C2" w14:paraId="5650BDEC" w14:textId="77777777">
            <w:pPr>
              <w:jc w:val="right"/>
              <w:rPr>
                <w:rFonts w:eastAsia="Calibri"/>
                <w:b/>
                <w:bCs/>
                <w:color w:val="000000"/>
              </w:rPr>
            </w:pPr>
            <w:r w:rsidRPr="00921506">
              <w:rPr>
                <w:rFonts w:eastAsia="Calibri"/>
                <w:b/>
                <w:bCs/>
                <w:color w:val="000000"/>
              </w:rPr>
              <w:t>1</w:t>
            </w:r>
            <w:r w:rsidR="00E12F83">
              <w:rPr>
                <w:rFonts w:eastAsia="Calibri"/>
                <w:b/>
                <w:bCs/>
                <w:color w:val="000000"/>
              </w:rPr>
              <w:t>.00</w:t>
            </w:r>
          </w:p>
        </w:tc>
        <w:tc>
          <w:tcPr>
            <w:tcW w:w="1186" w:type="dxa"/>
            <w:shd w:val="clear" w:color="auto" w:fill="auto"/>
          </w:tcPr>
          <w:p w:rsidRPr="00921506" w:rsidR="007F66C2" w:rsidP="00E12F83" w:rsidRDefault="007F66C2" w14:paraId="7292EBA9" w14:textId="77777777">
            <w:pPr>
              <w:jc w:val="right"/>
              <w:rPr>
                <w:rFonts w:eastAsia="Calibri"/>
                <w:b/>
                <w:bCs/>
                <w:color w:val="000000"/>
              </w:rPr>
            </w:pPr>
            <w:r w:rsidRPr="00921506">
              <w:rPr>
                <w:rFonts w:eastAsia="Calibri"/>
                <w:b/>
                <w:bCs/>
                <w:color w:val="000000"/>
              </w:rPr>
              <w:t>300</w:t>
            </w:r>
            <w:r w:rsidR="00E12F83">
              <w:rPr>
                <w:rFonts w:eastAsia="Calibri"/>
                <w:b/>
                <w:bCs/>
                <w:color w:val="000000"/>
              </w:rPr>
              <w:t>.00</w:t>
            </w:r>
          </w:p>
        </w:tc>
        <w:tc>
          <w:tcPr>
            <w:tcW w:w="1100" w:type="dxa"/>
            <w:shd w:val="clear" w:color="auto" w:fill="auto"/>
          </w:tcPr>
          <w:p w:rsidRPr="00921506" w:rsidR="007F66C2" w:rsidP="00E12F83" w:rsidRDefault="007F66C2" w14:paraId="0967A5F0" w14:textId="77777777">
            <w:pPr>
              <w:jc w:val="right"/>
              <w:rPr>
                <w:rFonts w:eastAsia="Calibri"/>
                <w:b/>
                <w:bCs/>
                <w:color w:val="000000"/>
              </w:rPr>
            </w:pPr>
            <w:r w:rsidRPr="00921506">
              <w:rPr>
                <w:rFonts w:eastAsia="Calibri"/>
                <w:b/>
                <w:bCs/>
                <w:color w:val="000000"/>
              </w:rPr>
              <w:t>1</w:t>
            </w:r>
            <w:r w:rsidR="00E12F83">
              <w:rPr>
                <w:rFonts w:eastAsia="Calibri"/>
                <w:b/>
                <w:bCs/>
                <w:color w:val="000000"/>
              </w:rPr>
              <w:t>.00</w:t>
            </w:r>
          </w:p>
        </w:tc>
        <w:tc>
          <w:tcPr>
            <w:tcW w:w="929" w:type="dxa"/>
            <w:shd w:val="clear" w:color="auto" w:fill="auto"/>
          </w:tcPr>
          <w:p w:rsidRPr="00921506" w:rsidR="007F66C2" w:rsidP="00E12F83" w:rsidRDefault="007F66C2" w14:paraId="68559F42" w14:textId="77777777">
            <w:pPr>
              <w:jc w:val="right"/>
              <w:rPr>
                <w:rFonts w:eastAsia="Calibri"/>
                <w:b/>
                <w:bCs/>
                <w:color w:val="000000"/>
              </w:rPr>
            </w:pPr>
            <w:r w:rsidRPr="00921506">
              <w:rPr>
                <w:rFonts w:eastAsia="Calibri"/>
                <w:b/>
                <w:bCs/>
                <w:color w:val="000000"/>
              </w:rPr>
              <w:t>300</w:t>
            </w:r>
            <w:r w:rsidR="00E12F83">
              <w:rPr>
                <w:rFonts w:eastAsia="Calibri"/>
                <w:b/>
                <w:bCs/>
                <w:color w:val="000000"/>
              </w:rPr>
              <w:t>.00</w:t>
            </w:r>
          </w:p>
        </w:tc>
        <w:tc>
          <w:tcPr>
            <w:tcW w:w="1100" w:type="dxa"/>
            <w:shd w:val="clear" w:color="auto" w:fill="auto"/>
          </w:tcPr>
          <w:p w:rsidRPr="00921506" w:rsidR="007F66C2" w:rsidP="00E12F83" w:rsidRDefault="007F66C2" w14:paraId="37CB9439" w14:textId="77777777">
            <w:pPr>
              <w:jc w:val="right"/>
              <w:rPr>
                <w:rFonts w:eastAsia="Calibri"/>
                <w:b/>
                <w:bCs/>
                <w:color w:val="000000"/>
              </w:rPr>
            </w:pPr>
            <w:r w:rsidRPr="00921506">
              <w:rPr>
                <w:rFonts w:eastAsia="Calibri"/>
                <w:b/>
                <w:bCs/>
                <w:color w:val="000000"/>
              </w:rPr>
              <w:t>40</w:t>
            </w:r>
            <w:r w:rsidR="00E12F83">
              <w:rPr>
                <w:rFonts w:eastAsia="Calibri"/>
                <w:b/>
                <w:bCs/>
                <w:color w:val="000000"/>
              </w:rPr>
              <w:t>.00</w:t>
            </w:r>
          </w:p>
        </w:tc>
        <w:tc>
          <w:tcPr>
            <w:tcW w:w="1116" w:type="dxa"/>
            <w:shd w:val="clear" w:color="auto" w:fill="auto"/>
          </w:tcPr>
          <w:p w:rsidRPr="00921506" w:rsidR="007F66C2" w:rsidP="00E12F83" w:rsidRDefault="007F66C2" w14:paraId="1802221B" w14:textId="77777777">
            <w:pPr>
              <w:jc w:val="right"/>
              <w:rPr>
                <w:rFonts w:eastAsia="Calibri"/>
                <w:b/>
                <w:bCs/>
                <w:color w:val="000000"/>
              </w:rPr>
            </w:pPr>
            <w:r w:rsidRPr="00921506">
              <w:rPr>
                <w:rFonts w:eastAsia="Calibri"/>
                <w:b/>
                <w:bCs/>
                <w:color w:val="000000"/>
              </w:rPr>
              <w:t>12,000</w:t>
            </w:r>
            <w:r w:rsidR="00E12F83">
              <w:rPr>
                <w:rFonts w:eastAsia="Calibri"/>
                <w:b/>
                <w:bCs/>
                <w:color w:val="000000"/>
              </w:rPr>
              <w:t>.00</w:t>
            </w:r>
          </w:p>
        </w:tc>
      </w:tr>
      <w:tr w:rsidRPr="006C7FAE" w:rsidR="007F66C2" w:rsidTr="00DC56CC" w14:paraId="4134F9AD" w14:textId="77777777">
        <w:tc>
          <w:tcPr>
            <w:tcW w:w="1469" w:type="dxa"/>
            <w:shd w:val="clear" w:color="auto" w:fill="auto"/>
          </w:tcPr>
          <w:p w:rsidRPr="00921506" w:rsidR="007F66C2" w:rsidP="00C2169C" w:rsidRDefault="007F66C2" w14:paraId="38422C33" w14:textId="77777777">
            <w:pPr>
              <w:rPr>
                <w:b/>
                <w:bCs/>
                <w:color w:val="000000"/>
              </w:rPr>
            </w:pPr>
            <w:r w:rsidRPr="00921506">
              <w:rPr>
                <w:b/>
                <w:bCs/>
                <w:color w:val="000000"/>
              </w:rPr>
              <w:t>Total</w:t>
            </w:r>
          </w:p>
        </w:tc>
        <w:tc>
          <w:tcPr>
            <w:tcW w:w="1419" w:type="dxa"/>
            <w:shd w:val="clear" w:color="auto" w:fill="auto"/>
          </w:tcPr>
          <w:p w:rsidRPr="00921506" w:rsidR="007F66C2" w:rsidP="00E12F83" w:rsidRDefault="007F66C2" w14:paraId="5DA674E5" w14:textId="77777777">
            <w:pPr>
              <w:jc w:val="right"/>
              <w:rPr>
                <w:b/>
                <w:bCs/>
                <w:color w:val="000000"/>
              </w:rPr>
            </w:pPr>
            <w:r w:rsidRPr="00921506">
              <w:rPr>
                <w:b/>
                <w:bCs/>
                <w:color w:val="000000"/>
              </w:rPr>
              <w:t>575</w:t>
            </w:r>
            <w:r w:rsidR="00E12F83">
              <w:rPr>
                <w:b/>
                <w:bCs/>
                <w:color w:val="000000"/>
              </w:rPr>
              <w:t>.00</w:t>
            </w:r>
          </w:p>
        </w:tc>
        <w:tc>
          <w:tcPr>
            <w:tcW w:w="1224" w:type="dxa"/>
            <w:shd w:val="clear" w:color="auto" w:fill="auto"/>
          </w:tcPr>
          <w:p w:rsidRPr="00921506" w:rsidR="007F66C2" w:rsidP="00E12F83" w:rsidRDefault="007F66C2" w14:paraId="55DF6343" w14:textId="77777777">
            <w:pPr>
              <w:jc w:val="right"/>
              <w:rPr>
                <w:rFonts w:eastAsia="Calibri"/>
                <w:b/>
                <w:bCs/>
                <w:color w:val="000000"/>
              </w:rPr>
            </w:pPr>
            <w:r w:rsidRPr="00921506">
              <w:rPr>
                <w:rFonts w:eastAsia="Calibri"/>
                <w:b/>
                <w:bCs/>
                <w:color w:val="000000"/>
              </w:rPr>
              <w:t>1</w:t>
            </w:r>
            <w:r w:rsidR="00E12F83">
              <w:rPr>
                <w:rFonts w:eastAsia="Calibri"/>
                <w:b/>
                <w:bCs/>
                <w:color w:val="000000"/>
              </w:rPr>
              <w:t>.00</w:t>
            </w:r>
          </w:p>
        </w:tc>
        <w:tc>
          <w:tcPr>
            <w:tcW w:w="1186" w:type="dxa"/>
            <w:shd w:val="clear" w:color="auto" w:fill="auto"/>
          </w:tcPr>
          <w:p w:rsidRPr="00921506" w:rsidR="007F66C2" w:rsidP="00E12F83" w:rsidRDefault="007F66C2" w14:paraId="75EFD4A8" w14:textId="77777777">
            <w:pPr>
              <w:jc w:val="right"/>
              <w:rPr>
                <w:rFonts w:eastAsia="Calibri"/>
                <w:b/>
                <w:bCs/>
                <w:color w:val="000000"/>
              </w:rPr>
            </w:pPr>
            <w:r w:rsidRPr="00921506">
              <w:rPr>
                <w:rFonts w:eastAsia="Calibri"/>
                <w:b/>
                <w:bCs/>
                <w:color w:val="000000"/>
              </w:rPr>
              <w:t>575</w:t>
            </w:r>
            <w:r w:rsidR="00E12F83">
              <w:rPr>
                <w:rFonts w:eastAsia="Calibri"/>
                <w:b/>
                <w:bCs/>
                <w:color w:val="000000"/>
              </w:rPr>
              <w:t>.00</w:t>
            </w:r>
          </w:p>
        </w:tc>
        <w:tc>
          <w:tcPr>
            <w:tcW w:w="1100" w:type="dxa"/>
            <w:shd w:val="clear" w:color="auto" w:fill="auto"/>
          </w:tcPr>
          <w:p w:rsidRPr="00921506" w:rsidR="007F66C2" w:rsidP="00E12F83" w:rsidRDefault="007F66C2" w14:paraId="0CBE30A3" w14:textId="77777777">
            <w:pPr>
              <w:jc w:val="right"/>
              <w:rPr>
                <w:rFonts w:eastAsia="Calibri"/>
                <w:b/>
                <w:bCs/>
                <w:color w:val="000000"/>
              </w:rPr>
            </w:pPr>
            <w:r w:rsidRPr="00921506">
              <w:rPr>
                <w:rFonts w:eastAsia="Calibri"/>
                <w:b/>
                <w:bCs/>
                <w:color w:val="000000"/>
              </w:rPr>
              <w:t>Varies</w:t>
            </w:r>
          </w:p>
        </w:tc>
        <w:tc>
          <w:tcPr>
            <w:tcW w:w="929" w:type="dxa"/>
            <w:shd w:val="clear" w:color="auto" w:fill="auto"/>
          </w:tcPr>
          <w:p w:rsidRPr="00921506" w:rsidR="007F66C2" w:rsidP="00E12F83" w:rsidRDefault="007F66C2" w14:paraId="775C9D93" w14:textId="77777777">
            <w:pPr>
              <w:jc w:val="right"/>
              <w:rPr>
                <w:rFonts w:eastAsia="Calibri"/>
                <w:b/>
                <w:bCs/>
                <w:color w:val="000000"/>
              </w:rPr>
            </w:pPr>
            <w:r w:rsidRPr="00921506">
              <w:rPr>
                <w:rFonts w:eastAsia="Calibri"/>
                <w:b/>
                <w:bCs/>
                <w:color w:val="000000"/>
              </w:rPr>
              <w:t>2,500</w:t>
            </w:r>
            <w:r w:rsidR="00E12F83">
              <w:rPr>
                <w:rFonts w:eastAsia="Calibri"/>
                <w:b/>
                <w:bCs/>
                <w:color w:val="000000"/>
              </w:rPr>
              <w:t>.00</w:t>
            </w:r>
          </w:p>
        </w:tc>
        <w:tc>
          <w:tcPr>
            <w:tcW w:w="1100" w:type="dxa"/>
            <w:shd w:val="clear" w:color="auto" w:fill="auto"/>
          </w:tcPr>
          <w:p w:rsidRPr="00921506" w:rsidR="007F66C2" w:rsidP="00E12F83" w:rsidRDefault="007F66C2" w14:paraId="371611BB" w14:textId="77777777">
            <w:pPr>
              <w:jc w:val="right"/>
              <w:rPr>
                <w:rFonts w:eastAsia="Calibri"/>
                <w:b/>
                <w:bCs/>
                <w:color w:val="000000"/>
              </w:rPr>
            </w:pPr>
            <w:r w:rsidRPr="00921506">
              <w:rPr>
                <w:rFonts w:eastAsia="Calibri"/>
                <w:b/>
                <w:bCs/>
                <w:color w:val="000000"/>
              </w:rPr>
              <w:t>40</w:t>
            </w:r>
            <w:r w:rsidR="00E12F83">
              <w:rPr>
                <w:rFonts w:eastAsia="Calibri"/>
                <w:b/>
                <w:bCs/>
                <w:color w:val="000000"/>
              </w:rPr>
              <w:t>.00</w:t>
            </w:r>
          </w:p>
        </w:tc>
        <w:tc>
          <w:tcPr>
            <w:tcW w:w="1116" w:type="dxa"/>
            <w:shd w:val="clear" w:color="auto" w:fill="auto"/>
          </w:tcPr>
          <w:p w:rsidRPr="00921506" w:rsidR="007F66C2" w:rsidP="00E12F83" w:rsidRDefault="007F66C2" w14:paraId="64B2FA30" w14:textId="77777777">
            <w:pPr>
              <w:jc w:val="right"/>
              <w:rPr>
                <w:rFonts w:eastAsia="Calibri"/>
                <w:b/>
                <w:bCs/>
                <w:color w:val="000000"/>
              </w:rPr>
            </w:pPr>
            <w:r w:rsidRPr="00921506">
              <w:rPr>
                <w:rFonts w:eastAsia="Calibri"/>
                <w:b/>
                <w:bCs/>
                <w:color w:val="000000"/>
              </w:rPr>
              <w:t>100,000</w:t>
            </w:r>
            <w:r w:rsidR="00E12F83">
              <w:rPr>
                <w:rFonts w:eastAsia="Calibri"/>
                <w:b/>
                <w:bCs/>
                <w:color w:val="000000"/>
              </w:rPr>
              <w:t>.00</w:t>
            </w:r>
          </w:p>
        </w:tc>
      </w:tr>
    </w:tbl>
    <w:p w:rsidR="007F66C2" w:rsidP="007F66C2" w:rsidRDefault="007F66C2" w14:paraId="285B2D74"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7F66C2" w:rsidP="007F66C2" w:rsidRDefault="007F66C2" w14:paraId="4CEB792E"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Pr>
          <w:sz w:val="24"/>
          <w:szCs w:val="24"/>
        </w:rPr>
        <w:t xml:space="preserve">HUD grants cover all eligible costs including staff work. The information collection is divided to show that the individuals giving notice under Sec. 55.20 and Sec. 55.21 are not always the same entities. </w:t>
      </w:r>
    </w:p>
    <w:p w:rsidRPr="006C7FAE" w:rsidR="00167E53" w:rsidP="00167E53" w:rsidRDefault="00167E53" w14:paraId="0094C2D7"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66035F83"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2A740147"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C7FAE" w:rsidR="009E13B1" w:rsidRDefault="009E13B1" w14:paraId="3F61DA2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Default="009E13B1" w14:paraId="27FC0B4D"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C7FAE" w:rsidR="00DC56CC" w:rsidP="00DC56CC" w:rsidRDefault="00DC56CC" w14:paraId="0B4A54BB" w14:textId="77777777">
      <w:pPr>
        <w:pStyle w:val="NoSpacing"/>
      </w:pPr>
    </w:p>
    <w:p w:rsidR="007F66C2" w:rsidP="007F66C2" w:rsidRDefault="007F66C2" w14:paraId="3DA12F8C" w14:textId="77777777">
      <w:pPr>
        <w:keepLines/>
        <w:tabs>
          <w:tab w:val="left" w:pos="360"/>
          <w:tab w:val="left" w:pos="720"/>
        </w:tabs>
        <w:ind w:left="360"/>
        <w:rPr>
          <w:sz w:val="24"/>
          <w:szCs w:val="24"/>
        </w:rPr>
      </w:pPr>
      <w:r>
        <w:rPr>
          <w:sz w:val="24"/>
          <w:szCs w:val="24"/>
        </w:rPr>
        <w:t xml:space="preserve">Section 55.20 requires respondents to publish two public notices: (1) Early Public Review; and (2) Findings and Public Explanation. For 275 respondents, HUD estimates: 2 notices per response; $300 per notice; $165,000 annualized notice publication. HUD grants cover all eligible costs including publication of newspaper notices. HUD is considering a proposed rule change that would permit respondents to post these notices on an appropriate government website to avoid this cost. </w:t>
      </w:r>
    </w:p>
    <w:p w:rsidR="00DC56CC" w:rsidP="007F66C2" w:rsidRDefault="00DC56CC" w14:paraId="6BA9EEBD" w14:textId="77777777">
      <w:pPr>
        <w:keepLines/>
        <w:tabs>
          <w:tab w:val="left" w:pos="360"/>
          <w:tab w:val="left" w:pos="720"/>
        </w:tabs>
        <w:ind w:left="360"/>
        <w:rPr>
          <w:sz w:val="24"/>
          <w:szCs w:val="24"/>
        </w:rPr>
      </w:pPr>
    </w:p>
    <w:p w:rsidR="00DC56CC" w:rsidP="007F66C2" w:rsidRDefault="00DC56CC" w14:paraId="7138C38A" w14:textId="77777777">
      <w:pPr>
        <w:keepLines/>
        <w:tabs>
          <w:tab w:val="left" w:pos="360"/>
          <w:tab w:val="left" w:pos="720"/>
        </w:tabs>
        <w:ind w:left="360"/>
        <w:rPr>
          <w:sz w:val="24"/>
          <w:szCs w:val="24"/>
        </w:rPr>
      </w:pPr>
    </w:p>
    <w:p w:rsidR="00DC56CC" w:rsidP="007F66C2" w:rsidRDefault="00DC56CC" w14:paraId="29B28124" w14:textId="77777777">
      <w:pPr>
        <w:keepLines/>
        <w:tabs>
          <w:tab w:val="left" w:pos="360"/>
          <w:tab w:val="left" w:pos="720"/>
        </w:tabs>
        <w:ind w:left="360"/>
        <w:rPr>
          <w:sz w:val="24"/>
          <w:szCs w:val="24"/>
        </w:rPr>
      </w:pPr>
    </w:p>
    <w:p w:rsidRPr="006C7FAE" w:rsidR="007F66C2" w:rsidRDefault="007F66C2" w14:paraId="40110D3B" w14:textId="77777777">
      <w:pPr>
        <w:keepLines/>
        <w:tabs>
          <w:tab w:val="left" w:pos="360"/>
          <w:tab w:val="left" w:pos="720"/>
        </w:tabs>
        <w:ind w:left="360"/>
        <w:rPr>
          <w:sz w:val="24"/>
          <w:szCs w:val="24"/>
        </w:rPr>
      </w:pPr>
    </w:p>
    <w:p w:rsidRPr="006C7FAE" w:rsidR="009E13B1" w:rsidRDefault="009E13B1" w14:paraId="69357163" w14:textId="77777777">
      <w:pPr>
        <w:keepLines/>
        <w:tabs>
          <w:tab w:val="left" w:pos="360"/>
        </w:tabs>
        <w:spacing w:after="80"/>
        <w:ind w:left="360" w:hanging="360"/>
        <w:rPr>
          <w:sz w:val="24"/>
          <w:szCs w:val="24"/>
        </w:rPr>
      </w:pPr>
      <w:r w:rsidRPr="006C7FAE">
        <w:rPr>
          <w:sz w:val="24"/>
          <w:szCs w:val="24"/>
        </w:rPr>
        <w:lastRenderedPageBreak/>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7F66C2" w:rsidP="007F66C2" w:rsidRDefault="007F66C2" w14:paraId="424BE4D1" w14:textId="77777777">
      <w:pPr>
        <w:overflowPunct/>
        <w:autoSpaceDE/>
        <w:autoSpaceDN/>
        <w:adjustRightInd/>
        <w:spacing w:after="80"/>
        <w:ind w:left="360"/>
        <w:textAlignment w:val="auto"/>
        <w:rPr>
          <w:rFonts w:eastAsia="Calibri"/>
          <w:color w:val="000000"/>
        </w:rPr>
      </w:pPr>
      <w:bookmarkStart w:name="_Hlk26543847" w:id="0"/>
    </w:p>
    <w:tbl>
      <w:tblPr>
        <w:tblW w:w="0" w:type="auto"/>
        <w:tblInd w:w="468" w:type="dxa"/>
        <w:tblCellMar>
          <w:left w:w="0" w:type="dxa"/>
          <w:right w:w="0" w:type="dxa"/>
        </w:tblCellMar>
        <w:tblLook w:val="04A0" w:firstRow="1" w:lastRow="0" w:firstColumn="1" w:lastColumn="0" w:noHBand="0" w:noVBand="1"/>
      </w:tblPr>
      <w:tblGrid>
        <w:gridCol w:w="1469"/>
        <w:gridCol w:w="1419"/>
        <w:gridCol w:w="1224"/>
        <w:gridCol w:w="1186"/>
        <w:gridCol w:w="1100"/>
        <w:gridCol w:w="929"/>
        <w:gridCol w:w="1100"/>
        <w:gridCol w:w="1116"/>
      </w:tblGrid>
      <w:tr w:rsidRPr="006C7FAE" w:rsidR="007F66C2" w:rsidTr="00C2169C" w14:paraId="24D4BB64"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7F66C2" w:rsidP="00C2169C" w:rsidRDefault="007F66C2" w14:paraId="7495F772"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7F66C2" w:rsidP="00C2169C" w:rsidRDefault="007F66C2" w14:paraId="3842C23B"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7F66C2" w:rsidP="00C2169C" w:rsidRDefault="007F66C2" w14:paraId="742227F9"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7F66C2" w:rsidP="00C2169C" w:rsidRDefault="007F66C2" w14:paraId="5D6473CA"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7F66C2" w:rsidP="00C2169C" w:rsidRDefault="007F66C2" w14:paraId="71BB01CB"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7F66C2" w:rsidP="00C2169C" w:rsidRDefault="007F66C2" w14:paraId="2E40BACA"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7F66C2" w:rsidP="00C2169C" w:rsidRDefault="007F66C2" w14:paraId="044A9C8C"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7F66C2" w:rsidP="00C2169C" w:rsidRDefault="007F66C2" w14:paraId="3D644D13"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7F66C2" w:rsidP="00C2169C" w:rsidRDefault="007F66C2" w14:paraId="4BED9DCE"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7F66C2" w:rsidP="00C2169C" w:rsidRDefault="007F66C2" w14:paraId="75CBC1BF" w14:textId="77777777">
            <w:pPr>
              <w:adjustRightInd/>
              <w:jc w:val="center"/>
              <w:textAlignment w:val="auto"/>
              <w:rPr>
                <w:rFonts w:eastAsia="Calibri"/>
                <w:b/>
                <w:bCs/>
                <w:color w:val="000000"/>
              </w:rPr>
            </w:pPr>
          </w:p>
        </w:tc>
      </w:tr>
      <w:tr w:rsidRPr="006C7FAE" w:rsidR="00E12F83" w:rsidTr="00C2169C" w14:paraId="7F553098"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1025C0AD" w14:textId="77777777">
            <w:pPr>
              <w:rPr>
                <w:b/>
                <w:bCs/>
                <w:color w:val="000000"/>
              </w:rPr>
            </w:pPr>
            <w:r w:rsidRPr="00E12F83">
              <w:rPr>
                <w:b/>
                <w:bCs/>
                <w:color w:val="000000"/>
              </w:rPr>
              <w:t>Sec. 55.20</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135D5C0E" w14:textId="77777777">
            <w:pPr>
              <w:jc w:val="right"/>
              <w:rPr>
                <w:b/>
                <w:bCs/>
                <w:color w:val="000000"/>
              </w:rPr>
            </w:pPr>
            <w:r w:rsidRPr="00E12F83">
              <w:rPr>
                <w:b/>
                <w:bCs/>
              </w:rPr>
              <w:t>275.00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7FA14931" w14:textId="77777777">
            <w:pPr>
              <w:jc w:val="right"/>
              <w:rPr>
                <w:rFonts w:eastAsia="Calibri"/>
                <w:b/>
                <w:bCs/>
                <w:color w:val="000000"/>
              </w:rPr>
            </w:pPr>
            <w:r w:rsidRPr="00E12F83">
              <w:rPr>
                <w:b/>
                <w:bCs/>
              </w:rPr>
              <w:t>1.00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6981E146" w14:textId="77777777">
            <w:pPr>
              <w:jc w:val="right"/>
              <w:rPr>
                <w:rFonts w:eastAsia="Calibri"/>
                <w:b/>
                <w:bCs/>
                <w:color w:val="000000"/>
              </w:rPr>
            </w:pPr>
            <w:r w:rsidRPr="00E12F83">
              <w:rPr>
                <w:b/>
                <w:bCs/>
              </w:rPr>
              <w:t>275.00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36AC19AA" w14:textId="77777777">
            <w:pPr>
              <w:jc w:val="right"/>
              <w:rPr>
                <w:rFonts w:eastAsia="Calibri"/>
                <w:b/>
                <w:bCs/>
                <w:color w:val="000000"/>
              </w:rPr>
            </w:pPr>
            <w:r w:rsidRPr="00E12F83">
              <w:rPr>
                <w:b/>
                <w:bCs/>
              </w:rPr>
              <w:t>8.00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0361636E" w14:textId="77777777">
            <w:pPr>
              <w:jc w:val="right"/>
              <w:rPr>
                <w:rFonts w:eastAsia="Calibri"/>
                <w:b/>
                <w:bCs/>
                <w:color w:val="000000"/>
              </w:rPr>
            </w:pPr>
            <w:r w:rsidRPr="00E12F83">
              <w:rPr>
                <w:b/>
                <w:bCs/>
              </w:rPr>
              <w:t>2,200.00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4A30302D" w14:textId="77777777">
            <w:pPr>
              <w:jc w:val="right"/>
              <w:rPr>
                <w:rFonts w:eastAsia="Calibri"/>
                <w:b/>
                <w:bCs/>
                <w:color w:val="000000"/>
              </w:rPr>
            </w:pPr>
            <w:r w:rsidRPr="00E12F83">
              <w:rPr>
                <w:b/>
                <w:bCs/>
              </w:rPr>
              <w:t>40.00</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35B5178C" w14:textId="77777777">
            <w:pPr>
              <w:jc w:val="right"/>
              <w:rPr>
                <w:rFonts w:eastAsia="Calibri"/>
                <w:b/>
                <w:bCs/>
                <w:color w:val="000000"/>
              </w:rPr>
            </w:pPr>
            <w:r w:rsidRPr="00E12F83">
              <w:rPr>
                <w:b/>
                <w:bCs/>
              </w:rPr>
              <w:t>88,000.00</w:t>
            </w:r>
          </w:p>
        </w:tc>
      </w:tr>
      <w:tr w:rsidRPr="006C7FAE" w:rsidR="00E12F83" w:rsidTr="00C2169C" w14:paraId="7C6F55CF"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02363627" w14:textId="77777777">
            <w:pPr>
              <w:rPr>
                <w:b/>
                <w:bCs/>
                <w:color w:val="000000"/>
              </w:rPr>
            </w:pPr>
            <w:r w:rsidRPr="00E12F83">
              <w:rPr>
                <w:b/>
                <w:bCs/>
                <w:color w:val="000000"/>
              </w:rPr>
              <w:t>Sec. 55.21</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74C81E40" w14:textId="77777777">
            <w:pPr>
              <w:jc w:val="right"/>
              <w:rPr>
                <w:b/>
                <w:bCs/>
                <w:color w:val="000000"/>
              </w:rPr>
            </w:pPr>
            <w:r w:rsidRPr="00E12F83">
              <w:rPr>
                <w:b/>
                <w:bCs/>
              </w:rPr>
              <w:t>300.00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3C3D8446" w14:textId="77777777">
            <w:pPr>
              <w:jc w:val="right"/>
              <w:rPr>
                <w:rFonts w:eastAsia="Calibri"/>
                <w:b/>
                <w:bCs/>
                <w:color w:val="000000"/>
              </w:rPr>
            </w:pPr>
            <w:r w:rsidRPr="00E12F83">
              <w:rPr>
                <w:b/>
                <w:bCs/>
              </w:rPr>
              <w:t>1.00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1F084820" w14:textId="77777777">
            <w:pPr>
              <w:jc w:val="right"/>
              <w:rPr>
                <w:rFonts w:eastAsia="Calibri"/>
                <w:b/>
                <w:bCs/>
                <w:color w:val="000000"/>
              </w:rPr>
            </w:pPr>
            <w:r w:rsidRPr="00E12F83">
              <w:rPr>
                <w:b/>
                <w:bCs/>
              </w:rPr>
              <w:t>300.00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1BC3AD2C" w14:textId="77777777">
            <w:pPr>
              <w:jc w:val="right"/>
              <w:rPr>
                <w:rFonts w:eastAsia="Calibri"/>
                <w:b/>
                <w:bCs/>
                <w:color w:val="000000"/>
              </w:rPr>
            </w:pPr>
            <w:r w:rsidRPr="00E12F83">
              <w:rPr>
                <w:b/>
                <w:bCs/>
              </w:rPr>
              <w:t>1.00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3CD737A4" w14:textId="77777777">
            <w:pPr>
              <w:jc w:val="right"/>
              <w:rPr>
                <w:rFonts w:eastAsia="Calibri"/>
                <w:b/>
                <w:bCs/>
                <w:color w:val="000000"/>
              </w:rPr>
            </w:pPr>
            <w:r w:rsidRPr="00E12F83">
              <w:rPr>
                <w:b/>
                <w:bCs/>
              </w:rPr>
              <w:t>300.00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277E736F" w14:textId="77777777">
            <w:pPr>
              <w:jc w:val="right"/>
              <w:rPr>
                <w:rFonts w:eastAsia="Calibri"/>
                <w:b/>
                <w:bCs/>
                <w:color w:val="000000"/>
              </w:rPr>
            </w:pPr>
            <w:r w:rsidRPr="00E12F83">
              <w:rPr>
                <w:b/>
                <w:bCs/>
              </w:rPr>
              <w:t>40.00</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391F2F88" w14:textId="77777777">
            <w:pPr>
              <w:jc w:val="right"/>
              <w:rPr>
                <w:rFonts w:eastAsia="Calibri"/>
                <w:b/>
                <w:bCs/>
                <w:color w:val="000000"/>
              </w:rPr>
            </w:pPr>
            <w:r w:rsidRPr="00E12F83">
              <w:rPr>
                <w:b/>
                <w:bCs/>
              </w:rPr>
              <w:t>12,000.00</w:t>
            </w:r>
          </w:p>
        </w:tc>
      </w:tr>
      <w:tr w:rsidRPr="006C7FAE" w:rsidR="00E12F83" w:rsidTr="00C2169C" w14:paraId="114A21E6"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D3DD9" w:rsidR="00E12F83" w:rsidP="00E12F83" w:rsidRDefault="00E12F83" w14:paraId="563BEB7F" w14:textId="77777777">
            <w:pPr>
              <w:rPr>
                <w:b/>
                <w:bCs/>
                <w:color w:val="000000"/>
              </w:rPr>
            </w:pPr>
            <w:r w:rsidRPr="00ED3DD9">
              <w:rPr>
                <w:b/>
                <w:bCs/>
                <w:color w:val="000000"/>
              </w:rPr>
              <w:t>Total</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53C6465F" w14:textId="77777777">
            <w:pPr>
              <w:jc w:val="right"/>
              <w:rPr>
                <w:b/>
                <w:bCs/>
                <w:color w:val="000000"/>
              </w:rPr>
            </w:pPr>
            <w:r w:rsidRPr="00E12F83">
              <w:rPr>
                <w:b/>
                <w:bCs/>
              </w:rPr>
              <w:t>575.00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78867F2D" w14:textId="77777777">
            <w:pPr>
              <w:jc w:val="right"/>
              <w:rPr>
                <w:rFonts w:eastAsia="Calibri"/>
                <w:b/>
                <w:bCs/>
                <w:color w:val="000000"/>
              </w:rPr>
            </w:pPr>
            <w:r w:rsidRPr="00E12F83">
              <w:rPr>
                <w:b/>
                <w:bCs/>
              </w:rPr>
              <w:t>1.00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5AC9EB4A" w14:textId="77777777">
            <w:pPr>
              <w:jc w:val="right"/>
              <w:rPr>
                <w:rFonts w:eastAsia="Calibri"/>
                <w:b/>
                <w:bCs/>
                <w:color w:val="000000"/>
              </w:rPr>
            </w:pPr>
            <w:r w:rsidRPr="00E12F83">
              <w:rPr>
                <w:b/>
                <w:bCs/>
              </w:rPr>
              <w:t>575.00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0F545F29" w14:textId="77777777">
            <w:pPr>
              <w:jc w:val="right"/>
              <w:rPr>
                <w:rFonts w:eastAsia="Calibri"/>
                <w:b/>
                <w:bCs/>
                <w:color w:val="000000"/>
              </w:rPr>
            </w:pPr>
            <w:r w:rsidRPr="00E12F83">
              <w:rPr>
                <w:b/>
                <w:bCs/>
              </w:rPr>
              <w:t>Varies</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32D3633D" w14:textId="77777777">
            <w:pPr>
              <w:jc w:val="right"/>
              <w:rPr>
                <w:rFonts w:eastAsia="Calibri"/>
                <w:b/>
                <w:bCs/>
                <w:color w:val="000000"/>
              </w:rPr>
            </w:pPr>
            <w:r w:rsidRPr="00E12F83">
              <w:rPr>
                <w:b/>
                <w:bCs/>
              </w:rPr>
              <w:t>2,500.00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7292EF9A" w14:textId="77777777">
            <w:pPr>
              <w:jc w:val="right"/>
              <w:rPr>
                <w:rFonts w:eastAsia="Calibri"/>
                <w:b/>
                <w:bCs/>
                <w:color w:val="000000"/>
              </w:rPr>
            </w:pPr>
            <w:r w:rsidRPr="00E12F83">
              <w:rPr>
                <w:b/>
                <w:bCs/>
              </w:rPr>
              <w:t>40.00</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E12F83" w:rsidR="00E12F83" w:rsidP="00E12F83" w:rsidRDefault="00E12F83" w14:paraId="09FEDBFD" w14:textId="77777777">
            <w:pPr>
              <w:jc w:val="right"/>
              <w:rPr>
                <w:rFonts w:eastAsia="Calibri"/>
                <w:b/>
                <w:bCs/>
                <w:color w:val="000000"/>
              </w:rPr>
            </w:pPr>
            <w:r w:rsidRPr="00E12F83">
              <w:rPr>
                <w:b/>
                <w:bCs/>
              </w:rPr>
              <w:t>100,000.00</w:t>
            </w:r>
          </w:p>
        </w:tc>
      </w:tr>
    </w:tbl>
    <w:p w:rsidRPr="006C7FAE" w:rsidR="007F66C2" w:rsidP="007F66C2" w:rsidRDefault="007F66C2" w14:paraId="640335BE" w14:textId="77777777">
      <w:pPr>
        <w:keepLines/>
        <w:tabs>
          <w:tab w:val="left" w:pos="360"/>
          <w:tab w:val="left" w:pos="720"/>
        </w:tabs>
        <w:ind w:left="720"/>
      </w:pPr>
    </w:p>
    <w:p w:rsidR="007F66C2" w:rsidP="007F66C2" w:rsidRDefault="007F66C2" w14:paraId="6A3194E9" w14:textId="77777777">
      <w:pPr>
        <w:tabs>
          <w:tab w:val="left" w:pos="360"/>
        </w:tabs>
        <w:ind w:left="360" w:hanging="360"/>
        <w:rPr>
          <w:sz w:val="24"/>
          <w:szCs w:val="24"/>
        </w:rPr>
      </w:pPr>
      <w:r>
        <w:rPr>
          <w:sz w:val="24"/>
          <w:szCs w:val="24"/>
        </w:rPr>
        <w:tab/>
        <w:t xml:space="preserve">Because HUD grants may be used to cover all eligible costs and publication of newspaper notices, the annual cost to respondents is typically born by HUD. There are no additional costs to HUD beyond the administrative grant used by respondents described in Question 12. </w:t>
      </w:r>
      <w:bookmarkStart w:name="_Hlk34113434" w:id="1"/>
      <w:r w:rsidR="005D6456">
        <w:rPr>
          <w:sz w:val="24"/>
          <w:szCs w:val="24"/>
        </w:rPr>
        <w:t xml:space="preserve">Therefore, these tables are identical to reflect that the cost that appears to be borne by respondents is funded through HUD grants. </w:t>
      </w:r>
    </w:p>
    <w:bookmarkEnd w:id="0"/>
    <w:bookmarkEnd w:id="1"/>
    <w:p w:rsidRPr="006C7FAE" w:rsidR="006C7FAE" w:rsidRDefault="006C7FAE" w14:paraId="0B2A9526" w14:textId="77777777">
      <w:pPr>
        <w:tabs>
          <w:tab w:val="left" w:pos="360"/>
        </w:tabs>
        <w:ind w:left="360" w:hanging="360"/>
        <w:rPr>
          <w:sz w:val="24"/>
          <w:szCs w:val="24"/>
        </w:rPr>
      </w:pPr>
    </w:p>
    <w:p w:rsidRPr="006C7FAE" w:rsidR="009E13B1" w:rsidRDefault="009E13B1" w14:paraId="7BA898DC"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6360D7" w:rsidP="00DC56CC" w:rsidRDefault="00F81B8D" w14:paraId="0DFD29C2" w14:textId="77777777">
      <w:pPr>
        <w:pStyle w:val="NoSpacing"/>
      </w:pPr>
      <w:r>
        <w:tab/>
      </w:r>
    </w:p>
    <w:p w:rsidRPr="006C7FAE" w:rsidR="00F81B8D" w:rsidP="00F81B8D" w:rsidRDefault="006360D7" w14:paraId="4437B871" w14:textId="77777777">
      <w:pPr>
        <w:keepLines/>
        <w:tabs>
          <w:tab w:val="left" w:pos="360"/>
        </w:tabs>
        <w:spacing w:after="80"/>
        <w:ind w:left="360" w:hanging="360"/>
        <w:rPr>
          <w:sz w:val="24"/>
          <w:szCs w:val="24"/>
        </w:rPr>
      </w:pPr>
      <w:r>
        <w:rPr>
          <w:sz w:val="24"/>
          <w:szCs w:val="24"/>
        </w:rPr>
        <w:tab/>
      </w:r>
      <w:r w:rsidR="00F81B8D">
        <w:rPr>
          <w:sz w:val="24"/>
          <w:szCs w:val="24"/>
        </w:rPr>
        <w:t>There are no changes or adjustments.</w:t>
      </w:r>
    </w:p>
    <w:p w:rsidRPr="006C7FAE" w:rsidR="009E13B1" w:rsidP="00DC56CC" w:rsidRDefault="009E13B1" w14:paraId="28AB8D09" w14:textId="77777777">
      <w:pPr>
        <w:pStyle w:val="NoSpacing"/>
      </w:pPr>
    </w:p>
    <w:p w:rsidRPr="006C7FAE" w:rsidR="009E13B1" w:rsidRDefault="009E13B1" w14:paraId="584E5EC5"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60D7" w:rsidP="00DC56CC" w:rsidRDefault="007F66C2" w14:paraId="519696DD" w14:textId="77777777">
      <w:pPr>
        <w:pStyle w:val="NoSpacing"/>
      </w:pPr>
      <w:r>
        <w:tab/>
      </w:r>
    </w:p>
    <w:p w:rsidRPr="006C7FAE" w:rsidR="007F66C2" w:rsidP="007F66C2" w:rsidRDefault="006360D7" w14:paraId="19267A53" w14:textId="77777777">
      <w:pPr>
        <w:keepLines/>
        <w:tabs>
          <w:tab w:val="left" w:pos="360"/>
        </w:tabs>
        <w:spacing w:after="80"/>
        <w:ind w:left="360" w:hanging="360"/>
        <w:rPr>
          <w:sz w:val="24"/>
          <w:szCs w:val="24"/>
        </w:rPr>
      </w:pPr>
      <w:r>
        <w:rPr>
          <w:sz w:val="24"/>
          <w:szCs w:val="24"/>
        </w:rPr>
        <w:tab/>
      </w:r>
      <w:r w:rsidR="007F66C2">
        <w:rPr>
          <w:sz w:val="24"/>
          <w:szCs w:val="24"/>
        </w:rPr>
        <w:t>This is not applicable, because the collected information is not gathered for publication in the aggregate. Each respondent publishes notices in an appropriate local printed news medium and must provide copies to federal, state, and local public agencies, organizations, and individuals known to be interested in the proposed action. Generally</w:t>
      </w:r>
      <w:r w:rsidR="004923B6">
        <w:rPr>
          <w:sz w:val="24"/>
          <w:szCs w:val="24"/>
        </w:rPr>
        <w:t>,</w:t>
      </w:r>
      <w:r w:rsidR="007F66C2">
        <w:rPr>
          <w:sz w:val="24"/>
          <w:szCs w:val="24"/>
        </w:rPr>
        <w:t xml:space="preserve"> the commenting period for such notices is 15 to 30 days. The notices are retained in the respondents’ files as evidence of compliance with Secs. 2(a)(2) and (3) of E.O. 11988, Sec. 2(b) of E.O. 11990, and 24 CFR 55.20(b) and (g). </w:t>
      </w:r>
    </w:p>
    <w:p w:rsidRPr="006C7FAE" w:rsidR="009E13B1" w:rsidP="00DC56CC" w:rsidRDefault="009E13B1" w14:paraId="742F740D" w14:textId="77777777">
      <w:pPr>
        <w:pStyle w:val="NoSpacing"/>
      </w:pPr>
    </w:p>
    <w:p w:rsidRPr="006C7FAE" w:rsidR="009E13B1" w:rsidRDefault="009E13B1" w14:paraId="5B8415E0"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6360D7" w:rsidP="00DC56CC" w:rsidRDefault="007F66C2" w14:paraId="754815A7" w14:textId="77777777">
      <w:pPr>
        <w:pStyle w:val="NoSpacing"/>
      </w:pPr>
      <w:r>
        <w:tab/>
      </w:r>
    </w:p>
    <w:p w:rsidRPr="006C7FAE" w:rsidR="007F66C2" w:rsidP="007F66C2" w:rsidRDefault="006360D7" w14:paraId="69739B5B" w14:textId="77777777">
      <w:pPr>
        <w:keepLines/>
        <w:tabs>
          <w:tab w:val="left" w:pos="360"/>
        </w:tabs>
        <w:spacing w:after="80"/>
        <w:ind w:left="360" w:hanging="360"/>
        <w:rPr>
          <w:sz w:val="24"/>
          <w:szCs w:val="24"/>
        </w:rPr>
      </w:pPr>
      <w:r>
        <w:rPr>
          <w:sz w:val="24"/>
          <w:szCs w:val="24"/>
        </w:rPr>
        <w:tab/>
      </w:r>
      <w:r w:rsidR="007F66C2">
        <w:rPr>
          <w:sz w:val="24"/>
          <w:szCs w:val="24"/>
        </w:rPr>
        <w:t xml:space="preserve">HUD is seeking approval not to display the expiration date for OMB approval of the information collection, because there is no HUD form on which to display the expiration date. </w:t>
      </w:r>
    </w:p>
    <w:p w:rsidRPr="006C7FAE" w:rsidR="007F66C2" w:rsidP="00DC56CC" w:rsidRDefault="007F66C2" w14:paraId="131BDD49" w14:textId="77777777">
      <w:pPr>
        <w:pStyle w:val="NoSpacing"/>
      </w:pPr>
    </w:p>
    <w:p w:rsidR="009E13B1" w:rsidRDefault="009E13B1" w14:paraId="2F04EA39"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Pr="006C7FAE" w:rsidR="0091011C" w:rsidRDefault="0091011C" w14:paraId="6A9A6917" w14:textId="77777777">
      <w:pPr>
        <w:keepLines/>
        <w:tabs>
          <w:tab w:val="left" w:pos="360"/>
        </w:tabs>
        <w:spacing w:after="80"/>
        <w:ind w:left="360" w:hanging="360"/>
        <w:rPr>
          <w:rFonts w:ascii="Courier" w:hAnsi="Courier"/>
          <w:sz w:val="24"/>
          <w:szCs w:val="24"/>
        </w:rPr>
      </w:pPr>
      <w:r>
        <w:rPr>
          <w:sz w:val="24"/>
          <w:szCs w:val="24"/>
        </w:rPr>
        <w:tab/>
        <w:t>Not applicable</w:t>
      </w:r>
    </w:p>
    <w:p w:rsidRPr="006C7FAE" w:rsidR="009E13B1" w:rsidP="00167E53" w:rsidRDefault="009E13B1" w14:paraId="40BE962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headerReference w:type="default" r:id="rId7"/>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2BFFF" w14:textId="77777777" w:rsidR="00F22BCE" w:rsidRDefault="00F22BCE">
      <w:r>
        <w:separator/>
      </w:r>
    </w:p>
  </w:endnote>
  <w:endnote w:type="continuationSeparator" w:id="0">
    <w:p w14:paraId="6CE6F18B" w14:textId="77777777" w:rsidR="00F22BCE" w:rsidRDefault="00F2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D186E" w14:textId="77777777" w:rsidR="00F22BCE" w:rsidRDefault="00F22BCE">
      <w:r>
        <w:separator/>
      </w:r>
    </w:p>
  </w:footnote>
  <w:footnote w:type="continuationSeparator" w:id="0">
    <w:p w14:paraId="54591BA9" w14:textId="77777777" w:rsidR="00F22BCE" w:rsidRDefault="00F2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1077"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5BB5B81"/>
    <w:multiLevelType w:val="hybridMultilevel"/>
    <w:tmpl w:val="A2DE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9"/>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2"/>
  </w:num>
  <w:num w:numId="9">
    <w:abstractNumId w:val="1"/>
  </w:num>
  <w:num w:numId="10">
    <w:abstractNumId w:val="11"/>
  </w:num>
  <w:num w:numId="11">
    <w:abstractNumId w:val="10"/>
  </w:num>
  <w:num w:numId="1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940"/>
    <w:rsid w:val="000518AD"/>
    <w:rsid w:val="000A1639"/>
    <w:rsid w:val="000B1D77"/>
    <w:rsid w:val="000D2CD9"/>
    <w:rsid w:val="000E00A8"/>
    <w:rsid w:val="000E2A89"/>
    <w:rsid w:val="00167E53"/>
    <w:rsid w:val="001A2F79"/>
    <w:rsid w:val="001D5BFF"/>
    <w:rsid w:val="00206095"/>
    <w:rsid w:val="002F6CE8"/>
    <w:rsid w:val="00360090"/>
    <w:rsid w:val="003777B9"/>
    <w:rsid w:val="003D20E1"/>
    <w:rsid w:val="00450591"/>
    <w:rsid w:val="00466CFC"/>
    <w:rsid w:val="004923B6"/>
    <w:rsid w:val="005D6456"/>
    <w:rsid w:val="006360D7"/>
    <w:rsid w:val="006B7674"/>
    <w:rsid w:val="006C7FAE"/>
    <w:rsid w:val="007F66C2"/>
    <w:rsid w:val="00803F00"/>
    <w:rsid w:val="008A6817"/>
    <w:rsid w:val="0091011C"/>
    <w:rsid w:val="009B7C31"/>
    <w:rsid w:val="009E0C3E"/>
    <w:rsid w:val="009E13B1"/>
    <w:rsid w:val="00B01940"/>
    <w:rsid w:val="00B04BA6"/>
    <w:rsid w:val="00B20CC7"/>
    <w:rsid w:val="00B5244E"/>
    <w:rsid w:val="00BC10AF"/>
    <w:rsid w:val="00BC792D"/>
    <w:rsid w:val="00BE62BF"/>
    <w:rsid w:val="00C03BEA"/>
    <w:rsid w:val="00C07AEE"/>
    <w:rsid w:val="00C2169C"/>
    <w:rsid w:val="00C67A9F"/>
    <w:rsid w:val="00CE1567"/>
    <w:rsid w:val="00D267E3"/>
    <w:rsid w:val="00D8670B"/>
    <w:rsid w:val="00DC56CC"/>
    <w:rsid w:val="00E12F83"/>
    <w:rsid w:val="00E22C82"/>
    <w:rsid w:val="00EC7CE5"/>
    <w:rsid w:val="00F22BCE"/>
    <w:rsid w:val="00F27C8F"/>
    <w:rsid w:val="00F6500B"/>
    <w:rsid w:val="00F8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53604"/>
  <w15:chartTrackingRefBased/>
  <w15:docId w15:val="{B67FD9FE-AD86-4C98-ABB5-7B0917EA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Hyperlink">
    <w:name w:val="Hyperlink"/>
    <w:uiPriority w:val="99"/>
    <w:unhideWhenUsed/>
    <w:rsid w:val="007F66C2"/>
    <w:rPr>
      <w:color w:val="0563C1"/>
      <w:u w:val="single"/>
    </w:rPr>
  </w:style>
  <w:style w:type="character" w:styleId="CommentReference">
    <w:name w:val="annotation reference"/>
    <w:uiPriority w:val="99"/>
    <w:semiHidden/>
    <w:unhideWhenUsed/>
    <w:rsid w:val="00206095"/>
    <w:rPr>
      <w:sz w:val="16"/>
      <w:szCs w:val="16"/>
    </w:rPr>
  </w:style>
  <w:style w:type="paragraph" w:styleId="CommentText">
    <w:name w:val="annotation text"/>
    <w:basedOn w:val="Normal"/>
    <w:link w:val="CommentTextChar"/>
    <w:uiPriority w:val="99"/>
    <w:semiHidden/>
    <w:unhideWhenUsed/>
    <w:rsid w:val="00206095"/>
  </w:style>
  <w:style w:type="character" w:customStyle="1" w:styleId="CommentTextChar">
    <w:name w:val="Comment Text Char"/>
    <w:basedOn w:val="DefaultParagraphFont"/>
    <w:link w:val="CommentText"/>
    <w:uiPriority w:val="99"/>
    <w:semiHidden/>
    <w:rsid w:val="00206095"/>
  </w:style>
  <w:style w:type="paragraph" w:styleId="CommentSubject">
    <w:name w:val="annotation subject"/>
    <w:basedOn w:val="CommentText"/>
    <w:next w:val="CommentText"/>
    <w:link w:val="CommentSubjectChar"/>
    <w:uiPriority w:val="99"/>
    <w:semiHidden/>
    <w:unhideWhenUsed/>
    <w:rsid w:val="00206095"/>
    <w:rPr>
      <w:b/>
      <w:bCs/>
    </w:rPr>
  </w:style>
  <w:style w:type="character" w:customStyle="1" w:styleId="CommentSubjectChar">
    <w:name w:val="Comment Subject Char"/>
    <w:link w:val="CommentSubject"/>
    <w:uiPriority w:val="99"/>
    <w:semiHidden/>
    <w:rsid w:val="00206095"/>
    <w:rPr>
      <w:b/>
      <w:bCs/>
    </w:rPr>
  </w:style>
  <w:style w:type="paragraph" w:styleId="NoSpacing">
    <w:name w:val="No Spacing"/>
    <w:uiPriority w:val="1"/>
    <w:qFormat/>
    <w:rsid w:val="00DC56CC"/>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83-I-OMB</Template>
  <TotalTime>0</TotalTime>
  <Pages>6</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2020-03-04T14:23:00Z</cp:lastPrinted>
  <dcterms:created xsi:type="dcterms:W3CDTF">2020-04-30T13:29:00Z</dcterms:created>
  <dcterms:modified xsi:type="dcterms:W3CDTF">2020-04-30T13:29:00Z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