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A1EF4" w:rsidR="000442EF" w:rsidRDefault="000442EF" w14:paraId="76A1DB53" w14:textId="084DE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8"/>
        </w:rPr>
      </w:pPr>
      <w:r w:rsidRPr="003A1EF4">
        <w:rPr>
          <w:rFonts w:ascii="Helvetica" w:hAnsi="Helvetica"/>
          <w:sz w:val="28"/>
        </w:rPr>
        <w:t>Supporting Statement for Paperwork Reduction Act Submissions</w:t>
      </w:r>
    </w:p>
    <w:p w:rsidR="00E609CD" w:rsidRDefault="00E609CD" w14:paraId="1AABEE4D" w14:textId="50E1B6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00E609CD" w:rsidRDefault="00E609CD" w14:paraId="7E1E2F67" w14:textId="026C90A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r>
        <w:rPr>
          <w:rFonts w:ascii="Helvetica" w:hAnsi="Helvetica"/>
          <w:sz w:val="24"/>
        </w:rPr>
        <w:t>Disclosure of Adjustable Rate Mortgage (ARM) Rates</w:t>
      </w:r>
    </w:p>
    <w:p w:rsidR="000442EF" w:rsidRDefault="000442EF" w14:paraId="5A909589" w14:textId="35FBDF2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r w:rsidRPr="003A1EF4">
        <w:rPr>
          <w:rFonts w:ascii="Helvetica" w:hAnsi="Helvetica"/>
          <w:sz w:val="24"/>
        </w:rPr>
        <w:t>OMB Control Number 2502-0</w:t>
      </w:r>
      <w:r w:rsidRPr="003A1EF4" w:rsidR="00901481">
        <w:rPr>
          <w:rFonts w:ascii="Helvetica" w:hAnsi="Helvetica"/>
          <w:sz w:val="24"/>
        </w:rPr>
        <w:t>322</w:t>
      </w:r>
    </w:p>
    <w:p w:rsidR="000E3CF5" w:rsidRDefault="000E3CF5" w14:paraId="1EBA258F" w14:textId="663F9F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Pr="003A1EF4" w:rsidR="000E3CF5" w:rsidRDefault="000E3CF5" w14:paraId="31E3BA1F" w14:textId="0B18049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r>
        <w:rPr>
          <w:rFonts w:ascii="Helvetica" w:hAnsi="Helvetica"/>
          <w:sz w:val="24"/>
        </w:rPr>
        <w:t>Forms:  None</w:t>
      </w:r>
    </w:p>
    <w:p w:rsidRPr="003A1EF4" w:rsidR="000442EF" w:rsidRDefault="000442EF" w14:paraId="77C59B7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sz w:val="24"/>
        </w:rPr>
      </w:pPr>
    </w:p>
    <w:p w:rsidRPr="003A1EF4" w:rsidR="00901481" w:rsidRDefault="00901481" w14:paraId="72EAC16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sz w:val="24"/>
        </w:rPr>
      </w:pPr>
    </w:p>
    <w:p w:rsidRPr="005C70E5" w:rsidR="000442EF" w:rsidP="005C509F" w:rsidRDefault="000442EF" w14:paraId="330A9936" w14:textId="77777777">
      <w:pPr>
        <w:numPr>
          <w:ilvl w:val="0"/>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bCs/>
          <w:sz w:val="24"/>
        </w:rPr>
      </w:pPr>
      <w:r w:rsidRPr="005C70E5">
        <w:rPr>
          <w:b/>
          <w:bCs/>
          <w:sz w:val="24"/>
        </w:rPr>
        <w:t>Justification</w:t>
      </w:r>
    </w:p>
    <w:p w:rsidR="00B37820" w:rsidP="00B37820" w:rsidRDefault="00B37820" w14:paraId="38A46BC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sz w:val="24"/>
        </w:rPr>
      </w:pPr>
    </w:p>
    <w:p w:rsidRPr="00383C6A" w:rsidR="00B37820" w:rsidP="005C509F" w:rsidRDefault="00B37820" w14:paraId="16C7B638" w14:textId="77777777">
      <w:pPr>
        <w:numPr>
          <w:ilvl w:val="0"/>
          <w:numId w:val="7"/>
        </w:numPr>
        <w:overflowPunct/>
        <w:autoSpaceDE/>
        <w:autoSpaceDN/>
        <w:adjustRightInd/>
        <w:spacing w:after="200" w:line="276" w:lineRule="auto"/>
        <w:textAlignment w:val="auto"/>
        <w:rPr>
          <w:b/>
          <w:bCs/>
          <w:sz w:val="24"/>
          <w:szCs w:val="24"/>
        </w:rPr>
      </w:pPr>
      <w:r w:rsidRPr="00383C6A">
        <w:rPr>
          <w:b/>
          <w:bCs/>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632F9E" w:rsidP="009E24F2" w:rsidRDefault="00E27829" w14:paraId="06A63EAA" w14:textId="6A1841F9">
      <w:pPr>
        <w:pStyle w:val="List"/>
        <w:ind w:left="720" w:firstLine="0"/>
        <w:rPr>
          <w:rFonts w:ascii="Times New Roman" w:hAnsi="Times New Roman"/>
          <w:sz w:val="24"/>
          <w:szCs w:val="24"/>
        </w:rPr>
      </w:pPr>
      <w:r w:rsidRPr="003A1EF4">
        <w:rPr>
          <w:rFonts w:ascii="Times New Roman" w:hAnsi="Times New Roman"/>
          <w:sz w:val="24"/>
        </w:rPr>
        <w:t xml:space="preserve">FHA insures mortgages for single-family dwellings under various provisions of the National Housing Act.  The Housing and Urban-Rural Recovery Act of 1983 (HURRA), P.L. 98-181, amended the </w:t>
      </w:r>
      <w:r w:rsidRPr="001B5F8F">
        <w:rPr>
          <w:rFonts w:ascii="Times New Roman" w:hAnsi="Times New Roman"/>
          <w:sz w:val="24"/>
          <w:szCs w:val="24"/>
        </w:rPr>
        <w:t xml:space="preserve">National Housing Act to permit FHA to insure </w:t>
      </w:r>
      <w:r w:rsidR="009D511D">
        <w:rPr>
          <w:rFonts w:ascii="Times New Roman" w:hAnsi="Times New Roman"/>
          <w:sz w:val="24"/>
          <w:szCs w:val="24"/>
        </w:rPr>
        <w:t>A</w:t>
      </w:r>
      <w:r w:rsidRPr="001B5F8F" w:rsidR="009D511D">
        <w:rPr>
          <w:rFonts w:ascii="Times New Roman" w:hAnsi="Times New Roman"/>
          <w:sz w:val="24"/>
          <w:szCs w:val="24"/>
        </w:rPr>
        <w:t>djustable</w:t>
      </w:r>
      <w:r w:rsidRPr="001B5F8F">
        <w:rPr>
          <w:rFonts w:ascii="Times New Roman" w:hAnsi="Times New Roman"/>
          <w:sz w:val="24"/>
          <w:szCs w:val="24"/>
        </w:rPr>
        <w:t xml:space="preserve"> </w:t>
      </w:r>
      <w:r w:rsidR="009D511D">
        <w:rPr>
          <w:rFonts w:ascii="Times New Roman" w:hAnsi="Times New Roman"/>
          <w:sz w:val="24"/>
          <w:szCs w:val="24"/>
        </w:rPr>
        <w:t>Ra</w:t>
      </w:r>
      <w:r w:rsidRPr="001B5F8F">
        <w:rPr>
          <w:rFonts w:ascii="Times New Roman" w:hAnsi="Times New Roman"/>
          <w:sz w:val="24"/>
          <w:szCs w:val="24"/>
        </w:rPr>
        <w:t xml:space="preserve">te </w:t>
      </w:r>
      <w:r w:rsidR="009D511D">
        <w:rPr>
          <w:rFonts w:ascii="Times New Roman" w:hAnsi="Times New Roman"/>
          <w:sz w:val="24"/>
          <w:szCs w:val="24"/>
        </w:rPr>
        <w:t>M</w:t>
      </w:r>
      <w:r w:rsidRPr="001B5F8F">
        <w:rPr>
          <w:rFonts w:ascii="Times New Roman" w:hAnsi="Times New Roman"/>
          <w:sz w:val="24"/>
          <w:szCs w:val="24"/>
        </w:rPr>
        <w:t>ortgages (ARM</w:t>
      </w:r>
      <w:r w:rsidR="00280181">
        <w:rPr>
          <w:rFonts w:ascii="Times New Roman" w:hAnsi="Times New Roman"/>
          <w:sz w:val="24"/>
          <w:szCs w:val="24"/>
        </w:rPr>
        <w:t>s</w:t>
      </w:r>
      <w:r w:rsidRPr="001B5F8F">
        <w:rPr>
          <w:rFonts w:ascii="Times New Roman" w:hAnsi="Times New Roman"/>
          <w:sz w:val="24"/>
          <w:szCs w:val="24"/>
        </w:rPr>
        <w:t xml:space="preserve">). </w:t>
      </w:r>
      <w:r w:rsidRPr="001B5F8F" w:rsidR="001B5F8F">
        <w:rPr>
          <w:rFonts w:ascii="Times New Roman" w:hAnsi="Times New Roman"/>
          <w:sz w:val="24"/>
          <w:szCs w:val="24"/>
        </w:rPr>
        <w:t>An ARM is a mortgage loan that permit</w:t>
      </w:r>
      <w:r w:rsidR="006D052C">
        <w:rPr>
          <w:rFonts w:ascii="Times New Roman" w:hAnsi="Times New Roman"/>
          <w:sz w:val="24"/>
          <w:szCs w:val="24"/>
        </w:rPr>
        <w:t>s</w:t>
      </w:r>
      <w:r w:rsidRPr="001B5F8F" w:rsidR="001B5F8F">
        <w:rPr>
          <w:rFonts w:ascii="Times New Roman" w:hAnsi="Times New Roman"/>
          <w:sz w:val="24"/>
          <w:szCs w:val="24"/>
        </w:rPr>
        <w:t xml:space="preserve"> a lender to periodically adjust the effective rate of interest charged to the</w:t>
      </w:r>
      <w:r w:rsidRPr="003A1EF4" w:rsidR="001B5F8F">
        <w:rPr>
          <w:rFonts w:ascii="Times New Roman" w:hAnsi="Times New Roman"/>
          <w:sz w:val="24"/>
        </w:rPr>
        <w:t xml:space="preserve"> borrower.</w:t>
      </w:r>
      <w:r w:rsidR="001B5F8F">
        <w:rPr>
          <w:rFonts w:ascii="Times New Roman" w:hAnsi="Times New Roman"/>
          <w:sz w:val="24"/>
        </w:rPr>
        <w:t xml:space="preserve"> </w:t>
      </w:r>
      <w:r w:rsidRPr="001B5F8F">
        <w:rPr>
          <w:rFonts w:ascii="Times New Roman" w:hAnsi="Times New Roman"/>
          <w:sz w:val="24"/>
          <w:szCs w:val="24"/>
        </w:rPr>
        <w:t xml:space="preserve">Regulations at 24 CFR 203.49 outline the requirements for adjustable rate mortgages. </w:t>
      </w:r>
      <w:r w:rsidRPr="001B5F8F" w:rsidR="001B5F8F">
        <w:rPr>
          <w:rFonts w:ascii="Times New Roman" w:hAnsi="Times New Roman"/>
          <w:sz w:val="24"/>
          <w:szCs w:val="24"/>
        </w:rPr>
        <w:t xml:space="preserve"> </w:t>
      </w:r>
      <w:bookmarkStart w:name="_Hlk14956209" w:id="0"/>
    </w:p>
    <w:bookmarkEnd w:id="0"/>
    <w:p w:rsidR="00CE3499" w:rsidP="00314CB8" w:rsidRDefault="00CE3499" w14:paraId="0ABB50A2" w14:textId="77777777">
      <w:pPr>
        <w:pStyle w:val="List"/>
        <w:ind w:left="0" w:firstLine="0"/>
        <w:rPr>
          <w:rFonts w:ascii="Times New Roman" w:hAnsi="Times New Roman"/>
          <w:sz w:val="24"/>
          <w:szCs w:val="24"/>
        </w:rPr>
      </w:pPr>
    </w:p>
    <w:p w:rsidR="00E27829" w:rsidP="009E24F2" w:rsidRDefault="002A1C00" w14:paraId="4F1102AF" w14:textId="08691C86">
      <w:pPr>
        <w:pStyle w:val="List"/>
        <w:ind w:left="720" w:firstLine="0"/>
        <w:rPr>
          <w:rFonts w:ascii="Times New Roman" w:hAnsi="Times New Roman"/>
          <w:sz w:val="24"/>
          <w:szCs w:val="24"/>
        </w:rPr>
      </w:pPr>
      <w:r>
        <w:rPr>
          <w:rFonts w:ascii="Times New Roman" w:hAnsi="Times New Roman"/>
          <w:sz w:val="24"/>
          <w:szCs w:val="24"/>
        </w:rPr>
        <w:t>A</w:t>
      </w:r>
      <w:r w:rsidR="00CE3499">
        <w:rPr>
          <w:rFonts w:ascii="Times New Roman" w:hAnsi="Times New Roman"/>
          <w:sz w:val="24"/>
          <w:szCs w:val="24"/>
        </w:rPr>
        <w:t xml:space="preserve"> </w:t>
      </w:r>
      <w:r>
        <w:rPr>
          <w:rFonts w:ascii="Times New Roman" w:hAnsi="Times New Roman"/>
          <w:sz w:val="24"/>
          <w:szCs w:val="24"/>
        </w:rPr>
        <w:t>p</w:t>
      </w:r>
      <w:r w:rsidR="00CE3499">
        <w:rPr>
          <w:rFonts w:ascii="Times New Roman" w:hAnsi="Times New Roman"/>
          <w:sz w:val="24"/>
          <w:szCs w:val="24"/>
        </w:rPr>
        <w:t>re-</w:t>
      </w:r>
      <w:r>
        <w:rPr>
          <w:rFonts w:ascii="Times New Roman" w:hAnsi="Times New Roman"/>
          <w:sz w:val="24"/>
          <w:szCs w:val="24"/>
        </w:rPr>
        <w:t>l</w:t>
      </w:r>
      <w:r w:rsidR="00CE3499">
        <w:rPr>
          <w:rFonts w:ascii="Times New Roman" w:hAnsi="Times New Roman"/>
          <w:sz w:val="24"/>
          <w:szCs w:val="24"/>
        </w:rPr>
        <w:t xml:space="preserve">oan </w:t>
      </w:r>
      <w:r>
        <w:rPr>
          <w:rFonts w:ascii="Times New Roman" w:hAnsi="Times New Roman"/>
          <w:sz w:val="24"/>
          <w:szCs w:val="24"/>
        </w:rPr>
        <w:t xml:space="preserve">ARM </w:t>
      </w:r>
      <w:r w:rsidR="00CE3499">
        <w:rPr>
          <w:rFonts w:ascii="Times New Roman" w:hAnsi="Times New Roman"/>
          <w:sz w:val="24"/>
          <w:szCs w:val="24"/>
        </w:rPr>
        <w:t xml:space="preserve">Disclosure must be provided by lenders </w:t>
      </w:r>
      <w:r w:rsidR="00F41345">
        <w:rPr>
          <w:rFonts w:ascii="Times New Roman" w:hAnsi="Times New Roman"/>
          <w:sz w:val="24"/>
          <w:szCs w:val="24"/>
        </w:rPr>
        <w:t>(</w:t>
      </w:r>
      <w:r w:rsidR="00BF4765">
        <w:rPr>
          <w:rFonts w:ascii="Times New Roman" w:hAnsi="Times New Roman"/>
          <w:sz w:val="24"/>
          <w:szCs w:val="24"/>
        </w:rPr>
        <w:t xml:space="preserve">mortgagees) </w:t>
      </w:r>
      <w:r w:rsidR="00CE3499">
        <w:rPr>
          <w:rFonts w:ascii="Times New Roman" w:hAnsi="Times New Roman"/>
          <w:sz w:val="24"/>
          <w:szCs w:val="24"/>
        </w:rPr>
        <w:t xml:space="preserve">to borrowers before closing an adjustable rate mortgage, describing how the interest rate can change, how often the rate can change and how the change will affect the monthly payment on the mortgage.   </w:t>
      </w:r>
      <w:r w:rsidR="00866E44">
        <w:rPr>
          <w:rFonts w:ascii="Times New Roman" w:hAnsi="Times New Roman"/>
          <w:sz w:val="24"/>
          <w:szCs w:val="24"/>
        </w:rPr>
        <w:t xml:space="preserve">The disclosure also presents the rules for how </w:t>
      </w:r>
      <w:r w:rsidR="00632F9E">
        <w:rPr>
          <w:rFonts w:ascii="Times New Roman" w:hAnsi="Times New Roman"/>
          <w:sz w:val="24"/>
          <w:szCs w:val="24"/>
        </w:rPr>
        <w:t xml:space="preserve">future </w:t>
      </w:r>
      <w:r w:rsidR="00866E44">
        <w:rPr>
          <w:rFonts w:ascii="Times New Roman" w:hAnsi="Times New Roman"/>
          <w:sz w:val="24"/>
          <w:szCs w:val="24"/>
        </w:rPr>
        <w:t>interest rate change</w:t>
      </w:r>
      <w:r w:rsidR="00632F9E">
        <w:rPr>
          <w:rFonts w:ascii="Times New Roman" w:hAnsi="Times New Roman"/>
          <w:sz w:val="24"/>
          <w:szCs w:val="24"/>
        </w:rPr>
        <w:t>s</w:t>
      </w:r>
      <w:r w:rsidR="00866E44">
        <w:rPr>
          <w:rFonts w:ascii="Times New Roman" w:hAnsi="Times New Roman"/>
          <w:sz w:val="24"/>
          <w:szCs w:val="24"/>
        </w:rPr>
        <w:t xml:space="preserve"> will be calculated, generally based on an index, margin, and limitations on </w:t>
      </w:r>
      <w:r w:rsidR="00632F9E">
        <w:rPr>
          <w:rFonts w:ascii="Times New Roman" w:hAnsi="Times New Roman"/>
          <w:sz w:val="24"/>
          <w:szCs w:val="24"/>
        </w:rPr>
        <w:t>the</w:t>
      </w:r>
      <w:r w:rsidR="00866E44">
        <w:rPr>
          <w:rFonts w:ascii="Times New Roman" w:hAnsi="Times New Roman"/>
          <w:sz w:val="24"/>
          <w:szCs w:val="24"/>
        </w:rPr>
        <w:t xml:space="preserve"> percent of change.  </w:t>
      </w:r>
      <w:r w:rsidR="00F07D9E">
        <w:rPr>
          <w:rFonts w:ascii="Times New Roman" w:hAnsi="Times New Roman"/>
          <w:sz w:val="24"/>
          <w:szCs w:val="24"/>
        </w:rPr>
        <w:t>The contents of the disclosure must be consistent with requirements under the Truth in Lending Act, 15 U.S.C. 1601 et seq.</w:t>
      </w:r>
    </w:p>
    <w:p w:rsidR="002A1C00" w:rsidP="009E24F2" w:rsidRDefault="002A1C00" w14:paraId="64B2FA8C" w14:textId="4142AA38">
      <w:pPr>
        <w:pStyle w:val="List"/>
        <w:ind w:left="720" w:firstLine="0"/>
        <w:rPr>
          <w:rFonts w:ascii="Times New Roman" w:hAnsi="Times New Roman"/>
          <w:sz w:val="24"/>
          <w:szCs w:val="24"/>
        </w:rPr>
      </w:pPr>
    </w:p>
    <w:p w:rsidR="002A1C00" w:rsidP="002A1C00" w:rsidRDefault="002A1C00" w14:paraId="65B60747" w14:textId="48423AA3">
      <w:pPr>
        <w:pStyle w:val="List"/>
        <w:ind w:left="720" w:firstLine="0"/>
        <w:rPr>
          <w:rFonts w:ascii="Times New Roman" w:hAnsi="Times New Roman"/>
          <w:sz w:val="24"/>
          <w:szCs w:val="24"/>
        </w:rPr>
      </w:pPr>
      <w:r>
        <w:rPr>
          <w:rFonts w:ascii="Times New Roman" w:hAnsi="Times New Roman"/>
          <w:sz w:val="24"/>
          <w:szCs w:val="24"/>
        </w:rPr>
        <w:t xml:space="preserve">Lenders can </w:t>
      </w:r>
      <w:r w:rsidR="00B10785">
        <w:rPr>
          <w:rFonts w:ascii="Times New Roman" w:hAnsi="Times New Roman"/>
          <w:sz w:val="24"/>
          <w:szCs w:val="24"/>
        </w:rPr>
        <w:t>ad</w:t>
      </w:r>
      <w:r>
        <w:rPr>
          <w:rFonts w:ascii="Times New Roman" w:hAnsi="Times New Roman"/>
          <w:sz w:val="24"/>
          <w:szCs w:val="24"/>
        </w:rPr>
        <w:t xml:space="preserve">just the mortgage interest rate after the loan closes.  </w:t>
      </w:r>
      <w:r w:rsidRPr="001B5F8F">
        <w:rPr>
          <w:rFonts w:ascii="Times New Roman" w:hAnsi="Times New Roman"/>
          <w:sz w:val="24"/>
          <w:szCs w:val="24"/>
        </w:rPr>
        <w:t>Regulations at 20</w:t>
      </w:r>
      <w:r>
        <w:rPr>
          <w:rFonts w:ascii="Times New Roman" w:hAnsi="Times New Roman"/>
          <w:sz w:val="24"/>
          <w:szCs w:val="24"/>
        </w:rPr>
        <w:t>3</w:t>
      </w:r>
      <w:r w:rsidRPr="001B5F8F">
        <w:rPr>
          <w:rFonts w:ascii="Times New Roman" w:hAnsi="Times New Roman"/>
          <w:sz w:val="24"/>
          <w:szCs w:val="24"/>
        </w:rPr>
        <w:t>.49</w:t>
      </w:r>
      <w:r>
        <w:rPr>
          <w:rFonts w:ascii="Times New Roman" w:hAnsi="Times New Roman"/>
          <w:sz w:val="24"/>
          <w:szCs w:val="24"/>
        </w:rPr>
        <w:t xml:space="preserve"> (h)</w:t>
      </w:r>
      <w:r w:rsidRPr="001B5F8F">
        <w:rPr>
          <w:rFonts w:ascii="Times New Roman" w:hAnsi="Times New Roman"/>
          <w:sz w:val="24"/>
          <w:szCs w:val="24"/>
        </w:rPr>
        <w:t xml:space="preserve"> require </w:t>
      </w:r>
      <w:r>
        <w:rPr>
          <w:rFonts w:ascii="Times New Roman" w:hAnsi="Times New Roman"/>
          <w:sz w:val="24"/>
          <w:szCs w:val="24"/>
        </w:rPr>
        <w:t xml:space="preserve">lenders to disclose information to the borrower at least 25 days before making changes to a borrower’s mortgage.  The disclosure must advise the borrower of the new mortgage interest rate, the amount of the new monthly payment, the current index interest rate value and how the payment adjusted was calculated.  </w:t>
      </w:r>
    </w:p>
    <w:p w:rsidR="009E24F2" w:rsidP="00B37820" w:rsidRDefault="009E24F2" w14:paraId="5AA0D761" w14:textId="77777777">
      <w:pPr>
        <w:overflowPunct/>
        <w:autoSpaceDE/>
        <w:autoSpaceDN/>
        <w:adjustRightInd/>
        <w:spacing w:after="200" w:line="276" w:lineRule="auto"/>
        <w:textAlignment w:val="auto"/>
        <w:rPr>
          <w:sz w:val="24"/>
          <w:szCs w:val="24"/>
        </w:rPr>
      </w:pPr>
    </w:p>
    <w:p w:rsidRPr="00383C6A" w:rsidR="00E27829" w:rsidP="005C509F" w:rsidRDefault="00B37820" w14:paraId="67737BFA" w14:textId="77777777">
      <w:pPr>
        <w:numPr>
          <w:ilvl w:val="0"/>
          <w:numId w:val="7"/>
        </w:numPr>
        <w:overflowPunct/>
        <w:autoSpaceDE/>
        <w:autoSpaceDN/>
        <w:adjustRightInd/>
        <w:spacing w:after="200" w:line="276" w:lineRule="auto"/>
        <w:textAlignment w:val="auto"/>
        <w:rPr>
          <w:b/>
          <w:bCs/>
          <w:sz w:val="24"/>
          <w:szCs w:val="24"/>
        </w:rPr>
      </w:pPr>
      <w:r w:rsidRPr="00383C6A">
        <w:rPr>
          <w:b/>
          <w:bCs/>
          <w:sz w:val="24"/>
          <w:szCs w:val="24"/>
        </w:rPr>
        <w:t xml:space="preserve">Indicate how, by whom, and for what purpose the information is to be used. Except for a new collection, indicate the actual use the agency has made of the information received from the current collection. </w:t>
      </w:r>
    </w:p>
    <w:p w:rsidR="00FF4404" w:rsidP="00FF4404" w:rsidRDefault="00FF4404" w14:paraId="57A30589" w14:textId="25FF3CA8">
      <w:pPr>
        <w:overflowPunct/>
        <w:snapToGrid w:val="0"/>
        <w:ind w:left="720"/>
        <w:textAlignment w:val="auto"/>
        <w:rPr>
          <w:sz w:val="24"/>
        </w:rPr>
      </w:pPr>
      <w:r>
        <w:rPr>
          <w:sz w:val="24"/>
          <w:szCs w:val="24"/>
        </w:rPr>
        <w:t>P</w:t>
      </w:r>
      <w:r w:rsidR="00145286">
        <w:rPr>
          <w:sz w:val="24"/>
          <w:szCs w:val="24"/>
        </w:rPr>
        <w:t>rior to closing an adjustable rate mortgage</w:t>
      </w:r>
      <w:r w:rsidR="009A4FAA">
        <w:rPr>
          <w:sz w:val="24"/>
          <w:szCs w:val="24"/>
        </w:rPr>
        <w:t>,</w:t>
      </w:r>
      <w:r>
        <w:rPr>
          <w:sz w:val="24"/>
          <w:szCs w:val="24"/>
        </w:rPr>
        <w:t xml:space="preserve"> the lender</w:t>
      </w:r>
      <w:r w:rsidR="009A4FAA">
        <w:rPr>
          <w:sz w:val="24"/>
          <w:szCs w:val="24"/>
        </w:rPr>
        <w:t xml:space="preserve"> </w:t>
      </w:r>
      <w:r w:rsidR="00145286">
        <w:rPr>
          <w:sz w:val="24"/>
          <w:szCs w:val="24"/>
        </w:rPr>
        <w:t>provide</w:t>
      </w:r>
      <w:r>
        <w:rPr>
          <w:sz w:val="24"/>
          <w:szCs w:val="24"/>
        </w:rPr>
        <w:t>s</w:t>
      </w:r>
      <w:r w:rsidR="00145286">
        <w:rPr>
          <w:sz w:val="24"/>
          <w:szCs w:val="24"/>
        </w:rPr>
        <w:t xml:space="preserve"> the borrower with a pre-loan ARM disclosure.  </w:t>
      </w:r>
      <w:r w:rsidRPr="003A1EF4" w:rsidR="005D1EDB">
        <w:rPr>
          <w:sz w:val="24"/>
        </w:rPr>
        <w:t>HURRA</w:t>
      </w:r>
      <w:r w:rsidR="00145286">
        <w:rPr>
          <w:sz w:val="24"/>
        </w:rPr>
        <w:t xml:space="preserve"> and 24 CFR 203.49(h) </w:t>
      </w:r>
      <w:r w:rsidRPr="003A1EF4" w:rsidR="005D1EDB">
        <w:rPr>
          <w:sz w:val="24"/>
        </w:rPr>
        <w:t>requires a lender to provide the borrower with a written explanation of the ARM’s features at the time of loan application</w:t>
      </w:r>
      <w:r>
        <w:rPr>
          <w:sz w:val="24"/>
        </w:rPr>
        <w:t xml:space="preserve"> (or pre-loan)</w:t>
      </w:r>
      <w:r w:rsidRPr="003A1EF4" w:rsidR="005D1EDB">
        <w:rPr>
          <w:sz w:val="24"/>
        </w:rPr>
        <w:t xml:space="preserve">.  </w:t>
      </w:r>
      <w:r>
        <w:rPr>
          <w:sz w:val="24"/>
        </w:rPr>
        <w:t>Information provided in th</w:t>
      </w:r>
      <w:r w:rsidR="002A1C00">
        <w:rPr>
          <w:sz w:val="24"/>
        </w:rPr>
        <w:t>e</w:t>
      </w:r>
      <w:r>
        <w:rPr>
          <w:sz w:val="24"/>
        </w:rPr>
        <w:t xml:space="preserve"> pre-loan </w:t>
      </w:r>
      <w:r w:rsidR="002A1C00">
        <w:rPr>
          <w:sz w:val="24"/>
        </w:rPr>
        <w:t xml:space="preserve">ARM </w:t>
      </w:r>
      <w:r>
        <w:rPr>
          <w:sz w:val="24"/>
        </w:rPr>
        <w:t xml:space="preserve">disclosure must be consistent with the disclosure requirements applicable to the variable rate mortgages secured by a principal dwelling under the </w:t>
      </w:r>
      <w:r w:rsidR="00C70F17">
        <w:rPr>
          <w:sz w:val="24"/>
        </w:rPr>
        <w:t>T</w:t>
      </w:r>
      <w:r>
        <w:rPr>
          <w:sz w:val="24"/>
        </w:rPr>
        <w:t xml:space="preserve">ruth in Lending Act, 15 U.S.C, 1601 es seq. </w:t>
      </w:r>
    </w:p>
    <w:p w:rsidR="00FF4404" w:rsidP="00FF4404" w:rsidRDefault="00FF4404" w14:paraId="52C15528" w14:textId="77777777">
      <w:pPr>
        <w:overflowPunct/>
        <w:snapToGrid w:val="0"/>
        <w:ind w:left="720"/>
        <w:textAlignment w:val="auto"/>
        <w:rPr>
          <w:sz w:val="24"/>
        </w:rPr>
      </w:pPr>
    </w:p>
    <w:p w:rsidR="00FF4404" w:rsidP="00FF4404" w:rsidRDefault="00FF4404" w14:paraId="11688F1A" w14:textId="15A83230">
      <w:pPr>
        <w:pStyle w:val="ListParagraph"/>
        <w:overflowPunct/>
        <w:autoSpaceDE/>
        <w:autoSpaceDN/>
        <w:adjustRightInd/>
        <w:textAlignment w:val="auto"/>
        <w:rPr>
          <w:sz w:val="24"/>
          <w:szCs w:val="24"/>
        </w:rPr>
      </w:pPr>
      <w:r>
        <w:rPr>
          <w:sz w:val="24"/>
          <w:szCs w:val="24"/>
        </w:rPr>
        <w:t xml:space="preserve">After closing an adjustable rate mortgage, the lender must disclose to the borrowers any adjustment it intends to apply to </w:t>
      </w:r>
      <w:r w:rsidR="00C70F17">
        <w:rPr>
          <w:sz w:val="24"/>
          <w:szCs w:val="24"/>
        </w:rPr>
        <w:t xml:space="preserve">the </w:t>
      </w:r>
      <w:r>
        <w:rPr>
          <w:sz w:val="24"/>
          <w:szCs w:val="24"/>
        </w:rPr>
        <w:t xml:space="preserve">mortgage interest rate.  </w:t>
      </w:r>
      <w:r w:rsidRPr="001B5F8F">
        <w:rPr>
          <w:sz w:val="24"/>
          <w:szCs w:val="24"/>
        </w:rPr>
        <w:t xml:space="preserve">Regulations at </w:t>
      </w:r>
      <w:r>
        <w:rPr>
          <w:sz w:val="24"/>
          <w:szCs w:val="24"/>
        </w:rPr>
        <w:t xml:space="preserve">24 CFR </w:t>
      </w:r>
      <w:r w:rsidRPr="001B5F8F">
        <w:rPr>
          <w:sz w:val="24"/>
          <w:szCs w:val="24"/>
        </w:rPr>
        <w:t>20</w:t>
      </w:r>
      <w:r>
        <w:rPr>
          <w:sz w:val="24"/>
          <w:szCs w:val="24"/>
        </w:rPr>
        <w:t>3</w:t>
      </w:r>
      <w:r w:rsidRPr="001B5F8F">
        <w:rPr>
          <w:sz w:val="24"/>
          <w:szCs w:val="24"/>
        </w:rPr>
        <w:t>.49</w:t>
      </w:r>
      <w:r>
        <w:rPr>
          <w:sz w:val="24"/>
          <w:szCs w:val="24"/>
        </w:rPr>
        <w:t xml:space="preserve"> (h)</w:t>
      </w:r>
      <w:r w:rsidRPr="001B5F8F">
        <w:rPr>
          <w:sz w:val="24"/>
          <w:szCs w:val="24"/>
        </w:rPr>
        <w:t xml:space="preserve"> require </w:t>
      </w:r>
      <w:r>
        <w:rPr>
          <w:sz w:val="24"/>
          <w:szCs w:val="24"/>
        </w:rPr>
        <w:t xml:space="preserve">lenders to disclose this information to the borrower at least 25 days before adjusting the interest rate on their mortgage.  The disclosure must advise the borrower of the new mortgage interest rate, the amount of the new monthly payment, the current index interest rate value and how the payment adjusted was calculated.  </w:t>
      </w:r>
    </w:p>
    <w:p w:rsidR="00FF4404" w:rsidP="00D54E21" w:rsidRDefault="00FF4404" w14:paraId="3B0B58C5" w14:textId="71B551F3">
      <w:pPr>
        <w:pStyle w:val="ListParagraph"/>
        <w:overflowPunct/>
        <w:autoSpaceDE/>
        <w:autoSpaceDN/>
        <w:adjustRightInd/>
        <w:textAlignment w:val="auto"/>
        <w:rPr>
          <w:sz w:val="24"/>
          <w:szCs w:val="24"/>
        </w:rPr>
      </w:pPr>
    </w:p>
    <w:p w:rsidR="002A1C00" w:rsidP="00D54E21" w:rsidRDefault="002A1C00" w14:paraId="449EFFC0" w14:textId="77777777">
      <w:pPr>
        <w:pStyle w:val="ListParagraph"/>
        <w:overflowPunct/>
        <w:autoSpaceDE/>
        <w:autoSpaceDN/>
        <w:adjustRightInd/>
        <w:textAlignment w:val="auto"/>
        <w:rPr>
          <w:sz w:val="24"/>
          <w:szCs w:val="24"/>
        </w:rPr>
      </w:pPr>
    </w:p>
    <w:p w:rsidRPr="003B4F4F" w:rsidR="00945BB0" w:rsidP="00D54E21" w:rsidRDefault="00945BB0" w14:paraId="4E470C24" w14:textId="43B8C20B">
      <w:pPr>
        <w:pStyle w:val="ListParagraph"/>
        <w:overflowPunct/>
        <w:autoSpaceDE/>
        <w:autoSpaceDN/>
        <w:adjustRightInd/>
        <w:textAlignment w:val="auto"/>
        <w:rPr>
          <w:sz w:val="24"/>
          <w:szCs w:val="24"/>
        </w:rPr>
      </w:pPr>
      <w:r>
        <w:rPr>
          <w:sz w:val="24"/>
          <w:szCs w:val="24"/>
        </w:rPr>
        <w:t xml:space="preserve">FHA does not collect records of </w:t>
      </w:r>
      <w:r w:rsidRPr="003B4F4F">
        <w:rPr>
          <w:sz w:val="24"/>
          <w:szCs w:val="24"/>
        </w:rPr>
        <w:t xml:space="preserve">ARM </w:t>
      </w:r>
      <w:r>
        <w:rPr>
          <w:sz w:val="24"/>
          <w:szCs w:val="24"/>
        </w:rPr>
        <w:t>D</w:t>
      </w:r>
      <w:r w:rsidRPr="003B4F4F">
        <w:rPr>
          <w:sz w:val="24"/>
          <w:szCs w:val="24"/>
        </w:rPr>
        <w:t>isclosure</w:t>
      </w:r>
      <w:r>
        <w:rPr>
          <w:sz w:val="24"/>
          <w:szCs w:val="24"/>
        </w:rPr>
        <w:t>s</w:t>
      </w:r>
      <w:r w:rsidRPr="003B4F4F">
        <w:rPr>
          <w:sz w:val="24"/>
          <w:szCs w:val="24"/>
        </w:rPr>
        <w:t xml:space="preserve"> </w:t>
      </w:r>
      <w:r w:rsidR="005D1EDB">
        <w:rPr>
          <w:sz w:val="24"/>
          <w:szCs w:val="24"/>
        </w:rPr>
        <w:t xml:space="preserve">issued after closing, </w:t>
      </w:r>
      <w:r>
        <w:rPr>
          <w:sz w:val="24"/>
          <w:szCs w:val="24"/>
        </w:rPr>
        <w:t xml:space="preserve">unless the </w:t>
      </w:r>
      <w:r w:rsidR="009237C9">
        <w:rPr>
          <w:sz w:val="24"/>
          <w:szCs w:val="24"/>
        </w:rPr>
        <w:t xml:space="preserve">loan </w:t>
      </w:r>
      <w:r w:rsidR="00AB6F6C">
        <w:rPr>
          <w:sz w:val="24"/>
          <w:szCs w:val="24"/>
        </w:rPr>
        <w:t>is</w:t>
      </w:r>
      <w:r w:rsidR="009237C9">
        <w:rPr>
          <w:sz w:val="24"/>
          <w:szCs w:val="24"/>
        </w:rPr>
        <w:t xml:space="preserve"> selected for HUD’s post endorsement quality review, or the lender sends the file </w:t>
      </w:r>
      <w:r>
        <w:rPr>
          <w:sz w:val="24"/>
          <w:szCs w:val="24"/>
        </w:rPr>
        <w:t xml:space="preserve">to HUD for claim. </w:t>
      </w:r>
      <w:r w:rsidR="00214E48">
        <w:rPr>
          <w:sz w:val="24"/>
          <w:szCs w:val="24"/>
        </w:rPr>
        <w:t xml:space="preserve">HUD may accept the lenders historical system records (electronic) showing information about the </w:t>
      </w:r>
      <w:r w:rsidR="00FF4404">
        <w:rPr>
          <w:sz w:val="24"/>
          <w:szCs w:val="24"/>
        </w:rPr>
        <w:t xml:space="preserve">ARM </w:t>
      </w:r>
      <w:r w:rsidR="00214E48">
        <w:rPr>
          <w:sz w:val="24"/>
          <w:szCs w:val="24"/>
        </w:rPr>
        <w:t xml:space="preserve">disclosures </w:t>
      </w:r>
      <w:r w:rsidR="00FF4404">
        <w:rPr>
          <w:sz w:val="24"/>
          <w:szCs w:val="24"/>
        </w:rPr>
        <w:t xml:space="preserve">it </w:t>
      </w:r>
      <w:r w:rsidR="00214E48">
        <w:rPr>
          <w:sz w:val="24"/>
          <w:szCs w:val="24"/>
        </w:rPr>
        <w:t xml:space="preserve">issued to the borrower. </w:t>
      </w:r>
      <w:r w:rsidRPr="003B4F4F">
        <w:rPr>
          <w:sz w:val="24"/>
          <w:szCs w:val="24"/>
        </w:rPr>
        <w:t xml:space="preserve">   </w:t>
      </w:r>
    </w:p>
    <w:p w:rsidR="003B4F4F" w:rsidP="009E24F2" w:rsidRDefault="003B4F4F" w14:paraId="16A993E1" w14:textId="77777777">
      <w:pPr>
        <w:pStyle w:val="List"/>
        <w:ind w:left="720" w:firstLine="0"/>
        <w:rPr>
          <w:rFonts w:ascii="Times New Roman" w:hAnsi="Times New Roman"/>
          <w:sz w:val="24"/>
          <w:szCs w:val="24"/>
        </w:rPr>
      </w:pPr>
    </w:p>
    <w:p w:rsidRPr="003A1EF4" w:rsidR="00D65FA9" w:rsidP="009E24F2" w:rsidRDefault="003B4F4F" w14:paraId="029AD597" w14:textId="33662933">
      <w:pPr>
        <w:pStyle w:val="List"/>
        <w:ind w:left="720" w:firstLine="0"/>
        <w:rPr>
          <w:rFonts w:ascii="Times New Roman" w:hAnsi="Times New Roman"/>
          <w:sz w:val="24"/>
        </w:rPr>
      </w:pPr>
      <w:r>
        <w:rPr>
          <w:rFonts w:ascii="Times New Roman" w:hAnsi="Times New Roman"/>
          <w:sz w:val="24"/>
          <w:szCs w:val="24"/>
        </w:rPr>
        <w:t>T</w:t>
      </w:r>
      <w:r w:rsidRPr="003A1EF4" w:rsidR="00D65FA9">
        <w:rPr>
          <w:rFonts w:ascii="Times New Roman" w:hAnsi="Times New Roman"/>
          <w:sz w:val="24"/>
          <w:szCs w:val="24"/>
        </w:rPr>
        <w:t xml:space="preserve">here are currently </w:t>
      </w:r>
      <w:r w:rsidR="00522AB9">
        <w:rPr>
          <w:rFonts w:ascii="Times New Roman" w:hAnsi="Times New Roman"/>
          <w:sz w:val="24"/>
          <w:szCs w:val="24"/>
        </w:rPr>
        <w:t>1</w:t>
      </w:r>
      <w:r>
        <w:rPr>
          <w:rFonts w:ascii="Times New Roman" w:hAnsi="Times New Roman"/>
          <w:sz w:val="24"/>
          <w:szCs w:val="24"/>
        </w:rPr>
        <w:t>08</w:t>
      </w:r>
      <w:r w:rsidR="00522AB9">
        <w:rPr>
          <w:rFonts w:ascii="Times New Roman" w:hAnsi="Times New Roman"/>
          <w:sz w:val="24"/>
          <w:szCs w:val="24"/>
        </w:rPr>
        <w:t>,</w:t>
      </w:r>
      <w:r w:rsidR="00DB0A5F">
        <w:rPr>
          <w:rFonts w:ascii="Times New Roman" w:hAnsi="Times New Roman"/>
          <w:sz w:val="24"/>
          <w:szCs w:val="24"/>
        </w:rPr>
        <w:t>556</w:t>
      </w:r>
      <w:r w:rsidRPr="003A1EF4" w:rsidR="00D65FA9">
        <w:rPr>
          <w:rFonts w:ascii="Times New Roman" w:hAnsi="Times New Roman"/>
          <w:sz w:val="24"/>
          <w:szCs w:val="24"/>
        </w:rPr>
        <w:t xml:space="preserve"> active ARM loans</w:t>
      </w:r>
      <w:r w:rsidR="002A1C00">
        <w:rPr>
          <w:rFonts w:ascii="Times New Roman" w:hAnsi="Times New Roman"/>
          <w:sz w:val="24"/>
          <w:szCs w:val="24"/>
        </w:rPr>
        <w:t xml:space="preserve"> that </w:t>
      </w:r>
      <w:r w:rsidR="00A33B36">
        <w:rPr>
          <w:rFonts w:ascii="Times New Roman" w:hAnsi="Times New Roman"/>
          <w:sz w:val="24"/>
          <w:szCs w:val="24"/>
        </w:rPr>
        <w:t xml:space="preserve">require periodic ARM Disclosures.  This is </w:t>
      </w:r>
      <w:r w:rsidRPr="003A1EF4" w:rsidR="00D65FA9">
        <w:rPr>
          <w:rFonts w:ascii="Times New Roman" w:hAnsi="Times New Roman"/>
          <w:sz w:val="24"/>
          <w:szCs w:val="24"/>
        </w:rPr>
        <w:t xml:space="preserve">a decrease of </w:t>
      </w:r>
      <w:r w:rsidR="00522AB9">
        <w:rPr>
          <w:rFonts w:ascii="Times New Roman" w:hAnsi="Times New Roman"/>
          <w:sz w:val="24"/>
          <w:szCs w:val="24"/>
        </w:rPr>
        <w:t>55,</w:t>
      </w:r>
      <w:r w:rsidR="00366C84">
        <w:rPr>
          <w:rFonts w:ascii="Times New Roman" w:hAnsi="Times New Roman"/>
          <w:sz w:val="24"/>
          <w:szCs w:val="24"/>
        </w:rPr>
        <w:t>891</w:t>
      </w:r>
      <w:r w:rsidRPr="003A1EF4" w:rsidR="00D65FA9">
        <w:rPr>
          <w:rFonts w:ascii="Times New Roman" w:hAnsi="Times New Roman"/>
          <w:sz w:val="24"/>
          <w:szCs w:val="24"/>
        </w:rPr>
        <w:t xml:space="preserve"> loans </w:t>
      </w:r>
      <w:r w:rsidR="00927CD5">
        <w:rPr>
          <w:rFonts w:ascii="Times New Roman" w:hAnsi="Times New Roman"/>
          <w:sz w:val="24"/>
          <w:szCs w:val="24"/>
        </w:rPr>
        <w:t>from the number of ARM loans described in the prior PRA</w:t>
      </w:r>
      <w:r w:rsidRPr="003A1EF4" w:rsidR="00D65FA9">
        <w:rPr>
          <w:rFonts w:ascii="Times New Roman" w:hAnsi="Times New Roman"/>
          <w:sz w:val="24"/>
          <w:szCs w:val="24"/>
        </w:rPr>
        <w:t xml:space="preserve">. The decrease in </w:t>
      </w:r>
      <w:r w:rsidR="00927CD5">
        <w:rPr>
          <w:rFonts w:ascii="Times New Roman" w:hAnsi="Times New Roman"/>
          <w:sz w:val="24"/>
          <w:szCs w:val="24"/>
        </w:rPr>
        <w:t xml:space="preserve">the number of ARM loans is reasonably expected </w:t>
      </w:r>
      <w:r w:rsidR="00A33B36">
        <w:rPr>
          <w:rFonts w:ascii="Times New Roman" w:hAnsi="Times New Roman"/>
          <w:sz w:val="24"/>
          <w:szCs w:val="24"/>
        </w:rPr>
        <w:t>since</w:t>
      </w:r>
      <w:r w:rsidR="00927CD5">
        <w:rPr>
          <w:rFonts w:ascii="Times New Roman" w:hAnsi="Times New Roman"/>
          <w:sz w:val="24"/>
          <w:szCs w:val="24"/>
        </w:rPr>
        <w:t xml:space="preserve"> </w:t>
      </w:r>
      <w:r w:rsidR="008A1644">
        <w:rPr>
          <w:rFonts w:ascii="Times New Roman" w:hAnsi="Times New Roman"/>
          <w:sz w:val="24"/>
          <w:szCs w:val="24"/>
        </w:rPr>
        <w:t xml:space="preserve">fixed </w:t>
      </w:r>
      <w:r w:rsidR="00F779C0">
        <w:rPr>
          <w:rFonts w:ascii="Times New Roman" w:hAnsi="Times New Roman"/>
          <w:sz w:val="24"/>
          <w:szCs w:val="24"/>
        </w:rPr>
        <w:t xml:space="preserve">interest rates </w:t>
      </w:r>
      <w:r w:rsidR="008A1644">
        <w:rPr>
          <w:rFonts w:ascii="Times New Roman" w:hAnsi="Times New Roman"/>
          <w:sz w:val="24"/>
          <w:szCs w:val="24"/>
        </w:rPr>
        <w:t>h</w:t>
      </w:r>
      <w:r w:rsidR="00F779C0">
        <w:rPr>
          <w:rFonts w:ascii="Times New Roman" w:hAnsi="Times New Roman"/>
          <w:sz w:val="24"/>
          <w:szCs w:val="24"/>
        </w:rPr>
        <w:t>a</w:t>
      </w:r>
      <w:r w:rsidR="008A1644">
        <w:rPr>
          <w:rFonts w:ascii="Times New Roman" w:hAnsi="Times New Roman"/>
          <w:sz w:val="24"/>
          <w:szCs w:val="24"/>
        </w:rPr>
        <w:t>ve been</w:t>
      </w:r>
      <w:r w:rsidR="00F779C0">
        <w:rPr>
          <w:rFonts w:ascii="Times New Roman" w:hAnsi="Times New Roman"/>
          <w:sz w:val="24"/>
          <w:szCs w:val="24"/>
        </w:rPr>
        <w:t xml:space="preserve"> </w:t>
      </w:r>
      <w:r w:rsidR="005D1EDB">
        <w:rPr>
          <w:rFonts w:ascii="Times New Roman" w:hAnsi="Times New Roman"/>
          <w:sz w:val="24"/>
          <w:szCs w:val="24"/>
        </w:rPr>
        <w:t>low,</w:t>
      </w:r>
      <w:r w:rsidR="00F779C0">
        <w:rPr>
          <w:rFonts w:ascii="Times New Roman" w:hAnsi="Times New Roman"/>
          <w:sz w:val="24"/>
          <w:szCs w:val="24"/>
        </w:rPr>
        <w:t xml:space="preserve"> and </w:t>
      </w:r>
      <w:r w:rsidR="00927CD5">
        <w:rPr>
          <w:rFonts w:ascii="Times New Roman" w:hAnsi="Times New Roman"/>
          <w:sz w:val="24"/>
          <w:szCs w:val="24"/>
        </w:rPr>
        <w:t xml:space="preserve">borrowers </w:t>
      </w:r>
      <w:r w:rsidR="00F779C0">
        <w:rPr>
          <w:rFonts w:ascii="Times New Roman" w:hAnsi="Times New Roman"/>
          <w:sz w:val="24"/>
          <w:szCs w:val="24"/>
        </w:rPr>
        <w:t xml:space="preserve">can </w:t>
      </w:r>
      <w:r w:rsidR="00971176">
        <w:rPr>
          <w:rFonts w:ascii="Times New Roman" w:hAnsi="Times New Roman"/>
          <w:sz w:val="24"/>
          <w:szCs w:val="24"/>
        </w:rPr>
        <w:t xml:space="preserve">lock </w:t>
      </w:r>
      <w:r w:rsidR="00F779C0">
        <w:rPr>
          <w:rFonts w:ascii="Times New Roman" w:hAnsi="Times New Roman"/>
          <w:sz w:val="24"/>
          <w:szCs w:val="24"/>
        </w:rPr>
        <w:t xml:space="preserve">a low </w:t>
      </w:r>
      <w:r w:rsidR="008A1644">
        <w:rPr>
          <w:rFonts w:ascii="Times New Roman" w:hAnsi="Times New Roman"/>
          <w:sz w:val="24"/>
          <w:szCs w:val="24"/>
        </w:rPr>
        <w:t xml:space="preserve">fixed </w:t>
      </w:r>
      <w:r w:rsidR="00F779C0">
        <w:rPr>
          <w:rFonts w:ascii="Times New Roman" w:hAnsi="Times New Roman"/>
          <w:sz w:val="24"/>
          <w:szCs w:val="24"/>
        </w:rPr>
        <w:t xml:space="preserve">rate for the life of their mortgage.  </w:t>
      </w:r>
      <w:r w:rsidR="00971176">
        <w:rPr>
          <w:rFonts w:ascii="Times New Roman" w:hAnsi="Times New Roman"/>
          <w:sz w:val="24"/>
          <w:szCs w:val="24"/>
        </w:rPr>
        <w:t xml:space="preserve"> Borrowers have steered away from </w:t>
      </w:r>
      <w:r w:rsidR="00927CD5">
        <w:rPr>
          <w:rFonts w:ascii="Times New Roman" w:hAnsi="Times New Roman"/>
          <w:sz w:val="24"/>
          <w:szCs w:val="24"/>
        </w:rPr>
        <w:t xml:space="preserve">an adjustable interest rate </w:t>
      </w:r>
      <w:r w:rsidR="00D852FE">
        <w:rPr>
          <w:rFonts w:ascii="Times New Roman" w:hAnsi="Times New Roman"/>
          <w:sz w:val="24"/>
          <w:szCs w:val="24"/>
        </w:rPr>
        <w:t xml:space="preserve">term </w:t>
      </w:r>
      <w:r w:rsidR="00927CD5">
        <w:rPr>
          <w:rFonts w:ascii="Times New Roman" w:hAnsi="Times New Roman"/>
          <w:sz w:val="24"/>
          <w:szCs w:val="24"/>
        </w:rPr>
        <w:t>that can lead to higher</w:t>
      </w:r>
      <w:r w:rsidR="008A1644">
        <w:rPr>
          <w:rFonts w:ascii="Times New Roman" w:hAnsi="Times New Roman"/>
          <w:sz w:val="24"/>
          <w:szCs w:val="24"/>
        </w:rPr>
        <w:t xml:space="preserve"> </w:t>
      </w:r>
      <w:r w:rsidR="00927CD5">
        <w:rPr>
          <w:rFonts w:ascii="Times New Roman" w:hAnsi="Times New Roman"/>
          <w:sz w:val="24"/>
          <w:szCs w:val="24"/>
        </w:rPr>
        <w:t xml:space="preserve">monthly payments in the future.  </w:t>
      </w:r>
    </w:p>
    <w:p w:rsidRPr="003A1EF4" w:rsidR="00D65FA9" w:rsidP="00D65FA9" w:rsidRDefault="00D65FA9" w14:paraId="0900B3D6" w14:textId="77777777">
      <w:pPr>
        <w:pStyle w:val="ListParagraph"/>
        <w:rPr>
          <w:sz w:val="24"/>
        </w:rPr>
      </w:pPr>
    </w:p>
    <w:p w:rsidR="00B37820" w:rsidP="00A73C50" w:rsidRDefault="00B37820" w14:paraId="7AFFD223" w14:textId="77777777">
      <w:pPr>
        <w:pStyle w:val="List"/>
        <w:ind w:left="720" w:firstLine="0"/>
        <w:rPr>
          <w:rFonts w:ascii="Times New Roman" w:hAnsi="Times New Roman"/>
          <w:sz w:val="24"/>
        </w:rPr>
      </w:pPr>
    </w:p>
    <w:p w:rsidRPr="00383C6A" w:rsidR="00D65FA9" w:rsidP="005C509F" w:rsidRDefault="00B37820" w14:paraId="432D7ECB" w14:textId="77777777">
      <w:pPr>
        <w:numPr>
          <w:ilvl w:val="0"/>
          <w:numId w:val="7"/>
        </w:numPr>
        <w:overflowPunct/>
        <w:autoSpaceDE/>
        <w:autoSpaceDN/>
        <w:adjustRightInd/>
        <w:spacing w:after="200" w:line="276" w:lineRule="auto"/>
        <w:textAlignment w:val="auto"/>
        <w:rPr>
          <w:b/>
          <w:bCs/>
          <w:sz w:val="24"/>
          <w:szCs w:val="24"/>
        </w:rPr>
      </w:pPr>
      <w:r w:rsidRPr="00383C6A">
        <w:rPr>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2A1C00" w:rsidP="00383C6A" w:rsidRDefault="00EE24A1" w14:paraId="1B2E0CBF" w14:textId="77777777">
      <w:pPr>
        <w:pStyle w:val="List"/>
        <w:ind w:left="720" w:firstLine="0"/>
        <w:rPr>
          <w:rFonts w:ascii="Times New Roman" w:hAnsi="Times New Roman"/>
          <w:sz w:val="24"/>
        </w:rPr>
      </w:pPr>
      <w:r>
        <w:rPr>
          <w:rFonts w:ascii="Times New Roman" w:hAnsi="Times New Roman"/>
          <w:sz w:val="24"/>
        </w:rPr>
        <w:t xml:space="preserve">Lenders generate the ARM Disclosures electronically and generally provide these disclosures on paper to their borrowers.  </w:t>
      </w:r>
    </w:p>
    <w:p w:rsidR="002A1C00" w:rsidP="00383C6A" w:rsidRDefault="002A1C00" w14:paraId="6734B0E0" w14:textId="77777777">
      <w:pPr>
        <w:pStyle w:val="List"/>
        <w:ind w:left="720" w:firstLine="0"/>
        <w:rPr>
          <w:rFonts w:ascii="Times New Roman" w:hAnsi="Times New Roman"/>
          <w:sz w:val="24"/>
        </w:rPr>
      </w:pPr>
    </w:p>
    <w:p w:rsidR="002A1C00" w:rsidP="002A1C00" w:rsidRDefault="002A1C00" w14:paraId="4C0AE29A" w14:textId="788D2D0A">
      <w:pPr>
        <w:pStyle w:val="ListParagraph"/>
        <w:overflowPunct/>
        <w:autoSpaceDE/>
        <w:autoSpaceDN/>
        <w:adjustRightInd/>
        <w:textAlignment w:val="auto"/>
        <w:rPr>
          <w:sz w:val="24"/>
          <w:szCs w:val="24"/>
        </w:rPr>
      </w:pPr>
      <w:r>
        <w:rPr>
          <w:sz w:val="24"/>
          <w:szCs w:val="24"/>
        </w:rPr>
        <w:t xml:space="preserve">For adjustable rate ARM mortgages, lenders include the ARM disclosure in the case binder it submits to FHA for insurance endorsement.  </w:t>
      </w:r>
    </w:p>
    <w:p w:rsidR="002A1C00" w:rsidP="002A1C00" w:rsidRDefault="002A1C00" w14:paraId="4BF86EE5" w14:textId="57D2C636">
      <w:pPr>
        <w:pStyle w:val="ListParagraph"/>
        <w:overflowPunct/>
        <w:autoSpaceDE/>
        <w:autoSpaceDN/>
        <w:adjustRightInd/>
        <w:textAlignment w:val="auto"/>
        <w:rPr>
          <w:sz w:val="24"/>
          <w:szCs w:val="24"/>
        </w:rPr>
      </w:pPr>
      <w:r>
        <w:rPr>
          <w:sz w:val="24"/>
          <w:szCs w:val="24"/>
        </w:rPr>
        <w:t xml:space="preserve"> </w:t>
      </w:r>
    </w:p>
    <w:p w:rsidRPr="005737EF" w:rsidR="005737EF" w:rsidP="005737EF" w:rsidRDefault="002A1C00" w14:paraId="090594E2" w14:textId="14B272B1">
      <w:pPr>
        <w:pStyle w:val="ListParagraph"/>
        <w:overflowPunct/>
        <w:autoSpaceDE/>
        <w:autoSpaceDN/>
        <w:adjustRightInd/>
        <w:textAlignment w:val="auto"/>
        <w:rPr>
          <w:sz w:val="24"/>
          <w:szCs w:val="24"/>
        </w:rPr>
      </w:pPr>
      <w:r>
        <w:rPr>
          <w:sz w:val="24"/>
          <w:szCs w:val="24"/>
        </w:rPr>
        <w:t xml:space="preserve">FHA does not collect records of </w:t>
      </w:r>
      <w:r w:rsidRPr="003B4F4F">
        <w:rPr>
          <w:sz w:val="24"/>
          <w:szCs w:val="24"/>
        </w:rPr>
        <w:t xml:space="preserve">ARM </w:t>
      </w:r>
      <w:r>
        <w:rPr>
          <w:sz w:val="24"/>
          <w:szCs w:val="24"/>
        </w:rPr>
        <w:t>D</w:t>
      </w:r>
      <w:r w:rsidRPr="003B4F4F">
        <w:rPr>
          <w:sz w:val="24"/>
          <w:szCs w:val="24"/>
        </w:rPr>
        <w:t>isclosure</w:t>
      </w:r>
      <w:r>
        <w:rPr>
          <w:sz w:val="24"/>
          <w:szCs w:val="24"/>
        </w:rPr>
        <w:t>s</w:t>
      </w:r>
      <w:r w:rsidRPr="003B4F4F">
        <w:rPr>
          <w:sz w:val="24"/>
          <w:szCs w:val="24"/>
        </w:rPr>
        <w:t xml:space="preserve"> </w:t>
      </w:r>
      <w:r>
        <w:rPr>
          <w:sz w:val="24"/>
          <w:szCs w:val="24"/>
        </w:rPr>
        <w:t>issued after closing, unless the loan is selected for HUD’s post endorsement quality review or the lender sends the file to HUD for claim. HUD may accept the lenders historical system records (electronic) showing information about the ARM disclosures it issued to the borrower</w:t>
      </w:r>
      <w:r w:rsidR="000F3B4E">
        <w:rPr>
          <w:sz w:val="24"/>
          <w:szCs w:val="24"/>
        </w:rPr>
        <w:t xml:space="preserve">, the dates disclosures were issues, new interest rate and related changes. </w:t>
      </w:r>
      <w:r w:rsidRPr="003B4F4F">
        <w:rPr>
          <w:sz w:val="24"/>
          <w:szCs w:val="24"/>
        </w:rPr>
        <w:t xml:space="preserve">   </w:t>
      </w:r>
    </w:p>
    <w:p w:rsidR="002A1C00" w:rsidP="00383C6A" w:rsidRDefault="002A1C00" w14:paraId="1FE25EF8" w14:textId="77777777">
      <w:pPr>
        <w:pStyle w:val="List"/>
        <w:ind w:left="720" w:firstLine="0"/>
        <w:rPr>
          <w:rFonts w:ascii="Times New Roman" w:hAnsi="Times New Roman"/>
          <w:sz w:val="24"/>
        </w:rPr>
      </w:pPr>
    </w:p>
    <w:p w:rsidRPr="003A1EF4" w:rsidR="0047711D" w:rsidP="0047711D" w:rsidRDefault="0047711D" w14:paraId="3C1993B3" w14:textId="77777777">
      <w:pPr>
        <w:pStyle w:val="List"/>
        <w:rPr>
          <w:rFonts w:ascii="Times New Roman" w:hAnsi="Times New Roman"/>
          <w:sz w:val="24"/>
        </w:rPr>
      </w:pPr>
    </w:p>
    <w:p w:rsidRPr="00383C6A" w:rsidR="0047711D" w:rsidP="005C509F" w:rsidRDefault="0047711D" w14:paraId="3C4416DD" w14:textId="77777777">
      <w:pPr>
        <w:numPr>
          <w:ilvl w:val="0"/>
          <w:numId w:val="7"/>
        </w:numPr>
        <w:overflowPunct/>
        <w:autoSpaceDE/>
        <w:autoSpaceDN/>
        <w:adjustRightInd/>
        <w:spacing w:after="200" w:line="276" w:lineRule="auto"/>
        <w:textAlignment w:val="auto"/>
        <w:rPr>
          <w:b/>
          <w:bCs/>
          <w:sz w:val="24"/>
          <w:szCs w:val="24"/>
        </w:rPr>
      </w:pPr>
      <w:r w:rsidRPr="00383C6A">
        <w:rPr>
          <w:b/>
          <w:bCs/>
          <w:sz w:val="24"/>
          <w:szCs w:val="24"/>
        </w:rPr>
        <w:t xml:space="preserve">Describe efforts to identify duplication. Show specifically why any similar information already available cannot be used or modified for use for the purposes described in Item 2 above. </w:t>
      </w:r>
    </w:p>
    <w:p w:rsidR="00E27829" w:rsidP="00383C6A" w:rsidRDefault="00383C6A" w14:paraId="1B2DF826" w14:textId="77777777">
      <w:pPr>
        <w:pStyle w:val="List"/>
        <w:ind w:left="720" w:firstLine="0"/>
        <w:rPr>
          <w:rFonts w:ascii="Times New Roman" w:hAnsi="Times New Roman"/>
          <w:sz w:val="24"/>
        </w:rPr>
      </w:pPr>
      <w:r>
        <w:rPr>
          <w:rFonts w:ascii="Times New Roman" w:hAnsi="Times New Roman"/>
          <w:sz w:val="24"/>
        </w:rPr>
        <w:t xml:space="preserve">An ARM </w:t>
      </w:r>
      <w:r w:rsidRPr="003A1EF4" w:rsidR="00E27829">
        <w:rPr>
          <w:rFonts w:ascii="Times New Roman" w:hAnsi="Times New Roman"/>
          <w:sz w:val="24"/>
        </w:rPr>
        <w:t>Disclosure</w:t>
      </w:r>
      <w:r>
        <w:rPr>
          <w:rFonts w:ascii="Times New Roman" w:hAnsi="Times New Roman"/>
          <w:sz w:val="24"/>
        </w:rPr>
        <w:t xml:space="preserve"> is </w:t>
      </w:r>
      <w:r w:rsidRPr="003A1EF4" w:rsidR="00E27829">
        <w:rPr>
          <w:rFonts w:ascii="Times New Roman" w:hAnsi="Times New Roman"/>
          <w:sz w:val="24"/>
        </w:rPr>
        <w:t>unique to each individual mortgage and therefore not duplicative.</w:t>
      </w:r>
    </w:p>
    <w:p w:rsidR="0047711D" w:rsidP="0047711D" w:rsidRDefault="0047711D" w14:paraId="4D9597CE" w14:textId="77777777">
      <w:pPr>
        <w:pStyle w:val="List"/>
        <w:rPr>
          <w:rFonts w:ascii="Times New Roman" w:hAnsi="Times New Roman"/>
          <w:sz w:val="24"/>
        </w:rPr>
      </w:pPr>
    </w:p>
    <w:p w:rsidRPr="00383C6A" w:rsidR="0047711D" w:rsidP="005C509F" w:rsidRDefault="0047711D" w14:paraId="7EED970B" w14:textId="77777777">
      <w:pPr>
        <w:numPr>
          <w:ilvl w:val="0"/>
          <w:numId w:val="7"/>
        </w:numPr>
        <w:overflowPunct/>
        <w:autoSpaceDE/>
        <w:autoSpaceDN/>
        <w:adjustRightInd/>
        <w:spacing w:after="200" w:line="276" w:lineRule="auto"/>
        <w:textAlignment w:val="auto"/>
        <w:rPr>
          <w:b/>
          <w:bCs/>
          <w:sz w:val="24"/>
          <w:szCs w:val="24"/>
        </w:rPr>
      </w:pPr>
      <w:r w:rsidRPr="00383C6A">
        <w:rPr>
          <w:b/>
          <w:bCs/>
          <w:sz w:val="24"/>
          <w:szCs w:val="24"/>
        </w:rPr>
        <w:t xml:space="preserve">If the collection of information impacts small businesses or other small entities (Item 5 of OMB Form 83-I), describe any methods used to minimize burden. </w:t>
      </w:r>
    </w:p>
    <w:p w:rsidRPr="001559FA" w:rsidR="00E27829" w:rsidP="00383C6A" w:rsidRDefault="00E27829" w14:paraId="7BC87FB2" w14:textId="40A776D5">
      <w:pPr>
        <w:pStyle w:val="List"/>
        <w:ind w:left="720" w:firstLine="0"/>
        <w:rPr>
          <w:rFonts w:ascii="Times New Roman" w:hAnsi="Times New Roman"/>
          <w:sz w:val="24"/>
        </w:rPr>
      </w:pPr>
      <w:r w:rsidRPr="003A1EF4">
        <w:rPr>
          <w:rFonts w:ascii="Times New Roman" w:hAnsi="Times New Roman"/>
          <w:sz w:val="24"/>
        </w:rPr>
        <w:t xml:space="preserve">The reporting burdens for small business participants </w:t>
      </w:r>
      <w:r w:rsidR="002D4170">
        <w:rPr>
          <w:rFonts w:ascii="Times New Roman" w:hAnsi="Times New Roman"/>
          <w:sz w:val="24"/>
        </w:rPr>
        <w:t>are</w:t>
      </w:r>
      <w:r w:rsidRPr="003A1EF4">
        <w:rPr>
          <w:rFonts w:ascii="Times New Roman" w:hAnsi="Times New Roman"/>
          <w:sz w:val="24"/>
        </w:rPr>
        <w:t xml:space="preserve"> not materially affected</w:t>
      </w:r>
      <w:r w:rsidR="002D4170">
        <w:rPr>
          <w:rFonts w:ascii="Times New Roman" w:hAnsi="Times New Roman"/>
          <w:sz w:val="24"/>
        </w:rPr>
        <w:t xml:space="preserve">, as the disclosures are generated by the same computers that calculate other loan terms for the lender.  </w:t>
      </w:r>
    </w:p>
    <w:p w:rsidRPr="001559FA" w:rsidR="0047711D" w:rsidP="0047711D" w:rsidRDefault="0047711D" w14:paraId="55D7D5DC" w14:textId="77777777">
      <w:pPr>
        <w:pStyle w:val="List"/>
        <w:rPr>
          <w:rFonts w:ascii="Times New Roman" w:hAnsi="Times New Roman"/>
          <w:sz w:val="24"/>
        </w:rPr>
      </w:pPr>
    </w:p>
    <w:p w:rsidRPr="001559FA" w:rsidR="0047711D" w:rsidP="005C509F" w:rsidRDefault="0047711D" w14:paraId="54343F0C" w14:textId="77777777">
      <w:pPr>
        <w:numPr>
          <w:ilvl w:val="0"/>
          <w:numId w:val="7"/>
        </w:numPr>
        <w:overflowPunct/>
        <w:autoSpaceDE/>
        <w:autoSpaceDN/>
        <w:adjustRightInd/>
        <w:spacing w:after="200" w:line="276" w:lineRule="auto"/>
        <w:textAlignment w:val="auto"/>
        <w:rPr>
          <w:b/>
          <w:bCs/>
          <w:sz w:val="24"/>
          <w:szCs w:val="24"/>
        </w:rPr>
      </w:pPr>
      <w:r w:rsidRPr="001559FA">
        <w:rPr>
          <w:b/>
          <w:bCs/>
          <w:sz w:val="24"/>
          <w:szCs w:val="24"/>
        </w:rPr>
        <w:t xml:space="preserve">Describe the consequence to Federal program or policy activities if the collection is not conducted or is conducted less frequently, as well as any technical or legal obstacles to reducing burden. </w:t>
      </w:r>
    </w:p>
    <w:p w:rsidRPr="001559FA" w:rsidR="00383C6A" w:rsidP="00683F84" w:rsidRDefault="00E27829" w14:paraId="73639F4D" w14:textId="77777777">
      <w:pPr>
        <w:pStyle w:val="List"/>
        <w:ind w:left="720" w:firstLine="0"/>
        <w:rPr>
          <w:rFonts w:ascii="Times New Roman" w:hAnsi="Times New Roman"/>
          <w:sz w:val="24"/>
          <w:szCs w:val="24"/>
        </w:rPr>
      </w:pPr>
      <w:r w:rsidRPr="001559FA">
        <w:rPr>
          <w:rFonts w:ascii="Times New Roman" w:hAnsi="Times New Roman"/>
          <w:sz w:val="24"/>
        </w:rPr>
        <w:t>The disclosure requirements at loan application and at the annual anniversary dates are one-time “on occasion</w:t>
      </w:r>
      <w:r w:rsidRPr="001559FA">
        <w:rPr>
          <w:rFonts w:ascii="Times New Roman" w:hAnsi="Times New Roman"/>
          <w:sz w:val="24"/>
          <w:szCs w:val="24"/>
        </w:rPr>
        <w:t xml:space="preserve">” types, and therefore no reduction in frequency is possible.  Failure to provide the required disclosure violates the Federal </w:t>
      </w:r>
      <w:proofErr w:type="spellStart"/>
      <w:r w:rsidRPr="001559FA">
        <w:rPr>
          <w:rFonts w:ascii="Times New Roman" w:hAnsi="Times New Roman"/>
          <w:sz w:val="24"/>
          <w:szCs w:val="24"/>
        </w:rPr>
        <w:t>Reserves</w:t>
      </w:r>
      <w:proofErr w:type="spellEnd"/>
      <w:r w:rsidRPr="001559FA">
        <w:rPr>
          <w:rFonts w:ascii="Times New Roman" w:hAnsi="Times New Roman"/>
          <w:sz w:val="24"/>
          <w:szCs w:val="24"/>
        </w:rPr>
        <w:t xml:space="preserve"> Truth-in-Lending (“Regulation Z”) regulations. </w:t>
      </w:r>
      <w:r w:rsidRPr="001559FA" w:rsidR="00383C6A">
        <w:rPr>
          <w:rFonts w:ascii="Times New Roman" w:hAnsi="Times New Roman"/>
          <w:sz w:val="24"/>
          <w:szCs w:val="24"/>
        </w:rPr>
        <w:t xml:space="preserve"> </w:t>
      </w:r>
    </w:p>
    <w:p w:rsidRPr="001559FA" w:rsidR="00383C6A" w:rsidP="00383C6A" w:rsidRDefault="00383C6A" w14:paraId="4FE3350C" w14:textId="77777777">
      <w:pPr>
        <w:pStyle w:val="List"/>
        <w:ind w:left="720" w:firstLine="0"/>
        <w:rPr>
          <w:rFonts w:ascii="Times New Roman" w:hAnsi="Times New Roman"/>
          <w:sz w:val="24"/>
          <w:szCs w:val="24"/>
        </w:rPr>
      </w:pPr>
    </w:p>
    <w:p w:rsidRPr="001559FA" w:rsidR="0047711D" w:rsidP="005C509F" w:rsidRDefault="0047711D" w14:paraId="5A76F2BC" w14:textId="77777777">
      <w:pPr>
        <w:pStyle w:val="List"/>
        <w:numPr>
          <w:ilvl w:val="0"/>
          <w:numId w:val="7"/>
        </w:numPr>
        <w:rPr>
          <w:rFonts w:ascii="Times New Roman" w:hAnsi="Times New Roman"/>
          <w:b/>
          <w:bCs/>
          <w:sz w:val="24"/>
          <w:szCs w:val="24"/>
        </w:rPr>
      </w:pPr>
      <w:r w:rsidRPr="001559FA">
        <w:rPr>
          <w:rFonts w:ascii="Times New Roman" w:hAnsi="Times New Roman"/>
          <w:b/>
          <w:bCs/>
          <w:sz w:val="24"/>
          <w:szCs w:val="24"/>
        </w:rPr>
        <w:lastRenderedPageBreak/>
        <w:t xml:space="preserve">Explain any special circumstances that would cause an information collection to be conducted in a manner: </w:t>
      </w:r>
    </w:p>
    <w:p w:rsidRPr="001559FA" w:rsidR="00383C6A" w:rsidP="00383C6A" w:rsidRDefault="00383C6A" w14:paraId="204B0D49" w14:textId="77777777">
      <w:pPr>
        <w:pStyle w:val="List"/>
        <w:rPr>
          <w:rFonts w:ascii="Times New Roman" w:hAnsi="Times New Roman"/>
          <w:sz w:val="24"/>
          <w:szCs w:val="24"/>
        </w:rPr>
      </w:pPr>
    </w:p>
    <w:p w:rsidR="0047711D" w:rsidP="005C509F" w:rsidRDefault="0047711D" w14:paraId="7A496E13" w14:textId="70617E15">
      <w:pPr>
        <w:numPr>
          <w:ilvl w:val="0"/>
          <w:numId w:val="11"/>
        </w:numPr>
        <w:overflowPunct/>
        <w:autoSpaceDE/>
        <w:autoSpaceDN/>
        <w:adjustRightInd/>
        <w:ind w:left="1080"/>
        <w:textAlignment w:val="auto"/>
        <w:rPr>
          <w:b/>
          <w:bCs/>
          <w:sz w:val="24"/>
          <w:szCs w:val="24"/>
        </w:rPr>
      </w:pPr>
      <w:r w:rsidRPr="001559FA">
        <w:rPr>
          <w:b/>
          <w:bCs/>
          <w:sz w:val="24"/>
          <w:szCs w:val="24"/>
        </w:rPr>
        <w:t xml:space="preserve">requiring respondents to report information to the agency more often than </w:t>
      </w:r>
      <w:proofErr w:type="gramStart"/>
      <w:r w:rsidRPr="001559FA">
        <w:rPr>
          <w:b/>
          <w:bCs/>
          <w:sz w:val="24"/>
          <w:szCs w:val="24"/>
        </w:rPr>
        <w:t>quarterly;</w:t>
      </w:r>
      <w:proofErr w:type="gramEnd"/>
      <w:r w:rsidRPr="001559FA">
        <w:rPr>
          <w:b/>
          <w:bCs/>
          <w:sz w:val="24"/>
          <w:szCs w:val="24"/>
        </w:rPr>
        <w:t xml:space="preserve"> </w:t>
      </w:r>
    </w:p>
    <w:p w:rsidRPr="001559FA" w:rsidR="00FB32CB" w:rsidP="00FB32CB" w:rsidRDefault="00FB32CB" w14:paraId="672ED6B3" w14:textId="77777777">
      <w:pPr>
        <w:overflowPunct/>
        <w:autoSpaceDE/>
        <w:autoSpaceDN/>
        <w:adjustRightInd/>
        <w:ind w:left="1080"/>
        <w:textAlignment w:val="auto"/>
        <w:rPr>
          <w:b/>
          <w:bCs/>
          <w:sz w:val="24"/>
          <w:szCs w:val="24"/>
        </w:rPr>
      </w:pPr>
    </w:p>
    <w:p w:rsidRPr="001559FA" w:rsidR="00774031" w:rsidP="00774031" w:rsidRDefault="00774031" w14:paraId="6E10D6D2" w14:textId="77777777">
      <w:pPr>
        <w:overflowPunct/>
        <w:autoSpaceDE/>
        <w:autoSpaceDN/>
        <w:adjustRightInd/>
        <w:ind w:left="1080"/>
        <w:contextualSpacing/>
        <w:textAlignment w:val="auto"/>
        <w:rPr>
          <w:color w:val="000000"/>
          <w:sz w:val="24"/>
          <w:szCs w:val="24"/>
        </w:rPr>
      </w:pPr>
      <w:r w:rsidRPr="001559FA">
        <w:rPr>
          <w:color w:val="000000"/>
          <w:sz w:val="24"/>
          <w:szCs w:val="24"/>
        </w:rPr>
        <w:t>Respondents are required to report information more than quarterly.</w:t>
      </w:r>
      <w:r w:rsidRPr="001559FA">
        <w:rPr>
          <w:sz w:val="24"/>
          <w:szCs w:val="24"/>
        </w:rPr>
        <w:t xml:space="preserve"> </w:t>
      </w:r>
      <w:r w:rsidRPr="001559FA" w:rsidR="000F4975">
        <w:rPr>
          <w:sz w:val="24"/>
          <w:szCs w:val="24"/>
        </w:rPr>
        <w:t xml:space="preserve">The </w:t>
      </w:r>
      <w:r w:rsidRPr="001559FA">
        <w:rPr>
          <w:sz w:val="24"/>
          <w:szCs w:val="24"/>
        </w:rPr>
        <w:t xml:space="preserve">reporting burden is loan-specific and, thus, cannot be conducted less frequently than on every loan submitted to FHA for insurance endorsement.  </w:t>
      </w:r>
      <w:r w:rsidRPr="001559FA">
        <w:rPr>
          <w:color w:val="000000"/>
          <w:sz w:val="24"/>
          <w:szCs w:val="24"/>
        </w:rPr>
        <w:t xml:space="preserve">  </w:t>
      </w:r>
    </w:p>
    <w:p w:rsidRPr="001559FA" w:rsidR="000F4975" w:rsidP="000F4975" w:rsidRDefault="000F4975" w14:paraId="170E2350" w14:textId="4BC6B01A">
      <w:pPr>
        <w:overflowPunct/>
        <w:autoSpaceDE/>
        <w:autoSpaceDN/>
        <w:adjustRightInd/>
        <w:ind w:left="1080"/>
        <w:textAlignment w:val="auto"/>
        <w:rPr>
          <w:sz w:val="24"/>
          <w:szCs w:val="24"/>
        </w:rPr>
      </w:pPr>
    </w:p>
    <w:p w:rsidR="0047711D" w:rsidP="005C509F" w:rsidRDefault="0047711D" w14:paraId="146D72A1" w14:textId="5B149CDD">
      <w:pPr>
        <w:numPr>
          <w:ilvl w:val="0"/>
          <w:numId w:val="11"/>
        </w:numPr>
        <w:overflowPunct/>
        <w:autoSpaceDE/>
        <w:autoSpaceDN/>
        <w:adjustRightInd/>
        <w:ind w:left="1080"/>
        <w:textAlignment w:val="auto"/>
        <w:rPr>
          <w:b/>
          <w:bCs/>
          <w:sz w:val="24"/>
          <w:szCs w:val="24"/>
        </w:rPr>
      </w:pPr>
      <w:r w:rsidRPr="001559FA">
        <w:rPr>
          <w:b/>
          <w:bCs/>
          <w:sz w:val="24"/>
          <w:szCs w:val="24"/>
        </w:rPr>
        <w:t xml:space="preserve">requiring respondents to prepare a written response to a collection of information in fewer than 30 days after receipt of </w:t>
      </w:r>
      <w:proofErr w:type="gramStart"/>
      <w:r w:rsidRPr="001559FA">
        <w:rPr>
          <w:b/>
          <w:bCs/>
          <w:sz w:val="24"/>
          <w:szCs w:val="24"/>
        </w:rPr>
        <w:t>it;</w:t>
      </w:r>
      <w:proofErr w:type="gramEnd"/>
      <w:r w:rsidRPr="001559FA">
        <w:rPr>
          <w:b/>
          <w:bCs/>
          <w:sz w:val="24"/>
          <w:szCs w:val="24"/>
        </w:rPr>
        <w:t xml:space="preserve"> </w:t>
      </w:r>
    </w:p>
    <w:p w:rsidRPr="001559FA" w:rsidR="00FB32CB" w:rsidP="00FB32CB" w:rsidRDefault="00FB32CB" w14:paraId="40D2C1CC" w14:textId="77777777">
      <w:pPr>
        <w:overflowPunct/>
        <w:autoSpaceDE/>
        <w:autoSpaceDN/>
        <w:adjustRightInd/>
        <w:ind w:left="1080"/>
        <w:textAlignment w:val="auto"/>
        <w:rPr>
          <w:b/>
          <w:bCs/>
          <w:sz w:val="24"/>
          <w:szCs w:val="24"/>
        </w:rPr>
      </w:pPr>
    </w:p>
    <w:p w:rsidRPr="001559FA" w:rsidR="000F4975" w:rsidP="000F4975" w:rsidRDefault="000F4975" w14:paraId="45D357AA" w14:textId="77777777">
      <w:pPr>
        <w:overflowPunct/>
        <w:autoSpaceDE/>
        <w:autoSpaceDN/>
        <w:adjustRightInd/>
        <w:ind w:left="360" w:firstLine="720"/>
        <w:contextualSpacing/>
        <w:textAlignment w:val="auto"/>
        <w:rPr>
          <w:sz w:val="24"/>
          <w:szCs w:val="24"/>
        </w:rPr>
      </w:pPr>
      <w:r w:rsidRPr="001559FA">
        <w:rPr>
          <w:sz w:val="24"/>
          <w:szCs w:val="24"/>
        </w:rPr>
        <w:t xml:space="preserve">Respondents are not required to prepare a written response in less than 30 </w:t>
      </w:r>
      <w:proofErr w:type="gramStart"/>
      <w:r w:rsidRPr="001559FA">
        <w:rPr>
          <w:sz w:val="24"/>
          <w:szCs w:val="24"/>
        </w:rPr>
        <w:t>days;</w:t>
      </w:r>
      <w:proofErr w:type="gramEnd"/>
    </w:p>
    <w:p w:rsidRPr="001559FA" w:rsidR="000F4975" w:rsidP="000F4975" w:rsidRDefault="000F4975" w14:paraId="57D6F20B" w14:textId="77777777">
      <w:pPr>
        <w:overflowPunct/>
        <w:autoSpaceDE/>
        <w:autoSpaceDN/>
        <w:adjustRightInd/>
        <w:ind w:left="1080"/>
        <w:textAlignment w:val="auto"/>
        <w:rPr>
          <w:b/>
          <w:bCs/>
          <w:sz w:val="24"/>
          <w:szCs w:val="24"/>
        </w:rPr>
      </w:pPr>
    </w:p>
    <w:p w:rsidRPr="001559FA" w:rsidR="005209ED" w:rsidP="005C509F" w:rsidRDefault="0047711D" w14:paraId="6C106F4D" w14:textId="77777777">
      <w:pPr>
        <w:numPr>
          <w:ilvl w:val="0"/>
          <w:numId w:val="10"/>
        </w:numPr>
        <w:overflowPunct/>
        <w:autoSpaceDE/>
        <w:autoSpaceDN/>
        <w:adjustRightInd/>
        <w:ind w:left="1080"/>
        <w:textAlignment w:val="auto"/>
        <w:rPr>
          <w:b/>
          <w:bCs/>
          <w:sz w:val="24"/>
          <w:szCs w:val="24"/>
        </w:rPr>
      </w:pPr>
      <w:r w:rsidRPr="001559FA">
        <w:rPr>
          <w:b/>
          <w:bCs/>
          <w:sz w:val="24"/>
          <w:szCs w:val="24"/>
        </w:rPr>
        <w:t xml:space="preserve">requiring respondents to submit more than an original and two copies of any </w:t>
      </w:r>
      <w:proofErr w:type="gramStart"/>
      <w:r w:rsidRPr="001559FA">
        <w:rPr>
          <w:b/>
          <w:bCs/>
          <w:sz w:val="24"/>
          <w:szCs w:val="24"/>
        </w:rPr>
        <w:t>document;</w:t>
      </w:r>
      <w:proofErr w:type="gramEnd"/>
      <w:r w:rsidRPr="001559FA">
        <w:rPr>
          <w:b/>
          <w:bCs/>
          <w:sz w:val="24"/>
          <w:szCs w:val="24"/>
        </w:rPr>
        <w:t xml:space="preserve"> </w:t>
      </w:r>
    </w:p>
    <w:p w:rsidRPr="001559FA" w:rsidR="000F4975" w:rsidP="000F4975" w:rsidRDefault="000F4975" w14:paraId="4D8ADEF9" w14:textId="77777777">
      <w:pPr>
        <w:overflowPunct/>
        <w:autoSpaceDE/>
        <w:autoSpaceDN/>
        <w:adjustRightInd/>
        <w:ind w:left="720"/>
        <w:contextualSpacing/>
        <w:textAlignment w:val="auto"/>
        <w:rPr>
          <w:sz w:val="24"/>
          <w:szCs w:val="24"/>
        </w:rPr>
      </w:pPr>
      <w:r w:rsidRPr="001559FA">
        <w:rPr>
          <w:sz w:val="24"/>
          <w:szCs w:val="24"/>
        </w:rPr>
        <w:t xml:space="preserve">      Respondents are not required to submit more than an original and two copies of any </w:t>
      </w:r>
      <w:proofErr w:type="gramStart"/>
      <w:r w:rsidRPr="001559FA">
        <w:rPr>
          <w:sz w:val="24"/>
          <w:szCs w:val="24"/>
        </w:rPr>
        <w:t>document;</w:t>
      </w:r>
      <w:proofErr w:type="gramEnd"/>
    </w:p>
    <w:p w:rsidRPr="001559FA" w:rsidR="005209ED" w:rsidP="000F4975" w:rsidRDefault="005209ED" w14:paraId="6398D5FD" w14:textId="77777777">
      <w:pPr>
        <w:overflowPunct/>
        <w:autoSpaceDE/>
        <w:autoSpaceDN/>
        <w:adjustRightInd/>
        <w:ind w:left="720"/>
        <w:contextualSpacing/>
        <w:textAlignment w:val="auto"/>
        <w:rPr>
          <w:sz w:val="24"/>
          <w:szCs w:val="24"/>
        </w:rPr>
      </w:pPr>
    </w:p>
    <w:p w:rsidRPr="001559FA" w:rsidR="005209ED" w:rsidP="005C509F" w:rsidRDefault="005209ED" w14:paraId="79563B73" w14:textId="77777777">
      <w:pPr>
        <w:numPr>
          <w:ilvl w:val="0"/>
          <w:numId w:val="10"/>
        </w:numPr>
        <w:overflowPunct/>
        <w:autoSpaceDE/>
        <w:autoSpaceDN/>
        <w:adjustRightInd/>
        <w:ind w:left="1080"/>
        <w:textAlignment w:val="auto"/>
        <w:rPr>
          <w:b/>
          <w:bCs/>
          <w:sz w:val="24"/>
          <w:szCs w:val="24"/>
        </w:rPr>
      </w:pPr>
      <w:r w:rsidRPr="001559FA">
        <w:rPr>
          <w:b/>
          <w:bCs/>
          <w:sz w:val="24"/>
          <w:szCs w:val="24"/>
        </w:rPr>
        <w:t xml:space="preserve">requiring respondents to retain records, other than health, medical, government contract, grant-in-aid, or tax records, for more than three </w:t>
      </w:r>
      <w:proofErr w:type="gramStart"/>
      <w:r w:rsidRPr="001559FA">
        <w:rPr>
          <w:b/>
          <w:bCs/>
          <w:sz w:val="24"/>
          <w:szCs w:val="24"/>
        </w:rPr>
        <w:t>years;</w:t>
      </w:r>
      <w:proofErr w:type="gramEnd"/>
      <w:r w:rsidRPr="001559FA">
        <w:rPr>
          <w:b/>
          <w:bCs/>
          <w:sz w:val="24"/>
          <w:szCs w:val="24"/>
        </w:rPr>
        <w:t xml:space="preserve"> </w:t>
      </w:r>
    </w:p>
    <w:p w:rsidR="009F6687" w:rsidP="00C341CF" w:rsidRDefault="009F6687" w14:paraId="7C33A43C" w14:textId="77777777">
      <w:pPr>
        <w:overflowPunct/>
        <w:autoSpaceDE/>
        <w:autoSpaceDN/>
        <w:adjustRightInd/>
        <w:ind w:left="1080"/>
        <w:contextualSpacing/>
        <w:textAlignment w:val="auto"/>
        <w:rPr>
          <w:sz w:val="24"/>
          <w:szCs w:val="24"/>
        </w:rPr>
      </w:pPr>
    </w:p>
    <w:p w:rsidRPr="001559FA" w:rsidR="00C341CF" w:rsidP="00C341CF" w:rsidRDefault="00C341CF" w14:paraId="64307C91" w14:textId="77777777">
      <w:pPr>
        <w:overflowPunct/>
        <w:autoSpaceDE/>
        <w:autoSpaceDN/>
        <w:adjustRightInd/>
        <w:ind w:left="1080"/>
        <w:contextualSpacing/>
        <w:textAlignment w:val="auto"/>
        <w:rPr>
          <w:color w:val="000000"/>
          <w:sz w:val="24"/>
          <w:szCs w:val="24"/>
        </w:rPr>
      </w:pPr>
      <w:r w:rsidRPr="001559FA">
        <w:rPr>
          <w:sz w:val="24"/>
          <w:szCs w:val="24"/>
        </w:rPr>
        <w:t>Respondents</w:t>
      </w:r>
      <w:r w:rsidRPr="001559FA">
        <w:rPr>
          <w:color w:val="000000"/>
          <w:sz w:val="24"/>
          <w:szCs w:val="24"/>
        </w:rPr>
        <w:t xml:space="preserve"> are required to retain records for the duration of the </w:t>
      </w:r>
      <w:proofErr w:type="gramStart"/>
      <w:r w:rsidRPr="001559FA">
        <w:rPr>
          <w:color w:val="000000"/>
          <w:sz w:val="24"/>
          <w:szCs w:val="24"/>
        </w:rPr>
        <w:t>mortgage;</w:t>
      </w:r>
      <w:proofErr w:type="gramEnd"/>
    </w:p>
    <w:p w:rsidRPr="001559FA" w:rsidR="005209ED" w:rsidP="00C341CF" w:rsidRDefault="005209ED" w14:paraId="3327C0BC" w14:textId="77777777">
      <w:pPr>
        <w:overflowPunct/>
        <w:autoSpaceDE/>
        <w:autoSpaceDN/>
        <w:adjustRightInd/>
        <w:textAlignment w:val="auto"/>
        <w:rPr>
          <w:b/>
          <w:bCs/>
          <w:sz w:val="24"/>
          <w:szCs w:val="24"/>
        </w:rPr>
      </w:pPr>
    </w:p>
    <w:p w:rsidRPr="001559FA" w:rsidR="0047711D" w:rsidP="005C509F" w:rsidRDefault="0047711D" w14:paraId="1719C205" w14:textId="77777777">
      <w:pPr>
        <w:numPr>
          <w:ilvl w:val="0"/>
          <w:numId w:val="10"/>
        </w:numPr>
        <w:overflowPunct/>
        <w:autoSpaceDE/>
        <w:autoSpaceDN/>
        <w:adjustRightInd/>
        <w:ind w:left="1080"/>
        <w:textAlignment w:val="auto"/>
        <w:rPr>
          <w:b/>
          <w:bCs/>
          <w:sz w:val="24"/>
          <w:szCs w:val="24"/>
        </w:rPr>
      </w:pPr>
      <w:r w:rsidRPr="001559FA">
        <w:rPr>
          <w:b/>
          <w:bCs/>
          <w:sz w:val="24"/>
          <w:szCs w:val="24"/>
        </w:rPr>
        <w:t xml:space="preserve">in connection with a statistical survey, that is not designed to produce valid and reliable results that can be generalized to the universe of </w:t>
      </w:r>
      <w:proofErr w:type="gramStart"/>
      <w:r w:rsidRPr="001559FA">
        <w:rPr>
          <w:b/>
          <w:bCs/>
          <w:sz w:val="24"/>
          <w:szCs w:val="24"/>
        </w:rPr>
        <w:t>study;</w:t>
      </w:r>
      <w:proofErr w:type="gramEnd"/>
      <w:r w:rsidRPr="001559FA">
        <w:rPr>
          <w:b/>
          <w:bCs/>
          <w:sz w:val="24"/>
          <w:szCs w:val="24"/>
        </w:rPr>
        <w:t xml:space="preserve"> </w:t>
      </w:r>
    </w:p>
    <w:p w:rsidR="009F6687" w:rsidP="009F6687" w:rsidRDefault="009F6687" w14:paraId="5234E580" w14:textId="77777777">
      <w:pPr>
        <w:overflowPunct/>
        <w:autoSpaceDE/>
        <w:autoSpaceDN/>
        <w:adjustRightInd/>
        <w:ind w:left="1080"/>
        <w:contextualSpacing/>
        <w:textAlignment w:val="auto"/>
        <w:rPr>
          <w:sz w:val="24"/>
          <w:szCs w:val="24"/>
        </w:rPr>
      </w:pPr>
    </w:p>
    <w:p w:rsidRPr="001559FA" w:rsidR="00A70F68" w:rsidP="00A70F68" w:rsidRDefault="009F6687" w14:paraId="5255355E" w14:textId="77777777">
      <w:pPr>
        <w:overflowPunct/>
        <w:autoSpaceDE/>
        <w:autoSpaceDN/>
        <w:adjustRightInd/>
        <w:ind w:firstLine="720"/>
        <w:contextualSpacing/>
        <w:textAlignment w:val="auto"/>
        <w:rPr>
          <w:sz w:val="24"/>
          <w:szCs w:val="24"/>
        </w:rPr>
      </w:pPr>
      <w:r>
        <w:rPr>
          <w:sz w:val="24"/>
          <w:szCs w:val="24"/>
        </w:rPr>
        <w:t xml:space="preserve">      </w:t>
      </w:r>
      <w:r w:rsidRPr="001559FA" w:rsidR="00A70F68">
        <w:rPr>
          <w:sz w:val="24"/>
          <w:szCs w:val="24"/>
        </w:rPr>
        <w:t xml:space="preserve">Respondents are not required to provide a statistical </w:t>
      </w:r>
      <w:proofErr w:type="gramStart"/>
      <w:r w:rsidRPr="001559FA" w:rsidR="00A70F68">
        <w:rPr>
          <w:sz w:val="24"/>
          <w:szCs w:val="24"/>
        </w:rPr>
        <w:t>survey;</w:t>
      </w:r>
      <w:proofErr w:type="gramEnd"/>
    </w:p>
    <w:p w:rsidRPr="001559FA" w:rsidR="00A70F68" w:rsidP="00A70F68" w:rsidRDefault="00A70F68" w14:paraId="29ED3722" w14:textId="77777777">
      <w:pPr>
        <w:overflowPunct/>
        <w:autoSpaceDE/>
        <w:autoSpaceDN/>
        <w:adjustRightInd/>
        <w:ind w:left="1080"/>
        <w:textAlignment w:val="auto"/>
        <w:rPr>
          <w:b/>
          <w:bCs/>
          <w:sz w:val="24"/>
          <w:szCs w:val="24"/>
        </w:rPr>
      </w:pPr>
    </w:p>
    <w:p w:rsidRPr="001559FA" w:rsidR="0047711D" w:rsidP="005C509F" w:rsidRDefault="0047711D" w14:paraId="0C68E0FB" w14:textId="77777777">
      <w:pPr>
        <w:numPr>
          <w:ilvl w:val="0"/>
          <w:numId w:val="10"/>
        </w:numPr>
        <w:overflowPunct/>
        <w:autoSpaceDE/>
        <w:autoSpaceDN/>
        <w:adjustRightInd/>
        <w:ind w:left="1080"/>
        <w:textAlignment w:val="auto"/>
        <w:rPr>
          <w:b/>
          <w:bCs/>
          <w:sz w:val="24"/>
          <w:szCs w:val="24"/>
        </w:rPr>
      </w:pPr>
      <w:r w:rsidRPr="001559FA">
        <w:rPr>
          <w:b/>
          <w:bCs/>
          <w:sz w:val="24"/>
          <w:szCs w:val="24"/>
        </w:rPr>
        <w:t xml:space="preserve">requiring the use of a statistical data classification that has not been reviewed and approved by </w:t>
      </w:r>
      <w:proofErr w:type="gramStart"/>
      <w:r w:rsidRPr="001559FA">
        <w:rPr>
          <w:b/>
          <w:bCs/>
          <w:sz w:val="24"/>
          <w:szCs w:val="24"/>
        </w:rPr>
        <w:t>OMB;</w:t>
      </w:r>
      <w:proofErr w:type="gramEnd"/>
      <w:r w:rsidRPr="001559FA">
        <w:rPr>
          <w:b/>
          <w:bCs/>
          <w:sz w:val="24"/>
          <w:szCs w:val="24"/>
        </w:rPr>
        <w:t xml:space="preserve"> </w:t>
      </w:r>
    </w:p>
    <w:p w:rsidRPr="001559FA" w:rsidR="00C341CF" w:rsidP="00C341CF" w:rsidRDefault="00C341CF" w14:paraId="2E8BB78E" w14:textId="77777777">
      <w:pPr>
        <w:overflowPunct/>
        <w:autoSpaceDE/>
        <w:autoSpaceDN/>
        <w:adjustRightInd/>
        <w:ind w:left="1080"/>
        <w:textAlignment w:val="auto"/>
        <w:rPr>
          <w:b/>
          <w:bCs/>
          <w:sz w:val="24"/>
          <w:szCs w:val="24"/>
        </w:rPr>
      </w:pPr>
    </w:p>
    <w:p w:rsidRPr="001559FA" w:rsidR="00A70F68" w:rsidP="00A70F68" w:rsidRDefault="00A70F68" w14:paraId="410D892B" w14:textId="77777777">
      <w:pPr>
        <w:overflowPunct/>
        <w:autoSpaceDE/>
        <w:autoSpaceDN/>
        <w:adjustRightInd/>
        <w:ind w:left="720"/>
        <w:contextualSpacing/>
        <w:textAlignment w:val="auto"/>
        <w:rPr>
          <w:sz w:val="24"/>
          <w:szCs w:val="24"/>
        </w:rPr>
      </w:pPr>
      <w:r w:rsidRPr="001559FA">
        <w:rPr>
          <w:sz w:val="24"/>
          <w:szCs w:val="24"/>
        </w:rPr>
        <w:t xml:space="preserve">      Respondents are not required to use statistical data not approved by </w:t>
      </w:r>
      <w:proofErr w:type="gramStart"/>
      <w:r w:rsidRPr="001559FA">
        <w:rPr>
          <w:sz w:val="24"/>
          <w:szCs w:val="24"/>
        </w:rPr>
        <w:t>OMB;</w:t>
      </w:r>
      <w:proofErr w:type="gramEnd"/>
    </w:p>
    <w:p w:rsidRPr="001559FA" w:rsidR="00A70F68" w:rsidP="00A70F68" w:rsidRDefault="00A70F68" w14:paraId="3F541482" w14:textId="77777777">
      <w:pPr>
        <w:overflowPunct/>
        <w:autoSpaceDE/>
        <w:autoSpaceDN/>
        <w:adjustRightInd/>
        <w:ind w:left="1080"/>
        <w:textAlignment w:val="auto"/>
        <w:rPr>
          <w:b/>
          <w:bCs/>
          <w:sz w:val="24"/>
          <w:szCs w:val="24"/>
        </w:rPr>
      </w:pPr>
    </w:p>
    <w:p w:rsidRPr="001559FA" w:rsidR="00222BF9" w:rsidP="005C509F" w:rsidRDefault="0047711D" w14:paraId="17A3898F" w14:textId="77777777">
      <w:pPr>
        <w:numPr>
          <w:ilvl w:val="0"/>
          <w:numId w:val="10"/>
        </w:numPr>
        <w:overflowPunct/>
        <w:autoSpaceDE/>
        <w:autoSpaceDN/>
        <w:adjustRightInd/>
        <w:ind w:left="1080"/>
        <w:contextualSpacing/>
        <w:textAlignment w:val="auto"/>
        <w:rPr>
          <w:b/>
          <w:bCs/>
          <w:sz w:val="24"/>
          <w:szCs w:val="24"/>
        </w:rPr>
      </w:pPr>
      <w:r w:rsidRPr="001559FA">
        <w:rPr>
          <w:b/>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1559FA" w:rsidR="00C341CF" w:rsidP="00C341CF" w:rsidRDefault="00C341CF" w14:paraId="77E0ED9D" w14:textId="77777777">
      <w:pPr>
        <w:overflowPunct/>
        <w:autoSpaceDE/>
        <w:autoSpaceDN/>
        <w:adjustRightInd/>
        <w:ind w:left="1080"/>
        <w:contextualSpacing/>
        <w:textAlignment w:val="auto"/>
        <w:rPr>
          <w:b/>
          <w:bCs/>
          <w:sz w:val="24"/>
          <w:szCs w:val="24"/>
        </w:rPr>
      </w:pPr>
    </w:p>
    <w:p w:rsidRPr="001559FA" w:rsidR="00DF20C1" w:rsidP="00DF20C1" w:rsidRDefault="00DF20C1" w14:paraId="0B08A8DC" w14:textId="77777777">
      <w:pPr>
        <w:overflowPunct/>
        <w:autoSpaceDE/>
        <w:autoSpaceDN/>
        <w:adjustRightInd/>
        <w:ind w:left="1080"/>
        <w:contextualSpacing/>
        <w:textAlignment w:val="auto"/>
        <w:rPr>
          <w:sz w:val="24"/>
          <w:szCs w:val="24"/>
        </w:rPr>
      </w:pPr>
      <w:r w:rsidRPr="001559FA">
        <w:rPr>
          <w:sz w:val="24"/>
          <w:szCs w:val="24"/>
        </w:rPr>
        <w:t>Respondents are not required to submit information that includes a pledge of confidentially that is not supported by authority established in a statue or regulation, that is not supported by disclosure and data security policies that are consistent with the pledge, or which unnecessarily impedes sharing of data with other agencies for compatible confidential use; or</w:t>
      </w:r>
    </w:p>
    <w:p w:rsidRPr="001559FA" w:rsidR="00DF20C1" w:rsidP="00DF20C1" w:rsidRDefault="00DF20C1" w14:paraId="6642A71B" w14:textId="77777777">
      <w:pPr>
        <w:overflowPunct/>
        <w:autoSpaceDE/>
        <w:autoSpaceDN/>
        <w:adjustRightInd/>
        <w:ind w:left="1080"/>
        <w:contextualSpacing/>
        <w:textAlignment w:val="auto"/>
        <w:rPr>
          <w:sz w:val="24"/>
          <w:szCs w:val="24"/>
        </w:rPr>
      </w:pPr>
    </w:p>
    <w:p w:rsidRPr="001559FA" w:rsidR="0047711D" w:rsidP="005C509F" w:rsidRDefault="0047711D" w14:paraId="2611B6F0" w14:textId="77777777">
      <w:pPr>
        <w:numPr>
          <w:ilvl w:val="0"/>
          <w:numId w:val="10"/>
        </w:numPr>
        <w:overflowPunct/>
        <w:autoSpaceDE/>
        <w:autoSpaceDN/>
        <w:adjustRightInd/>
        <w:ind w:left="1080"/>
        <w:contextualSpacing/>
        <w:textAlignment w:val="auto"/>
        <w:rPr>
          <w:b/>
          <w:bCs/>
          <w:sz w:val="24"/>
          <w:szCs w:val="24"/>
        </w:rPr>
      </w:pPr>
      <w:r w:rsidRPr="001559FA">
        <w:rPr>
          <w:b/>
          <w:bCs/>
          <w:sz w:val="24"/>
          <w:szCs w:val="24"/>
        </w:rPr>
        <w:t xml:space="preserve">requiring respondents to submit proprietary trade secrets, or other confidential information unless the agency can demonstrate that it has instituted procedures to protect the information's confidentiality to the extent permitted by law. </w:t>
      </w:r>
    </w:p>
    <w:p w:rsidRPr="001559FA" w:rsidR="0047711D" w:rsidP="0047711D" w:rsidRDefault="0047711D" w14:paraId="10A3DFE5" w14:textId="77777777">
      <w:pPr>
        <w:pStyle w:val="List"/>
        <w:rPr>
          <w:rFonts w:ascii="Times New Roman" w:hAnsi="Times New Roman"/>
          <w:sz w:val="24"/>
        </w:rPr>
      </w:pPr>
    </w:p>
    <w:p w:rsidRPr="001559FA" w:rsidR="0047711D" w:rsidP="005C70E5" w:rsidRDefault="004F4B41" w14:paraId="79D10B56" w14:textId="77777777">
      <w:pPr>
        <w:overflowPunct/>
        <w:autoSpaceDE/>
        <w:autoSpaceDN/>
        <w:adjustRightInd/>
        <w:ind w:left="1080"/>
        <w:textAlignment w:val="auto"/>
        <w:rPr>
          <w:color w:val="000000"/>
          <w:sz w:val="24"/>
          <w:szCs w:val="24"/>
        </w:rPr>
      </w:pPr>
      <w:bookmarkStart w:name="_Hlk503969280" w:id="1"/>
      <w:r w:rsidRPr="001559FA">
        <w:rPr>
          <w:color w:val="000000"/>
          <w:sz w:val="24"/>
          <w:szCs w:val="24"/>
        </w:rPr>
        <w:t xml:space="preserve">Respondents are not required </w:t>
      </w:r>
      <w:bookmarkEnd w:id="1"/>
      <w:r w:rsidRPr="001559FA">
        <w:rPr>
          <w:color w:val="000000"/>
          <w:sz w:val="24"/>
          <w:szCs w:val="24"/>
        </w:rPr>
        <w:t>to submit proprietary trade secrets or other confidential information unless the agency can demonstrate that it has instituted procedures to protect the information’s confidentiality to the extent permitted by law.</w:t>
      </w:r>
    </w:p>
    <w:p w:rsidRPr="001559FA" w:rsidR="00E27829" w:rsidP="00E27829" w:rsidRDefault="00E27829" w14:paraId="63ACD674" w14:textId="77777777">
      <w:pPr>
        <w:pStyle w:val="List"/>
        <w:ind w:left="0" w:firstLine="0"/>
        <w:rPr>
          <w:rFonts w:ascii="Times New Roman" w:hAnsi="Times New Roman"/>
          <w:sz w:val="24"/>
        </w:rPr>
      </w:pPr>
    </w:p>
    <w:p w:rsidRPr="00EC31FB" w:rsidR="00826EBB" w:rsidP="005C509F" w:rsidRDefault="00826EBB" w14:paraId="78AC15DA" w14:textId="5A2FE937">
      <w:pPr>
        <w:pStyle w:val="List"/>
        <w:numPr>
          <w:ilvl w:val="0"/>
          <w:numId w:val="7"/>
        </w:numPr>
        <w:rPr>
          <w:rFonts w:ascii="Times New Roman" w:hAnsi="Times New Roman"/>
          <w:b/>
          <w:bCs/>
          <w:sz w:val="24"/>
        </w:rPr>
      </w:pPr>
      <w:r w:rsidRPr="00EC31FB">
        <w:rPr>
          <w:rFonts w:ascii="Times New Roman" w:hAnsi="Times New Roman"/>
          <w:b/>
          <w:bCs/>
          <w:sz w:val="24"/>
        </w:rPr>
        <w:lastRenderedPageBreak/>
        <w:t xml:space="preserve">If applicable, provide a copy and identify the date and page number of </w:t>
      </w:r>
      <w:r w:rsidRPr="00EC31FB" w:rsidR="00BB20D7">
        <w:rPr>
          <w:rFonts w:ascii="Times New Roman" w:hAnsi="Times New Roman"/>
          <w:b/>
          <w:bCs/>
          <w:sz w:val="24"/>
        </w:rPr>
        <w:t>publications</w:t>
      </w:r>
      <w:r w:rsidRPr="00EC31FB">
        <w:rPr>
          <w:rFonts w:ascii="Times New Roman" w:hAnsi="Times New Roman"/>
          <w:b/>
          <w:bCs/>
          <w:sz w:val="24"/>
        </w:rPr>
        <w:t xml:space="preserve"> in the Federal Register of the agency’s notice, required by 5 CFR 1320.8(d), soliciting comments on the information collection prior to submission to OMB.  Summarize public comments received in response to that notice and describe actio</w:t>
      </w:r>
      <w:r w:rsidRPr="00EC31FB" w:rsidR="001D6807">
        <w:rPr>
          <w:rFonts w:ascii="Times New Roman" w:hAnsi="Times New Roman"/>
          <w:b/>
          <w:bCs/>
          <w:sz w:val="24"/>
        </w:rPr>
        <w:t>n</w:t>
      </w:r>
      <w:r w:rsidRPr="00EC31FB">
        <w:rPr>
          <w:rFonts w:ascii="Times New Roman" w:hAnsi="Times New Roman"/>
          <w:b/>
          <w:bCs/>
          <w:sz w:val="24"/>
        </w:rPr>
        <w:t xml:space="preserve">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w:t>
      </w:r>
      <w:r w:rsidRPr="00EC31FB" w:rsidR="001D6807">
        <w:rPr>
          <w:rFonts w:ascii="Times New Roman" w:hAnsi="Times New Roman"/>
          <w:b/>
          <w:bCs/>
          <w:sz w:val="24"/>
        </w:rPr>
        <w:t xml:space="preserve">or those who must compile records should occur at least once every 3 years – even if the collection of information activity is the same as the prior periods.  There may be circumstances that may preclude consultation in a specific situation.  These circumstances should be explained. </w:t>
      </w:r>
    </w:p>
    <w:p w:rsidR="001D6807" w:rsidP="001D6807" w:rsidRDefault="001D6807" w14:paraId="7CCF33BE" w14:textId="77777777">
      <w:pPr>
        <w:pStyle w:val="List"/>
        <w:ind w:left="720" w:firstLine="0"/>
        <w:rPr>
          <w:rFonts w:ascii="Times New Roman" w:hAnsi="Times New Roman"/>
          <w:sz w:val="24"/>
        </w:rPr>
      </w:pPr>
    </w:p>
    <w:p w:rsidR="001D6807" w:rsidP="001D6807" w:rsidRDefault="001D6807" w14:paraId="3401016D" w14:textId="142D4830">
      <w:pPr>
        <w:tabs>
          <w:tab w:val="right" w:pos="4484"/>
          <w:tab w:val="right" w:pos="8291"/>
        </w:tabs>
        <w:overflowPunct/>
        <w:autoSpaceDE/>
        <w:autoSpaceDN/>
        <w:adjustRightInd/>
        <w:ind w:left="720"/>
        <w:textAlignment w:val="auto"/>
        <w:rPr>
          <w:sz w:val="24"/>
          <w:szCs w:val="24"/>
        </w:rPr>
      </w:pPr>
      <w:r w:rsidRPr="001559FA">
        <w:rPr>
          <w:sz w:val="24"/>
          <w:szCs w:val="24"/>
        </w:rPr>
        <w:t>This is a renewal of a currently approved collection.  HUD regularly receives comments and input on its information collection requirements from lending institutions, the home construction industry, insurance companies, appraisers, and service companies.  This is not inconsistent with the guidelines in 5 CFR 1320.6.  The agency notice soliciting comments on the information collection for OMB #2502-0</w:t>
      </w:r>
      <w:r w:rsidR="00AA3CE6">
        <w:rPr>
          <w:sz w:val="24"/>
          <w:szCs w:val="24"/>
        </w:rPr>
        <w:t>322</w:t>
      </w:r>
      <w:r w:rsidRPr="001559FA">
        <w:rPr>
          <w:sz w:val="24"/>
          <w:szCs w:val="24"/>
        </w:rPr>
        <w:t xml:space="preserve"> was published in the </w:t>
      </w:r>
      <w:r w:rsidRPr="001559FA">
        <w:rPr>
          <w:sz w:val="24"/>
          <w:szCs w:val="24"/>
          <w:u w:val="single"/>
        </w:rPr>
        <w:t>Federal Register</w:t>
      </w:r>
      <w:r w:rsidRPr="001559FA">
        <w:rPr>
          <w:sz w:val="24"/>
          <w:szCs w:val="24"/>
        </w:rPr>
        <w:t xml:space="preserve"> on </w:t>
      </w:r>
      <w:r w:rsidR="00425105">
        <w:rPr>
          <w:sz w:val="24"/>
          <w:szCs w:val="24"/>
        </w:rPr>
        <w:t>Friday, January 17</w:t>
      </w:r>
      <w:r w:rsidRPr="001559FA">
        <w:rPr>
          <w:sz w:val="24"/>
          <w:szCs w:val="24"/>
        </w:rPr>
        <w:t>,</w:t>
      </w:r>
      <w:r w:rsidR="00905DF5">
        <w:rPr>
          <w:sz w:val="24"/>
          <w:szCs w:val="24"/>
        </w:rPr>
        <w:t xml:space="preserve"> </w:t>
      </w:r>
      <w:r w:rsidR="00425105">
        <w:rPr>
          <w:sz w:val="24"/>
          <w:szCs w:val="24"/>
        </w:rPr>
        <w:t>2020</w:t>
      </w:r>
      <w:r w:rsidRPr="001559FA">
        <w:rPr>
          <w:sz w:val="24"/>
          <w:szCs w:val="24"/>
        </w:rPr>
        <w:t xml:space="preserve"> (Volume </w:t>
      </w:r>
      <w:r w:rsidR="00425105">
        <w:rPr>
          <w:sz w:val="24"/>
          <w:szCs w:val="24"/>
        </w:rPr>
        <w:t>85</w:t>
      </w:r>
      <w:r w:rsidRPr="001559FA">
        <w:rPr>
          <w:sz w:val="24"/>
          <w:szCs w:val="24"/>
        </w:rPr>
        <w:t xml:space="preserve">, Number </w:t>
      </w:r>
      <w:r w:rsidR="00425105">
        <w:rPr>
          <w:sz w:val="24"/>
          <w:szCs w:val="24"/>
        </w:rPr>
        <w:t>12</w:t>
      </w:r>
      <w:r w:rsidRPr="001559FA">
        <w:rPr>
          <w:sz w:val="24"/>
          <w:szCs w:val="24"/>
        </w:rPr>
        <w:t xml:space="preserve">, pages </w:t>
      </w:r>
      <w:r w:rsidR="00425105">
        <w:rPr>
          <w:sz w:val="24"/>
          <w:szCs w:val="24"/>
        </w:rPr>
        <w:t>3069</w:t>
      </w:r>
      <w:r w:rsidRPr="001559FA">
        <w:rPr>
          <w:sz w:val="24"/>
          <w:szCs w:val="24"/>
        </w:rPr>
        <w:t xml:space="preserve">).   Comments were </w:t>
      </w:r>
      <w:r w:rsidR="00AA3CE6">
        <w:rPr>
          <w:sz w:val="24"/>
          <w:szCs w:val="24"/>
        </w:rPr>
        <w:t xml:space="preserve">not </w:t>
      </w:r>
      <w:r w:rsidRPr="001559FA">
        <w:rPr>
          <w:sz w:val="24"/>
          <w:szCs w:val="24"/>
        </w:rPr>
        <w:t>received</w:t>
      </w:r>
      <w:r w:rsidR="00AA3CE6">
        <w:rPr>
          <w:sz w:val="24"/>
          <w:szCs w:val="24"/>
        </w:rPr>
        <w:t>.</w:t>
      </w:r>
    </w:p>
    <w:p w:rsidRPr="001559FA" w:rsidR="001D6807" w:rsidP="001D6807" w:rsidRDefault="001D6807" w14:paraId="25A080C0" w14:textId="77777777">
      <w:pPr>
        <w:tabs>
          <w:tab w:val="right" w:pos="4484"/>
          <w:tab w:val="right" w:pos="8291"/>
        </w:tabs>
        <w:overflowPunct/>
        <w:autoSpaceDE/>
        <w:autoSpaceDN/>
        <w:adjustRightInd/>
        <w:ind w:left="720"/>
        <w:textAlignment w:val="auto"/>
        <w:rPr>
          <w:color w:val="000000"/>
          <w:sz w:val="24"/>
          <w:szCs w:val="24"/>
        </w:rPr>
      </w:pPr>
    </w:p>
    <w:p w:rsidRPr="001559FA" w:rsidR="0022773F" w:rsidP="0022773F" w:rsidRDefault="0022773F" w14:paraId="2D38F9DF" w14:textId="77777777">
      <w:pPr>
        <w:pStyle w:val="List"/>
        <w:ind w:left="720" w:firstLine="0"/>
        <w:rPr>
          <w:rFonts w:ascii="Times New Roman" w:hAnsi="Times New Roman"/>
          <w:sz w:val="24"/>
        </w:rPr>
      </w:pPr>
    </w:p>
    <w:p w:rsidRPr="00E12503" w:rsidR="0047711D" w:rsidP="005C509F" w:rsidRDefault="0047711D" w14:paraId="7DD69A27" w14:textId="77777777">
      <w:pPr>
        <w:numPr>
          <w:ilvl w:val="0"/>
          <w:numId w:val="7"/>
        </w:numPr>
        <w:overflowPunct/>
        <w:autoSpaceDE/>
        <w:autoSpaceDN/>
        <w:adjustRightInd/>
        <w:spacing w:after="200" w:line="276" w:lineRule="auto"/>
        <w:textAlignment w:val="auto"/>
        <w:rPr>
          <w:b/>
          <w:bCs/>
          <w:sz w:val="24"/>
          <w:szCs w:val="24"/>
        </w:rPr>
      </w:pPr>
      <w:r w:rsidRPr="00E12503">
        <w:rPr>
          <w:b/>
          <w:bCs/>
          <w:sz w:val="24"/>
          <w:szCs w:val="24"/>
        </w:rPr>
        <w:t xml:space="preserve">Explain any decision to provide any payment or gift to respondents, other than renumeration of contractors or grantees. </w:t>
      </w:r>
    </w:p>
    <w:p w:rsidRPr="001559FA" w:rsidR="00901481" w:rsidP="00E12503" w:rsidRDefault="00E27829" w14:paraId="2CE4C893" w14:textId="77777777">
      <w:pPr>
        <w:pStyle w:val="List"/>
        <w:ind w:left="720" w:firstLine="0"/>
        <w:rPr>
          <w:rFonts w:ascii="Times New Roman" w:hAnsi="Times New Roman"/>
          <w:sz w:val="24"/>
        </w:rPr>
      </w:pPr>
      <w:r w:rsidRPr="001559FA">
        <w:rPr>
          <w:rFonts w:ascii="Times New Roman" w:hAnsi="Times New Roman"/>
          <w:sz w:val="24"/>
        </w:rPr>
        <w:t>There are no gifts or other types of payments made to respondents.</w:t>
      </w:r>
    </w:p>
    <w:p w:rsidRPr="001559FA" w:rsidR="0047711D" w:rsidP="0047711D" w:rsidRDefault="0047711D" w14:paraId="5FEF735C" w14:textId="77777777">
      <w:pPr>
        <w:pStyle w:val="List"/>
        <w:rPr>
          <w:rFonts w:ascii="Times New Roman" w:hAnsi="Times New Roman"/>
          <w:sz w:val="24"/>
        </w:rPr>
      </w:pPr>
    </w:p>
    <w:p w:rsidRPr="00992F27" w:rsidR="00901481" w:rsidP="005C509F" w:rsidRDefault="0047711D" w14:paraId="002986F6" w14:textId="77777777">
      <w:pPr>
        <w:numPr>
          <w:ilvl w:val="0"/>
          <w:numId w:val="7"/>
        </w:numPr>
        <w:overflowPunct/>
        <w:autoSpaceDE/>
        <w:autoSpaceDN/>
        <w:adjustRightInd/>
        <w:spacing w:after="200" w:line="276" w:lineRule="auto"/>
        <w:textAlignment w:val="auto"/>
        <w:rPr>
          <w:b/>
          <w:bCs/>
          <w:sz w:val="24"/>
          <w:szCs w:val="24"/>
        </w:rPr>
      </w:pPr>
      <w:r w:rsidRPr="00992F27">
        <w:rPr>
          <w:b/>
          <w:bCs/>
          <w:sz w:val="24"/>
          <w:szCs w:val="24"/>
        </w:rPr>
        <w:t xml:space="preserve">Describe any assurance of confidentiality provided to respondents and the basis for the assurance in statute, regulation, or agency policy. </w:t>
      </w:r>
    </w:p>
    <w:p w:rsidRPr="001559FA" w:rsidR="00901481" w:rsidP="00992F27" w:rsidRDefault="00901481" w14:paraId="542B4C7B" w14:textId="77777777">
      <w:pPr>
        <w:pStyle w:val="List"/>
        <w:ind w:left="720" w:firstLine="0"/>
        <w:rPr>
          <w:rFonts w:ascii="Times New Roman" w:hAnsi="Times New Roman"/>
          <w:sz w:val="24"/>
        </w:rPr>
      </w:pPr>
      <w:r w:rsidRPr="001559FA">
        <w:rPr>
          <w:rFonts w:ascii="Times New Roman" w:hAnsi="Times New Roman"/>
          <w:sz w:val="24"/>
        </w:rPr>
        <w:t>The Privacy Act of 1974 protects respondents who meet these information-reporting requirements.  There are no confidential issues involved.</w:t>
      </w:r>
    </w:p>
    <w:p w:rsidRPr="001559FA" w:rsidR="0047711D" w:rsidP="0047711D" w:rsidRDefault="0047711D" w14:paraId="1C21DE9B" w14:textId="77777777">
      <w:pPr>
        <w:pStyle w:val="List"/>
        <w:rPr>
          <w:rFonts w:ascii="Times New Roman" w:hAnsi="Times New Roman"/>
          <w:sz w:val="24"/>
        </w:rPr>
      </w:pPr>
    </w:p>
    <w:p w:rsidRPr="00992F27" w:rsidR="00901481" w:rsidP="005C509F" w:rsidRDefault="0047711D" w14:paraId="5A65B2F4" w14:textId="77777777">
      <w:pPr>
        <w:numPr>
          <w:ilvl w:val="0"/>
          <w:numId w:val="7"/>
        </w:numPr>
        <w:overflowPunct/>
        <w:autoSpaceDE/>
        <w:autoSpaceDN/>
        <w:adjustRightInd/>
        <w:spacing w:after="200" w:line="276" w:lineRule="auto"/>
        <w:textAlignment w:val="auto"/>
        <w:rPr>
          <w:b/>
          <w:bCs/>
          <w:sz w:val="24"/>
          <w:szCs w:val="24"/>
        </w:rPr>
      </w:pPr>
      <w:r w:rsidRPr="00992F27">
        <w:rPr>
          <w:b/>
          <w:bCs/>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E1F0C" w:rsidP="002E1F0C" w:rsidRDefault="00992F27" w14:paraId="0A8F21E5" w14:textId="77777777">
      <w:pPr>
        <w:pStyle w:val="List"/>
        <w:ind w:firstLine="0"/>
        <w:rPr>
          <w:rFonts w:ascii="Times New Roman" w:hAnsi="Times New Roman"/>
          <w:sz w:val="24"/>
        </w:rPr>
      </w:pPr>
      <w:r>
        <w:rPr>
          <w:rFonts w:ascii="Times New Roman" w:hAnsi="Times New Roman"/>
          <w:sz w:val="24"/>
        </w:rPr>
        <w:t xml:space="preserve">      </w:t>
      </w:r>
      <w:r w:rsidRPr="001559FA" w:rsidR="00901481">
        <w:rPr>
          <w:rFonts w:ascii="Times New Roman" w:hAnsi="Times New Roman"/>
          <w:sz w:val="24"/>
        </w:rPr>
        <w:t>This information collection does not contain any questions of a sensitive nature.</w:t>
      </w:r>
    </w:p>
    <w:p w:rsidRPr="002E1F0C" w:rsidR="002E1F0C" w:rsidP="002E1F0C" w:rsidRDefault="002E1F0C" w14:paraId="30140D35" w14:textId="77777777">
      <w:pPr>
        <w:pStyle w:val="List"/>
        <w:ind w:firstLine="0"/>
        <w:rPr>
          <w:rFonts w:ascii="Times New Roman" w:hAnsi="Times New Roman"/>
          <w:sz w:val="24"/>
        </w:rPr>
      </w:pPr>
    </w:p>
    <w:p w:rsidRPr="001559FA" w:rsidR="0047711D" w:rsidP="007741C6" w:rsidRDefault="002E1F0C" w14:paraId="0C4B7AE1" w14:textId="77777777">
      <w:pPr>
        <w:overflowPunct/>
        <w:autoSpaceDE/>
        <w:autoSpaceDN/>
        <w:adjustRightInd/>
        <w:spacing w:after="200" w:line="276" w:lineRule="auto"/>
        <w:ind w:left="360"/>
        <w:textAlignment w:val="auto"/>
        <w:rPr>
          <w:sz w:val="24"/>
          <w:szCs w:val="24"/>
        </w:rPr>
      </w:pPr>
      <w:r w:rsidRPr="0031552F">
        <w:rPr>
          <w:b/>
          <w:bCs/>
          <w:sz w:val="24"/>
          <w:szCs w:val="24"/>
        </w:rPr>
        <w:t>12</w:t>
      </w:r>
      <w:r w:rsidRPr="002E1F0C">
        <w:rPr>
          <w:b/>
          <w:bCs/>
          <w:sz w:val="24"/>
          <w:szCs w:val="24"/>
        </w:rPr>
        <w:t xml:space="preserve">. </w:t>
      </w:r>
      <w:r w:rsidRPr="002E1F0C" w:rsidR="0047711D">
        <w:rPr>
          <w:b/>
          <w:bCs/>
          <w:sz w:val="24"/>
          <w:szCs w:val="24"/>
        </w:rPr>
        <w:t>Provide estimates of the hour burden of the collection of information. The statement should:</w:t>
      </w:r>
      <w:r w:rsidRPr="001559FA" w:rsidR="0047711D">
        <w:rPr>
          <w:sz w:val="24"/>
          <w:szCs w:val="24"/>
        </w:rPr>
        <w:t xml:space="preserve"> </w:t>
      </w:r>
    </w:p>
    <w:p w:rsidRPr="00C36161" w:rsidR="0031552F" w:rsidP="005C509F" w:rsidRDefault="0031552F" w14:paraId="46B5CE4C" w14:textId="77777777">
      <w:pPr>
        <w:numPr>
          <w:ilvl w:val="0"/>
          <w:numId w:val="12"/>
        </w:numPr>
        <w:overflowPunct/>
        <w:autoSpaceDE/>
        <w:autoSpaceDN/>
        <w:adjustRightInd/>
        <w:spacing w:after="200" w:line="276" w:lineRule="auto"/>
        <w:textAlignment w:val="auto"/>
        <w:rPr>
          <w:b/>
          <w:bCs/>
          <w:sz w:val="24"/>
          <w:szCs w:val="24"/>
        </w:rPr>
      </w:pPr>
      <w:r w:rsidRPr="00C36161">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C36161">
        <w:rPr>
          <w:b/>
          <w:bCs/>
          <w:sz w:val="24"/>
          <w:szCs w:val="24"/>
        </w:rPr>
        <w:lastRenderedPageBreak/>
        <w:t xml:space="preserve">variance. Generally, estimates should not include burden hours for customary and usual business practices. </w:t>
      </w:r>
    </w:p>
    <w:p w:rsidRPr="00C36161" w:rsidR="0031552F" w:rsidP="005C509F" w:rsidRDefault="0031552F" w14:paraId="47B81B2A" w14:textId="77777777">
      <w:pPr>
        <w:numPr>
          <w:ilvl w:val="0"/>
          <w:numId w:val="12"/>
        </w:numPr>
        <w:overflowPunct/>
        <w:autoSpaceDE/>
        <w:autoSpaceDN/>
        <w:adjustRightInd/>
        <w:spacing w:after="200" w:line="276" w:lineRule="auto"/>
        <w:textAlignment w:val="auto"/>
        <w:rPr>
          <w:b/>
          <w:bCs/>
          <w:sz w:val="24"/>
          <w:szCs w:val="24"/>
        </w:rPr>
      </w:pPr>
      <w:r w:rsidRPr="00C36161">
        <w:rPr>
          <w:b/>
          <w:bCs/>
          <w:sz w:val="24"/>
          <w:szCs w:val="24"/>
        </w:rPr>
        <w:t xml:space="preserve">If this request for approval covers more than one form, provide separate hour burden estimates for each form and aggregate the hour burdens in Item 13 of OMB Form 83-I. </w:t>
      </w:r>
    </w:p>
    <w:p w:rsidRPr="0031552F" w:rsidR="0031552F" w:rsidP="005C509F" w:rsidRDefault="0031552F" w14:paraId="7CF70720" w14:textId="60AFB4A5">
      <w:pPr>
        <w:numPr>
          <w:ilvl w:val="0"/>
          <w:numId w:val="12"/>
        </w:numPr>
        <w:overflowPunct/>
        <w:autoSpaceDE/>
        <w:autoSpaceDN/>
        <w:adjustRightInd/>
        <w:spacing w:after="200" w:line="276" w:lineRule="auto"/>
        <w:textAlignment w:val="auto"/>
        <w:rPr>
          <w:sz w:val="24"/>
          <w:szCs w:val="24"/>
        </w:rPr>
      </w:pPr>
      <w:r w:rsidRPr="00C36161">
        <w:rPr>
          <w:b/>
          <w:bCs/>
          <w:sz w:val="24"/>
          <w:szCs w:val="24"/>
        </w:rPr>
        <w:t>Provide estimates of annualized cost to respondents for the hour burdens for collections of information, identifying and using appropriate wage rate categories. The cost of out or paying outside parties for information collection activities should not be included here. Instead, this cost should be included in Item 13</w:t>
      </w:r>
      <w:r w:rsidRPr="0031552F">
        <w:rPr>
          <w:sz w:val="24"/>
          <w:szCs w:val="24"/>
        </w:rPr>
        <w:t xml:space="preserve">. </w:t>
      </w:r>
    </w:p>
    <w:p w:rsidRPr="001559FA" w:rsidR="00901481" w:rsidP="00901481" w:rsidRDefault="00901481" w14:paraId="2BD953E8" w14:textId="77777777">
      <w:pPr>
        <w:pStyle w:val="List"/>
        <w:rPr>
          <w:rFonts w:ascii="Times New Roman" w:hAnsi="Times New Roman"/>
          <w:sz w:val="24"/>
        </w:rPr>
      </w:pPr>
    </w:p>
    <w:p w:rsidRPr="00FB32CB" w:rsidR="00901481" w:rsidP="00C36161" w:rsidRDefault="00901481" w14:paraId="4B74B9BB" w14:textId="77777777">
      <w:pPr>
        <w:pStyle w:val="List"/>
        <w:ind w:firstLine="0"/>
        <w:rPr>
          <w:rFonts w:ascii="Times New Roman" w:hAnsi="Times New Roman"/>
          <w:sz w:val="24"/>
        </w:rPr>
      </w:pPr>
      <w:r w:rsidRPr="00FB32CB">
        <w:rPr>
          <w:rFonts w:ascii="Times New Roman" w:hAnsi="Times New Roman"/>
          <w:sz w:val="24"/>
        </w:rPr>
        <w:t>Estimate of public burden.</w:t>
      </w:r>
    </w:p>
    <w:p w:rsidRPr="001559FA" w:rsidR="00901481" w:rsidP="00901481" w:rsidRDefault="00901481" w14:paraId="58061B97" w14:textId="77777777"/>
    <w:tbl>
      <w:tblPr>
        <w:tblW w:w="1032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47"/>
        <w:gridCol w:w="1307"/>
        <w:gridCol w:w="1117"/>
        <w:gridCol w:w="1346"/>
        <w:gridCol w:w="1025"/>
        <w:gridCol w:w="1225"/>
        <w:gridCol w:w="914"/>
        <w:gridCol w:w="2141"/>
      </w:tblGrid>
      <w:tr w:rsidRPr="00993E17" w:rsidR="005B696A" w:rsidTr="0011156D" w14:paraId="77F6D9F6" w14:textId="77777777">
        <w:tc>
          <w:tcPr>
            <w:tcW w:w="1247" w:type="dxa"/>
            <w:vAlign w:val="center"/>
          </w:tcPr>
          <w:p w:rsidRPr="001559FA" w:rsidR="00901481" w:rsidP="00165BD9" w:rsidRDefault="00901481" w14:paraId="7D5D55D4" w14:textId="77777777">
            <w:pPr>
              <w:jc w:val="center"/>
              <w:rPr>
                <w:bCs/>
                <w:sz w:val="22"/>
              </w:rPr>
            </w:pPr>
            <w:r w:rsidRPr="001559FA">
              <w:rPr>
                <w:bCs/>
                <w:sz w:val="22"/>
              </w:rPr>
              <w:t>Information Collection</w:t>
            </w:r>
          </w:p>
        </w:tc>
        <w:tc>
          <w:tcPr>
            <w:tcW w:w="1307" w:type="dxa"/>
            <w:vAlign w:val="center"/>
          </w:tcPr>
          <w:p w:rsidRPr="001559FA" w:rsidR="00901481" w:rsidP="00165BD9" w:rsidRDefault="00901481" w14:paraId="00B2AE64" w14:textId="77777777">
            <w:pPr>
              <w:jc w:val="center"/>
              <w:rPr>
                <w:bCs/>
                <w:sz w:val="22"/>
              </w:rPr>
            </w:pPr>
            <w:r w:rsidRPr="001559FA">
              <w:rPr>
                <w:bCs/>
                <w:sz w:val="22"/>
              </w:rPr>
              <w:t>Number of Respondents</w:t>
            </w:r>
          </w:p>
        </w:tc>
        <w:tc>
          <w:tcPr>
            <w:tcW w:w="1117" w:type="dxa"/>
            <w:vAlign w:val="center"/>
          </w:tcPr>
          <w:p w:rsidRPr="001559FA" w:rsidR="00901481" w:rsidP="00165BD9" w:rsidRDefault="00901481" w14:paraId="61D8D5EB" w14:textId="77777777">
            <w:pPr>
              <w:jc w:val="center"/>
              <w:rPr>
                <w:bCs/>
                <w:sz w:val="22"/>
              </w:rPr>
            </w:pPr>
            <w:r w:rsidRPr="001559FA">
              <w:rPr>
                <w:bCs/>
                <w:sz w:val="22"/>
              </w:rPr>
              <w:t>Frequency of Responses</w:t>
            </w:r>
          </w:p>
        </w:tc>
        <w:tc>
          <w:tcPr>
            <w:tcW w:w="1346" w:type="dxa"/>
            <w:vAlign w:val="center"/>
          </w:tcPr>
          <w:p w:rsidRPr="00993E17" w:rsidR="00901481" w:rsidP="00165BD9" w:rsidRDefault="00901481" w14:paraId="56937CED" w14:textId="77777777">
            <w:pPr>
              <w:jc w:val="center"/>
              <w:rPr>
                <w:bCs/>
                <w:sz w:val="24"/>
                <w:szCs w:val="24"/>
              </w:rPr>
            </w:pPr>
            <w:r w:rsidRPr="00993E17">
              <w:rPr>
                <w:bCs/>
                <w:sz w:val="24"/>
                <w:szCs w:val="24"/>
              </w:rPr>
              <w:t>Total Annual Responses</w:t>
            </w:r>
          </w:p>
        </w:tc>
        <w:tc>
          <w:tcPr>
            <w:tcW w:w="1025" w:type="dxa"/>
            <w:vAlign w:val="center"/>
          </w:tcPr>
          <w:p w:rsidRPr="00993E17" w:rsidR="00901481" w:rsidP="00165BD9" w:rsidRDefault="00901481" w14:paraId="732C6C42" w14:textId="77777777">
            <w:pPr>
              <w:jc w:val="center"/>
              <w:rPr>
                <w:bCs/>
                <w:sz w:val="24"/>
                <w:szCs w:val="24"/>
              </w:rPr>
            </w:pPr>
            <w:r w:rsidRPr="00993E17">
              <w:rPr>
                <w:bCs/>
                <w:sz w:val="24"/>
                <w:szCs w:val="24"/>
              </w:rPr>
              <w:t>Hours Per Response</w:t>
            </w:r>
          </w:p>
        </w:tc>
        <w:tc>
          <w:tcPr>
            <w:tcW w:w="1225" w:type="dxa"/>
            <w:vAlign w:val="center"/>
          </w:tcPr>
          <w:p w:rsidRPr="00993E17" w:rsidR="00901481" w:rsidP="00165BD9" w:rsidRDefault="00901481" w14:paraId="0A4209DB" w14:textId="77777777">
            <w:pPr>
              <w:jc w:val="center"/>
              <w:rPr>
                <w:bCs/>
                <w:sz w:val="24"/>
                <w:szCs w:val="24"/>
              </w:rPr>
            </w:pPr>
            <w:r w:rsidRPr="00993E17">
              <w:rPr>
                <w:bCs/>
                <w:sz w:val="24"/>
                <w:szCs w:val="24"/>
              </w:rPr>
              <w:t>Total Annual Hours</w:t>
            </w:r>
          </w:p>
        </w:tc>
        <w:tc>
          <w:tcPr>
            <w:tcW w:w="914" w:type="dxa"/>
            <w:vAlign w:val="center"/>
          </w:tcPr>
          <w:p w:rsidRPr="00993E17" w:rsidR="00901481" w:rsidP="00165BD9" w:rsidRDefault="00901481" w14:paraId="2280BD00" w14:textId="77777777">
            <w:pPr>
              <w:pStyle w:val="Heading2"/>
              <w:rPr>
                <w:rFonts w:ascii="Times New Roman" w:hAnsi="Times New Roman"/>
                <w:b w:val="0"/>
                <w:color w:val="auto"/>
                <w:sz w:val="24"/>
                <w:szCs w:val="24"/>
              </w:rPr>
            </w:pPr>
            <w:r w:rsidRPr="00993E17">
              <w:rPr>
                <w:rFonts w:ascii="Times New Roman" w:hAnsi="Times New Roman"/>
                <w:b w:val="0"/>
                <w:color w:val="auto"/>
                <w:sz w:val="24"/>
                <w:szCs w:val="24"/>
              </w:rPr>
              <w:t>Hourly Cos</w:t>
            </w:r>
            <w:r w:rsidRPr="00993E17" w:rsidR="00165BD9">
              <w:rPr>
                <w:rFonts w:ascii="Times New Roman" w:hAnsi="Times New Roman"/>
                <w:b w:val="0"/>
                <w:color w:val="auto"/>
                <w:sz w:val="24"/>
                <w:szCs w:val="24"/>
              </w:rPr>
              <w:t xml:space="preserve">t     </w:t>
            </w:r>
          </w:p>
        </w:tc>
        <w:tc>
          <w:tcPr>
            <w:tcW w:w="2141" w:type="dxa"/>
            <w:vAlign w:val="center"/>
          </w:tcPr>
          <w:p w:rsidRPr="00993E17" w:rsidR="00901481" w:rsidP="00165BD9" w:rsidRDefault="00901481" w14:paraId="3FDF6372" w14:textId="77777777">
            <w:pPr>
              <w:jc w:val="center"/>
              <w:rPr>
                <w:bCs/>
                <w:sz w:val="24"/>
                <w:szCs w:val="24"/>
              </w:rPr>
            </w:pPr>
            <w:r w:rsidRPr="00993E17">
              <w:rPr>
                <w:bCs/>
                <w:sz w:val="24"/>
                <w:szCs w:val="24"/>
              </w:rPr>
              <w:t>Total Annual Cost</w:t>
            </w:r>
          </w:p>
        </w:tc>
      </w:tr>
      <w:tr w:rsidRPr="00993E17" w:rsidR="005B696A" w:rsidTr="0011156D" w14:paraId="063EB64C" w14:textId="77777777">
        <w:tc>
          <w:tcPr>
            <w:tcW w:w="1247" w:type="dxa"/>
          </w:tcPr>
          <w:p w:rsidRPr="001559FA" w:rsidR="00901481" w:rsidP="00165BD9" w:rsidRDefault="00901481" w14:paraId="5414B27E" w14:textId="77777777">
            <w:pPr>
              <w:jc w:val="center"/>
              <w:rPr>
                <w:sz w:val="22"/>
              </w:rPr>
            </w:pPr>
            <w:r w:rsidRPr="001559FA">
              <w:rPr>
                <w:sz w:val="22"/>
              </w:rPr>
              <w:t>Annual Notification</w:t>
            </w:r>
          </w:p>
        </w:tc>
        <w:tc>
          <w:tcPr>
            <w:tcW w:w="1307" w:type="dxa"/>
            <w:vAlign w:val="center"/>
          </w:tcPr>
          <w:p w:rsidRPr="001559FA" w:rsidR="00901481" w:rsidP="00165BD9" w:rsidRDefault="00F142EA" w14:paraId="39107CFE" w14:textId="77777777">
            <w:pPr>
              <w:jc w:val="center"/>
              <w:rPr>
                <w:sz w:val="22"/>
              </w:rPr>
            </w:pPr>
            <w:r w:rsidRPr="001559FA">
              <w:rPr>
                <w:sz w:val="22"/>
              </w:rPr>
              <w:t>2</w:t>
            </w:r>
            <w:r w:rsidR="00857111">
              <w:rPr>
                <w:sz w:val="22"/>
              </w:rPr>
              <w:t>,440</w:t>
            </w:r>
          </w:p>
        </w:tc>
        <w:tc>
          <w:tcPr>
            <w:tcW w:w="1117" w:type="dxa"/>
            <w:vAlign w:val="center"/>
          </w:tcPr>
          <w:p w:rsidRPr="001559FA" w:rsidR="00901481" w:rsidP="00165BD9" w:rsidRDefault="009D511D" w14:paraId="4897E15B" w14:textId="7F1B7962">
            <w:pPr>
              <w:jc w:val="center"/>
              <w:rPr>
                <w:sz w:val="22"/>
              </w:rPr>
            </w:pPr>
            <w:r>
              <w:rPr>
                <w:sz w:val="22"/>
              </w:rPr>
              <w:t>44.49</w:t>
            </w:r>
          </w:p>
        </w:tc>
        <w:tc>
          <w:tcPr>
            <w:tcW w:w="1346" w:type="dxa"/>
            <w:vAlign w:val="center"/>
          </w:tcPr>
          <w:p w:rsidRPr="00993E17" w:rsidR="00901481" w:rsidP="00FB7FCE" w:rsidRDefault="00993E17" w14:paraId="05AD4C09" w14:textId="0554B84D">
            <w:pPr>
              <w:jc w:val="center"/>
              <w:rPr>
                <w:sz w:val="24"/>
                <w:szCs w:val="24"/>
              </w:rPr>
            </w:pPr>
            <w:r w:rsidRPr="00993E17">
              <w:rPr>
                <w:sz w:val="24"/>
                <w:szCs w:val="24"/>
              </w:rPr>
              <w:t>108,55</w:t>
            </w:r>
            <w:r w:rsidR="008B5129">
              <w:rPr>
                <w:sz w:val="24"/>
                <w:szCs w:val="24"/>
              </w:rPr>
              <w:t>5.60</w:t>
            </w:r>
          </w:p>
        </w:tc>
        <w:tc>
          <w:tcPr>
            <w:tcW w:w="1025" w:type="dxa"/>
            <w:vAlign w:val="center"/>
          </w:tcPr>
          <w:p w:rsidRPr="00993E17" w:rsidR="00901481" w:rsidP="00165BD9" w:rsidRDefault="00901481" w14:paraId="644A9EEE" w14:textId="77777777">
            <w:pPr>
              <w:jc w:val="center"/>
              <w:rPr>
                <w:sz w:val="24"/>
                <w:szCs w:val="24"/>
              </w:rPr>
            </w:pPr>
            <w:r w:rsidRPr="00993E17">
              <w:rPr>
                <w:sz w:val="24"/>
                <w:szCs w:val="24"/>
              </w:rPr>
              <w:t>.05</w:t>
            </w:r>
          </w:p>
        </w:tc>
        <w:tc>
          <w:tcPr>
            <w:tcW w:w="1225" w:type="dxa"/>
            <w:vAlign w:val="center"/>
          </w:tcPr>
          <w:p w:rsidRPr="00993E17" w:rsidR="00901481" w:rsidP="00FB7FCE" w:rsidRDefault="00CF610A" w14:paraId="1DBFEA01" w14:textId="33255E2D">
            <w:pPr>
              <w:jc w:val="center"/>
              <w:rPr>
                <w:sz w:val="24"/>
                <w:szCs w:val="24"/>
              </w:rPr>
            </w:pPr>
            <w:r>
              <w:rPr>
                <w:sz w:val="24"/>
                <w:szCs w:val="24"/>
              </w:rPr>
              <w:t>5</w:t>
            </w:r>
            <w:r w:rsidR="008B5129">
              <w:rPr>
                <w:sz w:val="24"/>
                <w:szCs w:val="24"/>
              </w:rPr>
              <w:t>,427.78</w:t>
            </w:r>
          </w:p>
        </w:tc>
        <w:tc>
          <w:tcPr>
            <w:tcW w:w="914" w:type="dxa"/>
            <w:vAlign w:val="center"/>
          </w:tcPr>
          <w:p w:rsidRPr="00993E17" w:rsidR="00901481" w:rsidP="00F142EA" w:rsidRDefault="001948DA" w14:paraId="6680DE29" w14:textId="77777777">
            <w:pPr>
              <w:jc w:val="center"/>
              <w:rPr>
                <w:sz w:val="24"/>
                <w:szCs w:val="24"/>
              </w:rPr>
            </w:pPr>
            <w:r w:rsidRPr="00993E17">
              <w:rPr>
                <w:sz w:val="24"/>
                <w:szCs w:val="24"/>
              </w:rPr>
              <w:t>$</w:t>
            </w:r>
            <w:r w:rsidRPr="00993E17" w:rsidR="001349B9">
              <w:rPr>
                <w:sz w:val="24"/>
                <w:szCs w:val="24"/>
              </w:rPr>
              <w:t>4</w:t>
            </w:r>
            <w:r w:rsidR="00CF610A">
              <w:rPr>
                <w:sz w:val="24"/>
                <w:szCs w:val="24"/>
              </w:rPr>
              <w:t>0</w:t>
            </w:r>
            <w:r w:rsidRPr="00993E17">
              <w:rPr>
                <w:sz w:val="24"/>
                <w:szCs w:val="24"/>
              </w:rPr>
              <w:t>.</w:t>
            </w:r>
            <w:r w:rsidRPr="00993E17" w:rsidR="004575D5">
              <w:rPr>
                <w:sz w:val="24"/>
                <w:szCs w:val="24"/>
              </w:rPr>
              <w:t>0</w:t>
            </w:r>
            <w:r w:rsidRPr="00993E17" w:rsidR="00F142EA">
              <w:rPr>
                <w:sz w:val="24"/>
                <w:szCs w:val="24"/>
              </w:rPr>
              <w:t>0</w:t>
            </w:r>
          </w:p>
        </w:tc>
        <w:tc>
          <w:tcPr>
            <w:tcW w:w="2141" w:type="dxa"/>
            <w:vAlign w:val="center"/>
          </w:tcPr>
          <w:p w:rsidRPr="00993E17" w:rsidR="00901481" w:rsidP="00F142EA" w:rsidRDefault="00D33BD2" w14:paraId="78D7B4C4" w14:textId="0DCAB69D">
            <w:pPr>
              <w:jc w:val="center"/>
              <w:rPr>
                <w:sz w:val="24"/>
                <w:szCs w:val="24"/>
              </w:rPr>
            </w:pPr>
            <w:bookmarkStart w:name="_GoBack" w:id="2"/>
            <w:r w:rsidRPr="00993E17">
              <w:rPr>
                <w:sz w:val="24"/>
                <w:szCs w:val="24"/>
              </w:rPr>
              <w:t>$</w:t>
            </w:r>
            <w:r w:rsidR="005B696A">
              <w:rPr>
                <w:sz w:val="24"/>
                <w:szCs w:val="24"/>
              </w:rPr>
              <w:t>2</w:t>
            </w:r>
            <w:r w:rsidR="006901D1">
              <w:rPr>
                <w:sz w:val="24"/>
                <w:szCs w:val="24"/>
              </w:rPr>
              <w:t>17</w:t>
            </w:r>
            <w:r w:rsidRPr="00993E17" w:rsidR="00F142EA">
              <w:rPr>
                <w:sz w:val="24"/>
                <w:szCs w:val="24"/>
              </w:rPr>
              <w:t>,</w:t>
            </w:r>
            <w:r w:rsidR="005B696A">
              <w:rPr>
                <w:sz w:val="24"/>
                <w:szCs w:val="24"/>
              </w:rPr>
              <w:t>11</w:t>
            </w:r>
            <w:r w:rsidR="008B23C9">
              <w:rPr>
                <w:sz w:val="24"/>
                <w:szCs w:val="24"/>
              </w:rPr>
              <w:t>1.</w:t>
            </w:r>
            <w:r w:rsidR="006901D1">
              <w:rPr>
                <w:sz w:val="24"/>
                <w:szCs w:val="24"/>
              </w:rPr>
              <w:t>2</w:t>
            </w:r>
            <w:r w:rsidR="0011156D">
              <w:rPr>
                <w:sz w:val="24"/>
                <w:szCs w:val="24"/>
              </w:rPr>
              <w:t>0</w:t>
            </w:r>
            <w:bookmarkEnd w:id="2"/>
          </w:p>
        </w:tc>
      </w:tr>
    </w:tbl>
    <w:p w:rsidRPr="003A1EF4" w:rsidR="00BF3717" w:rsidP="00BF3717" w:rsidRDefault="00BF3717" w14:paraId="2EE43516" w14:textId="77777777">
      <w:pPr>
        <w:ind w:left="720"/>
        <w:rPr>
          <w:bCs/>
          <w:sz w:val="18"/>
        </w:rPr>
      </w:pPr>
    </w:p>
    <w:p w:rsidRPr="00993E17" w:rsidR="00B47114" w:rsidP="005C509F" w:rsidRDefault="00B47114" w14:paraId="03D55EAB" w14:textId="77777777">
      <w:pPr>
        <w:numPr>
          <w:ilvl w:val="0"/>
          <w:numId w:val="8"/>
        </w:numPr>
        <w:rPr>
          <w:bCs/>
          <w:sz w:val="24"/>
          <w:szCs w:val="24"/>
        </w:rPr>
      </w:pPr>
      <w:r w:rsidRPr="003A1EF4">
        <w:rPr>
          <w:sz w:val="24"/>
          <w:szCs w:val="24"/>
        </w:rPr>
        <w:t xml:space="preserve">The total number of respondents is </w:t>
      </w:r>
      <w:r w:rsidR="00F142EA">
        <w:rPr>
          <w:sz w:val="24"/>
          <w:szCs w:val="24"/>
        </w:rPr>
        <w:t>2,</w:t>
      </w:r>
      <w:r w:rsidR="001E2E20">
        <w:rPr>
          <w:sz w:val="24"/>
          <w:szCs w:val="24"/>
        </w:rPr>
        <w:t>440</w:t>
      </w:r>
      <w:r w:rsidRPr="003A1EF4">
        <w:rPr>
          <w:sz w:val="24"/>
          <w:szCs w:val="24"/>
        </w:rPr>
        <w:t xml:space="preserve">.  This figure represents the total number of lenders approved to originate and submit loans for FHA insurance, as per </w:t>
      </w:r>
      <w:r w:rsidR="00F142EA">
        <w:rPr>
          <w:sz w:val="24"/>
          <w:szCs w:val="24"/>
        </w:rPr>
        <w:t xml:space="preserve">Office of Lender Activities and Program Compliance, Lender Approval and </w:t>
      </w:r>
      <w:r w:rsidRPr="00993E17" w:rsidR="00F142EA">
        <w:rPr>
          <w:sz w:val="24"/>
          <w:szCs w:val="24"/>
        </w:rPr>
        <w:t>Recertification Division</w:t>
      </w:r>
      <w:r w:rsidRPr="00993E17">
        <w:rPr>
          <w:sz w:val="24"/>
          <w:szCs w:val="24"/>
        </w:rPr>
        <w:t xml:space="preserve">. </w:t>
      </w:r>
    </w:p>
    <w:p w:rsidRPr="003A1EF4" w:rsidR="00822CE7" w:rsidP="005C509F" w:rsidRDefault="00B47114" w14:paraId="2B9D7926" w14:textId="4EC33CB0">
      <w:pPr>
        <w:numPr>
          <w:ilvl w:val="0"/>
          <w:numId w:val="8"/>
        </w:numPr>
        <w:rPr>
          <w:sz w:val="24"/>
          <w:szCs w:val="24"/>
        </w:rPr>
      </w:pPr>
      <w:r w:rsidRPr="00993E17">
        <w:rPr>
          <w:sz w:val="24"/>
          <w:szCs w:val="24"/>
        </w:rPr>
        <w:t xml:space="preserve">The total number of annual responses is </w:t>
      </w:r>
      <w:r w:rsidRPr="00993E17" w:rsidR="00993E17">
        <w:rPr>
          <w:sz w:val="24"/>
          <w:szCs w:val="24"/>
        </w:rPr>
        <w:t>108,556</w:t>
      </w:r>
      <w:r w:rsidRPr="00993E17">
        <w:rPr>
          <w:sz w:val="24"/>
          <w:szCs w:val="24"/>
        </w:rPr>
        <w:t>.  This</w:t>
      </w:r>
      <w:r w:rsidRPr="003A1EF4">
        <w:rPr>
          <w:sz w:val="24"/>
          <w:szCs w:val="24"/>
        </w:rPr>
        <w:t xml:space="preserve"> number represents the total number of </w:t>
      </w:r>
      <w:r w:rsidRPr="003A1EF4" w:rsidR="005E2770">
        <w:rPr>
          <w:sz w:val="24"/>
          <w:szCs w:val="24"/>
        </w:rPr>
        <w:t xml:space="preserve">active </w:t>
      </w:r>
      <w:r w:rsidRPr="003A1EF4">
        <w:rPr>
          <w:sz w:val="24"/>
          <w:szCs w:val="24"/>
        </w:rPr>
        <w:t>ARMs per records in SF Data Warehouse.</w:t>
      </w:r>
      <w:r w:rsidR="007A6A07">
        <w:rPr>
          <w:sz w:val="24"/>
          <w:szCs w:val="24"/>
        </w:rPr>
        <w:t xml:space="preserve">  This figure includes recently originated ARMs. </w:t>
      </w:r>
    </w:p>
    <w:p w:rsidR="00651776" w:rsidP="005C509F" w:rsidRDefault="00B47114" w14:paraId="533D7507" w14:textId="77777777">
      <w:pPr>
        <w:numPr>
          <w:ilvl w:val="0"/>
          <w:numId w:val="8"/>
        </w:numPr>
        <w:rPr>
          <w:sz w:val="24"/>
          <w:szCs w:val="24"/>
        </w:rPr>
      </w:pPr>
      <w:r w:rsidRPr="0045508C">
        <w:rPr>
          <w:sz w:val="24"/>
          <w:szCs w:val="24"/>
        </w:rPr>
        <w:t>The hourly cost of $</w:t>
      </w:r>
      <w:r w:rsidRPr="0045508C" w:rsidR="00167A27">
        <w:rPr>
          <w:sz w:val="24"/>
          <w:szCs w:val="24"/>
        </w:rPr>
        <w:t>4</w:t>
      </w:r>
      <w:r w:rsidR="008E44AA">
        <w:rPr>
          <w:sz w:val="24"/>
          <w:szCs w:val="24"/>
        </w:rPr>
        <w:t>0</w:t>
      </w:r>
      <w:r w:rsidRPr="0045508C" w:rsidR="001349B9">
        <w:rPr>
          <w:sz w:val="24"/>
          <w:szCs w:val="24"/>
        </w:rPr>
        <w:t>.</w:t>
      </w:r>
      <w:r w:rsidRPr="0045508C" w:rsidR="00167A27">
        <w:rPr>
          <w:sz w:val="24"/>
          <w:szCs w:val="24"/>
        </w:rPr>
        <w:t>00</w:t>
      </w:r>
      <w:r w:rsidRPr="0045508C" w:rsidR="001349B9">
        <w:rPr>
          <w:sz w:val="24"/>
          <w:szCs w:val="24"/>
        </w:rPr>
        <w:t xml:space="preserve"> is</w:t>
      </w:r>
      <w:r w:rsidRPr="0045508C" w:rsidR="00901481">
        <w:rPr>
          <w:sz w:val="24"/>
          <w:szCs w:val="24"/>
        </w:rPr>
        <w:t xml:space="preserve"> based on a</w:t>
      </w:r>
      <w:r w:rsidRPr="0045508C" w:rsidR="009B5CA1">
        <w:rPr>
          <w:sz w:val="24"/>
          <w:szCs w:val="24"/>
        </w:rPr>
        <w:t xml:space="preserve"> national</w:t>
      </w:r>
      <w:r w:rsidRPr="0045508C" w:rsidR="00901481">
        <w:rPr>
          <w:sz w:val="24"/>
          <w:szCs w:val="24"/>
        </w:rPr>
        <w:t xml:space="preserve"> estimate </w:t>
      </w:r>
      <w:r w:rsidRPr="0045508C" w:rsidR="009B5CA1">
        <w:rPr>
          <w:sz w:val="24"/>
          <w:szCs w:val="24"/>
        </w:rPr>
        <w:t>for the mean hourly wage of a Credit Analyst</w:t>
      </w:r>
      <w:r w:rsidR="008E44AA">
        <w:rPr>
          <w:sz w:val="24"/>
          <w:szCs w:val="24"/>
        </w:rPr>
        <w:t xml:space="preserve"> (rounded up to the nearest dollar)</w:t>
      </w:r>
      <w:r w:rsidRPr="0045508C" w:rsidR="009B5CA1">
        <w:rPr>
          <w:sz w:val="24"/>
          <w:szCs w:val="24"/>
        </w:rPr>
        <w:t xml:space="preserve">, reported by the Department of Labor, and includes </w:t>
      </w:r>
      <w:r w:rsidRPr="0045508C" w:rsidR="00901481">
        <w:rPr>
          <w:sz w:val="24"/>
          <w:szCs w:val="24"/>
        </w:rPr>
        <w:t>the cost of overhead, staff support, recordkeeping, etc.</w:t>
      </w:r>
      <w:r w:rsidRPr="0045508C" w:rsidR="001349B9">
        <w:rPr>
          <w:sz w:val="24"/>
          <w:szCs w:val="24"/>
        </w:rPr>
        <w:t xml:space="preserve"> </w:t>
      </w:r>
      <w:r w:rsidRPr="0045508C" w:rsidR="0045508C">
        <w:rPr>
          <w:sz w:val="24"/>
          <w:szCs w:val="24"/>
        </w:rPr>
        <w:t xml:space="preserve"> See occupation 13-2041 Credit Analyst at: </w:t>
      </w:r>
      <w:hyperlink w:history="1" w:anchor="13-0000" r:id="rId10">
        <w:r w:rsidRPr="0045508C" w:rsidR="009B5CA1">
          <w:rPr>
            <w:rStyle w:val="Hyperlink"/>
            <w:sz w:val="24"/>
            <w:szCs w:val="24"/>
          </w:rPr>
          <w:t>https://www.bls.gov/oes/current/oes_nat.htm#13-0000</w:t>
        </w:r>
      </w:hyperlink>
      <w:r w:rsidRPr="0045508C" w:rsidR="009B5CA1">
        <w:rPr>
          <w:sz w:val="24"/>
          <w:szCs w:val="24"/>
        </w:rPr>
        <w:t xml:space="preserve"> </w:t>
      </w:r>
    </w:p>
    <w:p w:rsidRPr="0045508C" w:rsidR="00CB29E1" w:rsidP="00CB29E1" w:rsidRDefault="00CB29E1" w14:paraId="77BF7FA8" w14:textId="77777777">
      <w:pPr>
        <w:ind w:left="720"/>
        <w:rPr>
          <w:sz w:val="24"/>
          <w:szCs w:val="24"/>
        </w:rPr>
      </w:pPr>
    </w:p>
    <w:p w:rsidRPr="000F2A24" w:rsidR="00CB29E1" w:rsidP="005C509F" w:rsidRDefault="00651776" w14:paraId="08914260" w14:textId="77777777">
      <w:pPr>
        <w:numPr>
          <w:ilvl w:val="0"/>
          <w:numId w:val="14"/>
        </w:numPr>
        <w:overflowPunct/>
        <w:autoSpaceDE/>
        <w:autoSpaceDN/>
        <w:adjustRightInd/>
        <w:spacing w:after="200" w:line="276" w:lineRule="auto"/>
        <w:textAlignment w:val="auto"/>
        <w:rPr>
          <w:b/>
          <w:bCs/>
          <w:sz w:val="24"/>
          <w:szCs w:val="24"/>
        </w:rPr>
      </w:pPr>
      <w:r w:rsidRPr="000F2A24">
        <w:rPr>
          <w:b/>
          <w:bCs/>
          <w:sz w:val="24"/>
          <w:szCs w:val="24"/>
        </w:rPr>
        <w:t>Provide an estimate for the total annual cost burden to respondents or recordkeepers resulting from the collection of information. (Do not include the cost of any hour burden shown in Items 12 and 14).</w:t>
      </w:r>
    </w:p>
    <w:p w:rsidR="00CB29E1" w:rsidP="00F5059B" w:rsidRDefault="00CB29E1" w14:paraId="47AC178B" w14:textId="6E5FD3B2">
      <w:pPr>
        <w:pStyle w:val="BodyTextIndent2"/>
        <w:spacing w:after="0" w:line="240" w:lineRule="auto"/>
        <w:ind w:left="1008"/>
        <w:rPr>
          <w:color w:val="000000"/>
          <w:sz w:val="24"/>
        </w:rPr>
      </w:pPr>
      <w:r w:rsidRPr="00CB29E1">
        <w:rPr>
          <w:color w:val="000000"/>
          <w:sz w:val="24"/>
        </w:rPr>
        <w:t>There are no additional costs to respondents or recordkeepers</w:t>
      </w:r>
      <w:r w:rsidR="00AF2D16">
        <w:rPr>
          <w:color w:val="000000"/>
          <w:sz w:val="24"/>
        </w:rPr>
        <w:t xml:space="preserve"> resulting from the collection of information</w:t>
      </w:r>
      <w:r w:rsidRPr="00CB29E1">
        <w:rPr>
          <w:color w:val="000000"/>
          <w:sz w:val="24"/>
        </w:rPr>
        <w:t xml:space="preserve">.  Costs associated with total capital and start-up component (annualized over its expected useful life) and total operation and maintenance and purchase of services component are </w:t>
      </w:r>
      <w:r w:rsidR="000844B1">
        <w:rPr>
          <w:color w:val="000000"/>
          <w:sz w:val="24"/>
        </w:rPr>
        <w:t xml:space="preserve">customary and </w:t>
      </w:r>
      <w:r w:rsidRPr="00CB29E1">
        <w:rPr>
          <w:color w:val="000000"/>
          <w:sz w:val="24"/>
        </w:rPr>
        <w:t xml:space="preserve">a standard part of the </w:t>
      </w:r>
      <w:r w:rsidR="00277822">
        <w:rPr>
          <w:color w:val="000000"/>
          <w:sz w:val="24"/>
        </w:rPr>
        <w:t xml:space="preserve">lender’s </w:t>
      </w:r>
      <w:r w:rsidRPr="00CB29E1">
        <w:rPr>
          <w:color w:val="000000"/>
          <w:sz w:val="24"/>
        </w:rPr>
        <w:t>business.</w:t>
      </w:r>
    </w:p>
    <w:p w:rsidRPr="00CB29E1" w:rsidR="00C15EFB" w:rsidP="00C15EFB" w:rsidRDefault="00C15EFB" w14:paraId="301011F4" w14:textId="77777777">
      <w:pPr>
        <w:pStyle w:val="BodyTextIndent2"/>
        <w:spacing w:after="0" w:line="240" w:lineRule="auto"/>
        <w:ind w:left="1008"/>
        <w:rPr>
          <w:color w:val="000000"/>
          <w:sz w:val="24"/>
        </w:rPr>
      </w:pPr>
    </w:p>
    <w:p w:rsidRPr="000E4B1D" w:rsidR="00CB29E1" w:rsidP="005C509F" w:rsidRDefault="00CB29E1" w14:paraId="738D8B0A" w14:textId="77777777">
      <w:pPr>
        <w:numPr>
          <w:ilvl w:val="0"/>
          <w:numId w:val="13"/>
        </w:numPr>
        <w:overflowPunct/>
        <w:autoSpaceDE/>
        <w:autoSpaceDN/>
        <w:adjustRightInd/>
        <w:textAlignment w:val="auto"/>
        <w:rPr>
          <w:b/>
          <w:bCs/>
          <w:sz w:val="24"/>
          <w:szCs w:val="24"/>
        </w:rPr>
      </w:pPr>
      <w:r w:rsidRPr="000E4B1D">
        <w:rPr>
          <w:b/>
          <w:bCs/>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0E4B1D">
        <w:rPr>
          <w:b/>
          <w:bCs/>
          <w:sz w:val="24"/>
          <w:szCs w:val="24"/>
        </w:rPr>
        <w:t>take into account</w:t>
      </w:r>
      <w:proofErr w:type="gramEnd"/>
      <w:r w:rsidRPr="000E4B1D">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CB29E1" w:rsidR="00CB29E1" w:rsidP="00CB29E1" w:rsidRDefault="00CB29E1" w14:paraId="181BF0D4" w14:textId="77777777">
      <w:pPr>
        <w:overflowPunct/>
        <w:autoSpaceDE/>
        <w:autoSpaceDN/>
        <w:adjustRightInd/>
        <w:ind w:left="432"/>
        <w:textAlignment w:val="auto"/>
        <w:rPr>
          <w:sz w:val="24"/>
          <w:szCs w:val="24"/>
        </w:rPr>
      </w:pPr>
    </w:p>
    <w:p w:rsidRPr="00CB29E1" w:rsidR="00CB29E1" w:rsidP="000E4B1D" w:rsidRDefault="00CB29E1" w14:paraId="02F2A19A" w14:textId="2C57D48B">
      <w:pPr>
        <w:overflowPunct/>
        <w:autoSpaceDE/>
        <w:autoSpaceDN/>
        <w:adjustRightInd/>
        <w:ind w:left="1008"/>
        <w:textAlignment w:val="auto"/>
        <w:rPr>
          <w:sz w:val="24"/>
          <w:szCs w:val="24"/>
        </w:rPr>
      </w:pPr>
      <w:r w:rsidRPr="00CB29E1">
        <w:rPr>
          <w:sz w:val="24"/>
          <w:szCs w:val="24"/>
        </w:rPr>
        <w:lastRenderedPageBreak/>
        <w:t xml:space="preserve">For a </w:t>
      </w:r>
      <w:r w:rsidR="005C7088">
        <w:rPr>
          <w:sz w:val="24"/>
          <w:szCs w:val="24"/>
        </w:rPr>
        <w:t xml:space="preserve">lender’s disclosure of </w:t>
      </w:r>
      <w:r w:rsidR="001156A2">
        <w:rPr>
          <w:sz w:val="24"/>
          <w:szCs w:val="24"/>
        </w:rPr>
        <w:t>ARM rates</w:t>
      </w:r>
      <w:r w:rsidRPr="00CB29E1">
        <w:rPr>
          <w:sz w:val="24"/>
          <w:szCs w:val="24"/>
        </w:rPr>
        <w:t xml:space="preserve">, there are no costs for (a) a total capital and start-up cost component (annualized over its expected useful life) and (b) a total operation and maintenance and purchase of services component.  Costs for these items are a </w:t>
      </w:r>
      <w:r w:rsidR="002E6D0F">
        <w:rPr>
          <w:sz w:val="24"/>
          <w:szCs w:val="24"/>
        </w:rPr>
        <w:t xml:space="preserve">customary </w:t>
      </w:r>
      <w:r w:rsidRPr="00CB29E1">
        <w:rPr>
          <w:sz w:val="24"/>
          <w:szCs w:val="24"/>
        </w:rPr>
        <w:t xml:space="preserve">standard part of the </w:t>
      </w:r>
      <w:r w:rsidR="00461106">
        <w:rPr>
          <w:sz w:val="24"/>
          <w:szCs w:val="24"/>
        </w:rPr>
        <w:t>lender’s</w:t>
      </w:r>
      <w:r w:rsidRPr="00CB29E1">
        <w:rPr>
          <w:sz w:val="24"/>
          <w:szCs w:val="24"/>
        </w:rPr>
        <w:t xml:space="preserve"> business. </w:t>
      </w:r>
    </w:p>
    <w:p w:rsidRPr="000E4B1D" w:rsidR="00CB29E1" w:rsidP="00CB29E1" w:rsidRDefault="00CB29E1" w14:paraId="312E4758" w14:textId="77777777">
      <w:pPr>
        <w:overflowPunct/>
        <w:autoSpaceDE/>
        <w:autoSpaceDN/>
        <w:adjustRightInd/>
        <w:ind w:left="432"/>
        <w:textAlignment w:val="auto"/>
        <w:rPr>
          <w:b/>
          <w:bCs/>
          <w:sz w:val="24"/>
          <w:szCs w:val="24"/>
        </w:rPr>
      </w:pPr>
    </w:p>
    <w:p w:rsidRPr="000E4B1D" w:rsidR="00CB29E1" w:rsidP="005C509F" w:rsidRDefault="00CB29E1" w14:paraId="5773CFDD" w14:textId="77777777">
      <w:pPr>
        <w:numPr>
          <w:ilvl w:val="0"/>
          <w:numId w:val="13"/>
        </w:numPr>
        <w:overflowPunct/>
        <w:autoSpaceDE/>
        <w:autoSpaceDN/>
        <w:adjustRightInd/>
        <w:textAlignment w:val="auto"/>
        <w:rPr>
          <w:b/>
          <w:bCs/>
          <w:sz w:val="24"/>
          <w:szCs w:val="24"/>
        </w:rPr>
      </w:pPr>
      <w:r w:rsidRPr="000E4B1D">
        <w:rPr>
          <w:b/>
          <w:bCs/>
          <w:sz w:val="24"/>
          <w:szCs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CB29E1" w:rsidR="00CB29E1" w:rsidP="00CB29E1" w:rsidRDefault="00CB29E1" w14:paraId="10FA3A6A" w14:textId="77777777">
      <w:pPr>
        <w:overflowPunct/>
        <w:autoSpaceDE/>
        <w:autoSpaceDN/>
        <w:adjustRightInd/>
        <w:ind w:left="432"/>
        <w:textAlignment w:val="auto"/>
        <w:rPr>
          <w:sz w:val="24"/>
          <w:szCs w:val="24"/>
        </w:rPr>
      </w:pPr>
    </w:p>
    <w:p w:rsidRPr="00CB29E1" w:rsidR="00CB29E1" w:rsidP="000E4B1D" w:rsidRDefault="00CB29E1" w14:paraId="6A9FA1E9" w14:textId="4081ACF1">
      <w:pPr>
        <w:overflowPunct/>
        <w:autoSpaceDE/>
        <w:autoSpaceDN/>
        <w:adjustRightInd/>
        <w:ind w:left="1008"/>
        <w:textAlignment w:val="auto"/>
        <w:rPr>
          <w:sz w:val="24"/>
          <w:szCs w:val="24"/>
        </w:rPr>
      </w:pPr>
      <w:r w:rsidRPr="00CB29E1">
        <w:rPr>
          <w:sz w:val="24"/>
          <w:szCs w:val="24"/>
        </w:rPr>
        <w:t xml:space="preserve">Since there are no additional costs for a </w:t>
      </w:r>
      <w:r w:rsidR="001156A2">
        <w:rPr>
          <w:sz w:val="24"/>
          <w:szCs w:val="24"/>
        </w:rPr>
        <w:t>lender’s disclosure</w:t>
      </w:r>
      <w:r w:rsidR="00ED0C6A">
        <w:rPr>
          <w:sz w:val="24"/>
          <w:szCs w:val="24"/>
        </w:rPr>
        <w:t xml:space="preserve"> of ARM rates</w:t>
      </w:r>
      <w:r w:rsidRPr="00CB29E1">
        <w:rPr>
          <w:sz w:val="24"/>
          <w:szCs w:val="24"/>
        </w:rPr>
        <w:t xml:space="preserve">, there are no reportable cost estimates that may be expected to vary widely. </w:t>
      </w:r>
    </w:p>
    <w:p w:rsidRPr="00CB29E1" w:rsidR="00CB29E1" w:rsidP="00CB29E1" w:rsidRDefault="00CB29E1" w14:paraId="09136AB3" w14:textId="77777777">
      <w:pPr>
        <w:overflowPunct/>
        <w:autoSpaceDE/>
        <w:autoSpaceDN/>
        <w:adjustRightInd/>
        <w:ind w:left="432"/>
        <w:textAlignment w:val="auto"/>
        <w:rPr>
          <w:sz w:val="24"/>
          <w:szCs w:val="24"/>
        </w:rPr>
      </w:pPr>
    </w:p>
    <w:p w:rsidRPr="000E4B1D" w:rsidR="00CB29E1" w:rsidP="005C509F" w:rsidRDefault="00CB29E1" w14:paraId="48F0FC97" w14:textId="77777777">
      <w:pPr>
        <w:numPr>
          <w:ilvl w:val="0"/>
          <w:numId w:val="13"/>
        </w:numPr>
        <w:overflowPunct/>
        <w:autoSpaceDE/>
        <w:autoSpaceDN/>
        <w:adjustRightInd/>
        <w:textAlignment w:val="auto"/>
        <w:rPr>
          <w:b/>
          <w:bCs/>
          <w:sz w:val="24"/>
          <w:szCs w:val="24"/>
        </w:rPr>
      </w:pPr>
      <w:r w:rsidRPr="000E4B1D">
        <w:rPr>
          <w:b/>
          <w:bCs/>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CB29E1" w:rsidR="00CB29E1" w:rsidP="00CB29E1" w:rsidRDefault="00CB29E1" w14:paraId="60170319" w14:textId="77777777">
      <w:pPr>
        <w:overflowPunct/>
        <w:autoSpaceDE/>
        <w:autoSpaceDN/>
        <w:adjustRightInd/>
        <w:ind w:left="432"/>
        <w:textAlignment w:val="auto"/>
        <w:rPr>
          <w:sz w:val="24"/>
          <w:szCs w:val="24"/>
        </w:rPr>
      </w:pPr>
    </w:p>
    <w:p w:rsidRPr="00CB29E1" w:rsidR="00CB29E1" w:rsidP="005C509F" w:rsidRDefault="00CB29E1" w14:paraId="6DDEB28B" w14:textId="74AF4844">
      <w:pPr>
        <w:numPr>
          <w:ilvl w:val="0"/>
          <w:numId w:val="13"/>
        </w:numPr>
        <w:overflowPunct/>
        <w:autoSpaceDE/>
        <w:autoSpaceDN/>
        <w:adjustRightInd/>
        <w:textAlignment w:val="auto"/>
        <w:rPr>
          <w:sz w:val="24"/>
          <w:szCs w:val="24"/>
        </w:rPr>
      </w:pPr>
      <w:r w:rsidRPr="00CB29E1">
        <w:rPr>
          <w:sz w:val="24"/>
          <w:szCs w:val="24"/>
        </w:rPr>
        <w:t xml:space="preserve">Since there are no additional costs for a </w:t>
      </w:r>
      <w:r w:rsidR="00B82DC5">
        <w:rPr>
          <w:sz w:val="24"/>
          <w:szCs w:val="24"/>
        </w:rPr>
        <w:t>lender’s disclosure of ARM rates</w:t>
      </w:r>
      <w:r w:rsidRPr="00CB29E1">
        <w:rPr>
          <w:sz w:val="24"/>
          <w:szCs w:val="24"/>
        </w:rPr>
        <w:t xml:space="preserve">, there are no reportable estimates that include purchases or equipment or services or a portion thereof.  Costs for these items are a customary and usual business practice.  </w:t>
      </w:r>
    </w:p>
    <w:p w:rsidRPr="0056068C" w:rsidR="007D798D" w:rsidP="0056068C" w:rsidRDefault="007D798D" w14:paraId="13745DE2" w14:textId="77777777">
      <w:pPr>
        <w:overflowPunct/>
        <w:autoSpaceDE/>
        <w:autoSpaceDN/>
        <w:adjustRightInd/>
        <w:textAlignment w:val="auto"/>
        <w:rPr>
          <w:sz w:val="24"/>
          <w:szCs w:val="24"/>
        </w:rPr>
      </w:pPr>
    </w:p>
    <w:p w:rsidR="00901481" w:rsidP="007D798D" w:rsidRDefault="00901481" w14:paraId="7242636B" w14:textId="77777777">
      <w:pPr>
        <w:pStyle w:val="List2"/>
        <w:contextualSpacing w:val="0"/>
      </w:pPr>
      <w:r w:rsidRPr="003A1EF4">
        <w:t xml:space="preserve"> </w:t>
      </w:r>
    </w:p>
    <w:p w:rsidRPr="0056068C" w:rsidR="007D798D" w:rsidP="005C509F" w:rsidRDefault="007D798D" w14:paraId="77ECE22D" w14:textId="77777777">
      <w:pPr>
        <w:numPr>
          <w:ilvl w:val="0"/>
          <w:numId w:val="15"/>
        </w:numPr>
        <w:overflowPunct/>
        <w:autoSpaceDE/>
        <w:autoSpaceDN/>
        <w:adjustRightInd/>
        <w:textAlignment w:val="auto"/>
        <w:rPr>
          <w:b/>
          <w:bCs/>
          <w:sz w:val="24"/>
          <w:szCs w:val="24"/>
        </w:rPr>
      </w:pPr>
      <w:r w:rsidRPr="0056068C">
        <w:rPr>
          <w:b/>
          <w:bCs/>
          <w:sz w:val="24"/>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7D798D" w:rsidP="007D798D" w:rsidRDefault="007D798D" w14:paraId="55ADBE2D" w14:textId="77777777">
      <w:pPr>
        <w:pStyle w:val="List2"/>
        <w:contextualSpacing w:val="0"/>
      </w:pPr>
    </w:p>
    <w:p w:rsidR="00B71F3F" w:rsidP="0056068C" w:rsidRDefault="00901481" w14:paraId="0565987F" w14:textId="77777777">
      <w:pPr>
        <w:pStyle w:val="List"/>
        <w:ind w:left="720" w:firstLine="0"/>
        <w:rPr>
          <w:rFonts w:ascii="Times New Roman" w:hAnsi="Times New Roman"/>
          <w:sz w:val="24"/>
          <w:szCs w:val="24"/>
        </w:rPr>
      </w:pPr>
      <w:r w:rsidRPr="003A1EF4">
        <w:rPr>
          <w:rFonts w:ascii="Times New Roman" w:hAnsi="Times New Roman"/>
          <w:sz w:val="24"/>
        </w:rPr>
        <w:t xml:space="preserve">The annualized cost to the Federal government is estimated at </w:t>
      </w:r>
      <w:r w:rsidRPr="00B71F3F">
        <w:rPr>
          <w:rFonts w:ascii="Times New Roman" w:hAnsi="Times New Roman"/>
          <w:sz w:val="24"/>
        </w:rPr>
        <w:t xml:space="preserve">10% of the total burden hours or </w:t>
      </w:r>
      <w:r w:rsidRPr="00B71F3F" w:rsidR="00C23189">
        <w:rPr>
          <w:rFonts w:ascii="Times New Roman" w:hAnsi="Times New Roman"/>
          <w:sz w:val="24"/>
        </w:rPr>
        <w:t>543</w:t>
      </w:r>
      <w:r w:rsidRPr="00B71F3F">
        <w:rPr>
          <w:rFonts w:ascii="Times New Roman" w:hAnsi="Times New Roman"/>
          <w:sz w:val="24"/>
        </w:rPr>
        <w:t xml:space="preserve"> hours</w:t>
      </w:r>
      <w:r w:rsidRPr="00B71F3F" w:rsidR="006629AE">
        <w:rPr>
          <w:rFonts w:ascii="Times New Roman" w:hAnsi="Times New Roman"/>
          <w:sz w:val="24"/>
        </w:rPr>
        <w:t xml:space="preserve"> (rounded up)</w:t>
      </w:r>
      <w:r w:rsidRPr="00B71F3F">
        <w:rPr>
          <w:rFonts w:ascii="Times New Roman" w:hAnsi="Times New Roman"/>
          <w:sz w:val="24"/>
        </w:rPr>
        <w:t>.  The Federal burden includes compliance reviews related to the loans.  The annualized cost to the</w:t>
      </w:r>
      <w:r w:rsidRPr="00B71F3F" w:rsidR="006E4715">
        <w:rPr>
          <w:rFonts w:ascii="Times New Roman" w:hAnsi="Times New Roman"/>
          <w:sz w:val="24"/>
        </w:rPr>
        <w:t xml:space="preserve"> Federal government assumes a $</w:t>
      </w:r>
      <w:r w:rsidRPr="00B71F3F" w:rsidR="00F142EA">
        <w:rPr>
          <w:rFonts w:ascii="Times New Roman" w:hAnsi="Times New Roman"/>
          <w:sz w:val="24"/>
        </w:rPr>
        <w:t>4</w:t>
      </w:r>
      <w:r w:rsidRPr="00B71F3F" w:rsidR="00C23189">
        <w:rPr>
          <w:rFonts w:ascii="Times New Roman" w:hAnsi="Times New Roman"/>
          <w:sz w:val="24"/>
        </w:rPr>
        <w:t>0</w:t>
      </w:r>
      <w:r w:rsidRPr="00B71F3F" w:rsidR="00F142EA">
        <w:rPr>
          <w:rFonts w:ascii="Times New Roman" w:hAnsi="Times New Roman"/>
          <w:sz w:val="24"/>
        </w:rPr>
        <w:t>.0</w:t>
      </w:r>
      <w:r w:rsidRPr="00B71F3F" w:rsidR="00C23189">
        <w:rPr>
          <w:rFonts w:ascii="Times New Roman" w:hAnsi="Times New Roman"/>
          <w:sz w:val="24"/>
        </w:rPr>
        <w:t>0</w:t>
      </w:r>
      <w:r w:rsidRPr="00B71F3F">
        <w:rPr>
          <w:rFonts w:ascii="Times New Roman" w:hAnsi="Times New Roman"/>
          <w:sz w:val="24"/>
        </w:rPr>
        <w:t xml:space="preserve"> per hour estimate based on a </w:t>
      </w:r>
      <w:r w:rsidRPr="00B71F3F" w:rsidR="00B71F3F">
        <w:rPr>
          <w:rFonts w:ascii="Times New Roman" w:hAnsi="Times New Roman"/>
          <w:sz w:val="24"/>
          <w:szCs w:val="24"/>
        </w:rPr>
        <w:t>national estimate for the mean hourly wage of a Credit Analyst (rounded up to the nearest dollar), reported by the Department of Labor</w:t>
      </w:r>
      <w:r w:rsidR="00B71F3F">
        <w:rPr>
          <w:rFonts w:ascii="Times New Roman" w:hAnsi="Times New Roman"/>
          <w:sz w:val="24"/>
          <w:szCs w:val="24"/>
        </w:rPr>
        <w:t xml:space="preserve">.  </w:t>
      </w:r>
    </w:p>
    <w:p w:rsidR="00B71F3F" w:rsidP="0056068C" w:rsidRDefault="00B71F3F" w14:paraId="2597F2F1" w14:textId="77777777">
      <w:pPr>
        <w:pStyle w:val="List"/>
        <w:ind w:left="720" w:firstLine="0"/>
        <w:rPr>
          <w:rFonts w:ascii="Times New Roman" w:hAnsi="Times New Roman"/>
          <w:sz w:val="24"/>
          <w:szCs w:val="24"/>
        </w:rPr>
      </w:pPr>
    </w:p>
    <w:p w:rsidRPr="003A1EF4" w:rsidR="00D65FA9" w:rsidP="0056068C" w:rsidRDefault="00F142EA" w14:paraId="514FC0DF" w14:textId="39AA758B">
      <w:pPr>
        <w:pStyle w:val="List"/>
        <w:ind w:left="720" w:firstLine="0"/>
        <w:rPr>
          <w:rFonts w:ascii="Times New Roman" w:hAnsi="Times New Roman"/>
          <w:sz w:val="24"/>
        </w:rPr>
      </w:pPr>
      <w:r>
        <w:rPr>
          <w:rFonts w:ascii="Times New Roman" w:hAnsi="Times New Roman"/>
          <w:b/>
          <w:sz w:val="24"/>
        </w:rPr>
        <w:t xml:space="preserve">Total Burden Hours: </w:t>
      </w:r>
      <w:r w:rsidR="00C23189">
        <w:rPr>
          <w:rFonts w:ascii="Times New Roman" w:hAnsi="Times New Roman"/>
          <w:b/>
          <w:sz w:val="24"/>
        </w:rPr>
        <w:t>5</w:t>
      </w:r>
      <w:r w:rsidR="008B5129">
        <w:rPr>
          <w:rFonts w:ascii="Times New Roman" w:hAnsi="Times New Roman"/>
          <w:b/>
          <w:sz w:val="24"/>
        </w:rPr>
        <w:t>,427</w:t>
      </w:r>
      <w:r>
        <w:rPr>
          <w:rFonts w:ascii="Times New Roman" w:hAnsi="Times New Roman"/>
          <w:b/>
          <w:sz w:val="24"/>
        </w:rPr>
        <w:t>; x 10 percent</w:t>
      </w:r>
      <w:r w:rsidR="0011156D">
        <w:rPr>
          <w:rFonts w:ascii="Times New Roman" w:hAnsi="Times New Roman"/>
          <w:b/>
          <w:sz w:val="24"/>
        </w:rPr>
        <w:t>= 5</w:t>
      </w:r>
      <w:r w:rsidR="008B23C9">
        <w:rPr>
          <w:rFonts w:ascii="Times New Roman" w:hAnsi="Times New Roman"/>
          <w:b/>
          <w:sz w:val="24"/>
        </w:rPr>
        <w:t>42.70</w:t>
      </w:r>
      <w:r w:rsidR="008B5129">
        <w:rPr>
          <w:rFonts w:ascii="Times New Roman" w:hAnsi="Times New Roman"/>
          <w:b/>
          <w:sz w:val="24"/>
        </w:rPr>
        <w:t xml:space="preserve"> </w:t>
      </w:r>
      <w:r w:rsidR="0011156D">
        <w:rPr>
          <w:rFonts w:ascii="Times New Roman" w:hAnsi="Times New Roman"/>
          <w:b/>
          <w:sz w:val="24"/>
        </w:rPr>
        <w:t>x</w:t>
      </w:r>
      <w:r>
        <w:rPr>
          <w:rFonts w:ascii="Times New Roman" w:hAnsi="Times New Roman"/>
          <w:b/>
          <w:sz w:val="24"/>
        </w:rPr>
        <w:t xml:space="preserve"> </w:t>
      </w:r>
      <w:r w:rsidR="0011156D">
        <w:rPr>
          <w:rFonts w:ascii="Times New Roman" w:hAnsi="Times New Roman"/>
          <w:b/>
          <w:sz w:val="24"/>
        </w:rPr>
        <w:t>(</w:t>
      </w:r>
      <w:r>
        <w:rPr>
          <w:rFonts w:ascii="Times New Roman" w:hAnsi="Times New Roman"/>
          <w:b/>
          <w:sz w:val="24"/>
        </w:rPr>
        <w:t>$4</w:t>
      </w:r>
      <w:r w:rsidR="006629AE">
        <w:rPr>
          <w:rFonts w:ascii="Times New Roman" w:hAnsi="Times New Roman"/>
          <w:b/>
          <w:sz w:val="24"/>
        </w:rPr>
        <w:t>0</w:t>
      </w:r>
      <w:r>
        <w:rPr>
          <w:rFonts w:ascii="Times New Roman" w:hAnsi="Times New Roman"/>
          <w:b/>
          <w:sz w:val="24"/>
        </w:rPr>
        <w:t>.0</w:t>
      </w:r>
      <w:r w:rsidR="006629AE">
        <w:rPr>
          <w:rFonts w:ascii="Times New Roman" w:hAnsi="Times New Roman"/>
          <w:b/>
          <w:sz w:val="24"/>
        </w:rPr>
        <w:t>0</w:t>
      </w:r>
      <w:r w:rsidR="0011156D">
        <w:rPr>
          <w:rFonts w:ascii="Times New Roman" w:hAnsi="Times New Roman"/>
          <w:b/>
          <w:sz w:val="24"/>
        </w:rPr>
        <w:t>)</w:t>
      </w:r>
      <w:r>
        <w:rPr>
          <w:rFonts w:ascii="Times New Roman" w:hAnsi="Times New Roman"/>
          <w:b/>
          <w:sz w:val="24"/>
        </w:rPr>
        <w:t xml:space="preserve"> = Annualized Cost of $</w:t>
      </w:r>
      <w:r w:rsidR="006629AE">
        <w:rPr>
          <w:rFonts w:ascii="Times New Roman" w:hAnsi="Times New Roman"/>
          <w:b/>
          <w:sz w:val="24"/>
        </w:rPr>
        <w:t>2</w:t>
      </w:r>
      <w:r w:rsidR="008B5129">
        <w:rPr>
          <w:rFonts w:ascii="Times New Roman" w:hAnsi="Times New Roman"/>
          <w:b/>
          <w:sz w:val="24"/>
        </w:rPr>
        <w:t>1,7</w:t>
      </w:r>
      <w:r w:rsidR="008B23C9">
        <w:rPr>
          <w:rFonts w:ascii="Times New Roman" w:hAnsi="Times New Roman"/>
          <w:b/>
          <w:sz w:val="24"/>
        </w:rPr>
        <w:t>08</w:t>
      </w:r>
      <w:r>
        <w:rPr>
          <w:rFonts w:ascii="Times New Roman" w:hAnsi="Times New Roman"/>
          <w:b/>
          <w:sz w:val="24"/>
        </w:rPr>
        <w:t>.</w:t>
      </w:r>
    </w:p>
    <w:p w:rsidR="00D65FA9" w:rsidP="00D65FA9" w:rsidRDefault="00D65FA9" w14:paraId="7BA70320" w14:textId="77777777">
      <w:pPr>
        <w:pStyle w:val="ListParagraph"/>
        <w:rPr>
          <w:sz w:val="24"/>
        </w:rPr>
      </w:pPr>
    </w:p>
    <w:p w:rsidRPr="00A3735F" w:rsidR="007D798D" w:rsidP="005C509F" w:rsidRDefault="007D798D" w14:paraId="512FD3D7" w14:textId="77777777">
      <w:pPr>
        <w:numPr>
          <w:ilvl w:val="0"/>
          <w:numId w:val="15"/>
        </w:numPr>
        <w:overflowPunct/>
        <w:autoSpaceDE/>
        <w:autoSpaceDN/>
        <w:adjustRightInd/>
        <w:spacing w:after="200" w:line="276" w:lineRule="auto"/>
        <w:textAlignment w:val="auto"/>
        <w:rPr>
          <w:b/>
          <w:bCs/>
          <w:sz w:val="24"/>
          <w:szCs w:val="24"/>
        </w:rPr>
      </w:pPr>
      <w:r w:rsidRPr="00A3735F">
        <w:rPr>
          <w:b/>
          <w:bCs/>
          <w:sz w:val="24"/>
          <w:szCs w:val="24"/>
        </w:rPr>
        <w:t xml:space="preserve">Explain the reasons for any program changes or adjustments reported in Items 13 or 14 of the OMB Form 83-I. </w:t>
      </w:r>
    </w:p>
    <w:p w:rsidR="00781CFE" w:rsidP="00A3735F" w:rsidRDefault="00901481" w14:paraId="32DECAA1" w14:textId="77777777">
      <w:pPr>
        <w:pStyle w:val="List"/>
        <w:ind w:left="720" w:firstLine="0"/>
        <w:rPr>
          <w:rFonts w:ascii="Times New Roman" w:hAnsi="Times New Roman"/>
          <w:sz w:val="24"/>
          <w:szCs w:val="24"/>
        </w:rPr>
      </w:pPr>
      <w:r w:rsidRPr="003A1EF4">
        <w:rPr>
          <w:rFonts w:ascii="Times New Roman" w:hAnsi="Times New Roman"/>
          <w:sz w:val="24"/>
          <w:szCs w:val="24"/>
        </w:rPr>
        <w:t>This is an extension of a currently approved burden package.  The</w:t>
      </w:r>
      <w:r w:rsidR="00781CFE">
        <w:rPr>
          <w:rFonts w:ascii="Times New Roman" w:hAnsi="Times New Roman"/>
          <w:sz w:val="24"/>
          <w:szCs w:val="24"/>
        </w:rPr>
        <w:t>re have not been any program changes.</w:t>
      </w:r>
    </w:p>
    <w:p w:rsidR="00781CFE" w:rsidP="00A3735F" w:rsidRDefault="00781CFE" w14:paraId="28104F11" w14:textId="77777777">
      <w:pPr>
        <w:pStyle w:val="List"/>
        <w:ind w:left="720" w:firstLine="0"/>
        <w:rPr>
          <w:rFonts w:ascii="Times New Roman" w:hAnsi="Times New Roman"/>
          <w:sz w:val="24"/>
          <w:szCs w:val="24"/>
        </w:rPr>
      </w:pPr>
    </w:p>
    <w:p w:rsidRPr="003A1EF4" w:rsidR="00781CFE" w:rsidP="00781CFE" w:rsidRDefault="00781CFE" w14:paraId="14B60B15" w14:textId="3DAA2E0D">
      <w:pPr>
        <w:pStyle w:val="List"/>
        <w:ind w:left="720" w:firstLine="0"/>
        <w:rPr>
          <w:rFonts w:ascii="Times New Roman" w:hAnsi="Times New Roman"/>
          <w:sz w:val="24"/>
        </w:rPr>
      </w:pPr>
      <w:r>
        <w:rPr>
          <w:rFonts w:ascii="Times New Roman" w:hAnsi="Times New Roman"/>
          <w:sz w:val="24"/>
          <w:szCs w:val="24"/>
        </w:rPr>
        <w:t>T</w:t>
      </w:r>
      <w:r w:rsidRPr="003A1EF4">
        <w:rPr>
          <w:rFonts w:ascii="Times New Roman" w:hAnsi="Times New Roman"/>
          <w:sz w:val="24"/>
          <w:szCs w:val="24"/>
        </w:rPr>
        <w:t xml:space="preserve">here are currently </w:t>
      </w:r>
      <w:r>
        <w:rPr>
          <w:rFonts w:ascii="Times New Roman" w:hAnsi="Times New Roman"/>
          <w:sz w:val="24"/>
          <w:szCs w:val="24"/>
        </w:rPr>
        <w:t>108,556</w:t>
      </w:r>
      <w:r w:rsidRPr="003A1EF4">
        <w:rPr>
          <w:rFonts w:ascii="Times New Roman" w:hAnsi="Times New Roman"/>
          <w:sz w:val="24"/>
          <w:szCs w:val="24"/>
        </w:rPr>
        <w:t xml:space="preserve"> active ARM loans, </w:t>
      </w:r>
      <w:r>
        <w:rPr>
          <w:rFonts w:ascii="Times New Roman" w:hAnsi="Times New Roman"/>
          <w:sz w:val="24"/>
          <w:szCs w:val="24"/>
        </w:rPr>
        <w:t xml:space="preserve">which require periodic ARM Disclosures.  This is </w:t>
      </w:r>
      <w:r w:rsidRPr="003A1EF4">
        <w:rPr>
          <w:rFonts w:ascii="Times New Roman" w:hAnsi="Times New Roman"/>
          <w:sz w:val="24"/>
          <w:szCs w:val="24"/>
        </w:rPr>
        <w:t xml:space="preserve">a decrease of </w:t>
      </w:r>
      <w:r>
        <w:rPr>
          <w:rFonts w:ascii="Times New Roman" w:hAnsi="Times New Roman"/>
          <w:sz w:val="24"/>
          <w:szCs w:val="24"/>
        </w:rPr>
        <w:t>55,891</w:t>
      </w:r>
      <w:r w:rsidRPr="003A1EF4">
        <w:rPr>
          <w:rFonts w:ascii="Times New Roman" w:hAnsi="Times New Roman"/>
          <w:sz w:val="24"/>
          <w:szCs w:val="24"/>
        </w:rPr>
        <w:t xml:space="preserve"> loans </w:t>
      </w:r>
      <w:r>
        <w:rPr>
          <w:rFonts w:ascii="Times New Roman" w:hAnsi="Times New Roman"/>
          <w:sz w:val="24"/>
          <w:szCs w:val="24"/>
        </w:rPr>
        <w:t>from the number of ARM loans described in the prior PRA</w:t>
      </w:r>
      <w:r w:rsidRPr="003A1EF4">
        <w:rPr>
          <w:rFonts w:ascii="Times New Roman" w:hAnsi="Times New Roman"/>
          <w:sz w:val="24"/>
          <w:szCs w:val="24"/>
        </w:rPr>
        <w:t xml:space="preserve">. The decrease in </w:t>
      </w:r>
      <w:r>
        <w:rPr>
          <w:rFonts w:ascii="Times New Roman" w:hAnsi="Times New Roman"/>
          <w:sz w:val="24"/>
          <w:szCs w:val="24"/>
        </w:rPr>
        <w:t xml:space="preserve">the number of ARM loans is reasonably expected since interest rates are </w:t>
      </w:r>
      <w:proofErr w:type="gramStart"/>
      <w:r>
        <w:rPr>
          <w:rFonts w:ascii="Times New Roman" w:hAnsi="Times New Roman"/>
          <w:sz w:val="24"/>
          <w:szCs w:val="24"/>
        </w:rPr>
        <w:t>low</w:t>
      </w:r>
      <w:proofErr w:type="gramEnd"/>
      <w:r>
        <w:rPr>
          <w:rFonts w:ascii="Times New Roman" w:hAnsi="Times New Roman"/>
          <w:sz w:val="24"/>
          <w:szCs w:val="24"/>
        </w:rPr>
        <w:t xml:space="preserve"> and borrowers can lock a low rate for the life of their mortgage</w:t>
      </w:r>
      <w:r w:rsidR="006C0DC0">
        <w:rPr>
          <w:rFonts w:ascii="Times New Roman" w:hAnsi="Times New Roman"/>
          <w:sz w:val="24"/>
          <w:szCs w:val="24"/>
        </w:rPr>
        <w:t xml:space="preserve">. </w:t>
      </w:r>
      <w:r>
        <w:rPr>
          <w:rFonts w:ascii="Times New Roman" w:hAnsi="Times New Roman"/>
          <w:sz w:val="24"/>
          <w:szCs w:val="24"/>
        </w:rPr>
        <w:t>Borrowers have steered away from a</w:t>
      </w:r>
      <w:r w:rsidR="00490782">
        <w:rPr>
          <w:rFonts w:ascii="Times New Roman" w:hAnsi="Times New Roman"/>
          <w:sz w:val="24"/>
          <w:szCs w:val="24"/>
        </w:rPr>
        <w:t xml:space="preserve"> temporary </w:t>
      </w:r>
      <w:r>
        <w:rPr>
          <w:rFonts w:ascii="Times New Roman" w:hAnsi="Times New Roman"/>
          <w:sz w:val="24"/>
          <w:szCs w:val="24"/>
        </w:rPr>
        <w:t>adjustable interest rate that can</w:t>
      </w:r>
      <w:r w:rsidR="00490782">
        <w:rPr>
          <w:rFonts w:ascii="Times New Roman" w:hAnsi="Times New Roman"/>
          <w:sz w:val="24"/>
          <w:szCs w:val="24"/>
        </w:rPr>
        <w:t xml:space="preserve"> increase and</w:t>
      </w:r>
      <w:r>
        <w:rPr>
          <w:rFonts w:ascii="Times New Roman" w:hAnsi="Times New Roman"/>
          <w:sz w:val="24"/>
          <w:szCs w:val="24"/>
        </w:rPr>
        <w:t xml:space="preserve"> lead to higher monthly payments in the future.  </w:t>
      </w:r>
    </w:p>
    <w:p w:rsidR="00781CFE" w:rsidP="00A3735F" w:rsidRDefault="00781CFE" w14:paraId="26D3D82E" w14:textId="77777777">
      <w:pPr>
        <w:pStyle w:val="List"/>
        <w:ind w:left="720" w:firstLine="0"/>
        <w:rPr>
          <w:rFonts w:ascii="Times New Roman" w:hAnsi="Times New Roman"/>
          <w:sz w:val="24"/>
          <w:szCs w:val="24"/>
        </w:rPr>
      </w:pPr>
    </w:p>
    <w:p w:rsidR="007D798D" w:rsidP="007D798D" w:rsidRDefault="007D798D" w14:paraId="2819355A" w14:textId="77777777">
      <w:pPr>
        <w:pStyle w:val="List"/>
        <w:rPr>
          <w:rFonts w:ascii="Times New Roman" w:hAnsi="Times New Roman"/>
          <w:sz w:val="24"/>
          <w:szCs w:val="24"/>
        </w:rPr>
      </w:pPr>
    </w:p>
    <w:p w:rsidRPr="00781CFE" w:rsidR="007D798D" w:rsidP="005C509F" w:rsidRDefault="007D798D" w14:paraId="6A2092F6" w14:textId="77777777">
      <w:pPr>
        <w:numPr>
          <w:ilvl w:val="0"/>
          <w:numId w:val="15"/>
        </w:numPr>
        <w:overflowPunct/>
        <w:autoSpaceDE/>
        <w:autoSpaceDN/>
        <w:adjustRightInd/>
        <w:spacing w:after="200" w:line="276" w:lineRule="auto"/>
        <w:textAlignment w:val="auto"/>
        <w:rPr>
          <w:b/>
          <w:bCs/>
          <w:sz w:val="24"/>
          <w:szCs w:val="24"/>
        </w:rPr>
      </w:pPr>
      <w:r w:rsidRPr="00781CFE">
        <w:rPr>
          <w:b/>
          <w:bCs/>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901481" w:rsidP="00781CFE" w:rsidRDefault="00901481" w14:paraId="7EB2DC54" w14:textId="77777777">
      <w:pPr>
        <w:pStyle w:val="List"/>
        <w:ind w:left="720" w:firstLine="0"/>
        <w:rPr>
          <w:rFonts w:ascii="Times New Roman" w:hAnsi="Times New Roman"/>
          <w:sz w:val="24"/>
        </w:rPr>
      </w:pPr>
      <w:r w:rsidRPr="003A1EF4">
        <w:rPr>
          <w:rFonts w:ascii="Times New Roman" w:hAnsi="Times New Roman"/>
          <w:sz w:val="24"/>
        </w:rPr>
        <w:t>This information collection does not include results that will be published.</w:t>
      </w:r>
    </w:p>
    <w:p w:rsidR="0044246D" w:rsidP="0044246D" w:rsidRDefault="0044246D" w14:paraId="2EBB711C" w14:textId="77777777">
      <w:pPr>
        <w:pStyle w:val="List"/>
        <w:rPr>
          <w:rFonts w:ascii="Times New Roman" w:hAnsi="Times New Roman"/>
          <w:sz w:val="24"/>
        </w:rPr>
      </w:pPr>
    </w:p>
    <w:p w:rsidRPr="00781CFE" w:rsidR="0044246D" w:rsidP="005C509F" w:rsidRDefault="0044246D" w14:paraId="67EF1CE8" w14:textId="77777777">
      <w:pPr>
        <w:numPr>
          <w:ilvl w:val="0"/>
          <w:numId w:val="15"/>
        </w:numPr>
        <w:overflowPunct/>
        <w:autoSpaceDE/>
        <w:autoSpaceDN/>
        <w:adjustRightInd/>
        <w:spacing w:after="200" w:line="276" w:lineRule="auto"/>
        <w:textAlignment w:val="auto"/>
        <w:rPr>
          <w:b/>
          <w:bCs/>
          <w:sz w:val="24"/>
          <w:szCs w:val="24"/>
        </w:rPr>
      </w:pPr>
      <w:r w:rsidRPr="00781CFE">
        <w:rPr>
          <w:b/>
          <w:bCs/>
          <w:sz w:val="24"/>
          <w:szCs w:val="24"/>
        </w:rPr>
        <w:t xml:space="preserve">If seeking approval to not display the expiration date for OMB approval of the information collection, explain the reasons that display would be inappropriate. </w:t>
      </w:r>
    </w:p>
    <w:p w:rsidR="00901481" w:rsidP="00B16E17" w:rsidRDefault="00B16E17" w14:paraId="5B34D309" w14:textId="77777777">
      <w:pPr>
        <w:pStyle w:val="List"/>
        <w:ind w:left="720" w:firstLine="0"/>
        <w:rPr>
          <w:rFonts w:ascii="Times New Roman" w:hAnsi="Times New Roman"/>
          <w:sz w:val="24"/>
        </w:rPr>
      </w:pPr>
      <w:r>
        <w:rPr>
          <w:rFonts w:ascii="Times New Roman" w:hAnsi="Times New Roman"/>
          <w:sz w:val="24"/>
        </w:rPr>
        <w:t xml:space="preserve">HUD is </w:t>
      </w:r>
      <w:r w:rsidRPr="003A1EF4" w:rsidR="00901481">
        <w:rPr>
          <w:rFonts w:ascii="Times New Roman" w:hAnsi="Times New Roman"/>
          <w:sz w:val="24"/>
        </w:rPr>
        <w:t>not seeking approval to avoid displaying the expiration date for the OMB approval.</w:t>
      </w:r>
    </w:p>
    <w:p w:rsidRPr="003A1EF4" w:rsidR="0044246D" w:rsidP="0044246D" w:rsidRDefault="0044246D" w14:paraId="1490E98C" w14:textId="77777777">
      <w:pPr>
        <w:pStyle w:val="List"/>
        <w:rPr>
          <w:rFonts w:ascii="Times New Roman" w:hAnsi="Times New Roman"/>
          <w:sz w:val="24"/>
        </w:rPr>
      </w:pPr>
    </w:p>
    <w:p w:rsidRPr="00B16E17" w:rsidR="000975F0" w:rsidP="005C509F" w:rsidRDefault="000975F0" w14:paraId="165C5B35" w14:textId="77777777">
      <w:pPr>
        <w:numPr>
          <w:ilvl w:val="0"/>
          <w:numId w:val="15"/>
        </w:numPr>
        <w:overflowPunct/>
        <w:autoSpaceDE/>
        <w:autoSpaceDN/>
        <w:adjustRightInd/>
        <w:spacing w:after="200" w:line="276" w:lineRule="auto"/>
        <w:textAlignment w:val="auto"/>
        <w:rPr>
          <w:b/>
          <w:bCs/>
          <w:sz w:val="24"/>
          <w:szCs w:val="24"/>
        </w:rPr>
      </w:pPr>
      <w:r w:rsidRPr="00B16E17">
        <w:rPr>
          <w:b/>
          <w:bCs/>
          <w:sz w:val="24"/>
          <w:szCs w:val="24"/>
        </w:rPr>
        <w:t xml:space="preserve">Explain each exception to the certification statement identified in Item 19, "Certification for Paperwork Reduction Act Submissions," of OMB Form 83-I. </w:t>
      </w:r>
    </w:p>
    <w:p w:rsidRPr="003A1EF4" w:rsidR="00901481" w:rsidP="00B16E17" w:rsidRDefault="00901481" w14:paraId="7023AE55" w14:textId="77777777">
      <w:pPr>
        <w:pStyle w:val="List"/>
        <w:ind w:left="720" w:firstLine="0"/>
        <w:rPr>
          <w:rFonts w:ascii="Times New Roman" w:hAnsi="Times New Roman"/>
          <w:sz w:val="24"/>
        </w:rPr>
      </w:pPr>
      <w:r w:rsidRPr="003A1EF4">
        <w:rPr>
          <w:rFonts w:ascii="Times New Roman" w:hAnsi="Times New Roman"/>
          <w:sz w:val="24"/>
        </w:rPr>
        <w:t>There are no exceptions to the certification statement identified in item 19 of the OMB 83-I.</w:t>
      </w:r>
    </w:p>
    <w:p w:rsidRPr="003A1EF4" w:rsidR="00901481" w:rsidP="00901481" w:rsidRDefault="00901481" w14:paraId="23E3E7EB" w14:textId="77777777"/>
    <w:p w:rsidRPr="003A1EF4" w:rsidR="00901481" w:rsidP="00901481" w:rsidRDefault="00901481" w14:paraId="7944F1B8" w14:textId="77777777"/>
    <w:p w:rsidR="00901481" w:rsidP="005C509F" w:rsidRDefault="00901481" w14:paraId="64FA0765" w14:textId="77777777">
      <w:pPr>
        <w:numPr>
          <w:ilvl w:val="0"/>
          <w:numId w:val="9"/>
        </w:numPr>
        <w:rPr>
          <w:b/>
          <w:bCs/>
          <w:sz w:val="24"/>
        </w:rPr>
      </w:pPr>
      <w:r w:rsidRPr="00B16E17">
        <w:rPr>
          <w:b/>
          <w:bCs/>
          <w:sz w:val="24"/>
        </w:rPr>
        <w:t>Collections of Information Employing Statistical Methods</w:t>
      </w:r>
    </w:p>
    <w:p w:rsidR="007A4B60" w:rsidP="007A4B60" w:rsidRDefault="007A4B60" w14:paraId="66FA88BA" w14:textId="77777777">
      <w:pPr>
        <w:ind w:left="720"/>
        <w:rPr>
          <w:b/>
          <w:bCs/>
          <w:sz w:val="24"/>
        </w:rPr>
      </w:pPr>
    </w:p>
    <w:p w:rsidR="000975F0" w:rsidP="007A4B60" w:rsidRDefault="000975F0" w14:paraId="345C3C03" w14:textId="037458AF">
      <w:pPr>
        <w:overflowPunct/>
        <w:autoSpaceDE/>
        <w:autoSpaceDN/>
        <w:adjustRightInd/>
        <w:spacing w:after="200" w:line="276" w:lineRule="auto"/>
        <w:ind w:left="720"/>
        <w:textAlignment w:val="auto"/>
        <w:rPr>
          <w:b/>
          <w:bCs/>
          <w:sz w:val="24"/>
          <w:szCs w:val="24"/>
        </w:rPr>
      </w:pPr>
      <w:r w:rsidRPr="00051308">
        <w:rPr>
          <w:b/>
          <w:bCs/>
          <w:sz w:val="24"/>
          <w:szCs w:val="24"/>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w:t>
      </w:r>
      <w:r w:rsidR="008F7FF9">
        <w:rPr>
          <w:b/>
          <w:bCs/>
          <w:sz w:val="24"/>
          <w:szCs w:val="24"/>
        </w:rPr>
        <w:t>t</w:t>
      </w:r>
      <w:r w:rsidRPr="00051308">
        <w:rPr>
          <w:b/>
          <w:bCs/>
          <w:sz w:val="24"/>
          <w:szCs w:val="24"/>
        </w:rPr>
        <w:t xml:space="preserve"> that it applies to the methods proposed: </w:t>
      </w:r>
    </w:p>
    <w:p w:rsidR="007B1BEC" w:rsidP="007A4B60" w:rsidRDefault="007B1BEC" w14:paraId="5176FCE8" w14:textId="77777777">
      <w:pPr>
        <w:ind w:left="720"/>
        <w:rPr>
          <w:sz w:val="24"/>
          <w:szCs w:val="24"/>
        </w:rPr>
      </w:pPr>
    </w:p>
    <w:p w:rsidRPr="003E089E" w:rsidR="007A4B60" w:rsidP="007A4B60" w:rsidRDefault="007A4B60" w14:paraId="5CD12480" w14:textId="77777777">
      <w:pPr>
        <w:ind w:left="720"/>
        <w:rPr>
          <w:sz w:val="24"/>
          <w:szCs w:val="24"/>
        </w:rPr>
      </w:pPr>
      <w:r w:rsidRPr="003E089E">
        <w:rPr>
          <w:sz w:val="24"/>
          <w:szCs w:val="24"/>
        </w:rPr>
        <w:t>This information collection does not employ statistical methods.</w:t>
      </w:r>
    </w:p>
    <w:p w:rsidRPr="00B16E17" w:rsidR="007A4B60" w:rsidP="007A4B60" w:rsidRDefault="007A4B60" w14:paraId="5E7222A2" w14:textId="77777777">
      <w:pPr>
        <w:ind w:left="1440"/>
        <w:rPr>
          <w:b/>
          <w:bCs/>
          <w:sz w:val="24"/>
        </w:rPr>
      </w:pPr>
    </w:p>
    <w:p w:rsidR="000975F0" w:rsidP="005C509F" w:rsidRDefault="000975F0" w14:paraId="5BA77C6A" w14:textId="77777777">
      <w:pPr>
        <w:numPr>
          <w:ilvl w:val="0"/>
          <w:numId w:val="16"/>
        </w:numPr>
        <w:overflowPunct/>
        <w:autoSpaceDE/>
        <w:autoSpaceDN/>
        <w:adjustRightInd/>
        <w:spacing w:after="200" w:line="276" w:lineRule="auto"/>
        <w:textAlignment w:val="auto"/>
        <w:rPr>
          <w:b/>
          <w:bCs/>
          <w:sz w:val="24"/>
          <w:szCs w:val="24"/>
        </w:rPr>
      </w:pPr>
      <w:r w:rsidRPr="00051308">
        <w:rPr>
          <w:b/>
          <w:bCs/>
          <w:sz w:val="24"/>
          <w:szCs w:val="24"/>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051308">
        <w:rPr>
          <w:b/>
          <w:bCs/>
          <w:sz w:val="24"/>
          <w:szCs w:val="24"/>
        </w:rPr>
        <w:t>collection as a whole</w:t>
      </w:r>
      <w:proofErr w:type="gramEnd"/>
      <w:r w:rsidRPr="00051308">
        <w:rPr>
          <w:b/>
          <w:bCs/>
          <w:sz w:val="24"/>
          <w:szCs w:val="24"/>
        </w:rPr>
        <w:t xml:space="preserve">. If the collection had been conducted previously, include the actual response rate achieved during the last collection. </w:t>
      </w:r>
    </w:p>
    <w:p w:rsidRPr="003E089E" w:rsidR="007B1BEC" w:rsidP="007B1BEC" w:rsidRDefault="007B1BEC" w14:paraId="435CC700" w14:textId="77777777">
      <w:pPr>
        <w:ind w:left="720"/>
        <w:rPr>
          <w:sz w:val="24"/>
          <w:szCs w:val="24"/>
        </w:rPr>
      </w:pPr>
      <w:r>
        <w:rPr>
          <w:sz w:val="24"/>
          <w:szCs w:val="24"/>
        </w:rPr>
        <w:t>Thi</w:t>
      </w:r>
      <w:r w:rsidRPr="003E089E">
        <w:rPr>
          <w:sz w:val="24"/>
          <w:szCs w:val="24"/>
        </w:rPr>
        <w:t>s information collection does not employ statistical methods</w:t>
      </w:r>
      <w:r>
        <w:rPr>
          <w:sz w:val="24"/>
          <w:szCs w:val="24"/>
        </w:rPr>
        <w:t>, there is no potential respondent universe, or any sampling or other respondent selection methods.</w:t>
      </w:r>
    </w:p>
    <w:p w:rsidRPr="00051308" w:rsidR="007B1BEC" w:rsidP="007B1BEC" w:rsidRDefault="007B1BEC" w14:paraId="594B1255" w14:textId="77777777">
      <w:pPr>
        <w:overflowPunct/>
        <w:autoSpaceDE/>
        <w:autoSpaceDN/>
        <w:adjustRightInd/>
        <w:spacing w:after="200" w:line="276" w:lineRule="auto"/>
        <w:ind w:left="720"/>
        <w:textAlignment w:val="auto"/>
        <w:rPr>
          <w:b/>
          <w:bCs/>
          <w:sz w:val="24"/>
          <w:szCs w:val="24"/>
        </w:rPr>
      </w:pPr>
    </w:p>
    <w:p w:rsidRPr="007B1BEC" w:rsidR="000975F0" w:rsidP="005C509F" w:rsidRDefault="000975F0" w14:paraId="300B1DB9" w14:textId="77777777">
      <w:pPr>
        <w:numPr>
          <w:ilvl w:val="0"/>
          <w:numId w:val="16"/>
        </w:numPr>
        <w:overflowPunct/>
        <w:autoSpaceDE/>
        <w:autoSpaceDN/>
        <w:adjustRightInd/>
        <w:spacing w:after="200" w:line="276" w:lineRule="auto"/>
        <w:textAlignment w:val="auto"/>
        <w:rPr>
          <w:b/>
          <w:bCs/>
          <w:sz w:val="24"/>
          <w:szCs w:val="24"/>
        </w:rPr>
      </w:pPr>
      <w:r w:rsidRPr="007B1BEC">
        <w:rPr>
          <w:b/>
          <w:bCs/>
          <w:sz w:val="24"/>
          <w:szCs w:val="24"/>
        </w:rPr>
        <w:t xml:space="preserve">Describe the procedures for the collection of information including: </w:t>
      </w:r>
    </w:p>
    <w:p w:rsidRPr="007B1BEC" w:rsidR="000975F0" w:rsidP="007B1BEC" w:rsidRDefault="000975F0" w14:paraId="358009B1" w14:textId="77777777">
      <w:pPr>
        <w:overflowPunct/>
        <w:autoSpaceDE/>
        <w:autoSpaceDN/>
        <w:adjustRightInd/>
        <w:ind w:left="720"/>
        <w:textAlignment w:val="auto"/>
        <w:rPr>
          <w:b/>
          <w:bCs/>
          <w:sz w:val="24"/>
          <w:szCs w:val="24"/>
        </w:rPr>
      </w:pPr>
      <w:r w:rsidRPr="007B1BEC">
        <w:rPr>
          <w:b/>
          <w:bCs/>
          <w:sz w:val="24"/>
          <w:szCs w:val="24"/>
        </w:rPr>
        <w:t xml:space="preserve">* Statistical methodology for stratification and sample selection, </w:t>
      </w:r>
    </w:p>
    <w:p w:rsidRPr="007B1BEC" w:rsidR="000975F0" w:rsidP="007B1BEC" w:rsidRDefault="000975F0" w14:paraId="0C0089B8" w14:textId="77777777">
      <w:pPr>
        <w:overflowPunct/>
        <w:autoSpaceDE/>
        <w:autoSpaceDN/>
        <w:adjustRightInd/>
        <w:ind w:left="720"/>
        <w:textAlignment w:val="auto"/>
        <w:rPr>
          <w:b/>
          <w:bCs/>
          <w:sz w:val="24"/>
          <w:szCs w:val="24"/>
        </w:rPr>
      </w:pPr>
      <w:r w:rsidRPr="007B1BEC">
        <w:rPr>
          <w:b/>
          <w:bCs/>
          <w:sz w:val="24"/>
          <w:szCs w:val="24"/>
        </w:rPr>
        <w:t xml:space="preserve">* Estimation procedure, </w:t>
      </w:r>
    </w:p>
    <w:p w:rsidRPr="007B1BEC" w:rsidR="000975F0" w:rsidP="007B1BEC" w:rsidRDefault="000975F0" w14:paraId="0BB01716" w14:textId="77777777">
      <w:pPr>
        <w:overflowPunct/>
        <w:autoSpaceDE/>
        <w:autoSpaceDN/>
        <w:adjustRightInd/>
        <w:ind w:left="720"/>
        <w:textAlignment w:val="auto"/>
        <w:rPr>
          <w:b/>
          <w:bCs/>
          <w:sz w:val="24"/>
          <w:szCs w:val="24"/>
        </w:rPr>
      </w:pPr>
      <w:r w:rsidRPr="007B1BEC">
        <w:rPr>
          <w:b/>
          <w:bCs/>
          <w:sz w:val="24"/>
          <w:szCs w:val="24"/>
        </w:rPr>
        <w:t xml:space="preserve">* Degree of accuracy needed for the purpose described in the justification, </w:t>
      </w:r>
    </w:p>
    <w:p w:rsidRPr="007B1BEC" w:rsidR="000975F0" w:rsidP="007B1BEC" w:rsidRDefault="000975F0" w14:paraId="7D726627" w14:textId="77777777">
      <w:pPr>
        <w:overflowPunct/>
        <w:autoSpaceDE/>
        <w:autoSpaceDN/>
        <w:adjustRightInd/>
        <w:ind w:left="720"/>
        <w:textAlignment w:val="auto"/>
        <w:rPr>
          <w:b/>
          <w:bCs/>
          <w:sz w:val="24"/>
          <w:szCs w:val="24"/>
        </w:rPr>
      </w:pPr>
      <w:r w:rsidRPr="007B1BEC">
        <w:rPr>
          <w:b/>
          <w:bCs/>
          <w:sz w:val="24"/>
          <w:szCs w:val="24"/>
        </w:rPr>
        <w:t xml:space="preserve">* Unusual problems requiring specialized sampling procedures, and </w:t>
      </w:r>
    </w:p>
    <w:p w:rsidRPr="007B1BEC" w:rsidR="000975F0" w:rsidP="007B1BEC" w:rsidRDefault="000975F0" w14:paraId="28C5EB18" w14:textId="77777777">
      <w:pPr>
        <w:overflowPunct/>
        <w:autoSpaceDE/>
        <w:autoSpaceDN/>
        <w:adjustRightInd/>
        <w:ind w:left="720"/>
        <w:textAlignment w:val="auto"/>
        <w:rPr>
          <w:b/>
          <w:bCs/>
          <w:sz w:val="24"/>
          <w:szCs w:val="24"/>
        </w:rPr>
      </w:pPr>
      <w:r w:rsidRPr="007B1BEC">
        <w:rPr>
          <w:b/>
          <w:bCs/>
          <w:sz w:val="24"/>
          <w:szCs w:val="24"/>
        </w:rPr>
        <w:t xml:space="preserve">* Any use of periodic (less frequent than annual) data collection cycles to reduce burden. </w:t>
      </w:r>
    </w:p>
    <w:p w:rsidR="007B1BEC" w:rsidP="007B1BEC" w:rsidRDefault="007B1BEC" w14:paraId="53855F51" w14:textId="77777777">
      <w:pPr>
        <w:overflowPunct/>
        <w:autoSpaceDE/>
        <w:autoSpaceDN/>
        <w:adjustRightInd/>
        <w:ind w:left="720"/>
        <w:textAlignment w:val="auto"/>
        <w:rPr>
          <w:sz w:val="24"/>
          <w:szCs w:val="24"/>
        </w:rPr>
      </w:pPr>
    </w:p>
    <w:p w:rsidR="007B1BEC" w:rsidP="00FB32CB" w:rsidRDefault="007B1BEC" w14:paraId="3EA68403" w14:textId="77777777">
      <w:pPr>
        <w:ind w:left="720"/>
        <w:rPr>
          <w:sz w:val="24"/>
          <w:szCs w:val="24"/>
        </w:rPr>
      </w:pPr>
      <w:r>
        <w:rPr>
          <w:sz w:val="24"/>
          <w:szCs w:val="24"/>
        </w:rPr>
        <w:lastRenderedPageBreak/>
        <w:t>Since thi</w:t>
      </w:r>
      <w:r w:rsidRPr="003E089E">
        <w:rPr>
          <w:sz w:val="24"/>
          <w:szCs w:val="24"/>
        </w:rPr>
        <w:t>s information collection does not employ statistical methods</w:t>
      </w:r>
      <w:r>
        <w:rPr>
          <w:sz w:val="24"/>
          <w:szCs w:val="24"/>
        </w:rPr>
        <w:t>, there are no procedures for the collection that involve:</w:t>
      </w:r>
    </w:p>
    <w:p w:rsidRPr="003E089E" w:rsidR="00190989" w:rsidP="007B1BEC" w:rsidRDefault="00190989" w14:paraId="15233BE9" w14:textId="77777777">
      <w:pPr>
        <w:ind w:left="432"/>
        <w:rPr>
          <w:sz w:val="24"/>
          <w:szCs w:val="24"/>
        </w:rPr>
      </w:pPr>
    </w:p>
    <w:p w:rsidRPr="003E089E" w:rsidR="007B1BEC" w:rsidP="007B1BEC" w:rsidRDefault="007B1BEC" w14:paraId="03BE24CD" w14:textId="77777777">
      <w:pPr>
        <w:ind w:left="864"/>
        <w:rPr>
          <w:sz w:val="24"/>
          <w:szCs w:val="24"/>
        </w:rPr>
      </w:pPr>
      <w:r w:rsidRPr="003E089E">
        <w:rPr>
          <w:sz w:val="24"/>
          <w:szCs w:val="24"/>
        </w:rPr>
        <w:t xml:space="preserve">* Statistical methodology for stratification and sample selection, </w:t>
      </w:r>
    </w:p>
    <w:p w:rsidRPr="003E089E" w:rsidR="007B1BEC" w:rsidP="007B1BEC" w:rsidRDefault="007B1BEC" w14:paraId="30968711" w14:textId="77777777">
      <w:pPr>
        <w:ind w:left="864"/>
        <w:rPr>
          <w:sz w:val="24"/>
          <w:szCs w:val="24"/>
        </w:rPr>
      </w:pPr>
      <w:r w:rsidRPr="003E089E">
        <w:rPr>
          <w:sz w:val="24"/>
          <w:szCs w:val="24"/>
        </w:rPr>
        <w:t xml:space="preserve">* Estimation procedure, </w:t>
      </w:r>
    </w:p>
    <w:p w:rsidRPr="003E089E" w:rsidR="007B1BEC" w:rsidP="007B1BEC" w:rsidRDefault="007B1BEC" w14:paraId="19C872AA" w14:textId="77777777">
      <w:pPr>
        <w:ind w:left="864"/>
        <w:rPr>
          <w:sz w:val="24"/>
          <w:szCs w:val="24"/>
        </w:rPr>
      </w:pPr>
      <w:r w:rsidRPr="003E089E">
        <w:rPr>
          <w:sz w:val="24"/>
          <w:szCs w:val="24"/>
        </w:rPr>
        <w:t xml:space="preserve">* Degree of accuracy needed for the purpose described in the justification, </w:t>
      </w:r>
    </w:p>
    <w:p w:rsidRPr="003E089E" w:rsidR="007B1BEC" w:rsidP="007B1BEC" w:rsidRDefault="007B1BEC" w14:paraId="39E3B548" w14:textId="77777777">
      <w:pPr>
        <w:ind w:left="864"/>
        <w:rPr>
          <w:sz w:val="24"/>
          <w:szCs w:val="24"/>
        </w:rPr>
      </w:pPr>
      <w:r w:rsidRPr="003E089E">
        <w:rPr>
          <w:sz w:val="24"/>
          <w:szCs w:val="24"/>
        </w:rPr>
        <w:t xml:space="preserve">* Unusual problems requiring specialized sampling procedures, and </w:t>
      </w:r>
    </w:p>
    <w:p w:rsidR="007B1BEC" w:rsidP="007B1BEC" w:rsidRDefault="007B1BEC" w14:paraId="6FAE569B" w14:textId="77777777">
      <w:pPr>
        <w:ind w:left="864"/>
        <w:rPr>
          <w:sz w:val="24"/>
          <w:szCs w:val="24"/>
        </w:rPr>
      </w:pPr>
      <w:r w:rsidRPr="003E089E">
        <w:rPr>
          <w:sz w:val="24"/>
          <w:szCs w:val="24"/>
        </w:rPr>
        <w:t xml:space="preserve">* Any use of periodic (less frequent than annual) data collection cycles to reduce burden. </w:t>
      </w:r>
    </w:p>
    <w:p w:rsidRPr="000975F0" w:rsidR="007B1BEC" w:rsidP="000975F0" w:rsidRDefault="007B1BEC" w14:paraId="0E3D7524" w14:textId="77777777">
      <w:pPr>
        <w:overflowPunct/>
        <w:autoSpaceDE/>
        <w:autoSpaceDN/>
        <w:adjustRightInd/>
        <w:spacing w:after="200" w:line="276" w:lineRule="auto"/>
        <w:textAlignment w:val="auto"/>
        <w:rPr>
          <w:sz w:val="24"/>
          <w:szCs w:val="24"/>
        </w:rPr>
      </w:pPr>
    </w:p>
    <w:p w:rsidRPr="00190989" w:rsidR="000975F0" w:rsidP="005C509F" w:rsidRDefault="000975F0" w14:paraId="66C3B13B" w14:textId="77777777">
      <w:pPr>
        <w:numPr>
          <w:ilvl w:val="0"/>
          <w:numId w:val="16"/>
        </w:numPr>
        <w:overflowPunct/>
        <w:autoSpaceDE/>
        <w:autoSpaceDN/>
        <w:adjustRightInd/>
        <w:spacing w:after="200" w:line="276" w:lineRule="auto"/>
        <w:textAlignment w:val="auto"/>
        <w:rPr>
          <w:b/>
          <w:bCs/>
          <w:sz w:val="24"/>
          <w:szCs w:val="24"/>
        </w:rPr>
      </w:pPr>
      <w:r w:rsidRPr="00190989">
        <w:rPr>
          <w:b/>
          <w:bCs/>
          <w:sz w:val="24"/>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0975F0" w:rsidR="00190989" w:rsidP="00190989" w:rsidRDefault="00190989" w14:paraId="7C730563" w14:textId="77777777">
      <w:pPr>
        <w:overflowPunct/>
        <w:autoSpaceDE/>
        <w:autoSpaceDN/>
        <w:adjustRightInd/>
        <w:spacing w:after="200" w:line="276" w:lineRule="auto"/>
        <w:ind w:left="720"/>
        <w:textAlignment w:val="auto"/>
        <w:rPr>
          <w:sz w:val="24"/>
          <w:szCs w:val="24"/>
        </w:rPr>
      </w:pPr>
      <w:r>
        <w:rPr>
          <w:sz w:val="24"/>
          <w:szCs w:val="24"/>
        </w:rPr>
        <w:t>Since thi</w:t>
      </w:r>
      <w:r w:rsidRPr="003E089E">
        <w:rPr>
          <w:sz w:val="24"/>
          <w:szCs w:val="24"/>
        </w:rPr>
        <w:t>s information collection does not employ statistical methods</w:t>
      </w:r>
      <w:r>
        <w:rPr>
          <w:sz w:val="24"/>
          <w:szCs w:val="24"/>
        </w:rPr>
        <w:t>, there are no methods to maximize response rates and to deal with issues of non-response</w:t>
      </w:r>
    </w:p>
    <w:p w:rsidRPr="006C4B2B" w:rsidR="000975F0" w:rsidP="005C509F" w:rsidRDefault="000975F0" w14:paraId="63A2A8D0" w14:textId="77777777">
      <w:pPr>
        <w:numPr>
          <w:ilvl w:val="0"/>
          <w:numId w:val="16"/>
        </w:numPr>
        <w:overflowPunct/>
        <w:autoSpaceDE/>
        <w:autoSpaceDN/>
        <w:adjustRightInd/>
        <w:spacing w:after="200" w:line="276" w:lineRule="auto"/>
        <w:textAlignment w:val="auto"/>
        <w:rPr>
          <w:b/>
          <w:bCs/>
          <w:sz w:val="24"/>
          <w:szCs w:val="24"/>
        </w:rPr>
      </w:pPr>
      <w:r w:rsidRPr="006C4B2B">
        <w:rPr>
          <w:b/>
          <w:bCs/>
          <w:sz w:val="24"/>
          <w:szCs w:val="24"/>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proofErr w:type="gramStart"/>
      <w:r w:rsidRPr="006C4B2B">
        <w:rPr>
          <w:b/>
          <w:bCs/>
          <w:sz w:val="24"/>
          <w:szCs w:val="24"/>
        </w:rPr>
        <w:t>test</w:t>
      </w:r>
      <w:proofErr w:type="gramEnd"/>
      <w:r w:rsidRPr="006C4B2B">
        <w:rPr>
          <w:b/>
          <w:bCs/>
          <w:sz w:val="24"/>
          <w:szCs w:val="24"/>
        </w:rPr>
        <w:t xml:space="preserve"> may be submitted for approval separately or in combination with the main collection of information. </w:t>
      </w:r>
    </w:p>
    <w:p w:rsidRPr="006C4B2B" w:rsidR="000975F0" w:rsidP="005C509F" w:rsidRDefault="000975F0" w14:paraId="72332B85" w14:textId="77777777">
      <w:pPr>
        <w:numPr>
          <w:ilvl w:val="0"/>
          <w:numId w:val="16"/>
        </w:numPr>
        <w:overflowPunct/>
        <w:autoSpaceDE/>
        <w:autoSpaceDN/>
        <w:adjustRightInd/>
        <w:spacing w:after="200" w:line="276" w:lineRule="auto"/>
        <w:textAlignment w:val="auto"/>
        <w:rPr>
          <w:b/>
          <w:bCs/>
          <w:sz w:val="24"/>
          <w:szCs w:val="24"/>
        </w:rPr>
      </w:pPr>
      <w:r w:rsidRPr="006C4B2B">
        <w:rPr>
          <w:b/>
          <w:bCs/>
          <w:sz w:val="24"/>
          <w:szCs w:val="24"/>
        </w:rPr>
        <w:t xml:space="preserve">Provide the name and telephone number of individuals consulted on statistical aspects of the design and the name of the agency unit, contractor(s), grantee(s), or other person(s) who will actually collect and/or analyze the information for the agency. </w:t>
      </w:r>
    </w:p>
    <w:p w:rsidRPr="003A1EF4" w:rsidR="00901481" w:rsidP="00C70662" w:rsidRDefault="00901481" w14:paraId="3019861A" w14:textId="77777777">
      <w:pPr>
        <w:ind w:left="720"/>
        <w:rPr>
          <w:sz w:val="24"/>
        </w:rPr>
      </w:pPr>
      <w:r w:rsidRPr="003A1EF4">
        <w:rPr>
          <w:sz w:val="24"/>
        </w:rPr>
        <w:t>The collection of information does not employ statistical methods.</w:t>
      </w:r>
    </w:p>
    <w:p w:rsidRPr="003A1EF4" w:rsidR="00901481" w:rsidP="00901481" w:rsidRDefault="00901481" w14:paraId="5E3A65C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sz w:val="24"/>
        </w:rPr>
      </w:pPr>
    </w:p>
    <w:sectPr w:rsidRPr="003A1EF4" w:rsidR="00901481">
      <w:headerReference w:type="even" r:id="rId11"/>
      <w:headerReference w:type="default" r:id="rId12"/>
      <w:footerReference w:type="even" r:id="rId13"/>
      <w:footerReference w:type="default" r:id="rId14"/>
      <w:headerReference w:type="first" r:id="rId15"/>
      <w:footerReference w:type="first" r:id="rId16"/>
      <w:pgSz w:w="12240" w:h="15840"/>
      <w:pgMar w:top="480" w:right="720" w:bottom="480" w:left="60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64B5C" w14:textId="77777777" w:rsidR="00E57661" w:rsidRDefault="00E57661">
      <w:r>
        <w:separator/>
      </w:r>
    </w:p>
  </w:endnote>
  <w:endnote w:type="continuationSeparator" w:id="0">
    <w:p w14:paraId="63A6A40D" w14:textId="77777777" w:rsidR="00E57661" w:rsidRDefault="00E57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5A4E3" w14:textId="77777777" w:rsidR="00425105" w:rsidRDefault="00425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9B926" w14:textId="0003E231" w:rsidR="00425105" w:rsidRDefault="00425105">
    <w:pPr>
      <w:pStyle w:val="Footer"/>
    </w:pPr>
  </w:p>
  <w:p w14:paraId="170401DE" w14:textId="0A4A6D8F" w:rsidR="00BF3717" w:rsidRDefault="00BF3717">
    <w:pPr>
      <w:pStyle w:val="Footer"/>
      <w:pBdr>
        <w:top w:val="single" w:sz="6" w:space="1" w:color="auto"/>
      </w:pBdr>
      <w:tabs>
        <w:tab w:val="clear" w:pos="4320"/>
        <w:tab w:val="clear" w:pos="8640"/>
        <w:tab w:val="right" w:pos="10920"/>
      </w:tabs>
      <w:ind w:left="-120" w:right="-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68230" w14:textId="3BB2EEA7" w:rsidR="00BF3717" w:rsidRDefault="00BF371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89730" w14:textId="77777777" w:rsidR="00E57661" w:rsidRDefault="00E57661">
      <w:r>
        <w:separator/>
      </w:r>
    </w:p>
  </w:footnote>
  <w:footnote w:type="continuationSeparator" w:id="0">
    <w:p w14:paraId="7A5DC860" w14:textId="77777777" w:rsidR="00E57661" w:rsidRDefault="00E57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BE34B" w14:textId="77777777" w:rsidR="00425105" w:rsidRDefault="00425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F28C1" w14:textId="77777777" w:rsidR="00425105" w:rsidRDefault="004251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9325D" w14:textId="77777777" w:rsidR="00425105" w:rsidRDefault="00425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872A7"/>
    <w:multiLevelType w:val="hybridMultilevel"/>
    <w:tmpl w:val="8022F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F7F7C"/>
    <w:multiLevelType w:val="hybridMultilevel"/>
    <w:tmpl w:val="13E6A496"/>
    <w:lvl w:ilvl="0" w:tplc="BDB07F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E29E0"/>
    <w:multiLevelType w:val="singleLevel"/>
    <w:tmpl w:val="7F4C2A44"/>
    <w:lvl w:ilvl="0">
      <w:start w:val="1"/>
      <w:numFmt w:val="lowerLetter"/>
      <w:lvlText w:val="(%1) "/>
      <w:lvlJc w:val="left"/>
      <w:pPr>
        <w:ind w:left="720" w:hanging="360"/>
      </w:pPr>
      <w:rPr>
        <w:rFonts w:ascii="Times New Roman" w:hAnsi="Times New Roman" w:hint="default"/>
        <w:b w:val="0"/>
        <w:i w:val="0"/>
        <w:sz w:val="20"/>
        <w:u w:val="none"/>
      </w:rPr>
    </w:lvl>
  </w:abstractNum>
  <w:abstractNum w:abstractNumId="3" w15:restartNumberingAfterBreak="0">
    <w:nsid w:val="0D511D01"/>
    <w:multiLevelType w:val="hybridMultilevel"/>
    <w:tmpl w:val="C1381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002BDB"/>
    <w:multiLevelType w:val="singleLevel"/>
    <w:tmpl w:val="41F82AA2"/>
    <w:lvl w:ilvl="0">
      <w:start w:val="1"/>
      <w:numFmt w:val="lowerLetter"/>
      <w:lvlText w:val="%1. "/>
      <w:lvlJc w:val="left"/>
      <w:pPr>
        <w:ind w:left="480" w:hanging="240"/>
      </w:pPr>
      <w:rPr>
        <w:rFonts w:ascii="Helvetica" w:hAnsi="Helvetica" w:hint="default"/>
        <w:b w:val="0"/>
        <w:i w:val="0"/>
        <w:sz w:val="16"/>
        <w:u w:val="none"/>
      </w:rPr>
    </w:lvl>
  </w:abstractNum>
  <w:abstractNum w:abstractNumId="5" w15:restartNumberingAfterBreak="0">
    <w:nsid w:val="1B012EA6"/>
    <w:multiLevelType w:val="hybridMultilevel"/>
    <w:tmpl w:val="CB2CD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E3A1C"/>
    <w:multiLevelType w:val="hybridMultilevel"/>
    <w:tmpl w:val="1C240AC6"/>
    <w:lvl w:ilvl="0" w:tplc="BD52802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B7212"/>
    <w:multiLevelType w:val="hybridMultilevel"/>
    <w:tmpl w:val="CAA0D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60D2D"/>
    <w:multiLevelType w:val="hybridMultilevel"/>
    <w:tmpl w:val="6C52047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5CE332B2"/>
    <w:multiLevelType w:val="hybridMultilevel"/>
    <w:tmpl w:val="192CFF0C"/>
    <w:lvl w:ilvl="0" w:tplc="828CB68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2C1B34"/>
    <w:multiLevelType w:val="hybridMultilevel"/>
    <w:tmpl w:val="0270000C"/>
    <w:lvl w:ilvl="0" w:tplc="2AB0E85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4B6389"/>
    <w:multiLevelType w:val="singleLevel"/>
    <w:tmpl w:val="A69E7D62"/>
    <w:lvl w:ilvl="0">
      <w:start w:val="8"/>
      <w:numFmt w:val="lowerLetter"/>
      <w:lvlText w:val="(%1) "/>
      <w:lvlJc w:val="left"/>
      <w:pPr>
        <w:ind w:left="720" w:hanging="360"/>
      </w:pPr>
      <w:rPr>
        <w:rFonts w:ascii="Times New Roman" w:hAnsi="Times New Roman" w:hint="default"/>
        <w:b w:val="0"/>
        <w:i w:val="0"/>
        <w:sz w:val="20"/>
        <w:u w:val="none"/>
      </w:rPr>
    </w:lvl>
  </w:abstractNum>
  <w:abstractNum w:abstractNumId="12" w15:restartNumberingAfterBreak="0">
    <w:nsid w:val="745F33AB"/>
    <w:multiLevelType w:val="hybridMultilevel"/>
    <w:tmpl w:val="B186F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AD586B"/>
    <w:multiLevelType w:val="singleLevel"/>
    <w:tmpl w:val="6FA6A740"/>
    <w:lvl w:ilvl="0">
      <w:start w:val="1"/>
      <w:numFmt w:val="lowerRoman"/>
      <w:lvlText w:val="(%1) "/>
      <w:lvlJc w:val="left"/>
      <w:pPr>
        <w:ind w:left="1080" w:hanging="360"/>
      </w:pPr>
      <w:rPr>
        <w:rFonts w:ascii="Times New Roman" w:hAnsi="Times New Roman" w:hint="default"/>
        <w:b w:val="0"/>
        <w:i w:val="0"/>
        <w:sz w:val="20"/>
        <w:u w:val="none"/>
      </w:rPr>
    </w:lvl>
  </w:abstractNum>
  <w:abstractNum w:abstractNumId="14" w15:restartNumberingAfterBreak="0">
    <w:nsid w:val="7A1B2E99"/>
    <w:multiLevelType w:val="singleLevel"/>
    <w:tmpl w:val="41F82AA2"/>
    <w:lvl w:ilvl="0">
      <w:start w:val="1"/>
      <w:numFmt w:val="lowerLetter"/>
      <w:lvlText w:val="%1. "/>
      <w:lvlJc w:val="left"/>
      <w:pPr>
        <w:ind w:left="492" w:hanging="240"/>
      </w:pPr>
      <w:rPr>
        <w:rFonts w:ascii="Helvetica" w:hAnsi="Helvetica" w:hint="default"/>
        <w:b w:val="0"/>
        <w:i w:val="0"/>
        <w:sz w:val="16"/>
        <w:u w:val="none"/>
      </w:rPr>
    </w:lvl>
  </w:abstractNum>
  <w:num w:numId="1">
    <w:abstractNumId w:val="4"/>
  </w:num>
  <w:num w:numId="2">
    <w:abstractNumId w:val="14"/>
  </w:num>
  <w:num w:numId="3">
    <w:abstractNumId w:val="2"/>
  </w:num>
  <w:num w:numId="4">
    <w:abstractNumId w:val="13"/>
  </w:num>
  <w:num w:numId="5">
    <w:abstractNumId w:val="11"/>
  </w:num>
  <w:num w:numId="6">
    <w:abstractNumId w:val="11"/>
    <w:lvlOverride w:ilvl="0">
      <w:lvl w:ilvl="0">
        <w:start w:val="1"/>
        <w:numFmt w:val="lowerLetter"/>
        <w:lvlText w:val="(%1) "/>
        <w:lvlJc w:val="left"/>
        <w:pPr>
          <w:ind w:left="720" w:hanging="360"/>
        </w:pPr>
        <w:rPr>
          <w:rFonts w:ascii="Times New Roman" w:hAnsi="Times New Roman" w:hint="default"/>
          <w:b w:val="0"/>
          <w:i w:val="0"/>
          <w:sz w:val="20"/>
          <w:u w:val="none"/>
        </w:rPr>
      </w:lvl>
    </w:lvlOverride>
  </w:num>
  <w:num w:numId="7">
    <w:abstractNumId w:val="1"/>
  </w:num>
  <w:num w:numId="8">
    <w:abstractNumId w:val="6"/>
  </w:num>
  <w:num w:numId="9">
    <w:abstractNumId w:val="12"/>
  </w:num>
  <w:num w:numId="10">
    <w:abstractNumId w:val="7"/>
  </w:num>
  <w:num w:numId="11">
    <w:abstractNumId w:val="5"/>
  </w:num>
  <w:num w:numId="12">
    <w:abstractNumId w:val="3"/>
  </w:num>
  <w:num w:numId="13">
    <w:abstractNumId w:val="8"/>
  </w:num>
  <w:num w:numId="14">
    <w:abstractNumId w:val="10"/>
  </w:num>
  <w:num w:numId="15">
    <w:abstractNumId w:val="9"/>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EB"/>
    <w:rsid w:val="0000339F"/>
    <w:rsid w:val="0001032C"/>
    <w:rsid w:val="000110A0"/>
    <w:rsid w:val="00011F1B"/>
    <w:rsid w:val="00025A30"/>
    <w:rsid w:val="000442EF"/>
    <w:rsid w:val="00051308"/>
    <w:rsid w:val="000521B2"/>
    <w:rsid w:val="000521F0"/>
    <w:rsid w:val="00075537"/>
    <w:rsid w:val="0007695E"/>
    <w:rsid w:val="00077413"/>
    <w:rsid w:val="00081364"/>
    <w:rsid w:val="000844B1"/>
    <w:rsid w:val="000959D7"/>
    <w:rsid w:val="000968A2"/>
    <w:rsid w:val="000975F0"/>
    <w:rsid w:val="000B06C2"/>
    <w:rsid w:val="000C0CA4"/>
    <w:rsid w:val="000D4A88"/>
    <w:rsid w:val="000E3CF5"/>
    <w:rsid w:val="000E4B1D"/>
    <w:rsid w:val="000E7A35"/>
    <w:rsid w:val="000F1F59"/>
    <w:rsid w:val="000F2A24"/>
    <w:rsid w:val="000F3B4E"/>
    <w:rsid w:val="000F4975"/>
    <w:rsid w:val="00102685"/>
    <w:rsid w:val="00104183"/>
    <w:rsid w:val="0011156D"/>
    <w:rsid w:val="001156A2"/>
    <w:rsid w:val="001204A6"/>
    <w:rsid w:val="001349B9"/>
    <w:rsid w:val="00136AF7"/>
    <w:rsid w:val="00145286"/>
    <w:rsid w:val="00147187"/>
    <w:rsid w:val="0015169E"/>
    <w:rsid w:val="001559FA"/>
    <w:rsid w:val="001632FE"/>
    <w:rsid w:val="00163316"/>
    <w:rsid w:val="001636CA"/>
    <w:rsid w:val="00165BD9"/>
    <w:rsid w:val="00167A27"/>
    <w:rsid w:val="00167AEA"/>
    <w:rsid w:val="00171AF0"/>
    <w:rsid w:val="001840CE"/>
    <w:rsid w:val="00190989"/>
    <w:rsid w:val="001948DA"/>
    <w:rsid w:val="001968D4"/>
    <w:rsid w:val="00197199"/>
    <w:rsid w:val="001A0AAF"/>
    <w:rsid w:val="001B28CC"/>
    <w:rsid w:val="001B5F8F"/>
    <w:rsid w:val="001C6E19"/>
    <w:rsid w:val="001C767B"/>
    <w:rsid w:val="001D093D"/>
    <w:rsid w:val="001D6807"/>
    <w:rsid w:val="001E2E20"/>
    <w:rsid w:val="001F461A"/>
    <w:rsid w:val="00210C68"/>
    <w:rsid w:val="00214E48"/>
    <w:rsid w:val="00222BF9"/>
    <w:rsid w:val="00226952"/>
    <w:rsid w:val="0022773F"/>
    <w:rsid w:val="00272625"/>
    <w:rsid w:val="00272E1C"/>
    <w:rsid w:val="00277822"/>
    <w:rsid w:val="00280181"/>
    <w:rsid w:val="00283A52"/>
    <w:rsid w:val="0029086B"/>
    <w:rsid w:val="0029729E"/>
    <w:rsid w:val="00297C0C"/>
    <w:rsid w:val="002A04C3"/>
    <w:rsid w:val="002A1BB0"/>
    <w:rsid w:val="002A1C00"/>
    <w:rsid w:val="002A2CD5"/>
    <w:rsid w:val="002A607E"/>
    <w:rsid w:val="002B205B"/>
    <w:rsid w:val="002B36E5"/>
    <w:rsid w:val="002B4C78"/>
    <w:rsid w:val="002B6D43"/>
    <w:rsid w:val="002C410A"/>
    <w:rsid w:val="002D4170"/>
    <w:rsid w:val="002D7898"/>
    <w:rsid w:val="002E1F0C"/>
    <w:rsid w:val="002E6D0F"/>
    <w:rsid w:val="00300C2A"/>
    <w:rsid w:val="00300FEB"/>
    <w:rsid w:val="00302952"/>
    <w:rsid w:val="00302FE9"/>
    <w:rsid w:val="00314CB8"/>
    <w:rsid w:val="0031552F"/>
    <w:rsid w:val="00326086"/>
    <w:rsid w:val="003517D5"/>
    <w:rsid w:val="0036149F"/>
    <w:rsid w:val="00366C84"/>
    <w:rsid w:val="00383C6A"/>
    <w:rsid w:val="003908A0"/>
    <w:rsid w:val="00395661"/>
    <w:rsid w:val="003A1EF4"/>
    <w:rsid w:val="003B0055"/>
    <w:rsid w:val="003B4F4F"/>
    <w:rsid w:val="003D043A"/>
    <w:rsid w:val="003D2B27"/>
    <w:rsid w:val="003D5B1D"/>
    <w:rsid w:val="003E70C8"/>
    <w:rsid w:val="003E76F7"/>
    <w:rsid w:val="003F0637"/>
    <w:rsid w:val="003F4AFD"/>
    <w:rsid w:val="004009EA"/>
    <w:rsid w:val="00414B4B"/>
    <w:rsid w:val="00416DD1"/>
    <w:rsid w:val="00425105"/>
    <w:rsid w:val="004273B6"/>
    <w:rsid w:val="00436F6A"/>
    <w:rsid w:val="004402D2"/>
    <w:rsid w:val="00440907"/>
    <w:rsid w:val="0044246D"/>
    <w:rsid w:val="00443D0D"/>
    <w:rsid w:val="00444B12"/>
    <w:rsid w:val="00450B30"/>
    <w:rsid w:val="0045508C"/>
    <w:rsid w:val="00456C12"/>
    <w:rsid w:val="004575D5"/>
    <w:rsid w:val="00461106"/>
    <w:rsid w:val="0047711D"/>
    <w:rsid w:val="00490782"/>
    <w:rsid w:val="00494010"/>
    <w:rsid w:val="004A1703"/>
    <w:rsid w:val="004A2C0C"/>
    <w:rsid w:val="004A607A"/>
    <w:rsid w:val="004A7205"/>
    <w:rsid w:val="004B58FF"/>
    <w:rsid w:val="004C51E9"/>
    <w:rsid w:val="004D12D9"/>
    <w:rsid w:val="004D1A90"/>
    <w:rsid w:val="004E03D7"/>
    <w:rsid w:val="004E263D"/>
    <w:rsid w:val="004E58CD"/>
    <w:rsid w:val="004F1E80"/>
    <w:rsid w:val="004F4384"/>
    <w:rsid w:val="004F4B41"/>
    <w:rsid w:val="00501C54"/>
    <w:rsid w:val="0050686E"/>
    <w:rsid w:val="005209ED"/>
    <w:rsid w:val="00522AB9"/>
    <w:rsid w:val="00536220"/>
    <w:rsid w:val="0054547C"/>
    <w:rsid w:val="00545843"/>
    <w:rsid w:val="005469D2"/>
    <w:rsid w:val="005518D5"/>
    <w:rsid w:val="00553936"/>
    <w:rsid w:val="0055547F"/>
    <w:rsid w:val="0056068C"/>
    <w:rsid w:val="005706BA"/>
    <w:rsid w:val="005737EF"/>
    <w:rsid w:val="00573849"/>
    <w:rsid w:val="00584021"/>
    <w:rsid w:val="00594087"/>
    <w:rsid w:val="005A379D"/>
    <w:rsid w:val="005B696A"/>
    <w:rsid w:val="005B7F14"/>
    <w:rsid w:val="005C418A"/>
    <w:rsid w:val="005C509F"/>
    <w:rsid w:val="005C7088"/>
    <w:rsid w:val="005C70E5"/>
    <w:rsid w:val="005D1EDB"/>
    <w:rsid w:val="005D7CD5"/>
    <w:rsid w:val="005E2770"/>
    <w:rsid w:val="00600B79"/>
    <w:rsid w:val="006024CD"/>
    <w:rsid w:val="0061739D"/>
    <w:rsid w:val="006177C2"/>
    <w:rsid w:val="00632F9E"/>
    <w:rsid w:val="0064278A"/>
    <w:rsid w:val="00651776"/>
    <w:rsid w:val="006629AE"/>
    <w:rsid w:val="00665116"/>
    <w:rsid w:val="00680C77"/>
    <w:rsid w:val="00683F84"/>
    <w:rsid w:val="00687E3F"/>
    <w:rsid w:val="006901D1"/>
    <w:rsid w:val="00694294"/>
    <w:rsid w:val="006B53E4"/>
    <w:rsid w:val="006C0DC0"/>
    <w:rsid w:val="006C2DB9"/>
    <w:rsid w:val="006C4B2B"/>
    <w:rsid w:val="006D052C"/>
    <w:rsid w:val="006E4715"/>
    <w:rsid w:val="006E4F1A"/>
    <w:rsid w:val="006E5122"/>
    <w:rsid w:val="006F799B"/>
    <w:rsid w:val="00712A9F"/>
    <w:rsid w:val="0073206A"/>
    <w:rsid w:val="00736D82"/>
    <w:rsid w:val="007631C5"/>
    <w:rsid w:val="007705AC"/>
    <w:rsid w:val="00774031"/>
    <w:rsid w:val="007741C6"/>
    <w:rsid w:val="00781CFE"/>
    <w:rsid w:val="00790EAA"/>
    <w:rsid w:val="007A4B60"/>
    <w:rsid w:val="007A6A07"/>
    <w:rsid w:val="007A6E5C"/>
    <w:rsid w:val="007B1BEC"/>
    <w:rsid w:val="007B50EB"/>
    <w:rsid w:val="007C034F"/>
    <w:rsid w:val="007D46EE"/>
    <w:rsid w:val="007D4CD9"/>
    <w:rsid w:val="007D50EF"/>
    <w:rsid w:val="007D798D"/>
    <w:rsid w:val="007E6BE4"/>
    <w:rsid w:val="008061C0"/>
    <w:rsid w:val="00822CE7"/>
    <w:rsid w:val="0082521C"/>
    <w:rsid w:val="00826EBB"/>
    <w:rsid w:val="0083212B"/>
    <w:rsid w:val="00853E34"/>
    <w:rsid w:val="00857111"/>
    <w:rsid w:val="00866E44"/>
    <w:rsid w:val="008818DD"/>
    <w:rsid w:val="00882179"/>
    <w:rsid w:val="008842CC"/>
    <w:rsid w:val="008A0C4E"/>
    <w:rsid w:val="008A1644"/>
    <w:rsid w:val="008A190B"/>
    <w:rsid w:val="008B23C9"/>
    <w:rsid w:val="008B5129"/>
    <w:rsid w:val="008C2631"/>
    <w:rsid w:val="008D5188"/>
    <w:rsid w:val="008E44AA"/>
    <w:rsid w:val="008F731C"/>
    <w:rsid w:val="008F7FF9"/>
    <w:rsid w:val="00901481"/>
    <w:rsid w:val="009019CD"/>
    <w:rsid w:val="00905DF5"/>
    <w:rsid w:val="00920A6F"/>
    <w:rsid w:val="00920E74"/>
    <w:rsid w:val="009237C9"/>
    <w:rsid w:val="00925CED"/>
    <w:rsid w:val="00927CD5"/>
    <w:rsid w:val="00932285"/>
    <w:rsid w:val="00933376"/>
    <w:rsid w:val="00945069"/>
    <w:rsid w:val="00945BB0"/>
    <w:rsid w:val="009523AE"/>
    <w:rsid w:val="0096212A"/>
    <w:rsid w:val="009638D3"/>
    <w:rsid w:val="00965572"/>
    <w:rsid w:val="00971176"/>
    <w:rsid w:val="00983359"/>
    <w:rsid w:val="00985057"/>
    <w:rsid w:val="00992F27"/>
    <w:rsid w:val="00993E17"/>
    <w:rsid w:val="009A4FAA"/>
    <w:rsid w:val="009B5CA1"/>
    <w:rsid w:val="009D511D"/>
    <w:rsid w:val="009E24F2"/>
    <w:rsid w:val="009F6687"/>
    <w:rsid w:val="00A0372C"/>
    <w:rsid w:val="00A05019"/>
    <w:rsid w:val="00A05287"/>
    <w:rsid w:val="00A27639"/>
    <w:rsid w:val="00A328A0"/>
    <w:rsid w:val="00A33B36"/>
    <w:rsid w:val="00A3735F"/>
    <w:rsid w:val="00A44107"/>
    <w:rsid w:val="00A46BB3"/>
    <w:rsid w:val="00A51540"/>
    <w:rsid w:val="00A537FB"/>
    <w:rsid w:val="00A557B0"/>
    <w:rsid w:val="00A70F68"/>
    <w:rsid w:val="00A73C50"/>
    <w:rsid w:val="00A74746"/>
    <w:rsid w:val="00A93E61"/>
    <w:rsid w:val="00A959D2"/>
    <w:rsid w:val="00AA3CE6"/>
    <w:rsid w:val="00AA4B38"/>
    <w:rsid w:val="00AB6F6C"/>
    <w:rsid w:val="00AD4DD3"/>
    <w:rsid w:val="00AE2225"/>
    <w:rsid w:val="00AE735C"/>
    <w:rsid w:val="00AF2D16"/>
    <w:rsid w:val="00B017FD"/>
    <w:rsid w:val="00B1037E"/>
    <w:rsid w:val="00B10785"/>
    <w:rsid w:val="00B12990"/>
    <w:rsid w:val="00B15F02"/>
    <w:rsid w:val="00B16E17"/>
    <w:rsid w:val="00B2696A"/>
    <w:rsid w:val="00B31000"/>
    <w:rsid w:val="00B3111C"/>
    <w:rsid w:val="00B33687"/>
    <w:rsid w:val="00B37820"/>
    <w:rsid w:val="00B4062F"/>
    <w:rsid w:val="00B47114"/>
    <w:rsid w:val="00B53CEE"/>
    <w:rsid w:val="00B54B3A"/>
    <w:rsid w:val="00B71F3F"/>
    <w:rsid w:val="00B804FD"/>
    <w:rsid w:val="00B82DC5"/>
    <w:rsid w:val="00B8358E"/>
    <w:rsid w:val="00B84607"/>
    <w:rsid w:val="00B86690"/>
    <w:rsid w:val="00B968DB"/>
    <w:rsid w:val="00B97D42"/>
    <w:rsid w:val="00BA4E15"/>
    <w:rsid w:val="00BA7EE5"/>
    <w:rsid w:val="00BB20D7"/>
    <w:rsid w:val="00BB2F8F"/>
    <w:rsid w:val="00BC4905"/>
    <w:rsid w:val="00BE0624"/>
    <w:rsid w:val="00BE1AC3"/>
    <w:rsid w:val="00BF3717"/>
    <w:rsid w:val="00BF4765"/>
    <w:rsid w:val="00C01CB4"/>
    <w:rsid w:val="00C11E59"/>
    <w:rsid w:val="00C15D8A"/>
    <w:rsid w:val="00C15EFB"/>
    <w:rsid w:val="00C17C2D"/>
    <w:rsid w:val="00C208B6"/>
    <w:rsid w:val="00C23189"/>
    <w:rsid w:val="00C26F50"/>
    <w:rsid w:val="00C279F5"/>
    <w:rsid w:val="00C27D18"/>
    <w:rsid w:val="00C27FD8"/>
    <w:rsid w:val="00C341CF"/>
    <w:rsid w:val="00C36161"/>
    <w:rsid w:val="00C43EF9"/>
    <w:rsid w:val="00C523F3"/>
    <w:rsid w:val="00C70662"/>
    <w:rsid w:val="00C70D28"/>
    <w:rsid w:val="00C70F17"/>
    <w:rsid w:val="00C80779"/>
    <w:rsid w:val="00C90CFC"/>
    <w:rsid w:val="00C92D09"/>
    <w:rsid w:val="00CA7F1B"/>
    <w:rsid w:val="00CB29E1"/>
    <w:rsid w:val="00CB3ECA"/>
    <w:rsid w:val="00CB7D30"/>
    <w:rsid w:val="00CC4324"/>
    <w:rsid w:val="00CC797F"/>
    <w:rsid w:val="00CD0BED"/>
    <w:rsid w:val="00CE3499"/>
    <w:rsid w:val="00CF610A"/>
    <w:rsid w:val="00D17229"/>
    <w:rsid w:val="00D231C3"/>
    <w:rsid w:val="00D25A23"/>
    <w:rsid w:val="00D2634B"/>
    <w:rsid w:val="00D2671C"/>
    <w:rsid w:val="00D33BD2"/>
    <w:rsid w:val="00D54E21"/>
    <w:rsid w:val="00D65FA9"/>
    <w:rsid w:val="00D779C4"/>
    <w:rsid w:val="00D829B5"/>
    <w:rsid w:val="00D8437D"/>
    <w:rsid w:val="00D852FE"/>
    <w:rsid w:val="00DA1A35"/>
    <w:rsid w:val="00DA39E9"/>
    <w:rsid w:val="00DB0A5F"/>
    <w:rsid w:val="00DB757D"/>
    <w:rsid w:val="00DC0647"/>
    <w:rsid w:val="00DC2903"/>
    <w:rsid w:val="00DF111C"/>
    <w:rsid w:val="00DF20C1"/>
    <w:rsid w:val="00DF2280"/>
    <w:rsid w:val="00DF3F37"/>
    <w:rsid w:val="00E02991"/>
    <w:rsid w:val="00E05F05"/>
    <w:rsid w:val="00E067D0"/>
    <w:rsid w:val="00E11C09"/>
    <w:rsid w:val="00E12503"/>
    <w:rsid w:val="00E13CE4"/>
    <w:rsid w:val="00E14558"/>
    <w:rsid w:val="00E27829"/>
    <w:rsid w:val="00E31EFB"/>
    <w:rsid w:val="00E43B87"/>
    <w:rsid w:val="00E478F7"/>
    <w:rsid w:val="00E57661"/>
    <w:rsid w:val="00E609CD"/>
    <w:rsid w:val="00E63E2C"/>
    <w:rsid w:val="00E70241"/>
    <w:rsid w:val="00E70D13"/>
    <w:rsid w:val="00E87728"/>
    <w:rsid w:val="00EA4451"/>
    <w:rsid w:val="00EC31FB"/>
    <w:rsid w:val="00ED04C6"/>
    <w:rsid w:val="00ED0661"/>
    <w:rsid w:val="00ED0C6A"/>
    <w:rsid w:val="00ED4601"/>
    <w:rsid w:val="00EE24A1"/>
    <w:rsid w:val="00EF2732"/>
    <w:rsid w:val="00EF2B3A"/>
    <w:rsid w:val="00EF36EA"/>
    <w:rsid w:val="00EF37D5"/>
    <w:rsid w:val="00F01CE1"/>
    <w:rsid w:val="00F07D9E"/>
    <w:rsid w:val="00F14142"/>
    <w:rsid w:val="00F142EA"/>
    <w:rsid w:val="00F41345"/>
    <w:rsid w:val="00F4510B"/>
    <w:rsid w:val="00F46060"/>
    <w:rsid w:val="00F5059B"/>
    <w:rsid w:val="00F53C89"/>
    <w:rsid w:val="00F57981"/>
    <w:rsid w:val="00F60258"/>
    <w:rsid w:val="00F62DDF"/>
    <w:rsid w:val="00F671A0"/>
    <w:rsid w:val="00F7505C"/>
    <w:rsid w:val="00F779C0"/>
    <w:rsid w:val="00FB32CB"/>
    <w:rsid w:val="00FB7FCE"/>
    <w:rsid w:val="00FD79A7"/>
    <w:rsid w:val="00FF10BA"/>
    <w:rsid w:val="00FF4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F8219"/>
  <w15:chartTrackingRefBased/>
  <w15:docId w15:val="{15A4C744-DBC2-47AF-B147-6913FE40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pPr>
      <w:keepNext/>
      <w:tabs>
        <w:tab w:val="left" w:pos="240"/>
      </w:tabs>
      <w:spacing w:after="40"/>
      <w:ind w:left="120" w:right="-120"/>
      <w:outlineLvl w:val="1"/>
    </w:pPr>
    <w:rPr>
      <w:rFonts w:ascii="Helvetica" w:hAnsi="Helvetica"/>
      <w:b/>
      <w:color w:val="FF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Helvetica" w:hAnsi="Helvetica"/>
      <w:b/>
      <w:sz w:val="28"/>
    </w:rPr>
  </w:style>
  <w:style w:type="paragraph" w:styleId="BodyText">
    <w:name w:val="Body Text"/>
    <w:basedOn w:val="Normal"/>
    <w:rPr>
      <w:sz w:val="24"/>
    </w:rPr>
  </w:style>
  <w:style w:type="paragraph" w:styleId="BodyTextIndent">
    <w:name w:val="Body Text Indent"/>
    <w:basedOn w:val="Normal"/>
    <w:pPr>
      <w:ind w:left="360"/>
    </w:pPr>
    <w:rPr>
      <w:sz w:val="24"/>
    </w:rPr>
  </w:style>
  <w:style w:type="paragraph" w:styleId="BlockText">
    <w:name w:val="Block Text"/>
    <w:basedOn w:val="Normal"/>
    <w:pPr>
      <w:tabs>
        <w:tab w:val="left" w:pos="240"/>
      </w:tabs>
      <w:spacing w:after="60"/>
      <w:ind w:left="120" w:right="-120"/>
    </w:pPr>
    <w:rPr>
      <w:color w:val="000000"/>
      <w:sz w:val="22"/>
    </w:rPr>
  </w:style>
  <w:style w:type="paragraph" w:styleId="BodyText2">
    <w:name w:val="Body Text 2"/>
    <w:basedOn w:val="Normal"/>
    <w:rPr>
      <w:color w:val="FF0000"/>
      <w:sz w:val="24"/>
    </w:rPr>
  </w:style>
  <w:style w:type="character" w:styleId="Hyperlink">
    <w:name w:val="Hyperlink"/>
    <w:rsid w:val="00F46060"/>
    <w:rPr>
      <w:color w:val="0000FF"/>
      <w:u w:val="single"/>
    </w:rPr>
  </w:style>
  <w:style w:type="paragraph" w:styleId="ListParagraph">
    <w:name w:val="List Paragraph"/>
    <w:basedOn w:val="Normal"/>
    <w:uiPriority w:val="34"/>
    <w:qFormat/>
    <w:rsid w:val="00077413"/>
    <w:pPr>
      <w:ind w:left="720"/>
    </w:pPr>
  </w:style>
  <w:style w:type="paragraph" w:styleId="HTMLPreformatted">
    <w:name w:val="HTML Preformatted"/>
    <w:basedOn w:val="Normal"/>
    <w:link w:val="HTMLPreformattedChar"/>
    <w:uiPriority w:val="99"/>
    <w:rsid w:val="00AE2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Cs w:val="24"/>
      <w:lang w:bidi="en-US"/>
    </w:rPr>
  </w:style>
  <w:style w:type="character" w:customStyle="1" w:styleId="HTMLPreformattedChar">
    <w:name w:val="HTML Preformatted Char"/>
    <w:link w:val="HTMLPreformatted"/>
    <w:uiPriority w:val="99"/>
    <w:rsid w:val="00AE2225"/>
    <w:rPr>
      <w:rFonts w:ascii="Courier New" w:hAnsi="Courier New" w:cs="Courier New"/>
      <w:szCs w:val="24"/>
      <w:lang w:bidi="en-US"/>
    </w:rPr>
  </w:style>
  <w:style w:type="paragraph" w:styleId="BodyTextIndent2">
    <w:name w:val="Body Text Indent 2"/>
    <w:basedOn w:val="Normal"/>
    <w:link w:val="BodyTextIndent2Char"/>
    <w:rsid w:val="00302952"/>
    <w:pPr>
      <w:spacing w:after="120" w:line="480" w:lineRule="auto"/>
      <w:ind w:left="360"/>
    </w:pPr>
  </w:style>
  <w:style w:type="character" w:customStyle="1" w:styleId="BodyTextIndent2Char">
    <w:name w:val="Body Text Indent 2 Char"/>
    <w:basedOn w:val="DefaultParagraphFont"/>
    <w:link w:val="BodyTextIndent2"/>
    <w:rsid w:val="00302952"/>
  </w:style>
  <w:style w:type="paragraph" w:styleId="List">
    <w:name w:val="List"/>
    <w:basedOn w:val="Normal"/>
    <w:rsid w:val="00E27829"/>
    <w:pPr>
      <w:ind w:left="360" w:hanging="360"/>
    </w:pPr>
    <w:rPr>
      <w:rFonts w:ascii="MS Sans Serif" w:hAnsi="MS Sans Serif"/>
    </w:rPr>
  </w:style>
  <w:style w:type="paragraph" w:styleId="List2">
    <w:name w:val="List 2"/>
    <w:basedOn w:val="Normal"/>
    <w:rsid w:val="00901481"/>
    <w:pPr>
      <w:ind w:left="720" w:hanging="360"/>
      <w:contextualSpacing/>
    </w:pPr>
  </w:style>
  <w:style w:type="paragraph" w:styleId="PlainText">
    <w:name w:val="Plain Text"/>
    <w:basedOn w:val="Normal"/>
    <w:link w:val="PlainTextChar"/>
    <w:uiPriority w:val="99"/>
    <w:unhideWhenUsed/>
    <w:rsid w:val="00D65FA9"/>
    <w:pPr>
      <w:overflowPunct/>
      <w:autoSpaceDE/>
      <w:autoSpaceDN/>
      <w:adjustRightInd/>
      <w:textAlignment w:val="auto"/>
    </w:pPr>
    <w:rPr>
      <w:rFonts w:ascii="Calibri" w:eastAsia="Calibri" w:hAnsi="Calibri"/>
      <w:sz w:val="22"/>
      <w:szCs w:val="21"/>
    </w:rPr>
  </w:style>
  <w:style w:type="character" w:customStyle="1" w:styleId="PlainTextChar">
    <w:name w:val="Plain Text Char"/>
    <w:link w:val="PlainText"/>
    <w:uiPriority w:val="99"/>
    <w:rsid w:val="00D65FA9"/>
    <w:rPr>
      <w:rFonts w:ascii="Calibri" w:eastAsia="Calibri" w:hAnsi="Calibri"/>
      <w:sz w:val="22"/>
      <w:szCs w:val="21"/>
    </w:rPr>
  </w:style>
  <w:style w:type="character" w:styleId="UnresolvedMention">
    <w:name w:val="Unresolved Mention"/>
    <w:uiPriority w:val="99"/>
    <w:semiHidden/>
    <w:unhideWhenUsed/>
    <w:rsid w:val="009B5CA1"/>
    <w:rPr>
      <w:color w:val="605E5C"/>
      <w:shd w:val="clear" w:color="auto" w:fill="E1DFDD"/>
    </w:rPr>
  </w:style>
  <w:style w:type="paragraph" w:styleId="BalloonText">
    <w:name w:val="Balloon Text"/>
    <w:basedOn w:val="Normal"/>
    <w:link w:val="BalloonTextChar"/>
    <w:rsid w:val="00C36161"/>
    <w:rPr>
      <w:rFonts w:ascii="Segoe UI" w:hAnsi="Segoe UI" w:cs="Segoe UI"/>
      <w:sz w:val="18"/>
      <w:szCs w:val="18"/>
    </w:rPr>
  </w:style>
  <w:style w:type="character" w:customStyle="1" w:styleId="BalloonTextChar">
    <w:name w:val="Balloon Text Char"/>
    <w:link w:val="BalloonText"/>
    <w:rsid w:val="00C36161"/>
    <w:rPr>
      <w:rFonts w:ascii="Segoe UI" w:hAnsi="Segoe UI" w:cs="Segoe UI"/>
      <w:sz w:val="18"/>
      <w:szCs w:val="18"/>
    </w:rPr>
  </w:style>
  <w:style w:type="character" w:customStyle="1" w:styleId="FooterChar">
    <w:name w:val="Footer Char"/>
    <w:basedOn w:val="DefaultParagraphFont"/>
    <w:link w:val="Footer"/>
    <w:uiPriority w:val="99"/>
    <w:rsid w:val="00425105"/>
  </w:style>
  <w:style w:type="character" w:styleId="CommentReference">
    <w:name w:val="annotation reference"/>
    <w:basedOn w:val="DefaultParagraphFont"/>
    <w:rsid w:val="00905DF5"/>
    <w:rPr>
      <w:sz w:val="16"/>
      <w:szCs w:val="16"/>
    </w:rPr>
  </w:style>
  <w:style w:type="paragraph" w:styleId="CommentText">
    <w:name w:val="annotation text"/>
    <w:basedOn w:val="Normal"/>
    <w:link w:val="CommentTextChar"/>
    <w:rsid w:val="00905DF5"/>
  </w:style>
  <w:style w:type="character" w:customStyle="1" w:styleId="CommentTextChar">
    <w:name w:val="Comment Text Char"/>
    <w:basedOn w:val="DefaultParagraphFont"/>
    <w:link w:val="CommentText"/>
    <w:rsid w:val="00905DF5"/>
  </w:style>
  <w:style w:type="paragraph" w:styleId="CommentSubject">
    <w:name w:val="annotation subject"/>
    <w:basedOn w:val="CommentText"/>
    <w:next w:val="CommentText"/>
    <w:link w:val="CommentSubjectChar"/>
    <w:rsid w:val="00905DF5"/>
    <w:rPr>
      <w:b/>
      <w:bCs/>
    </w:rPr>
  </w:style>
  <w:style w:type="character" w:customStyle="1" w:styleId="CommentSubjectChar">
    <w:name w:val="Comment Subject Char"/>
    <w:basedOn w:val="CommentTextChar"/>
    <w:link w:val="CommentSubject"/>
    <w:rsid w:val="00905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315146">
      <w:bodyDiv w:val="1"/>
      <w:marLeft w:val="0"/>
      <w:marRight w:val="0"/>
      <w:marTop w:val="0"/>
      <w:marBottom w:val="0"/>
      <w:divBdr>
        <w:top w:val="none" w:sz="0" w:space="0" w:color="auto"/>
        <w:left w:val="none" w:sz="0" w:space="0" w:color="auto"/>
        <w:bottom w:val="none" w:sz="0" w:space="0" w:color="auto"/>
        <w:right w:val="none" w:sz="0" w:space="0" w:color="auto"/>
      </w:divBdr>
    </w:div>
    <w:div w:id="17454445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24110102">
          <w:marLeft w:val="0"/>
          <w:marRight w:val="0"/>
          <w:marTop w:val="0"/>
          <w:marBottom w:val="0"/>
          <w:divBdr>
            <w:top w:val="none" w:sz="0" w:space="0" w:color="auto"/>
            <w:left w:val="none" w:sz="0" w:space="0" w:color="auto"/>
            <w:bottom w:val="none" w:sz="0" w:space="0" w:color="auto"/>
            <w:right w:val="none" w:sz="0" w:space="0" w:color="auto"/>
          </w:divBdr>
          <w:divsChild>
            <w:div w:id="1681735765">
              <w:marLeft w:val="0"/>
              <w:marRight w:val="0"/>
              <w:marTop w:val="0"/>
              <w:marBottom w:val="0"/>
              <w:divBdr>
                <w:top w:val="none" w:sz="0" w:space="0" w:color="auto"/>
                <w:left w:val="none" w:sz="0" w:space="0" w:color="auto"/>
                <w:bottom w:val="none" w:sz="0" w:space="0" w:color="auto"/>
                <w:right w:val="none" w:sz="0" w:space="0" w:color="auto"/>
              </w:divBdr>
              <w:divsChild>
                <w:div w:id="603147108">
                  <w:marLeft w:val="0"/>
                  <w:marRight w:val="0"/>
                  <w:marTop w:val="0"/>
                  <w:marBottom w:val="0"/>
                  <w:divBdr>
                    <w:top w:val="none" w:sz="0" w:space="0" w:color="auto"/>
                    <w:left w:val="none" w:sz="0" w:space="0" w:color="auto"/>
                    <w:bottom w:val="none" w:sz="0" w:space="0" w:color="auto"/>
                    <w:right w:val="none" w:sz="0" w:space="0" w:color="auto"/>
                  </w:divBdr>
                  <w:divsChild>
                    <w:div w:id="52771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4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F6ED18BB158941A637FB61B4844667" ma:contentTypeVersion="15" ma:contentTypeDescription="Create a new document." ma:contentTypeScope="" ma:versionID="f19292471a0e969f81d6b754a01f008f">
  <xsd:schema xmlns:xsd="http://www.w3.org/2001/XMLSchema" xmlns:xs="http://www.w3.org/2001/XMLSchema" xmlns:p="http://schemas.microsoft.com/office/2006/metadata/properties" xmlns:ns1="http://schemas.microsoft.com/sharepoint/v3" xmlns:ns3="bd0d42a1-3cac-46ac-b14e-063baaeeb0d5" xmlns:ns4="66780095-3e77-4be1-9501-f99fa1338296" targetNamespace="http://schemas.microsoft.com/office/2006/metadata/properties" ma:root="true" ma:fieldsID="fc1d7b9f38ae330b246cb2682ea63bf1" ns1:_="" ns3:_="" ns4:_="">
    <xsd:import namespace="http://schemas.microsoft.com/sharepoint/v3"/>
    <xsd:import namespace="bd0d42a1-3cac-46ac-b14e-063baaeeb0d5"/>
    <xsd:import namespace="66780095-3e77-4be1-9501-f99fa13382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d42a1-3cac-46ac-b14e-063baaeeb0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80095-3e77-4be1-9501-f99fa13382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5A8E1C-EA4F-4038-BAC0-EE582C7FD33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7286A35-9691-4E60-9CB4-6D52BE964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0d42a1-3cac-46ac-b14e-063baaeeb0d5"/>
    <ds:schemaRef ds:uri="66780095-3e77-4be1-9501-f99fa1338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F6E81A-4115-4244-94AB-8CBE76ADD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3408</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22795</CharactersWithSpaces>
  <SharedDoc>false</SharedDoc>
  <HLinks>
    <vt:vector size="6" baseType="variant">
      <vt:variant>
        <vt:i4>7602206</vt:i4>
      </vt:variant>
      <vt:variant>
        <vt:i4>113</vt:i4>
      </vt:variant>
      <vt:variant>
        <vt:i4>0</vt:i4>
      </vt:variant>
      <vt:variant>
        <vt:i4>5</vt:i4>
      </vt:variant>
      <vt:variant>
        <vt:lpwstr>https://www.bls.gov/oes/current/oes_nat.htm</vt:lpwstr>
      </vt:variant>
      <vt:variant>
        <vt:lpwstr>13-0000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cp:lastModifiedBy>Pollard, Colette</cp:lastModifiedBy>
  <cp:revision>2</cp:revision>
  <cp:lastPrinted>2019-07-23T20:05:00Z</cp:lastPrinted>
  <dcterms:created xsi:type="dcterms:W3CDTF">2020-03-30T17:24:00Z</dcterms:created>
  <dcterms:modified xsi:type="dcterms:W3CDTF">2020-03-30T17:24:00Z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0x01010023F6ED18BB158941A637FB61B4844667</vt:lpwstr>
  </property>
</Properties>
</file>