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B3334" w14:textId="77777777" w:rsidR="00C64707" w:rsidRPr="00C64707" w:rsidRDefault="00C64707" w:rsidP="00C64707">
      <w:pPr>
        <w:shd w:val="clear" w:color="auto" w:fill="FFFFFF"/>
        <w:spacing w:after="0" w:line="240" w:lineRule="auto"/>
        <w:jc w:val="center"/>
        <w:rPr>
          <w:rFonts w:ascii="Arial" w:eastAsia="Times New Roman" w:hAnsi="Arial" w:cs="Arial"/>
          <w:color w:val="555555"/>
          <w:sz w:val="24"/>
          <w:szCs w:val="24"/>
        </w:rPr>
      </w:pPr>
      <w:bookmarkStart w:id="0" w:name="_GoBack"/>
      <w:bookmarkEnd w:id="0"/>
      <w:r w:rsidRPr="00C64707">
        <w:rPr>
          <w:rFonts w:ascii="Arial" w:eastAsia="Times New Roman" w:hAnsi="Arial" w:cs="Arial"/>
          <w:b/>
          <w:bCs/>
          <w:color w:val="555555"/>
          <w:sz w:val="24"/>
          <w:szCs w:val="24"/>
        </w:rPr>
        <w:t>Supporting Statement A</w:t>
      </w:r>
    </w:p>
    <w:p w14:paraId="78182C40" w14:textId="4B9FC8CD" w:rsidR="00C64707" w:rsidRDefault="00A94048" w:rsidP="00F322BD">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 xml:space="preserve">Flight Attendant Fatigue Risk Management Plan </w:t>
      </w:r>
    </w:p>
    <w:p w14:paraId="526695B3" w14:textId="77777777" w:rsidR="00F322BD" w:rsidRPr="00C64707" w:rsidRDefault="00F322BD" w:rsidP="00C64707">
      <w:pPr>
        <w:shd w:val="clear" w:color="auto" w:fill="FFFFFF"/>
        <w:spacing w:after="0" w:line="240" w:lineRule="auto"/>
        <w:rPr>
          <w:rFonts w:ascii="Arial" w:eastAsia="Times New Roman" w:hAnsi="Arial" w:cs="Arial"/>
          <w:color w:val="555555"/>
          <w:sz w:val="24"/>
          <w:szCs w:val="24"/>
        </w:rPr>
      </w:pPr>
    </w:p>
    <w:p w14:paraId="4489D702"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14:paraId="770A3F8A"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7E0BE9BF" w14:textId="4F37BFD9" w:rsidR="00E5171C" w:rsidRDefault="00957856" w:rsidP="00C64707">
      <w:pPr>
        <w:shd w:val="clear" w:color="auto" w:fill="FFFFFF"/>
        <w:spacing w:after="0" w:line="240" w:lineRule="auto"/>
        <w:rPr>
          <w:rFonts w:ascii="Arial" w:eastAsia="Times New Roman" w:hAnsi="Arial" w:cs="Arial"/>
          <w:color w:val="555555"/>
          <w:sz w:val="24"/>
          <w:szCs w:val="24"/>
        </w:rPr>
      </w:pPr>
      <w:r w:rsidRPr="00957856">
        <w:rPr>
          <w:rFonts w:ascii="Arial" w:eastAsia="Times New Roman" w:hAnsi="Arial" w:cs="Arial"/>
          <w:color w:val="555555"/>
          <w:sz w:val="24"/>
          <w:szCs w:val="24"/>
        </w:rPr>
        <w:t>On October 5, 2018, Congress enacted Public Law 115-254, the FAA Reauthorization Act of 2018 (“the Act”). Section 335(b) of the Act required each certificate holder operating under 14 CFR part 121 to submit</w:t>
      </w:r>
      <w:r w:rsidR="005159C0">
        <w:rPr>
          <w:rFonts w:ascii="Arial" w:eastAsia="Times New Roman" w:hAnsi="Arial" w:cs="Arial"/>
          <w:color w:val="555555"/>
          <w:sz w:val="24"/>
          <w:szCs w:val="24"/>
        </w:rPr>
        <w:t>/report</w:t>
      </w:r>
      <w:r w:rsidRPr="00957856">
        <w:rPr>
          <w:rFonts w:ascii="Arial" w:eastAsia="Times New Roman" w:hAnsi="Arial" w:cs="Arial"/>
          <w:color w:val="555555"/>
          <w:sz w:val="24"/>
          <w:szCs w:val="24"/>
        </w:rPr>
        <w:t xml:space="preserve"> to the FAA for review and acceptance a Fatigue Risk Management Plan (</w:t>
      </w:r>
      <w:r w:rsidR="00606A73">
        <w:rPr>
          <w:rFonts w:ascii="Arial" w:eastAsia="Times New Roman" w:hAnsi="Arial" w:cs="Arial"/>
          <w:color w:val="555555"/>
          <w:sz w:val="24"/>
          <w:szCs w:val="24"/>
        </w:rPr>
        <w:t xml:space="preserve">FA </w:t>
      </w:r>
      <w:r w:rsidRPr="00957856">
        <w:rPr>
          <w:rFonts w:ascii="Arial" w:eastAsia="Times New Roman" w:hAnsi="Arial" w:cs="Arial"/>
          <w:color w:val="555555"/>
          <w:sz w:val="24"/>
          <w:szCs w:val="24"/>
        </w:rPr>
        <w:t>FRMP) for each certificate holder’s flight attendants. Section 335(b) contains the required contents of the FRMP, including a rest scheme consistent with current flight time and duty period limitations and development and use of methodology to continually assess the effectiveness of the ability of the plan to improve alertness and mitigate performance errors. Section 335(b) requires that each certificate holder operating under 14 CFR part 121 shall update its FRMP every two years and submit</w:t>
      </w:r>
      <w:r w:rsidR="005159C0">
        <w:rPr>
          <w:rFonts w:ascii="Arial" w:eastAsia="Times New Roman" w:hAnsi="Arial" w:cs="Arial"/>
          <w:color w:val="555555"/>
          <w:sz w:val="24"/>
          <w:szCs w:val="24"/>
        </w:rPr>
        <w:t>/report</w:t>
      </w:r>
      <w:r w:rsidRPr="00957856">
        <w:rPr>
          <w:rFonts w:ascii="Arial" w:eastAsia="Times New Roman" w:hAnsi="Arial" w:cs="Arial"/>
          <w:color w:val="555555"/>
          <w:sz w:val="24"/>
          <w:szCs w:val="24"/>
        </w:rPr>
        <w:t xml:space="preserve"> the update to the FAA for review and acceptance. Further, section 335(b) of the Act requires each certificate holder operating under 14 CFR part 121 to comply with its FRMP that is accepted by the FAA.</w:t>
      </w:r>
    </w:p>
    <w:p w14:paraId="2A1335D4"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3E04E028"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14:paraId="5C1825B6" w14:textId="71BE22B7" w:rsid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E5171C">
        <w:rPr>
          <w:rFonts w:ascii="Arial" w:eastAsia="Times New Roman" w:hAnsi="Arial" w:cs="Arial"/>
          <w:color w:val="555555"/>
          <w:sz w:val="24"/>
          <w:szCs w:val="24"/>
        </w:rPr>
        <w:t>Air carriers operating under 14 CFR part 121 are mandated by the FAA Reauthorization Act of 2018 to su</w:t>
      </w:r>
      <w:r w:rsidR="0097290B">
        <w:rPr>
          <w:rFonts w:ascii="Arial" w:eastAsia="Times New Roman" w:hAnsi="Arial" w:cs="Arial"/>
          <w:color w:val="555555"/>
          <w:sz w:val="24"/>
          <w:szCs w:val="24"/>
        </w:rPr>
        <w:t>bmit</w:t>
      </w:r>
      <w:r w:rsidR="005159C0">
        <w:rPr>
          <w:rFonts w:ascii="Arial" w:eastAsia="Times New Roman" w:hAnsi="Arial" w:cs="Arial"/>
          <w:color w:val="555555"/>
          <w:sz w:val="24"/>
          <w:szCs w:val="24"/>
        </w:rPr>
        <w:t>/report</w:t>
      </w:r>
      <w:r w:rsidR="0097290B">
        <w:rPr>
          <w:rFonts w:ascii="Arial" w:eastAsia="Times New Roman" w:hAnsi="Arial" w:cs="Arial"/>
          <w:color w:val="555555"/>
          <w:sz w:val="24"/>
          <w:szCs w:val="24"/>
        </w:rPr>
        <w:t xml:space="preserve"> the information to the FAA. </w:t>
      </w:r>
      <w:r w:rsidR="005159C0">
        <w:rPr>
          <w:rFonts w:ascii="Arial" w:eastAsia="Times New Roman" w:hAnsi="Arial" w:cs="Arial"/>
          <w:color w:val="555555"/>
          <w:sz w:val="24"/>
          <w:szCs w:val="24"/>
        </w:rPr>
        <w:t xml:space="preserve">Certificate holders operating under 14 CFR part 121 must submit/report to the FAA for review and acceptance a Fatigue Risk Management Plan for each certificate holder’s flight attendants.  </w:t>
      </w:r>
      <w:r w:rsidR="0097290B">
        <w:rPr>
          <w:rFonts w:ascii="Arial" w:eastAsia="Times New Roman" w:hAnsi="Arial" w:cs="Arial"/>
          <w:color w:val="555555"/>
          <w:sz w:val="24"/>
          <w:szCs w:val="24"/>
        </w:rPr>
        <w:t xml:space="preserve">The </w:t>
      </w:r>
      <w:r w:rsidR="0055136E">
        <w:rPr>
          <w:rFonts w:ascii="Arial" w:eastAsia="Times New Roman" w:hAnsi="Arial" w:cs="Arial"/>
          <w:color w:val="555555"/>
          <w:sz w:val="24"/>
          <w:szCs w:val="24"/>
        </w:rPr>
        <w:t>FA FRMP</w:t>
      </w:r>
      <w:r w:rsidR="0097290B">
        <w:rPr>
          <w:rFonts w:ascii="Arial" w:eastAsia="Times New Roman" w:hAnsi="Arial" w:cs="Arial"/>
          <w:color w:val="555555"/>
          <w:sz w:val="24"/>
          <w:szCs w:val="24"/>
        </w:rPr>
        <w:t xml:space="preserve"> </w:t>
      </w:r>
      <w:r w:rsidR="0097290B" w:rsidRPr="0097290B">
        <w:rPr>
          <w:rFonts w:ascii="Arial" w:eastAsia="Times New Roman" w:hAnsi="Arial" w:cs="Arial"/>
          <w:color w:val="555555"/>
          <w:sz w:val="24"/>
          <w:szCs w:val="24"/>
        </w:rPr>
        <w:t xml:space="preserve">is reviewed </w:t>
      </w:r>
      <w:r w:rsidR="0097290B">
        <w:rPr>
          <w:rFonts w:ascii="Arial" w:eastAsia="Times New Roman" w:hAnsi="Arial" w:cs="Arial"/>
          <w:color w:val="555555"/>
          <w:sz w:val="24"/>
          <w:szCs w:val="24"/>
        </w:rPr>
        <w:t xml:space="preserve">and accepted </w:t>
      </w:r>
      <w:r w:rsidR="0097290B" w:rsidRPr="0097290B">
        <w:rPr>
          <w:rFonts w:ascii="Arial" w:eastAsia="Times New Roman" w:hAnsi="Arial" w:cs="Arial"/>
          <w:color w:val="555555"/>
          <w:sz w:val="24"/>
          <w:szCs w:val="24"/>
        </w:rPr>
        <w:t xml:space="preserve">by the FAA principal operations inspector (POI) responsible for oversight of the certificate holding respondent.  </w:t>
      </w:r>
      <w:r w:rsidR="005159C0">
        <w:rPr>
          <w:rFonts w:ascii="Arial" w:eastAsia="Times New Roman" w:hAnsi="Arial" w:cs="Arial"/>
          <w:color w:val="555555"/>
          <w:sz w:val="24"/>
          <w:szCs w:val="24"/>
        </w:rPr>
        <w:t xml:space="preserve">Additionally, 14 CFR part 121 certificate holders must update its FRMP every two years and submit/report the update to the FAA for review and acceptance.  </w:t>
      </w:r>
    </w:p>
    <w:p w14:paraId="256BA663" w14:textId="77777777" w:rsidR="0097290B" w:rsidRPr="00C64707" w:rsidRDefault="0097290B" w:rsidP="00C64707">
      <w:pPr>
        <w:shd w:val="clear" w:color="auto" w:fill="FFFFFF"/>
        <w:spacing w:after="0" w:line="240" w:lineRule="auto"/>
        <w:rPr>
          <w:rFonts w:ascii="Arial" w:eastAsia="Times New Roman" w:hAnsi="Arial" w:cs="Arial"/>
          <w:color w:val="555555"/>
          <w:sz w:val="24"/>
          <w:szCs w:val="24"/>
        </w:rPr>
      </w:pPr>
    </w:p>
    <w:p w14:paraId="2DDAF3B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Altho</w:t>
      </w:r>
      <w:r w:rsidR="0097290B">
        <w:rPr>
          <w:rFonts w:ascii="Arial" w:eastAsia="Times New Roman" w:hAnsi="Arial" w:cs="Arial"/>
          <w:color w:val="555555"/>
          <w:sz w:val="24"/>
          <w:szCs w:val="24"/>
        </w:rPr>
        <w:t xml:space="preserve">ugh the information collected </w:t>
      </w:r>
      <w:r w:rsidRPr="00C64707">
        <w:rPr>
          <w:rFonts w:ascii="Arial" w:eastAsia="Times New Roman" w:hAnsi="Arial" w:cs="Arial"/>
          <w:color w:val="555555"/>
          <w:sz w:val="24"/>
          <w:szCs w:val="24"/>
        </w:rPr>
        <w:t>may be not expected to be disseminated directly to the public, results may be used in scientific, management, technical or general informational publications.</w:t>
      </w:r>
    </w:p>
    <w:p w14:paraId="43C38AF8"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14:paraId="3FB71260" w14:textId="27FE1898" w:rsidR="0097290B" w:rsidRPr="0097290B" w:rsidRDefault="00C64707" w:rsidP="0097290B">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97290B" w:rsidRPr="0097290B">
        <w:rPr>
          <w:rFonts w:ascii="Arial" w:eastAsia="Times New Roman" w:hAnsi="Arial" w:cs="Arial"/>
          <w:color w:val="555555"/>
          <w:sz w:val="24"/>
          <w:szCs w:val="24"/>
        </w:rPr>
        <w:t xml:space="preserve">Air carriers </w:t>
      </w:r>
      <w:r w:rsidR="0097290B">
        <w:rPr>
          <w:rFonts w:ascii="Arial" w:eastAsia="Times New Roman" w:hAnsi="Arial" w:cs="Arial"/>
          <w:color w:val="555555"/>
          <w:sz w:val="24"/>
          <w:szCs w:val="24"/>
        </w:rPr>
        <w:t xml:space="preserve">required to submit the </w:t>
      </w:r>
      <w:r w:rsidR="0055136E">
        <w:rPr>
          <w:rFonts w:ascii="Arial" w:eastAsia="Times New Roman" w:hAnsi="Arial" w:cs="Arial"/>
          <w:color w:val="555555"/>
          <w:sz w:val="24"/>
          <w:szCs w:val="24"/>
        </w:rPr>
        <w:t>FA FRMP</w:t>
      </w:r>
      <w:r w:rsidR="0097290B">
        <w:rPr>
          <w:rFonts w:ascii="Arial" w:eastAsia="Times New Roman" w:hAnsi="Arial" w:cs="Arial"/>
          <w:color w:val="555555"/>
          <w:sz w:val="24"/>
          <w:szCs w:val="24"/>
        </w:rPr>
        <w:t xml:space="preserve"> </w:t>
      </w:r>
      <w:r w:rsidR="0097290B" w:rsidRPr="0097290B">
        <w:rPr>
          <w:rFonts w:ascii="Arial" w:eastAsia="Times New Roman" w:hAnsi="Arial" w:cs="Arial"/>
          <w:color w:val="555555"/>
          <w:sz w:val="24"/>
          <w:szCs w:val="24"/>
        </w:rPr>
        <w:t xml:space="preserve">make use of state-of-the art automated electronic collection and data transmission techniques as the primary means of compliance with </w:t>
      </w:r>
      <w:r w:rsidR="0097290B">
        <w:rPr>
          <w:rFonts w:ascii="Arial" w:eastAsia="Times New Roman" w:hAnsi="Arial" w:cs="Arial"/>
          <w:color w:val="555555"/>
          <w:sz w:val="24"/>
          <w:szCs w:val="24"/>
        </w:rPr>
        <w:t xml:space="preserve">the statutory mandate to develop and submit the </w:t>
      </w:r>
      <w:r w:rsidR="0055136E">
        <w:rPr>
          <w:rFonts w:ascii="Arial" w:eastAsia="Times New Roman" w:hAnsi="Arial" w:cs="Arial"/>
          <w:color w:val="555555"/>
          <w:sz w:val="24"/>
          <w:szCs w:val="24"/>
        </w:rPr>
        <w:t xml:space="preserve">FA FRMP. </w:t>
      </w:r>
      <w:r w:rsidR="0097290B" w:rsidRPr="0097290B">
        <w:rPr>
          <w:rFonts w:ascii="Arial" w:eastAsia="Times New Roman" w:hAnsi="Arial" w:cs="Arial"/>
          <w:color w:val="555555"/>
          <w:sz w:val="24"/>
          <w:szCs w:val="24"/>
        </w:rPr>
        <w:t xml:space="preserve"> This information collection is compliant with the Government Paperwork Elimination Act (GPEA). </w:t>
      </w:r>
    </w:p>
    <w:p w14:paraId="6D48D53F" w14:textId="77777777" w:rsidR="0097290B" w:rsidRDefault="0097290B" w:rsidP="0097290B">
      <w:pPr>
        <w:shd w:val="clear" w:color="auto" w:fill="FFFFFF"/>
        <w:spacing w:after="0" w:line="240" w:lineRule="auto"/>
        <w:rPr>
          <w:rFonts w:ascii="Arial" w:eastAsia="Times New Roman" w:hAnsi="Arial" w:cs="Arial"/>
          <w:color w:val="555555"/>
          <w:sz w:val="24"/>
          <w:szCs w:val="24"/>
        </w:rPr>
      </w:pPr>
    </w:p>
    <w:p w14:paraId="1E29D311" w14:textId="77777777" w:rsidR="00C64707" w:rsidRPr="00C64707" w:rsidRDefault="0097290B" w:rsidP="0097290B">
      <w:pPr>
        <w:shd w:val="clear" w:color="auto" w:fill="FFFFFF"/>
        <w:spacing w:after="0" w:line="240" w:lineRule="auto"/>
        <w:rPr>
          <w:rFonts w:ascii="Arial" w:eastAsia="Times New Roman" w:hAnsi="Arial" w:cs="Arial"/>
          <w:color w:val="555555"/>
          <w:sz w:val="24"/>
          <w:szCs w:val="24"/>
        </w:rPr>
      </w:pPr>
      <w:r w:rsidRPr="0097290B">
        <w:rPr>
          <w:rFonts w:ascii="Arial" w:eastAsia="Times New Roman" w:hAnsi="Arial" w:cs="Arial"/>
          <w:color w:val="555555"/>
          <w:sz w:val="24"/>
          <w:szCs w:val="24"/>
        </w:rPr>
        <w:t xml:space="preserve">There is no form involved with this collection.  </w:t>
      </w:r>
    </w:p>
    <w:p w14:paraId="4592EC59"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3081DC83"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00F560B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14:paraId="608B0445"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502FBE15" w14:textId="77777777" w:rsidR="00FB2318" w:rsidRPr="00FB2318" w:rsidRDefault="00FB2318" w:rsidP="00FB231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S</w:t>
      </w:r>
      <w:r w:rsidRPr="00FB2318">
        <w:rPr>
          <w:rFonts w:ascii="Arial" w:eastAsia="Times New Roman" w:hAnsi="Arial" w:cs="Arial"/>
          <w:color w:val="555555"/>
          <w:sz w:val="24"/>
          <w:szCs w:val="24"/>
        </w:rPr>
        <w:t xml:space="preserve">imilar information is not available from any other source, and FAA experience since implementation validates that </w:t>
      </w:r>
      <w:r>
        <w:rPr>
          <w:rFonts w:ascii="Arial" w:eastAsia="Times New Roman" w:hAnsi="Arial" w:cs="Arial"/>
          <w:color w:val="555555"/>
          <w:sz w:val="24"/>
          <w:szCs w:val="24"/>
        </w:rPr>
        <w:t>there is no</w:t>
      </w:r>
      <w:r w:rsidRPr="00FB2318">
        <w:rPr>
          <w:rFonts w:ascii="Arial" w:eastAsia="Times New Roman" w:hAnsi="Arial" w:cs="Arial"/>
          <w:color w:val="555555"/>
          <w:sz w:val="24"/>
          <w:szCs w:val="24"/>
        </w:rPr>
        <w:t xml:space="preserve"> duplication of information reporting requirements.</w:t>
      </w:r>
    </w:p>
    <w:p w14:paraId="529C09F6" w14:textId="77777777" w:rsidR="00C64707" w:rsidRPr="00C64707" w:rsidRDefault="00FB2318" w:rsidP="00FB2318">
      <w:pPr>
        <w:shd w:val="clear" w:color="auto" w:fill="FFFFFF"/>
        <w:spacing w:after="0" w:line="240" w:lineRule="auto"/>
        <w:rPr>
          <w:rFonts w:ascii="Arial" w:eastAsia="Times New Roman" w:hAnsi="Arial" w:cs="Arial"/>
          <w:color w:val="555555"/>
          <w:sz w:val="24"/>
          <w:szCs w:val="24"/>
        </w:rPr>
      </w:pPr>
      <w:r w:rsidRPr="00FB2318">
        <w:rPr>
          <w:rFonts w:ascii="Arial" w:eastAsia="Times New Roman" w:hAnsi="Arial" w:cs="Arial"/>
          <w:color w:val="555555"/>
          <w:sz w:val="24"/>
          <w:szCs w:val="24"/>
        </w:rPr>
        <w:br/>
      </w:r>
      <w:r w:rsidR="00C64707" w:rsidRPr="00C64707">
        <w:rPr>
          <w:rFonts w:ascii="Arial" w:eastAsia="Times New Roman" w:hAnsi="Arial" w:cs="Arial"/>
          <w:color w:val="555555"/>
          <w:sz w:val="24"/>
          <w:szCs w:val="24"/>
        </w:rPr>
        <w:br/>
      </w:r>
    </w:p>
    <w:p w14:paraId="47371682"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14:paraId="27674189"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3F49E31C" w14:textId="77777777" w:rsidR="00FB2318" w:rsidRPr="00FB2318" w:rsidRDefault="00FB2318" w:rsidP="00FB2318">
      <w:pPr>
        <w:rPr>
          <w:rFonts w:ascii="Arial" w:eastAsia="Times New Roman" w:hAnsi="Arial" w:cs="Arial"/>
          <w:color w:val="555555"/>
          <w:sz w:val="24"/>
          <w:szCs w:val="24"/>
        </w:rPr>
      </w:pPr>
      <w:r w:rsidRPr="00FB2318">
        <w:rPr>
          <w:rFonts w:ascii="Arial" w:eastAsia="Times New Roman" w:hAnsi="Arial" w:cs="Arial"/>
          <w:color w:val="555555"/>
          <w:sz w:val="24"/>
          <w:szCs w:val="24"/>
        </w:rPr>
        <w:t>The rule was reviewed by the FAA’s Office of Policy and was determined not have a significant effect on small entities.</w:t>
      </w:r>
    </w:p>
    <w:p w14:paraId="109A87CF"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358D37D"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14:paraId="51B61A3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52192FA3" w14:textId="77777777" w:rsidR="00C64707" w:rsidRPr="00C64707" w:rsidRDefault="00FB2318"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Air carriers are statutorily mandated to submit the information to the FAA. </w:t>
      </w:r>
    </w:p>
    <w:p w14:paraId="2B4550C4"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D382CCC"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14:paraId="0F1B4D6D"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report information to the agency more often than quarterly;</w:t>
      </w:r>
    </w:p>
    <w:p w14:paraId="257614BC"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prepare a written response to a collection of information in fewer than 30 days after receipt of it;</w:t>
      </w:r>
    </w:p>
    <w:p w14:paraId="3E06245F"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14:paraId="0CAE3392"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lastRenderedPageBreak/>
        <w:t>in connection with a statistical survey, that is not designed to produce valid and reliable results that can be generalized to the universe of study;</w:t>
      </w:r>
    </w:p>
    <w:p w14:paraId="11FD2077"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the use of a statistical data classification that has not been reviewed and approved by OMB;</w:t>
      </w:r>
    </w:p>
    <w:p w14:paraId="36D32017"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C82E84C"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25169290" w14:textId="77777777" w:rsidR="00FB2318" w:rsidRPr="00C64707" w:rsidRDefault="00FB2318" w:rsidP="00FB231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There are no special circumstances or inconsistencies in this collection</w:t>
      </w:r>
      <w:r w:rsidRPr="00C64707">
        <w:rPr>
          <w:rFonts w:ascii="Arial" w:eastAsia="Times New Roman" w:hAnsi="Arial" w:cs="Arial"/>
          <w:color w:val="555555"/>
          <w:sz w:val="24"/>
          <w:szCs w:val="24"/>
        </w:rPr>
        <w:t>.</w:t>
      </w:r>
    </w:p>
    <w:p w14:paraId="6E0167D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46F89E08"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AA600A">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AD38254"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2F3BC029" w14:textId="57A2B0C2"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 xml:space="preserve">A Federal Register Notice published on </w:t>
      </w:r>
      <w:r w:rsidR="00AA600A">
        <w:rPr>
          <w:rFonts w:ascii="Arial" w:eastAsia="Times New Roman" w:hAnsi="Arial" w:cs="Arial"/>
          <w:color w:val="555555"/>
          <w:sz w:val="24"/>
          <w:szCs w:val="24"/>
        </w:rPr>
        <w:t>November 1, 2019 (84</w:t>
      </w:r>
      <w:r w:rsidRPr="00C64707">
        <w:rPr>
          <w:rFonts w:ascii="Arial" w:eastAsia="Times New Roman" w:hAnsi="Arial" w:cs="Arial"/>
          <w:color w:val="555555"/>
          <w:sz w:val="24"/>
          <w:szCs w:val="24"/>
        </w:rPr>
        <w:t xml:space="preserve"> FR </w:t>
      </w:r>
      <w:r w:rsidR="00AA600A">
        <w:rPr>
          <w:rFonts w:ascii="Arial" w:eastAsia="Times New Roman" w:hAnsi="Arial" w:cs="Arial"/>
          <w:color w:val="555555"/>
          <w:sz w:val="24"/>
          <w:szCs w:val="24"/>
        </w:rPr>
        <w:t>58816)</w:t>
      </w:r>
      <w:r w:rsidRPr="00C64707">
        <w:rPr>
          <w:rFonts w:ascii="Arial" w:eastAsia="Times New Roman" w:hAnsi="Arial" w:cs="Arial"/>
          <w:color w:val="555555"/>
          <w:sz w:val="24"/>
          <w:szCs w:val="24"/>
        </w:rPr>
        <w:t>, solicited public comment. No comments were received</w:t>
      </w:r>
      <w:r w:rsidR="00AA600A">
        <w:rPr>
          <w:rFonts w:ascii="Arial" w:eastAsia="Times New Roman" w:hAnsi="Arial" w:cs="Arial"/>
          <w:color w:val="555555"/>
          <w:sz w:val="24"/>
          <w:szCs w:val="24"/>
        </w:rPr>
        <w:t xml:space="preserve">.  </w:t>
      </w:r>
    </w:p>
    <w:p w14:paraId="2247B119"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3B49D05E"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14:paraId="19CB8D07"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30EE0815" w14:textId="77777777" w:rsidR="00C64707" w:rsidRPr="00C64707" w:rsidRDefault="006F6401" w:rsidP="00C64707">
      <w:pPr>
        <w:shd w:val="clear" w:color="auto" w:fill="FFFFFF"/>
        <w:spacing w:after="0" w:line="240" w:lineRule="auto"/>
        <w:rPr>
          <w:rFonts w:ascii="Arial" w:eastAsia="Times New Roman" w:hAnsi="Arial" w:cs="Arial"/>
          <w:color w:val="555555"/>
          <w:sz w:val="24"/>
          <w:szCs w:val="24"/>
        </w:rPr>
      </w:pPr>
      <w:r w:rsidRPr="006F6401">
        <w:rPr>
          <w:rFonts w:ascii="Arial" w:eastAsia="Times New Roman" w:hAnsi="Arial" w:cs="Arial"/>
          <w:color w:val="555555"/>
          <w:sz w:val="24"/>
          <w:szCs w:val="24"/>
        </w:rPr>
        <w:t xml:space="preserve">There is no payment or gift to respondents.  </w:t>
      </w:r>
      <w:r w:rsidR="00C64707" w:rsidRPr="00C64707">
        <w:rPr>
          <w:rFonts w:ascii="Arial" w:eastAsia="Times New Roman" w:hAnsi="Arial" w:cs="Arial"/>
          <w:color w:val="555555"/>
          <w:sz w:val="24"/>
          <w:szCs w:val="24"/>
        </w:rPr>
        <w:br/>
      </w:r>
    </w:p>
    <w:p w14:paraId="36B8CC7F"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14:paraId="6A89E6D2"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4768F974" w14:textId="77777777" w:rsidR="00C64707" w:rsidRPr="00C64707" w:rsidRDefault="006F6401"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No assurances of confidentiality have been provided to respondents. </w:t>
      </w:r>
    </w:p>
    <w:p w14:paraId="2136B7F3"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14:paraId="4B3BB2D4"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14:paraId="4C4848C7"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0C1CEB5D" w14:textId="77777777" w:rsidR="00C64707" w:rsidRPr="00C64707" w:rsidRDefault="006F6401" w:rsidP="00C64707">
      <w:pPr>
        <w:shd w:val="clear" w:color="auto" w:fill="FFFFFF"/>
        <w:spacing w:after="0" w:line="240" w:lineRule="auto"/>
        <w:rPr>
          <w:rFonts w:ascii="Arial" w:eastAsia="Times New Roman" w:hAnsi="Arial" w:cs="Arial"/>
          <w:color w:val="555555"/>
          <w:sz w:val="24"/>
          <w:szCs w:val="24"/>
        </w:rPr>
      </w:pPr>
      <w:r w:rsidRPr="006F6401">
        <w:rPr>
          <w:rFonts w:ascii="Arial" w:eastAsia="Times New Roman" w:hAnsi="Arial" w:cs="Arial"/>
          <w:color w:val="555555"/>
          <w:sz w:val="24"/>
          <w:szCs w:val="24"/>
        </w:rPr>
        <w:t xml:space="preserve">There are no questions anticipated to entail matters commonly considered to be sensitive or private.  </w:t>
      </w:r>
      <w:r w:rsidR="00C64707" w:rsidRPr="00C64707">
        <w:rPr>
          <w:rFonts w:ascii="Arial" w:eastAsia="Times New Roman" w:hAnsi="Arial" w:cs="Arial"/>
          <w:color w:val="555555"/>
          <w:sz w:val="24"/>
          <w:szCs w:val="24"/>
        </w:rPr>
        <w:br/>
      </w:r>
    </w:p>
    <w:p w14:paraId="4C7E05EF"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294B4F">
        <w:rPr>
          <w:rFonts w:ascii="Arial" w:eastAsia="Times New Roman" w:hAnsi="Arial" w:cs="Arial"/>
          <w:b/>
          <w:bCs/>
          <w:color w:val="555555"/>
          <w:sz w:val="24"/>
          <w:szCs w:val="24"/>
        </w:rPr>
        <w:t>12. Provide estimates of the hour burden of the collection of information. The statement should:</w:t>
      </w:r>
    </w:p>
    <w:p w14:paraId="7E4FE8FC" w14:textId="77777777" w:rsidR="00BC2469" w:rsidRDefault="00BC2469" w:rsidP="00C64707">
      <w:pPr>
        <w:shd w:val="clear" w:color="auto" w:fill="FFFFFF"/>
        <w:spacing w:after="0" w:line="240" w:lineRule="auto"/>
        <w:rPr>
          <w:rFonts w:ascii="Arial" w:eastAsia="Times New Roman" w:hAnsi="Arial" w:cs="Arial"/>
          <w:color w:val="555555"/>
          <w:sz w:val="24"/>
          <w:szCs w:val="24"/>
        </w:rPr>
      </w:pPr>
    </w:p>
    <w:p w14:paraId="756FEAFC" w14:textId="0D203E10" w:rsidR="00BC2469" w:rsidRDefault="00BC2469" w:rsidP="00BC2469">
      <w:pPr>
        <w:shd w:val="clear" w:color="auto" w:fill="FFFFFF"/>
        <w:spacing w:after="0" w:line="240" w:lineRule="auto"/>
        <w:rPr>
          <w:rFonts w:ascii="Arial" w:eastAsia="Times New Roman" w:hAnsi="Arial" w:cs="Arial"/>
          <w:color w:val="555555"/>
          <w:sz w:val="24"/>
          <w:szCs w:val="24"/>
        </w:rPr>
      </w:pPr>
      <w:r w:rsidRPr="00BC2469">
        <w:rPr>
          <w:rFonts w:ascii="Arial" w:eastAsia="Times New Roman" w:hAnsi="Arial" w:cs="Arial"/>
          <w:color w:val="555555"/>
          <w:sz w:val="24"/>
          <w:szCs w:val="24"/>
        </w:rPr>
        <w:t xml:space="preserve">Number of respondents who </w:t>
      </w:r>
      <w:r>
        <w:rPr>
          <w:rFonts w:ascii="Arial" w:eastAsia="Times New Roman" w:hAnsi="Arial" w:cs="Arial"/>
          <w:color w:val="555555"/>
          <w:sz w:val="24"/>
          <w:szCs w:val="24"/>
        </w:rPr>
        <w:t>are air carriers under 14 CFR part 121: 70</w:t>
      </w:r>
    </w:p>
    <w:p w14:paraId="28F9945A" w14:textId="09BCFE71" w:rsidR="00BC2469" w:rsidRDefault="00BC2469" w:rsidP="00BC2469">
      <w:pPr>
        <w:shd w:val="clear" w:color="auto" w:fill="FFFFFF"/>
        <w:spacing w:after="0" w:line="240" w:lineRule="auto"/>
        <w:rPr>
          <w:rFonts w:ascii="Arial" w:eastAsia="Times New Roman" w:hAnsi="Arial" w:cs="Arial"/>
          <w:color w:val="555555"/>
          <w:sz w:val="24"/>
          <w:szCs w:val="24"/>
        </w:rPr>
      </w:pPr>
    </w:p>
    <w:p w14:paraId="3279DBF1" w14:textId="1E45DA42" w:rsidR="00BC2469" w:rsidRDefault="00BC2469" w:rsidP="00BC246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Frequency of response per respondent: </w:t>
      </w:r>
      <w:r w:rsidR="002C17CD" w:rsidRPr="002C17CD">
        <w:rPr>
          <w:rFonts w:ascii="Arial" w:eastAsia="Times New Roman" w:hAnsi="Arial" w:cs="Arial"/>
          <w:color w:val="555555"/>
          <w:sz w:val="24"/>
          <w:szCs w:val="24"/>
        </w:rPr>
        <w:t xml:space="preserve">Once for initial acceptance of </w:t>
      </w:r>
      <w:r w:rsidR="002C17CD">
        <w:rPr>
          <w:rFonts w:ascii="Arial" w:eastAsia="Times New Roman" w:hAnsi="Arial" w:cs="Arial"/>
          <w:color w:val="555555"/>
          <w:sz w:val="24"/>
          <w:szCs w:val="24"/>
        </w:rPr>
        <w:t>the FA FRMP</w:t>
      </w:r>
      <w:r w:rsidR="002C17CD" w:rsidRPr="002C17CD">
        <w:rPr>
          <w:rFonts w:ascii="Arial" w:eastAsia="Times New Roman" w:hAnsi="Arial" w:cs="Arial"/>
          <w:color w:val="555555"/>
          <w:sz w:val="24"/>
          <w:szCs w:val="24"/>
        </w:rPr>
        <w:t>, then every two years for submission of an updated plan.</w:t>
      </w:r>
    </w:p>
    <w:p w14:paraId="5EE51FDA" w14:textId="1703DAB2" w:rsidR="00BC2469" w:rsidRDefault="00BC2469" w:rsidP="00BC2469">
      <w:pPr>
        <w:shd w:val="clear" w:color="auto" w:fill="FFFFFF"/>
        <w:spacing w:after="0" w:line="240" w:lineRule="auto"/>
        <w:rPr>
          <w:rFonts w:ascii="Arial" w:eastAsia="Times New Roman" w:hAnsi="Arial" w:cs="Arial"/>
          <w:color w:val="555555"/>
          <w:sz w:val="24"/>
          <w:szCs w:val="24"/>
        </w:rPr>
      </w:pPr>
    </w:p>
    <w:p w14:paraId="5F1D1082" w14:textId="3D39A5AC" w:rsidR="00BC2469" w:rsidRPr="00BC2469" w:rsidRDefault="00BC2469" w:rsidP="00BC2469">
      <w:pPr>
        <w:shd w:val="clear" w:color="auto" w:fill="FFFFFF"/>
        <w:spacing w:after="0" w:line="240" w:lineRule="auto"/>
        <w:rPr>
          <w:rFonts w:ascii="Arial" w:eastAsia="Times New Roman" w:hAnsi="Arial" w:cs="Arial"/>
          <w:color w:val="555555"/>
          <w:sz w:val="24"/>
          <w:szCs w:val="24"/>
        </w:rPr>
      </w:pPr>
      <w:r w:rsidRPr="00BC2469">
        <w:rPr>
          <w:rFonts w:ascii="Arial" w:eastAsia="Times New Roman" w:hAnsi="Arial" w:cs="Arial"/>
          <w:color w:val="555555"/>
          <w:sz w:val="24"/>
          <w:szCs w:val="24"/>
        </w:rPr>
        <w:t>Estimated number of</w:t>
      </w:r>
      <w:r>
        <w:rPr>
          <w:rFonts w:ascii="Arial" w:eastAsia="Times New Roman" w:hAnsi="Arial" w:cs="Arial"/>
          <w:color w:val="555555"/>
          <w:sz w:val="24"/>
          <w:szCs w:val="24"/>
        </w:rPr>
        <w:t xml:space="preserve"> hours per respondent to prepare the </w:t>
      </w:r>
      <w:r w:rsidR="002C17CD">
        <w:rPr>
          <w:rFonts w:ascii="Arial" w:eastAsia="Times New Roman" w:hAnsi="Arial" w:cs="Arial"/>
          <w:color w:val="555555"/>
          <w:sz w:val="24"/>
          <w:szCs w:val="24"/>
        </w:rPr>
        <w:t>FA FRMP</w:t>
      </w:r>
      <w:r>
        <w:rPr>
          <w:rFonts w:ascii="Arial" w:eastAsia="Times New Roman" w:hAnsi="Arial" w:cs="Arial"/>
          <w:color w:val="555555"/>
          <w:sz w:val="24"/>
          <w:szCs w:val="24"/>
        </w:rPr>
        <w:t xml:space="preserve"> </w:t>
      </w:r>
      <w:r w:rsidRPr="00BC2469">
        <w:rPr>
          <w:rFonts w:ascii="Arial" w:eastAsia="Times New Roman" w:hAnsi="Arial" w:cs="Arial"/>
          <w:color w:val="555555"/>
          <w:sz w:val="24"/>
          <w:szCs w:val="24"/>
        </w:rPr>
        <w:t xml:space="preserve">to be submitted to the FAA: </w:t>
      </w:r>
      <w:r>
        <w:rPr>
          <w:rFonts w:ascii="Arial" w:eastAsia="Times New Roman" w:hAnsi="Arial" w:cs="Arial"/>
          <w:color w:val="555555"/>
          <w:sz w:val="24"/>
          <w:szCs w:val="24"/>
        </w:rPr>
        <w:t>20 hours for air carriers</w:t>
      </w:r>
      <w:r w:rsidR="002C17CD">
        <w:rPr>
          <w:rFonts w:ascii="Arial" w:eastAsia="Times New Roman" w:hAnsi="Arial" w:cs="Arial"/>
          <w:color w:val="555555"/>
          <w:sz w:val="24"/>
          <w:szCs w:val="24"/>
        </w:rPr>
        <w:t xml:space="preserve"> submitting the plan for review</w:t>
      </w:r>
      <w:r w:rsidR="007958A0">
        <w:rPr>
          <w:rFonts w:ascii="Arial" w:eastAsia="Times New Roman" w:hAnsi="Arial" w:cs="Arial"/>
          <w:color w:val="555555"/>
          <w:sz w:val="24"/>
          <w:szCs w:val="24"/>
        </w:rPr>
        <w:t xml:space="preserve"> and acceptance</w:t>
      </w:r>
      <w:r w:rsidR="002C17CD">
        <w:rPr>
          <w:rFonts w:ascii="Arial" w:eastAsia="Times New Roman" w:hAnsi="Arial" w:cs="Arial"/>
          <w:color w:val="555555"/>
          <w:sz w:val="24"/>
          <w:szCs w:val="24"/>
        </w:rPr>
        <w:t xml:space="preserve">. </w:t>
      </w:r>
    </w:p>
    <w:p w14:paraId="790F43DC" w14:textId="77777777" w:rsidR="00BC2469" w:rsidRPr="00BC2469" w:rsidRDefault="00BC2469" w:rsidP="00BC2469">
      <w:pPr>
        <w:shd w:val="clear" w:color="auto" w:fill="FFFFFF"/>
        <w:spacing w:after="0" w:line="240" w:lineRule="auto"/>
        <w:rPr>
          <w:rFonts w:ascii="Arial" w:eastAsia="Times New Roman" w:hAnsi="Arial" w:cs="Arial"/>
          <w:color w:val="555555"/>
          <w:sz w:val="24"/>
          <w:szCs w:val="24"/>
        </w:rPr>
      </w:pPr>
      <w:r w:rsidRPr="00BC2469">
        <w:rPr>
          <w:rFonts w:ascii="Arial" w:eastAsia="Times New Roman" w:hAnsi="Arial" w:cs="Arial"/>
          <w:color w:val="555555"/>
          <w:sz w:val="24"/>
          <w:szCs w:val="24"/>
        </w:rPr>
        <w:t xml:space="preserve"> </w:t>
      </w:r>
    </w:p>
    <w:p w14:paraId="59AB39B2" w14:textId="49641E38" w:rsidR="00BC2469" w:rsidRPr="00BC2469" w:rsidRDefault="00BC2469" w:rsidP="00BC2469">
      <w:pPr>
        <w:shd w:val="clear" w:color="auto" w:fill="FFFFFF"/>
        <w:spacing w:after="0" w:line="240" w:lineRule="auto"/>
        <w:rPr>
          <w:rFonts w:ascii="Arial" w:eastAsia="Times New Roman" w:hAnsi="Arial" w:cs="Arial"/>
          <w:color w:val="555555"/>
          <w:sz w:val="24"/>
          <w:szCs w:val="24"/>
        </w:rPr>
      </w:pPr>
      <w:r w:rsidRPr="00BC2469">
        <w:rPr>
          <w:rFonts w:ascii="Arial" w:eastAsia="Times New Roman" w:hAnsi="Arial" w:cs="Arial"/>
          <w:color w:val="555555"/>
          <w:sz w:val="24"/>
          <w:szCs w:val="24"/>
        </w:rPr>
        <w:t xml:space="preserve">Estimated annual hour burden per respondent: </w:t>
      </w:r>
      <w:r>
        <w:rPr>
          <w:rFonts w:ascii="Arial" w:eastAsia="Times New Roman" w:hAnsi="Arial" w:cs="Arial"/>
          <w:color w:val="555555"/>
          <w:sz w:val="24"/>
          <w:szCs w:val="24"/>
        </w:rPr>
        <w:t>20</w:t>
      </w:r>
      <w:r w:rsidR="00F124CF">
        <w:rPr>
          <w:rFonts w:ascii="Arial" w:eastAsia="Times New Roman" w:hAnsi="Arial" w:cs="Arial"/>
          <w:color w:val="555555"/>
          <w:sz w:val="24"/>
          <w:szCs w:val="24"/>
        </w:rPr>
        <w:t xml:space="preserve"> hours</w:t>
      </w:r>
      <w:r>
        <w:rPr>
          <w:rFonts w:ascii="Arial" w:eastAsia="Times New Roman" w:hAnsi="Arial" w:cs="Arial"/>
          <w:color w:val="555555"/>
          <w:sz w:val="24"/>
          <w:szCs w:val="24"/>
        </w:rPr>
        <w:t xml:space="preserve"> for the first year, then 5 </w:t>
      </w:r>
      <w:r w:rsidR="002C17CD">
        <w:rPr>
          <w:rFonts w:ascii="Arial" w:eastAsia="Times New Roman" w:hAnsi="Arial" w:cs="Arial"/>
          <w:color w:val="555555"/>
          <w:sz w:val="24"/>
          <w:szCs w:val="24"/>
        </w:rPr>
        <w:t xml:space="preserve">hours </w:t>
      </w:r>
      <w:r w:rsidR="00F124CF">
        <w:rPr>
          <w:rFonts w:ascii="Arial" w:eastAsia="Times New Roman" w:hAnsi="Arial" w:cs="Arial"/>
          <w:color w:val="555555"/>
          <w:sz w:val="24"/>
          <w:szCs w:val="24"/>
        </w:rPr>
        <w:t xml:space="preserve">every two years </w:t>
      </w:r>
      <w:r w:rsidR="002C17CD">
        <w:rPr>
          <w:rFonts w:ascii="Arial" w:eastAsia="Times New Roman" w:hAnsi="Arial" w:cs="Arial"/>
          <w:color w:val="555555"/>
          <w:sz w:val="24"/>
          <w:szCs w:val="24"/>
        </w:rPr>
        <w:t xml:space="preserve">for </w:t>
      </w:r>
      <w:r w:rsidR="00700ABE">
        <w:rPr>
          <w:rFonts w:ascii="Arial" w:eastAsia="Times New Roman" w:hAnsi="Arial" w:cs="Arial"/>
          <w:color w:val="555555"/>
          <w:sz w:val="24"/>
          <w:szCs w:val="24"/>
        </w:rPr>
        <w:t xml:space="preserve">update and resubmission of the </w:t>
      </w:r>
      <w:r w:rsidR="002C17CD">
        <w:rPr>
          <w:rFonts w:ascii="Arial" w:eastAsia="Times New Roman" w:hAnsi="Arial" w:cs="Arial"/>
          <w:color w:val="555555"/>
          <w:sz w:val="24"/>
          <w:szCs w:val="24"/>
        </w:rPr>
        <w:t xml:space="preserve">plan. </w:t>
      </w:r>
    </w:p>
    <w:p w14:paraId="18D1355D" w14:textId="77777777" w:rsidR="00BC2469" w:rsidRPr="00BC2469" w:rsidRDefault="00BC2469" w:rsidP="00BC2469">
      <w:pPr>
        <w:shd w:val="clear" w:color="auto" w:fill="FFFFFF"/>
        <w:spacing w:after="0" w:line="240" w:lineRule="auto"/>
        <w:rPr>
          <w:rFonts w:ascii="Arial" w:eastAsia="Times New Roman" w:hAnsi="Arial" w:cs="Arial"/>
          <w:color w:val="555555"/>
          <w:sz w:val="24"/>
          <w:szCs w:val="24"/>
        </w:rPr>
      </w:pPr>
    </w:p>
    <w:p w14:paraId="2CF8E024" w14:textId="70833CC9" w:rsidR="00BC2469" w:rsidRPr="00BC2469" w:rsidRDefault="00BC2469" w:rsidP="00BC2469">
      <w:pPr>
        <w:shd w:val="clear" w:color="auto" w:fill="FFFFFF"/>
        <w:spacing w:after="0" w:line="240" w:lineRule="auto"/>
        <w:rPr>
          <w:rFonts w:ascii="Arial" w:eastAsia="Times New Roman" w:hAnsi="Arial" w:cs="Arial"/>
          <w:color w:val="555555"/>
          <w:sz w:val="24"/>
          <w:szCs w:val="24"/>
        </w:rPr>
      </w:pPr>
      <w:r w:rsidRPr="00BC2469">
        <w:rPr>
          <w:rFonts w:ascii="Arial" w:eastAsia="Times New Roman" w:hAnsi="Arial" w:cs="Arial"/>
          <w:color w:val="555555"/>
          <w:sz w:val="24"/>
          <w:szCs w:val="24"/>
        </w:rPr>
        <w:t>Total estimate</w:t>
      </w:r>
      <w:r>
        <w:rPr>
          <w:rFonts w:ascii="Arial" w:eastAsia="Times New Roman" w:hAnsi="Arial" w:cs="Arial"/>
          <w:color w:val="555555"/>
          <w:sz w:val="24"/>
          <w:szCs w:val="24"/>
        </w:rPr>
        <w:t xml:space="preserve">d hours of industry burden:  </w:t>
      </w:r>
      <w:r w:rsidR="00DE71F4">
        <w:rPr>
          <w:rFonts w:ascii="Arial" w:eastAsia="Times New Roman" w:hAnsi="Arial" w:cs="Arial"/>
          <w:color w:val="555555"/>
          <w:sz w:val="24"/>
          <w:szCs w:val="24"/>
        </w:rPr>
        <w:t xml:space="preserve">1400 hours for initial submission of the plan, and 350 hours for renewal of the plan. </w:t>
      </w:r>
    </w:p>
    <w:p w14:paraId="09E992BE" w14:textId="40AB0126" w:rsidR="00BC2469" w:rsidRDefault="00BC2469" w:rsidP="00BC2469">
      <w:pPr>
        <w:shd w:val="clear" w:color="auto" w:fill="FFFFFF"/>
        <w:spacing w:after="0" w:line="240" w:lineRule="auto"/>
        <w:rPr>
          <w:rFonts w:ascii="Arial" w:eastAsia="Times New Roman" w:hAnsi="Arial" w:cs="Arial"/>
          <w:color w:val="555555"/>
          <w:sz w:val="24"/>
          <w:szCs w:val="24"/>
        </w:rPr>
      </w:pPr>
    </w:p>
    <w:p w14:paraId="7B57E2B9" w14:textId="3519B107" w:rsidR="00AE5107" w:rsidRPr="00AE5107" w:rsidRDefault="00AE5107" w:rsidP="00BC2469">
      <w:pPr>
        <w:shd w:val="clear" w:color="auto" w:fill="FFFFFF"/>
        <w:spacing w:after="0" w:line="240" w:lineRule="auto"/>
        <w:rPr>
          <w:rFonts w:ascii="Arial" w:eastAsia="Times New Roman" w:hAnsi="Arial" w:cs="Arial"/>
          <w:b/>
          <w:color w:val="555555"/>
          <w:sz w:val="24"/>
          <w:szCs w:val="24"/>
        </w:rPr>
      </w:pPr>
      <w:r w:rsidRPr="00AE5107">
        <w:rPr>
          <w:rFonts w:ascii="Arial" w:eastAsia="Times New Roman" w:hAnsi="Arial" w:cs="Arial"/>
          <w:b/>
          <w:color w:val="555555"/>
          <w:sz w:val="24"/>
          <w:szCs w:val="24"/>
        </w:rPr>
        <w:t xml:space="preserve">Table 1 Initial Submission of the Plan </w:t>
      </w:r>
    </w:p>
    <w:p w14:paraId="2DEE2822" w14:textId="77777777" w:rsidR="004F5A6E" w:rsidRDefault="004F5A6E" w:rsidP="004F5A6E">
      <w:pPr>
        <w:shd w:val="clear" w:color="auto" w:fill="FFFFFF"/>
        <w:spacing w:before="100" w:beforeAutospacing="1" w:after="225" w:line="240" w:lineRule="auto"/>
        <w:contextualSpacing/>
        <w:rPr>
          <w:rFonts w:ascii="Arial" w:eastAsia="Times New Roman" w:hAnsi="Arial" w:cs="Arial"/>
          <w:color w:val="555555"/>
          <w:sz w:val="24"/>
          <w:szCs w:val="24"/>
        </w:rPr>
      </w:pPr>
    </w:p>
    <w:tbl>
      <w:tblPr>
        <w:tblW w:w="6176" w:type="dxa"/>
        <w:tblLook w:val="04A0" w:firstRow="1" w:lastRow="0" w:firstColumn="1" w:lastColumn="0" w:noHBand="0" w:noVBand="1"/>
      </w:tblPr>
      <w:tblGrid>
        <w:gridCol w:w="1900"/>
        <w:gridCol w:w="1118"/>
        <w:gridCol w:w="1579"/>
        <w:gridCol w:w="1579"/>
      </w:tblGrid>
      <w:tr w:rsidR="00771C53" w:rsidRPr="00E34880" w14:paraId="5E7F95DB" w14:textId="77777777" w:rsidTr="00771C5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66583" w14:textId="77777777" w:rsidR="00771C53" w:rsidRPr="00E34880" w:rsidRDefault="00771C53" w:rsidP="00C72B2C">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52F11F2A" w14:textId="77777777" w:rsidR="00771C53" w:rsidRPr="00E34880" w:rsidRDefault="00771C53" w:rsidP="00C72B2C">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07458087" w14:textId="77777777" w:rsidR="00771C53" w:rsidRPr="00E34880" w:rsidRDefault="00771C53" w:rsidP="00C72B2C">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14:paraId="10606E99" w14:textId="77777777" w:rsidR="00771C53" w:rsidRPr="00E34880" w:rsidRDefault="00771C53" w:rsidP="00C72B2C">
            <w:pPr>
              <w:spacing w:after="0" w:line="240" w:lineRule="auto"/>
              <w:rPr>
                <w:rFonts w:cs="Calibri"/>
                <w:b/>
                <w:bCs/>
                <w:color w:val="000000"/>
              </w:rPr>
            </w:pPr>
            <w:r>
              <w:rPr>
                <w:rFonts w:cs="Calibri"/>
                <w:b/>
                <w:bCs/>
                <w:color w:val="000000"/>
              </w:rPr>
              <w:t>Disclosure</w:t>
            </w:r>
          </w:p>
        </w:tc>
      </w:tr>
      <w:tr w:rsidR="00771C53" w:rsidRPr="00E34880" w14:paraId="0137A364" w14:textId="77777777" w:rsidTr="00771C53">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FA4EE30" w14:textId="77777777" w:rsidR="00771C53" w:rsidRPr="00E34880" w:rsidRDefault="00771C53" w:rsidP="00C72B2C">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55529C66" w14:textId="470B53E6" w:rsidR="00771C53" w:rsidRPr="00E34880" w:rsidRDefault="00E97E33" w:rsidP="00C72B2C">
            <w:pPr>
              <w:spacing w:after="0" w:line="240" w:lineRule="auto"/>
              <w:rPr>
                <w:rFonts w:cs="Calibri"/>
                <w:color w:val="000000"/>
              </w:rPr>
            </w:pPr>
            <w:r>
              <w:rPr>
                <w:rFonts w:cs="Calibri"/>
                <w:color w:val="000000"/>
              </w:rPr>
              <w:t>70</w:t>
            </w:r>
          </w:p>
        </w:tc>
        <w:tc>
          <w:tcPr>
            <w:tcW w:w="1579" w:type="dxa"/>
            <w:tcBorders>
              <w:top w:val="nil"/>
              <w:left w:val="nil"/>
              <w:bottom w:val="single" w:sz="4" w:space="0" w:color="auto"/>
              <w:right w:val="single" w:sz="4" w:space="0" w:color="auto"/>
            </w:tcBorders>
            <w:shd w:val="clear" w:color="auto" w:fill="auto"/>
            <w:noWrap/>
            <w:vAlign w:val="bottom"/>
          </w:tcPr>
          <w:p w14:paraId="5D46E3A6" w14:textId="7D8EBA62" w:rsidR="00771C53" w:rsidRPr="00E34880" w:rsidRDefault="00771C53" w:rsidP="00C72B2C">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14:paraId="0398350B" w14:textId="77777777" w:rsidR="00771C53" w:rsidRPr="00E34880" w:rsidRDefault="00771C53" w:rsidP="00C72B2C">
            <w:pPr>
              <w:spacing w:after="0" w:line="240" w:lineRule="auto"/>
              <w:rPr>
                <w:rFonts w:cs="Calibri"/>
                <w:color w:val="000000"/>
              </w:rPr>
            </w:pPr>
          </w:p>
        </w:tc>
      </w:tr>
      <w:tr w:rsidR="00771C53" w:rsidRPr="00E34880" w14:paraId="1A23362A" w14:textId="77777777" w:rsidTr="00771C53">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E83F63D" w14:textId="77777777" w:rsidR="00771C53" w:rsidRPr="00E34880" w:rsidRDefault="00771C53" w:rsidP="00C72B2C">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378A63DE" w14:textId="189E84AF" w:rsidR="00771C53" w:rsidRPr="00E34880" w:rsidRDefault="00E97E33" w:rsidP="00C72B2C">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14:paraId="53261B8E" w14:textId="67914D01" w:rsidR="00771C53" w:rsidRPr="00E34880" w:rsidRDefault="00771C53" w:rsidP="00C72B2C">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14:paraId="77FC039A" w14:textId="77777777" w:rsidR="00771C53" w:rsidRPr="00E34880" w:rsidRDefault="00771C53" w:rsidP="00C72B2C">
            <w:pPr>
              <w:spacing w:after="0" w:line="240" w:lineRule="auto"/>
              <w:rPr>
                <w:rFonts w:cs="Calibri"/>
                <w:color w:val="000000"/>
              </w:rPr>
            </w:pPr>
          </w:p>
        </w:tc>
      </w:tr>
      <w:tr w:rsidR="00771C53" w:rsidRPr="00E34880" w14:paraId="7D68E92A" w14:textId="77777777" w:rsidTr="00771C53">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3E1AF9D" w14:textId="77777777" w:rsidR="00771C53" w:rsidRPr="00E34880" w:rsidRDefault="00771C53" w:rsidP="00C72B2C">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14:paraId="141B0962" w14:textId="2D76BE92" w:rsidR="00771C53" w:rsidRPr="00E34880" w:rsidRDefault="00E97E33" w:rsidP="00C72B2C">
            <w:pPr>
              <w:spacing w:after="0" w:line="240" w:lineRule="auto"/>
              <w:rPr>
                <w:rFonts w:cs="Calibri"/>
                <w:color w:val="000000"/>
              </w:rPr>
            </w:pPr>
            <w:r>
              <w:rPr>
                <w:rFonts w:cs="Calibri"/>
                <w:color w:val="000000"/>
              </w:rPr>
              <w:t>20 hours</w:t>
            </w:r>
          </w:p>
        </w:tc>
        <w:tc>
          <w:tcPr>
            <w:tcW w:w="1579" w:type="dxa"/>
            <w:tcBorders>
              <w:top w:val="nil"/>
              <w:left w:val="nil"/>
              <w:bottom w:val="single" w:sz="4" w:space="0" w:color="auto"/>
              <w:right w:val="single" w:sz="4" w:space="0" w:color="auto"/>
            </w:tcBorders>
            <w:shd w:val="clear" w:color="auto" w:fill="auto"/>
            <w:noWrap/>
            <w:vAlign w:val="bottom"/>
          </w:tcPr>
          <w:p w14:paraId="6C43A4EE" w14:textId="4C440A49" w:rsidR="00771C53" w:rsidRPr="00E34880" w:rsidRDefault="00771C53" w:rsidP="00BC2469">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14:paraId="7A1B1E5E" w14:textId="77777777" w:rsidR="00771C53" w:rsidRPr="00E34880" w:rsidRDefault="00771C53" w:rsidP="00C72B2C">
            <w:pPr>
              <w:spacing w:after="0" w:line="240" w:lineRule="auto"/>
              <w:rPr>
                <w:rFonts w:cs="Calibri"/>
                <w:color w:val="000000"/>
              </w:rPr>
            </w:pPr>
          </w:p>
        </w:tc>
      </w:tr>
      <w:tr w:rsidR="00771C53" w:rsidRPr="00E34880" w14:paraId="13B5EBDA" w14:textId="77777777" w:rsidTr="00771C53">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CC5FB8D" w14:textId="77777777" w:rsidR="00771C53" w:rsidRPr="00E34880" w:rsidRDefault="00771C53" w:rsidP="00C72B2C">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12501D7A" w14:textId="3B093F02" w:rsidR="00771C53" w:rsidRPr="00E34880" w:rsidRDefault="00E97E33" w:rsidP="00C72B2C">
            <w:pPr>
              <w:spacing w:after="0" w:line="240" w:lineRule="auto"/>
              <w:rPr>
                <w:rFonts w:cs="Calibri"/>
                <w:color w:val="000000"/>
              </w:rPr>
            </w:pPr>
            <w:r>
              <w:rPr>
                <w:rFonts w:cs="Calibri"/>
                <w:color w:val="000000"/>
              </w:rPr>
              <w:t>70</w:t>
            </w:r>
          </w:p>
        </w:tc>
        <w:tc>
          <w:tcPr>
            <w:tcW w:w="1579" w:type="dxa"/>
            <w:tcBorders>
              <w:top w:val="nil"/>
              <w:left w:val="nil"/>
              <w:bottom w:val="single" w:sz="4" w:space="0" w:color="auto"/>
              <w:right w:val="single" w:sz="4" w:space="0" w:color="auto"/>
            </w:tcBorders>
            <w:shd w:val="clear" w:color="auto" w:fill="auto"/>
            <w:noWrap/>
            <w:vAlign w:val="bottom"/>
          </w:tcPr>
          <w:p w14:paraId="26878F37" w14:textId="77777777" w:rsidR="00771C53" w:rsidRPr="00E34880" w:rsidRDefault="00771C53" w:rsidP="00C72B2C">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14:paraId="398DE5CE" w14:textId="77777777" w:rsidR="00771C53" w:rsidRPr="00E34880" w:rsidRDefault="00771C53" w:rsidP="00C72B2C">
            <w:pPr>
              <w:spacing w:after="0" w:line="240" w:lineRule="auto"/>
              <w:rPr>
                <w:rFonts w:cs="Calibri"/>
                <w:color w:val="000000"/>
              </w:rPr>
            </w:pPr>
          </w:p>
        </w:tc>
      </w:tr>
      <w:tr w:rsidR="00771C53" w:rsidRPr="00E34880" w14:paraId="288BEA74" w14:textId="77777777" w:rsidTr="00771C53">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4525BFC5" w14:textId="77777777" w:rsidR="00771C53" w:rsidRPr="00E34880" w:rsidRDefault="00771C53" w:rsidP="00C72B2C">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543ABD89" w14:textId="18E6D838" w:rsidR="00771C53" w:rsidRPr="00E34880" w:rsidRDefault="00E97E33" w:rsidP="00C72B2C">
            <w:pPr>
              <w:spacing w:after="0" w:line="240" w:lineRule="auto"/>
              <w:rPr>
                <w:rFonts w:cs="Calibri"/>
                <w:color w:val="000000"/>
              </w:rPr>
            </w:pPr>
            <w:r>
              <w:rPr>
                <w:rFonts w:cs="Calibri"/>
                <w:color w:val="000000"/>
              </w:rPr>
              <w:t>1400 Hours</w:t>
            </w:r>
          </w:p>
        </w:tc>
        <w:tc>
          <w:tcPr>
            <w:tcW w:w="1579" w:type="dxa"/>
            <w:tcBorders>
              <w:top w:val="nil"/>
              <w:left w:val="nil"/>
              <w:bottom w:val="single" w:sz="4" w:space="0" w:color="auto"/>
              <w:right w:val="single" w:sz="4" w:space="0" w:color="auto"/>
            </w:tcBorders>
            <w:shd w:val="clear" w:color="auto" w:fill="auto"/>
            <w:noWrap/>
            <w:vAlign w:val="bottom"/>
          </w:tcPr>
          <w:p w14:paraId="6C8609DB" w14:textId="77777777" w:rsidR="00771C53" w:rsidRPr="00E34880" w:rsidRDefault="00771C53" w:rsidP="00C72B2C">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14:paraId="6D3515A2" w14:textId="77777777" w:rsidR="00771C53" w:rsidRPr="00E34880" w:rsidRDefault="00771C53" w:rsidP="00C72B2C">
            <w:pPr>
              <w:spacing w:after="0" w:line="240" w:lineRule="auto"/>
              <w:rPr>
                <w:rFonts w:cs="Calibri"/>
                <w:color w:val="000000"/>
              </w:rPr>
            </w:pPr>
          </w:p>
        </w:tc>
      </w:tr>
    </w:tbl>
    <w:p w14:paraId="1AAE2EB2" w14:textId="00A51127" w:rsidR="001F0724" w:rsidRPr="00AE5107" w:rsidRDefault="00AE5107" w:rsidP="001F0724">
      <w:pPr>
        <w:shd w:val="clear" w:color="auto" w:fill="FFFFFF"/>
        <w:spacing w:before="100" w:beforeAutospacing="1" w:after="225" w:line="240" w:lineRule="auto"/>
        <w:rPr>
          <w:rFonts w:ascii="Arial" w:eastAsia="Times New Roman" w:hAnsi="Arial" w:cs="Arial"/>
          <w:b/>
          <w:color w:val="555555"/>
          <w:sz w:val="24"/>
          <w:szCs w:val="24"/>
        </w:rPr>
      </w:pPr>
      <w:r w:rsidRPr="00AE5107">
        <w:rPr>
          <w:rFonts w:ascii="Arial" w:eastAsia="Times New Roman" w:hAnsi="Arial" w:cs="Arial"/>
          <w:b/>
          <w:color w:val="555555"/>
          <w:sz w:val="24"/>
          <w:szCs w:val="24"/>
        </w:rPr>
        <w:t xml:space="preserve">Table 2 Update and Resubmission of the Plan </w:t>
      </w:r>
    </w:p>
    <w:tbl>
      <w:tblPr>
        <w:tblW w:w="6176" w:type="dxa"/>
        <w:tblLook w:val="04A0" w:firstRow="1" w:lastRow="0" w:firstColumn="1" w:lastColumn="0" w:noHBand="0" w:noVBand="1"/>
      </w:tblPr>
      <w:tblGrid>
        <w:gridCol w:w="1900"/>
        <w:gridCol w:w="1136"/>
        <w:gridCol w:w="1579"/>
        <w:gridCol w:w="1561"/>
      </w:tblGrid>
      <w:tr w:rsidR="00AE5107" w:rsidRPr="00E34880" w14:paraId="7727E580" w14:textId="77777777" w:rsidTr="00AA600A">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D50CD" w14:textId="77777777" w:rsidR="00AE5107" w:rsidRPr="00E34880" w:rsidRDefault="00AE5107" w:rsidP="00DC5ECA">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14:paraId="7DF195DF" w14:textId="77777777" w:rsidR="00AE5107" w:rsidRPr="00E34880" w:rsidRDefault="00AE5107" w:rsidP="00DC5ECA">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380F7E34" w14:textId="77777777" w:rsidR="00AE5107" w:rsidRPr="00E34880" w:rsidRDefault="00AE5107" w:rsidP="00DC5ECA">
            <w:pPr>
              <w:spacing w:after="0" w:line="240" w:lineRule="auto"/>
              <w:rPr>
                <w:rFonts w:cs="Calibri"/>
                <w:b/>
                <w:bCs/>
                <w:color w:val="000000"/>
              </w:rPr>
            </w:pPr>
            <w:r w:rsidRPr="00E34880">
              <w:rPr>
                <w:rFonts w:cs="Calibri"/>
                <w:b/>
                <w:bCs/>
                <w:color w:val="000000"/>
              </w:rPr>
              <w:t>Recordkeeping</w:t>
            </w:r>
          </w:p>
        </w:tc>
        <w:tc>
          <w:tcPr>
            <w:tcW w:w="1561" w:type="dxa"/>
            <w:tcBorders>
              <w:top w:val="single" w:sz="4" w:space="0" w:color="auto"/>
              <w:left w:val="nil"/>
              <w:bottom w:val="single" w:sz="4" w:space="0" w:color="auto"/>
              <w:right w:val="single" w:sz="4" w:space="0" w:color="auto"/>
            </w:tcBorders>
            <w:vAlign w:val="bottom"/>
          </w:tcPr>
          <w:p w14:paraId="456963D6" w14:textId="77777777" w:rsidR="00AE5107" w:rsidRPr="00E34880" w:rsidRDefault="00AE5107" w:rsidP="00DC5ECA">
            <w:pPr>
              <w:spacing w:after="0" w:line="240" w:lineRule="auto"/>
              <w:rPr>
                <w:rFonts w:cs="Calibri"/>
                <w:b/>
                <w:bCs/>
                <w:color w:val="000000"/>
              </w:rPr>
            </w:pPr>
            <w:r>
              <w:rPr>
                <w:rFonts w:cs="Calibri"/>
                <w:b/>
                <w:bCs/>
                <w:color w:val="000000"/>
              </w:rPr>
              <w:t>Disclosure</w:t>
            </w:r>
          </w:p>
        </w:tc>
      </w:tr>
      <w:tr w:rsidR="00AE5107" w:rsidRPr="00E34880" w14:paraId="58D4A680" w14:textId="77777777" w:rsidTr="00AA600A">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09C5AC2" w14:textId="77777777" w:rsidR="00AE5107" w:rsidRPr="00E34880" w:rsidRDefault="00AE5107" w:rsidP="00DC5ECA">
            <w:pPr>
              <w:spacing w:after="0" w:line="240" w:lineRule="auto"/>
              <w:rPr>
                <w:rFonts w:cs="Calibri"/>
                <w:b/>
                <w:bCs/>
                <w:color w:val="000000"/>
              </w:rPr>
            </w:pPr>
            <w:r w:rsidRPr="00E34880">
              <w:rPr>
                <w:rFonts w:cs="Calibri"/>
                <w:b/>
                <w:bCs/>
                <w:color w:val="000000"/>
              </w:rPr>
              <w:t># of Respondents</w:t>
            </w:r>
          </w:p>
        </w:tc>
        <w:tc>
          <w:tcPr>
            <w:tcW w:w="1136" w:type="dxa"/>
            <w:tcBorders>
              <w:top w:val="nil"/>
              <w:left w:val="nil"/>
              <w:bottom w:val="single" w:sz="4" w:space="0" w:color="auto"/>
              <w:right w:val="single" w:sz="4" w:space="0" w:color="auto"/>
            </w:tcBorders>
            <w:shd w:val="clear" w:color="auto" w:fill="auto"/>
            <w:noWrap/>
            <w:vAlign w:val="bottom"/>
          </w:tcPr>
          <w:p w14:paraId="195296AD" w14:textId="77777777" w:rsidR="00AE5107" w:rsidRPr="00E34880" w:rsidRDefault="00AE5107" w:rsidP="00DC5ECA">
            <w:pPr>
              <w:spacing w:after="0" w:line="240" w:lineRule="auto"/>
              <w:rPr>
                <w:rFonts w:cs="Calibri"/>
                <w:color w:val="000000"/>
              </w:rPr>
            </w:pPr>
            <w:r>
              <w:rPr>
                <w:rFonts w:cs="Calibri"/>
                <w:color w:val="000000"/>
              </w:rPr>
              <w:t>70</w:t>
            </w:r>
          </w:p>
        </w:tc>
        <w:tc>
          <w:tcPr>
            <w:tcW w:w="1579" w:type="dxa"/>
            <w:tcBorders>
              <w:top w:val="nil"/>
              <w:left w:val="nil"/>
              <w:bottom w:val="single" w:sz="4" w:space="0" w:color="auto"/>
              <w:right w:val="single" w:sz="4" w:space="0" w:color="auto"/>
            </w:tcBorders>
            <w:shd w:val="clear" w:color="auto" w:fill="auto"/>
            <w:noWrap/>
            <w:vAlign w:val="bottom"/>
          </w:tcPr>
          <w:p w14:paraId="106B284B" w14:textId="77777777" w:rsidR="00AE5107" w:rsidRPr="00E34880" w:rsidRDefault="00AE5107" w:rsidP="00DC5ECA">
            <w:pPr>
              <w:spacing w:after="0" w:line="240" w:lineRule="auto"/>
              <w:rPr>
                <w:rFonts w:cs="Calibri"/>
                <w:color w:val="000000"/>
              </w:rPr>
            </w:pPr>
          </w:p>
        </w:tc>
        <w:tc>
          <w:tcPr>
            <w:tcW w:w="1561" w:type="dxa"/>
            <w:tcBorders>
              <w:top w:val="nil"/>
              <w:left w:val="nil"/>
              <w:bottom w:val="single" w:sz="4" w:space="0" w:color="auto"/>
              <w:right w:val="single" w:sz="4" w:space="0" w:color="auto"/>
            </w:tcBorders>
          </w:tcPr>
          <w:p w14:paraId="79F5769F" w14:textId="77777777" w:rsidR="00AE5107" w:rsidRPr="00E34880" w:rsidRDefault="00AE5107" w:rsidP="00DC5ECA">
            <w:pPr>
              <w:spacing w:after="0" w:line="240" w:lineRule="auto"/>
              <w:rPr>
                <w:rFonts w:cs="Calibri"/>
                <w:color w:val="000000"/>
              </w:rPr>
            </w:pPr>
          </w:p>
        </w:tc>
      </w:tr>
      <w:tr w:rsidR="00AE5107" w:rsidRPr="00E34880" w14:paraId="1E88A082" w14:textId="77777777" w:rsidTr="00AA600A">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1045656" w14:textId="77777777" w:rsidR="00AE5107" w:rsidRPr="00E34880" w:rsidRDefault="00AE5107" w:rsidP="00DC5ECA">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36" w:type="dxa"/>
            <w:tcBorders>
              <w:top w:val="nil"/>
              <w:left w:val="nil"/>
              <w:bottom w:val="single" w:sz="4" w:space="0" w:color="auto"/>
              <w:right w:val="single" w:sz="4" w:space="0" w:color="auto"/>
            </w:tcBorders>
            <w:shd w:val="clear" w:color="auto" w:fill="auto"/>
            <w:noWrap/>
            <w:vAlign w:val="bottom"/>
          </w:tcPr>
          <w:p w14:paraId="4E711947" w14:textId="77777777" w:rsidR="00AE5107" w:rsidRPr="00E34880" w:rsidRDefault="00AE5107" w:rsidP="00DC5ECA">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14:paraId="63E39255" w14:textId="77777777" w:rsidR="00AE5107" w:rsidRPr="00E34880" w:rsidRDefault="00AE5107" w:rsidP="00DC5ECA">
            <w:pPr>
              <w:spacing w:after="0" w:line="240" w:lineRule="auto"/>
              <w:rPr>
                <w:rFonts w:cs="Calibri"/>
                <w:color w:val="000000"/>
              </w:rPr>
            </w:pPr>
          </w:p>
        </w:tc>
        <w:tc>
          <w:tcPr>
            <w:tcW w:w="1561" w:type="dxa"/>
            <w:tcBorders>
              <w:top w:val="nil"/>
              <w:left w:val="nil"/>
              <w:bottom w:val="single" w:sz="4" w:space="0" w:color="auto"/>
              <w:right w:val="single" w:sz="4" w:space="0" w:color="auto"/>
            </w:tcBorders>
          </w:tcPr>
          <w:p w14:paraId="2C71A30B" w14:textId="77777777" w:rsidR="00AE5107" w:rsidRPr="00E34880" w:rsidRDefault="00AE5107" w:rsidP="00DC5ECA">
            <w:pPr>
              <w:spacing w:after="0" w:line="240" w:lineRule="auto"/>
              <w:rPr>
                <w:rFonts w:cs="Calibri"/>
                <w:color w:val="000000"/>
              </w:rPr>
            </w:pPr>
          </w:p>
        </w:tc>
      </w:tr>
      <w:tr w:rsidR="00AE5107" w:rsidRPr="00E34880" w14:paraId="4AE5C8C3" w14:textId="77777777" w:rsidTr="00AA600A">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A8267F3" w14:textId="77777777" w:rsidR="00AE5107" w:rsidRPr="00E34880" w:rsidRDefault="00AE5107" w:rsidP="00DC5ECA">
            <w:pPr>
              <w:spacing w:after="0" w:line="240" w:lineRule="auto"/>
              <w:rPr>
                <w:rFonts w:cs="Calibri"/>
                <w:b/>
                <w:bCs/>
                <w:color w:val="000000"/>
              </w:rPr>
            </w:pPr>
            <w:r w:rsidRPr="00E34880">
              <w:rPr>
                <w:rFonts w:cs="Calibri"/>
                <w:b/>
                <w:bCs/>
                <w:color w:val="000000"/>
              </w:rPr>
              <w:t>Time per Response</w:t>
            </w:r>
          </w:p>
        </w:tc>
        <w:tc>
          <w:tcPr>
            <w:tcW w:w="1136" w:type="dxa"/>
            <w:tcBorders>
              <w:top w:val="nil"/>
              <w:left w:val="nil"/>
              <w:bottom w:val="single" w:sz="4" w:space="0" w:color="auto"/>
              <w:right w:val="single" w:sz="4" w:space="0" w:color="auto"/>
            </w:tcBorders>
            <w:shd w:val="clear" w:color="auto" w:fill="auto"/>
            <w:noWrap/>
            <w:vAlign w:val="bottom"/>
          </w:tcPr>
          <w:p w14:paraId="77DAD57A" w14:textId="226A7402" w:rsidR="00AE5107" w:rsidRPr="00E34880" w:rsidRDefault="00771C35" w:rsidP="00DC5ECA">
            <w:pPr>
              <w:spacing w:after="0" w:line="240" w:lineRule="auto"/>
              <w:rPr>
                <w:rFonts w:cs="Calibri"/>
                <w:color w:val="000000"/>
              </w:rPr>
            </w:pPr>
            <w:r>
              <w:rPr>
                <w:rFonts w:cs="Calibri"/>
                <w:color w:val="000000"/>
              </w:rPr>
              <w:t>5</w:t>
            </w:r>
            <w:r w:rsidR="00AE5107">
              <w:rPr>
                <w:rFonts w:cs="Calibri"/>
                <w:color w:val="000000"/>
              </w:rPr>
              <w:t xml:space="preserve"> hours</w:t>
            </w:r>
          </w:p>
        </w:tc>
        <w:tc>
          <w:tcPr>
            <w:tcW w:w="1579" w:type="dxa"/>
            <w:tcBorders>
              <w:top w:val="nil"/>
              <w:left w:val="nil"/>
              <w:bottom w:val="single" w:sz="4" w:space="0" w:color="auto"/>
              <w:right w:val="single" w:sz="4" w:space="0" w:color="auto"/>
            </w:tcBorders>
            <w:shd w:val="clear" w:color="auto" w:fill="auto"/>
            <w:noWrap/>
            <w:vAlign w:val="bottom"/>
          </w:tcPr>
          <w:p w14:paraId="213CA16F" w14:textId="77777777" w:rsidR="00AE5107" w:rsidRPr="00E34880" w:rsidRDefault="00AE5107" w:rsidP="00DC5ECA">
            <w:pPr>
              <w:spacing w:after="0" w:line="240" w:lineRule="auto"/>
              <w:rPr>
                <w:rFonts w:cs="Calibri"/>
                <w:color w:val="000000"/>
              </w:rPr>
            </w:pPr>
          </w:p>
        </w:tc>
        <w:tc>
          <w:tcPr>
            <w:tcW w:w="1561" w:type="dxa"/>
            <w:tcBorders>
              <w:top w:val="nil"/>
              <w:left w:val="nil"/>
              <w:bottom w:val="single" w:sz="4" w:space="0" w:color="auto"/>
              <w:right w:val="single" w:sz="4" w:space="0" w:color="auto"/>
            </w:tcBorders>
          </w:tcPr>
          <w:p w14:paraId="2E09D965" w14:textId="77777777" w:rsidR="00AE5107" w:rsidRPr="00E34880" w:rsidRDefault="00AE5107" w:rsidP="00DC5ECA">
            <w:pPr>
              <w:spacing w:after="0" w:line="240" w:lineRule="auto"/>
              <w:rPr>
                <w:rFonts w:cs="Calibri"/>
                <w:color w:val="000000"/>
              </w:rPr>
            </w:pPr>
          </w:p>
        </w:tc>
      </w:tr>
      <w:tr w:rsidR="00AE5107" w:rsidRPr="00E34880" w14:paraId="55B23BDB" w14:textId="77777777" w:rsidTr="00AA600A">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C53CF35" w14:textId="77777777" w:rsidR="00AE5107" w:rsidRPr="00E34880" w:rsidRDefault="00AE5107" w:rsidP="00DC5ECA">
            <w:pPr>
              <w:spacing w:after="0" w:line="240" w:lineRule="auto"/>
              <w:rPr>
                <w:rFonts w:cs="Calibri"/>
                <w:b/>
                <w:bCs/>
                <w:color w:val="000000"/>
              </w:rPr>
            </w:pPr>
            <w:r>
              <w:rPr>
                <w:rFonts w:cs="Calibri"/>
                <w:b/>
                <w:bCs/>
                <w:color w:val="000000"/>
              </w:rPr>
              <w:t>Total # of responses</w:t>
            </w:r>
          </w:p>
        </w:tc>
        <w:tc>
          <w:tcPr>
            <w:tcW w:w="1136" w:type="dxa"/>
            <w:tcBorders>
              <w:top w:val="nil"/>
              <w:left w:val="nil"/>
              <w:bottom w:val="single" w:sz="4" w:space="0" w:color="auto"/>
              <w:right w:val="single" w:sz="4" w:space="0" w:color="auto"/>
            </w:tcBorders>
            <w:shd w:val="clear" w:color="auto" w:fill="auto"/>
            <w:noWrap/>
            <w:vAlign w:val="bottom"/>
          </w:tcPr>
          <w:p w14:paraId="66411372" w14:textId="77777777" w:rsidR="00AE5107" w:rsidRPr="00E34880" w:rsidRDefault="00AE5107" w:rsidP="00DC5ECA">
            <w:pPr>
              <w:spacing w:after="0" w:line="240" w:lineRule="auto"/>
              <w:rPr>
                <w:rFonts w:cs="Calibri"/>
                <w:color w:val="000000"/>
              </w:rPr>
            </w:pPr>
            <w:r>
              <w:rPr>
                <w:rFonts w:cs="Calibri"/>
                <w:color w:val="000000"/>
              </w:rPr>
              <w:t>70</w:t>
            </w:r>
          </w:p>
        </w:tc>
        <w:tc>
          <w:tcPr>
            <w:tcW w:w="1579" w:type="dxa"/>
            <w:tcBorders>
              <w:top w:val="nil"/>
              <w:left w:val="nil"/>
              <w:bottom w:val="single" w:sz="4" w:space="0" w:color="auto"/>
              <w:right w:val="single" w:sz="4" w:space="0" w:color="auto"/>
            </w:tcBorders>
            <w:shd w:val="clear" w:color="auto" w:fill="auto"/>
            <w:noWrap/>
            <w:vAlign w:val="bottom"/>
          </w:tcPr>
          <w:p w14:paraId="6993EB88" w14:textId="77777777" w:rsidR="00AE5107" w:rsidRPr="00E34880" w:rsidRDefault="00AE5107" w:rsidP="00DC5ECA">
            <w:pPr>
              <w:spacing w:after="0" w:line="240" w:lineRule="auto"/>
              <w:rPr>
                <w:rFonts w:cs="Calibri"/>
                <w:color w:val="000000"/>
              </w:rPr>
            </w:pPr>
          </w:p>
        </w:tc>
        <w:tc>
          <w:tcPr>
            <w:tcW w:w="1561" w:type="dxa"/>
            <w:tcBorders>
              <w:top w:val="nil"/>
              <w:left w:val="nil"/>
              <w:bottom w:val="single" w:sz="4" w:space="0" w:color="auto"/>
              <w:right w:val="single" w:sz="4" w:space="0" w:color="auto"/>
            </w:tcBorders>
          </w:tcPr>
          <w:p w14:paraId="6ABFA88E" w14:textId="77777777" w:rsidR="00AE5107" w:rsidRPr="00E34880" w:rsidRDefault="00AE5107" w:rsidP="00DC5ECA">
            <w:pPr>
              <w:spacing w:after="0" w:line="240" w:lineRule="auto"/>
              <w:rPr>
                <w:rFonts w:cs="Calibri"/>
                <w:color w:val="000000"/>
              </w:rPr>
            </w:pPr>
          </w:p>
        </w:tc>
      </w:tr>
      <w:tr w:rsidR="00AE5107" w:rsidRPr="00E34880" w14:paraId="7112A5E6" w14:textId="77777777" w:rsidTr="00AA600A">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31AF2C75" w14:textId="77777777" w:rsidR="00AE5107" w:rsidRPr="00E34880" w:rsidRDefault="00AE5107" w:rsidP="00DC5ECA">
            <w:pPr>
              <w:spacing w:after="0" w:line="240" w:lineRule="auto"/>
              <w:rPr>
                <w:rFonts w:cs="Calibri"/>
                <w:b/>
                <w:bCs/>
                <w:color w:val="000000"/>
              </w:rPr>
            </w:pPr>
            <w:r>
              <w:rPr>
                <w:rFonts w:cs="Calibri"/>
                <w:b/>
                <w:bCs/>
                <w:color w:val="000000"/>
              </w:rPr>
              <w:t>Total burden (hours)</w:t>
            </w:r>
          </w:p>
        </w:tc>
        <w:tc>
          <w:tcPr>
            <w:tcW w:w="1136" w:type="dxa"/>
            <w:tcBorders>
              <w:top w:val="nil"/>
              <w:left w:val="nil"/>
              <w:bottom w:val="single" w:sz="4" w:space="0" w:color="auto"/>
              <w:right w:val="single" w:sz="4" w:space="0" w:color="auto"/>
            </w:tcBorders>
            <w:shd w:val="clear" w:color="auto" w:fill="auto"/>
            <w:noWrap/>
            <w:vAlign w:val="bottom"/>
          </w:tcPr>
          <w:p w14:paraId="28494D90" w14:textId="37829982" w:rsidR="00AE5107" w:rsidRPr="00E34880" w:rsidRDefault="00771C35" w:rsidP="00DC5ECA">
            <w:pPr>
              <w:spacing w:after="0" w:line="240" w:lineRule="auto"/>
              <w:rPr>
                <w:rFonts w:cs="Calibri"/>
                <w:color w:val="000000"/>
              </w:rPr>
            </w:pPr>
            <w:r>
              <w:rPr>
                <w:rFonts w:cs="Calibri"/>
                <w:color w:val="000000"/>
              </w:rPr>
              <w:t>35</w:t>
            </w:r>
            <w:r w:rsidR="00AE5107">
              <w:rPr>
                <w:rFonts w:cs="Calibri"/>
                <w:color w:val="000000"/>
              </w:rPr>
              <w:t>0 Hours</w:t>
            </w:r>
          </w:p>
        </w:tc>
        <w:tc>
          <w:tcPr>
            <w:tcW w:w="1579" w:type="dxa"/>
            <w:tcBorders>
              <w:top w:val="nil"/>
              <w:left w:val="nil"/>
              <w:bottom w:val="single" w:sz="4" w:space="0" w:color="auto"/>
              <w:right w:val="single" w:sz="4" w:space="0" w:color="auto"/>
            </w:tcBorders>
            <w:shd w:val="clear" w:color="auto" w:fill="auto"/>
            <w:noWrap/>
            <w:vAlign w:val="bottom"/>
          </w:tcPr>
          <w:p w14:paraId="1F31449D" w14:textId="77777777" w:rsidR="00AE5107" w:rsidRPr="00E34880" w:rsidRDefault="00AE5107" w:rsidP="00DC5ECA">
            <w:pPr>
              <w:spacing w:after="0" w:line="240" w:lineRule="auto"/>
              <w:rPr>
                <w:rFonts w:cs="Calibri"/>
                <w:color w:val="000000"/>
              </w:rPr>
            </w:pPr>
          </w:p>
        </w:tc>
        <w:tc>
          <w:tcPr>
            <w:tcW w:w="1561" w:type="dxa"/>
            <w:tcBorders>
              <w:top w:val="nil"/>
              <w:left w:val="nil"/>
              <w:bottom w:val="single" w:sz="4" w:space="0" w:color="auto"/>
              <w:right w:val="single" w:sz="4" w:space="0" w:color="auto"/>
            </w:tcBorders>
          </w:tcPr>
          <w:p w14:paraId="4021F076" w14:textId="77777777" w:rsidR="00AE5107" w:rsidRPr="00E34880" w:rsidRDefault="00AE5107" w:rsidP="00DC5ECA">
            <w:pPr>
              <w:spacing w:after="0" w:line="240" w:lineRule="auto"/>
              <w:rPr>
                <w:rFonts w:cs="Calibri"/>
                <w:color w:val="000000"/>
              </w:rPr>
            </w:pPr>
          </w:p>
        </w:tc>
      </w:tr>
    </w:tbl>
    <w:p w14:paraId="3BA0E602" w14:textId="77777777" w:rsidR="00AA600A" w:rsidRDefault="00AA600A" w:rsidP="00AA600A">
      <w:pPr>
        <w:spacing w:after="0" w:line="240" w:lineRule="auto"/>
        <w:ind w:firstLine="720"/>
        <w:rPr>
          <w:rFonts w:ascii="Arial" w:eastAsia="Times New Roman" w:hAnsi="Arial" w:cs="Arial"/>
          <w:sz w:val="24"/>
          <w:szCs w:val="24"/>
        </w:rPr>
      </w:pPr>
    </w:p>
    <w:p w14:paraId="1C8CD6FF" w14:textId="10480178" w:rsidR="00AA600A" w:rsidRPr="00982EDB" w:rsidRDefault="00AA600A" w:rsidP="00AA600A">
      <w:pPr>
        <w:spacing w:after="0" w:line="240" w:lineRule="auto"/>
        <w:ind w:firstLine="720"/>
        <w:rPr>
          <w:rFonts w:ascii="Arial" w:eastAsia="Times New Roman" w:hAnsi="Arial" w:cs="Arial"/>
          <w:sz w:val="24"/>
          <w:szCs w:val="24"/>
        </w:rPr>
      </w:pPr>
      <w:r w:rsidRPr="00982EDB">
        <w:rPr>
          <w:rFonts w:ascii="Arial" w:eastAsia="Times New Roman" w:hAnsi="Arial" w:cs="Arial"/>
          <w:sz w:val="24"/>
          <w:szCs w:val="24"/>
        </w:rPr>
        <w:t xml:space="preserve">For the development of a new </w:t>
      </w:r>
      <w:r>
        <w:rPr>
          <w:rFonts w:ascii="Arial" w:eastAsia="Times New Roman" w:hAnsi="Arial" w:cs="Arial"/>
          <w:sz w:val="24"/>
          <w:szCs w:val="24"/>
        </w:rPr>
        <w:t>F</w:t>
      </w:r>
      <w:r w:rsidR="00784B75">
        <w:rPr>
          <w:rFonts w:ascii="Arial" w:eastAsia="Times New Roman" w:hAnsi="Arial" w:cs="Arial"/>
          <w:sz w:val="24"/>
          <w:szCs w:val="24"/>
        </w:rPr>
        <w:t xml:space="preserve">light </w:t>
      </w:r>
      <w:r>
        <w:rPr>
          <w:rFonts w:ascii="Arial" w:eastAsia="Times New Roman" w:hAnsi="Arial" w:cs="Arial"/>
          <w:sz w:val="24"/>
          <w:szCs w:val="24"/>
        </w:rPr>
        <w:t>A</w:t>
      </w:r>
      <w:r w:rsidR="00784B75">
        <w:rPr>
          <w:rFonts w:ascii="Arial" w:eastAsia="Times New Roman" w:hAnsi="Arial" w:cs="Arial"/>
          <w:sz w:val="24"/>
          <w:szCs w:val="24"/>
        </w:rPr>
        <w:t xml:space="preserve">ttendant </w:t>
      </w:r>
      <w:r>
        <w:rPr>
          <w:rFonts w:ascii="Arial" w:eastAsia="Times New Roman" w:hAnsi="Arial" w:cs="Arial"/>
          <w:sz w:val="24"/>
          <w:szCs w:val="24"/>
        </w:rPr>
        <w:t>F</w:t>
      </w:r>
      <w:r w:rsidR="00784B75">
        <w:rPr>
          <w:rFonts w:ascii="Arial" w:eastAsia="Times New Roman" w:hAnsi="Arial" w:cs="Arial"/>
          <w:sz w:val="24"/>
          <w:szCs w:val="24"/>
        </w:rPr>
        <w:t xml:space="preserve">atigue </w:t>
      </w:r>
      <w:r>
        <w:rPr>
          <w:rFonts w:ascii="Arial" w:eastAsia="Times New Roman" w:hAnsi="Arial" w:cs="Arial"/>
          <w:sz w:val="24"/>
          <w:szCs w:val="24"/>
        </w:rPr>
        <w:t>R</w:t>
      </w:r>
      <w:r w:rsidR="00784B75">
        <w:rPr>
          <w:rFonts w:ascii="Arial" w:eastAsia="Times New Roman" w:hAnsi="Arial" w:cs="Arial"/>
          <w:sz w:val="24"/>
          <w:szCs w:val="24"/>
        </w:rPr>
        <w:t xml:space="preserve">isk </w:t>
      </w:r>
      <w:r>
        <w:rPr>
          <w:rFonts w:ascii="Arial" w:eastAsia="Times New Roman" w:hAnsi="Arial" w:cs="Arial"/>
          <w:sz w:val="24"/>
          <w:szCs w:val="24"/>
        </w:rPr>
        <w:t>M</w:t>
      </w:r>
      <w:r w:rsidR="00784B75">
        <w:rPr>
          <w:rFonts w:ascii="Arial" w:eastAsia="Times New Roman" w:hAnsi="Arial" w:cs="Arial"/>
          <w:sz w:val="24"/>
          <w:szCs w:val="24"/>
        </w:rPr>
        <w:t xml:space="preserve">anagement </w:t>
      </w:r>
      <w:r>
        <w:rPr>
          <w:rFonts w:ascii="Arial" w:eastAsia="Times New Roman" w:hAnsi="Arial" w:cs="Arial"/>
          <w:sz w:val="24"/>
          <w:szCs w:val="24"/>
        </w:rPr>
        <w:t>P</w:t>
      </w:r>
      <w:r w:rsidR="00784B75">
        <w:rPr>
          <w:rFonts w:ascii="Arial" w:eastAsia="Times New Roman" w:hAnsi="Arial" w:cs="Arial"/>
          <w:sz w:val="24"/>
          <w:szCs w:val="24"/>
        </w:rPr>
        <w:t>lan (FAFRMP)</w:t>
      </w:r>
      <w:r>
        <w:rPr>
          <w:rFonts w:ascii="Arial" w:eastAsia="Times New Roman" w:hAnsi="Arial" w:cs="Arial"/>
          <w:sz w:val="24"/>
          <w:szCs w:val="24"/>
        </w:rPr>
        <w:t xml:space="preserve">, </w:t>
      </w:r>
      <w:r w:rsidRPr="00982EDB">
        <w:rPr>
          <w:rFonts w:ascii="Arial" w:eastAsia="Times New Roman" w:hAnsi="Arial" w:cs="Arial"/>
          <w:sz w:val="24"/>
          <w:szCs w:val="24"/>
        </w:rPr>
        <w:t xml:space="preserve">an operator must write </w:t>
      </w:r>
      <w:r w:rsidR="00784B75">
        <w:rPr>
          <w:rFonts w:ascii="Arial" w:eastAsia="Times New Roman" w:hAnsi="Arial" w:cs="Arial"/>
          <w:sz w:val="24"/>
          <w:szCs w:val="24"/>
        </w:rPr>
        <w:t xml:space="preserve">and submit their plan to the FAA.  </w:t>
      </w:r>
      <w:r w:rsidRPr="00982EDB">
        <w:rPr>
          <w:rFonts w:ascii="Arial" w:eastAsia="Times New Roman" w:hAnsi="Arial" w:cs="Arial"/>
          <w:sz w:val="24"/>
          <w:szCs w:val="24"/>
        </w:rPr>
        <w:t xml:space="preserve">It is estimated that the preparation of </w:t>
      </w:r>
      <w:r w:rsidR="00784B75">
        <w:rPr>
          <w:rFonts w:ascii="Arial" w:eastAsia="Times New Roman" w:hAnsi="Arial" w:cs="Arial"/>
          <w:sz w:val="24"/>
          <w:szCs w:val="24"/>
        </w:rPr>
        <w:t>a FAFRMP will take each operator approximately 20 hours</w:t>
      </w:r>
      <w:r w:rsidRPr="00982EDB">
        <w:rPr>
          <w:rFonts w:ascii="Arial" w:eastAsia="Times New Roman" w:hAnsi="Arial" w:cs="Arial"/>
          <w:sz w:val="24"/>
          <w:szCs w:val="24"/>
        </w:rPr>
        <w:t xml:space="preserve">.  A technical specialist would prepare the </w:t>
      </w:r>
      <w:r w:rsidR="00784B75">
        <w:rPr>
          <w:rFonts w:ascii="Arial" w:eastAsia="Times New Roman" w:hAnsi="Arial" w:cs="Arial"/>
          <w:sz w:val="24"/>
          <w:szCs w:val="24"/>
        </w:rPr>
        <w:t>plan for submittal</w:t>
      </w:r>
      <w:r w:rsidRPr="00982EDB">
        <w:rPr>
          <w:rFonts w:ascii="Arial" w:eastAsia="Times New Roman" w:hAnsi="Arial" w:cs="Arial"/>
          <w:sz w:val="24"/>
          <w:szCs w:val="24"/>
        </w:rPr>
        <w:t xml:space="preserve">.  The employee salary used to calculate this is equivalent to a GS-13 Salary </w:t>
      </w:r>
      <w:r w:rsidRPr="00982EDB">
        <w:rPr>
          <w:rFonts w:ascii="Arial" w:hAnsi="Arial" w:cs="Arial"/>
          <w:sz w:val="24"/>
          <w:szCs w:val="24"/>
        </w:rPr>
        <w:t>(GS-13, Step 5 hourly wage, Kansas City Locality Pay) for an average wage of $47.66 per hour</w:t>
      </w:r>
      <w:r w:rsidRPr="00982EDB">
        <w:rPr>
          <w:rStyle w:val="FootnoteReference"/>
          <w:rFonts w:ascii="Arial" w:hAnsi="Arial" w:cs="Arial"/>
          <w:sz w:val="24"/>
          <w:szCs w:val="24"/>
        </w:rPr>
        <w:footnoteReference w:id="1"/>
      </w:r>
      <w:r w:rsidRPr="00982EDB">
        <w:rPr>
          <w:rFonts w:ascii="Arial" w:hAnsi="Arial" w:cs="Arial"/>
          <w:sz w:val="24"/>
          <w:szCs w:val="24"/>
        </w:rPr>
        <w:t xml:space="preserve"> with 31.4%</w:t>
      </w:r>
      <w:r w:rsidRPr="00982EDB">
        <w:rPr>
          <w:rStyle w:val="FootnoteReference"/>
          <w:rFonts w:ascii="Arial" w:hAnsi="Arial" w:cs="Arial"/>
          <w:sz w:val="24"/>
          <w:szCs w:val="24"/>
        </w:rPr>
        <w:footnoteReference w:id="2"/>
      </w:r>
      <w:r w:rsidRPr="00982EDB">
        <w:rPr>
          <w:rFonts w:ascii="Arial" w:hAnsi="Arial" w:cs="Arial"/>
          <w:sz w:val="24"/>
          <w:szCs w:val="24"/>
        </w:rPr>
        <w:t xml:space="preserve"> fringe benefits cost for a total of $62.76 per hour.  With overhead added</w:t>
      </w:r>
      <w:r w:rsidRPr="00982EDB">
        <w:rPr>
          <w:rStyle w:val="FootnoteReference"/>
          <w:rFonts w:ascii="Arial" w:hAnsi="Arial" w:cs="Arial"/>
          <w:sz w:val="24"/>
          <w:szCs w:val="24"/>
        </w:rPr>
        <w:footnoteReference w:id="3"/>
      </w:r>
      <w:r w:rsidRPr="00982EDB">
        <w:rPr>
          <w:rFonts w:ascii="Arial" w:hAnsi="Arial" w:cs="Arial"/>
          <w:sz w:val="24"/>
          <w:szCs w:val="24"/>
        </w:rPr>
        <w:t xml:space="preserve">, the total salary is </w:t>
      </w:r>
      <w:r w:rsidR="00784B75">
        <w:rPr>
          <w:rFonts w:ascii="Arial" w:hAnsi="Arial" w:cs="Arial"/>
          <w:sz w:val="24"/>
          <w:szCs w:val="24"/>
        </w:rPr>
        <w:t>$</w:t>
      </w:r>
      <w:r w:rsidRPr="00982EDB">
        <w:rPr>
          <w:rFonts w:ascii="Arial" w:hAnsi="Arial" w:cs="Arial"/>
          <w:sz w:val="24"/>
          <w:szCs w:val="24"/>
        </w:rPr>
        <w:t xml:space="preserve">70.86 per hour.    </w:t>
      </w:r>
      <w:r w:rsidR="00784B75">
        <w:rPr>
          <w:rFonts w:ascii="Arial" w:hAnsi="Arial" w:cs="Arial"/>
          <w:sz w:val="24"/>
          <w:szCs w:val="24"/>
        </w:rPr>
        <w:t xml:space="preserve">The estimated cost for all of the carriers to develop a FAFRMP is $99,204 (based on 1,400 hours of work for 70 Air Carriers).  The FAFRMP will need to be updated every two years.  It is estimated that it will take each of the 70 Air Carriers approximately 5 hours to update their individual plans (350 Hours).  Using the above described pay, it would cost the carriers approximately $24,801 to update their plans.  </w:t>
      </w:r>
      <w:r>
        <w:rPr>
          <w:rFonts w:ascii="Arial" w:hAnsi="Arial" w:cs="Arial"/>
          <w:sz w:val="24"/>
          <w:szCs w:val="24"/>
        </w:rPr>
        <w:t>Therefore, the maximum pot</w:t>
      </w:r>
      <w:r w:rsidR="00784B75">
        <w:rPr>
          <w:rFonts w:ascii="Arial" w:hAnsi="Arial" w:cs="Arial"/>
          <w:sz w:val="24"/>
          <w:szCs w:val="24"/>
        </w:rPr>
        <w:t>ential cost of this new burden for 70</w:t>
      </w:r>
      <w:r>
        <w:rPr>
          <w:rFonts w:ascii="Arial" w:hAnsi="Arial" w:cs="Arial"/>
          <w:sz w:val="24"/>
          <w:szCs w:val="24"/>
        </w:rPr>
        <w:t xml:space="preserve"> new FOQA carriers during the 3 yea</w:t>
      </w:r>
      <w:r w:rsidR="00784B75">
        <w:rPr>
          <w:rFonts w:ascii="Arial" w:hAnsi="Arial" w:cs="Arial"/>
          <w:sz w:val="24"/>
          <w:szCs w:val="24"/>
        </w:rPr>
        <w:t>r period of this collection (1,750</w:t>
      </w:r>
      <w:r>
        <w:rPr>
          <w:rFonts w:ascii="Arial" w:hAnsi="Arial" w:cs="Arial"/>
          <w:sz w:val="24"/>
          <w:szCs w:val="24"/>
        </w:rPr>
        <w:t xml:space="preserve"> h</w:t>
      </w:r>
      <w:r w:rsidR="006A4DEA">
        <w:rPr>
          <w:rFonts w:ascii="Arial" w:hAnsi="Arial" w:cs="Arial"/>
          <w:sz w:val="24"/>
          <w:szCs w:val="24"/>
        </w:rPr>
        <w:t>ours) is $124,005</w:t>
      </w:r>
      <w:r>
        <w:rPr>
          <w:rFonts w:ascii="Arial" w:hAnsi="Arial" w:cs="Arial"/>
          <w:sz w:val="24"/>
          <w:szCs w:val="24"/>
        </w:rPr>
        <w:t>.</w:t>
      </w:r>
    </w:p>
    <w:p w14:paraId="5D3325C2" w14:textId="77777777" w:rsidR="006A4DEA" w:rsidRDefault="006A4DEA" w:rsidP="00C64707">
      <w:pPr>
        <w:shd w:val="clear" w:color="auto" w:fill="FFFFFF"/>
        <w:spacing w:after="0" w:line="240" w:lineRule="auto"/>
        <w:rPr>
          <w:rFonts w:ascii="Arial" w:eastAsia="Times New Roman" w:hAnsi="Arial" w:cs="Arial"/>
          <w:b/>
          <w:bCs/>
          <w:color w:val="555555"/>
          <w:sz w:val="24"/>
          <w:szCs w:val="24"/>
        </w:rPr>
      </w:pPr>
    </w:p>
    <w:p w14:paraId="2742323D" w14:textId="5D85484A"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AA600A">
        <w:rPr>
          <w:rFonts w:ascii="Arial" w:eastAsia="Times New Roman" w:hAnsi="Arial" w:cs="Arial"/>
          <w:b/>
          <w:bCs/>
          <w:color w:val="555555"/>
          <w:sz w:val="24"/>
          <w:szCs w:val="24"/>
        </w:rPr>
        <w:t>13. Provide an estimate for the total annual cost burden to respondents or record keepers resulting from the collection of information.</w:t>
      </w:r>
    </w:p>
    <w:p w14:paraId="318E244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2F5DFA12" w14:textId="309E19D8" w:rsidR="00C64707" w:rsidRPr="00C64707" w:rsidRDefault="00AA600A"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Since Air Carriers already comply with Pilot Fatigue Risk Management Plans, there should be no additional costs to the carriers to implement this new requirement.  </w:t>
      </w:r>
    </w:p>
    <w:p w14:paraId="434F4FB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54B11A42"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6A4DEA">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29493177"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3177F01" w14:textId="63E510D4" w:rsidR="006A4DEA" w:rsidRPr="00170CC5" w:rsidRDefault="006A4DEA" w:rsidP="006A4DEA">
      <w:pPr>
        <w:ind w:left="360"/>
        <w:rPr>
          <w:rFonts w:ascii="Arial" w:eastAsia="Calibri" w:hAnsi="Arial" w:cs="Arial"/>
          <w:sz w:val="24"/>
          <w:szCs w:val="24"/>
          <w:u w:val="single"/>
        </w:rPr>
      </w:pPr>
      <w:r w:rsidRPr="001B68FB">
        <w:rPr>
          <w:rFonts w:ascii="Arial" w:hAnsi="Arial" w:cs="Arial"/>
          <w:sz w:val="24"/>
          <w:szCs w:val="24"/>
        </w:rPr>
        <w:t xml:space="preserve">This figure is the estimated cost for the government to approve </w:t>
      </w:r>
      <w:r>
        <w:rPr>
          <w:rFonts w:ascii="Arial" w:hAnsi="Arial" w:cs="Arial"/>
          <w:sz w:val="24"/>
          <w:szCs w:val="24"/>
        </w:rPr>
        <w:t xml:space="preserve">and monitor </w:t>
      </w:r>
      <w:r w:rsidR="00981004">
        <w:rPr>
          <w:rFonts w:ascii="Arial" w:hAnsi="Arial" w:cs="Arial"/>
          <w:sz w:val="24"/>
          <w:szCs w:val="24"/>
        </w:rPr>
        <w:t xml:space="preserve">FAFRMP </w:t>
      </w:r>
      <w:r>
        <w:rPr>
          <w:rFonts w:ascii="Arial" w:hAnsi="Arial" w:cs="Arial"/>
          <w:sz w:val="24"/>
          <w:szCs w:val="24"/>
        </w:rPr>
        <w:t>programs</w:t>
      </w:r>
      <w:r w:rsidRPr="001B68FB">
        <w:rPr>
          <w:rFonts w:ascii="Arial" w:hAnsi="Arial" w:cs="Arial"/>
          <w:sz w:val="24"/>
          <w:szCs w:val="24"/>
        </w:rPr>
        <w:t>.  Typically inspectors at the GS-13 level would inspect and approve these programs.  Generally, these inspectors are GS-13</w:t>
      </w:r>
      <w:r>
        <w:rPr>
          <w:rFonts w:ascii="Arial" w:hAnsi="Arial" w:cs="Arial"/>
          <w:sz w:val="24"/>
          <w:szCs w:val="24"/>
        </w:rPr>
        <w:t xml:space="preserve"> (</w:t>
      </w:r>
      <w:r w:rsidRPr="001B68FB">
        <w:rPr>
          <w:rFonts w:ascii="Arial" w:hAnsi="Arial" w:cs="Arial"/>
          <w:sz w:val="24"/>
          <w:szCs w:val="24"/>
        </w:rPr>
        <w:t>GS-13, Step 5 hourly wage, Kansas City Locality Pay) for an average wage of $47.66 per hour</w:t>
      </w:r>
      <w:r w:rsidRPr="001B68FB">
        <w:rPr>
          <w:rStyle w:val="FootnoteReference"/>
          <w:rFonts w:ascii="Arial" w:hAnsi="Arial" w:cs="Arial"/>
          <w:sz w:val="24"/>
          <w:szCs w:val="24"/>
        </w:rPr>
        <w:footnoteReference w:id="4"/>
      </w:r>
      <w:r w:rsidRPr="001B68FB">
        <w:rPr>
          <w:rFonts w:ascii="Arial" w:hAnsi="Arial" w:cs="Arial"/>
          <w:sz w:val="24"/>
          <w:szCs w:val="24"/>
        </w:rPr>
        <w:t xml:space="preserve"> with 31.4%</w:t>
      </w:r>
      <w:r w:rsidRPr="001B68FB">
        <w:rPr>
          <w:rStyle w:val="FootnoteReference"/>
          <w:rFonts w:ascii="Arial" w:hAnsi="Arial" w:cs="Arial"/>
          <w:sz w:val="24"/>
          <w:szCs w:val="24"/>
        </w:rPr>
        <w:footnoteReference w:id="5"/>
      </w:r>
      <w:r w:rsidRPr="001B68FB">
        <w:rPr>
          <w:rFonts w:ascii="Arial" w:hAnsi="Arial" w:cs="Arial"/>
          <w:sz w:val="24"/>
          <w:szCs w:val="24"/>
        </w:rPr>
        <w:t xml:space="preserve"> fringe benefits cost for a total of </w:t>
      </w:r>
      <w:r w:rsidRPr="00170CC5">
        <w:rPr>
          <w:rFonts w:ascii="Arial" w:hAnsi="Arial" w:cs="Arial"/>
          <w:sz w:val="24"/>
          <w:szCs w:val="24"/>
        </w:rPr>
        <w:t>$62.76 per hour.  With overhead added</w:t>
      </w:r>
      <w:r>
        <w:rPr>
          <w:rStyle w:val="FootnoteReference"/>
          <w:rFonts w:ascii="Arial" w:hAnsi="Arial" w:cs="Arial"/>
          <w:sz w:val="24"/>
          <w:szCs w:val="24"/>
        </w:rPr>
        <w:footnoteReference w:id="6"/>
      </w:r>
      <w:r w:rsidRPr="00170CC5">
        <w:rPr>
          <w:rFonts w:ascii="Arial" w:hAnsi="Arial" w:cs="Arial"/>
          <w:sz w:val="24"/>
          <w:szCs w:val="24"/>
        </w:rPr>
        <w:t xml:space="preserve">, the total salary is 70.86 per hour.    </w:t>
      </w:r>
    </w:p>
    <w:p w14:paraId="07701040" w14:textId="77777777" w:rsidR="006A4DEA" w:rsidRDefault="006A4DEA" w:rsidP="006A4DEA">
      <w:pPr>
        <w:spacing w:after="0" w:line="240" w:lineRule="auto"/>
        <w:ind w:left="360"/>
        <w:contextualSpacing/>
        <w:rPr>
          <w:rFonts w:ascii="Arial" w:eastAsia="Calibri" w:hAnsi="Arial" w:cs="Arial"/>
          <w:sz w:val="24"/>
          <w:szCs w:val="24"/>
          <w:u w:val="single"/>
        </w:rPr>
      </w:pPr>
    </w:p>
    <w:p w14:paraId="712C1447" w14:textId="77777777" w:rsidR="006A4DEA" w:rsidRPr="000119D1" w:rsidRDefault="006A4DEA" w:rsidP="006A4DEA">
      <w:pPr>
        <w:spacing w:after="0" w:line="240" w:lineRule="auto"/>
        <w:ind w:left="360"/>
        <w:contextualSpacing/>
        <w:rPr>
          <w:rFonts w:ascii="Arial" w:eastAsia="Calibri"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4034"/>
        <w:gridCol w:w="937"/>
        <w:gridCol w:w="1318"/>
      </w:tblGrid>
      <w:tr w:rsidR="006A4DEA" w:rsidRPr="000119D1" w14:paraId="18E2D140" w14:textId="77777777" w:rsidTr="006A4DEA">
        <w:tc>
          <w:tcPr>
            <w:tcW w:w="3061" w:type="dxa"/>
            <w:shd w:val="clear" w:color="auto" w:fill="auto"/>
          </w:tcPr>
          <w:p w14:paraId="4312EE5D" w14:textId="77777777" w:rsidR="006A4DEA" w:rsidRPr="000119D1" w:rsidRDefault="006A4DEA" w:rsidP="00F24104">
            <w:pPr>
              <w:spacing w:after="0" w:line="240" w:lineRule="auto"/>
              <w:jc w:val="center"/>
              <w:rPr>
                <w:rFonts w:ascii="Arial" w:eastAsia="Calibri" w:hAnsi="Arial" w:cs="Arial"/>
                <w:b/>
              </w:rPr>
            </w:pPr>
            <w:r w:rsidRPr="000119D1">
              <w:rPr>
                <w:rFonts w:ascii="Arial" w:eastAsia="Calibri" w:hAnsi="Arial" w:cs="Arial"/>
                <w:b/>
              </w:rPr>
              <w:t>FAA Staff Action</w:t>
            </w:r>
          </w:p>
        </w:tc>
        <w:tc>
          <w:tcPr>
            <w:tcW w:w="4034" w:type="dxa"/>
            <w:shd w:val="clear" w:color="auto" w:fill="auto"/>
          </w:tcPr>
          <w:p w14:paraId="484F4851" w14:textId="77777777" w:rsidR="006A4DEA" w:rsidRPr="000119D1" w:rsidRDefault="006A4DEA" w:rsidP="00F24104">
            <w:pPr>
              <w:spacing w:after="0" w:line="240" w:lineRule="auto"/>
              <w:jc w:val="center"/>
              <w:rPr>
                <w:rFonts w:ascii="Arial" w:eastAsia="Calibri" w:hAnsi="Arial" w:cs="Arial"/>
                <w:b/>
              </w:rPr>
            </w:pPr>
            <w:r w:rsidRPr="000119D1">
              <w:rPr>
                <w:rFonts w:ascii="Arial" w:eastAsia="Calibri" w:hAnsi="Arial" w:cs="Arial"/>
                <w:b/>
              </w:rPr>
              <w:t>FAA Personnel</w:t>
            </w:r>
          </w:p>
        </w:tc>
        <w:tc>
          <w:tcPr>
            <w:tcW w:w="2255" w:type="dxa"/>
            <w:gridSpan w:val="2"/>
            <w:shd w:val="clear" w:color="auto" w:fill="auto"/>
          </w:tcPr>
          <w:p w14:paraId="24961FCC" w14:textId="77777777" w:rsidR="006A4DEA" w:rsidRPr="000119D1" w:rsidRDefault="006A4DEA" w:rsidP="00F24104">
            <w:pPr>
              <w:spacing w:after="0" w:line="240" w:lineRule="auto"/>
              <w:jc w:val="center"/>
              <w:rPr>
                <w:rFonts w:ascii="Arial" w:eastAsia="Calibri" w:hAnsi="Arial" w:cs="Arial"/>
                <w:b/>
              </w:rPr>
            </w:pPr>
            <w:r w:rsidRPr="000119D1">
              <w:rPr>
                <w:rFonts w:ascii="Arial" w:eastAsia="Calibri" w:hAnsi="Arial" w:cs="Arial"/>
                <w:b/>
              </w:rPr>
              <w:t>Burden</w:t>
            </w:r>
          </w:p>
          <w:p w14:paraId="2E4E9CD1" w14:textId="77777777" w:rsidR="006A4DEA" w:rsidRPr="000119D1" w:rsidRDefault="006A4DEA" w:rsidP="00F24104">
            <w:pPr>
              <w:spacing w:after="0" w:line="240" w:lineRule="auto"/>
              <w:rPr>
                <w:rFonts w:ascii="Arial" w:eastAsia="Calibri" w:hAnsi="Arial" w:cs="Arial"/>
                <w:b/>
              </w:rPr>
            </w:pPr>
            <w:r w:rsidRPr="000119D1">
              <w:rPr>
                <w:rFonts w:ascii="Arial" w:eastAsia="Calibri" w:hAnsi="Arial" w:cs="Arial"/>
                <w:b/>
              </w:rPr>
              <w:t>Time         Cost</w:t>
            </w:r>
          </w:p>
        </w:tc>
      </w:tr>
      <w:tr w:rsidR="006A4DEA" w:rsidRPr="000119D1" w14:paraId="4E48E899" w14:textId="77777777" w:rsidTr="006A4DEA">
        <w:tc>
          <w:tcPr>
            <w:tcW w:w="3061" w:type="dxa"/>
            <w:shd w:val="clear" w:color="auto" w:fill="auto"/>
          </w:tcPr>
          <w:p w14:paraId="50823720" w14:textId="4D109DD0" w:rsidR="006A4DEA" w:rsidRPr="000119D1" w:rsidRDefault="006A4DEA" w:rsidP="006A4DEA">
            <w:pPr>
              <w:numPr>
                <w:ilvl w:val="0"/>
                <w:numId w:val="4"/>
              </w:numPr>
              <w:spacing w:after="0" w:line="240" w:lineRule="auto"/>
              <w:contextualSpacing/>
              <w:rPr>
                <w:rFonts w:ascii="Arial" w:eastAsia="Calibri" w:hAnsi="Arial" w:cs="Arial"/>
              </w:rPr>
            </w:pPr>
            <w:r w:rsidRPr="000119D1">
              <w:rPr>
                <w:rFonts w:ascii="Arial" w:eastAsia="Calibri" w:hAnsi="Arial" w:cs="Arial"/>
              </w:rPr>
              <w:t xml:space="preserve">Review/Approval of </w:t>
            </w:r>
            <w:r>
              <w:rPr>
                <w:rFonts w:ascii="Arial" w:eastAsia="Calibri" w:hAnsi="Arial" w:cs="Arial"/>
              </w:rPr>
              <w:t>Initial FAFRMP</w:t>
            </w:r>
          </w:p>
        </w:tc>
        <w:tc>
          <w:tcPr>
            <w:tcW w:w="4034" w:type="dxa"/>
            <w:shd w:val="clear" w:color="auto" w:fill="auto"/>
          </w:tcPr>
          <w:p w14:paraId="2E89AD47" w14:textId="666F658D" w:rsidR="006A4DEA" w:rsidRPr="000119D1" w:rsidRDefault="006A4DEA" w:rsidP="00F24104">
            <w:pPr>
              <w:spacing w:after="0" w:line="240" w:lineRule="auto"/>
              <w:rPr>
                <w:rFonts w:ascii="Arial" w:eastAsia="Calibri" w:hAnsi="Arial" w:cs="Arial"/>
              </w:rPr>
            </w:pPr>
            <w:r w:rsidRPr="000119D1">
              <w:rPr>
                <w:rFonts w:ascii="Arial" w:eastAsia="Calibri" w:hAnsi="Arial" w:cs="Arial"/>
              </w:rPr>
              <w:t xml:space="preserve">Aviation Safety Inspector - 5 hrs x </w:t>
            </w:r>
            <w:r>
              <w:rPr>
                <w:rFonts w:ascii="Arial" w:eastAsia="Calibri" w:hAnsi="Arial" w:cs="Arial"/>
              </w:rPr>
              <w:t xml:space="preserve">70 </w:t>
            </w:r>
            <w:r w:rsidRPr="000119D1">
              <w:rPr>
                <w:rFonts w:ascii="Arial" w:eastAsia="Calibri" w:hAnsi="Arial" w:cs="Arial"/>
              </w:rPr>
              <w:t xml:space="preserve">operators = </w:t>
            </w:r>
            <w:r>
              <w:rPr>
                <w:rFonts w:ascii="Arial" w:eastAsia="Calibri" w:hAnsi="Arial" w:cs="Arial"/>
                <w:b/>
              </w:rPr>
              <w:t>350</w:t>
            </w:r>
            <w:r w:rsidRPr="000119D1">
              <w:rPr>
                <w:rFonts w:ascii="Arial" w:eastAsia="Calibri" w:hAnsi="Arial" w:cs="Arial"/>
                <w:b/>
              </w:rPr>
              <w:t xml:space="preserve"> hrs</w:t>
            </w:r>
            <w:r>
              <w:rPr>
                <w:rFonts w:ascii="Arial" w:eastAsia="Calibri" w:hAnsi="Arial" w:cs="Arial"/>
              </w:rPr>
              <w:t xml:space="preserve"> at $71</w:t>
            </w:r>
            <w:r w:rsidRPr="000119D1">
              <w:rPr>
                <w:rFonts w:ascii="Arial" w:eastAsia="Calibri" w:hAnsi="Arial" w:cs="Arial"/>
              </w:rPr>
              <w:t xml:space="preserve">/hr  =  </w:t>
            </w:r>
            <w:r>
              <w:rPr>
                <w:rFonts w:ascii="Arial" w:eastAsia="Calibri" w:hAnsi="Arial" w:cs="Arial"/>
                <w:b/>
              </w:rPr>
              <w:t>$24,850</w:t>
            </w:r>
          </w:p>
        </w:tc>
        <w:tc>
          <w:tcPr>
            <w:tcW w:w="937" w:type="dxa"/>
            <w:shd w:val="clear" w:color="auto" w:fill="auto"/>
          </w:tcPr>
          <w:p w14:paraId="72C950C9" w14:textId="63BFF6CE" w:rsidR="006A4DEA" w:rsidRPr="000119D1" w:rsidRDefault="006A4DEA" w:rsidP="00F24104">
            <w:pPr>
              <w:spacing w:after="0" w:line="240" w:lineRule="auto"/>
              <w:rPr>
                <w:rFonts w:ascii="Arial" w:eastAsia="Calibri" w:hAnsi="Arial" w:cs="Arial"/>
              </w:rPr>
            </w:pPr>
            <w:r>
              <w:rPr>
                <w:rFonts w:ascii="Arial" w:eastAsia="Calibri" w:hAnsi="Arial" w:cs="Arial"/>
              </w:rPr>
              <w:t>350</w:t>
            </w:r>
          </w:p>
        </w:tc>
        <w:tc>
          <w:tcPr>
            <w:tcW w:w="1318" w:type="dxa"/>
            <w:shd w:val="clear" w:color="auto" w:fill="auto"/>
          </w:tcPr>
          <w:p w14:paraId="302D209D" w14:textId="6B85308F" w:rsidR="006A4DEA" w:rsidRPr="000119D1" w:rsidRDefault="006A4DEA" w:rsidP="00F24104">
            <w:pPr>
              <w:spacing w:after="0" w:line="240" w:lineRule="auto"/>
              <w:rPr>
                <w:rFonts w:ascii="Arial" w:eastAsia="Calibri" w:hAnsi="Arial" w:cs="Arial"/>
              </w:rPr>
            </w:pPr>
            <w:r w:rsidRPr="000119D1">
              <w:rPr>
                <w:rFonts w:ascii="Arial" w:eastAsia="Calibri" w:hAnsi="Arial" w:cs="Arial"/>
              </w:rPr>
              <w:t>$</w:t>
            </w:r>
            <w:r>
              <w:rPr>
                <w:rFonts w:ascii="Arial" w:eastAsia="Calibri" w:hAnsi="Arial" w:cs="Arial"/>
              </w:rPr>
              <w:t>24,850</w:t>
            </w:r>
          </w:p>
        </w:tc>
      </w:tr>
      <w:tr w:rsidR="006A4DEA" w:rsidRPr="000119D1" w14:paraId="181ADFCA" w14:textId="77777777" w:rsidTr="006A4DEA">
        <w:tc>
          <w:tcPr>
            <w:tcW w:w="3061" w:type="dxa"/>
            <w:shd w:val="clear" w:color="auto" w:fill="auto"/>
          </w:tcPr>
          <w:p w14:paraId="5E100CF2" w14:textId="354536A4" w:rsidR="006A4DEA" w:rsidRPr="000119D1" w:rsidRDefault="006A4DEA" w:rsidP="006A4DEA">
            <w:pPr>
              <w:numPr>
                <w:ilvl w:val="0"/>
                <w:numId w:val="4"/>
              </w:numPr>
              <w:spacing w:after="0" w:line="240" w:lineRule="auto"/>
              <w:contextualSpacing/>
              <w:rPr>
                <w:rFonts w:ascii="Arial" w:eastAsia="Calibri" w:hAnsi="Arial" w:cs="Arial"/>
              </w:rPr>
            </w:pPr>
            <w:r>
              <w:rPr>
                <w:rFonts w:ascii="Arial" w:eastAsia="Calibri" w:hAnsi="Arial" w:cs="Arial"/>
              </w:rPr>
              <w:t>Review/Approval of Update to FAFRMP (Required every 2 years)</w:t>
            </w:r>
          </w:p>
        </w:tc>
        <w:tc>
          <w:tcPr>
            <w:tcW w:w="4034" w:type="dxa"/>
            <w:shd w:val="clear" w:color="auto" w:fill="auto"/>
          </w:tcPr>
          <w:p w14:paraId="28CD982D" w14:textId="1C127827" w:rsidR="006A4DEA" w:rsidRPr="000119D1" w:rsidRDefault="006A4DEA" w:rsidP="00F24104">
            <w:pPr>
              <w:spacing w:after="0" w:line="240" w:lineRule="auto"/>
              <w:rPr>
                <w:rFonts w:ascii="Arial" w:eastAsia="Calibri" w:hAnsi="Arial" w:cs="Arial"/>
              </w:rPr>
            </w:pPr>
            <w:r w:rsidRPr="000119D1">
              <w:rPr>
                <w:rFonts w:ascii="Arial" w:eastAsia="Calibri" w:hAnsi="Arial" w:cs="Arial"/>
              </w:rPr>
              <w:t>Avi</w:t>
            </w:r>
            <w:r>
              <w:rPr>
                <w:rFonts w:ascii="Arial" w:eastAsia="Calibri" w:hAnsi="Arial" w:cs="Arial"/>
              </w:rPr>
              <w:t>ation Safety Inspector- 1 hr x 70</w:t>
            </w:r>
            <w:r w:rsidRPr="000119D1">
              <w:rPr>
                <w:rFonts w:ascii="Arial" w:eastAsia="Calibri" w:hAnsi="Arial" w:cs="Arial"/>
              </w:rPr>
              <w:t xml:space="preserve"> operators = </w:t>
            </w:r>
            <w:r>
              <w:rPr>
                <w:rFonts w:ascii="Arial" w:eastAsia="Calibri" w:hAnsi="Arial" w:cs="Arial"/>
                <w:b/>
              </w:rPr>
              <w:t>70</w:t>
            </w:r>
            <w:r w:rsidRPr="000119D1">
              <w:rPr>
                <w:rFonts w:ascii="Arial" w:eastAsia="Calibri" w:hAnsi="Arial" w:cs="Arial"/>
                <w:b/>
              </w:rPr>
              <w:t xml:space="preserve"> hrs</w:t>
            </w:r>
            <w:r>
              <w:rPr>
                <w:rFonts w:ascii="Arial" w:eastAsia="Calibri" w:hAnsi="Arial" w:cs="Arial"/>
              </w:rPr>
              <w:t xml:space="preserve"> at $71/</w:t>
            </w:r>
            <w:r w:rsidRPr="000119D1">
              <w:rPr>
                <w:rFonts w:ascii="Arial" w:eastAsia="Calibri" w:hAnsi="Arial" w:cs="Arial"/>
              </w:rPr>
              <w:t xml:space="preserve">hr =  </w:t>
            </w:r>
            <w:r w:rsidRPr="000119D1">
              <w:rPr>
                <w:rFonts w:ascii="Arial" w:eastAsia="Calibri" w:hAnsi="Arial" w:cs="Arial"/>
                <w:b/>
              </w:rPr>
              <w:t>$</w:t>
            </w:r>
            <w:r>
              <w:rPr>
                <w:rFonts w:ascii="Arial" w:eastAsia="Calibri" w:hAnsi="Arial" w:cs="Arial"/>
                <w:b/>
              </w:rPr>
              <w:t>4,970</w:t>
            </w:r>
          </w:p>
          <w:p w14:paraId="7253BE47" w14:textId="77777777" w:rsidR="006A4DEA" w:rsidRPr="000119D1" w:rsidRDefault="006A4DEA" w:rsidP="00F24104">
            <w:pPr>
              <w:spacing w:after="0" w:line="240" w:lineRule="auto"/>
              <w:rPr>
                <w:rFonts w:ascii="Arial" w:eastAsia="Calibri" w:hAnsi="Arial" w:cs="Arial"/>
              </w:rPr>
            </w:pPr>
          </w:p>
          <w:p w14:paraId="11B79205" w14:textId="733FB36C" w:rsidR="006A4DEA" w:rsidRPr="000119D1" w:rsidRDefault="006A4DEA" w:rsidP="00F24104">
            <w:pPr>
              <w:spacing w:after="0" w:line="240" w:lineRule="auto"/>
              <w:rPr>
                <w:rFonts w:ascii="Arial" w:eastAsia="Calibri" w:hAnsi="Arial" w:cs="Arial"/>
              </w:rPr>
            </w:pPr>
          </w:p>
        </w:tc>
        <w:tc>
          <w:tcPr>
            <w:tcW w:w="937" w:type="dxa"/>
            <w:shd w:val="clear" w:color="auto" w:fill="auto"/>
          </w:tcPr>
          <w:p w14:paraId="4A6996C4" w14:textId="61B3D9F8" w:rsidR="006A4DEA" w:rsidRPr="000119D1" w:rsidRDefault="006A4DEA" w:rsidP="00F24104">
            <w:pPr>
              <w:spacing w:after="0" w:line="240" w:lineRule="auto"/>
              <w:rPr>
                <w:rFonts w:ascii="Arial" w:eastAsia="Calibri" w:hAnsi="Arial" w:cs="Arial"/>
              </w:rPr>
            </w:pPr>
            <w:r>
              <w:rPr>
                <w:rFonts w:ascii="Arial" w:eastAsia="Calibri" w:hAnsi="Arial" w:cs="Arial"/>
              </w:rPr>
              <w:t>70</w:t>
            </w:r>
          </w:p>
          <w:p w14:paraId="4FC9CBF2" w14:textId="77777777" w:rsidR="006A4DEA" w:rsidRPr="000119D1" w:rsidRDefault="006A4DEA" w:rsidP="00F24104">
            <w:pPr>
              <w:spacing w:after="0" w:line="240" w:lineRule="auto"/>
              <w:rPr>
                <w:rFonts w:ascii="Arial" w:eastAsia="Calibri" w:hAnsi="Arial" w:cs="Arial"/>
              </w:rPr>
            </w:pPr>
          </w:p>
          <w:p w14:paraId="0BA1EE97" w14:textId="77777777" w:rsidR="006A4DEA" w:rsidRPr="000119D1" w:rsidRDefault="006A4DEA" w:rsidP="00F24104">
            <w:pPr>
              <w:spacing w:after="0" w:line="240" w:lineRule="auto"/>
              <w:rPr>
                <w:rFonts w:ascii="Arial" w:eastAsia="Calibri" w:hAnsi="Arial" w:cs="Arial"/>
              </w:rPr>
            </w:pPr>
          </w:p>
          <w:p w14:paraId="5E4ACB01" w14:textId="6DD32D71" w:rsidR="006A4DEA" w:rsidRPr="000119D1" w:rsidRDefault="006A4DEA" w:rsidP="00F24104">
            <w:pPr>
              <w:spacing w:after="0" w:line="240" w:lineRule="auto"/>
              <w:rPr>
                <w:rFonts w:ascii="Arial" w:eastAsia="Calibri" w:hAnsi="Arial" w:cs="Arial"/>
              </w:rPr>
            </w:pPr>
          </w:p>
        </w:tc>
        <w:tc>
          <w:tcPr>
            <w:tcW w:w="1318" w:type="dxa"/>
            <w:shd w:val="clear" w:color="auto" w:fill="auto"/>
          </w:tcPr>
          <w:p w14:paraId="765ACF62" w14:textId="2A89604A" w:rsidR="006A4DEA" w:rsidRPr="000119D1" w:rsidRDefault="006A4DEA" w:rsidP="00F24104">
            <w:pPr>
              <w:spacing w:after="0" w:line="240" w:lineRule="auto"/>
              <w:rPr>
                <w:rFonts w:ascii="Arial" w:eastAsia="Calibri" w:hAnsi="Arial" w:cs="Arial"/>
              </w:rPr>
            </w:pPr>
            <w:r w:rsidRPr="000119D1">
              <w:rPr>
                <w:rFonts w:ascii="Arial" w:eastAsia="Calibri" w:hAnsi="Arial" w:cs="Arial"/>
              </w:rPr>
              <w:t>$</w:t>
            </w:r>
            <w:r>
              <w:rPr>
                <w:rFonts w:ascii="Arial" w:eastAsia="Calibri" w:hAnsi="Arial" w:cs="Arial"/>
              </w:rPr>
              <w:t>4,970</w:t>
            </w:r>
          </w:p>
          <w:p w14:paraId="14D2E3A2" w14:textId="77777777" w:rsidR="006A4DEA" w:rsidRPr="000119D1" w:rsidRDefault="006A4DEA" w:rsidP="00F24104">
            <w:pPr>
              <w:spacing w:after="0" w:line="240" w:lineRule="auto"/>
              <w:rPr>
                <w:rFonts w:ascii="Arial" w:eastAsia="Calibri" w:hAnsi="Arial" w:cs="Arial"/>
              </w:rPr>
            </w:pPr>
          </w:p>
          <w:p w14:paraId="7973693B" w14:textId="77777777" w:rsidR="006A4DEA" w:rsidRPr="000119D1" w:rsidRDefault="006A4DEA" w:rsidP="00F24104">
            <w:pPr>
              <w:spacing w:after="0" w:line="240" w:lineRule="auto"/>
              <w:rPr>
                <w:rFonts w:ascii="Arial" w:eastAsia="Calibri" w:hAnsi="Arial" w:cs="Arial"/>
              </w:rPr>
            </w:pPr>
          </w:p>
          <w:p w14:paraId="5B990327" w14:textId="598347F4" w:rsidR="006A4DEA" w:rsidRPr="000119D1" w:rsidRDefault="006A4DEA" w:rsidP="00F24104">
            <w:pPr>
              <w:spacing w:after="0" w:line="240" w:lineRule="auto"/>
              <w:rPr>
                <w:rFonts w:ascii="Arial" w:eastAsia="Calibri" w:hAnsi="Arial" w:cs="Arial"/>
              </w:rPr>
            </w:pPr>
          </w:p>
        </w:tc>
      </w:tr>
      <w:tr w:rsidR="006A4DEA" w:rsidRPr="000119D1" w14:paraId="4C8F3378" w14:textId="77777777" w:rsidTr="006A4DEA">
        <w:tc>
          <w:tcPr>
            <w:tcW w:w="3061" w:type="dxa"/>
            <w:shd w:val="clear" w:color="auto" w:fill="auto"/>
          </w:tcPr>
          <w:p w14:paraId="1C1EA014" w14:textId="77777777" w:rsidR="006A4DEA" w:rsidRPr="000119D1" w:rsidRDefault="006A4DEA" w:rsidP="00F24104">
            <w:pPr>
              <w:ind w:left="720"/>
              <w:contextualSpacing/>
              <w:rPr>
                <w:rFonts w:ascii="Arial" w:eastAsia="Calibri" w:hAnsi="Arial" w:cs="Arial"/>
              </w:rPr>
            </w:pPr>
          </w:p>
        </w:tc>
        <w:tc>
          <w:tcPr>
            <w:tcW w:w="4034" w:type="dxa"/>
            <w:shd w:val="clear" w:color="auto" w:fill="auto"/>
          </w:tcPr>
          <w:p w14:paraId="5DEFDC68" w14:textId="77777777" w:rsidR="006A4DEA" w:rsidRPr="000119D1" w:rsidRDefault="006A4DEA" w:rsidP="00F24104">
            <w:pPr>
              <w:spacing w:after="0" w:line="240" w:lineRule="auto"/>
              <w:jc w:val="right"/>
              <w:rPr>
                <w:rFonts w:ascii="Arial" w:eastAsia="Calibri" w:hAnsi="Arial" w:cs="Arial"/>
                <w:b/>
              </w:rPr>
            </w:pPr>
            <w:r w:rsidRPr="000119D1">
              <w:rPr>
                <w:rFonts w:ascii="Arial" w:eastAsia="Calibri" w:hAnsi="Arial" w:cs="Arial"/>
                <w:b/>
              </w:rPr>
              <w:t>Total</w:t>
            </w:r>
          </w:p>
        </w:tc>
        <w:tc>
          <w:tcPr>
            <w:tcW w:w="937" w:type="dxa"/>
            <w:shd w:val="clear" w:color="auto" w:fill="auto"/>
          </w:tcPr>
          <w:p w14:paraId="55E76403" w14:textId="2FFD6591" w:rsidR="006A4DEA" w:rsidRPr="000119D1" w:rsidRDefault="006A4DEA" w:rsidP="00F24104">
            <w:pPr>
              <w:spacing w:after="0" w:line="240" w:lineRule="auto"/>
              <w:rPr>
                <w:rFonts w:ascii="Arial" w:eastAsia="Calibri" w:hAnsi="Arial" w:cs="Arial"/>
                <w:b/>
              </w:rPr>
            </w:pPr>
            <w:r>
              <w:rPr>
                <w:rFonts w:ascii="Arial" w:eastAsia="Calibri" w:hAnsi="Arial" w:cs="Arial"/>
                <w:b/>
              </w:rPr>
              <w:t>420</w:t>
            </w:r>
          </w:p>
        </w:tc>
        <w:tc>
          <w:tcPr>
            <w:tcW w:w="1318" w:type="dxa"/>
            <w:shd w:val="clear" w:color="auto" w:fill="auto"/>
          </w:tcPr>
          <w:p w14:paraId="28F4A5F3" w14:textId="1B4BC87C" w:rsidR="006A4DEA" w:rsidRPr="000119D1" w:rsidRDefault="006A4DEA" w:rsidP="006A4DEA">
            <w:pPr>
              <w:spacing w:after="0" w:line="240" w:lineRule="auto"/>
              <w:rPr>
                <w:rFonts w:ascii="Arial" w:eastAsia="Calibri" w:hAnsi="Arial" w:cs="Arial"/>
                <w:b/>
              </w:rPr>
            </w:pPr>
            <w:r w:rsidRPr="000119D1">
              <w:rPr>
                <w:rFonts w:ascii="Arial" w:eastAsia="Calibri" w:hAnsi="Arial" w:cs="Arial"/>
                <w:b/>
              </w:rPr>
              <w:t>$</w:t>
            </w:r>
            <w:r>
              <w:rPr>
                <w:rFonts w:ascii="Arial" w:eastAsia="Calibri" w:hAnsi="Arial" w:cs="Arial"/>
                <w:b/>
              </w:rPr>
              <w:t>29,820</w:t>
            </w:r>
          </w:p>
        </w:tc>
      </w:tr>
    </w:tbl>
    <w:p w14:paraId="04947E92" w14:textId="77777777" w:rsidR="00771C53" w:rsidRDefault="00771C53" w:rsidP="00C64707">
      <w:pPr>
        <w:shd w:val="clear" w:color="auto" w:fill="FFFFFF"/>
        <w:spacing w:after="0" w:line="240" w:lineRule="auto"/>
        <w:rPr>
          <w:rFonts w:ascii="Arial" w:eastAsia="Times New Roman" w:hAnsi="Arial" w:cs="Arial"/>
          <w:color w:val="555555"/>
          <w:sz w:val="24"/>
          <w:szCs w:val="24"/>
        </w:rPr>
      </w:pPr>
    </w:p>
    <w:p w14:paraId="257C5742"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14:paraId="2E2C4C3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AA600A">
        <w:rPr>
          <w:rFonts w:ascii="Arial" w:eastAsia="Times New Roman" w:hAnsi="Arial" w:cs="Arial"/>
          <w:b/>
          <w:bCs/>
          <w:color w:val="555555"/>
          <w:sz w:val="24"/>
          <w:szCs w:val="24"/>
        </w:rPr>
        <w:t>15. Explain the reasons for any program changes or adjustments.</w:t>
      </w:r>
    </w:p>
    <w:p w14:paraId="74753152"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4EF21857" w14:textId="5987634C" w:rsidR="00C64707" w:rsidRPr="00C64707" w:rsidRDefault="00AA600A"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This is a new collection.  </w:t>
      </w:r>
    </w:p>
    <w:p w14:paraId="389C9DB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6B5A7234"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7DC2C1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78D631B5" w14:textId="7CA0176D" w:rsidR="00C64707" w:rsidRPr="00C64707" w:rsidRDefault="00C3725F" w:rsidP="00C64707">
      <w:pPr>
        <w:shd w:val="clear" w:color="auto" w:fill="FFFFFF"/>
        <w:spacing w:after="0" w:line="240" w:lineRule="auto"/>
        <w:rPr>
          <w:rFonts w:ascii="Arial" w:eastAsia="Times New Roman" w:hAnsi="Arial" w:cs="Arial"/>
          <w:color w:val="555555"/>
          <w:sz w:val="24"/>
          <w:szCs w:val="24"/>
        </w:rPr>
      </w:pPr>
      <w:r w:rsidRPr="00C3725F">
        <w:rPr>
          <w:rFonts w:ascii="Arial" w:eastAsia="Times New Roman" w:hAnsi="Arial" w:cs="Arial"/>
          <w:color w:val="555555"/>
          <w:sz w:val="24"/>
          <w:szCs w:val="24"/>
        </w:rPr>
        <w:t>Although the information collected may be not expected to be disseminated directly to the public, results may be used in scientific, management, technical or general informational publications.</w:t>
      </w:r>
      <w:r w:rsidR="00C64707" w:rsidRPr="00C64707">
        <w:rPr>
          <w:rFonts w:ascii="Arial" w:eastAsia="Times New Roman" w:hAnsi="Arial" w:cs="Arial"/>
          <w:color w:val="555555"/>
          <w:sz w:val="24"/>
          <w:szCs w:val="24"/>
        </w:rPr>
        <w:br/>
      </w:r>
    </w:p>
    <w:p w14:paraId="4C3DD6A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14:paraId="7B5FAB49"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756C7D31" w14:textId="77777777" w:rsidR="002B3216" w:rsidRPr="002B3216" w:rsidRDefault="002B3216" w:rsidP="002B3216">
      <w:pPr>
        <w:shd w:val="clear" w:color="auto" w:fill="FFFFFF"/>
        <w:spacing w:after="0" w:line="240" w:lineRule="auto"/>
        <w:rPr>
          <w:rFonts w:ascii="Arial" w:eastAsia="Times New Roman" w:hAnsi="Arial" w:cs="Arial"/>
          <w:color w:val="555555"/>
          <w:sz w:val="24"/>
          <w:szCs w:val="24"/>
        </w:rPr>
      </w:pPr>
      <w:r w:rsidRPr="002B3216">
        <w:rPr>
          <w:rFonts w:ascii="Arial" w:eastAsia="Times New Roman" w:hAnsi="Arial" w:cs="Arial"/>
          <w:color w:val="555555"/>
          <w:sz w:val="24"/>
          <w:szCs w:val="24"/>
        </w:rPr>
        <w:t>FAA is not seeking approval to not display the expiration date of OMB's approval of this collection of information.</w:t>
      </w:r>
    </w:p>
    <w:p w14:paraId="15E251D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266AF1F6"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14:paraId="6FD1351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47EDD10D" w14:textId="691CDE6C"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 xml:space="preserve">There are </w:t>
      </w:r>
      <w:r w:rsidR="002B3216">
        <w:rPr>
          <w:rFonts w:ascii="Arial" w:eastAsia="Times New Roman" w:hAnsi="Arial" w:cs="Arial"/>
          <w:color w:val="555555"/>
          <w:sz w:val="24"/>
          <w:szCs w:val="24"/>
        </w:rPr>
        <w:t>no</w:t>
      </w:r>
      <w:r w:rsidRPr="00C64707">
        <w:rPr>
          <w:rFonts w:ascii="Arial" w:eastAsia="Times New Roman" w:hAnsi="Arial" w:cs="Arial"/>
          <w:color w:val="555555"/>
          <w:sz w:val="24"/>
          <w:szCs w:val="24"/>
        </w:rPr>
        <w:t xml:space="preserve"> exceptions.</w:t>
      </w:r>
    </w:p>
    <w:p w14:paraId="0979AD94" w14:textId="77777777" w:rsidR="005B4EB0" w:rsidRDefault="005B4EB0"/>
    <w:sectPr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697AA" w14:textId="77777777" w:rsidR="003A59D0" w:rsidRDefault="003A59D0" w:rsidP="00AA600A">
      <w:pPr>
        <w:spacing w:after="0" w:line="240" w:lineRule="auto"/>
      </w:pPr>
      <w:r>
        <w:separator/>
      </w:r>
    </w:p>
  </w:endnote>
  <w:endnote w:type="continuationSeparator" w:id="0">
    <w:p w14:paraId="41393B17" w14:textId="77777777" w:rsidR="003A59D0" w:rsidRDefault="003A59D0" w:rsidP="00AA6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2C0B4" w14:textId="77777777" w:rsidR="003A59D0" w:rsidRDefault="003A59D0" w:rsidP="00AA600A">
      <w:pPr>
        <w:spacing w:after="0" w:line="240" w:lineRule="auto"/>
      </w:pPr>
      <w:r>
        <w:separator/>
      </w:r>
    </w:p>
  </w:footnote>
  <w:footnote w:type="continuationSeparator" w:id="0">
    <w:p w14:paraId="42DE77BC" w14:textId="77777777" w:rsidR="003A59D0" w:rsidRDefault="003A59D0" w:rsidP="00AA600A">
      <w:pPr>
        <w:spacing w:after="0" w:line="240" w:lineRule="auto"/>
      </w:pPr>
      <w:r>
        <w:continuationSeparator/>
      </w:r>
    </w:p>
  </w:footnote>
  <w:footnote w:id="1">
    <w:p w14:paraId="6220BA05" w14:textId="77777777" w:rsidR="00AA600A" w:rsidRDefault="00AA600A" w:rsidP="00AA600A">
      <w:pPr>
        <w:pStyle w:val="FootnoteText"/>
      </w:pPr>
      <w:r>
        <w:rPr>
          <w:rStyle w:val="FootnoteReference"/>
        </w:rPr>
        <w:footnoteRef/>
      </w:r>
      <w:r>
        <w:t xml:space="preserve"> </w:t>
      </w:r>
      <w:r w:rsidRPr="007D373E">
        <w:t>https://www.opm.gov/policy-data-oversight/pay-leave/salaries-wages/salary-tables/pdf/2019/GS_h.pdf</w:t>
      </w:r>
    </w:p>
  </w:footnote>
  <w:footnote w:id="2">
    <w:p w14:paraId="1C8D334D" w14:textId="77777777" w:rsidR="00AA600A" w:rsidRDefault="00AA600A" w:rsidP="00AA600A">
      <w:pPr>
        <w:pStyle w:val="FootnoteText"/>
      </w:pPr>
      <w:r>
        <w:rPr>
          <w:rStyle w:val="FootnoteReference"/>
        </w:rPr>
        <w:footnoteRef/>
      </w:r>
      <w:r>
        <w:t xml:space="preserve">  Bureau of Labor Statistics, Employer Costs for Employee Compensation – September 2018, USDL-18-1941, Released December 14, 2018</w:t>
      </w:r>
    </w:p>
  </w:footnote>
  <w:footnote w:id="3">
    <w:p w14:paraId="6FF5D082" w14:textId="77777777" w:rsidR="00AA600A" w:rsidRDefault="00AA600A" w:rsidP="00AA600A">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4">
    <w:p w14:paraId="2CB6546B" w14:textId="77777777" w:rsidR="006A4DEA" w:rsidRDefault="006A4DEA" w:rsidP="006A4DEA">
      <w:pPr>
        <w:pStyle w:val="FootnoteText"/>
      </w:pPr>
      <w:r>
        <w:rPr>
          <w:rStyle w:val="FootnoteReference"/>
        </w:rPr>
        <w:footnoteRef/>
      </w:r>
      <w:r>
        <w:t xml:space="preserve"> </w:t>
      </w:r>
      <w:r w:rsidRPr="007D373E">
        <w:t>https://www.opm.gov/policy-data-oversight/pay-leave/salaries-wages/salary-tables/pdf/2019/GS_h.pdf</w:t>
      </w:r>
    </w:p>
  </w:footnote>
  <w:footnote w:id="5">
    <w:p w14:paraId="69D14DD5" w14:textId="77777777" w:rsidR="006A4DEA" w:rsidRDefault="006A4DEA" w:rsidP="006A4DEA">
      <w:pPr>
        <w:pStyle w:val="FootnoteText"/>
      </w:pPr>
      <w:r>
        <w:rPr>
          <w:rStyle w:val="FootnoteReference"/>
        </w:rPr>
        <w:footnoteRef/>
      </w:r>
      <w:r>
        <w:t xml:space="preserve">  Bureau of Labor Statistics, Employer Costs for Employee Compensation – September 2018, USDL-18-1941, Released December 14, 2018</w:t>
      </w:r>
    </w:p>
  </w:footnote>
  <w:footnote w:id="6">
    <w:p w14:paraId="1DA3D0BA" w14:textId="77777777" w:rsidR="006A4DEA" w:rsidRDefault="006A4DEA" w:rsidP="006A4DEA">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2"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3415C02"/>
    <w:multiLevelType w:val="hybridMultilevel"/>
    <w:tmpl w:val="159ECF74"/>
    <w:lvl w:ilvl="0" w:tplc="353A6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07"/>
    <w:rsid w:val="000164D2"/>
    <w:rsid w:val="001032E6"/>
    <w:rsid w:val="001A5288"/>
    <w:rsid w:val="001E15EE"/>
    <w:rsid w:val="001F0724"/>
    <w:rsid w:val="00273C7B"/>
    <w:rsid w:val="00294B4F"/>
    <w:rsid w:val="002B3216"/>
    <w:rsid w:val="002C17CD"/>
    <w:rsid w:val="002D27ED"/>
    <w:rsid w:val="0030359E"/>
    <w:rsid w:val="003A59D0"/>
    <w:rsid w:val="004E4278"/>
    <w:rsid w:val="004F5A6E"/>
    <w:rsid w:val="005159C0"/>
    <w:rsid w:val="0055136E"/>
    <w:rsid w:val="005B382D"/>
    <w:rsid w:val="005B4EB0"/>
    <w:rsid w:val="005F6348"/>
    <w:rsid w:val="00606A73"/>
    <w:rsid w:val="00650A06"/>
    <w:rsid w:val="00652EDE"/>
    <w:rsid w:val="006732EF"/>
    <w:rsid w:val="006A4DEA"/>
    <w:rsid w:val="006F6401"/>
    <w:rsid w:val="00700ABE"/>
    <w:rsid w:val="00771C35"/>
    <w:rsid w:val="00771C53"/>
    <w:rsid w:val="00774DAA"/>
    <w:rsid w:val="007768FC"/>
    <w:rsid w:val="00784B75"/>
    <w:rsid w:val="007958A0"/>
    <w:rsid w:val="007D2FB5"/>
    <w:rsid w:val="008B6736"/>
    <w:rsid w:val="00957856"/>
    <w:rsid w:val="0097290B"/>
    <w:rsid w:val="00981004"/>
    <w:rsid w:val="009A096E"/>
    <w:rsid w:val="00A17863"/>
    <w:rsid w:val="00A8023F"/>
    <w:rsid w:val="00A94048"/>
    <w:rsid w:val="00A9607C"/>
    <w:rsid w:val="00AA600A"/>
    <w:rsid w:val="00AE5107"/>
    <w:rsid w:val="00BC2469"/>
    <w:rsid w:val="00BE7373"/>
    <w:rsid w:val="00C3725F"/>
    <w:rsid w:val="00C64707"/>
    <w:rsid w:val="00CD068C"/>
    <w:rsid w:val="00D674E2"/>
    <w:rsid w:val="00DE71F4"/>
    <w:rsid w:val="00E45679"/>
    <w:rsid w:val="00E5171C"/>
    <w:rsid w:val="00E97E33"/>
    <w:rsid w:val="00F100EC"/>
    <w:rsid w:val="00F124CF"/>
    <w:rsid w:val="00F322BD"/>
    <w:rsid w:val="00F3537D"/>
    <w:rsid w:val="00F56DD9"/>
    <w:rsid w:val="00F70B57"/>
    <w:rsid w:val="00FB2318"/>
    <w:rsid w:val="00FD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8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6401"/>
    <w:rPr>
      <w:b/>
      <w:bCs/>
    </w:rPr>
  </w:style>
  <w:style w:type="character" w:customStyle="1" w:styleId="CommentSubjectChar">
    <w:name w:val="Comment Subject Char"/>
    <w:basedOn w:val="CommentTextChar"/>
    <w:link w:val="CommentSubject"/>
    <w:uiPriority w:val="99"/>
    <w:semiHidden/>
    <w:rsid w:val="006F6401"/>
    <w:rPr>
      <w:b/>
      <w:bCs/>
      <w:sz w:val="20"/>
      <w:szCs w:val="20"/>
    </w:rPr>
  </w:style>
  <w:style w:type="paragraph" w:styleId="FootnoteText">
    <w:name w:val="footnote text"/>
    <w:basedOn w:val="Normal"/>
    <w:link w:val="FootnoteTextChar"/>
    <w:unhideWhenUsed/>
    <w:rsid w:val="00AA600A"/>
    <w:pPr>
      <w:spacing w:after="0" w:line="240" w:lineRule="auto"/>
    </w:pPr>
    <w:rPr>
      <w:sz w:val="20"/>
      <w:szCs w:val="20"/>
    </w:rPr>
  </w:style>
  <w:style w:type="character" w:customStyle="1" w:styleId="FootnoteTextChar">
    <w:name w:val="Footnote Text Char"/>
    <w:basedOn w:val="DefaultParagraphFont"/>
    <w:link w:val="FootnoteText"/>
    <w:rsid w:val="00AA600A"/>
    <w:rPr>
      <w:sz w:val="20"/>
      <w:szCs w:val="20"/>
    </w:rPr>
  </w:style>
  <w:style w:type="character" w:styleId="FootnoteReference">
    <w:name w:val="footnote reference"/>
    <w:basedOn w:val="DefaultParagraphFont"/>
    <w:uiPriority w:val="99"/>
    <w:unhideWhenUsed/>
    <w:rsid w:val="00AA60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6401"/>
    <w:rPr>
      <w:b/>
      <w:bCs/>
    </w:rPr>
  </w:style>
  <w:style w:type="character" w:customStyle="1" w:styleId="CommentSubjectChar">
    <w:name w:val="Comment Subject Char"/>
    <w:basedOn w:val="CommentTextChar"/>
    <w:link w:val="CommentSubject"/>
    <w:uiPriority w:val="99"/>
    <w:semiHidden/>
    <w:rsid w:val="006F6401"/>
    <w:rPr>
      <w:b/>
      <w:bCs/>
      <w:sz w:val="20"/>
      <w:szCs w:val="20"/>
    </w:rPr>
  </w:style>
  <w:style w:type="paragraph" w:styleId="FootnoteText">
    <w:name w:val="footnote text"/>
    <w:basedOn w:val="Normal"/>
    <w:link w:val="FootnoteTextChar"/>
    <w:unhideWhenUsed/>
    <w:rsid w:val="00AA600A"/>
    <w:pPr>
      <w:spacing w:after="0" w:line="240" w:lineRule="auto"/>
    </w:pPr>
    <w:rPr>
      <w:sz w:val="20"/>
      <w:szCs w:val="20"/>
    </w:rPr>
  </w:style>
  <w:style w:type="character" w:customStyle="1" w:styleId="FootnoteTextChar">
    <w:name w:val="Footnote Text Char"/>
    <w:basedOn w:val="DefaultParagraphFont"/>
    <w:link w:val="FootnoteText"/>
    <w:rsid w:val="00AA600A"/>
    <w:rPr>
      <w:sz w:val="20"/>
      <w:szCs w:val="20"/>
    </w:rPr>
  </w:style>
  <w:style w:type="character" w:styleId="FootnoteReference">
    <w:name w:val="footnote reference"/>
    <w:basedOn w:val="DefaultParagraphFont"/>
    <w:uiPriority w:val="99"/>
    <w:unhideWhenUsed/>
    <w:rsid w:val="00AA60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egulations.gov/document?D=EPA-HQ-OPPT-2014-0650-0005" TargetMode="External"/><Relationship Id="rId1" Type="http://schemas.openxmlformats.org/officeDocument/2006/relationships/hyperlink" Target="https://www.regulations.gov/document?D=EPA-HQ-OPPT-2014-0650-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dcterms:created xsi:type="dcterms:W3CDTF">2020-01-14T18:23:00Z</dcterms:created>
  <dcterms:modified xsi:type="dcterms:W3CDTF">2020-01-14T18:23:00Z</dcterms:modified>
</cp:coreProperties>
</file>