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665" w:rsidP="000A6A76" w:rsidRDefault="00D85665" w14:paraId="70911A73" w14:textId="28665493">
      <w:pPr>
        <w:jc w:val="center"/>
        <w:outlineLvl w:val="0"/>
        <w:rPr>
          <w:rFonts w:cs="Times"/>
          <w:b/>
          <w:sz w:val="24"/>
          <w:lang w:val="en-CA"/>
        </w:rPr>
      </w:pPr>
      <w:r w:rsidRPr="000A6A76">
        <w:rPr>
          <w:rFonts w:cs="Times"/>
          <w:b/>
          <w:sz w:val="24"/>
          <w:lang w:val="en-CA"/>
        </w:rPr>
        <w:fldChar w:fldCharType="begin"/>
      </w:r>
      <w:r w:rsidRPr="000A6A76">
        <w:rPr>
          <w:rFonts w:cs="Times"/>
          <w:b/>
          <w:sz w:val="24"/>
          <w:lang w:val="en-CA"/>
        </w:rPr>
        <w:instrText xml:space="preserve"> SEQ CHAPTER \h \r 1</w:instrText>
      </w:r>
      <w:r w:rsidRPr="000A6A76">
        <w:rPr>
          <w:rFonts w:cs="Times"/>
          <w:b/>
          <w:sz w:val="24"/>
          <w:lang w:val="en-CA"/>
        </w:rPr>
        <w:fldChar w:fldCharType="end"/>
      </w:r>
      <w:r w:rsidRPr="000A6A76" w:rsidR="000A6A76">
        <w:rPr>
          <w:rFonts w:cs="Times"/>
          <w:b/>
          <w:sz w:val="24"/>
          <w:lang w:val="en-CA"/>
        </w:rPr>
        <w:t>SPILL PREVENTION</w:t>
      </w:r>
      <w:r w:rsidR="00DA2651">
        <w:rPr>
          <w:rFonts w:cs="Times"/>
          <w:b/>
          <w:sz w:val="24"/>
          <w:lang w:val="en-CA"/>
        </w:rPr>
        <w:t>,</w:t>
      </w:r>
      <w:r w:rsidRPr="000A6A76" w:rsidR="000A6A76">
        <w:rPr>
          <w:rFonts w:cs="Times"/>
          <w:b/>
          <w:sz w:val="24"/>
          <w:lang w:val="en-CA"/>
        </w:rPr>
        <w:t xml:space="preserve"> CONTROL AND COUNTERMEASURE </w:t>
      </w:r>
      <w:r w:rsidR="00CE5FD0">
        <w:rPr>
          <w:rFonts w:cs="Times"/>
          <w:b/>
          <w:sz w:val="24"/>
          <w:lang w:val="en-CA"/>
        </w:rPr>
        <w:t>(SPCC)</w:t>
      </w:r>
      <w:r w:rsidR="00EC4E2C">
        <w:rPr>
          <w:rFonts w:cs="Times"/>
          <w:b/>
          <w:sz w:val="24"/>
          <w:lang w:val="en-CA"/>
        </w:rPr>
        <w:t xml:space="preserve"> </w:t>
      </w:r>
      <w:r w:rsidRPr="000A6A76" w:rsidR="000A6A76">
        <w:rPr>
          <w:rFonts w:cs="Times"/>
          <w:b/>
          <w:sz w:val="24"/>
          <w:lang w:val="en-CA"/>
        </w:rPr>
        <w:t>PLANS</w:t>
      </w:r>
    </w:p>
    <w:p w:rsidRPr="00854FC2" w:rsidR="00C90E1F" w:rsidRDefault="00C90E1F" w14:paraId="5AE9BE1A" w14:textId="77777777">
      <w:pPr>
        <w:rPr>
          <w:rFonts w:cs="Arial"/>
          <w:b/>
          <w:bCs/>
          <w:szCs w:val="22"/>
        </w:rPr>
      </w:pPr>
    </w:p>
    <w:p w:rsidRPr="007B4DA7" w:rsidR="00D85665" w:rsidP="00A304B5" w:rsidRDefault="00D85665" w14:paraId="542EC582" w14:textId="77777777">
      <w:pPr>
        <w:pStyle w:val="Heading1"/>
      </w:pPr>
      <w:r w:rsidRPr="007B4DA7">
        <w:t>1.</w:t>
      </w:r>
      <w:r w:rsidRPr="007B4DA7">
        <w:tab/>
        <w:t>IDENTIFICATION OF THE INFORMATION COLLECTION</w:t>
      </w:r>
    </w:p>
    <w:p w:rsidRPr="00854FC2" w:rsidR="00D85665" w:rsidRDefault="00D85665" w14:paraId="215BF2CE" w14:textId="77777777">
      <w:pPr>
        <w:rPr>
          <w:rFonts w:cs="Arial"/>
          <w:b/>
          <w:bCs/>
          <w:szCs w:val="22"/>
        </w:rPr>
      </w:pPr>
    </w:p>
    <w:p w:rsidRPr="007B4DA7" w:rsidR="00D85665" w:rsidP="00E827A7" w:rsidRDefault="00D85665" w14:paraId="5F7E95DC" w14:textId="77777777">
      <w:pPr>
        <w:pStyle w:val="Heading2"/>
      </w:pPr>
      <w:r w:rsidRPr="007B4DA7">
        <w:tab/>
        <w:t xml:space="preserve">1(a) </w:t>
      </w:r>
      <w:r w:rsidRPr="007B4DA7">
        <w:tab/>
        <w:t>Title of the Information Collection</w:t>
      </w:r>
    </w:p>
    <w:p w:rsidRPr="00854FC2" w:rsidR="00D85665" w:rsidRDefault="00D85665" w14:paraId="16480EA3" w14:textId="77777777">
      <w:pPr>
        <w:rPr>
          <w:rFonts w:cs="Arial"/>
          <w:szCs w:val="22"/>
        </w:rPr>
      </w:pPr>
    </w:p>
    <w:p w:rsidR="004E650F" w:rsidP="00083BCA" w:rsidRDefault="000A6A76" w14:paraId="4152EE5B" w14:textId="77777777">
      <w:pPr>
        <w:ind w:firstLine="720"/>
        <w:rPr>
          <w:rFonts w:cs="Arial"/>
          <w:szCs w:val="22"/>
        </w:rPr>
      </w:pPr>
      <w:r>
        <w:rPr>
          <w:rFonts w:cs="Arial"/>
          <w:szCs w:val="22"/>
        </w:rPr>
        <w:t>Spill Prevention</w:t>
      </w:r>
      <w:r w:rsidR="00DA2651">
        <w:rPr>
          <w:rFonts w:cs="Arial"/>
          <w:szCs w:val="22"/>
        </w:rPr>
        <w:t>,</w:t>
      </w:r>
      <w:r>
        <w:rPr>
          <w:rFonts w:cs="Arial"/>
          <w:szCs w:val="22"/>
        </w:rPr>
        <w:t xml:space="preserve"> Control</w:t>
      </w:r>
      <w:r w:rsidR="00443A1F">
        <w:rPr>
          <w:rFonts w:cs="Arial"/>
          <w:szCs w:val="22"/>
        </w:rPr>
        <w:t>,</w:t>
      </w:r>
      <w:r>
        <w:rPr>
          <w:rFonts w:cs="Arial"/>
          <w:szCs w:val="22"/>
        </w:rPr>
        <w:t xml:space="preserve"> and Countermeasure (SPCC) Plans</w:t>
      </w:r>
      <w:r w:rsidR="0007438B">
        <w:rPr>
          <w:rFonts w:cs="Arial"/>
          <w:szCs w:val="22"/>
        </w:rPr>
        <w:t xml:space="preserve"> (Renewal)</w:t>
      </w:r>
      <w:r w:rsidR="003F6507">
        <w:rPr>
          <w:rFonts w:cs="Arial"/>
          <w:szCs w:val="22"/>
        </w:rPr>
        <w:t xml:space="preserve">. </w:t>
      </w:r>
    </w:p>
    <w:p w:rsidRPr="00A97554" w:rsidR="00D85665" w:rsidP="00083BCA" w:rsidRDefault="00DA2651" w14:paraId="65664467" w14:textId="6F86C6A2">
      <w:pPr>
        <w:ind w:firstLine="720"/>
        <w:rPr>
          <w:rFonts w:cs="Arial"/>
          <w:szCs w:val="22"/>
          <w:lang w:val="es-ES"/>
        </w:rPr>
      </w:pPr>
      <w:r w:rsidRPr="00A97554">
        <w:rPr>
          <w:rFonts w:cs="Arial"/>
          <w:szCs w:val="22"/>
          <w:lang w:val="es-ES"/>
        </w:rPr>
        <w:t>(</w:t>
      </w:r>
      <w:r w:rsidRPr="00A97554" w:rsidR="00D85665">
        <w:rPr>
          <w:rFonts w:cs="Arial"/>
          <w:szCs w:val="22"/>
          <w:lang w:val="es-ES"/>
        </w:rPr>
        <w:t>EPA ICR No. 0328.1</w:t>
      </w:r>
      <w:r w:rsidR="00296B70">
        <w:rPr>
          <w:rFonts w:cs="Arial"/>
          <w:szCs w:val="22"/>
          <w:lang w:val="es-ES"/>
        </w:rPr>
        <w:t>8</w:t>
      </w:r>
      <w:r w:rsidRPr="00A97554" w:rsidR="000A6A76">
        <w:rPr>
          <w:rFonts w:cs="Arial"/>
          <w:szCs w:val="22"/>
          <w:lang w:val="es-ES"/>
        </w:rPr>
        <w:t>,</w:t>
      </w:r>
      <w:r w:rsidRPr="00A97554" w:rsidR="00CE5FD0">
        <w:rPr>
          <w:rFonts w:cs="Arial"/>
          <w:szCs w:val="22"/>
          <w:lang w:val="es-ES"/>
        </w:rPr>
        <w:t xml:space="preserve"> </w:t>
      </w:r>
      <w:r w:rsidRPr="00A97554" w:rsidR="00D85665">
        <w:rPr>
          <w:rFonts w:cs="Arial"/>
          <w:szCs w:val="22"/>
          <w:lang w:val="es-ES"/>
        </w:rPr>
        <w:t>OMB No</w:t>
      </w:r>
      <w:r w:rsidRPr="00A97554" w:rsidR="00CE5FD0">
        <w:rPr>
          <w:rFonts w:cs="Arial"/>
          <w:szCs w:val="22"/>
          <w:lang w:val="es-ES"/>
        </w:rPr>
        <w:t>.</w:t>
      </w:r>
      <w:r w:rsidRPr="00A97554" w:rsidR="00D85665">
        <w:rPr>
          <w:rFonts w:cs="Arial"/>
          <w:szCs w:val="22"/>
          <w:lang w:val="es-ES"/>
        </w:rPr>
        <w:t xml:space="preserve"> 2050-0021</w:t>
      </w:r>
      <w:r w:rsidRPr="00A97554">
        <w:rPr>
          <w:rFonts w:cs="Arial"/>
          <w:szCs w:val="22"/>
          <w:lang w:val="es-ES"/>
        </w:rPr>
        <w:t>)</w:t>
      </w:r>
    </w:p>
    <w:p w:rsidRPr="00A97554" w:rsidR="00D85665" w:rsidRDefault="00D85665" w14:paraId="1F5AFE4F" w14:textId="77777777">
      <w:pPr>
        <w:rPr>
          <w:rFonts w:cs="Arial"/>
          <w:szCs w:val="22"/>
          <w:lang w:val="es-ES"/>
        </w:rPr>
      </w:pPr>
    </w:p>
    <w:p w:rsidRPr="00854FC2" w:rsidR="00D85665" w:rsidP="00E827A7" w:rsidRDefault="00D85665" w14:paraId="00DADCD8" w14:textId="77777777">
      <w:pPr>
        <w:pStyle w:val="Heading2"/>
      </w:pPr>
      <w:r w:rsidRPr="00A97554">
        <w:rPr>
          <w:lang w:val="es-ES"/>
        </w:rPr>
        <w:tab/>
      </w:r>
      <w:r w:rsidRPr="00854FC2">
        <w:t xml:space="preserve">1(b) </w:t>
      </w:r>
      <w:r w:rsidRPr="00854FC2">
        <w:tab/>
        <w:t>Short Characterization</w:t>
      </w:r>
    </w:p>
    <w:p w:rsidRPr="00854FC2" w:rsidR="00D85665" w:rsidRDefault="00D85665" w14:paraId="6756EA29" w14:textId="77777777">
      <w:pPr>
        <w:rPr>
          <w:rFonts w:cs="Arial"/>
          <w:szCs w:val="22"/>
        </w:rPr>
      </w:pPr>
    </w:p>
    <w:p w:rsidRPr="00854FC2" w:rsidR="00D85665" w:rsidP="00083BCA" w:rsidRDefault="00D85665" w14:paraId="0C6220BC" w14:textId="7EC38974">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The Oil Pollution Prevention regulation</w:t>
      </w:r>
      <w:r w:rsidR="00A074DB">
        <w:rPr>
          <w:rFonts w:cs="Arial"/>
          <w:szCs w:val="22"/>
        </w:rPr>
        <w:t>,</w:t>
      </w:r>
      <w:r w:rsidRPr="00854FC2">
        <w:rPr>
          <w:rFonts w:cs="Arial"/>
          <w:szCs w:val="22"/>
        </w:rPr>
        <w:t xml:space="preserve"> 40 CFR </w:t>
      </w:r>
      <w:r w:rsidR="00953CB0">
        <w:rPr>
          <w:rFonts w:cs="Arial"/>
          <w:szCs w:val="22"/>
        </w:rPr>
        <w:t>p</w:t>
      </w:r>
      <w:r w:rsidRPr="00854FC2">
        <w:rPr>
          <w:rFonts w:cs="Arial"/>
          <w:szCs w:val="22"/>
        </w:rPr>
        <w:t>art 112</w:t>
      </w:r>
      <w:r w:rsidR="00A074DB">
        <w:rPr>
          <w:rFonts w:cs="Arial"/>
          <w:szCs w:val="22"/>
        </w:rPr>
        <w:t>,</w:t>
      </w:r>
      <w:r w:rsidRPr="00854FC2">
        <w:rPr>
          <w:rFonts w:cs="Arial"/>
          <w:szCs w:val="22"/>
        </w:rPr>
        <w:t xml:space="preserve"> requires and establishes procedures for the preparation and implementation of Spill Prevention, Control, and Countermeasure (SPCC) Plans. SPCC Plans help minimize the potential for oil discharges</w:t>
      </w:r>
      <w:r w:rsidR="00702B7C">
        <w:rPr>
          <w:rFonts w:cs="Arial"/>
          <w:szCs w:val="22"/>
        </w:rPr>
        <w:t xml:space="preserve"> (spills)</w:t>
      </w:r>
      <w:r w:rsidRPr="00854FC2">
        <w:rPr>
          <w:rFonts w:cs="Arial"/>
          <w:szCs w:val="22"/>
        </w:rPr>
        <w:t xml:space="preserve"> </w:t>
      </w:r>
      <w:r w:rsidR="008E2D11">
        <w:rPr>
          <w:rFonts w:cs="Arial"/>
          <w:szCs w:val="22"/>
        </w:rPr>
        <w:t>from</w:t>
      </w:r>
      <w:r w:rsidRPr="00854FC2">
        <w:rPr>
          <w:rFonts w:cs="Arial"/>
          <w:szCs w:val="22"/>
        </w:rPr>
        <w:t xml:space="preserve"> non-transportation-related onshore and offshore facilities</w:t>
      </w:r>
      <w:r w:rsidRPr="00A26EA3">
        <w:t xml:space="preserve"> </w:t>
      </w:r>
      <w:bookmarkStart w:name="_Hlk17878378" w:id="0"/>
      <w:r w:rsidRPr="00A26EA3" w:rsidR="00A26EA3">
        <w:rPr>
          <w:rFonts w:cs="Arial"/>
          <w:szCs w:val="22"/>
        </w:rPr>
        <w:t>which</w:t>
      </w:r>
      <w:r w:rsidR="00936CEE">
        <w:rPr>
          <w:rFonts w:cs="Arial"/>
          <w:szCs w:val="22"/>
        </w:rPr>
        <w:t>,</w:t>
      </w:r>
      <w:r w:rsidRPr="00A26EA3" w:rsidR="00A26EA3">
        <w:rPr>
          <w:rFonts w:cs="Arial"/>
          <w:szCs w:val="22"/>
        </w:rPr>
        <w:t xml:space="preserve"> due to </w:t>
      </w:r>
      <w:r w:rsidR="009B1686">
        <w:rPr>
          <w:rFonts w:cs="Arial"/>
          <w:szCs w:val="22"/>
        </w:rPr>
        <w:t>their</w:t>
      </w:r>
      <w:r w:rsidRPr="00A26EA3" w:rsidR="00A26EA3">
        <w:rPr>
          <w:rFonts w:cs="Arial"/>
          <w:szCs w:val="22"/>
        </w:rPr>
        <w:t xml:space="preserve"> location, could reasonably be expected to discharge oil in quantities that may be harmful, as described in</w:t>
      </w:r>
      <w:r w:rsidR="00702B7C">
        <w:rPr>
          <w:rFonts w:cs="Arial"/>
          <w:szCs w:val="22"/>
        </w:rPr>
        <w:t xml:space="preserve"> the Discharge of Oil regulation,</w:t>
      </w:r>
      <w:r w:rsidR="00A26EA3">
        <w:rPr>
          <w:rFonts w:cs="Arial"/>
          <w:szCs w:val="22"/>
        </w:rPr>
        <w:t xml:space="preserve"> 40 CFR part </w:t>
      </w:r>
      <w:r w:rsidRPr="00A26EA3" w:rsidR="00A26EA3">
        <w:rPr>
          <w:rFonts w:cs="Arial"/>
          <w:szCs w:val="22"/>
        </w:rPr>
        <w:t>110,</w:t>
      </w:r>
      <w:r w:rsidRPr="00854FC2">
        <w:rPr>
          <w:rFonts w:cs="Arial"/>
          <w:szCs w:val="22"/>
        </w:rPr>
        <w:t xml:space="preserve"> into or upon the navigable waters of the United States or adjoining shorelines.</w:t>
      </w:r>
    </w:p>
    <w:bookmarkEnd w:id="0"/>
    <w:p w:rsidRPr="00854FC2" w:rsidR="00D85665" w:rsidRDefault="00D85665" w14:paraId="2B8E7236" w14:textId="77777777">
      <w:pPr>
        <w:rPr>
          <w:rFonts w:cs="Arial"/>
          <w:szCs w:val="22"/>
        </w:rPr>
      </w:pPr>
    </w:p>
    <w:p w:rsidRPr="00854FC2" w:rsidR="00D85665" w:rsidP="00083BCA" w:rsidRDefault="00D85665" w14:paraId="12C05803" w14:textId="010A5992">
      <w:pPr>
        <w:pStyle w:val="BodyText"/>
        <w:ind w:firstLine="720"/>
      </w:pPr>
      <w:r w:rsidRPr="00854FC2">
        <w:t xml:space="preserve">Owners and operators of regulated facilities must prepare SPCC Plans in accordance with good engineering practices and </w:t>
      </w:r>
      <w:r w:rsidR="005658AE">
        <w:t xml:space="preserve">sound industry </w:t>
      </w:r>
      <w:r w:rsidR="009B1686">
        <w:t>practices</w:t>
      </w:r>
      <w:r w:rsidR="007C3FCD">
        <w:t>. The plans</w:t>
      </w:r>
      <w:r w:rsidR="009B1686">
        <w:t xml:space="preserve"> either</w:t>
      </w:r>
      <w:r w:rsidRPr="00854FC2">
        <w:t xml:space="preserve"> </w:t>
      </w:r>
      <w:r w:rsidR="007C3FCD">
        <w:t>must</w:t>
      </w:r>
      <w:r w:rsidR="009B1686">
        <w:t xml:space="preserve"> </w:t>
      </w:r>
      <w:r w:rsidR="007C3FCD">
        <w:t>be</w:t>
      </w:r>
      <w:r w:rsidRPr="00854FC2">
        <w:t xml:space="preserve"> </w:t>
      </w:r>
      <w:r w:rsidR="00D06C84">
        <w:t>certified</w:t>
      </w:r>
      <w:r w:rsidRPr="00854FC2" w:rsidR="00D06C84">
        <w:t xml:space="preserve"> </w:t>
      </w:r>
      <w:r w:rsidRPr="00854FC2">
        <w:t xml:space="preserve">by a </w:t>
      </w:r>
      <w:r w:rsidR="005A3D01">
        <w:t>P</w:t>
      </w:r>
      <w:r w:rsidR="00707DAE">
        <w:t xml:space="preserve">rofessional </w:t>
      </w:r>
      <w:r w:rsidR="005A3D01">
        <w:t>E</w:t>
      </w:r>
      <w:r w:rsidR="00707DAE">
        <w:t xml:space="preserve">ngineer (PE) </w:t>
      </w:r>
      <w:r w:rsidR="00745593">
        <w:t xml:space="preserve">or </w:t>
      </w:r>
      <w:r w:rsidRPr="00854FC2" w:rsidR="00CC39E9">
        <w:t>self-certified in the case of qualified facilities</w:t>
      </w:r>
      <w:r w:rsidR="00745593">
        <w:t xml:space="preserve"> </w:t>
      </w:r>
      <w:r w:rsidR="00707DAE">
        <w:t>and</w:t>
      </w:r>
      <w:r w:rsidR="00745593">
        <w:t xml:space="preserve"> approved by</w:t>
      </w:r>
      <w:r w:rsidR="00707DAE">
        <w:t xml:space="preserve"> a </w:t>
      </w:r>
      <w:r w:rsidRPr="00854FC2">
        <w:t xml:space="preserve">person with the authority to commit the resources necessary to implement the SPCC Plan. SPCC Plans address the following three areas: (1) operating procedures that prevent oil spills; (2) control measures to prevent a spill from reaching navigable waters or adjoining shorelines; and (3) countermeasures to </w:t>
      </w:r>
      <w:r w:rsidR="001E505C">
        <w:t>discover,</w:t>
      </w:r>
      <w:r w:rsidRPr="00854FC2">
        <w:t xml:space="preserve"> contain, clean</w:t>
      </w:r>
      <w:r w:rsidR="00145337">
        <w:t>-</w:t>
      </w:r>
      <w:r w:rsidRPr="00854FC2">
        <w:t xml:space="preserve">up, and mitigate the effects of an oil discharge that could reach navigable waters. </w:t>
      </w:r>
      <w:r w:rsidR="00145337">
        <w:t>W</w:t>
      </w:r>
      <w:r w:rsidRPr="00854FC2">
        <w:t xml:space="preserve">hile </w:t>
      </w:r>
      <w:r w:rsidR="00145337">
        <w:t xml:space="preserve">each SPCC Plan is </w:t>
      </w:r>
      <w:r w:rsidRPr="00854FC2">
        <w:t xml:space="preserve">unique to the facility it covers, </w:t>
      </w:r>
      <w:r w:rsidR="00145337">
        <w:t xml:space="preserve">Plans </w:t>
      </w:r>
      <w:r w:rsidRPr="00854FC2">
        <w:t xml:space="preserve">must include certain standard elements to ensure compliance with the regulations. </w:t>
      </w:r>
    </w:p>
    <w:p w:rsidRPr="00854FC2" w:rsidR="00D85665" w:rsidRDefault="00D85665" w14:paraId="77FD2F1F" w14:textId="77777777">
      <w:pPr>
        <w:rPr>
          <w:rFonts w:cs="Arial"/>
          <w:szCs w:val="22"/>
        </w:rPr>
      </w:pPr>
    </w:p>
    <w:p w:rsidR="008541C4" w:rsidP="00E13479" w:rsidRDefault="00D85665" w14:paraId="4705B5C4" w14:textId="341BD8E5">
      <w:pPr>
        <w:ind w:firstLine="720"/>
        <w:rPr>
          <w:rFonts w:cs="Arial"/>
          <w:szCs w:val="22"/>
        </w:rPr>
      </w:pPr>
      <w:r w:rsidRPr="0044290A">
        <w:rPr>
          <w:rFonts w:cs="Arial"/>
          <w:szCs w:val="22"/>
        </w:rPr>
        <w:t xml:space="preserve">This </w:t>
      </w:r>
      <w:r w:rsidRPr="00214A3D" w:rsidR="00214A3D">
        <w:rPr>
          <w:rFonts w:cs="Arial"/>
          <w:szCs w:val="22"/>
        </w:rPr>
        <w:t>Information Collection Request (ICR)</w:t>
      </w:r>
      <w:r w:rsidRPr="0044290A">
        <w:rPr>
          <w:rFonts w:cs="Arial"/>
          <w:szCs w:val="22"/>
        </w:rPr>
        <w:t xml:space="preserve"> re</w:t>
      </w:r>
      <w:r w:rsidR="00692A0D">
        <w:rPr>
          <w:rFonts w:cs="Arial"/>
          <w:szCs w:val="22"/>
        </w:rPr>
        <w:t>newal</w:t>
      </w:r>
      <w:r w:rsidRPr="0044290A">
        <w:rPr>
          <w:rFonts w:cs="Arial"/>
          <w:szCs w:val="22"/>
        </w:rPr>
        <w:t xml:space="preserve"> </w:t>
      </w:r>
      <w:r w:rsidRPr="0044290A" w:rsidR="00707DAE">
        <w:rPr>
          <w:rFonts w:cs="Arial"/>
          <w:szCs w:val="22"/>
        </w:rPr>
        <w:t xml:space="preserve">covers </w:t>
      </w:r>
      <w:r w:rsidRPr="0044290A" w:rsidR="00D12091">
        <w:rPr>
          <w:rFonts w:cs="Arial"/>
          <w:szCs w:val="22"/>
        </w:rPr>
        <w:t xml:space="preserve">all provisions of </w:t>
      </w:r>
      <w:r w:rsidRPr="0044290A" w:rsidR="00C53060">
        <w:rPr>
          <w:rFonts w:cs="Arial"/>
          <w:szCs w:val="22"/>
        </w:rPr>
        <w:t xml:space="preserve">40 CFR </w:t>
      </w:r>
      <w:r w:rsidRPr="0044290A" w:rsidR="00D12091">
        <w:rPr>
          <w:rFonts w:cs="Arial"/>
          <w:szCs w:val="22"/>
        </w:rPr>
        <w:t>part 112 relating to SPCC Plans</w:t>
      </w:r>
      <w:r w:rsidRPr="0044290A">
        <w:rPr>
          <w:rFonts w:cs="Arial"/>
          <w:szCs w:val="22"/>
        </w:rPr>
        <w:t>.</w:t>
      </w:r>
    </w:p>
    <w:p w:rsidR="0044290A" w:rsidP="00E13479" w:rsidRDefault="0044290A" w14:paraId="411B03A2" w14:textId="77777777">
      <w:pPr>
        <w:ind w:firstLine="720"/>
        <w:rPr>
          <w:rFonts w:cs="Arial"/>
          <w:szCs w:val="22"/>
        </w:rPr>
      </w:pPr>
    </w:p>
    <w:p w:rsidR="00915105" w:rsidP="00083BCA" w:rsidRDefault="0044290A" w14:paraId="4467391D" w14:textId="4F7F4ABF">
      <w:pPr>
        <w:ind w:firstLine="720"/>
        <w:rPr>
          <w:rFonts w:cs="Arial"/>
          <w:szCs w:val="22"/>
        </w:rPr>
      </w:pPr>
      <w:r>
        <w:rPr>
          <w:rFonts w:cs="Arial"/>
          <w:szCs w:val="22"/>
        </w:rPr>
        <w:t>This supporting statement estimates paperwork-related burden for th</w:t>
      </w:r>
      <w:r w:rsidR="00145337">
        <w:rPr>
          <w:rFonts w:cs="Arial"/>
          <w:szCs w:val="22"/>
        </w:rPr>
        <w:t>e</w:t>
      </w:r>
      <w:r>
        <w:rPr>
          <w:rFonts w:cs="Arial"/>
          <w:szCs w:val="22"/>
        </w:rPr>
        <w:t xml:space="preserve"> ICR period, which covers </w:t>
      </w:r>
      <w:r w:rsidR="00145337">
        <w:rPr>
          <w:rFonts w:cs="Arial"/>
          <w:szCs w:val="22"/>
        </w:rPr>
        <w:t xml:space="preserve">the </w:t>
      </w:r>
      <w:r>
        <w:rPr>
          <w:rFonts w:cs="Arial"/>
          <w:szCs w:val="22"/>
        </w:rPr>
        <w:t>three</w:t>
      </w:r>
      <w:r w:rsidR="00145337">
        <w:rPr>
          <w:rFonts w:cs="Arial"/>
          <w:szCs w:val="22"/>
        </w:rPr>
        <w:t>-</w:t>
      </w:r>
      <w:r>
        <w:rPr>
          <w:rFonts w:cs="Arial"/>
          <w:szCs w:val="22"/>
        </w:rPr>
        <w:t>year</w:t>
      </w:r>
      <w:r w:rsidR="00145337">
        <w:rPr>
          <w:rFonts w:cs="Arial"/>
          <w:szCs w:val="22"/>
        </w:rPr>
        <w:t xml:space="preserve"> period of </w:t>
      </w:r>
      <w:r w:rsidRPr="007661A0" w:rsidR="00145337">
        <w:rPr>
          <w:rFonts w:cs="Arial"/>
          <w:szCs w:val="22"/>
        </w:rPr>
        <w:t>20</w:t>
      </w:r>
      <w:r w:rsidRPr="007661A0" w:rsidR="006A7E20">
        <w:rPr>
          <w:rFonts w:cs="Arial"/>
          <w:szCs w:val="22"/>
        </w:rPr>
        <w:t>19</w:t>
      </w:r>
      <w:r w:rsidRPr="007661A0" w:rsidR="00145337">
        <w:rPr>
          <w:rFonts w:cs="Arial"/>
          <w:szCs w:val="22"/>
        </w:rPr>
        <w:t xml:space="preserve"> through 20</w:t>
      </w:r>
      <w:r w:rsidRPr="007661A0" w:rsidR="005B1825">
        <w:rPr>
          <w:rFonts w:cs="Arial"/>
          <w:szCs w:val="22"/>
        </w:rPr>
        <w:t>2</w:t>
      </w:r>
      <w:r w:rsidRPr="007661A0" w:rsidR="006A7E20">
        <w:rPr>
          <w:rFonts w:cs="Arial"/>
          <w:szCs w:val="22"/>
        </w:rPr>
        <w:t>1</w:t>
      </w:r>
      <w:r w:rsidRPr="007661A0" w:rsidR="00145337">
        <w:rPr>
          <w:rFonts w:cs="Arial"/>
          <w:szCs w:val="22"/>
        </w:rPr>
        <w:t>.</w:t>
      </w:r>
      <w:r w:rsidR="00145337">
        <w:rPr>
          <w:rFonts w:cs="Arial"/>
          <w:szCs w:val="22"/>
        </w:rPr>
        <w:t xml:space="preserve"> </w:t>
      </w:r>
      <w:r>
        <w:rPr>
          <w:rFonts w:cs="Arial"/>
          <w:szCs w:val="22"/>
        </w:rPr>
        <w:t>T</w:t>
      </w:r>
      <w:r w:rsidRPr="00854FC2">
        <w:rPr>
          <w:rFonts w:cs="Arial"/>
          <w:szCs w:val="22"/>
        </w:rPr>
        <w:t>he U.S. Environmental Protection Agency (EPA)</w:t>
      </w:r>
      <w:r>
        <w:rPr>
          <w:rFonts w:cs="Arial"/>
          <w:szCs w:val="22"/>
        </w:rPr>
        <w:t xml:space="preserve"> estimate</w:t>
      </w:r>
      <w:r w:rsidR="00A2792B">
        <w:rPr>
          <w:rFonts w:cs="Arial"/>
          <w:szCs w:val="22"/>
        </w:rPr>
        <w:t>s</w:t>
      </w:r>
      <w:r w:rsidR="00867166">
        <w:rPr>
          <w:rFonts w:cs="Arial"/>
          <w:szCs w:val="22"/>
        </w:rPr>
        <w:t xml:space="preserve"> </w:t>
      </w:r>
      <w:r w:rsidRPr="00B56DF8" w:rsidR="00413CC1">
        <w:rPr>
          <w:rFonts w:cs="Arial"/>
          <w:szCs w:val="22"/>
        </w:rPr>
        <w:t xml:space="preserve">that </w:t>
      </w:r>
      <w:r w:rsidRPr="00A304B5">
        <w:rPr>
          <w:rFonts w:cs="Arial"/>
          <w:szCs w:val="22"/>
        </w:rPr>
        <w:t xml:space="preserve">approximately </w:t>
      </w:r>
      <w:r w:rsidRPr="00316EF6" w:rsidR="00B56DF8">
        <w:rPr>
          <w:rFonts w:cs="Arial"/>
          <w:szCs w:val="22"/>
        </w:rPr>
        <w:t>550,900</w:t>
      </w:r>
      <w:r w:rsidRPr="00316EF6" w:rsidR="00A2792B">
        <w:rPr>
          <w:rFonts w:cs="Arial"/>
          <w:szCs w:val="22"/>
        </w:rPr>
        <w:t xml:space="preserve"> </w:t>
      </w:r>
      <w:r w:rsidRPr="00A304B5">
        <w:rPr>
          <w:rFonts w:cs="Arial"/>
          <w:szCs w:val="22"/>
        </w:rPr>
        <w:t>facilities</w:t>
      </w:r>
      <w:r w:rsidRPr="00A304B5" w:rsidR="003F2C12">
        <w:rPr>
          <w:rFonts w:cs="Arial"/>
          <w:szCs w:val="22"/>
        </w:rPr>
        <w:t xml:space="preserve"> will be </w:t>
      </w:r>
      <w:r w:rsidRPr="00A304B5">
        <w:rPr>
          <w:rFonts w:cs="Arial"/>
          <w:szCs w:val="22"/>
        </w:rPr>
        <w:t xml:space="preserve">covered by the SPCC regulations </w:t>
      </w:r>
      <w:r w:rsidRPr="00A304B5" w:rsidR="00413CC1">
        <w:rPr>
          <w:rFonts w:cs="Arial"/>
          <w:szCs w:val="22"/>
        </w:rPr>
        <w:t>in</w:t>
      </w:r>
      <w:r w:rsidRPr="00A304B5" w:rsidR="00413CC1">
        <w:rPr>
          <w:rFonts w:cs="Arial"/>
          <w:color w:val="FF0000"/>
          <w:szCs w:val="22"/>
        </w:rPr>
        <w:t xml:space="preserve"> </w:t>
      </w:r>
      <w:r w:rsidRPr="00A304B5" w:rsidR="008B5E61">
        <w:rPr>
          <w:rFonts w:cs="Arial"/>
          <w:szCs w:val="22"/>
        </w:rPr>
        <w:t>20</w:t>
      </w:r>
      <w:r w:rsidRPr="00A304B5" w:rsidR="0048547C">
        <w:rPr>
          <w:rFonts w:cs="Arial"/>
          <w:szCs w:val="22"/>
        </w:rPr>
        <w:t>19</w:t>
      </w:r>
      <w:r w:rsidRPr="00B56DF8" w:rsidR="008B5E61">
        <w:rPr>
          <w:rFonts w:cs="Arial"/>
          <w:szCs w:val="22"/>
        </w:rPr>
        <w:t xml:space="preserve"> </w:t>
      </w:r>
      <w:r>
        <w:rPr>
          <w:rFonts w:cs="Arial"/>
          <w:szCs w:val="22"/>
        </w:rPr>
        <w:t xml:space="preserve">and may </w:t>
      </w:r>
      <w:r w:rsidRPr="00854FC2">
        <w:rPr>
          <w:rFonts w:cs="Arial"/>
          <w:szCs w:val="22"/>
        </w:rPr>
        <w:t>incur paperwork-related burden in the first year of this ICR</w:t>
      </w:r>
      <w:r w:rsidRPr="005A3F17">
        <w:rPr>
          <w:rFonts w:cs="Arial"/>
          <w:szCs w:val="22"/>
        </w:rPr>
        <w:t>.</w:t>
      </w:r>
      <w:r w:rsidRPr="005A3F17">
        <w:rPr>
          <w:rStyle w:val="FootnoteReference"/>
          <w:rFonts w:cs="Arial"/>
          <w:szCs w:val="22"/>
        </w:rPr>
        <w:footnoteReference w:id="2"/>
      </w:r>
      <w:r w:rsidR="00E13479">
        <w:rPr>
          <w:rFonts w:cs="Arial"/>
          <w:szCs w:val="22"/>
        </w:rPr>
        <w:t xml:space="preserve"> </w:t>
      </w:r>
      <w:r w:rsidRPr="005A3F17" w:rsidR="00D85665">
        <w:rPr>
          <w:rFonts w:cs="Arial"/>
          <w:szCs w:val="22"/>
        </w:rPr>
        <w:t xml:space="preserve">EPA estimates a total reporting and recordkeeping burden for </w:t>
      </w:r>
      <w:r w:rsidR="00A662EA">
        <w:rPr>
          <w:rFonts w:cs="Arial"/>
          <w:szCs w:val="22"/>
        </w:rPr>
        <w:t xml:space="preserve">all </w:t>
      </w:r>
      <w:r w:rsidRPr="005A3F17" w:rsidR="00707DAE">
        <w:rPr>
          <w:rFonts w:cs="Arial"/>
          <w:szCs w:val="22"/>
        </w:rPr>
        <w:t xml:space="preserve">regulated </w:t>
      </w:r>
      <w:r w:rsidRPr="005A3F17" w:rsidR="00D85665">
        <w:rPr>
          <w:rFonts w:cs="Arial"/>
          <w:szCs w:val="22"/>
        </w:rPr>
        <w:t xml:space="preserve">facilities </w:t>
      </w:r>
      <w:r w:rsidR="00145337">
        <w:rPr>
          <w:rFonts w:cs="Arial"/>
          <w:szCs w:val="22"/>
        </w:rPr>
        <w:t xml:space="preserve">of </w:t>
      </w:r>
      <w:r w:rsidRPr="005A3F17" w:rsidR="00D85665">
        <w:rPr>
          <w:rFonts w:cs="Arial"/>
          <w:szCs w:val="22"/>
        </w:rPr>
        <w:t>approximately</w:t>
      </w:r>
      <w:r w:rsidRPr="00130E74" w:rsidR="00D85665">
        <w:rPr>
          <w:rFonts w:cs="Arial"/>
          <w:szCs w:val="22"/>
        </w:rPr>
        <w:t xml:space="preserve"> </w:t>
      </w:r>
      <w:r w:rsidRPr="00A304B5" w:rsidR="00C940D5">
        <w:rPr>
          <w:rFonts w:cs="Arial"/>
          <w:szCs w:val="22"/>
        </w:rPr>
        <w:t>6.</w:t>
      </w:r>
      <w:r w:rsidRPr="00A304B5" w:rsidR="00103412">
        <w:rPr>
          <w:rFonts w:cs="Arial"/>
          <w:szCs w:val="22"/>
        </w:rPr>
        <w:t>3</w:t>
      </w:r>
      <w:r w:rsidRPr="00A304B5" w:rsidR="00A2792B">
        <w:rPr>
          <w:rFonts w:cs="Arial"/>
          <w:szCs w:val="22"/>
        </w:rPr>
        <w:t xml:space="preserve"> million hours</w:t>
      </w:r>
      <w:r w:rsidRPr="00A304B5" w:rsidR="00A2792B">
        <w:rPr>
          <w:rFonts w:cs="Arial"/>
          <w:color w:val="FF0000"/>
          <w:szCs w:val="22"/>
        </w:rPr>
        <w:t xml:space="preserve"> </w:t>
      </w:r>
      <w:r w:rsidRPr="00A304B5" w:rsidR="00D85665">
        <w:rPr>
          <w:rFonts w:cs="Arial"/>
          <w:szCs w:val="22"/>
        </w:rPr>
        <w:t>in each year of this ICR</w:t>
      </w:r>
      <w:r w:rsidRPr="00A304B5" w:rsidR="00C53060">
        <w:rPr>
          <w:rFonts w:cs="Arial"/>
          <w:szCs w:val="22"/>
        </w:rPr>
        <w:t>.</w:t>
      </w:r>
      <w:r w:rsidRPr="005A3F17" w:rsidR="00D85665">
        <w:rPr>
          <w:rFonts w:cs="Arial"/>
          <w:szCs w:val="22"/>
        </w:rPr>
        <w:t xml:space="preserve"> </w:t>
      </w:r>
    </w:p>
    <w:p w:rsidR="00915105" w:rsidP="00083BCA" w:rsidRDefault="00915105" w14:paraId="4706F084" w14:textId="77777777">
      <w:pPr>
        <w:ind w:firstLine="720"/>
        <w:rPr>
          <w:rFonts w:cs="Arial"/>
          <w:szCs w:val="22"/>
        </w:rPr>
      </w:pPr>
    </w:p>
    <w:p w:rsidRPr="00854FC2" w:rsidR="00D85665" w:rsidRDefault="00D85665" w14:paraId="41408DE9" w14:textId="1B1D562A">
      <w:pPr>
        <w:rPr>
          <w:rFonts w:cs="Arial"/>
          <w:szCs w:val="22"/>
        </w:rPr>
      </w:pPr>
    </w:p>
    <w:p w:rsidRPr="00854FC2" w:rsidR="00D85665" w:rsidP="00A304B5" w:rsidRDefault="00D85665" w14:paraId="6490F949" w14:textId="77777777">
      <w:pPr>
        <w:pStyle w:val="Heading1"/>
      </w:pPr>
      <w:r w:rsidRPr="00854FC2">
        <w:t>2.</w:t>
      </w:r>
      <w:r w:rsidRPr="00854FC2">
        <w:tab/>
        <w:t>NEED FOR AND USE OF THE COLLECTION</w:t>
      </w:r>
    </w:p>
    <w:p w:rsidRPr="00854FC2" w:rsidR="00D85665" w:rsidRDefault="00D85665" w14:paraId="28B856F6" w14:textId="77777777">
      <w:pPr>
        <w:keepNext/>
        <w:keepLines/>
        <w:rPr>
          <w:rFonts w:cs="Arial"/>
          <w:szCs w:val="22"/>
        </w:rPr>
      </w:pPr>
    </w:p>
    <w:p w:rsidRPr="00854FC2" w:rsidR="00D85665" w:rsidP="00E827A7" w:rsidRDefault="00D85665" w14:paraId="42ECF55B" w14:textId="77777777">
      <w:pPr>
        <w:pStyle w:val="Heading2"/>
      </w:pPr>
      <w:r w:rsidRPr="00854FC2">
        <w:tab/>
        <w:t xml:space="preserve">2(a) </w:t>
      </w:r>
      <w:r w:rsidRPr="00854FC2">
        <w:tab/>
        <w:t>Need/Authority for the Collection</w:t>
      </w:r>
    </w:p>
    <w:p w:rsidRPr="00854FC2" w:rsidR="00D85665" w:rsidRDefault="00D85665" w14:paraId="178D83AB" w14:textId="77777777">
      <w:pPr>
        <w:keepNext/>
        <w:keepLines/>
        <w:rPr>
          <w:rFonts w:cs="Arial"/>
          <w:szCs w:val="22"/>
        </w:rPr>
      </w:pPr>
    </w:p>
    <w:p w:rsidRPr="00854FC2" w:rsidR="00D85665" w:rsidP="00083BCA" w:rsidRDefault="00D85665" w14:paraId="2B010845" w14:textId="09D9C870">
      <w:pPr>
        <w:ind w:firstLine="720"/>
        <w:rPr>
          <w:rFonts w:cs="Arial"/>
          <w:szCs w:val="22"/>
        </w:rPr>
      </w:pPr>
      <w:r w:rsidRPr="0048547C">
        <w:rPr>
          <w:rFonts w:cs="Courier New"/>
          <w:lang w:val="en-CA"/>
        </w:rPr>
        <w:fldChar w:fldCharType="begin"/>
      </w:r>
      <w:r w:rsidRPr="0048547C">
        <w:rPr>
          <w:rFonts w:cs="Courier New"/>
          <w:lang w:val="en-CA"/>
        </w:rPr>
        <w:instrText xml:space="preserve"> SEQ CHAPTER \h \r 1</w:instrText>
      </w:r>
      <w:r w:rsidRPr="0048547C">
        <w:rPr>
          <w:rFonts w:cs="Courier New"/>
          <w:lang w:val="en-CA"/>
        </w:rPr>
        <w:fldChar w:fldCharType="end"/>
      </w:r>
      <w:r w:rsidRPr="0048547C">
        <w:rPr>
          <w:rFonts w:cs="Arial"/>
          <w:szCs w:val="22"/>
        </w:rPr>
        <w:t>Section 311(j)(1)(C) of the Federal Water Pollution Control Act</w:t>
      </w:r>
      <w:r w:rsidR="00794363">
        <w:rPr>
          <w:rFonts w:cs="Arial"/>
          <w:szCs w:val="22"/>
        </w:rPr>
        <w:t xml:space="preserve"> (FWPCA)</w:t>
      </w:r>
      <w:r w:rsidRPr="0048547C">
        <w:rPr>
          <w:rFonts w:cs="Arial"/>
          <w:szCs w:val="22"/>
        </w:rPr>
        <w:t>, or Clean Water Act (CWA), authorizes the President to issue regulations establishing procedures, methods, equipment, and other requirements to prevent discharges of oil from vessels and facilities and to contain such discharges.</w:t>
      </w:r>
      <w:r w:rsidRPr="0048547C">
        <w:rPr>
          <w:rStyle w:val="FootnoteReference"/>
        </w:rPr>
        <w:footnoteReference w:id="3"/>
      </w:r>
      <w:r w:rsidRPr="0048547C">
        <w:rPr>
          <w:rFonts w:cs="Arial"/>
          <w:szCs w:val="22"/>
        </w:rPr>
        <w:t xml:space="preserve"> The President delegated the authority to regulate non-transportation-related onshore facilities under §311(j)(1)(C) of the Act to EPA under Executive Order (E.O.) 12777, §2(b)(1).</w:t>
      </w:r>
      <w:r w:rsidRPr="0048547C">
        <w:rPr>
          <w:rStyle w:val="FootnoteReference"/>
        </w:rPr>
        <w:footnoteReference w:id="4"/>
      </w:r>
      <w:r w:rsidRPr="0048547C">
        <w:rPr>
          <w:rFonts w:cs="Arial"/>
          <w:szCs w:val="22"/>
        </w:rPr>
        <w:t xml:space="preserve">  By this same Executive Order, the President delegated authority over transportation-related onshore facilities, deep</w:t>
      </w:r>
      <w:r w:rsidRPr="0048547C" w:rsidR="00145337">
        <w:rPr>
          <w:rFonts w:cs="Arial"/>
          <w:szCs w:val="22"/>
        </w:rPr>
        <w:t xml:space="preserve"> </w:t>
      </w:r>
      <w:r w:rsidRPr="0048547C">
        <w:rPr>
          <w:rFonts w:cs="Arial"/>
          <w:szCs w:val="22"/>
        </w:rPr>
        <w:t>water ports, and vessels to the U.S. Department of Transportation (DOT)</w:t>
      </w:r>
      <w:r w:rsidR="00693C90">
        <w:rPr>
          <w:rStyle w:val="FootnoteReference"/>
          <w:rFonts w:cs="Arial"/>
          <w:szCs w:val="22"/>
        </w:rPr>
        <w:footnoteReference w:id="5"/>
      </w:r>
      <w:r w:rsidRPr="0048547C">
        <w:rPr>
          <w:rFonts w:cs="Arial"/>
          <w:szCs w:val="22"/>
        </w:rPr>
        <w:t xml:space="preserve"> and authority over other offshore facilities, including associated pipelines, to the U.S. Department of the Interior (DOI)</w:t>
      </w:r>
      <w:r w:rsidRPr="0048547C" w:rsidR="003F6507">
        <w:rPr>
          <w:rFonts w:cs="Arial"/>
          <w:szCs w:val="22"/>
        </w:rPr>
        <w:t xml:space="preserve">. </w:t>
      </w:r>
      <w:r w:rsidRPr="0048547C">
        <w:rPr>
          <w:rFonts w:cs="Arial"/>
          <w:szCs w:val="22"/>
        </w:rPr>
        <w:t>A Memorandum of Understanding (MOU), dated February 3, 1994, among EPA, DOT, and DOI, reallocated the responsibility for non-transportation-related offshore facilities that are landward of the coastline</w:t>
      </w:r>
      <w:r w:rsidRPr="0048547C" w:rsidR="00145337">
        <w:rPr>
          <w:rFonts w:cs="Arial"/>
          <w:szCs w:val="22"/>
        </w:rPr>
        <w:t>,</w:t>
      </w:r>
      <w:r w:rsidRPr="0048547C">
        <w:rPr>
          <w:rFonts w:cs="Arial"/>
          <w:szCs w:val="22"/>
        </w:rPr>
        <w:t xml:space="preserve"> to EPA</w:t>
      </w:r>
      <w:r w:rsidRPr="0048547C" w:rsidR="003F6507">
        <w:rPr>
          <w:rFonts w:cs="Arial"/>
          <w:szCs w:val="22"/>
        </w:rPr>
        <w:t>.</w:t>
      </w:r>
      <w:r w:rsidR="003F6507">
        <w:rPr>
          <w:rFonts w:cs="Arial"/>
          <w:szCs w:val="22"/>
        </w:rPr>
        <w:t xml:space="preserve"> </w:t>
      </w:r>
      <w:r w:rsidRPr="00854FC2">
        <w:rPr>
          <w:rFonts w:cs="Arial"/>
          <w:szCs w:val="22"/>
        </w:rPr>
        <w:t>An earlier MOU between the Secretary of Transportation and the EPA Administrator, dated November 24, 1971 (36 FR 24080), established the definitions of non-transportation-</w:t>
      </w:r>
      <w:r w:rsidR="005B1825">
        <w:rPr>
          <w:rFonts w:cs="Arial"/>
          <w:szCs w:val="22"/>
        </w:rPr>
        <w:t>and transportation</w:t>
      </w:r>
      <w:r w:rsidR="00AC7378">
        <w:rPr>
          <w:rFonts w:cs="Arial"/>
          <w:szCs w:val="22"/>
        </w:rPr>
        <w:t>-</w:t>
      </w:r>
      <w:r w:rsidRPr="00854FC2">
        <w:rPr>
          <w:rFonts w:cs="Arial"/>
          <w:szCs w:val="22"/>
        </w:rPr>
        <w:t>related facilities.</w:t>
      </w:r>
    </w:p>
    <w:p w:rsidRPr="00854FC2" w:rsidR="00D85665" w:rsidRDefault="00D85665" w14:paraId="61A70E0A" w14:textId="77777777">
      <w:pPr>
        <w:rPr>
          <w:rFonts w:cs="Arial"/>
          <w:szCs w:val="22"/>
        </w:rPr>
      </w:pPr>
      <w:r w:rsidRPr="00854FC2">
        <w:rPr>
          <w:rFonts w:cs="Arial"/>
          <w:szCs w:val="22"/>
        </w:rPr>
        <w:tab/>
      </w:r>
    </w:p>
    <w:p w:rsidRPr="00854FC2" w:rsidR="00D85665" w:rsidP="007F3EBD" w:rsidRDefault="00D85665" w14:paraId="60D280B4" w14:textId="46EBAF0E">
      <w:pPr>
        <w:ind w:firstLine="720"/>
        <w:rPr>
          <w:rFonts w:cs="Arial"/>
          <w:szCs w:val="22"/>
        </w:rPr>
      </w:pPr>
      <w:r w:rsidRPr="0048547C">
        <w:rPr>
          <w:rFonts w:cs="Arial"/>
          <w:szCs w:val="22"/>
        </w:rPr>
        <w:t xml:space="preserve">The Oil Pollution Prevention regulation, 40 CFR </w:t>
      </w:r>
      <w:r w:rsidR="00C624B5">
        <w:rPr>
          <w:rFonts w:cs="Arial"/>
          <w:szCs w:val="22"/>
        </w:rPr>
        <w:t>p</w:t>
      </w:r>
      <w:r w:rsidRPr="0048547C">
        <w:rPr>
          <w:rFonts w:cs="Arial"/>
          <w:szCs w:val="22"/>
        </w:rPr>
        <w:t>art 112, outlines requirements for preventing</w:t>
      </w:r>
      <w:r w:rsidRPr="0048547C" w:rsidR="00EE0C74">
        <w:rPr>
          <w:rFonts w:cs="Arial"/>
          <w:szCs w:val="22"/>
        </w:rPr>
        <w:t>,</w:t>
      </w:r>
      <w:r w:rsidRPr="0048547C">
        <w:rPr>
          <w:rFonts w:cs="Arial"/>
          <w:szCs w:val="22"/>
        </w:rPr>
        <w:t xml:space="preserve"> preparing</w:t>
      </w:r>
      <w:r w:rsidR="00B013EE">
        <w:rPr>
          <w:rFonts w:cs="Arial"/>
          <w:szCs w:val="22"/>
        </w:rPr>
        <w:t xml:space="preserve"> for</w:t>
      </w:r>
      <w:r w:rsidRPr="0048547C" w:rsidR="00EE0C74">
        <w:rPr>
          <w:rFonts w:cs="Arial"/>
          <w:szCs w:val="22"/>
        </w:rPr>
        <w:t xml:space="preserve">, and </w:t>
      </w:r>
      <w:r w:rsidRPr="0048547C" w:rsidR="00707DAE">
        <w:rPr>
          <w:rFonts w:cs="Arial"/>
          <w:szCs w:val="22"/>
        </w:rPr>
        <w:t>respond</w:t>
      </w:r>
      <w:r w:rsidRPr="0048547C" w:rsidR="00EE0C74">
        <w:rPr>
          <w:rFonts w:cs="Arial"/>
          <w:szCs w:val="22"/>
        </w:rPr>
        <w:t>ing</w:t>
      </w:r>
      <w:r w:rsidRPr="0048547C" w:rsidR="00707DAE">
        <w:rPr>
          <w:rFonts w:cs="Arial"/>
          <w:szCs w:val="22"/>
        </w:rPr>
        <w:t xml:space="preserve"> to </w:t>
      </w:r>
      <w:r w:rsidRPr="0048547C">
        <w:rPr>
          <w:rFonts w:cs="Arial"/>
          <w:szCs w:val="22"/>
        </w:rPr>
        <w:t>oil spills.</w:t>
      </w:r>
      <w:r w:rsidRPr="0048547C" w:rsidR="00541A1C">
        <w:rPr>
          <w:rFonts w:cs="Arial"/>
          <w:szCs w:val="22"/>
        </w:rPr>
        <w:t xml:space="preserve"> </w:t>
      </w:r>
      <w:r w:rsidRPr="0048547C">
        <w:rPr>
          <w:rFonts w:cs="Arial"/>
          <w:szCs w:val="22"/>
        </w:rPr>
        <w:t>The prevention part of this regulation at §112.1 through §112.</w:t>
      </w:r>
      <w:r w:rsidRPr="0048547C" w:rsidR="00E13479">
        <w:rPr>
          <w:rFonts w:cs="Arial"/>
          <w:szCs w:val="22"/>
        </w:rPr>
        <w:t xml:space="preserve">12 </w:t>
      </w:r>
      <w:r w:rsidRPr="0048547C">
        <w:rPr>
          <w:rFonts w:cs="Arial"/>
          <w:szCs w:val="22"/>
        </w:rPr>
        <w:t>is also known as the SPCC rule. It was originally promulgated on December 11, 1973, at 38 FR 34164, under the authority of §311(j)(1)(C) of the CWA</w:t>
      </w:r>
      <w:r w:rsidRPr="0048547C" w:rsidR="005B459F">
        <w:rPr>
          <w:rFonts w:cs="Arial"/>
          <w:szCs w:val="22"/>
        </w:rPr>
        <w:t xml:space="preserve"> and subsequently amended on several occasions, </w:t>
      </w:r>
      <w:r w:rsidR="00BF21BC">
        <w:rPr>
          <w:rFonts w:cs="Arial"/>
          <w:szCs w:val="22"/>
        </w:rPr>
        <w:t xml:space="preserve">with the </w:t>
      </w:r>
      <w:r w:rsidRPr="0048547C" w:rsidR="005B459F">
        <w:rPr>
          <w:rFonts w:cs="Arial"/>
          <w:szCs w:val="22"/>
        </w:rPr>
        <w:t>most recent</w:t>
      </w:r>
      <w:r w:rsidR="00BF21BC">
        <w:rPr>
          <w:rFonts w:cs="Arial"/>
          <w:szCs w:val="22"/>
        </w:rPr>
        <w:t xml:space="preserve"> amendments</w:t>
      </w:r>
      <w:r w:rsidRPr="0048547C" w:rsidR="005B459F">
        <w:rPr>
          <w:rFonts w:cs="Arial"/>
          <w:szCs w:val="22"/>
        </w:rPr>
        <w:t xml:space="preserve"> in April 2011 (76 FR 21652)</w:t>
      </w:r>
      <w:r w:rsidR="00C74538">
        <w:rPr>
          <w:rFonts w:cs="Arial"/>
          <w:szCs w:val="22"/>
        </w:rPr>
        <w:t>.</w:t>
      </w:r>
      <w:r w:rsidRPr="0048547C">
        <w:rPr>
          <w:rFonts w:cs="Arial"/>
          <w:szCs w:val="22"/>
        </w:rPr>
        <w:t xml:space="preserve"> The regulation </w:t>
      </w:r>
      <w:r w:rsidR="0088095F">
        <w:rPr>
          <w:rFonts w:cs="Arial"/>
          <w:szCs w:val="22"/>
        </w:rPr>
        <w:t xml:space="preserve">applies to </w:t>
      </w:r>
      <w:r w:rsidRPr="0048547C">
        <w:rPr>
          <w:rFonts w:cs="Arial"/>
          <w:szCs w:val="22"/>
        </w:rPr>
        <w:t xml:space="preserve">non-transportation-related onshore and offshore facilities with aboveground oil storage capacity or completely buried underground oil storage capacity greater than </w:t>
      </w:r>
      <w:r w:rsidR="002E25AF">
        <w:rPr>
          <w:rFonts w:cs="Arial"/>
          <w:szCs w:val="22"/>
        </w:rPr>
        <w:t>specified</w:t>
      </w:r>
      <w:r w:rsidRPr="0048547C">
        <w:rPr>
          <w:rFonts w:cs="Arial"/>
          <w:szCs w:val="22"/>
        </w:rPr>
        <w:t xml:space="preserve"> thresholds and meeting other </w:t>
      </w:r>
      <w:r w:rsidR="00F14ECF">
        <w:rPr>
          <w:rFonts w:cs="Arial"/>
          <w:szCs w:val="22"/>
        </w:rPr>
        <w:t xml:space="preserve">applicability </w:t>
      </w:r>
      <w:r w:rsidRPr="0048547C">
        <w:rPr>
          <w:rFonts w:cs="Arial"/>
          <w:szCs w:val="22"/>
        </w:rPr>
        <w:t xml:space="preserve">criteria (see §112.1). Regulated facilities are </w:t>
      </w:r>
      <w:r w:rsidR="0088095F">
        <w:rPr>
          <w:rFonts w:cs="Arial"/>
          <w:szCs w:val="22"/>
        </w:rPr>
        <w:t>those</w:t>
      </w:r>
      <w:r w:rsidRPr="0048547C" w:rsidR="00B81886">
        <w:rPr>
          <w:rFonts w:cs="Arial"/>
          <w:szCs w:val="22"/>
        </w:rPr>
        <w:t xml:space="preserve"> which</w:t>
      </w:r>
      <w:r w:rsidRPr="0048547C">
        <w:rPr>
          <w:rFonts w:cs="Arial"/>
          <w:szCs w:val="22"/>
        </w:rPr>
        <w:t>, because of their location, cou</w:t>
      </w:r>
      <w:r w:rsidRPr="00854FC2">
        <w:rPr>
          <w:rFonts w:cs="Arial"/>
          <w:szCs w:val="22"/>
        </w:rPr>
        <w:t>ld reasonably be expected to discharge oil in quantities that may be harmful</w:t>
      </w:r>
      <w:r w:rsidRPr="002A68F3" w:rsidR="002A68F3">
        <w:rPr>
          <w:rFonts w:cs="Arial"/>
          <w:szCs w:val="22"/>
        </w:rPr>
        <w:t>, as described in 40 CFR part 110, into or upon the navigable waters of the United States or adjoining shorelines.</w:t>
      </w:r>
    </w:p>
    <w:p w:rsidRPr="00854FC2" w:rsidR="00D85665" w:rsidRDefault="00D85665" w14:paraId="06A068E3" w14:textId="77777777">
      <w:pPr>
        <w:rPr>
          <w:rFonts w:cs="Arial"/>
          <w:szCs w:val="22"/>
        </w:rPr>
      </w:pPr>
    </w:p>
    <w:p w:rsidR="00D85665" w:rsidRDefault="00D85665" w14:paraId="52E48ABB" w14:textId="77777777">
      <w:pPr>
        <w:rPr>
          <w:rFonts w:cs="Arial"/>
          <w:szCs w:val="22"/>
        </w:rPr>
      </w:pPr>
    </w:p>
    <w:p w:rsidRPr="00854FC2" w:rsidR="00D85665" w:rsidP="00E827A7" w:rsidRDefault="00D85665" w14:paraId="24AAFF9A" w14:textId="77777777">
      <w:pPr>
        <w:pStyle w:val="Heading2"/>
      </w:pPr>
      <w:r w:rsidRPr="00854FC2">
        <w:tab/>
        <w:t xml:space="preserve">2(b) </w:t>
      </w:r>
      <w:r w:rsidRPr="00854FC2">
        <w:tab/>
        <w:t>Practical Utility/Users of the Data</w:t>
      </w:r>
    </w:p>
    <w:p w:rsidRPr="00854FC2" w:rsidR="00D85665" w:rsidRDefault="00D85665" w14:paraId="4F1C7E5A" w14:textId="77777777">
      <w:pPr>
        <w:rPr>
          <w:rFonts w:cs="Arial"/>
          <w:szCs w:val="22"/>
        </w:rPr>
      </w:pPr>
    </w:p>
    <w:p w:rsidR="00B613B7" w:rsidP="00B613B7" w:rsidRDefault="00D85665" w14:paraId="642F4322" w14:textId="10CA2311">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EPA does not</w:t>
      </w:r>
      <w:r w:rsidRPr="00595AC1" w:rsidR="00595AC1">
        <w:rPr>
          <w:rFonts w:cs="Arial"/>
          <w:szCs w:val="22"/>
        </w:rPr>
        <w:t xml:space="preserve"> </w:t>
      </w:r>
      <w:r w:rsidR="00595AC1">
        <w:rPr>
          <w:rFonts w:cs="Arial"/>
          <w:szCs w:val="22"/>
        </w:rPr>
        <w:t>routinely</w:t>
      </w:r>
      <w:r w:rsidRPr="00854FC2">
        <w:rPr>
          <w:rFonts w:cs="Arial"/>
          <w:szCs w:val="22"/>
        </w:rPr>
        <w:t xml:space="preserve"> collect SPCC Plans or related records from </w:t>
      </w:r>
      <w:r w:rsidR="00034CE0">
        <w:rPr>
          <w:rFonts w:cs="Arial"/>
          <w:szCs w:val="22"/>
        </w:rPr>
        <w:t>SPCC</w:t>
      </w:r>
      <w:r w:rsidR="00527253">
        <w:rPr>
          <w:rFonts w:cs="Arial"/>
          <w:szCs w:val="22"/>
        </w:rPr>
        <w:t>-</w:t>
      </w:r>
      <w:r w:rsidR="00034CE0">
        <w:rPr>
          <w:rFonts w:cs="Arial"/>
          <w:szCs w:val="22"/>
        </w:rPr>
        <w:t xml:space="preserve">regulated </w:t>
      </w:r>
      <w:r w:rsidRPr="00854FC2">
        <w:rPr>
          <w:rFonts w:cs="Arial"/>
          <w:szCs w:val="22"/>
        </w:rPr>
        <w:t>facilities</w:t>
      </w:r>
      <w:r w:rsidR="005318F0">
        <w:rPr>
          <w:rFonts w:cs="Arial"/>
          <w:szCs w:val="22"/>
        </w:rPr>
        <w:t xml:space="preserve">, except during </w:t>
      </w:r>
      <w:r w:rsidR="00521549">
        <w:rPr>
          <w:rFonts w:cs="Arial"/>
          <w:szCs w:val="22"/>
        </w:rPr>
        <w:t xml:space="preserve">certain </w:t>
      </w:r>
      <w:r w:rsidR="005318F0">
        <w:rPr>
          <w:rFonts w:cs="Arial"/>
          <w:szCs w:val="22"/>
        </w:rPr>
        <w:t>compliance monitoring activities.</w:t>
      </w:r>
      <w:r w:rsidR="003F6507">
        <w:rPr>
          <w:rFonts w:cs="Arial"/>
          <w:szCs w:val="22"/>
        </w:rPr>
        <w:t xml:space="preserve"> </w:t>
      </w:r>
      <w:r w:rsidRPr="00854FC2">
        <w:rPr>
          <w:rFonts w:cs="Arial"/>
          <w:szCs w:val="22"/>
        </w:rPr>
        <w:t>Preparation, implementation, and maintenance of the SPCC Plan by the facility owner or operator helps prevent oil discharges and mitigate the environmental damage caused by such discharges</w:t>
      </w:r>
      <w:r w:rsidR="003F6507">
        <w:rPr>
          <w:rFonts w:cs="Arial"/>
          <w:szCs w:val="22"/>
        </w:rPr>
        <w:t xml:space="preserve">. </w:t>
      </w:r>
      <w:r w:rsidR="00FA568E">
        <w:rPr>
          <w:rFonts w:cs="Arial"/>
          <w:szCs w:val="22"/>
        </w:rPr>
        <w:t>T</w:t>
      </w:r>
      <w:r w:rsidRPr="00854FC2">
        <w:rPr>
          <w:rFonts w:cs="Arial"/>
          <w:szCs w:val="22"/>
        </w:rPr>
        <w:t>he primary user of the data is the facility owner or operator</w:t>
      </w:r>
      <w:r w:rsidR="00AA4863">
        <w:rPr>
          <w:rFonts w:cs="Arial"/>
          <w:szCs w:val="22"/>
        </w:rPr>
        <w:t xml:space="preserve">, and the </w:t>
      </w:r>
      <w:r w:rsidR="00801B87">
        <w:rPr>
          <w:rFonts w:cs="Arial"/>
          <w:szCs w:val="22"/>
        </w:rPr>
        <w:t xml:space="preserve">utility </w:t>
      </w:r>
      <w:r w:rsidR="00AA4863">
        <w:rPr>
          <w:rFonts w:cs="Arial"/>
          <w:szCs w:val="22"/>
        </w:rPr>
        <w:t xml:space="preserve">of </w:t>
      </w:r>
      <w:r w:rsidR="00801B87">
        <w:rPr>
          <w:rFonts w:cs="Arial"/>
          <w:szCs w:val="22"/>
        </w:rPr>
        <w:t xml:space="preserve">these </w:t>
      </w:r>
      <w:r w:rsidR="00AA4863">
        <w:rPr>
          <w:rFonts w:cs="Arial"/>
          <w:szCs w:val="22"/>
        </w:rPr>
        <w:t>data is described below:</w:t>
      </w:r>
    </w:p>
    <w:p w:rsidRPr="00854FC2" w:rsidR="00D85665" w:rsidP="00B613B7" w:rsidRDefault="00B613B7" w14:paraId="0573DE97" w14:textId="2BF153F9">
      <w:pPr>
        <w:ind w:firstLine="720"/>
        <w:rPr>
          <w:rFonts w:cs="Arial"/>
          <w:szCs w:val="22"/>
        </w:rPr>
      </w:pPr>
      <w:r w:rsidRPr="00854FC2">
        <w:rPr>
          <w:rFonts w:cs="Arial"/>
          <w:szCs w:val="22"/>
        </w:rPr>
        <w:t xml:space="preserve"> </w:t>
      </w:r>
    </w:p>
    <w:p w:rsidRPr="00854FC2" w:rsidR="00D85665" w:rsidP="000A5DDB" w:rsidRDefault="00317FE2" w14:paraId="492F05A5" w14:textId="416829D4">
      <w:pPr>
        <w:pStyle w:val="Level1"/>
        <w:numPr>
          <w:ilvl w:val="0"/>
          <w:numId w:val="9"/>
        </w:numPr>
        <w:tabs>
          <w:tab w:val="left" w:pos="720"/>
        </w:tabs>
        <w:rPr>
          <w:rFonts w:cs="Arial"/>
          <w:szCs w:val="22"/>
        </w:rPr>
      </w:pPr>
      <w:r>
        <w:rPr>
          <w:rFonts w:cs="Arial"/>
          <w:szCs w:val="22"/>
        </w:rPr>
        <w:t>Collecting</w:t>
      </w:r>
      <w:r w:rsidRPr="00854FC2" w:rsidR="00D85665">
        <w:rPr>
          <w:rFonts w:cs="Arial"/>
          <w:szCs w:val="22"/>
        </w:rPr>
        <w:t xml:space="preserve"> the necessary data requires that the facility staff analyze the facility measures and procedures for preventing oil discharges, facilitating safety awareness, and promoting appropriate modifications to facility design and operations;</w:t>
      </w:r>
    </w:p>
    <w:p w:rsidRPr="00854FC2" w:rsidR="00D85665" w:rsidRDefault="00D85665" w14:paraId="2BF86D06" w14:textId="77777777">
      <w:pPr>
        <w:pStyle w:val="Level1"/>
        <w:tabs>
          <w:tab w:val="left" w:pos="720"/>
        </w:tabs>
        <w:ind w:left="0"/>
        <w:rPr>
          <w:rFonts w:cs="Arial"/>
          <w:szCs w:val="22"/>
        </w:rPr>
      </w:pPr>
    </w:p>
    <w:p w:rsidRPr="00854FC2" w:rsidR="00D85665" w:rsidP="000A5DDB" w:rsidRDefault="00D85665" w14:paraId="747B5019" w14:textId="1759FE78">
      <w:pPr>
        <w:pStyle w:val="Level1"/>
        <w:numPr>
          <w:ilvl w:val="0"/>
          <w:numId w:val="9"/>
        </w:numPr>
        <w:tabs>
          <w:tab w:val="left" w:pos="720"/>
        </w:tabs>
        <w:rPr>
          <w:rFonts w:cs="Arial"/>
          <w:szCs w:val="22"/>
        </w:rPr>
      </w:pPr>
      <w:r w:rsidRPr="00854FC2">
        <w:rPr>
          <w:rFonts w:cs="Arial"/>
          <w:szCs w:val="22"/>
        </w:rPr>
        <w:t xml:space="preserve">Having the required information in a single document promotes </w:t>
      </w:r>
      <w:r w:rsidR="00434095">
        <w:rPr>
          <w:rFonts w:cs="Arial"/>
          <w:szCs w:val="22"/>
        </w:rPr>
        <w:t xml:space="preserve">an </w:t>
      </w:r>
      <w:r w:rsidRPr="00854FC2">
        <w:rPr>
          <w:rFonts w:cs="Arial"/>
          <w:szCs w:val="22"/>
        </w:rPr>
        <w:t>efficient response in the event of a discharge;</w:t>
      </w:r>
    </w:p>
    <w:p w:rsidRPr="00854FC2" w:rsidR="00D85665" w:rsidRDefault="00D85665" w14:paraId="39BCD5E1" w14:textId="77777777">
      <w:pPr>
        <w:pStyle w:val="Level1"/>
        <w:tabs>
          <w:tab w:val="left" w:pos="720"/>
        </w:tabs>
        <w:ind w:left="0" w:firstLine="1440"/>
        <w:rPr>
          <w:rFonts w:cs="Arial"/>
          <w:szCs w:val="22"/>
        </w:rPr>
      </w:pPr>
    </w:p>
    <w:p w:rsidRPr="00854FC2" w:rsidR="00D85665" w:rsidP="000A5DDB" w:rsidRDefault="00D85665" w14:paraId="1C65E9E3" w14:textId="7FF21FA0">
      <w:pPr>
        <w:pStyle w:val="Level1"/>
        <w:numPr>
          <w:ilvl w:val="0"/>
          <w:numId w:val="9"/>
        </w:numPr>
        <w:tabs>
          <w:tab w:val="left" w:pos="720"/>
        </w:tabs>
        <w:rPr>
          <w:rFonts w:cs="Arial"/>
          <w:szCs w:val="22"/>
        </w:rPr>
      </w:pPr>
      <w:r w:rsidRPr="00854FC2">
        <w:rPr>
          <w:rFonts w:cs="Arial"/>
          <w:szCs w:val="22"/>
        </w:rPr>
        <w:t>Implementing the Plan according to the specifications of 40 CFR part 112 requires meeting certain design and operational</w:t>
      </w:r>
      <w:r w:rsidR="009D088C">
        <w:rPr>
          <w:rFonts w:cs="Arial"/>
          <w:szCs w:val="22"/>
        </w:rPr>
        <w:t>/industry</w:t>
      </w:r>
      <w:r w:rsidRPr="00854FC2">
        <w:rPr>
          <w:rFonts w:cs="Arial"/>
          <w:szCs w:val="22"/>
        </w:rPr>
        <w:t xml:space="preserve"> standards </w:t>
      </w:r>
      <w:r w:rsidR="00791C1F">
        <w:rPr>
          <w:rFonts w:cs="Arial"/>
          <w:szCs w:val="22"/>
        </w:rPr>
        <w:t xml:space="preserve">that </w:t>
      </w:r>
      <w:r w:rsidRPr="00854FC2">
        <w:rPr>
          <w:rFonts w:cs="Arial"/>
          <w:szCs w:val="22"/>
        </w:rPr>
        <w:t xml:space="preserve">reduce the likelihood of an oil discharge; </w:t>
      </w:r>
    </w:p>
    <w:p w:rsidRPr="00854FC2" w:rsidR="00D85665" w:rsidRDefault="00D85665" w14:paraId="0CCA7871" w14:textId="77777777">
      <w:pPr>
        <w:pStyle w:val="Level1"/>
        <w:tabs>
          <w:tab w:val="left" w:pos="720"/>
        </w:tabs>
        <w:ind w:left="0" w:firstLine="720"/>
        <w:rPr>
          <w:rFonts w:cs="Arial"/>
          <w:szCs w:val="22"/>
        </w:rPr>
      </w:pPr>
    </w:p>
    <w:p w:rsidRPr="00854FC2" w:rsidR="00D85665" w:rsidP="000A5DDB" w:rsidRDefault="00D85665" w14:paraId="4E7B4BC2" w14:textId="2DD85035">
      <w:pPr>
        <w:pStyle w:val="Level1"/>
        <w:numPr>
          <w:ilvl w:val="0"/>
          <w:numId w:val="9"/>
        </w:numPr>
        <w:tabs>
          <w:tab w:val="left" w:pos="720"/>
        </w:tabs>
        <w:rPr>
          <w:rFonts w:cs="Arial"/>
          <w:szCs w:val="22"/>
        </w:rPr>
      </w:pPr>
      <w:r w:rsidRPr="00854FC2">
        <w:rPr>
          <w:rFonts w:cs="Arial"/>
          <w:szCs w:val="22"/>
        </w:rPr>
        <w:t>Keeping inspection records promotes important maintenance</w:t>
      </w:r>
      <w:r w:rsidR="00AA4863">
        <w:rPr>
          <w:rFonts w:cs="Arial"/>
          <w:szCs w:val="22"/>
        </w:rPr>
        <w:t xml:space="preserve"> activities</w:t>
      </w:r>
      <w:r w:rsidR="005C1166">
        <w:rPr>
          <w:rFonts w:cs="Arial"/>
          <w:szCs w:val="22"/>
        </w:rPr>
        <w:t xml:space="preserve">, </w:t>
      </w:r>
      <w:r w:rsidR="00F374BD">
        <w:rPr>
          <w:rFonts w:cs="Arial"/>
          <w:szCs w:val="22"/>
        </w:rPr>
        <w:t>visual inspections</w:t>
      </w:r>
      <w:r w:rsidR="003D1371">
        <w:rPr>
          <w:rFonts w:cs="Arial"/>
          <w:szCs w:val="22"/>
        </w:rPr>
        <w:t xml:space="preserve"> and</w:t>
      </w:r>
      <w:r w:rsidRPr="00854FC2">
        <w:rPr>
          <w:rFonts w:cs="Arial"/>
          <w:szCs w:val="22"/>
        </w:rPr>
        <w:t xml:space="preserve"> facilitates </w:t>
      </w:r>
      <w:r w:rsidR="001D7D17">
        <w:rPr>
          <w:rFonts w:cs="Arial"/>
          <w:szCs w:val="22"/>
        </w:rPr>
        <w:t xml:space="preserve">discharge </w:t>
      </w:r>
      <w:r w:rsidRPr="00854FC2">
        <w:rPr>
          <w:rFonts w:cs="Arial"/>
          <w:szCs w:val="22"/>
        </w:rPr>
        <w:t>detection; and</w:t>
      </w:r>
      <w:r w:rsidR="00A53042">
        <w:rPr>
          <w:rFonts w:cs="Arial"/>
          <w:szCs w:val="22"/>
        </w:rPr>
        <w:t>,</w:t>
      </w:r>
    </w:p>
    <w:p w:rsidRPr="00854FC2" w:rsidR="00D85665" w:rsidRDefault="00D85665" w14:paraId="6B1640F8" w14:textId="77777777">
      <w:pPr>
        <w:pStyle w:val="Level1"/>
        <w:tabs>
          <w:tab w:val="left" w:pos="720"/>
        </w:tabs>
        <w:ind w:left="0" w:firstLine="1440"/>
        <w:rPr>
          <w:rFonts w:cs="Arial"/>
          <w:szCs w:val="22"/>
        </w:rPr>
      </w:pPr>
    </w:p>
    <w:p w:rsidRPr="00854FC2" w:rsidR="00D85665" w:rsidP="000A5DDB" w:rsidRDefault="00D85665" w14:paraId="4FC74EB9" w14:textId="680ECBC1">
      <w:pPr>
        <w:pStyle w:val="Level1"/>
        <w:numPr>
          <w:ilvl w:val="0"/>
          <w:numId w:val="9"/>
        </w:numPr>
        <w:tabs>
          <w:tab w:val="left" w:pos="720"/>
        </w:tabs>
        <w:rPr>
          <w:rFonts w:cs="Arial"/>
          <w:szCs w:val="22"/>
        </w:rPr>
      </w:pPr>
      <w:r w:rsidRPr="00854FC2">
        <w:rPr>
          <w:rFonts w:cs="Arial"/>
          <w:szCs w:val="22"/>
        </w:rPr>
        <w:t xml:space="preserve">Reviewing the Plan periodically ensures the implementation of </w:t>
      </w:r>
      <w:r w:rsidR="00AA4863">
        <w:rPr>
          <w:rFonts w:cs="Arial"/>
          <w:szCs w:val="22"/>
        </w:rPr>
        <w:t xml:space="preserve">lessons learned and </w:t>
      </w:r>
      <w:r w:rsidRPr="00854FC2">
        <w:rPr>
          <w:rFonts w:cs="Arial"/>
          <w:szCs w:val="22"/>
        </w:rPr>
        <w:t xml:space="preserve">more effective </w:t>
      </w:r>
      <w:r w:rsidR="009E12FE">
        <w:rPr>
          <w:rFonts w:cs="Arial"/>
          <w:szCs w:val="22"/>
        </w:rPr>
        <w:t xml:space="preserve">oil discharge </w:t>
      </w:r>
      <w:r w:rsidRPr="00854FC2">
        <w:rPr>
          <w:rFonts w:cs="Arial"/>
          <w:szCs w:val="22"/>
        </w:rPr>
        <w:t xml:space="preserve">prevention control technology </w:t>
      </w:r>
      <w:r w:rsidR="00AA4863">
        <w:rPr>
          <w:rFonts w:cs="Arial"/>
          <w:szCs w:val="22"/>
        </w:rPr>
        <w:t>(</w:t>
      </w:r>
      <w:r w:rsidRPr="00854FC2">
        <w:rPr>
          <w:rFonts w:cs="Arial"/>
          <w:szCs w:val="22"/>
        </w:rPr>
        <w:t xml:space="preserve">as </w:t>
      </w:r>
      <w:r w:rsidR="003D1371">
        <w:rPr>
          <w:rFonts w:cs="Arial"/>
          <w:szCs w:val="22"/>
        </w:rPr>
        <w:t>technology</w:t>
      </w:r>
      <w:r w:rsidRPr="00854FC2" w:rsidR="003D1371">
        <w:rPr>
          <w:rFonts w:cs="Arial"/>
          <w:szCs w:val="22"/>
        </w:rPr>
        <w:t xml:space="preserve"> </w:t>
      </w:r>
      <w:r w:rsidRPr="00854FC2">
        <w:rPr>
          <w:rFonts w:cs="Arial"/>
          <w:szCs w:val="22"/>
        </w:rPr>
        <w:t>becomes available and is demonstrated to be effective</w:t>
      </w:r>
      <w:r w:rsidR="00AA4863">
        <w:rPr>
          <w:rFonts w:cs="Arial"/>
          <w:szCs w:val="22"/>
        </w:rPr>
        <w:t>)</w:t>
      </w:r>
      <w:r w:rsidR="009D08BA">
        <w:rPr>
          <w:rFonts w:cs="Arial"/>
          <w:szCs w:val="22"/>
        </w:rPr>
        <w:t xml:space="preserve"> and</w:t>
      </w:r>
      <w:r w:rsidR="006035D5">
        <w:rPr>
          <w:rFonts w:cs="Arial"/>
          <w:szCs w:val="22"/>
        </w:rPr>
        <w:t xml:space="preserve"> updates to the Plan </w:t>
      </w:r>
      <w:r w:rsidR="002B2903">
        <w:rPr>
          <w:rFonts w:cs="Arial"/>
          <w:szCs w:val="22"/>
        </w:rPr>
        <w:t xml:space="preserve">regarding </w:t>
      </w:r>
      <w:r w:rsidR="009C3B27">
        <w:rPr>
          <w:rFonts w:cs="Arial"/>
          <w:szCs w:val="22"/>
        </w:rPr>
        <w:t xml:space="preserve">amendments </w:t>
      </w:r>
      <w:r w:rsidR="009D08BA">
        <w:rPr>
          <w:rFonts w:cs="Arial"/>
          <w:szCs w:val="22"/>
        </w:rPr>
        <w:t>that may have not been documented</w:t>
      </w:r>
      <w:r w:rsidR="00AA4863">
        <w:rPr>
          <w:rFonts w:cs="Arial"/>
          <w:szCs w:val="22"/>
        </w:rPr>
        <w:t>.</w:t>
      </w:r>
    </w:p>
    <w:p w:rsidRPr="00854FC2" w:rsidR="00D85665" w:rsidRDefault="00D85665" w14:paraId="2C23E6F3" w14:textId="77777777">
      <w:pPr>
        <w:numPr>
          <w:ilvl w:val="12"/>
          <w:numId w:val="0"/>
        </w:numPr>
        <w:rPr>
          <w:rFonts w:cs="Arial"/>
          <w:szCs w:val="22"/>
        </w:rPr>
      </w:pPr>
      <w:r w:rsidRPr="00854FC2">
        <w:rPr>
          <w:rFonts w:cs="Arial"/>
          <w:szCs w:val="22"/>
        </w:rPr>
        <w:tab/>
      </w:r>
      <w:r w:rsidRPr="00854FC2">
        <w:rPr>
          <w:rFonts w:cs="Arial"/>
          <w:szCs w:val="22"/>
        </w:rPr>
        <w:tab/>
      </w:r>
      <w:r w:rsidRPr="00854FC2">
        <w:rPr>
          <w:rFonts w:cs="Arial"/>
          <w:szCs w:val="22"/>
        </w:rPr>
        <w:tab/>
      </w:r>
      <w:r w:rsidRPr="00854FC2">
        <w:rPr>
          <w:rFonts w:cs="Arial"/>
          <w:szCs w:val="22"/>
        </w:rPr>
        <w:tab/>
      </w:r>
    </w:p>
    <w:p w:rsidRPr="00854FC2" w:rsidR="00D85665" w:rsidP="00CA1201" w:rsidRDefault="00D85665" w14:paraId="785FC6A6" w14:textId="28022F94">
      <w:pPr>
        <w:numPr>
          <w:ilvl w:val="12"/>
          <w:numId w:val="0"/>
        </w:numPr>
        <w:ind w:firstLine="720"/>
        <w:rPr>
          <w:rFonts w:cs="Arial"/>
          <w:szCs w:val="22"/>
        </w:rPr>
      </w:pPr>
      <w:r w:rsidRPr="00854FC2">
        <w:rPr>
          <w:rFonts w:cs="Arial"/>
          <w:szCs w:val="22"/>
        </w:rPr>
        <w:t xml:space="preserve">Although facility personnel are the primary users of the </w:t>
      </w:r>
      <w:r w:rsidR="00317FE2">
        <w:rPr>
          <w:rFonts w:cs="Arial"/>
          <w:szCs w:val="22"/>
        </w:rPr>
        <w:t xml:space="preserve">Plan </w:t>
      </w:r>
      <w:r w:rsidRPr="00854FC2">
        <w:rPr>
          <w:rFonts w:cs="Arial"/>
          <w:szCs w:val="22"/>
        </w:rPr>
        <w:t xml:space="preserve">data, EPA </w:t>
      </w:r>
      <w:r w:rsidR="00640422">
        <w:rPr>
          <w:rFonts w:cs="Arial"/>
          <w:szCs w:val="22"/>
        </w:rPr>
        <w:t xml:space="preserve">may </w:t>
      </w:r>
      <w:r w:rsidRPr="00854FC2">
        <w:rPr>
          <w:rFonts w:cs="Arial"/>
          <w:szCs w:val="22"/>
        </w:rPr>
        <w:t>use the data in certain situations</w:t>
      </w:r>
      <w:r w:rsidR="00A53042">
        <w:rPr>
          <w:rFonts w:cs="Arial"/>
          <w:szCs w:val="22"/>
        </w:rPr>
        <w:t>.</w:t>
      </w:r>
      <w:r w:rsidR="003F6507">
        <w:rPr>
          <w:rFonts w:cs="Arial"/>
          <w:szCs w:val="22"/>
        </w:rPr>
        <w:t xml:space="preserve"> </w:t>
      </w:r>
      <w:r w:rsidR="00424E7B">
        <w:rPr>
          <w:rFonts w:cs="Arial"/>
          <w:szCs w:val="22"/>
        </w:rPr>
        <w:t xml:space="preserve">For example, </w:t>
      </w:r>
      <w:r w:rsidR="00185C21">
        <w:rPr>
          <w:rFonts w:cs="Arial"/>
          <w:szCs w:val="22"/>
        </w:rPr>
        <w:t>as a result of typical compliance monitoring activities</w:t>
      </w:r>
      <w:r w:rsidR="00424E7B">
        <w:rPr>
          <w:rFonts w:cs="Arial"/>
          <w:szCs w:val="22"/>
        </w:rPr>
        <w:t xml:space="preserve">, </w:t>
      </w:r>
      <w:r w:rsidR="00A53042">
        <w:rPr>
          <w:rFonts w:cs="Arial"/>
          <w:szCs w:val="22"/>
        </w:rPr>
        <w:t>a</w:t>
      </w:r>
      <w:r w:rsidR="00AA4863">
        <w:rPr>
          <w:rFonts w:cs="Arial"/>
          <w:szCs w:val="22"/>
        </w:rPr>
        <w:t>n EPA</w:t>
      </w:r>
      <w:r w:rsidRPr="00854FC2">
        <w:rPr>
          <w:rFonts w:cs="Arial"/>
          <w:szCs w:val="22"/>
        </w:rPr>
        <w:t xml:space="preserve"> Regional Administrator</w:t>
      </w:r>
      <w:r w:rsidR="00317FE2">
        <w:rPr>
          <w:rFonts w:cs="Arial"/>
          <w:szCs w:val="22"/>
        </w:rPr>
        <w:t xml:space="preserve"> (RA)</w:t>
      </w:r>
      <w:r w:rsidRPr="00854FC2">
        <w:rPr>
          <w:rFonts w:cs="Arial"/>
          <w:szCs w:val="22"/>
        </w:rPr>
        <w:t xml:space="preserve"> may require a facility owner or operator to amend </w:t>
      </w:r>
      <w:r w:rsidR="00C75898">
        <w:rPr>
          <w:rFonts w:cs="Arial"/>
          <w:szCs w:val="22"/>
        </w:rPr>
        <w:t>an</w:t>
      </w:r>
      <w:r w:rsidRPr="00854FC2" w:rsidR="00C75898">
        <w:rPr>
          <w:rFonts w:cs="Arial"/>
          <w:szCs w:val="22"/>
        </w:rPr>
        <w:t xml:space="preserve"> </w:t>
      </w:r>
      <w:r w:rsidRPr="00854FC2">
        <w:rPr>
          <w:rFonts w:cs="Arial"/>
          <w:szCs w:val="22"/>
        </w:rPr>
        <w:t>SPCC Plan if</w:t>
      </w:r>
      <w:r w:rsidR="00317FE2">
        <w:rPr>
          <w:rFonts w:cs="Arial"/>
          <w:szCs w:val="22"/>
        </w:rPr>
        <w:t xml:space="preserve"> the RA </w:t>
      </w:r>
      <w:r w:rsidRPr="00854FC2">
        <w:rPr>
          <w:rFonts w:cs="Arial"/>
          <w:szCs w:val="22"/>
        </w:rPr>
        <w:t>finds that the facility has not met the requirements of the regulation</w:t>
      </w:r>
      <w:r w:rsidR="00EA5D1F">
        <w:rPr>
          <w:rFonts w:cs="Arial"/>
          <w:szCs w:val="22"/>
        </w:rPr>
        <w:t xml:space="preserve">, </w:t>
      </w:r>
      <w:r w:rsidRPr="00854FC2">
        <w:rPr>
          <w:rFonts w:cs="Arial"/>
          <w:szCs w:val="22"/>
        </w:rPr>
        <w:t xml:space="preserve">or if </w:t>
      </w:r>
      <w:r w:rsidR="00AA419D">
        <w:rPr>
          <w:rFonts w:cs="Arial"/>
          <w:szCs w:val="22"/>
        </w:rPr>
        <w:t>such amendment</w:t>
      </w:r>
      <w:r w:rsidR="00317FE2">
        <w:rPr>
          <w:rFonts w:cs="Arial"/>
          <w:szCs w:val="22"/>
        </w:rPr>
        <w:t xml:space="preserve"> </w:t>
      </w:r>
      <w:r w:rsidR="00AA419D">
        <w:rPr>
          <w:rFonts w:cs="Arial"/>
          <w:szCs w:val="22"/>
        </w:rPr>
        <w:t xml:space="preserve">will help </w:t>
      </w:r>
      <w:r w:rsidRPr="00854FC2">
        <w:rPr>
          <w:rFonts w:cs="Arial"/>
          <w:szCs w:val="22"/>
        </w:rPr>
        <w:t>prevent and contain discharges of oil.</w:t>
      </w:r>
    </w:p>
    <w:p w:rsidRPr="00854FC2" w:rsidR="00D85665" w:rsidRDefault="00D85665" w14:paraId="0D54CE5C" w14:textId="77777777">
      <w:pPr>
        <w:numPr>
          <w:ilvl w:val="12"/>
          <w:numId w:val="0"/>
        </w:numPr>
        <w:rPr>
          <w:rFonts w:cs="Arial"/>
          <w:szCs w:val="22"/>
        </w:rPr>
      </w:pPr>
    </w:p>
    <w:p w:rsidRPr="00854FC2" w:rsidR="00D85665" w:rsidP="00CA1201" w:rsidRDefault="00D85665" w14:paraId="097D633C" w14:textId="26F4C98A">
      <w:pPr>
        <w:numPr>
          <w:ilvl w:val="12"/>
          <w:numId w:val="0"/>
        </w:numPr>
        <w:ind w:firstLine="720"/>
        <w:rPr>
          <w:rFonts w:cs="Arial"/>
          <w:szCs w:val="22"/>
        </w:rPr>
      </w:pPr>
      <w:r w:rsidRPr="00A77EFF">
        <w:rPr>
          <w:rFonts w:cs="Arial"/>
          <w:szCs w:val="22"/>
        </w:rPr>
        <w:t xml:space="preserve">State and local governments </w:t>
      </w:r>
      <w:r w:rsidR="004F5DF0">
        <w:rPr>
          <w:rFonts w:cs="Arial"/>
          <w:szCs w:val="22"/>
        </w:rPr>
        <w:t xml:space="preserve">may be </w:t>
      </w:r>
      <w:r w:rsidRPr="00A77EFF">
        <w:rPr>
          <w:rFonts w:cs="Arial"/>
          <w:szCs w:val="22"/>
        </w:rPr>
        <w:t>users of the data.</w:t>
      </w:r>
      <w:r w:rsidR="00C53D8B">
        <w:rPr>
          <w:rFonts w:cs="Arial"/>
          <w:szCs w:val="22"/>
        </w:rPr>
        <w:t xml:space="preserve"> </w:t>
      </w:r>
      <w:r w:rsidRPr="00854FC2">
        <w:rPr>
          <w:rFonts w:cs="Arial"/>
          <w:szCs w:val="22"/>
        </w:rPr>
        <w:t xml:space="preserve">The information provided in SPCC Plans (e.g., facility configuration and potential risks) </w:t>
      </w:r>
      <w:r w:rsidRPr="00854FC2" w:rsidR="00317FE2">
        <w:rPr>
          <w:rFonts w:cs="Arial"/>
          <w:szCs w:val="22"/>
        </w:rPr>
        <w:t xml:space="preserve">assists local emergency preparedness planning efforts </w:t>
      </w:r>
      <w:r w:rsidR="00317FE2">
        <w:rPr>
          <w:rFonts w:cs="Arial"/>
          <w:szCs w:val="22"/>
        </w:rPr>
        <w:t xml:space="preserve">and </w:t>
      </w:r>
      <w:r w:rsidR="00692A0D">
        <w:rPr>
          <w:rFonts w:cs="Arial"/>
          <w:szCs w:val="22"/>
        </w:rPr>
        <w:t xml:space="preserve">may not be </w:t>
      </w:r>
      <w:r w:rsidRPr="00854FC2">
        <w:rPr>
          <w:rFonts w:cs="Arial"/>
          <w:szCs w:val="22"/>
        </w:rPr>
        <w:t>available elsewhere</w:t>
      </w:r>
      <w:r w:rsidR="00317FE2">
        <w:rPr>
          <w:rFonts w:cs="Arial"/>
          <w:szCs w:val="22"/>
        </w:rPr>
        <w:t>.</w:t>
      </w:r>
      <w:r w:rsidRPr="00854FC2">
        <w:rPr>
          <w:rFonts w:cs="Arial"/>
          <w:szCs w:val="22"/>
        </w:rPr>
        <w:t xml:space="preserve"> </w:t>
      </w:r>
      <w:r w:rsidR="00B92E2C">
        <w:rPr>
          <w:rFonts w:cs="Arial"/>
          <w:szCs w:val="22"/>
        </w:rPr>
        <w:t>The Plan</w:t>
      </w:r>
      <w:r w:rsidR="001634E4">
        <w:rPr>
          <w:rFonts w:cs="Arial"/>
          <w:szCs w:val="22"/>
        </w:rPr>
        <w:t xml:space="preserve"> must</w:t>
      </w:r>
      <w:r w:rsidR="00B92E2C">
        <w:rPr>
          <w:rFonts w:cs="Arial"/>
          <w:szCs w:val="22"/>
        </w:rPr>
        <w:t xml:space="preserve"> </w:t>
      </w:r>
      <w:r w:rsidR="00702B7C">
        <w:rPr>
          <w:rFonts w:cs="Arial"/>
          <w:szCs w:val="22"/>
        </w:rPr>
        <w:t xml:space="preserve">include a </w:t>
      </w:r>
      <w:r w:rsidRPr="00702B7C" w:rsidR="00702B7C">
        <w:rPr>
          <w:rFonts w:cs="Arial"/>
          <w:szCs w:val="22"/>
        </w:rPr>
        <w:t xml:space="preserve">complete discussion of conformance </w:t>
      </w:r>
      <w:r w:rsidR="00B92E2C">
        <w:rPr>
          <w:rFonts w:cs="Arial"/>
          <w:szCs w:val="22"/>
        </w:rPr>
        <w:t>with applicable requirements of any applicable more stringent State rules (112.7(j))</w:t>
      </w:r>
      <w:r w:rsidR="0016183C">
        <w:rPr>
          <w:rFonts w:cs="Arial"/>
          <w:szCs w:val="22"/>
        </w:rPr>
        <w:t xml:space="preserve">, and in </w:t>
      </w:r>
      <w:r w:rsidR="001634E4">
        <w:rPr>
          <w:rFonts w:cs="Arial"/>
          <w:szCs w:val="22"/>
        </w:rPr>
        <w:t xml:space="preserve">the limited situations </w:t>
      </w:r>
      <w:r w:rsidR="0016183C">
        <w:rPr>
          <w:rFonts w:cs="Arial"/>
          <w:szCs w:val="22"/>
        </w:rPr>
        <w:t>where secondary containment is impracticable</w:t>
      </w:r>
      <w:r w:rsidR="001634E4">
        <w:rPr>
          <w:rFonts w:cs="Arial"/>
          <w:szCs w:val="22"/>
        </w:rPr>
        <w:t xml:space="preserve"> (112.7(d))</w:t>
      </w:r>
      <w:r w:rsidR="0016183C">
        <w:rPr>
          <w:rFonts w:cs="Arial"/>
          <w:szCs w:val="22"/>
        </w:rPr>
        <w:t xml:space="preserve">, </w:t>
      </w:r>
      <w:r w:rsidR="00D05851">
        <w:rPr>
          <w:rFonts w:cs="Arial"/>
          <w:szCs w:val="22"/>
        </w:rPr>
        <w:t xml:space="preserve">include </w:t>
      </w:r>
      <w:r w:rsidR="0016183C">
        <w:rPr>
          <w:rFonts w:cs="Arial"/>
          <w:szCs w:val="22"/>
        </w:rPr>
        <w:t>an oil spill contingency plan that follows</w:t>
      </w:r>
      <w:r w:rsidR="00DA1485">
        <w:rPr>
          <w:rFonts w:cs="Arial"/>
          <w:szCs w:val="22"/>
        </w:rPr>
        <w:t xml:space="preserve"> the criteria applicable to plans developed with State, local and regional agencies under 40 CFR 109</w:t>
      </w:r>
      <w:r w:rsidR="00B92E2C">
        <w:rPr>
          <w:rFonts w:cs="Arial"/>
          <w:szCs w:val="22"/>
        </w:rPr>
        <w:t xml:space="preserve">. </w:t>
      </w:r>
      <w:r w:rsidRPr="00854FC2">
        <w:rPr>
          <w:rFonts w:cs="Arial"/>
          <w:szCs w:val="22"/>
        </w:rPr>
        <w:t xml:space="preserve">Coordination with state governments is </w:t>
      </w:r>
      <w:r w:rsidR="009D3F1E">
        <w:rPr>
          <w:rFonts w:cs="Arial"/>
          <w:szCs w:val="22"/>
        </w:rPr>
        <w:t xml:space="preserve">further </w:t>
      </w:r>
      <w:r w:rsidRPr="00854FC2">
        <w:rPr>
          <w:rFonts w:cs="Arial"/>
          <w:szCs w:val="22"/>
        </w:rPr>
        <w:t xml:space="preserve">facilitated by the provision in </w:t>
      </w:r>
      <w:r w:rsidR="00C624B5">
        <w:rPr>
          <w:rFonts w:cs="Arial"/>
          <w:szCs w:val="22"/>
        </w:rPr>
        <w:t xml:space="preserve">40 CFR </w:t>
      </w:r>
      <w:r w:rsidRPr="00854FC2">
        <w:rPr>
          <w:rFonts w:cs="Arial"/>
          <w:szCs w:val="22"/>
        </w:rPr>
        <w:t xml:space="preserve">§112.4(c) requiring that </w:t>
      </w:r>
      <w:r w:rsidR="00692A0D">
        <w:rPr>
          <w:rFonts w:cs="Arial"/>
          <w:szCs w:val="22"/>
        </w:rPr>
        <w:t xml:space="preserve">information on </w:t>
      </w:r>
      <w:r w:rsidRPr="00854FC2">
        <w:rPr>
          <w:rFonts w:cs="Arial"/>
          <w:szCs w:val="22"/>
        </w:rPr>
        <w:t xml:space="preserve">certain </w:t>
      </w:r>
      <w:r w:rsidR="00EB0EAA">
        <w:rPr>
          <w:rFonts w:cs="Arial"/>
          <w:szCs w:val="22"/>
        </w:rPr>
        <w:t xml:space="preserve">oil </w:t>
      </w:r>
      <w:r w:rsidRPr="00854FC2">
        <w:rPr>
          <w:rFonts w:cs="Arial"/>
          <w:szCs w:val="22"/>
        </w:rPr>
        <w:t>discharges</w:t>
      </w:r>
      <w:r w:rsidR="00B22EEE">
        <w:rPr>
          <w:rFonts w:cs="Arial"/>
          <w:szCs w:val="22"/>
        </w:rPr>
        <w:t>, which must be sent to the RA under</w:t>
      </w:r>
      <w:r w:rsidRPr="00854FC2" w:rsidR="00B22EEE">
        <w:rPr>
          <w:rFonts w:cs="Arial"/>
          <w:szCs w:val="22"/>
        </w:rPr>
        <w:t xml:space="preserve"> </w:t>
      </w:r>
      <w:r w:rsidR="00C624B5">
        <w:rPr>
          <w:rFonts w:cs="Arial"/>
          <w:szCs w:val="22"/>
        </w:rPr>
        <w:t xml:space="preserve">40 CFR </w:t>
      </w:r>
      <w:r w:rsidRPr="00854FC2" w:rsidR="00B22EEE">
        <w:rPr>
          <w:rFonts w:cs="Arial"/>
          <w:szCs w:val="22"/>
        </w:rPr>
        <w:t>§112.4(</w:t>
      </w:r>
      <w:r w:rsidR="00B22EEE">
        <w:rPr>
          <w:rFonts w:cs="Arial"/>
          <w:szCs w:val="22"/>
        </w:rPr>
        <w:t>a</w:t>
      </w:r>
      <w:r w:rsidRPr="00854FC2" w:rsidR="00B22EEE">
        <w:rPr>
          <w:rFonts w:cs="Arial"/>
          <w:szCs w:val="22"/>
        </w:rPr>
        <w:t>)</w:t>
      </w:r>
      <w:r w:rsidR="006A2E04">
        <w:rPr>
          <w:rFonts w:cs="Arial"/>
          <w:szCs w:val="22"/>
        </w:rPr>
        <w:t>,</w:t>
      </w:r>
      <w:r w:rsidR="00B22EEE">
        <w:rPr>
          <w:rFonts w:cs="Arial"/>
          <w:szCs w:val="22"/>
        </w:rPr>
        <w:t xml:space="preserve"> also </w:t>
      </w:r>
      <w:r w:rsidR="001634E4">
        <w:rPr>
          <w:rFonts w:cs="Arial"/>
          <w:szCs w:val="22"/>
        </w:rPr>
        <w:t xml:space="preserve">be sent to the </w:t>
      </w:r>
      <w:r w:rsidRPr="001634E4" w:rsidR="001634E4">
        <w:rPr>
          <w:rFonts w:cs="Arial"/>
          <w:szCs w:val="22"/>
        </w:rPr>
        <w:t>appropriate agency or agencies in charge of oil pollution control activities in the State in which the facility is located</w:t>
      </w:r>
      <w:r w:rsidRPr="00854FC2">
        <w:rPr>
          <w:rFonts w:cs="Arial"/>
          <w:szCs w:val="22"/>
        </w:rPr>
        <w:t xml:space="preserve">. The flexibility with respect to Plan formatting promotes greater coordination with state planning efforts by encouraging the use of </w:t>
      </w:r>
      <w:r w:rsidR="00317FE2">
        <w:rPr>
          <w:rFonts w:cs="Arial"/>
          <w:szCs w:val="22"/>
        </w:rPr>
        <w:t>p</w:t>
      </w:r>
      <w:r w:rsidRPr="00854FC2">
        <w:rPr>
          <w:rFonts w:cs="Arial"/>
          <w:szCs w:val="22"/>
        </w:rPr>
        <w:t>lans prepared pursuant to state regulations.</w:t>
      </w:r>
    </w:p>
    <w:p w:rsidRPr="00854FC2" w:rsidR="00D85665" w:rsidRDefault="00D85665" w14:paraId="2A54B709" w14:textId="77777777">
      <w:pPr>
        <w:numPr>
          <w:ilvl w:val="12"/>
          <w:numId w:val="0"/>
        </w:numPr>
        <w:rPr>
          <w:rFonts w:cs="Arial"/>
          <w:szCs w:val="22"/>
        </w:rPr>
      </w:pPr>
    </w:p>
    <w:p w:rsidRPr="00854FC2" w:rsidR="00D85665" w:rsidP="00A304B5" w:rsidRDefault="00D85665" w14:paraId="0EFE9DA1" w14:textId="77777777">
      <w:pPr>
        <w:pStyle w:val="Heading1"/>
      </w:pPr>
      <w:r w:rsidRPr="00854FC2">
        <w:t>3.</w:t>
      </w:r>
      <w:r w:rsidRPr="00854FC2">
        <w:tab/>
        <w:t>NONDUPLICATION, CONSULTATIONS, AND OTHER COLLECTION CRITERIA</w:t>
      </w:r>
    </w:p>
    <w:p w:rsidRPr="00854FC2" w:rsidR="00D85665" w:rsidRDefault="00D85665" w14:paraId="58F1D64B" w14:textId="77777777">
      <w:pPr>
        <w:keepNext/>
        <w:numPr>
          <w:ilvl w:val="12"/>
          <w:numId w:val="0"/>
        </w:numPr>
        <w:rPr>
          <w:rFonts w:cs="Arial"/>
          <w:szCs w:val="22"/>
        </w:rPr>
      </w:pPr>
    </w:p>
    <w:p w:rsidRPr="00854FC2" w:rsidR="00D85665" w:rsidP="00E827A7" w:rsidRDefault="00D85665" w14:paraId="50B6ECE9" w14:textId="77777777">
      <w:pPr>
        <w:pStyle w:val="Heading2"/>
      </w:pPr>
      <w:r w:rsidRPr="00854FC2">
        <w:tab/>
        <w:t>3(a)</w:t>
      </w:r>
      <w:r w:rsidR="000F5676">
        <w:t xml:space="preserve"> </w:t>
      </w:r>
      <w:r w:rsidRPr="00854FC2">
        <w:t>Non</w:t>
      </w:r>
      <w:r w:rsidR="000F5676">
        <w:t>-</w:t>
      </w:r>
      <w:r w:rsidRPr="00854FC2">
        <w:t>duplication</w:t>
      </w:r>
    </w:p>
    <w:p w:rsidRPr="00854FC2" w:rsidR="00D85665" w:rsidRDefault="00D85665" w14:paraId="14AB958B" w14:textId="77777777">
      <w:pPr>
        <w:keepNext/>
        <w:numPr>
          <w:ilvl w:val="12"/>
          <w:numId w:val="0"/>
        </w:numPr>
        <w:rPr>
          <w:rFonts w:cs="Arial"/>
          <w:szCs w:val="22"/>
        </w:rPr>
      </w:pPr>
    </w:p>
    <w:p w:rsidRPr="00854FC2" w:rsidR="00D85665" w:rsidP="0022621C" w:rsidRDefault="00D85665" w14:paraId="1594A262" w14:textId="5DEDB563">
      <w:pPr>
        <w:tabs>
          <w:tab w:val="left" w:pos="8730"/>
        </w:tabs>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 </w:t>
      </w:r>
      <w:r w:rsidR="00F52372">
        <w:rPr>
          <w:rFonts w:cs="Arial"/>
          <w:szCs w:val="22"/>
        </w:rPr>
        <w:t xml:space="preserve">Generally, completely buried tanks are regulated </w:t>
      </w:r>
      <w:r w:rsidR="000A0AFA">
        <w:rPr>
          <w:rFonts w:cs="Arial"/>
          <w:szCs w:val="22"/>
        </w:rPr>
        <w:t>either</w:t>
      </w:r>
      <w:r w:rsidR="00F52372">
        <w:rPr>
          <w:rFonts w:cs="Arial"/>
          <w:szCs w:val="22"/>
        </w:rPr>
        <w:t xml:space="preserve"> exclusively by the SPCC rule or exclusively by the </w:t>
      </w:r>
      <w:r w:rsidR="00A84E88">
        <w:rPr>
          <w:rFonts w:cs="Arial"/>
          <w:szCs w:val="22"/>
        </w:rPr>
        <w:t>Underground Storage Tank (</w:t>
      </w:r>
      <w:r w:rsidR="00F52372">
        <w:rPr>
          <w:rFonts w:cs="Arial"/>
          <w:szCs w:val="22"/>
        </w:rPr>
        <w:t>UST</w:t>
      </w:r>
      <w:r w:rsidR="00A84E88">
        <w:rPr>
          <w:rFonts w:cs="Arial"/>
          <w:szCs w:val="22"/>
        </w:rPr>
        <w:t>)</w:t>
      </w:r>
      <w:r w:rsidR="00F52372">
        <w:rPr>
          <w:rFonts w:cs="Arial"/>
          <w:szCs w:val="22"/>
        </w:rPr>
        <w:t xml:space="preserve"> rule to minimize dual regulation. </w:t>
      </w:r>
      <w:r w:rsidRPr="00854FC2">
        <w:rPr>
          <w:rFonts w:cs="Arial"/>
          <w:szCs w:val="22"/>
        </w:rPr>
        <w:t xml:space="preserve">The SPCC rule </w:t>
      </w:r>
      <w:r w:rsidR="00F52372">
        <w:rPr>
          <w:rFonts w:cs="Arial"/>
          <w:szCs w:val="22"/>
        </w:rPr>
        <w:t xml:space="preserve">accomplishes this </w:t>
      </w:r>
      <w:r w:rsidR="000A5DDB">
        <w:rPr>
          <w:rFonts w:cs="Arial"/>
          <w:szCs w:val="22"/>
        </w:rPr>
        <w:t xml:space="preserve">exclusively </w:t>
      </w:r>
      <w:r w:rsidR="00F52372">
        <w:rPr>
          <w:rFonts w:cs="Arial"/>
          <w:szCs w:val="22"/>
        </w:rPr>
        <w:t>by</w:t>
      </w:r>
      <w:r w:rsidRPr="00854FC2">
        <w:rPr>
          <w:rFonts w:cs="Arial"/>
          <w:szCs w:val="22"/>
        </w:rPr>
        <w:t xml:space="preserve"> exempting completely buried tanks subject to all of the technical requirements of EPA’s UST program (40 CFR part 280) or a state program approved under 40 CFR part 281.</w:t>
      </w:r>
      <w:bookmarkStart w:name="_Hlk17884148" w:id="1"/>
      <w:r w:rsidR="005F23E7">
        <w:rPr>
          <w:rFonts w:cs="Arial"/>
          <w:szCs w:val="22"/>
        </w:rPr>
        <w:t xml:space="preserve"> </w:t>
      </w:r>
      <w:r w:rsidR="000328D8">
        <w:rPr>
          <w:rFonts w:cs="Arial"/>
          <w:szCs w:val="22"/>
        </w:rPr>
        <w:t xml:space="preserve">Due to their unique </w:t>
      </w:r>
      <w:r w:rsidR="002D4920">
        <w:rPr>
          <w:rFonts w:cs="Arial"/>
          <w:szCs w:val="22"/>
        </w:rPr>
        <w:t>configuration,</w:t>
      </w:r>
      <w:r w:rsidR="000328D8">
        <w:rPr>
          <w:rFonts w:cs="Arial"/>
          <w:szCs w:val="22"/>
        </w:rPr>
        <w:t xml:space="preserve"> design and operational requirements</w:t>
      </w:r>
      <w:r w:rsidR="00B5790D">
        <w:rPr>
          <w:rFonts w:cs="Arial"/>
          <w:szCs w:val="22"/>
        </w:rPr>
        <w:t>,</w:t>
      </w:r>
      <w:r w:rsidR="000328D8">
        <w:rPr>
          <w:rFonts w:cs="Arial"/>
          <w:szCs w:val="22"/>
        </w:rPr>
        <w:t xml:space="preserve"> a</w:t>
      </w:r>
      <w:r w:rsidR="00281056">
        <w:rPr>
          <w:rFonts w:cs="Arial"/>
          <w:szCs w:val="22"/>
        </w:rPr>
        <w:t xml:space="preserve"> small population of partially buried</w:t>
      </w:r>
      <w:r w:rsidR="001634E4">
        <w:rPr>
          <w:rFonts w:cs="Arial"/>
          <w:szCs w:val="22"/>
        </w:rPr>
        <w:t>/bunkered</w:t>
      </w:r>
      <w:r w:rsidR="00281056">
        <w:rPr>
          <w:rFonts w:cs="Arial"/>
          <w:szCs w:val="22"/>
        </w:rPr>
        <w:t xml:space="preserve"> containers associated with </w:t>
      </w:r>
      <w:r w:rsidRPr="00854FC2" w:rsidR="00281056">
        <w:rPr>
          <w:rFonts w:cs="Arial"/>
          <w:szCs w:val="22"/>
        </w:rPr>
        <w:t xml:space="preserve">the Oil Pollution Prevention regulation </w:t>
      </w:r>
      <w:r w:rsidR="00B5790D">
        <w:rPr>
          <w:rFonts w:cs="Arial"/>
          <w:szCs w:val="22"/>
        </w:rPr>
        <w:t xml:space="preserve">may have </w:t>
      </w:r>
      <w:r w:rsidDel="000A5DDB" w:rsidR="00B5790D">
        <w:rPr>
          <w:rFonts w:cs="Arial"/>
          <w:szCs w:val="22"/>
        </w:rPr>
        <w:t>compl</w:t>
      </w:r>
      <w:r w:rsidDel="000A5DDB" w:rsidR="0022621C">
        <w:rPr>
          <w:rFonts w:cs="Arial"/>
          <w:szCs w:val="22"/>
        </w:rPr>
        <w:t>e</w:t>
      </w:r>
      <w:r w:rsidDel="000A5DDB" w:rsidR="00B5790D">
        <w:rPr>
          <w:rFonts w:cs="Arial"/>
          <w:szCs w:val="22"/>
        </w:rPr>
        <w:t>mentary</w:t>
      </w:r>
      <w:r w:rsidR="00B5790D">
        <w:rPr>
          <w:rFonts w:cs="Arial"/>
          <w:szCs w:val="22"/>
        </w:rPr>
        <w:t xml:space="preserve"> requirements</w:t>
      </w:r>
      <w:r w:rsidRPr="00854FC2" w:rsidR="00281056">
        <w:rPr>
          <w:rFonts w:cs="Arial"/>
          <w:szCs w:val="22"/>
        </w:rPr>
        <w:t xml:space="preserve"> </w:t>
      </w:r>
      <w:r w:rsidR="002D4920">
        <w:rPr>
          <w:rFonts w:cs="Arial"/>
          <w:szCs w:val="22"/>
        </w:rPr>
        <w:t xml:space="preserve">under the </w:t>
      </w:r>
      <w:r w:rsidRPr="00854FC2" w:rsidR="00281056">
        <w:rPr>
          <w:rFonts w:cs="Arial"/>
          <w:szCs w:val="22"/>
        </w:rPr>
        <w:t>UST</w:t>
      </w:r>
      <w:r w:rsidR="001634E4">
        <w:rPr>
          <w:rFonts w:cs="Arial"/>
          <w:szCs w:val="22"/>
        </w:rPr>
        <w:t xml:space="preserve"> regulations</w:t>
      </w:r>
      <w:r w:rsidR="00281056">
        <w:rPr>
          <w:rFonts w:cs="Arial"/>
          <w:szCs w:val="22"/>
        </w:rPr>
        <w:t>.</w:t>
      </w:r>
      <w:r w:rsidR="00195285">
        <w:rPr>
          <w:rFonts w:cs="Arial"/>
          <w:szCs w:val="22"/>
        </w:rPr>
        <w:t xml:space="preserve"> The </w:t>
      </w:r>
      <w:r w:rsidR="002D4920">
        <w:rPr>
          <w:rFonts w:cs="Arial"/>
          <w:szCs w:val="22"/>
        </w:rPr>
        <w:t>SPCC provisions focus on surface water protection and the UST provisions focus on groundwater protection, as these unique container configurations (with both above and belowground portions) provide threats to both surface and groundwater.</w:t>
      </w:r>
    </w:p>
    <w:bookmarkEnd w:id="1"/>
    <w:p w:rsidRPr="00854FC2" w:rsidR="00D85665" w:rsidRDefault="00D85665" w14:paraId="02263583" w14:textId="77777777">
      <w:pPr>
        <w:rPr>
          <w:rFonts w:cs="Arial"/>
          <w:szCs w:val="22"/>
        </w:rPr>
      </w:pPr>
    </w:p>
    <w:p w:rsidRPr="00854FC2" w:rsidR="00D85665" w:rsidP="00CA1201" w:rsidRDefault="00D85665" w14:paraId="0EDFA701" w14:textId="67AFC7EE">
      <w:pPr>
        <w:numPr>
          <w:ilvl w:val="12"/>
          <w:numId w:val="0"/>
        </w:numPr>
        <w:ind w:firstLine="720"/>
        <w:rPr>
          <w:rFonts w:cs="Arial"/>
          <w:szCs w:val="22"/>
        </w:rPr>
      </w:pPr>
      <w:r w:rsidRPr="00854FC2">
        <w:rPr>
          <w:rFonts w:cs="Arial"/>
          <w:szCs w:val="22"/>
        </w:rPr>
        <w:t>The regulation</w:t>
      </w:r>
      <w:r w:rsidR="001634E4">
        <w:rPr>
          <w:rFonts w:cs="Arial"/>
          <w:szCs w:val="22"/>
        </w:rPr>
        <w:t xml:space="preserve"> was specifically revised and designed to </w:t>
      </w:r>
      <w:r w:rsidRPr="00854FC2">
        <w:rPr>
          <w:rFonts w:cs="Arial"/>
          <w:szCs w:val="22"/>
        </w:rPr>
        <w:t>allow considerable flexibility in Plan preparation</w:t>
      </w:r>
      <w:r w:rsidR="002D4920">
        <w:rPr>
          <w:rFonts w:cs="Arial"/>
          <w:szCs w:val="22"/>
        </w:rPr>
        <w:t>, manag</w:t>
      </w:r>
      <w:r w:rsidR="00A60C64">
        <w:rPr>
          <w:rFonts w:cs="Arial"/>
          <w:szCs w:val="22"/>
        </w:rPr>
        <w:t>e</w:t>
      </w:r>
      <w:r w:rsidR="002D4920">
        <w:rPr>
          <w:rFonts w:cs="Arial"/>
          <w:szCs w:val="22"/>
        </w:rPr>
        <w:t>ment</w:t>
      </w:r>
      <w:r w:rsidRPr="00854FC2">
        <w:rPr>
          <w:rFonts w:cs="Arial"/>
          <w:szCs w:val="22"/>
        </w:rPr>
        <w:t xml:space="preserve"> and recordkeeping</w:t>
      </w:r>
      <w:r w:rsidR="00317FE2">
        <w:rPr>
          <w:rFonts w:cs="Arial"/>
          <w:szCs w:val="22"/>
        </w:rPr>
        <w:t>, including</w:t>
      </w:r>
      <w:r w:rsidRPr="00854FC2">
        <w:rPr>
          <w:rFonts w:cs="Arial"/>
          <w:szCs w:val="22"/>
        </w:rPr>
        <w:t xml:space="preserve"> the use of alternative, appropriately cross-referenced</w:t>
      </w:r>
      <w:r w:rsidR="002D4920">
        <w:rPr>
          <w:rFonts w:cs="Arial"/>
          <w:szCs w:val="22"/>
        </w:rPr>
        <w:t>,</w:t>
      </w:r>
      <w:r w:rsidRPr="00854FC2">
        <w:rPr>
          <w:rFonts w:cs="Arial"/>
          <w:szCs w:val="22"/>
        </w:rPr>
        <w:t xml:space="preserve"> formats based on state or other federal requirements. </w:t>
      </w:r>
      <w:r w:rsidR="00F66FA2">
        <w:rPr>
          <w:rFonts w:cs="Arial"/>
          <w:szCs w:val="22"/>
        </w:rPr>
        <w:t>F</w:t>
      </w:r>
      <w:r w:rsidRPr="00854FC2">
        <w:rPr>
          <w:rFonts w:cs="Arial"/>
          <w:szCs w:val="22"/>
        </w:rPr>
        <w:t>lexibility is also provided for facility recordkeeping practices</w:t>
      </w:r>
      <w:r w:rsidR="002D4920">
        <w:rPr>
          <w:rFonts w:cs="Arial"/>
          <w:szCs w:val="22"/>
        </w:rPr>
        <w:t xml:space="preserve"> by allowing the use of </w:t>
      </w:r>
      <w:r w:rsidRPr="002D4920" w:rsidR="002D4920">
        <w:rPr>
          <w:rFonts w:cs="Arial"/>
          <w:szCs w:val="22"/>
        </w:rPr>
        <w:t xml:space="preserve">usual and </w:t>
      </w:r>
      <w:r w:rsidR="002D4920">
        <w:rPr>
          <w:rFonts w:cs="Arial"/>
          <w:szCs w:val="22"/>
        </w:rPr>
        <w:t>customary business records to meet the SPCC recordkeeping requirements</w:t>
      </w:r>
      <w:r w:rsidR="00317FE2">
        <w:rPr>
          <w:rFonts w:cs="Arial"/>
          <w:szCs w:val="22"/>
        </w:rPr>
        <w:t xml:space="preserve">. </w:t>
      </w:r>
      <w:r w:rsidR="002D4920">
        <w:rPr>
          <w:rFonts w:cs="Arial"/>
          <w:szCs w:val="22"/>
        </w:rPr>
        <w:t>For example, r</w:t>
      </w:r>
      <w:r w:rsidRPr="00854FC2">
        <w:rPr>
          <w:rFonts w:cs="Arial"/>
          <w:szCs w:val="22"/>
        </w:rPr>
        <w:t xml:space="preserve">ecords required pursuant to the National Pollutant Discharge Elimination System (NPDES) program and </w:t>
      </w:r>
      <w:r w:rsidR="00827729">
        <w:rPr>
          <w:rFonts w:cs="Arial"/>
          <w:szCs w:val="22"/>
        </w:rPr>
        <w:t>American Petroleum Institute (</w:t>
      </w:r>
      <w:r w:rsidRPr="00854FC2">
        <w:rPr>
          <w:rFonts w:cs="Arial"/>
          <w:szCs w:val="22"/>
        </w:rPr>
        <w:t>API</w:t>
      </w:r>
      <w:r w:rsidR="00827729">
        <w:rPr>
          <w:rFonts w:cs="Arial"/>
          <w:szCs w:val="22"/>
        </w:rPr>
        <w:t>)</w:t>
      </w:r>
      <w:r w:rsidRPr="00854FC2">
        <w:rPr>
          <w:rFonts w:cs="Arial"/>
          <w:szCs w:val="22"/>
        </w:rPr>
        <w:t xml:space="preserve"> </w:t>
      </w:r>
      <w:r w:rsidR="006F59EF">
        <w:rPr>
          <w:rFonts w:cs="Arial"/>
          <w:szCs w:val="22"/>
        </w:rPr>
        <w:t>or other industry s</w:t>
      </w:r>
      <w:r w:rsidRPr="00854FC2" w:rsidR="006F59EF">
        <w:rPr>
          <w:rFonts w:cs="Arial"/>
          <w:szCs w:val="22"/>
        </w:rPr>
        <w:t xml:space="preserve">tandards </w:t>
      </w:r>
      <w:r w:rsidR="006F59EF">
        <w:rPr>
          <w:rFonts w:cs="Arial"/>
          <w:szCs w:val="22"/>
        </w:rPr>
        <w:t xml:space="preserve">or recommended practices </w:t>
      </w:r>
      <w:r w:rsidRPr="00854FC2">
        <w:rPr>
          <w:rFonts w:cs="Arial"/>
          <w:szCs w:val="22"/>
        </w:rPr>
        <w:t>may satisfy certain SPCC recordkeeping requirements</w:t>
      </w:r>
      <w:r w:rsidR="003F6507">
        <w:rPr>
          <w:rFonts w:cs="Arial"/>
          <w:szCs w:val="22"/>
        </w:rPr>
        <w:t xml:space="preserve">. </w:t>
      </w:r>
      <w:r w:rsidRPr="00854FC2">
        <w:rPr>
          <w:rFonts w:cs="Arial"/>
          <w:szCs w:val="22"/>
        </w:rPr>
        <w:t xml:space="preserve">Records kept under </w:t>
      </w:r>
      <w:r w:rsidR="002D4920">
        <w:rPr>
          <w:rFonts w:cs="Arial"/>
          <w:szCs w:val="22"/>
        </w:rPr>
        <w:t>other</w:t>
      </w:r>
      <w:r w:rsidRPr="00854FC2">
        <w:rPr>
          <w:rFonts w:cs="Arial"/>
          <w:szCs w:val="22"/>
        </w:rPr>
        <w:t xml:space="preserve"> usual and customary business practices are also accepted for inspections, tests, and records.</w:t>
      </w:r>
      <w:r w:rsidRPr="00854FC2">
        <w:rPr>
          <w:rFonts w:cs="Arial"/>
          <w:szCs w:val="22"/>
        </w:rPr>
        <w:tab/>
      </w:r>
    </w:p>
    <w:p w:rsidRPr="00854FC2" w:rsidR="00D85665" w:rsidRDefault="00D85665" w14:paraId="35167EA0" w14:textId="77777777">
      <w:pPr>
        <w:numPr>
          <w:ilvl w:val="12"/>
          <w:numId w:val="0"/>
        </w:numPr>
        <w:rPr>
          <w:rFonts w:cs="Arial"/>
          <w:szCs w:val="22"/>
        </w:rPr>
      </w:pPr>
      <w:r w:rsidRPr="00854FC2">
        <w:rPr>
          <w:rFonts w:cs="Arial"/>
          <w:szCs w:val="22"/>
        </w:rPr>
        <w:tab/>
      </w:r>
    </w:p>
    <w:p w:rsidR="00FF1FE4" w:rsidP="00E827A7" w:rsidRDefault="00D85665" w14:paraId="3B047F84" w14:textId="77777777">
      <w:pPr>
        <w:pStyle w:val="Heading2"/>
      </w:pPr>
      <w:r w:rsidRPr="00854FC2">
        <w:tab/>
        <w:t>3(b)</w:t>
      </w:r>
      <w:r w:rsidR="000F5676">
        <w:t xml:space="preserve"> </w:t>
      </w:r>
      <w:r w:rsidRPr="00854FC2">
        <w:t xml:space="preserve">Public Notice Required Prior to ICR Submission to </w:t>
      </w:r>
      <w:r w:rsidR="000B0BA2">
        <w:t>the Office of Management and Budget (OMB)</w:t>
      </w:r>
    </w:p>
    <w:p w:rsidRPr="00854FC2" w:rsidR="00194D0C" w:rsidP="00CF7CCD" w:rsidRDefault="00BB324D" w14:paraId="459E2221" w14:textId="36226B05">
      <w:pPr>
        <w:spacing w:before="100" w:beforeAutospacing="1" w:after="100" w:afterAutospacing="1" w:line="240" w:lineRule="auto"/>
        <w:rPr>
          <w:rFonts w:cs="Arial"/>
          <w:szCs w:val="22"/>
        </w:rPr>
      </w:pPr>
      <w:r w:rsidRPr="00E06439">
        <w:rPr>
          <w:rFonts w:cs="Arial"/>
          <w:bCs/>
          <w:szCs w:val="22"/>
        </w:rPr>
        <w:tab/>
        <w:t xml:space="preserve">In compliance with the Paperwork Reduction Act (44 U.S.C. 3501 et seq.), the Agency </w:t>
      </w:r>
      <w:r w:rsidRPr="00E06439" w:rsidR="00A32108">
        <w:rPr>
          <w:rFonts w:cs="Arial"/>
          <w:bCs/>
          <w:szCs w:val="22"/>
        </w:rPr>
        <w:t xml:space="preserve">has </w:t>
      </w:r>
      <w:r w:rsidRPr="00E06439">
        <w:rPr>
          <w:rFonts w:cs="Arial"/>
          <w:bCs/>
          <w:szCs w:val="22"/>
        </w:rPr>
        <w:t xml:space="preserve">notified the public of the renewal of this ICR through </w:t>
      </w:r>
      <w:r w:rsidRPr="00E06439" w:rsidR="008A397F">
        <w:rPr>
          <w:rFonts w:cs="Arial"/>
          <w:bCs/>
          <w:szCs w:val="22"/>
        </w:rPr>
        <w:t>publication of a notice</w:t>
      </w:r>
      <w:r w:rsidR="00D905C0">
        <w:rPr>
          <w:rFonts w:cs="Arial"/>
          <w:bCs/>
          <w:szCs w:val="22"/>
        </w:rPr>
        <w:t xml:space="preserve"> on Sept. 11, 2019</w:t>
      </w:r>
      <w:r w:rsidRPr="00E06439" w:rsidR="008A397F">
        <w:rPr>
          <w:rFonts w:cs="Arial"/>
          <w:bCs/>
          <w:szCs w:val="22"/>
        </w:rPr>
        <w:t xml:space="preserve"> in</w:t>
      </w:r>
      <w:r w:rsidRPr="00E06439">
        <w:rPr>
          <w:rFonts w:cs="Arial"/>
          <w:bCs/>
          <w:szCs w:val="22"/>
        </w:rPr>
        <w:t xml:space="preserve"> the Federal Register</w:t>
      </w:r>
      <w:r w:rsidRPr="00E06439" w:rsidR="008A397F">
        <w:rPr>
          <w:rFonts w:cs="Arial"/>
          <w:bCs/>
          <w:szCs w:val="22"/>
        </w:rPr>
        <w:t xml:space="preserve"> (FR)</w:t>
      </w:r>
      <w:r w:rsidR="001A57CA">
        <w:rPr>
          <w:rFonts w:cs="Arial"/>
          <w:bCs/>
          <w:szCs w:val="22"/>
        </w:rPr>
        <w:t xml:space="preserve"> (84 FR 47948)</w:t>
      </w:r>
      <w:r w:rsidRPr="00E06439">
        <w:rPr>
          <w:rFonts w:cs="Arial"/>
          <w:bCs/>
          <w:szCs w:val="22"/>
        </w:rPr>
        <w:t>.</w:t>
      </w:r>
      <w:r w:rsidRPr="00E06439" w:rsidR="00692A0D">
        <w:rPr>
          <w:rFonts w:cs="Arial"/>
          <w:bCs/>
          <w:szCs w:val="22"/>
        </w:rPr>
        <w:t xml:space="preserve"> </w:t>
      </w:r>
      <w:r w:rsidRPr="00E06439" w:rsidR="00A32108">
        <w:rPr>
          <w:rFonts w:cs="Arial"/>
          <w:bCs/>
          <w:szCs w:val="22"/>
        </w:rPr>
        <w:t xml:space="preserve">The Agency </w:t>
      </w:r>
      <w:r w:rsidRPr="00E06439" w:rsidR="00461D1F">
        <w:rPr>
          <w:rFonts w:cs="Arial"/>
          <w:bCs/>
          <w:szCs w:val="22"/>
        </w:rPr>
        <w:t>received two</w:t>
      </w:r>
      <w:r w:rsidRPr="00E06439" w:rsidR="00A32108">
        <w:rPr>
          <w:rFonts w:cs="Arial"/>
          <w:bCs/>
          <w:szCs w:val="22"/>
        </w:rPr>
        <w:t xml:space="preserve"> comments </w:t>
      </w:r>
      <w:r w:rsidRPr="00E06439" w:rsidR="00461D1F">
        <w:rPr>
          <w:rFonts w:cs="Arial"/>
          <w:bCs/>
          <w:szCs w:val="22"/>
        </w:rPr>
        <w:t xml:space="preserve">on the ICR </w:t>
      </w:r>
      <w:r w:rsidRPr="00E06439" w:rsidR="00A32108">
        <w:rPr>
          <w:rFonts w:cs="Arial"/>
          <w:bCs/>
          <w:szCs w:val="22"/>
        </w:rPr>
        <w:t>during the 60-day comment period</w:t>
      </w:r>
      <w:r w:rsidRPr="00E06439" w:rsidR="00461D1F">
        <w:rPr>
          <w:rFonts w:cs="Arial"/>
          <w:bCs/>
          <w:szCs w:val="22"/>
        </w:rPr>
        <w:t xml:space="preserve">. Neither </w:t>
      </w:r>
      <w:r w:rsidRPr="00E06439" w:rsidR="00A4176E">
        <w:rPr>
          <w:rFonts w:cs="Arial"/>
          <w:bCs/>
          <w:szCs w:val="22"/>
        </w:rPr>
        <w:t>comment directly addressed this ICR.</w:t>
      </w:r>
      <w:r w:rsidR="009C1EDC">
        <w:rPr>
          <w:rFonts w:cs="Arial"/>
          <w:szCs w:val="22"/>
        </w:rPr>
        <w:t xml:space="preserve"> </w:t>
      </w:r>
    </w:p>
    <w:p w:rsidR="00D85665" w:rsidP="00E827A7" w:rsidRDefault="00D85665" w14:paraId="5E903676" w14:textId="2773FCC1">
      <w:pPr>
        <w:pStyle w:val="Heading2"/>
      </w:pPr>
      <w:r w:rsidRPr="00854FC2">
        <w:tab/>
      </w:r>
      <w:r w:rsidRPr="000C6784">
        <w:t>3(c)</w:t>
      </w:r>
      <w:r w:rsidRPr="000C6784" w:rsidR="000F5676">
        <w:t xml:space="preserve"> </w:t>
      </w:r>
      <w:r w:rsidRPr="000C6784">
        <w:t>Consultations</w:t>
      </w:r>
      <w:r w:rsidRPr="000C6784" w:rsidR="004927D8">
        <w:t xml:space="preserve"> </w:t>
      </w:r>
    </w:p>
    <w:p w:rsidRPr="00854FC2" w:rsidR="00D85665" w:rsidRDefault="00D85665" w14:paraId="5D862AFA" w14:textId="77777777">
      <w:pPr>
        <w:keepNext/>
        <w:numPr>
          <w:ilvl w:val="12"/>
          <w:numId w:val="0"/>
        </w:numPr>
        <w:rPr>
          <w:rFonts w:cs="Arial"/>
          <w:szCs w:val="22"/>
        </w:rPr>
      </w:pPr>
    </w:p>
    <w:p w:rsidR="00D85665" w:rsidP="00985FC9" w:rsidRDefault="00D85665" w14:paraId="7F2B980D" w14:textId="7F8144E0">
      <w:pPr>
        <w:ind w:firstLine="720"/>
        <w:rPr>
          <w:rFonts w:cs="Arial"/>
          <w:szCs w:val="22"/>
        </w:rPr>
      </w:pPr>
      <w:r w:rsidRPr="00342AFE">
        <w:rPr>
          <w:rFonts w:cs="Courier New"/>
          <w:lang w:val="en-CA"/>
        </w:rPr>
        <w:fldChar w:fldCharType="begin"/>
      </w:r>
      <w:r w:rsidRPr="00342AFE">
        <w:rPr>
          <w:rFonts w:cs="Courier New"/>
          <w:lang w:val="en-CA"/>
        </w:rPr>
        <w:instrText xml:space="preserve"> SEQ CHAPTER \h \r 1</w:instrText>
      </w:r>
      <w:r w:rsidRPr="00342AFE">
        <w:rPr>
          <w:rFonts w:cs="Courier New"/>
          <w:lang w:val="en-CA"/>
        </w:rPr>
        <w:fldChar w:fldCharType="end"/>
      </w:r>
      <w:r w:rsidRPr="00342AFE" w:rsidR="00C868A9">
        <w:rPr>
          <w:rFonts w:cs="Arial"/>
          <w:szCs w:val="22"/>
        </w:rPr>
        <w:t xml:space="preserve">For this </w:t>
      </w:r>
      <w:r w:rsidR="00C20E54">
        <w:rPr>
          <w:rFonts w:cs="Arial"/>
          <w:szCs w:val="22"/>
        </w:rPr>
        <w:t xml:space="preserve">ICR </w:t>
      </w:r>
      <w:r w:rsidRPr="00342AFE" w:rsidR="00C868A9">
        <w:rPr>
          <w:rFonts w:cs="Arial"/>
          <w:szCs w:val="22"/>
        </w:rPr>
        <w:t xml:space="preserve">renewal, </w:t>
      </w:r>
      <w:r w:rsidR="005002C7">
        <w:rPr>
          <w:rFonts w:cs="Arial"/>
          <w:szCs w:val="22"/>
        </w:rPr>
        <w:t>EPA consulted with personnel at the</w:t>
      </w:r>
      <w:r w:rsidR="00C20E54">
        <w:rPr>
          <w:rFonts w:cs="Arial"/>
          <w:szCs w:val="22"/>
        </w:rPr>
        <w:t xml:space="preserve"> following</w:t>
      </w:r>
      <w:r w:rsidR="005002C7">
        <w:rPr>
          <w:rFonts w:cs="Arial"/>
          <w:szCs w:val="22"/>
        </w:rPr>
        <w:t xml:space="preserve"> companies</w:t>
      </w:r>
      <w:r w:rsidRPr="00342AFE" w:rsidR="00C868A9">
        <w:rPr>
          <w:rFonts w:cs="Arial"/>
          <w:szCs w:val="22"/>
        </w:rPr>
        <w:t>:</w:t>
      </w:r>
    </w:p>
    <w:p w:rsidR="002D73C3" w:rsidP="000B578F" w:rsidRDefault="002D73C3" w14:paraId="505C09A3" w14:textId="2ABC38D5">
      <w:pPr>
        <w:rPr>
          <w:rFonts w:cs="Arial"/>
          <w:szCs w:val="22"/>
        </w:rPr>
      </w:pPr>
    </w:p>
    <w:p w:rsidR="00017FD6" w:rsidP="00DB4491" w:rsidRDefault="00E02DD9" w14:paraId="11F36A20" w14:textId="02EB2810">
      <w:pPr>
        <w:pStyle w:val="ListParagraph"/>
        <w:numPr>
          <w:ilvl w:val="0"/>
          <w:numId w:val="32"/>
        </w:numPr>
      </w:pPr>
      <w:proofErr w:type="spellStart"/>
      <w:r>
        <w:t>Keitu</w:t>
      </w:r>
      <w:proofErr w:type="spellEnd"/>
      <w:r>
        <w:t xml:space="preserve"> Engineers and</w:t>
      </w:r>
      <w:r w:rsidR="009F2A96">
        <w:t xml:space="preserve"> Consultants, Inc.</w:t>
      </w:r>
      <w:r w:rsidR="005002C7">
        <w:t xml:space="preserve">, </w:t>
      </w:r>
      <w:r w:rsidR="00DA025F">
        <w:t>Mandan, ND</w:t>
      </w:r>
      <w:r w:rsidR="005002C7">
        <w:t>;</w:t>
      </w:r>
      <w:r w:rsidRPr="005002C7" w:rsidR="005002C7">
        <w:t xml:space="preserve"> </w:t>
      </w:r>
      <w:r w:rsidR="005002C7">
        <w:t>Managing Director/Senior Project Engineer.</w:t>
      </w:r>
    </w:p>
    <w:p w:rsidRPr="009C1ED0" w:rsidR="009C1ED0" w:rsidP="00DB4491" w:rsidRDefault="001B09C3" w14:paraId="5D4135B1" w14:textId="5B48CBD9">
      <w:pPr>
        <w:pStyle w:val="ListParagraph"/>
        <w:numPr>
          <w:ilvl w:val="0"/>
          <w:numId w:val="32"/>
        </w:numPr>
      </w:pPr>
      <w:r>
        <w:t>RSB Environmental</w:t>
      </w:r>
      <w:r w:rsidR="00CE6E9E">
        <w:t>; Houston, TX</w:t>
      </w:r>
      <w:r w:rsidR="005002C7">
        <w:t>; Project Manager.</w:t>
      </w:r>
    </w:p>
    <w:p w:rsidRPr="001B68A9" w:rsidR="001B68A9" w:rsidP="00DB4491" w:rsidRDefault="00154CE4" w14:paraId="435D91F8" w14:textId="5960355E">
      <w:pPr>
        <w:pStyle w:val="ListParagraph"/>
        <w:numPr>
          <w:ilvl w:val="0"/>
          <w:numId w:val="32"/>
        </w:numPr>
      </w:pPr>
      <w:proofErr w:type="spellStart"/>
      <w:r>
        <w:t>InterSpec</w:t>
      </w:r>
      <w:proofErr w:type="spellEnd"/>
      <w:r w:rsidR="00D25522">
        <w:t>; Virginia Beach, VA</w:t>
      </w:r>
      <w:r w:rsidR="005002C7">
        <w:t>; President and owner.</w:t>
      </w:r>
    </w:p>
    <w:p w:rsidR="008D63EC" w:rsidP="00DB4491" w:rsidRDefault="008613B8" w14:paraId="736CD31E" w14:textId="35B4D1DB">
      <w:pPr>
        <w:pStyle w:val="ListParagraph"/>
        <w:numPr>
          <w:ilvl w:val="0"/>
          <w:numId w:val="32"/>
        </w:numPr>
      </w:pPr>
      <w:r>
        <w:t xml:space="preserve"> ECCI</w:t>
      </w:r>
      <w:r w:rsidR="0055632F">
        <w:t xml:space="preserve">; </w:t>
      </w:r>
      <w:r w:rsidR="00852780">
        <w:t>Little Rock, AR</w:t>
      </w:r>
      <w:r w:rsidR="005002C7">
        <w:t>; Senior Environmental Scientist.</w:t>
      </w:r>
    </w:p>
    <w:p w:rsidRPr="00342AFE" w:rsidR="008D63EC" w:rsidP="000B578F" w:rsidRDefault="008D63EC" w14:paraId="788FA48C" w14:textId="77777777"/>
    <w:p w:rsidRPr="00FC0861" w:rsidR="00FC0861" w:rsidP="00FC0861" w:rsidRDefault="00016375" w14:paraId="46A47F0C" w14:textId="796F4BDF">
      <w:pPr>
        <w:ind w:firstLine="720"/>
        <w:rPr>
          <w:rFonts w:cs="Arial"/>
        </w:rPr>
      </w:pPr>
      <w:r w:rsidRPr="00560C0A">
        <w:rPr>
          <w:rFonts w:cs="Arial"/>
        </w:rPr>
        <w:t>The PE firms</w:t>
      </w:r>
      <w:r w:rsidRPr="00C021F8" w:rsidR="00FC6BB2">
        <w:rPr>
          <w:rFonts w:cs="Arial"/>
        </w:rPr>
        <w:t xml:space="preserve"> </w:t>
      </w:r>
      <w:r w:rsidRPr="00C021F8" w:rsidR="00BB04C0">
        <w:rPr>
          <w:rFonts w:cs="Arial"/>
        </w:rPr>
        <w:t xml:space="preserve">EPA </w:t>
      </w:r>
      <w:r w:rsidRPr="00C021F8" w:rsidR="00FC6BB2">
        <w:rPr>
          <w:rFonts w:cs="Arial"/>
        </w:rPr>
        <w:t>contacted</w:t>
      </w:r>
      <w:bookmarkStart w:name="_Hlk33516470" w:id="2"/>
      <w:r w:rsidRPr="00C021F8" w:rsidR="00FC6BB2">
        <w:rPr>
          <w:rFonts w:cs="Arial"/>
        </w:rPr>
        <w:t xml:space="preserve"> provide services to </w:t>
      </w:r>
      <w:r w:rsidRPr="00C021F8" w:rsidR="00BB04C0">
        <w:rPr>
          <w:rFonts w:cs="Arial"/>
        </w:rPr>
        <w:t xml:space="preserve">SPCC-regulated </w:t>
      </w:r>
      <w:r w:rsidRPr="00C021F8" w:rsidR="00E56C18">
        <w:rPr>
          <w:rFonts w:cs="Arial"/>
        </w:rPr>
        <w:t>facilities in a variety of industries</w:t>
      </w:r>
      <w:r w:rsidRPr="00C021F8" w:rsidR="00FC6BB2">
        <w:rPr>
          <w:rFonts w:cs="Arial"/>
        </w:rPr>
        <w:t>,</w:t>
      </w:r>
      <w:r w:rsidRPr="00C021F8" w:rsidR="00843800">
        <w:rPr>
          <w:rFonts w:cs="Arial"/>
        </w:rPr>
        <w:t xml:space="preserve"> including</w:t>
      </w:r>
      <w:r w:rsidRPr="00C021F8" w:rsidR="006152C9">
        <w:rPr>
          <w:rFonts w:cs="Arial"/>
        </w:rPr>
        <w:t xml:space="preserve"> oil production, </w:t>
      </w:r>
      <w:r w:rsidRPr="00C021F8" w:rsidR="00BB04C0">
        <w:rPr>
          <w:rFonts w:cs="Arial"/>
        </w:rPr>
        <w:t xml:space="preserve">oil storage and distribution, </w:t>
      </w:r>
      <w:r w:rsidRPr="00C021F8" w:rsidR="006152C9">
        <w:rPr>
          <w:rFonts w:cs="Arial"/>
        </w:rPr>
        <w:t xml:space="preserve">renewable energy, </w:t>
      </w:r>
      <w:r w:rsidRPr="00C021F8" w:rsidR="002B2375">
        <w:rPr>
          <w:rFonts w:cs="Arial"/>
        </w:rPr>
        <w:t xml:space="preserve">manufacturing, </w:t>
      </w:r>
      <w:r w:rsidRPr="00C021F8" w:rsidR="0009128D">
        <w:rPr>
          <w:rFonts w:cs="Arial"/>
        </w:rPr>
        <w:t xml:space="preserve">and </w:t>
      </w:r>
      <w:r w:rsidRPr="00C021F8" w:rsidR="00D76CD0">
        <w:rPr>
          <w:rFonts w:cs="Arial"/>
        </w:rPr>
        <w:t>farm</w:t>
      </w:r>
      <w:r w:rsidRPr="00C021F8" w:rsidR="00E405E3">
        <w:rPr>
          <w:rFonts w:cs="Arial"/>
        </w:rPr>
        <w:t>ing.</w:t>
      </w:r>
      <w:bookmarkStart w:name="_Hlk17720571" w:id="3"/>
      <w:bookmarkEnd w:id="2"/>
      <w:r w:rsidR="00402FA8">
        <w:rPr>
          <w:rFonts w:cs="Arial"/>
        </w:rPr>
        <w:t xml:space="preserve"> </w:t>
      </w:r>
      <w:r w:rsidR="00B4246A">
        <w:rPr>
          <w:rFonts w:cs="Arial"/>
          <w:szCs w:val="22"/>
        </w:rPr>
        <w:t>With a few exceptions for certain services and size categories for two of the firms</w:t>
      </w:r>
      <w:r w:rsidR="00402FA8">
        <w:rPr>
          <w:rFonts w:cs="Arial"/>
          <w:szCs w:val="22"/>
        </w:rPr>
        <w:t>, t</w:t>
      </w:r>
      <w:r w:rsidRPr="00935457" w:rsidR="001C13F5">
        <w:rPr>
          <w:rFonts w:cs="Arial"/>
        </w:rPr>
        <w:t>h</w:t>
      </w:r>
      <w:r w:rsidRPr="002E25AF" w:rsidR="00FF2B1F">
        <w:rPr>
          <w:rFonts w:cs="Arial"/>
        </w:rPr>
        <w:t xml:space="preserve">e </w:t>
      </w:r>
      <w:r w:rsidRPr="00560019" w:rsidR="006A3B9C">
        <w:rPr>
          <w:rFonts w:cs="Arial"/>
        </w:rPr>
        <w:t xml:space="preserve">hour </w:t>
      </w:r>
      <w:r w:rsidRPr="00824871" w:rsidR="000D5231">
        <w:rPr>
          <w:rFonts w:cs="Arial"/>
        </w:rPr>
        <w:t xml:space="preserve">burden </w:t>
      </w:r>
      <w:r w:rsidRPr="00824871" w:rsidR="006A3B9C">
        <w:rPr>
          <w:rFonts w:cs="Arial"/>
        </w:rPr>
        <w:t xml:space="preserve">estimates provided by the contacts </w:t>
      </w:r>
      <w:r w:rsidRPr="00824871" w:rsidR="00CE2E72">
        <w:rPr>
          <w:rFonts w:cs="Arial"/>
        </w:rPr>
        <w:t>are</w:t>
      </w:r>
      <w:r w:rsidRPr="00824871" w:rsidR="006A3B9C">
        <w:rPr>
          <w:rFonts w:cs="Arial"/>
        </w:rPr>
        <w:t xml:space="preserve"> within the range of</w:t>
      </w:r>
      <w:r w:rsidRPr="00560019" w:rsidR="005407CC">
        <w:rPr>
          <w:rFonts w:cs="Arial"/>
        </w:rPr>
        <w:t xml:space="preserve"> </w:t>
      </w:r>
      <w:r w:rsidRPr="0006429A" w:rsidR="003E33E0">
        <w:rPr>
          <w:rFonts w:cs="Arial"/>
        </w:rPr>
        <w:t>burden estimates</w:t>
      </w:r>
      <w:r w:rsidRPr="0006429A" w:rsidR="0024649D">
        <w:rPr>
          <w:rFonts w:cs="Arial"/>
        </w:rPr>
        <w:t xml:space="preserve"> developed by EPA</w:t>
      </w:r>
      <w:r w:rsidRPr="0067251F" w:rsidR="0050020F">
        <w:rPr>
          <w:rFonts w:cs="Arial"/>
        </w:rPr>
        <w:t xml:space="preserve">. </w:t>
      </w:r>
      <w:r w:rsidRPr="0067251F" w:rsidR="00610E1D">
        <w:rPr>
          <w:rFonts w:cs="Arial"/>
        </w:rPr>
        <w:t>T</w:t>
      </w:r>
      <w:r w:rsidRPr="0067251F" w:rsidR="00244C4E">
        <w:rPr>
          <w:rFonts w:cs="Arial"/>
        </w:rPr>
        <w:t xml:space="preserve">his suggests </w:t>
      </w:r>
      <w:r w:rsidRPr="008B5D27" w:rsidR="00734A1C">
        <w:rPr>
          <w:rFonts w:cs="Arial"/>
        </w:rPr>
        <w:t xml:space="preserve">that EPA’s </w:t>
      </w:r>
      <w:r w:rsidRPr="008C7BB9" w:rsidR="00CA3756">
        <w:rPr>
          <w:rFonts w:cs="Arial"/>
        </w:rPr>
        <w:t xml:space="preserve">hour </w:t>
      </w:r>
      <w:r w:rsidRPr="008C7BB9" w:rsidR="00734A1C">
        <w:rPr>
          <w:rFonts w:cs="Arial"/>
        </w:rPr>
        <w:t xml:space="preserve">burden estimates </w:t>
      </w:r>
      <w:r w:rsidRPr="00B413CD" w:rsidR="00406127">
        <w:rPr>
          <w:rFonts w:cs="Arial"/>
        </w:rPr>
        <w:t>are</w:t>
      </w:r>
      <w:r w:rsidRPr="002561CC" w:rsidR="00734A1C">
        <w:rPr>
          <w:rFonts w:cs="Arial"/>
        </w:rPr>
        <w:t xml:space="preserve"> reasonable</w:t>
      </w:r>
      <w:r w:rsidRPr="000B24D5" w:rsidR="00244C4E">
        <w:rPr>
          <w:rFonts w:cs="Arial"/>
        </w:rPr>
        <w:t>.</w:t>
      </w:r>
      <w:r w:rsidRPr="002A68F3" w:rsidDel="00244C4E" w:rsidR="00244C4E">
        <w:rPr>
          <w:rFonts w:cs="Arial"/>
        </w:rPr>
        <w:t xml:space="preserve"> </w:t>
      </w:r>
      <w:r w:rsidR="00897DE9">
        <w:rPr>
          <w:rFonts w:cs="Arial"/>
          <w:szCs w:val="22"/>
        </w:rPr>
        <w:t xml:space="preserve">See </w:t>
      </w:r>
      <w:r w:rsidRPr="00402FA8" w:rsidR="00897DE9">
        <w:rPr>
          <w:rFonts w:cs="Arial"/>
          <w:szCs w:val="22"/>
        </w:rPr>
        <w:t>Appendix A for the script that was used for the consultation calls.</w:t>
      </w:r>
      <w:r w:rsidR="00897DE9">
        <w:rPr>
          <w:rFonts w:cs="Arial"/>
          <w:szCs w:val="22"/>
        </w:rPr>
        <w:t xml:space="preserve"> Notes on responses by the PE firms can be found in</w:t>
      </w:r>
      <w:r w:rsidR="00E65B76">
        <w:rPr>
          <w:rFonts w:cs="Arial"/>
          <w:szCs w:val="22"/>
        </w:rPr>
        <w:t xml:space="preserve"> </w:t>
      </w:r>
      <w:r w:rsidR="006772A0">
        <w:rPr>
          <w:rFonts w:cs="Arial"/>
          <w:szCs w:val="22"/>
        </w:rPr>
        <w:t xml:space="preserve">Part A of </w:t>
      </w:r>
      <w:r w:rsidR="00E65B76">
        <w:rPr>
          <w:rFonts w:cs="Arial"/>
          <w:szCs w:val="22"/>
        </w:rPr>
        <w:t>the Attachment to this document</w:t>
      </w:r>
      <w:r w:rsidR="006B072C">
        <w:rPr>
          <w:rFonts w:cs="Arial"/>
          <w:szCs w:val="22"/>
        </w:rPr>
        <w:t>.</w:t>
      </w:r>
      <w:r w:rsidR="006B072C">
        <w:rPr>
          <w:rFonts w:cs="Arial"/>
        </w:rPr>
        <w:t xml:space="preserve"> </w:t>
      </w:r>
    </w:p>
    <w:p w:rsidR="00E65B76" w:rsidP="009B029E" w:rsidRDefault="00E65B76" w14:paraId="668CFFBB" w14:textId="77777777">
      <w:pPr>
        <w:ind w:firstLine="720"/>
        <w:rPr>
          <w:rFonts w:cs="Arial"/>
        </w:rPr>
      </w:pPr>
    </w:p>
    <w:p w:rsidR="00D53DAE" w:rsidP="00824A63" w:rsidRDefault="009B029E" w14:paraId="50F47A0D" w14:textId="336348A1">
      <w:pPr>
        <w:ind w:firstLine="720"/>
        <w:rPr>
          <w:rFonts w:cs="Arial"/>
          <w:szCs w:val="22"/>
        </w:rPr>
      </w:pPr>
      <w:r w:rsidRPr="002A68F3">
        <w:rPr>
          <w:rFonts w:cs="Arial"/>
        </w:rPr>
        <w:t xml:space="preserve">In addition, EPA </w:t>
      </w:r>
      <w:r w:rsidR="00243B5A">
        <w:rPr>
          <w:rFonts w:cs="Arial"/>
        </w:rPr>
        <w:t xml:space="preserve">identified and </w:t>
      </w:r>
      <w:r w:rsidRPr="002A68F3">
        <w:rPr>
          <w:rFonts w:cs="Arial"/>
        </w:rPr>
        <w:t xml:space="preserve">contacted </w:t>
      </w:r>
      <w:r w:rsidR="00F91A46">
        <w:rPr>
          <w:rFonts w:cs="Arial"/>
        </w:rPr>
        <w:t>six</w:t>
      </w:r>
      <w:r w:rsidRPr="002A68F3">
        <w:rPr>
          <w:rFonts w:cs="Arial"/>
        </w:rPr>
        <w:t xml:space="preserve"> other firms in </w:t>
      </w:r>
      <w:r w:rsidRPr="00A948F9" w:rsidR="2D104769">
        <w:rPr>
          <w:rFonts w:cs="Arial"/>
        </w:rPr>
        <w:t xml:space="preserve">order </w:t>
      </w:r>
      <w:r w:rsidRPr="00EA39B2">
        <w:rPr>
          <w:rFonts w:cs="Arial"/>
        </w:rPr>
        <w:t>to conduct consultations</w:t>
      </w:r>
      <w:r w:rsidR="006B072C">
        <w:rPr>
          <w:rFonts w:cs="Arial"/>
        </w:rPr>
        <w:t xml:space="preserve"> </w:t>
      </w:r>
      <w:r w:rsidRPr="00176D24">
        <w:rPr>
          <w:rFonts w:cs="Arial"/>
        </w:rPr>
        <w:t>but</w:t>
      </w:r>
      <w:r w:rsidRPr="00C53F96">
        <w:rPr>
          <w:rFonts w:cs="Arial"/>
        </w:rPr>
        <w:t xml:space="preserve"> was unsuccessful in completing </w:t>
      </w:r>
      <w:r w:rsidRPr="009D088C">
        <w:rPr>
          <w:rFonts w:cs="Arial"/>
        </w:rPr>
        <w:t>the</w:t>
      </w:r>
      <w:r w:rsidRPr="000C1646" w:rsidR="67AC2A4F">
        <w:rPr>
          <w:rFonts w:cs="Arial"/>
        </w:rPr>
        <w:t>se</w:t>
      </w:r>
      <w:r w:rsidRPr="00BC6FD6">
        <w:rPr>
          <w:rFonts w:cs="Arial"/>
        </w:rPr>
        <w:t xml:space="preserve"> consultation</w:t>
      </w:r>
      <w:r w:rsidRPr="001F5164" w:rsidR="67AC2A4F">
        <w:rPr>
          <w:rFonts w:cs="Arial"/>
        </w:rPr>
        <w:t>s</w:t>
      </w:r>
      <w:r w:rsidRPr="001F5164">
        <w:rPr>
          <w:rFonts w:cs="Arial"/>
        </w:rPr>
        <w:t xml:space="preserve">. </w:t>
      </w:r>
      <w:r w:rsidR="00D53DAE">
        <w:rPr>
          <w:rFonts w:cs="Arial"/>
          <w:szCs w:val="22"/>
        </w:rPr>
        <w:t xml:space="preserve">Two PE firms responded to initial email requests but did not participate in phone consultations. They were also </w:t>
      </w:r>
      <w:r w:rsidR="00243B5A">
        <w:rPr>
          <w:rFonts w:cs="Arial"/>
          <w:szCs w:val="22"/>
        </w:rPr>
        <w:t xml:space="preserve">sent </w:t>
      </w:r>
      <w:r w:rsidR="00D53DAE">
        <w:rPr>
          <w:rFonts w:cs="Arial"/>
          <w:szCs w:val="22"/>
        </w:rPr>
        <w:t xml:space="preserve">questionnaires </w:t>
      </w:r>
      <w:r w:rsidR="00243B5A">
        <w:rPr>
          <w:rFonts w:cs="Arial"/>
          <w:szCs w:val="22"/>
        </w:rPr>
        <w:t xml:space="preserve">via email </w:t>
      </w:r>
      <w:r w:rsidR="00D53DAE">
        <w:rPr>
          <w:rFonts w:cs="Arial"/>
          <w:szCs w:val="22"/>
        </w:rPr>
        <w:t xml:space="preserve">and given the option to respond by email. One of these firms </w:t>
      </w:r>
      <w:r w:rsidR="00243B5A">
        <w:rPr>
          <w:rFonts w:cs="Arial"/>
          <w:szCs w:val="22"/>
        </w:rPr>
        <w:t>is</w:t>
      </w:r>
      <w:r w:rsidR="00D53DAE">
        <w:rPr>
          <w:rFonts w:cs="Arial"/>
          <w:szCs w:val="22"/>
        </w:rPr>
        <w:t xml:space="preserve"> a small firm in Ohio. The other firm </w:t>
      </w:r>
      <w:r w:rsidR="00243B5A">
        <w:rPr>
          <w:rFonts w:cs="Arial"/>
          <w:szCs w:val="22"/>
        </w:rPr>
        <w:t>is</w:t>
      </w:r>
      <w:r w:rsidR="00D53DAE">
        <w:rPr>
          <w:rFonts w:cs="Arial"/>
          <w:szCs w:val="22"/>
        </w:rPr>
        <w:t xml:space="preserve"> a mid-size firm with nationwide offices. Two large firms based in Texas and Louisiana were contacted twice, one via email and the other via website form, but</w:t>
      </w:r>
      <w:r w:rsidR="00243B5A">
        <w:rPr>
          <w:rFonts w:cs="Arial"/>
          <w:szCs w:val="22"/>
        </w:rPr>
        <w:t xml:space="preserve"> neither responded.</w:t>
      </w:r>
      <w:r w:rsidR="00D53DAE">
        <w:rPr>
          <w:rFonts w:cs="Arial"/>
          <w:szCs w:val="22"/>
        </w:rPr>
        <w:t xml:space="preserve"> Two smaller firms were also contacted twice by email but never responded - one based in Pennsylvania, and the other based in multiple states. Transcripts and details of contact with each firm are provided in </w:t>
      </w:r>
      <w:r w:rsidR="006772A0">
        <w:rPr>
          <w:rFonts w:cs="Arial"/>
          <w:szCs w:val="22"/>
        </w:rPr>
        <w:t>Part</w:t>
      </w:r>
      <w:r w:rsidR="00B37CD3">
        <w:rPr>
          <w:rFonts w:cs="Arial"/>
          <w:szCs w:val="22"/>
        </w:rPr>
        <w:t>s B and</w:t>
      </w:r>
      <w:r w:rsidR="006772A0">
        <w:rPr>
          <w:rFonts w:cs="Arial"/>
          <w:szCs w:val="22"/>
        </w:rPr>
        <w:t xml:space="preserve"> C of the Attachment to this document</w:t>
      </w:r>
      <w:r w:rsidR="00D53DAE">
        <w:rPr>
          <w:rFonts w:cs="Arial"/>
          <w:szCs w:val="22"/>
        </w:rPr>
        <w:t>.</w:t>
      </w:r>
    </w:p>
    <w:p w:rsidRPr="00342AFE" w:rsidR="00C868A9" w:rsidP="009B029E" w:rsidRDefault="00D53DAE" w14:paraId="2250F48E" w14:textId="5A3B1C4D">
      <w:pPr>
        <w:ind w:firstLine="720"/>
      </w:pPr>
      <w:r w:rsidDel="00D53DAE">
        <w:rPr>
          <w:rStyle w:val="CommentReference"/>
        </w:rPr>
        <w:t xml:space="preserve"> </w:t>
      </w:r>
      <w:r w:rsidRPr="00824871" w:rsidR="00943C3C">
        <w:rPr>
          <w:rFonts w:cs="Arial"/>
        </w:rPr>
        <w:t xml:space="preserve"> </w:t>
      </w:r>
    </w:p>
    <w:bookmarkEnd w:id="3"/>
    <w:p w:rsidRPr="00854FC2" w:rsidR="00D85665" w:rsidP="009B029E" w:rsidRDefault="00D85665" w14:paraId="173640D8" w14:textId="77777777">
      <w:pPr>
        <w:pStyle w:val="Heading2"/>
      </w:pPr>
      <w:r w:rsidRPr="00854FC2">
        <w:tab/>
        <w:t>3(d)</w:t>
      </w:r>
      <w:r w:rsidR="000F5676">
        <w:t xml:space="preserve"> </w:t>
      </w:r>
      <w:r w:rsidRPr="00854FC2">
        <w:t>Effects of Less Frequent Collection</w:t>
      </w:r>
    </w:p>
    <w:p w:rsidRPr="00854FC2" w:rsidR="00D85665" w:rsidP="009B029E" w:rsidRDefault="00D85665" w14:paraId="17626F3F" w14:textId="77777777">
      <w:pPr>
        <w:keepNext/>
        <w:numPr>
          <w:ilvl w:val="12"/>
          <w:numId w:val="0"/>
        </w:numPr>
        <w:rPr>
          <w:rFonts w:cs="Arial"/>
          <w:szCs w:val="22"/>
        </w:rPr>
      </w:pPr>
    </w:p>
    <w:p w:rsidRPr="00854FC2" w:rsidR="00D85665" w:rsidP="009B029E" w:rsidRDefault="00D85665" w14:paraId="36527005" w14:textId="2F875C99">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The SPCC </w:t>
      </w:r>
      <w:r w:rsidR="00A84E88">
        <w:rPr>
          <w:rFonts w:cs="Arial"/>
          <w:szCs w:val="22"/>
        </w:rPr>
        <w:t>r</w:t>
      </w:r>
      <w:r w:rsidRPr="00854FC2">
        <w:rPr>
          <w:rFonts w:cs="Arial"/>
          <w:szCs w:val="22"/>
        </w:rPr>
        <w:t>ule requires the development and maintenance of SPCC Plans</w:t>
      </w:r>
      <w:r w:rsidR="00A405BD">
        <w:rPr>
          <w:rFonts w:cs="Arial"/>
          <w:szCs w:val="22"/>
        </w:rPr>
        <w:t xml:space="preserve"> and in certain cases PE certification of these Plans.</w:t>
      </w:r>
      <w:r w:rsidRPr="00854FC2">
        <w:rPr>
          <w:rFonts w:cs="Arial"/>
          <w:szCs w:val="22"/>
        </w:rPr>
        <w:t xml:space="preserve"> </w:t>
      </w:r>
      <w:r w:rsidR="00884B16">
        <w:rPr>
          <w:rFonts w:cs="Arial"/>
          <w:szCs w:val="22"/>
        </w:rPr>
        <w:t>EPA</w:t>
      </w:r>
      <w:r w:rsidRPr="00854FC2">
        <w:rPr>
          <w:rFonts w:cs="Arial"/>
          <w:szCs w:val="22"/>
        </w:rPr>
        <w:t xml:space="preserve"> does not require the owner </w:t>
      </w:r>
      <w:r w:rsidR="000128F0">
        <w:rPr>
          <w:rFonts w:cs="Arial"/>
          <w:szCs w:val="22"/>
        </w:rPr>
        <w:t xml:space="preserve">or </w:t>
      </w:r>
      <w:r w:rsidRPr="00854FC2">
        <w:rPr>
          <w:rFonts w:cs="Arial"/>
          <w:szCs w:val="22"/>
        </w:rPr>
        <w:t xml:space="preserve">operator of </w:t>
      </w:r>
      <w:r w:rsidR="000128F0">
        <w:rPr>
          <w:rFonts w:cs="Arial"/>
          <w:szCs w:val="22"/>
        </w:rPr>
        <w:t xml:space="preserve">a regulated </w:t>
      </w:r>
      <w:r w:rsidRPr="00854FC2" w:rsidR="000128F0">
        <w:rPr>
          <w:rFonts w:cs="Arial"/>
          <w:szCs w:val="22"/>
        </w:rPr>
        <w:t>facilit</w:t>
      </w:r>
      <w:r w:rsidR="000128F0">
        <w:rPr>
          <w:rFonts w:cs="Arial"/>
          <w:szCs w:val="22"/>
        </w:rPr>
        <w:t>y</w:t>
      </w:r>
      <w:r w:rsidRPr="00854FC2" w:rsidR="000128F0">
        <w:rPr>
          <w:rFonts w:cs="Arial"/>
          <w:szCs w:val="22"/>
        </w:rPr>
        <w:t xml:space="preserve"> </w:t>
      </w:r>
      <w:r w:rsidRPr="00854FC2">
        <w:rPr>
          <w:rFonts w:cs="Arial"/>
          <w:szCs w:val="22"/>
        </w:rPr>
        <w:t xml:space="preserve">to submit </w:t>
      </w:r>
      <w:r w:rsidR="000128F0">
        <w:rPr>
          <w:rFonts w:cs="Arial"/>
          <w:szCs w:val="22"/>
        </w:rPr>
        <w:t xml:space="preserve">his or her </w:t>
      </w:r>
      <w:r w:rsidRPr="00854FC2">
        <w:rPr>
          <w:rFonts w:cs="Arial"/>
          <w:szCs w:val="22"/>
        </w:rPr>
        <w:t>Plan to EPA</w:t>
      </w:r>
      <w:r w:rsidR="0008010C">
        <w:rPr>
          <w:rFonts w:cs="Arial"/>
          <w:szCs w:val="22"/>
        </w:rPr>
        <w:t xml:space="preserve"> nor is approval of the Plan required by EPA</w:t>
      </w:r>
      <w:r w:rsidR="009C3332">
        <w:rPr>
          <w:rFonts w:cs="Arial"/>
          <w:szCs w:val="22"/>
        </w:rPr>
        <w:t>.</w:t>
      </w:r>
      <w:r w:rsidRPr="00854FC2">
        <w:rPr>
          <w:rFonts w:cs="Arial"/>
          <w:szCs w:val="22"/>
        </w:rPr>
        <w:t xml:space="preserve"> </w:t>
      </w:r>
      <w:r w:rsidR="009C3332">
        <w:rPr>
          <w:rFonts w:cs="Arial"/>
          <w:szCs w:val="22"/>
        </w:rPr>
        <w:t>T</w:t>
      </w:r>
      <w:r w:rsidRPr="00854FC2">
        <w:rPr>
          <w:rFonts w:cs="Arial"/>
          <w:szCs w:val="22"/>
        </w:rPr>
        <w:t xml:space="preserve">he Plan must be available to the </w:t>
      </w:r>
      <w:r w:rsidR="008E2D11">
        <w:rPr>
          <w:rFonts w:cs="Arial"/>
          <w:szCs w:val="22"/>
        </w:rPr>
        <w:t>Regional Administrator (</w:t>
      </w:r>
      <w:r w:rsidRPr="00854FC2">
        <w:rPr>
          <w:rFonts w:cs="Arial"/>
          <w:szCs w:val="22"/>
        </w:rPr>
        <w:t>RA</w:t>
      </w:r>
      <w:r w:rsidR="008E2D11">
        <w:rPr>
          <w:rFonts w:cs="Arial"/>
          <w:szCs w:val="22"/>
        </w:rPr>
        <w:t>)</w:t>
      </w:r>
      <w:r w:rsidRPr="00854FC2">
        <w:rPr>
          <w:rFonts w:cs="Arial"/>
          <w:szCs w:val="22"/>
        </w:rPr>
        <w:t xml:space="preserve"> or </w:t>
      </w:r>
      <w:r w:rsidR="008E2D11">
        <w:rPr>
          <w:rFonts w:cs="Arial"/>
          <w:szCs w:val="22"/>
        </w:rPr>
        <w:t>a</w:t>
      </w:r>
      <w:r w:rsidR="0008010C">
        <w:rPr>
          <w:rFonts w:cs="Arial"/>
          <w:szCs w:val="22"/>
        </w:rPr>
        <w:t xml:space="preserve"> delegated EPA</w:t>
      </w:r>
      <w:r w:rsidR="007046D6">
        <w:rPr>
          <w:rFonts w:cs="Arial"/>
          <w:szCs w:val="22"/>
        </w:rPr>
        <w:t xml:space="preserve"> </w:t>
      </w:r>
      <w:r w:rsidRPr="00854FC2">
        <w:rPr>
          <w:rFonts w:cs="Arial"/>
          <w:szCs w:val="22"/>
        </w:rPr>
        <w:t>inspector for onsite review during normal business hours</w:t>
      </w:r>
      <w:r w:rsidR="003F6507">
        <w:rPr>
          <w:rFonts w:cs="Arial"/>
          <w:szCs w:val="22"/>
        </w:rPr>
        <w:t xml:space="preserve">. </w:t>
      </w:r>
      <w:r w:rsidR="0008010C">
        <w:rPr>
          <w:rFonts w:cs="Arial"/>
          <w:szCs w:val="22"/>
        </w:rPr>
        <w:t>Additionally, s</w:t>
      </w:r>
      <w:r w:rsidRPr="00854FC2">
        <w:rPr>
          <w:rFonts w:cs="Arial"/>
          <w:szCs w:val="22"/>
        </w:rPr>
        <w:t xml:space="preserve">ection 112.4(a) requires that owners and operators submit certain critical information </w:t>
      </w:r>
      <w:r w:rsidR="00153F8C">
        <w:rPr>
          <w:rFonts w:cs="Arial"/>
          <w:szCs w:val="22"/>
        </w:rPr>
        <w:t xml:space="preserve">to </w:t>
      </w:r>
      <w:r w:rsidR="00A405BD">
        <w:rPr>
          <w:rFonts w:cs="Arial"/>
          <w:szCs w:val="22"/>
        </w:rPr>
        <w:t xml:space="preserve">the respective </w:t>
      </w:r>
      <w:r w:rsidR="00153F8C">
        <w:rPr>
          <w:rFonts w:cs="Arial"/>
          <w:szCs w:val="22"/>
        </w:rPr>
        <w:t>EPA</w:t>
      </w:r>
      <w:r w:rsidR="00A405BD">
        <w:rPr>
          <w:rFonts w:cs="Arial"/>
          <w:szCs w:val="22"/>
        </w:rPr>
        <w:t xml:space="preserve"> regional administrator</w:t>
      </w:r>
      <w:r w:rsidR="00153F8C">
        <w:rPr>
          <w:rFonts w:cs="Arial"/>
          <w:szCs w:val="22"/>
        </w:rPr>
        <w:t xml:space="preserve"> </w:t>
      </w:r>
      <w:r w:rsidRPr="00854FC2">
        <w:rPr>
          <w:rFonts w:cs="Arial"/>
          <w:szCs w:val="22"/>
        </w:rPr>
        <w:t xml:space="preserve">regarding </w:t>
      </w:r>
      <w:r w:rsidR="003953E9">
        <w:rPr>
          <w:rFonts w:cs="Arial"/>
          <w:szCs w:val="22"/>
        </w:rPr>
        <w:t>facility oil storage, discharge cause,</w:t>
      </w:r>
      <w:r w:rsidRPr="00854FC2">
        <w:rPr>
          <w:rFonts w:cs="Arial"/>
          <w:szCs w:val="22"/>
        </w:rPr>
        <w:t xml:space="preserve"> and corrective actions</w:t>
      </w:r>
      <w:r w:rsidRPr="00297B76" w:rsidR="00297B76">
        <w:rPr>
          <w:rFonts w:cs="Arial"/>
          <w:szCs w:val="22"/>
        </w:rPr>
        <w:t xml:space="preserve"> </w:t>
      </w:r>
      <w:r w:rsidR="00297B76">
        <w:rPr>
          <w:rFonts w:cs="Arial"/>
          <w:szCs w:val="22"/>
        </w:rPr>
        <w:t>following a</w:t>
      </w:r>
      <w:r w:rsidR="0008010C">
        <w:rPr>
          <w:rFonts w:cs="Arial"/>
          <w:szCs w:val="22"/>
        </w:rPr>
        <w:t>n oil</w:t>
      </w:r>
      <w:r w:rsidR="00297B76">
        <w:rPr>
          <w:rFonts w:cs="Arial"/>
          <w:szCs w:val="22"/>
        </w:rPr>
        <w:t xml:space="preserve"> discharge </w:t>
      </w:r>
      <w:r w:rsidR="0008010C">
        <w:rPr>
          <w:rFonts w:cs="Arial"/>
          <w:szCs w:val="22"/>
        </w:rPr>
        <w:t>(causing harm)</w:t>
      </w:r>
      <w:r w:rsidRPr="0008010C" w:rsidR="0008010C">
        <w:rPr>
          <w:rStyle w:val="FootnoteReference"/>
          <w:rFonts w:cs="Arial"/>
          <w:szCs w:val="22"/>
        </w:rPr>
        <w:t xml:space="preserve"> </w:t>
      </w:r>
      <w:r w:rsidR="0008010C">
        <w:rPr>
          <w:rStyle w:val="FootnoteReference"/>
          <w:rFonts w:cs="Arial"/>
          <w:szCs w:val="22"/>
        </w:rPr>
        <w:footnoteReference w:id="6"/>
      </w:r>
      <w:r w:rsidR="00297B76">
        <w:rPr>
          <w:rFonts w:cs="Arial"/>
          <w:szCs w:val="22"/>
        </w:rPr>
        <w:t xml:space="preserve"> of more than</w:t>
      </w:r>
      <w:r w:rsidR="002E1EB8">
        <w:rPr>
          <w:rFonts w:cs="Arial"/>
          <w:szCs w:val="22"/>
        </w:rPr>
        <w:t xml:space="preserve"> </w:t>
      </w:r>
      <w:r w:rsidR="00297B76">
        <w:rPr>
          <w:rFonts w:cs="Arial"/>
          <w:szCs w:val="22"/>
        </w:rPr>
        <w:t xml:space="preserve">1,000 </w:t>
      </w:r>
      <w:r w:rsidR="0022621C">
        <w:rPr>
          <w:rFonts w:cs="Arial"/>
          <w:szCs w:val="22"/>
        </w:rPr>
        <w:t>U.S. gallons</w:t>
      </w:r>
      <w:r w:rsidR="00297B76">
        <w:rPr>
          <w:rFonts w:cs="Arial"/>
          <w:szCs w:val="22"/>
        </w:rPr>
        <w:t xml:space="preserve"> or </w:t>
      </w:r>
      <w:r w:rsidR="00A405BD">
        <w:rPr>
          <w:rFonts w:cs="Arial"/>
          <w:szCs w:val="22"/>
        </w:rPr>
        <w:t xml:space="preserve">two </w:t>
      </w:r>
      <w:r w:rsidR="0008010C">
        <w:rPr>
          <w:rFonts w:cs="Arial"/>
          <w:szCs w:val="22"/>
        </w:rPr>
        <w:t xml:space="preserve">oil </w:t>
      </w:r>
      <w:r w:rsidR="00297B76">
        <w:rPr>
          <w:rFonts w:cs="Arial"/>
          <w:szCs w:val="22"/>
        </w:rPr>
        <w:t>discharge</w:t>
      </w:r>
      <w:r w:rsidR="00A405BD">
        <w:rPr>
          <w:rFonts w:cs="Arial"/>
          <w:szCs w:val="22"/>
        </w:rPr>
        <w:t>s</w:t>
      </w:r>
      <w:r w:rsidR="00297B76">
        <w:rPr>
          <w:rFonts w:cs="Arial"/>
          <w:szCs w:val="22"/>
        </w:rPr>
        <w:t xml:space="preserve"> </w:t>
      </w:r>
      <w:r w:rsidR="0008010C">
        <w:rPr>
          <w:rFonts w:cs="Arial"/>
          <w:szCs w:val="22"/>
        </w:rPr>
        <w:t>(causing harm)</w:t>
      </w:r>
      <w:r w:rsidR="00297B76">
        <w:rPr>
          <w:rFonts w:cs="Arial"/>
          <w:szCs w:val="22"/>
        </w:rPr>
        <w:t xml:space="preserve"> of more than</w:t>
      </w:r>
      <w:r w:rsidR="002E1EB8">
        <w:rPr>
          <w:rFonts w:cs="Arial"/>
          <w:szCs w:val="22"/>
        </w:rPr>
        <w:t xml:space="preserve"> </w:t>
      </w:r>
      <w:r w:rsidR="00297B76">
        <w:rPr>
          <w:rFonts w:cs="Arial"/>
          <w:szCs w:val="22"/>
        </w:rPr>
        <w:t xml:space="preserve">42 </w:t>
      </w:r>
      <w:r w:rsidR="0022621C">
        <w:rPr>
          <w:rFonts w:cs="Arial"/>
          <w:szCs w:val="22"/>
        </w:rPr>
        <w:t>U.S. gallons</w:t>
      </w:r>
      <w:r w:rsidR="00297B76">
        <w:rPr>
          <w:rFonts w:cs="Arial"/>
          <w:szCs w:val="22"/>
        </w:rPr>
        <w:t xml:space="preserve"> in a </w:t>
      </w:r>
      <w:r w:rsidR="00D4747E">
        <w:rPr>
          <w:rFonts w:cs="Arial"/>
          <w:szCs w:val="22"/>
        </w:rPr>
        <w:t>12</w:t>
      </w:r>
      <w:r w:rsidR="00297B76">
        <w:rPr>
          <w:rFonts w:cs="Arial"/>
          <w:szCs w:val="22"/>
        </w:rPr>
        <w:t>-month period</w:t>
      </w:r>
      <w:r w:rsidRPr="00854FC2">
        <w:rPr>
          <w:rFonts w:cs="Arial"/>
          <w:szCs w:val="22"/>
        </w:rPr>
        <w:t xml:space="preserve">. </w:t>
      </w:r>
      <w:r w:rsidR="00884B16">
        <w:rPr>
          <w:rFonts w:cs="Arial"/>
          <w:szCs w:val="22"/>
        </w:rPr>
        <w:t>EPA</w:t>
      </w:r>
      <w:r w:rsidRPr="00854FC2" w:rsidR="00884B16">
        <w:rPr>
          <w:rFonts w:cs="Arial"/>
          <w:szCs w:val="22"/>
        </w:rPr>
        <w:t xml:space="preserve"> </w:t>
      </w:r>
      <w:r w:rsidRPr="00854FC2">
        <w:rPr>
          <w:rFonts w:cs="Arial"/>
          <w:szCs w:val="22"/>
        </w:rPr>
        <w:t xml:space="preserve">personnel </w:t>
      </w:r>
      <w:r w:rsidR="002D73C3">
        <w:rPr>
          <w:rFonts w:cs="Arial"/>
          <w:szCs w:val="22"/>
        </w:rPr>
        <w:t>conducting follow-up activities</w:t>
      </w:r>
      <w:r w:rsidR="00A405BD">
        <w:rPr>
          <w:rFonts w:cs="Arial"/>
          <w:szCs w:val="22"/>
        </w:rPr>
        <w:t>, associated with compliance monitoring</w:t>
      </w:r>
      <w:r w:rsidR="002D73C3">
        <w:rPr>
          <w:rFonts w:cs="Arial"/>
          <w:szCs w:val="22"/>
        </w:rPr>
        <w:t xml:space="preserve"> </w:t>
      </w:r>
      <w:r w:rsidRPr="00854FC2">
        <w:rPr>
          <w:rFonts w:cs="Arial"/>
          <w:szCs w:val="22"/>
        </w:rPr>
        <w:t xml:space="preserve">may request </w:t>
      </w:r>
      <w:r w:rsidR="00EA2D4C">
        <w:rPr>
          <w:rFonts w:cs="Arial"/>
          <w:szCs w:val="22"/>
        </w:rPr>
        <w:t xml:space="preserve">a copy of the </w:t>
      </w:r>
      <w:r w:rsidRPr="00854FC2">
        <w:rPr>
          <w:rFonts w:cs="Arial"/>
          <w:szCs w:val="22"/>
        </w:rPr>
        <w:t>Plan</w:t>
      </w:r>
      <w:r w:rsidR="007046D6">
        <w:rPr>
          <w:rFonts w:cs="Arial"/>
          <w:szCs w:val="22"/>
        </w:rPr>
        <w:t xml:space="preserve">, </w:t>
      </w:r>
      <w:r w:rsidRPr="00854FC2">
        <w:rPr>
          <w:rFonts w:cs="Arial"/>
          <w:szCs w:val="22"/>
        </w:rPr>
        <w:t>access a copy of the Plan by visiting the facility</w:t>
      </w:r>
      <w:r w:rsidR="003A64FB">
        <w:rPr>
          <w:rFonts w:cs="Arial"/>
          <w:szCs w:val="22"/>
        </w:rPr>
        <w:t xml:space="preserve"> or request the Plan by utilizing CWA section 308 authorities associated with compliance monitoring activities</w:t>
      </w:r>
      <w:r w:rsidRPr="00854FC2">
        <w:rPr>
          <w:rFonts w:cs="Arial"/>
          <w:szCs w:val="22"/>
        </w:rPr>
        <w:t xml:space="preserve">. Because </w:t>
      </w:r>
      <w:r w:rsidR="002D73C3">
        <w:rPr>
          <w:rFonts w:cs="Arial"/>
          <w:szCs w:val="22"/>
        </w:rPr>
        <w:t xml:space="preserve">the Rule does not contain a collection schedule, </w:t>
      </w:r>
      <w:r w:rsidRPr="00854FC2">
        <w:rPr>
          <w:rFonts w:cs="Arial"/>
          <w:szCs w:val="22"/>
        </w:rPr>
        <w:t>less frequent collection is not possible.</w:t>
      </w:r>
    </w:p>
    <w:p w:rsidRPr="00854FC2" w:rsidR="00D85665" w:rsidRDefault="00D85665" w14:paraId="13A04922" w14:textId="77777777">
      <w:pPr>
        <w:rPr>
          <w:rFonts w:cs="Arial"/>
          <w:szCs w:val="22"/>
        </w:rPr>
      </w:pPr>
    </w:p>
    <w:p w:rsidRPr="00854FC2" w:rsidR="00D85665" w:rsidP="00882BCD" w:rsidRDefault="00D85665" w14:paraId="0722649D" w14:textId="7FE5DF9F">
      <w:pPr>
        <w:numPr>
          <w:ilvl w:val="12"/>
          <w:numId w:val="0"/>
        </w:numPr>
        <w:ind w:firstLine="720"/>
        <w:rPr>
          <w:rFonts w:cs="Arial"/>
          <w:szCs w:val="22"/>
        </w:rPr>
      </w:pPr>
      <w:r w:rsidRPr="00854FC2">
        <w:rPr>
          <w:rFonts w:cs="Arial"/>
          <w:szCs w:val="22"/>
        </w:rPr>
        <w:t>The owner or operator of a facility is required to review</w:t>
      </w:r>
      <w:r w:rsidR="00F175C9">
        <w:rPr>
          <w:rFonts w:cs="Arial"/>
          <w:szCs w:val="22"/>
        </w:rPr>
        <w:t xml:space="preserve">, </w:t>
      </w:r>
      <w:r w:rsidR="0076374C">
        <w:rPr>
          <w:rFonts w:cs="Arial"/>
          <w:szCs w:val="22"/>
        </w:rPr>
        <w:t>evaluate</w:t>
      </w:r>
      <w:r w:rsidRPr="002D73C3" w:rsidR="002D73C3">
        <w:rPr>
          <w:rFonts w:cs="Arial"/>
          <w:szCs w:val="22"/>
        </w:rPr>
        <w:t xml:space="preserve"> </w:t>
      </w:r>
      <w:r w:rsidR="002D73C3">
        <w:rPr>
          <w:rFonts w:cs="Arial"/>
          <w:szCs w:val="22"/>
        </w:rPr>
        <w:t xml:space="preserve">and </w:t>
      </w:r>
      <w:r w:rsidRPr="00854FC2" w:rsidR="002D73C3">
        <w:rPr>
          <w:rFonts w:cs="Arial"/>
          <w:szCs w:val="22"/>
        </w:rPr>
        <w:t>updat</w:t>
      </w:r>
      <w:r w:rsidR="002D73C3">
        <w:rPr>
          <w:rFonts w:cs="Arial"/>
          <w:szCs w:val="22"/>
        </w:rPr>
        <w:t>e the</w:t>
      </w:r>
      <w:r w:rsidRPr="00854FC2" w:rsidR="002D73C3">
        <w:rPr>
          <w:rFonts w:cs="Arial"/>
          <w:szCs w:val="22"/>
        </w:rPr>
        <w:t xml:space="preserve"> Plan</w:t>
      </w:r>
      <w:r w:rsidR="00B20CE1">
        <w:rPr>
          <w:rFonts w:cs="Arial"/>
          <w:szCs w:val="22"/>
        </w:rPr>
        <w:t xml:space="preserve"> every five years</w:t>
      </w:r>
      <w:r w:rsidRPr="00854FC2" w:rsidR="002D73C3">
        <w:rPr>
          <w:rFonts w:cs="Arial"/>
          <w:szCs w:val="22"/>
        </w:rPr>
        <w:t xml:space="preserve"> to reflect currently available and proven technology and techniques for preventing and controlling oil discharges</w:t>
      </w:r>
      <w:r w:rsidRPr="00854FC2">
        <w:rPr>
          <w:rFonts w:cs="Arial"/>
          <w:szCs w:val="22"/>
        </w:rPr>
        <w:t xml:space="preserve">. </w:t>
      </w:r>
      <w:r w:rsidR="00A405BD">
        <w:rPr>
          <w:rFonts w:cs="Arial"/>
          <w:szCs w:val="22"/>
        </w:rPr>
        <w:t>The owner operator is also required to amend the Plan when</w:t>
      </w:r>
      <w:r w:rsidRPr="00A405BD" w:rsidR="00A405BD">
        <w:rPr>
          <w:rFonts w:cs="Arial"/>
          <w:szCs w:val="22"/>
        </w:rPr>
        <w:t xml:space="preserve"> there is a change in the facility design, construction, operation, or maintenance that materially affects its potential for a discharge as described in §112.1(b)</w:t>
      </w:r>
      <w:r w:rsidR="00A405BD">
        <w:rPr>
          <w:rFonts w:cs="Arial"/>
          <w:szCs w:val="22"/>
        </w:rPr>
        <w:t xml:space="preserve">. For Plans originally certified by a PE, these plan amendments must be newly certified by a PE. </w:t>
      </w:r>
      <w:r w:rsidRPr="00854FC2">
        <w:rPr>
          <w:rFonts w:cs="Arial"/>
          <w:szCs w:val="22"/>
        </w:rPr>
        <w:t xml:space="preserve">EPA’s experience in administering the SPCC </w:t>
      </w:r>
      <w:r w:rsidR="00CC4D27">
        <w:rPr>
          <w:rFonts w:cs="Arial"/>
          <w:szCs w:val="22"/>
        </w:rPr>
        <w:t xml:space="preserve">regulation </w:t>
      </w:r>
      <w:r w:rsidRPr="00854FC2">
        <w:rPr>
          <w:rFonts w:cs="Arial"/>
          <w:szCs w:val="22"/>
        </w:rPr>
        <w:t xml:space="preserve">indicates that </w:t>
      </w:r>
      <w:r w:rsidR="002D73C3">
        <w:rPr>
          <w:rFonts w:cs="Arial"/>
          <w:szCs w:val="22"/>
        </w:rPr>
        <w:t>this time frame is adequate,</w:t>
      </w:r>
      <w:r w:rsidRPr="00854FC2">
        <w:rPr>
          <w:rFonts w:cs="Arial"/>
          <w:szCs w:val="22"/>
        </w:rPr>
        <w:t xml:space="preserve"> given the </w:t>
      </w:r>
      <w:r w:rsidR="00357BC7">
        <w:rPr>
          <w:rFonts w:cs="Arial"/>
          <w:szCs w:val="22"/>
        </w:rPr>
        <w:t>pace at</w:t>
      </w:r>
      <w:r w:rsidRPr="00854FC2">
        <w:rPr>
          <w:rFonts w:cs="Arial"/>
          <w:szCs w:val="22"/>
        </w:rPr>
        <w:t xml:space="preserve"> which such technologies and techniques evolve.</w:t>
      </w:r>
      <w:r w:rsidR="003A64FB">
        <w:rPr>
          <w:rFonts w:cs="Arial"/>
          <w:szCs w:val="22"/>
        </w:rPr>
        <w:t xml:space="preserve"> As </w:t>
      </w:r>
      <w:r w:rsidR="008F00AF">
        <w:rPr>
          <w:rFonts w:cs="Arial"/>
          <w:szCs w:val="22"/>
        </w:rPr>
        <w:t xml:space="preserve">a </w:t>
      </w:r>
      <w:r w:rsidR="003A64FB">
        <w:rPr>
          <w:rFonts w:cs="Arial"/>
          <w:szCs w:val="22"/>
        </w:rPr>
        <w:t>practical matter, this review also offers the owner or operator an opportunity to document any technical amendments that may have not be properly captured in the past five years.</w:t>
      </w:r>
    </w:p>
    <w:p w:rsidRPr="00854FC2" w:rsidR="00D85665" w:rsidRDefault="00D85665" w14:paraId="4D7A848C" w14:textId="77777777">
      <w:pPr>
        <w:numPr>
          <w:ilvl w:val="12"/>
          <w:numId w:val="0"/>
        </w:numPr>
        <w:rPr>
          <w:rFonts w:cs="Arial"/>
          <w:szCs w:val="22"/>
        </w:rPr>
      </w:pPr>
    </w:p>
    <w:p w:rsidRPr="00854FC2" w:rsidR="00D85665" w:rsidRDefault="00D85665" w14:paraId="703BBA76" w14:textId="77777777">
      <w:pPr>
        <w:keepNext/>
        <w:keepLines/>
        <w:numPr>
          <w:ilvl w:val="12"/>
          <w:numId w:val="0"/>
        </w:numPr>
        <w:tabs>
          <w:tab w:val="left" w:pos="720"/>
          <w:tab w:val="left" w:pos="1440"/>
        </w:tabs>
        <w:ind w:left="1440" w:hanging="1440"/>
        <w:rPr>
          <w:rFonts w:cs="Arial"/>
          <w:szCs w:val="22"/>
        </w:rPr>
      </w:pPr>
      <w:r w:rsidRPr="00854FC2">
        <w:rPr>
          <w:rFonts w:cs="Arial"/>
          <w:b/>
          <w:bCs/>
          <w:szCs w:val="22"/>
        </w:rPr>
        <w:tab/>
        <w:t>3(e)</w:t>
      </w:r>
      <w:r w:rsidR="000F5676">
        <w:rPr>
          <w:rFonts w:cs="Arial"/>
          <w:b/>
          <w:bCs/>
          <w:szCs w:val="22"/>
        </w:rPr>
        <w:t xml:space="preserve"> </w:t>
      </w:r>
      <w:r w:rsidRPr="00854FC2">
        <w:rPr>
          <w:rFonts w:cs="Arial"/>
          <w:b/>
          <w:bCs/>
          <w:szCs w:val="22"/>
        </w:rPr>
        <w:t>General Guidelines</w:t>
      </w:r>
    </w:p>
    <w:p w:rsidRPr="00854FC2" w:rsidR="00D85665" w:rsidP="00A304B5" w:rsidRDefault="00D85665" w14:paraId="3E6D2546" w14:textId="77777777"/>
    <w:p w:rsidRPr="00854FC2" w:rsidR="00D85665" w:rsidP="00882BCD" w:rsidRDefault="00D85665" w14:paraId="7C3BB130" w14:textId="77777777">
      <w:pPr>
        <w:numPr>
          <w:ilvl w:val="12"/>
          <w:numId w:val="0"/>
        </w:numPr>
        <w:ind w:firstLine="720"/>
        <w:rPr>
          <w:rFonts w:cs="Arial"/>
          <w:szCs w:val="22"/>
        </w:rPr>
      </w:pPr>
      <w:r w:rsidRPr="00854FC2">
        <w:rPr>
          <w:rFonts w:cs="Arial"/>
          <w:szCs w:val="22"/>
        </w:rPr>
        <w:t>The information collection activities discussed in this ICR comply with the general Paperwork Reduction Act guidelines at 5 CFR 1320.5(d)(2).</w:t>
      </w:r>
    </w:p>
    <w:p w:rsidRPr="00854FC2" w:rsidR="00D85665" w:rsidRDefault="00D85665" w14:paraId="19097893" w14:textId="77777777">
      <w:pPr>
        <w:numPr>
          <w:ilvl w:val="12"/>
          <w:numId w:val="0"/>
        </w:numPr>
        <w:rPr>
          <w:rFonts w:cs="Arial"/>
          <w:szCs w:val="22"/>
        </w:rPr>
      </w:pPr>
    </w:p>
    <w:p w:rsidRPr="00854FC2" w:rsidR="00D85665" w:rsidP="00E827A7" w:rsidRDefault="00D85665" w14:paraId="1B6355E1" w14:textId="77777777">
      <w:pPr>
        <w:pStyle w:val="Heading2"/>
      </w:pPr>
      <w:r w:rsidRPr="00854FC2">
        <w:tab/>
        <w:t>3(f)</w:t>
      </w:r>
      <w:r w:rsidR="000F5676">
        <w:t xml:space="preserve"> </w:t>
      </w:r>
      <w:r w:rsidRPr="00854FC2">
        <w:t>Confidentiality</w:t>
      </w:r>
    </w:p>
    <w:p w:rsidRPr="00854FC2" w:rsidR="00D85665" w:rsidRDefault="00D85665" w14:paraId="4CE24E3D" w14:textId="77777777">
      <w:pPr>
        <w:keepNext/>
        <w:keepLines/>
        <w:numPr>
          <w:ilvl w:val="12"/>
          <w:numId w:val="0"/>
        </w:numPr>
        <w:rPr>
          <w:rFonts w:cs="Arial"/>
          <w:szCs w:val="22"/>
        </w:rPr>
      </w:pPr>
    </w:p>
    <w:p w:rsidRPr="00854FC2" w:rsidR="00D85665" w:rsidP="00A304B5" w:rsidRDefault="00D85665" w14:paraId="20E0482A" w14:textId="550F550C">
      <w:pPr>
        <w:ind w:firstLine="630"/>
      </w:pPr>
      <w:r w:rsidRPr="00854FC2">
        <w:t xml:space="preserve">The data </w:t>
      </w:r>
      <w:r w:rsidR="00622F64">
        <w:t>collected under</w:t>
      </w:r>
      <w:r w:rsidRPr="00854FC2">
        <w:t xml:space="preserve"> this ICR is not confidential.</w:t>
      </w:r>
    </w:p>
    <w:p w:rsidRPr="00854FC2" w:rsidR="00D85665" w:rsidRDefault="00D85665" w14:paraId="573D2A1B" w14:textId="77777777">
      <w:pPr>
        <w:numPr>
          <w:ilvl w:val="12"/>
          <w:numId w:val="0"/>
        </w:numPr>
        <w:rPr>
          <w:rFonts w:cs="Arial"/>
          <w:szCs w:val="22"/>
        </w:rPr>
      </w:pPr>
    </w:p>
    <w:p w:rsidRPr="00854FC2" w:rsidR="00D85665" w:rsidP="00E827A7" w:rsidRDefault="00D85665" w14:paraId="60852626" w14:textId="77777777">
      <w:pPr>
        <w:pStyle w:val="Heading2"/>
      </w:pPr>
      <w:r w:rsidRPr="00854FC2">
        <w:tab/>
        <w:t>3(g)</w:t>
      </w:r>
      <w:r w:rsidR="000F5676">
        <w:t xml:space="preserve"> </w:t>
      </w:r>
      <w:r w:rsidRPr="00854FC2">
        <w:t>Sensitive Questions</w:t>
      </w:r>
    </w:p>
    <w:p w:rsidRPr="00854FC2" w:rsidR="00D85665" w:rsidRDefault="00D85665" w14:paraId="6F155F8F" w14:textId="77777777">
      <w:pPr>
        <w:keepNext/>
        <w:keepLines/>
        <w:numPr>
          <w:ilvl w:val="12"/>
          <w:numId w:val="0"/>
        </w:numPr>
        <w:rPr>
          <w:rFonts w:cs="Arial"/>
          <w:szCs w:val="22"/>
        </w:rPr>
      </w:pPr>
    </w:p>
    <w:p w:rsidRPr="00854FC2" w:rsidR="00D85665" w:rsidP="00A304B5" w:rsidRDefault="00D85665" w14:paraId="21FFF666" w14:textId="4B180DFF">
      <w:pPr>
        <w:ind w:firstLine="630"/>
      </w:pPr>
      <w:r w:rsidRPr="00854FC2">
        <w:t>The information</w:t>
      </w:r>
      <w:r w:rsidR="00622F64">
        <w:t xml:space="preserve"> collection</w:t>
      </w:r>
      <w:r w:rsidRPr="00854FC2">
        <w:t xml:space="preserve"> activities discussed in this ICR do not involve sensitive questions.</w:t>
      </w:r>
    </w:p>
    <w:p w:rsidRPr="00854FC2" w:rsidR="00D85665" w:rsidRDefault="00D85665" w14:paraId="739C6DDC" w14:textId="77777777">
      <w:pPr>
        <w:numPr>
          <w:ilvl w:val="12"/>
          <w:numId w:val="0"/>
        </w:numPr>
        <w:rPr>
          <w:rFonts w:cs="Arial"/>
          <w:szCs w:val="22"/>
        </w:rPr>
      </w:pPr>
    </w:p>
    <w:p w:rsidRPr="00854FC2" w:rsidR="00D85665" w:rsidP="00A304B5" w:rsidRDefault="00D85665" w14:paraId="532F83B6" w14:textId="77777777">
      <w:pPr>
        <w:pStyle w:val="Heading1"/>
      </w:pPr>
      <w:r w:rsidRPr="00854FC2">
        <w:t>4.</w:t>
      </w:r>
      <w:r w:rsidRPr="00854FC2">
        <w:tab/>
        <w:t>THE RESPONDENTS AND THE INFORMATION REQUESTED</w:t>
      </w:r>
    </w:p>
    <w:p w:rsidRPr="00854FC2" w:rsidR="00D85665" w:rsidP="00E827A7" w:rsidRDefault="00D85665" w14:paraId="0FF61493" w14:textId="77777777">
      <w:pPr>
        <w:pStyle w:val="Heading2"/>
      </w:pPr>
      <w:r w:rsidRPr="00854FC2">
        <w:tab/>
        <w:t>4(a)</w:t>
      </w:r>
      <w:r w:rsidR="000F5676">
        <w:t xml:space="preserve"> </w:t>
      </w:r>
      <w:r w:rsidRPr="00854FC2">
        <w:t>Respondents/NAICS Codes</w:t>
      </w:r>
    </w:p>
    <w:p w:rsidRPr="00854FC2" w:rsidR="00D85665" w:rsidRDefault="00D85665" w14:paraId="6E7FFCED" w14:textId="77777777">
      <w:pPr>
        <w:keepNext/>
        <w:keepLines/>
        <w:numPr>
          <w:ilvl w:val="12"/>
          <w:numId w:val="0"/>
        </w:numPr>
        <w:rPr>
          <w:rFonts w:cs="Arial"/>
          <w:szCs w:val="22"/>
        </w:rPr>
      </w:pPr>
    </w:p>
    <w:p w:rsidR="00D85665" w:rsidP="00882BCD" w:rsidRDefault="00D85665" w14:paraId="3F1712C6" w14:textId="6DCA762A">
      <w:pPr>
        <w:numPr>
          <w:ilvl w:val="12"/>
          <w:numId w:val="0"/>
        </w:num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The industries that are likely to be covered by the SPCC </w:t>
      </w:r>
      <w:r w:rsidR="00A84E88">
        <w:rPr>
          <w:rFonts w:cs="Arial"/>
          <w:szCs w:val="22"/>
        </w:rPr>
        <w:t>r</w:t>
      </w:r>
      <w:r w:rsidRPr="00854FC2">
        <w:rPr>
          <w:rFonts w:cs="Arial"/>
          <w:szCs w:val="22"/>
        </w:rPr>
        <w:t>ule fall into</w:t>
      </w:r>
      <w:r w:rsidR="00622F64">
        <w:rPr>
          <w:rFonts w:cs="Arial"/>
          <w:szCs w:val="22"/>
        </w:rPr>
        <w:t xml:space="preserve"> numerous</w:t>
      </w:r>
      <w:r w:rsidRPr="00854FC2">
        <w:rPr>
          <w:rFonts w:cs="Arial"/>
          <w:szCs w:val="22"/>
        </w:rPr>
        <w:t xml:space="preserve"> North American Industrial Classification System (NAICS) categories, including those associated with </w:t>
      </w:r>
      <w:r w:rsidRPr="00B613B7">
        <w:rPr>
          <w:rFonts w:cs="Arial"/>
          <w:szCs w:val="22"/>
        </w:rPr>
        <w:t>petroleum production</w:t>
      </w:r>
      <w:r w:rsidRPr="00B613B7" w:rsidR="00B20CE1">
        <w:rPr>
          <w:rFonts w:cs="Arial"/>
          <w:szCs w:val="22"/>
        </w:rPr>
        <w:t>;</w:t>
      </w:r>
      <w:r w:rsidRPr="00B613B7" w:rsidDel="00CB47F1">
        <w:rPr>
          <w:rFonts w:cs="Arial"/>
          <w:szCs w:val="22"/>
        </w:rPr>
        <w:t xml:space="preserve"> </w:t>
      </w:r>
      <w:r w:rsidRPr="00B613B7" w:rsidDel="00CB47F1" w:rsidR="005F23E7">
        <w:rPr>
          <w:rFonts w:cs="Arial"/>
          <w:szCs w:val="22"/>
        </w:rPr>
        <w:t>non-petroleum oil storage</w:t>
      </w:r>
      <w:r w:rsidR="00BB1E73">
        <w:rPr>
          <w:rFonts w:cs="Arial"/>
          <w:szCs w:val="22"/>
        </w:rPr>
        <w:t xml:space="preserve"> and distri</w:t>
      </w:r>
      <w:r w:rsidR="00A4677C">
        <w:rPr>
          <w:rFonts w:cs="Arial"/>
          <w:szCs w:val="22"/>
        </w:rPr>
        <w:t>b</w:t>
      </w:r>
      <w:r w:rsidR="00BB1E73">
        <w:rPr>
          <w:rFonts w:cs="Arial"/>
          <w:szCs w:val="22"/>
        </w:rPr>
        <w:t>ution</w:t>
      </w:r>
      <w:r w:rsidRPr="00B613B7" w:rsidR="00B20CE1">
        <w:rPr>
          <w:rFonts w:cs="Arial"/>
          <w:szCs w:val="22"/>
        </w:rPr>
        <w:t>;</w:t>
      </w:r>
      <w:r w:rsidRPr="00B613B7" w:rsidR="005F23E7">
        <w:rPr>
          <w:rFonts w:cs="Arial"/>
          <w:szCs w:val="22"/>
        </w:rPr>
        <w:t xml:space="preserve"> </w:t>
      </w:r>
      <w:r w:rsidR="00B613B7">
        <w:rPr>
          <w:rFonts w:cs="Arial"/>
          <w:szCs w:val="22"/>
        </w:rPr>
        <w:t>petroleum refining,</w:t>
      </w:r>
      <w:r w:rsidRPr="00B613B7" w:rsidR="000009A9">
        <w:rPr>
          <w:rFonts w:cs="Arial"/>
          <w:szCs w:val="22"/>
        </w:rPr>
        <w:t xml:space="preserve"> </w:t>
      </w:r>
      <w:r w:rsidRPr="00B613B7">
        <w:rPr>
          <w:rFonts w:cs="Arial"/>
          <w:szCs w:val="22"/>
        </w:rPr>
        <w:t>processing, distribution, storage, and consumption</w:t>
      </w:r>
      <w:r w:rsidR="00B613B7">
        <w:rPr>
          <w:rFonts w:cs="Arial"/>
          <w:szCs w:val="22"/>
        </w:rPr>
        <w:t xml:space="preserve">; and manufacturing facilities using and storing </w:t>
      </w:r>
      <w:r w:rsidRPr="00B613B7" w:rsidR="00B613B7">
        <w:rPr>
          <w:rFonts w:cs="Arial"/>
          <w:szCs w:val="22"/>
        </w:rPr>
        <w:t>animal fat</w:t>
      </w:r>
      <w:r w:rsidR="00B613B7">
        <w:rPr>
          <w:rFonts w:cs="Arial"/>
          <w:szCs w:val="22"/>
        </w:rPr>
        <w:t>s</w:t>
      </w:r>
      <w:r w:rsidRPr="00B613B7" w:rsidR="00B613B7">
        <w:rPr>
          <w:rFonts w:cs="Arial"/>
          <w:szCs w:val="22"/>
        </w:rPr>
        <w:t xml:space="preserve"> and vegetable oil</w:t>
      </w:r>
      <w:r w:rsidR="00B613B7">
        <w:rPr>
          <w:rFonts w:cs="Arial"/>
          <w:szCs w:val="22"/>
        </w:rPr>
        <w:t>s</w:t>
      </w:r>
      <w:r w:rsidRPr="00B613B7" w:rsidR="00B613B7">
        <w:rPr>
          <w:rFonts w:cs="Arial"/>
          <w:szCs w:val="22"/>
        </w:rPr>
        <w:t xml:space="preserve"> (AFVOs</w:t>
      </w:r>
      <w:r w:rsidR="00B613B7">
        <w:rPr>
          <w:rFonts w:cs="Arial"/>
          <w:szCs w:val="22"/>
        </w:rPr>
        <w:t>).</w:t>
      </w:r>
      <w:r w:rsidRPr="00B613B7">
        <w:rPr>
          <w:rFonts w:cs="Arial"/>
          <w:szCs w:val="22"/>
        </w:rPr>
        <w:t xml:space="preserve"> </w:t>
      </w:r>
      <w:r w:rsidRPr="00B613B7" w:rsidR="00D2453B">
        <w:rPr>
          <w:rFonts w:cs="Arial"/>
          <w:szCs w:val="22"/>
        </w:rPr>
        <w:t>Mos</w:t>
      </w:r>
      <w:r w:rsidR="00D2453B">
        <w:rPr>
          <w:rFonts w:cs="Arial"/>
          <w:szCs w:val="22"/>
        </w:rPr>
        <w:t xml:space="preserve">t </w:t>
      </w:r>
      <w:r w:rsidRPr="00854FC2">
        <w:rPr>
          <w:rFonts w:cs="Arial"/>
          <w:szCs w:val="22"/>
        </w:rPr>
        <w:t xml:space="preserve">regulated facilities fall under the industry sectors listed in </w:t>
      </w:r>
      <w:r w:rsidRPr="00854FC2">
        <w:rPr>
          <w:rFonts w:cs="Arial"/>
          <w:szCs w:val="22"/>
        </w:rPr>
        <w:fldChar w:fldCharType="begin"/>
      </w:r>
      <w:r w:rsidRPr="00854FC2">
        <w:rPr>
          <w:rFonts w:cs="Arial"/>
          <w:szCs w:val="22"/>
        </w:rPr>
        <w:instrText xml:space="preserve"> REF _Ref141689202 </w:instrText>
      </w:r>
      <w:r w:rsidR="00854FC2">
        <w:rPr>
          <w:rFonts w:cs="Arial"/>
          <w:szCs w:val="22"/>
        </w:rPr>
        <w:instrText xml:space="preserve"> \* MERGEFORMAT </w:instrText>
      </w:r>
      <w:r w:rsidRPr="00854FC2">
        <w:rPr>
          <w:rFonts w:cs="Arial"/>
          <w:szCs w:val="22"/>
        </w:rPr>
        <w:fldChar w:fldCharType="separate"/>
      </w:r>
      <w:r w:rsidRPr="00854FC2" w:rsidR="00F843B9">
        <w:t xml:space="preserve">Exhibit </w:t>
      </w:r>
      <w:r w:rsidR="00F843B9">
        <w:rPr>
          <w:noProof/>
        </w:rPr>
        <w:t>1</w:t>
      </w:r>
      <w:r w:rsidRPr="00854FC2">
        <w:rPr>
          <w:rFonts w:cs="Arial"/>
          <w:szCs w:val="22"/>
        </w:rPr>
        <w:fldChar w:fldCharType="end"/>
      </w:r>
      <w:r w:rsidRPr="00854FC2">
        <w:rPr>
          <w:rFonts w:cs="Arial"/>
          <w:szCs w:val="22"/>
        </w:rPr>
        <w:t>.</w:t>
      </w:r>
    </w:p>
    <w:p w:rsidR="00C63422" w:rsidP="00F14E0B" w:rsidRDefault="00C63422" w14:paraId="42321EA7" w14:textId="77777777">
      <w:pPr>
        <w:numPr>
          <w:ilvl w:val="12"/>
          <w:numId w:val="0"/>
        </w:numPr>
        <w:rPr>
          <w:rFonts w:cs="Arial"/>
          <w:szCs w:val="22"/>
        </w:rPr>
      </w:pPr>
    </w:p>
    <w:p w:rsidRPr="00854FC2" w:rsidR="00D85665" w:rsidP="001F4489" w:rsidRDefault="00D85665" w14:paraId="73380760" w14:textId="7A74C6DB">
      <w:pPr>
        <w:pStyle w:val="Caption"/>
        <w:rPr>
          <w:rFonts w:cs="Arial"/>
        </w:rPr>
      </w:pPr>
      <w:bookmarkStart w:name="_Ref141689202" w:id="4"/>
      <w:r w:rsidRPr="00854FC2">
        <w:t xml:space="preserve">Exhibit </w:t>
      </w:r>
      <w:r w:rsidR="00692A0D">
        <w:rPr>
          <w:noProof/>
        </w:rPr>
        <w:fldChar w:fldCharType="begin"/>
      </w:r>
      <w:r w:rsidR="00692A0D">
        <w:rPr>
          <w:noProof/>
        </w:rPr>
        <w:instrText xml:space="preserve"> SEQ Exhibit \* ARABIC </w:instrText>
      </w:r>
      <w:r w:rsidR="00692A0D">
        <w:rPr>
          <w:noProof/>
        </w:rPr>
        <w:fldChar w:fldCharType="separate"/>
      </w:r>
      <w:r w:rsidR="00F843B9">
        <w:rPr>
          <w:noProof/>
        </w:rPr>
        <w:t>1</w:t>
      </w:r>
      <w:r w:rsidR="00692A0D">
        <w:rPr>
          <w:noProof/>
        </w:rPr>
        <w:fldChar w:fldCharType="end"/>
      </w:r>
      <w:bookmarkEnd w:id="4"/>
    </w:p>
    <w:p w:rsidRPr="00854FC2" w:rsidR="00D85665" w:rsidRDefault="00D85665" w14:paraId="477FD8B9" w14:textId="77777777">
      <w:pPr>
        <w:keepNext/>
        <w:keepLines/>
        <w:numPr>
          <w:ilvl w:val="12"/>
          <w:numId w:val="0"/>
        </w:numPr>
        <w:jc w:val="center"/>
        <w:rPr>
          <w:rFonts w:cs="Arial"/>
          <w:szCs w:val="22"/>
        </w:rPr>
      </w:pPr>
      <w:r w:rsidRPr="006A7E20">
        <w:rPr>
          <w:rFonts w:cs="Arial"/>
          <w:b/>
          <w:bCs/>
          <w:szCs w:val="22"/>
        </w:rPr>
        <w:t>Primary Industry Sectors and NAICS Codes Covered by the SPCC Rule</w:t>
      </w:r>
    </w:p>
    <w:tbl>
      <w:tblPr>
        <w:tblW w:w="5000" w:type="pct"/>
        <w:jc w:val="center"/>
        <w:tblLayout w:type="fixed"/>
        <w:tblCellMar>
          <w:left w:w="72" w:type="dxa"/>
          <w:right w:w="72" w:type="dxa"/>
        </w:tblCellMar>
        <w:tblLook w:val="0000" w:firstRow="0" w:lastRow="0" w:firstColumn="0" w:lastColumn="0" w:noHBand="0" w:noVBand="0"/>
      </w:tblPr>
      <w:tblGrid>
        <w:gridCol w:w="6076"/>
        <w:gridCol w:w="3218"/>
      </w:tblGrid>
      <w:tr w:rsidRPr="00854FC2" w:rsidR="00D85665" w14:paraId="08C00BFD" w14:textId="77777777">
        <w:trPr>
          <w:cantSplit/>
          <w:jc w:val="center"/>
        </w:trPr>
        <w:tc>
          <w:tcPr>
            <w:tcW w:w="6214" w:type="dxa"/>
            <w:tcBorders>
              <w:top w:val="double" w:color="000000" w:sz="9" w:space="0"/>
              <w:left w:val="double" w:color="000000" w:sz="9" w:space="0"/>
              <w:bottom w:val="double" w:color="000000" w:sz="9" w:space="0"/>
            </w:tcBorders>
          </w:tcPr>
          <w:p w:rsidRPr="00854FC2" w:rsidR="00D85665" w:rsidRDefault="00D85665" w14:paraId="0EAA0BF3" w14:textId="77777777">
            <w:pPr>
              <w:pStyle w:val="Heading6"/>
              <w:keepLines/>
              <w:tabs>
                <w:tab w:val="clear" w:pos="0"/>
                <w:tab w:val="clear" w:pos="720"/>
                <w:tab w:val="clear" w:pos="1440"/>
              </w:tabs>
              <w:spacing w:before="20" w:after="20"/>
              <w:rPr>
                <w:rFonts w:cs="Times"/>
              </w:rPr>
            </w:pPr>
            <w:r w:rsidRPr="00854FC2">
              <w:t>Industry Category</w:t>
            </w:r>
          </w:p>
        </w:tc>
        <w:tc>
          <w:tcPr>
            <w:tcW w:w="3290" w:type="dxa"/>
            <w:tcBorders>
              <w:top w:val="double" w:color="000000" w:sz="9" w:space="0"/>
              <w:left w:val="single" w:color="000000" w:sz="6" w:space="0"/>
              <w:bottom w:val="double" w:color="000000" w:sz="9" w:space="0"/>
              <w:right w:val="double" w:color="000000" w:sz="9" w:space="0"/>
            </w:tcBorders>
          </w:tcPr>
          <w:p w:rsidRPr="00854FC2" w:rsidR="00D85665" w:rsidRDefault="00D85665" w14:paraId="2C991B7B" w14:textId="77777777">
            <w:pPr>
              <w:keepNext/>
              <w:keepLines/>
              <w:numPr>
                <w:ilvl w:val="12"/>
                <w:numId w:val="0"/>
              </w:numPr>
              <w:tabs>
                <w:tab w:val="left" w:pos="0"/>
                <w:tab w:val="left" w:pos="720"/>
                <w:tab w:val="left" w:pos="1440"/>
                <w:tab w:val="left" w:pos="2160"/>
              </w:tabs>
              <w:spacing w:before="20" w:after="20"/>
              <w:jc w:val="center"/>
              <w:rPr>
                <w:rFonts w:cs="Times"/>
                <w:sz w:val="20"/>
              </w:rPr>
            </w:pPr>
            <w:r w:rsidRPr="00854FC2">
              <w:rPr>
                <w:rFonts w:cs="Arial"/>
                <w:b/>
                <w:bCs/>
                <w:sz w:val="20"/>
              </w:rPr>
              <w:t>NAICS Code(s)</w:t>
            </w:r>
          </w:p>
        </w:tc>
      </w:tr>
      <w:tr w:rsidRPr="00854FC2" w:rsidR="00D85665" w14:paraId="43D821FE" w14:textId="77777777">
        <w:trPr>
          <w:cantSplit/>
          <w:jc w:val="center"/>
        </w:trPr>
        <w:tc>
          <w:tcPr>
            <w:tcW w:w="6214" w:type="dxa"/>
            <w:tcBorders>
              <w:left w:val="double" w:color="000000" w:sz="9" w:space="0"/>
            </w:tcBorders>
            <w:vAlign w:val="center"/>
          </w:tcPr>
          <w:p w:rsidRPr="00854FC2" w:rsidR="00D85665" w:rsidRDefault="00D85665" w14:paraId="4A989544" w14:textId="3B3B4276">
            <w:pPr>
              <w:keepNext/>
              <w:keepLines/>
              <w:spacing w:before="20" w:after="20"/>
              <w:rPr>
                <w:rFonts w:cs="Arial"/>
                <w:sz w:val="20"/>
              </w:rPr>
            </w:pPr>
            <w:r w:rsidRPr="00854FC2">
              <w:rPr>
                <w:rFonts w:cs="Arial"/>
                <w:sz w:val="20"/>
                <w:lang w:val="en-CA"/>
              </w:rPr>
              <w:fldChar w:fldCharType="begin"/>
            </w:r>
            <w:r w:rsidRPr="00854FC2">
              <w:rPr>
                <w:rFonts w:cs="Arial"/>
                <w:sz w:val="20"/>
                <w:lang w:val="en-CA"/>
              </w:rPr>
              <w:instrText xml:space="preserve"> SEQ CHAPTER \h \r 1</w:instrText>
            </w:r>
            <w:r w:rsidRPr="00854FC2">
              <w:rPr>
                <w:rFonts w:cs="Arial"/>
                <w:sz w:val="20"/>
                <w:lang w:val="en-CA"/>
              </w:rPr>
              <w:fldChar w:fldCharType="end"/>
            </w:r>
            <w:r w:rsidRPr="00854FC2">
              <w:rPr>
                <w:rFonts w:cs="Arial"/>
                <w:sz w:val="20"/>
                <w:szCs w:val="19"/>
              </w:rPr>
              <w:t>Oil and Gas Extraction</w:t>
            </w:r>
          </w:p>
        </w:tc>
        <w:tc>
          <w:tcPr>
            <w:tcW w:w="3290" w:type="dxa"/>
            <w:tcBorders>
              <w:left w:val="single" w:color="000000" w:sz="6" w:space="0"/>
              <w:right w:val="double" w:color="000000" w:sz="9" w:space="0"/>
            </w:tcBorders>
            <w:vAlign w:val="center"/>
          </w:tcPr>
          <w:p w:rsidRPr="00854FC2" w:rsidR="00D85665" w:rsidRDefault="00D85665" w14:paraId="5AA33FEC" w14:textId="0D0C0377">
            <w:pPr>
              <w:keepNext/>
              <w:keepLines/>
              <w:spacing w:before="20" w:after="20"/>
              <w:jc w:val="center"/>
              <w:rPr>
                <w:rFonts w:cs="Arial"/>
                <w:sz w:val="20"/>
                <w:szCs w:val="19"/>
              </w:rPr>
            </w:pPr>
            <w:r w:rsidRPr="00854FC2">
              <w:rPr>
                <w:rFonts w:cs="Arial"/>
                <w:sz w:val="20"/>
                <w:szCs w:val="19"/>
              </w:rPr>
              <w:t>211</w:t>
            </w:r>
            <w:r w:rsidR="00F37E33">
              <w:rPr>
                <w:rFonts w:cs="Arial"/>
                <w:sz w:val="20"/>
                <w:szCs w:val="19"/>
              </w:rPr>
              <w:t>111</w:t>
            </w:r>
          </w:p>
        </w:tc>
      </w:tr>
      <w:tr w:rsidRPr="00854FC2" w:rsidR="00D85665" w14:paraId="0FD49C8C"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559CDE45" w14:textId="77777777">
            <w:pPr>
              <w:keepNext/>
              <w:keepLines/>
              <w:spacing w:before="20" w:after="20"/>
              <w:rPr>
                <w:rFonts w:cs="Arial"/>
                <w:sz w:val="20"/>
              </w:rPr>
            </w:pPr>
            <w:r w:rsidRPr="00854FC2">
              <w:rPr>
                <w:rFonts w:cs="Arial"/>
                <w:sz w:val="20"/>
                <w:szCs w:val="19"/>
              </w:rPr>
              <w:t>Farms</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7E07E477" w14:textId="77777777">
            <w:pPr>
              <w:keepNext/>
              <w:keepLines/>
              <w:spacing w:before="20" w:after="20"/>
              <w:jc w:val="center"/>
              <w:rPr>
                <w:rFonts w:cs="Arial"/>
                <w:sz w:val="20"/>
                <w:szCs w:val="19"/>
              </w:rPr>
            </w:pPr>
            <w:r w:rsidRPr="000A20ED">
              <w:rPr>
                <w:rFonts w:cs="Arial"/>
                <w:sz w:val="20"/>
                <w:szCs w:val="19"/>
              </w:rPr>
              <w:t>111, 112</w:t>
            </w:r>
          </w:p>
        </w:tc>
      </w:tr>
      <w:tr w:rsidRPr="00854FC2" w:rsidR="00D85665" w14:paraId="5B30C9C8"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6A866F50" w14:textId="77777777">
            <w:pPr>
              <w:keepNext/>
              <w:keepLines/>
              <w:spacing w:before="20" w:after="20"/>
              <w:rPr>
                <w:rFonts w:cs="Arial"/>
                <w:sz w:val="20"/>
              </w:rPr>
            </w:pPr>
            <w:r w:rsidRPr="00854FC2">
              <w:rPr>
                <w:rFonts w:cs="Arial"/>
                <w:sz w:val="20"/>
                <w:szCs w:val="19"/>
              </w:rPr>
              <w:t>Electric Utility Plants</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426942B4" w14:textId="77777777">
            <w:pPr>
              <w:keepNext/>
              <w:keepLines/>
              <w:spacing w:before="20" w:after="20"/>
              <w:jc w:val="center"/>
              <w:rPr>
                <w:rFonts w:cs="Arial"/>
                <w:sz w:val="20"/>
                <w:szCs w:val="19"/>
              </w:rPr>
            </w:pPr>
            <w:r w:rsidRPr="00854FC2">
              <w:rPr>
                <w:rFonts w:cs="Arial"/>
                <w:sz w:val="20"/>
                <w:szCs w:val="19"/>
              </w:rPr>
              <w:t>2211</w:t>
            </w:r>
          </w:p>
        </w:tc>
      </w:tr>
      <w:tr w:rsidRPr="00854FC2" w:rsidR="00D85665" w14:paraId="1261EC81"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79B9E80D" w14:textId="77777777">
            <w:pPr>
              <w:keepNext/>
              <w:keepLines/>
              <w:spacing w:before="20" w:after="20"/>
              <w:rPr>
                <w:rFonts w:cs="Arial"/>
                <w:sz w:val="20"/>
              </w:rPr>
            </w:pPr>
            <w:r w:rsidRPr="00854FC2">
              <w:rPr>
                <w:rFonts w:cs="Arial"/>
                <w:sz w:val="20"/>
                <w:szCs w:val="19"/>
              </w:rPr>
              <w:t>Petroleum Refining and Related Industries</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6C08383A" w14:textId="77777777">
            <w:pPr>
              <w:keepNext/>
              <w:keepLines/>
              <w:spacing w:before="20" w:after="20"/>
              <w:jc w:val="center"/>
              <w:rPr>
                <w:rFonts w:cs="Arial"/>
                <w:sz w:val="20"/>
                <w:szCs w:val="19"/>
              </w:rPr>
            </w:pPr>
            <w:r w:rsidRPr="00854FC2">
              <w:rPr>
                <w:rFonts w:cs="Arial"/>
                <w:sz w:val="20"/>
                <w:szCs w:val="19"/>
              </w:rPr>
              <w:t>324</w:t>
            </w:r>
          </w:p>
        </w:tc>
      </w:tr>
      <w:tr w:rsidRPr="00854FC2" w:rsidR="00D85665" w14:paraId="31D635FF"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51BAC5D6" w14:textId="77777777">
            <w:pPr>
              <w:keepNext/>
              <w:keepLines/>
              <w:spacing w:before="20" w:after="20"/>
              <w:rPr>
                <w:rFonts w:cs="Arial"/>
                <w:sz w:val="20"/>
              </w:rPr>
            </w:pPr>
            <w:r w:rsidRPr="00854FC2">
              <w:rPr>
                <w:rFonts w:cs="Arial"/>
                <w:sz w:val="20"/>
                <w:szCs w:val="19"/>
              </w:rPr>
              <w:t>Chemical Manufacturing</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05448CB2" w14:textId="77777777">
            <w:pPr>
              <w:keepNext/>
              <w:keepLines/>
              <w:spacing w:before="20" w:after="20"/>
              <w:jc w:val="center"/>
              <w:rPr>
                <w:rFonts w:cs="Arial"/>
                <w:sz w:val="20"/>
                <w:szCs w:val="19"/>
              </w:rPr>
            </w:pPr>
            <w:r w:rsidRPr="00854FC2">
              <w:rPr>
                <w:rFonts w:cs="Arial"/>
                <w:sz w:val="20"/>
                <w:szCs w:val="19"/>
              </w:rPr>
              <w:t>325</w:t>
            </w:r>
          </w:p>
        </w:tc>
      </w:tr>
      <w:tr w:rsidRPr="00854FC2" w:rsidR="00D85665" w14:paraId="6192D7AD"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01E24D5C" w14:textId="77777777">
            <w:pPr>
              <w:keepNext/>
              <w:keepLines/>
              <w:spacing w:before="20" w:after="20"/>
              <w:rPr>
                <w:rFonts w:cs="Arial"/>
                <w:sz w:val="20"/>
              </w:rPr>
            </w:pPr>
            <w:r w:rsidRPr="00854FC2">
              <w:rPr>
                <w:rFonts w:cs="Arial"/>
                <w:sz w:val="20"/>
                <w:szCs w:val="19"/>
              </w:rPr>
              <w:t>Food Manufacturing</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61BE6E1A" w14:textId="77777777">
            <w:pPr>
              <w:keepNext/>
              <w:keepLines/>
              <w:spacing w:before="20" w:after="20"/>
              <w:jc w:val="center"/>
              <w:rPr>
                <w:rFonts w:cs="Arial"/>
                <w:sz w:val="20"/>
                <w:szCs w:val="19"/>
              </w:rPr>
            </w:pPr>
            <w:r w:rsidRPr="00854FC2">
              <w:rPr>
                <w:rFonts w:cs="Arial"/>
                <w:sz w:val="20"/>
                <w:szCs w:val="19"/>
              </w:rPr>
              <w:t>311, 312</w:t>
            </w:r>
          </w:p>
        </w:tc>
      </w:tr>
      <w:tr w:rsidRPr="00854FC2" w:rsidR="00D45D09" w14:paraId="5B1B9787" w14:textId="77777777">
        <w:trPr>
          <w:cantSplit/>
          <w:jc w:val="center"/>
        </w:trPr>
        <w:tc>
          <w:tcPr>
            <w:tcW w:w="6214" w:type="dxa"/>
            <w:tcBorders>
              <w:top w:val="single" w:color="000000" w:sz="6" w:space="0"/>
              <w:left w:val="double" w:color="000000" w:sz="9" w:space="0"/>
            </w:tcBorders>
            <w:vAlign w:val="center"/>
          </w:tcPr>
          <w:p w:rsidRPr="00854FC2" w:rsidR="00D45D09" w:rsidRDefault="00D45D09" w14:paraId="5968FED5" w14:textId="77777777">
            <w:pPr>
              <w:keepNext/>
              <w:keepLines/>
              <w:spacing w:before="20" w:after="20"/>
              <w:rPr>
                <w:rFonts w:cs="Arial"/>
                <w:sz w:val="20"/>
                <w:szCs w:val="19"/>
              </w:rPr>
            </w:pPr>
            <w:r>
              <w:rPr>
                <w:rFonts w:cs="Arial"/>
                <w:sz w:val="20"/>
                <w:szCs w:val="19"/>
              </w:rPr>
              <w:t>Manufacturing Facilities Using and Storing Animal Fats and Vegetable Oils</w:t>
            </w:r>
          </w:p>
        </w:tc>
        <w:tc>
          <w:tcPr>
            <w:tcW w:w="3290" w:type="dxa"/>
            <w:tcBorders>
              <w:top w:val="single" w:color="000000" w:sz="6" w:space="0"/>
              <w:left w:val="single" w:color="000000" w:sz="6" w:space="0"/>
              <w:right w:val="double" w:color="000000" w:sz="9" w:space="0"/>
            </w:tcBorders>
            <w:vAlign w:val="center"/>
          </w:tcPr>
          <w:p w:rsidRPr="00854FC2" w:rsidR="00D45D09" w:rsidRDefault="00D45D09" w14:paraId="2C051C4E" w14:textId="77777777">
            <w:pPr>
              <w:keepNext/>
              <w:keepLines/>
              <w:spacing w:before="20" w:after="20"/>
              <w:jc w:val="center"/>
              <w:rPr>
                <w:rFonts w:cs="Arial"/>
                <w:sz w:val="20"/>
                <w:szCs w:val="19"/>
              </w:rPr>
            </w:pPr>
            <w:r>
              <w:rPr>
                <w:rFonts w:cs="Arial"/>
                <w:sz w:val="20"/>
                <w:szCs w:val="19"/>
              </w:rPr>
              <w:t>311, 325</w:t>
            </w:r>
          </w:p>
        </w:tc>
      </w:tr>
      <w:tr w:rsidRPr="00854FC2" w:rsidR="00D85665" w14:paraId="4235CF8C"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4C9102EA" w14:textId="77777777">
            <w:pPr>
              <w:keepNext/>
              <w:keepLines/>
              <w:spacing w:before="20" w:after="20"/>
              <w:rPr>
                <w:rFonts w:cs="Arial"/>
                <w:sz w:val="20"/>
              </w:rPr>
            </w:pPr>
            <w:r w:rsidRPr="00854FC2">
              <w:rPr>
                <w:rFonts w:cs="Arial"/>
                <w:sz w:val="20"/>
                <w:szCs w:val="19"/>
              </w:rPr>
              <w:t>Metal Manufacturing</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7229A1EC" w14:textId="77777777">
            <w:pPr>
              <w:keepNext/>
              <w:keepLines/>
              <w:spacing w:before="20" w:after="20"/>
              <w:jc w:val="center"/>
              <w:rPr>
                <w:rFonts w:cs="Arial"/>
                <w:sz w:val="20"/>
                <w:szCs w:val="19"/>
              </w:rPr>
            </w:pPr>
            <w:r w:rsidRPr="00854FC2">
              <w:rPr>
                <w:rFonts w:cs="Arial"/>
                <w:sz w:val="20"/>
                <w:szCs w:val="19"/>
              </w:rPr>
              <w:t>331, 332</w:t>
            </w:r>
          </w:p>
        </w:tc>
      </w:tr>
      <w:tr w:rsidRPr="00854FC2" w:rsidR="00D85665" w14:paraId="610CCD5B"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25680E98" w14:textId="77777777">
            <w:pPr>
              <w:keepNext/>
              <w:keepLines/>
              <w:spacing w:before="20" w:after="20"/>
              <w:rPr>
                <w:rFonts w:cs="Arial"/>
                <w:sz w:val="20"/>
              </w:rPr>
            </w:pPr>
            <w:r w:rsidRPr="00854FC2">
              <w:rPr>
                <w:rFonts w:cs="Arial"/>
                <w:sz w:val="20"/>
                <w:szCs w:val="19"/>
              </w:rPr>
              <w:t>Other Manufacturing</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2404A3CE" w14:textId="77777777">
            <w:pPr>
              <w:keepNext/>
              <w:keepLines/>
              <w:spacing w:before="20" w:after="20"/>
              <w:jc w:val="center"/>
              <w:rPr>
                <w:rFonts w:cs="Arial"/>
                <w:sz w:val="20"/>
                <w:szCs w:val="19"/>
              </w:rPr>
            </w:pPr>
            <w:r w:rsidRPr="00854FC2">
              <w:rPr>
                <w:rFonts w:cs="Arial"/>
                <w:sz w:val="20"/>
                <w:szCs w:val="19"/>
              </w:rPr>
              <w:t>31-33</w:t>
            </w:r>
          </w:p>
        </w:tc>
      </w:tr>
      <w:tr w:rsidRPr="00854FC2" w:rsidR="00D85665" w14:paraId="17BC951D"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432F0CC0" w14:textId="77777777">
            <w:pPr>
              <w:keepNext/>
              <w:keepLines/>
              <w:spacing w:before="20" w:after="20"/>
              <w:rPr>
                <w:rFonts w:cs="Arial"/>
                <w:sz w:val="20"/>
              </w:rPr>
            </w:pPr>
            <w:r w:rsidRPr="00854FC2">
              <w:rPr>
                <w:rFonts w:cs="Arial"/>
                <w:sz w:val="20"/>
                <w:szCs w:val="19"/>
              </w:rPr>
              <w:t>Real Estate Rental and Leasing</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7F0902C7" w14:textId="77777777">
            <w:pPr>
              <w:keepNext/>
              <w:keepLines/>
              <w:spacing w:before="20" w:after="20"/>
              <w:jc w:val="center"/>
              <w:rPr>
                <w:rFonts w:cs="Arial"/>
                <w:sz w:val="20"/>
                <w:szCs w:val="19"/>
              </w:rPr>
            </w:pPr>
            <w:r w:rsidRPr="00854FC2">
              <w:rPr>
                <w:rFonts w:cs="Arial"/>
                <w:sz w:val="20"/>
                <w:szCs w:val="19"/>
              </w:rPr>
              <w:t>531-533</w:t>
            </w:r>
          </w:p>
        </w:tc>
      </w:tr>
      <w:tr w:rsidRPr="00854FC2" w:rsidR="00D85665" w14:paraId="33210D2E" w14:textId="77777777">
        <w:trPr>
          <w:cantSplit/>
          <w:jc w:val="center"/>
        </w:trPr>
        <w:tc>
          <w:tcPr>
            <w:tcW w:w="6214" w:type="dxa"/>
            <w:tcBorders>
              <w:top w:val="single" w:color="000000" w:sz="6" w:space="0"/>
              <w:left w:val="double" w:color="000000" w:sz="9" w:space="0"/>
            </w:tcBorders>
            <w:vAlign w:val="center"/>
          </w:tcPr>
          <w:p w:rsidRPr="00854FC2" w:rsidR="00D85665" w:rsidRDefault="00D85665" w14:paraId="38B14716" w14:textId="77777777">
            <w:pPr>
              <w:keepNext/>
              <w:keepLines/>
              <w:spacing w:before="20" w:after="20"/>
              <w:rPr>
                <w:rFonts w:cs="Arial"/>
                <w:sz w:val="20"/>
              </w:rPr>
            </w:pPr>
            <w:r w:rsidRPr="00854FC2">
              <w:rPr>
                <w:rFonts w:cs="Arial"/>
                <w:sz w:val="20"/>
                <w:szCs w:val="19"/>
              </w:rPr>
              <w:t>Retail Trade</w:t>
            </w:r>
          </w:p>
        </w:tc>
        <w:tc>
          <w:tcPr>
            <w:tcW w:w="3290" w:type="dxa"/>
            <w:tcBorders>
              <w:top w:val="single" w:color="000000" w:sz="6" w:space="0"/>
              <w:left w:val="single" w:color="000000" w:sz="6" w:space="0"/>
              <w:right w:val="double" w:color="000000" w:sz="9" w:space="0"/>
            </w:tcBorders>
            <w:vAlign w:val="center"/>
          </w:tcPr>
          <w:p w:rsidRPr="00854FC2" w:rsidR="00D85665" w:rsidRDefault="00D85665" w14:paraId="0400F0C3" w14:textId="77777777">
            <w:pPr>
              <w:keepNext/>
              <w:keepLines/>
              <w:spacing w:before="20" w:after="20"/>
              <w:jc w:val="center"/>
              <w:rPr>
                <w:rFonts w:cs="Arial"/>
                <w:sz w:val="20"/>
                <w:szCs w:val="19"/>
              </w:rPr>
            </w:pPr>
            <w:r w:rsidRPr="00854FC2">
              <w:rPr>
                <w:rFonts w:cs="Arial"/>
                <w:sz w:val="20"/>
                <w:szCs w:val="19"/>
              </w:rPr>
              <w:t>441-446, 448, 451-454</w:t>
            </w:r>
          </w:p>
        </w:tc>
      </w:tr>
      <w:tr w:rsidRPr="00854FC2" w:rsidR="00D85665" w14:paraId="3C7DC839"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16037B39" w14:textId="77777777">
            <w:pPr>
              <w:keepNext/>
              <w:keepLines/>
              <w:spacing w:before="20" w:after="20"/>
              <w:rPr>
                <w:rFonts w:cs="Arial"/>
                <w:sz w:val="20"/>
              </w:rPr>
            </w:pPr>
            <w:r w:rsidRPr="00854FC2">
              <w:rPr>
                <w:rFonts w:cs="Arial"/>
                <w:sz w:val="20"/>
                <w:szCs w:val="19"/>
              </w:rPr>
              <w:t>Contract Construction</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1E9B078F" w14:textId="77777777">
            <w:pPr>
              <w:keepNext/>
              <w:keepLines/>
              <w:spacing w:before="20" w:after="20"/>
              <w:jc w:val="center"/>
              <w:rPr>
                <w:rFonts w:cs="Arial"/>
                <w:sz w:val="20"/>
                <w:szCs w:val="19"/>
              </w:rPr>
            </w:pPr>
            <w:r w:rsidRPr="00854FC2">
              <w:rPr>
                <w:rFonts w:cs="Arial"/>
                <w:sz w:val="20"/>
                <w:szCs w:val="19"/>
              </w:rPr>
              <w:t>23</w:t>
            </w:r>
          </w:p>
        </w:tc>
      </w:tr>
      <w:tr w:rsidRPr="00854FC2" w:rsidR="00D85665" w14:paraId="34C5FCF5"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4077134A" w14:textId="77777777">
            <w:pPr>
              <w:keepNext/>
              <w:keepLines/>
              <w:spacing w:before="20" w:after="20"/>
              <w:rPr>
                <w:rFonts w:cs="Arial"/>
                <w:sz w:val="20"/>
              </w:rPr>
            </w:pPr>
            <w:r w:rsidRPr="00854FC2">
              <w:rPr>
                <w:rFonts w:cs="Arial"/>
                <w:sz w:val="20"/>
                <w:szCs w:val="19"/>
              </w:rPr>
              <w:t>Wholesale Trade</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332BDCE5" w14:textId="77777777">
            <w:pPr>
              <w:keepNext/>
              <w:keepLines/>
              <w:spacing w:before="20" w:after="20"/>
              <w:jc w:val="center"/>
              <w:rPr>
                <w:rFonts w:cs="Arial"/>
                <w:sz w:val="20"/>
                <w:szCs w:val="19"/>
              </w:rPr>
            </w:pPr>
            <w:r w:rsidRPr="00854FC2">
              <w:rPr>
                <w:rFonts w:cs="Arial"/>
                <w:sz w:val="20"/>
                <w:szCs w:val="19"/>
              </w:rPr>
              <w:t>42</w:t>
            </w:r>
          </w:p>
        </w:tc>
      </w:tr>
      <w:tr w:rsidRPr="00854FC2" w:rsidR="00D85665" w14:paraId="7FE4E831"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2A860C96" w14:textId="77777777">
            <w:pPr>
              <w:keepNext/>
              <w:keepLines/>
              <w:spacing w:before="20" w:after="20"/>
              <w:rPr>
                <w:rFonts w:cs="Arial"/>
                <w:sz w:val="20"/>
              </w:rPr>
            </w:pPr>
            <w:r w:rsidRPr="00854FC2">
              <w:rPr>
                <w:rFonts w:cs="Arial"/>
                <w:sz w:val="20"/>
                <w:szCs w:val="19"/>
              </w:rPr>
              <w:t>Other Commercial</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739D9834" w14:textId="77777777">
            <w:pPr>
              <w:keepNext/>
              <w:keepLines/>
              <w:spacing w:before="20" w:after="20"/>
              <w:jc w:val="center"/>
              <w:rPr>
                <w:rFonts w:cs="Arial"/>
                <w:sz w:val="20"/>
                <w:szCs w:val="19"/>
              </w:rPr>
            </w:pPr>
            <w:r w:rsidRPr="00854FC2">
              <w:rPr>
                <w:rFonts w:cs="Arial"/>
                <w:sz w:val="20"/>
                <w:szCs w:val="19"/>
              </w:rPr>
              <w:t>492, 541, 551, 561-562</w:t>
            </w:r>
          </w:p>
        </w:tc>
      </w:tr>
      <w:tr w:rsidRPr="00854FC2" w:rsidR="00D85665" w14:paraId="4CD77225"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0BAC8FD2" w14:textId="77777777">
            <w:pPr>
              <w:keepNext/>
              <w:keepLines/>
              <w:spacing w:before="20" w:after="20"/>
              <w:rPr>
                <w:rFonts w:cs="Arial"/>
                <w:sz w:val="20"/>
              </w:rPr>
            </w:pPr>
            <w:r w:rsidRPr="00854FC2">
              <w:rPr>
                <w:rFonts w:cs="Arial"/>
                <w:sz w:val="20"/>
                <w:szCs w:val="19"/>
              </w:rPr>
              <w:t>Transportation</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9C2F27" w14:paraId="7616340B" w14:textId="2F49E4C6">
            <w:pPr>
              <w:keepNext/>
              <w:keepLines/>
              <w:spacing w:before="20" w:after="20"/>
              <w:jc w:val="center"/>
              <w:rPr>
                <w:rFonts w:cs="Arial"/>
                <w:sz w:val="20"/>
                <w:szCs w:val="19"/>
              </w:rPr>
            </w:pPr>
            <w:r w:rsidRPr="005F0438">
              <w:rPr>
                <w:rFonts w:cs="Arial"/>
                <w:sz w:val="20"/>
                <w:szCs w:val="20"/>
              </w:rPr>
              <w:t>481</w:t>
            </w:r>
            <w:r>
              <w:rPr>
                <w:rFonts w:cs="Arial"/>
                <w:sz w:val="20"/>
                <w:szCs w:val="20"/>
              </w:rPr>
              <w:t>, 483</w:t>
            </w:r>
            <w:r w:rsidRPr="005F0438">
              <w:rPr>
                <w:rFonts w:cs="Arial"/>
                <w:sz w:val="20"/>
                <w:szCs w:val="20"/>
              </w:rPr>
              <w:t>-</w:t>
            </w:r>
            <w:r w:rsidRPr="005F0438" w:rsidDel="009C2F27" w:rsidR="00D85665">
              <w:rPr>
                <w:rFonts w:cs="Arial"/>
                <w:sz w:val="20"/>
                <w:szCs w:val="20"/>
              </w:rPr>
              <w:t>488</w:t>
            </w:r>
          </w:p>
        </w:tc>
      </w:tr>
      <w:tr w:rsidRPr="00854FC2" w:rsidR="00D85665" w14:paraId="4040094B"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0042E1DE" w14:textId="77777777">
            <w:pPr>
              <w:keepNext/>
              <w:keepLines/>
              <w:spacing w:before="20" w:after="20"/>
              <w:rPr>
                <w:rFonts w:cs="Arial"/>
                <w:sz w:val="20"/>
              </w:rPr>
            </w:pPr>
            <w:r w:rsidRPr="00854FC2">
              <w:rPr>
                <w:rFonts w:cs="Arial"/>
                <w:sz w:val="20"/>
                <w:szCs w:val="19"/>
              </w:rPr>
              <w:t>Arts Entertainment &amp; Recreation</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20DFAEC2" w14:textId="77777777">
            <w:pPr>
              <w:keepNext/>
              <w:keepLines/>
              <w:spacing w:before="20" w:after="20"/>
              <w:jc w:val="center"/>
              <w:rPr>
                <w:rFonts w:cs="Arial"/>
                <w:sz w:val="20"/>
                <w:szCs w:val="19"/>
              </w:rPr>
            </w:pPr>
            <w:r w:rsidRPr="00854FC2">
              <w:rPr>
                <w:rFonts w:cs="Arial"/>
                <w:sz w:val="20"/>
                <w:szCs w:val="19"/>
              </w:rPr>
              <w:t>711-713</w:t>
            </w:r>
          </w:p>
        </w:tc>
      </w:tr>
      <w:tr w:rsidRPr="00854FC2" w:rsidR="00D85665" w14:paraId="2E3EF68B"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73B148AD" w14:textId="77777777">
            <w:pPr>
              <w:keepNext/>
              <w:keepLines/>
              <w:spacing w:before="20" w:after="20"/>
              <w:rPr>
                <w:rFonts w:cs="Arial"/>
                <w:sz w:val="20"/>
              </w:rPr>
            </w:pPr>
            <w:r w:rsidRPr="00854FC2">
              <w:rPr>
                <w:rFonts w:cs="Arial"/>
                <w:sz w:val="20"/>
                <w:szCs w:val="19"/>
              </w:rPr>
              <w:t>Other Services (Except Public Administration)</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733E0B28" w14:textId="77777777">
            <w:pPr>
              <w:keepNext/>
              <w:keepLines/>
              <w:spacing w:before="20" w:after="20"/>
              <w:jc w:val="center"/>
              <w:rPr>
                <w:rFonts w:cs="Arial"/>
                <w:sz w:val="20"/>
                <w:szCs w:val="19"/>
              </w:rPr>
            </w:pPr>
            <w:r w:rsidRPr="00854FC2">
              <w:rPr>
                <w:rFonts w:cs="Arial"/>
                <w:sz w:val="20"/>
                <w:szCs w:val="19"/>
              </w:rPr>
              <w:t>811-813</w:t>
            </w:r>
          </w:p>
        </w:tc>
      </w:tr>
      <w:tr w:rsidRPr="00854FC2" w:rsidR="00D85665" w14:paraId="173F66B3"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4084F376" w14:textId="77777777">
            <w:pPr>
              <w:keepNext/>
              <w:keepLines/>
              <w:spacing w:before="20" w:after="20"/>
              <w:rPr>
                <w:rFonts w:cs="Arial"/>
                <w:sz w:val="20"/>
              </w:rPr>
            </w:pPr>
            <w:r w:rsidRPr="00854FC2">
              <w:rPr>
                <w:rFonts w:cs="Arial"/>
                <w:sz w:val="20"/>
                <w:szCs w:val="19"/>
              </w:rPr>
              <w:t xml:space="preserve">Education </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477CBBDA" w14:textId="40DA3D4C">
            <w:pPr>
              <w:keepNext/>
              <w:keepLines/>
              <w:spacing w:before="20" w:after="20"/>
              <w:jc w:val="center"/>
              <w:rPr>
                <w:rFonts w:cs="Arial"/>
                <w:sz w:val="20"/>
              </w:rPr>
            </w:pPr>
            <w:r w:rsidRPr="00854FC2">
              <w:rPr>
                <w:rFonts w:cs="Arial"/>
                <w:sz w:val="20"/>
                <w:szCs w:val="19"/>
              </w:rPr>
              <w:t>61</w:t>
            </w:r>
          </w:p>
        </w:tc>
      </w:tr>
      <w:tr w:rsidRPr="00854FC2" w:rsidR="00D85665" w14:paraId="216CC3C3"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7653A5F5" w14:textId="7ADE8060">
            <w:pPr>
              <w:keepNext/>
              <w:keepLines/>
              <w:spacing w:before="20" w:after="20"/>
              <w:rPr>
                <w:rFonts w:cs="Arial"/>
                <w:sz w:val="20"/>
              </w:rPr>
            </w:pPr>
            <w:r w:rsidRPr="00854FC2">
              <w:rPr>
                <w:rFonts w:cs="Arial"/>
                <w:sz w:val="20"/>
                <w:lang w:val="en-CA"/>
              </w:rPr>
              <w:fldChar w:fldCharType="begin"/>
            </w:r>
            <w:r w:rsidRPr="00854FC2">
              <w:rPr>
                <w:rFonts w:cs="Arial"/>
                <w:sz w:val="20"/>
                <w:lang w:val="en-CA"/>
              </w:rPr>
              <w:instrText xml:space="preserve"> SEQ CHAPTER \h \r 1</w:instrText>
            </w:r>
            <w:r w:rsidRPr="00854FC2">
              <w:rPr>
                <w:rFonts w:cs="Arial"/>
                <w:sz w:val="20"/>
                <w:lang w:val="en-CA"/>
              </w:rPr>
              <w:fldChar w:fldCharType="end"/>
            </w:r>
            <w:r w:rsidRPr="00854FC2">
              <w:rPr>
                <w:rFonts w:cs="Arial"/>
                <w:sz w:val="20"/>
                <w:szCs w:val="19"/>
              </w:rPr>
              <w:t>Petroleum Bulk Stations and Terminals</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0212AC68" w14:textId="77777777">
            <w:pPr>
              <w:keepNext/>
              <w:keepLines/>
              <w:spacing w:before="20" w:after="20"/>
              <w:jc w:val="center"/>
              <w:rPr>
                <w:rFonts w:cs="Arial"/>
                <w:sz w:val="20"/>
                <w:szCs w:val="19"/>
              </w:rPr>
            </w:pPr>
            <w:r w:rsidRPr="00854FC2">
              <w:rPr>
                <w:rFonts w:cs="Arial"/>
                <w:sz w:val="20"/>
                <w:szCs w:val="19"/>
              </w:rPr>
              <w:t>4247</w:t>
            </w:r>
          </w:p>
        </w:tc>
      </w:tr>
      <w:tr w:rsidRPr="00854FC2" w:rsidR="00D85665" w14:paraId="664ADA21"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649EC93C" w14:textId="77777777">
            <w:pPr>
              <w:keepNext/>
              <w:keepLines/>
              <w:spacing w:before="20" w:after="20"/>
              <w:rPr>
                <w:rFonts w:cs="Arial"/>
                <w:sz w:val="20"/>
              </w:rPr>
            </w:pPr>
            <w:r w:rsidRPr="00854FC2">
              <w:rPr>
                <w:rFonts w:cs="Arial"/>
                <w:sz w:val="20"/>
                <w:szCs w:val="19"/>
              </w:rPr>
              <w:t>Hospitals &amp; Other Health Care</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3A9AF8E2" w14:textId="29162B50">
            <w:pPr>
              <w:keepNext/>
              <w:keepLines/>
              <w:spacing w:before="20" w:after="20"/>
              <w:jc w:val="center"/>
              <w:rPr>
                <w:rFonts w:cs="Arial"/>
                <w:sz w:val="20"/>
                <w:szCs w:val="19"/>
              </w:rPr>
            </w:pPr>
            <w:r w:rsidRPr="00854FC2">
              <w:rPr>
                <w:rFonts w:cs="Arial"/>
                <w:sz w:val="20"/>
                <w:szCs w:val="19"/>
              </w:rPr>
              <w:t>621</w:t>
            </w:r>
            <w:r w:rsidR="00E42D0B">
              <w:rPr>
                <w:rFonts w:cs="Arial"/>
                <w:sz w:val="20"/>
                <w:szCs w:val="19"/>
              </w:rPr>
              <w:t>, 622</w:t>
            </w:r>
          </w:p>
        </w:tc>
      </w:tr>
      <w:tr w:rsidRPr="00854FC2" w:rsidR="00D85665" w14:paraId="38452EE2"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609F10A2" w14:textId="77777777">
            <w:pPr>
              <w:keepNext/>
              <w:keepLines/>
              <w:spacing w:before="20" w:after="20"/>
              <w:rPr>
                <w:rFonts w:cs="Arial"/>
                <w:sz w:val="20"/>
              </w:rPr>
            </w:pPr>
            <w:r w:rsidRPr="00854FC2">
              <w:rPr>
                <w:rFonts w:cs="Arial"/>
                <w:sz w:val="20"/>
                <w:szCs w:val="19"/>
              </w:rPr>
              <w:t>Accommodation and Food Services</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514DFF3A" w14:textId="77777777">
            <w:pPr>
              <w:keepNext/>
              <w:keepLines/>
              <w:spacing w:before="20" w:after="20"/>
              <w:jc w:val="center"/>
              <w:rPr>
                <w:rFonts w:cs="Arial"/>
                <w:sz w:val="20"/>
                <w:szCs w:val="19"/>
              </w:rPr>
            </w:pPr>
            <w:r w:rsidRPr="00854FC2">
              <w:rPr>
                <w:rFonts w:cs="Arial"/>
                <w:sz w:val="20"/>
                <w:szCs w:val="19"/>
              </w:rPr>
              <w:t>721, 722</w:t>
            </w:r>
          </w:p>
        </w:tc>
      </w:tr>
      <w:tr w:rsidRPr="00854FC2" w:rsidR="00D85665" w14:paraId="69503BC9"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512473A2" w14:textId="77777777">
            <w:pPr>
              <w:keepNext/>
              <w:keepLines/>
              <w:spacing w:before="20" w:after="20"/>
              <w:rPr>
                <w:rFonts w:cs="Arial"/>
                <w:sz w:val="20"/>
              </w:rPr>
            </w:pPr>
            <w:r w:rsidRPr="00854FC2">
              <w:rPr>
                <w:rFonts w:cs="Arial"/>
                <w:sz w:val="20"/>
                <w:szCs w:val="19"/>
              </w:rPr>
              <w:t>Fuel Oil Dealers</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7E74FE64" w14:textId="77777777">
            <w:pPr>
              <w:keepNext/>
              <w:keepLines/>
              <w:spacing w:before="20" w:after="20"/>
              <w:jc w:val="center"/>
              <w:rPr>
                <w:rFonts w:cs="Arial"/>
                <w:sz w:val="20"/>
                <w:szCs w:val="19"/>
              </w:rPr>
            </w:pPr>
            <w:r w:rsidRPr="00854FC2">
              <w:rPr>
                <w:rFonts w:cs="Arial"/>
                <w:sz w:val="20"/>
                <w:szCs w:val="19"/>
              </w:rPr>
              <w:t>45431</w:t>
            </w:r>
          </w:p>
        </w:tc>
      </w:tr>
      <w:tr w:rsidRPr="00854FC2" w:rsidR="00D85665" w14:paraId="1442FFE7"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461278CB" w14:textId="77777777">
            <w:pPr>
              <w:keepNext/>
              <w:keepLines/>
              <w:spacing w:before="20" w:after="20"/>
              <w:rPr>
                <w:rFonts w:cs="Arial"/>
                <w:sz w:val="20"/>
              </w:rPr>
            </w:pPr>
            <w:r w:rsidRPr="00854FC2">
              <w:rPr>
                <w:rFonts w:cs="Arial"/>
                <w:sz w:val="20"/>
                <w:szCs w:val="19"/>
              </w:rPr>
              <w:t xml:space="preserve">Gasoline Stations </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4DB0D75E" w14:textId="77777777">
            <w:pPr>
              <w:keepNext/>
              <w:keepLines/>
              <w:spacing w:before="20" w:after="20"/>
              <w:jc w:val="center"/>
              <w:rPr>
                <w:rFonts w:cs="Arial"/>
                <w:sz w:val="20"/>
                <w:szCs w:val="19"/>
              </w:rPr>
            </w:pPr>
            <w:r w:rsidRPr="00854FC2">
              <w:rPr>
                <w:rFonts w:cs="Arial"/>
                <w:sz w:val="20"/>
                <w:szCs w:val="19"/>
              </w:rPr>
              <w:t>4471</w:t>
            </w:r>
          </w:p>
        </w:tc>
      </w:tr>
      <w:tr w:rsidRPr="00854FC2" w:rsidR="00D85665" w14:paraId="1E7ABC89"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695FF0B8" w14:textId="77777777">
            <w:pPr>
              <w:keepNext/>
              <w:keepLines/>
              <w:spacing w:before="20" w:after="20"/>
              <w:rPr>
                <w:rFonts w:cs="Arial"/>
                <w:sz w:val="20"/>
              </w:rPr>
            </w:pPr>
            <w:r w:rsidRPr="00854FC2">
              <w:rPr>
                <w:rFonts w:cs="Arial"/>
                <w:sz w:val="20"/>
                <w:szCs w:val="19"/>
              </w:rPr>
              <w:t>Information Finance and Insurance</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20A2BEB4" w14:textId="77777777">
            <w:pPr>
              <w:keepNext/>
              <w:keepLines/>
              <w:spacing w:before="20" w:after="20"/>
              <w:jc w:val="center"/>
              <w:rPr>
                <w:rFonts w:cs="Arial"/>
                <w:sz w:val="20"/>
                <w:szCs w:val="19"/>
              </w:rPr>
            </w:pPr>
            <w:r w:rsidRPr="00854FC2">
              <w:rPr>
                <w:rFonts w:cs="Arial"/>
                <w:sz w:val="20"/>
                <w:szCs w:val="19"/>
              </w:rPr>
              <w:t>51, 52</w:t>
            </w:r>
          </w:p>
        </w:tc>
      </w:tr>
      <w:tr w:rsidRPr="00854FC2" w:rsidR="00D85665" w14:paraId="48BE9418"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659F8FA3" w14:textId="77777777">
            <w:pPr>
              <w:keepNext/>
              <w:keepLines/>
              <w:spacing w:before="20" w:after="20"/>
              <w:rPr>
                <w:rFonts w:cs="Arial"/>
                <w:sz w:val="20"/>
              </w:rPr>
            </w:pPr>
            <w:r w:rsidRPr="00854FC2">
              <w:rPr>
                <w:rFonts w:cs="Arial"/>
                <w:sz w:val="20"/>
                <w:szCs w:val="19"/>
              </w:rPr>
              <w:t>Mining</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35563F13" w14:textId="52886BEF">
            <w:pPr>
              <w:keepNext/>
              <w:keepLines/>
              <w:spacing w:before="20" w:after="20"/>
              <w:jc w:val="center"/>
              <w:rPr>
                <w:rFonts w:cs="Arial"/>
                <w:sz w:val="20"/>
                <w:szCs w:val="19"/>
              </w:rPr>
            </w:pPr>
            <w:r w:rsidRPr="00854FC2">
              <w:rPr>
                <w:rFonts w:cs="Arial"/>
                <w:sz w:val="20"/>
                <w:szCs w:val="19"/>
              </w:rPr>
              <w:t>212</w:t>
            </w:r>
          </w:p>
        </w:tc>
      </w:tr>
      <w:tr w:rsidRPr="00854FC2" w:rsidR="00D85665" w14:paraId="31EDB3DA"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52442E8A" w14:textId="77777777">
            <w:pPr>
              <w:keepNext/>
              <w:keepLines/>
              <w:spacing w:before="20" w:after="20"/>
              <w:rPr>
                <w:rFonts w:cs="Arial"/>
                <w:sz w:val="20"/>
              </w:rPr>
            </w:pPr>
            <w:r w:rsidRPr="00854FC2">
              <w:rPr>
                <w:rFonts w:cs="Arial"/>
                <w:sz w:val="20"/>
                <w:szCs w:val="19"/>
              </w:rPr>
              <w:t>Warehousing and Storage</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1CBA4B76" w14:textId="77777777">
            <w:pPr>
              <w:keepNext/>
              <w:keepLines/>
              <w:spacing w:before="20" w:after="20"/>
              <w:jc w:val="center"/>
              <w:rPr>
                <w:rFonts w:cs="Arial"/>
                <w:sz w:val="20"/>
                <w:szCs w:val="19"/>
              </w:rPr>
            </w:pPr>
            <w:r w:rsidRPr="00854FC2">
              <w:rPr>
                <w:rFonts w:cs="Arial"/>
                <w:sz w:val="20"/>
                <w:szCs w:val="19"/>
              </w:rPr>
              <w:t>493</w:t>
            </w:r>
          </w:p>
        </w:tc>
      </w:tr>
      <w:tr w:rsidRPr="00854FC2" w:rsidR="00D85665" w14:paraId="40078467"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07197EB3" w14:textId="77777777">
            <w:pPr>
              <w:pStyle w:val="FootnoteText"/>
              <w:keepNext/>
              <w:keepLines/>
              <w:spacing w:before="20" w:after="20"/>
              <w:rPr>
                <w:rFonts w:cs="Arial"/>
                <w:szCs w:val="19"/>
              </w:rPr>
            </w:pPr>
            <w:r w:rsidRPr="00854FC2">
              <w:rPr>
                <w:rFonts w:cs="Arial"/>
                <w:szCs w:val="19"/>
              </w:rPr>
              <w:t>Pipelines</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781E5DF5" w14:textId="03C2A104">
            <w:pPr>
              <w:keepNext/>
              <w:keepLines/>
              <w:spacing w:before="20" w:after="20"/>
              <w:jc w:val="center"/>
              <w:rPr>
                <w:rFonts w:cs="Arial"/>
                <w:sz w:val="20"/>
                <w:szCs w:val="19"/>
              </w:rPr>
            </w:pPr>
            <w:r w:rsidRPr="00854FC2">
              <w:rPr>
                <w:rFonts w:cs="Arial"/>
                <w:sz w:val="20"/>
                <w:szCs w:val="19"/>
              </w:rPr>
              <w:t>4861, 4869</w:t>
            </w:r>
            <w:r w:rsidR="00EB1FE0">
              <w:rPr>
                <w:rFonts w:cs="Arial"/>
                <w:sz w:val="20"/>
                <w:szCs w:val="19"/>
              </w:rPr>
              <w:t>1</w:t>
            </w:r>
          </w:p>
        </w:tc>
      </w:tr>
      <w:tr w:rsidRPr="00854FC2" w:rsidR="00D85665" w:rsidTr="00D45D09" w14:paraId="41231A08"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85665" w:rsidRDefault="00D85665" w14:paraId="7B6F3BC1" w14:textId="77777777">
            <w:pPr>
              <w:keepNext/>
              <w:keepLines/>
              <w:spacing w:before="20" w:after="20"/>
              <w:rPr>
                <w:rFonts w:cs="Arial"/>
                <w:sz w:val="20"/>
              </w:rPr>
            </w:pPr>
            <w:r w:rsidRPr="00854FC2">
              <w:rPr>
                <w:rFonts w:cs="Arial"/>
                <w:sz w:val="20"/>
                <w:szCs w:val="19"/>
              </w:rPr>
              <w:t>Government</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85665" w:rsidRDefault="00D85665" w14:paraId="7554613B" w14:textId="77777777">
            <w:pPr>
              <w:keepNext/>
              <w:keepLines/>
              <w:spacing w:before="20" w:after="20"/>
              <w:jc w:val="center"/>
              <w:rPr>
                <w:rFonts w:cs="Arial"/>
                <w:sz w:val="20"/>
              </w:rPr>
            </w:pPr>
            <w:r w:rsidRPr="00854FC2">
              <w:rPr>
                <w:rFonts w:cs="Arial"/>
                <w:sz w:val="20"/>
                <w:szCs w:val="19"/>
              </w:rPr>
              <w:t>92</w:t>
            </w:r>
          </w:p>
        </w:tc>
      </w:tr>
      <w:tr w:rsidRPr="00854FC2" w:rsidR="00D45D09" w:rsidTr="00D45D09" w14:paraId="0611F36D" w14:textId="77777777">
        <w:trPr>
          <w:cantSplit/>
          <w:jc w:val="center"/>
        </w:trPr>
        <w:tc>
          <w:tcPr>
            <w:tcW w:w="6214" w:type="dxa"/>
            <w:tcBorders>
              <w:top w:val="single" w:color="000000" w:sz="6" w:space="0"/>
              <w:left w:val="double" w:color="000000" w:sz="9" w:space="0"/>
              <w:bottom w:val="single" w:color="000000" w:sz="6" w:space="0"/>
            </w:tcBorders>
            <w:vAlign w:val="center"/>
          </w:tcPr>
          <w:p w:rsidRPr="00854FC2" w:rsidR="00D45D09" w:rsidRDefault="00D45D09" w14:paraId="7AAA79A6" w14:textId="77777777">
            <w:pPr>
              <w:keepNext/>
              <w:keepLines/>
              <w:spacing w:before="20" w:after="20"/>
              <w:rPr>
                <w:rFonts w:cs="Arial"/>
                <w:sz w:val="20"/>
                <w:szCs w:val="19"/>
              </w:rPr>
            </w:pPr>
            <w:r>
              <w:rPr>
                <w:rFonts w:cs="Arial"/>
                <w:sz w:val="20"/>
                <w:szCs w:val="19"/>
              </w:rPr>
              <w:t>Military Installations</w:t>
            </w:r>
          </w:p>
        </w:tc>
        <w:tc>
          <w:tcPr>
            <w:tcW w:w="3290" w:type="dxa"/>
            <w:tcBorders>
              <w:top w:val="single" w:color="000000" w:sz="6" w:space="0"/>
              <w:left w:val="single" w:color="000000" w:sz="6" w:space="0"/>
              <w:bottom w:val="single" w:color="000000" w:sz="6" w:space="0"/>
              <w:right w:val="double" w:color="000000" w:sz="9" w:space="0"/>
            </w:tcBorders>
            <w:vAlign w:val="center"/>
          </w:tcPr>
          <w:p w:rsidRPr="00854FC2" w:rsidR="00D45D09" w:rsidRDefault="00D45D09" w14:paraId="7909BFD9" w14:textId="77777777">
            <w:pPr>
              <w:keepNext/>
              <w:keepLines/>
              <w:spacing w:before="20" w:after="20"/>
              <w:jc w:val="center"/>
              <w:rPr>
                <w:rFonts w:cs="Arial"/>
                <w:sz w:val="20"/>
                <w:szCs w:val="19"/>
              </w:rPr>
            </w:pPr>
            <w:r>
              <w:rPr>
                <w:rFonts w:cs="Arial"/>
                <w:sz w:val="20"/>
                <w:szCs w:val="19"/>
              </w:rPr>
              <w:t>928110</w:t>
            </w:r>
          </w:p>
        </w:tc>
      </w:tr>
      <w:tr w:rsidRPr="00854FC2" w:rsidR="00D45D09" w14:paraId="00CED4A4" w14:textId="77777777">
        <w:trPr>
          <w:cantSplit/>
          <w:jc w:val="center"/>
        </w:trPr>
        <w:tc>
          <w:tcPr>
            <w:tcW w:w="6214" w:type="dxa"/>
            <w:tcBorders>
              <w:top w:val="single" w:color="000000" w:sz="6" w:space="0"/>
              <w:left w:val="double" w:color="000000" w:sz="9" w:space="0"/>
              <w:bottom w:val="double" w:color="000000" w:sz="9" w:space="0"/>
            </w:tcBorders>
            <w:vAlign w:val="center"/>
          </w:tcPr>
          <w:p w:rsidR="00D45D09" w:rsidRDefault="00D45D09" w14:paraId="79B45F5B" w14:textId="77777777">
            <w:pPr>
              <w:keepNext/>
              <w:keepLines/>
              <w:spacing w:before="20" w:after="20"/>
              <w:rPr>
                <w:rFonts w:cs="Arial"/>
                <w:sz w:val="20"/>
                <w:szCs w:val="19"/>
              </w:rPr>
            </w:pPr>
            <w:r>
              <w:rPr>
                <w:rFonts w:cs="Arial"/>
                <w:sz w:val="20"/>
                <w:szCs w:val="19"/>
              </w:rPr>
              <w:t>Religio</w:t>
            </w:r>
            <w:r w:rsidR="00690E7A">
              <w:rPr>
                <w:rFonts w:cs="Arial"/>
                <w:sz w:val="20"/>
                <w:szCs w:val="19"/>
              </w:rPr>
              <w:t>u</w:t>
            </w:r>
            <w:r>
              <w:rPr>
                <w:rFonts w:cs="Arial"/>
                <w:sz w:val="20"/>
                <w:szCs w:val="19"/>
              </w:rPr>
              <w:t>s Organizations</w:t>
            </w:r>
          </w:p>
        </w:tc>
        <w:tc>
          <w:tcPr>
            <w:tcW w:w="3290" w:type="dxa"/>
            <w:tcBorders>
              <w:top w:val="single" w:color="000000" w:sz="6" w:space="0"/>
              <w:left w:val="single" w:color="000000" w:sz="6" w:space="0"/>
              <w:bottom w:val="double" w:color="000000" w:sz="9" w:space="0"/>
              <w:right w:val="double" w:color="000000" w:sz="9" w:space="0"/>
            </w:tcBorders>
            <w:vAlign w:val="center"/>
          </w:tcPr>
          <w:p w:rsidR="00D45D09" w:rsidRDefault="00D45D09" w14:paraId="17BB2032" w14:textId="77777777">
            <w:pPr>
              <w:keepNext/>
              <w:keepLines/>
              <w:spacing w:before="20" w:after="20"/>
              <w:jc w:val="center"/>
              <w:rPr>
                <w:rFonts w:cs="Arial"/>
                <w:sz w:val="20"/>
                <w:szCs w:val="19"/>
              </w:rPr>
            </w:pPr>
            <w:r>
              <w:rPr>
                <w:rFonts w:cs="Arial"/>
                <w:sz w:val="20"/>
                <w:szCs w:val="19"/>
              </w:rPr>
              <w:t>813110</w:t>
            </w:r>
          </w:p>
        </w:tc>
      </w:tr>
    </w:tbl>
    <w:p w:rsidR="00D85665" w:rsidRDefault="00D85665" w14:paraId="19C04D14" w14:textId="2D6CCAEB">
      <w:pPr>
        <w:pStyle w:val="Footer"/>
        <w:numPr>
          <w:ilvl w:val="12"/>
          <w:numId w:val="0"/>
        </w:numPr>
        <w:tabs>
          <w:tab w:val="clear" w:pos="4320"/>
          <w:tab w:val="clear" w:pos="8640"/>
          <w:tab w:val="left" w:pos="0"/>
          <w:tab w:val="left" w:pos="720"/>
          <w:tab w:val="left" w:pos="1440"/>
          <w:tab w:val="left" w:pos="2160"/>
        </w:tabs>
        <w:rPr>
          <w:rFonts w:cs="Arial"/>
          <w:szCs w:val="22"/>
        </w:rPr>
      </w:pPr>
    </w:p>
    <w:p w:rsidRPr="00854FC2" w:rsidR="000C5175" w:rsidRDefault="000C5175" w14:paraId="41B163B3" w14:textId="77777777">
      <w:pPr>
        <w:pStyle w:val="Footer"/>
        <w:numPr>
          <w:ilvl w:val="12"/>
          <w:numId w:val="0"/>
        </w:numPr>
        <w:tabs>
          <w:tab w:val="clear" w:pos="4320"/>
          <w:tab w:val="clear" w:pos="8640"/>
          <w:tab w:val="left" w:pos="0"/>
          <w:tab w:val="left" w:pos="720"/>
          <w:tab w:val="left" w:pos="1440"/>
          <w:tab w:val="left" w:pos="2160"/>
        </w:tabs>
        <w:rPr>
          <w:rFonts w:cs="Arial"/>
          <w:szCs w:val="22"/>
        </w:rPr>
      </w:pPr>
    </w:p>
    <w:p w:rsidRPr="00854FC2" w:rsidR="00D85665" w:rsidP="00E827A7" w:rsidRDefault="00D85665" w14:paraId="0159C645" w14:textId="77777777">
      <w:pPr>
        <w:pStyle w:val="Heading2"/>
      </w:pPr>
      <w:r w:rsidRPr="00854FC2">
        <w:tab/>
        <w:t>4(b)</w:t>
      </w:r>
      <w:r w:rsidR="000F5676">
        <w:t xml:space="preserve"> </w:t>
      </w:r>
      <w:r w:rsidRPr="00854FC2">
        <w:t>Information Requested</w:t>
      </w:r>
    </w:p>
    <w:p w:rsidRPr="00854FC2" w:rsidR="00D85665" w:rsidRDefault="00D85665" w14:paraId="0F7377D0" w14:textId="77777777">
      <w:pPr>
        <w:keepNext/>
        <w:tabs>
          <w:tab w:val="left" w:pos="0"/>
          <w:tab w:val="left" w:pos="720"/>
          <w:tab w:val="left" w:pos="1440"/>
          <w:tab w:val="left" w:pos="2160"/>
        </w:tabs>
        <w:rPr>
          <w:rFonts w:cs="Arial"/>
          <w:szCs w:val="22"/>
        </w:rPr>
      </w:pPr>
    </w:p>
    <w:p w:rsidR="00A60C64" w:rsidRDefault="00882BCD" w14:paraId="645D92D5" w14:textId="3E66705D">
      <w:pPr>
        <w:numPr>
          <w:ilvl w:val="12"/>
          <w:numId w:val="0"/>
        </w:numPr>
        <w:tabs>
          <w:tab w:val="left" w:pos="0"/>
          <w:tab w:val="left" w:pos="720"/>
          <w:tab w:val="left" w:pos="1440"/>
          <w:tab w:val="left" w:pos="2160"/>
        </w:tabs>
        <w:rPr>
          <w:rFonts w:cs="Arial"/>
          <w:szCs w:val="22"/>
        </w:rPr>
      </w:pPr>
      <w:r>
        <w:rPr>
          <w:rFonts w:cs="Courier New"/>
          <w:lang w:val="en-CA"/>
        </w:rPr>
        <w:tab/>
      </w:r>
      <w:r w:rsidRPr="00854FC2" w:rsidR="00D85665">
        <w:rPr>
          <w:rFonts w:cs="Courier New"/>
          <w:lang w:val="en-CA"/>
        </w:rPr>
        <w:fldChar w:fldCharType="begin"/>
      </w:r>
      <w:r w:rsidRPr="00854FC2" w:rsidR="00D85665">
        <w:rPr>
          <w:rFonts w:cs="Courier New"/>
          <w:lang w:val="en-CA"/>
        </w:rPr>
        <w:instrText xml:space="preserve"> SEQ CHAPTER \h \r 1</w:instrText>
      </w:r>
      <w:r w:rsidRPr="00854FC2" w:rsidR="00D85665">
        <w:rPr>
          <w:rFonts w:cs="Courier New"/>
          <w:lang w:val="en-CA"/>
        </w:rPr>
        <w:fldChar w:fldCharType="end"/>
      </w:r>
      <w:r w:rsidRPr="00854FC2" w:rsidR="00D85665">
        <w:rPr>
          <w:rFonts w:cs="Arial"/>
          <w:szCs w:val="22"/>
        </w:rPr>
        <w:t xml:space="preserve">The primary data collection activities required by the SPCC </w:t>
      </w:r>
      <w:r w:rsidR="00A84E88">
        <w:rPr>
          <w:rFonts w:cs="Arial"/>
          <w:szCs w:val="22"/>
        </w:rPr>
        <w:t>r</w:t>
      </w:r>
      <w:r w:rsidRPr="00854FC2" w:rsidR="00D85665">
        <w:rPr>
          <w:rFonts w:cs="Arial"/>
          <w:szCs w:val="22"/>
        </w:rPr>
        <w:t xml:space="preserve">ule are </w:t>
      </w:r>
      <w:r w:rsidRPr="006A7E20" w:rsidR="00D85665">
        <w:rPr>
          <w:rFonts w:cs="Arial"/>
          <w:szCs w:val="22"/>
        </w:rPr>
        <w:t>the preparation and maintenance of the SPCC Plan</w:t>
      </w:r>
      <w:r w:rsidRPr="006A7E20" w:rsidR="00B20CE1">
        <w:rPr>
          <w:rFonts w:cs="Arial"/>
          <w:szCs w:val="22"/>
        </w:rPr>
        <w:t xml:space="preserve"> and</w:t>
      </w:r>
      <w:r w:rsidRPr="006A7E20" w:rsidR="00D85665">
        <w:rPr>
          <w:rFonts w:cs="Arial"/>
          <w:szCs w:val="22"/>
        </w:rPr>
        <w:t xml:space="preserve"> inspection</w:t>
      </w:r>
      <w:r w:rsidRPr="006A7E20" w:rsidR="00B20CE1">
        <w:rPr>
          <w:rFonts w:cs="Arial"/>
          <w:szCs w:val="22"/>
        </w:rPr>
        <w:t xml:space="preserve"> records</w:t>
      </w:r>
      <w:r w:rsidRPr="006A7E20" w:rsidR="00D85665">
        <w:rPr>
          <w:rFonts w:cs="Arial"/>
          <w:szCs w:val="22"/>
        </w:rPr>
        <w:t xml:space="preserve"> and tests. In preparin</w:t>
      </w:r>
      <w:r w:rsidRPr="00854FC2" w:rsidR="00D85665">
        <w:rPr>
          <w:rFonts w:cs="Arial"/>
          <w:szCs w:val="22"/>
        </w:rPr>
        <w:t>g a Plan, a facility owner or operator must follow the provisions outlined in the regulation and include a discussion of the measures taken to meet the SPCC requirements</w:t>
      </w:r>
      <w:r w:rsidR="00B11084">
        <w:rPr>
          <w:rFonts w:cs="Arial"/>
          <w:szCs w:val="22"/>
        </w:rPr>
        <w:t xml:space="preserve">. </w:t>
      </w:r>
      <w:r w:rsidR="005F131C">
        <w:rPr>
          <w:rFonts w:cs="Arial"/>
          <w:szCs w:val="22"/>
        </w:rPr>
        <w:t>The reporting and recordkeeping requirements</w:t>
      </w:r>
      <w:r w:rsidR="00B11084">
        <w:rPr>
          <w:rFonts w:cs="Arial"/>
          <w:szCs w:val="22"/>
        </w:rPr>
        <w:t xml:space="preserve"> are </w:t>
      </w:r>
      <w:r w:rsidR="005F131C">
        <w:rPr>
          <w:rFonts w:cs="Arial"/>
          <w:szCs w:val="22"/>
        </w:rPr>
        <w:t xml:space="preserve">listed in Exhibit 2. </w:t>
      </w:r>
    </w:p>
    <w:p w:rsidR="00D97E12" w:rsidRDefault="00D97E12" w14:paraId="2A9B6744" w14:textId="77777777">
      <w:pPr>
        <w:numPr>
          <w:ilvl w:val="12"/>
          <w:numId w:val="0"/>
        </w:numPr>
        <w:tabs>
          <w:tab w:val="left" w:pos="0"/>
          <w:tab w:val="left" w:pos="720"/>
          <w:tab w:val="left" w:pos="1440"/>
          <w:tab w:val="left" w:pos="2160"/>
        </w:tabs>
        <w:rPr>
          <w:rFonts w:cs="Arial"/>
          <w:szCs w:val="22"/>
        </w:rPr>
      </w:pPr>
      <w:bookmarkStart w:name="_Hlk33517720" w:id="5"/>
    </w:p>
    <w:p w:rsidRPr="000C5175" w:rsidR="000C5175" w:rsidP="000C5175" w:rsidRDefault="00F30302" w14:paraId="79432C5C" w14:textId="77777777">
      <w:pPr>
        <w:numPr>
          <w:ilvl w:val="12"/>
          <w:numId w:val="0"/>
        </w:numPr>
        <w:tabs>
          <w:tab w:val="left" w:pos="0"/>
          <w:tab w:val="left" w:pos="720"/>
          <w:tab w:val="left" w:pos="1440"/>
          <w:tab w:val="left" w:pos="2160"/>
        </w:tabs>
        <w:jc w:val="center"/>
        <w:rPr>
          <w:rFonts w:cs="Arial"/>
          <w:b/>
          <w:szCs w:val="22"/>
        </w:rPr>
      </w:pPr>
      <w:r w:rsidRPr="000C5175">
        <w:rPr>
          <w:rFonts w:cs="Arial"/>
          <w:b/>
          <w:szCs w:val="22"/>
        </w:rPr>
        <w:t>Exhibit</w:t>
      </w:r>
      <w:r w:rsidRPr="000C5175" w:rsidR="00E131FC">
        <w:rPr>
          <w:rFonts w:cs="Arial"/>
          <w:b/>
          <w:szCs w:val="22"/>
        </w:rPr>
        <w:t xml:space="preserve"> 2</w:t>
      </w:r>
    </w:p>
    <w:p w:rsidRPr="000C5175" w:rsidR="00A60C64" w:rsidP="000C5175" w:rsidRDefault="00D97E12" w14:paraId="1811BEF9" w14:textId="2109C88C">
      <w:pPr>
        <w:numPr>
          <w:ilvl w:val="12"/>
          <w:numId w:val="0"/>
        </w:numPr>
        <w:tabs>
          <w:tab w:val="left" w:pos="0"/>
          <w:tab w:val="left" w:pos="720"/>
          <w:tab w:val="left" w:pos="1440"/>
          <w:tab w:val="left" w:pos="2160"/>
        </w:tabs>
        <w:jc w:val="center"/>
        <w:rPr>
          <w:rFonts w:cs="Arial"/>
          <w:b/>
          <w:szCs w:val="22"/>
        </w:rPr>
      </w:pPr>
      <w:r w:rsidRPr="000C5175">
        <w:rPr>
          <w:rFonts w:cs="Arial"/>
          <w:b/>
          <w:szCs w:val="22"/>
        </w:rPr>
        <w:t>Reporting and Recordkeeping Requirements for 40 CFR part 112</w:t>
      </w:r>
    </w:p>
    <w:tbl>
      <w:tblPr>
        <w:tblStyle w:val="TableGrid"/>
        <w:tblW w:w="10255" w:type="dxa"/>
        <w:tblLook w:val="04A0" w:firstRow="1" w:lastRow="0" w:firstColumn="1" w:lastColumn="0" w:noHBand="0" w:noVBand="1"/>
      </w:tblPr>
      <w:tblGrid>
        <w:gridCol w:w="4495"/>
        <w:gridCol w:w="5760"/>
      </w:tblGrid>
      <w:tr w:rsidRPr="005F131C" w:rsidR="005166A1" w:rsidTr="006E12BA" w14:paraId="7B070C41" w14:textId="77777777">
        <w:trPr>
          <w:trHeight w:val="395"/>
        </w:trPr>
        <w:tc>
          <w:tcPr>
            <w:tcW w:w="4495" w:type="dxa"/>
            <w:vAlign w:val="bottom"/>
          </w:tcPr>
          <w:p w:rsidRPr="004E0528" w:rsidR="005166A1" w:rsidP="006E12BA" w:rsidRDefault="005166A1" w14:paraId="51CA6BF7" w14:textId="11A2EF4A">
            <w:pPr>
              <w:numPr>
                <w:ilvl w:val="12"/>
                <w:numId w:val="0"/>
              </w:numPr>
              <w:tabs>
                <w:tab w:val="left" w:pos="0"/>
                <w:tab w:val="left" w:pos="720"/>
                <w:tab w:val="left" w:pos="1440"/>
                <w:tab w:val="left" w:pos="2160"/>
              </w:tabs>
              <w:rPr>
                <w:rFonts w:cs="Arial"/>
                <w:b/>
                <w:szCs w:val="22"/>
              </w:rPr>
            </w:pPr>
            <w:r w:rsidRPr="004E0528">
              <w:rPr>
                <w:rFonts w:cs="Arial"/>
                <w:b/>
                <w:szCs w:val="22"/>
              </w:rPr>
              <w:t>Citation</w:t>
            </w:r>
          </w:p>
        </w:tc>
        <w:tc>
          <w:tcPr>
            <w:tcW w:w="5760" w:type="dxa"/>
            <w:vAlign w:val="bottom"/>
          </w:tcPr>
          <w:p w:rsidRPr="005F131C" w:rsidR="005166A1" w:rsidP="006E12BA" w:rsidRDefault="005166A1" w14:paraId="5D9CB753" w14:textId="038FCE32">
            <w:pPr>
              <w:numPr>
                <w:ilvl w:val="12"/>
                <w:numId w:val="0"/>
              </w:numPr>
              <w:tabs>
                <w:tab w:val="left" w:pos="0"/>
                <w:tab w:val="left" w:pos="720"/>
                <w:tab w:val="left" w:pos="1440"/>
                <w:tab w:val="left" w:pos="2160"/>
              </w:tabs>
              <w:rPr>
                <w:rFonts w:cs="Arial"/>
                <w:b/>
                <w:szCs w:val="22"/>
              </w:rPr>
            </w:pPr>
            <w:r w:rsidRPr="00C41069">
              <w:rPr>
                <w:rFonts w:cs="Arial"/>
                <w:b/>
                <w:szCs w:val="22"/>
              </w:rPr>
              <w:t>Reporting and/or Rec</w:t>
            </w:r>
            <w:r w:rsidRPr="005F131C">
              <w:rPr>
                <w:rFonts w:cs="Arial"/>
                <w:b/>
                <w:szCs w:val="22"/>
              </w:rPr>
              <w:t>ordkeeping Requirement</w:t>
            </w:r>
          </w:p>
        </w:tc>
      </w:tr>
      <w:tr w:rsidRPr="005F131C" w:rsidR="005166A1" w:rsidTr="006E12BA" w14:paraId="5DBB55F2" w14:textId="77777777">
        <w:trPr>
          <w:trHeight w:val="282"/>
        </w:trPr>
        <w:tc>
          <w:tcPr>
            <w:tcW w:w="4495" w:type="dxa"/>
          </w:tcPr>
          <w:p w:rsidRPr="006E12BA" w:rsidR="005166A1" w:rsidRDefault="005166A1" w14:paraId="201A7949" w14:textId="1BF6EB38">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part 112.3 and 112.7</w:t>
            </w:r>
          </w:p>
        </w:tc>
        <w:tc>
          <w:tcPr>
            <w:tcW w:w="5760" w:type="dxa"/>
          </w:tcPr>
          <w:p w:rsidRPr="006E12BA" w:rsidR="005166A1" w:rsidP="00514E29" w:rsidRDefault="005166A1" w14:paraId="32ABB88B" w14:textId="4305F73B">
            <w:pPr>
              <w:numPr>
                <w:ilvl w:val="12"/>
                <w:numId w:val="0"/>
              </w:numPr>
              <w:tabs>
                <w:tab w:val="left" w:pos="0"/>
                <w:tab w:val="left" w:pos="720"/>
                <w:tab w:val="left" w:pos="1440"/>
                <w:tab w:val="left" w:pos="2160"/>
              </w:tabs>
              <w:rPr>
                <w:rFonts w:cs="Arial"/>
                <w:sz w:val="20"/>
                <w:szCs w:val="20"/>
              </w:rPr>
            </w:pPr>
            <w:r w:rsidRPr="006E12BA">
              <w:rPr>
                <w:rFonts w:cs="Arial"/>
                <w:sz w:val="20"/>
                <w:szCs w:val="20"/>
              </w:rPr>
              <w:t>Prepare an SPCC Plan</w:t>
            </w:r>
          </w:p>
        </w:tc>
      </w:tr>
      <w:tr w:rsidRPr="005F131C" w:rsidR="00F65327" w:rsidTr="006E12BA" w14:paraId="527C2626" w14:textId="77777777">
        <w:trPr>
          <w:trHeight w:val="282"/>
        </w:trPr>
        <w:tc>
          <w:tcPr>
            <w:tcW w:w="4495" w:type="dxa"/>
          </w:tcPr>
          <w:p w:rsidRPr="006E12BA" w:rsidR="00F65327" w:rsidP="00F65327" w:rsidRDefault="00F65327" w14:paraId="44592E69" w14:textId="77777777">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part 112. 7(c)</w:t>
            </w:r>
          </w:p>
          <w:p w:rsidRPr="006E12BA" w:rsidR="00F65327" w:rsidP="00F65327" w:rsidRDefault="00F65327" w14:paraId="2C5648FD" w14:textId="77777777">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part 112.7(h)(1)</w:t>
            </w:r>
          </w:p>
          <w:p w:rsidRPr="006E12BA" w:rsidR="00F65327" w:rsidP="00F65327" w:rsidRDefault="00F65327" w14:paraId="053AD965" w14:textId="77777777">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part 112.8(c)(2)</w:t>
            </w:r>
          </w:p>
          <w:p w:rsidRPr="006E12BA" w:rsidR="00F65327" w:rsidP="00F65327" w:rsidRDefault="00F65327" w14:paraId="3DB2B61B" w14:textId="77777777">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part 112.8(c)(11)</w:t>
            </w:r>
          </w:p>
          <w:p w:rsidRPr="006E12BA" w:rsidR="00F65327" w:rsidP="00F65327" w:rsidRDefault="00F65327" w14:paraId="0C010F6A" w14:textId="77777777">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part 112.9(c)(2)</w:t>
            </w:r>
          </w:p>
          <w:p w:rsidRPr="006E12BA" w:rsidR="00F65327" w:rsidP="00F65327" w:rsidRDefault="00F65327" w14:paraId="1FB914AD" w14:textId="77777777">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part 112.10(c)</w:t>
            </w:r>
          </w:p>
          <w:p w:rsidRPr="006E12BA" w:rsidR="00F65327" w:rsidP="00F65327" w:rsidRDefault="00F65327" w14:paraId="162CBE66" w14:textId="78B72DFF">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part 112.12(c)(2)</w:t>
            </w:r>
            <w:r w:rsidRPr="006E12BA" w:rsidR="000C5175">
              <w:rPr>
                <w:rFonts w:cs="Arial"/>
                <w:sz w:val="20"/>
                <w:szCs w:val="20"/>
              </w:rPr>
              <w:t xml:space="preserve"> and/or 112.12(c)(11))</w:t>
            </w:r>
          </w:p>
        </w:tc>
        <w:tc>
          <w:tcPr>
            <w:tcW w:w="5760" w:type="dxa"/>
          </w:tcPr>
          <w:p w:rsidRPr="006E12BA" w:rsidR="00F65327" w:rsidP="00F65327" w:rsidRDefault="00F65327" w14:paraId="4D911915" w14:textId="2CAB2DAE">
            <w:pPr>
              <w:numPr>
                <w:ilvl w:val="12"/>
                <w:numId w:val="0"/>
              </w:numPr>
              <w:tabs>
                <w:tab w:val="left" w:pos="0"/>
                <w:tab w:val="left" w:pos="720"/>
                <w:tab w:val="left" w:pos="1440"/>
                <w:tab w:val="left" w:pos="2160"/>
              </w:tabs>
              <w:rPr>
                <w:rFonts w:cs="Arial"/>
                <w:sz w:val="20"/>
                <w:szCs w:val="20"/>
              </w:rPr>
            </w:pPr>
            <w:r w:rsidRPr="006E12BA">
              <w:rPr>
                <w:rFonts w:cs="Arial"/>
                <w:sz w:val="20"/>
                <w:szCs w:val="20"/>
              </w:rPr>
              <w:t>Prepare a Contingency Plan</w:t>
            </w:r>
          </w:p>
        </w:tc>
      </w:tr>
      <w:tr w:rsidRPr="005F131C" w:rsidR="00F65327" w:rsidTr="006E12BA" w14:paraId="203206D1" w14:textId="77777777">
        <w:trPr>
          <w:trHeight w:val="282"/>
        </w:trPr>
        <w:tc>
          <w:tcPr>
            <w:tcW w:w="4495" w:type="dxa"/>
          </w:tcPr>
          <w:p w:rsidRPr="006E12BA" w:rsidR="00F65327" w:rsidP="00F65327" w:rsidRDefault="00F65327" w14:paraId="17050D66" w14:textId="22C115D4">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112.5(b)</w:t>
            </w:r>
          </w:p>
        </w:tc>
        <w:tc>
          <w:tcPr>
            <w:tcW w:w="5760" w:type="dxa"/>
          </w:tcPr>
          <w:p w:rsidRPr="006E12BA" w:rsidR="00F65327" w:rsidP="00F65327" w:rsidRDefault="00F65327" w14:paraId="37DFCFC2" w14:textId="646F281A">
            <w:pPr>
              <w:numPr>
                <w:ilvl w:val="12"/>
                <w:numId w:val="0"/>
              </w:numPr>
              <w:tabs>
                <w:tab w:val="left" w:pos="0"/>
                <w:tab w:val="left" w:pos="720"/>
                <w:tab w:val="left" w:pos="1440"/>
                <w:tab w:val="left" w:pos="2160"/>
              </w:tabs>
              <w:rPr>
                <w:rFonts w:cs="Arial"/>
                <w:sz w:val="20"/>
                <w:szCs w:val="20"/>
              </w:rPr>
            </w:pPr>
            <w:r w:rsidRPr="006E12BA">
              <w:rPr>
                <w:rFonts w:cs="Arial"/>
                <w:sz w:val="20"/>
                <w:szCs w:val="20"/>
              </w:rPr>
              <w:t>Review the SPCC Plan</w:t>
            </w:r>
          </w:p>
        </w:tc>
      </w:tr>
      <w:tr w:rsidRPr="005F131C" w:rsidR="00F65327" w:rsidTr="006E12BA" w14:paraId="763A5CD9" w14:textId="77777777">
        <w:trPr>
          <w:trHeight w:val="282"/>
        </w:trPr>
        <w:tc>
          <w:tcPr>
            <w:tcW w:w="4495" w:type="dxa"/>
          </w:tcPr>
          <w:p w:rsidRPr="006E12BA" w:rsidR="00F65327" w:rsidP="00F65327" w:rsidRDefault="00F65327" w14:paraId="00095C74" w14:textId="29AE4944">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112.4(a)</w:t>
            </w:r>
          </w:p>
        </w:tc>
        <w:tc>
          <w:tcPr>
            <w:tcW w:w="5760" w:type="dxa"/>
          </w:tcPr>
          <w:p w:rsidRPr="006E12BA" w:rsidR="00F65327" w:rsidP="00F65327" w:rsidRDefault="00F65327" w14:paraId="022C837E" w14:textId="6D5393F9">
            <w:pPr>
              <w:numPr>
                <w:ilvl w:val="12"/>
                <w:numId w:val="0"/>
              </w:numPr>
              <w:tabs>
                <w:tab w:val="left" w:pos="0"/>
                <w:tab w:val="left" w:pos="720"/>
                <w:tab w:val="left" w:pos="1440"/>
                <w:tab w:val="left" w:pos="2160"/>
              </w:tabs>
              <w:rPr>
                <w:rFonts w:cs="Arial"/>
                <w:sz w:val="20"/>
                <w:szCs w:val="20"/>
              </w:rPr>
            </w:pPr>
            <w:r w:rsidRPr="006E12BA">
              <w:rPr>
                <w:rFonts w:cs="Arial"/>
                <w:sz w:val="20"/>
                <w:szCs w:val="20"/>
              </w:rPr>
              <w:t>Submit Information in the Event of Certain Discharges of Oil</w:t>
            </w:r>
          </w:p>
        </w:tc>
      </w:tr>
      <w:tr w:rsidRPr="005F131C" w:rsidR="00F65327" w:rsidTr="006E12BA" w14:paraId="0A628256" w14:textId="77777777">
        <w:trPr>
          <w:trHeight w:val="282"/>
        </w:trPr>
        <w:tc>
          <w:tcPr>
            <w:tcW w:w="4495" w:type="dxa"/>
          </w:tcPr>
          <w:p w:rsidRPr="006E12BA" w:rsidR="00F65327" w:rsidP="00F65327" w:rsidRDefault="00F65327" w14:paraId="1209494D" w14:textId="5ADB34A1">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112.5(a)</w:t>
            </w:r>
          </w:p>
        </w:tc>
        <w:tc>
          <w:tcPr>
            <w:tcW w:w="5760" w:type="dxa"/>
          </w:tcPr>
          <w:p w:rsidRPr="006E12BA" w:rsidR="00F65327" w:rsidP="00F65327" w:rsidRDefault="00F65327" w14:paraId="094DD7F5" w14:textId="7F2E4016">
            <w:pPr>
              <w:numPr>
                <w:ilvl w:val="12"/>
                <w:numId w:val="0"/>
              </w:numPr>
              <w:tabs>
                <w:tab w:val="left" w:pos="0"/>
                <w:tab w:val="left" w:pos="720"/>
                <w:tab w:val="left" w:pos="1440"/>
                <w:tab w:val="left" w:pos="2160"/>
              </w:tabs>
              <w:rPr>
                <w:rFonts w:cs="Arial"/>
                <w:sz w:val="20"/>
                <w:szCs w:val="20"/>
              </w:rPr>
            </w:pPr>
            <w:r w:rsidRPr="006E12BA">
              <w:rPr>
                <w:rFonts w:cs="Arial"/>
                <w:sz w:val="20"/>
                <w:szCs w:val="20"/>
              </w:rPr>
              <w:t xml:space="preserve">Revise the SPCC Plan </w:t>
            </w:r>
          </w:p>
        </w:tc>
      </w:tr>
      <w:tr w:rsidRPr="005F131C" w:rsidR="00F65327" w:rsidTr="006E12BA" w14:paraId="5393E047" w14:textId="77777777">
        <w:trPr>
          <w:trHeight w:val="282"/>
        </w:trPr>
        <w:tc>
          <w:tcPr>
            <w:tcW w:w="4495" w:type="dxa"/>
          </w:tcPr>
          <w:p w:rsidRPr="006E12BA" w:rsidR="00F65327" w:rsidP="00F65327" w:rsidRDefault="00F65327" w14:paraId="047EB37F" w14:textId="36F7ABBE">
            <w:pPr>
              <w:numPr>
                <w:ilvl w:val="12"/>
                <w:numId w:val="0"/>
              </w:numPr>
              <w:tabs>
                <w:tab w:val="left" w:pos="0"/>
                <w:tab w:val="left" w:pos="720"/>
                <w:tab w:val="left" w:pos="1440"/>
                <w:tab w:val="left" w:pos="2160"/>
              </w:tabs>
              <w:rPr>
                <w:rFonts w:cs="Arial"/>
                <w:sz w:val="20"/>
                <w:szCs w:val="20"/>
              </w:rPr>
            </w:pPr>
            <w:r w:rsidRPr="006E12BA">
              <w:rPr>
                <w:rFonts w:cs="Arial"/>
                <w:sz w:val="20"/>
                <w:szCs w:val="20"/>
              </w:rPr>
              <w:t>40 CFR 112.3 and 112.7(e)</w:t>
            </w:r>
          </w:p>
        </w:tc>
        <w:tc>
          <w:tcPr>
            <w:tcW w:w="5760" w:type="dxa"/>
          </w:tcPr>
          <w:p w:rsidRPr="006E12BA" w:rsidR="00F65327" w:rsidP="00F65327" w:rsidRDefault="00F65327" w14:paraId="0BB8B581" w14:textId="1561340D">
            <w:pPr>
              <w:numPr>
                <w:ilvl w:val="12"/>
                <w:numId w:val="0"/>
              </w:numPr>
              <w:tabs>
                <w:tab w:val="left" w:pos="0"/>
                <w:tab w:val="left" w:pos="720"/>
                <w:tab w:val="left" w:pos="1440"/>
                <w:tab w:val="left" w:pos="2160"/>
              </w:tabs>
              <w:rPr>
                <w:rFonts w:cs="Arial"/>
                <w:sz w:val="20"/>
                <w:szCs w:val="20"/>
              </w:rPr>
            </w:pPr>
            <w:r w:rsidRPr="006E12BA">
              <w:rPr>
                <w:rFonts w:cs="Arial"/>
                <w:sz w:val="20"/>
                <w:szCs w:val="20"/>
              </w:rPr>
              <w:t>Maintain the SPCC Plan and keep records</w:t>
            </w:r>
          </w:p>
        </w:tc>
      </w:tr>
      <w:tr w:rsidRPr="005F131C" w:rsidR="00F65327" w:rsidTr="006E12BA" w14:paraId="6EC24ABB" w14:textId="77777777">
        <w:trPr>
          <w:trHeight w:val="282"/>
        </w:trPr>
        <w:tc>
          <w:tcPr>
            <w:tcW w:w="4495" w:type="dxa"/>
            <w:vAlign w:val="bottom"/>
          </w:tcPr>
          <w:p w:rsidRPr="006E12BA" w:rsidR="00F65327" w:rsidP="006E12BA" w:rsidRDefault="00F65327" w14:paraId="3583C115" w14:textId="37EBC0B9">
            <w:pPr>
              <w:numPr>
                <w:ilvl w:val="12"/>
                <w:numId w:val="0"/>
              </w:numPr>
              <w:rPr>
                <w:rFonts w:cs="Arial"/>
                <w:sz w:val="20"/>
                <w:szCs w:val="20"/>
              </w:rPr>
            </w:pPr>
            <w:r w:rsidRPr="006E12BA">
              <w:rPr>
                <w:rFonts w:cs="Arial"/>
                <w:sz w:val="20"/>
                <w:szCs w:val="20"/>
              </w:rPr>
              <w:t>40 CFR 112.5(a)</w:t>
            </w:r>
          </w:p>
        </w:tc>
        <w:tc>
          <w:tcPr>
            <w:tcW w:w="5760" w:type="dxa"/>
          </w:tcPr>
          <w:p w:rsidRPr="006E12BA" w:rsidR="00F65327" w:rsidP="00F65327" w:rsidRDefault="00F65327" w14:paraId="1A931B59" w14:textId="320AB575">
            <w:pPr>
              <w:numPr>
                <w:ilvl w:val="12"/>
                <w:numId w:val="0"/>
              </w:numPr>
              <w:tabs>
                <w:tab w:val="left" w:pos="0"/>
                <w:tab w:val="left" w:pos="720"/>
                <w:tab w:val="left" w:pos="1440"/>
                <w:tab w:val="left" w:pos="2160"/>
              </w:tabs>
              <w:rPr>
                <w:rFonts w:cs="Arial"/>
                <w:sz w:val="20"/>
                <w:szCs w:val="20"/>
              </w:rPr>
            </w:pPr>
            <w:r w:rsidRPr="006E12BA">
              <w:rPr>
                <w:rFonts w:cs="Arial"/>
                <w:sz w:val="20"/>
                <w:szCs w:val="20"/>
              </w:rPr>
              <w:t>Revise the SPCC Plan following a material modification of the facility</w:t>
            </w:r>
          </w:p>
        </w:tc>
      </w:tr>
    </w:tbl>
    <w:p w:rsidRPr="00D905C0" w:rsidR="00D85665" w:rsidP="00D905C0" w:rsidRDefault="00D85665" w14:paraId="448980C8" w14:textId="6E90B086">
      <w:pPr>
        <w:tabs>
          <w:tab w:val="left" w:pos="0"/>
          <w:tab w:val="left" w:pos="720"/>
          <w:tab w:val="left" w:pos="2160"/>
        </w:tabs>
        <w:rPr>
          <w:rFonts w:cs="Arial"/>
          <w:szCs w:val="22"/>
        </w:rPr>
      </w:pPr>
      <w:bookmarkStart w:name="_Hlk33517862" w:id="6"/>
      <w:bookmarkEnd w:id="5"/>
    </w:p>
    <w:bookmarkEnd w:id="6"/>
    <w:p w:rsidR="008B4A2A" w:rsidP="009854BC" w:rsidRDefault="008B4A2A" w14:paraId="6A153EA7" w14:textId="77777777">
      <w:pPr>
        <w:pStyle w:val="ListParagraph"/>
        <w:tabs>
          <w:tab w:val="left" w:pos="0"/>
          <w:tab w:val="left" w:pos="720"/>
          <w:tab w:val="left" w:pos="2160"/>
        </w:tabs>
        <w:rPr>
          <w:rFonts w:cs="Arial"/>
          <w:szCs w:val="22"/>
        </w:rPr>
      </w:pPr>
    </w:p>
    <w:p w:rsidRPr="00854FC2" w:rsidR="00D85665" w:rsidP="00882BCD" w:rsidRDefault="00D85665" w14:paraId="14C2A46F" w14:textId="3843548B">
      <w:pPr>
        <w:numPr>
          <w:ilvl w:val="12"/>
          <w:numId w:val="0"/>
        </w:numPr>
        <w:ind w:firstLine="720"/>
        <w:rPr>
          <w:rFonts w:cs="Arial"/>
          <w:szCs w:val="22"/>
        </w:rPr>
      </w:pPr>
      <w:r w:rsidRPr="00854FC2">
        <w:rPr>
          <w:rFonts w:cs="Arial"/>
          <w:szCs w:val="22"/>
        </w:rPr>
        <w:t xml:space="preserve">Each of these </w:t>
      </w:r>
      <w:r w:rsidR="003C7360">
        <w:rPr>
          <w:rFonts w:cs="Arial"/>
          <w:szCs w:val="22"/>
        </w:rPr>
        <w:t>requirements</w:t>
      </w:r>
      <w:r w:rsidR="00D97E12">
        <w:rPr>
          <w:rFonts w:cs="Arial"/>
          <w:szCs w:val="22"/>
        </w:rPr>
        <w:t xml:space="preserve"> in </w:t>
      </w:r>
      <w:r w:rsidR="00E74051">
        <w:rPr>
          <w:rFonts w:cs="Arial"/>
          <w:szCs w:val="22"/>
        </w:rPr>
        <w:t xml:space="preserve">Exhibit 2 </w:t>
      </w:r>
      <w:r w:rsidR="00D97E12">
        <w:rPr>
          <w:rFonts w:cs="Arial"/>
          <w:szCs w:val="22"/>
        </w:rPr>
        <w:t>are</w:t>
      </w:r>
      <w:r w:rsidR="003C7360">
        <w:rPr>
          <w:rFonts w:cs="Arial"/>
          <w:szCs w:val="22"/>
        </w:rPr>
        <w:t xml:space="preserve"> summarized below</w:t>
      </w:r>
      <w:r w:rsidR="00166694">
        <w:rPr>
          <w:rFonts w:cs="Arial"/>
          <w:szCs w:val="22"/>
        </w:rPr>
        <w:t>.</w:t>
      </w:r>
    </w:p>
    <w:p w:rsidRPr="00854FC2" w:rsidR="00D85665" w:rsidRDefault="00D85665" w14:paraId="0A2AF7D1" w14:textId="77777777">
      <w:pPr>
        <w:numPr>
          <w:ilvl w:val="12"/>
          <w:numId w:val="0"/>
        </w:numPr>
        <w:rPr>
          <w:rFonts w:cs="Arial"/>
          <w:szCs w:val="22"/>
        </w:rPr>
      </w:pPr>
    </w:p>
    <w:p w:rsidR="00D85665" w:rsidP="007355B5" w:rsidRDefault="00D85665" w14:paraId="2D71B6F6" w14:textId="2662E07B">
      <w:pPr>
        <w:pStyle w:val="Heading4"/>
        <w:numPr>
          <w:ilvl w:val="0"/>
          <w:numId w:val="31"/>
        </w:numPr>
        <w:rPr>
          <w:b w:val="0"/>
          <w:i w:val="0"/>
        </w:rPr>
      </w:pPr>
      <w:r w:rsidRPr="007355B5">
        <w:rPr>
          <w:b w:val="0"/>
          <w:i w:val="0"/>
        </w:rPr>
        <w:t>Prepare an SPCC Plan</w:t>
      </w:r>
    </w:p>
    <w:p w:rsidRPr="000C5175" w:rsidR="000C5175" w:rsidP="000C5175" w:rsidRDefault="000C5175" w14:paraId="3A4A945E" w14:textId="77777777"/>
    <w:p w:rsidR="00F65327" w:rsidP="000C5175" w:rsidRDefault="00D85665" w14:paraId="1B960793" w14:textId="29AE8615">
      <w:pPr>
        <w:pStyle w:val="BodyText"/>
        <w:numPr>
          <w:ilvl w:val="12"/>
          <w:numId w:val="0"/>
        </w:numPr>
        <w:ind w:firstLine="720"/>
      </w:pPr>
      <w:r w:rsidRPr="00854FC2">
        <w:t xml:space="preserve">The owner or operator of a new </w:t>
      </w:r>
      <w:r w:rsidR="009C3332">
        <w:t xml:space="preserve">non-production </w:t>
      </w:r>
      <w:r w:rsidRPr="00854FC2">
        <w:t xml:space="preserve">facility must prepare and implement an SPCC Plan in accordance with the guidelines set forth in 40 CFR part 112 </w:t>
      </w:r>
      <w:r w:rsidRPr="00FB1AA8">
        <w:t>before beginning operations</w:t>
      </w:r>
      <w:r w:rsidR="007C68BC">
        <w:t xml:space="preserve"> (excluding oil production facilities)</w:t>
      </w:r>
      <w:r w:rsidRPr="00FB1AA8">
        <w:t>.</w:t>
      </w:r>
      <w:r w:rsidR="007C68BC">
        <w:t xml:space="preserve"> The owner or operator of a production facility has six months after beginning operations to prepare and implement an </w:t>
      </w:r>
      <w:r w:rsidR="00AE4A7B">
        <w:t>S</w:t>
      </w:r>
      <w:r w:rsidR="007C68BC">
        <w:t>PCC Plan</w:t>
      </w:r>
      <w:r w:rsidRPr="00FB1AA8">
        <w:t xml:space="preserve">. </w:t>
      </w:r>
    </w:p>
    <w:p w:rsidR="00F65327" w:rsidP="007355B5" w:rsidRDefault="00F65327" w14:paraId="0975590E" w14:textId="77777777">
      <w:pPr>
        <w:pStyle w:val="BodyText"/>
        <w:numPr>
          <w:ilvl w:val="12"/>
          <w:numId w:val="0"/>
        </w:numPr>
      </w:pPr>
    </w:p>
    <w:p w:rsidRPr="00854FC2" w:rsidR="00D85665" w:rsidP="000C5175" w:rsidRDefault="00D85665" w14:paraId="48618A85" w14:textId="576E0370">
      <w:pPr>
        <w:pStyle w:val="BodyText"/>
        <w:numPr>
          <w:ilvl w:val="12"/>
          <w:numId w:val="0"/>
        </w:numPr>
        <w:ind w:firstLine="720"/>
      </w:pPr>
      <w:r w:rsidRPr="00FB1AA8">
        <w:t xml:space="preserve">The actual preparation of the Plan </w:t>
      </w:r>
      <w:r w:rsidR="009C3332">
        <w:t xml:space="preserve">may </w:t>
      </w:r>
      <w:r w:rsidRPr="00FB1AA8">
        <w:t>involve</w:t>
      </w:r>
      <w:r w:rsidRPr="00854FC2">
        <w:t xml:space="preserve"> several tasks</w:t>
      </w:r>
      <w:r w:rsidR="00F65327">
        <w:t>,</w:t>
      </w:r>
      <w:r w:rsidRPr="00854FC2">
        <w:t xml:space="preserve"> which c</w:t>
      </w:r>
      <w:r w:rsidR="00D438FB">
        <w:t xml:space="preserve">an </w:t>
      </w:r>
      <w:r w:rsidRPr="00854FC2">
        <w:t xml:space="preserve">be conducted by the facility’s technical personnel or </w:t>
      </w:r>
      <w:r w:rsidR="000C5175">
        <w:t>Professional Engineers (</w:t>
      </w:r>
      <w:r w:rsidR="0087552B">
        <w:t>P</w:t>
      </w:r>
      <w:r w:rsidR="00AE4A7B">
        <w:t>E</w:t>
      </w:r>
      <w:r w:rsidR="0087552B">
        <w:t>s</w:t>
      </w:r>
      <w:r w:rsidR="000C5175">
        <w:t>)</w:t>
      </w:r>
      <w:r w:rsidR="003F6507">
        <w:t xml:space="preserve">. </w:t>
      </w:r>
      <w:r w:rsidRPr="00854FC2">
        <w:t>These tasks include:</w:t>
      </w:r>
    </w:p>
    <w:p w:rsidRPr="00854FC2" w:rsidR="00D85665" w:rsidRDefault="00D85665" w14:paraId="610BFC23" w14:textId="77777777">
      <w:pPr>
        <w:numPr>
          <w:ilvl w:val="12"/>
          <w:numId w:val="0"/>
        </w:numPr>
        <w:rPr>
          <w:rFonts w:cs="Arial"/>
          <w:szCs w:val="22"/>
        </w:rPr>
      </w:pPr>
    </w:p>
    <w:p w:rsidRPr="00A77EFF" w:rsidR="00D85665" w:rsidP="000A5DDB" w:rsidRDefault="00D85665" w14:paraId="23D4B32B" w14:textId="150FFE88">
      <w:pPr>
        <w:pStyle w:val="Level1"/>
        <w:numPr>
          <w:ilvl w:val="0"/>
          <w:numId w:val="13"/>
        </w:numPr>
        <w:rPr>
          <w:rFonts w:cs="Arial"/>
          <w:szCs w:val="22"/>
        </w:rPr>
      </w:pPr>
      <w:r w:rsidRPr="00A77EFF">
        <w:rPr>
          <w:rFonts w:cs="Arial"/>
          <w:szCs w:val="22"/>
          <w:u w:val="single"/>
        </w:rPr>
        <w:t>Field investigations</w:t>
      </w:r>
      <w:r w:rsidRPr="00A77EFF">
        <w:rPr>
          <w:rFonts w:cs="Arial"/>
          <w:szCs w:val="22"/>
        </w:rPr>
        <w:t xml:space="preserve"> conducted to fully understand the design of the facility and to accurately predict the areas or equipment most likely to discharge oil (</w:t>
      </w:r>
      <w:r w:rsidR="00D438FB">
        <w:rPr>
          <w:rFonts w:cs="Arial"/>
          <w:szCs w:val="22"/>
        </w:rPr>
        <w:t xml:space="preserve">e.g., to </w:t>
      </w:r>
      <w:r w:rsidRPr="00A77EFF">
        <w:rPr>
          <w:rFonts w:cs="Arial"/>
          <w:szCs w:val="22"/>
        </w:rPr>
        <w:t>predict the flow paths of spilled oil);</w:t>
      </w:r>
    </w:p>
    <w:p w:rsidRPr="00A77EFF" w:rsidR="00D85665" w:rsidRDefault="00D85665" w14:paraId="31EA340A" w14:textId="77777777">
      <w:pPr>
        <w:numPr>
          <w:ilvl w:val="12"/>
          <w:numId w:val="0"/>
        </w:numPr>
        <w:rPr>
          <w:rFonts w:cs="Arial"/>
          <w:szCs w:val="22"/>
        </w:rPr>
      </w:pPr>
    </w:p>
    <w:p w:rsidRPr="00A77EFF" w:rsidR="00D85665" w:rsidP="000A5DDB" w:rsidRDefault="006F6C6A" w14:paraId="00DB3F0D" w14:textId="78259114">
      <w:pPr>
        <w:pStyle w:val="Level1"/>
        <w:numPr>
          <w:ilvl w:val="0"/>
          <w:numId w:val="13"/>
        </w:numPr>
        <w:rPr>
          <w:rFonts w:cs="Arial"/>
          <w:szCs w:val="22"/>
        </w:rPr>
      </w:pPr>
      <w:r>
        <w:rPr>
          <w:rFonts w:cs="Arial"/>
          <w:szCs w:val="22"/>
          <w:u w:val="single"/>
        </w:rPr>
        <w:t>R</w:t>
      </w:r>
      <w:r w:rsidRPr="00A77EFF">
        <w:rPr>
          <w:rFonts w:cs="Arial"/>
          <w:szCs w:val="22"/>
          <w:u w:val="single"/>
        </w:rPr>
        <w:t>egulatory</w:t>
      </w:r>
      <w:r w:rsidRPr="00A77EFF" w:rsidR="00D85665">
        <w:rPr>
          <w:rFonts w:cs="Arial"/>
          <w:szCs w:val="22"/>
          <w:u w:val="single"/>
        </w:rPr>
        <w:t xml:space="preserve"> review</w:t>
      </w:r>
      <w:r w:rsidRPr="00A77EFF" w:rsidR="00D85665">
        <w:rPr>
          <w:rFonts w:cs="Arial"/>
          <w:szCs w:val="22"/>
        </w:rPr>
        <w:t xml:space="preserve"> conducted by management personnel, such that the technical personnel in charge of preparing the Plan are fully aware of all requirements in 40 CFR part 112;</w:t>
      </w:r>
    </w:p>
    <w:p w:rsidRPr="00A77EFF" w:rsidR="00D85665" w:rsidRDefault="00D85665" w14:paraId="760E79E9" w14:textId="77777777">
      <w:pPr>
        <w:numPr>
          <w:ilvl w:val="12"/>
          <w:numId w:val="0"/>
        </w:numPr>
        <w:ind w:firstLine="2160"/>
        <w:rPr>
          <w:rFonts w:cs="Arial"/>
          <w:szCs w:val="22"/>
        </w:rPr>
      </w:pPr>
    </w:p>
    <w:p w:rsidRPr="00A77EFF" w:rsidR="00D85665" w:rsidP="000A5DDB" w:rsidRDefault="006F6C6A" w14:paraId="2467D596" w14:textId="0EAADC7C">
      <w:pPr>
        <w:pStyle w:val="Level1"/>
        <w:numPr>
          <w:ilvl w:val="0"/>
          <w:numId w:val="13"/>
        </w:numPr>
        <w:rPr>
          <w:rFonts w:cs="Arial"/>
          <w:szCs w:val="22"/>
        </w:rPr>
      </w:pPr>
      <w:r>
        <w:rPr>
          <w:rFonts w:cs="Arial"/>
          <w:szCs w:val="22"/>
          <w:u w:val="single"/>
        </w:rPr>
        <w:t>R</w:t>
      </w:r>
      <w:r w:rsidRPr="00A77EFF" w:rsidR="00D85665">
        <w:rPr>
          <w:rFonts w:cs="Arial"/>
          <w:szCs w:val="22"/>
          <w:u w:val="single"/>
        </w:rPr>
        <w:t>eview of existing procedures</w:t>
      </w:r>
      <w:r w:rsidRPr="00A77EFF" w:rsidR="00D85665">
        <w:rPr>
          <w:rFonts w:cs="Arial"/>
          <w:szCs w:val="22"/>
        </w:rPr>
        <w:t xml:space="preserve"> conducted to determine the effectiveness of the current spill prevention and control practices employed by the facility;</w:t>
      </w:r>
    </w:p>
    <w:p w:rsidRPr="00A77EFF" w:rsidR="00D85665" w:rsidRDefault="00D85665" w14:paraId="3E7996C3" w14:textId="77777777">
      <w:pPr>
        <w:numPr>
          <w:ilvl w:val="12"/>
          <w:numId w:val="0"/>
        </w:numPr>
        <w:ind w:firstLine="1440"/>
        <w:rPr>
          <w:rFonts w:cs="Arial"/>
          <w:szCs w:val="22"/>
        </w:rPr>
      </w:pPr>
    </w:p>
    <w:p w:rsidRPr="00854FC2" w:rsidR="00D85665" w:rsidP="000A5DDB" w:rsidRDefault="00D85665" w14:paraId="59998451" w14:textId="2DD2E206">
      <w:pPr>
        <w:pStyle w:val="Level1"/>
        <w:numPr>
          <w:ilvl w:val="0"/>
          <w:numId w:val="13"/>
        </w:numPr>
        <w:rPr>
          <w:rFonts w:cs="Arial"/>
          <w:szCs w:val="22"/>
        </w:rPr>
      </w:pPr>
      <w:r w:rsidRPr="00A77EFF">
        <w:rPr>
          <w:rFonts w:cs="Arial"/>
          <w:szCs w:val="22"/>
          <w:u w:val="single"/>
        </w:rPr>
        <w:t>Preparation of the Plan</w:t>
      </w:r>
      <w:r w:rsidR="00586FA7">
        <w:rPr>
          <w:rFonts w:cs="Arial"/>
          <w:szCs w:val="22"/>
          <w:u w:val="single"/>
        </w:rPr>
        <w:t>,</w:t>
      </w:r>
      <w:r w:rsidRPr="00854FC2">
        <w:rPr>
          <w:rFonts w:cs="Arial"/>
          <w:szCs w:val="22"/>
        </w:rPr>
        <w:t xml:space="preserve"> which involves both technical and clerical time, as well as a final review by facility management personnel prior to completion (</w:t>
      </w:r>
      <w:r w:rsidR="003B1B31">
        <w:rPr>
          <w:rFonts w:cs="Arial"/>
          <w:szCs w:val="22"/>
        </w:rPr>
        <w:t xml:space="preserve">this </w:t>
      </w:r>
      <w:r w:rsidRPr="00854FC2">
        <w:rPr>
          <w:rFonts w:cs="Arial"/>
          <w:szCs w:val="22"/>
        </w:rPr>
        <w:t>could also be performed by an engineering firm</w:t>
      </w:r>
      <w:proofErr w:type="gramStart"/>
      <w:r w:rsidRPr="00854FC2">
        <w:rPr>
          <w:rFonts w:cs="Arial"/>
          <w:szCs w:val="22"/>
        </w:rPr>
        <w:t>)</w:t>
      </w:r>
      <w:r w:rsidR="00D620E7">
        <w:rPr>
          <w:rFonts w:cs="Arial"/>
          <w:szCs w:val="22"/>
        </w:rPr>
        <w:t>, and</w:t>
      </w:r>
      <w:proofErr w:type="gramEnd"/>
      <w:r w:rsidR="00D620E7">
        <w:rPr>
          <w:rFonts w:cs="Arial"/>
          <w:szCs w:val="22"/>
        </w:rPr>
        <w:t xml:space="preserve"> includes plan amendments.</w:t>
      </w:r>
    </w:p>
    <w:p w:rsidR="00801E41" w:rsidP="00B82FCE" w:rsidRDefault="00801E41" w14:paraId="11F85E82" w14:textId="3C5BA596">
      <w:pPr>
        <w:pStyle w:val="Level1"/>
        <w:tabs>
          <w:tab w:val="left" w:pos="720"/>
        </w:tabs>
        <w:ind w:left="0"/>
        <w:rPr>
          <w:color w:val="000000"/>
        </w:rPr>
      </w:pPr>
    </w:p>
    <w:p w:rsidR="00133E4A" w:rsidP="00A304B5" w:rsidRDefault="009854BC" w14:paraId="5FB551A8" w14:textId="2228A4C3">
      <w:pPr>
        <w:pStyle w:val="Level1"/>
        <w:tabs>
          <w:tab w:val="left" w:pos="720"/>
        </w:tabs>
        <w:ind w:left="0"/>
        <w:rPr>
          <w:color w:val="000000"/>
        </w:rPr>
      </w:pPr>
      <w:r>
        <w:rPr>
          <w:color w:val="000000"/>
        </w:rPr>
        <w:tab/>
      </w:r>
      <w:r w:rsidR="0078276A">
        <w:rPr>
          <w:color w:val="000000"/>
        </w:rPr>
        <w:t>Generally, a</w:t>
      </w:r>
      <w:r w:rsidR="00801E41">
        <w:rPr>
          <w:color w:val="000000"/>
        </w:rPr>
        <w:t xml:space="preserve"> PE must review and certify an SPCC Plan and technical amendments. </w:t>
      </w:r>
      <w:r w:rsidR="00133E4A">
        <w:rPr>
          <w:color w:val="000000"/>
        </w:rPr>
        <w:t>Owners and operators of qualified facilities can self-certify their Plan instead of hav</w:t>
      </w:r>
      <w:r w:rsidR="00851C6E">
        <w:rPr>
          <w:color w:val="000000"/>
        </w:rPr>
        <w:t>ing</w:t>
      </w:r>
      <w:r w:rsidR="00133E4A">
        <w:rPr>
          <w:color w:val="000000"/>
        </w:rPr>
        <w:t xml:space="preserve"> a PE </w:t>
      </w:r>
      <w:r w:rsidR="000934D1">
        <w:rPr>
          <w:color w:val="000000"/>
        </w:rPr>
        <w:t xml:space="preserve">review and </w:t>
      </w:r>
      <w:r w:rsidR="00133E4A">
        <w:rPr>
          <w:color w:val="000000"/>
        </w:rPr>
        <w:t>certify the</w:t>
      </w:r>
      <w:r w:rsidR="000934D1">
        <w:rPr>
          <w:color w:val="000000"/>
        </w:rPr>
        <w:t>ir</w:t>
      </w:r>
      <w:r w:rsidR="00133E4A">
        <w:rPr>
          <w:color w:val="000000"/>
        </w:rPr>
        <w:t xml:space="preserve"> Plan. Qualified facilities are those that have an aggregate storage capacity less than 20,000 </w:t>
      </w:r>
      <w:r w:rsidR="0022621C">
        <w:rPr>
          <w:color w:val="000000"/>
        </w:rPr>
        <w:t>U.S. gallons</w:t>
      </w:r>
      <w:r w:rsidR="00133E4A">
        <w:rPr>
          <w:color w:val="000000"/>
        </w:rPr>
        <w:t xml:space="preserve"> in the case of a farm or 10,000 </w:t>
      </w:r>
      <w:r w:rsidR="0022621C">
        <w:rPr>
          <w:color w:val="000000"/>
        </w:rPr>
        <w:t>U.S. gallons</w:t>
      </w:r>
      <w:r w:rsidR="00133E4A">
        <w:rPr>
          <w:color w:val="000000"/>
        </w:rPr>
        <w:t xml:space="preserve"> for all other types of facilities, and no discharge history. The rule sets two categories of qualified facilities: Tier I and Tier II.</w:t>
      </w:r>
    </w:p>
    <w:p w:rsidR="00133E4A" w:rsidP="00133E4A" w:rsidRDefault="00133E4A" w14:paraId="0D4C6796" w14:textId="77777777">
      <w:pPr>
        <w:pStyle w:val="Level1"/>
        <w:tabs>
          <w:tab w:val="left" w:pos="720"/>
        </w:tabs>
        <w:rPr>
          <w:color w:val="000000"/>
        </w:rPr>
      </w:pPr>
    </w:p>
    <w:p w:rsidRPr="00854FC2" w:rsidR="00D85665" w:rsidRDefault="0084525B" w14:paraId="53A75B88" w14:textId="3286B1CF">
      <w:pPr>
        <w:pStyle w:val="Level1"/>
        <w:tabs>
          <w:tab w:val="left" w:pos="720"/>
        </w:tabs>
        <w:ind w:left="0"/>
        <w:rPr>
          <w:color w:val="000000"/>
        </w:rPr>
      </w:pPr>
      <w:r>
        <w:rPr>
          <w:color w:val="000000"/>
        </w:rPr>
        <w:tab/>
      </w:r>
      <w:r w:rsidR="00AA427C">
        <w:rPr>
          <w:color w:val="000000"/>
        </w:rPr>
        <w:t xml:space="preserve">Owners and operators of </w:t>
      </w:r>
      <w:r w:rsidRPr="00174EEC" w:rsidR="00152058">
        <w:rPr>
          <w:color w:val="000000"/>
        </w:rPr>
        <w:t>Tier I</w:t>
      </w:r>
      <w:r w:rsidRPr="00174EEC" w:rsidR="00D85665">
        <w:rPr>
          <w:color w:val="000000"/>
        </w:rPr>
        <w:t xml:space="preserve"> qualified facilities</w:t>
      </w:r>
      <w:r w:rsidRPr="00174EEC" w:rsidR="00B950F0">
        <w:rPr>
          <w:color w:val="000000"/>
        </w:rPr>
        <w:t>, w</w:t>
      </w:r>
      <w:r w:rsidRPr="00174EEC" w:rsidR="00D2453B">
        <w:rPr>
          <w:color w:val="000000"/>
        </w:rPr>
        <w:t>hich have</w:t>
      </w:r>
      <w:r w:rsidRPr="00174EEC" w:rsidR="00D85665">
        <w:rPr>
          <w:color w:val="000000"/>
        </w:rPr>
        <w:t xml:space="preserve"> no oil storage containers </w:t>
      </w:r>
      <w:r w:rsidR="00AF4498">
        <w:rPr>
          <w:color w:val="000000"/>
        </w:rPr>
        <w:t xml:space="preserve">exceeding </w:t>
      </w:r>
      <w:r w:rsidR="00133E4A">
        <w:rPr>
          <w:color w:val="000000"/>
        </w:rPr>
        <w:t xml:space="preserve">5,000 </w:t>
      </w:r>
      <w:r w:rsidR="0022621C">
        <w:rPr>
          <w:color w:val="000000"/>
        </w:rPr>
        <w:t>U.S. gallons</w:t>
      </w:r>
      <w:r w:rsidR="00B82FCE">
        <w:rPr>
          <w:color w:val="000000"/>
        </w:rPr>
        <w:t>,</w:t>
      </w:r>
      <w:r w:rsidR="004C30EB">
        <w:rPr>
          <w:color w:val="000000"/>
        </w:rPr>
        <w:t xml:space="preserve"> </w:t>
      </w:r>
      <w:r w:rsidRPr="00174EEC" w:rsidR="00D2453B">
        <w:rPr>
          <w:color w:val="000000"/>
        </w:rPr>
        <w:t xml:space="preserve">can </w:t>
      </w:r>
      <w:r w:rsidRPr="00174EEC" w:rsidR="00D85665">
        <w:rPr>
          <w:color w:val="000000"/>
        </w:rPr>
        <w:t>complete an SPCC Plan template (Appendix G to the 40 CFR part 112)</w:t>
      </w:r>
      <w:r w:rsidRPr="00174EEC" w:rsidR="00D2453B">
        <w:rPr>
          <w:color w:val="000000"/>
        </w:rPr>
        <w:t xml:space="preserve"> and self-certify com</w:t>
      </w:r>
      <w:r w:rsidRPr="00854FC2" w:rsidR="00D2453B">
        <w:rPr>
          <w:color w:val="000000"/>
        </w:rPr>
        <w:t>pli</w:t>
      </w:r>
      <w:r w:rsidR="00D2453B">
        <w:rPr>
          <w:color w:val="000000"/>
        </w:rPr>
        <w:t>ance</w:t>
      </w:r>
      <w:r w:rsidRPr="00854FC2" w:rsidR="00D2453B">
        <w:rPr>
          <w:color w:val="000000"/>
        </w:rPr>
        <w:t xml:space="preserve"> with a set of streamlined SPCC rule requirements</w:t>
      </w:r>
      <w:r w:rsidR="00D2453B">
        <w:rPr>
          <w:color w:val="000000"/>
        </w:rPr>
        <w:t xml:space="preserve"> </w:t>
      </w:r>
      <w:r w:rsidRPr="00854FC2" w:rsidR="00D85665">
        <w:rPr>
          <w:color w:val="000000"/>
        </w:rPr>
        <w:t>i</w:t>
      </w:r>
      <w:r w:rsidRPr="00D2453B" w:rsidR="00D85665">
        <w:rPr>
          <w:color w:val="000000"/>
        </w:rPr>
        <w:t xml:space="preserve">n lieu of </w:t>
      </w:r>
      <w:r w:rsidR="003B1B31">
        <w:rPr>
          <w:color w:val="000000"/>
        </w:rPr>
        <w:t xml:space="preserve">preparing </w:t>
      </w:r>
      <w:r w:rsidRPr="00D2453B" w:rsidR="00D85665">
        <w:rPr>
          <w:color w:val="000000"/>
        </w:rPr>
        <w:t>a full SPCC Plan</w:t>
      </w:r>
      <w:r w:rsidRPr="00D2453B" w:rsidR="003F6507">
        <w:rPr>
          <w:color w:val="000000"/>
        </w:rPr>
        <w:t>.</w:t>
      </w:r>
      <w:r w:rsidR="003F6507">
        <w:rPr>
          <w:color w:val="000000"/>
        </w:rPr>
        <w:t xml:space="preserve"> </w:t>
      </w:r>
      <w:r w:rsidR="002022EB">
        <w:rPr>
          <w:color w:val="000000"/>
        </w:rPr>
        <w:t xml:space="preserve">Tier I facilities cannot deviate from conditions provided in the </w:t>
      </w:r>
      <w:r w:rsidR="00567E22">
        <w:rPr>
          <w:color w:val="000000"/>
        </w:rPr>
        <w:t xml:space="preserve">Plan </w:t>
      </w:r>
      <w:r w:rsidR="002022EB">
        <w:rPr>
          <w:color w:val="000000"/>
        </w:rPr>
        <w:t>template</w:t>
      </w:r>
      <w:r w:rsidR="00175C01">
        <w:rPr>
          <w:color w:val="000000"/>
        </w:rPr>
        <w:t>.</w:t>
      </w:r>
      <w:r w:rsidR="003F6507">
        <w:rPr>
          <w:color w:val="000000"/>
        </w:rPr>
        <w:t xml:space="preserve"> </w:t>
      </w:r>
      <w:r w:rsidR="003B1B31">
        <w:rPr>
          <w:color w:val="000000"/>
        </w:rPr>
        <w:t>See</w:t>
      </w:r>
      <w:r w:rsidRPr="0022621C" w:rsidR="003B1B31">
        <w:rPr>
          <w:rFonts w:eastAsia="Arial" w:cs="Arial"/>
          <w:color w:val="000000"/>
        </w:rPr>
        <w:t xml:space="preserve"> §§112.</w:t>
      </w:r>
      <w:r w:rsidRPr="00854FC2" w:rsidR="003B1B31">
        <w:rPr>
          <w:color w:val="000000"/>
        </w:rPr>
        <w:t>7(a)(3)</w:t>
      </w:r>
      <w:r w:rsidR="00426F7F">
        <w:rPr>
          <w:color w:val="000000"/>
        </w:rPr>
        <w:t xml:space="preserve">, </w:t>
      </w:r>
      <w:r w:rsidRPr="002E25AF" w:rsidR="003B1B31">
        <w:rPr>
          <w:rFonts w:cs="Arial"/>
        </w:rPr>
        <w:t>112.3(g)</w:t>
      </w:r>
      <w:r w:rsidRPr="002E25AF" w:rsidR="00426F7F">
        <w:rPr>
          <w:rFonts w:cs="Arial"/>
        </w:rPr>
        <w:t xml:space="preserve"> and 112.3(d) for more details. </w:t>
      </w:r>
    </w:p>
    <w:p w:rsidRPr="00854FC2" w:rsidR="00D85665" w:rsidRDefault="00D85665" w14:paraId="566F4D8B" w14:textId="77777777">
      <w:pPr>
        <w:pStyle w:val="Level1"/>
        <w:tabs>
          <w:tab w:val="left" w:pos="720"/>
        </w:tabs>
        <w:rPr>
          <w:color w:val="000000"/>
        </w:rPr>
      </w:pPr>
    </w:p>
    <w:p w:rsidR="00C07624" w:rsidP="00E35EBD" w:rsidRDefault="0084525B" w14:paraId="01997F7D" w14:textId="0A20E6AC">
      <w:pPr>
        <w:rPr>
          <w:rFonts w:cs="Arial"/>
          <w:szCs w:val="17"/>
        </w:rPr>
      </w:pPr>
      <w:r>
        <w:rPr>
          <w:color w:val="000000"/>
        </w:rPr>
        <w:tab/>
      </w:r>
      <w:r w:rsidRPr="00854FC2" w:rsidR="00D85665">
        <w:rPr>
          <w:rFonts w:cs="Arial"/>
          <w:szCs w:val="17"/>
        </w:rPr>
        <w:t xml:space="preserve">Owners and operators of </w:t>
      </w:r>
      <w:r w:rsidR="00E65084">
        <w:rPr>
          <w:rFonts w:cs="Arial"/>
          <w:szCs w:val="17"/>
        </w:rPr>
        <w:t xml:space="preserve">Tier II </w:t>
      </w:r>
      <w:r w:rsidRPr="00854FC2" w:rsidR="00D85665">
        <w:rPr>
          <w:rFonts w:cs="Arial"/>
          <w:szCs w:val="17"/>
        </w:rPr>
        <w:t xml:space="preserve">qualified facilities </w:t>
      </w:r>
      <w:r w:rsidR="00120943">
        <w:rPr>
          <w:rFonts w:cs="Arial"/>
          <w:szCs w:val="17"/>
        </w:rPr>
        <w:t>(</w:t>
      </w:r>
      <w:r w:rsidR="009E5F9E">
        <w:rPr>
          <w:rFonts w:cs="Arial"/>
          <w:szCs w:val="17"/>
        </w:rPr>
        <w:t>those</w:t>
      </w:r>
      <w:r w:rsidR="00120943">
        <w:rPr>
          <w:rFonts w:cs="Arial"/>
          <w:szCs w:val="17"/>
        </w:rPr>
        <w:t xml:space="preserve"> facilities that do not meet the Tier I maximum</w:t>
      </w:r>
      <w:r w:rsidR="00133E4A">
        <w:rPr>
          <w:rFonts w:cs="Arial"/>
          <w:szCs w:val="17"/>
        </w:rPr>
        <w:t xml:space="preserve"> </w:t>
      </w:r>
      <w:r w:rsidR="00C17D25">
        <w:rPr>
          <w:rFonts w:cs="Arial"/>
          <w:szCs w:val="17"/>
        </w:rPr>
        <w:t xml:space="preserve">container </w:t>
      </w:r>
      <w:r w:rsidR="00120943">
        <w:rPr>
          <w:rFonts w:cs="Arial"/>
          <w:szCs w:val="17"/>
        </w:rPr>
        <w:t>criterion)</w:t>
      </w:r>
      <w:r w:rsidRPr="00854FC2" w:rsidR="00D85665">
        <w:rPr>
          <w:rFonts w:cs="Arial"/>
          <w:szCs w:val="17"/>
        </w:rPr>
        <w:t xml:space="preserve"> have the option to self-certify that their SPCC Plan complies with </w:t>
      </w:r>
      <w:r w:rsidRPr="00F60ACC" w:rsidR="00D85665">
        <w:rPr>
          <w:rFonts w:cs="Arial"/>
          <w:szCs w:val="17"/>
        </w:rPr>
        <w:t xml:space="preserve">40 CFR part 112 in lieu of having a PE review and certify their Plan. </w:t>
      </w:r>
      <w:r w:rsidR="00B82DCF">
        <w:rPr>
          <w:rFonts w:cs="Arial"/>
          <w:szCs w:val="17"/>
        </w:rPr>
        <w:t xml:space="preserve">In some circumstances, owners and operators of Tier II qualified facilities may have </w:t>
      </w:r>
      <w:r w:rsidR="00E169D5">
        <w:rPr>
          <w:rFonts w:cs="Arial"/>
          <w:szCs w:val="17"/>
        </w:rPr>
        <w:t xml:space="preserve">a </w:t>
      </w:r>
      <w:r w:rsidR="00B82DCF">
        <w:rPr>
          <w:rFonts w:cs="Arial"/>
          <w:szCs w:val="17"/>
        </w:rPr>
        <w:t>PE review and certify portions of their self-certified Plan (e.g., if they</w:t>
      </w:r>
      <w:r w:rsidRPr="00854FC2" w:rsidR="00D85665">
        <w:rPr>
          <w:rFonts w:cs="Arial"/>
          <w:szCs w:val="17"/>
        </w:rPr>
        <w:t xml:space="preserve"> deviate from certain requirements of the SPCC rule as specified under §112.7(a)(2) </w:t>
      </w:r>
      <w:r w:rsidR="00B82DCF">
        <w:rPr>
          <w:rFonts w:cs="Arial"/>
          <w:szCs w:val="17"/>
        </w:rPr>
        <w:t xml:space="preserve">or </w:t>
      </w:r>
      <w:r w:rsidRPr="00854FC2" w:rsidR="00D85665">
        <w:rPr>
          <w:rFonts w:cs="Arial"/>
          <w:szCs w:val="17"/>
        </w:rPr>
        <w:t>make impracticability determinations as described under §112.7(d) (see §112.6(</w:t>
      </w:r>
      <w:r w:rsidR="00941FDD">
        <w:rPr>
          <w:rFonts w:cs="Arial"/>
          <w:szCs w:val="17"/>
        </w:rPr>
        <w:t>b</w:t>
      </w:r>
      <w:r w:rsidRPr="00854FC2" w:rsidR="00D85665">
        <w:rPr>
          <w:rFonts w:cs="Arial"/>
          <w:szCs w:val="17"/>
        </w:rPr>
        <w:t>)</w:t>
      </w:r>
      <w:r w:rsidR="00941FDD">
        <w:rPr>
          <w:rFonts w:cs="Arial"/>
          <w:szCs w:val="17"/>
        </w:rPr>
        <w:t>(</w:t>
      </w:r>
      <w:r w:rsidR="00B93E82">
        <w:rPr>
          <w:rFonts w:cs="Arial"/>
          <w:szCs w:val="17"/>
        </w:rPr>
        <w:t>4</w:t>
      </w:r>
      <w:r w:rsidR="00941FDD">
        <w:rPr>
          <w:rFonts w:cs="Arial"/>
          <w:szCs w:val="17"/>
        </w:rPr>
        <w:t>)</w:t>
      </w:r>
      <w:r w:rsidRPr="00854FC2" w:rsidR="00D85665">
        <w:rPr>
          <w:rFonts w:cs="Arial"/>
          <w:szCs w:val="17"/>
        </w:rPr>
        <w:t>).</w:t>
      </w:r>
      <w:r w:rsidR="00184301">
        <w:rPr>
          <w:rFonts w:cs="Arial"/>
          <w:szCs w:val="17"/>
        </w:rPr>
        <w:t xml:space="preserve"> </w:t>
      </w:r>
    </w:p>
    <w:p w:rsidR="00C07624" w:rsidP="00E35EBD" w:rsidRDefault="00C07624" w14:paraId="7280D94C" w14:textId="77777777">
      <w:pPr>
        <w:rPr>
          <w:rFonts w:cs="Arial"/>
          <w:szCs w:val="17"/>
        </w:rPr>
      </w:pPr>
    </w:p>
    <w:p w:rsidRPr="00E35EBD" w:rsidR="00E35EBD" w:rsidP="00A304B5" w:rsidRDefault="00786549" w14:paraId="044F7537" w14:textId="2A2273C2">
      <w:pPr>
        <w:ind w:firstLine="720"/>
        <w:rPr>
          <w:rFonts w:cs="Arial"/>
          <w:szCs w:val="17"/>
        </w:rPr>
      </w:pPr>
      <w:r>
        <w:rPr>
          <w:rFonts w:cs="Arial"/>
          <w:szCs w:val="17"/>
        </w:rPr>
        <w:t xml:space="preserve">EPA estimated burden for Tier I and Tier II qualified facility Plans based on </w:t>
      </w:r>
      <w:r w:rsidR="00B03232">
        <w:rPr>
          <w:rFonts w:cs="Arial"/>
          <w:szCs w:val="17"/>
        </w:rPr>
        <w:t xml:space="preserve">expected use of </w:t>
      </w:r>
      <w:r w:rsidR="00A94886">
        <w:rPr>
          <w:rFonts w:cs="Arial"/>
          <w:szCs w:val="17"/>
        </w:rPr>
        <w:t>a</w:t>
      </w:r>
      <w:r>
        <w:rPr>
          <w:rFonts w:cs="Arial"/>
          <w:szCs w:val="17"/>
        </w:rPr>
        <w:t xml:space="preserve"> </w:t>
      </w:r>
      <w:r w:rsidR="00B03232">
        <w:rPr>
          <w:rFonts w:cs="Arial"/>
          <w:szCs w:val="17"/>
        </w:rPr>
        <w:t xml:space="preserve">Plan </w:t>
      </w:r>
      <w:r>
        <w:rPr>
          <w:rFonts w:cs="Arial"/>
          <w:szCs w:val="17"/>
        </w:rPr>
        <w:t xml:space="preserve">template and other </w:t>
      </w:r>
      <w:r w:rsidR="003F408A">
        <w:rPr>
          <w:rFonts w:cs="Arial"/>
          <w:szCs w:val="17"/>
        </w:rPr>
        <w:t>streamlined</w:t>
      </w:r>
      <w:r w:rsidR="00B03232">
        <w:rPr>
          <w:rFonts w:cs="Arial"/>
          <w:szCs w:val="17"/>
        </w:rPr>
        <w:t xml:space="preserve"> </w:t>
      </w:r>
      <w:r>
        <w:rPr>
          <w:rFonts w:cs="Arial"/>
          <w:szCs w:val="17"/>
        </w:rPr>
        <w:t>requirements</w:t>
      </w:r>
      <w:r w:rsidR="00EC3BEB">
        <w:rPr>
          <w:rFonts w:cs="Arial"/>
          <w:szCs w:val="17"/>
        </w:rPr>
        <w:t xml:space="preserve"> for these facilities</w:t>
      </w:r>
      <w:r>
        <w:rPr>
          <w:rFonts w:cs="Arial"/>
          <w:szCs w:val="17"/>
        </w:rPr>
        <w:t>.</w:t>
      </w:r>
      <w:r w:rsidR="00562321">
        <w:rPr>
          <w:rFonts w:cs="Arial"/>
          <w:szCs w:val="17"/>
        </w:rPr>
        <w:t xml:space="preserve"> In estimating burden, EPA assumed</w:t>
      </w:r>
      <w:r w:rsidR="00516208">
        <w:rPr>
          <w:rFonts w:cs="Arial"/>
          <w:szCs w:val="17"/>
        </w:rPr>
        <w:t xml:space="preserve"> </w:t>
      </w:r>
      <w:r w:rsidR="00562321">
        <w:rPr>
          <w:rFonts w:cs="Arial"/>
          <w:szCs w:val="17"/>
        </w:rPr>
        <w:t>that no Tier II qualified facilities will require section-specific PE certification of their Plan.</w:t>
      </w:r>
    </w:p>
    <w:p w:rsidRPr="00854FC2" w:rsidR="00A97320" w:rsidP="00184301" w:rsidRDefault="00A97320" w14:paraId="77507F57" w14:textId="77777777">
      <w:pPr>
        <w:pStyle w:val="Level1"/>
        <w:tabs>
          <w:tab w:val="left" w:pos="720"/>
        </w:tabs>
        <w:rPr>
          <w:rFonts w:cs="Arial"/>
          <w:szCs w:val="17"/>
        </w:rPr>
      </w:pPr>
    </w:p>
    <w:p w:rsidR="00F65327" w:rsidP="000F038E" w:rsidRDefault="000F038E" w14:paraId="6655391D" w14:textId="51DFEAB3">
      <w:pPr>
        <w:pStyle w:val="ListParagraph"/>
        <w:numPr>
          <w:ilvl w:val="0"/>
          <w:numId w:val="31"/>
        </w:numPr>
        <w:rPr>
          <w:rFonts w:cs="Arial"/>
          <w:szCs w:val="22"/>
        </w:rPr>
      </w:pPr>
      <w:bookmarkStart w:name="_Hlk33517630" w:id="7"/>
      <w:r w:rsidRPr="000F038E">
        <w:rPr>
          <w:rFonts w:cs="Arial"/>
          <w:szCs w:val="22"/>
        </w:rPr>
        <w:t>Prepare a Contingency Plan</w:t>
      </w:r>
    </w:p>
    <w:p w:rsidR="000F1C51" w:rsidP="000F1C51" w:rsidRDefault="000F1C51" w14:paraId="63F0BF6A" w14:textId="77777777"/>
    <w:p w:rsidR="000F1C51" w:rsidP="000F1C51" w:rsidRDefault="00710B25" w14:paraId="46156DE4" w14:textId="34E85B19">
      <w:pPr>
        <w:ind w:firstLine="720"/>
      </w:pPr>
      <w:r>
        <w:t>A</w:t>
      </w:r>
      <w:r w:rsidR="000F1C51">
        <w:t xml:space="preserve">n owner or operator who determines that secondary containment is impracticable </w:t>
      </w:r>
      <w:r>
        <w:t xml:space="preserve">and who has not submitted a Facility Response Plan under §112.20 </w:t>
      </w:r>
      <w:r w:rsidR="000F1C51">
        <w:t>must include with the SPCC Plan an oil spill contingency plan following the provisions of 40 CFR part 109, Criteria for State, Local, and Regional Oil Removal Contingency Plans</w:t>
      </w:r>
      <w:r w:rsidR="00285CFC">
        <w:rPr>
          <w:rStyle w:val="FootnoteReference"/>
        </w:rPr>
        <w:footnoteReference w:id="7"/>
      </w:r>
      <w:r w:rsidR="000F1C51">
        <w:t>, and a written commitment of manpower, equipment, and materials required to expeditiously control and remove any quantity of oil that may be harmful (see §112.7(d)).</w:t>
      </w:r>
      <w:r w:rsidR="00DD5FAA">
        <w:t xml:space="preserve">  EPA has provided detailed guidance on how to develop and implement a </w:t>
      </w:r>
      <w:r w:rsidRPr="00DD5FAA" w:rsidR="00DD5FAA">
        <w:t>40 CFR part 109</w:t>
      </w:r>
      <w:r w:rsidR="00DD5FAA">
        <w:t xml:space="preserve"> contingency plan</w:t>
      </w:r>
      <w:r w:rsidR="00DD5FAA">
        <w:rPr>
          <w:rStyle w:val="FootnoteReference"/>
        </w:rPr>
        <w:footnoteReference w:id="8"/>
      </w:r>
      <w:r w:rsidR="00DD5FAA">
        <w:t xml:space="preserve">. </w:t>
      </w:r>
      <w:r w:rsidRPr="00DD5FAA" w:rsidR="00DD5FAA">
        <w:t xml:space="preserve">The sample </w:t>
      </w:r>
      <w:r w:rsidR="00DD5FAA">
        <w:t>c</w:t>
      </w:r>
      <w:r w:rsidRPr="00DD5FAA" w:rsidR="00DD5FAA">
        <w:t xml:space="preserve">ontingency </w:t>
      </w:r>
      <w:r w:rsidR="00DD5FAA">
        <w:t>p</w:t>
      </w:r>
      <w:r w:rsidRPr="00DD5FAA" w:rsidR="00DD5FAA">
        <w:t xml:space="preserve">lan is intended to provide examples of contingency planning as a reference when a facility determines that the required secondary containment is impracticable, pursuant to 40 CFR §112.7(d). The sample </w:t>
      </w:r>
      <w:r w:rsidR="00DD5FAA">
        <w:t>c</w:t>
      </w:r>
      <w:r w:rsidRPr="00DD5FAA" w:rsidR="00DD5FAA">
        <w:t xml:space="preserve">ontingency </w:t>
      </w:r>
      <w:r w:rsidR="00DD5FAA">
        <w:t xml:space="preserve">plan </w:t>
      </w:r>
      <w:r w:rsidRPr="00DD5FAA" w:rsidR="00DD5FAA">
        <w:t xml:space="preserve">presents a variety of scenarios for purposes of illustration only. </w:t>
      </w:r>
    </w:p>
    <w:p w:rsidR="000F1C51" w:rsidP="000F1C51" w:rsidRDefault="000F1C51" w14:paraId="206962F1" w14:textId="77777777">
      <w:pPr>
        <w:ind w:firstLine="720"/>
      </w:pPr>
    </w:p>
    <w:bookmarkEnd w:id="7"/>
    <w:p w:rsidRPr="006C5063" w:rsidR="00F65327" w:rsidP="00F65327" w:rsidRDefault="00F65327" w14:paraId="3AB2529A" w14:textId="636CF9F5">
      <w:pPr>
        <w:pStyle w:val="Heading4"/>
        <w:numPr>
          <w:ilvl w:val="0"/>
          <w:numId w:val="31"/>
        </w:numPr>
        <w:rPr>
          <w:b w:val="0"/>
          <w:i w:val="0"/>
        </w:rPr>
      </w:pPr>
      <w:r w:rsidRPr="006C5063">
        <w:rPr>
          <w:b w:val="0"/>
          <w:i w:val="0"/>
        </w:rPr>
        <w:t>Review the SPCC Plan</w:t>
      </w:r>
    </w:p>
    <w:p w:rsidRPr="00A77EFF" w:rsidR="00F65327" w:rsidP="00F65327" w:rsidRDefault="00F65327" w14:paraId="6617A3ED" w14:textId="77777777">
      <w:pPr>
        <w:keepNext/>
        <w:keepLines/>
        <w:numPr>
          <w:ilvl w:val="12"/>
          <w:numId w:val="0"/>
        </w:numPr>
        <w:rPr>
          <w:rFonts w:cs="Arial"/>
          <w:szCs w:val="22"/>
        </w:rPr>
      </w:pPr>
    </w:p>
    <w:p w:rsidR="00F65327" w:rsidP="00F65327" w:rsidRDefault="00F65327" w14:paraId="33F8ADF7" w14:textId="521DB008">
      <w:pPr>
        <w:numPr>
          <w:ilvl w:val="12"/>
          <w:numId w:val="0"/>
        </w:numPr>
        <w:ind w:firstLine="720"/>
        <w:rPr>
          <w:rFonts w:cs="Arial"/>
          <w:szCs w:val="22"/>
        </w:rPr>
      </w:pPr>
      <w:r w:rsidRPr="00A77EFF">
        <w:rPr>
          <w:rFonts w:cs="Arial"/>
          <w:szCs w:val="22"/>
        </w:rPr>
        <w:t>An owner or operator of an SPCC-regulated facility is required to review and evaluate the facility’s Plan at least once every five years. This review is expected to involve mostly technical labor hours to review spill prevention and control procedures, as well as a regulatory review involving management labor hours. Clerical hours are also used to complete necessary paperwork. An owner or o</w:t>
      </w:r>
      <w:r w:rsidRPr="00854FC2">
        <w:rPr>
          <w:rFonts w:cs="Arial"/>
          <w:szCs w:val="22"/>
        </w:rPr>
        <w:t xml:space="preserve">perator is required to amend </w:t>
      </w:r>
      <w:r>
        <w:rPr>
          <w:rFonts w:cs="Arial"/>
          <w:szCs w:val="22"/>
        </w:rPr>
        <w:t>their</w:t>
      </w:r>
      <w:r w:rsidRPr="00854FC2">
        <w:rPr>
          <w:rFonts w:cs="Arial"/>
          <w:szCs w:val="22"/>
        </w:rPr>
        <w:t xml:space="preserve"> SPCC Plan within six months of the review to include more effective prevention and control technology</w:t>
      </w:r>
      <w:r>
        <w:rPr>
          <w:rFonts w:cs="Arial"/>
          <w:szCs w:val="22"/>
        </w:rPr>
        <w:t xml:space="preserve"> under certain conditions. </w:t>
      </w:r>
      <w:r w:rsidRPr="00854FC2">
        <w:rPr>
          <w:rFonts w:cs="Arial"/>
          <w:szCs w:val="22"/>
        </w:rPr>
        <w:t>Any technical amendments to the Plan must be certified prior to implementation by a licensed PE or, for qualified facilities, self-certified in accordance with §112.6(b)</w:t>
      </w:r>
      <w:r>
        <w:rPr>
          <w:rFonts w:cs="Arial"/>
          <w:szCs w:val="22"/>
        </w:rPr>
        <w:t>. SPCC Plan r</w:t>
      </w:r>
      <w:r w:rsidRPr="00854FC2">
        <w:rPr>
          <w:rFonts w:cs="Arial"/>
          <w:szCs w:val="22"/>
        </w:rPr>
        <w:t xml:space="preserve">eview cost estimates are generated in this ICR for an </w:t>
      </w:r>
      <w:r w:rsidRPr="00FC5E1F">
        <w:rPr>
          <w:rFonts w:cs="Arial"/>
          <w:szCs w:val="22"/>
        </w:rPr>
        <w:t>existing</w:t>
      </w:r>
      <w:r w:rsidRPr="00854FC2">
        <w:rPr>
          <w:rFonts w:cs="Arial"/>
          <w:szCs w:val="22"/>
        </w:rPr>
        <w:t xml:space="preserve"> facility only </w:t>
      </w:r>
      <w:r>
        <w:rPr>
          <w:rFonts w:cs="Arial"/>
          <w:szCs w:val="22"/>
        </w:rPr>
        <w:t>because</w:t>
      </w:r>
      <w:r w:rsidRPr="00854FC2">
        <w:rPr>
          <w:rFonts w:cs="Arial"/>
          <w:szCs w:val="22"/>
        </w:rPr>
        <w:t xml:space="preserve"> a </w:t>
      </w:r>
      <w:r w:rsidRPr="00FC5E1F">
        <w:rPr>
          <w:rFonts w:cs="Arial"/>
          <w:szCs w:val="22"/>
        </w:rPr>
        <w:t>new</w:t>
      </w:r>
      <w:r w:rsidRPr="00854FC2">
        <w:rPr>
          <w:rFonts w:cs="Arial"/>
          <w:szCs w:val="22"/>
        </w:rPr>
        <w:t xml:space="preserve"> facility that becomes operational after the beginning of the ICR-approval period will not be required to conduct its review until after the three-year period covered by this ICR.</w:t>
      </w:r>
    </w:p>
    <w:p w:rsidRPr="00A77EFF" w:rsidR="00D85665" w:rsidRDefault="00D85665" w14:paraId="12B76BA3" w14:textId="77777777">
      <w:pPr>
        <w:numPr>
          <w:ilvl w:val="12"/>
          <w:numId w:val="0"/>
        </w:numPr>
        <w:rPr>
          <w:rFonts w:cs="Arial"/>
          <w:szCs w:val="22"/>
        </w:rPr>
      </w:pPr>
      <w:r w:rsidRPr="00A77EFF">
        <w:rPr>
          <w:rFonts w:cs="Arial"/>
          <w:szCs w:val="22"/>
        </w:rPr>
        <w:tab/>
      </w:r>
    </w:p>
    <w:p w:rsidRPr="000F038E" w:rsidR="00D85665" w:rsidP="000F038E" w:rsidRDefault="000F038E" w14:paraId="21A90EFA" w14:textId="48C68DDB">
      <w:pPr>
        <w:pStyle w:val="Heading4"/>
        <w:numPr>
          <w:ilvl w:val="0"/>
          <w:numId w:val="31"/>
        </w:numPr>
        <w:rPr>
          <w:b w:val="0"/>
          <w:i w:val="0"/>
        </w:rPr>
      </w:pPr>
      <w:r w:rsidRPr="000F038E">
        <w:rPr>
          <w:b w:val="0"/>
          <w:i w:val="0"/>
        </w:rPr>
        <w:t>Submit Information in the Event of Certain Discharges of Oil</w:t>
      </w:r>
    </w:p>
    <w:p w:rsidRPr="0050601C" w:rsidR="0050601C" w:rsidP="0050601C" w:rsidRDefault="0050601C" w14:paraId="4951165B" w14:textId="77777777"/>
    <w:p w:rsidR="006F6C6A" w:rsidP="00E960EC" w:rsidRDefault="00D85665" w14:paraId="3CF08C5F" w14:textId="77777777">
      <w:pPr>
        <w:numPr>
          <w:ilvl w:val="12"/>
          <w:numId w:val="0"/>
        </w:numPr>
        <w:ind w:firstLine="720"/>
        <w:rPr>
          <w:rFonts w:cs="Arial"/>
          <w:szCs w:val="22"/>
        </w:rPr>
      </w:pPr>
      <w:r w:rsidRPr="00A77EFF">
        <w:rPr>
          <w:rFonts w:cs="Arial"/>
          <w:szCs w:val="22"/>
        </w:rPr>
        <w:t>In the event of certain discharges of oil into navigable waters</w:t>
      </w:r>
      <w:r w:rsidR="00B34A2E">
        <w:rPr>
          <w:rStyle w:val="FootnoteReference"/>
          <w:rFonts w:cs="Arial"/>
          <w:szCs w:val="22"/>
        </w:rPr>
        <w:footnoteReference w:id="9"/>
      </w:r>
      <w:r w:rsidRPr="00A77EFF">
        <w:rPr>
          <w:rFonts w:cs="Arial"/>
          <w:szCs w:val="22"/>
        </w:rPr>
        <w:t xml:space="preserve">, a facility owner or operator must submit information described in §112.4(a) to the Regional Administrator </w:t>
      </w:r>
      <w:r w:rsidR="007B04DF">
        <w:rPr>
          <w:rFonts w:cs="Arial"/>
          <w:szCs w:val="22"/>
        </w:rPr>
        <w:t xml:space="preserve">and to the appropriate State agency </w:t>
      </w:r>
      <w:r w:rsidRPr="00A77EFF">
        <w:rPr>
          <w:rFonts w:cs="Arial"/>
          <w:szCs w:val="22"/>
        </w:rPr>
        <w:t>within 60 days</w:t>
      </w:r>
      <w:r w:rsidRPr="00A77EFF" w:rsidR="003F6507">
        <w:rPr>
          <w:rFonts w:cs="Arial"/>
          <w:szCs w:val="22"/>
        </w:rPr>
        <w:t>.</w:t>
      </w:r>
    </w:p>
    <w:p w:rsidR="009D7FF8" w:rsidP="00E960EC" w:rsidRDefault="00D85665" w14:paraId="6F466E9A" w14:textId="4F20EB52">
      <w:pPr>
        <w:numPr>
          <w:ilvl w:val="12"/>
          <w:numId w:val="0"/>
        </w:numPr>
        <w:ind w:firstLine="720"/>
        <w:rPr>
          <w:rFonts w:cs="Arial"/>
          <w:szCs w:val="22"/>
        </w:rPr>
      </w:pPr>
      <w:r w:rsidRPr="00854FC2">
        <w:rPr>
          <w:rFonts w:cs="Arial"/>
          <w:szCs w:val="22"/>
        </w:rPr>
        <w:tab/>
      </w:r>
    </w:p>
    <w:p w:rsidR="00D85665" w:rsidP="00AF158B" w:rsidRDefault="00D85665" w14:paraId="4C5369C2" w14:textId="024891BE">
      <w:pPr>
        <w:numPr>
          <w:ilvl w:val="12"/>
          <w:numId w:val="0"/>
        </w:numPr>
        <w:ind w:firstLine="720"/>
        <w:rPr>
          <w:rFonts w:cs="Arial"/>
          <w:szCs w:val="22"/>
        </w:rPr>
      </w:pPr>
      <w:r w:rsidRPr="00854FC2">
        <w:rPr>
          <w:rFonts w:cs="Arial"/>
          <w:szCs w:val="22"/>
        </w:rPr>
        <w:t xml:space="preserve">Submission of information after a discharge of oil </w:t>
      </w:r>
      <w:r w:rsidR="00C75709">
        <w:rPr>
          <w:rFonts w:cs="Arial"/>
          <w:szCs w:val="22"/>
        </w:rPr>
        <w:t>require</w:t>
      </w:r>
      <w:r w:rsidR="0034420D">
        <w:rPr>
          <w:rFonts w:cs="Arial"/>
          <w:szCs w:val="22"/>
        </w:rPr>
        <w:t xml:space="preserve">s </w:t>
      </w:r>
      <w:r w:rsidRPr="00854FC2">
        <w:rPr>
          <w:rFonts w:cs="Arial"/>
          <w:szCs w:val="22"/>
        </w:rPr>
        <w:t xml:space="preserve">both technical </w:t>
      </w:r>
      <w:r w:rsidR="00C75709">
        <w:rPr>
          <w:rFonts w:cs="Arial"/>
          <w:szCs w:val="22"/>
        </w:rPr>
        <w:t xml:space="preserve">and management </w:t>
      </w:r>
      <w:r w:rsidR="00A52CD0">
        <w:rPr>
          <w:rFonts w:cs="Arial"/>
          <w:szCs w:val="22"/>
        </w:rPr>
        <w:t>labor hours to</w:t>
      </w:r>
      <w:r w:rsidRPr="00854FC2">
        <w:rPr>
          <w:rFonts w:cs="Arial"/>
          <w:szCs w:val="22"/>
        </w:rPr>
        <w:t xml:space="preserve"> collect the required information. Section 112.4(c) also requires </w:t>
      </w:r>
      <w:r w:rsidR="009D7FF8">
        <w:rPr>
          <w:rFonts w:cs="Arial"/>
          <w:szCs w:val="22"/>
        </w:rPr>
        <w:t>t</w:t>
      </w:r>
      <w:r w:rsidRPr="00854FC2">
        <w:rPr>
          <w:rFonts w:cs="Arial"/>
          <w:szCs w:val="22"/>
        </w:rPr>
        <w:t>he facility owner or operator</w:t>
      </w:r>
      <w:r w:rsidR="009D7FF8">
        <w:rPr>
          <w:rFonts w:cs="Arial"/>
          <w:szCs w:val="22"/>
        </w:rPr>
        <w:t xml:space="preserve"> to</w:t>
      </w:r>
      <w:r w:rsidRPr="00854FC2">
        <w:rPr>
          <w:rFonts w:cs="Arial"/>
          <w:szCs w:val="22"/>
        </w:rPr>
        <w:t xml:space="preserve"> submit a copy of this information to the </w:t>
      </w:r>
      <w:r w:rsidR="00F6404F">
        <w:rPr>
          <w:rFonts w:cs="Arial"/>
          <w:szCs w:val="22"/>
        </w:rPr>
        <w:t>S</w:t>
      </w:r>
      <w:r w:rsidRPr="00854FC2">
        <w:rPr>
          <w:rFonts w:cs="Arial"/>
          <w:szCs w:val="22"/>
        </w:rPr>
        <w:t xml:space="preserve">tate agency </w:t>
      </w:r>
      <w:r w:rsidR="00C75709">
        <w:rPr>
          <w:rFonts w:cs="Arial"/>
          <w:szCs w:val="22"/>
        </w:rPr>
        <w:t>with regulatory authority over the facility</w:t>
      </w:r>
      <w:r w:rsidR="003F6507">
        <w:rPr>
          <w:rFonts w:cs="Arial"/>
          <w:szCs w:val="22"/>
        </w:rPr>
        <w:t xml:space="preserve">. </w:t>
      </w:r>
      <w:r w:rsidRPr="00854FC2">
        <w:rPr>
          <w:rFonts w:cs="Arial"/>
          <w:szCs w:val="22"/>
        </w:rPr>
        <w:t>The Regional Administrator may require</w:t>
      </w:r>
      <w:r w:rsidR="00C75709">
        <w:rPr>
          <w:rFonts w:cs="Arial"/>
          <w:szCs w:val="22"/>
        </w:rPr>
        <w:t xml:space="preserve"> </w:t>
      </w:r>
      <w:r w:rsidRPr="00854FC2">
        <w:rPr>
          <w:rFonts w:cs="Arial"/>
          <w:szCs w:val="22"/>
        </w:rPr>
        <w:t>the owner or operator of the facility to amend the SPCC Plan to prevent and contain discharges from the facility</w:t>
      </w:r>
      <w:r w:rsidR="003F6507">
        <w:rPr>
          <w:rFonts w:cs="Arial"/>
          <w:szCs w:val="22"/>
        </w:rPr>
        <w:t>.</w:t>
      </w:r>
      <w:r w:rsidR="0034420D">
        <w:rPr>
          <w:rFonts w:cs="Arial"/>
          <w:szCs w:val="22"/>
        </w:rPr>
        <w:t xml:space="preserve"> Unless contested by the facility,</w:t>
      </w:r>
      <w:r w:rsidRPr="00854FC2">
        <w:rPr>
          <w:rFonts w:cs="Arial"/>
          <w:szCs w:val="22"/>
        </w:rPr>
        <w:t xml:space="preserve"> amendments</w:t>
      </w:r>
      <w:r w:rsidR="00333D3F">
        <w:rPr>
          <w:rFonts w:cs="Arial"/>
          <w:szCs w:val="22"/>
        </w:rPr>
        <w:t xml:space="preserve"> </w:t>
      </w:r>
      <w:r w:rsidRPr="00854FC2">
        <w:rPr>
          <w:rFonts w:cs="Arial"/>
          <w:szCs w:val="22"/>
        </w:rPr>
        <w:t xml:space="preserve">must become part of the Plan </w:t>
      </w:r>
      <w:r w:rsidR="0034420D">
        <w:rPr>
          <w:rFonts w:cs="Arial"/>
          <w:szCs w:val="22"/>
        </w:rPr>
        <w:t xml:space="preserve">within </w:t>
      </w:r>
      <w:r w:rsidRPr="00854FC2">
        <w:rPr>
          <w:rFonts w:cs="Arial"/>
          <w:szCs w:val="22"/>
        </w:rPr>
        <w:t>30 days. The amended Plan must then be certified</w:t>
      </w:r>
      <w:r w:rsidRPr="00854FC2" w:rsidDel="007705EB">
        <w:rPr>
          <w:rFonts w:cs="Arial"/>
          <w:szCs w:val="22"/>
        </w:rPr>
        <w:t xml:space="preserve"> </w:t>
      </w:r>
      <w:r w:rsidRPr="00854FC2">
        <w:rPr>
          <w:rFonts w:cs="Arial"/>
          <w:szCs w:val="22"/>
        </w:rPr>
        <w:t>by a licensed PE</w:t>
      </w:r>
      <w:r w:rsidRPr="007705EB" w:rsidR="007705EB">
        <w:rPr>
          <w:rFonts w:cs="Arial"/>
          <w:szCs w:val="22"/>
        </w:rPr>
        <w:t xml:space="preserve"> </w:t>
      </w:r>
      <w:r w:rsidRPr="00854FC2" w:rsidR="007705EB">
        <w:rPr>
          <w:rFonts w:cs="Arial"/>
          <w:szCs w:val="22"/>
        </w:rPr>
        <w:t>prior to implementation</w:t>
      </w:r>
      <w:r w:rsidRPr="00854FC2">
        <w:rPr>
          <w:rFonts w:cs="Arial"/>
          <w:szCs w:val="22"/>
        </w:rPr>
        <w:t>, or self-certified in the case of qualified facilities</w:t>
      </w:r>
      <w:r w:rsidR="003F6507">
        <w:rPr>
          <w:rFonts w:cs="Arial"/>
          <w:szCs w:val="22"/>
        </w:rPr>
        <w:t xml:space="preserve">. </w:t>
      </w:r>
      <w:r w:rsidRPr="00854FC2">
        <w:rPr>
          <w:rFonts w:cs="Arial"/>
          <w:szCs w:val="22"/>
        </w:rPr>
        <w:t>As required by §112.4(e), amendments to the Plan must be implemented as soon as possible, but no later than six months after the amendments become part of the Plan. Section 112.4(f) allows a facility owner or operator to appeal a decision made by the Regional Administrator requiring a Plan amendment</w:t>
      </w:r>
      <w:r w:rsidRPr="00854FC2" w:rsidDel="0011184F">
        <w:rPr>
          <w:rFonts w:cs="Arial"/>
          <w:szCs w:val="22"/>
        </w:rPr>
        <w:t>.</w:t>
      </w:r>
      <w:r w:rsidR="0011184F">
        <w:rPr>
          <w:rFonts w:cs="Arial"/>
          <w:szCs w:val="22"/>
        </w:rPr>
        <w:t xml:space="preserve"> </w:t>
      </w:r>
    </w:p>
    <w:p w:rsidRPr="00854FC2" w:rsidR="000F038E" w:rsidP="00AF158B" w:rsidRDefault="000F038E" w14:paraId="441615E8" w14:textId="77777777">
      <w:pPr>
        <w:numPr>
          <w:ilvl w:val="12"/>
          <w:numId w:val="0"/>
        </w:numPr>
        <w:ind w:firstLine="720"/>
        <w:rPr>
          <w:rFonts w:cs="Arial"/>
          <w:szCs w:val="22"/>
        </w:rPr>
      </w:pPr>
    </w:p>
    <w:p w:rsidRPr="008B4A2A" w:rsidR="00D85665" w:rsidP="00B7180E" w:rsidRDefault="00B7180E" w14:paraId="0A97CB06" w14:textId="31C8C0A1">
      <w:pPr>
        <w:pStyle w:val="Heading4"/>
        <w:numPr>
          <w:ilvl w:val="0"/>
          <w:numId w:val="0"/>
        </w:numPr>
        <w:ind w:left="720" w:hanging="360"/>
        <w:rPr>
          <w:b w:val="0"/>
          <w:i w:val="0"/>
        </w:rPr>
      </w:pPr>
      <w:r>
        <w:rPr>
          <w:b w:val="0"/>
          <w:i w:val="0"/>
        </w:rPr>
        <w:t xml:space="preserve">5. </w:t>
      </w:r>
      <w:r w:rsidRPr="008B4A2A" w:rsidR="00D85665">
        <w:rPr>
          <w:b w:val="0"/>
          <w:i w:val="0"/>
        </w:rPr>
        <w:t xml:space="preserve">Revise the SPCC Plan </w:t>
      </w:r>
    </w:p>
    <w:p w:rsidRPr="00854FC2" w:rsidR="00D85665" w:rsidP="00A304B5" w:rsidRDefault="00D85665" w14:paraId="7C546803" w14:textId="77777777"/>
    <w:p w:rsidR="00D620E7" w:rsidP="00AF158B" w:rsidRDefault="00D85665" w14:paraId="36CB0DD8" w14:textId="77777777">
      <w:pPr>
        <w:numPr>
          <w:ilvl w:val="12"/>
          <w:numId w:val="0"/>
        </w:numPr>
        <w:ind w:firstLine="720"/>
        <w:rPr>
          <w:rFonts w:cs="Arial"/>
          <w:szCs w:val="22"/>
        </w:rPr>
      </w:pPr>
      <w:r w:rsidRPr="00854FC2">
        <w:rPr>
          <w:rFonts w:cs="Arial"/>
          <w:szCs w:val="22"/>
        </w:rPr>
        <w:t xml:space="preserve">Section 112.5(a) requires the facility owner or operator to amend </w:t>
      </w:r>
      <w:r w:rsidR="009459EE">
        <w:rPr>
          <w:rFonts w:cs="Arial"/>
          <w:szCs w:val="22"/>
        </w:rPr>
        <w:t>the facility’s</w:t>
      </w:r>
      <w:r w:rsidRPr="00854FC2">
        <w:rPr>
          <w:rFonts w:cs="Arial"/>
          <w:szCs w:val="22"/>
        </w:rPr>
        <w:t xml:space="preserve"> Plan in accordance with §112.7 whenever there is a change in the facility’s design, construction, operation, </w:t>
      </w:r>
      <w:r w:rsidR="00A52CD0">
        <w:rPr>
          <w:rFonts w:cs="Arial"/>
          <w:szCs w:val="22"/>
        </w:rPr>
        <w:t>or</w:t>
      </w:r>
      <w:r w:rsidRPr="00854FC2">
        <w:rPr>
          <w:rFonts w:cs="Arial"/>
          <w:szCs w:val="22"/>
        </w:rPr>
        <w:t xml:space="preserve"> maintenance that materially affects the facility’s potential to discharge oil into navigable water</w:t>
      </w:r>
      <w:r w:rsidR="007B04DF">
        <w:rPr>
          <w:rFonts w:cs="Arial"/>
          <w:szCs w:val="22"/>
        </w:rPr>
        <w:t xml:space="preserve"> in harmful quantities</w:t>
      </w:r>
      <w:r w:rsidR="003F6507">
        <w:rPr>
          <w:rFonts w:cs="Arial"/>
          <w:szCs w:val="22"/>
        </w:rPr>
        <w:t xml:space="preserve">. </w:t>
      </w:r>
      <w:r w:rsidRPr="00854FC2">
        <w:rPr>
          <w:rFonts w:cs="Arial"/>
          <w:szCs w:val="22"/>
        </w:rPr>
        <w:t xml:space="preserve">The activities </w:t>
      </w:r>
      <w:r w:rsidR="009459EE">
        <w:rPr>
          <w:rFonts w:cs="Arial"/>
          <w:szCs w:val="22"/>
        </w:rPr>
        <w:t xml:space="preserve">the facility must then undertake </w:t>
      </w:r>
      <w:r w:rsidRPr="00854FC2">
        <w:rPr>
          <w:rFonts w:cs="Arial"/>
          <w:szCs w:val="22"/>
        </w:rPr>
        <w:t xml:space="preserve">to amend the Plan are </w:t>
      </w:r>
      <w:r w:rsidR="009459EE">
        <w:rPr>
          <w:rFonts w:cs="Arial"/>
          <w:szCs w:val="22"/>
        </w:rPr>
        <w:t xml:space="preserve">assumed </w:t>
      </w:r>
      <w:r w:rsidRPr="00854FC2">
        <w:rPr>
          <w:rFonts w:cs="Arial"/>
          <w:szCs w:val="22"/>
        </w:rPr>
        <w:t>to involve technical</w:t>
      </w:r>
      <w:r w:rsidR="009459EE">
        <w:rPr>
          <w:rFonts w:cs="Arial"/>
          <w:szCs w:val="22"/>
        </w:rPr>
        <w:t xml:space="preserve"> labor hours</w:t>
      </w:r>
      <w:r w:rsidRPr="00854FC2">
        <w:rPr>
          <w:rFonts w:cs="Arial"/>
          <w:szCs w:val="22"/>
        </w:rPr>
        <w:t xml:space="preserve">, as well as some clerical </w:t>
      </w:r>
      <w:r w:rsidR="009459EE">
        <w:rPr>
          <w:rFonts w:cs="Arial"/>
          <w:szCs w:val="22"/>
        </w:rPr>
        <w:t>labor</w:t>
      </w:r>
      <w:r w:rsidRPr="00854FC2">
        <w:rPr>
          <w:rFonts w:cs="Arial"/>
          <w:szCs w:val="22"/>
        </w:rPr>
        <w:t xml:space="preserve">. The amended Plan must then be </w:t>
      </w:r>
      <w:bookmarkStart w:name="_Hlk34387164" w:id="8"/>
      <w:r w:rsidRPr="00854FC2">
        <w:rPr>
          <w:rFonts w:cs="Arial"/>
          <w:szCs w:val="22"/>
        </w:rPr>
        <w:t>certified prior to implementation by a licensed PE, or self-certified</w:t>
      </w:r>
      <w:r w:rsidR="00DD5FAA">
        <w:rPr>
          <w:rFonts w:cs="Arial"/>
          <w:szCs w:val="22"/>
        </w:rPr>
        <w:t xml:space="preserve"> by the appropriate facility representative</w:t>
      </w:r>
      <w:bookmarkEnd w:id="8"/>
      <w:r w:rsidRPr="00854FC2">
        <w:rPr>
          <w:rFonts w:cs="Arial"/>
          <w:szCs w:val="22"/>
        </w:rPr>
        <w:t xml:space="preserve"> in the case of qualified facilities. </w:t>
      </w:r>
      <w:r w:rsidRPr="002709A2" w:rsidR="002709A2">
        <w:rPr>
          <w:rFonts w:cs="Arial"/>
          <w:szCs w:val="22"/>
        </w:rPr>
        <w:t>An amendment made under 112.5(a) must be prepared within six months, and implemented as soon as possible, but not later than six months following preparation of the amendment.</w:t>
      </w:r>
    </w:p>
    <w:p w:rsidR="00D57C0E" w:rsidP="00AF158B" w:rsidRDefault="002709A2" w14:paraId="5B7AB31F" w14:textId="21A7A0A8">
      <w:pPr>
        <w:numPr>
          <w:ilvl w:val="12"/>
          <w:numId w:val="0"/>
        </w:numPr>
        <w:ind w:firstLine="720"/>
        <w:rPr>
          <w:rFonts w:cs="Arial"/>
          <w:szCs w:val="22"/>
        </w:rPr>
      </w:pPr>
      <w:r w:rsidRPr="002709A2">
        <w:rPr>
          <w:rFonts w:cs="Arial"/>
          <w:szCs w:val="22"/>
        </w:rPr>
        <w:t xml:space="preserve"> </w:t>
      </w:r>
      <w:r>
        <w:rPr>
          <w:rFonts w:cs="Arial"/>
          <w:szCs w:val="22"/>
        </w:rPr>
        <w:t xml:space="preserve"> </w:t>
      </w:r>
    </w:p>
    <w:p w:rsidR="00D620E7" w:rsidP="002709A2" w:rsidRDefault="00D57C0E" w14:paraId="528B8D7B" w14:textId="07ED8E33">
      <w:pPr>
        <w:numPr>
          <w:ilvl w:val="12"/>
          <w:numId w:val="0"/>
        </w:numPr>
        <w:ind w:firstLine="720"/>
        <w:rPr>
          <w:rFonts w:cs="Arial"/>
          <w:szCs w:val="22"/>
        </w:rPr>
      </w:pPr>
      <w:r>
        <w:rPr>
          <w:rFonts w:cs="Arial"/>
          <w:szCs w:val="22"/>
        </w:rPr>
        <w:t>The rule was amended in 2002, in an effort to reduce the burden of the rule relative to non-technical amendments. The rule clarified, that n</w:t>
      </w:r>
      <w:r w:rsidR="002709A2">
        <w:rPr>
          <w:rFonts w:cs="Arial"/>
          <w:szCs w:val="22"/>
        </w:rPr>
        <w:t>on-technical amendments</w:t>
      </w:r>
      <w:r w:rsidRPr="002709A2" w:rsidR="002709A2">
        <w:t xml:space="preserve"> </w:t>
      </w:r>
      <w:r w:rsidRPr="002709A2" w:rsidR="002709A2">
        <w:rPr>
          <w:rFonts w:cs="Arial"/>
          <w:szCs w:val="22"/>
        </w:rPr>
        <w:t xml:space="preserve">that </w:t>
      </w:r>
      <w:r w:rsidR="002709A2">
        <w:rPr>
          <w:rFonts w:cs="Arial"/>
          <w:szCs w:val="22"/>
        </w:rPr>
        <w:t xml:space="preserve">do not </w:t>
      </w:r>
      <w:r w:rsidRPr="002709A2" w:rsidR="002709A2">
        <w:rPr>
          <w:rFonts w:cs="Arial"/>
          <w:szCs w:val="22"/>
        </w:rPr>
        <w:t xml:space="preserve">materially affect </w:t>
      </w:r>
      <w:r w:rsidR="002709A2">
        <w:rPr>
          <w:rFonts w:cs="Arial"/>
          <w:szCs w:val="22"/>
        </w:rPr>
        <w:t>the facilities</w:t>
      </w:r>
      <w:r w:rsidRPr="002709A2" w:rsidR="002709A2">
        <w:rPr>
          <w:rFonts w:cs="Arial"/>
          <w:szCs w:val="22"/>
        </w:rPr>
        <w:t xml:space="preserve"> potential for a discharge as described in §112.1(b</w:t>
      </w:r>
      <w:r w:rsidR="002709A2">
        <w:rPr>
          <w:rFonts w:cs="Arial"/>
          <w:szCs w:val="22"/>
        </w:rPr>
        <w:t xml:space="preserve">) are not required to be </w:t>
      </w:r>
      <w:r w:rsidRPr="002709A2" w:rsidR="002709A2">
        <w:rPr>
          <w:rFonts w:cs="Arial"/>
          <w:szCs w:val="22"/>
        </w:rPr>
        <w:t>certified by a licensed PE, or self-certified by the appropriate facility representative</w:t>
      </w:r>
      <w:r w:rsidR="002709A2">
        <w:rPr>
          <w:rFonts w:cs="Arial"/>
          <w:szCs w:val="22"/>
        </w:rPr>
        <w:t xml:space="preserve"> in the case of a self-certified plan</w:t>
      </w:r>
      <w:r w:rsidR="002709A2">
        <w:rPr>
          <w:rStyle w:val="FootnoteReference"/>
          <w:rFonts w:cs="Arial"/>
          <w:szCs w:val="22"/>
        </w:rPr>
        <w:footnoteReference w:id="10"/>
      </w:r>
      <w:r w:rsidR="002709A2">
        <w:rPr>
          <w:rFonts w:cs="Arial"/>
          <w:szCs w:val="22"/>
        </w:rPr>
        <w:t xml:space="preserve">. </w:t>
      </w:r>
      <w:r w:rsidRPr="00D57C0E">
        <w:rPr>
          <w:rFonts w:cs="Arial"/>
          <w:szCs w:val="22"/>
        </w:rPr>
        <w:t>Non-technical</w:t>
      </w:r>
      <w:r>
        <w:rPr>
          <w:rFonts w:cs="Arial"/>
          <w:szCs w:val="22"/>
        </w:rPr>
        <w:t xml:space="preserve"> </w:t>
      </w:r>
      <w:r w:rsidRPr="00D57C0E">
        <w:rPr>
          <w:rFonts w:cs="Arial"/>
          <w:szCs w:val="22"/>
        </w:rPr>
        <w:t>changes not requiring the exercise of good engineering practice do not require PE certification. Such non-technical</w:t>
      </w:r>
      <w:r>
        <w:rPr>
          <w:rFonts w:cs="Arial"/>
          <w:szCs w:val="22"/>
        </w:rPr>
        <w:t xml:space="preserve"> </w:t>
      </w:r>
      <w:r w:rsidRPr="00D57C0E">
        <w:rPr>
          <w:rFonts w:cs="Arial"/>
          <w:szCs w:val="22"/>
        </w:rPr>
        <w:t>changes include but are not limited to such items as: changes to the contact list; more stringent requirements for</w:t>
      </w:r>
      <w:r>
        <w:rPr>
          <w:rFonts w:cs="Arial"/>
          <w:szCs w:val="22"/>
        </w:rPr>
        <w:t xml:space="preserve"> </w:t>
      </w:r>
      <w:r w:rsidRPr="00D57C0E">
        <w:rPr>
          <w:rFonts w:cs="Arial"/>
          <w:szCs w:val="22"/>
        </w:rPr>
        <w:t>stormwater discharges to comply with NPDES rules; phone numbers; product changes if the new product is</w:t>
      </w:r>
      <w:r>
        <w:rPr>
          <w:rFonts w:cs="Arial"/>
          <w:szCs w:val="22"/>
        </w:rPr>
        <w:t xml:space="preserve"> </w:t>
      </w:r>
      <w:r w:rsidRPr="00D57C0E">
        <w:rPr>
          <w:rFonts w:cs="Arial"/>
          <w:szCs w:val="22"/>
        </w:rPr>
        <w:t>compatible with conditions in the existing tank and secondary containment; and, any other changes</w:t>
      </w:r>
      <w:r>
        <w:rPr>
          <w:rFonts w:cs="Arial"/>
          <w:szCs w:val="22"/>
        </w:rPr>
        <w:t xml:space="preserve"> </w:t>
      </w:r>
      <w:r w:rsidRPr="00D57C0E">
        <w:rPr>
          <w:rFonts w:cs="Arial"/>
          <w:szCs w:val="22"/>
        </w:rPr>
        <w:t>which do not materially affect the facility’s potential to discharge oil. If the owner or operator is not sure whether</w:t>
      </w:r>
      <w:r>
        <w:rPr>
          <w:rFonts w:cs="Arial"/>
          <w:szCs w:val="22"/>
        </w:rPr>
        <w:t xml:space="preserve"> </w:t>
      </w:r>
      <w:r w:rsidRPr="00D57C0E">
        <w:rPr>
          <w:rFonts w:cs="Arial"/>
          <w:szCs w:val="22"/>
        </w:rPr>
        <w:t>the change is technical or non-technical, he should have it certified.</w:t>
      </w:r>
      <w:r>
        <w:rPr>
          <w:rFonts w:cs="Arial"/>
          <w:szCs w:val="22"/>
        </w:rPr>
        <w:t xml:space="preserve"> This rule clarification related to </w:t>
      </w:r>
      <w:r w:rsidR="002709A2">
        <w:rPr>
          <w:rFonts w:cs="Arial"/>
          <w:szCs w:val="22"/>
        </w:rPr>
        <w:t xml:space="preserve">nontechnical amendments </w:t>
      </w:r>
      <w:r>
        <w:rPr>
          <w:rFonts w:cs="Arial"/>
          <w:szCs w:val="22"/>
        </w:rPr>
        <w:t xml:space="preserve">reduces the </w:t>
      </w:r>
      <w:r w:rsidR="002709A2">
        <w:rPr>
          <w:rFonts w:cs="Arial"/>
          <w:szCs w:val="22"/>
        </w:rPr>
        <w:t>burden incurred</w:t>
      </w:r>
      <w:r w:rsidR="00D620E7">
        <w:rPr>
          <w:rFonts w:cs="Arial"/>
          <w:szCs w:val="22"/>
        </w:rPr>
        <w:t>,</w:t>
      </w:r>
      <w:r>
        <w:rPr>
          <w:rFonts w:cs="Arial"/>
          <w:szCs w:val="22"/>
        </w:rPr>
        <w:t xml:space="preserve"> as certification is not required</w:t>
      </w:r>
    </w:p>
    <w:p w:rsidRPr="00D620E7" w:rsidR="00D620E7" w:rsidP="00D620E7" w:rsidRDefault="00D620E7" w14:paraId="0446769E" w14:textId="77777777">
      <w:pPr>
        <w:numPr>
          <w:ilvl w:val="12"/>
          <w:numId w:val="0"/>
        </w:numPr>
        <w:rPr>
          <w:rFonts w:cs="Arial"/>
          <w:szCs w:val="22"/>
        </w:rPr>
      </w:pPr>
    </w:p>
    <w:p w:rsidRPr="00D620E7" w:rsidR="00CE0DAE" w:rsidP="002709A2" w:rsidRDefault="000C5175" w14:paraId="340B828A" w14:textId="08F16D50">
      <w:pPr>
        <w:numPr>
          <w:ilvl w:val="12"/>
          <w:numId w:val="0"/>
        </w:numPr>
        <w:ind w:firstLine="720"/>
      </w:pPr>
      <w:r w:rsidRPr="00D620E7">
        <w:t xml:space="preserve">6. </w:t>
      </w:r>
      <w:r w:rsidRPr="00D620E7" w:rsidR="00CE0DAE">
        <w:t>Maintain the SPCC Plan and keep records</w:t>
      </w:r>
    </w:p>
    <w:p w:rsidR="00CD5AC3" w:rsidP="00CD5AC3" w:rsidRDefault="00CD5AC3" w14:paraId="144010D4" w14:textId="77777777">
      <w:pPr>
        <w:pStyle w:val="BodyText"/>
        <w:numPr>
          <w:ilvl w:val="12"/>
          <w:numId w:val="0"/>
        </w:numPr>
      </w:pPr>
    </w:p>
    <w:p w:rsidR="006F6C6A" w:rsidP="00CD5AC3" w:rsidRDefault="00CE0DAE" w14:paraId="634705C1" w14:textId="0C4590F4">
      <w:pPr>
        <w:numPr>
          <w:ilvl w:val="12"/>
          <w:numId w:val="0"/>
        </w:numPr>
        <w:ind w:firstLine="720"/>
      </w:pPr>
      <w:r w:rsidRPr="00A77EFF">
        <w:t xml:space="preserve">Section 112.3 requires the owner or operator to maintain a copy of the SPCC Plan at the facility if the facility is normally attended for at least four hours per day or at the nearest field office if not. The Plan must be available to the Regional Administrator for review during normal working hours (§112.3(e)). In addition, a facility owner or operator is required to maintain and update Plan-specific records </w:t>
      </w:r>
      <w:r w:rsidRPr="00CE0DAE">
        <w:t xml:space="preserve">for a period of three years </w:t>
      </w:r>
      <w:r w:rsidRPr="00A77EFF">
        <w:t xml:space="preserve">as outlined under §112.7(e). </w:t>
      </w:r>
      <w:r w:rsidRPr="00CE0DAE">
        <w:t>Records of inspections and tests kept under usual and customary business practices fulfill these requirements. EPA allows appropriate electronic recordkeeping to reduce costs and improve efficiency</w:t>
      </w:r>
      <w:r>
        <w:t>.</w:t>
      </w:r>
      <w:r w:rsidRPr="00CE0DAE">
        <w:t xml:space="preserve"> </w:t>
      </w:r>
      <w:r>
        <w:t xml:space="preserve">In estimating burden, EPA assumes that </w:t>
      </w:r>
      <w:r w:rsidRPr="00A77EFF">
        <w:t>Plan maintenance and recordkeeping activities involve almost entirely technical labor, although they may also require a small amount of clerical labor.</w:t>
      </w:r>
    </w:p>
    <w:p w:rsidR="00D85665" w:rsidRDefault="00D85665" w14:paraId="3A2BBB9E" w14:textId="516CF02A">
      <w:pPr>
        <w:numPr>
          <w:ilvl w:val="12"/>
          <w:numId w:val="0"/>
        </w:numPr>
        <w:tabs>
          <w:tab w:val="left" w:pos="0"/>
          <w:tab w:val="left" w:pos="720"/>
          <w:tab w:val="left" w:pos="1440"/>
          <w:tab w:val="left" w:pos="2160"/>
        </w:tabs>
        <w:rPr>
          <w:rFonts w:cs="Arial"/>
          <w:szCs w:val="22"/>
        </w:rPr>
      </w:pPr>
    </w:p>
    <w:p w:rsidRPr="00854FC2" w:rsidR="000C5175" w:rsidRDefault="000C5175" w14:paraId="5B464A9B" w14:textId="77777777">
      <w:pPr>
        <w:numPr>
          <w:ilvl w:val="12"/>
          <w:numId w:val="0"/>
        </w:numPr>
        <w:tabs>
          <w:tab w:val="left" w:pos="0"/>
          <w:tab w:val="left" w:pos="720"/>
          <w:tab w:val="left" w:pos="1440"/>
          <w:tab w:val="left" w:pos="2160"/>
        </w:tabs>
        <w:rPr>
          <w:rFonts w:cs="Arial"/>
          <w:szCs w:val="22"/>
        </w:rPr>
      </w:pPr>
    </w:p>
    <w:p w:rsidRPr="00854FC2" w:rsidR="00D85665" w:rsidP="00A304B5" w:rsidRDefault="00D85665" w14:paraId="3AC9677A" w14:textId="77777777">
      <w:pPr>
        <w:pStyle w:val="Heading1"/>
      </w:pPr>
      <w:r w:rsidRPr="00854FC2">
        <w:t>5.</w:t>
      </w:r>
      <w:r w:rsidRPr="00854FC2">
        <w:tab/>
        <w:t>INFORMATION COLLECTED - AGENCY ACTIVITIES, COLLECTION METHODOLOGY, AND INFORMATION MANAGEMENT</w:t>
      </w:r>
    </w:p>
    <w:p w:rsidRPr="00854FC2" w:rsidR="00D85665" w:rsidRDefault="00D85665" w14:paraId="5B938D4F" w14:textId="77777777">
      <w:pPr>
        <w:keepNext/>
        <w:numPr>
          <w:ilvl w:val="12"/>
          <w:numId w:val="0"/>
        </w:numPr>
        <w:tabs>
          <w:tab w:val="left" w:pos="0"/>
          <w:tab w:val="left" w:pos="720"/>
          <w:tab w:val="left" w:pos="1440"/>
          <w:tab w:val="left" w:pos="2160"/>
        </w:tabs>
        <w:rPr>
          <w:rFonts w:cs="Arial"/>
          <w:szCs w:val="22"/>
        </w:rPr>
      </w:pPr>
    </w:p>
    <w:p w:rsidRPr="00854FC2" w:rsidR="00D85665" w:rsidP="00E827A7" w:rsidRDefault="00D85665" w14:paraId="46A0EF4F" w14:textId="743B6968">
      <w:pPr>
        <w:pStyle w:val="Heading2"/>
      </w:pPr>
      <w:r w:rsidRPr="00854FC2">
        <w:tab/>
        <w:t>5(a)</w:t>
      </w:r>
      <w:r w:rsidR="000F5676">
        <w:t xml:space="preserve"> </w:t>
      </w:r>
      <w:r w:rsidR="004927D8">
        <w:t>Agency</w:t>
      </w:r>
      <w:r w:rsidRPr="00854FC2">
        <w:t xml:space="preserve"> Activities</w:t>
      </w:r>
    </w:p>
    <w:p w:rsidRPr="00854FC2" w:rsidR="00D85665" w:rsidRDefault="00D85665" w14:paraId="27097AD9" w14:textId="77777777">
      <w:pPr>
        <w:keepNext/>
        <w:numPr>
          <w:ilvl w:val="12"/>
          <w:numId w:val="0"/>
        </w:numPr>
        <w:tabs>
          <w:tab w:val="left" w:pos="0"/>
          <w:tab w:val="left" w:pos="720"/>
          <w:tab w:val="left" w:pos="1440"/>
          <w:tab w:val="left" w:pos="2160"/>
        </w:tabs>
        <w:rPr>
          <w:rFonts w:cs="Arial"/>
          <w:szCs w:val="22"/>
        </w:rPr>
      </w:pPr>
    </w:p>
    <w:p w:rsidR="00D85665" w:rsidP="00CD5AC3" w:rsidRDefault="00D85665" w14:paraId="170C45C7" w14:textId="3779064F">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00A52CD0">
        <w:rPr>
          <w:rFonts w:cs="Courier New"/>
          <w:lang w:val="en-CA"/>
        </w:rPr>
        <w:t>If</w:t>
      </w:r>
      <w:r w:rsidRPr="00854FC2">
        <w:rPr>
          <w:rFonts w:cs="Arial"/>
          <w:szCs w:val="22"/>
        </w:rPr>
        <w:t xml:space="preserve"> </w:t>
      </w:r>
      <w:r w:rsidR="00B23257">
        <w:rPr>
          <w:rFonts w:cs="Arial"/>
          <w:szCs w:val="22"/>
        </w:rPr>
        <w:t>a</w:t>
      </w:r>
      <w:r w:rsidR="00F94C12">
        <w:rPr>
          <w:rFonts w:cs="Arial"/>
          <w:szCs w:val="22"/>
        </w:rPr>
        <w:t>n</w:t>
      </w:r>
      <w:r w:rsidR="00B23257">
        <w:rPr>
          <w:rFonts w:cs="Arial"/>
          <w:szCs w:val="22"/>
        </w:rPr>
        <w:t xml:space="preserve"> </w:t>
      </w:r>
      <w:r w:rsidRPr="00854FC2">
        <w:rPr>
          <w:rFonts w:cs="Arial"/>
          <w:szCs w:val="22"/>
        </w:rPr>
        <w:t xml:space="preserve">SPCC-regulated facility discharges more than 1,000 </w:t>
      </w:r>
      <w:r w:rsidR="0022621C">
        <w:rPr>
          <w:rFonts w:cs="Arial"/>
          <w:szCs w:val="22"/>
        </w:rPr>
        <w:t>U.S. gallons</w:t>
      </w:r>
      <w:r w:rsidRPr="00854FC2">
        <w:rPr>
          <w:rFonts w:cs="Arial"/>
          <w:szCs w:val="22"/>
        </w:rPr>
        <w:t xml:space="preserve"> of oil in a single discharge as described in §112.1(b), or discharges more than 4</w:t>
      </w:r>
      <w:bookmarkStart w:name="_GoBack" w:id="9"/>
      <w:bookmarkEnd w:id="9"/>
      <w:r w:rsidRPr="00854FC2">
        <w:rPr>
          <w:rFonts w:cs="Arial"/>
          <w:szCs w:val="22"/>
        </w:rPr>
        <w:t xml:space="preserve">2 U.S. gallons of oil in each of two discharges as described in §112.1(b) within any </w:t>
      </w:r>
      <w:r w:rsidR="00747B54">
        <w:rPr>
          <w:rFonts w:cs="Arial"/>
          <w:szCs w:val="22"/>
        </w:rPr>
        <w:t>12</w:t>
      </w:r>
      <w:r w:rsidRPr="00854FC2">
        <w:rPr>
          <w:rFonts w:cs="Arial"/>
          <w:szCs w:val="22"/>
        </w:rPr>
        <w:t xml:space="preserve">-month period, </w:t>
      </w:r>
      <w:r w:rsidRPr="00A77EFF">
        <w:rPr>
          <w:rFonts w:cs="Arial"/>
          <w:szCs w:val="22"/>
        </w:rPr>
        <w:t>EPA</w:t>
      </w:r>
      <w:r w:rsidRPr="00A77EFF" w:rsidR="007A6A31">
        <w:rPr>
          <w:rFonts w:cs="Arial"/>
          <w:szCs w:val="22"/>
        </w:rPr>
        <w:t xml:space="preserve"> </w:t>
      </w:r>
      <w:r w:rsidR="003C3440">
        <w:rPr>
          <w:rFonts w:cs="Arial"/>
          <w:szCs w:val="22"/>
        </w:rPr>
        <w:t xml:space="preserve">must </w:t>
      </w:r>
      <w:r w:rsidRPr="00A77EFF">
        <w:rPr>
          <w:rFonts w:cs="Arial"/>
          <w:szCs w:val="22"/>
        </w:rPr>
        <w:t>review the information submitted by the facility under 40 CFR 112.4(a)</w:t>
      </w:r>
      <w:r w:rsidR="003C3440">
        <w:rPr>
          <w:rFonts w:cs="Arial"/>
          <w:szCs w:val="22"/>
        </w:rPr>
        <w:t>.</w:t>
      </w:r>
    </w:p>
    <w:p w:rsidR="00F556FF" w:rsidP="00CD5AC3" w:rsidRDefault="00F556FF" w14:paraId="38F3CEE1" w14:textId="77777777">
      <w:pPr>
        <w:ind w:firstLine="720"/>
        <w:rPr>
          <w:rFonts w:cs="Arial"/>
          <w:szCs w:val="22"/>
        </w:rPr>
      </w:pPr>
    </w:p>
    <w:p w:rsidRPr="00A52CD0" w:rsidR="00D85665" w:rsidP="00A52CD0" w:rsidRDefault="00E07418" w14:paraId="5A7787C2" w14:textId="5C1AD294">
      <w:pPr>
        <w:pStyle w:val="Level1"/>
        <w:tabs>
          <w:tab w:val="left" w:pos="720"/>
        </w:tabs>
        <w:ind w:left="0"/>
        <w:rPr>
          <w:rFonts w:cs="Arial"/>
          <w:szCs w:val="22"/>
        </w:rPr>
      </w:pPr>
      <w:r>
        <w:rPr>
          <w:rFonts w:cs="Arial"/>
          <w:szCs w:val="22"/>
        </w:rPr>
        <w:tab/>
      </w:r>
      <w:r w:rsidRPr="00A52CD0" w:rsidR="00D85665">
        <w:rPr>
          <w:rFonts w:cs="Arial"/>
          <w:szCs w:val="22"/>
        </w:rPr>
        <w:t>EPA</w:t>
      </w:r>
      <w:r w:rsidRPr="00A52CD0" w:rsidR="000E47BC">
        <w:rPr>
          <w:rFonts w:cs="Arial"/>
          <w:szCs w:val="22"/>
        </w:rPr>
        <w:t xml:space="preserve">’s </w:t>
      </w:r>
      <w:r w:rsidRPr="00A52CD0" w:rsidR="00D85665">
        <w:rPr>
          <w:rFonts w:cs="Arial"/>
          <w:szCs w:val="22"/>
        </w:rPr>
        <w:t>inspection</w:t>
      </w:r>
      <w:r w:rsidR="008E61F7">
        <w:rPr>
          <w:rFonts w:cs="Arial"/>
          <w:szCs w:val="22"/>
        </w:rPr>
        <w:t>/</w:t>
      </w:r>
      <w:r w:rsidR="002B04F1">
        <w:rPr>
          <w:rFonts w:cs="Arial"/>
          <w:szCs w:val="22"/>
        </w:rPr>
        <w:t>co</w:t>
      </w:r>
      <w:r w:rsidRPr="002B04F1" w:rsidR="002B04F1">
        <w:rPr>
          <w:rFonts w:cs="Arial"/>
          <w:szCs w:val="22"/>
        </w:rPr>
        <w:t>mpliance monitoring</w:t>
      </w:r>
      <w:r w:rsidRPr="00A52CD0" w:rsidR="00D85665">
        <w:rPr>
          <w:rFonts w:cs="Arial"/>
          <w:szCs w:val="22"/>
        </w:rPr>
        <w:t xml:space="preserve">, enforcement, and outreach activities </w:t>
      </w:r>
      <w:r w:rsidRPr="00A52CD0" w:rsidR="00AB483D">
        <w:rPr>
          <w:rFonts w:cs="Arial"/>
          <w:szCs w:val="22"/>
        </w:rPr>
        <w:t xml:space="preserve">conducted </w:t>
      </w:r>
      <w:r w:rsidRPr="00A52CD0" w:rsidR="00D85665">
        <w:rPr>
          <w:rFonts w:cs="Arial"/>
          <w:szCs w:val="22"/>
        </w:rPr>
        <w:t>as part of administering th</w:t>
      </w:r>
      <w:r w:rsidR="00B975B2">
        <w:rPr>
          <w:rFonts w:cs="Arial"/>
          <w:szCs w:val="22"/>
        </w:rPr>
        <w:t>e SPCC</w:t>
      </w:r>
      <w:r w:rsidRPr="00A52CD0" w:rsidR="00D85665">
        <w:rPr>
          <w:rFonts w:cs="Arial"/>
          <w:szCs w:val="22"/>
        </w:rPr>
        <w:t xml:space="preserve"> program</w:t>
      </w:r>
      <w:r w:rsidRPr="00A52CD0" w:rsidR="006F16C3">
        <w:rPr>
          <w:rFonts w:cs="Arial"/>
          <w:szCs w:val="22"/>
        </w:rPr>
        <w:t xml:space="preserve"> are not covered by </w:t>
      </w:r>
      <w:r w:rsidR="00B975B2">
        <w:rPr>
          <w:rFonts w:cs="Arial"/>
          <w:szCs w:val="22"/>
        </w:rPr>
        <w:t>an</w:t>
      </w:r>
      <w:r w:rsidRPr="00A52CD0" w:rsidR="006F16C3">
        <w:rPr>
          <w:rFonts w:cs="Arial"/>
          <w:szCs w:val="22"/>
        </w:rPr>
        <w:t xml:space="preserve"> ICR</w:t>
      </w:r>
      <w:r w:rsidR="00FD09E2">
        <w:rPr>
          <w:rFonts w:cs="Arial"/>
          <w:szCs w:val="22"/>
        </w:rPr>
        <w:t xml:space="preserve"> because they are routine agency activities</w:t>
      </w:r>
      <w:r w:rsidRPr="00A52CD0" w:rsidR="006F16C3">
        <w:rPr>
          <w:rFonts w:cs="Arial"/>
          <w:szCs w:val="22"/>
        </w:rPr>
        <w:t>.</w:t>
      </w:r>
      <w:r w:rsidR="00BE269B">
        <w:rPr>
          <w:rFonts w:cs="Arial"/>
          <w:szCs w:val="22"/>
        </w:rPr>
        <w:t xml:space="preserve"> </w:t>
      </w:r>
      <w:r w:rsidR="00BE269B">
        <w:t xml:space="preserve">Inspectors typically </w:t>
      </w:r>
      <w:r w:rsidR="00D57C0E">
        <w:t xml:space="preserve">can </w:t>
      </w:r>
      <w:r w:rsidR="00BE269B">
        <w:t xml:space="preserve">request a copy of the SPCC </w:t>
      </w:r>
      <w:r w:rsidR="00D357D1">
        <w:t xml:space="preserve">Plan </w:t>
      </w:r>
      <w:r w:rsidR="00BE269B">
        <w:t xml:space="preserve">during </w:t>
      </w:r>
      <w:r w:rsidR="00D57C0E">
        <w:t xml:space="preserve">a compliance monitoring </w:t>
      </w:r>
      <w:r w:rsidR="00BE269B">
        <w:t>inspection. The</w:t>
      </w:r>
      <w:r w:rsidR="00FB7DDB">
        <w:t xml:space="preserve"> </w:t>
      </w:r>
      <w:r w:rsidR="00CC2867">
        <w:t>small</w:t>
      </w:r>
      <w:r w:rsidR="00BE269B">
        <w:t xml:space="preserve"> burden </w:t>
      </w:r>
      <w:r w:rsidR="00B23257">
        <w:t xml:space="preserve">the facility incurs </w:t>
      </w:r>
      <w:r w:rsidR="00BE269B">
        <w:t>to provide the plan is included in</w:t>
      </w:r>
      <w:r w:rsidR="00CB47F1">
        <w:t xml:space="preserve"> </w:t>
      </w:r>
      <w:r w:rsidR="00CC2867">
        <w:t>the activity “Revise the SPCC Plan and Maintain Records</w:t>
      </w:r>
      <w:r w:rsidR="002A0922">
        <w:t>”</w:t>
      </w:r>
      <w:r w:rsidRPr="00FB7DDB" w:rsidR="00BE269B">
        <w:t>.</w:t>
      </w:r>
    </w:p>
    <w:p w:rsidRPr="00854FC2" w:rsidR="00D85665" w:rsidRDefault="00D85665" w14:paraId="369FFF7C" w14:textId="77777777">
      <w:pPr>
        <w:numPr>
          <w:ilvl w:val="12"/>
          <w:numId w:val="0"/>
        </w:numPr>
        <w:tabs>
          <w:tab w:val="left" w:pos="0"/>
          <w:tab w:val="left" w:pos="720"/>
          <w:tab w:val="left" w:pos="1440"/>
          <w:tab w:val="left" w:pos="2160"/>
        </w:tabs>
        <w:rPr>
          <w:rFonts w:cs="Arial"/>
          <w:szCs w:val="22"/>
        </w:rPr>
      </w:pPr>
    </w:p>
    <w:p w:rsidRPr="00854FC2" w:rsidR="00D85665" w:rsidP="00E827A7" w:rsidRDefault="00D85665" w14:paraId="33190201" w14:textId="77777777">
      <w:pPr>
        <w:pStyle w:val="Heading2"/>
      </w:pPr>
      <w:r w:rsidRPr="00854FC2">
        <w:tab/>
      </w:r>
      <w:bookmarkStart w:name="_Hlk33518711" w:id="10"/>
      <w:r w:rsidRPr="00854FC2">
        <w:t>5(b)</w:t>
      </w:r>
      <w:r w:rsidR="000F5676">
        <w:t xml:space="preserve"> </w:t>
      </w:r>
      <w:r w:rsidRPr="00854FC2">
        <w:t>Collection Methodology and Management</w:t>
      </w:r>
    </w:p>
    <w:bookmarkEnd w:id="10"/>
    <w:p w:rsidRPr="00854FC2" w:rsidR="00D85665" w:rsidRDefault="00D85665" w14:paraId="616E9E8D" w14:textId="77777777">
      <w:pPr>
        <w:keepNext/>
        <w:numPr>
          <w:ilvl w:val="12"/>
          <w:numId w:val="0"/>
        </w:numPr>
        <w:tabs>
          <w:tab w:val="left" w:pos="0"/>
          <w:tab w:val="left" w:pos="720"/>
          <w:tab w:val="left" w:pos="1440"/>
          <w:tab w:val="left" w:pos="2160"/>
        </w:tabs>
        <w:rPr>
          <w:rFonts w:cs="Arial"/>
          <w:szCs w:val="22"/>
        </w:rPr>
      </w:pPr>
    </w:p>
    <w:p w:rsidRPr="00854FC2" w:rsidR="00D85665" w:rsidP="005166A1" w:rsidRDefault="001D28D4" w14:paraId="6BC57E48" w14:textId="0FCE0AF4">
      <w:pPr>
        <w:ind w:firstLine="720"/>
        <w:rPr>
          <w:rFonts w:cs="Arial"/>
          <w:szCs w:val="22"/>
        </w:rPr>
      </w:pPr>
      <w:r>
        <w:rPr>
          <w:rFonts w:cs="Courier New"/>
          <w:lang w:val="en-CA"/>
        </w:rPr>
        <w:t xml:space="preserve">SPCC </w:t>
      </w:r>
      <w:r w:rsidRPr="00854FC2" w:rsidR="00D85665">
        <w:rPr>
          <w:rFonts w:cs="Courier New"/>
          <w:lang w:val="en-CA"/>
        </w:rPr>
        <w:fldChar w:fldCharType="begin"/>
      </w:r>
      <w:r w:rsidRPr="00854FC2" w:rsidR="00D85665">
        <w:rPr>
          <w:rFonts w:cs="Courier New"/>
          <w:lang w:val="en-CA"/>
        </w:rPr>
        <w:instrText xml:space="preserve"> SEQ CHAPTER \h \r 1</w:instrText>
      </w:r>
      <w:r w:rsidRPr="00854FC2" w:rsidR="00D85665">
        <w:rPr>
          <w:rFonts w:cs="Courier New"/>
          <w:lang w:val="en-CA"/>
        </w:rPr>
        <w:fldChar w:fldCharType="end"/>
      </w:r>
      <w:r w:rsidRPr="00854FC2" w:rsidR="00D85665">
        <w:rPr>
          <w:rFonts w:cs="Arial"/>
          <w:szCs w:val="22"/>
        </w:rPr>
        <w:t xml:space="preserve">Plans </w:t>
      </w:r>
      <w:r w:rsidR="00850C69">
        <w:rPr>
          <w:rFonts w:cs="Arial"/>
          <w:szCs w:val="22"/>
        </w:rPr>
        <w:t>must</w:t>
      </w:r>
      <w:r w:rsidRPr="00854FC2" w:rsidR="00F001EA">
        <w:rPr>
          <w:rFonts w:cs="Arial"/>
          <w:szCs w:val="22"/>
        </w:rPr>
        <w:t xml:space="preserve"> </w:t>
      </w:r>
      <w:r w:rsidRPr="00854FC2" w:rsidR="00D85665">
        <w:rPr>
          <w:rFonts w:cs="Arial"/>
          <w:szCs w:val="22"/>
        </w:rPr>
        <w:t>be tailored to the unique characteristics of the facility</w:t>
      </w:r>
      <w:r w:rsidR="003F6507">
        <w:rPr>
          <w:rFonts w:cs="Arial"/>
          <w:szCs w:val="22"/>
        </w:rPr>
        <w:t xml:space="preserve">. </w:t>
      </w:r>
      <w:r w:rsidRPr="00854FC2" w:rsidR="00D85665">
        <w:rPr>
          <w:rFonts w:cs="Arial"/>
          <w:szCs w:val="22"/>
        </w:rPr>
        <w:t xml:space="preserve">Due to the wide range of types and sizes of facilities subject to the regulation, EPA does not prescribe any </w:t>
      </w:r>
      <w:r w:rsidR="003C3440">
        <w:rPr>
          <w:rFonts w:cs="Arial"/>
          <w:szCs w:val="22"/>
        </w:rPr>
        <w:t xml:space="preserve">standardized format </w:t>
      </w:r>
      <w:r w:rsidRPr="00854FC2" w:rsidR="00D85665">
        <w:rPr>
          <w:rFonts w:cs="Arial"/>
          <w:szCs w:val="22"/>
        </w:rPr>
        <w:t>in preparing and maintaining SPCC Plans or records</w:t>
      </w:r>
      <w:r w:rsidR="003F6507">
        <w:rPr>
          <w:rFonts w:cs="Arial"/>
          <w:szCs w:val="22"/>
        </w:rPr>
        <w:t xml:space="preserve">. </w:t>
      </w:r>
      <w:r w:rsidR="003F1242">
        <w:rPr>
          <w:rFonts w:cs="Arial"/>
          <w:szCs w:val="22"/>
        </w:rPr>
        <w:t>In fact</w:t>
      </w:r>
      <w:r w:rsidR="0077640C">
        <w:rPr>
          <w:rFonts w:cs="Arial"/>
          <w:szCs w:val="22"/>
        </w:rPr>
        <w:t>,</w:t>
      </w:r>
      <w:r w:rsidRPr="002A0922" w:rsidR="002A0922">
        <w:rPr>
          <w:rFonts w:cs="Arial"/>
          <w:szCs w:val="22"/>
        </w:rPr>
        <w:t xml:space="preserve"> </w:t>
      </w:r>
      <w:r w:rsidR="002A0922">
        <w:rPr>
          <w:rFonts w:cs="Arial"/>
          <w:szCs w:val="22"/>
        </w:rPr>
        <w:t>because of this wide variation and to reduce compliance costs</w:t>
      </w:r>
      <w:r w:rsidR="009854BC">
        <w:rPr>
          <w:rFonts w:cs="Arial"/>
          <w:szCs w:val="22"/>
        </w:rPr>
        <w:t>, t</w:t>
      </w:r>
      <w:r w:rsidRPr="00854FC2" w:rsidR="00D85665">
        <w:rPr>
          <w:rFonts w:cs="Arial"/>
          <w:szCs w:val="22"/>
        </w:rPr>
        <w:t>he regulation allows flexibility in Plan preparation and recordkeeping in a way that allows the use of additional, appropriately cross-referenced formats</w:t>
      </w:r>
      <w:r w:rsidR="00875C13">
        <w:rPr>
          <w:rFonts w:cs="Arial"/>
          <w:szCs w:val="22"/>
        </w:rPr>
        <w:t xml:space="preserve"> (</w:t>
      </w:r>
      <w:r w:rsidRPr="00854FC2" w:rsidR="00875C13">
        <w:rPr>
          <w:rFonts w:cs="Arial"/>
          <w:szCs w:val="22"/>
        </w:rPr>
        <w:t>§112.7</w:t>
      </w:r>
      <w:r w:rsidR="00875C13">
        <w:rPr>
          <w:rFonts w:cs="Arial"/>
          <w:szCs w:val="22"/>
        </w:rPr>
        <w:t>)</w:t>
      </w:r>
      <w:r w:rsidR="003F6507">
        <w:rPr>
          <w:rFonts w:cs="Arial"/>
          <w:szCs w:val="22"/>
        </w:rPr>
        <w:t xml:space="preserve">. </w:t>
      </w:r>
      <w:r w:rsidRPr="00854FC2" w:rsidR="00D85665">
        <w:rPr>
          <w:rFonts w:cs="Arial"/>
          <w:szCs w:val="22"/>
        </w:rPr>
        <w:t xml:space="preserve">Greater flexibility is also provided for facility recordkeeping practices, </w:t>
      </w:r>
      <w:r w:rsidR="00125F8B">
        <w:rPr>
          <w:rFonts w:cs="Arial"/>
          <w:szCs w:val="22"/>
        </w:rPr>
        <w:t xml:space="preserve">which may potentially </w:t>
      </w:r>
      <w:r w:rsidRPr="00854FC2" w:rsidR="00125F8B">
        <w:rPr>
          <w:rFonts w:cs="Arial"/>
          <w:szCs w:val="22"/>
        </w:rPr>
        <w:t>satisfy certain SPCC recordkeeping requirements</w:t>
      </w:r>
      <w:r w:rsidR="00125F8B">
        <w:rPr>
          <w:rFonts w:cs="Arial"/>
          <w:szCs w:val="22"/>
        </w:rPr>
        <w:t xml:space="preserve"> </w:t>
      </w:r>
      <w:r>
        <w:rPr>
          <w:rFonts w:cs="Arial"/>
          <w:szCs w:val="22"/>
        </w:rPr>
        <w:t>with</w:t>
      </w:r>
      <w:r w:rsidRPr="00854FC2" w:rsidR="00D85665">
        <w:rPr>
          <w:rFonts w:cs="Arial"/>
          <w:szCs w:val="22"/>
        </w:rPr>
        <w:t xml:space="preserve"> records kept under normal business practices, such as those required pursuant to the NPDES program and API</w:t>
      </w:r>
      <w:r w:rsidR="00726600">
        <w:rPr>
          <w:rFonts w:cs="Arial"/>
          <w:szCs w:val="22"/>
        </w:rPr>
        <w:t>, Steel Tank Institute (STI)</w:t>
      </w:r>
      <w:r w:rsidR="00832B8C">
        <w:rPr>
          <w:rFonts w:cs="Arial"/>
          <w:szCs w:val="22"/>
        </w:rPr>
        <w:t xml:space="preserve"> or other industry s</w:t>
      </w:r>
      <w:r w:rsidRPr="00854FC2" w:rsidR="00D85665">
        <w:rPr>
          <w:rFonts w:cs="Arial"/>
          <w:szCs w:val="22"/>
        </w:rPr>
        <w:t>tandards</w:t>
      </w:r>
      <w:r w:rsidR="00832B8C">
        <w:rPr>
          <w:rFonts w:cs="Arial"/>
          <w:szCs w:val="22"/>
        </w:rPr>
        <w:t xml:space="preserve"> or recommended practices</w:t>
      </w:r>
      <w:r w:rsidR="00902060">
        <w:rPr>
          <w:rFonts w:cs="Arial"/>
          <w:szCs w:val="22"/>
        </w:rPr>
        <w:t>.</w:t>
      </w:r>
    </w:p>
    <w:p w:rsidRPr="00854FC2" w:rsidR="00D85665" w:rsidRDefault="00D85665" w14:paraId="128A820D" w14:textId="77777777">
      <w:pPr>
        <w:rPr>
          <w:rFonts w:cs="Arial"/>
          <w:szCs w:val="22"/>
        </w:rPr>
      </w:pPr>
    </w:p>
    <w:p w:rsidR="00710B25" w:rsidP="00A63F1F" w:rsidRDefault="00D85665" w14:paraId="207784BC" w14:textId="7C57820F">
      <w:pPr>
        <w:ind w:firstLine="720"/>
        <w:rPr>
          <w:rFonts w:cs="Arial"/>
          <w:szCs w:val="22"/>
        </w:rPr>
      </w:pPr>
      <w:r w:rsidRPr="00854FC2">
        <w:rPr>
          <w:rFonts w:cs="Arial"/>
          <w:szCs w:val="22"/>
        </w:rPr>
        <w:t xml:space="preserve">EPA </w:t>
      </w:r>
      <w:r w:rsidR="00125F8B">
        <w:rPr>
          <w:rFonts w:cs="Arial"/>
          <w:szCs w:val="22"/>
        </w:rPr>
        <w:t xml:space="preserve">also </w:t>
      </w:r>
      <w:r w:rsidR="0018536E">
        <w:rPr>
          <w:rFonts w:cs="Arial"/>
          <w:szCs w:val="22"/>
        </w:rPr>
        <w:t xml:space="preserve">provides </w:t>
      </w:r>
      <w:r w:rsidR="00125F8B">
        <w:rPr>
          <w:rFonts w:cs="Arial"/>
          <w:szCs w:val="22"/>
        </w:rPr>
        <w:t xml:space="preserve">the </w:t>
      </w:r>
      <w:r w:rsidR="0018536E">
        <w:rPr>
          <w:rFonts w:cs="Arial"/>
          <w:szCs w:val="22"/>
        </w:rPr>
        <w:t xml:space="preserve">flexibility in </w:t>
      </w:r>
      <w:r w:rsidRPr="00854FC2">
        <w:rPr>
          <w:rFonts w:cs="Arial"/>
          <w:szCs w:val="22"/>
        </w:rPr>
        <w:t xml:space="preserve">the development of user-friendly </w:t>
      </w:r>
      <w:r w:rsidR="00125F8B">
        <w:rPr>
          <w:rFonts w:cs="Arial"/>
          <w:szCs w:val="22"/>
        </w:rPr>
        <w:t>tools for</w:t>
      </w:r>
      <w:r w:rsidRPr="00854FC2">
        <w:rPr>
          <w:rFonts w:cs="Arial"/>
          <w:szCs w:val="22"/>
        </w:rPr>
        <w:t xml:space="preserve"> writing and maintaining SPCC Plans</w:t>
      </w:r>
      <w:r w:rsidR="00902060">
        <w:rPr>
          <w:rFonts w:cs="Arial"/>
          <w:szCs w:val="22"/>
        </w:rPr>
        <w:t>,</w:t>
      </w:r>
      <w:r w:rsidRPr="00854FC2">
        <w:rPr>
          <w:rFonts w:cs="Arial"/>
          <w:szCs w:val="22"/>
        </w:rPr>
        <w:t xml:space="preserve"> </w:t>
      </w:r>
      <w:r w:rsidRPr="00854FC2" w:rsidR="00125F8B">
        <w:rPr>
          <w:rFonts w:cs="Arial"/>
          <w:szCs w:val="22"/>
        </w:rPr>
        <w:t xml:space="preserve">provided the Plans </w:t>
      </w:r>
      <w:r w:rsidR="00125F8B">
        <w:rPr>
          <w:rFonts w:cs="Arial"/>
          <w:szCs w:val="22"/>
        </w:rPr>
        <w:t xml:space="preserve">and records </w:t>
      </w:r>
      <w:r w:rsidRPr="00854FC2" w:rsidR="00125F8B">
        <w:rPr>
          <w:rFonts w:cs="Arial"/>
          <w:szCs w:val="22"/>
        </w:rPr>
        <w:t xml:space="preserve">continue to provide the required information and meet the administrative requirements </w:t>
      </w:r>
      <w:r w:rsidR="00125F8B">
        <w:rPr>
          <w:rFonts w:cs="Arial"/>
          <w:szCs w:val="22"/>
        </w:rPr>
        <w:t xml:space="preserve">of </w:t>
      </w:r>
      <w:r w:rsidRPr="00854FC2" w:rsidR="00125F8B">
        <w:rPr>
          <w:rFonts w:cs="Arial"/>
          <w:szCs w:val="22"/>
        </w:rPr>
        <w:t xml:space="preserve">the SPCC </w:t>
      </w:r>
      <w:r w:rsidR="00A84E88">
        <w:rPr>
          <w:rFonts w:cs="Arial"/>
          <w:szCs w:val="22"/>
        </w:rPr>
        <w:t>r</w:t>
      </w:r>
      <w:r w:rsidRPr="00854FC2" w:rsidR="00125F8B">
        <w:rPr>
          <w:rFonts w:cs="Arial"/>
          <w:szCs w:val="22"/>
        </w:rPr>
        <w:t>ule</w:t>
      </w:r>
      <w:r w:rsidR="00125F8B">
        <w:rPr>
          <w:rFonts w:cs="Arial"/>
          <w:szCs w:val="22"/>
        </w:rPr>
        <w:t>. These include, for example</w:t>
      </w:r>
      <w:r w:rsidRPr="00854FC2">
        <w:rPr>
          <w:rFonts w:cs="Arial"/>
          <w:szCs w:val="22"/>
        </w:rPr>
        <w:t xml:space="preserve">, </w:t>
      </w:r>
      <w:r w:rsidR="003F1242">
        <w:rPr>
          <w:rFonts w:cs="Arial"/>
          <w:szCs w:val="22"/>
        </w:rPr>
        <w:t xml:space="preserve">the use of </w:t>
      </w:r>
      <w:r w:rsidRPr="00854FC2">
        <w:rPr>
          <w:rFonts w:cs="Arial"/>
          <w:szCs w:val="22"/>
        </w:rPr>
        <w:t xml:space="preserve">electronic </w:t>
      </w:r>
      <w:r w:rsidR="003F1242">
        <w:rPr>
          <w:rFonts w:cs="Arial"/>
          <w:szCs w:val="22"/>
        </w:rPr>
        <w:t>plan formats</w:t>
      </w:r>
      <w:r w:rsidDel="00585C7C" w:rsidR="003F1242">
        <w:rPr>
          <w:rFonts w:cs="Arial"/>
          <w:szCs w:val="22"/>
        </w:rPr>
        <w:t xml:space="preserve"> </w:t>
      </w:r>
      <w:r w:rsidR="003F1242">
        <w:rPr>
          <w:rFonts w:cs="Arial"/>
          <w:szCs w:val="22"/>
        </w:rPr>
        <w:t>and recordkeeping procedures/documentation p</w:t>
      </w:r>
      <w:r w:rsidRPr="00854FC2">
        <w:rPr>
          <w:rFonts w:cs="Arial"/>
          <w:szCs w:val="22"/>
        </w:rPr>
        <w:t>rograms.</w:t>
      </w:r>
      <w:r w:rsidR="0051511C">
        <w:rPr>
          <w:rFonts w:cs="Arial"/>
          <w:szCs w:val="22"/>
        </w:rPr>
        <w:t xml:space="preserve"> </w:t>
      </w:r>
      <w:r w:rsidRPr="00854FC2">
        <w:rPr>
          <w:rFonts w:cs="Arial"/>
          <w:szCs w:val="22"/>
        </w:rPr>
        <w:t>Wh</w:t>
      </w:r>
      <w:r w:rsidR="00AB483D">
        <w:rPr>
          <w:rFonts w:cs="Arial"/>
          <w:szCs w:val="22"/>
        </w:rPr>
        <w:t>ich</w:t>
      </w:r>
      <w:r w:rsidRPr="00854FC2">
        <w:rPr>
          <w:rFonts w:cs="Arial"/>
          <w:szCs w:val="22"/>
        </w:rPr>
        <w:t xml:space="preserve">ever medium is used, the Plan </w:t>
      </w:r>
      <w:r w:rsidR="003F1242">
        <w:rPr>
          <w:rFonts w:cs="Arial"/>
          <w:szCs w:val="22"/>
        </w:rPr>
        <w:t xml:space="preserve">must </w:t>
      </w:r>
      <w:r w:rsidRPr="00854FC2">
        <w:rPr>
          <w:rFonts w:cs="Arial"/>
          <w:szCs w:val="22"/>
        </w:rPr>
        <w:t>be readily accessible to response personnel in an emergency</w:t>
      </w:r>
      <w:r w:rsidR="003F1242">
        <w:rPr>
          <w:rFonts w:cs="Arial"/>
          <w:szCs w:val="22"/>
        </w:rPr>
        <w:t xml:space="preserve"> and during normal working hours</w:t>
      </w:r>
      <w:r w:rsidRPr="00854FC2">
        <w:rPr>
          <w:rFonts w:cs="Arial"/>
          <w:szCs w:val="22"/>
        </w:rPr>
        <w:t>.</w:t>
      </w:r>
    </w:p>
    <w:p w:rsidRPr="00854FC2" w:rsidR="00710B25" w:rsidRDefault="00710B25" w14:paraId="427ECC8C" w14:textId="77777777">
      <w:pPr>
        <w:rPr>
          <w:rFonts w:cs="Arial"/>
          <w:szCs w:val="22"/>
        </w:rPr>
      </w:pPr>
    </w:p>
    <w:p w:rsidR="00D85665" w:rsidRDefault="005B2180" w14:paraId="498E16AB" w14:textId="1C22DE47">
      <w:pPr>
        <w:numPr>
          <w:ilvl w:val="12"/>
          <w:numId w:val="0"/>
        </w:numPr>
        <w:tabs>
          <w:tab w:val="left" w:pos="0"/>
          <w:tab w:val="left" w:pos="720"/>
          <w:tab w:val="left" w:pos="1440"/>
          <w:tab w:val="left" w:pos="2160"/>
        </w:tabs>
        <w:rPr>
          <w:rFonts w:cs="Arial"/>
          <w:szCs w:val="22"/>
        </w:rPr>
      </w:pPr>
      <w:r>
        <w:rPr>
          <w:rFonts w:cs="Arial"/>
          <w:szCs w:val="22"/>
        </w:rPr>
        <w:tab/>
      </w:r>
      <w:bookmarkStart w:name="_Hlk33518740" w:id="11"/>
      <w:r w:rsidRPr="00854FC2" w:rsidR="00D85665">
        <w:rPr>
          <w:rFonts w:cs="Arial"/>
          <w:szCs w:val="22"/>
        </w:rPr>
        <w:t xml:space="preserve">EPA </w:t>
      </w:r>
      <w:r w:rsidR="00710B25">
        <w:rPr>
          <w:rFonts w:cs="Arial"/>
          <w:szCs w:val="22"/>
        </w:rPr>
        <w:t xml:space="preserve">regional offices </w:t>
      </w:r>
      <w:r w:rsidRPr="00854FC2" w:rsidR="00D85665">
        <w:rPr>
          <w:rFonts w:cs="Arial"/>
          <w:szCs w:val="22"/>
        </w:rPr>
        <w:t xml:space="preserve">maintain the information submitted to regional offices </w:t>
      </w:r>
      <w:r w:rsidR="00710B25">
        <w:rPr>
          <w:rFonts w:cs="Arial"/>
          <w:szCs w:val="22"/>
        </w:rPr>
        <w:t>by</w:t>
      </w:r>
      <w:r w:rsidR="00D57C0E">
        <w:rPr>
          <w:rFonts w:cs="Arial"/>
          <w:szCs w:val="22"/>
        </w:rPr>
        <w:t xml:space="preserve"> </w:t>
      </w:r>
      <w:r w:rsidR="00710B25">
        <w:rPr>
          <w:rFonts w:cs="Arial"/>
          <w:szCs w:val="22"/>
        </w:rPr>
        <w:t>email or on paper</w:t>
      </w:r>
      <w:r w:rsidRPr="00854FC2" w:rsidR="00D85665">
        <w:rPr>
          <w:rFonts w:cs="Arial"/>
          <w:szCs w:val="22"/>
        </w:rPr>
        <w:t xml:space="preserve"> following certain </w:t>
      </w:r>
      <w:r w:rsidR="00125F8B">
        <w:rPr>
          <w:rFonts w:cs="Arial"/>
          <w:szCs w:val="22"/>
        </w:rPr>
        <w:t xml:space="preserve">reported </w:t>
      </w:r>
      <w:r w:rsidRPr="00854FC2" w:rsidR="00D85665">
        <w:rPr>
          <w:rFonts w:cs="Arial"/>
          <w:szCs w:val="22"/>
        </w:rPr>
        <w:t>oil discharges</w:t>
      </w:r>
      <w:r w:rsidR="00D57C0E">
        <w:rPr>
          <w:rStyle w:val="FootnoteReference"/>
          <w:rFonts w:cs="Arial"/>
          <w:szCs w:val="22"/>
        </w:rPr>
        <w:footnoteReference w:id="11"/>
      </w:r>
      <w:r w:rsidR="00E61B59">
        <w:rPr>
          <w:rFonts w:cs="Arial"/>
          <w:szCs w:val="22"/>
        </w:rPr>
        <w:t xml:space="preserve">. This </w:t>
      </w:r>
      <w:r w:rsidRPr="00854FC2" w:rsidR="00D85665">
        <w:rPr>
          <w:rFonts w:cs="Arial"/>
          <w:szCs w:val="22"/>
        </w:rPr>
        <w:t>support</w:t>
      </w:r>
      <w:r w:rsidR="00E61B59">
        <w:rPr>
          <w:rFonts w:cs="Arial"/>
          <w:szCs w:val="22"/>
        </w:rPr>
        <w:t>s</w:t>
      </w:r>
      <w:r w:rsidRPr="00854FC2" w:rsidR="00D85665">
        <w:rPr>
          <w:rFonts w:cs="Arial"/>
          <w:szCs w:val="22"/>
        </w:rPr>
        <w:t xml:space="preserve"> ongoing program activities</w:t>
      </w:r>
      <w:r w:rsidR="001D28D4">
        <w:rPr>
          <w:rFonts w:cs="Arial"/>
          <w:szCs w:val="22"/>
        </w:rPr>
        <w:t>,</w:t>
      </w:r>
      <w:r w:rsidRPr="00854FC2" w:rsidR="00D85665">
        <w:rPr>
          <w:rFonts w:cs="Arial"/>
          <w:szCs w:val="22"/>
        </w:rPr>
        <w:t xml:space="preserve"> such as targeting inspections</w:t>
      </w:r>
      <w:r w:rsidR="00E20C72">
        <w:rPr>
          <w:rFonts w:cs="Arial"/>
          <w:szCs w:val="22"/>
        </w:rPr>
        <w:t xml:space="preserve">, </w:t>
      </w:r>
      <w:proofErr w:type="spellStart"/>
      <w:r w:rsidR="00E20C72">
        <w:rPr>
          <w:rFonts w:cs="Arial"/>
          <w:szCs w:val="22"/>
        </w:rPr>
        <w:t>i</w:t>
      </w:r>
      <w:proofErr w:type="spellEnd"/>
      <w:r w:rsidRPr="00854FC2" w:rsidR="00D85665">
        <w:rPr>
          <w:rFonts w:cs="Arial"/>
          <w:szCs w:val="22"/>
        </w:rPr>
        <w:t xml:space="preserve"> </w:t>
      </w:r>
      <w:r w:rsidR="003F1242">
        <w:rPr>
          <w:rFonts w:cs="Arial"/>
          <w:szCs w:val="22"/>
        </w:rPr>
        <w:t>and evaluating industry trends</w:t>
      </w:r>
      <w:r w:rsidRPr="00B17808" w:rsidR="003F1242">
        <w:rPr>
          <w:rFonts w:cs="Arial"/>
          <w:szCs w:val="22"/>
        </w:rPr>
        <w:t>,</w:t>
      </w:r>
      <w:r w:rsidRPr="00B17808" w:rsidR="00D85665">
        <w:rPr>
          <w:rFonts w:cs="Arial"/>
          <w:szCs w:val="22"/>
        </w:rPr>
        <w:t xml:space="preserve"> as well as support</w:t>
      </w:r>
      <w:r w:rsidR="00E61B59">
        <w:rPr>
          <w:rFonts w:cs="Arial"/>
          <w:szCs w:val="22"/>
        </w:rPr>
        <w:t>s</w:t>
      </w:r>
      <w:r w:rsidRPr="00B17808" w:rsidR="00D85665">
        <w:rPr>
          <w:rFonts w:cs="Arial"/>
          <w:szCs w:val="22"/>
        </w:rPr>
        <w:t xml:space="preserve"> response operations during </w:t>
      </w:r>
      <w:r w:rsidRPr="00B17808" w:rsidR="00094E52">
        <w:rPr>
          <w:rFonts w:cs="Arial"/>
          <w:szCs w:val="22"/>
        </w:rPr>
        <w:t>oil discharges</w:t>
      </w:r>
      <w:r w:rsidRPr="00B17808" w:rsidDel="00094E52" w:rsidR="00D85665">
        <w:rPr>
          <w:rFonts w:cs="Arial"/>
          <w:szCs w:val="22"/>
        </w:rPr>
        <w:t xml:space="preserve"> </w:t>
      </w:r>
      <w:r w:rsidRPr="00B17808" w:rsidR="00A52CD0">
        <w:rPr>
          <w:rFonts w:cs="Arial"/>
          <w:szCs w:val="22"/>
        </w:rPr>
        <w:t>that</w:t>
      </w:r>
      <w:r w:rsidRPr="00B17808" w:rsidR="002F2B0B">
        <w:rPr>
          <w:rFonts w:cs="Arial"/>
          <w:szCs w:val="22"/>
        </w:rPr>
        <w:t xml:space="preserve"> are not covered by this ICR</w:t>
      </w:r>
      <w:r w:rsidR="003F6507">
        <w:rPr>
          <w:rFonts w:cs="Arial"/>
          <w:szCs w:val="22"/>
        </w:rPr>
        <w:t xml:space="preserve">. </w:t>
      </w:r>
      <w:r w:rsidRPr="00854FC2" w:rsidR="00D85665">
        <w:rPr>
          <w:rFonts w:cs="Arial"/>
          <w:szCs w:val="22"/>
        </w:rPr>
        <w:t>However</w:t>
      </w:r>
      <w:r w:rsidRPr="00A77EFF" w:rsidR="00D85665">
        <w:rPr>
          <w:rFonts w:cs="Arial"/>
          <w:szCs w:val="22"/>
        </w:rPr>
        <w:t xml:space="preserve">, </w:t>
      </w:r>
      <w:r w:rsidR="00710B25">
        <w:rPr>
          <w:rFonts w:cs="Arial"/>
          <w:szCs w:val="22"/>
        </w:rPr>
        <w:t xml:space="preserve">neither </w:t>
      </w:r>
      <w:r w:rsidRPr="00A77EFF" w:rsidR="00D85665">
        <w:rPr>
          <w:rFonts w:cs="Arial"/>
          <w:szCs w:val="22"/>
        </w:rPr>
        <w:t>EPA</w:t>
      </w:r>
      <w:r w:rsidR="00710B25">
        <w:rPr>
          <w:rFonts w:cs="Arial"/>
          <w:szCs w:val="22"/>
        </w:rPr>
        <w:t xml:space="preserve"> Headquarters nor EPA regional offices</w:t>
      </w:r>
      <w:r w:rsidRPr="00A77EFF" w:rsidR="00D85665">
        <w:rPr>
          <w:rFonts w:cs="Arial"/>
          <w:szCs w:val="22"/>
        </w:rPr>
        <w:t xml:space="preserve"> </w:t>
      </w:r>
      <w:r w:rsidR="00A31C77">
        <w:rPr>
          <w:rFonts w:cs="Arial"/>
          <w:szCs w:val="22"/>
        </w:rPr>
        <w:t xml:space="preserve">routinely </w:t>
      </w:r>
      <w:r w:rsidRPr="00A77EFF" w:rsidR="00D85665">
        <w:rPr>
          <w:rFonts w:cs="Arial"/>
          <w:szCs w:val="22"/>
        </w:rPr>
        <w:t>collect SPCC Plans or related records from facilities</w:t>
      </w:r>
      <w:r w:rsidR="00A31C77">
        <w:rPr>
          <w:rFonts w:cs="Arial"/>
          <w:szCs w:val="22"/>
        </w:rPr>
        <w:t>, with the exception being d</w:t>
      </w:r>
      <w:r w:rsidR="00BE269B">
        <w:rPr>
          <w:rFonts w:cs="Arial"/>
          <w:szCs w:val="22"/>
        </w:rPr>
        <w:t>uring an inspection</w:t>
      </w:r>
      <w:r w:rsidR="00094E52">
        <w:rPr>
          <w:rFonts w:cs="Arial"/>
          <w:szCs w:val="22"/>
        </w:rPr>
        <w:t xml:space="preserve"> and related compliance monitoring activities</w:t>
      </w:r>
      <w:r w:rsidRPr="00A77EFF" w:rsidR="00D85665">
        <w:rPr>
          <w:rFonts w:cs="Arial"/>
          <w:szCs w:val="22"/>
        </w:rPr>
        <w:t>.</w:t>
      </w:r>
    </w:p>
    <w:p w:rsidRPr="00854FC2" w:rsidR="00D85665" w:rsidRDefault="00D85665" w14:paraId="6B087E67" w14:textId="77777777">
      <w:pPr>
        <w:numPr>
          <w:ilvl w:val="12"/>
          <w:numId w:val="0"/>
        </w:numPr>
        <w:tabs>
          <w:tab w:val="left" w:pos="0"/>
          <w:tab w:val="left" w:pos="720"/>
          <w:tab w:val="left" w:pos="1440"/>
          <w:tab w:val="left" w:pos="2160"/>
        </w:tabs>
        <w:rPr>
          <w:rFonts w:cs="Arial"/>
          <w:szCs w:val="22"/>
        </w:rPr>
      </w:pPr>
    </w:p>
    <w:bookmarkEnd w:id="11"/>
    <w:p w:rsidRPr="00854FC2" w:rsidR="00D85665" w:rsidP="00E827A7" w:rsidRDefault="00D85665" w14:paraId="3FE61EEB" w14:textId="77777777">
      <w:pPr>
        <w:pStyle w:val="Heading2"/>
      </w:pPr>
      <w:r w:rsidRPr="00854FC2">
        <w:tab/>
        <w:t>5(c)</w:t>
      </w:r>
      <w:r w:rsidR="0051511C">
        <w:t xml:space="preserve"> </w:t>
      </w:r>
      <w:r w:rsidRPr="00854FC2">
        <w:t>Small Entity Flexibility</w:t>
      </w:r>
    </w:p>
    <w:p w:rsidR="00D85665" w:rsidRDefault="00D85665" w14:paraId="7A3CED9E" w14:textId="77777777">
      <w:pPr>
        <w:keepNext/>
        <w:numPr>
          <w:ilvl w:val="12"/>
          <w:numId w:val="0"/>
        </w:numPr>
        <w:tabs>
          <w:tab w:val="left" w:pos="0"/>
          <w:tab w:val="left" w:pos="720"/>
          <w:tab w:val="left" w:pos="1440"/>
          <w:tab w:val="left" w:pos="2160"/>
        </w:tabs>
        <w:rPr>
          <w:rFonts w:cs="Arial"/>
          <w:szCs w:val="22"/>
        </w:rPr>
      </w:pPr>
    </w:p>
    <w:p w:rsidRPr="002E25AF" w:rsidR="00312121" w:rsidP="0022621C" w:rsidRDefault="00312121" w14:paraId="0E74B4D9" w14:textId="00B6055D">
      <w:pPr>
        <w:keepNext/>
        <w:tabs>
          <w:tab w:val="left" w:pos="0"/>
          <w:tab w:val="left" w:pos="720"/>
          <w:tab w:val="left" w:pos="1440"/>
          <w:tab w:val="left" w:pos="2160"/>
        </w:tabs>
        <w:rPr>
          <w:rFonts w:cs="Arial"/>
        </w:rPr>
      </w:pPr>
      <w:r>
        <w:rPr>
          <w:rFonts w:cs="Arial"/>
          <w:szCs w:val="22"/>
        </w:rPr>
        <w:tab/>
      </w:r>
      <w:r w:rsidRPr="002E25AF">
        <w:rPr>
          <w:rFonts w:cs="Arial"/>
        </w:rPr>
        <w:t xml:space="preserve">EPA </w:t>
      </w:r>
      <w:r w:rsidRPr="002E25AF" w:rsidR="001D28D4">
        <w:rPr>
          <w:rFonts w:cs="Arial"/>
        </w:rPr>
        <w:t xml:space="preserve">amended </w:t>
      </w:r>
      <w:r w:rsidRPr="002E25AF">
        <w:rPr>
          <w:rFonts w:cs="Arial"/>
        </w:rPr>
        <w:t xml:space="preserve">the SPCC </w:t>
      </w:r>
      <w:r w:rsidR="00A84E88">
        <w:rPr>
          <w:rFonts w:cs="Arial"/>
        </w:rPr>
        <w:t>r</w:t>
      </w:r>
      <w:r w:rsidRPr="00824871">
        <w:rPr>
          <w:rFonts w:cs="Arial"/>
        </w:rPr>
        <w:t>ule</w:t>
      </w:r>
      <w:r w:rsidRPr="00824871" w:rsidR="00F41A31">
        <w:rPr>
          <w:rFonts w:cs="Arial"/>
        </w:rPr>
        <w:t xml:space="preserve"> (40 CFR part 112)</w:t>
      </w:r>
      <w:r w:rsidRPr="00824871" w:rsidR="001D28D4">
        <w:rPr>
          <w:rFonts w:cs="Arial"/>
        </w:rPr>
        <w:t xml:space="preserve"> in 2002, 2006, 2008/2009 and 2011</w:t>
      </w:r>
      <w:r w:rsidRPr="0006429A">
        <w:rPr>
          <w:rFonts w:cs="Arial"/>
        </w:rPr>
        <w:t xml:space="preserve"> to provide additional flexibility to </w:t>
      </w:r>
      <w:r w:rsidRPr="00A26EA3" w:rsidR="006928DE">
        <w:rPr>
          <w:rFonts w:cs="Arial"/>
        </w:rPr>
        <w:t>the regulated com</w:t>
      </w:r>
      <w:r w:rsidRPr="00A26EA3" w:rsidR="006928DE">
        <w:rPr>
          <w:rFonts w:cs="Arial"/>
        </w:rPr>
        <w:t xml:space="preserve">munity, including </w:t>
      </w:r>
      <w:r w:rsidRPr="0067251F">
        <w:rPr>
          <w:rFonts w:cs="Arial"/>
        </w:rPr>
        <w:t>small entities.</w:t>
      </w:r>
      <w:r w:rsidRPr="0067251F" w:rsidR="00662FE7">
        <w:rPr>
          <w:rFonts w:cs="Arial"/>
        </w:rPr>
        <w:t xml:space="preserve"> Some flexibilities are based on the fac</w:t>
      </w:r>
      <w:r w:rsidRPr="0067251F" w:rsidR="00917693">
        <w:rPr>
          <w:rFonts w:cs="Arial"/>
        </w:rPr>
        <w:t>ility’s</w:t>
      </w:r>
      <w:r w:rsidRPr="008B5D27" w:rsidR="00662FE7">
        <w:rPr>
          <w:rFonts w:cs="Arial"/>
        </w:rPr>
        <w:t xml:space="preserve"> storage capacity</w:t>
      </w:r>
      <w:r w:rsidRPr="008C7BB9" w:rsidR="00917693">
        <w:rPr>
          <w:rFonts w:cs="Arial"/>
        </w:rPr>
        <w:t xml:space="preserve">, e.g., </w:t>
      </w:r>
      <w:r w:rsidRPr="008C7BB9" w:rsidR="00917693">
        <w:rPr>
          <w:rFonts w:cs="Arial"/>
          <w:i/>
        </w:rPr>
        <w:t>de minimis</w:t>
      </w:r>
      <w:r w:rsidRPr="00B413CD" w:rsidR="00917693">
        <w:rPr>
          <w:rFonts w:cs="Arial"/>
        </w:rPr>
        <w:t xml:space="preserve"> container size of less than 55 </w:t>
      </w:r>
      <w:r w:rsidR="0022621C">
        <w:rPr>
          <w:rFonts w:cs="Arial"/>
        </w:rPr>
        <w:t>U.S. gallons</w:t>
      </w:r>
      <w:r w:rsidRPr="00B413CD" w:rsidR="00917693">
        <w:rPr>
          <w:rFonts w:cs="Arial"/>
        </w:rPr>
        <w:t xml:space="preserve"> </w:t>
      </w:r>
      <w:r w:rsidRPr="002561CC" w:rsidR="00917693">
        <w:rPr>
          <w:rFonts w:cs="Arial"/>
        </w:rPr>
        <w:t xml:space="preserve">and aggregate aboveground capacity of 1,320 </w:t>
      </w:r>
      <w:r w:rsidR="0022621C">
        <w:rPr>
          <w:rFonts w:cs="Arial"/>
        </w:rPr>
        <w:t>U.S. gallons</w:t>
      </w:r>
      <w:r w:rsidRPr="002561CC" w:rsidR="00917693">
        <w:rPr>
          <w:rFonts w:cs="Arial"/>
        </w:rPr>
        <w:t xml:space="preserve"> or less of oil</w:t>
      </w:r>
      <w:r w:rsidR="00747B54">
        <w:rPr>
          <w:rFonts w:cs="Arial"/>
        </w:rPr>
        <w:t xml:space="preserve">. </w:t>
      </w:r>
      <w:r w:rsidRPr="00A948F9" w:rsidR="00D11805">
        <w:rPr>
          <w:rFonts w:cs="Arial"/>
        </w:rPr>
        <w:t xml:space="preserve"> </w:t>
      </w:r>
      <w:r w:rsidR="00747B54">
        <w:rPr>
          <w:rFonts w:cs="Arial"/>
        </w:rPr>
        <w:t>O</w:t>
      </w:r>
      <w:r w:rsidRPr="00EA39B2" w:rsidR="00662FE7">
        <w:rPr>
          <w:rFonts w:cs="Arial"/>
        </w:rPr>
        <w:t>ther</w:t>
      </w:r>
      <w:r w:rsidR="00747B54">
        <w:rPr>
          <w:rFonts w:cs="Arial"/>
        </w:rPr>
        <w:t xml:space="preserve"> flexibilitie</w:t>
      </w:r>
      <w:r w:rsidRPr="00EA39B2" w:rsidR="00662FE7">
        <w:rPr>
          <w:rFonts w:cs="Arial"/>
        </w:rPr>
        <w:t xml:space="preserve">s are based on </w:t>
      </w:r>
      <w:r w:rsidRPr="00EA39B2" w:rsidR="00116E39">
        <w:rPr>
          <w:rFonts w:cs="Arial"/>
        </w:rPr>
        <w:t xml:space="preserve">a facility’s discharge history or </w:t>
      </w:r>
      <w:r w:rsidRPr="00FF6118" w:rsidR="00662FE7">
        <w:rPr>
          <w:rFonts w:cs="Arial"/>
        </w:rPr>
        <w:t xml:space="preserve">the industry sector or activity conducted, e.g., </w:t>
      </w:r>
      <w:r w:rsidRPr="00BC6FD6" w:rsidR="004F1ADA">
        <w:rPr>
          <w:rFonts w:cs="Arial"/>
        </w:rPr>
        <w:t xml:space="preserve">farms, oil production, </w:t>
      </w:r>
      <w:r w:rsidRPr="00854FC2" w:rsidR="00917693">
        <w:rPr>
          <w:rFonts w:cs="Arial"/>
          <w:color w:val="000000"/>
        </w:rPr>
        <w:t>hot-mix asphalt facilities, facilities that produce or process animal fats and vegetable oil</w:t>
      </w:r>
      <w:r w:rsidR="00F41A31">
        <w:rPr>
          <w:rFonts w:cs="Arial"/>
          <w:color w:val="000000"/>
        </w:rPr>
        <w:t xml:space="preserve">. </w:t>
      </w:r>
    </w:p>
    <w:p w:rsidRPr="00854FC2" w:rsidR="00D85665" w:rsidRDefault="00D85665" w14:paraId="081A2C5B" w14:textId="66FA1357">
      <w:pPr>
        <w:numPr>
          <w:ilvl w:val="12"/>
          <w:numId w:val="0"/>
        </w:numPr>
        <w:tabs>
          <w:tab w:val="left" w:pos="0"/>
          <w:tab w:val="left" w:pos="720"/>
          <w:tab w:val="left" w:pos="1440"/>
          <w:tab w:val="left" w:pos="2160"/>
        </w:tabs>
        <w:rPr>
          <w:rFonts w:cs="Arial"/>
          <w:szCs w:val="22"/>
        </w:rPr>
      </w:pPr>
    </w:p>
    <w:p w:rsidRPr="00854FC2" w:rsidR="00D85665" w:rsidP="00E827A7" w:rsidRDefault="00D85665" w14:paraId="6F244FAF" w14:textId="22C4D456">
      <w:pPr>
        <w:pStyle w:val="Heading2"/>
      </w:pPr>
      <w:r w:rsidRPr="00854FC2">
        <w:tab/>
        <w:t>5(d)</w:t>
      </w:r>
      <w:r w:rsidR="00E44712">
        <w:t xml:space="preserve"> </w:t>
      </w:r>
      <w:r w:rsidRPr="00854FC2">
        <w:t>Collection Schedule</w:t>
      </w:r>
    </w:p>
    <w:p w:rsidRPr="00854FC2" w:rsidR="00D85665" w:rsidRDefault="00D85665" w14:paraId="5F11E85B" w14:textId="77777777">
      <w:pPr>
        <w:keepNext/>
        <w:numPr>
          <w:ilvl w:val="12"/>
          <w:numId w:val="0"/>
        </w:numPr>
        <w:tabs>
          <w:tab w:val="left" w:pos="0"/>
          <w:tab w:val="left" w:pos="720"/>
          <w:tab w:val="left" w:pos="1440"/>
          <w:tab w:val="left" w:pos="2160"/>
        </w:tabs>
        <w:rPr>
          <w:rFonts w:cs="Arial"/>
          <w:szCs w:val="22"/>
        </w:rPr>
      </w:pPr>
    </w:p>
    <w:p w:rsidR="00312121" w:rsidRDefault="00312121" w14:paraId="4D0BC798" w14:textId="49F74A65">
      <w:pPr>
        <w:pStyle w:val="BodyText"/>
        <w:numPr>
          <w:ilvl w:val="12"/>
          <w:numId w:val="0"/>
        </w:numPr>
        <w:tabs>
          <w:tab w:val="left" w:pos="0"/>
          <w:tab w:val="left" w:pos="720"/>
          <w:tab w:val="left" w:pos="1440"/>
          <w:tab w:val="left" w:pos="2160"/>
        </w:tabs>
      </w:pPr>
      <w:r>
        <w:rPr>
          <w:rFonts w:cs="Courier New"/>
          <w:lang w:val="en-CA"/>
        </w:rPr>
        <w:tab/>
      </w:r>
      <w:r w:rsidRPr="00854FC2" w:rsidR="00D85665">
        <w:rPr>
          <w:rFonts w:cs="Courier New"/>
          <w:lang w:val="en-CA"/>
        </w:rPr>
        <w:fldChar w:fldCharType="begin"/>
      </w:r>
      <w:r w:rsidRPr="00854FC2" w:rsidR="00D85665">
        <w:rPr>
          <w:rFonts w:cs="Courier New"/>
          <w:lang w:val="en-CA"/>
        </w:rPr>
        <w:instrText xml:space="preserve"> SEQ CHAPTER \h \r 1</w:instrText>
      </w:r>
      <w:r w:rsidRPr="00854FC2" w:rsidR="00D85665">
        <w:rPr>
          <w:rFonts w:cs="Courier New"/>
          <w:lang w:val="en-CA"/>
        </w:rPr>
        <w:fldChar w:fldCharType="end"/>
      </w:r>
      <w:r w:rsidRPr="00854FC2" w:rsidR="00D85665">
        <w:t xml:space="preserve">The SPCC </w:t>
      </w:r>
      <w:r w:rsidR="00A84E88">
        <w:t>r</w:t>
      </w:r>
      <w:r w:rsidRPr="00854FC2" w:rsidR="00D85665">
        <w:t xml:space="preserve">ule does not require a specific </w:t>
      </w:r>
      <w:r w:rsidR="00455E2D">
        <w:t>information</w:t>
      </w:r>
      <w:r w:rsidR="007A6A19">
        <w:t xml:space="preserve"> </w:t>
      </w:r>
      <w:r w:rsidRPr="00854FC2" w:rsidR="00D85665">
        <w:t>collection schedule</w:t>
      </w:r>
      <w:r w:rsidR="003F6507">
        <w:t xml:space="preserve">. </w:t>
      </w:r>
      <w:r w:rsidRPr="00854FC2" w:rsidR="00D85665">
        <w:t>However, a facility owner or operator must prepare, amend, and implement an SPCC Plan</w:t>
      </w:r>
      <w:r w:rsidRPr="00DC555E" w:rsidR="00DC555E">
        <w:t xml:space="preserve"> </w:t>
      </w:r>
      <w:r w:rsidR="00DC555E">
        <w:t>before beginning operations</w:t>
      </w:r>
      <w:r w:rsidRPr="00854FC2" w:rsidR="00D85665">
        <w:t xml:space="preserve"> according to the compliance deadlines in §112.3(a) </w:t>
      </w:r>
      <w:r w:rsidR="006563C6">
        <w:t xml:space="preserve">and </w:t>
      </w:r>
      <w:r w:rsidRPr="00854FC2" w:rsidR="00D85665">
        <w:t>(b)</w:t>
      </w:r>
      <w:r w:rsidR="00AF469C">
        <w:t xml:space="preserve">. </w:t>
      </w:r>
      <w:r w:rsidR="00DC555E">
        <w:t>N</w:t>
      </w:r>
      <w:r w:rsidR="00D54E6D">
        <w:t>ew oil production facilities</w:t>
      </w:r>
      <w:r w:rsidR="00B772DC">
        <w:t xml:space="preserve"> must prepare and implement an SPCC plan within six months after beginning operations. </w:t>
      </w:r>
    </w:p>
    <w:p w:rsidR="00EB1E5C" w:rsidRDefault="00EB1E5C" w14:paraId="4927F63C" w14:textId="77777777">
      <w:pPr>
        <w:pStyle w:val="BodyText"/>
        <w:numPr>
          <w:ilvl w:val="12"/>
          <w:numId w:val="0"/>
        </w:numPr>
        <w:tabs>
          <w:tab w:val="left" w:pos="0"/>
          <w:tab w:val="left" w:pos="720"/>
          <w:tab w:val="left" w:pos="1440"/>
          <w:tab w:val="left" w:pos="2160"/>
        </w:tabs>
        <w:rPr>
          <w:color w:val="000000"/>
        </w:rPr>
      </w:pPr>
    </w:p>
    <w:p w:rsidRPr="00854FC2" w:rsidR="00D85665" w:rsidRDefault="00312121" w14:paraId="57F4F892" w14:textId="72560A84">
      <w:pPr>
        <w:pStyle w:val="BodyText"/>
        <w:numPr>
          <w:ilvl w:val="12"/>
          <w:numId w:val="0"/>
        </w:numPr>
        <w:tabs>
          <w:tab w:val="left" w:pos="0"/>
          <w:tab w:val="left" w:pos="720"/>
          <w:tab w:val="left" w:pos="1440"/>
          <w:tab w:val="left" w:pos="2160"/>
        </w:tabs>
      </w:pPr>
      <w:r>
        <w:rPr>
          <w:color w:val="000000"/>
        </w:rPr>
        <w:tab/>
      </w:r>
      <w:r w:rsidRPr="00854FC2" w:rsidR="00D85665">
        <w:t>The owner or operator must review the SPCC Plan once every five years</w:t>
      </w:r>
      <w:r w:rsidR="00DC555E">
        <w:t xml:space="preserve"> </w:t>
      </w:r>
      <w:r w:rsidRPr="00854FC2" w:rsidR="00D85665">
        <w:t>to ensure that SPCC Plans reflect currently available and proven technology and techniques for preventing and controlling oil discharges</w:t>
      </w:r>
      <w:r w:rsidR="003F6507">
        <w:t xml:space="preserve">. </w:t>
      </w:r>
    </w:p>
    <w:p w:rsidRPr="00854FC2" w:rsidR="00D85665" w:rsidRDefault="00D85665" w14:paraId="6BF0D785" w14:textId="77777777">
      <w:pPr>
        <w:numPr>
          <w:ilvl w:val="12"/>
          <w:numId w:val="0"/>
        </w:numPr>
        <w:tabs>
          <w:tab w:val="left" w:pos="0"/>
          <w:tab w:val="left" w:pos="720"/>
          <w:tab w:val="left" w:pos="1440"/>
          <w:tab w:val="left" w:pos="2160"/>
        </w:tabs>
        <w:rPr>
          <w:rFonts w:cs="Arial"/>
          <w:szCs w:val="22"/>
        </w:rPr>
      </w:pPr>
    </w:p>
    <w:p w:rsidRPr="00854FC2" w:rsidR="00D85665" w:rsidP="00A304B5" w:rsidRDefault="00D85665" w14:paraId="11890B65" w14:textId="4208BDED">
      <w:pPr>
        <w:pStyle w:val="Heading1"/>
      </w:pPr>
      <w:r w:rsidRPr="00854FC2">
        <w:t>6.</w:t>
      </w:r>
      <w:r w:rsidRPr="00854FC2">
        <w:rPr>
          <w:color w:val="00FF00"/>
        </w:rPr>
        <w:tab/>
      </w:r>
      <w:r w:rsidRPr="00854FC2">
        <w:t xml:space="preserve">ESTIMATING BURDEN AND COST </w:t>
      </w:r>
    </w:p>
    <w:p w:rsidRPr="00854FC2" w:rsidR="00D85665" w:rsidRDefault="00D85665" w14:paraId="5186E1C1" w14:textId="77777777">
      <w:pPr>
        <w:keepNext/>
        <w:keepLines/>
        <w:numPr>
          <w:ilvl w:val="12"/>
          <w:numId w:val="0"/>
        </w:numPr>
        <w:tabs>
          <w:tab w:val="left" w:pos="0"/>
          <w:tab w:val="left" w:pos="720"/>
          <w:tab w:val="left" w:pos="1440"/>
          <w:tab w:val="left" w:pos="2160"/>
        </w:tabs>
        <w:rPr>
          <w:rFonts w:cs="Arial"/>
          <w:szCs w:val="22"/>
        </w:rPr>
      </w:pPr>
      <w:r w:rsidRPr="00854FC2">
        <w:rPr>
          <w:rFonts w:cs="Arial"/>
          <w:szCs w:val="22"/>
        </w:rPr>
        <w:t xml:space="preserve">  </w:t>
      </w:r>
    </w:p>
    <w:p w:rsidRPr="00854FC2" w:rsidR="00D85665" w:rsidP="00E827A7" w:rsidRDefault="00D85665" w14:paraId="3E8F8E91" w14:textId="1DEA9695">
      <w:pPr>
        <w:pStyle w:val="Heading2"/>
      </w:pPr>
      <w:r w:rsidRPr="00854FC2">
        <w:t>6(a)</w:t>
      </w:r>
      <w:r w:rsidR="00E44712">
        <w:t xml:space="preserve"> </w:t>
      </w:r>
      <w:r w:rsidRPr="00854FC2">
        <w:t>Estimating Respondent Burden</w:t>
      </w:r>
    </w:p>
    <w:p w:rsidRPr="00854FC2" w:rsidR="00D85665" w:rsidRDefault="00D85665" w14:paraId="245D2845" w14:textId="77777777">
      <w:pPr>
        <w:keepNext/>
        <w:keepLines/>
        <w:numPr>
          <w:ilvl w:val="12"/>
          <w:numId w:val="0"/>
        </w:numPr>
        <w:tabs>
          <w:tab w:val="left" w:pos="0"/>
          <w:tab w:val="left" w:pos="720"/>
          <w:tab w:val="left" w:pos="1440"/>
          <w:tab w:val="left" w:pos="2160"/>
        </w:tabs>
        <w:rPr>
          <w:rFonts w:cs="Arial"/>
          <w:szCs w:val="22"/>
        </w:rPr>
      </w:pPr>
    </w:p>
    <w:p w:rsidRPr="00854FC2" w:rsidR="00D85665" w:rsidP="00A304B5" w:rsidRDefault="00D85665" w14:paraId="2D10CA19" w14:textId="77D7C98E">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tab/>
      </w:r>
      <w:r w:rsidR="00CE56A9">
        <w:t xml:space="preserve">To estimate the respondent burden, </w:t>
      </w:r>
      <w:r w:rsidRPr="00854FC2">
        <w:t>EPA divided regulated facilities into four size categories based on their aggregate oil storage capacity</w:t>
      </w:r>
      <w:r w:rsidR="004560B0">
        <w:t xml:space="preserve"> </w:t>
      </w:r>
      <w:r w:rsidR="00275153">
        <w:t xml:space="preserve">and </w:t>
      </w:r>
      <w:r w:rsidR="00363024">
        <w:t>the facility type</w:t>
      </w:r>
      <w:r w:rsidR="004560B0">
        <w:t>.</w:t>
      </w:r>
      <w:r w:rsidRPr="00854FC2">
        <w:t xml:space="preserve"> These size categories help to account for differences in </w:t>
      </w:r>
      <w:r>
        <w:t xml:space="preserve">the </w:t>
      </w:r>
      <w:r w:rsidR="00490C23">
        <w:t xml:space="preserve">rule requirements and corresponding differences in </w:t>
      </w:r>
      <w:r w:rsidRPr="00854FC2">
        <w:t xml:space="preserve">the potential compliance </w:t>
      </w:r>
      <w:r w:rsidR="002F4F1C">
        <w:t xml:space="preserve">time </w:t>
      </w:r>
      <w:r w:rsidR="004A7C83">
        <w:t xml:space="preserve">burden and </w:t>
      </w:r>
      <w:r w:rsidRPr="00854FC2">
        <w:t xml:space="preserve">costs </w:t>
      </w:r>
      <w:r w:rsidR="004560B0">
        <w:t xml:space="preserve">incurred </w:t>
      </w:r>
      <w:r w:rsidRPr="00854FC2">
        <w:t>by facilities of different sizes</w:t>
      </w:r>
      <w:r w:rsidR="002D77D1">
        <w:t>.</w:t>
      </w:r>
      <w:r w:rsidR="003F6507">
        <w:t xml:space="preserve"> </w:t>
      </w:r>
      <w:r w:rsidR="00203453">
        <w:t>For more information, please see the 2008 RIA</w:t>
      </w:r>
      <w:r w:rsidR="000353ED">
        <w:rPr>
          <w:rStyle w:val="FootnoteReference"/>
        </w:rPr>
        <w:footnoteReference w:id="12"/>
      </w:r>
      <w:r w:rsidR="00203453">
        <w:t xml:space="preserve"> and Appendix A.</w:t>
      </w:r>
    </w:p>
    <w:p w:rsidR="00026010" w:rsidRDefault="00026010" w14:paraId="3182BB9C" w14:textId="7F640BB0">
      <w:pPr>
        <w:rPr>
          <w:rFonts w:cs="Arial"/>
          <w:szCs w:val="22"/>
        </w:rPr>
      </w:pPr>
    </w:p>
    <w:p w:rsidRPr="00854FC2" w:rsidR="00D85665" w:rsidP="00E827A7" w:rsidRDefault="00D85665" w14:paraId="56ED5B48" w14:textId="6C8A6CA9">
      <w:pPr>
        <w:pStyle w:val="Heading2"/>
      </w:pPr>
      <w:r w:rsidRPr="00854FC2">
        <w:t>6(b)</w:t>
      </w:r>
      <w:r w:rsidR="001C48CC">
        <w:t xml:space="preserve"> </w:t>
      </w: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004927D8">
        <w:t xml:space="preserve">Estimating Respondent </w:t>
      </w:r>
      <w:r w:rsidR="00EE22D6">
        <w:t xml:space="preserve">Costs </w:t>
      </w:r>
    </w:p>
    <w:p w:rsidRPr="00854FC2" w:rsidR="006E03F5" w:rsidRDefault="006E03F5" w14:paraId="0A496C07"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Pr="00854FC2" w:rsidR="00D85665" w:rsidP="00864E8A" w:rsidRDefault="00D85665" w14:paraId="5927540C" w14:textId="15E4053F">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 xml:space="preserve">This section </w:t>
      </w:r>
      <w:r w:rsidR="0083398C">
        <w:rPr>
          <w:rFonts w:cs="Arial"/>
          <w:szCs w:val="22"/>
        </w:rPr>
        <w:t xml:space="preserve">presents </w:t>
      </w:r>
      <w:r w:rsidR="001453D3">
        <w:rPr>
          <w:rFonts w:cs="Arial"/>
          <w:szCs w:val="22"/>
        </w:rPr>
        <w:t xml:space="preserve">estimated respondent </w:t>
      </w:r>
      <w:r w:rsidRPr="00854FC2">
        <w:rPr>
          <w:rFonts w:cs="Arial"/>
          <w:szCs w:val="22"/>
        </w:rPr>
        <w:t xml:space="preserve">costs </w:t>
      </w:r>
      <w:r w:rsidR="001453D3">
        <w:rPr>
          <w:rFonts w:cs="Arial"/>
          <w:szCs w:val="22"/>
        </w:rPr>
        <w:t>for</w:t>
      </w:r>
      <w:r w:rsidRPr="00854FC2">
        <w:rPr>
          <w:rFonts w:cs="Arial"/>
          <w:szCs w:val="22"/>
        </w:rPr>
        <w:t xml:space="preserve"> facilities </w:t>
      </w:r>
      <w:r w:rsidR="007E2602">
        <w:rPr>
          <w:rFonts w:cs="Arial"/>
          <w:szCs w:val="22"/>
        </w:rPr>
        <w:t xml:space="preserve">that are </w:t>
      </w:r>
      <w:r w:rsidRPr="00854FC2">
        <w:rPr>
          <w:rFonts w:cs="Arial"/>
          <w:szCs w:val="22"/>
        </w:rPr>
        <w:t xml:space="preserve">regulated by the SPCC </w:t>
      </w:r>
      <w:r w:rsidR="002F7B9B">
        <w:rPr>
          <w:rFonts w:cs="Arial"/>
          <w:szCs w:val="22"/>
        </w:rPr>
        <w:t>r</w:t>
      </w:r>
      <w:r w:rsidRPr="00854FC2">
        <w:rPr>
          <w:rFonts w:cs="Arial"/>
          <w:szCs w:val="22"/>
        </w:rPr>
        <w:t>ule. Plan preparation</w:t>
      </w:r>
      <w:r w:rsidR="00320C4A">
        <w:rPr>
          <w:rFonts w:cs="Arial"/>
          <w:szCs w:val="22"/>
        </w:rPr>
        <w:t xml:space="preserve"> </w:t>
      </w:r>
      <w:r w:rsidRPr="00854FC2">
        <w:rPr>
          <w:rFonts w:cs="Arial"/>
          <w:szCs w:val="22"/>
        </w:rPr>
        <w:t xml:space="preserve">costs </w:t>
      </w:r>
      <w:r w:rsidR="00F81868">
        <w:rPr>
          <w:rFonts w:cs="Arial"/>
          <w:szCs w:val="22"/>
        </w:rPr>
        <w:t xml:space="preserve">are incurred by </w:t>
      </w:r>
      <w:r w:rsidRPr="00854FC2">
        <w:rPr>
          <w:rFonts w:cs="Arial"/>
          <w:szCs w:val="22"/>
        </w:rPr>
        <w:t xml:space="preserve">new facilities </w:t>
      </w:r>
      <w:r w:rsidRPr="00854FC2" w:rsidR="00762FCA">
        <w:rPr>
          <w:rFonts w:cs="Arial"/>
          <w:szCs w:val="22"/>
        </w:rPr>
        <w:t xml:space="preserve">that </w:t>
      </w:r>
      <w:r w:rsidRPr="00403C8A" w:rsidR="00762FCA">
        <w:rPr>
          <w:rFonts w:cs="Arial"/>
          <w:szCs w:val="22"/>
        </w:rPr>
        <w:t>become subject to the SPCC rule</w:t>
      </w:r>
      <w:r w:rsidR="007950ED">
        <w:rPr>
          <w:rFonts w:cs="Arial"/>
          <w:szCs w:val="22"/>
        </w:rPr>
        <w:t xml:space="preserve">. Plan certification costs also </w:t>
      </w:r>
      <w:r w:rsidR="00F81868">
        <w:rPr>
          <w:rFonts w:cs="Arial"/>
          <w:szCs w:val="22"/>
        </w:rPr>
        <w:t xml:space="preserve">are incurred by </w:t>
      </w:r>
      <w:r w:rsidR="007950ED">
        <w:rPr>
          <w:rFonts w:cs="Arial"/>
          <w:szCs w:val="22"/>
        </w:rPr>
        <w:t>new facilities</w:t>
      </w:r>
      <w:r w:rsidR="00762FCA">
        <w:rPr>
          <w:rFonts w:cs="Arial"/>
          <w:szCs w:val="22"/>
        </w:rPr>
        <w:t xml:space="preserve"> unless they </w:t>
      </w:r>
      <w:r w:rsidRPr="00854FC2" w:rsidR="00762FCA">
        <w:rPr>
          <w:rFonts w:cs="Arial"/>
          <w:szCs w:val="22"/>
        </w:rPr>
        <w:t xml:space="preserve">meet the </w:t>
      </w:r>
      <w:r w:rsidR="00F94C12">
        <w:rPr>
          <w:rFonts w:cs="Arial"/>
          <w:szCs w:val="22"/>
        </w:rPr>
        <w:t>“</w:t>
      </w:r>
      <w:r w:rsidRPr="00854FC2" w:rsidR="00762FCA">
        <w:rPr>
          <w:rFonts w:cs="Arial"/>
          <w:szCs w:val="22"/>
        </w:rPr>
        <w:t>qualified facility” criteria</w:t>
      </w:r>
      <w:r w:rsidR="00762FCA">
        <w:rPr>
          <w:rFonts w:cs="Arial"/>
          <w:szCs w:val="22"/>
        </w:rPr>
        <w:t>.</w:t>
      </w:r>
      <w:r w:rsidRPr="00403C8A">
        <w:rPr>
          <w:rFonts w:cs="Arial"/>
          <w:szCs w:val="22"/>
        </w:rPr>
        <w:t xml:space="preserve"> New</w:t>
      </w:r>
      <w:r w:rsidRPr="00854FC2">
        <w:rPr>
          <w:rFonts w:cs="Arial"/>
          <w:szCs w:val="22"/>
        </w:rPr>
        <w:t xml:space="preserve"> facilities include those facilities that will initiate operations during the ICR period. </w:t>
      </w:r>
      <w:r w:rsidR="00C350B5">
        <w:rPr>
          <w:rFonts w:cs="Arial"/>
          <w:szCs w:val="22"/>
        </w:rPr>
        <w:t>EPA assumes that o</w:t>
      </w:r>
      <w:r w:rsidRPr="00854FC2" w:rsidR="00C350B5">
        <w:rPr>
          <w:rFonts w:cs="Arial"/>
          <w:szCs w:val="22"/>
        </w:rPr>
        <w:t xml:space="preserve">wners </w:t>
      </w:r>
      <w:r w:rsidRPr="00854FC2">
        <w:rPr>
          <w:rFonts w:cs="Arial"/>
          <w:szCs w:val="22"/>
        </w:rPr>
        <w:t xml:space="preserve">or operators of new facilities </w:t>
      </w:r>
      <w:r w:rsidR="003C3CAE">
        <w:rPr>
          <w:rFonts w:cs="Arial"/>
          <w:szCs w:val="22"/>
        </w:rPr>
        <w:t xml:space="preserve">will </w:t>
      </w:r>
      <w:r w:rsidRPr="00854FC2">
        <w:rPr>
          <w:rFonts w:cs="Arial"/>
          <w:szCs w:val="22"/>
        </w:rPr>
        <w:t xml:space="preserve">incur the total cost of preparing a Plan </w:t>
      </w:r>
      <w:r w:rsidR="00012DB3">
        <w:rPr>
          <w:rFonts w:cs="Arial"/>
          <w:szCs w:val="22"/>
        </w:rPr>
        <w:t>and PE certification</w:t>
      </w:r>
      <w:r w:rsidRPr="00854FC2" w:rsidR="00012DB3">
        <w:rPr>
          <w:rFonts w:cs="Arial"/>
          <w:szCs w:val="22"/>
        </w:rPr>
        <w:t xml:space="preserve"> </w:t>
      </w:r>
      <w:r w:rsidR="00942BC8">
        <w:rPr>
          <w:rFonts w:cs="Arial"/>
          <w:szCs w:val="22"/>
        </w:rPr>
        <w:t>(if applicable)</w:t>
      </w:r>
      <w:r w:rsidRPr="00854FC2" w:rsidR="00012DB3">
        <w:rPr>
          <w:rFonts w:cs="Arial"/>
          <w:szCs w:val="22"/>
        </w:rPr>
        <w:t xml:space="preserve"> </w:t>
      </w:r>
      <w:r w:rsidRPr="00854FC2">
        <w:rPr>
          <w:rFonts w:cs="Arial"/>
          <w:szCs w:val="22"/>
        </w:rPr>
        <w:t>in their first year</w:t>
      </w:r>
      <w:r w:rsidR="003F6507">
        <w:rPr>
          <w:rFonts w:cs="Arial"/>
          <w:szCs w:val="22"/>
        </w:rPr>
        <w:t xml:space="preserve">. </w:t>
      </w:r>
    </w:p>
    <w:p w:rsidRPr="00854FC2" w:rsidR="00D85665" w:rsidRDefault="00D85665" w14:paraId="54D02481" w14:textId="77777777">
      <w:pPr>
        <w:spacing w:line="22" w:lineRule="atLeast"/>
        <w:rPr>
          <w:rFonts w:cs="Arial"/>
          <w:szCs w:val="22"/>
        </w:rPr>
      </w:pPr>
    </w:p>
    <w:p w:rsidR="00073099" w:rsidP="00864E8A" w:rsidRDefault="00D85665" w14:paraId="03085829" w14:textId="6478340D">
      <w:pPr>
        <w:spacing w:line="22" w:lineRule="atLeast"/>
        <w:ind w:firstLine="720"/>
        <w:rPr>
          <w:rFonts w:cs="Arial"/>
          <w:szCs w:val="22"/>
        </w:rPr>
      </w:pPr>
      <w:r w:rsidRPr="00854FC2">
        <w:rPr>
          <w:rFonts w:cs="Arial"/>
          <w:szCs w:val="22"/>
        </w:rPr>
        <w:t xml:space="preserve">EPA assumes that </w:t>
      </w:r>
      <w:r w:rsidR="002D3E6C">
        <w:rPr>
          <w:rFonts w:cs="Arial"/>
          <w:szCs w:val="22"/>
        </w:rPr>
        <w:t xml:space="preserve">one-fifth </w:t>
      </w:r>
      <w:r w:rsidRPr="00854FC2">
        <w:rPr>
          <w:rFonts w:cs="Arial"/>
          <w:szCs w:val="22"/>
        </w:rPr>
        <w:t>of all existing facilities</w:t>
      </w:r>
      <w:r w:rsidR="0031229C">
        <w:rPr>
          <w:rFonts w:cs="Arial"/>
          <w:szCs w:val="22"/>
        </w:rPr>
        <w:t xml:space="preserve"> will undertake a</w:t>
      </w:r>
      <w:r w:rsidRPr="00854FC2">
        <w:rPr>
          <w:rFonts w:cs="Arial"/>
          <w:szCs w:val="22"/>
        </w:rPr>
        <w:t xml:space="preserve"> </w:t>
      </w:r>
      <w:r w:rsidRPr="00854FC2" w:rsidR="0031229C">
        <w:rPr>
          <w:rFonts w:cs="Arial"/>
          <w:szCs w:val="22"/>
        </w:rPr>
        <w:t xml:space="preserve">formal five-year review of </w:t>
      </w:r>
      <w:r w:rsidR="0031229C">
        <w:rPr>
          <w:rFonts w:cs="Arial"/>
          <w:szCs w:val="22"/>
        </w:rPr>
        <w:t xml:space="preserve">their </w:t>
      </w:r>
      <w:r w:rsidRPr="00854FC2" w:rsidR="0031229C">
        <w:rPr>
          <w:rFonts w:cs="Arial"/>
          <w:szCs w:val="22"/>
        </w:rPr>
        <w:t xml:space="preserve">SPCC Plans </w:t>
      </w:r>
      <w:r w:rsidRPr="00854FC2">
        <w:rPr>
          <w:rFonts w:cs="Arial"/>
          <w:szCs w:val="22"/>
        </w:rPr>
        <w:t>annually</w:t>
      </w:r>
      <w:r w:rsidR="0031229C">
        <w:rPr>
          <w:rFonts w:cs="Arial"/>
          <w:szCs w:val="22"/>
        </w:rPr>
        <w:t xml:space="preserve"> during</w:t>
      </w:r>
      <w:r w:rsidRPr="00854FC2">
        <w:rPr>
          <w:rFonts w:cs="Arial"/>
          <w:szCs w:val="22"/>
        </w:rPr>
        <w:t xml:space="preserve"> each year of the ICR period</w:t>
      </w:r>
      <w:r w:rsidR="003F6507">
        <w:rPr>
          <w:rFonts w:cs="Arial"/>
          <w:szCs w:val="22"/>
        </w:rPr>
        <w:t xml:space="preserve">. </w:t>
      </w:r>
      <w:r w:rsidRPr="00854FC2" w:rsidR="00073099">
        <w:rPr>
          <w:rFonts w:cs="Arial"/>
          <w:szCs w:val="22"/>
        </w:rPr>
        <w:t>In addition to</w:t>
      </w:r>
      <w:r w:rsidR="00073099">
        <w:rPr>
          <w:rFonts w:cs="Arial"/>
          <w:szCs w:val="22"/>
        </w:rPr>
        <w:t xml:space="preserve"> Plan-related costs</w:t>
      </w:r>
      <w:r w:rsidRPr="00854FC2" w:rsidR="00073099">
        <w:rPr>
          <w:rFonts w:cs="Arial"/>
          <w:szCs w:val="22"/>
        </w:rPr>
        <w:t>, owners or operators of all new and existing facilities will incur cost</w:t>
      </w:r>
      <w:r w:rsidRPr="00BE269B" w:rsidR="00073099">
        <w:rPr>
          <w:rFonts w:cs="Arial"/>
          <w:szCs w:val="22"/>
        </w:rPr>
        <w:t>s to prepare and maintain reco</w:t>
      </w:r>
      <w:r w:rsidRPr="00854FC2" w:rsidR="00073099">
        <w:rPr>
          <w:rFonts w:cs="Arial"/>
          <w:szCs w:val="22"/>
        </w:rPr>
        <w:t>rds.</w:t>
      </w:r>
    </w:p>
    <w:p w:rsidRPr="00854FC2" w:rsidR="00124AC2" w:rsidP="00864E8A" w:rsidRDefault="00124AC2" w14:paraId="7271D220" w14:textId="77777777">
      <w:pPr>
        <w:spacing w:line="22" w:lineRule="atLeast"/>
        <w:ind w:firstLine="720"/>
        <w:rPr>
          <w:rFonts w:cs="Arial"/>
          <w:szCs w:val="22"/>
        </w:rPr>
      </w:pPr>
    </w:p>
    <w:p w:rsidR="00F81868" w:rsidP="00925E98" w:rsidRDefault="00864E8A" w14:paraId="15978B07" w14:textId="591F25A3">
      <w:pPr>
        <w:tabs>
          <w:tab w:val="left" w:pos="720"/>
        </w:tabs>
      </w:pPr>
      <w:r>
        <w:rPr>
          <w:rFonts w:cs="Arial"/>
          <w:szCs w:val="22"/>
        </w:rPr>
        <w:tab/>
      </w:r>
      <w:r w:rsidRPr="002E25AF" w:rsidR="00D85665">
        <w:rPr>
          <w:rFonts w:cs="Arial"/>
        </w:rPr>
        <w:t xml:space="preserve">Owners or operators of some new and existing facilities </w:t>
      </w:r>
      <w:r w:rsidRPr="002E25AF" w:rsidR="004F5FA2">
        <w:rPr>
          <w:rFonts w:cs="Arial"/>
        </w:rPr>
        <w:t xml:space="preserve">may need to </w:t>
      </w:r>
      <w:r w:rsidRPr="0006429A" w:rsidR="00D85665">
        <w:rPr>
          <w:rFonts w:cs="Arial"/>
        </w:rPr>
        <w:t xml:space="preserve">submit information </w:t>
      </w:r>
      <w:r w:rsidRPr="00824871" w:rsidR="0031229C">
        <w:rPr>
          <w:rFonts w:cs="Arial"/>
        </w:rPr>
        <w:t xml:space="preserve">because of </w:t>
      </w:r>
      <w:r w:rsidRPr="00824871" w:rsidR="004F5FA2">
        <w:rPr>
          <w:rFonts w:cs="Arial"/>
        </w:rPr>
        <w:t xml:space="preserve">a reportable </w:t>
      </w:r>
      <w:r w:rsidRPr="00824871" w:rsidR="0031229C">
        <w:rPr>
          <w:rFonts w:cs="Arial"/>
        </w:rPr>
        <w:t xml:space="preserve">oil </w:t>
      </w:r>
      <w:r w:rsidRPr="0006429A" w:rsidR="00D85665">
        <w:rPr>
          <w:rFonts w:cs="Arial"/>
        </w:rPr>
        <w:t>discharg</w:t>
      </w:r>
      <w:r w:rsidRPr="0006429A" w:rsidR="004F5FA2">
        <w:rPr>
          <w:rFonts w:cs="Arial"/>
        </w:rPr>
        <w:t>e</w:t>
      </w:r>
      <w:r w:rsidRPr="0067251F" w:rsidR="00D85665">
        <w:rPr>
          <w:rFonts w:cs="Arial"/>
        </w:rPr>
        <w:t xml:space="preserve"> and o</w:t>
      </w:r>
      <w:r w:rsidRPr="0067251F" w:rsidR="00D85665">
        <w:rPr>
          <w:rFonts w:cs="Arial"/>
        </w:rPr>
        <w:t xml:space="preserve">thers </w:t>
      </w:r>
      <w:r w:rsidRPr="0067251F" w:rsidR="004F5FA2">
        <w:rPr>
          <w:rFonts w:cs="Arial"/>
        </w:rPr>
        <w:t xml:space="preserve">may </w:t>
      </w:r>
      <w:r w:rsidRPr="0067251F" w:rsidR="00D85665">
        <w:rPr>
          <w:rFonts w:cs="Arial"/>
        </w:rPr>
        <w:t xml:space="preserve">need to revise their Plan during the ICR period. </w:t>
      </w:r>
      <w:r w:rsidR="00124AC2">
        <w:t>B</w:t>
      </w:r>
      <w:r w:rsidRPr="00854FC2" w:rsidR="00D85665">
        <w:t xml:space="preserve">ased on </w:t>
      </w:r>
      <w:r w:rsidRPr="00C56296" w:rsidR="00D85665">
        <w:t>spill data</w:t>
      </w:r>
      <w:r w:rsidRPr="00854FC2" w:rsidR="00D85665">
        <w:t xml:space="preserve"> obtained from the Emergency Response Notification System database</w:t>
      </w:r>
      <w:r w:rsidR="00124AC2">
        <w:t xml:space="preserve"> in 2002</w:t>
      </w:r>
      <w:r w:rsidRPr="00854FC2" w:rsidR="00D85665">
        <w:t xml:space="preserve">, EPA estimated that approximately </w:t>
      </w:r>
      <w:r w:rsidRPr="00C56296" w:rsidR="00D85665">
        <w:t>0.15</w:t>
      </w:r>
      <w:r w:rsidRPr="00854FC2" w:rsidR="00D85665">
        <w:t xml:space="preserve"> percent of all facilities would incur costs each year due to reporting requirements related to an oil discharge </w:t>
      </w:r>
      <w:r w:rsidRPr="002E25AF" w:rsidR="00D85665">
        <w:rPr>
          <w:rFonts w:cs="Arial"/>
        </w:rPr>
        <w:t>(see §112.4(a))</w:t>
      </w:r>
      <w:r w:rsidRPr="00854FC2" w:rsidR="00D85665">
        <w:t>.</w:t>
      </w:r>
      <w:r w:rsidRPr="00854FC2" w:rsidR="00D85665">
        <w:rPr>
          <w:rStyle w:val="FootnoteReference"/>
        </w:rPr>
        <w:footnoteReference w:id="13"/>
      </w:r>
      <w:r w:rsidRPr="00854FC2" w:rsidR="00D85665">
        <w:t xml:space="preserve"> In addition, based on conversations with EPA regional personnel involved with the SPCC program, EPA estimated that approximately </w:t>
      </w:r>
      <w:r w:rsidRPr="00C56296" w:rsidR="00D85665">
        <w:t>10</w:t>
      </w:r>
      <w:r w:rsidRPr="00854FC2" w:rsidR="00D85665">
        <w:t xml:space="preserve"> percent of all facilities would </w:t>
      </w:r>
      <w:r w:rsidRPr="002E25AF" w:rsidR="00D85665">
        <w:rPr>
          <w:rFonts w:cs="Arial"/>
        </w:rPr>
        <w:t xml:space="preserve">revise their Plan each year to address </w:t>
      </w:r>
      <w:r w:rsidRPr="002E25AF" w:rsidR="00DC5103">
        <w:rPr>
          <w:rFonts w:cs="Arial"/>
        </w:rPr>
        <w:t xml:space="preserve">requirements at </w:t>
      </w:r>
      <w:r w:rsidRPr="0022621C" w:rsidR="00D85665">
        <w:rPr>
          <w:rFonts w:eastAsia="Arial" w:cs="Arial"/>
        </w:rPr>
        <w:t>§112.5(a) or (c) or §112.4(d).</w:t>
      </w:r>
      <w:r w:rsidRPr="0022621C" w:rsidR="00D85665">
        <w:rPr>
          <w:rFonts w:cs="Arial"/>
        </w:rPr>
        <w:t xml:space="preserve"> </w:t>
      </w:r>
      <w:r w:rsidRPr="0022621C" w:rsidR="00CD4DEF">
        <w:rPr>
          <w:rFonts w:cs="Arial"/>
        </w:rPr>
        <w:t>EPA retained these assumptions for estimating the burden for this ICR.</w:t>
      </w:r>
      <w:r w:rsidRPr="00A77EFF" w:rsidR="00F41A31">
        <w:rPr>
          <w:rFonts w:cs="Arial"/>
          <w:color w:val="000000"/>
          <w:lang w:val="en-CA" w:eastAsia="en-CA"/>
        </w:rPr>
        <w:t xml:space="preserve"> EPA updated the costs from the </w:t>
      </w:r>
      <w:r w:rsidR="005A7947">
        <w:rPr>
          <w:rFonts w:cs="Arial"/>
          <w:color w:val="000000"/>
          <w:lang w:val="en-CA" w:eastAsia="en-CA"/>
        </w:rPr>
        <w:t>2016</w:t>
      </w:r>
      <w:r w:rsidRPr="00A77EFF" w:rsidR="00F41A31">
        <w:rPr>
          <w:rFonts w:cs="Arial"/>
          <w:color w:val="000000"/>
          <w:lang w:val="en-CA" w:eastAsia="en-CA"/>
        </w:rPr>
        <w:t xml:space="preserve"> ICR renewal using </w:t>
      </w:r>
      <w:r w:rsidR="00CD3B4B">
        <w:rPr>
          <w:rFonts w:cs="Arial"/>
          <w:color w:val="000000"/>
          <w:lang w:val="en-CA" w:eastAsia="en-CA"/>
        </w:rPr>
        <w:t xml:space="preserve">recent data </w:t>
      </w:r>
      <w:r w:rsidR="002F7B9B">
        <w:rPr>
          <w:rFonts w:cs="Arial"/>
          <w:color w:val="000000"/>
          <w:lang w:val="en-CA" w:eastAsia="en-CA"/>
        </w:rPr>
        <w:t>and</w:t>
      </w:r>
      <w:r w:rsidR="00CD3B4B">
        <w:rPr>
          <w:rFonts w:cs="Arial"/>
          <w:color w:val="000000"/>
          <w:lang w:val="en-CA" w:eastAsia="en-CA"/>
        </w:rPr>
        <w:t xml:space="preserve"> adjusting </w:t>
      </w:r>
      <w:r w:rsidR="00124AC2">
        <w:rPr>
          <w:rFonts w:cs="Arial"/>
          <w:color w:val="000000"/>
          <w:lang w:val="en-CA" w:eastAsia="en-CA"/>
        </w:rPr>
        <w:t>those values</w:t>
      </w:r>
      <w:r w:rsidRPr="00A77EFF" w:rsidR="00124AC2">
        <w:rPr>
          <w:rFonts w:cs="Arial"/>
          <w:color w:val="000000"/>
          <w:lang w:val="en-CA" w:eastAsia="en-CA"/>
        </w:rPr>
        <w:t xml:space="preserve"> using the construction cost index, </w:t>
      </w:r>
      <w:r w:rsidR="00F81868">
        <w:rPr>
          <w:rFonts w:cs="Arial"/>
          <w:color w:val="000000"/>
          <w:lang w:val="en-CA" w:eastAsia="en-CA"/>
        </w:rPr>
        <w:t xml:space="preserve">and either </w:t>
      </w:r>
      <w:r w:rsidRPr="00A77EFF" w:rsidR="00124AC2">
        <w:rPr>
          <w:rFonts w:cs="Arial"/>
          <w:color w:val="000000"/>
          <w:lang w:val="en-CA" w:eastAsia="en-CA"/>
        </w:rPr>
        <w:t xml:space="preserve">the employment cost </w:t>
      </w:r>
      <w:r w:rsidRPr="00A77EFF" w:rsidR="00F41A31">
        <w:rPr>
          <w:rFonts w:cs="Arial"/>
          <w:color w:val="000000"/>
          <w:lang w:val="en-CA" w:eastAsia="en-CA"/>
        </w:rPr>
        <w:t>index or the GDP deflator, depending on the cost component.</w:t>
      </w:r>
      <w:r w:rsidR="005F131C">
        <w:rPr>
          <w:rFonts w:cs="Arial"/>
          <w:color w:val="000000"/>
          <w:lang w:val="en-CA" w:eastAsia="en-CA"/>
        </w:rPr>
        <w:t xml:space="preserve"> For a detailed breakdown of the respondent costs, please see </w:t>
      </w:r>
      <w:r w:rsidR="00925E98">
        <w:rPr>
          <w:rFonts w:cs="Arial"/>
          <w:color w:val="000000"/>
          <w:lang w:val="en-CA" w:eastAsia="en-CA"/>
        </w:rPr>
        <w:t>E</w:t>
      </w:r>
      <w:r w:rsidR="005F131C">
        <w:rPr>
          <w:rFonts w:cs="Arial"/>
          <w:color w:val="000000"/>
          <w:lang w:val="en-CA" w:eastAsia="en-CA"/>
        </w:rPr>
        <w:t>xhibits in Appendix A.</w:t>
      </w:r>
    </w:p>
    <w:p w:rsidR="00925E98" w:rsidP="00925E98" w:rsidRDefault="00925E98" w14:paraId="226E368F" w14:textId="6246CA16">
      <w:pPr>
        <w:tabs>
          <w:tab w:val="left" w:pos="720"/>
        </w:tabs>
      </w:pPr>
    </w:p>
    <w:p w:rsidRPr="00925E98" w:rsidR="00D85665" w:rsidP="00925E98" w:rsidRDefault="00D85665" w14:paraId="46867311" w14:textId="10803B43">
      <w:pPr>
        <w:tabs>
          <w:tab w:val="left" w:pos="720"/>
        </w:tabs>
        <w:rPr>
          <w:b/>
          <w:bCs/>
        </w:rPr>
      </w:pPr>
      <w:r w:rsidRPr="00925E98">
        <w:rPr>
          <w:b/>
          <w:bCs/>
        </w:rPr>
        <w:t xml:space="preserve">6(c) </w:t>
      </w:r>
      <w:r w:rsidRPr="00925E98">
        <w:rPr>
          <w:b/>
          <w:bCs/>
        </w:rPr>
        <w:tab/>
        <w:t xml:space="preserve">Estimating </w:t>
      </w:r>
      <w:r w:rsidRPr="00925E98" w:rsidR="006F09AE">
        <w:rPr>
          <w:b/>
          <w:bCs/>
        </w:rPr>
        <w:t xml:space="preserve">Agency </w:t>
      </w:r>
      <w:r w:rsidRPr="00925E98">
        <w:rPr>
          <w:b/>
          <w:bCs/>
        </w:rPr>
        <w:t>Burden and Costs</w:t>
      </w:r>
    </w:p>
    <w:p w:rsidRPr="00854FC2" w:rsidR="00D85665" w:rsidRDefault="00D85665" w14:paraId="2EF93FC0" w14:textId="77777777">
      <w:pPr>
        <w:keepNext/>
        <w:numPr>
          <w:ilvl w:val="12"/>
          <w:numId w:val="0"/>
        </w:numPr>
        <w:rPr>
          <w:rFonts w:cs="Arial"/>
          <w:szCs w:val="22"/>
        </w:rPr>
      </w:pPr>
    </w:p>
    <w:p w:rsidRPr="00854FC2" w:rsidR="00D85665" w:rsidP="00C02B77" w:rsidRDefault="00D85665" w14:paraId="2B0F63CC" w14:textId="6A500E47">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rFonts w:cs="Arial"/>
          <w:szCs w:val="22"/>
        </w:rPr>
        <w:t>EPA incurs costs associated with the evaluation of information submitted in accordance with</w:t>
      </w:r>
      <w:r w:rsidR="00C624B5">
        <w:rPr>
          <w:rFonts w:cs="Arial"/>
          <w:szCs w:val="22"/>
        </w:rPr>
        <w:t xml:space="preserve"> 40 CFR</w:t>
      </w:r>
      <w:r w:rsidRPr="00854FC2">
        <w:rPr>
          <w:rFonts w:cs="Arial"/>
          <w:szCs w:val="22"/>
        </w:rPr>
        <w:t xml:space="preserve"> §112.4</w:t>
      </w:r>
      <w:r w:rsidR="008772A8">
        <w:rPr>
          <w:rFonts w:cs="Arial"/>
          <w:szCs w:val="22"/>
        </w:rPr>
        <w:t>,</w:t>
      </w:r>
      <w:r w:rsidRPr="00854FC2">
        <w:rPr>
          <w:rFonts w:cs="Arial"/>
          <w:szCs w:val="22"/>
        </w:rPr>
        <w:t xml:space="preserve"> as well as consideration of appeals</w:t>
      </w:r>
      <w:r w:rsidR="00C241FC">
        <w:rPr>
          <w:rFonts w:cs="Arial"/>
          <w:szCs w:val="22"/>
        </w:rPr>
        <w:t xml:space="preserve"> and extension requests.</w:t>
      </w:r>
      <w:r w:rsidRPr="00854FC2">
        <w:rPr>
          <w:rFonts w:cs="Arial"/>
          <w:szCs w:val="22"/>
        </w:rPr>
        <w:t xml:space="preserve"> This section summarizes the estimated burden and cost of these activities to EPA. Burden estimates are based on input from EPA regional staff involved directly with the implementation of 40 CFR part 112. </w:t>
      </w:r>
      <w:r w:rsidRPr="00854FC2">
        <w:rPr>
          <w:rFonts w:cs="Arial"/>
          <w:szCs w:val="22"/>
        </w:rPr>
        <w:fldChar w:fldCharType="begin"/>
      </w:r>
      <w:r w:rsidRPr="00854FC2">
        <w:rPr>
          <w:rFonts w:cs="Arial"/>
          <w:szCs w:val="22"/>
        </w:rPr>
        <w:instrText xml:space="preserve"> REF _Ref141690222 </w:instrText>
      </w:r>
      <w:r w:rsidR="00854FC2">
        <w:rPr>
          <w:rFonts w:cs="Arial"/>
          <w:szCs w:val="22"/>
        </w:rPr>
        <w:instrText xml:space="preserve"> \* MERGEFORMAT </w:instrText>
      </w:r>
      <w:r w:rsidRPr="00854FC2">
        <w:rPr>
          <w:rFonts w:cs="Arial"/>
          <w:szCs w:val="22"/>
        </w:rPr>
        <w:fldChar w:fldCharType="separate"/>
      </w:r>
      <w:r w:rsidRPr="00FC333E" w:rsidR="00F843B9">
        <w:t xml:space="preserve">Exhibit </w:t>
      </w:r>
      <w:r w:rsidRPr="00854FC2">
        <w:rPr>
          <w:rFonts w:cs="Arial"/>
          <w:szCs w:val="22"/>
        </w:rPr>
        <w:fldChar w:fldCharType="end"/>
      </w:r>
      <w:r w:rsidR="00F94C12">
        <w:rPr>
          <w:rFonts w:cs="Arial"/>
          <w:szCs w:val="22"/>
        </w:rPr>
        <w:t>3</w:t>
      </w:r>
      <w:r w:rsidRPr="00854FC2">
        <w:rPr>
          <w:rFonts w:cs="Arial"/>
          <w:szCs w:val="22"/>
        </w:rPr>
        <w:t xml:space="preserve"> shows the total burden and labor cost to EPA</w:t>
      </w:r>
      <w:r w:rsidR="003F6507">
        <w:rPr>
          <w:rFonts w:cs="Arial"/>
          <w:szCs w:val="22"/>
        </w:rPr>
        <w:t xml:space="preserve">. </w:t>
      </w:r>
      <w:r w:rsidRPr="00854FC2">
        <w:rPr>
          <w:rFonts w:cs="Arial"/>
          <w:szCs w:val="22"/>
        </w:rPr>
        <w:t xml:space="preserve">As described in </w:t>
      </w:r>
      <w:r w:rsidR="00C927B4">
        <w:rPr>
          <w:rFonts w:cs="Arial"/>
          <w:szCs w:val="22"/>
        </w:rPr>
        <w:t>s</w:t>
      </w:r>
      <w:r w:rsidRPr="00854FC2">
        <w:rPr>
          <w:rFonts w:cs="Arial"/>
          <w:szCs w:val="22"/>
        </w:rPr>
        <w:t xml:space="preserve">ection 6(b), EPA </w:t>
      </w:r>
      <w:r w:rsidRPr="00C56296">
        <w:rPr>
          <w:rFonts w:cs="Arial"/>
          <w:szCs w:val="22"/>
        </w:rPr>
        <w:t>assumed that 0.15 percent</w:t>
      </w:r>
      <w:r w:rsidRPr="00854FC2">
        <w:rPr>
          <w:rFonts w:cs="Arial"/>
          <w:szCs w:val="22"/>
        </w:rPr>
        <w:t xml:space="preserve"> of regulated facilities would submit information to EPA for review. </w:t>
      </w:r>
      <w:r w:rsidR="005F1D8C">
        <w:rPr>
          <w:rFonts w:cs="Arial"/>
          <w:szCs w:val="22"/>
        </w:rPr>
        <w:t xml:space="preserve">The costs to EPA are not included in the </w:t>
      </w:r>
      <w:r w:rsidR="00F544A1">
        <w:rPr>
          <w:rFonts w:cs="Arial"/>
          <w:szCs w:val="22"/>
        </w:rPr>
        <w:t xml:space="preserve">calculation of total </w:t>
      </w:r>
      <w:r w:rsidR="005F1D8C">
        <w:rPr>
          <w:rFonts w:cs="Arial"/>
          <w:szCs w:val="22"/>
        </w:rPr>
        <w:t xml:space="preserve">cost and burden </w:t>
      </w:r>
      <w:r w:rsidR="0006508F">
        <w:rPr>
          <w:rFonts w:cs="Arial"/>
          <w:szCs w:val="22"/>
        </w:rPr>
        <w:t xml:space="preserve">hours </w:t>
      </w:r>
      <w:r w:rsidR="005F1D8C">
        <w:rPr>
          <w:rFonts w:cs="Arial"/>
          <w:szCs w:val="22"/>
        </w:rPr>
        <w:t xml:space="preserve">for regulated entities because EPA is not </w:t>
      </w:r>
      <w:r w:rsidR="002E1D16">
        <w:rPr>
          <w:rFonts w:cs="Arial"/>
          <w:szCs w:val="22"/>
        </w:rPr>
        <w:t xml:space="preserve">considered </w:t>
      </w:r>
      <w:r w:rsidR="005F1D8C">
        <w:rPr>
          <w:rFonts w:cs="Arial"/>
          <w:szCs w:val="22"/>
        </w:rPr>
        <w:t xml:space="preserve">a “person” as the term </w:t>
      </w:r>
      <w:r w:rsidR="00973A07">
        <w:rPr>
          <w:rFonts w:cs="Arial"/>
          <w:szCs w:val="22"/>
        </w:rPr>
        <w:t xml:space="preserve">applies </w:t>
      </w:r>
      <w:r w:rsidR="005F1D8C">
        <w:rPr>
          <w:rFonts w:cs="Arial"/>
          <w:szCs w:val="22"/>
        </w:rPr>
        <w:t>to regulated entities.</w:t>
      </w:r>
    </w:p>
    <w:p w:rsidRPr="00854FC2" w:rsidR="00D85665" w:rsidRDefault="00D85665" w14:paraId="087441AF" w14:textId="77777777">
      <w:pPr>
        <w:rPr>
          <w:rFonts w:cs="Arial"/>
          <w:szCs w:val="22"/>
        </w:rPr>
      </w:pPr>
    </w:p>
    <w:p w:rsidRPr="00854FC2" w:rsidR="00D85665" w:rsidP="00C02B77" w:rsidRDefault="00D85665" w14:paraId="6F088F5E" w14:textId="0E5FEDCB">
      <w:pPr>
        <w:numPr>
          <w:ilvl w:val="12"/>
          <w:numId w:val="0"/>
        </w:numPr>
        <w:ind w:firstLine="720"/>
        <w:rPr>
          <w:rFonts w:cs="Arial"/>
          <w:szCs w:val="22"/>
        </w:rPr>
      </w:pPr>
      <w:r w:rsidRPr="00854FC2">
        <w:rPr>
          <w:rFonts w:cs="Arial"/>
          <w:szCs w:val="22"/>
        </w:rPr>
        <w:t xml:space="preserve">EPA labor costs are based on the </w:t>
      </w:r>
      <w:r w:rsidR="00F541E7">
        <w:rPr>
          <w:rFonts w:cs="Arial"/>
          <w:szCs w:val="22"/>
        </w:rPr>
        <w:t>January 201</w:t>
      </w:r>
      <w:r w:rsidR="00315BD5">
        <w:rPr>
          <w:rFonts w:cs="Arial"/>
          <w:szCs w:val="22"/>
        </w:rPr>
        <w:t>8</w:t>
      </w:r>
      <w:r w:rsidRPr="00854FC2" w:rsidR="006C3317">
        <w:rPr>
          <w:rFonts w:cs="Arial"/>
          <w:szCs w:val="22"/>
        </w:rPr>
        <w:t xml:space="preserve"> </w:t>
      </w:r>
      <w:r w:rsidRPr="00854FC2">
        <w:rPr>
          <w:rFonts w:cs="Arial"/>
          <w:szCs w:val="22"/>
        </w:rPr>
        <w:t>General Schedule (GS) pay schedule</w:t>
      </w:r>
      <w:r w:rsidR="003F6507">
        <w:rPr>
          <w:rFonts w:cs="Arial"/>
          <w:szCs w:val="22"/>
        </w:rPr>
        <w:t xml:space="preserve">. </w:t>
      </w:r>
      <w:r w:rsidRPr="00854FC2">
        <w:rPr>
          <w:rFonts w:cs="Arial"/>
          <w:szCs w:val="22"/>
        </w:rPr>
        <w:t xml:space="preserve">EPA estimates an average hourly labor cost of </w:t>
      </w:r>
      <w:r w:rsidR="00ED5628">
        <w:rPr>
          <w:rFonts w:cs="Arial"/>
          <w:szCs w:val="22"/>
        </w:rPr>
        <w:t>$</w:t>
      </w:r>
      <w:r w:rsidR="00AA5297">
        <w:rPr>
          <w:rFonts w:cs="Arial"/>
          <w:szCs w:val="22"/>
        </w:rPr>
        <w:t>41.67</w:t>
      </w:r>
      <w:r w:rsidR="00ED5628">
        <w:rPr>
          <w:rFonts w:cs="Arial"/>
          <w:szCs w:val="22"/>
        </w:rPr>
        <w:t xml:space="preserve"> </w:t>
      </w:r>
      <w:r w:rsidRPr="00854FC2">
        <w:rPr>
          <w:rFonts w:cs="Arial"/>
          <w:szCs w:val="22"/>
        </w:rPr>
        <w:t xml:space="preserve">for managerial staff (GS-13), and </w:t>
      </w:r>
      <w:r w:rsidR="00ED5628">
        <w:rPr>
          <w:rFonts w:cs="Arial"/>
          <w:szCs w:val="22"/>
        </w:rPr>
        <w:t>$</w:t>
      </w:r>
      <w:r w:rsidR="00240604">
        <w:rPr>
          <w:rFonts w:cs="Arial"/>
          <w:szCs w:val="22"/>
        </w:rPr>
        <w:t>29.24</w:t>
      </w:r>
      <w:r w:rsidR="00ED5628">
        <w:rPr>
          <w:rFonts w:cs="Arial"/>
          <w:szCs w:val="22"/>
        </w:rPr>
        <w:t xml:space="preserve"> </w:t>
      </w:r>
      <w:r w:rsidRPr="00854FC2">
        <w:rPr>
          <w:rFonts w:cs="Arial"/>
          <w:szCs w:val="22"/>
        </w:rPr>
        <w:t>for technical staff (GS-11). EPA then multiplied hourly rates by the standard government overhead factor of 1.6</w:t>
      </w:r>
      <w:r w:rsidR="009308FA">
        <w:rPr>
          <w:rFonts w:cs="Arial"/>
          <w:szCs w:val="22"/>
        </w:rPr>
        <w:t>, which resulted in</w:t>
      </w:r>
      <w:r w:rsidR="00FD7509">
        <w:rPr>
          <w:rFonts w:cs="Arial"/>
          <w:szCs w:val="22"/>
        </w:rPr>
        <w:t xml:space="preserve"> adjusted rates of $</w:t>
      </w:r>
      <w:r w:rsidR="00240604">
        <w:rPr>
          <w:rFonts w:cs="Arial"/>
          <w:szCs w:val="22"/>
        </w:rPr>
        <w:t>66.68</w:t>
      </w:r>
      <w:r w:rsidR="00FD7509">
        <w:rPr>
          <w:rFonts w:cs="Arial"/>
          <w:szCs w:val="22"/>
        </w:rPr>
        <w:t xml:space="preserve"> and $</w:t>
      </w:r>
      <w:r w:rsidR="00240604">
        <w:rPr>
          <w:rFonts w:cs="Arial"/>
          <w:szCs w:val="22"/>
        </w:rPr>
        <w:t>46.78</w:t>
      </w:r>
      <w:r w:rsidR="00FD7509">
        <w:rPr>
          <w:rFonts w:cs="Arial"/>
          <w:szCs w:val="22"/>
        </w:rPr>
        <w:t>, respectively</w:t>
      </w:r>
      <w:r w:rsidR="003F6507">
        <w:rPr>
          <w:rFonts w:cs="Arial"/>
          <w:szCs w:val="22"/>
        </w:rPr>
        <w:t xml:space="preserve">. </w:t>
      </w:r>
      <w:r w:rsidRPr="00854FC2">
        <w:rPr>
          <w:rFonts w:cs="Arial"/>
          <w:szCs w:val="22"/>
        </w:rPr>
        <w:t xml:space="preserve">Unit costs were calculated as unit </w:t>
      </w:r>
      <w:r w:rsidR="00C239C2">
        <w:rPr>
          <w:rFonts w:cs="Arial"/>
          <w:szCs w:val="22"/>
        </w:rPr>
        <w:t xml:space="preserve">burden </w:t>
      </w:r>
      <w:r w:rsidRPr="00854FC2">
        <w:rPr>
          <w:rFonts w:cs="Arial"/>
          <w:szCs w:val="22"/>
        </w:rPr>
        <w:t xml:space="preserve">estimates multiplied by the hourly </w:t>
      </w:r>
      <w:r w:rsidRPr="005E1ECF">
        <w:rPr>
          <w:rFonts w:cs="Arial"/>
          <w:szCs w:val="22"/>
        </w:rPr>
        <w:t>labor rates for EPA</w:t>
      </w:r>
      <w:r w:rsidRPr="00854FC2">
        <w:rPr>
          <w:rFonts w:cs="Arial"/>
          <w:szCs w:val="22"/>
        </w:rPr>
        <w:t xml:space="preserve"> personnel</w:t>
      </w:r>
      <w:r w:rsidR="003F6507">
        <w:rPr>
          <w:rFonts w:cs="Arial"/>
          <w:szCs w:val="22"/>
        </w:rPr>
        <w:t xml:space="preserve">. </w:t>
      </w:r>
    </w:p>
    <w:p w:rsidRPr="00854FC2" w:rsidR="00D85665" w:rsidRDefault="00D85665" w14:paraId="3670FD37" w14:textId="77777777">
      <w:pPr>
        <w:numPr>
          <w:ilvl w:val="12"/>
          <w:numId w:val="0"/>
        </w:numPr>
        <w:rPr>
          <w:rFonts w:ascii="Tms Rmn" w:hAnsi="Tms Rmn"/>
          <w:szCs w:val="22"/>
        </w:rPr>
      </w:pPr>
    </w:p>
    <w:p w:rsidRPr="00854FC2" w:rsidR="00D85665" w:rsidP="001F4489" w:rsidRDefault="00D85665" w14:paraId="27AEE865" w14:textId="7F6F99CB">
      <w:pPr>
        <w:pStyle w:val="Caption"/>
      </w:pPr>
      <w:bookmarkStart w:name="_Ref141690222" w:id="12"/>
      <w:r w:rsidRPr="00FC333E">
        <w:t xml:space="preserve">Exhibit </w:t>
      </w:r>
      <w:bookmarkEnd w:id="12"/>
      <w:r w:rsidR="00F94C12">
        <w:rPr>
          <w:noProof/>
        </w:rPr>
        <w:t>3</w:t>
      </w:r>
    </w:p>
    <w:tbl>
      <w:tblPr>
        <w:tblW w:w="9847" w:type="dxa"/>
        <w:jc w:val="center"/>
        <w:tblLayout w:type="fixed"/>
        <w:tblLook w:val="0000" w:firstRow="0" w:lastRow="0" w:firstColumn="0" w:lastColumn="0" w:noHBand="0" w:noVBand="0"/>
      </w:tblPr>
      <w:tblGrid>
        <w:gridCol w:w="1864"/>
        <w:gridCol w:w="1548"/>
        <w:gridCol w:w="1549"/>
        <w:gridCol w:w="1549"/>
        <w:gridCol w:w="1500"/>
        <w:gridCol w:w="1837"/>
      </w:tblGrid>
      <w:tr w:rsidRPr="00854FC2" w:rsidR="00D85665" w:rsidTr="00FC333E" w14:paraId="7ADA6366" w14:textId="77777777">
        <w:trPr>
          <w:trHeight w:val="299"/>
          <w:jc w:val="center"/>
        </w:trPr>
        <w:tc>
          <w:tcPr>
            <w:tcW w:w="9847" w:type="dxa"/>
            <w:gridSpan w:val="6"/>
            <w:tcBorders>
              <w:top w:val="nil"/>
              <w:left w:val="nil"/>
              <w:bottom w:val="double" w:color="000000" w:sz="6" w:space="0"/>
              <w:right w:val="nil"/>
            </w:tcBorders>
            <w:noWrap/>
            <w:vAlign w:val="bottom"/>
          </w:tcPr>
          <w:p w:rsidRPr="00854FC2" w:rsidR="00D85665" w:rsidRDefault="00D85665" w14:paraId="7C16341E" w14:textId="77777777">
            <w:pPr>
              <w:jc w:val="center"/>
              <w:rPr>
                <w:rFonts w:cs="Arial"/>
                <w:b/>
                <w:bCs/>
                <w:szCs w:val="22"/>
              </w:rPr>
            </w:pPr>
            <w:r w:rsidRPr="00854FC2">
              <w:rPr>
                <w:rFonts w:cs="Arial"/>
                <w:b/>
                <w:bCs/>
                <w:szCs w:val="22"/>
              </w:rPr>
              <w:t>Estimated Annual Burden and Cost to EPA</w:t>
            </w:r>
            <w:r w:rsidR="00E07395">
              <w:rPr>
                <w:rFonts w:cs="Arial"/>
                <w:b/>
                <w:bCs/>
                <w:szCs w:val="22"/>
              </w:rPr>
              <w:t xml:space="preserve"> </w:t>
            </w:r>
          </w:p>
        </w:tc>
      </w:tr>
      <w:tr w:rsidRPr="00854FC2" w:rsidR="004526F7" w:rsidTr="000622C8" w14:paraId="36D4C47F" w14:textId="77777777">
        <w:trPr>
          <w:cantSplit/>
          <w:trHeight w:val="286"/>
          <w:jc w:val="center"/>
        </w:trPr>
        <w:tc>
          <w:tcPr>
            <w:tcW w:w="1864" w:type="dxa"/>
            <w:vMerge w:val="restart"/>
            <w:tcBorders>
              <w:top w:val="nil"/>
              <w:left w:val="double" w:color="000000" w:sz="6" w:space="0"/>
              <w:bottom w:val="double" w:color="000000" w:sz="6" w:space="0"/>
              <w:right w:val="single" w:color="000000" w:sz="4" w:space="0"/>
            </w:tcBorders>
            <w:tcMar>
              <w:top w:w="29" w:type="dxa"/>
              <w:left w:w="115" w:type="dxa"/>
              <w:bottom w:w="29" w:type="dxa"/>
              <w:right w:w="115" w:type="dxa"/>
            </w:tcMar>
            <w:vAlign w:val="center"/>
          </w:tcPr>
          <w:p w:rsidRPr="00854FC2" w:rsidR="00D85665" w:rsidRDefault="00D85665" w14:paraId="27242DAD" w14:textId="77777777">
            <w:pPr>
              <w:jc w:val="center"/>
              <w:rPr>
                <w:rFonts w:cs="Arial"/>
                <w:b/>
                <w:bCs/>
                <w:sz w:val="20"/>
                <w:szCs w:val="20"/>
              </w:rPr>
            </w:pPr>
            <w:r w:rsidRPr="00854FC2">
              <w:rPr>
                <w:rFonts w:cs="Arial"/>
                <w:b/>
                <w:bCs/>
                <w:sz w:val="20"/>
                <w:szCs w:val="20"/>
              </w:rPr>
              <w:t>Activity</w:t>
            </w:r>
          </w:p>
        </w:tc>
        <w:tc>
          <w:tcPr>
            <w:tcW w:w="6146" w:type="dxa"/>
            <w:gridSpan w:val="4"/>
            <w:tcBorders>
              <w:top w:val="double" w:color="000000" w:sz="6" w:space="0"/>
              <w:left w:val="nil"/>
              <w:bottom w:val="single" w:color="auto" w:sz="4" w:space="0"/>
              <w:right w:val="single" w:color="000000" w:sz="4" w:space="0"/>
            </w:tcBorders>
            <w:tcMar>
              <w:top w:w="29" w:type="dxa"/>
              <w:left w:w="115" w:type="dxa"/>
              <w:bottom w:w="29" w:type="dxa"/>
              <w:right w:w="115" w:type="dxa"/>
            </w:tcMar>
            <w:vAlign w:val="center"/>
          </w:tcPr>
          <w:p w:rsidRPr="00854FC2" w:rsidR="00D85665" w:rsidRDefault="00D85665" w14:paraId="31F915CC" w14:textId="77777777">
            <w:pPr>
              <w:jc w:val="center"/>
              <w:rPr>
                <w:rFonts w:cs="Arial"/>
                <w:b/>
                <w:bCs/>
                <w:sz w:val="20"/>
                <w:szCs w:val="20"/>
              </w:rPr>
            </w:pPr>
            <w:r w:rsidRPr="00854FC2">
              <w:rPr>
                <w:rFonts w:cs="Arial"/>
                <w:b/>
                <w:bCs/>
                <w:sz w:val="20"/>
                <w:szCs w:val="20"/>
              </w:rPr>
              <w:t>Burden Hours</w:t>
            </w:r>
          </w:p>
        </w:tc>
        <w:tc>
          <w:tcPr>
            <w:tcW w:w="1837" w:type="dxa"/>
            <w:vMerge w:val="restart"/>
            <w:tcBorders>
              <w:top w:val="nil"/>
              <w:left w:val="single" w:color="000000" w:sz="4" w:space="0"/>
              <w:bottom w:val="double" w:color="000000" w:sz="6" w:space="0"/>
              <w:right w:val="double" w:color="000000" w:sz="6" w:space="0"/>
            </w:tcBorders>
            <w:tcMar>
              <w:top w:w="29" w:type="dxa"/>
              <w:left w:w="115" w:type="dxa"/>
              <w:bottom w:w="29" w:type="dxa"/>
              <w:right w:w="115" w:type="dxa"/>
            </w:tcMar>
            <w:vAlign w:val="center"/>
          </w:tcPr>
          <w:p w:rsidRPr="00854FC2" w:rsidR="00D85665" w:rsidP="00AB64C4" w:rsidRDefault="00D85665" w14:paraId="3BC605AE" w14:textId="022A1AAA">
            <w:pPr>
              <w:jc w:val="center"/>
              <w:rPr>
                <w:rFonts w:cs="Arial"/>
                <w:b/>
                <w:bCs/>
                <w:sz w:val="20"/>
                <w:szCs w:val="20"/>
              </w:rPr>
            </w:pPr>
            <w:r w:rsidRPr="00854FC2">
              <w:rPr>
                <w:rFonts w:cs="Arial"/>
                <w:b/>
                <w:bCs/>
                <w:sz w:val="20"/>
                <w:szCs w:val="20"/>
              </w:rPr>
              <w:t>Total Cost</w:t>
            </w:r>
            <w:r w:rsidR="00C276CF">
              <w:rPr>
                <w:rFonts w:cs="Arial"/>
                <w:b/>
                <w:bCs/>
                <w:sz w:val="20"/>
                <w:szCs w:val="20"/>
              </w:rPr>
              <w:t>s</w:t>
            </w:r>
            <w:r w:rsidR="00C21285">
              <w:rPr>
                <w:rFonts w:cs="Arial"/>
                <w:b/>
                <w:bCs/>
                <w:sz w:val="20"/>
                <w:szCs w:val="20"/>
              </w:rPr>
              <w:t xml:space="preserve"> </w:t>
            </w:r>
            <w:r w:rsidRPr="008E6D49" w:rsidR="00C21285">
              <w:rPr>
                <w:rFonts w:cs="Arial"/>
                <w:b/>
                <w:bCs/>
                <w:sz w:val="20"/>
                <w:szCs w:val="20"/>
              </w:rPr>
              <w:t>(</w:t>
            </w:r>
            <w:r w:rsidRPr="008E6D49" w:rsidR="000622C8">
              <w:rPr>
                <w:rFonts w:cs="Arial"/>
                <w:b/>
                <w:bCs/>
                <w:sz w:val="20"/>
                <w:szCs w:val="20"/>
              </w:rPr>
              <w:t>2018</w:t>
            </w:r>
            <w:r w:rsidR="008A679E">
              <w:rPr>
                <w:rFonts w:cs="Arial"/>
                <w:b/>
                <w:bCs/>
                <w:sz w:val="20"/>
                <w:szCs w:val="20"/>
              </w:rPr>
              <w:t>$</w:t>
            </w:r>
            <w:r w:rsidRPr="008E6D49" w:rsidR="00C21285">
              <w:rPr>
                <w:rFonts w:cs="Arial"/>
                <w:b/>
                <w:bCs/>
                <w:sz w:val="20"/>
                <w:szCs w:val="20"/>
              </w:rPr>
              <w:t>)</w:t>
            </w:r>
          </w:p>
        </w:tc>
      </w:tr>
      <w:tr w:rsidRPr="00854FC2" w:rsidR="004526F7" w:rsidTr="00061338" w14:paraId="411448C0" w14:textId="77777777">
        <w:trPr>
          <w:cantSplit/>
          <w:trHeight w:val="225"/>
          <w:jc w:val="center"/>
        </w:trPr>
        <w:tc>
          <w:tcPr>
            <w:tcW w:w="1864" w:type="dxa"/>
            <w:vMerge/>
            <w:tcBorders>
              <w:top w:val="nil"/>
              <w:left w:val="double" w:color="000000" w:sz="6" w:space="0"/>
              <w:bottom w:val="double" w:color="000000" w:sz="6" w:space="0"/>
              <w:right w:val="single" w:color="000000" w:sz="4" w:space="0"/>
            </w:tcBorders>
            <w:tcMar>
              <w:top w:w="29" w:type="dxa"/>
              <w:left w:w="115" w:type="dxa"/>
              <w:bottom w:w="29" w:type="dxa"/>
              <w:right w:w="115" w:type="dxa"/>
            </w:tcMar>
            <w:vAlign w:val="center"/>
          </w:tcPr>
          <w:p w:rsidRPr="00854FC2" w:rsidR="00D85665" w:rsidRDefault="00D85665" w14:paraId="1B82FF46" w14:textId="77777777">
            <w:pPr>
              <w:rPr>
                <w:rFonts w:cs="Arial"/>
                <w:b/>
                <w:bCs/>
                <w:sz w:val="20"/>
                <w:szCs w:val="20"/>
              </w:rPr>
            </w:pPr>
          </w:p>
        </w:tc>
        <w:tc>
          <w:tcPr>
            <w:tcW w:w="1548" w:type="dxa"/>
            <w:tcBorders>
              <w:top w:val="nil"/>
              <w:left w:val="nil"/>
              <w:bottom w:val="double" w:color="000000" w:sz="4" w:space="0"/>
              <w:right w:val="nil"/>
            </w:tcBorders>
            <w:tcMar>
              <w:top w:w="29" w:type="dxa"/>
              <w:left w:w="115" w:type="dxa"/>
              <w:bottom w:w="29" w:type="dxa"/>
              <w:right w:w="115" w:type="dxa"/>
            </w:tcMar>
            <w:vAlign w:val="center"/>
          </w:tcPr>
          <w:p w:rsidRPr="00854FC2" w:rsidR="00D85665" w:rsidP="009B773A" w:rsidRDefault="00D85665" w14:paraId="0B87F0AE" w14:textId="2D8B690D">
            <w:pPr>
              <w:spacing w:line="240" w:lineRule="auto"/>
              <w:rPr>
                <w:rFonts w:cs="Arial"/>
                <w:b/>
                <w:bCs/>
                <w:sz w:val="20"/>
                <w:szCs w:val="20"/>
              </w:rPr>
            </w:pPr>
            <w:r w:rsidRPr="00854FC2">
              <w:rPr>
                <w:rFonts w:cs="Arial"/>
                <w:b/>
                <w:bCs/>
                <w:sz w:val="20"/>
                <w:szCs w:val="20"/>
              </w:rPr>
              <w:t>Manage</w:t>
            </w:r>
            <w:r w:rsidR="009B773A">
              <w:rPr>
                <w:rFonts w:cs="Arial"/>
                <w:b/>
                <w:bCs/>
                <w:sz w:val="20"/>
                <w:szCs w:val="20"/>
              </w:rPr>
              <w:t>ment</w:t>
            </w:r>
          </w:p>
        </w:tc>
        <w:tc>
          <w:tcPr>
            <w:tcW w:w="1549" w:type="dxa"/>
            <w:tcBorders>
              <w:top w:val="nil"/>
              <w:left w:val="single" w:color="000000" w:sz="4" w:space="0"/>
              <w:bottom w:val="double" w:color="000000" w:sz="4" w:space="0"/>
              <w:right w:val="nil"/>
            </w:tcBorders>
            <w:tcMar>
              <w:top w:w="29" w:type="dxa"/>
              <w:left w:w="115" w:type="dxa"/>
              <w:bottom w:w="29" w:type="dxa"/>
              <w:right w:w="115" w:type="dxa"/>
            </w:tcMar>
            <w:vAlign w:val="center"/>
          </w:tcPr>
          <w:p w:rsidRPr="00854FC2" w:rsidR="00D85665" w:rsidP="009B773A" w:rsidRDefault="00D85665" w14:paraId="79290B4A" w14:textId="77777777">
            <w:pPr>
              <w:spacing w:line="240" w:lineRule="auto"/>
              <w:jc w:val="center"/>
              <w:rPr>
                <w:rFonts w:cs="Arial"/>
                <w:b/>
                <w:bCs/>
                <w:sz w:val="20"/>
                <w:szCs w:val="20"/>
              </w:rPr>
            </w:pPr>
            <w:r w:rsidRPr="00854FC2">
              <w:rPr>
                <w:rFonts w:cs="Arial"/>
                <w:b/>
                <w:bCs/>
                <w:sz w:val="20"/>
                <w:szCs w:val="20"/>
              </w:rPr>
              <w:t>Technical</w:t>
            </w:r>
          </w:p>
        </w:tc>
        <w:tc>
          <w:tcPr>
            <w:tcW w:w="1549" w:type="dxa"/>
            <w:tcBorders>
              <w:top w:val="nil"/>
              <w:left w:val="single" w:color="000000" w:sz="4" w:space="0"/>
              <w:bottom w:val="double" w:color="000000" w:sz="4" w:space="0"/>
              <w:right w:val="single" w:color="000000" w:sz="4" w:space="0"/>
            </w:tcBorders>
            <w:tcMar>
              <w:top w:w="29" w:type="dxa"/>
              <w:left w:w="115" w:type="dxa"/>
              <w:bottom w:w="29" w:type="dxa"/>
              <w:right w:w="115" w:type="dxa"/>
            </w:tcMar>
            <w:vAlign w:val="center"/>
          </w:tcPr>
          <w:p w:rsidRPr="00854FC2" w:rsidR="00D85665" w:rsidP="009B773A" w:rsidRDefault="00D85665" w14:paraId="36A30C0C" w14:textId="77777777">
            <w:pPr>
              <w:jc w:val="center"/>
              <w:rPr>
                <w:rFonts w:cs="Arial"/>
                <w:b/>
                <w:bCs/>
                <w:sz w:val="20"/>
                <w:szCs w:val="20"/>
              </w:rPr>
            </w:pPr>
            <w:r w:rsidRPr="00854FC2">
              <w:rPr>
                <w:rFonts w:cs="Arial"/>
                <w:b/>
                <w:bCs/>
                <w:sz w:val="20"/>
                <w:szCs w:val="20"/>
              </w:rPr>
              <w:t>Clerical</w:t>
            </w:r>
          </w:p>
        </w:tc>
        <w:tc>
          <w:tcPr>
            <w:tcW w:w="1500" w:type="dxa"/>
            <w:tcBorders>
              <w:top w:val="nil"/>
              <w:left w:val="single" w:color="000000" w:sz="4" w:space="0"/>
              <w:bottom w:val="double" w:color="000000" w:sz="6" w:space="0"/>
              <w:right w:val="single" w:color="000000" w:sz="4" w:space="0"/>
            </w:tcBorders>
            <w:tcMar>
              <w:top w:w="29" w:type="dxa"/>
              <w:left w:w="115" w:type="dxa"/>
              <w:bottom w:w="29" w:type="dxa"/>
              <w:right w:w="115" w:type="dxa"/>
            </w:tcMar>
            <w:vAlign w:val="center"/>
          </w:tcPr>
          <w:p w:rsidRPr="00854FC2" w:rsidR="00D85665" w:rsidP="009B773A" w:rsidRDefault="00D85665" w14:paraId="2811ED12" w14:textId="77777777">
            <w:pPr>
              <w:jc w:val="center"/>
              <w:rPr>
                <w:rFonts w:cs="Arial"/>
                <w:b/>
                <w:bCs/>
                <w:sz w:val="20"/>
                <w:szCs w:val="20"/>
              </w:rPr>
            </w:pPr>
            <w:r w:rsidRPr="00854FC2">
              <w:rPr>
                <w:rFonts w:cs="Arial"/>
                <w:b/>
                <w:bCs/>
                <w:sz w:val="20"/>
                <w:szCs w:val="20"/>
              </w:rPr>
              <w:t>Total</w:t>
            </w:r>
          </w:p>
        </w:tc>
        <w:tc>
          <w:tcPr>
            <w:tcW w:w="1837" w:type="dxa"/>
            <w:vMerge/>
            <w:tcBorders>
              <w:top w:val="nil"/>
              <w:left w:val="single" w:color="000000" w:sz="4" w:space="0"/>
              <w:bottom w:val="double" w:color="000000" w:sz="6" w:space="0"/>
              <w:right w:val="double" w:color="000000" w:sz="6" w:space="0"/>
            </w:tcBorders>
            <w:tcMar>
              <w:top w:w="29" w:type="dxa"/>
              <w:left w:w="115" w:type="dxa"/>
              <w:bottom w:w="29" w:type="dxa"/>
              <w:right w:w="115" w:type="dxa"/>
            </w:tcMar>
            <w:vAlign w:val="center"/>
          </w:tcPr>
          <w:p w:rsidRPr="00854FC2" w:rsidR="00D85665" w:rsidRDefault="00D85665" w14:paraId="52C094AB" w14:textId="77777777">
            <w:pPr>
              <w:rPr>
                <w:rFonts w:cs="Arial"/>
                <w:b/>
                <w:bCs/>
                <w:sz w:val="20"/>
                <w:szCs w:val="20"/>
              </w:rPr>
            </w:pPr>
          </w:p>
        </w:tc>
      </w:tr>
      <w:tr w:rsidRPr="00854FC2" w:rsidR="00850E6B" w:rsidTr="008E6D49" w14:paraId="2699147D" w14:textId="77777777">
        <w:trPr>
          <w:trHeight w:val="272"/>
          <w:jc w:val="center"/>
        </w:trPr>
        <w:tc>
          <w:tcPr>
            <w:tcW w:w="1864" w:type="dxa"/>
            <w:tcBorders>
              <w:top w:val="nil"/>
              <w:left w:val="double" w:color="000000" w:sz="6" w:space="0"/>
              <w:bottom w:val="nil"/>
              <w:right w:val="single" w:color="000000" w:sz="4" w:space="0"/>
            </w:tcBorders>
            <w:tcMar>
              <w:top w:w="29" w:type="dxa"/>
              <w:left w:w="115" w:type="dxa"/>
              <w:bottom w:w="29" w:type="dxa"/>
              <w:right w:w="115" w:type="dxa"/>
            </w:tcMar>
            <w:vAlign w:val="bottom"/>
          </w:tcPr>
          <w:p w:rsidRPr="00854FC2" w:rsidR="00850E6B" w:rsidP="00850E6B" w:rsidRDefault="00850E6B" w14:paraId="556162F4" w14:textId="46C939E3">
            <w:pPr>
              <w:rPr>
                <w:rFonts w:cs="Arial"/>
                <w:sz w:val="20"/>
                <w:szCs w:val="20"/>
              </w:rPr>
            </w:pPr>
            <w:r w:rsidRPr="00854FC2">
              <w:rPr>
                <w:rFonts w:cs="Arial"/>
                <w:sz w:val="20"/>
                <w:szCs w:val="20"/>
              </w:rPr>
              <w:t>Plan Evaluation</w:t>
            </w:r>
            <w:r>
              <w:rPr>
                <w:rFonts w:cs="Arial"/>
                <w:sz w:val="20"/>
                <w:szCs w:val="20"/>
              </w:rPr>
              <w:t>s*</w:t>
            </w:r>
          </w:p>
        </w:tc>
        <w:tc>
          <w:tcPr>
            <w:tcW w:w="1548" w:type="dxa"/>
            <w:tcBorders>
              <w:top w:val="double" w:color="000000" w:sz="4" w:space="0"/>
              <w:left w:val="single" w:color="000000" w:sz="4" w:space="0"/>
              <w:bottom w:val="sing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141E0A67" w14:textId="683DF3A6">
            <w:pPr>
              <w:jc w:val="right"/>
              <w:rPr>
                <w:rFonts w:cs="Arial"/>
                <w:sz w:val="20"/>
                <w:szCs w:val="20"/>
              </w:rPr>
            </w:pPr>
            <w:r w:rsidRPr="005C69D7">
              <w:rPr>
                <w:rFonts w:cs="Arial"/>
                <w:sz w:val="20"/>
                <w:szCs w:val="20"/>
              </w:rPr>
              <w:t>825</w:t>
            </w:r>
          </w:p>
        </w:tc>
        <w:tc>
          <w:tcPr>
            <w:tcW w:w="1549" w:type="dxa"/>
            <w:tcBorders>
              <w:top w:val="nil"/>
              <w:left w:val="nil"/>
              <w:bottom w:val="sing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5F81CA23" w14:textId="793BD740">
            <w:pPr>
              <w:jc w:val="right"/>
              <w:rPr>
                <w:rFonts w:cs="Arial"/>
                <w:sz w:val="20"/>
                <w:szCs w:val="20"/>
              </w:rPr>
            </w:pPr>
            <w:r w:rsidRPr="005C69D7">
              <w:rPr>
                <w:rFonts w:cs="Arial"/>
                <w:sz w:val="20"/>
                <w:szCs w:val="20"/>
              </w:rPr>
              <w:t>8,254</w:t>
            </w:r>
          </w:p>
        </w:tc>
        <w:tc>
          <w:tcPr>
            <w:tcW w:w="1549" w:type="dxa"/>
            <w:tcBorders>
              <w:top w:val="nil"/>
              <w:left w:val="nil"/>
              <w:bottom w:val="sing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11348DD0" w14:textId="104C224E">
            <w:pPr>
              <w:jc w:val="right"/>
              <w:rPr>
                <w:rFonts w:cs="Arial"/>
                <w:sz w:val="20"/>
                <w:szCs w:val="20"/>
              </w:rPr>
            </w:pPr>
            <w:r w:rsidRPr="005C69D7">
              <w:rPr>
                <w:rFonts w:cs="Arial"/>
                <w:sz w:val="20"/>
                <w:szCs w:val="20"/>
              </w:rPr>
              <w:t>0</w:t>
            </w:r>
          </w:p>
        </w:tc>
        <w:tc>
          <w:tcPr>
            <w:tcW w:w="1500" w:type="dxa"/>
            <w:tcBorders>
              <w:top w:val="nil"/>
              <w:left w:val="nil"/>
              <w:bottom w:val="single" w:color="auto" w:sz="4" w:space="0"/>
              <w:right w:val="nil"/>
            </w:tcBorders>
            <w:shd w:val="clear" w:color="000000" w:fill="FFFFFF"/>
            <w:tcMar>
              <w:top w:w="29" w:type="dxa"/>
              <w:left w:w="115" w:type="dxa"/>
              <w:bottom w:w="29" w:type="dxa"/>
              <w:right w:w="115" w:type="dxa"/>
            </w:tcMar>
          </w:tcPr>
          <w:p w:rsidRPr="005C69D7" w:rsidR="00850E6B" w:rsidP="00061338" w:rsidRDefault="00850E6B" w14:paraId="28312A06" w14:textId="73B122AB">
            <w:pPr>
              <w:jc w:val="right"/>
              <w:rPr>
                <w:rFonts w:cs="Arial"/>
                <w:sz w:val="20"/>
                <w:szCs w:val="20"/>
              </w:rPr>
            </w:pPr>
            <w:r w:rsidRPr="005C69D7">
              <w:rPr>
                <w:rFonts w:cs="Arial"/>
                <w:sz w:val="20"/>
                <w:szCs w:val="20"/>
              </w:rPr>
              <w:t>9,080</w:t>
            </w:r>
          </w:p>
        </w:tc>
        <w:tc>
          <w:tcPr>
            <w:tcW w:w="1837" w:type="dxa"/>
            <w:tcBorders>
              <w:top w:val="double" w:color="000000" w:sz="6" w:space="0"/>
              <w:left w:val="single" w:color="auto" w:sz="8" w:space="0"/>
              <w:bottom w:val="single" w:color="auto" w:sz="4" w:space="0"/>
              <w:right w:val="double" w:color="auto" w:sz="4" w:space="0"/>
            </w:tcBorders>
            <w:shd w:val="clear" w:color="000000" w:fill="FFFFFF"/>
            <w:tcMar>
              <w:top w:w="29" w:type="dxa"/>
              <w:left w:w="115" w:type="dxa"/>
              <w:bottom w:w="29" w:type="dxa"/>
              <w:right w:w="115" w:type="dxa"/>
            </w:tcMar>
          </w:tcPr>
          <w:p w:rsidRPr="005C69D7" w:rsidR="00850E6B" w:rsidP="00061338" w:rsidRDefault="00E05D48" w14:paraId="0125EA45" w14:textId="726DAFB9">
            <w:pPr>
              <w:jc w:val="right"/>
              <w:rPr>
                <w:rFonts w:cs="Arial"/>
                <w:sz w:val="20"/>
                <w:szCs w:val="20"/>
              </w:rPr>
            </w:pPr>
            <w:r w:rsidRPr="005C69D7">
              <w:rPr>
                <w:rFonts w:cs="Arial"/>
                <w:sz w:val="20"/>
                <w:szCs w:val="20"/>
              </w:rPr>
              <w:t>$</w:t>
            </w:r>
            <w:r w:rsidRPr="005C69D7" w:rsidR="00061338">
              <w:rPr>
                <w:rFonts w:cs="Arial"/>
                <w:sz w:val="20"/>
                <w:szCs w:val="20"/>
              </w:rPr>
              <w:t>441,209</w:t>
            </w:r>
          </w:p>
        </w:tc>
      </w:tr>
      <w:tr w:rsidRPr="00854FC2" w:rsidR="00850E6B" w:rsidTr="008E6D49" w14:paraId="48FC3D7B" w14:textId="77777777">
        <w:trPr>
          <w:trHeight w:val="258"/>
          <w:jc w:val="center"/>
        </w:trPr>
        <w:tc>
          <w:tcPr>
            <w:tcW w:w="1864" w:type="dxa"/>
            <w:tcBorders>
              <w:top w:val="single" w:color="000000" w:sz="4" w:space="0"/>
              <w:left w:val="double" w:color="000000" w:sz="6" w:space="0"/>
              <w:bottom w:val="single" w:color="000000" w:sz="4" w:space="0"/>
              <w:right w:val="single" w:color="000000" w:sz="4" w:space="0"/>
            </w:tcBorders>
            <w:tcMar>
              <w:top w:w="29" w:type="dxa"/>
              <w:left w:w="115" w:type="dxa"/>
              <w:bottom w:w="29" w:type="dxa"/>
              <w:right w:w="115" w:type="dxa"/>
            </w:tcMar>
            <w:vAlign w:val="bottom"/>
          </w:tcPr>
          <w:p w:rsidRPr="00854FC2" w:rsidR="00850E6B" w:rsidP="00850E6B" w:rsidRDefault="00850E6B" w14:paraId="59B3B476" w14:textId="77777777">
            <w:pPr>
              <w:pStyle w:val="FootnoteText"/>
              <w:rPr>
                <w:rFonts w:cs="Arial"/>
              </w:rPr>
            </w:pPr>
            <w:r w:rsidRPr="00854FC2">
              <w:rPr>
                <w:rFonts w:cs="Arial"/>
              </w:rPr>
              <w:t>Review of Comments</w:t>
            </w:r>
          </w:p>
        </w:tc>
        <w:tc>
          <w:tcPr>
            <w:tcW w:w="1548" w:type="dxa"/>
            <w:tcBorders>
              <w:top w:val="single" w:color="auto" w:sz="4" w:space="0"/>
              <w:left w:val="single" w:color="000000" w:sz="4" w:space="0"/>
              <w:bottom w:val="sing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5E1EE8EC" w14:textId="66892DB5">
            <w:pPr>
              <w:jc w:val="right"/>
              <w:rPr>
                <w:rFonts w:cs="Arial"/>
                <w:sz w:val="20"/>
                <w:szCs w:val="20"/>
              </w:rPr>
            </w:pPr>
            <w:r w:rsidRPr="005C69D7">
              <w:rPr>
                <w:rFonts w:cs="Arial"/>
                <w:sz w:val="20"/>
                <w:szCs w:val="20"/>
              </w:rPr>
              <w:t>413</w:t>
            </w:r>
          </w:p>
        </w:tc>
        <w:tc>
          <w:tcPr>
            <w:tcW w:w="1549" w:type="dxa"/>
            <w:tcBorders>
              <w:top w:val="nil"/>
              <w:left w:val="nil"/>
              <w:bottom w:val="sing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62DA83FE" w14:textId="45720186">
            <w:pPr>
              <w:jc w:val="right"/>
              <w:rPr>
                <w:rFonts w:cs="Arial"/>
                <w:sz w:val="20"/>
                <w:szCs w:val="20"/>
              </w:rPr>
            </w:pPr>
            <w:r w:rsidRPr="005C69D7">
              <w:rPr>
                <w:rFonts w:cs="Arial"/>
                <w:sz w:val="20"/>
                <w:szCs w:val="20"/>
              </w:rPr>
              <w:t>413</w:t>
            </w:r>
          </w:p>
        </w:tc>
        <w:tc>
          <w:tcPr>
            <w:tcW w:w="1549" w:type="dxa"/>
            <w:tcBorders>
              <w:top w:val="nil"/>
              <w:left w:val="nil"/>
              <w:bottom w:val="sing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74069471" w14:textId="4B3D6CE2">
            <w:pPr>
              <w:jc w:val="right"/>
              <w:rPr>
                <w:rFonts w:cs="Arial"/>
                <w:sz w:val="20"/>
                <w:szCs w:val="20"/>
              </w:rPr>
            </w:pPr>
            <w:r w:rsidRPr="005C69D7">
              <w:rPr>
                <w:rFonts w:cs="Arial"/>
                <w:sz w:val="20"/>
                <w:szCs w:val="20"/>
              </w:rPr>
              <w:t>0</w:t>
            </w:r>
          </w:p>
        </w:tc>
        <w:tc>
          <w:tcPr>
            <w:tcW w:w="1500" w:type="dxa"/>
            <w:tcBorders>
              <w:top w:val="nil"/>
              <w:left w:val="nil"/>
              <w:bottom w:val="single" w:color="auto" w:sz="4" w:space="0"/>
              <w:right w:val="nil"/>
            </w:tcBorders>
            <w:shd w:val="clear" w:color="000000" w:fill="FFFFFF"/>
            <w:tcMar>
              <w:top w:w="29" w:type="dxa"/>
              <w:left w:w="115" w:type="dxa"/>
              <w:bottom w:w="29" w:type="dxa"/>
              <w:right w:w="115" w:type="dxa"/>
            </w:tcMar>
          </w:tcPr>
          <w:p w:rsidRPr="005C69D7" w:rsidR="00850E6B" w:rsidP="00061338" w:rsidRDefault="00850E6B" w14:paraId="3B79A5D7" w14:textId="69FE7995">
            <w:pPr>
              <w:jc w:val="right"/>
              <w:rPr>
                <w:rFonts w:cs="Arial"/>
                <w:sz w:val="20"/>
                <w:szCs w:val="20"/>
              </w:rPr>
            </w:pPr>
            <w:r w:rsidRPr="005C69D7">
              <w:rPr>
                <w:rFonts w:cs="Arial"/>
                <w:sz w:val="20"/>
                <w:szCs w:val="20"/>
              </w:rPr>
              <w:t>825</w:t>
            </w:r>
          </w:p>
        </w:tc>
        <w:tc>
          <w:tcPr>
            <w:tcW w:w="1837" w:type="dxa"/>
            <w:tcBorders>
              <w:top w:val="nil"/>
              <w:left w:val="single" w:color="auto" w:sz="8" w:space="0"/>
              <w:bottom w:val="single" w:color="auto" w:sz="4" w:space="0"/>
              <w:right w:val="double" w:color="auto" w:sz="4" w:space="0"/>
            </w:tcBorders>
            <w:shd w:val="clear" w:color="000000" w:fill="FFFFFF"/>
            <w:tcMar>
              <w:top w:w="29" w:type="dxa"/>
              <w:left w:w="115" w:type="dxa"/>
              <w:bottom w:w="29" w:type="dxa"/>
              <w:right w:w="115" w:type="dxa"/>
            </w:tcMar>
          </w:tcPr>
          <w:p w:rsidRPr="005C69D7" w:rsidR="00850E6B" w:rsidP="00061338" w:rsidRDefault="00850E6B" w14:paraId="44DC0D6F" w14:textId="1347220A">
            <w:pPr>
              <w:jc w:val="right"/>
              <w:rPr>
                <w:rFonts w:cs="Arial"/>
                <w:sz w:val="20"/>
                <w:szCs w:val="20"/>
              </w:rPr>
            </w:pPr>
            <w:r w:rsidRPr="005C69D7">
              <w:rPr>
                <w:rFonts w:cs="Arial"/>
                <w:sz w:val="20"/>
                <w:szCs w:val="20"/>
              </w:rPr>
              <w:t xml:space="preserve">$46,828 </w:t>
            </w:r>
          </w:p>
        </w:tc>
      </w:tr>
      <w:tr w:rsidRPr="00854FC2" w:rsidR="00850E6B" w:rsidTr="008E6D49" w14:paraId="05D47A52" w14:textId="77777777">
        <w:trPr>
          <w:trHeight w:val="530"/>
          <w:jc w:val="center"/>
        </w:trPr>
        <w:tc>
          <w:tcPr>
            <w:tcW w:w="1864" w:type="dxa"/>
            <w:tcBorders>
              <w:top w:val="nil"/>
              <w:left w:val="double" w:color="000000" w:sz="6" w:space="0"/>
              <w:bottom w:val="double" w:color="000000" w:sz="6" w:space="0"/>
              <w:right w:val="single" w:color="000000" w:sz="4" w:space="0"/>
            </w:tcBorders>
            <w:tcMar>
              <w:top w:w="29" w:type="dxa"/>
              <w:left w:w="115" w:type="dxa"/>
              <w:bottom w:w="29" w:type="dxa"/>
              <w:right w:w="115" w:type="dxa"/>
            </w:tcMar>
            <w:vAlign w:val="bottom"/>
          </w:tcPr>
          <w:p w:rsidRPr="00854FC2" w:rsidR="00850E6B" w:rsidP="00850E6B" w:rsidRDefault="00850E6B" w14:paraId="0FCF6F94" w14:textId="77777777">
            <w:pPr>
              <w:rPr>
                <w:rFonts w:cs="Arial"/>
                <w:sz w:val="20"/>
                <w:szCs w:val="20"/>
              </w:rPr>
            </w:pPr>
            <w:r w:rsidRPr="00854FC2">
              <w:rPr>
                <w:rFonts w:cs="Arial"/>
                <w:sz w:val="20"/>
                <w:szCs w:val="20"/>
              </w:rPr>
              <w:t>Consideration of Appeals</w:t>
            </w:r>
          </w:p>
        </w:tc>
        <w:tc>
          <w:tcPr>
            <w:tcW w:w="1548" w:type="dxa"/>
            <w:tcBorders>
              <w:top w:val="single" w:color="auto" w:sz="4" w:space="0"/>
              <w:left w:val="single" w:color="000000" w:sz="4" w:space="0"/>
              <w:bottom w:val="doub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23F836B7" w14:textId="0FDBFB8E">
            <w:pPr>
              <w:jc w:val="right"/>
              <w:rPr>
                <w:rFonts w:cs="Arial"/>
                <w:sz w:val="20"/>
                <w:szCs w:val="20"/>
              </w:rPr>
            </w:pPr>
            <w:r w:rsidRPr="005C69D7">
              <w:rPr>
                <w:rFonts w:cs="Arial"/>
                <w:sz w:val="20"/>
                <w:szCs w:val="20"/>
              </w:rPr>
              <w:t>660</w:t>
            </w:r>
          </w:p>
        </w:tc>
        <w:tc>
          <w:tcPr>
            <w:tcW w:w="1549" w:type="dxa"/>
            <w:tcBorders>
              <w:top w:val="single" w:color="auto" w:sz="4" w:space="0"/>
              <w:left w:val="nil"/>
              <w:bottom w:val="doub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0457DBEE" w14:textId="2231FF2D">
            <w:pPr>
              <w:jc w:val="right"/>
              <w:rPr>
                <w:rFonts w:cs="Arial"/>
                <w:sz w:val="20"/>
                <w:szCs w:val="20"/>
              </w:rPr>
            </w:pPr>
            <w:r w:rsidRPr="005C69D7">
              <w:rPr>
                <w:rFonts w:cs="Arial"/>
                <w:sz w:val="20"/>
                <w:szCs w:val="20"/>
              </w:rPr>
              <w:t>0</w:t>
            </w:r>
          </w:p>
        </w:tc>
        <w:tc>
          <w:tcPr>
            <w:tcW w:w="1549" w:type="dxa"/>
            <w:tcBorders>
              <w:top w:val="single" w:color="auto" w:sz="4" w:space="0"/>
              <w:left w:val="nil"/>
              <w:bottom w:val="doub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399CFDF2" w14:textId="5BA2C4FD">
            <w:pPr>
              <w:jc w:val="right"/>
              <w:rPr>
                <w:rFonts w:cs="Arial"/>
                <w:sz w:val="20"/>
                <w:szCs w:val="20"/>
              </w:rPr>
            </w:pPr>
            <w:r w:rsidRPr="005C69D7">
              <w:rPr>
                <w:rFonts w:cs="Arial"/>
                <w:sz w:val="20"/>
                <w:szCs w:val="20"/>
              </w:rPr>
              <w:t>0</w:t>
            </w:r>
          </w:p>
        </w:tc>
        <w:tc>
          <w:tcPr>
            <w:tcW w:w="1500" w:type="dxa"/>
            <w:tcBorders>
              <w:top w:val="single" w:color="auto" w:sz="4" w:space="0"/>
              <w:left w:val="nil"/>
              <w:bottom w:val="double" w:color="auto" w:sz="4" w:space="0"/>
              <w:right w:val="nil"/>
            </w:tcBorders>
            <w:shd w:val="clear" w:color="000000" w:fill="FFFFFF"/>
            <w:tcMar>
              <w:top w:w="29" w:type="dxa"/>
              <w:left w:w="115" w:type="dxa"/>
              <w:bottom w:w="29" w:type="dxa"/>
              <w:right w:w="115" w:type="dxa"/>
            </w:tcMar>
          </w:tcPr>
          <w:p w:rsidRPr="005C69D7" w:rsidR="00850E6B" w:rsidP="00061338" w:rsidRDefault="00850E6B" w14:paraId="56C70780" w14:textId="62E925EF">
            <w:pPr>
              <w:jc w:val="right"/>
              <w:rPr>
                <w:rFonts w:cs="Arial"/>
                <w:sz w:val="20"/>
                <w:szCs w:val="20"/>
              </w:rPr>
            </w:pPr>
            <w:r w:rsidRPr="005C69D7">
              <w:rPr>
                <w:rFonts w:cs="Arial"/>
                <w:sz w:val="20"/>
                <w:szCs w:val="20"/>
              </w:rPr>
              <w:t>660</w:t>
            </w:r>
          </w:p>
        </w:tc>
        <w:tc>
          <w:tcPr>
            <w:tcW w:w="1837" w:type="dxa"/>
            <w:tcBorders>
              <w:top w:val="single" w:color="auto" w:sz="4" w:space="0"/>
              <w:left w:val="single" w:color="auto" w:sz="8" w:space="0"/>
              <w:bottom w:val="double" w:color="auto" w:sz="4" w:space="0"/>
              <w:right w:val="double" w:color="auto" w:sz="4" w:space="0"/>
            </w:tcBorders>
            <w:shd w:val="clear" w:color="000000" w:fill="FFFFFF"/>
            <w:tcMar>
              <w:top w:w="29" w:type="dxa"/>
              <w:left w:w="115" w:type="dxa"/>
              <w:bottom w:w="29" w:type="dxa"/>
              <w:right w:w="115" w:type="dxa"/>
            </w:tcMar>
          </w:tcPr>
          <w:p w:rsidRPr="005C69D7" w:rsidR="00850E6B" w:rsidP="00061338" w:rsidRDefault="00850E6B" w14:paraId="2C77AA7E" w14:textId="19A2D81B">
            <w:pPr>
              <w:jc w:val="right"/>
              <w:rPr>
                <w:rFonts w:cs="Arial"/>
                <w:sz w:val="20"/>
                <w:szCs w:val="20"/>
              </w:rPr>
            </w:pPr>
            <w:r w:rsidRPr="005C69D7">
              <w:rPr>
                <w:rFonts w:cs="Arial"/>
                <w:sz w:val="20"/>
                <w:szCs w:val="20"/>
              </w:rPr>
              <w:t xml:space="preserve">$44,031 </w:t>
            </w:r>
          </w:p>
        </w:tc>
      </w:tr>
      <w:tr w:rsidRPr="00854FC2" w:rsidR="00850E6B" w:rsidTr="008E6D49" w14:paraId="73F5F568" w14:textId="77777777">
        <w:trPr>
          <w:trHeight w:val="299"/>
          <w:jc w:val="center"/>
        </w:trPr>
        <w:tc>
          <w:tcPr>
            <w:tcW w:w="1864" w:type="dxa"/>
            <w:tcBorders>
              <w:top w:val="nil"/>
              <w:left w:val="double" w:color="000000" w:sz="6" w:space="0"/>
              <w:bottom w:val="double" w:color="000000" w:sz="6" w:space="0"/>
              <w:right w:val="single" w:color="000000" w:sz="4" w:space="0"/>
            </w:tcBorders>
            <w:tcMar>
              <w:top w:w="29" w:type="dxa"/>
              <w:left w:w="115" w:type="dxa"/>
              <w:bottom w:w="29" w:type="dxa"/>
              <w:right w:w="115" w:type="dxa"/>
            </w:tcMar>
            <w:vAlign w:val="bottom"/>
          </w:tcPr>
          <w:p w:rsidRPr="00854FC2" w:rsidR="00850E6B" w:rsidP="00850E6B" w:rsidRDefault="00850E6B" w14:paraId="43654766" w14:textId="77777777">
            <w:pPr>
              <w:rPr>
                <w:rFonts w:cs="Arial"/>
                <w:b/>
                <w:bCs/>
                <w:sz w:val="20"/>
                <w:szCs w:val="20"/>
              </w:rPr>
            </w:pPr>
            <w:r w:rsidRPr="00854FC2">
              <w:rPr>
                <w:rFonts w:cs="Arial"/>
                <w:b/>
                <w:bCs/>
                <w:sz w:val="20"/>
                <w:szCs w:val="20"/>
              </w:rPr>
              <w:t>Total</w:t>
            </w:r>
          </w:p>
        </w:tc>
        <w:tc>
          <w:tcPr>
            <w:tcW w:w="1548" w:type="dxa"/>
            <w:tcBorders>
              <w:top w:val="double" w:color="auto" w:sz="4" w:space="0"/>
              <w:left w:val="nil"/>
              <w:bottom w:val="doub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1F70E2F5" w14:textId="6F2B3991">
            <w:pPr>
              <w:jc w:val="right"/>
              <w:rPr>
                <w:rFonts w:cs="Arial"/>
                <w:b/>
                <w:bCs/>
                <w:sz w:val="20"/>
                <w:szCs w:val="20"/>
              </w:rPr>
            </w:pPr>
            <w:r w:rsidRPr="005C69D7">
              <w:rPr>
                <w:rFonts w:cs="Arial"/>
                <w:b/>
                <w:bCs/>
                <w:sz w:val="20"/>
                <w:szCs w:val="20"/>
              </w:rPr>
              <w:t>1,898</w:t>
            </w:r>
          </w:p>
        </w:tc>
        <w:tc>
          <w:tcPr>
            <w:tcW w:w="1549" w:type="dxa"/>
            <w:tcBorders>
              <w:top w:val="double" w:color="auto" w:sz="4" w:space="0"/>
              <w:left w:val="nil"/>
              <w:bottom w:val="doub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48BF8EBF" w14:textId="57501DC7">
            <w:pPr>
              <w:jc w:val="right"/>
              <w:rPr>
                <w:rFonts w:cs="Arial"/>
                <w:b/>
                <w:bCs/>
                <w:sz w:val="20"/>
                <w:szCs w:val="20"/>
              </w:rPr>
            </w:pPr>
            <w:r w:rsidRPr="005C69D7">
              <w:rPr>
                <w:rFonts w:cs="Arial"/>
                <w:b/>
                <w:bCs/>
                <w:sz w:val="20"/>
                <w:szCs w:val="20"/>
              </w:rPr>
              <w:t>8,667</w:t>
            </w:r>
          </w:p>
        </w:tc>
        <w:tc>
          <w:tcPr>
            <w:tcW w:w="1549" w:type="dxa"/>
            <w:tcBorders>
              <w:top w:val="double" w:color="auto" w:sz="4" w:space="0"/>
              <w:left w:val="nil"/>
              <w:bottom w:val="double" w:color="auto" w:sz="4" w:space="0"/>
              <w:right w:val="single" w:color="auto" w:sz="4" w:space="0"/>
            </w:tcBorders>
            <w:shd w:val="clear" w:color="000000" w:fill="FFFFFF"/>
            <w:tcMar>
              <w:top w:w="29" w:type="dxa"/>
              <w:left w:w="115" w:type="dxa"/>
              <w:bottom w:w="29" w:type="dxa"/>
              <w:right w:w="115" w:type="dxa"/>
            </w:tcMar>
          </w:tcPr>
          <w:p w:rsidRPr="005C69D7" w:rsidR="00850E6B" w:rsidP="00061338" w:rsidRDefault="00850E6B" w14:paraId="77D402A2" w14:textId="26D17ADC">
            <w:pPr>
              <w:jc w:val="right"/>
              <w:rPr>
                <w:rFonts w:cs="Arial"/>
                <w:b/>
                <w:bCs/>
                <w:sz w:val="20"/>
                <w:szCs w:val="20"/>
              </w:rPr>
            </w:pPr>
            <w:r w:rsidRPr="005C69D7">
              <w:rPr>
                <w:rFonts w:cs="Arial"/>
                <w:b/>
                <w:bCs/>
                <w:sz w:val="20"/>
                <w:szCs w:val="20"/>
              </w:rPr>
              <w:t>0</w:t>
            </w:r>
          </w:p>
        </w:tc>
        <w:tc>
          <w:tcPr>
            <w:tcW w:w="1500" w:type="dxa"/>
            <w:tcBorders>
              <w:top w:val="double" w:color="auto" w:sz="4" w:space="0"/>
              <w:left w:val="nil"/>
              <w:bottom w:val="double" w:color="auto" w:sz="4" w:space="0"/>
              <w:right w:val="nil"/>
            </w:tcBorders>
            <w:shd w:val="clear" w:color="000000" w:fill="FFFFFF"/>
            <w:tcMar>
              <w:top w:w="29" w:type="dxa"/>
              <w:left w:w="115" w:type="dxa"/>
              <w:bottom w:w="29" w:type="dxa"/>
              <w:right w:w="115" w:type="dxa"/>
            </w:tcMar>
          </w:tcPr>
          <w:p w:rsidRPr="005C69D7" w:rsidR="00850E6B" w:rsidP="00061338" w:rsidRDefault="00850E6B" w14:paraId="1B760B79" w14:textId="6CD8FE9C">
            <w:pPr>
              <w:jc w:val="right"/>
              <w:rPr>
                <w:rFonts w:cs="Arial"/>
                <w:b/>
                <w:bCs/>
                <w:sz w:val="20"/>
                <w:szCs w:val="20"/>
              </w:rPr>
            </w:pPr>
            <w:r w:rsidRPr="005C69D7">
              <w:rPr>
                <w:rFonts w:cs="Arial"/>
                <w:b/>
                <w:bCs/>
                <w:sz w:val="20"/>
                <w:szCs w:val="20"/>
              </w:rPr>
              <w:t>10,566</w:t>
            </w:r>
          </w:p>
        </w:tc>
        <w:tc>
          <w:tcPr>
            <w:tcW w:w="1837" w:type="dxa"/>
            <w:tcBorders>
              <w:top w:val="double" w:color="auto" w:sz="4" w:space="0"/>
              <w:left w:val="single" w:color="auto" w:sz="8" w:space="0"/>
              <w:bottom w:val="double" w:color="auto" w:sz="4" w:space="0"/>
              <w:right w:val="double" w:color="auto" w:sz="4" w:space="0"/>
            </w:tcBorders>
            <w:shd w:val="clear" w:color="000000" w:fill="FFFFFF"/>
            <w:tcMar>
              <w:top w:w="29" w:type="dxa"/>
              <w:left w:w="115" w:type="dxa"/>
              <w:bottom w:w="29" w:type="dxa"/>
              <w:right w:w="115" w:type="dxa"/>
            </w:tcMar>
          </w:tcPr>
          <w:p w:rsidRPr="005C69D7" w:rsidR="00850E6B" w:rsidP="00061338" w:rsidRDefault="00061338" w14:paraId="1AA2D5EF" w14:textId="7625E915">
            <w:pPr>
              <w:jc w:val="right"/>
              <w:rPr>
                <w:rFonts w:cs="Arial"/>
                <w:b/>
                <w:bCs/>
                <w:sz w:val="20"/>
                <w:szCs w:val="20"/>
              </w:rPr>
            </w:pPr>
            <w:r w:rsidRPr="005C69D7">
              <w:rPr>
                <w:rFonts w:cs="Arial"/>
                <w:b/>
                <w:bCs/>
                <w:sz w:val="20"/>
                <w:szCs w:val="20"/>
              </w:rPr>
              <w:t>$532,067</w:t>
            </w:r>
          </w:p>
        </w:tc>
      </w:tr>
    </w:tbl>
    <w:p w:rsidRPr="00C241FC" w:rsidR="00C241FC" w:rsidP="00C241FC" w:rsidRDefault="00C241FC" w14:paraId="177CA7A9" w14:textId="0166B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Pr>
          <w:rFonts w:cs="Arial"/>
          <w:sz w:val="18"/>
          <w:szCs w:val="18"/>
        </w:rPr>
        <w:t>*Plan evaluations are conducted as part of compliance monitoring activities.</w:t>
      </w:r>
    </w:p>
    <w:p w:rsidRPr="00C927B4" w:rsidR="00D85665" w:rsidRDefault="008B0DEE" w14:paraId="3DD490D7" w14:textId="1E3DFE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C927B4">
        <w:rPr>
          <w:rFonts w:cs="Arial"/>
          <w:sz w:val="18"/>
          <w:szCs w:val="18"/>
        </w:rPr>
        <w:t xml:space="preserve">Note: </w:t>
      </w:r>
      <w:r w:rsidR="00441ACB">
        <w:rPr>
          <w:rFonts w:cs="Arial"/>
          <w:sz w:val="18"/>
          <w:szCs w:val="18"/>
        </w:rPr>
        <w:t>C</w:t>
      </w:r>
      <w:r w:rsidRPr="00C927B4">
        <w:rPr>
          <w:rFonts w:cs="Arial"/>
          <w:sz w:val="18"/>
          <w:szCs w:val="18"/>
        </w:rPr>
        <w:t>osts may not total due to rounding</w:t>
      </w:r>
      <w:r w:rsidRPr="00833B82" w:rsidR="00F25249">
        <w:rPr>
          <w:rFonts w:cs="Arial"/>
          <w:sz w:val="18"/>
          <w:szCs w:val="18"/>
        </w:rPr>
        <w:t xml:space="preserve">; </w:t>
      </w:r>
      <w:r w:rsidRPr="00E827A7" w:rsidR="00F25249">
        <w:rPr>
          <w:rFonts w:cs="Arial"/>
          <w:sz w:val="18"/>
          <w:szCs w:val="18"/>
        </w:rPr>
        <w:t>January 201</w:t>
      </w:r>
      <w:r w:rsidRPr="00E827A7" w:rsidR="00833B82">
        <w:rPr>
          <w:rFonts w:cs="Arial"/>
          <w:sz w:val="18"/>
          <w:szCs w:val="18"/>
        </w:rPr>
        <w:t>8</w:t>
      </w:r>
      <w:r w:rsidRPr="00C927B4" w:rsidR="00F25249">
        <w:rPr>
          <w:rFonts w:cs="Arial"/>
          <w:sz w:val="18"/>
          <w:szCs w:val="18"/>
        </w:rPr>
        <w:t xml:space="preserve"> </w:t>
      </w:r>
      <w:r w:rsidR="009308FA">
        <w:rPr>
          <w:rFonts w:cs="Arial"/>
          <w:sz w:val="18"/>
          <w:szCs w:val="18"/>
        </w:rPr>
        <w:t xml:space="preserve">OPM </w:t>
      </w:r>
      <w:r w:rsidRPr="00C927B4" w:rsidR="00F25249">
        <w:rPr>
          <w:rFonts w:cs="Arial"/>
          <w:sz w:val="18"/>
          <w:szCs w:val="18"/>
        </w:rPr>
        <w:t>General Schedule.</w:t>
      </w:r>
    </w:p>
    <w:p w:rsidRPr="00854FC2" w:rsidR="00D85665" w:rsidRDefault="00D85665" w14:paraId="1EC55DE7"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2"/>
        </w:rPr>
      </w:pPr>
      <w:r w:rsidRPr="00854FC2">
        <w:rPr>
          <w:rFonts w:cs="Arial"/>
          <w:szCs w:val="22"/>
        </w:rPr>
        <w:tab/>
      </w:r>
    </w:p>
    <w:p w:rsidRPr="00854FC2" w:rsidR="00D85665" w:rsidP="00E827A7" w:rsidRDefault="00D85665" w14:paraId="14B01993" w14:textId="0192D37A">
      <w:pPr>
        <w:pStyle w:val="Heading2"/>
      </w:pPr>
      <w:r w:rsidRPr="00854FC2">
        <w:t>6(d)</w:t>
      </w:r>
      <w:r w:rsidRPr="00854FC2">
        <w:tab/>
        <w:t>Estimating the Respondent Universe</w:t>
      </w:r>
      <w:r w:rsidR="006F09AE">
        <w:t xml:space="preserve"> and Total Burden and Costs</w:t>
      </w:r>
    </w:p>
    <w:p w:rsidRPr="00854FC2" w:rsidR="00D85665" w:rsidRDefault="00D85665" w14:paraId="42D1C7C9"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9260ED" w:rsidP="00C02B77" w:rsidRDefault="009260ED" w14:paraId="6E64C4E2" w14:textId="7B6DFE71">
      <w:pPr>
        <w:ind w:firstLine="720"/>
        <w:rPr>
          <w:rFonts w:cs="Courier New"/>
          <w:lang w:val="en-CA"/>
        </w:rPr>
      </w:pPr>
      <w:r>
        <w:rPr>
          <w:rFonts w:cs="Courier New"/>
          <w:lang w:val="en-CA"/>
        </w:rPr>
        <w:t xml:space="preserve">EPA estimates </w:t>
      </w:r>
      <w:r w:rsidR="00342B97">
        <w:rPr>
          <w:rFonts w:cs="Courier New"/>
          <w:lang w:val="en-CA"/>
        </w:rPr>
        <w:t xml:space="preserve">an annual average of </w:t>
      </w:r>
      <w:r w:rsidRPr="00560E55" w:rsidR="00E92F0F">
        <w:rPr>
          <w:rFonts w:cs="Courier New"/>
          <w:lang w:val="en-CA"/>
        </w:rPr>
        <w:t>550,7</w:t>
      </w:r>
      <w:r w:rsidRPr="00560E55" w:rsidR="00BE111D">
        <w:rPr>
          <w:rFonts w:cs="Courier New"/>
          <w:lang w:val="en-CA"/>
        </w:rPr>
        <w:t>00</w:t>
      </w:r>
      <w:r w:rsidRPr="00560E55">
        <w:rPr>
          <w:rFonts w:cs="Courier New"/>
          <w:lang w:val="en-CA"/>
        </w:rPr>
        <w:t xml:space="preserve"> respondents f</w:t>
      </w:r>
      <w:r>
        <w:rPr>
          <w:rFonts w:cs="Courier New"/>
          <w:lang w:val="en-CA"/>
        </w:rPr>
        <w:t>or the next three years of this collection.</w:t>
      </w:r>
      <w:r w:rsidR="00BA1C2C">
        <w:rPr>
          <w:rFonts w:cs="Courier New"/>
          <w:lang w:val="en-CA"/>
        </w:rPr>
        <w:t xml:space="preserve"> As shown in Exhibit </w:t>
      </w:r>
      <w:r w:rsidR="00DA1FAE">
        <w:rPr>
          <w:rFonts w:cs="Courier New"/>
          <w:lang w:val="en-CA"/>
        </w:rPr>
        <w:t>4</w:t>
      </w:r>
      <w:r w:rsidR="00BA1C2C">
        <w:rPr>
          <w:rFonts w:cs="Courier New"/>
          <w:lang w:val="en-CA"/>
        </w:rPr>
        <w:t xml:space="preserve">, </w:t>
      </w:r>
      <w:r w:rsidR="008C6FBD">
        <w:rPr>
          <w:rFonts w:cs="Courier New"/>
          <w:lang w:val="en-CA"/>
        </w:rPr>
        <w:t xml:space="preserve">EPA estimates 550,900 respondents in 2019, 550,700 respondents in 2020, and </w:t>
      </w:r>
      <w:r w:rsidR="008D78BF">
        <w:rPr>
          <w:rFonts w:cs="Courier New"/>
          <w:lang w:val="en-CA"/>
        </w:rPr>
        <w:t>550,500 respondents in 2021.</w:t>
      </w:r>
    </w:p>
    <w:p w:rsidR="009260ED" w:rsidP="00C02B77" w:rsidRDefault="009260ED" w14:paraId="3BC2FB95" w14:textId="77777777">
      <w:pPr>
        <w:ind w:firstLine="720"/>
        <w:rPr>
          <w:rFonts w:cs="Courier New"/>
          <w:lang w:val="en-CA"/>
        </w:rPr>
      </w:pPr>
    </w:p>
    <w:p w:rsidRPr="00854FC2" w:rsidR="00D85665" w:rsidP="00C02B77" w:rsidRDefault="00D85665" w14:paraId="04EA4A62" w14:textId="042A9C09">
      <w:pPr>
        <w:ind w:firstLine="720"/>
        <w:rPr>
          <w:rFonts w:cs="Arial"/>
          <w:szCs w:val="22"/>
        </w:rPr>
      </w:pPr>
      <w:r w:rsidRPr="00854FC2">
        <w:rPr>
          <w:rFonts w:cs="Courier New"/>
          <w:lang w:val="en-CA"/>
        </w:rPr>
        <w:fldChar w:fldCharType="begin"/>
      </w:r>
      <w:r w:rsidRPr="00854FC2">
        <w:rPr>
          <w:rFonts w:cs="Courier New"/>
          <w:lang w:val="en-CA"/>
        </w:rPr>
        <w:instrText xml:space="preserve"> SEQ CHAPTER \h \r 1</w:instrText>
      </w:r>
      <w:r w:rsidRPr="00854FC2">
        <w:rPr>
          <w:rFonts w:cs="Courier New"/>
          <w:lang w:val="en-CA"/>
        </w:rPr>
        <w:fldChar w:fldCharType="end"/>
      </w:r>
      <w:r w:rsidRPr="00854FC2">
        <w:rPr>
          <w:lang w:val="en-CA"/>
        </w:rPr>
        <w:fldChar w:fldCharType="begin"/>
      </w:r>
      <w:r w:rsidRPr="00854FC2">
        <w:rPr>
          <w:lang w:val="en-CA"/>
        </w:rPr>
        <w:instrText xml:space="preserve"> SEQ CHAPTER \h \r 1</w:instrText>
      </w:r>
      <w:r w:rsidRPr="00854FC2">
        <w:rPr>
          <w:lang w:val="en-CA"/>
        </w:rPr>
        <w:fldChar w:fldCharType="end"/>
      </w:r>
      <w:r w:rsidRPr="00854FC2">
        <w:rPr>
          <w:rFonts w:cs="Arial"/>
          <w:szCs w:val="22"/>
        </w:rPr>
        <w:t>This section describes the universe of facilities subject to SPCC regulations. The SPCC rule does not include a notification requirement and, with certain exceptions, owners and operators do not submit their SPCC Plans to EPA.</w:t>
      </w:r>
    </w:p>
    <w:p w:rsidRPr="00854FC2" w:rsidR="00D85665" w:rsidRDefault="00D85665" w14:paraId="2B343558" w14:textId="77777777">
      <w:pPr>
        <w:rPr>
          <w:rFonts w:cs="Arial"/>
          <w:szCs w:val="22"/>
        </w:rPr>
      </w:pPr>
    </w:p>
    <w:p w:rsidR="00110415" w:rsidP="00C02B77" w:rsidRDefault="00110415" w14:paraId="0CEF3D19" w14:textId="6CB7A1CE">
      <w:pPr>
        <w:ind w:firstLine="720"/>
        <w:rPr>
          <w:rFonts w:cs="Arial"/>
          <w:szCs w:val="17"/>
        </w:rPr>
      </w:pPr>
      <w:r>
        <w:rPr>
          <w:rFonts w:cs="Arial"/>
          <w:szCs w:val="17"/>
        </w:rPr>
        <w:t>EPA started from its prior estimates of the number of facilities projected to be subject to the SPCC requirements in 2016 (</w:t>
      </w:r>
      <w:r w:rsidRPr="00E81F80" w:rsidR="00E81F80">
        <w:rPr>
          <w:rFonts w:cs="Arial"/>
          <w:szCs w:val="17"/>
        </w:rPr>
        <w:t>77 FR 74659</w:t>
      </w:r>
      <w:r>
        <w:rPr>
          <w:rFonts w:cs="Arial"/>
          <w:szCs w:val="17"/>
        </w:rPr>
        <w:t>) and adjusted the number of farm facilities that are expected to incur burden during th</w:t>
      </w:r>
      <w:r w:rsidR="00316F90">
        <w:rPr>
          <w:rFonts w:cs="Arial"/>
          <w:szCs w:val="17"/>
        </w:rPr>
        <w:t>e</w:t>
      </w:r>
      <w:r>
        <w:rPr>
          <w:rFonts w:cs="Arial"/>
          <w:szCs w:val="17"/>
        </w:rPr>
        <w:t xml:space="preserve"> ICR period</w:t>
      </w:r>
      <w:r w:rsidR="00316F90">
        <w:rPr>
          <w:rFonts w:cs="Arial"/>
          <w:szCs w:val="17"/>
        </w:rPr>
        <w:t xml:space="preserve"> of 2019 through 2021</w:t>
      </w:r>
      <w:r w:rsidR="008B3E70">
        <w:rPr>
          <w:rFonts w:cs="Arial"/>
          <w:szCs w:val="17"/>
        </w:rPr>
        <w:t xml:space="preserve"> to</w:t>
      </w:r>
      <w:r>
        <w:rPr>
          <w:rFonts w:cs="Arial"/>
          <w:szCs w:val="17"/>
        </w:rPr>
        <w:t xml:space="preserve"> reflect the </w:t>
      </w:r>
      <w:r w:rsidR="00C276CF">
        <w:rPr>
          <w:rFonts w:cs="Arial"/>
          <w:szCs w:val="17"/>
        </w:rPr>
        <w:t>Water Resources Reform and Develo</w:t>
      </w:r>
      <w:r w:rsidR="00C624B5">
        <w:rPr>
          <w:rFonts w:cs="Arial"/>
          <w:szCs w:val="17"/>
        </w:rPr>
        <w:t>p</w:t>
      </w:r>
      <w:r w:rsidR="00C276CF">
        <w:rPr>
          <w:rFonts w:cs="Arial"/>
          <w:szCs w:val="17"/>
        </w:rPr>
        <w:t xml:space="preserve">ment </w:t>
      </w:r>
      <w:r w:rsidR="00F1280B">
        <w:rPr>
          <w:rFonts w:cs="Arial"/>
          <w:szCs w:val="17"/>
        </w:rPr>
        <w:t xml:space="preserve">Act </w:t>
      </w:r>
      <w:r w:rsidR="00C276CF">
        <w:rPr>
          <w:rFonts w:cs="Arial"/>
          <w:szCs w:val="17"/>
        </w:rPr>
        <w:t>(</w:t>
      </w:r>
      <w:r>
        <w:rPr>
          <w:rFonts w:cs="Arial"/>
          <w:szCs w:val="17"/>
        </w:rPr>
        <w:t>WRRDA</w:t>
      </w:r>
      <w:r w:rsidR="00C276CF">
        <w:rPr>
          <w:rFonts w:cs="Arial"/>
          <w:szCs w:val="17"/>
        </w:rPr>
        <w:t>)</w:t>
      </w:r>
      <w:r>
        <w:rPr>
          <w:rFonts w:cs="Arial"/>
          <w:szCs w:val="17"/>
        </w:rPr>
        <w:t xml:space="preserve"> of 2014</w:t>
      </w:r>
      <w:r w:rsidR="000D3CF1">
        <w:rPr>
          <w:rFonts w:cs="Arial"/>
          <w:szCs w:val="17"/>
        </w:rPr>
        <w:t xml:space="preserve"> and </w:t>
      </w:r>
      <w:r w:rsidR="00C276CF">
        <w:rPr>
          <w:rFonts w:cs="Arial"/>
          <w:szCs w:val="17"/>
        </w:rPr>
        <w:t xml:space="preserve">Water Infrastructure Improvements for the Nation </w:t>
      </w:r>
      <w:r w:rsidR="006A701E">
        <w:rPr>
          <w:rFonts w:cs="Arial"/>
          <w:szCs w:val="17"/>
        </w:rPr>
        <w:t>(</w:t>
      </w:r>
      <w:r w:rsidR="000D3CF1">
        <w:rPr>
          <w:rFonts w:cs="Arial"/>
          <w:szCs w:val="17"/>
        </w:rPr>
        <w:t>WIIN</w:t>
      </w:r>
      <w:r w:rsidR="006A701E">
        <w:rPr>
          <w:rFonts w:cs="Arial"/>
          <w:szCs w:val="17"/>
        </w:rPr>
        <w:t>)</w:t>
      </w:r>
      <w:r w:rsidR="000D3CF1">
        <w:rPr>
          <w:rFonts w:cs="Arial"/>
          <w:szCs w:val="17"/>
        </w:rPr>
        <w:t xml:space="preserve"> Act of 2016</w:t>
      </w:r>
      <w:r w:rsidR="008B3E70">
        <w:rPr>
          <w:rFonts w:cs="Arial"/>
          <w:szCs w:val="17"/>
        </w:rPr>
        <w:t>. The Acts</w:t>
      </w:r>
      <w:r>
        <w:rPr>
          <w:rFonts w:cs="Arial"/>
          <w:szCs w:val="17"/>
        </w:rPr>
        <w:t xml:space="preserve"> </w:t>
      </w:r>
      <w:r w:rsidR="00FA232F">
        <w:rPr>
          <w:rFonts w:cs="Arial"/>
          <w:szCs w:val="17"/>
        </w:rPr>
        <w:t>modified</w:t>
      </w:r>
      <w:r>
        <w:rPr>
          <w:rFonts w:cs="Arial"/>
          <w:szCs w:val="17"/>
        </w:rPr>
        <w:t xml:space="preserve"> the applicability of the SPCC rule to farms in certain size categories. Specifically, EPA used </w:t>
      </w:r>
      <w:r w:rsidR="00612DAA">
        <w:rPr>
          <w:rFonts w:cs="Arial"/>
          <w:szCs w:val="17"/>
        </w:rPr>
        <w:t>data</w:t>
      </w:r>
      <w:r>
        <w:rPr>
          <w:rFonts w:cs="Arial"/>
          <w:szCs w:val="17"/>
        </w:rPr>
        <w:t xml:space="preserve"> from the study conducted in response to WRRDA (</w:t>
      </w:r>
      <w:r w:rsidRPr="00FC333E">
        <w:rPr>
          <w:rFonts w:cs="Arial"/>
          <w:i/>
          <w:szCs w:val="17"/>
        </w:rPr>
        <w:t>Oil Storage on U.S. Farms: Risks and Opportunities for Protecting Surface Waters</w:t>
      </w:r>
      <w:r>
        <w:rPr>
          <w:rStyle w:val="FootnoteReference"/>
          <w:rFonts w:cs="Arial"/>
          <w:szCs w:val="17"/>
        </w:rPr>
        <w:t xml:space="preserve"> </w:t>
      </w:r>
      <w:r>
        <w:rPr>
          <w:rFonts w:cs="Arial"/>
          <w:szCs w:val="17"/>
        </w:rPr>
        <w:t>)</w:t>
      </w:r>
      <w:r>
        <w:rPr>
          <w:rStyle w:val="FootnoteReference"/>
          <w:rFonts w:cs="Arial"/>
          <w:szCs w:val="17"/>
        </w:rPr>
        <w:footnoteReference w:id="14"/>
      </w:r>
      <w:r>
        <w:rPr>
          <w:rFonts w:cs="Arial"/>
          <w:szCs w:val="17"/>
        </w:rPr>
        <w:t xml:space="preserve"> </w:t>
      </w:r>
      <w:r w:rsidR="00612DAA">
        <w:rPr>
          <w:rFonts w:cs="Arial"/>
          <w:szCs w:val="17"/>
        </w:rPr>
        <w:t xml:space="preserve">as the basis for its estimates of the </w:t>
      </w:r>
      <w:r>
        <w:rPr>
          <w:rFonts w:cs="Arial"/>
          <w:szCs w:val="17"/>
        </w:rPr>
        <w:t xml:space="preserve">number of farm facilities with aggregate oil storage capacities between 2,500 and 6,000 </w:t>
      </w:r>
      <w:r w:rsidR="0022621C">
        <w:rPr>
          <w:rFonts w:cs="Arial"/>
          <w:szCs w:val="17"/>
        </w:rPr>
        <w:t>U.S. gallons</w:t>
      </w:r>
      <w:r>
        <w:rPr>
          <w:rFonts w:cs="Arial"/>
          <w:szCs w:val="17"/>
        </w:rPr>
        <w:t xml:space="preserve">, between 6,000 and 20,000 </w:t>
      </w:r>
      <w:r w:rsidR="0022621C">
        <w:rPr>
          <w:rFonts w:cs="Arial"/>
          <w:szCs w:val="17"/>
        </w:rPr>
        <w:t>U.S. gallons</w:t>
      </w:r>
      <w:r>
        <w:rPr>
          <w:rFonts w:cs="Arial"/>
          <w:szCs w:val="17"/>
        </w:rPr>
        <w:t xml:space="preserve">, and greater than 20,000 </w:t>
      </w:r>
      <w:r w:rsidR="0022621C">
        <w:rPr>
          <w:rFonts w:cs="Arial"/>
          <w:szCs w:val="17"/>
        </w:rPr>
        <w:t>U.S. gallons</w:t>
      </w:r>
      <w:r>
        <w:rPr>
          <w:rFonts w:cs="Arial"/>
          <w:szCs w:val="17"/>
        </w:rPr>
        <w:t>.</w:t>
      </w:r>
      <w:r w:rsidR="00612DAA">
        <w:rPr>
          <w:rFonts w:cs="Arial"/>
          <w:szCs w:val="17"/>
        </w:rPr>
        <w:t xml:space="preserve"> EPA distributed farms with aggregate storage capacity greater than 20,000 </w:t>
      </w:r>
      <w:r w:rsidR="0022621C">
        <w:rPr>
          <w:rFonts w:cs="Arial"/>
          <w:szCs w:val="17"/>
        </w:rPr>
        <w:t>U.S. gallons</w:t>
      </w:r>
      <w:r w:rsidR="00612DAA">
        <w:rPr>
          <w:rFonts w:cs="Arial"/>
          <w:szCs w:val="17"/>
        </w:rPr>
        <w:t xml:space="preserve"> among the </w:t>
      </w:r>
      <w:r w:rsidR="00C56296">
        <w:rPr>
          <w:rFonts w:cs="Arial"/>
          <w:szCs w:val="17"/>
        </w:rPr>
        <w:t>size</w:t>
      </w:r>
      <w:r w:rsidR="00612DAA">
        <w:rPr>
          <w:rFonts w:cs="Arial"/>
          <w:szCs w:val="17"/>
        </w:rPr>
        <w:t xml:space="preserve"> categories in proportion to the prior estimates developed for the ICR period of 201</w:t>
      </w:r>
      <w:r w:rsidR="00316F90">
        <w:rPr>
          <w:rFonts w:cs="Arial"/>
          <w:szCs w:val="17"/>
        </w:rPr>
        <w:t>6</w:t>
      </w:r>
      <w:r w:rsidR="00612DAA">
        <w:rPr>
          <w:rFonts w:cs="Arial"/>
          <w:szCs w:val="17"/>
        </w:rPr>
        <w:t xml:space="preserve"> through 201</w:t>
      </w:r>
      <w:r w:rsidR="00316F90">
        <w:rPr>
          <w:rFonts w:cs="Arial"/>
          <w:szCs w:val="17"/>
        </w:rPr>
        <w:t>8</w:t>
      </w:r>
      <w:r w:rsidR="00612DAA">
        <w:rPr>
          <w:rFonts w:cs="Arial"/>
          <w:szCs w:val="17"/>
        </w:rPr>
        <w:t>.</w:t>
      </w:r>
      <w:r w:rsidR="008B3E70">
        <w:rPr>
          <w:rFonts w:cs="Arial"/>
          <w:szCs w:val="17"/>
        </w:rPr>
        <w:t xml:space="preserve"> </w:t>
      </w:r>
      <w:r w:rsidR="00E55405">
        <w:rPr>
          <w:rFonts w:cs="Arial"/>
          <w:szCs w:val="17"/>
        </w:rPr>
        <w:t xml:space="preserve">For a detailed breakdown, please see </w:t>
      </w:r>
      <w:r w:rsidR="00F81868">
        <w:rPr>
          <w:rFonts w:cs="Arial"/>
          <w:szCs w:val="17"/>
        </w:rPr>
        <w:t xml:space="preserve">Exhibits A-11 and A-12 in </w:t>
      </w:r>
      <w:r w:rsidR="00E55405">
        <w:rPr>
          <w:rFonts w:cs="Arial"/>
          <w:szCs w:val="17"/>
        </w:rPr>
        <w:t>Appendix A.</w:t>
      </w:r>
    </w:p>
    <w:p w:rsidRPr="008B3E70" w:rsidR="00D85665" w:rsidP="008B3E70" w:rsidRDefault="00D85665" w14:paraId="2036339C" w14:textId="26766FCD">
      <w:pPr>
        <w:pStyle w:val="Heading3"/>
        <w:rPr>
          <w:b/>
          <w:i w:val="0"/>
          <w:iCs w:val="0"/>
          <w:u w:val="none"/>
        </w:rPr>
      </w:pPr>
      <w:r w:rsidRPr="003E5F77">
        <w:rPr>
          <w:u w:val="none"/>
        </w:rPr>
        <w:t xml:space="preserve"> </w:t>
      </w:r>
      <w:r w:rsidRPr="003E5F77">
        <w:rPr>
          <w:u w:val="none"/>
        </w:rPr>
        <w:tab/>
      </w:r>
      <w:r w:rsidR="005F0438">
        <w:t xml:space="preserve"> </w:t>
      </w:r>
    </w:p>
    <w:p w:rsidRPr="00A948F9" w:rsidR="00D85665" w:rsidP="0022621C" w:rsidRDefault="00C02B77" w14:paraId="2ACBDD8E" w14:textId="74025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szCs w:val="22"/>
        </w:rPr>
        <w:tab/>
      </w:r>
      <w:r w:rsidRPr="002E25AF" w:rsidR="00D85665">
        <w:rPr>
          <w:rFonts w:cs="Arial"/>
        </w:rPr>
        <w:t>In total, EPA estimated that</w:t>
      </w:r>
      <w:r w:rsidRPr="00824871" w:rsidR="00B35F05">
        <w:rPr>
          <w:rFonts w:cs="Arial"/>
        </w:rPr>
        <w:t xml:space="preserve"> </w:t>
      </w:r>
      <w:r w:rsidR="005A0B29">
        <w:rPr>
          <w:rFonts w:cs="Arial"/>
        </w:rPr>
        <w:t>an annual average of 550,700</w:t>
      </w:r>
      <w:r w:rsidRPr="005A0B29" w:rsidR="00D85665">
        <w:rPr>
          <w:rFonts w:cs="Arial"/>
        </w:rPr>
        <w:t xml:space="preserve"> facilities</w:t>
      </w:r>
      <w:r w:rsidRPr="0067251F" w:rsidR="00D85665">
        <w:rPr>
          <w:rFonts w:cs="Arial"/>
        </w:rPr>
        <w:t xml:space="preserve"> would be </w:t>
      </w:r>
      <w:r w:rsidR="00CE3E53">
        <w:rPr>
          <w:rFonts w:cs="Arial"/>
        </w:rPr>
        <w:t>subject to th</w:t>
      </w:r>
      <w:r w:rsidR="008B3E70">
        <w:rPr>
          <w:rFonts w:cs="Arial"/>
        </w:rPr>
        <w:t>ese</w:t>
      </w:r>
      <w:r w:rsidR="00CE3E53">
        <w:rPr>
          <w:rFonts w:cs="Arial"/>
        </w:rPr>
        <w:t xml:space="preserve"> recordkeeping and reporting requirements</w:t>
      </w:r>
      <w:r w:rsidRPr="008B5D27" w:rsidR="2D48C921">
        <w:rPr>
          <w:rFonts w:cs="Arial"/>
        </w:rPr>
        <w:t>.</w:t>
      </w:r>
      <w:r w:rsidRPr="008B5D27" w:rsidR="003F6507">
        <w:rPr>
          <w:rFonts w:cs="Arial"/>
        </w:rPr>
        <w:t xml:space="preserve"> </w:t>
      </w:r>
      <w:r w:rsidRPr="008B5D27" w:rsidR="00D85665">
        <w:rPr>
          <w:rFonts w:cs="Arial"/>
        </w:rPr>
        <w:t>Oil production facilities (</w:t>
      </w:r>
      <w:r w:rsidRPr="008C7BB9" w:rsidR="00B35F05">
        <w:rPr>
          <w:rFonts w:cs="Arial"/>
        </w:rPr>
        <w:t>4</w:t>
      </w:r>
      <w:r w:rsidRPr="008C7BB9" w:rsidR="00644691">
        <w:rPr>
          <w:rFonts w:cs="Arial"/>
        </w:rPr>
        <w:t>4</w:t>
      </w:r>
      <w:r w:rsidRPr="008C7BB9" w:rsidR="00B35F05">
        <w:rPr>
          <w:rFonts w:cs="Arial"/>
        </w:rPr>
        <w:t xml:space="preserve"> </w:t>
      </w:r>
      <w:r w:rsidRPr="008C7BB9" w:rsidR="00D85665">
        <w:rPr>
          <w:rFonts w:cs="Arial"/>
        </w:rPr>
        <w:t xml:space="preserve">percent), </w:t>
      </w:r>
      <w:r w:rsidRPr="008C7BB9" w:rsidR="00B35F05">
        <w:rPr>
          <w:rFonts w:cs="Arial"/>
        </w:rPr>
        <w:t xml:space="preserve">electric utilities (12 percent), real estate rental and leasing (6 percent), and farms (4 percent), </w:t>
      </w:r>
      <w:r w:rsidRPr="00B413CD" w:rsidR="00D85665">
        <w:rPr>
          <w:rFonts w:cs="Arial"/>
        </w:rPr>
        <w:t>account for the majority of SPCC-regulated facilities.</w:t>
      </w:r>
      <w:r w:rsidR="001A5538">
        <w:rPr>
          <w:rFonts w:cs="Arial"/>
        </w:rPr>
        <w:t xml:space="preserve"> Petro</w:t>
      </w:r>
      <w:r w:rsidR="004A45C9">
        <w:rPr>
          <w:rFonts w:cs="Arial"/>
        </w:rPr>
        <w:t xml:space="preserve">leum bulk stations and terminals comprise </w:t>
      </w:r>
      <w:r w:rsidR="00954B8A">
        <w:rPr>
          <w:rFonts w:cs="Arial"/>
        </w:rPr>
        <w:t>one</w:t>
      </w:r>
      <w:r w:rsidR="004A45C9">
        <w:rPr>
          <w:rFonts w:cs="Arial"/>
        </w:rPr>
        <w:t xml:space="preserve"> percent </w:t>
      </w:r>
      <w:r w:rsidR="00272EA5">
        <w:rPr>
          <w:rFonts w:cs="Arial"/>
        </w:rPr>
        <w:t xml:space="preserve">of </w:t>
      </w:r>
      <w:r w:rsidR="00B03314">
        <w:rPr>
          <w:rFonts w:cs="Arial"/>
        </w:rPr>
        <w:t>SPCC-regulated facilities.</w:t>
      </w:r>
      <w:r w:rsidR="00321FF5">
        <w:rPr>
          <w:rFonts w:cs="Arial"/>
        </w:rPr>
        <w:t xml:space="preserve"> </w:t>
      </w:r>
    </w:p>
    <w:p w:rsidRPr="00D159DC" w:rsidR="00EF1078" w:rsidP="00F21434" w:rsidRDefault="00EF1078" w14:paraId="69FF500C" w14:textId="777777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rPr>
      </w:pPr>
      <w:bookmarkStart w:name="_Toc156740902" w:id="13"/>
      <w:bookmarkEnd w:id="13"/>
    </w:p>
    <w:p w:rsidR="00D85665" w:rsidP="00E827A7" w:rsidRDefault="00D85665" w14:paraId="28F45849" w14:textId="7AA7445F">
      <w:pPr>
        <w:pStyle w:val="Heading2"/>
      </w:pPr>
      <w:r w:rsidRPr="00854FC2">
        <w:tab/>
        <w:t>6(e)</w:t>
      </w:r>
      <w:r w:rsidRPr="00854FC2">
        <w:tab/>
      </w:r>
      <w:r w:rsidR="00046096">
        <w:t>Bottom Line Burden Hours and Cost Tables</w:t>
      </w:r>
    </w:p>
    <w:p w:rsidRPr="00714261" w:rsidR="00714261" w:rsidP="00714261" w:rsidRDefault="00714261" w14:paraId="4C2E1A2A" w14:textId="77777777"/>
    <w:p w:rsidRPr="00854FC2" w:rsidR="00D85665" w:rsidRDefault="00074F8C" w14:paraId="5641DB47" w14:textId="70C535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sidRPr="00854FC2" w:rsidR="00D85665">
        <w:rPr>
          <w:rFonts w:cs="Arial"/>
          <w:szCs w:val="22"/>
        </w:rPr>
        <w:t xml:space="preserve">The </w:t>
      </w:r>
      <w:r w:rsidRPr="00C56296" w:rsidR="00D85665">
        <w:rPr>
          <w:rFonts w:cs="Arial"/>
          <w:szCs w:val="22"/>
        </w:rPr>
        <w:t>total estimated burden hours and costs incurred by all new and existing facilities are summarized in</w:t>
      </w:r>
      <w:r w:rsidR="00DA1FAE">
        <w:rPr>
          <w:rFonts w:cs="Arial"/>
          <w:szCs w:val="22"/>
        </w:rPr>
        <w:t xml:space="preserve"> Exhibit 4.</w:t>
      </w:r>
      <w:r w:rsidRPr="009E0540" w:rsidR="00DC152E">
        <w:rPr>
          <w:rFonts w:cs="Arial"/>
          <w:szCs w:val="22"/>
        </w:rPr>
        <w:t xml:space="preserve"> </w:t>
      </w:r>
      <w:r w:rsidRPr="009E0540" w:rsidR="00C41069">
        <w:rPr>
          <w:rFonts w:cs="Arial"/>
          <w:szCs w:val="22"/>
        </w:rPr>
        <w:t xml:space="preserve">The annual average total burden is estimated at </w:t>
      </w:r>
      <w:r w:rsidRPr="00E827A7" w:rsidR="00C41069">
        <w:rPr>
          <w:rFonts w:cs="Arial"/>
          <w:szCs w:val="22"/>
        </w:rPr>
        <w:t>6.3 million hours; the annual average total cost is estimated at $858 million.</w:t>
      </w:r>
      <w:r w:rsidRPr="00854FC2" w:rsidR="00D85665">
        <w:rPr>
          <w:rFonts w:cs="Arial"/>
          <w:szCs w:val="22"/>
        </w:rPr>
        <w:t xml:space="preserve"> </w:t>
      </w:r>
      <w:r w:rsidR="00DA1FAE">
        <w:rPr>
          <w:rFonts w:cs="Arial"/>
          <w:szCs w:val="22"/>
        </w:rPr>
        <w:t>E</w:t>
      </w:r>
      <w:r w:rsidRPr="00854FC2" w:rsidR="00D85665">
        <w:rPr>
          <w:rFonts w:cs="Arial"/>
          <w:szCs w:val="22"/>
        </w:rPr>
        <w:t>xhibit</w:t>
      </w:r>
      <w:r w:rsidR="008A679E">
        <w:rPr>
          <w:rFonts w:cs="Arial"/>
          <w:szCs w:val="22"/>
        </w:rPr>
        <w:t xml:space="preserve"> 4</w:t>
      </w:r>
      <w:r w:rsidRPr="00854FC2" w:rsidR="00D85665">
        <w:rPr>
          <w:rFonts w:cs="Arial"/>
          <w:szCs w:val="22"/>
        </w:rPr>
        <w:t xml:space="preserve"> shows the burden and cost components for each year of this ICR, along with</w:t>
      </w:r>
      <w:r w:rsidR="00A24428">
        <w:rPr>
          <w:rFonts w:cs="Arial"/>
          <w:szCs w:val="22"/>
        </w:rPr>
        <w:t xml:space="preserve"> three-year</w:t>
      </w:r>
      <w:r w:rsidRPr="00854FC2" w:rsidR="00D85665">
        <w:rPr>
          <w:rFonts w:cs="Arial"/>
          <w:szCs w:val="22"/>
        </w:rPr>
        <w:t xml:space="preserve"> total and annual costs. </w:t>
      </w:r>
    </w:p>
    <w:p w:rsidRPr="00854FC2" w:rsidR="00D85665" w:rsidRDefault="00D85665" w14:paraId="378618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7C4667" w:rsidR="00D85665" w:rsidP="00DA1FAE" w:rsidRDefault="00D85665" w14:paraId="2E65A017" w14:textId="5E38082D">
      <w:pPr>
        <w:pStyle w:val="Caption"/>
        <w:rPr>
          <w:szCs w:val="22"/>
        </w:rPr>
      </w:pPr>
      <w:bookmarkStart w:name="_Ref141690606" w:id="14"/>
      <w:r w:rsidRPr="007C4667">
        <w:rPr>
          <w:szCs w:val="22"/>
        </w:rPr>
        <w:t xml:space="preserve">Exhibit </w:t>
      </w:r>
      <w:bookmarkEnd w:id="14"/>
      <w:r xmlns:w="http://schemas.openxmlformats.org/wordprocessingml/2006/main" w:rsidR="00DA1FAE">
        <w:rPr>
          <w:szCs w:val="22"/>
        </w:rPr>
        <w:t>4</w:t>
      </w:r>
    </w:p>
    <w:tbl>
      <w:tblPr>
        <w:tblW w:w="9972" w:type="dxa"/>
        <w:tblInd w:w="108" w:type="dxa"/>
        <w:tblLook w:val="0000" w:firstRow="0" w:lastRow="0" w:firstColumn="0" w:lastColumn="0" w:noHBand="0" w:noVBand="0"/>
      </w:tblPr>
      <w:tblGrid>
        <w:gridCol w:w="1884"/>
        <w:gridCol w:w="168"/>
        <w:gridCol w:w="1530"/>
        <w:gridCol w:w="2070"/>
        <w:gridCol w:w="1530"/>
        <w:gridCol w:w="1350"/>
        <w:gridCol w:w="1440"/>
      </w:tblGrid>
      <w:tr w:rsidRPr="007C4667" w:rsidR="007A7509" w:rsidTr="007C4667" w14:paraId="30498ACD" w14:textId="77777777">
        <w:trPr>
          <w:trHeight w:val="299"/>
        </w:trPr>
        <w:tc>
          <w:tcPr>
            <w:tcW w:w="1884" w:type="dxa"/>
            <w:tcBorders>
              <w:top w:val="nil"/>
              <w:left w:val="nil"/>
              <w:bottom w:val="double" w:color="000000" w:sz="6" w:space="0"/>
              <w:right w:val="nil"/>
            </w:tcBorders>
          </w:tcPr>
          <w:p w:rsidRPr="007C4667" w:rsidR="007A7509" w:rsidP="00DA1FAE" w:rsidRDefault="007A7509" w14:paraId="0DBC86CC" w14:textId="77777777">
            <w:pPr>
              <w:keepNext/>
              <w:keepLines/>
              <w:rPr>
                <w:rFonts w:cs="Arial"/>
                <w:b/>
                <w:bCs/>
                <w:szCs w:val="22"/>
              </w:rPr>
            </w:pPr>
          </w:p>
        </w:tc>
        <w:tc>
          <w:tcPr>
            <w:tcW w:w="8088" w:type="dxa"/>
            <w:gridSpan w:val="6"/>
            <w:tcBorders>
              <w:top w:val="nil"/>
              <w:left w:val="nil"/>
              <w:bottom w:val="double" w:color="000000" w:sz="6" w:space="0"/>
              <w:right w:val="nil"/>
            </w:tcBorders>
            <w:noWrap/>
            <w:vAlign w:val="bottom"/>
          </w:tcPr>
          <w:p w:rsidRPr="007C4667" w:rsidR="007A7509" w:rsidP="00DA1FAE" w:rsidRDefault="007A7509" w14:paraId="0BBB6CCC" w14:textId="1955DAED">
            <w:pPr>
              <w:keepNext/>
              <w:keepLines/>
              <w:rPr>
                <w:rFonts w:cs="Arial"/>
                <w:b/>
                <w:bCs/>
                <w:szCs w:val="22"/>
              </w:rPr>
            </w:pPr>
            <w:r w:rsidRPr="007C4667">
              <w:rPr>
                <w:rFonts w:cs="Arial"/>
                <w:b/>
                <w:bCs/>
                <w:szCs w:val="22"/>
              </w:rPr>
              <w:t>Estimated Total Burden and Costs for Facilities</w:t>
            </w:r>
          </w:p>
        </w:tc>
      </w:tr>
      <w:tr w:rsidRPr="00FC1963" w:rsidR="007A7509" w:rsidTr="007C4667" w14:paraId="5C81EE8B" w14:textId="77777777">
        <w:trPr>
          <w:cantSplit/>
          <w:trHeight w:val="751"/>
        </w:trPr>
        <w:tc>
          <w:tcPr>
            <w:tcW w:w="2052" w:type="dxa"/>
            <w:gridSpan w:val="2"/>
            <w:vMerge w:val="restart"/>
            <w:tcBorders>
              <w:top w:val="nil"/>
              <w:left w:val="double" w:color="000000" w:sz="6" w:space="0"/>
              <w:bottom w:val="double" w:color="000000" w:sz="6" w:space="0"/>
              <w:right w:val="double" w:color="000000" w:sz="6" w:space="0"/>
            </w:tcBorders>
            <w:tcMar>
              <w:top w:w="29" w:type="dxa"/>
              <w:left w:w="115" w:type="dxa"/>
              <w:bottom w:w="29" w:type="dxa"/>
              <w:right w:w="115" w:type="dxa"/>
            </w:tcMar>
            <w:vAlign w:val="center"/>
          </w:tcPr>
          <w:p w:rsidRPr="00CD5AC3" w:rsidR="007A7509" w:rsidP="00A61A19" w:rsidRDefault="007A7509" w14:paraId="105EB943" w14:textId="77777777">
            <w:pPr>
              <w:keepNext/>
              <w:keepLines/>
              <w:jc w:val="center"/>
              <w:rPr>
                <w:rFonts w:cs="Arial"/>
                <w:b/>
                <w:bCs/>
                <w:sz w:val="20"/>
                <w:szCs w:val="20"/>
              </w:rPr>
            </w:pPr>
            <w:r w:rsidRPr="00B7180E">
              <w:rPr>
                <w:rFonts w:cs="Arial"/>
                <w:b/>
                <w:bCs/>
                <w:sz w:val="20"/>
                <w:szCs w:val="20"/>
              </w:rPr>
              <w:t>Year</w:t>
            </w:r>
          </w:p>
        </w:tc>
        <w:tc>
          <w:tcPr>
            <w:tcW w:w="1530" w:type="dxa"/>
            <w:vMerge w:val="restart"/>
            <w:tcBorders>
              <w:top w:val="nil"/>
              <w:left w:val="double" w:color="000000" w:sz="6" w:space="0"/>
              <w:right w:val="double" w:color="000000" w:sz="6" w:space="0"/>
            </w:tcBorders>
          </w:tcPr>
          <w:p w:rsidRPr="00CD5AC3" w:rsidR="007A7509" w:rsidP="007E108A" w:rsidRDefault="007A7509" w14:paraId="4708437F" w14:textId="77777777">
            <w:pPr>
              <w:keepNext/>
              <w:keepLines/>
              <w:rPr>
                <w:rFonts w:cs="Arial"/>
                <w:b/>
                <w:bCs/>
                <w:sz w:val="20"/>
                <w:szCs w:val="20"/>
              </w:rPr>
            </w:pPr>
          </w:p>
          <w:p w:rsidRPr="00AF4A8E" w:rsidR="007A7509" w:rsidP="007E108A" w:rsidRDefault="007A7509" w14:paraId="4E99A57A" w14:textId="77777777">
            <w:pPr>
              <w:keepNext/>
              <w:keepLines/>
              <w:rPr>
                <w:rFonts w:cs="Arial"/>
                <w:b/>
                <w:bCs/>
                <w:sz w:val="20"/>
                <w:szCs w:val="20"/>
              </w:rPr>
            </w:pPr>
          </w:p>
          <w:p w:rsidRPr="00925E98" w:rsidR="007A7509" w:rsidP="007E108A" w:rsidRDefault="007A7509" w14:paraId="5BA749A6" w14:textId="3FEBA805">
            <w:pPr>
              <w:keepNext/>
              <w:keepLines/>
              <w:rPr>
                <w:rFonts w:cs="Arial"/>
                <w:b/>
                <w:bCs/>
                <w:sz w:val="20"/>
                <w:szCs w:val="20"/>
              </w:rPr>
            </w:pPr>
            <w:r w:rsidRPr="00AF4A8E">
              <w:rPr>
                <w:rFonts w:cs="Arial"/>
                <w:b/>
                <w:bCs/>
                <w:sz w:val="20"/>
                <w:szCs w:val="20"/>
              </w:rPr>
              <w:t>Respon</w:t>
            </w:r>
            <w:r w:rsidRPr="00925E98">
              <w:rPr>
                <w:rFonts w:cs="Arial"/>
                <w:b/>
                <w:bCs/>
                <w:sz w:val="20"/>
                <w:szCs w:val="20"/>
              </w:rPr>
              <w:t>dents</w:t>
            </w:r>
          </w:p>
        </w:tc>
        <w:tc>
          <w:tcPr>
            <w:tcW w:w="2070" w:type="dxa"/>
            <w:vMerge w:val="restart"/>
            <w:tcBorders>
              <w:top w:val="nil"/>
              <w:left w:val="double" w:color="000000" w:sz="6" w:space="0"/>
              <w:bottom w:val="double" w:color="000000" w:sz="6" w:space="0"/>
              <w:right w:val="double" w:color="000000" w:sz="6" w:space="0"/>
            </w:tcBorders>
            <w:tcMar>
              <w:top w:w="29" w:type="dxa"/>
              <w:left w:w="115" w:type="dxa"/>
              <w:bottom w:w="29" w:type="dxa"/>
              <w:right w:w="115" w:type="dxa"/>
            </w:tcMar>
            <w:vAlign w:val="center"/>
          </w:tcPr>
          <w:p w:rsidRPr="00B7180E" w:rsidR="007A7509" w:rsidP="00A61A19" w:rsidRDefault="007A7509" w14:paraId="1CF5EA34" w14:textId="148C0BA4">
            <w:pPr>
              <w:keepNext/>
              <w:keepLines/>
              <w:jc w:val="center"/>
              <w:rPr>
                <w:rFonts w:cs="Arial"/>
                <w:b/>
                <w:bCs/>
                <w:sz w:val="20"/>
                <w:szCs w:val="20"/>
              </w:rPr>
            </w:pPr>
            <w:r w:rsidRPr="00925E98">
              <w:rPr>
                <w:rFonts w:cs="Arial"/>
                <w:b/>
                <w:bCs/>
                <w:sz w:val="20"/>
                <w:szCs w:val="20"/>
              </w:rPr>
              <w:t>Total Burden (million hours)</w:t>
            </w:r>
          </w:p>
        </w:tc>
        <w:tc>
          <w:tcPr>
            <w:tcW w:w="4320" w:type="dxa"/>
            <w:gridSpan w:val="3"/>
            <w:tcBorders>
              <w:top w:val="double" w:color="000000" w:sz="6" w:space="0"/>
              <w:left w:val="nil"/>
              <w:bottom w:val="single" w:color="auto" w:sz="4" w:space="0"/>
              <w:right w:val="double" w:color="000000" w:sz="6" w:space="0"/>
            </w:tcBorders>
            <w:tcMar>
              <w:top w:w="29" w:type="dxa"/>
              <w:left w:w="115" w:type="dxa"/>
              <w:bottom w:w="29" w:type="dxa"/>
              <w:right w:w="115" w:type="dxa"/>
            </w:tcMar>
            <w:vAlign w:val="center"/>
          </w:tcPr>
          <w:p w:rsidRPr="00925E98" w:rsidR="007A7509" w:rsidP="00442669" w:rsidRDefault="007A7509" w14:paraId="21267C79" w14:textId="3F91BDC7">
            <w:pPr>
              <w:keepNext/>
              <w:keepLines/>
              <w:jc w:val="center"/>
              <w:rPr>
                <w:rFonts w:cs="Arial"/>
                <w:b/>
                <w:bCs/>
                <w:sz w:val="20"/>
                <w:szCs w:val="20"/>
              </w:rPr>
            </w:pPr>
            <w:r w:rsidRPr="00CD5AC3">
              <w:rPr>
                <w:rFonts w:cs="Arial"/>
                <w:b/>
                <w:bCs/>
                <w:sz w:val="20"/>
                <w:szCs w:val="20"/>
              </w:rPr>
              <w:t xml:space="preserve">Total Cost </w:t>
            </w:r>
            <w:r w:rsidRPr="00AF4A8E">
              <w:rPr>
                <w:rFonts w:cs="Arial"/>
                <w:b/>
                <w:sz w:val="20"/>
                <w:szCs w:val="20"/>
              </w:rPr>
              <w:t>(</w:t>
            </w:r>
            <w:r w:rsidRPr="00AF4A8E">
              <w:rPr>
                <w:rFonts w:cs="Arial"/>
                <w:b/>
                <w:bCs/>
                <w:sz w:val="20"/>
                <w:szCs w:val="20"/>
              </w:rPr>
              <w:t>201</w:t>
            </w:r>
            <w:r w:rsidRPr="00925E98">
              <w:rPr>
                <w:rFonts w:cs="Arial"/>
                <w:b/>
                <w:bCs/>
                <w:sz w:val="20"/>
                <w:szCs w:val="20"/>
              </w:rPr>
              <w:t>8$, millions)</w:t>
            </w:r>
          </w:p>
        </w:tc>
      </w:tr>
      <w:tr w:rsidRPr="00FC1963" w:rsidR="007A7509" w:rsidTr="007C4667" w14:paraId="7186971D" w14:textId="77777777">
        <w:trPr>
          <w:cantSplit/>
          <w:trHeight w:val="286"/>
        </w:trPr>
        <w:tc>
          <w:tcPr>
            <w:tcW w:w="2052" w:type="dxa"/>
            <w:gridSpan w:val="2"/>
            <w:vMerge/>
            <w:tcBorders>
              <w:top w:val="nil"/>
              <w:left w:val="double" w:color="000000" w:sz="6" w:space="0"/>
              <w:bottom w:val="double" w:color="000000" w:sz="6" w:space="0"/>
              <w:right w:val="double" w:color="000000" w:sz="6" w:space="0"/>
            </w:tcBorders>
            <w:tcMar>
              <w:top w:w="29" w:type="dxa"/>
              <w:left w:w="115" w:type="dxa"/>
              <w:bottom w:w="29" w:type="dxa"/>
              <w:right w:w="115" w:type="dxa"/>
            </w:tcMar>
            <w:vAlign w:val="center"/>
          </w:tcPr>
          <w:p w:rsidRPr="00FC1963" w:rsidR="007A7509" w:rsidP="00A61A19" w:rsidRDefault="007A7509" w14:paraId="7FA93A5C" w14:textId="77777777">
            <w:pPr>
              <w:keepNext/>
              <w:keepLines/>
              <w:rPr>
                <w:rFonts w:cs="Arial"/>
                <w:b/>
                <w:bCs/>
                <w:sz w:val="20"/>
                <w:szCs w:val="20"/>
              </w:rPr>
            </w:pPr>
          </w:p>
        </w:tc>
        <w:tc>
          <w:tcPr>
            <w:tcW w:w="1530" w:type="dxa"/>
            <w:vMerge/>
            <w:tcBorders>
              <w:left w:val="double" w:color="000000" w:sz="6" w:space="0"/>
              <w:bottom w:val="double" w:color="000000" w:sz="6" w:space="0"/>
              <w:right w:val="double" w:color="000000" w:sz="6" w:space="0"/>
            </w:tcBorders>
          </w:tcPr>
          <w:p w:rsidRPr="00FC1963" w:rsidR="007A7509" w:rsidP="00A61A19" w:rsidRDefault="007A7509" w14:paraId="0288BE9F" w14:textId="77777777">
            <w:pPr>
              <w:keepNext/>
              <w:keepLines/>
              <w:rPr>
                <w:rFonts w:cs="Arial"/>
                <w:b/>
                <w:bCs/>
                <w:sz w:val="20"/>
                <w:szCs w:val="20"/>
              </w:rPr>
            </w:pPr>
          </w:p>
        </w:tc>
        <w:tc>
          <w:tcPr>
            <w:tcW w:w="2070" w:type="dxa"/>
            <w:vMerge/>
            <w:tcBorders>
              <w:top w:val="nil"/>
              <w:left w:val="double" w:color="000000" w:sz="6" w:space="0"/>
              <w:bottom w:val="double" w:color="000000" w:sz="6" w:space="0"/>
              <w:right w:val="double" w:color="000000" w:sz="6" w:space="0"/>
            </w:tcBorders>
            <w:tcMar>
              <w:top w:w="29" w:type="dxa"/>
              <w:left w:w="115" w:type="dxa"/>
              <w:bottom w:w="29" w:type="dxa"/>
              <w:right w:w="115" w:type="dxa"/>
            </w:tcMar>
            <w:vAlign w:val="center"/>
          </w:tcPr>
          <w:p w:rsidRPr="00FC1963" w:rsidR="007A7509" w:rsidP="00A61A19" w:rsidRDefault="007A7509" w14:paraId="1A30E2E5" w14:textId="3BC1528D">
            <w:pPr>
              <w:keepNext/>
              <w:keepLines/>
              <w:rPr>
                <w:rFonts w:cs="Arial"/>
                <w:b/>
                <w:bCs/>
                <w:sz w:val="20"/>
                <w:szCs w:val="20"/>
              </w:rPr>
            </w:pPr>
          </w:p>
        </w:tc>
        <w:tc>
          <w:tcPr>
            <w:tcW w:w="1530" w:type="dxa"/>
            <w:tcBorders>
              <w:top w:val="nil"/>
              <w:left w:val="nil"/>
              <w:bottom w:val="double" w:color="000000" w:sz="6" w:space="0"/>
              <w:right w:val="nil"/>
            </w:tcBorders>
            <w:tcMar>
              <w:top w:w="29" w:type="dxa"/>
              <w:left w:w="115" w:type="dxa"/>
              <w:bottom w:w="29" w:type="dxa"/>
              <w:right w:w="115" w:type="dxa"/>
            </w:tcMar>
            <w:vAlign w:val="center"/>
          </w:tcPr>
          <w:p w:rsidRPr="00FC1963" w:rsidR="007A7509" w:rsidP="00A61A19" w:rsidRDefault="007A7509" w14:paraId="607D2E40" w14:textId="77777777">
            <w:pPr>
              <w:keepNext/>
              <w:keepLines/>
              <w:jc w:val="center"/>
              <w:rPr>
                <w:rFonts w:cs="Arial"/>
                <w:b/>
                <w:bCs/>
                <w:sz w:val="20"/>
                <w:szCs w:val="20"/>
              </w:rPr>
            </w:pPr>
            <w:r w:rsidRPr="00FC1963">
              <w:rPr>
                <w:rFonts w:cs="Arial"/>
                <w:b/>
                <w:bCs/>
                <w:sz w:val="20"/>
                <w:szCs w:val="20"/>
              </w:rPr>
              <w:t>Labor</w:t>
            </w:r>
          </w:p>
        </w:tc>
        <w:tc>
          <w:tcPr>
            <w:tcW w:w="1350" w:type="dxa"/>
            <w:tcBorders>
              <w:top w:val="nil"/>
              <w:left w:val="single" w:color="000000" w:sz="8" w:space="0"/>
              <w:bottom w:val="double" w:color="000000" w:sz="6" w:space="0"/>
              <w:right w:val="nil"/>
            </w:tcBorders>
            <w:tcMar>
              <w:top w:w="29" w:type="dxa"/>
              <w:left w:w="115" w:type="dxa"/>
              <w:bottom w:w="29" w:type="dxa"/>
              <w:right w:w="115" w:type="dxa"/>
            </w:tcMar>
            <w:vAlign w:val="center"/>
          </w:tcPr>
          <w:p w:rsidRPr="00B7180E" w:rsidR="007A7509" w:rsidP="00C56296" w:rsidRDefault="00A14075" w14:paraId="3D643CE5" w14:textId="5B2123E2">
            <w:pPr>
              <w:keepNext/>
              <w:keepLines/>
              <w:jc w:val="center"/>
              <w:rPr>
                <w:rFonts w:cs="Arial"/>
                <w:b/>
                <w:bCs/>
                <w:sz w:val="20"/>
                <w:szCs w:val="20"/>
              </w:rPr>
            </w:pPr>
            <w:r>
              <w:rPr>
                <w:rFonts w:cs="Arial"/>
                <w:b/>
                <w:bCs/>
                <w:sz w:val="20"/>
                <w:szCs w:val="20"/>
              </w:rPr>
              <w:t>PE Labor</w:t>
            </w:r>
            <w:r w:rsidRPr="008506AE">
              <w:rPr>
                <w:rFonts w:cs="Arial"/>
                <w:b/>
                <w:bCs/>
                <w:sz w:val="18"/>
                <w:szCs w:val="18"/>
                <w:vertAlign w:val="superscript"/>
              </w:rPr>
              <w:t>a</w:t>
            </w:r>
          </w:p>
        </w:tc>
        <w:tc>
          <w:tcPr>
            <w:tcW w:w="1440" w:type="dxa"/>
            <w:tcBorders>
              <w:top w:val="nil"/>
              <w:left w:val="single" w:color="000000" w:sz="8" w:space="0"/>
              <w:bottom w:val="double" w:color="000000" w:sz="6" w:space="0"/>
              <w:right w:val="double" w:color="000000" w:sz="6" w:space="0"/>
            </w:tcBorders>
            <w:tcMar>
              <w:top w:w="29" w:type="dxa"/>
              <w:left w:w="115" w:type="dxa"/>
              <w:bottom w:w="29" w:type="dxa"/>
              <w:right w:w="115" w:type="dxa"/>
            </w:tcMar>
            <w:vAlign w:val="center"/>
          </w:tcPr>
          <w:p w:rsidRPr="00AF4A8E" w:rsidR="007A7509" w:rsidP="00A61A19" w:rsidRDefault="007A7509" w14:paraId="4980E965" w14:textId="77777777">
            <w:pPr>
              <w:keepNext/>
              <w:keepLines/>
              <w:jc w:val="center"/>
              <w:rPr>
                <w:rFonts w:cs="Arial"/>
                <w:b/>
                <w:bCs/>
                <w:sz w:val="20"/>
                <w:szCs w:val="20"/>
              </w:rPr>
            </w:pPr>
            <w:r w:rsidRPr="00CD5AC3">
              <w:rPr>
                <w:rFonts w:cs="Arial"/>
                <w:b/>
                <w:bCs/>
                <w:sz w:val="20"/>
                <w:szCs w:val="20"/>
              </w:rPr>
              <w:t>Total</w:t>
            </w:r>
          </w:p>
        </w:tc>
      </w:tr>
      <w:tr w:rsidRPr="00FC1963" w:rsidR="00FC1963" w:rsidTr="007C4667" w14:paraId="233EB04D" w14:textId="77777777">
        <w:trPr>
          <w:trHeight w:val="272"/>
        </w:trPr>
        <w:tc>
          <w:tcPr>
            <w:tcW w:w="2052" w:type="dxa"/>
            <w:gridSpan w:val="2"/>
            <w:tcBorders>
              <w:top w:val="nil"/>
              <w:left w:val="double" w:color="000000" w:sz="6" w:space="0"/>
              <w:bottom w:val="single" w:color="auto" w:sz="4" w:space="0"/>
              <w:right w:val="nil"/>
            </w:tcBorders>
            <w:tcMar>
              <w:top w:w="29" w:type="dxa"/>
              <w:left w:w="115" w:type="dxa"/>
              <w:bottom w:w="29" w:type="dxa"/>
              <w:right w:w="115" w:type="dxa"/>
            </w:tcMar>
            <w:vAlign w:val="center"/>
          </w:tcPr>
          <w:p w:rsidRPr="00CD5AC3" w:rsidR="007A7509" w:rsidP="00526E8C" w:rsidRDefault="007A7509" w14:paraId="5360220E" w14:textId="77777777">
            <w:pPr>
              <w:pStyle w:val="FootnoteText"/>
              <w:keepNext/>
              <w:keepLines/>
              <w:rPr>
                <w:rFonts w:cs="Arial"/>
              </w:rPr>
            </w:pPr>
            <w:r w:rsidRPr="00B7180E">
              <w:rPr>
                <w:rFonts w:cs="Arial"/>
              </w:rPr>
              <w:t>First</w:t>
            </w:r>
          </w:p>
        </w:tc>
        <w:tc>
          <w:tcPr>
            <w:tcW w:w="1530" w:type="dxa"/>
            <w:tcBorders>
              <w:top w:val="nil"/>
              <w:left w:val="single" w:color="auto" w:sz="4" w:space="0"/>
              <w:bottom w:val="single" w:color="auto" w:sz="4" w:space="0"/>
              <w:right w:val="single" w:color="auto" w:sz="4" w:space="0"/>
            </w:tcBorders>
            <w:shd w:val="clear" w:color="000000" w:fill="FFFFFF"/>
          </w:tcPr>
          <w:p w:rsidRPr="00CD5AC3" w:rsidR="007A7509" w:rsidP="00DA1FAE" w:rsidRDefault="00DA1FAE" w14:paraId="17FC83D8" w14:textId="6848FF91">
            <w:pPr>
              <w:jc w:val="center"/>
              <w:rPr>
                <w:rFonts w:cs="Arial"/>
                <w:sz w:val="20"/>
                <w:szCs w:val="20"/>
              </w:rPr>
            </w:pPr>
            <w:r>
              <w:rPr>
                <w:rFonts w:cs="Arial"/>
                <w:sz w:val="20"/>
                <w:szCs w:val="20"/>
              </w:rPr>
              <w:t>550,900</w:t>
            </w:r>
          </w:p>
        </w:tc>
        <w:tc>
          <w:tcPr>
            <w:tcW w:w="2070" w:type="dxa"/>
            <w:tcBorders>
              <w:top w:val="nil"/>
              <w:left w:val="single" w:color="auto" w:sz="4" w:space="0"/>
              <w:bottom w:val="single" w:color="auto" w:sz="4" w:space="0"/>
              <w:right w:val="single" w:color="auto" w:sz="4" w:space="0"/>
            </w:tcBorders>
            <w:shd w:val="clear" w:color="000000" w:fill="FFFFFF"/>
            <w:tcMar>
              <w:top w:w="29" w:type="dxa"/>
              <w:left w:w="115" w:type="dxa"/>
              <w:bottom w:w="29" w:type="dxa"/>
              <w:right w:w="115" w:type="dxa"/>
            </w:tcMar>
            <w:vAlign w:val="center"/>
          </w:tcPr>
          <w:p w:rsidRPr="00AF4A8E" w:rsidR="007A7509" w:rsidP="00526E8C" w:rsidRDefault="007A7509" w14:paraId="2A0749EE" w14:textId="5305939B">
            <w:pPr>
              <w:jc w:val="right"/>
              <w:rPr>
                <w:rFonts w:cs="Arial"/>
                <w:sz w:val="20"/>
                <w:szCs w:val="20"/>
              </w:rPr>
            </w:pPr>
            <w:r w:rsidRPr="00AF4A8E">
              <w:rPr>
                <w:rFonts w:cs="Arial"/>
                <w:sz w:val="20"/>
                <w:szCs w:val="20"/>
              </w:rPr>
              <w:t>6.3</w:t>
            </w:r>
          </w:p>
        </w:tc>
        <w:tc>
          <w:tcPr>
            <w:tcW w:w="1530" w:type="dxa"/>
            <w:tcBorders>
              <w:top w:val="nil"/>
              <w:left w:val="nil"/>
              <w:bottom w:val="sing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74ABF6F1" w14:textId="79528936">
            <w:pPr>
              <w:jc w:val="right"/>
              <w:rPr>
                <w:rFonts w:cs="Arial"/>
                <w:sz w:val="20"/>
                <w:szCs w:val="20"/>
              </w:rPr>
            </w:pPr>
            <w:r w:rsidRPr="00925E98">
              <w:rPr>
                <w:rFonts w:cs="Arial"/>
                <w:sz w:val="20"/>
                <w:szCs w:val="20"/>
              </w:rPr>
              <w:t xml:space="preserve">$655 </w:t>
            </w:r>
          </w:p>
        </w:tc>
        <w:tc>
          <w:tcPr>
            <w:tcW w:w="1350" w:type="dxa"/>
            <w:tcBorders>
              <w:top w:val="nil"/>
              <w:left w:val="nil"/>
              <w:bottom w:val="sing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042D6055" w14:textId="7835986F">
            <w:pPr>
              <w:jc w:val="right"/>
              <w:rPr>
                <w:rFonts w:cs="Arial"/>
                <w:sz w:val="20"/>
                <w:szCs w:val="20"/>
              </w:rPr>
            </w:pPr>
            <w:r w:rsidRPr="00925E98">
              <w:rPr>
                <w:rFonts w:cs="Arial"/>
                <w:sz w:val="20"/>
                <w:szCs w:val="20"/>
              </w:rPr>
              <w:t xml:space="preserve">$201 </w:t>
            </w:r>
          </w:p>
        </w:tc>
        <w:tc>
          <w:tcPr>
            <w:tcW w:w="1440" w:type="dxa"/>
            <w:tcBorders>
              <w:top w:val="double" w:color="000000" w:sz="6" w:space="0"/>
              <w:left w:val="nil"/>
              <w:bottom w:val="single" w:color="auto" w:sz="4" w:space="0"/>
              <w:right w:val="doub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5BD55C31" w14:textId="34C78F9A">
            <w:pPr>
              <w:jc w:val="right"/>
              <w:rPr>
                <w:rFonts w:cs="Arial"/>
                <w:sz w:val="20"/>
                <w:szCs w:val="20"/>
              </w:rPr>
            </w:pPr>
            <w:r w:rsidRPr="00925E98">
              <w:rPr>
                <w:rFonts w:cs="Arial"/>
                <w:sz w:val="20"/>
                <w:szCs w:val="20"/>
              </w:rPr>
              <w:t xml:space="preserve">$856 </w:t>
            </w:r>
          </w:p>
        </w:tc>
      </w:tr>
      <w:tr w:rsidRPr="00FC1963" w:rsidR="00FC1963" w:rsidTr="007C4667" w14:paraId="4A6893CC" w14:textId="77777777">
        <w:trPr>
          <w:trHeight w:val="258"/>
        </w:trPr>
        <w:tc>
          <w:tcPr>
            <w:tcW w:w="2052" w:type="dxa"/>
            <w:gridSpan w:val="2"/>
            <w:tcBorders>
              <w:top w:val="nil"/>
              <w:left w:val="double" w:color="000000" w:sz="6" w:space="0"/>
              <w:bottom w:val="single" w:color="auto" w:sz="4" w:space="0"/>
              <w:right w:val="nil"/>
            </w:tcBorders>
            <w:tcMar>
              <w:top w:w="29" w:type="dxa"/>
              <w:left w:w="115" w:type="dxa"/>
              <w:bottom w:w="29" w:type="dxa"/>
              <w:right w:w="115" w:type="dxa"/>
            </w:tcMar>
            <w:vAlign w:val="center"/>
          </w:tcPr>
          <w:p w:rsidRPr="00CD5AC3" w:rsidR="007A7509" w:rsidP="00526E8C" w:rsidRDefault="007A7509" w14:paraId="36FE2E0C" w14:textId="77777777">
            <w:pPr>
              <w:keepNext/>
              <w:keepLines/>
              <w:rPr>
                <w:rFonts w:cs="Arial"/>
                <w:sz w:val="20"/>
                <w:szCs w:val="20"/>
              </w:rPr>
            </w:pPr>
            <w:r w:rsidRPr="00B7180E">
              <w:rPr>
                <w:rFonts w:cs="Arial"/>
                <w:sz w:val="20"/>
                <w:szCs w:val="20"/>
              </w:rPr>
              <w:t>Second</w:t>
            </w:r>
          </w:p>
        </w:tc>
        <w:tc>
          <w:tcPr>
            <w:tcW w:w="1530" w:type="dxa"/>
            <w:tcBorders>
              <w:top w:val="nil"/>
              <w:left w:val="single" w:color="auto" w:sz="4" w:space="0"/>
              <w:bottom w:val="single" w:color="auto" w:sz="4" w:space="0"/>
              <w:right w:val="single" w:color="auto" w:sz="4" w:space="0"/>
            </w:tcBorders>
            <w:shd w:val="clear" w:color="000000" w:fill="FFFFFF"/>
          </w:tcPr>
          <w:p w:rsidRPr="00CD5AC3" w:rsidR="007A7509" w:rsidP="00DA1FAE" w:rsidRDefault="00DA1FAE" w14:paraId="2CB0BF53" w14:textId="38F26E8D">
            <w:pPr>
              <w:jc w:val="center"/>
              <w:rPr>
                <w:rFonts w:cs="Arial"/>
                <w:sz w:val="20"/>
                <w:szCs w:val="20"/>
              </w:rPr>
            </w:pPr>
            <w:r>
              <w:rPr>
                <w:rFonts w:cs="Arial"/>
                <w:sz w:val="20"/>
                <w:szCs w:val="20"/>
              </w:rPr>
              <w:t>550,700</w:t>
            </w:r>
          </w:p>
        </w:tc>
        <w:tc>
          <w:tcPr>
            <w:tcW w:w="2070" w:type="dxa"/>
            <w:tcBorders>
              <w:top w:val="nil"/>
              <w:left w:val="single" w:color="auto" w:sz="4" w:space="0"/>
              <w:bottom w:val="single" w:color="auto" w:sz="4" w:space="0"/>
              <w:right w:val="single" w:color="auto" w:sz="4" w:space="0"/>
            </w:tcBorders>
            <w:shd w:val="clear" w:color="000000" w:fill="FFFFFF"/>
            <w:tcMar>
              <w:top w:w="29" w:type="dxa"/>
              <w:left w:w="115" w:type="dxa"/>
              <w:bottom w:w="29" w:type="dxa"/>
              <w:right w:w="115" w:type="dxa"/>
            </w:tcMar>
            <w:vAlign w:val="center"/>
          </w:tcPr>
          <w:p w:rsidRPr="00AF4A8E" w:rsidR="007A7509" w:rsidP="00526E8C" w:rsidRDefault="007A7509" w14:paraId="5039656A" w14:textId="4D5ABA7A">
            <w:pPr>
              <w:jc w:val="right"/>
              <w:rPr>
                <w:rFonts w:cs="Arial"/>
                <w:sz w:val="20"/>
                <w:szCs w:val="20"/>
              </w:rPr>
            </w:pPr>
            <w:r w:rsidRPr="00AF4A8E">
              <w:rPr>
                <w:rFonts w:cs="Arial"/>
                <w:sz w:val="20"/>
                <w:szCs w:val="20"/>
              </w:rPr>
              <w:t>6.3</w:t>
            </w:r>
          </w:p>
        </w:tc>
        <w:tc>
          <w:tcPr>
            <w:tcW w:w="1530" w:type="dxa"/>
            <w:tcBorders>
              <w:top w:val="nil"/>
              <w:left w:val="nil"/>
              <w:bottom w:val="sing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44F4724B" w14:textId="7D574583">
            <w:pPr>
              <w:jc w:val="right"/>
              <w:rPr>
                <w:rFonts w:cs="Arial"/>
                <w:sz w:val="20"/>
                <w:szCs w:val="20"/>
              </w:rPr>
            </w:pPr>
            <w:r w:rsidRPr="00925E98">
              <w:rPr>
                <w:rFonts w:cs="Arial"/>
                <w:sz w:val="20"/>
                <w:szCs w:val="20"/>
              </w:rPr>
              <w:t xml:space="preserve">$656 </w:t>
            </w:r>
          </w:p>
        </w:tc>
        <w:tc>
          <w:tcPr>
            <w:tcW w:w="1350" w:type="dxa"/>
            <w:tcBorders>
              <w:top w:val="nil"/>
              <w:left w:val="nil"/>
              <w:bottom w:val="sing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70D17877" w14:textId="2219B3A2">
            <w:pPr>
              <w:jc w:val="right"/>
              <w:rPr>
                <w:rFonts w:cs="Arial"/>
                <w:sz w:val="20"/>
                <w:szCs w:val="20"/>
              </w:rPr>
            </w:pPr>
            <w:r w:rsidRPr="00925E98">
              <w:rPr>
                <w:rFonts w:cs="Arial"/>
                <w:sz w:val="20"/>
                <w:szCs w:val="20"/>
              </w:rPr>
              <w:t xml:space="preserve">$202 </w:t>
            </w:r>
          </w:p>
        </w:tc>
        <w:tc>
          <w:tcPr>
            <w:tcW w:w="1440" w:type="dxa"/>
            <w:tcBorders>
              <w:top w:val="nil"/>
              <w:left w:val="nil"/>
              <w:bottom w:val="single" w:color="auto" w:sz="4" w:space="0"/>
              <w:right w:val="doub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2F07698A" w14:textId="44264097">
            <w:pPr>
              <w:jc w:val="right"/>
              <w:rPr>
                <w:rFonts w:cs="Arial"/>
                <w:sz w:val="20"/>
                <w:szCs w:val="20"/>
              </w:rPr>
            </w:pPr>
            <w:r w:rsidRPr="00925E98">
              <w:rPr>
                <w:rFonts w:cs="Arial"/>
                <w:sz w:val="20"/>
                <w:szCs w:val="20"/>
              </w:rPr>
              <w:t xml:space="preserve">$858 </w:t>
            </w:r>
          </w:p>
        </w:tc>
      </w:tr>
      <w:tr w:rsidRPr="00FC1963" w:rsidR="00FC1963" w:rsidTr="007C4667" w14:paraId="3AB9E889" w14:textId="77777777">
        <w:trPr>
          <w:trHeight w:val="272"/>
        </w:trPr>
        <w:tc>
          <w:tcPr>
            <w:tcW w:w="2052" w:type="dxa"/>
            <w:gridSpan w:val="2"/>
            <w:tcBorders>
              <w:top w:val="nil"/>
              <w:left w:val="double" w:color="000000" w:sz="6" w:space="0"/>
              <w:bottom w:val="nil"/>
              <w:right w:val="nil"/>
            </w:tcBorders>
            <w:tcMar>
              <w:top w:w="29" w:type="dxa"/>
              <w:left w:w="115" w:type="dxa"/>
              <w:bottom w:w="29" w:type="dxa"/>
              <w:right w:w="115" w:type="dxa"/>
            </w:tcMar>
            <w:vAlign w:val="center"/>
          </w:tcPr>
          <w:p w:rsidRPr="00CD5AC3" w:rsidR="007A7509" w:rsidP="00526E8C" w:rsidRDefault="007A7509" w14:paraId="28FAC996" w14:textId="77777777">
            <w:pPr>
              <w:keepNext/>
              <w:keepLines/>
              <w:rPr>
                <w:rFonts w:cs="Arial"/>
                <w:sz w:val="20"/>
                <w:szCs w:val="20"/>
              </w:rPr>
            </w:pPr>
            <w:r w:rsidRPr="00B7180E">
              <w:rPr>
                <w:rFonts w:cs="Arial"/>
                <w:sz w:val="20"/>
                <w:szCs w:val="20"/>
              </w:rPr>
              <w:t>Third</w:t>
            </w:r>
          </w:p>
        </w:tc>
        <w:tc>
          <w:tcPr>
            <w:tcW w:w="1530" w:type="dxa"/>
            <w:tcBorders>
              <w:top w:val="single" w:color="auto" w:sz="4" w:space="0"/>
              <w:left w:val="single" w:color="auto" w:sz="4" w:space="0"/>
              <w:bottom w:val="double" w:color="auto" w:sz="4" w:space="0"/>
              <w:right w:val="single" w:color="auto" w:sz="4" w:space="0"/>
            </w:tcBorders>
            <w:shd w:val="clear" w:color="000000" w:fill="FFFFFF"/>
          </w:tcPr>
          <w:p w:rsidRPr="00CD5AC3" w:rsidR="007A7509" w:rsidP="00DA1FAE" w:rsidRDefault="00DA1FAE" w14:paraId="4826E7C6" w14:textId="4E9B407B">
            <w:pPr>
              <w:jc w:val="center"/>
              <w:rPr>
                <w:rFonts w:cs="Arial"/>
                <w:sz w:val="20"/>
                <w:szCs w:val="20"/>
              </w:rPr>
            </w:pPr>
            <w:r>
              <w:rPr>
                <w:rFonts w:cs="Arial"/>
                <w:sz w:val="20"/>
                <w:szCs w:val="20"/>
              </w:rPr>
              <w:t>550,500</w:t>
            </w:r>
          </w:p>
        </w:tc>
        <w:tc>
          <w:tcPr>
            <w:tcW w:w="2070" w:type="dxa"/>
            <w:tcBorders>
              <w:top w:val="single" w:color="auto" w:sz="4" w:space="0"/>
              <w:left w:val="single" w:color="auto" w:sz="4" w:space="0"/>
              <w:bottom w:val="double" w:color="auto" w:sz="4" w:space="0"/>
              <w:right w:val="single" w:color="auto" w:sz="4" w:space="0"/>
            </w:tcBorders>
            <w:shd w:val="clear" w:color="000000" w:fill="FFFFFF"/>
            <w:tcMar>
              <w:top w:w="29" w:type="dxa"/>
              <w:left w:w="115" w:type="dxa"/>
              <w:bottom w:w="29" w:type="dxa"/>
              <w:right w:w="115" w:type="dxa"/>
            </w:tcMar>
            <w:vAlign w:val="center"/>
          </w:tcPr>
          <w:p w:rsidRPr="00AF4A8E" w:rsidR="007A7509" w:rsidP="00526E8C" w:rsidRDefault="007A7509" w14:paraId="3814361E" w14:textId="13A8A74D">
            <w:pPr>
              <w:jc w:val="right"/>
              <w:rPr>
                <w:rFonts w:cs="Arial"/>
                <w:sz w:val="20"/>
                <w:szCs w:val="20"/>
              </w:rPr>
            </w:pPr>
            <w:r w:rsidRPr="00AF4A8E">
              <w:rPr>
                <w:rFonts w:cs="Arial"/>
                <w:sz w:val="20"/>
                <w:szCs w:val="20"/>
              </w:rPr>
              <w:t>6.3</w:t>
            </w:r>
          </w:p>
        </w:tc>
        <w:tc>
          <w:tcPr>
            <w:tcW w:w="1530" w:type="dxa"/>
            <w:tcBorders>
              <w:top w:val="single" w:color="auto" w:sz="4" w:space="0"/>
              <w:left w:val="nil"/>
              <w:bottom w:val="doub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7A6CE055" w14:textId="5D83D64B">
            <w:pPr>
              <w:jc w:val="right"/>
              <w:rPr>
                <w:rFonts w:cs="Arial"/>
                <w:sz w:val="20"/>
                <w:szCs w:val="20"/>
              </w:rPr>
            </w:pPr>
            <w:r w:rsidRPr="00925E98">
              <w:rPr>
                <w:rFonts w:cs="Arial"/>
                <w:sz w:val="20"/>
                <w:szCs w:val="20"/>
              </w:rPr>
              <w:t xml:space="preserve">$657 </w:t>
            </w:r>
          </w:p>
        </w:tc>
        <w:tc>
          <w:tcPr>
            <w:tcW w:w="1350" w:type="dxa"/>
            <w:tcBorders>
              <w:top w:val="single" w:color="auto" w:sz="4" w:space="0"/>
              <w:left w:val="nil"/>
              <w:bottom w:val="doub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3DE70900" w14:textId="71C13E67">
            <w:pPr>
              <w:jc w:val="right"/>
              <w:rPr>
                <w:rFonts w:cs="Arial"/>
                <w:sz w:val="20"/>
                <w:szCs w:val="20"/>
              </w:rPr>
            </w:pPr>
            <w:r w:rsidRPr="00925E98">
              <w:rPr>
                <w:rFonts w:cs="Arial"/>
                <w:sz w:val="20"/>
                <w:szCs w:val="20"/>
              </w:rPr>
              <w:t xml:space="preserve">$202 </w:t>
            </w:r>
          </w:p>
        </w:tc>
        <w:tc>
          <w:tcPr>
            <w:tcW w:w="1440" w:type="dxa"/>
            <w:tcBorders>
              <w:top w:val="single" w:color="auto" w:sz="4" w:space="0"/>
              <w:left w:val="nil"/>
              <w:bottom w:val="double" w:color="auto" w:sz="4" w:space="0"/>
              <w:right w:val="doub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63512308" w14:textId="69253582">
            <w:pPr>
              <w:jc w:val="right"/>
              <w:rPr>
                <w:rFonts w:cs="Arial"/>
                <w:sz w:val="20"/>
                <w:szCs w:val="20"/>
              </w:rPr>
            </w:pPr>
            <w:r w:rsidRPr="00925E98">
              <w:rPr>
                <w:rFonts w:cs="Arial"/>
                <w:sz w:val="20"/>
                <w:szCs w:val="20"/>
              </w:rPr>
              <w:t xml:space="preserve">$859 </w:t>
            </w:r>
          </w:p>
        </w:tc>
      </w:tr>
      <w:tr w:rsidRPr="00FC1963" w:rsidR="00FC1963" w:rsidTr="007C4667" w14:paraId="4E09E1BC" w14:textId="77777777">
        <w:trPr>
          <w:trHeight w:val="299"/>
        </w:trPr>
        <w:tc>
          <w:tcPr>
            <w:tcW w:w="2052" w:type="dxa"/>
            <w:gridSpan w:val="2"/>
            <w:tcBorders>
              <w:top w:val="double" w:color="000000" w:sz="6" w:space="0"/>
              <w:left w:val="double" w:color="000000" w:sz="6" w:space="0"/>
              <w:bottom w:val="nil"/>
              <w:right w:val="nil"/>
            </w:tcBorders>
            <w:tcMar>
              <w:top w:w="29" w:type="dxa"/>
              <w:left w:w="115" w:type="dxa"/>
              <w:bottom w:w="29" w:type="dxa"/>
              <w:right w:w="115" w:type="dxa"/>
            </w:tcMar>
            <w:vAlign w:val="center"/>
          </w:tcPr>
          <w:p w:rsidRPr="00CD5AC3" w:rsidR="007A7509" w:rsidP="00526E8C" w:rsidRDefault="007A7509" w14:paraId="091AA890" w14:textId="5378411F">
            <w:pPr>
              <w:keepNext/>
              <w:keepLines/>
              <w:rPr>
                <w:rFonts w:cs="Arial"/>
                <w:b/>
                <w:bCs/>
                <w:sz w:val="20"/>
                <w:szCs w:val="20"/>
              </w:rPr>
            </w:pPr>
            <w:r w:rsidRPr="00B7180E">
              <w:rPr>
                <w:rFonts w:cs="Arial"/>
                <w:b/>
                <w:bCs/>
                <w:sz w:val="20"/>
                <w:szCs w:val="20"/>
              </w:rPr>
              <w:t>Three-Year Total</w:t>
            </w:r>
          </w:p>
        </w:tc>
        <w:tc>
          <w:tcPr>
            <w:tcW w:w="1530" w:type="dxa"/>
            <w:tcBorders>
              <w:top w:val="double" w:color="auto" w:sz="4" w:space="0"/>
              <w:left w:val="single" w:color="auto" w:sz="4" w:space="0"/>
              <w:bottom w:val="double" w:color="auto" w:sz="4" w:space="0"/>
              <w:right w:val="single" w:color="auto" w:sz="4" w:space="0"/>
            </w:tcBorders>
            <w:shd w:val="clear" w:color="000000" w:fill="FFFFFF"/>
          </w:tcPr>
          <w:p w:rsidRPr="00CD5AC3" w:rsidR="007A7509" w:rsidP="00DA1FAE" w:rsidRDefault="007A7509" w14:paraId="02513D28" w14:textId="12CCC58C">
            <w:pPr>
              <w:jc w:val="center"/>
              <w:rPr>
                <w:rFonts w:cs="Arial"/>
                <w:b/>
                <w:bCs/>
                <w:sz w:val="20"/>
                <w:szCs w:val="20"/>
              </w:rPr>
            </w:pPr>
          </w:p>
        </w:tc>
        <w:tc>
          <w:tcPr>
            <w:tcW w:w="2070" w:type="dxa"/>
            <w:tcBorders>
              <w:top w:val="double" w:color="auto" w:sz="4" w:space="0"/>
              <w:left w:val="single" w:color="auto" w:sz="4" w:space="0"/>
              <w:bottom w:val="double" w:color="auto" w:sz="4" w:space="0"/>
              <w:right w:val="single" w:color="auto" w:sz="4" w:space="0"/>
            </w:tcBorders>
            <w:shd w:val="clear" w:color="000000" w:fill="FFFFFF"/>
            <w:tcMar>
              <w:top w:w="29" w:type="dxa"/>
              <w:left w:w="115" w:type="dxa"/>
              <w:bottom w:w="29" w:type="dxa"/>
              <w:right w:w="115" w:type="dxa"/>
            </w:tcMar>
            <w:vAlign w:val="center"/>
          </w:tcPr>
          <w:p w:rsidRPr="00AF4A8E" w:rsidR="007A7509" w:rsidP="00526E8C" w:rsidRDefault="007A7509" w14:paraId="5EC15927" w14:textId="1796769E">
            <w:pPr>
              <w:jc w:val="right"/>
              <w:rPr>
                <w:rFonts w:cs="Arial"/>
                <w:b/>
                <w:bCs/>
                <w:sz w:val="20"/>
                <w:szCs w:val="20"/>
              </w:rPr>
            </w:pPr>
            <w:r w:rsidRPr="00AF4A8E">
              <w:rPr>
                <w:rFonts w:cs="Arial"/>
                <w:b/>
                <w:bCs/>
                <w:sz w:val="20"/>
                <w:szCs w:val="20"/>
              </w:rPr>
              <w:t>19.0</w:t>
            </w:r>
          </w:p>
        </w:tc>
        <w:tc>
          <w:tcPr>
            <w:tcW w:w="1530" w:type="dxa"/>
            <w:tcBorders>
              <w:top w:val="double" w:color="auto" w:sz="4" w:space="0"/>
              <w:left w:val="nil"/>
              <w:bottom w:val="doub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3A8619E4" w14:textId="2243A36E">
            <w:pPr>
              <w:jc w:val="right"/>
              <w:rPr>
                <w:rFonts w:cs="Arial"/>
                <w:b/>
                <w:bCs/>
                <w:sz w:val="20"/>
                <w:szCs w:val="20"/>
              </w:rPr>
            </w:pPr>
            <w:r w:rsidRPr="00925E98">
              <w:rPr>
                <w:rFonts w:cs="Arial"/>
                <w:b/>
                <w:bCs/>
                <w:sz w:val="20"/>
                <w:szCs w:val="20"/>
              </w:rPr>
              <w:t xml:space="preserve">$1,968 </w:t>
            </w:r>
          </w:p>
        </w:tc>
        <w:tc>
          <w:tcPr>
            <w:tcW w:w="1350" w:type="dxa"/>
            <w:tcBorders>
              <w:top w:val="double" w:color="auto" w:sz="4" w:space="0"/>
              <w:left w:val="nil"/>
              <w:bottom w:val="doub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459C08CF" w14:textId="3D09C986">
            <w:pPr>
              <w:jc w:val="right"/>
              <w:rPr>
                <w:rFonts w:cs="Arial"/>
                <w:b/>
                <w:bCs/>
                <w:sz w:val="20"/>
                <w:szCs w:val="20"/>
              </w:rPr>
            </w:pPr>
            <w:r w:rsidRPr="00925E98">
              <w:rPr>
                <w:rFonts w:cs="Arial"/>
                <w:b/>
                <w:bCs/>
                <w:sz w:val="20"/>
                <w:szCs w:val="20"/>
              </w:rPr>
              <w:t xml:space="preserve">$605 </w:t>
            </w:r>
          </w:p>
        </w:tc>
        <w:tc>
          <w:tcPr>
            <w:tcW w:w="1440" w:type="dxa"/>
            <w:tcBorders>
              <w:top w:val="double" w:color="auto" w:sz="4" w:space="0"/>
              <w:left w:val="nil"/>
              <w:bottom w:val="double" w:color="auto" w:sz="4" w:space="0"/>
              <w:right w:val="doub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0E0AC3E5" w14:textId="763CE9F6">
            <w:pPr>
              <w:jc w:val="right"/>
              <w:rPr>
                <w:rFonts w:cs="Arial"/>
                <w:b/>
                <w:bCs/>
                <w:sz w:val="20"/>
                <w:szCs w:val="20"/>
              </w:rPr>
            </w:pPr>
            <w:r w:rsidRPr="00925E98">
              <w:rPr>
                <w:rFonts w:cs="Arial"/>
                <w:b/>
                <w:bCs/>
                <w:sz w:val="20"/>
                <w:szCs w:val="20"/>
              </w:rPr>
              <w:t xml:space="preserve">$2,574 </w:t>
            </w:r>
          </w:p>
        </w:tc>
      </w:tr>
      <w:tr w:rsidRPr="00FC1963" w:rsidR="00FC1963" w:rsidTr="007C4667" w14:paraId="2CB75129" w14:textId="77777777">
        <w:trPr>
          <w:trHeight w:val="299"/>
        </w:trPr>
        <w:tc>
          <w:tcPr>
            <w:tcW w:w="2052" w:type="dxa"/>
            <w:gridSpan w:val="2"/>
            <w:tcBorders>
              <w:top w:val="double" w:color="000000" w:sz="6" w:space="0"/>
              <w:left w:val="double" w:color="000000" w:sz="6" w:space="0"/>
              <w:bottom w:val="double" w:color="000000" w:sz="6" w:space="0"/>
              <w:right w:val="nil"/>
            </w:tcBorders>
            <w:tcMar>
              <w:top w:w="29" w:type="dxa"/>
              <w:left w:w="115" w:type="dxa"/>
              <w:bottom w:w="29" w:type="dxa"/>
              <w:right w:w="115" w:type="dxa"/>
            </w:tcMar>
            <w:vAlign w:val="center"/>
          </w:tcPr>
          <w:p w:rsidRPr="00CD5AC3" w:rsidR="007A7509" w:rsidP="00526E8C" w:rsidRDefault="007A7509" w14:paraId="6C25D651" w14:textId="1F8B59B6">
            <w:pPr>
              <w:keepNext/>
              <w:keepLines/>
              <w:rPr>
                <w:rFonts w:cs="Arial"/>
                <w:b/>
                <w:bCs/>
                <w:sz w:val="20"/>
                <w:szCs w:val="20"/>
              </w:rPr>
            </w:pPr>
            <w:r w:rsidRPr="00B7180E">
              <w:rPr>
                <w:rFonts w:cs="Arial"/>
                <w:b/>
                <w:bCs/>
                <w:sz w:val="20"/>
                <w:szCs w:val="20"/>
              </w:rPr>
              <w:t>A</w:t>
            </w:r>
            <w:r w:rsidRPr="00CD5AC3">
              <w:rPr>
                <w:rFonts w:cs="Arial"/>
                <w:b/>
                <w:bCs/>
                <w:sz w:val="20"/>
                <w:szCs w:val="20"/>
              </w:rPr>
              <w:t>nnual</w:t>
            </w:r>
            <w:r w:rsidR="00DA1FAE">
              <w:rPr>
                <w:rFonts w:cs="Arial"/>
                <w:b/>
                <w:bCs/>
                <w:sz w:val="20"/>
                <w:szCs w:val="20"/>
              </w:rPr>
              <w:t xml:space="preserve"> Average</w:t>
            </w:r>
          </w:p>
        </w:tc>
        <w:tc>
          <w:tcPr>
            <w:tcW w:w="1530" w:type="dxa"/>
            <w:tcBorders>
              <w:top w:val="double" w:color="auto" w:sz="4" w:space="0"/>
              <w:left w:val="single" w:color="auto" w:sz="4" w:space="0"/>
              <w:bottom w:val="double" w:color="auto" w:sz="4" w:space="0"/>
              <w:right w:val="single" w:color="auto" w:sz="4" w:space="0"/>
            </w:tcBorders>
            <w:shd w:val="clear" w:color="000000" w:fill="FFFFFF"/>
          </w:tcPr>
          <w:p w:rsidRPr="00AF4A8E" w:rsidR="007A7509" w:rsidP="00DA1FAE" w:rsidRDefault="00DA1FAE" w14:paraId="03D6C745" w14:textId="3A5C9D25">
            <w:pPr>
              <w:jc w:val="center"/>
              <w:rPr>
                <w:rFonts w:cs="Arial"/>
                <w:b/>
                <w:bCs/>
                <w:sz w:val="20"/>
                <w:szCs w:val="20"/>
              </w:rPr>
            </w:pPr>
            <w:r>
              <w:rPr>
                <w:rFonts w:cs="Arial"/>
                <w:b/>
                <w:bCs/>
                <w:sz w:val="20"/>
                <w:szCs w:val="20"/>
              </w:rPr>
              <w:t>550,700</w:t>
            </w:r>
          </w:p>
        </w:tc>
        <w:tc>
          <w:tcPr>
            <w:tcW w:w="2070" w:type="dxa"/>
            <w:tcBorders>
              <w:top w:val="double" w:color="auto" w:sz="4" w:space="0"/>
              <w:left w:val="single" w:color="auto" w:sz="4" w:space="0"/>
              <w:bottom w:val="doub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029BC649" w14:textId="01A3CC07">
            <w:pPr>
              <w:jc w:val="right"/>
              <w:rPr>
                <w:rFonts w:cs="Arial"/>
                <w:b/>
                <w:bCs/>
                <w:sz w:val="20"/>
                <w:szCs w:val="20"/>
              </w:rPr>
            </w:pPr>
            <w:r w:rsidRPr="00AF4A8E">
              <w:rPr>
                <w:rFonts w:cs="Arial"/>
                <w:b/>
                <w:bCs/>
                <w:sz w:val="20"/>
                <w:szCs w:val="20"/>
              </w:rPr>
              <w:t>6.3</w:t>
            </w:r>
          </w:p>
        </w:tc>
        <w:tc>
          <w:tcPr>
            <w:tcW w:w="1530" w:type="dxa"/>
            <w:tcBorders>
              <w:top w:val="double" w:color="auto" w:sz="4" w:space="0"/>
              <w:left w:val="nil"/>
              <w:bottom w:val="doub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2D127E84" w14:textId="3F09E411">
            <w:pPr>
              <w:jc w:val="right"/>
              <w:rPr>
                <w:rFonts w:cs="Arial"/>
                <w:b/>
                <w:bCs/>
                <w:sz w:val="20"/>
                <w:szCs w:val="20"/>
              </w:rPr>
            </w:pPr>
            <w:r w:rsidRPr="00925E98">
              <w:rPr>
                <w:rFonts w:cs="Arial"/>
                <w:b/>
                <w:bCs/>
                <w:sz w:val="20"/>
                <w:szCs w:val="20"/>
              </w:rPr>
              <w:t xml:space="preserve">$656 </w:t>
            </w:r>
          </w:p>
        </w:tc>
        <w:tc>
          <w:tcPr>
            <w:tcW w:w="1350" w:type="dxa"/>
            <w:tcBorders>
              <w:top w:val="double" w:color="auto" w:sz="4" w:space="0"/>
              <w:left w:val="nil"/>
              <w:bottom w:val="double" w:color="auto" w:sz="4" w:space="0"/>
              <w:right w:val="single" w:color="auto" w:sz="4" w:space="0"/>
            </w:tcBorders>
            <w:shd w:val="clear" w:color="000000" w:fill="FFFFFF"/>
            <w:tcMar>
              <w:top w:w="29" w:type="dxa"/>
              <w:left w:w="115" w:type="dxa"/>
              <w:bottom w:w="29" w:type="dxa"/>
              <w:right w:w="115" w:type="dxa"/>
            </w:tcMar>
            <w:vAlign w:val="center"/>
          </w:tcPr>
          <w:p w:rsidRPr="00925E98" w:rsidR="007A7509" w:rsidP="00526E8C" w:rsidRDefault="007A7509" w14:paraId="398C56F0" w14:textId="215757D3">
            <w:pPr>
              <w:jc w:val="right"/>
              <w:rPr>
                <w:rFonts w:cs="Arial"/>
                <w:b/>
                <w:bCs/>
                <w:sz w:val="20"/>
                <w:szCs w:val="20"/>
              </w:rPr>
            </w:pPr>
            <w:r w:rsidRPr="00925E98">
              <w:rPr>
                <w:rFonts w:cs="Arial"/>
                <w:b/>
                <w:bCs/>
                <w:sz w:val="20"/>
                <w:szCs w:val="20"/>
              </w:rPr>
              <w:t xml:space="preserve">$202 </w:t>
            </w:r>
          </w:p>
        </w:tc>
        <w:tc>
          <w:tcPr>
            <w:tcW w:w="1440" w:type="dxa"/>
            <w:tcBorders>
              <w:top w:val="double" w:color="auto" w:sz="4" w:space="0"/>
              <w:left w:val="nil"/>
              <w:bottom w:val="double" w:color="auto" w:sz="4" w:space="0"/>
              <w:right w:val="double" w:color="auto" w:sz="4" w:space="0"/>
            </w:tcBorders>
            <w:shd w:val="clear" w:color="000000" w:fill="FFFFFF"/>
            <w:tcMar>
              <w:top w:w="29" w:type="dxa"/>
              <w:left w:w="115" w:type="dxa"/>
              <w:bottom w:w="29" w:type="dxa"/>
              <w:right w:w="115" w:type="dxa"/>
            </w:tcMar>
            <w:vAlign w:val="center"/>
          </w:tcPr>
          <w:p w:rsidRPr="008B3E70" w:rsidR="007A7509" w:rsidP="00526E8C" w:rsidRDefault="007A7509" w14:paraId="57EFFC85" w14:textId="238435DD">
            <w:pPr>
              <w:jc w:val="right"/>
              <w:rPr>
                <w:rFonts w:cs="Arial"/>
                <w:b/>
                <w:bCs/>
                <w:sz w:val="20"/>
                <w:szCs w:val="20"/>
              </w:rPr>
            </w:pPr>
            <w:r w:rsidRPr="008B3E70">
              <w:rPr>
                <w:rFonts w:cs="Arial"/>
                <w:b/>
                <w:bCs/>
                <w:sz w:val="20"/>
                <w:szCs w:val="20"/>
              </w:rPr>
              <w:t xml:space="preserve">$858 </w:t>
            </w:r>
          </w:p>
        </w:tc>
      </w:tr>
    </w:tbl>
    <w:p w:rsidRPr="008506AE" w:rsidR="00D85665" w:rsidRDefault="00A14075" w14:paraId="0FB15961" w14:textId="5E73E06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18"/>
          <w:szCs w:val="18"/>
        </w:rPr>
      </w:pPr>
      <w:r w:rsidRPr="008506AE">
        <w:rPr>
          <w:rFonts w:cs="Arial"/>
          <w:sz w:val="20"/>
          <w:szCs w:val="20"/>
          <w:vertAlign w:val="superscript"/>
        </w:rPr>
        <w:t>a</w:t>
      </w:r>
      <w:r>
        <w:rPr>
          <w:rFonts w:cs="Arial"/>
          <w:sz w:val="18"/>
          <w:szCs w:val="18"/>
          <w:vertAlign w:val="superscript"/>
        </w:rPr>
        <w:t xml:space="preserve"> </w:t>
      </w:r>
      <w:r>
        <w:rPr>
          <w:rFonts w:cs="Arial"/>
          <w:sz w:val="18"/>
          <w:szCs w:val="18"/>
        </w:rPr>
        <w:t>Note that in the previous ICR renewal, PE Labor was categorized as an O&amp;M cost. EPA believes this cost is more accurately described as</w:t>
      </w:r>
      <w:r w:rsidR="0097640C">
        <w:rPr>
          <w:rFonts w:cs="Arial"/>
          <w:sz w:val="18"/>
          <w:szCs w:val="18"/>
        </w:rPr>
        <w:t xml:space="preserve"> a separate labor category and has relabeled it as PE Labor. </w:t>
      </w:r>
      <w:r w:rsidR="003F0B8D">
        <w:rPr>
          <w:rFonts w:cs="Arial"/>
          <w:sz w:val="18"/>
          <w:szCs w:val="18"/>
        </w:rPr>
        <w:t>See Appendix A for</w:t>
      </w:r>
      <w:r w:rsidR="008506AE">
        <w:rPr>
          <w:rFonts w:cs="Arial"/>
          <w:sz w:val="18"/>
          <w:szCs w:val="18"/>
        </w:rPr>
        <w:t xml:space="preserve"> further discussion</w:t>
      </w:r>
      <w:r w:rsidR="003F0B8D">
        <w:rPr>
          <w:rFonts w:cs="Arial"/>
          <w:sz w:val="18"/>
          <w:szCs w:val="18"/>
        </w:rPr>
        <w:t xml:space="preserve">. </w:t>
      </w:r>
    </w:p>
    <w:p w:rsidRPr="00854FC2" w:rsidR="00D85665" w:rsidRDefault="00D85665" w14:paraId="21BE9CA8"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Pr="00854FC2" w:rsidR="00D85665" w:rsidP="00E827A7" w:rsidRDefault="00D85665" w14:paraId="288C9846" w14:textId="44A7A47D">
      <w:pPr>
        <w:pStyle w:val="Heading2"/>
      </w:pPr>
      <w:r w:rsidRPr="00854FC2">
        <w:t>6(</w:t>
      </w:r>
      <w:r w:rsidR="00046096">
        <w:t>f</w:t>
      </w:r>
      <w:r w:rsidRPr="00854FC2">
        <w:t xml:space="preserve">) </w:t>
      </w:r>
      <w:r w:rsidRPr="00854FC2">
        <w:tab/>
        <w:t>Reasons for the Change in Burden</w:t>
      </w:r>
    </w:p>
    <w:p w:rsidRPr="00854FC2" w:rsidR="00D85665" w:rsidRDefault="00D85665" w14:paraId="34BA7498"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AC32B9" w:rsidP="006D3B99" w:rsidRDefault="00FB6777" w14:paraId="15B6651C" w14:textId="5552629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cs="Arial"/>
          <w:szCs w:val="22"/>
        </w:rPr>
      </w:pPr>
      <w:r>
        <w:rPr>
          <w:rFonts w:cs="Courier New"/>
          <w:sz w:val="24"/>
          <w:lang w:val="en-CA"/>
        </w:rPr>
        <w:tab/>
      </w:r>
      <w:r w:rsidRPr="00854FC2" w:rsidR="00D85665">
        <w:rPr>
          <w:rFonts w:cs="Courier New"/>
          <w:sz w:val="24"/>
          <w:lang w:val="en-CA"/>
        </w:rPr>
        <w:fldChar w:fldCharType="begin"/>
      </w:r>
      <w:r w:rsidRPr="00854FC2" w:rsidR="00D85665">
        <w:rPr>
          <w:rFonts w:cs="Courier New"/>
          <w:sz w:val="24"/>
          <w:lang w:val="en-CA"/>
        </w:rPr>
        <w:instrText xml:space="preserve"> SEQ CHAPTER \h \r 1</w:instrText>
      </w:r>
      <w:r w:rsidRPr="00854FC2" w:rsidR="00D85665">
        <w:rPr>
          <w:rFonts w:cs="Courier New"/>
          <w:sz w:val="24"/>
          <w:lang w:val="en-CA"/>
        </w:rPr>
        <w:fldChar w:fldCharType="end"/>
      </w:r>
      <w:commentRangeStart w:id="17"/>
      <w:commentRangeEnd w:id="17"/>
      <w:r w:rsidRPr="00D159DC" w:rsidR="00D85665">
        <w:rPr>
          <w:rFonts w:cs="Arial"/>
          <w:szCs w:val="22"/>
        </w:rPr>
        <w:t xml:space="preserve"> </w:t>
      </w:r>
      <w:r w:rsidR="003F78F1">
        <w:rPr>
          <w:rFonts w:cs="Arial"/>
          <w:szCs w:val="22"/>
        </w:rPr>
        <w:t>T</w:t>
      </w:r>
      <w:r w:rsidRPr="003C1942" w:rsidR="005C3A32">
        <w:rPr>
          <w:rFonts w:cs="Arial"/>
          <w:szCs w:val="22"/>
        </w:rPr>
        <w:t xml:space="preserve">he </w:t>
      </w:r>
      <w:r w:rsidR="006D3B99">
        <w:rPr>
          <w:rFonts w:cs="Arial"/>
          <w:szCs w:val="22"/>
        </w:rPr>
        <w:t xml:space="preserve">total </w:t>
      </w:r>
      <w:r w:rsidRPr="003C1942" w:rsidR="005C3A32">
        <w:rPr>
          <w:rFonts w:cs="Arial"/>
          <w:szCs w:val="22"/>
        </w:rPr>
        <w:t xml:space="preserve">burden hours presented in this ICR have </w:t>
      </w:r>
      <w:r w:rsidR="007D6E16">
        <w:rPr>
          <w:rFonts w:cs="Arial"/>
          <w:szCs w:val="22"/>
        </w:rPr>
        <w:t>increased</w:t>
      </w:r>
      <w:r w:rsidRPr="003C1942" w:rsidR="007D6E16">
        <w:rPr>
          <w:rFonts w:cs="Arial"/>
          <w:szCs w:val="22"/>
        </w:rPr>
        <w:t xml:space="preserve"> </w:t>
      </w:r>
      <w:r w:rsidRPr="003C1942" w:rsidR="005C3A32">
        <w:rPr>
          <w:rFonts w:cs="Arial"/>
          <w:szCs w:val="22"/>
        </w:rPr>
        <w:t>relative to the current</w:t>
      </w:r>
      <w:r w:rsidR="00845BD8">
        <w:rPr>
          <w:rFonts w:cs="Arial"/>
          <w:szCs w:val="22"/>
        </w:rPr>
        <w:t>ly approved</w:t>
      </w:r>
      <w:r w:rsidRPr="003C1942" w:rsidR="005C3A32">
        <w:rPr>
          <w:rFonts w:cs="Arial"/>
          <w:szCs w:val="22"/>
        </w:rPr>
        <w:t xml:space="preserve"> OMB inventory.</w:t>
      </w:r>
      <w:bookmarkStart w:name="_Hlk17883999" w:id="18"/>
      <w:r w:rsidRPr="003C1942" w:rsidR="005C3A32">
        <w:rPr>
          <w:rFonts w:cs="Arial"/>
          <w:szCs w:val="22"/>
        </w:rPr>
        <w:t xml:space="preserve"> The new burden estimate shows a net annual </w:t>
      </w:r>
      <w:r w:rsidR="00A54254">
        <w:rPr>
          <w:rFonts w:cs="Arial"/>
          <w:szCs w:val="22"/>
        </w:rPr>
        <w:t>increase</w:t>
      </w:r>
      <w:r w:rsidRPr="003C1942" w:rsidR="00A54254">
        <w:rPr>
          <w:rFonts w:cs="Arial"/>
          <w:szCs w:val="22"/>
        </w:rPr>
        <w:t xml:space="preserve"> </w:t>
      </w:r>
      <w:r w:rsidRPr="003C1942" w:rsidR="005C3A32">
        <w:rPr>
          <w:rFonts w:cs="Arial"/>
          <w:szCs w:val="22"/>
        </w:rPr>
        <w:t xml:space="preserve">of approximately </w:t>
      </w:r>
      <w:r w:rsidR="0096220D">
        <w:rPr>
          <w:rFonts w:cs="Arial"/>
          <w:szCs w:val="22"/>
        </w:rPr>
        <w:t>147</w:t>
      </w:r>
      <w:r w:rsidR="00845BD8">
        <w:rPr>
          <w:rFonts w:cs="Arial"/>
          <w:szCs w:val="22"/>
        </w:rPr>
        <w:t>,</w:t>
      </w:r>
      <w:r w:rsidR="0096220D">
        <w:rPr>
          <w:rFonts w:cs="Arial"/>
          <w:szCs w:val="22"/>
        </w:rPr>
        <w:t>6</w:t>
      </w:r>
      <w:r w:rsidR="00845BD8">
        <w:rPr>
          <w:rFonts w:cs="Arial"/>
          <w:szCs w:val="22"/>
        </w:rPr>
        <w:t>00</w:t>
      </w:r>
      <w:r w:rsidRPr="003C1942" w:rsidR="009F24E8">
        <w:rPr>
          <w:rFonts w:cs="Arial"/>
          <w:szCs w:val="22"/>
        </w:rPr>
        <w:t xml:space="preserve"> </w:t>
      </w:r>
      <w:r w:rsidRPr="003C1942" w:rsidR="005C3A32">
        <w:rPr>
          <w:rFonts w:cs="Arial"/>
          <w:szCs w:val="22"/>
        </w:rPr>
        <w:t>hours</w:t>
      </w:r>
      <w:r w:rsidR="004A3156">
        <w:rPr>
          <w:rFonts w:cs="Arial"/>
          <w:szCs w:val="22"/>
        </w:rPr>
        <w:t xml:space="preserve"> (</w:t>
      </w:r>
      <w:r w:rsidR="00CF5E30">
        <w:rPr>
          <w:rFonts w:cs="Arial"/>
          <w:szCs w:val="22"/>
        </w:rPr>
        <w:t>two</w:t>
      </w:r>
      <w:r w:rsidR="004A3156">
        <w:rPr>
          <w:rFonts w:cs="Arial"/>
          <w:szCs w:val="22"/>
        </w:rPr>
        <w:t xml:space="preserve"> percent increase from the current inventory)</w:t>
      </w:r>
      <w:r w:rsidRPr="003C1942" w:rsidR="0005161A">
        <w:rPr>
          <w:rFonts w:cs="Arial"/>
          <w:szCs w:val="22"/>
        </w:rPr>
        <w:t xml:space="preserve"> </w:t>
      </w:r>
      <w:r w:rsidRPr="003C1942" w:rsidR="00175547">
        <w:rPr>
          <w:rFonts w:cs="Arial"/>
          <w:szCs w:val="22"/>
        </w:rPr>
        <w:t xml:space="preserve">due to the net </w:t>
      </w:r>
      <w:r w:rsidR="00881891">
        <w:rPr>
          <w:rFonts w:cs="Arial"/>
          <w:szCs w:val="22"/>
        </w:rPr>
        <w:t>change</w:t>
      </w:r>
      <w:r w:rsidR="009D1189">
        <w:rPr>
          <w:rFonts w:cs="Arial"/>
          <w:szCs w:val="22"/>
        </w:rPr>
        <w:t xml:space="preserve"> </w:t>
      </w:r>
      <w:r w:rsidRPr="003C1942" w:rsidR="00175547">
        <w:rPr>
          <w:rFonts w:cs="Arial"/>
          <w:szCs w:val="22"/>
        </w:rPr>
        <w:t xml:space="preserve">in </w:t>
      </w:r>
      <w:r w:rsidRPr="003C1942" w:rsidR="000C7EA5">
        <w:rPr>
          <w:rFonts w:cs="Arial"/>
          <w:szCs w:val="22"/>
        </w:rPr>
        <w:t>the universe of regulated facilities</w:t>
      </w:r>
      <w:bookmarkEnd w:id="18"/>
      <w:r w:rsidRPr="003C1942" w:rsidR="001071E7">
        <w:rPr>
          <w:rFonts w:cs="Arial"/>
          <w:szCs w:val="22"/>
        </w:rPr>
        <w:t xml:space="preserve"> </w:t>
      </w:r>
      <w:r w:rsidR="002D4D9F">
        <w:rPr>
          <w:rFonts w:cs="Arial"/>
          <w:szCs w:val="22"/>
        </w:rPr>
        <w:t>after</w:t>
      </w:r>
      <w:r w:rsidR="00625315">
        <w:rPr>
          <w:rFonts w:cs="Arial"/>
          <w:szCs w:val="22"/>
        </w:rPr>
        <w:t xml:space="preserve"> account</w:t>
      </w:r>
      <w:r w:rsidR="004225FE">
        <w:rPr>
          <w:rFonts w:cs="Arial"/>
          <w:szCs w:val="22"/>
        </w:rPr>
        <w:t xml:space="preserve">ing for </w:t>
      </w:r>
      <w:r w:rsidR="006D3B99">
        <w:rPr>
          <w:rFonts w:cs="Arial"/>
          <w:szCs w:val="22"/>
        </w:rPr>
        <w:t xml:space="preserve">estimated </w:t>
      </w:r>
      <w:r w:rsidR="002A0862">
        <w:rPr>
          <w:rFonts w:cs="Arial"/>
          <w:szCs w:val="22"/>
        </w:rPr>
        <w:t xml:space="preserve">changes in </w:t>
      </w:r>
      <w:r w:rsidR="001328B1">
        <w:rPr>
          <w:rFonts w:cs="Arial"/>
          <w:szCs w:val="22"/>
        </w:rPr>
        <w:t>the number</w:t>
      </w:r>
      <w:r w:rsidR="00613F45">
        <w:rPr>
          <w:rFonts w:cs="Arial"/>
          <w:szCs w:val="22"/>
        </w:rPr>
        <w:t>s</w:t>
      </w:r>
      <w:r w:rsidR="001328B1">
        <w:rPr>
          <w:rFonts w:cs="Arial"/>
          <w:szCs w:val="22"/>
        </w:rPr>
        <w:t xml:space="preserve"> of </w:t>
      </w:r>
      <w:r w:rsidR="00B92549">
        <w:rPr>
          <w:rFonts w:cs="Arial"/>
          <w:szCs w:val="22"/>
        </w:rPr>
        <w:t xml:space="preserve">existing </w:t>
      </w:r>
      <w:r w:rsidR="004225FE">
        <w:rPr>
          <w:rFonts w:cs="Arial"/>
          <w:szCs w:val="22"/>
        </w:rPr>
        <w:t xml:space="preserve">and newly </w:t>
      </w:r>
      <w:r w:rsidR="00C34A42">
        <w:rPr>
          <w:rFonts w:cs="Arial"/>
          <w:szCs w:val="22"/>
        </w:rPr>
        <w:t>regulated</w:t>
      </w:r>
      <w:r w:rsidR="001328B1">
        <w:rPr>
          <w:rFonts w:cs="Arial"/>
          <w:szCs w:val="22"/>
        </w:rPr>
        <w:t xml:space="preserve"> facilities</w:t>
      </w:r>
      <w:r w:rsidR="00B92549">
        <w:rPr>
          <w:rFonts w:cs="Arial"/>
          <w:szCs w:val="22"/>
        </w:rPr>
        <w:t xml:space="preserve"> </w:t>
      </w:r>
      <w:r w:rsidR="00CC063B">
        <w:rPr>
          <w:rFonts w:cs="Arial"/>
          <w:szCs w:val="22"/>
        </w:rPr>
        <w:t xml:space="preserve">in </w:t>
      </w:r>
      <w:r w:rsidR="00D8704C">
        <w:rPr>
          <w:rFonts w:cs="Arial"/>
          <w:szCs w:val="22"/>
        </w:rPr>
        <w:t>the new ICR period</w:t>
      </w:r>
      <w:r w:rsidR="00845BD8">
        <w:rPr>
          <w:rFonts w:cs="Arial"/>
          <w:szCs w:val="22"/>
        </w:rPr>
        <w:t xml:space="preserve">. </w:t>
      </w:r>
      <w:r w:rsidR="00C615E5">
        <w:rPr>
          <w:rFonts w:cs="Arial"/>
          <w:szCs w:val="22"/>
        </w:rPr>
        <w:t xml:space="preserve">The universe of regulated facilities is </w:t>
      </w:r>
      <w:r w:rsidR="00064C34">
        <w:rPr>
          <w:rFonts w:cs="Arial"/>
          <w:szCs w:val="22"/>
        </w:rPr>
        <w:t xml:space="preserve">estimated to </w:t>
      </w:r>
      <w:r w:rsidR="00AC32B9">
        <w:rPr>
          <w:rFonts w:cs="Arial"/>
          <w:szCs w:val="22"/>
        </w:rPr>
        <w:t xml:space="preserve">be </w:t>
      </w:r>
      <w:r w:rsidR="00064C34">
        <w:rPr>
          <w:rFonts w:cs="Arial"/>
          <w:szCs w:val="22"/>
        </w:rPr>
        <w:t xml:space="preserve">approximately </w:t>
      </w:r>
      <w:r w:rsidR="00CF5E30">
        <w:rPr>
          <w:rFonts w:cs="Arial"/>
          <w:szCs w:val="22"/>
        </w:rPr>
        <w:t>two</w:t>
      </w:r>
      <w:r w:rsidR="00064C34">
        <w:rPr>
          <w:rFonts w:cs="Arial"/>
          <w:szCs w:val="22"/>
        </w:rPr>
        <w:t xml:space="preserve"> percent</w:t>
      </w:r>
      <w:r w:rsidR="00AC32B9">
        <w:rPr>
          <w:rFonts w:cs="Arial"/>
          <w:szCs w:val="22"/>
        </w:rPr>
        <w:t xml:space="preserve"> greater on average during the three years covered by th</w:t>
      </w:r>
      <w:r w:rsidR="00C615E5">
        <w:rPr>
          <w:rFonts w:cs="Arial"/>
          <w:szCs w:val="22"/>
        </w:rPr>
        <w:t>is</w:t>
      </w:r>
      <w:r w:rsidR="00AC32B9">
        <w:rPr>
          <w:rFonts w:cs="Arial"/>
          <w:szCs w:val="22"/>
        </w:rPr>
        <w:t xml:space="preserve"> ICR</w:t>
      </w:r>
      <w:r w:rsidR="00C615E5">
        <w:rPr>
          <w:rFonts w:cs="Arial"/>
          <w:szCs w:val="22"/>
        </w:rPr>
        <w:t xml:space="preserve"> renewal</w:t>
      </w:r>
      <w:r w:rsidR="00AC32B9">
        <w:rPr>
          <w:rFonts w:cs="Arial"/>
          <w:szCs w:val="22"/>
        </w:rPr>
        <w:t xml:space="preserve"> than the current</w:t>
      </w:r>
      <w:r w:rsidR="00C615E5">
        <w:rPr>
          <w:rFonts w:cs="Arial"/>
          <w:szCs w:val="22"/>
        </w:rPr>
        <w:t xml:space="preserve"> universe</w:t>
      </w:r>
      <w:r w:rsidR="00D8704C">
        <w:rPr>
          <w:rFonts w:cs="Arial"/>
          <w:szCs w:val="22"/>
        </w:rPr>
        <w:t>.</w:t>
      </w:r>
      <w:r w:rsidR="00DA6248">
        <w:rPr>
          <w:rStyle w:val="FootnoteReference"/>
          <w:rFonts w:cs="Arial"/>
          <w:szCs w:val="22"/>
        </w:rPr>
        <w:footnoteReference w:id="15"/>
      </w:r>
      <w:r w:rsidR="00B92549">
        <w:rPr>
          <w:rFonts w:cs="Arial"/>
          <w:szCs w:val="22"/>
        </w:rPr>
        <w:t xml:space="preserve"> </w:t>
      </w:r>
    </w:p>
    <w:p w:rsidR="00D85665" w:rsidRDefault="00D85665" w14:paraId="18423EC9" w14:textId="0A1917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005C2C78" w:rsidP="00895D63" w:rsidRDefault="00074F8C" w14:paraId="368BE707" w14:textId="46C0C3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r>
        <w:rPr>
          <w:rFonts w:cs="Arial"/>
          <w:bCs/>
          <w:szCs w:val="22"/>
        </w:rPr>
        <w:tab/>
      </w:r>
      <w:r w:rsidR="0021763D">
        <w:rPr>
          <w:rFonts w:cs="Arial"/>
          <w:szCs w:val="22"/>
        </w:rPr>
        <w:t>E</w:t>
      </w:r>
      <w:r w:rsidRPr="006F54F0" w:rsidR="00C96261">
        <w:rPr>
          <w:rFonts w:cs="Arial"/>
          <w:szCs w:val="22"/>
        </w:rPr>
        <w:t>xhibit</w:t>
      </w:r>
      <w:r w:rsidR="0021763D">
        <w:rPr>
          <w:rFonts w:cs="Arial"/>
          <w:szCs w:val="22"/>
        </w:rPr>
        <w:t xml:space="preserve"> </w:t>
      </w:r>
      <w:r w:rsidRPr="008A679E" w:rsidR="00A14075">
        <w:rPr>
          <w:rFonts w:cs="Arial"/>
          <w:szCs w:val="22"/>
        </w:rPr>
        <w:t xml:space="preserve">5 </w:t>
      </w:r>
      <w:r w:rsidRPr="006F54F0" w:rsidR="00C96261">
        <w:rPr>
          <w:rFonts w:cs="Arial"/>
          <w:szCs w:val="22"/>
        </w:rPr>
        <w:t>show</w:t>
      </w:r>
      <w:r w:rsidR="0021763D">
        <w:rPr>
          <w:rFonts w:cs="Arial"/>
          <w:szCs w:val="22"/>
        </w:rPr>
        <w:t>s</w:t>
      </w:r>
      <w:r w:rsidRPr="006F54F0" w:rsidR="00C96261">
        <w:rPr>
          <w:rFonts w:cs="Arial"/>
          <w:szCs w:val="22"/>
        </w:rPr>
        <w:t xml:space="preserve"> </w:t>
      </w:r>
      <w:r w:rsidR="00430C93">
        <w:rPr>
          <w:rFonts w:cs="Arial"/>
          <w:szCs w:val="22"/>
        </w:rPr>
        <w:t xml:space="preserve">the </w:t>
      </w:r>
      <w:r w:rsidR="00DA6248">
        <w:rPr>
          <w:rFonts w:cs="Arial"/>
          <w:szCs w:val="22"/>
        </w:rPr>
        <w:t xml:space="preserve">aggregate </w:t>
      </w:r>
      <w:r w:rsidRPr="006F54F0" w:rsidR="00C96261">
        <w:rPr>
          <w:rFonts w:cs="Arial"/>
          <w:szCs w:val="22"/>
        </w:rPr>
        <w:t>change in burden</w:t>
      </w:r>
      <w:r w:rsidR="007E108A">
        <w:rPr>
          <w:rFonts w:cs="Arial"/>
          <w:szCs w:val="22"/>
        </w:rPr>
        <w:t xml:space="preserve"> </w:t>
      </w:r>
      <w:r w:rsidR="00DA6248">
        <w:rPr>
          <w:rFonts w:cs="Arial"/>
          <w:bCs/>
          <w:szCs w:val="22"/>
        </w:rPr>
        <w:t>compared to the burden estimates currently approved by OMB.</w:t>
      </w:r>
      <w:r w:rsidR="00DA6248">
        <w:rPr>
          <w:rStyle w:val="FootnoteReference"/>
          <w:rFonts w:cs="Arial"/>
          <w:bCs/>
          <w:szCs w:val="22"/>
        </w:rPr>
        <w:footnoteReference w:id="16"/>
      </w:r>
      <w:r w:rsidRPr="006F54F0" w:rsidDel="00DA6248" w:rsidR="00DA6248">
        <w:rPr>
          <w:rFonts w:cs="Arial"/>
          <w:szCs w:val="22"/>
        </w:rPr>
        <w:t xml:space="preserve"> </w:t>
      </w:r>
      <w:r w:rsidR="00BB22CA">
        <w:rPr>
          <w:rFonts w:cs="Arial"/>
          <w:szCs w:val="22"/>
        </w:rPr>
        <w:t>.</w:t>
      </w:r>
      <w:r w:rsidRPr="006F54F0" w:rsidR="00D33251">
        <w:rPr>
          <w:rFonts w:cs="Arial"/>
          <w:szCs w:val="22"/>
        </w:rPr>
        <w:t xml:space="preserve"> </w:t>
      </w:r>
    </w:p>
    <w:p w:rsidR="00D9286A" w:rsidP="00895D63" w:rsidRDefault="00D9286A" w14:paraId="1E6D28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p>
    <w:p w:rsidR="00725D9A" w:rsidP="00725D9A" w:rsidRDefault="00725D9A" w14:paraId="1BEFB18C" w14:textId="6C2867A1">
      <w:pPr>
        <w:pStyle w:val="Caption"/>
      </w:pPr>
      <w:r>
        <w:t>Exhibit</w:t>
      </w:r>
      <w:r w:rsidR="00DA1FAE">
        <w:t xml:space="preserve"> 5</w:t>
      </w:r>
      <w:r>
        <w:t xml:space="preserve"> </w:t>
      </w:r>
    </w:p>
    <w:tbl>
      <w:tblPr>
        <w:tblW w:w="5048" w:type="pct"/>
        <w:jc w:val="center"/>
        <w:tblLayout w:type="fixed"/>
        <w:tblLook w:val="0000" w:firstRow="0" w:lastRow="0" w:firstColumn="0" w:lastColumn="0" w:noHBand="0" w:noVBand="0"/>
      </w:tblPr>
      <w:tblGrid>
        <w:gridCol w:w="2070"/>
        <w:gridCol w:w="1799"/>
        <w:gridCol w:w="1892"/>
        <w:gridCol w:w="1801"/>
        <w:gridCol w:w="1888"/>
      </w:tblGrid>
      <w:tr w:rsidRPr="00A8229B" w:rsidR="00D9286A" w:rsidTr="009114C8" w14:paraId="6867A894" w14:textId="77777777">
        <w:trPr>
          <w:trHeight w:val="299"/>
          <w:jc w:val="center"/>
        </w:trPr>
        <w:tc>
          <w:tcPr>
            <w:tcW w:w="5000" w:type="pct"/>
            <w:gridSpan w:val="5"/>
            <w:tcBorders>
              <w:top w:val="nil"/>
              <w:left w:val="nil"/>
              <w:bottom w:val="double" w:color="auto" w:sz="4" w:space="0"/>
              <w:right w:val="nil"/>
            </w:tcBorders>
            <w:shd w:val="clear" w:color="auto" w:fill="auto"/>
            <w:noWrap/>
            <w:vAlign w:val="bottom"/>
          </w:tcPr>
          <w:p w:rsidRPr="00A8229B" w:rsidR="00D9286A" w:rsidP="008D0795" w:rsidRDefault="00D9286A" w14:paraId="12E14D85" w14:textId="5370BD95">
            <w:pPr>
              <w:keepNext/>
              <w:keepLines/>
              <w:jc w:val="center"/>
              <w:rPr>
                <w:rFonts w:cs="Arial"/>
                <w:b/>
                <w:bCs/>
                <w:szCs w:val="22"/>
              </w:rPr>
            </w:pPr>
            <w:r>
              <w:rPr>
                <w:rFonts w:cs="Arial"/>
                <w:b/>
                <w:bCs/>
                <w:szCs w:val="22"/>
              </w:rPr>
              <w:t xml:space="preserve">Total </w:t>
            </w:r>
            <w:r w:rsidRPr="00A8229B">
              <w:rPr>
                <w:rFonts w:cs="Arial"/>
                <w:b/>
                <w:bCs/>
                <w:szCs w:val="22"/>
              </w:rPr>
              <w:t>Estimated Annual Burden Comparison</w:t>
            </w:r>
            <w:r>
              <w:rPr>
                <w:rFonts w:cs="Arial"/>
                <w:b/>
                <w:bCs/>
                <w:szCs w:val="22"/>
              </w:rPr>
              <w:t xml:space="preserve">: </w:t>
            </w:r>
            <w:r w:rsidR="00A21224">
              <w:rPr>
                <w:rFonts w:cs="Arial"/>
                <w:b/>
                <w:bCs/>
                <w:szCs w:val="22"/>
              </w:rPr>
              <w:t>All Respondent</w:t>
            </w:r>
            <w:r>
              <w:rPr>
                <w:rFonts w:cs="Arial"/>
                <w:b/>
                <w:bCs/>
                <w:szCs w:val="22"/>
              </w:rPr>
              <w:t xml:space="preserve"> Facilities</w:t>
            </w:r>
          </w:p>
        </w:tc>
      </w:tr>
      <w:tr w:rsidR="00F6416D" w:rsidTr="009114C8" w14:paraId="356382B2" w14:textId="77777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70"/>
          <w:jc w:val="center"/>
        </w:trPr>
        <w:tc>
          <w:tcPr>
            <w:tcW w:w="1095" w:type="pct"/>
            <w:tcBorders>
              <w:top w:val="double" w:color="auto" w:sz="4" w:space="0"/>
              <w:left w:val="double" w:color="auto" w:sz="4" w:space="0"/>
              <w:bottom w:val="single" w:color="auto" w:sz="4" w:space="0"/>
            </w:tcBorders>
            <w:shd w:val="clear" w:color="auto" w:fill="auto"/>
            <w:noWrap/>
            <w:tcMar>
              <w:top w:w="29" w:type="dxa"/>
              <w:left w:w="115" w:type="dxa"/>
              <w:bottom w:w="29" w:type="dxa"/>
              <w:right w:w="115" w:type="dxa"/>
            </w:tcMar>
            <w:vAlign w:val="center"/>
          </w:tcPr>
          <w:p w:rsidR="00D9286A" w:rsidP="00D3061A" w:rsidRDefault="00D9286A" w14:paraId="6BBB179F" w14:textId="77777777">
            <w:pPr>
              <w:rPr>
                <w:rFonts w:cs="Arial"/>
                <w:sz w:val="20"/>
                <w:szCs w:val="20"/>
              </w:rPr>
            </w:pPr>
          </w:p>
        </w:tc>
        <w:tc>
          <w:tcPr>
            <w:tcW w:w="952" w:type="pct"/>
            <w:tcBorders>
              <w:top w:val="double" w:color="auto" w:sz="4" w:space="0"/>
              <w:left w:val="single" w:color="auto" w:sz="4" w:space="0"/>
              <w:bottom w:val="single" w:color="auto" w:sz="4" w:space="0"/>
              <w:right w:val="single" w:color="auto" w:sz="4" w:space="0"/>
            </w:tcBorders>
            <w:shd w:val="clear" w:color="auto" w:fill="auto"/>
            <w:tcMar>
              <w:top w:w="29" w:type="dxa"/>
              <w:left w:w="115" w:type="dxa"/>
              <w:bottom w:w="29" w:type="dxa"/>
              <w:right w:w="115" w:type="dxa"/>
            </w:tcMar>
            <w:vAlign w:val="center"/>
          </w:tcPr>
          <w:p w:rsidRPr="0053202A" w:rsidR="00D9286A" w:rsidP="00D3061A" w:rsidRDefault="00D9286A" w14:paraId="03861126" w14:textId="77777777">
            <w:pPr>
              <w:jc w:val="center"/>
              <w:rPr>
                <w:rFonts w:cs="Arial"/>
                <w:b/>
                <w:bCs/>
                <w:sz w:val="20"/>
                <w:szCs w:val="20"/>
              </w:rPr>
            </w:pPr>
            <w:r w:rsidRPr="0053202A">
              <w:rPr>
                <w:rFonts w:cs="Arial"/>
                <w:b/>
                <w:bCs/>
                <w:sz w:val="20"/>
                <w:szCs w:val="20"/>
              </w:rPr>
              <w:t>Total Requested</w:t>
            </w:r>
          </w:p>
        </w:tc>
        <w:tc>
          <w:tcPr>
            <w:tcW w:w="1001" w:type="pct"/>
            <w:tcBorders>
              <w:top w:val="double" w:color="auto" w:sz="4" w:space="0"/>
              <w:left w:val="nil"/>
              <w:bottom w:val="single" w:color="auto" w:sz="4" w:space="0"/>
              <w:right w:val="single" w:color="auto" w:sz="4" w:space="0"/>
            </w:tcBorders>
            <w:shd w:val="clear" w:color="auto" w:fill="auto"/>
            <w:tcMar>
              <w:top w:w="29" w:type="dxa"/>
              <w:left w:w="115" w:type="dxa"/>
              <w:bottom w:w="29" w:type="dxa"/>
              <w:right w:w="115" w:type="dxa"/>
            </w:tcMar>
            <w:vAlign w:val="center"/>
          </w:tcPr>
          <w:p w:rsidRPr="0053202A" w:rsidR="00D9286A" w:rsidP="00D3061A" w:rsidRDefault="00D9286A" w14:paraId="494C7EF3" w14:textId="77777777">
            <w:pPr>
              <w:jc w:val="center"/>
              <w:rPr>
                <w:rFonts w:cs="Arial"/>
                <w:b/>
                <w:bCs/>
                <w:sz w:val="20"/>
                <w:szCs w:val="20"/>
              </w:rPr>
            </w:pPr>
            <w:r w:rsidRPr="0053202A">
              <w:rPr>
                <w:rFonts w:cs="Arial"/>
                <w:b/>
                <w:bCs/>
                <w:sz w:val="20"/>
                <w:szCs w:val="20"/>
              </w:rPr>
              <w:t>Currently Approved</w:t>
            </w:r>
          </w:p>
        </w:tc>
        <w:tc>
          <w:tcPr>
            <w:tcW w:w="953" w:type="pct"/>
            <w:tcBorders>
              <w:top w:val="double" w:color="auto" w:sz="4" w:space="0"/>
              <w:left w:val="nil"/>
              <w:bottom w:val="single" w:color="auto" w:sz="4" w:space="0"/>
              <w:right w:val="single" w:color="auto" w:sz="4" w:space="0"/>
            </w:tcBorders>
            <w:shd w:val="clear" w:color="auto" w:fill="auto"/>
            <w:tcMar>
              <w:top w:w="29" w:type="dxa"/>
              <w:left w:w="115" w:type="dxa"/>
              <w:bottom w:w="29" w:type="dxa"/>
              <w:right w:w="115" w:type="dxa"/>
            </w:tcMar>
            <w:vAlign w:val="center"/>
          </w:tcPr>
          <w:p w:rsidRPr="0053202A" w:rsidR="00D9286A" w:rsidP="00D3061A" w:rsidRDefault="00D9286A" w14:paraId="16AF0732" w14:textId="77777777">
            <w:pPr>
              <w:jc w:val="center"/>
              <w:rPr>
                <w:rFonts w:cs="Arial"/>
                <w:b/>
                <w:bCs/>
                <w:sz w:val="20"/>
                <w:szCs w:val="20"/>
              </w:rPr>
            </w:pPr>
            <w:r w:rsidRPr="0053202A">
              <w:rPr>
                <w:rFonts w:cs="Arial"/>
                <w:b/>
                <w:bCs/>
                <w:sz w:val="20"/>
                <w:szCs w:val="20"/>
              </w:rPr>
              <w:t>Change Due to EPA Discretion</w:t>
            </w:r>
          </w:p>
        </w:tc>
        <w:tc>
          <w:tcPr>
            <w:tcW w:w="999" w:type="pct"/>
            <w:tcBorders>
              <w:top w:val="double" w:color="auto" w:sz="4" w:space="0"/>
              <w:left w:val="nil"/>
              <w:bottom w:val="single" w:color="auto" w:sz="4" w:space="0"/>
              <w:right w:val="double" w:color="auto" w:sz="4" w:space="0"/>
            </w:tcBorders>
            <w:shd w:val="clear" w:color="auto" w:fill="auto"/>
            <w:tcMar>
              <w:top w:w="29" w:type="dxa"/>
              <w:left w:w="115" w:type="dxa"/>
              <w:bottom w:w="29" w:type="dxa"/>
              <w:right w:w="115" w:type="dxa"/>
            </w:tcMar>
            <w:vAlign w:val="center"/>
          </w:tcPr>
          <w:p w:rsidRPr="0053202A" w:rsidR="00D9286A" w:rsidP="00D3061A" w:rsidRDefault="00D9286A" w14:paraId="53B3D79D" w14:textId="77777777">
            <w:pPr>
              <w:jc w:val="center"/>
              <w:rPr>
                <w:rFonts w:cs="Arial"/>
                <w:b/>
                <w:bCs/>
                <w:sz w:val="20"/>
                <w:szCs w:val="20"/>
              </w:rPr>
            </w:pPr>
            <w:r w:rsidRPr="0053202A">
              <w:rPr>
                <w:rFonts w:cs="Arial"/>
                <w:b/>
                <w:bCs/>
                <w:sz w:val="20"/>
                <w:szCs w:val="20"/>
              </w:rPr>
              <w:t>Due to EPA Estimate</w:t>
            </w:r>
          </w:p>
        </w:tc>
      </w:tr>
      <w:tr w:rsidR="00F6416D" w:rsidTr="009114C8" w14:paraId="52F06F2D" w14:textId="77777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jc w:val="center"/>
        </w:trPr>
        <w:tc>
          <w:tcPr>
            <w:tcW w:w="1095" w:type="pct"/>
            <w:tcBorders>
              <w:top w:val="single" w:color="auto" w:sz="4" w:space="0"/>
              <w:left w:val="double" w:color="auto" w:sz="4" w:space="0"/>
              <w:bottom w:val="single" w:color="auto" w:sz="4" w:space="0"/>
            </w:tcBorders>
            <w:shd w:val="clear" w:color="auto" w:fill="auto"/>
            <w:noWrap/>
            <w:tcMar>
              <w:top w:w="29" w:type="dxa"/>
              <w:left w:w="115" w:type="dxa"/>
              <w:bottom w:w="29" w:type="dxa"/>
              <w:right w:w="115" w:type="dxa"/>
            </w:tcMar>
            <w:vAlign w:val="center"/>
          </w:tcPr>
          <w:p w:rsidR="00B52254" w:rsidP="00B52254" w:rsidRDefault="00B52254" w14:paraId="4599A647" w14:textId="77777777">
            <w:pPr>
              <w:rPr>
                <w:rFonts w:cs="Arial"/>
                <w:sz w:val="20"/>
                <w:szCs w:val="20"/>
              </w:rPr>
            </w:pPr>
            <w:r>
              <w:rPr>
                <w:rFonts w:cs="Arial"/>
                <w:sz w:val="20"/>
                <w:szCs w:val="20"/>
              </w:rPr>
              <w:t>Annual Responses</w:t>
            </w:r>
          </w:p>
        </w:tc>
        <w:tc>
          <w:tcPr>
            <w:tcW w:w="952" w:type="pct"/>
            <w:tcBorders>
              <w:top w:val="single" w:color="auto" w:sz="4" w:space="0"/>
              <w:left w:val="single" w:color="auto" w:sz="4" w:space="0"/>
              <w:bottom w:val="single" w:color="auto" w:sz="4" w:space="0"/>
              <w:right w:val="single" w:color="auto" w:sz="4" w:space="0"/>
            </w:tcBorders>
            <w:shd w:val="clear" w:color="auto" w:fill="auto"/>
            <w:noWrap/>
            <w:tcMar>
              <w:top w:w="29" w:type="dxa"/>
              <w:left w:w="115" w:type="dxa"/>
              <w:bottom w:w="29" w:type="dxa"/>
              <w:right w:w="115" w:type="dxa"/>
            </w:tcMar>
            <w:vAlign w:val="bottom"/>
          </w:tcPr>
          <w:p w:rsidRPr="0053202A" w:rsidR="00B52254" w:rsidP="00B52254" w:rsidRDefault="00B52254" w14:paraId="328CD3CD" w14:textId="00700ABB">
            <w:pPr>
              <w:jc w:val="right"/>
              <w:rPr>
                <w:rFonts w:cs="Arial"/>
                <w:sz w:val="20"/>
                <w:szCs w:val="20"/>
              </w:rPr>
            </w:pPr>
            <w:r>
              <w:rPr>
                <w:rFonts w:cs="Arial"/>
                <w:sz w:val="20"/>
                <w:szCs w:val="20"/>
              </w:rPr>
              <w:t xml:space="preserve">                549,785 </w:t>
            </w:r>
          </w:p>
        </w:tc>
        <w:tc>
          <w:tcPr>
            <w:tcW w:w="1001" w:type="pct"/>
            <w:tcBorders>
              <w:top w:val="single" w:color="auto" w:sz="4" w:space="0"/>
              <w:left w:val="nil"/>
              <w:bottom w:val="single" w:color="auto" w:sz="4" w:space="0"/>
              <w:right w:val="single" w:color="auto" w:sz="4" w:space="0"/>
            </w:tcBorders>
            <w:shd w:val="clear" w:color="auto" w:fill="auto"/>
            <w:noWrap/>
            <w:tcMar>
              <w:top w:w="29" w:type="dxa"/>
              <w:left w:w="115" w:type="dxa"/>
              <w:bottom w:w="29" w:type="dxa"/>
              <w:right w:w="115" w:type="dxa"/>
            </w:tcMar>
            <w:vAlign w:val="bottom"/>
          </w:tcPr>
          <w:p w:rsidRPr="007352DF" w:rsidR="00B52254" w:rsidP="00B52254" w:rsidRDefault="00573EFF" w14:paraId="5FA6296D" w14:textId="0E9EBDB0">
            <w:pPr>
              <w:jc w:val="right"/>
              <w:rPr>
                <w:rFonts w:cs="Arial"/>
                <w:sz w:val="20"/>
                <w:szCs w:val="20"/>
              </w:rPr>
            </w:pPr>
            <w:r w:rsidRPr="006905E7">
              <w:rPr>
                <w:rFonts w:cs="Arial"/>
                <w:sz w:val="20"/>
                <w:szCs w:val="20"/>
              </w:rPr>
              <w:t>542,100</w:t>
            </w:r>
          </w:p>
        </w:tc>
        <w:tc>
          <w:tcPr>
            <w:tcW w:w="953" w:type="pct"/>
            <w:tcBorders>
              <w:top w:val="single" w:color="auto" w:sz="4" w:space="0"/>
              <w:left w:val="nil"/>
              <w:bottom w:val="single" w:color="auto" w:sz="4" w:space="0"/>
              <w:right w:val="single" w:color="auto" w:sz="4" w:space="0"/>
            </w:tcBorders>
            <w:shd w:val="clear" w:color="auto" w:fill="auto"/>
            <w:noWrap/>
            <w:tcMar>
              <w:top w:w="29" w:type="dxa"/>
              <w:left w:w="115" w:type="dxa"/>
              <w:bottom w:w="29" w:type="dxa"/>
              <w:right w:w="115" w:type="dxa"/>
            </w:tcMar>
            <w:vAlign w:val="bottom"/>
          </w:tcPr>
          <w:p w:rsidRPr="0053202A" w:rsidR="00B52254" w:rsidP="00B52254" w:rsidRDefault="00B52254" w14:paraId="04901F28" w14:textId="4828E4C4">
            <w:pPr>
              <w:jc w:val="right"/>
              <w:rPr>
                <w:rFonts w:cs="Arial"/>
                <w:sz w:val="20"/>
                <w:szCs w:val="20"/>
              </w:rPr>
            </w:pPr>
            <w:r>
              <w:rPr>
                <w:rFonts w:cs="Arial"/>
                <w:sz w:val="20"/>
                <w:szCs w:val="20"/>
              </w:rPr>
              <w:t xml:space="preserve">           </w:t>
            </w:r>
            <w:r w:rsidR="007352DF">
              <w:rPr>
                <w:rFonts w:cs="Arial"/>
                <w:sz w:val="20"/>
                <w:szCs w:val="20"/>
              </w:rPr>
              <w:t>0</w:t>
            </w:r>
            <w:r>
              <w:rPr>
                <w:rFonts w:cs="Arial"/>
                <w:sz w:val="20"/>
                <w:szCs w:val="20"/>
              </w:rPr>
              <w:t xml:space="preserve">   </w:t>
            </w:r>
          </w:p>
        </w:tc>
        <w:tc>
          <w:tcPr>
            <w:tcW w:w="999" w:type="pct"/>
            <w:tcBorders>
              <w:top w:val="single" w:color="auto" w:sz="4" w:space="0"/>
              <w:left w:val="nil"/>
              <w:bottom w:val="single" w:color="auto" w:sz="4" w:space="0"/>
              <w:right w:val="double" w:color="auto" w:sz="4" w:space="0"/>
            </w:tcBorders>
            <w:shd w:val="clear" w:color="auto" w:fill="auto"/>
            <w:noWrap/>
            <w:tcMar>
              <w:top w:w="29" w:type="dxa"/>
              <w:left w:w="115" w:type="dxa"/>
              <w:bottom w:w="29" w:type="dxa"/>
              <w:right w:w="115" w:type="dxa"/>
            </w:tcMar>
            <w:vAlign w:val="bottom"/>
          </w:tcPr>
          <w:p w:rsidRPr="000E7F89" w:rsidR="00B52254" w:rsidP="00B52254" w:rsidRDefault="00B52254" w14:paraId="2807EBDE" w14:textId="6DD33518">
            <w:pPr>
              <w:jc w:val="right"/>
              <w:rPr>
                <w:rFonts w:cs="Arial"/>
                <w:sz w:val="20"/>
                <w:szCs w:val="20"/>
                <w:vertAlign w:val="superscript"/>
              </w:rPr>
            </w:pPr>
            <w:r>
              <w:rPr>
                <w:rFonts w:cs="Arial"/>
                <w:sz w:val="20"/>
                <w:szCs w:val="20"/>
              </w:rPr>
              <w:t xml:space="preserve">    </w:t>
            </w:r>
            <w:r w:rsidR="00BB6A15">
              <w:rPr>
                <w:rFonts w:cs="Arial"/>
                <w:sz w:val="20"/>
                <w:szCs w:val="20"/>
              </w:rPr>
              <w:t>7,685</w:t>
            </w:r>
            <w:r w:rsidR="000E7F89">
              <w:rPr>
                <w:rFonts w:cs="Arial"/>
                <w:sz w:val="20"/>
                <w:szCs w:val="20"/>
                <w:vertAlign w:val="superscript"/>
              </w:rPr>
              <w:t>1</w:t>
            </w:r>
          </w:p>
        </w:tc>
      </w:tr>
      <w:tr w:rsidR="00F6416D" w:rsidTr="009114C8" w14:paraId="2B531C5C" w14:textId="77777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jc w:val="center"/>
        </w:trPr>
        <w:tc>
          <w:tcPr>
            <w:tcW w:w="1095" w:type="pct"/>
            <w:tcBorders>
              <w:top w:val="single" w:color="auto" w:sz="4" w:space="0"/>
              <w:left w:val="double" w:color="auto" w:sz="4" w:space="0"/>
              <w:bottom w:val="single" w:color="auto" w:sz="4" w:space="0"/>
            </w:tcBorders>
            <w:shd w:val="clear" w:color="auto" w:fill="auto"/>
            <w:noWrap/>
            <w:tcMar>
              <w:top w:w="29" w:type="dxa"/>
              <w:left w:w="115" w:type="dxa"/>
              <w:bottom w:w="29" w:type="dxa"/>
              <w:right w:w="115" w:type="dxa"/>
            </w:tcMar>
            <w:vAlign w:val="center"/>
          </w:tcPr>
          <w:p w:rsidR="00B52254" w:rsidP="00B52254" w:rsidRDefault="00B52254" w14:paraId="6CE5EEC8" w14:textId="77777777">
            <w:pPr>
              <w:rPr>
                <w:rFonts w:cs="Arial"/>
                <w:sz w:val="20"/>
                <w:szCs w:val="20"/>
              </w:rPr>
            </w:pPr>
            <w:r>
              <w:rPr>
                <w:rFonts w:cs="Arial"/>
                <w:sz w:val="20"/>
                <w:szCs w:val="20"/>
              </w:rPr>
              <w:t>Annual Hour Burden</w:t>
            </w:r>
          </w:p>
        </w:tc>
        <w:tc>
          <w:tcPr>
            <w:tcW w:w="952" w:type="pct"/>
            <w:tcBorders>
              <w:top w:val="single" w:color="auto" w:sz="4" w:space="0"/>
              <w:left w:val="single" w:color="auto" w:sz="4" w:space="0"/>
              <w:bottom w:val="single" w:color="auto" w:sz="4" w:space="0"/>
              <w:right w:val="single" w:color="auto" w:sz="4" w:space="0"/>
            </w:tcBorders>
            <w:shd w:val="clear" w:color="auto" w:fill="auto"/>
            <w:noWrap/>
            <w:tcMar>
              <w:top w:w="29" w:type="dxa"/>
              <w:left w:w="115" w:type="dxa"/>
              <w:bottom w:w="29" w:type="dxa"/>
              <w:right w:w="115" w:type="dxa"/>
            </w:tcMar>
            <w:vAlign w:val="bottom"/>
          </w:tcPr>
          <w:p w:rsidRPr="0053202A" w:rsidR="00B52254" w:rsidP="00B52254" w:rsidRDefault="00B52254" w14:paraId="4C065BE7" w14:textId="36681CB7">
            <w:pPr>
              <w:jc w:val="right"/>
              <w:rPr>
                <w:rFonts w:cs="Arial"/>
                <w:sz w:val="20"/>
                <w:szCs w:val="20"/>
              </w:rPr>
            </w:pPr>
            <w:r>
              <w:rPr>
                <w:rFonts w:cs="Arial"/>
                <w:sz w:val="20"/>
                <w:szCs w:val="20"/>
              </w:rPr>
              <w:t xml:space="preserve">             6,3</w:t>
            </w:r>
            <w:r w:rsidR="003F78F1">
              <w:rPr>
                <w:rFonts w:cs="Arial"/>
                <w:sz w:val="20"/>
                <w:szCs w:val="20"/>
              </w:rPr>
              <w:t>27,682</w:t>
            </w:r>
          </w:p>
        </w:tc>
        <w:tc>
          <w:tcPr>
            <w:tcW w:w="1001" w:type="pct"/>
            <w:tcBorders>
              <w:top w:val="single" w:color="auto" w:sz="4" w:space="0"/>
              <w:left w:val="nil"/>
              <w:bottom w:val="single" w:color="auto" w:sz="4" w:space="0"/>
              <w:right w:val="single" w:color="auto" w:sz="4" w:space="0"/>
            </w:tcBorders>
            <w:shd w:val="clear" w:color="auto" w:fill="auto"/>
            <w:noWrap/>
            <w:tcMar>
              <w:top w:w="29" w:type="dxa"/>
              <w:left w:w="115" w:type="dxa"/>
              <w:bottom w:w="29" w:type="dxa"/>
              <w:right w:w="115" w:type="dxa"/>
            </w:tcMar>
            <w:vAlign w:val="bottom"/>
          </w:tcPr>
          <w:p w:rsidRPr="007352DF" w:rsidR="00B52254" w:rsidP="00B52254" w:rsidRDefault="005902B1" w14:paraId="2B008077" w14:textId="4E094A1C">
            <w:pPr>
              <w:jc w:val="right"/>
              <w:rPr>
                <w:rFonts w:cs="Arial"/>
                <w:sz w:val="20"/>
                <w:szCs w:val="20"/>
              </w:rPr>
            </w:pPr>
            <w:r w:rsidRPr="006905E7">
              <w:rPr>
                <w:rFonts w:cs="Arial"/>
                <w:sz w:val="20"/>
                <w:szCs w:val="20"/>
              </w:rPr>
              <w:t>6,180,100</w:t>
            </w:r>
          </w:p>
        </w:tc>
        <w:tc>
          <w:tcPr>
            <w:tcW w:w="953" w:type="pct"/>
            <w:tcBorders>
              <w:top w:val="single" w:color="auto" w:sz="4" w:space="0"/>
              <w:left w:val="nil"/>
              <w:bottom w:val="single" w:color="auto" w:sz="4" w:space="0"/>
              <w:right w:val="single" w:color="auto" w:sz="4" w:space="0"/>
            </w:tcBorders>
            <w:shd w:val="clear" w:color="auto" w:fill="auto"/>
            <w:noWrap/>
            <w:tcMar>
              <w:top w:w="29" w:type="dxa"/>
              <w:left w:w="115" w:type="dxa"/>
              <w:bottom w:w="29" w:type="dxa"/>
              <w:right w:w="115" w:type="dxa"/>
            </w:tcMar>
            <w:vAlign w:val="bottom"/>
          </w:tcPr>
          <w:p w:rsidRPr="0053202A" w:rsidR="00B52254" w:rsidP="00B52254" w:rsidRDefault="00B52254" w14:paraId="4D4D1D03" w14:textId="0E3B3400">
            <w:pPr>
              <w:jc w:val="right"/>
              <w:rPr>
                <w:rFonts w:cs="Arial"/>
                <w:sz w:val="20"/>
                <w:szCs w:val="20"/>
              </w:rPr>
            </w:pPr>
            <w:r>
              <w:rPr>
                <w:rFonts w:cs="Arial"/>
                <w:sz w:val="20"/>
                <w:szCs w:val="20"/>
              </w:rPr>
              <w:t>0</w:t>
            </w:r>
          </w:p>
        </w:tc>
        <w:tc>
          <w:tcPr>
            <w:tcW w:w="999" w:type="pct"/>
            <w:tcBorders>
              <w:top w:val="single" w:color="auto" w:sz="4" w:space="0"/>
              <w:left w:val="nil"/>
              <w:bottom w:val="single" w:color="auto" w:sz="4" w:space="0"/>
              <w:right w:val="double" w:color="auto" w:sz="4" w:space="0"/>
            </w:tcBorders>
            <w:shd w:val="clear" w:color="auto" w:fill="auto"/>
            <w:noWrap/>
            <w:tcMar>
              <w:top w:w="29" w:type="dxa"/>
              <w:left w:w="115" w:type="dxa"/>
              <w:bottom w:w="29" w:type="dxa"/>
              <w:right w:w="115" w:type="dxa"/>
            </w:tcMar>
            <w:vAlign w:val="bottom"/>
          </w:tcPr>
          <w:p w:rsidRPr="0053202A" w:rsidR="00B52254" w:rsidP="00B52254" w:rsidRDefault="00B52254" w14:paraId="225ED661" w14:textId="7E89EC23">
            <w:pPr>
              <w:jc w:val="right"/>
              <w:rPr>
                <w:rFonts w:cs="Arial"/>
                <w:sz w:val="20"/>
                <w:szCs w:val="20"/>
              </w:rPr>
            </w:pPr>
            <w:r>
              <w:rPr>
                <w:rFonts w:cs="Arial"/>
                <w:sz w:val="20"/>
                <w:szCs w:val="20"/>
              </w:rPr>
              <w:t xml:space="preserve"> </w:t>
            </w:r>
            <w:r w:rsidR="00F50157">
              <w:rPr>
                <w:rFonts w:cs="Arial"/>
                <w:sz w:val="20"/>
                <w:szCs w:val="20"/>
              </w:rPr>
              <w:t>1</w:t>
            </w:r>
            <w:r w:rsidR="003F78F1">
              <w:rPr>
                <w:rFonts w:cs="Arial"/>
                <w:sz w:val="20"/>
                <w:szCs w:val="20"/>
              </w:rPr>
              <w:t>47,582</w:t>
            </w:r>
            <w:r w:rsidR="00DD37BB">
              <w:rPr>
                <w:rFonts w:cs="Arial"/>
                <w:sz w:val="20"/>
                <w:szCs w:val="20"/>
                <w:vertAlign w:val="superscript"/>
              </w:rPr>
              <w:t>1</w:t>
            </w:r>
          </w:p>
        </w:tc>
      </w:tr>
      <w:tr w:rsidR="00F6416D" w:rsidTr="009114C8" w14:paraId="471A3978" w14:textId="77777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jc w:val="center"/>
        </w:trPr>
        <w:tc>
          <w:tcPr>
            <w:tcW w:w="1095" w:type="pct"/>
            <w:tcBorders>
              <w:top w:val="single" w:color="auto" w:sz="4" w:space="0"/>
              <w:left w:val="double" w:color="auto" w:sz="4" w:space="0"/>
              <w:bottom w:val="double" w:color="auto" w:sz="4" w:space="0"/>
            </w:tcBorders>
            <w:shd w:val="clear" w:color="auto" w:fill="auto"/>
            <w:tcMar>
              <w:top w:w="29" w:type="dxa"/>
              <w:left w:w="115" w:type="dxa"/>
              <w:bottom w:w="29" w:type="dxa"/>
              <w:right w:w="115" w:type="dxa"/>
            </w:tcMar>
            <w:vAlign w:val="center"/>
          </w:tcPr>
          <w:p w:rsidR="00B52254" w:rsidP="00B52254" w:rsidRDefault="00B52254" w14:paraId="2E73B616" w14:textId="0F78923D">
            <w:pPr>
              <w:rPr>
                <w:rFonts w:cs="Arial"/>
                <w:sz w:val="20"/>
                <w:szCs w:val="20"/>
              </w:rPr>
            </w:pPr>
            <w:r>
              <w:rPr>
                <w:rFonts w:cs="Arial"/>
                <w:sz w:val="20"/>
                <w:szCs w:val="20"/>
              </w:rPr>
              <w:t>Annual Cost Burden (</w:t>
            </w:r>
            <w:r w:rsidR="00A14075">
              <w:rPr>
                <w:rFonts w:cs="Arial"/>
                <w:sz w:val="20"/>
                <w:szCs w:val="20"/>
              </w:rPr>
              <w:t>Including PE Labor</w:t>
            </w:r>
            <w:r w:rsidR="00C63422">
              <w:rPr>
                <w:rFonts w:cs="Arial"/>
                <w:sz w:val="20"/>
                <w:szCs w:val="20"/>
              </w:rPr>
              <w:t>)</w:t>
            </w:r>
            <w:r w:rsidR="00A14075">
              <w:rPr>
                <w:rFonts w:cs="Arial"/>
                <w:sz w:val="20"/>
                <w:szCs w:val="20"/>
              </w:rPr>
              <w:t xml:space="preserve"> </w:t>
            </w:r>
          </w:p>
        </w:tc>
        <w:tc>
          <w:tcPr>
            <w:tcW w:w="952" w:type="pct"/>
            <w:tcBorders>
              <w:top w:val="single" w:color="auto" w:sz="4" w:space="0"/>
              <w:left w:val="single" w:color="auto" w:sz="4" w:space="0"/>
              <w:bottom w:val="double" w:color="auto" w:sz="4" w:space="0"/>
              <w:right w:val="single" w:color="auto" w:sz="4" w:space="0"/>
            </w:tcBorders>
            <w:shd w:val="clear" w:color="auto" w:fill="auto"/>
            <w:noWrap/>
            <w:tcMar>
              <w:top w:w="29" w:type="dxa"/>
              <w:left w:w="115" w:type="dxa"/>
              <w:bottom w:w="29" w:type="dxa"/>
              <w:right w:w="115" w:type="dxa"/>
            </w:tcMar>
            <w:vAlign w:val="bottom"/>
          </w:tcPr>
          <w:p w:rsidRPr="0053202A" w:rsidR="00B52254" w:rsidP="00B52254" w:rsidRDefault="00B52254" w14:paraId="281D3A78" w14:textId="09931D85">
            <w:pPr>
              <w:jc w:val="right"/>
              <w:rPr>
                <w:rFonts w:cs="Arial"/>
                <w:sz w:val="20"/>
                <w:szCs w:val="20"/>
              </w:rPr>
            </w:pPr>
            <w:r>
              <w:rPr>
                <w:rFonts w:cs="Arial"/>
                <w:sz w:val="20"/>
                <w:szCs w:val="20"/>
              </w:rPr>
              <w:t xml:space="preserve">         </w:t>
            </w:r>
            <w:r w:rsidR="009F6C5A">
              <w:rPr>
                <w:rFonts w:cs="Arial"/>
                <w:sz w:val="20"/>
                <w:szCs w:val="20"/>
              </w:rPr>
              <w:t>$</w:t>
            </w:r>
            <w:r>
              <w:rPr>
                <w:rFonts w:cs="Arial"/>
                <w:sz w:val="20"/>
                <w:szCs w:val="20"/>
              </w:rPr>
              <w:t xml:space="preserve">201,002,128 </w:t>
            </w:r>
          </w:p>
        </w:tc>
        <w:tc>
          <w:tcPr>
            <w:tcW w:w="1001" w:type="pct"/>
            <w:tcBorders>
              <w:top w:val="single" w:color="auto" w:sz="4" w:space="0"/>
              <w:left w:val="nil"/>
              <w:bottom w:val="double" w:color="auto" w:sz="4" w:space="0"/>
              <w:right w:val="single" w:color="auto" w:sz="4" w:space="0"/>
            </w:tcBorders>
            <w:shd w:val="clear" w:color="auto" w:fill="auto"/>
            <w:noWrap/>
            <w:tcMar>
              <w:top w:w="29" w:type="dxa"/>
              <w:left w:w="115" w:type="dxa"/>
              <w:bottom w:w="29" w:type="dxa"/>
              <w:right w:w="115" w:type="dxa"/>
            </w:tcMar>
            <w:vAlign w:val="bottom"/>
          </w:tcPr>
          <w:p w:rsidRPr="007352DF" w:rsidR="00B52254" w:rsidP="00AD5BF1" w:rsidRDefault="00F800B8" w14:paraId="0458C438" w14:textId="239DF0AC">
            <w:pPr>
              <w:jc w:val="right"/>
              <w:rPr>
                <w:rFonts w:cs="Arial"/>
                <w:sz w:val="20"/>
                <w:szCs w:val="20"/>
              </w:rPr>
            </w:pPr>
            <w:r>
              <w:rPr>
                <w:rFonts w:cs="Arial"/>
                <w:sz w:val="20"/>
                <w:szCs w:val="20"/>
              </w:rPr>
              <w:t>$</w:t>
            </w:r>
            <w:r w:rsidRPr="000906FB" w:rsidR="00426E39">
              <w:rPr>
                <w:rFonts w:cs="Arial"/>
                <w:sz w:val="20"/>
                <w:szCs w:val="20"/>
              </w:rPr>
              <w:t>197,119,</w:t>
            </w:r>
            <w:r w:rsidR="00FB6924">
              <w:rPr>
                <w:rFonts w:cs="Arial"/>
                <w:sz w:val="20"/>
                <w:szCs w:val="20"/>
              </w:rPr>
              <w:t>200</w:t>
            </w:r>
            <w:r w:rsidR="0001442C">
              <w:rPr>
                <w:rFonts w:cs="Arial"/>
                <w:sz w:val="20"/>
                <w:szCs w:val="20"/>
                <w:vertAlign w:val="superscript"/>
              </w:rPr>
              <w:t>2</w:t>
            </w:r>
          </w:p>
        </w:tc>
        <w:tc>
          <w:tcPr>
            <w:tcW w:w="953" w:type="pct"/>
            <w:tcBorders>
              <w:top w:val="single" w:color="auto" w:sz="4" w:space="0"/>
              <w:left w:val="nil"/>
              <w:bottom w:val="double" w:color="auto" w:sz="4" w:space="0"/>
              <w:right w:val="single" w:color="auto" w:sz="4" w:space="0"/>
            </w:tcBorders>
            <w:shd w:val="clear" w:color="auto" w:fill="auto"/>
            <w:noWrap/>
            <w:tcMar>
              <w:top w:w="29" w:type="dxa"/>
              <w:left w:w="115" w:type="dxa"/>
              <w:bottom w:w="29" w:type="dxa"/>
              <w:right w:w="115" w:type="dxa"/>
            </w:tcMar>
            <w:vAlign w:val="bottom"/>
          </w:tcPr>
          <w:p w:rsidRPr="0053202A" w:rsidR="00B52254" w:rsidP="00B52254" w:rsidRDefault="00B52254" w14:paraId="5C6C5BC7" w14:textId="68718D4D">
            <w:pPr>
              <w:jc w:val="right"/>
              <w:rPr>
                <w:rFonts w:cs="Arial"/>
                <w:sz w:val="20"/>
                <w:szCs w:val="20"/>
              </w:rPr>
            </w:pPr>
            <w:r>
              <w:rPr>
                <w:rFonts w:cs="Arial"/>
                <w:sz w:val="20"/>
                <w:szCs w:val="20"/>
              </w:rPr>
              <w:t>$0</w:t>
            </w:r>
          </w:p>
        </w:tc>
        <w:tc>
          <w:tcPr>
            <w:tcW w:w="999" w:type="pct"/>
            <w:tcBorders>
              <w:top w:val="single" w:color="auto" w:sz="4" w:space="0"/>
              <w:left w:val="nil"/>
              <w:bottom w:val="double" w:color="auto" w:sz="4" w:space="0"/>
              <w:right w:val="double" w:color="auto" w:sz="4" w:space="0"/>
            </w:tcBorders>
            <w:shd w:val="clear" w:color="auto" w:fill="auto"/>
            <w:noWrap/>
            <w:tcMar>
              <w:top w:w="29" w:type="dxa"/>
              <w:left w:w="115" w:type="dxa"/>
              <w:bottom w:w="29" w:type="dxa"/>
              <w:right w:w="115" w:type="dxa"/>
            </w:tcMar>
            <w:vAlign w:val="bottom"/>
          </w:tcPr>
          <w:p w:rsidRPr="0053202A" w:rsidR="00B52254" w:rsidP="00AD5BF1" w:rsidRDefault="00B52254" w14:paraId="4409CD6A" w14:textId="46168CB5">
            <w:pPr>
              <w:jc w:val="right"/>
              <w:rPr>
                <w:rFonts w:cs="Arial"/>
                <w:sz w:val="20"/>
                <w:szCs w:val="20"/>
              </w:rPr>
            </w:pPr>
            <w:r>
              <w:rPr>
                <w:rFonts w:cs="Arial"/>
                <w:sz w:val="20"/>
                <w:szCs w:val="20"/>
              </w:rPr>
              <w:t xml:space="preserve"> </w:t>
            </w:r>
            <w:r w:rsidR="00F6416D">
              <w:rPr>
                <w:rFonts w:cs="Arial"/>
                <w:sz w:val="20"/>
                <w:szCs w:val="20"/>
              </w:rPr>
              <w:t>$</w:t>
            </w:r>
            <w:r w:rsidR="00735EEA">
              <w:rPr>
                <w:rFonts w:cs="Arial"/>
                <w:sz w:val="20"/>
                <w:szCs w:val="20"/>
              </w:rPr>
              <w:t xml:space="preserve">3,882,900 </w:t>
            </w:r>
          </w:p>
        </w:tc>
      </w:tr>
      <w:tr w:rsidR="007B4BAE" w:rsidTr="009114C8" w14:paraId="49A88F7C" w14:textId="777777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jc w:val="center"/>
        </w:trPr>
        <w:tc>
          <w:tcPr>
            <w:tcW w:w="5000" w:type="pct"/>
            <w:gridSpan w:val="5"/>
            <w:tcBorders>
              <w:top w:val="double" w:color="auto" w:sz="4" w:space="0"/>
              <w:left w:val="nil"/>
              <w:bottom w:val="nil"/>
              <w:right w:val="nil"/>
            </w:tcBorders>
            <w:shd w:val="clear" w:color="auto" w:fill="auto"/>
            <w:tcMar>
              <w:top w:w="29" w:type="dxa"/>
              <w:left w:w="115" w:type="dxa"/>
              <w:bottom w:w="29" w:type="dxa"/>
              <w:right w:w="115" w:type="dxa"/>
            </w:tcMar>
            <w:vAlign w:val="center"/>
          </w:tcPr>
          <w:p w:rsidRPr="00D174E3" w:rsidR="00D9232D" w:rsidP="00D174E3" w:rsidRDefault="00F97FD4" w14:paraId="5E221CFD" w14:textId="13AEF10C">
            <w:pPr>
              <w:pStyle w:val="TableTitle"/>
              <w:rPr>
                <w:rFonts w:ascii="Arial" w:hAnsi="Arial" w:cs="Arial"/>
                <w:b w:val="0"/>
                <w:bCs/>
                <w:sz w:val="18"/>
              </w:rPr>
            </w:pPr>
            <w:r w:rsidRPr="003D7D0C">
              <w:rPr>
                <w:rFonts w:cs="Arial"/>
                <w:sz w:val="20"/>
                <w:szCs w:val="20"/>
                <w:vertAlign w:val="superscript"/>
              </w:rPr>
              <w:t>1</w:t>
            </w:r>
            <w:r w:rsidRPr="00D174E3" w:rsidR="00045842">
              <w:rPr>
                <w:rFonts w:ascii="Arial" w:hAnsi="Arial" w:cs="Arial"/>
                <w:b w:val="0"/>
                <w:bCs/>
                <w:sz w:val="18"/>
              </w:rPr>
              <w:t>A</w:t>
            </w:r>
            <w:r w:rsidRPr="00D174E3" w:rsidR="003D7D0C">
              <w:rPr>
                <w:rFonts w:ascii="Arial" w:hAnsi="Arial" w:cs="Arial"/>
                <w:b w:val="0"/>
                <w:bCs/>
                <w:sz w:val="18"/>
              </w:rPr>
              <w:t>n</w:t>
            </w:r>
            <w:r w:rsidRPr="00D174E3" w:rsidR="0095378A">
              <w:rPr>
                <w:rFonts w:ascii="Arial" w:hAnsi="Arial" w:cs="Arial"/>
                <w:b w:val="0"/>
                <w:bCs/>
                <w:sz w:val="18"/>
              </w:rPr>
              <w:t xml:space="preserve">nual </w:t>
            </w:r>
            <w:r w:rsidRPr="00D174E3" w:rsidR="00D92E02">
              <w:rPr>
                <w:rFonts w:ascii="Arial" w:hAnsi="Arial" w:cs="Arial"/>
                <w:b w:val="0"/>
                <w:bCs/>
                <w:sz w:val="18"/>
              </w:rPr>
              <w:t>R</w:t>
            </w:r>
            <w:r w:rsidRPr="00D174E3" w:rsidR="0095378A">
              <w:rPr>
                <w:rFonts w:ascii="Arial" w:hAnsi="Arial" w:cs="Arial"/>
                <w:b w:val="0"/>
                <w:bCs/>
                <w:sz w:val="18"/>
              </w:rPr>
              <w:t xml:space="preserve">esponses and </w:t>
            </w:r>
            <w:r w:rsidRPr="00D174E3" w:rsidR="00D92E02">
              <w:rPr>
                <w:rFonts w:ascii="Arial" w:hAnsi="Arial" w:cs="Arial"/>
                <w:b w:val="0"/>
                <w:bCs/>
                <w:sz w:val="18"/>
              </w:rPr>
              <w:t>A</w:t>
            </w:r>
            <w:r w:rsidRPr="00D174E3" w:rsidR="0095378A">
              <w:rPr>
                <w:rFonts w:ascii="Arial" w:hAnsi="Arial" w:cs="Arial"/>
                <w:b w:val="0"/>
                <w:bCs/>
                <w:sz w:val="18"/>
              </w:rPr>
              <w:t xml:space="preserve">nnual </w:t>
            </w:r>
            <w:r w:rsidRPr="00D174E3" w:rsidR="00D92E02">
              <w:rPr>
                <w:rFonts w:ascii="Arial" w:hAnsi="Arial" w:cs="Arial"/>
                <w:b w:val="0"/>
                <w:bCs/>
                <w:sz w:val="18"/>
              </w:rPr>
              <w:t>H</w:t>
            </w:r>
            <w:r w:rsidRPr="00D174E3" w:rsidR="0095378A">
              <w:rPr>
                <w:rFonts w:ascii="Arial" w:hAnsi="Arial" w:cs="Arial"/>
                <w:b w:val="0"/>
                <w:bCs/>
                <w:sz w:val="18"/>
              </w:rPr>
              <w:t xml:space="preserve">our </w:t>
            </w:r>
            <w:r w:rsidRPr="00D174E3" w:rsidR="00D92E02">
              <w:rPr>
                <w:rFonts w:ascii="Arial" w:hAnsi="Arial" w:cs="Arial"/>
                <w:b w:val="0"/>
                <w:bCs/>
                <w:sz w:val="18"/>
              </w:rPr>
              <w:t>B</w:t>
            </w:r>
            <w:r w:rsidRPr="00D174E3" w:rsidR="0095378A">
              <w:rPr>
                <w:rFonts w:ascii="Arial" w:hAnsi="Arial" w:cs="Arial"/>
                <w:b w:val="0"/>
                <w:bCs/>
                <w:sz w:val="18"/>
              </w:rPr>
              <w:t>urden</w:t>
            </w:r>
            <w:r w:rsidRPr="00D174E3" w:rsidR="00D92E02">
              <w:rPr>
                <w:rFonts w:ascii="Arial" w:hAnsi="Arial" w:cs="Arial"/>
                <w:b w:val="0"/>
                <w:bCs/>
                <w:sz w:val="18"/>
              </w:rPr>
              <w:t xml:space="preserve"> </w:t>
            </w:r>
            <w:r w:rsidRPr="00D174E3" w:rsidR="00516601">
              <w:rPr>
                <w:rFonts w:ascii="Arial" w:hAnsi="Arial" w:cs="Arial"/>
                <w:b w:val="0"/>
                <w:bCs/>
                <w:sz w:val="18"/>
              </w:rPr>
              <w:t>values</w:t>
            </w:r>
            <w:r w:rsidRPr="00D174E3" w:rsidR="00D92E02">
              <w:rPr>
                <w:rFonts w:ascii="Arial" w:hAnsi="Arial" w:cs="Arial"/>
                <w:b w:val="0"/>
                <w:bCs/>
                <w:sz w:val="18"/>
              </w:rPr>
              <w:t xml:space="preserve"> in the column, D</w:t>
            </w:r>
            <w:r w:rsidRPr="00D174E3" w:rsidR="006030FD">
              <w:rPr>
                <w:rFonts w:ascii="Arial" w:hAnsi="Arial" w:cs="Arial"/>
                <w:b w:val="0"/>
                <w:bCs/>
                <w:sz w:val="18"/>
              </w:rPr>
              <w:t xml:space="preserve">ue to EPA </w:t>
            </w:r>
            <w:r w:rsidRPr="00D174E3" w:rsidR="00D92E02">
              <w:rPr>
                <w:rFonts w:ascii="Arial" w:hAnsi="Arial" w:cs="Arial"/>
                <w:b w:val="0"/>
                <w:bCs/>
                <w:sz w:val="18"/>
              </w:rPr>
              <w:t>E</w:t>
            </w:r>
            <w:r w:rsidRPr="00D174E3" w:rsidR="006030FD">
              <w:rPr>
                <w:rFonts w:ascii="Arial" w:hAnsi="Arial" w:cs="Arial"/>
                <w:b w:val="0"/>
                <w:bCs/>
                <w:sz w:val="18"/>
              </w:rPr>
              <w:t>stimat</w:t>
            </w:r>
            <w:r w:rsidRPr="00D174E3" w:rsidR="00D92E02">
              <w:rPr>
                <w:rFonts w:ascii="Arial" w:hAnsi="Arial" w:cs="Arial"/>
                <w:b w:val="0"/>
                <w:bCs/>
                <w:sz w:val="18"/>
              </w:rPr>
              <w:t>e</w:t>
            </w:r>
            <w:r w:rsidRPr="00D174E3" w:rsidR="00A3122B">
              <w:rPr>
                <w:rFonts w:ascii="Arial" w:hAnsi="Arial" w:cs="Arial"/>
                <w:b w:val="0"/>
                <w:bCs/>
                <w:sz w:val="18"/>
              </w:rPr>
              <w:t xml:space="preserve">, </w:t>
            </w:r>
            <w:r w:rsidRPr="00D174E3" w:rsidR="00EF79D2">
              <w:rPr>
                <w:rFonts w:ascii="Arial" w:hAnsi="Arial" w:cs="Arial"/>
                <w:b w:val="0"/>
                <w:bCs/>
                <w:sz w:val="18"/>
              </w:rPr>
              <w:t>do not equal the sum</w:t>
            </w:r>
            <w:r w:rsidRPr="00D174E3" w:rsidR="00045842">
              <w:rPr>
                <w:rFonts w:ascii="Arial" w:hAnsi="Arial" w:cs="Arial"/>
                <w:b w:val="0"/>
                <w:bCs/>
                <w:sz w:val="18"/>
              </w:rPr>
              <w:t>s</w:t>
            </w:r>
            <w:r w:rsidRPr="00D174E3" w:rsidR="00EF79D2">
              <w:rPr>
                <w:rFonts w:ascii="Arial" w:hAnsi="Arial" w:cs="Arial"/>
                <w:b w:val="0"/>
                <w:bCs/>
                <w:sz w:val="18"/>
              </w:rPr>
              <w:t xml:space="preserve"> of </w:t>
            </w:r>
            <w:r w:rsidRPr="00D174E3" w:rsidR="00045842">
              <w:rPr>
                <w:rFonts w:ascii="Arial" w:hAnsi="Arial" w:cs="Arial"/>
                <w:b w:val="0"/>
                <w:bCs/>
                <w:sz w:val="18"/>
              </w:rPr>
              <w:t xml:space="preserve">these </w:t>
            </w:r>
            <w:r w:rsidRPr="00D174E3" w:rsidR="00E51D34">
              <w:rPr>
                <w:rFonts w:ascii="Arial" w:hAnsi="Arial" w:cs="Arial"/>
                <w:b w:val="0"/>
                <w:bCs/>
                <w:sz w:val="18"/>
              </w:rPr>
              <w:t xml:space="preserve">values </w:t>
            </w:r>
            <w:r w:rsidRPr="00D174E3" w:rsidR="00045842">
              <w:rPr>
                <w:rFonts w:ascii="Arial" w:hAnsi="Arial" w:cs="Arial"/>
                <w:b w:val="0"/>
                <w:bCs/>
                <w:sz w:val="18"/>
              </w:rPr>
              <w:t>in Exhibit</w:t>
            </w:r>
            <w:r w:rsidRPr="00D174E3" w:rsidR="00D174E3">
              <w:rPr>
                <w:rFonts w:ascii="Arial" w:hAnsi="Arial" w:cs="Arial"/>
                <w:b w:val="0"/>
                <w:bCs/>
                <w:sz w:val="18"/>
              </w:rPr>
              <w:t xml:space="preserve"> </w:t>
            </w:r>
            <w:r w:rsidRPr="00D174E3" w:rsidR="00D174E3">
              <w:rPr>
                <w:rFonts w:ascii="Arial" w:hAnsi="Arial" w:cs="Arial"/>
                <w:b w:val="0"/>
                <w:bCs/>
                <w:sz w:val="18"/>
              </w:rPr>
              <w:t xml:space="preserve">A-18, Total Estimated Annual Burden and Costs Comparison: Private Facilities and Exhibit A-19, Total Estimated Annual Burden and Costs Comparison: State and Local Government Facilities in Appendix A </w:t>
            </w:r>
            <w:r w:rsidRPr="00D174E3" w:rsidR="00F10B57">
              <w:rPr>
                <w:rFonts w:ascii="Arial" w:hAnsi="Arial" w:cs="Arial"/>
                <w:b w:val="0"/>
                <w:bCs/>
                <w:sz w:val="18"/>
              </w:rPr>
              <w:t xml:space="preserve"> because t</w:t>
            </w:r>
            <w:r w:rsidRPr="00D174E3" w:rsidR="001D0B0A">
              <w:rPr>
                <w:rFonts w:ascii="Arial" w:hAnsi="Arial" w:cs="Arial"/>
                <w:b w:val="0"/>
                <w:bCs/>
                <w:sz w:val="18"/>
              </w:rPr>
              <w:t xml:space="preserve">he </w:t>
            </w:r>
            <w:r w:rsidRPr="00D174E3" w:rsidR="00705157">
              <w:rPr>
                <w:rFonts w:ascii="Arial" w:hAnsi="Arial" w:cs="Arial"/>
                <w:b w:val="0"/>
                <w:bCs/>
                <w:sz w:val="18"/>
              </w:rPr>
              <w:t>C</w:t>
            </w:r>
            <w:r w:rsidRPr="00D174E3" w:rsidR="00407CE1">
              <w:rPr>
                <w:rFonts w:ascii="Arial" w:hAnsi="Arial" w:cs="Arial"/>
                <w:b w:val="0"/>
                <w:bCs/>
                <w:sz w:val="18"/>
              </w:rPr>
              <w:t xml:space="preserve">urrently </w:t>
            </w:r>
            <w:r w:rsidRPr="00D174E3" w:rsidR="002B150D">
              <w:rPr>
                <w:rFonts w:ascii="Arial" w:hAnsi="Arial" w:cs="Arial"/>
                <w:b w:val="0"/>
                <w:bCs/>
                <w:sz w:val="18"/>
              </w:rPr>
              <w:t>A</w:t>
            </w:r>
            <w:r w:rsidRPr="00D174E3" w:rsidR="00407CE1">
              <w:rPr>
                <w:rFonts w:ascii="Arial" w:hAnsi="Arial" w:cs="Arial"/>
                <w:b w:val="0"/>
                <w:bCs/>
                <w:sz w:val="18"/>
              </w:rPr>
              <w:t xml:space="preserve">pproved values are rounded while </w:t>
            </w:r>
            <w:r w:rsidRPr="00D174E3" w:rsidR="002B150D">
              <w:rPr>
                <w:rFonts w:ascii="Arial" w:hAnsi="Arial" w:cs="Arial"/>
                <w:b w:val="0"/>
                <w:bCs/>
                <w:sz w:val="18"/>
              </w:rPr>
              <w:t>T</w:t>
            </w:r>
            <w:r w:rsidRPr="00D174E3" w:rsidR="00407CE1">
              <w:rPr>
                <w:rFonts w:ascii="Arial" w:hAnsi="Arial" w:cs="Arial"/>
                <w:b w:val="0"/>
                <w:bCs/>
                <w:sz w:val="18"/>
              </w:rPr>
              <w:t xml:space="preserve">otal </w:t>
            </w:r>
            <w:r w:rsidRPr="00D174E3" w:rsidR="002B150D">
              <w:rPr>
                <w:rFonts w:ascii="Arial" w:hAnsi="Arial" w:cs="Arial"/>
                <w:b w:val="0"/>
                <w:bCs/>
                <w:sz w:val="18"/>
              </w:rPr>
              <w:t>R</w:t>
            </w:r>
            <w:r w:rsidRPr="00D174E3" w:rsidR="00407CE1">
              <w:rPr>
                <w:rFonts w:ascii="Arial" w:hAnsi="Arial" w:cs="Arial"/>
                <w:b w:val="0"/>
                <w:bCs/>
                <w:sz w:val="18"/>
              </w:rPr>
              <w:t>equested values are not</w:t>
            </w:r>
            <w:r w:rsidRPr="00D174E3" w:rsidR="003D7D0C">
              <w:rPr>
                <w:rFonts w:ascii="Arial" w:hAnsi="Arial" w:cs="Arial"/>
                <w:b w:val="0"/>
                <w:bCs/>
                <w:sz w:val="18"/>
              </w:rPr>
              <w:t>.</w:t>
            </w:r>
            <w:r w:rsidRPr="00D174E3" w:rsidR="001D0B0A">
              <w:rPr>
                <w:rFonts w:ascii="Arial" w:hAnsi="Arial" w:cs="Arial"/>
                <w:b w:val="0"/>
                <w:bCs/>
                <w:sz w:val="18"/>
              </w:rPr>
              <w:t xml:space="preserve"> </w:t>
            </w:r>
            <w:r w:rsidRPr="00D174E3" w:rsidR="00705157">
              <w:rPr>
                <w:rFonts w:ascii="Arial" w:hAnsi="Arial" w:cs="Arial"/>
                <w:b w:val="0"/>
                <w:bCs/>
                <w:sz w:val="18"/>
              </w:rPr>
              <w:t>This</w:t>
            </w:r>
            <w:r w:rsidRPr="00D174E3" w:rsidR="001D0B0A">
              <w:rPr>
                <w:rFonts w:ascii="Arial" w:hAnsi="Arial" w:cs="Arial"/>
                <w:b w:val="0"/>
                <w:bCs/>
                <w:sz w:val="18"/>
              </w:rPr>
              <w:t xml:space="preserve"> creates </w:t>
            </w:r>
            <w:r w:rsidRPr="00D174E3" w:rsidR="002B150D">
              <w:rPr>
                <w:rFonts w:ascii="Arial" w:hAnsi="Arial" w:cs="Arial"/>
                <w:b w:val="0"/>
                <w:bCs/>
                <w:sz w:val="18"/>
              </w:rPr>
              <w:t xml:space="preserve">a small discrepancy when the private and state and local government figures are </w:t>
            </w:r>
            <w:r w:rsidRPr="00D174E3" w:rsidR="00705157">
              <w:rPr>
                <w:rFonts w:ascii="Arial" w:hAnsi="Arial" w:cs="Arial"/>
                <w:b w:val="0"/>
                <w:bCs/>
                <w:sz w:val="18"/>
              </w:rPr>
              <w:t>summed,</w:t>
            </w:r>
            <w:r w:rsidRPr="00D174E3" w:rsidR="001D0B0A">
              <w:rPr>
                <w:rFonts w:ascii="Arial" w:hAnsi="Arial" w:cs="Arial"/>
                <w:b w:val="0"/>
                <w:bCs/>
                <w:sz w:val="18"/>
              </w:rPr>
              <w:t xml:space="preserve"> and the total is compared to</w:t>
            </w:r>
            <w:r w:rsidRPr="00D174E3" w:rsidR="002B150D">
              <w:rPr>
                <w:rFonts w:ascii="Arial" w:hAnsi="Arial" w:cs="Arial"/>
                <w:b w:val="0"/>
                <w:bCs/>
                <w:sz w:val="18"/>
              </w:rPr>
              <w:t xml:space="preserve"> the All Respondent Facilities total</w:t>
            </w:r>
            <w:r w:rsidRPr="00D174E3" w:rsidR="001D0B0A">
              <w:rPr>
                <w:rFonts w:ascii="Arial" w:hAnsi="Arial" w:cs="Arial"/>
                <w:b w:val="0"/>
                <w:bCs/>
                <w:sz w:val="18"/>
              </w:rPr>
              <w:t xml:space="preserve">s in Exhibit </w:t>
            </w:r>
            <w:r w:rsidR="00D174E3">
              <w:rPr>
                <w:rFonts w:ascii="Arial" w:hAnsi="Arial" w:cs="Arial"/>
                <w:b w:val="0"/>
                <w:bCs/>
                <w:sz w:val="18"/>
              </w:rPr>
              <w:t>5</w:t>
            </w:r>
            <w:r w:rsidRPr="00D174E3" w:rsidR="00705157">
              <w:rPr>
                <w:rFonts w:ascii="Arial" w:hAnsi="Arial" w:cs="Arial"/>
                <w:b w:val="0"/>
                <w:bCs/>
                <w:sz w:val="18"/>
              </w:rPr>
              <w:t>.</w:t>
            </w:r>
          </w:p>
          <w:p w:rsidRPr="00B40122" w:rsidR="007B4BAE" w:rsidP="000906FB" w:rsidRDefault="0001442C" w14:paraId="6AC2AE60" w14:textId="264F655D">
            <w:pPr>
              <w:rPr>
                <w:rFonts w:cs="Arial"/>
                <w:color w:val="FF0000"/>
                <w:sz w:val="20"/>
                <w:szCs w:val="20"/>
              </w:rPr>
            </w:pPr>
            <w:r w:rsidRPr="003D7D0C">
              <w:rPr>
                <w:rFonts w:cs="Arial"/>
                <w:sz w:val="20"/>
                <w:szCs w:val="20"/>
                <w:vertAlign w:val="superscript"/>
              </w:rPr>
              <w:t>2</w:t>
            </w:r>
            <w:r w:rsidRPr="003D7D0C" w:rsidR="00292DB5">
              <w:rPr>
                <w:rFonts w:cs="Arial"/>
                <w:sz w:val="18"/>
                <w:szCs w:val="18"/>
              </w:rPr>
              <w:t xml:space="preserve">Currently approved </w:t>
            </w:r>
            <w:r w:rsidRPr="003D7D0C" w:rsidR="00C5074F">
              <w:rPr>
                <w:rFonts w:cs="Arial"/>
                <w:sz w:val="18"/>
                <w:szCs w:val="18"/>
              </w:rPr>
              <w:t>cost burden</w:t>
            </w:r>
            <w:r w:rsidRPr="003D7D0C" w:rsidR="00AD5756">
              <w:rPr>
                <w:rFonts w:cs="Arial"/>
                <w:sz w:val="18"/>
                <w:szCs w:val="18"/>
              </w:rPr>
              <w:t xml:space="preserve"> </w:t>
            </w:r>
            <w:r w:rsidRPr="003D7D0C" w:rsidR="00557E7A">
              <w:rPr>
                <w:rFonts w:cs="Arial"/>
                <w:sz w:val="18"/>
                <w:szCs w:val="18"/>
              </w:rPr>
              <w:t xml:space="preserve">was adjusted to $2018 from the </w:t>
            </w:r>
            <w:r w:rsidRPr="003D7D0C" w:rsidR="00AA0C78">
              <w:rPr>
                <w:rFonts w:cs="Arial"/>
                <w:sz w:val="18"/>
                <w:szCs w:val="18"/>
              </w:rPr>
              <w:t>20</w:t>
            </w:r>
            <w:r w:rsidRPr="003D7D0C" w:rsidR="00F13BC5">
              <w:rPr>
                <w:rFonts w:cs="Arial"/>
                <w:sz w:val="18"/>
                <w:szCs w:val="18"/>
              </w:rPr>
              <w:t xml:space="preserve">16 </w:t>
            </w:r>
            <w:r w:rsidRPr="003D7D0C" w:rsidR="002719D4">
              <w:rPr>
                <w:rFonts w:cs="Arial"/>
                <w:sz w:val="18"/>
                <w:szCs w:val="18"/>
              </w:rPr>
              <w:t>ICR</w:t>
            </w:r>
            <w:r w:rsidRPr="003D7D0C" w:rsidR="00A45DE4">
              <w:rPr>
                <w:rFonts w:cs="Arial"/>
                <w:sz w:val="18"/>
                <w:szCs w:val="18"/>
              </w:rPr>
              <w:t xml:space="preserve">, which </w:t>
            </w:r>
            <w:r w:rsidRPr="003D7D0C" w:rsidR="00753DE1">
              <w:rPr>
                <w:rFonts w:cs="Arial"/>
                <w:sz w:val="18"/>
                <w:szCs w:val="18"/>
              </w:rPr>
              <w:t>had a total requested value of $183,160,300</w:t>
            </w:r>
            <w:r w:rsidRPr="003D7D0C" w:rsidR="005D695D">
              <w:rPr>
                <w:rFonts w:cs="Arial"/>
                <w:sz w:val="18"/>
                <w:szCs w:val="18"/>
              </w:rPr>
              <w:t xml:space="preserve"> in $2015.</w:t>
            </w:r>
            <w:r w:rsidRPr="003D7D0C" w:rsidR="00AD7297">
              <w:rPr>
                <w:rFonts w:cs="Arial"/>
                <w:sz w:val="18"/>
                <w:szCs w:val="18"/>
              </w:rPr>
              <w:t xml:space="preserve"> </w:t>
            </w:r>
            <w:r w:rsidRPr="003D7D0C" w:rsidR="00455215">
              <w:rPr>
                <w:rFonts w:cs="Arial"/>
                <w:sz w:val="18"/>
                <w:szCs w:val="18"/>
              </w:rPr>
              <w:t xml:space="preserve">The value was </w:t>
            </w:r>
            <w:r w:rsidRPr="003D7D0C" w:rsidR="00257D24">
              <w:rPr>
                <w:rFonts w:cs="Arial"/>
                <w:sz w:val="18"/>
                <w:szCs w:val="18"/>
              </w:rPr>
              <w:t>adjusted</w:t>
            </w:r>
            <w:r w:rsidRPr="003D7D0C" w:rsidR="00455215">
              <w:rPr>
                <w:rFonts w:cs="Arial"/>
                <w:sz w:val="18"/>
                <w:szCs w:val="18"/>
              </w:rPr>
              <w:t xml:space="preserve"> using the Employment Cost Index</w:t>
            </w:r>
            <w:r w:rsidRPr="003D7D0C" w:rsidR="006703E5">
              <w:rPr>
                <w:rFonts w:cs="Arial"/>
                <w:sz w:val="18"/>
                <w:szCs w:val="18"/>
              </w:rPr>
              <w:t xml:space="preserve"> with an inflation </w:t>
            </w:r>
            <w:r w:rsidRPr="003D7D0C" w:rsidR="000566B5">
              <w:rPr>
                <w:rFonts w:cs="Arial"/>
                <w:sz w:val="18"/>
                <w:szCs w:val="18"/>
              </w:rPr>
              <w:t xml:space="preserve">rate of </w:t>
            </w:r>
            <w:r w:rsidRPr="003D7D0C" w:rsidR="00992E7C">
              <w:rPr>
                <w:rFonts w:cs="Arial"/>
                <w:sz w:val="18"/>
                <w:szCs w:val="18"/>
              </w:rPr>
              <w:t>7.6 percent.</w:t>
            </w:r>
          </w:p>
        </w:tc>
      </w:tr>
    </w:tbl>
    <w:p w:rsidR="00A1557E" w:rsidRDefault="00A1557E" w14:paraId="08D195B3"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Cs w:val="22"/>
        </w:rPr>
      </w:pPr>
    </w:p>
    <w:p w:rsidRPr="00854FC2" w:rsidR="00D85665" w:rsidP="00E827A7" w:rsidRDefault="00D85665" w14:paraId="2F24B198" w14:textId="4F7411E5">
      <w:pPr>
        <w:pStyle w:val="Heading2"/>
      </w:pPr>
      <w:r w:rsidRPr="00854FC2">
        <w:t>6(</w:t>
      </w:r>
      <w:r w:rsidR="00046096">
        <w:t>g</w:t>
      </w:r>
      <w:r w:rsidRPr="00854FC2">
        <w:t xml:space="preserve">) </w:t>
      </w:r>
      <w:r w:rsidRPr="00854FC2">
        <w:tab/>
        <w:t>Burden Statement</w:t>
      </w:r>
    </w:p>
    <w:p w:rsidRPr="00854FC2" w:rsidR="00D85665" w:rsidRDefault="00D85665" w14:paraId="2DBDEF42"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854FC2">
        <w:rPr>
          <w:rFonts w:cs="Arial"/>
          <w:szCs w:val="22"/>
        </w:rPr>
        <w:tab/>
      </w:r>
    </w:p>
    <w:p w:rsidRPr="00D159DC" w:rsidR="00D85665" w:rsidP="00E34D89" w:rsidRDefault="00DA6248" w14:paraId="6A90850D" w14:textId="288B2273">
      <w:pPr>
        <w:ind w:firstLine="720"/>
        <w:rPr>
          <w:rFonts w:cs="Arial"/>
          <w:szCs w:val="22"/>
        </w:rPr>
      </w:pPr>
      <w:r>
        <w:rPr>
          <w:rFonts w:cs="Arial"/>
          <w:szCs w:val="22"/>
        </w:rPr>
        <w:t>The annual public reporting and record keeping burden for</w:t>
      </w:r>
      <w:r w:rsidRPr="00D159DC">
        <w:rPr>
          <w:rFonts w:cs="Arial"/>
          <w:szCs w:val="22"/>
        </w:rPr>
        <w:t xml:space="preserve"> </w:t>
      </w:r>
      <w:r w:rsidRPr="00D159DC" w:rsidR="00D85665">
        <w:rPr>
          <w:rFonts w:cs="Arial"/>
          <w:szCs w:val="22"/>
        </w:rPr>
        <w:t>newly regulated facilities</w:t>
      </w:r>
      <w:r w:rsidRPr="00D159DC" w:rsidR="009005D9">
        <w:rPr>
          <w:rFonts w:cs="Arial"/>
          <w:szCs w:val="22"/>
        </w:rPr>
        <w:t xml:space="preserve"> </w:t>
      </w:r>
      <w:r w:rsidRPr="00D159DC" w:rsidR="00D85665">
        <w:rPr>
          <w:rFonts w:cs="Arial"/>
        </w:rPr>
        <w:t xml:space="preserve">is estimated to </w:t>
      </w:r>
      <w:r w:rsidRPr="00D159DC" w:rsidR="00D85665">
        <w:rPr>
          <w:rFonts w:cs="Arial"/>
          <w:szCs w:val="22"/>
        </w:rPr>
        <w:t xml:space="preserve">range from </w:t>
      </w:r>
      <w:r w:rsidRPr="00D159DC" w:rsidR="004653FF">
        <w:rPr>
          <w:rFonts w:cs="Arial"/>
          <w:szCs w:val="22"/>
        </w:rPr>
        <w:t>13</w:t>
      </w:r>
      <w:r w:rsidRPr="00D159DC" w:rsidR="008550A3">
        <w:rPr>
          <w:rFonts w:cs="Arial"/>
          <w:szCs w:val="22"/>
        </w:rPr>
        <w:t xml:space="preserve"> </w:t>
      </w:r>
      <w:r w:rsidRPr="00D159DC" w:rsidR="00D85665">
        <w:rPr>
          <w:rFonts w:cs="Arial"/>
          <w:szCs w:val="22"/>
        </w:rPr>
        <w:t xml:space="preserve">to </w:t>
      </w:r>
      <w:r w:rsidRPr="00D159DC" w:rsidR="009C4561">
        <w:rPr>
          <w:rFonts w:cs="Arial"/>
          <w:szCs w:val="22"/>
        </w:rPr>
        <w:t xml:space="preserve">203 </w:t>
      </w:r>
      <w:r w:rsidRPr="00D159DC" w:rsidR="00D85665">
        <w:rPr>
          <w:rFonts w:cs="Arial"/>
          <w:szCs w:val="22"/>
        </w:rPr>
        <w:t xml:space="preserve">hours per facility, with an average burden of approximately </w:t>
      </w:r>
      <w:r w:rsidRPr="00D159DC" w:rsidR="008550A3">
        <w:rPr>
          <w:rFonts w:cs="Arial"/>
          <w:szCs w:val="22"/>
        </w:rPr>
        <w:t>57</w:t>
      </w:r>
      <w:r w:rsidRPr="00D159DC" w:rsidR="00C56296">
        <w:rPr>
          <w:rFonts w:cs="Arial"/>
          <w:szCs w:val="22"/>
        </w:rPr>
        <w:t xml:space="preserve"> </w:t>
      </w:r>
      <w:r w:rsidRPr="00D159DC" w:rsidR="00D85665">
        <w:rPr>
          <w:rFonts w:cs="Arial"/>
          <w:szCs w:val="22"/>
        </w:rPr>
        <w:t>hours</w:t>
      </w:r>
      <w:r w:rsidRPr="00D159DC" w:rsidR="00D85665">
        <w:rPr>
          <w:rFonts w:cs="Arial"/>
          <w:color w:val="000000"/>
        </w:rPr>
        <w:t xml:space="preserve"> per response. </w:t>
      </w:r>
      <w:r w:rsidRPr="00D159DC" w:rsidR="00D85665">
        <w:rPr>
          <w:rFonts w:cs="Arial"/>
          <w:szCs w:val="22"/>
        </w:rPr>
        <w:t xml:space="preserve">The annual public reporting and recordkeeping burden for facilities already regulated by the rule is estimated to range from </w:t>
      </w:r>
      <w:r w:rsidRPr="00D159DC" w:rsidR="004653FF">
        <w:rPr>
          <w:rFonts w:cs="Arial"/>
          <w:szCs w:val="22"/>
        </w:rPr>
        <w:t>4</w:t>
      </w:r>
      <w:r w:rsidRPr="00D159DC" w:rsidR="008550A3">
        <w:rPr>
          <w:rFonts w:cs="Arial"/>
          <w:szCs w:val="22"/>
        </w:rPr>
        <w:t xml:space="preserve"> </w:t>
      </w:r>
      <w:r w:rsidRPr="00D159DC" w:rsidR="00D85665">
        <w:rPr>
          <w:rFonts w:cs="Arial"/>
          <w:szCs w:val="22"/>
        </w:rPr>
        <w:t xml:space="preserve">to </w:t>
      </w:r>
      <w:r w:rsidRPr="00D159DC" w:rsidR="004653FF">
        <w:rPr>
          <w:rFonts w:cs="Arial"/>
          <w:szCs w:val="22"/>
        </w:rPr>
        <w:t>39</w:t>
      </w:r>
      <w:r w:rsidRPr="00D159DC" w:rsidR="008550A3">
        <w:rPr>
          <w:rFonts w:cs="Arial"/>
          <w:szCs w:val="22"/>
        </w:rPr>
        <w:t xml:space="preserve"> </w:t>
      </w:r>
      <w:r w:rsidRPr="00D159DC" w:rsidR="00D85665">
        <w:rPr>
          <w:rFonts w:cs="Arial"/>
          <w:szCs w:val="22"/>
        </w:rPr>
        <w:t xml:space="preserve">hours, with an average burden of approximately </w:t>
      </w:r>
      <w:r w:rsidRPr="00D159DC" w:rsidR="004653FF">
        <w:rPr>
          <w:rFonts w:cs="Arial"/>
          <w:szCs w:val="22"/>
        </w:rPr>
        <w:t xml:space="preserve">10 </w:t>
      </w:r>
      <w:r w:rsidRPr="00D159DC" w:rsidR="00D85665">
        <w:rPr>
          <w:rFonts w:cs="Arial"/>
          <w:szCs w:val="22"/>
        </w:rPr>
        <w:t>hours.</w:t>
      </w:r>
      <w:r>
        <w:rPr>
          <w:rFonts w:cs="Arial"/>
          <w:szCs w:val="22"/>
        </w:rPr>
        <w:t xml:space="preserve"> This is a mandatory collection under 40 CFR 112</w:t>
      </w:r>
      <w:r w:rsidR="0088538E">
        <w:rPr>
          <w:rFonts w:cs="Arial"/>
          <w:szCs w:val="22"/>
        </w:rPr>
        <w:t xml:space="preserve"> part 112.</w:t>
      </w:r>
    </w:p>
    <w:p w:rsidRPr="00D159DC" w:rsidR="00D85665" w:rsidP="00124FD1" w:rsidRDefault="00D85665" w14:paraId="454D27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rsidRPr="00854FC2" w:rsidR="00D85665" w:rsidP="00124FD1" w:rsidRDefault="00074F8C" w14:paraId="3C009D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D159DC">
        <w:rPr>
          <w:rFonts w:cs="Arial"/>
          <w:color w:val="000000"/>
        </w:rPr>
        <w:tab/>
      </w:r>
      <w:r w:rsidRPr="00D159DC" w:rsidR="00D85665">
        <w:rPr>
          <w:rFonts w:cs="Arial"/>
          <w:color w:val="000000"/>
        </w:rPr>
        <w:t>Burden means the total time, effort, or financial resources expen</w:t>
      </w:r>
      <w:r w:rsidRPr="00854FC2" w:rsidR="00D85665">
        <w:rPr>
          <w:rFonts w:cs="Arial"/>
          <w:color w:val="000000"/>
        </w:rPr>
        <w:t>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3F6507">
        <w:rPr>
          <w:rFonts w:cs="Arial"/>
          <w:color w:val="000000"/>
        </w:rPr>
        <w:t xml:space="preserve">. </w:t>
      </w:r>
      <w:r w:rsidRPr="00854FC2" w:rsidR="00D85665">
        <w:rPr>
          <w:rFonts w:cs="Arial"/>
          <w:color w:val="000000"/>
        </w:rPr>
        <w:t>An agency may not conduct or sponsor, and a person is not required to respond to, a collection of information unless it displays a currently valid OMB control number. The OMB control numbers for EPA’s regulations are listed in 40 CFR part 9 and chapter 15 of 48 CFR</w:t>
      </w:r>
      <w:r w:rsidR="003F6507">
        <w:rPr>
          <w:rFonts w:cs="Arial"/>
          <w:color w:val="000000"/>
        </w:rPr>
        <w:t xml:space="preserve">. </w:t>
      </w:r>
      <w:r w:rsidRPr="00854FC2" w:rsidR="00D85665">
        <w:rPr>
          <w:rFonts w:cs="Arial"/>
          <w:color w:val="000000"/>
        </w:rPr>
        <w:t xml:space="preserve">   </w:t>
      </w:r>
    </w:p>
    <w:p w:rsidRPr="00854FC2" w:rsidR="00D85665" w:rsidP="00124FD1" w:rsidRDefault="00D85665" w14:paraId="7E9927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p>
    <w:p w:rsidR="003B1A3E" w:rsidP="00C63422" w:rsidRDefault="00074F8C" w14:paraId="4BF792C6" w14:textId="24151820">
      <w:pPr>
        <w:spacing w:line="240" w:lineRule="auto"/>
        <w:rPr>
          <w:rFonts w:cs="Arial"/>
          <w:b/>
          <w:bCs/>
          <w:szCs w:val="22"/>
        </w:rPr>
      </w:pPr>
      <w:r>
        <w:tab/>
      </w:r>
      <w:r w:rsidRPr="00D620E7" w:rsidR="00D85665">
        <w:rPr>
          <w:rFonts w:cs="Arial"/>
          <w:color w:val="000000"/>
        </w:rPr>
        <w:t xml:space="preserve">To comment on </w:t>
      </w:r>
      <w:r w:rsidRPr="00D620E7" w:rsidR="000B0BA2">
        <w:rPr>
          <w:rFonts w:cs="Arial"/>
          <w:color w:val="000000"/>
        </w:rPr>
        <w:t>EPA</w:t>
      </w:r>
      <w:r w:rsidRPr="00D620E7" w:rsidR="00D85665">
        <w:rPr>
          <w:rFonts w:cs="Arial"/>
          <w:color w:val="000000"/>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D620E7" w:rsidR="002D44E0">
        <w:rPr>
          <w:rFonts w:cs="Arial"/>
          <w:color w:val="000000"/>
        </w:rPr>
        <w:t>EPA-HQ-OPA-2007-0584</w:t>
      </w:r>
      <w:r w:rsidRPr="00D620E7" w:rsidR="00D85665">
        <w:rPr>
          <w:rFonts w:cs="Arial"/>
          <w:color w:val="000000"/>
        </w:rPr>
        <w:t xml:space="preserve">, which is available for online viewing at </w:t>
      </w:r>
      <w:hyperlink w:history="1" r:id="rId12">
        <w:r w:rsidRPr="00D620E7" w:rsidR="00D85665">
          <w:rPr>
            <w:rStyle w:val="Hyperlink"/>
            <w:rFonts w:cs="Arial"/>
          </w:rPr>
          <w:t>www.regulations.gov,</w:t>
        </w:r>
      </w:hyperlink>
      <w:r w:rsidRPr="00D620E7" w:rsidR="00D85665">
        <w:rPr>
          <w:rFonts w:cs="Arial"/>
          <w:color w:val="000000"/>
        </w:rPr>
        <w:t xml:space="preserve"> or in person viewing at the Superfund Docket in the EPA Docket Center (EPA/DC), EPA West, Room </w:t>
      </w:r>
      <w:r w:rsidRPr="00D620E7" w:rsidR="003F3E1A">
        <w:rPr>
          <w:rFonts w:cs="Arial"/>
          <w:color w:val="000000"/>
        </w:rPr>
        <w:t>3334</w:t>
      </w:r>
      <w:r w:rsidRPr="00D620E7" w:rsidR="00D85665">
        <w:rPr>
          <w:rFonts w:cs="Arial"/>
          <w:color w:val="000000"/>
        </w:rPr>
        <w:t>, 1301 Constitution Avenue, NW, Washington, D.C</w:t>
      </w:r>
      <w:r w:rsidRPr="00D620E7" w:rsidR="003F6507">
        <w:rPr>
          <w:rFonts w:cs="Arial"/>
          <w:color w:val="000000"/>
        </w:rPr>
        <w:t xml:space="preserve">. </w:t>
      </w:r>
      <w:r w:rsidRPr="00D620E7" w:rsidR="00D85665">
        <w:rPr>
          <w:rFonts w:cs="Arial"/>
          <w:color w:val="000000"/>
        </w:rPr>
        <w:t>The EPA Docket Center Public Reading Room is open from 8:30 a.m. to 4:30 p.m., Monday through Friday, excluding legal holidays.</w:t>
      </w:r>
      <w:r w:rsidRPr="00D620E7" w:rsidR="00233120">
        <w:rPr>
          <w:rFonts w:cs="Arial"/>
          <w:color w:val="000000"/>
        </w:rPr>
        <w:t xml:space="preserve"> </w:t>
      </w:r>
      <w:r w:rsidRPr="00D620E7" w:rsidR="00D85665">
        <w:rPr>
          <w:rFonts w:cs="Arial"/>
          <w:color w:val="000000"/>
        </w:rPr>
        <w:t>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w:t>
      </w:r>
      <w:r w:rsidRPr="00D620E7" w:rsidR="003F6507">
        <w:rPr>
          <w:rFonts w:cs="Arial"/>
          <w:color w:val="000000"/>
        </w:rPr>
        <w:t xml:space="preserve">. </w:t>
      </w:r>
      <w:r w:rsidRPr="00D620E7" w:rsidR="00D85665">
        <w:rPr>
          <w:rFonts w:cs="Arial"/>
          <w:color w:val="000000"/>
        </w:rPr>
        <w:t>When in the system, select “search,” then key in the Docket ID Number identified above</w:t>
      </w:r>
      <w:r w:rsidRPr="00D620E7" w:rsidR="003F6507">
        <w:rPr>
          <w:rFonts w:cs="Arial"/>
          <w:color w:val="000000"/>
        </w:rPr>
        <w:t xml:space="preserve">. </w:t>
      </w:r>
      <w:r w:rsidRPr="00D620E7" w:rsidR="00D85665">
        <w:rPr>
          <w:rFonts w:cs="Arial"/>
          <w:color w:val="000000"/>
        </w:rPr>
        <w:t>Also, comments can be sent to the Office of Information and Regulatory Affairs, Office of Management and Budget, 725 17th Street, NW, Washington, D.C. 20503, Attention: Desk Officer for EPA</w:t>
      </w:r>
      <w:r w:rsidRPr="00D620E7" w:rsidR="003F6507">
        <w:rPr>
          <w:rFonts w:cs="Arial"/>
          <w:color w:val="000000"/>
        </w:rPr>
        <w:t xml:space="preserve">. </w:t>
      </w:r>
      <w:r w:rsidRPr="00D620E7" w:rsidR="00D85665">
        <w:rPr>
          <w:rFonts w:cs="Arial"/>
          <w:color w:val="000000"/>
        </w:rPr>
        <w:t xml:space="preserve">Please include the EPA Docket ID Number </w:t>
      </w:r>
      <w:r w:rsidRPr="00D620E7" w:rsidR="002D44E0">
        <w:rPr>
          <w:rFonts w:cs="Arial"/>
          <w:color w:val="000000"/>
        </w:rPr>
        <w:t xml:space="preserve">EPA-HQ-OPA-2007-0584 </w:t>
      </w:r>
      <w:r w:rsidRPr="00D620E7" w:rsidR="00D85665">
        <w:rPr>
          <w:rFonts w:cs="Arial"/>
          <w:color w:val="000000"/>
        </w:rPr>
        <w:t>and OMB Control Number 2050-0021 in any correspondence.</w:t>
      </w:r>
    </w:p>
    <w:sectPr w:rsidR="003B1A3E" w:rsidSect="0080188E">
      <w:footerReference w:type="default" r:id="rId13"/>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A84CF" w14:textId="77777777" w:rsidR="00BB33B5" w:rsidRDefault="00BB33B5">
      <w:r>
        <w:separator/>
      </w:r>
    </w:p>
  </w:endnote>
  <w:endnote w:type="continuationSeparator" w:id="0">
    <w:p w14:paraId="5BF62C17" w14:textId="77777777" w:rsidR="00BB33B5" w:rsidRDefault="00BB33B5">
      <w:r>
        <w:continuationSeparator/>
      </w:r>
    </w:p>
  </w:endnote>
  <w:endnote w:type="continuationNotice" w:id="1">
    <w:p w14:paraId="247C3BC6" w14:textId="77777777" w:rsidR="00BB33B5" w:rsidRDefault="00BB33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NPKG B+ Melio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GNLG J+ Melior">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ILLF G+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1765" w14:textId="2045F093" w:rsidR="00A31C77" w:rsidRPr="0025374A" w:rsidRDefault="00A31C77" w:rsidP="008E44F1">
    <w:pPr>
      <w:pStyle w:val="Footer"/>
      <w:framePr w:wrap="around" w:vAnchor="text" w:hAnchor="margin" w:xAlign="center" w:y="1"/>
      <w:rPr>
        <w:rStyle w:val="PageNumber"/>
        <w:rFonts w:cs="Arial"/>
        <w:b/>
        <w:sz w:val="16"/>
        <w:szCs w:val="16"/>
      </w:rPr>
    </w:pPr>
    <w:r w:rsidRPr="0025374A">
      <w:rPr>
        <w:rStyle w:val="PageNumber"/>
        <w:rFonts w:cs="Arial"/>
        <w:b/>
        <w:sz w:val="16"/>
        <w:szCs w:val="16"/>
      </w:rPr>
      <w:fldChar w:fldCharType="begin"/>
    </w:r>
    <w:r w:rsidRPr="0025374A">
      <w:rPr>
        <w:rStyle w:val="PageNumber"/>
        <w:rFonts w:cs="Arial"/>
        <w:b/>
        <w:sz w:val="16"/>
        <w:szCs w:val="16"/>
      </w:rPr>
      <w:instrText xml:space="preserve">PAGE  </w:instrText>
    </w:r>
    <w:r w:rsidRPr="0025374A">
      <w:rPr>
        <w:rStyle w:val="PageNumber"/>
        <w:rFonts w:cs="Arial"/>
        <w:b/>
        <w:sz w:val="16"/>
        <w:szCs w:val="16"/>
      </w:rPr>
      <w:fldChar w:fldCharType="separate"/>
    </w:r>
    <w:r>
      <w:rPr>
        <w:rStyle w:val="PageNumber"/>
        <w:rFonts w:cs="Arial"/>
        <w:b/>
        <w:noProof/>
        <w:sz w:val="16"/>
        <w:szCs w:val="16"/>
      </w:rPr>
      <w:t>54</w:t>
    </w:r>
    <w:r w:rsidRPr="0025374A">
      <w:rPr>
        <w:rStyle w:val="PageNumber"/>
        <w:rFonts w:cs="Arial"/>
        <w:b/>
        <w:sz w:val="16"/>
        <w:szCs w:val="16"/>
      </w:rPr>
      <w:fldChar w:fldCharType="end"/>
    </w:r>
  </w:p>
  <w:p w14:paraId="2F2B80E4" w14:textId="77777777" w:rsidR="00A31C77" w:rsidRPr="0090696E" w:rsidRDefault="00A31C77" w:rsidP="008E44F1">
    <w:pPr>
      <w:pStyle w:val="Footer"/>
      <w:tabs>
        <w:tab w:val="left" w:pos="5760"/>
      </w:tabs>
      <w:rPr>
        <w:rFonts w:cs="Arial"/>
        <w:b/>
        <w:bCs/>
        <w:sz w:val="16"/>
      </w:rPr>
    </w:pPr>
    <w:r>
      <w:rPr>
        <w:rFonts w:cs="Arial"/>
        <w:b/>
        <w:bCs/>
        <w:sz w:val="16"/>
      </w:rPr>
      <w:tab/>
      <w:t xml:space="preserve">           </w:t>
    </w:r>
    <w:r>
      <w:rPr>
        <w:rFonts w:cs="Arial"/>
        <w:b/>
        <w:bCs/>
        <w:sz w:val="16"/>
      </w:rPr>
      <w:tab/>
    </w:r>
    <w:r>
      <w:rPr>
        <w:rFonts w:cs="Arial"/>
        <w:b/>
        <w:bCs/>
        <w:sz w:val="16"/>
      </w:rPr>
      <w:tab/>
      <w:t xml:space="preserve">                     </w:t>
    </w:r>
  </w:p>
  <w:p w14:paraId="50A989AD" w14:textId="77777777" w:rsidR="00A31C77" w:rsidRDefault="00A31C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6B6BF" w14:textId="77777777" w:rsidR="00BB33B5" w:rsidRDefault="00BB33B5">
      <w:r>
        <w:separator/>
      </w:r>
    </w:p>
  </w:footnote>
  <w:footnote w:type="continuationSeparator" w:id="0">
    <w:p w14:paraId="43436C6F" w14:textId="77777777" w:rsidR="00BB33B5" w:rsidRDefault="00BB33B5">
      <w:r>
        <w:continuationSeparator/>
      </w:r>
    </w:p>
  </w:footnote>
  <w:footnote w:type="continuationNotice" w:id="1">
    <w:p w14:paraId="7EFF9EE2" w14:textId="77777777" w:rsidR="00BB33B5" w:rsidRDefault="00BB33B5">
      <w:pPr>
        <w:spacing w:line="240" w:lineRule="auto"/>
      </w:pPr>
    </w:p>
  </w:footnote>
  <w:footnote w:id="2">
    <w:p w14:paraId="560B309E" w14:textId="0C0C3882" w:rsidR="00A31C77" w:rsidRPr="00CD3D0E" w:rsidRDefault="00A31C77" w:rsidP="0044290A">
      <w:pPr>
        <w:pStyle w:val="FootnoteText"/>
        <w:rPr>
          <w:sz w:val="18"/>
          <w:szCs w:val="18"/>
        </w:rPr>
      </w:pPr>
      <w:r w:rsidRPr="00CD3D0E">
        <w:rPr>
          <w:rStyle w:val="FootnoteReference"/>
          <w:sz w:val="18"/>
          <w:szCs w:val="18"/>
        </w:rPr>
        <w:footnoteRef/>
      </w:r>
      <w:r w:rsidRPr="00CD3D0E">
        <w:rPr>
          <w:sz w:val="18"/>
          <w:szCs w:val="18"/>
        </w:rPr>
        <w:t xml:space="preserve"> </w:t>
      </w:r>
      <w:r>
        <w:rPr>
          <w:sz w:val="18"/>
          <w:szCs w:val="18"/>
        </w:rPr>
        <w:t>The paperwork burden incurred by facilities covered by the rule varies depending on whether the facility is newly regulated, or an existing facility.</w:t>
      </w:r>
      <w:r w:rsidRPr="00CD3D0E">
        <w:rPr>
          <w:sz w:val="18"/>
          <w:szCs w:val="18"/>
        </w:rPr>
        <w:t xml:space="preserve"> While </w:t>
      </w:r>
      <w:r>
        <w:rPr>
          <w:sz w:val="18"/>
          <w:szCs w:val="18"/>
        </w:rPr>
        <w:t>new</w:t>
      </w:r>
      <w:r w:rsidRPr="00CD3D0E">
        <w:rPr>
          <w:sz w:val="18"/>
          <w:szCs w:val="18"/>
        </w:rPr>
        <w:t xml:space="preserve"> facilities will incur significant paperwork-related burden by taking certain actions in the first year of the ICR</w:t>
      </w:r>
      <w:r>
        <w:rPr>
          <w:sz w:val="18"/>
          <w:szCs w:val="18"/>
        </w:rPr>
        <w:t xml:space="preserve">, such as </w:t>
      </w:r>
      <w:r w:rsidRPr="00CD3D0E">
        <w:rPr>
          <w:sz w:val="18"/>
          <w:szCs w:val="18"/>
        </w:rPr>
        <w:t>prepar</w:t>
      </w:r>
      <w:r>
        <w:rPr>
          <w:sz w:val="18"/>
          <w:szCs w:val="18"/>
        </w:rPr>
        <w:t>ing</w:t>
      </w:r>
      <w:r w:rsidRPr="00CD3D0E">
        <w:rPr>
          <w:sz w:val="18"/>
          <w:szCs w:val="18"/>
        </w:rPr>
        <w:t xml:space="preserve"> an SPCC Plan, </w:t>
      </w:r>
      <w:r>
        <w:rPr>
          <w:sz w:val="18"/>
          <w:szCs w:val="18"/>
        </w:rPr>
        <w:t>existing</w:t>
      </w:r>
      <w:r w:rsidRPr="00CD3D0E">
        <w:rPr>
          <w:sz w:val="18"/>
          <w:szCs w:val="18"/>
        </w:rPr>
        <w:t xml:space="preserve"> facilities may not need to take any action </w:t>
      </w:r>
      <w:r>
        <w:rPr>
          <w:sz w:val="18"/>
          <w:szCs w:val="18"/>
        </w:rPr>
        <w:t>other than</w:t>
      </w:r>
      <w:r w:rsidRPr="00CD3D0E">
        <w:rPr>
          <w:sz w:val="18"/>
          <w:szCs w:val="18"/>
        </w:rPr>
        <w:t xml:space="preserve"> maintain records.</w:t>
      </w:r>
      <w:r>
        <w:rPr>
          <w:sz w:val="18"/>
          <w:szCs w:val="18"/>
        </w:rPr>
        <w:tab/>
      </w:r>
    </w:p>
  </w:footnote>
  <w:footnote w:id="3">
    <w:p w14:paraId="0654F9A4" w14:textId="77777777" w:rsidR="00A31C77" w:rsidRPr="00C90242" w:rsidRDefault="00A31C77" w:rsidP="00771D1E">
      <w:pPr>
        <w:pStyle w:val="FootnoteText"/>
        <w:keepNext/>
        <w:keepLines/>
        <w:rPr>
          <w:rFonts w:cs="Arial"/>
          <w:sz w:val="18"/>
          <w:szCs w:val="18"/>
        </w:rPr>
      </w:pPr>
      <w:r w:rsidRPr="00C90242">
        <w:rPr>
          <w:rStyle w:val="FootnoteReference"/>
          <w:sz w:val="18"/>
          <w:szCs w:val="18"/>
        </w:rPr>
        <w:footnoteRef/>
      </w:r>
      <w:r w:rsidRPr="00C90242">
        <w:rPr>
          <w:rFonts w:cs="Arial"/>
          <w:sz w:val="18"/>
          <w:szCs w:val="18"/>
        </w:rPr>
        <w:t xml:space="preserve"> 33 U.S.C. 1321(j)(1)(C).</w:t>
      </w:r>
    </w:p>
  </w:footnote>
  <w:footnote w:id="4">
    <w:p w14:paraId="04F9ACB3" w14:textId="77777777" w:rsidR="00A31C77" w:rsidRPr="00854FC2" w:rsidRDefault="00A31C77" w:rsidP="00771D1E">
      <w:pPr>
        <w:pStyle w:val="FootnoteText"/>
        <w:keepNext/>
        <w:keepLines/>
        <w:rPr>
          <w:rFonts w:cs="Arial"/>
          <w:sz w:val="18"/>
        </w:rPr>
      </w:pPr>
      <w:r w:rsidRPr="00C90242">
        <w:rPr>
          <w:rStyle w:val="FootnoteReference"/>
          <w:sz w:val="18"/>
          <w:szCs w:val="18"/>
        </w:rPr>
        <w:footnoteRef/>
      </w:r>
      <w:r w:rsidRPr="00C90242">
        <w:rPr>
          <w:rFonts w:cs="Arial"/>
          <w:sz w:val="18"/>
          <w:szCs w:val="18"/>
        </w:rPr>
        <w:t xml:space="preserve"> 56 FR 54757 (October 22, 1991), superseding Executive Order 11735, 38 FR 21243.</w:t>
      </w:r>
    </w:p>
  </w:footnote>
  <w:footnote w:id="5">
    <w:p w14:paraId="3C97C116" w14:textId="234CEB84" w:rsidR="00A31C77" w:rsidRDefault="00A31C77">
      <w:pPr>
        <w:pStyle w:val="FootnoteText"/>
      </w:pPr>
      <w:r>
        <w:rPr>
          <w:rStyle w:val="FootnoteReference"/>
        </w:rPr>
        <w:footnoteRef/>
      </w:r>
      <w:r>
        <w:t xml:space="preserve"> </w:t>
      </w:r>
      <w:r w:rsidRPr="00BC5BA8">
        <w:rPr>
          <w:sz w:val="18"/>
          <w:szCs w:val="18"/>
        </w:rPr>
        <w:t>Authority over transportation-related onshore facilities, deep water ports, and vessels rests with the U.S. Coast Guard, which is now part of the Department of Homeland Security.</w:t>
      </w:r>
    </w:p>
  </w:footnote>
  <w:footnote w:id="6">
    <w:p w14:paraId="2ABB396D" w14:textId="2C97CD4B" w:rsidR="00A31C77" w:rsidRDefault="00A31C77" w:rsidP="0008010C">
      <w:pPr>
        <w:pStyle w:val="FootnoteText"/>
      </w:pPr>
      <w:r>
        <w:rPr>
          <w:rStyle w:val="FootnoteReference"/>
        </w:rPr>
        <w:footnoteRef/>
      </w:r>
      <w:r>
        <w:t xml:space="preserve"> </w:t>
      </w:r>
      <w:r w:rsidRPr="00AC7378">
        <w:rPr>
          <w:sz w:val="18"/>
          <w:szCs w:val="18"/>
        </w:rPr>
        <w:t>Harm is defined in 40 CFR part 110</w:t>
      </w:r>
      <w:r>
        <w:t>.</w:t>
      </w:r>
    </w:p>
  </w:footnote>
  <w:footnote w:id="7">
    <w:p w14:paraId="431CAFC6" w14:textId="789F7573" w:rsidR="00A31C77" w:rsidRPr="00285CFC" w:rsidRDefault="00A31C77">
      <w:pPr>
        <w:pStyle w:val="FootnoteText"/>
        <w:rPr>
          <w:sz w:val="18"/>
          <w:szCs w:val="18"/>
        </w:rPr>
      </w:pPr>
      <w:r>
        <w:rPr>
          <w:rStyle w:val="FootnoteReference"/>
        </w:rPr>
        <w:footnoteRef/>
      </w:r>
      <w:r>
        <w:t xml:space="preserve"> For more details on the contingency plan requirements, s</w:t>
      </w:r>
      <w:r w:rsidRPr="00285CFC">
        <w:rPr>
          <w:sz w:val="18"/>
          <w:szCs w:val="18"/>
        </w:rPr>
        <w:t xml:space="preserve">ee Section 4.6.3 on p. 4-42 in </w:t>
      </w:r>
      <w:r>
        <w:rPr>
          <w:sz w:val="18"/>
          <w:szCs w:val="18"/>
        </w:rPr>
        <w:t>S</w:t>
      </w:r>
      <w:r w:rsidRPr="00285CFC">
        <w:rPr>
          <w:sz w:val="18"/>
          <w:szCs w:val="18"/>
        </w:rPr>
        <w:t xml:space="preserve">PCC guidance </w:t>
      </w:r>
      <w:r>
        <w:rPr>
          <w:sz w:val="18"/>
          <w:szCs w:val="18"/>
        </w:rPr>
        <w:t xml:space="preserve">document, </w:t>
      </w:r>
      <w:hyperlink r:id="rId1" w:history="1">
        <w:r w:rsidRPr="00285CFC">
          <w:rPr>
            <w:rStyle w:val="Hyperlink"/>
            <w:sz w:val="18"/>
            <w:szCs w:val="18"/>
          </w:rPr>
          <w:t>https://www.epa.gov/sites/production/files/2014-04/documents/4_secondarycontainment_impracticability_2014.pdf</w:t>
        </w:r>
      </w:hyperlink>
      <w:r>
        <w:rPr>
          <w:sz w:val="18"/>
          <w:szCs w:val="18"/>
        </w:rPr>
        <w:t>.</w:t>
      </w:r>
    </w:p>
  </w:footnote>
  <w:footnote w:id="8">
    <w:p w14:paraId="02B89154" w14:textId="45E81394" w:rsidR="00A31C77" w:rsidRDefault="00A31C77">
      <w:pPr>
        <w:pStyle w:val="FootnoteText"/>
      </w:pPr>
      <w:r>
        <w:rPr>
          <w:rStyle w:val="FootnoteReference"/>
        </w:rPr>
        <w:footnoteRef/>
      </w:r>
      <w:r>
        <w:t xml:space="preserve"> Appendix F guidance on contingency plan, </w:t>
      </w:r>
      <w:hyperlink r:id="rId2" w:history="1">
        <w:r w:rsidRPr="00F26081">
          <w:rPr>
            <w:rStyle w:val="Hyperlink"/>
          </w:rPr>
          <w:t>https://www.epa.gov/sites/production/files/2014-04/documents/f_contingencyplan.pdf</w:t>
        </w:r>
      </w:hyperlink>
      <w:r>
        <w:t xml:space="preserve"> </w:t>
      </w:r>
    </w:p>
  </w:footnote>
  <w:footnote w:id="9">
    <w:p w14:paraId="4657219D" w14:textId="2B0787FD" w:rsidR="00A31C77" w:rsidRPr="00E960EC" w:rsidRDefault="00A31C77" w:rsidP="00747B54">
      <w:pPr>
        <w:numPr>
          <w:ilvl w:val="12"/>
          <w:numId w:val="0"/>
        </w:numPr>
        <w:rPr>
          <w:rFonts w:cs="Arial"/>
          <w:sz w:val="18"/>
          <w:szCs w:val="18"/>
        </w:rPr>
      </w:pPr>
      <w:r w:rsidRPr="00E960EC">
        <w:rPr>
          <w:rStyle w:val="FootnoteReference"/>
          <w:sz w:val="18"/>
          <w:szCs w:val="18"/>
        </w:rPr>
        <w:footnoteRef/>
      </w:r>
      <w:r w:rsidRPr="00E960EC">
        <w:rPr>
          <w:sz w:val="18"/>
          <w:szCs w:val="18"/>
        </w:rPr>
        <w:t xml:space="preserve"> These discharges are 1)</w:t>
      </w:r>
      <w:r w:rsidRPr="00E960EC">
        <w:rPr>
          <w:rFonts w:cs="Arial"/>
          <w:sz w:val="18"/>
          <w:szCs w:val="18"/>
        </w:rPr>
        <w:t xml:space="preserve"> A single discharge as described in §112.1(b) of more than 1,000 U.S. gallons; or 2) </w:t>
      </w:r>
      <w:r>
        <w:rPr>
          <w:rFonts w:cs="Arial"/>
          <w:sz w:val="18"/>
          <w:szCs w:val="18"/>
        </w:rPr>
        <w:t>t</w:t>
      </w:r>
      <w:r w:rsidRPr="00E960EC">
        <w:rPr>
          <w:rFonts w:cs="Arial"/>
          <w:sz w:val="18"/>
          <w:szCs w:val="18"/>
        </w:rPr>
        <w:t>wo or more discharges as described in §112.1(b), each more than 42 U.S. gallons.</w:t>
      </w:r>
    </w:p>
    <w:p w14:paraId="5574BFED" w14:textId="7530A0C9" w:rsidR="00A31C77" w:rsidRDefault="00A31C77">
      <w:pPr>
        <w:pStyle w:val="FootnoteText"/>
      </w:pPr>
    </w:p>
  </w:footnote>
  <w:footnote w:id="10">
    <w:p w14:paraId="4447E327" w14:textId="1DA08065" w:rsidR="00A31C77" w:rsidRDefault="00A31C77">
      <w:pPr>
        <w:pStyle w:val="FootnoteText"/>
      </w:pPr>
      <w:r>
        <w:rPr>
          <w:rStyle w:val="FootnoteReference"/>
        </w:rPr>
        <w:footnoteRef/>
      </w:r>
      <w:r>
        <w:t xml:space="preserve"> For more information see 67 FR </w:t>
      </w:r>
      <w:r w:rsidRPr="002709A2">
        <w:t>47093</w:t>
      </w:r>
      <w:r>
        <w:t xml:space="preserve">, July 17, 2002, </w:t>
      </w:r>
    </w:p>
  </w:footnote>
  <w:footnote w:id="11">
    <w:p w14:paraId="14467E8B" w14:textId="60E92076" w:rsidR="00A31C77" w:rsidRDefault="00A31C77">
      <w:pPr>
        <w:pStyle w:val="FootnoteText"/>
      </w:pPr>
      <w:r>
        <w:rPr>
          <w:rStyle w:val="FootnoteReference"/>
        </w:rPr>
        <w:footnoteRef/>
      </w:r>
      <w:r>
        <w:t xml:space="preserve"> See 40 CFR </w:t>
      </w:r>
      <w:r w:rsidRPr="00E20C72">
        <w:t>§112.4   Amendment of Spill Prevention, Control, and Countermeasure Plan by Regional Administrator.</w:t>
      </w:r>
    </w:p>
  </w:footnote>
  <w:footnote w:id="12">
    <w:p w14:paraId="160BF62B" w14:textId="641FE419" w:rsidR="00A31C77" w:rsidRDefault="00A31C77">
      <w:pPr>
        <w:pStyle w:val="FootnoteText"/>
      </w:pPr>
      <w:r>
        <w:rPr>
          <w:rStyle w:val="FootnoteReference"/>
        </w:rPr>
        <w:footnoteRef/>
      </w:r>
      <w:r>
        <w:t xml:space="preserve"> </w:t>
      </w:r>
      <w:r w:rsidRPr="000353ED">
        <w:rPr>
          <w:sz w:val="18"/>
          <w:szCs w:val="18"/>
        </w:rPr>
        <w:t xml:space="preserve">See </w:t>
      </w:r>
      <w:r>
        <w:rPr>
          <w:sz w:val="18"/>
          <w:szCs w:val="18"/>
        </w:rPr>
        <w:t xml:space="preserve">rulemaking docket </w:t>
      </w:r>
      <w:r w:rsidRPr="000353ED">
        <w:rPr>
          <w:rFonts w:cs="Arial"/>
          <w:color w:val="000000"/>
          <w:sz w:val="18"/>
          <w:szCs w:val="18"/>
        </w:rPr>
        <w:t>EPA-HQ-OPA-2007-0584</w:t>
      </w:r>
      <w:r>
        <w:rPr>
          <w:rFonts w:cs="Arial"/>
          <w:color w:val="000000"/>
          <w:sz w:val="18"/>
          <w:szCs w:val="18"/>
        </w:rPr>
        <w:t>.</w:t>
      </w:r>
    </w:p>
  </w:footnote>
  <w:footnote w:id="13">
    <w:p w14:paraId="3ACA3010" w14:textId="77777777" w:rsidR="00A31C77" w:rsidRPr="00854FC2" w:rsidRDefault="00A31C77" w:rsidP="00771D1E">
      <w:pPr>
        <w:pStyle w:val="FootnoteText"/>
        <w:keepNext/>
        <w:keepLines/>
      </w:pPr>
      <w:r w:rsidRPr="00854FC2">
        <w:rPr>
          <w:rStyle w:val="FootnoteReference"/>
          <w:sz w:val="18"/>
        </w:rPr>
        <w:footnoteRef/>
      </w:r>
      <w:r w:rsidRPr="00854FC2">
        <w:rPr>
          <w:sz w:val="18"/>
        </w:rPr>
        <w:t xml:space="preserve"> Information Collection Request for the final rule to amend the oil pollution prevention regulation (40 CFR part 112), May 2002.</w:t>
      </w:r>
    </w:p>
  </w:footnote>
  <w:footnote w:id="14">
    <w:p w14:paraId="317B8335" w14:textId="30B11DC3" w:rsidR="00A31C77" w:rsidRDefault="00A31C77">
      <w:pPr>
        <w:pStyle w:val="FootnoteText"/>
      </w:pPr>
      <w:r>
        <w:rPr>
          <w:rStyle w:val="FootnoteReference"/>
        </w:rPr>
        <w:footnoteRef/>
      </w:r>
      <w:r>
        <w:t xml:space="preserve"> </w:t>
      </w:r>
      <w:r w:rsidRPr="00FC333E">
        <w:rPr>
          <w:sz w:val="18"/>
        </w:rPr>
        <w:t xml:space="preserve">The study is available at </w:t>
      </w:r>
      <w:hyperlink r:id="rId3" w:history="1">
        <w:r w:rsidRPr="008976D1">
          <w:rPr>
            <w:rStyle w:val="Hyperlink"/>
            <w:sz w:val="18"/>
          </w:rPr>
          <w:t>https://www.epa.gov/oil-spills-prevention-and-preparedness-regulations/oil-storage-us-farms-risks-and-opportunities</w:t>
        </w:r>
      </w:hyperlink>
      <w:r>
        <w:rPr>
          <w:rStyle w:val="Hyperlink"/>
          <w:sz w:val="18"/>
        </w:rPr>
        <w:t>.</w:t>
      </w:r>
    </w:p>
  </w:footnote>
  <w:footnote w:id="15">
    <w:p w14:paraId="53B36E50" w14:textId="6AE43D2C" w:rsidR="00A31C77" w:rsidRDefault="00A31C77">
      <w:pPr>
        <w:pStyle w:val="FootnoteText"/>
      </w:pPr>
      <w:r>
        <w:rPr>
          <w:rStyle w:val="FootnoteReference"/>
        </w:rPr>
        <w:footnoteRef/>
      </w:r>
      <w:r w:rsidRPr="001931CA">
        <w:rPr>
          <w:sz w:val="18"/>
          <w:szCs w:val="18"/>
        </w:rPr>
        <w:t xml:space="preserve"> Please see Section 6(d) </w:t>
      </w:r>
      <w:r w:rsidRPr="001931CA">
        <w:rPr>
          <w:sz w:val="18"/>
          <w:szCs w:val="18"/>
        </w:rPr>
        <w:t xml:space="preserve">and Appendix A, Industry Growth Rates section </w:t>
      </w:r>
      <w:r w:rsidRPr="001931CA">
        <w:rPr>
          <w:sz w:val="18"/>
          <w:szCs w:val="18"/>
        </w:rPr>
        <w:t xml:space="preserve">for more in-depth </w:t>
      </w:r>
      <w:r>
        <w:rPr>
          <w:sz w:val="18"/>
          <w:szCs w:val="18"/>
        </w:rPr>
        <w:t>discussions.</w:t>
      </w:r>
    </w:p>
  </w:footnote>
  <w:footnote w:id="16">
    <w:p w14:paraId="04F31E8A" w14:textId="38612A6E" w:rsidR="00A31C77" w:rsidRPr="007E108A" w:rsidRDefault="00A31C77">
      <w:pPr>
        <w:pStyle w:val="FootnoteText"/>
        <w:rPr>
          <w:sz w:val="18"/>
          <w:szCs w:val="18"/>
        </w:rPr>
      </w:pPr>
      <w:r w:rsidRPr="007E108A">
        <w:rPr>
          <w:rStyle w:val="FootnoteReference"/>
          <w:sz w:val="18"/>
          <w:szCs w:val="18"/>
        </w:rPr>
        <w:footnoteRef/>
      </w:r>
      <w:r w:rsidRPr="007E108A">
        <w:rPr>
          <w:sz w:val="18"/>
          <w:szCs w:val="18"/>
        </w:rPr>
        <w:t xml:space="preserve"> For information on Private versus State and Local Government facilities, please see Exhibits in Appendix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0A29F4"/>
    <w:lvl w:ilvl="0">
      <w:start w:val="1"/>
      <w:numFmt w:val="bullet"/>
      <w:pStyle w:val="CM6"/>
      <w:lvlText w:val=""/>
      <w:lvlJc w:val="left"/>
      <w:pPr>
        <w:tabs>
          <w:tab w:val="num" w:pos="360"/>
        </w:tabs>
        <w:ind w:left="360" w:hanging="360"/>
      </w:pPr>
      <w:rPr>
        <w:rFonts w:ascii="Symbol" w:hAnsi="Symbol" w:hint="default"/>
      </w:rPr>
    </w:lvl>
  </w:abstractNum>
  <w:abstractNum w:abstractNumId="1" w15:restartNumberingAfterBreak="0">
    <w:nsid w:val="05CE5D44"/>
    <w:multiLevelType w:val="hybridMultilevel"/>
    <w:tmpl w:val="641CE77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B6A6D"/>
    <w:multiLevelType w:val="hybridMultilevel"/>
    <w:tmpl w:val="678E3EE6"/>
    <w:lvl w:ilvl="0" w:tplc="A408748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21D52"/>
    <w:multiLevelType w:val="hybridMultilevel"/>
    <w:tmpl w:val="DD8E25B6"/>
    <w:lvl w:ilvl="0" w:tplc="38D8003A">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C6F20"/>
    <w:multiLevelType w:val="hybridMultilevel"/>
    <w:tmpl w:val="BCE2B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87E8F"/>
    <w:multiLevelType w:val="hybridMultilevel"/>
    <w:tmpl w:val="1EA4E6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8B167C"/>
    <w:multiLevelType w:val="hybridMultilevel"/>
    <w:tmpl w:val="97D67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ED25F7"/>
    <w:multiLevelType w:val="multilevel"/>
    <w:tmpl w:val="432A2EE6"/>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8" w15:restartNumberingAfterBreak="0">
    <w:nsid w:val="28725BD0"/>
    <w:multiLevelType w:val="hybridMultilevel"/>
    <w:tmpl w:val="D922A298"/>
    <w:lvl w:ilvl="0" w:tplc="2EE8E52E">
      <w:start w:val="1"/>
      <w:numFmt w:val="lowerLetter"/>
      <w:lvlText w:val="8%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AAD5840"/>
    <w:multiLevelType w:val="hybridMultilevel"/>
    <w:tmpl w:val="9F9A461C"/>
    <w:lvl w:ilvl="0" w:tplc="B4C2FF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96656"/>
    <w:multiLevelType w:val="hybridMultilevel"/>
    <w:tmpl w:val="EBF0F5D4"/>
    <w:lvl w:ilvl="0" w:tplc="3E8E2DFE">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0513E"/>
    <w:multiLevelType w:val="multilevel"/>
    <w:tmpl w:val="0D605A9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12" w15:restartNumberingAfterBreak="0">
    <w:nsid w:val="397B6BDA"/>
    <w:multiLevelType w:val="hybridMultilevel"/>
    <w:tmpl w:val="D090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C396C"/>
    <w:multiLevelType w:val="hybridMultilevel"/>
    <w:tmpl w:val="38187240"/>
    <w:lvl w:ilvl="0" w:tplc="C3C04FD0">
      <w:start w:val="1"/>
      <w:numFmt w:val="bullet"/>
      <w:lvlText w:val=""/>
      <w:lvlJc w:val="left"/>
      <w:pPr>
        <w:tabs>
          <w:tab w:val="num" w:pos="720"/>
        </w:tabs>
        <w:ind w:left="720" w:hanging="360"/>
      </w:pPr>
      <w:rPr>
        <w:rFonts w:ascii="Symbol" w:hAnsi="Symbol" w:hint="default"/>
      </w:rPr>
    </w:lvl>
    <w:lvl w:ilvl="1" w:tplc="6A6AC5CA">
      <w:start w:val="1"/>
      <w:numFmt w:val="bullet"/>
      <w:pStyle w:val="AppendixHeading1"/>
      <w:lvlText w:val="o"/>
      <w:lvlJc w:val="left"/>
      <w:pPr>
        <w:tabs>
          <w:tab w:val="num" w:pos="1440"/>
        </w:tabs>
        <w:ind w:left="1440" w:hanging="360"/>
      </w:pPr>
      <w:rPr>
        <w:rFonts w:ascii="Courier New" w:hAnsi="Courier New" w:hint="default"/>
      </w:rPr>
    </w:lvl>
    <w:lvl w:ilvl="2" w:tplc="F404FA8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74E92"/>
    <w:multiLevelType w:val="hybridMultilevel"/>
    <w:tmpl w:val="2926F6AE"/>
    <w:lvl w:ilvl="0" w:tplc="04090001">
      <w:start w:val="1"/>
      <w:numFmt w:val="bullet"/>
      <w:lvlText w:val=""/>
      <w:lvlJc w:val="left"/>
      <w:pPr>
        <w:tabs>
          <w:tab w:val="num" w:pos="1440"/>
        </w:tabs>
        <w:ind w:left="1440" w:hanging="72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3EEF2911"/>
    <w:multiLevelType w:val="hybridMultilevel"/>
    <w:tmpl w:val="B18AA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C62AD"/>
    <w:multiLevelType w:val="singleLevel"/>
    <w:tmpl w:val="9998F722"/>
    <w:lvl w:ilvl="0">
      <w:start w:val="5"/>
      <w:numFmt w:val="decimal"/>
      <w:pStyle w:val="ListBullet"/>
      <w:lvlText w:val="%1."/>
      <w:legacy w:legacy="1" w:legacySpace="0" w:legacyIndent="1"/>
      <w:lvlJc w:val="left"/>
      <w:pPr>
        <w:ind w:left="1" w:hanging="1"/>
      </w:pPr>
      <w:rPr>
        <w:rFonts w:ascii="Arial" w:hAnsi="Arial" w:hint="default"/>
      </w:rPr>
    </w:lvl>
  </w:abstractNum>
  <w:abstractNum w:abstractNumId="17" w15:restartNumberingAfterBreak="0">
    <w:nsid w:val="441761F5"/>
    <w:multiLevelType w:val="hybridMultilevel"/>
    <w:tmpl w:val="55BA1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E09B7"/>
    <w:multiLevelType w:val="hybridMultilevel"/>
    <w:tmpl w:val="ABEA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F626F3"/>
    <w:multiLevelType w:val="multilevel"/>
    <w:tmpl w:val="C8CCF6C2"/>
    <w:lvl w:ilvl="0">
      <w:start w:val="1"/>
      <w:numFmt w:val="none"/>
      <w:pStyle w:val="ListBullet2"/>
      <w:lvlText w:val=""/>
      <w:legacy w:legacy="1" w:legacySpace="0" w:legacyIndent="0"/>
      <w:lvlJc w:val="left"/>
      <w:rPr>
        <w:rFonts w:ascii="WP MathA" w:hAnsi="WP MathA"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0" w15:restartNumberingAfterBreak="0">
    <w:nsid w:val="50620A80"/>
    <w:multiLevelType w:val="multilevel"/>
    <w:tmpl w:val="02D877C8"/>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1" w15:restartNumberingAfterBreak="0">
    <w:nsid w:val="5173601C"/>
    <w:multiLevelType w:val="hybridMultilevel"/>
    <w:tmpl w:val="95A8E040"/>
    <w:lvl w:ilvl="0" w:tplc="C408FFBE">
      <w:start w:val="1"/>
      <w:numFmt w:val="bullet"/>
      <w:pStyle w:val="Bullet"/>
      <w:lvlText w:val=""/>
      <w:lvlJc w:val="left"/>
      <w:pPr>
        <w:tabs>
          <w:tab w:val="num" w:pos="1440"/>
        </w:tabs>
        <w:ind w:left="1440" w:hanging="360"/>
      </w:pPr>
      <w:rPr>
        <w:rFonts w:ascii="Symbol" w:hAnsi="Symbol" w:hint="default"/>
      </w:rPr>
    </w:lvl>
    <w:lvl w:ilvl="1" w:tplc="3A6829F0">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58466CB"/>
    <w:multiLevelType w:val="hybridMultilevel"/>
    <w:tmpl w:val="AE42BC90"/>
    <w:lvl w:ilvl="0" w:tplc="BA2CA0A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701DE4"/>
    <w:multiLevelType w:val="hybridMultilevel"/>
    <w:tmpl w:val="641CE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808DC"/>
    <w:multiLevelType w:val="hybridMultilevel"/>
    <w:tmpl w:val="17B25488"/>
    <w:lvl w:ilvl="0" w:tplc="04090001">
      <w:start w:val="1"/>
      <w:numFmt w:val="bullet"/>
      <w:pStyle w:val="Appendix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3C4D34"/>
    <w:multiLevelType w:val="hybridMultilevel"/>
    <w:tmpl w:val="B18AA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0F1E1E"/>
    <w:multiLevelType w:val="hybridMultilevel"/>
    <w:tmpl w:val="44B647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AE2AD2"/>
    <w:multiLevelType w:val="hybridMultilevel"/>
    <w:tmpl w:val="A28AF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072DB"/>
    <w:multiLevelType w:val="hybridMultilevel"/>
    <w:tmpl w:val="641CE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11C0F"/>
    <w:multiLevelType w:val="hybridMultilevel"/>
    <w:tmpl w:val="A5CE6BD6"/>
    <w:lvl w:ilvl="0" w:tplc="83361E7E">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55C46"/>
    <w:multiLevelType w:val="multilevel"/>
    <w:tmpl w:val="8984017A"/>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num w:numId="1">
    <w:abstractNumId w:val="16"/>
  </w:num>
  <w:num w:numId="2">
    <w:abstractNumId w:val="14"/>
  </w:num>
  <w:num w:numId="3">
    <w:abstractNumId w:val="19"/>
  </w:num>
  <w:num w:numId="4">
    <w:abstractNumId w:val="4"/>
  </w:num>
  <w:num w:numId="5">
    <w:abstractNumId w:val="24"/>
  </w:num>
  <w:num w:numId="6">
    <w:abstractNumId w:val="13"/>
  </w:num>
  <w:num w:numId="7">
    <w:abstractNumId w:val="2"/>
  </w:num>
  <w:num w:numId="8">
    <w:abstractNumId w:val="9"/>
  </w:num>
  <w:num w:numId="9">
    <w:abstractNumId w:val="20"/>
  </w:num>
  <w:num w:numId="10">
    <w:abstractNumId w:val="18"/>
  </w:num>
  <w:num w:numId="11">
    <w:abstractNumId w:val="11"/>
  </w:num>
  <w:num w:numId="12">
    <w:abstractNumId w:val="7"/>
  </w:num>
  <w:num w:numId="13">
    <w:abstractNumId w:val="22"/>
  </w:num>
  <w:num w:numId="14">
    <w:abstractNumId w:val="30"/>
  </w:num>
  <w:num w:numId="15">
    <w:abstractNumId w:val="21"/>
  </w:num>
  <w:num w:numId="16">
    <w:abstractNumId w:val="0"/>
  </w:num>
  <w:num w:numId="17">
    <w:abstractNumId w:val="6"/>
  </w:num>
  <w:num w:numId="18">
    <w:abstractNumId w:val="6"/>
  </w:num>
  <w:num w:numId="19">
    <w:abstractNumId w:val="3"/>
  </w:num>
  <w:num w:numId="20">
    <w:abstractNumId w:val="29"/>
  </w:num>
  <w:num w:numId="21">
    <w:abstractNumId w:val="10"/>
  </w:num>
  <w:num w:numId="22">
    <w:abstractNumId w:val="8"/>
  </w:num>
  <w:num w:numId="23">
    <w:abstractNumId w:val="25"/>
  </w:num>
  <w:num w:numId="24">
    <w:abstractNumId w:val="17"/>
  </w:num>
  <w:num w:numId="25">
    <w:abstractNumId w:val="23"/>
  </w:num>
  <w:num w:numId="26">
    <w:abstractNumId w:val="1"/>
  </w:num>
  <w:num w:numId="27">
    <w:abstractNumId w:val="26"/>
  </w:num>
  <w:num w:numId="28">
    <w:abstractNumId w:val="5"/>
  </w:num>
  <w:num w:numId="29">
    <w:abstractNumId w:val="28"/>
  </w:num>
  <w:num w:numId="30">
    <w:abstractNumId w:val="15"/>
  </w:num>
  <w:num w:numId="31">
    <w:abstractNumId w:val="27"/>
  </w:num>
  <w:num w:numId="32">
    <w:abstractNumId w:val="1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dy Hoffman">
    <w15:presenceInfo w15:providerId="None" w15:userId="Wendy Hoff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C2"/>
    <w:rsid w:val="0000010E"/>
    <w:rsid w:val="0000024A"/>
    <w:rsid w:val="000009A9"/>
    <w:rsid w:val="00000D66"/>
    <w:rsid w:val="000011A0"/>
    <w:rsid w:val="00001414"/>
    <w:rsid w:val="0000266E"/>
    <w:rsid w:val="000030AE"/>
    <w:rsid w:val="00004575"/>
    <w:rsid w:val="000054B4"/>
    <w:rsid w:val="000056D6"/>
    <w:rsid w:val="0000635B"/>
    <w:rsid w:val="000067E6"/>
    <w:rsid w:val="000071FC"/>
    <w:rsid w:val="0001033F"/>
    <w:rsid w:val="00011E57"/>
    <w:rsid w:val="000124F2"/>
    <w:rsid w:val="000128F0"/>
    <w:rsid w:val="00012DB3"/>
    <w:rsid w:val="00013A3D"/>
    <w:rsid w:val="00013C4C"/>
    <w:rsid w:val="00013EA2"/>
    <w:rsid w:val="0001442C"/>
    <w:rsid w:val="000144BA"/>
    <w:rsid w:val="00015D89"/>
    <w:rsid w:val="00015DDB"/>
    <w:rsid w:val="00016375"/>
    <w:rsid w:val="000166BE"/>
    <w:rsid w:val="00017B79"/>
    <w:rsid w:val="00017FD6"/>
    <w:rsid w:val="0002043F"/>
    <w:rsid w:val="0002071D"/>
    <w:rsid w:val="00020A6E"/>
    <w:rsid w:val="0002153F"/>
    <w:rsid w:val="00021860"/>
    <w:rsid w:val="00021A02"/>
    <w:rsid w:val="00021BF7"/>
    <w:rsid w:val="00021C19"/>
    <w:rsid w:val="00021C75"/>
    <w:rsid w:val="000220F8"/>
    <w:rsid w:val="000246FE"/>
    <w:rsid w:val="000249D1"/>
    <w:rsid w:val="00025030"/>
    <w:rsid w:val="00026010"/>
    <w:rsid w:val="000266D1"/>
    <w:rsid w:val="0003043C"/>
    <w:rsid w:val="000304B9"/>
    <w:rsid w:val="00030704"/>
    <w:rsid w:val="000308A6"/>
    <w:rsid w:val="00030F4C"/>
    <w:rsid w:val="00031A73"/>
    <w:rsid w:val="00031C41"/>
    <w:rsid w:val="00031EDE"/>
    <w:rsid w:val="00032214"/>
    <w:rsid w:val="00032342"/>
    <w:rsid w:val="000328D8"/>
    <w:rsid w:val="00032C87"/>
    <w:rsid w:val="00032E40"/>
    <w:rsid w:val="00032EB0"/>
    <w:rsid w:val="0003394B"/>
    <w:rsid w:val="00033CDA"/>
    <w:rsid w:val="0003456D"/>
    <w:rsid w:val="00034689"/>
    <w:rsid w:val="00034CE0"/>
    <w:rsid w:val="000353ED"/>
    <w:rsid w:val="000355BF"/>
    <w:rsid w:val="000376BB"/>
    <w:rsid w:val="000377FC"/>
    <w:rsid w:val="000404A5"/>
    <w:rsid w:val="00040731"/>
    <w:rsid w:val="0004077C"/>
    <w:rsid w:val="00041327"/>
    <w:rsid w:val="0004272E"/>
    <w:rsid w:val="00044A46"/>
    <w:rsid w:val="00044F4A"/>
    <w:rsid w:val="0004555C"/>
    <w:rsid w:val="000456CF"/>
    <w:rsid w:val="00045828"/>
    <w:rsid w:val="00045842"/>
    <w:rsid w:val="00045A4D"/>
    <w:rsid w:val="00045D84"/>
    <w:rsid w:val="00046096"/>
    <w:rsid w:val="000465EA"/>
    <w:rsid w:val="0004766F"/>
    <w:rsid w:val="0004799E"/>
    <w:rsid w:val="00050046"/>
    <w:rsid w:val="0005018B"/>
    <w:rsid w:val="000505B2"/>
    <w:rsid w:val="0005060D"/>
    <w:rsid w:val="000507D5"/>
    <w:rsid w:val="0005161A"/>
    <w:rsid w:val="0005202B"/>
    <w:rsid w:val="000521EB"/>
    <w:rsid w:val="000523DC"/>
    <w:rsid w:val="000528F9"/>
    <w:rsid w:val="0005291E"/>
    <w:rsid w:val="00052D50"/>
    <w:rsid w:val="00053725"/>
    <w:rsid w:val="00054749"/>
    <w:rsid w:val="00054912"/>
    <w:rsid w:val="00055309"/>
    <w:rsid w:val="00055639"/>
    <w:rsid w:val="00055727"/>
    <w:rsid w:val="000566B5"/>
    <w:rsid w:val="000569E4"/>
    <w:rsid w:val="00056E57"/>
    <w:rsid w:val="000574F3"/>
    <w:rsid w:val="000605D5"/>
    <w:rsid w:val="000606F2"/>
    <w:rsid w:val="000609BC"/>
    <w:rsid w:val="00060D4E"/>
    <w:rsid w:val="00060E22"/>
    <w:rsid w:val="00061338"/>
    <w:rsid w:val="0006165B"/>
    <w:rsid w:val="00062049"/>
    <w:rsid w:val="0006229D"/>
    <w:rsid w:val="000622C8"/>
    <w:rsid w:val="0006259E"/>
    <w:rsid w:val="0006324E"/>
    <w:rsid w:val="00063657"/>
    <w:rsid w:val="00063802"/>
    <w:rsid w:val="00063A6A"/>
    <w:rsid w:val="0006429A"/>
    <w:rsid w:val="00064883"/>
    <w:rsid w:val="00064C34"/>
    <w:rsid w:val="0006508F"/>
    <w:rsid w:val="00065101"/>
    <w:rsid w:val="0006655D"/>
    <w:rsid w:val="00066A96"/>
    <w:rsid w:val="0007026F"/>
    <w:rsid w:val="0007222D"/>
    <w:rsid w:val="00072A86"/>
    <w:rsid w:val="00073099"/>
    <w:rsid w:val="0007438B"/>
    <w:rsid w:val="00074802"/>
    <w:rsid w:val="00074F8C"/>
    <w:rsid w:val="000755DA"/>
    <w:rsid w:val="0007587D"/>
    <w:rsid w:val="00076536"/>
    <w:rsid w:val="00076AB9"/>
    <w:rsid w:val="00077853"/>
    <w:rsid w:val="0008010C"/>
    <w:rsid w:val="000806F1"/>
    <w:rsid w:val="0008143E"/>
    <w:rsid w:val="0008186D"/>
    <w:rsid w:val="00081C95"/>
    <w:rsid w:val="00082555"/>
    <w:rsid w:val="00083BCA"/>
    <w:rsid w:val="00085785"/>
    <w:rsid w:val="00086430"/>
    <w:rsid w:val="00086909"/>
    <w:rsid w:val="00087267"/>
    <w:rsid w:val="000875A5"/>
    <w:rsid w:val="00087953"/>
    <w:rsid w:val="00087BBF"/>
    <w:rsid w:val="000906FB"/>
    <w:rsid w:val="0009128D"/>
    <w:rsid w:val="000931D2"/>
    <w:rsid w:val="000934D1"/>
    <w:rsid w:val="00094B6A"/>
    <w:rsid w:val="00094D5A"/>
    <w:rsid w:val="00094E52"/>
    <w:rsid w:val="00095488"/>
    <w:rsid w:val="00096422"/>
    <w:rsid w:val="0009682E"/>
    <w:rsid w:val="0009690B"/>
    <w:rsid w:val="00097855"/>
    <w:rsid w:val="000A0610"/>
    <w:rsid w:val="000A0AFA"/>
    <w:rsid w:val="000A0F6D"/>
    <w:rsid w:val="000A0F8E"/>
    <w:rsid w:val="000A20ED"/>
    <w:rsid w:val="000A26E1"/>
    <w:rsid w:val="000A4A00"/>
    <w:rsid w:val="000A5105"/>
    <w:rsid w:val="000A54D2"/>
    <w:rsid w:val="000A5B13"/>
    <w:rsid w:val="000A5DDB"/>
    <w:rsid w:val="000A62C0"/>
    <w:rsid w:val="000A68A7"/>
    <w:rsid w:val="000A6A76"/>
    <w:rsid w:val="000B012F"/>
    <w:rsid w:val="000B0138"/>
    <w:rsid w:val="000B015B"/>
    <w:rsid w:val="000B0BA2"/>
    <w:rsid w:val="000B0C40"/>
    <w:rsid w:val="000B1349"/>
    <w:rsid w:val="000B16B9"/>
    <w:rsid w:val="000B1828"/>
    <w:rsid w:val="000B24D5"/>
    <w:rsid w:val="000B2DF1"/>
    <w:rsid w:val="000B3D72"/>
    <w:rsid w:val="000B4413"/>
    <w:rsid w:val="000B578F"/>
    <w:rsid w:val="000B5FB5"/>
    <w:rsid w:val="000B6B5F"/>
    <w:rsid w:val="000B6B96"/>
    <w:rsid w:val="000B6CAB"/>
    <w:rsid w:val="000C027C"/>
    <w:rsid w:val="000C1646"/>
    <w:rsid w:val="000C1AC5"/>
    <w:rsid w:val="000C1D33"/>
    <w:rsid w:val="000C2D81"/>
    <w:rsid w:val="000C395B"/>
    <w:rsid w:val="000C48B9"/>
    <w:rsid w:val="000C4A47"/>
    <w:rsid w:val="000C4B8A"/>
    <w:rsid w:val="000C5175"/>
    <w:rsid w:val="000C6784"/>
    <w:rsid w:val="000C6DF6"/>
    <w:rsid w:val="000C7324"/>
    <w:rsid w:val="000C7639"/>
    <w:rsid w:val="000C7EA5"/>
    <w:rsid w:val="000D027E"/>
    <w:rsid w:val="000D07F5"/>
    <w:rsid w:val="000D0BC0"/>
    <w:rsid w:val="000D1484"/>
    <w:rsid w:val="000D26E6"/>
    <w:rsid w:val="000D32A3"/>
    <w:rsid w:val="000D338D"/>
    <w:rsid w:val="000D3B75"/>
    <w:rsid w:val="000D3CF1"/>
    <w:rsid w:val="000D3D63"/>
    <w:rsid w:val="000D4871"/>
    <w:rsid w:val="000D5231"/>
    <w:rsid w:val="000D5599"/>
    <w:rsid w:val="000D5AAF"/>
    <w:rsid w:val="000D5ADD"/>
    <w:rsid w:val="000D6C13"/>
    <w:rsid w:val="000D7492"/>
    <w:rsid w:val="000E0C62"/>
    <w:rsid w:val="000E0CCF"/>
    <w:rsid w:val="000E1B14"/>
    <w:rsid w:val="000E27B4"/>
    <w:rsid w:val="000E2AEB"/>
    <w:rsid w:val="000E2B3B"/>
    <w:rsid w:val="000E2D4B"/>
    <w:rsid w:val="000E2DDF"/>
    <w:rsid w:val="000E2F44"/>
    <w:rsid w:val="000E36CD"/>
    <w:rsid w:val="000E47BC"/>
    <w:rsid w:val="000E4C18"/>
    <w:rsid w:val="000E4E9F"/>
    <w:rsid w:val="000E562F"/>
    <w:rsid w:val="000E5A39"/>
    <w:rsid w:val="000E70F2"/>
    <w:rsid w:val="000E7DDF"/>
    <w:rsid w:val="000E7F89"/>
    <w:rsid w:val="000F0196"/>
    <w:rsid w:val="000F038E"/>
    <w:rsid w:val="000F04E0"/>
    <w:rsid w:val="000F0D54"/>
    <w:rsid w:val="000F1153"/>
    <w:rsid w:val="000F126F"/>
    <w:rsid w:val="000F1C51"/>
    <w:rsid w:val="000F2922"/>
    <w:rsid w:val="000F2D27"/>
    <w:rsid w:val="000F364E"/>
    <w:rsid w:val="000F379B"/>
    <w:rsid w:val="000F461F"/>
    <w:rsid w:val="000F463B"/>
    <w:rsid w:val="000F563C"/>
    <w:rsid w:val="000F5676"/>
    <w:rsid w:val="000F5E6C"/>
    <w:rsid w:val="000F60E5"/>
    <w:rsid w:val="000F6C62"/>
    <w:rsid w:val="000F724C"/>
    <w:rsid w:val="000F7419"/>
    <w:rsid w:val="00100B33"/>
    <w:rsid w:val="0010130E"/>
    <w:rsid w:val="001020A8"/>
    <w:rsid w:val="0010241F"/>
    <w:rsid w:val="001026FA"/>
    <w:rsid w:val="00103412"/>
    <w:rsid w:val="00103A32"/>
    <w:rsid w:val="00104A0D"/>
    <w:rsid w:val="00104DB4"/>
    <w:rsid w:val="00105033"/>
    <w:rsid w:val="00105327"/>
    <w:rsid w:val="001071E7"/>
    <w:rsid w:val="00107979"/>
    <w:rsid w:val="00107DA9"/>
    <w:rsid w:val="00107F74"/>
    <w:rsid w:val="00110415"/>
    <w:rsid w:val="00110AD0"/>
    <w:rsid w:val="0011184F"/>
    <w:rsid w:val="00113167"/>
    <w:rsid w:val="001141B3"/>
    <w:rsid w:val="00114246"/>
    <w:rsid w:val="001143FE"/>
    <w:rsid w:val="00114D23"/>
    <w:rsid w:val="00116E39"/>
    <w:rsid w:val="00116E76"/>
    <w:rsid w:val="001205D8"/>
    <w:rsid w:val="00120943"/>
    <w:rsid w:val="00120ABC"/>
    <w:rsid w:val="00120B7E"/>
    <w:rsid w:val="00120CC9"/>
    <w:rsid w:val="00121364"/>
    <w:rsid w:val="0012139D"/>
    <w:rsid w:val="00121447"/>
    <w:rsid w:val="00121A1E"/>
    <w:rsid w:val="00121D48"/>
    <w:rsid w:val="001229BD"/>
    <w:rsid w:val="00122E77"/>
    <w:rsid w:val="00124AC2"/>
    <w:rsid w:val="00124FD1"/>
    <w:rsid w:val="00125CAC"/>
    <w:rsid w:val="00125F8B"/>
    <w:rsid w:val="00126463"/>
    <w:rsid w:val="001269D2"/>
    <w:rsid w:val="001275F1"/>
    <w:rsid w:val="00127A3D"/>
    <w:rsid w:val="00130274"/>
    <w:rsid w:val="00130928"/>
    <w:rsid w:val="00130E74"/>
    <w:rsid w:val="00131227"/>
    <w:rsid w:val="00132177"/>
    <w:rsid w:val="00132294"/>
    <w:rsid w:val="001322DF"/>
    <w:rsid w:val="001327D6"/>
    <w:rsid w:val="001328B1"/>
    <w:rsid w:val="00132C51"/>
    <w:rsid w:val="00132F1C"/>
    <w:rsid w:val="001334D5"/>
    <w:rsid w:val="0013393D"/>
    <w:rsid w:val="00133A82"/>
    <w:rsid w:val="00133E4A"/>
    <w:rsid w:val="00133EA0"/>
    <w:rsid w:val="00134575"/>
    <w:rsid w:val="00134757"/>
    <w:rsid w:val="00134ECC"/>
    <w:rsid w:val="001357B7"/>
    <w:rsid w:val="00140910"/>
    <w:rsid w:val="00140C81"/>
    <w:rsid w:val="00140FEF"/>
    <w:rsid w:val="00141939"/>
    <w:rsid w:val="00141C87"/>
    <w:rsid w:val="00142A6F"/>
    <w:rsid w:val="00142AAB"/>
    <w:rsid w:val="00143792"/>
    <w:rsid w:val="001438D8"/>
    <w:rsid w:val="00143B70"/>
    <w:rsid w:val="001442DF"/>
    <w:rsid w:val="00144468"/>
    <w:rsid w:val="00144984"/>
    <w:rsid w:val="00145337"/>
    <w:rsid w:val="001453D3"/>
    <w:rsid w:val="0014550B"/>
    <w:rsid w:val="001456CD"/>
    <w:rsid w:val="00146D65"/>
    <w:rsid w:val="0014702A"/>
    <w:rsid w:val="001473AE"/>
    <w:rsid w:val="00147539"/>
    <w:rsid w:val="001478B3"/>
    <w:rsid w:val="00150D98"/>
    <w:rsid w:val="00151432"/>
    <w:rsid w:val="001517A3"/>
    <w:rsid w:val="00152058"/>
    <w:rsid w:val="00152211"/>
    <w:rsid w:val="00152B87"/>
    <w:rsid w:val="00153A12"/>
    <w:rsid w:val="00153F8C"/>
    <w:rsid w:val="00154CE4"/>
    <w:rsid w:val="0015547D"/>
    <w:rsid w:val="001554F4"/>
    <w:rsid w:val="00155945"/>
    <w:rsid w:val="00155EA2"/>
    <w:rsid w:val="001562D3"/>
    <w:rsid w:val="001565C5"/>
    <w:rsid w:val="0015716D"/>
    <w:rsid w:val="00157860"/>
    <w:rsid w:val="001578AE"/>
    <w:rsid w:val="00157CBE"/>
    <w:rsid w:val="0016102C"/>
    <w:rsid w:val="0016183C"/>
    <w:rsid w:val="001619DE"/>
    <w:rsid w:val="0016312C"/>
    <w:rsid w:val="001633B3"/>
    <w:rsid w:val="001634E4"/>
    <w:rsid w:val="001643DE"/>
    <w:rsid w:val="00165C1A"/>
    <w:rsid w:val="00166694"/>
    <w:rsid w:val="0016679A"/>
    <w:rsid w:val="00166E2B"/>
    <w:rsid w:val="001670B8"/>
    <w:rsid w:val="00167F5E"/>
    <w:rsid w:val="00170DF1"/>
    <w:rsid w:val="00171358"/>
    <w:rsid w:val="001722E5"/>
    <w:rsid w:val="00172C8D"/>
    <w:rsid w:val="00172E5D"/>
    <w:rsid w:val="001736FD"/>
    <w:rsid w:val="00174971"/>
    <w:rsid w:val="00174EEC"/>
    <w:rsid w:val="00175547"/>
    <w:rsid w:val="001755B8"/>
    <w:rsid w:val="00175A96"/>
    <w:rsid w:val="00175C01"/>
    <w:rsid w:val="00176D24"/>
    <w:rsid w:val="00176D61"/>
    <w:rsid w:val="001776F0"/>
    <w:rsid w:val="00177910"/>
    <w:rsid w:val="00180598"/>
    <w:rsid w:val="0018091E"/>
    <w:rsid w:val="0018124C"/>
    <w:rsid w:val="001816A6"/>
    <w:rsid w:val="00181FDF"/>
    <w:rsid w:val="00182143"/>
    <w:rsid w:val="00183833"/>
    <w:rsid w:val="00184301"/>
    <w:rsid w:val="0018432B"/>
    <w:rsid w:val="00184746"/>
    <w:rsid w:val="0018486C"/>
    <w:rsid w:val="00184877"/>
    <w:rsid w:val="001852DC"/>
    <w:rsid w:val="00185313"/>
    <w:rsid w:val="0018536E"/>
    <w:rsid w:val="001855CC"/>
    <w:rsid w:val="0018565B"/>
    <w:rsid w:val="00185C21"/>
    <w:rsid w:val="00185F50"/>
    <w:rsid w:val="00186719"/>
    <w:rsid w:val="001876C6"/>
    <w:rsid w:val="00187D6D"/>
    <w:rsid w:val="00190B3B"/>
    <w:rsid w:val="00190F25"/>
    <w:rsid w:val="0019209D"/>
    <w:rsid w:val="001923FC"/>
    <w:rsid w:val="00192467"/>
    <w:rsid w:val="00193126"/>
    <w:rsid w:val="001931CA"/>
    <w:rsid w:val="00193F8A"/>
    <w:rsid w:val="001940CC"/>
    <w:rsid w:val="0019410D"/>
    <w:rsid w:val="00194D0C"/>
    <w:rsid w:val="00195285"/>
    <w:rsid w:val="001973A8"/>
    <w:rsid w:val="00197EB2"/>
    <w:rsid w:val="001A03FE"/>
    <w:rsid w:val="001A0588"/>
    <w:rsid w:val="001A0A65"/>
    <w:rsid w:val="001A10D8"/>
    <w:rsid w:val="001A1147"/>
    <w:rsid w:val="001A1D53"/>
    <w:rsid w:val="001A1D85"/>
    <w:rsid w:val="001A260B"/>
    <w:rsid w:val="001A3659"/>
    <w:rsid w:val="001A3888"/>
    <w:rsid w:val="001A45B7"/>
    <w:rsid w:val="001A4C00"/>
    <w:rsid w:val="001A5538"/>
    <w:rsid w:val="001A57CA"/>
    <w:rsid w:val="001A5CBF"/>
    <w:rsid w:val="001A6443"/>
    <w:rsid w:val="001A6490"/>
    <w:rsid w:val="001A6616"/>
    <w:rsid w:val="001A6BF6"/>
    <w:rsid w:val="001B09C3"/>
    <w:rsid w:val="001B0DB5"/>
    <w:rsid w:val="001B0E06"/>
    <w:rsid w:val="001B1D9F"/>
    <w:rsid w:val="001B68A9"/>
    <w:rsid w:val="001B6A90"/>
    <w:rsid w:val="001B7081"/>
    <w:rsid w:val="001C13F5"/>
    <w:rsid w:val="001C1D4B"/>
    <w:rsid w:val="001C24E3"/>
    <w:rsid w:val="001C48CC"/>
    <w:rsid w:val="001C4FEE"/>
    <w:rsid w:val="001C5832"/>
    <w:rsid w:val="001C62E6"/>
    <w:rsid w:val="001C6659"/>
    <w:rsid w:val="001C6733"/>
    <w:rsid w:val="001C6891"/>
    <w:rsid w:val="001C7728"/>
    <w:rsid w:val="001C7980"/>
    <w:rsid w:val="001D025F"/>
    <w:rsid w:val="001D046E"/>
    <w:rsid w:val="001D0B0A"/>
    <w:rsid w:val="001D1186"/>
    <w:rsid w:val="001D1515"/>
    <w:rsid w:val="001D264A"/>
    <w:rsid w:val="001D2828"/>
    <w:rsid w:val="001D28D4"/>
    <w:rsid w:val="001D364C"/>
    <w:rsid w:val="001D4403"/>
    <w:rsid w:val="001D5036"/>
    <w:rsid w:val="001D55A9"/>
    <w:rsid w:val="001D6233"/>
    <w:rsid w:val="001D63DA"/>
    <w:rsid w:val="001D6909"/>
    <w:rsid w:val="001D69AC"/>
    <w:rsid w:val="001D744D"/>
    <w:rsid w:val="001D74F2"/>
    <w:rsid w:val="001D7D17"/>
    <w:rsid w:val="001D7E95"/>
    <w:rsid w:val="001E0256"/>
    <w:rsid w:val="001E0665"/>
    <w:rsid w:val="001E06F7"/>
    <w:rsid w:val="001E1945"/>
    <w:rsid w:val="001E1B7A"/>
    <w:rsid w:val="001E2111"/>
    <w:rsid w:val="001E272C"/>
    <w:rsid w:val="001E2EEA"/>
    <w:rsid w:val="001E32E8"/>
    <w:rsid w:val="001E3F6E"/>
    <w:rsid w:val="001E446C"/>
    <w:rsid w:val="001E49DA"/>
    <w:rsid w:val="001E505C"/>
    <w:rsid w:val="001E56FE"/>
    <w:rsid w:val="001E611E"/>
    <w:rsid w:val="001E78CC"/>
    <w:rsid w:val="001F0BAC"/>
    <w:rsid w:val="001F15F5"/>
    <w:rsid w:val="001F1FE6"/>
    <w:rsid w:val="001F2175"/>
    <w:rsid w:val="001F3AF9"/>
    <w:rsid w:val="001F41C0"/>
    <w:rsid w:val="001F4389"/>
    <w:rsid w:val="001F4489"/>
    <w:rsid w:val="001F45F8"/>
    <w:rsid w:val="001F5164"/>
    <w:rsid w:val="001F6193"/>
    <w:rsid w:val="002005BE"/>
    <w:rsid w:val="002006CF"/>
    <w:rsid w:val="00200CDE"/>
    <w:rsid w:val="00200F78"/>
    <w:rsid w:val="002012E2"/>
    <w:rsid w:val="002022EB"/>
    <w:rsid w:val="00202B7C"/>
    <w:rsid w:val="00203453"/>
    <w:rsid w:val="00204972"/>
    <w:rsid w:val="002067DA"/>
    <w:rsid w:val="002070DC"/>
    <w:rsid w:val="00207647"/>
    <w:rsid w:val="00210191"/>
    <w:rsid w:val="00210899"/>
    <w:rsid w:val="002119DC"/>
    <w:rsid w:val="00211B8E"/>
    <w:rsid w:val="00212C78"/>
    <w:rsid w:val="002135B0"/>
    <w:rsid w:val="0021378E"/>
    <w:rsid w:val="00214017"/>
    <w:rsid w:val="00214A3D"/>
    <w:rsid w:val="00216738"/>
    <w:rsid w:val="0021719C"/>
    <w:rsid w:val="0021763C"/>
    <w:rsid w:val="0021763D"/>
    <w:rsid w:val="00217B9C"/>
    <w:rsid w:val="00220AE6"/>
    <w:rsid w:val="00220F0A"/>
    <w:rsid w:val="00220FE7"/>
    <w:rsid w:val="0022104F"/>
    <w:rsid w:val="00221680"/>
    <w:rsid w:val="002227E4"/>
    <w:rsid w:val="00222B36"/>
    <w:rsid w:val="0022395B"/>
    <w:rsid w:val="00224260"/>
    <w:rsid w:val="00224904"/>
    <w:rsid w:val="002252CE"/>
    <w:rsid w:val="002252E1"/>
    <w:rsid w:val="00225E1A"/>
    <w:rsid w:val="00226163"/>
    <w:rsid w:val="0022621C"/>
    <w:rsid w:val="002264A2"/>
    <w:rsid w:val="002265F4"/>
    <w:rsid w:val="00226D16"/>
    <w:rsid w:val="002273DC"/>
    <w:rsid w:val="00230132"/>
    <w:rsid w:val="0023062E"/>
    <w:rsid w:val="00231369"/>
    <w:rsid w:val="002315DF"/>
    <w:rsid w:val="00231985"/>
    <w:rsid w:val="00233120"/>
    <w:rsid w:val="00233491"/>
    <w:rsid w:val="0023381D"/>
    <w:rsid w:val="00235269"/>
    <w:rsid w:val="002353F1"/>
    <w:rsid w:val="00236192"/>
    <w:rsid w:val="00236D72"/>
    <w:rsid w:val="00237360"/>
    <w:rsid w:val="002379C8"/>
    <w:rsid w:val="00237DE8"/>
    <w:rsid w:val="00240604"/>
    <w:rsid w:val="00240D44"/>
    <w:rsid w:val="00242EF4"/>
    <w:rsid w:val="00243B5A"/>
    <w:rsid w:val="00243D7A"/>
    <w:rsid w:val="002448D2"/>
    <w:rsid w:val="00244C4E"/>
    <w:rsid w:val="00245D94"/>
    <w:rsid w:val="00245DB0"/>
    <w:rsid w:val="0024649D"/>
    <w:rsid w:val="00246CDD"/>
    <w:rsid w:val="00247062"/>
    <w:rsid w:val="0024774C"/>
    <w:rsid w:val="00250A33"/>
    <w:rsid w:val="00250B5D"/>
    <w:rsid w:val="00251008"/>
    <w:rsid w:val="00251173"/>
    <w:rsid w:val="00251186"/>
    <w:rsid w:val="0025196D"/>
    <w:rsid w:val="00252629"/>
    <w:rsid w:val="00252787"/>
    <w:rsid w:val="00253842"/>
    <w:rsid w:val="002547E6"/>
    <w:rsid w:val="00254E7D"/>
    <w:rsid w:val="00255499"/>
    <w:rsid w:val="002561CC"/>
    <w:rsid w:val="00256B7F"/>
    <w:rsid w:val="00256C78"/>
    <w:rsid w:val="00256CC8"/>
    <w:rsid w:val="00257D24"/>
    <w:rsid w:val="00257FE8"/>
    <w:rsid w:val="002614FD"/>
    <w:rsid w:val="00261867"/>
    <w:rsid w:val="002633F1"/>
    <w:rsid w:val="0026352A"/>
    <w:rsid w:val="00263A96"/>
    <w:rsid w:val="0026492C"/>
    <w:rsid w:val="00265F80"/>
    <w:rsid w:val="002661A5"/>
    <w:rsid w:val="002679A7"/>
    <w:rsid w:val="00267E39"/>
    <w:rsid w:val="0027098C"/>
    <w:rsid w:val="002709A2"/>
    <w:rsid w:val="002712F6"/>
    <w:rsid w:val="002719D4"/>
    <w:rsid w:val="00271C41"/>
    <w:rsid w:val="00271E09"/>
    <w:rsid w:val="0027260D"/>
    <w:rsid w:val="00272EA5"/>
    <w:rsid w:val="00273B8C"/>
    <w:rsid w:val="00274B41"/>
    <w:rsid w:val="00275153"/>
    <w:rsid w:val="00275C92"/>
    <w:rsid w:val="002760C8"/>
    <w:rsid w:val="00276C42"/>
    <w:rsid w:val="002774C3"/>
    <w:rsid w:val="002777F9"/>
    <w:rsid w:val="00277AD3"/>
    <w:rsid w:val="00277C24"/>
    <w:rsid w:val="00277F63"/>
    <w:rsid w:val="00281056"/>
    <w:rsid w:val="00281410"/>
    <w:rsid w:val="00281454"/>
    <w:rsid w:val="002816DE"/>
    <w:rsid w:val="002822F5"/>
    <w:rsid w:val="002823C3"/>
    <w:rsid w:val="002826A3"/>
    <w:rsid w:val="00282D19"/>
    <w:rsid w:val="00283610"/>
    <w:rsid w:val="00283D9D"/>
    <w:rsid w:val="002848D6"/>
    <w:rsid w:val="00285569"/>
    <w:rsid w:val="00285CFC"/>
    <w:rsid w:val="00285E5B"/>
    <w:rsid w:val="00286563"/>
    <w:rsid w:val="00287EAA"/>
    <w:rsid w:val="00290C8C"/>
    <w:rsid w:val="00290D8F"/>
    <w:rsid w:val="00290E79"/>
    <w:rsid w:val="00290F7D"/>
    <w:rsid w:val="0029123C"/>
    <w:rsid w:val="002925C0"/>
    <w:rsid w:val="002929F2"/>
    <w:rsid w:val="00292DB5"/>
    <w:rsid w:val="002934C3"/>
    <w:rsid w:val="00293C33"/>
    <w:rsid w:val="002948A3"/>
    <w:rsid w:val="00294A9F"/>
    <w:rsid w:val="00295774"/>
    <w:rsid w:val="00295BDC"/>
    <w:rsid w:val="00296B70"/>
    <w:rsid w:val="0029711F"/>
    <w:rsid w:val="00297B76"/>
    <w:rsid w:val="00297EEC"/>
    <w:rsid w:val="002A0862"/>
    <w:rsid w:val="002A0922"/>
    <w:rsid w:val="002A0A77"/>
    <w:rsid w:val="002A0C49"/>
    <w:rsid w:val="002A15CC"/>
    <w:rsid w:val="002A1784"/>
    <w:rsid w:val="002A240A"/>
    <w:rsid w:val="002A2650"/>
    <w:rsid w:val="002A2830"/>
    <w:rsid w:val="002A2B93"/>
    <w:rsid w:val="002A2BC3"/>
    <w:rsid w:val="002A385A"/>
    <w:rsid w:val="002A3874"/>
    <w:rsid w:val="002A3FB9"/>
    <w:rsid w:val="002A44E0"/>
    <w:rsid w:val="002A5478"/>
    <w:rsid w:val="002A55B5"/>
    <w:rsid w:val="002A5F32"/>
    <w:rsid w:val="002A68F3"/>
    <w:rsid w:val="002A7084"/>
    <w:rsid w:val="002A7D13"/>
    <w:rsid w:val="002B012D"/>
    <w:rsid w:val="002B04F1"/>
    <w:rsid w:val="002B0601"/>
    <w:rsid w:val="002B09F4"/>
    <w:rsid w:val="002B0C3A"/>
    <w:rsid w:val="002B13AD"/>
    <w:rsid w:val="002B150D"/>
    <w:rsid w:val="002B17BF"/>
    <w:rsid w:val="002B18C6"/>
    <w:rsid w:val="002B1FC0"/>
    <w:rsid w:val="002B2151"/>
    <w:rsid w:val="002B2375"/>
    <w:rsid w:val="002B273F"/>
    <w:rsid w:val="002B2903"/>
    <w:rsid w:val="002B48DD"/>
    <w:rsid w:val="002B5241"/>
    <w:rsid w:val="002B6107"/>
    <w:rsid w:val="002B781F"/>
    <w:rsid w:val="002C04AF"/>
    <w:rsid w:val="002C0945"/>
    <w:rsid w:val="002C0EBA"/>
    <w:rsid w:val="002C18AC"/>
    <w:rsid w:val="002C1CC5"/>
    <w:rsid w:val="002C39D6"/>
    <w:rsid w:val="002C461A"/>
    <w:rsid w:val="002C50B5"/>
    <w:rsid w:val="002C548B"/>
    <w:rsid w:val="002C5E11"/>
    <w:rsid w:val="002C5E92"/>
    <w:rsid w:val="002C606B"/>
    <w:rsid w:val="002C65FA"/>
    <w:rsid w:val="002D0383"/>
    <w:rsid w:val="002D180D"/>
    <w:rsid w:val="002D190D"/>
    <w:rsid w:val="002D2FEF"/>
    <w:rsid w:val="002D369B"/>
    <w:rsid w:val="002D3990"/>
    <w:rsid w:val="002D3E6C"/>
    <w:rsid w:val="002D44E0"/>
    <w:rsid w:val="002D4920"/>
    <w:rsid w:val="002D4D9F"/>
    <w:rsid w:val="002D73C3"/>
    <w:rsid w:val="002D77D1"/>
    <w:rsid w:val="002D783B"/>
    <w:rsid w:val="002D7EAF"/>
    <w:rsid w:val="002E05C2"/>
    <w:rsid w:val="002E13B2"/>
    <w:rsid w:val="002E1CB0"/>
    <w:rsid w:val="002E1D16"/>
    <w:rsid w:val="002E1EB8"/>
    <w:rsid w:val="002E2596"/>
    <w:rsid w:val="002E25AF"/>
    <w:rsid w:val="002E2EE5"/>
    <w:rsid w:val="002E33D2"/>
    <w:rsid w:val="002E35FC"/>
    <w:rsid w:val="002E46B0"/>
    <w:rsid w:val="002E479F"/>
    <w:rsid w:val="002E5A94"/>
    <w:rsid w:val="002E62F6"/>
    <w:rsid w:val="002E6509"/>
    <w:rsid w:val="002E6DCF"/>
    <w:rsid w:val="002E74C4"/>
    <w:rsid w:val="002F0A8F"/>
    <w:rsid w:val="002F0D49"/>
    <w:rsid w:val="002F1184"/>
    <w:rsid w:val="002F1357"/>
    <w:rsid w:val="002F14C2"/>
    <w:rsid w:val="002F1EC4"/>
    <w:rsid w:val="002F247C"/>
    <w:rsid w:val="002F2509"/>
    <w:rsid w:val="002F2B0B"/>
    <w:rsid w:val="002F434F"/>
    <w:rsid w:val="002F4388"/>
    <w:rsid w:val="002F4581"/>
    <w:rsid w:val="002F4F1C"/>
    <w:rsid w:val="002F5989"/>
    <w:rsid w:val="002F6530"/>
    <w:rsid w:val="002F6BA0"/>
    <w:rsid w:val="002F7472"/>
    <w:rsid w:val="002F7B9B"/>
    <w:rsid w:val="003004A8"/>
    <w:rsid w:val="00300C24"/>
    <w:rsid w:val="0030170A"/>
    <w:rsid w:val="00302A08"/>
    <w:rsid w:val="003030F6"/>
    <w:rsid w:val="00303239"/>
    <w:rsid w:val="0030323B"/>
    <w:rsid w:val="003033B3"/>
    <w:rsid w:val="003042B1"/>
    <w:rsid w:val="003049ED"/>
    <w:rsid w:val="00304D81"/>
    <w:rsid w:val="00305001"/>
    <w:rsid w:val="003062FA"/>
    <w:rsid w:val="00306595"/>
    <w:rsid w:val="00306A00"/>
    <w:rsid w:val="00307CB8"/>
    <w:rsid w:val="00307DDE"/>
    <w:rsid w:val="00307E44"/>
    <w:rsid w:val="00310608"/>
    <w:rsid w:val="00310ECC"/>
    <w:rsid w:val="00311D19"/>
    <w:rsid w:val="00312121"/>
    <w:rsid w:val="0031229C"/>
    <w:rsid w:val="00312839"/>
    <w:rsid w:val="00312EF1"/>
    <w:rsid w:val="00313D6E"/>
    <w:rsid w:val="00314B66"/>
    <w:rsid w:val="00314C1F"/>
    <w:rsid w:val="00314E23"/>
    <w:rsid w:val="00315BD5"/>
    <w:rsid w:val="00315DE8"/>
    <w:rsid w:val="00315E4B"/>
    <w:rsid w:val="00315F94"/>
    <w:rsid w:val="00316D2D"/>
    <w:rsid w:val="00316EF6"/>
    <w:rsid w:val="00316F90"/>
    <w:rsid w:val="0031708F"/>
    <w:rsid w:val="00317FDB"/>
    <w:rsid w:val="00317FE2"/>
    <w:rsid w:val="003202F6"/>
    <w:rsid w:val="00320641"/>
    <w:rsid w:val="00320754"/>
    <w:rsid w:val="00320C4A"/>
    <w:rsid w:val="003215A9"/>
    <w:rsid w:val="00321A01"/>
    <w:rsid w:val="00321FF5"/>
    <w:rsid w:val="003224D2"/>
    <w:rsid w:val="00322682"/>
    <w:rsid w:val="003227F0"/>
    <w:rsid w:val="00322E8A"/>
    <w:rsid w:val="00323BC6"/>
    <w:rsid w:val="00323E88"/>
    <w:rsid w:val="00324D63"/>
    <w:rsid w:val="00324EDB"/>
    <w:rsid w:val="003263D1"/>
    <w:rsid w:val="003268B9"/>
    <w:rsid w:val="00326B27"/>
    <w:rsid w:val="00332064"/>
    <w:rsid w:val="00332540"/>
    <w:rsid w:val="00332DFC"/>
    <w:rsid w:val="00333D3F"/>
    <w:rsid w:val="00333D8D"/>
    <w:rsid w:val="00335D78"/>
    <w:rsid w:val="00335EAD"/>
    <w:rsid w:val="00336073"/>
    <w:rsid w:val="003364FF"/>
    <w:rsid w:val="00340833"/>
    <w:rsid w:val="00341BDC"/>
    <w:rsid w:val="00341E93"/>
    <w:rsid w:val="00342898"/>
    <w:rsid w:val="00342AFE"/>
    <w:rsid w:val="00342B97"/>
    <w:rsid w:val="00342DD0"/>
    <w:rsid w:val="00343163"/>
    <w:rsid w:val="0034420D"/>
    <w:rsid w:val="00344A38"/>
    <w:rsid w:val="00345B36"/>
    <w:rsid w:val="00345CFA"/>
    <w:rsid w:val="00345E0D"/>
    <w:rsid w:val="00347277"/>
    <w:rsid w:val="00347441"/>
    <w:rsid w:val="00350F91"/>
    <w:rsid w:val="0035432F"/>
    <w:rsid w:val="0035482C"/>
    <w:rsid w:val="00355365"/>
    <w:rsid w:val="00356183"/>
    <w:rsid w:val="00357BC7"/>
    <w:rsid w:val="003600D7"/>
    <w:rsid w:val="003601CC"/>
    <w:rsid w:val="0036047F"/>
    <w:rsid w:val="00360D44"/>
    <w:rsid w:val="00360F2F"/>
    <w:rsid w:val="0036174A"/>
    <w:rsid w:val="00362904"/>
    <w:rsid w:val="00362CE2"/>
    <w:rsid w:val="00362F5B"/>
    <w:rsid w:val="00363024"/>
    <w:rsid w:val="003630E9"/>
    <w:rsid w:val="003650C3"/>
    <w:rsid w:val="00365454"/>
    <w:rsid w:val="0036570C"/>
    <w:rsid w:val="00365FF9"/>
    <w:rsid w:val="0036602A"/>
    <w:rsid w:val="00366470"/>
    <w:rsid w:val="00366C0B"/>
    <w:rsid w:val="00371A94"/>
    <w:rsid w:val="0037286E"/>
    <w:rsid w:val="003728F3"/>
    <w:rsid w:val="00372E6D"/>
    <w:rsid w:val="00372EA7"/>
    <w:rsid w:val="0037355D"/>
    <w:rsid w:val="00375484"/>
    <w:rsid w:val="0037567A"/>
    <w:rsid w:val="00377386"/>
    <w:rsid w:val="003777BC"/>
    <w:rsid w:val="00377F29"/>
    <w:rsid w:val="00380589"/>
    <w:rsid w:val="0038093D"/>
    <w:rsid w:val="00381549"/>
    <w:rsid w:val="00381E6C"/>
    <w:rsid w:val="00382076"/>
    <w:rsid w:val="003840EA"/>
    <w:rsid w:val="00384732"/>
    <w:rsid w:val="00384FC0"/>
    <w:rsid w:val="003854DC"/>
    <w:rsid w:val="00385979"/>
    <w:rsid w:val="00385F57"/>
    <w:rsid w:val="00386F7B"/>
    <w:rsid w:val="00387EED"/>
    <w:rsid w:val="0039032C"/>
    <w:rsid w:val="00390DE0"/>
    <w:rsid w:val="00391725"/>
    <w:rsid w:val="003928FD"/>
    <w:rsid w:val="00392D91"/>
    <w:rsid w:val="003953E9"/>
    <w:rsid w:val="0039551A"/>
    <w:rsid w:val="00396EA1"/>
    <w:rsid w:val="00397950"/>
    <w:rsid w:val="00397D55"/>
    <w:rsid w:val="00397FAF"/>
    <w:rsid w:val="003A1A18"/>
    <w:rsid w:val="003A1F24"/>
    <w:rsid w:val="003A24F5"/>
    <w:rsid w:val="003A3D1C"/>
    <w:rsid w:val="003A48AE"/>
    <w:rsid w:val="003A5966"/>
    <w:rsid w:val="003A5C18"/>
    <w:rsid w:val="003A6034"/>
    <w:rsid w:val="003A64FB"/>
    <w:rsid w:val="003A68C7"/>
    <w:rsid w:val="003A6FFA"/>
    <w:rsid w:val="003A7BDF"/>
    <w:rsid w:val="003A7DB9"/>
    <w:rsid w:val="003B06A2"/>
    <w:rsid w:val="003B1A3E"/>
    <w:rsid w:val="003B1B31"/>
    <w:rsid w:val="003B1E31"/>
    <w:rsid w:val="003B2390"/>
    <w:rsid w:val="003B3372"/>
    <w:rsid w:val="003B3488"/>
    <w:rsid w:val="003B44B0"/>
    <w:rsid w:val="003B5D31"/>
    <w:rsid w:val="003B6682"/>
    <w:rsid w:val="003B70B4"/>
    <w:rsid w:val="003C038B"/>
    <w:rsid w:val="003C1942"/>
    <w:rsid w:val="003C1CCE"/>
    <w:rsid w:val="003C3440"/>
    <w:rsid w:val="003C3CAE"/>
    <w:rsid w:val="003C4999"/>
    <w:rsid w:val="003C5C02"/>
    <w:rsid w:val="003C5E61"/>
    <w:rsid w:val="003C7360"/>
    <w:rsid w:val="003C7548"/>
    <w:rsid w:val="003C7A76"/>
    <w:rsid w:val="003C7C98"/>
    <w:rsid w:val="003D1371"/>
    <w:rsid w:val="003D1569"/>
    <w:rsid w:val="003D1815"/>
    <w:rsid w:val="003D18B9"/>
    <w:rsid w:val="003D1B07"/>
    <w:rsid w:val="003D2606"/>
    <w:rsid w:val="003D30C1"/>
    <w:rsid w:val="003D3247"/>
    <w:rsid w:val="003D38F9"/>
    <w:rsid w:val="003D569E"/>
    <w:rsid w:val="003D5F94"/>
    <w:rsid w:val="003D7557"/>
    <w:rsid w:val="003D7B30"/>
    <w:rsid w:val="003D7D0C"/>
    <w:rsid w:val="003E0593"/>
    <w:rsid w:val="003E0AA1"/>
    <w:rsid w:val="003E2A40"/>
    <w:rsid w:val="003E32F1"/>
    <w:rsid w:val="003E33E0"/>
    <w:rsid w:val="003E3F63"/>
    <w:rsid w:val="003E406B"/>
    <w:rsid w:val="003E416A"/>
    <w:rsid w:val="003E4C33"/>
    <w:rsid w:val="003E5F77"/>
    <w:rsid w:val="003E6152"/>
    <w:rsid w:val="003E6FA8"/>
    <w:rsid w:val="003E73C2"/>
    <w:rsid w:val="003E7A4E"/>
    <w:rsid w:val="003E7CEB"/>
    <w:rsid w:val="003F0661"/>
    <w:rsid w:val="003F0B6D"/>
    <w:rsid w:val="003F0B8D"/>
    <w:rsid w:val="003F0FF5"/>
    <w:rsid w:val="003F1242"/>
    <w:rsid w:val="003F1BBB"/>
    <w:rsid w:val="003F2C12"/>
    <w:rsid w:val="003F3947"/>
    <w:rsid w:val="003F3ABF"/>
    <w:rsid w:val="003F3B8D"/>
    <w:rsid w:val="003F3E1A"/>
    <w:rsid w:val="003F408A"/>
    <w:rsid w:val="003F4C02"/>
    <w:rsid w:val="003F506E"/>
    <w:rsid w:val="003F6507"/>
    <w:rsid w:val="003F7302"/>
    <w:rsid w:val="003F7556"/>
    <w:rsid w:val="003F78F1"/>
    <w:rsid w:val="003F7AFF"/>
    <w:rsid w:val="003F7BD3"/>
    <w:rsid w:val="004000AA"/>
    <w:rsid w:val="00400150"/>
    <w:rsid w:val="00400958"/>
    <w:rsid w:val="00400A34"/>
    <w:rsid w:val="00400DBE"/>
    <w:rsid w:val="004012FE"/>
    <w:rsid w:val="0040216E"/>
    <w:rsid w:val="00402FA8"/>
    <w:rsid w:val="004035E6"/>
    <w:rsid w:val="00403C8A"/>
    <w:rsid w:val="00403F43"/>
    <w:rsid w:val="00404412"/>
    <w:rsid w:val="00404DAE"/>
    <w:rsid w:val="004051D5"/>
    <w:rsid w:val="0040588F"/>
    <w:rsid w:val="00405B92"/>
    <w:rsid w:val="00406127"/>
    <w:rsid w:val="004069D7"/>
    <w:rsid w:val="00406A67"/>
    <w:rsid w:val="0040723B"/>
    <w:rsid w:val="004079EC"/>
    <w:rsid w:val="00407CE1"/>
    <w:rsid w:val="00410457"/>
    <w:rsid w:val="00410BC2"/>
    <w:rsid w:val="004115C0"/>
    <w:rsid w:val="0041190E"/>
    <w:rsid w:val="00412311"/>
    <w:rsid w:val="00412464"/>
    <w:rsid w:val="004133CA"/>
    <w:rsid w:val="00413CC1"/>
    <w:rsid w:val="004146B4"/>
    <w:rsid w:val="00414BAF"/>
    <w:rsid w:val="00415043"/>
    <w:rsid w:val="00415439"/>
    <w:rsid w:val="0041587D"/>
    <w:rsid w:val="0041618A"/>
    <w:rsid w:val="00416311"/>
    <w:rsid w:val="00420F6D"/>
    <w:rsid w:val="00422137"/>
    <w:rsid w:val="00422270"/>
    <w:rsid w:val="004225FE"/>
    <w:rsid w:val="00422D40"/>
    <w:rsid w:val="0042398C"/>
    <w:rsid w:val="00423BCE"/>
    <w:rsid w:val="00423DB9"/>
    <w:rsid w:val="00424547"/>
    <w:rsid w:val="00424E7B"/>
    <w:rsid w:val="00425A43"/>
    <w:rsid w:val="00425F45"/>
    <w:rsid w:val="004265A1"/>
    <w:rsid w:val="00426E39"/>
    <w:rsid w:val="00426F7F"/>
    <w:rsid w:val="00427122"/>
    <w:rsid w:val="00427AE6"/>
    <w:rsid w:val="00427BB0"/>
    <w:rsid w:val="00430C93"/>
    <w:rsid w:val="004338A1"/>
    <w:rsid w:val="00433B37"/>
    <w:rsid w:val="00433C8D"/>
    <w:rsid w:val="00434095"/>
    <w:rsid w:val="00434320"/>
    <w:rsid w:val="004348E5"/>
    <w:rsid w:val="00434A71"/>
    <w:rsid w:val="00435D68"/>
    <w:rsid w:val="0043629B"/>
    <w:rsid w:val="004362F6"/>
    <w:rsid w:val="00436C4C"/>
    <w:rsid w:val="00436C97"/>
    <w:rsid w:val="00437659"/>
    <w:rsid w:val="004376C1"/>
    <w:rsid w:val="004379D6"/>
    <w:rsid w:val="00440E02"/>
    <w:rsid w:val="004413C2"/>
    <w:rsid w:val="00441ACB"/>
    <w:rsid w:val="00442669"/>
    <w:rsid w:val="0044290A"/>
    <w:rsid w:val="00442BCA"/>
    <w:rsid w:val="00442E47"/>
    <w:rsid w:val="00443A1F"/>
    <w:rsid w:val="004450AA"/>
    <w:rsid w:val="00445810"/>
    <w:rsid w:val="00446487"/>
    <w:rsid w:val="004502F9"/>
    <w:rsid w:val="00450645"/>
    <w:rsid w:val="0045077C"/>
    <w:rsid w:val="00450936"/>
    <w:rsid w:val="00451ACD"/>
    <w:rsid w:val="00451FC2"/>
    <w:rsid w:val="004526F0"/>
    <w:rsid w:val="004526F7"/>
    <w:rsid w:val="00452E98"/>
    <w:rsid w:val="00453163"/>
    <w:rsid w:val="00453702"/>
    <w:rsid w:val="004537ED"/>
    <w:rsid w:val="00453C74"/>
    <w:rsid w:val="00454E17"/>
    <w:rsid w:val="00455215"/>
    <w:rsid w:val="00455805"/>
    <w:rsid w:val="00455E2D"/>
    <w:rsid w:val="004560B0"/>
    <w:rsid w:val="004562BC"/>
    <w:rsid w:val="004577C8"/>
    <w:rsid w:val="00457B7E"/>
    <w:rsid w:val="00460E88"/>
    <w:rsid w:val="00461401"/>
    <w:rsid w:val="004619F8"/>
    <w:rsid w:val="00461D1F"/>
    <w:rsid w:val="00462160"/>
    <w:rsid w:val="004621CF"/>
    <w:rsid w:val="004641FD"/>
    <w:rsid w:val="004653FF"/>
    <w:rsid w:val="004655C1"/>
    <w:rsid w:val="00465AE3"/>
    <w:rsid w:val="00465FCC"/>
    <w:rsid w:val="004673F7"/>
    <w:rsid w:val="00467755"/>
    <w:rsid w:val="00470005"/>
    <w:rsid w:val="00470AC0"/>
    <w:rsid w:val="00471815"/>
    <w:rsid w:val="00471FDD"/>
    <w:rsid w:val="0047228E"/>
    <w:rsid w:val="004724A6"/>
    <w:rsid w:val="00472604"/>
    <w:rsid w:val="00472F7D"/>
    <w:rsid w:val="0047367D"/>
    <w:rsid w:val="00473DBF"/>
    <w:rsid w:val="00474A0A"/>
    <w:rsid w:val="004760E5"/>
    <w:rsid w:val="0047639A"/>
    <w:rsid w:val="00476E92"/>
    <w:rsid w:val="00476F66"/>
    <w:rsid w:val="00477285"/>
    <w:rsid w:val="00477B02"/>
    <w:rsid w:val="00477B30"/>
    <w:rsid w:val="004814F0"/>
    <w:rsid w:val="00482534"/>
    <w:rsid w:val="00482D38"/>
    <w:rsid w:val="00482FB0"/>
    <w:rsid w:val="00483B05"/>
    <w:rsid w:val="00483D02"/>
    <w:rsid w:val="00483DA8"/>
    <w:rsid w:val="004841DA"/>
    <w:rsid w:val="00484DB9"/>
    <w:rsid w:val="0048547C"/>
    <w:rsid w:val="00486624"/>
    <w:rsid w:val="0048691A"/>
    <w:rsid w:val="00487605"/>
    <w:rsid w:val="004903BB"/>
    <w:rsid w:val="00490C23"/>
    <w:rsid w:val="004927D8"/>
    <w:rsid w:val="0049327D"/>
    <w:rsid w:val="0049333B"/>
    <w:rsid w:val="004949A3"/>
    <w:rsid w:val="004955FD"/>
    <w:rsid w:val="0049615C"/>
    <w:rsid w:val="00496529"/>
    <w:rsid w:val="004A0208"/>
    <w:rsid w:val="004A0B52"/>
    <w:rsid w:val="004A1431"/>
    <w:rsid w:val="004A1D2C"/>
    <w:rsid w:val="004A21DA"/>
    <w:rsid w:val="004A3156"/>
    <w:rsid w:val="004A45C9"/>
    <w:rsid w:val="004A5106"/>
    <w:rsid w:val="004A5956"/>
    <w:rsid w:val="004A5AA4"/>
    <w:rsid w:val="004A6C11"/>
    <w:rsid w:val="004A760E"/>
    <w:rsid w:val="004A7C83"/>
    <w:rsid w:val="004B01A4"/>
    <w:rsid w:val="004B0223"/>
    <w:rsid w:val="004B0854"/>
    <w:rsid w:val="004B0F37"/>
    <w:rsid w:val="004B11C0"/>
    <w:rsid w:val="004B1C4F"/>
    <w:rsid w:val="004B205B"/>
    <w:rsid w:val="004B3245"/>
    <w:rsid w:val="004B3794"/>
    <w:rsid w:val="004B37CA"/>
    <w:rsid w:val="004B3C5A"/>
    <w:rsid w:val="004B409C"/>
    <w:rsid w:val="004B4985"/>
    <w:rsid w:val="004B4DC3"/>
    <w:rsid w:val="004B4FBC"/>
    <w:rsid w:val="004B5DB4"/>
    <w:rsid w:val="004B5F91"/>
    <w:rsid w:val="004B5FA8"/>
    <w:rsid w:val="004B61B1"/>
    <w:rsid w:val="004B6861"/>
    <w:rsid w:val="004B689C"/>
    <w:rsid w:val="004B6CD0"/>
    <w:rsid w:val="004B70E4"/>
    <w:rsid w:val="004B7B7E"/>
    <w:rsid w:val="004C2001"/>
    <w:rsid w:val="004C2E9A"/>
    <w:rsid w:val="004C30EB"/>
    <w:rsid w:val="004C3137"/>
    <w:rsid w:val="004C4303"/>
    <w:rsid w:val="004C4343"/>
    <w:rsid w:val="004C450A"/>
    <w:rsid w:val="004C5783"/>
    <w:rsid w:val="004C626D"/>
    <w:rsid w:val="004C6E09"/>
    <w:rsid w:val="004C729A"/>
    <w:rsid w:val="004C7AFE"/>
    <w:rsid w:val="004D2012"/>
    <w:rsid w:val="004D2A60"/>
    <w:rsid w:val="004D38F7"/>
    <w:rsid w:val="004D42B3"/>
    <w:rsid w:val="004D46D2"/>
    <w:rsid w:val="004D4B2D"/>
    <w:rsid w:val="004D53A4"/>
    <w:rsid w:val="004E016E"/>
    <w:rsid w:val="004E0528"/>
    <w:rsid w:val="004E1031"/>
    <w:rsid w:val="004E1705"/>
    <w:rsid w:val="004E1F59"/>
    <w:rsid w:val="004E2E61"/>
    <w:rsid w:val="004E41E3"/>
    <w:rsid w:val="004E631E"/>
    <w:rsid w:val="004E650F"/>
    <w:rsid w:val="004E65A8"/>
    <w:rsid w:val="004E7430"/>
    <w:rsid w:val="004E74B0"/>
    <w:rsid w:val="004F1714"/>
    <w:rsid w:val="004F1ADA"/>
    <w:rsid w:val="004F2DB7"/>
    <w:rsid w:val="004F35E1"/>
    <w:rsid w:val="004F4774"/>
    <w:rsid w:val="004F515B"/>
    <w:rsid w:val="004F527D"/>
    <w:rsid w:val="004F5DF0"/>
    <w:rsid w:val="004F5FA2"/>
    <w:rsid w:val="004F6A06"/>
    <w:rsid w:val="004F7299"/>
    <w:rsid w:val="004F7438"/>
    <w:rsid w:val="004F7872"/>
    <w:rsid w:val="004F7D34"/>
    <w:rsid w:val="0050020F"/>
    <w:rsid w:val="005002C7"/>
    <w:rsid w:val="00500FD2"/>
    <w:rsid w:val="00501B8D"/>
    <w:rsid w:val="00501EF0"/>
    <w:rsid w:val="00502156"/>
    <w:rsid w:val="00502158"/>
    <w:rsid w:val="00502969"/>
    <w:rsid w:val="00502E65"/>
    <w:rsid w:val="005034CF"/>
    <w:rsid w:val="00505A45"/>
    <w:rsid w:val="00505CD3"/>
    <w:rsid w:val="0050601C"/>
    <w:rsid w:val="0050626E"/>
    <w:rsid w:val="00506AC4"/>
    <w:rsid w:val="00507D60"/>
    <w:rsid w:val="0051124E"/>
    <w:rsid w:val="005116B7"/>
    <w:rsid w:val="00512534"/>
    <w:rsid w:val="005136C7"/>
    <w:rsid w:val="0051448D"/>
    <w:rsid w:val="00514E29"/>
    <w:rsid w:val="00515029"/>
    <w:rsid w:val="005150DF"/>
    <w:rsid w:val="0051511C"/>
    <w:rsid w:val="00515731"/>
    <w:rsid w:val="00515CA0"/>
    <w:rsid w:val="00515CE2"/>
    <w:rsid w:val="00516153"/>
    <w:rsid w:val="005161C6"/>
    <w:rsid w:val="00516208"/>
    <w:rsid w:val="00516601"/>
    <w:rsid w:val="00516664"/>
    <w:rsid w:val="005166A1"/>
    <w:rsid w:val="00516882"/>
    <w:rsid w:val="0051794C"/>
    <w:rsid w:val="00517AD7"/>
    <w:rsid w:val="00517AE7"/>
    <w:rsid w:val="005214D9"/>
    <w:rsid w:val="00521549"/>
    <w:rsid w:val="00521B5A"/>
    <w:rsid w:val="005220E1"/>
    <w:rsid w:val="0052225C"/>
    <w:rsid w:val="005222F6"/>
    <w:rsid w:val="00522AE8"/>
    <w:rsid w:val="0052390F"/>
    <w:rsid w:val="0052428B"/>
    <w:rsid w:val="005246B0"/>
    <w:rsid w:val="005249C4"/>
    <w:rsid w:val="00524A8E"/>
    <w:rsid w:val="00525B87"/>
    <w:rsid w:val="00526E8C"/>
    <w:rsid w:val="00526F29"/>
    <w:rsid w:val="00526F56"/>
    <w:rsid w:val="00527253"/>
    <w:rsid w:val="00527412"/>
    <w:rsid w:val="00530C86"/>
    <w:rsid w:val="00530D16"/>
    <w:rsid w:val="005310BB"/>
    <w:rsid w:val="005316FB"/>
    <w:rsid w:val="005318F0"/>
    <w:rsid w:val="0053202A"/>
    <w:rsid w:val="00532CB6"/>
    <w:rsid w:val="0053300A"/>
    <w:rsid w:val="00533135"/>
    <w:rsid w:val="005334D9"/>
    <w:rsid w:val="005336CF"/>
    <w:rsid w:val="00535243"/>
    <w:rsid w:val="00535382"/>
    <w:rsid w:val="0053623C"/>
    <w:rsid w:val="005371CC"/>
    <w:rsid w:val="0053797E"/>
    <w:rsid w:val="005402A8"/>
    <w:rsid w:val="005407CC"/>
    <w:rsid w:val="00541907"/>
    <w:rsid w:val="00541A1C"/>
    <w:rsid w:val="00542385"/>
    <w:rsid w:val="005429BF"/>
    <w:rsid w:val="00542FAB"/>
    <w:rsid w:val="0054399B"/>
    <w:rsid w:val="005453E3"/>
    <w:rsid w:val="00545CAE"/>
    <w:rsid w:val="005465D4"/>
    <w:rsid w:val="005514F3"/>
    <w:rsid w:val="005519A9"/>
    <w:rsid w:val="00552FC2"/>
    <w:rsid w:val="005535F5"/>
    <w:rsid w:val="0055396E"/>
    <w:rsid w:val="00553B3A"/>
    <w:rsid w:val="00554E64"/>
    <w:rsid w:val="00555CB8"/>
    <w:rsid w:val="0055632F"/>
    <w:rsid w:val="00556873"/>
    <w:rsid w:val="00556BFD"/>
    <w:rsid w:val="00557766"/>
    <w:rsid w:val="00557E7A"/>
    <w:rsid w:val="00560019"/>
    <w:rsid w:val="00560C0A"/>
    <w:rsid w:val="00560E55"/>
    <w:rsid w:val="005618D4"/>
    <w:rsid w:val="005622C3"/>
    <w:rsid w:val="00562321"/>
    <w:rsid w:val="005626B1"/>
    <w:rsid w:val="005628F2"/>
    <w:rsid w:val="00562906"/>
    <w:rsid w:val="005633EB"/>
    <w:rsid w:val="005635EA"/>
    <w:rsid w:val="00564099"/>
    <w:rsid w:val="005642F0"/>
    <w:rsid w:val="0056450F"/>
    <w:rsid w:val="00564FB2"/>
    <w:rsid w:val="005658AE"/>
    <w:rsid w:val="0056607E"/>
    <w:rsid w:val="00566921"/>
    <w:rsid w:val="0056715E"/>
    <w:rsid w:val="0056744B"/>
    <w:rsid w:val="00567689"/>
    <w:rsid w:val="0056788D"/>
    <w:rsid w:val="00567AB5"/>
    <w:rsid w:val="00567E22"/>
    <w:rsid w:val="0057075D"/>
    <w:rsid w:val="00570D3B"/>
    <w:rsid w:val="00571B81"/>
    <w:rsid w:val="00571CD2"/>
    <w:rsid w:val="00572269"/>
    <w:rsid w:val="00572755"/>
    <w:rsid w:val="00573EFF"/>
    <w:rsid w:val="005750CE"/>
    <w:rsid w:val="0057530F"/>
    <w:rsid w:val="0057537A"/>
    <w:rsid w:val="0057539F"/>
    <w:rsid w:val="00575D09"/>
    <w:rsid w:val="005765C9"/>
    <w:rsid w:val="00577053"/>
    <w:rsid w:val="0057712A"/>
    <w:rsid w:val="00577673"/>
    <w:rsid w:val="0057780B"/>
    <w:rsid w:val="00577BB5"/>
    <w:rsid w:val="00580B26"/>
    <w:rsid w:val="00580EC7"/>
    <w:rsid w:val="005812F4"/>
    <w:rsid w:val="005813D4"/>
    <w:rsid w:val="00581B34"/>
    <w:rsid w:val="005824D4"/>
    <w:rsid w:val="00582B34"/>
    <w:rsid w:val="00582F1A"/>
    <w:rsid w:val="00583166"/>
    <w:rsid w:val="00583778"/>
    <w:rsid w:val="00583F93"/>
    <w:rsid w:val="00584A97"/>
    <w:rsid w:val="00584B60"/>
    <w:rsid w:val="0058540D"/>
    <w:rsid w:val="00585C7C"/>
    <w:rsid w:val="00585CB4"/>
    <w:rsid w:val="00586319"/>
    <w:rsid w:val="00586A4E"/>
    <w:rsid w:val="00586FA7"/>
    <w:rsid w:val="00587770"/>
    <w:rsid w:val="00587ACF"/>
    <w:rsid w:val="0059000F"/>
    <w:rsid w:val="005900F2"/>
    <w:rsid w:val="005902B1"/>
    <w:rsid w:val="005905F3"/>
    <w:rsid w:val="005905F7"/>
    <w:rsid w:val="0059095B"/>
    <w:rsid w:val="00592589"/>
    <w:rsid w:val="00593404"/>
    <w:rsid w:val="005947A0"/>
    <w:rsid w:val="00594A46"/>
    <w:rsid w:val="00595AC1"/>
    <w:rsid w:val="00596578"/>
    <w:rsid w:val="00596640"/>
    <w:rsid w:val="00597A0A"/>
    <w:rsid w:val="005A07D9"/>
    <w:rsid w:val="005A0B29"/>
    <w:rsid w:val="005A0CAC"/>
    <w:rsid w:val="005A0F5E"/>
    <w:rsid w:val="005A2EF2"/>
    <w:rsid w:val="005A370F"/>
    <w:rsid w:val="005A3D01"/>
    <w:rsid w:val="005A3F17"/>
    <w:rsid w:val="005A5BCF"/>
    <w:rsid w:val="005A66E8"/>
    <w:rsid w:val="005A7083"/>
    <w:rsid w:val="005A739B"/>
    <w:rsid w:val="005A7947"/>
    <w:rsid w:val="005B0F5F"/>
    <w:rsid w:val="005B11B6"/>
    <w:rsid w:val="005B16C6"/>
    <w:rsid w:val="005B1825"/>
    <w:rsid w:val="005B19C1"/>
    <w:rsid w:val="005B2180"/>
    <w:rsid w:val="005B2D8E"/>
    <w:rsid w:val="005B30DE"/>
    <w:rsid w:val="005B372F"/>
    <w:rsid w:val="005B3905"/>
    <w:rsid w:val="005B428E"/>
    <w:rsid w:val="005B459F"/>
    <w:rsid w:val="005B47A3"/>
    <w:rsid w:val="005B47BE"/>
    <w:rsid w:val="005B4EC9"/>
    <w:rsid w:val="005B5897"/>
    <w:rsid w:val="005B5C9F"/>
    <w:rsid w:val="005B5CD9"/>
    <w:rsid w:val="005B5DD8"/>
    <w:rsid w:val="005B6883"/>
    <w:rsid w:val="005B6EDA"/>
    <w:rsid w:val="005B6F01"/>
    <w:rsid w:val="005B762C"/>
    <w:rsid w:val="005B7E44"/>
    <w:rsid w:val="005C0A3E"/>
    <w:rsid w:val="005C1166"/>
    <w:rsid w:val="005C125D"/>
    <w:rsid w:val="005C1A8C"/>
    <w:rsid w:val="005C1F0D"/>
    <w:rsid w:val="005C2C78"/>
    <w:rsid w:val="005C312C"/>
    <w:rsid w:val="005C3A32"/>
    <w:rsid w:val="005C4142"/>
    <w:rsid w:val="005C5026"/>
    <w:rsid w:val="005C554C"/>
    <w:rsid w:val="005C568C"/>
    <w:rsid w:val="005C5DBA"/>
    <w:rsid w:val="005C69D7"/>
    <w:rsid w:val="005C6B4E"/>
    <w:rsid w:val="005C6E86"/>
    <w:rsid w:val="005C77B5"/>
    <w:rsid w:val="005C7C8F"/>
    <w:rsid w:val="005D0222"/>
    <w:rsid w:val="005D0666"/>
    <w:rsid w:val="005D101B"/>
    <w:rsid w:val="005D10B2"/>
    <w:rsid w:val="005D179D"/>
    <w:rsid w:val="005D1B0C"/>
    <w:rsid w:val="005D1C6D"/>
    <w:rsid w:val="005D1FC4"/>
    <w:rsid w:val="005D2CC5"/>
    <w:rsid w:val="005D40D2"/>
    <w:rsid w:val="005D4EED"/>
    <w:rsid w:val="005D58F6"/>
    <w:rsid w:val="005D5AC2"/>
    <w:rsid w:val="005D5E9B"/>
    <w:rsid w:val="005D695D"/>
    <w:rsid w:val="005D6BB9"/>
    <w:rsid w:val="005D7F8B"/>
    <w:rsid w:val="005E0B2B"/>
    <w:rsid w:val="005E0B66"/>
    <w:rsid w:val="005E0FA9"/>
    <w:rsid w:val="005E1ECF"/>
    <w:rsid w:val="005E201E"/>
    <w:rsid w:val="005E309B"/>
    <w:rsid w:val="005E32F1"/>
    <w:rsid w:val="005E3717"/>
    <w:rsid w:val="005E3A18"/>
    <w:rsid w:val="005E3D64"/>
    <w:rsid w:val="005E460F"/>
    <w:rsid w:val="005E48A2"/>
    <w:rsid w:val="005E4CCC"/>
    <w:rsid w:val="005E4E2B"/>
    <w:rsid w:val="005E63DC"/>
    <w:rsid w:val="005E7F15"/>
    <w:rsid w:val="005F0438"/>
    <w:rsid w:val="005F0621"/>
    <w:rsid w:val="005F0D4E"/>
    <w:rsid w:val="005F131C"/>
    <w:rsid w:val="005F177E"/>
    <w:rsid w:val="005F1D8C"/>
    <w:rsid w:val="005F227F"/>
    <w:rsid w:val="005F23E7"/>
    <w:rsid w:val="005F24CB"/>
    <w:rsid w:val="005F26FF"/>
    <w:rsid w:val="005F2B62"/>
    <w:rsid w:val="005F4630"/>
    <w:rsid w:val="005F610B"/>
    <w:rsid w:val="005F63F7"/>
    <w:rsid w:val="005F6A34"/>
    <w:rsid w:val="005F7DE3"/>
    <w:rsid w:val="006007B0"/>
    <w:rsid w:val="00601DA2"/>
    <w:rsid w:val="00602FD6"/>
    <w:rsid w:val="006030FD"/>
    <w:rsid w:val="006031D1"/>
    <w:rsid w:val="00603284"/>
    <w:rsid w:val="006035D5"/>
    <w:rsid w:val="006035EA"/>
    <w:rsid w:val="006038B8"/>
    <w:rsid w:val="006039EB"/>
    <w:rsid w:val="00604CD4"/>
    <w:rsid w:val="00605785"/>
    <w:rsid w:val="0060767A"/>
    <w:rsid w:val="0060791D"/>
    <w:rsid w:val="00610171"/>
    <w:rsid w:val="006105E6"/>
    <w:rsid w:val="00610E1D"/>
    <w:rsid w:val="00611618"/>
    <w:rsid w:val="00612BB2"/>
    <w:rsid w:val="00612DAA"/>
    <w:rsid w:val="00612F53"/>
    <w:rsid w:val="00613CB1"/>
    <w:rsid w:val="00613F45"/>
    <w:rsid w:val="006149EB"/>
    <w:rsid w:val="00614D3C"/>
    <w:rsid w:val="006152C9"/>
    <w:rsid w:val="006173C5"/>
    <w:rsid w:val="00620A3C"/>
    <w:rsid w:val="00620DE3"/>
    <w:rsid w:val="00621469"/>
    <w:rsid w:val="00621D7C"/>
    <w:rsid w:val="00622F64"/>
    <w:rsid w:val="00623486"/>
    <w:rsid w:val="00624B0D"/>
    <w:rsid w:val="00625302"/>
    <w:rsid w:val="00625315"/>
    <w:rsid w:val="00625547"/>
    <w:rsid w:val="0062631F"/>
    <w:rsid w:val="00627367"/>
    <w:rsid w:val="0062737B"/>
    <w:rsid w:val="006301D7"/>
    <w:rsid w:val="006303B4"/>
    <w:rsid w:val="00630F47"/>
    <w:rsid w:val="00631AA3"/>
    <w:rsid w:val="006321D4"/>
    <w:rsid w:val="00632880"/>
    <w:rsid w:val="00632951"/>
    <w:rsid w:val="006333F3"/>
    <w:rsid w:val="00634258"/>
    <w:rsid w:val="00634947"/>
    <w:rsid w:val="00634F24"/>
    <w:rsid w:val="00635458"/>
    <w:rsid w:val="00635B09"/>
    <w:rsid w:val="006362D2"/>
    <w:rsid w:val="00636336"/>
    <w:rsid w:val="00636F43"/>
    <w:rsid w:val="00637026"/>
    <w:rsid w:val="00640422"/>
    <w:rsid w:val="0064055E"/>
    <w:rsid w:val="0064064C"/>
    <w:rsid w:val="00640FA7"/>
    <w:rsid w:val="0064131A"/>
    <w:rsid w:val="0064151B"/>
    <w:rsid w:val="006417AA"/>
    <w:rsid w:val="00641AA9"/>
    <w:rsid w:val="006420B8"/>
    <w:rsid w:val="00642669"/>
    <w:rsid w:val="00642D7E"/>
    <w:rsid w:val="0064363C"/>
    <w:rsid w:val="00644227"/>
    <w:rsid w:val="00644691"/>
    <w:rsid w:val="00644EBE"/>
    <w:rsid w:val="00645326"/>
    <w:rsid w:val="0064631A"/>
    <w:rsid w:val="006472A8"/>
    <w:rsid w:val="00647509"/>
    <w:rsid w:val="00647999"/>
    <w:rsid w:val="00650D03"/>
    <w:rsid w:val="00650FA4"/>
    <w:rsid w:val="00651D9E"/>
    <w:rsid w:val="006520B0"/>
    <w:rsid w:val="0065271B"/>
    <w:rsid w:val="006533BC"/>
    <w:rsid w:val="00653F6F"/>
    <w:rsid w:val="00654481"/>
    <w:rsid w:val="00655FFB"/>
    <w:rsid w:val="00656300"/>
    <w:rsid w:val="006563C6"/>
    <w:rsid w:val="00656A53"/>
    <w:rsid w:val="0065746B"/>
    <w:rsid w:val="006574C1"/>
    <w:rsid w:val="00660479"/>
    <w:rsid w:val="006608F0"/>
    <w:rsid w:val="00661490"/>
    <w:rsid w:val="00661A0A"/>
    <w:rsid w:val="00661F44"/>
    <w:rsid w:val="006622B7"/>
    <w:rsid w:val="006629FF"/>
    <w:rsid w:val="00662BC4"/>
    <w:rsid w:val="00662FE7"/>
    <w:rsid w:val="006631FA"/>
    <w:rsid w:val="006648C7"/>
    <w:rsid w:val="00664927"/>
    <w:rsid w:val="00665606"/>
    <w:rsid w:val="00665B10"/>
    <w:rsid w:val="00665BE8"/>
    <w:rsid w:val="0066668B"/>
    <w:rsid w:val="00666F0A"/>
    <w:rsid w:val="0067039A"/>
    <w:rsid w:val="006703E5"/>
    <w:rsid w:val="00670415"/>
    <w:rsid w:val="00670A60"/>
    <w:rsid w:val="00670B41"/>
    <w:rsid w:val="006715E6"/>
    <w:rsid w:val="0067251F"/>
    <w:rsid w:val="00674FAE"/>
    <w:rsid w:val="0067573E"/>
    <w:rsid w:val="0067593E"/>
    <w:rsid w:val="00675BEF"/>
    <w:rsid w:val="006760E6"/>
    <w:rsid w:val="006765BE"/>
    <w:rsid w:val="006766FC"/>
    <w:rsid w:val="00676BEE"/>
    <w:rsid w:val="00676D88"/>
    <w:rsid w:val="006772A0"/>
    <w:rsid w:val="00677809"/>
    <w:rsid w:val="00677853"/>
    <w:rsid w:val="00680B89"/>
    <w:rsid w:val="0068262A"/>
    <w:rsid w:val="00682AF0"/>
    <w:rsid w:val="00682C73"/>
    <w:rsid w:val="00683361"/>
    <w:rsid w:val="00683996"/>
    <w:rsid w:val="00683F9A"/>
    <w:rsid w:val="00684487"/>
    <w:rsid w:val="0068462B"/>
    <w:rsid w:val="00684A3C"/>
    <w:rsid w:val="00684C68"/>
    <w:rsid w:val="006856F0"/>
    <w:rsid w:val="0068598C"/>
    <w:rsid w:val="00685B3B"/>
    <w:rsid w:val="00685FAD"/>
    <w:rsid w:val="0068633D"/>
    <w:rsid w:val="0069048F"/>
    <w:rsid w:val="00690E41"/>
    <w:rsid w:val="00690E7A"/>
    <w:rsid w:val="006913B3"/>
    <w:rsid w:val="0069277E"/>
    <w:rsid w:val="006928DE"/>
    <w:rsid w:val="00692A0D"/>
    <w:rsid w:val="00693AF3"/>
    <w:rsid w:val="00693C90"/>
    <w:rsid w:val="00693F70"/>
    <w:rsid w:val="006941ED"/>
    <w:rsid w:val="006952E5"/>
    <w:rsid w:val="00696004"/>
    <w:rsid w:val="00696A0E"/>
    <w:rsid w:val="00697D76"/>
    <w:rsid w:val="006A2094"/>
    <w:rsid w:val="006A2E04"/>
    <w:rsid w:val="006A38D3"/>
    <w:rsid w:val="006A3B9C"/>
    <w:rsid w:val="006A422D"/>
    <w:rsid w:val="006A4DE1"/>
    <w:rsid w:val="006A4FA8"/>
    <w:rsid w:val="006A56E6"/>
    <w:rsid w:val="006A701E"/>
    <w:rsid w:val="006A73FE"/>
    <w:rsid w:val="006A7E20"/>
    <w:rsid w:val="006B0290"/>
    <w:rsid w:val="006B0333"/>
    <w:rsid w:val="006B072C"/>
    <w:rsid w:val="006B08EB"/>
    <w:rsid w:val="006B0A23"/>
    <w:rsid w:val="006B0DAB"/>
    <w:rsid w:val="006B0DB0"/>
    <w:rsid w:val="006B1400"/>
    <w:rsid w:val="006B14FA"/>
    <w:rsid w:val="006B1687"/>
    <w:rsid w:val="006B1F32"/>
    <w:rsid w:val="006B1FB2"/>
    <w:rsid w:val="006B2167"/>
    <w:rsid w:val="006B2B93"/>
    <w:rsid w:val="006B3BB1"/>
    <w:rsid w:val="006B4311"/>
    <w:rsid w:val="006B4558"/>
    <w:rsid w:val="006B4E00"/>
    <w:rsid w:val="006B603A"/>
    <w:rsid w:val="006B61A5"/>
    <w:rsid w:val="006B66FC"/>
    <w:rsid w:val="006B6E70"/>
    <w:rsid w:val="006B763B"/>
    <w:rsid w:val="006C00B6"/>
    <w:rsid w:val="006C09A5"/>
    <w:rsid w:val="006C0D5D"/>
    <w:rsid w:val="006C2B5B"/>
    <w:rsid w:val="006C2C9A"/>
    <w:rsid w:val="006C2D7B"/>
    <w:rsid w:val="006C2E69"/>
    <w:rsid w:val="006C3317"/>
    <w:rsid w:val="006C3515"/>
    <w:rsid w:val="006C3D49"/>
    <w:rsid w:val="006C4237"/>
    <w:rsid w:val="006C52C7"/>
    <w:rsid w:val="006C5476"/>
    <w:rsid w:val="006C5627"/>
    <w:rsid w:val="006C6314"/>
    <w:rsid w:val="006C79D7"/>
    <w:rsid w:val="006D02B0"/>
    <w:rsid w:val="006D0644"/>
    <w:rsid w:val="006D0CF1"/>
    <w:rsid w:val="006D0DC4"/>
    <w:rsid w:val="006D1070"/>
    <w:rsid w:val="006D1071"/>
    <w:rsid w:val="006D1480"/>
    <w:rsid w:val="006D1F24"/>
    <w:rsid w:val="006D2289"/>
    <w:rsid w:val="006D23CE"/>
    <w:rsid w:val="006D3274"/>
    <w:rsid w:val="006D3713"/>
    <w:rsid w:val="006D3B99"/>
    <w:rsid w:val="006D3F85"/>
    <w:rsid w:val="006D4259"/>
    <w:rsid w:val="006D457E"/>
    <w:rsid w:val="006D52BA"/>
    <w:rsid w:val="006D5D5C"/>
    <w:rsid w:val="006D6395"/>
    <w:rsid w:val="006D7CC1"/>
    <w:rsid w:val="006E03F5"/>
    <w:rsid w:val="006E05DD"/>
    <w:rsid w:val="006E0C18"/>
    <w:rsid w:val="006E104D"/>
    <w:rsid w:val="006E12BA"/>
    <w:rsid w:val="006E15E1"/>
    <w:rsid w:val="006E1E3E"/>
    <w:rsid w:val="006E216F"/>
    <w:rsid w:val="006E40E4"/>
    <w:rsid w:val="006E4A74"/>
    <w:rsid w:val="006E4E6E"/>
    <w:rsid w:val="006E603E"/>
    <w:rsid w:val="006E6462"/>
    <w:rsid w:val="006E6BAE"/>
    <w:rsid w:val="006E6C79"/>
    <w:rsid w:val="006E71DE"/>
    <w:rsid w:val="006E7640"/>
    <w:rsid w:val="006F00BA"/>
    <w:rsid w:val="006F09AE"/>
    <w:rsid w:val="006F0AB3"/>
    <w:rsid w:val="006F14DF"/>
    <w:rsid w:val="006F16C3"/>
    <w:rsid w:val="006F1E11"/>
    <w:rsid w:val="006F2C4F"/>
    <w:rsid w:val="006F35FD"/>
    <w:rsid w:val="006F3771"/>
    <w:rsid w:val="006F5024"/>
    <w:rsid w:val="006F52A7"/>
    <w:rsid w:val="006F54F0"/>
    <w:rsid w:val="006F59EF"/>
    <w:rsid w:val="006F63CE"/>
    <w:rsid w:val="006F6764"/>
    <w:rsid w:val="006F6C6A"/>
    <w:rsid w:val="006F706D"/>
    <w:rsid w:val="006F7070"/>
    <w:rsid w:val="006F7BFD"/>
    <w:rsid w:val="007005E8"/>
    <w:rsid w:val="007006C4"/>
    <w:rsid w:val="00700B3B"/>
    <w:rsid w:val="00700E7F"/>
    <w:rsid w:val="007019A0"/>
    <w:rsid w:val="00702127"/>
    <w:rsid w:val="0070291D"/>
    <w:rsid w:val="00702B7C"/>
    <w:rsid w:val="00702E4D"/>
    <w:rsid w:val="00703809"/>
    <w:rsid w:val="007046D6"/>
    <w:rsid w:val="00704845"/>
    <w:rsid w:val="00704B79"/>
    <w:rsid w:val="00704CE0"/>
    <w:rsid w:val="00704CF8"/>
    <w:rsid w:val="00705157"/>
    <w:rsid w:val="0070573B"/>
    <w:rsid w:val="00705A03"/>
    <w:rsid w:val="00706425"/>
    <w:rsid w:val="00706D37"/>
    <w:rsid w:val="00707DAE"/>
    <w:rsid w:val="00707FA8"/>
    <w:rsid w:val="00710B25"/>
    <w:rsid w:val="00710E29"/>
    <w:rsid w:val="00711023"/>
    <w:rsid w:val="0071173A"/>
    <w:rsid w:val="007117B4"/>
    <w:rsid w:val="00711E77"/>
    <w:rsid w:val="00712223"/>
    <w:rsid w:val="007132D7"/>
    <w:rsid w:val="00713729"/>
    <w:rsid w:val="00714261"/>
    <w:rsid w:val="00714BF8"/>
    <w:rsid w:val="0071512F"/>
    <w:rsid w:val="007157C0"/>
    <w:rsid w:val="007169DD"/>
    <w:rsid w:val="00717A32"/>
    <w:rsid w:val="00720D26"/>
    <w:rsid w:val="007227E1"/>
    <w:rsid w:val="00723647"/>
    <w:rsid w:val="007236CA"/>
    <w:rsid w:val="00725D9A"/>
    <w:rsid w:val="00726600"/>
    <w:rsid w:val="00727F8B"/>
    <w:rsid w:val="0073080D"/>
    <w:rsid w:val="00730A1C"/>
    <w:rsid w:val="00731AE3"/>
    <w:rsid w:val="00731D6A"/>
    <w:rsid w:val="00732A1F"/>
    <w:rsid w:val="00734196"/>
    <w:rsid w:val="00734A1C"/>
    <w:rsid w:val="007352DF"/>
    <w:rsid w:val="007355B5"/>
    <w:rsid w:val="00735880"/>
    <w:rsid w:val="00735A1C"/>
    <w:rsid w:val="00735EEA"/>
    <w:rsid w:val="00736C5E"/>
    <w:rsid w:val="00736E37"/>
    <w:rsid w:val="00737136"/>
    <w:rsid w:val="00741071"/>
    <w:rsid w:val="0074132E"/>
    <w:rsid w:val="007439A1"/>
    <w:rsid w:val="00745593"/>
    <w:rsid w:val="00746D22"/>
    <w:rsid w:val="00747006"/>
    <w:rsid w:val="007470A9"/>
    <w:rsid w:val="00747B54"/>
    <w:rsid w:val="007503B8"/>
    <w:rsid w:val="007506C8"/>
    <w:rsid w:val="00750AC8"/>
    <w:rsid w:val="00750E86"/>
    <w:rsid w:val="0075163C"/>
    <w:rsid w:val="00751647"/>
    <w:rsid w:val="00752263"/>
    <w:rsid w:val="0075367F"/>
    <w:rsid w:val="00753DE1"/>
    <w:rsid w:val="00753E34"/>
    <w:rsid w:val="00754D20"/>
    <w:rsid w:val="00754F84"/>
    <w:rsid w:val="0075576B"/>
    <w:rsid w:val="00755F10"/>
    <w:rsid w:val="00756A9B"/>
    <w:rsid w:val="00757BD7"/>
    <w:rsid w:val="00757F67"/>
    <w:rsid w:val="007606A7"/>
    <w:rsid w:val="00760D5F"/>
    <w:rsid w:val="007618D0"/>
    <w:rsid w:val="00762207"/>
    <w:rsid w:val="007627C5"/>
    <w:rsid w:val="00762CBE"/>
    <w:rsid w:val="00762FCA"/>
    <w:rsid w:val="007633BC"/>
    <w:rsid w:val="0076374C"/>
    <w:rsid w:val="007649DB"/>
    <w:rsid w:val="00765223"/>
    <w:rsid w:val="007658AD"/>
    <w:rsid w:val="007661A0"/>
    <w:rsid w:val="00766CF2"/>
    <w:rsid w:val="00767255"/>
    <w:rsid w:val="007705EB"/>
    <w:rsid w:val="007708ED"/>
    <w:rsid w:val="00771D1E"/>
    <w:rsid w:val="007739BB"/>
    <w:rsid w:val="00774039"/>
    <w:rsid w:val="007740F7"/>
    <w:rsid w:val="00775898"/>
    <w:rsid w:val="0077640C"/>
    <w:rsid w:val="007765CB"/>
    <w:rsid w:val="0077731B"/>
    <w:rsid w:val="00777F49"/>
    <w:rsid w:val="00780B9C"/>
    <w:rsid w:val="00781AC0"/>
    <w:rsid w:val="0078276A"/>
    <w:rsid w:val="0078284C"/>
    <w:rsid w:val="0078357C"/>
    <w:rsid w:val="007836AE"/>
    <w:rsid w:val="00786549"/>
    <w:rsid w:val="00787DA9"/>
    <w:rsid w:val="00790A76"/>
    <w:rsid w:val="00790D4D"/>
    <w:rsid w:val="007911D2"/>
    <w:rsid w:val="00791603"/>
    <w:rsid w:val="00791C1F"/>
    <w:rsid w:val="00792C16"/>
    <w:rsid w:val="00792DC1"/>
    <w:rsid w:val="00792EA3"/>
    <w:rsid w:val="00793421"/>
    <w:rsid w:val="007938BD"/>
    <w:rsid w:val="00793ED2"/>
    <w:rsid w:val="00794363"/>
    <w:rsid w:val="007944D9"/>
    <w:rsid w:val="007950ED"/>
    <w:rsid w:val="00795327"/>
    <w:rsid w:val="0079584F"/>
    <w:rsid w:val="0079591B"/>
    <w:rsid w:val="00795B43"/>
    <w:rsid w:val="007962F9"/>
    <w:rsid w:val="00796BF8"/>
    <w:rsid w:val="00796CE3"/>
    <w:rsid w:val="007973AF"/>
    <w:rsid w:val="00797B74"/>
    <w:rsid w:val="00797F4A"/>
    <w:rsid w:val="007A1ED3"/>
    <w:rsid w:val="007A25F7"/>
    <w:rsid w:val="007A27E0"/>
    <w:rsid w:val="007A2C93"/>
    <w:rsid w:val="007A2D01"/>
    <w:rsid w:val="007A3256"/>
    <w:rsid w:val="007A5689"/>
    <w:rsid w:val="007A5AAE"/>
    <w:rsid w:val="007A5AF3"/>
    <w:rsid w:val="007A6443"/>
    <w:rsid w:val="007A6A19"/>
    <w:rsid w:val="007A6A31"/>
    <w:rsid w:val="007A7509"/>
    <w:rsid w:val="007A7768"/>
    <w:rsid w:val="007A7C05"/>
    <w:rsid w:val="007A7DE3"/>
    <w:rsid w:val="007B04DF"/>
    <w:rsid w:val="007B0726"/>
    <w:rsid w:val="007B1D24"/>
    <w:rsid w:val="007B2120"/>
    <w:rsid w:val="007B23E3"/>
    <w:rsid w:val="007B3478"/>
    <w:rsid w:val="007B4BAE"/>
    <w:rsid w:val="007B4DA7"/>
    <w:rsid w:val="007B4E1F"/>
    <w:rsid w:val="007B5077"/>
    <w:rsid w:val="007B5B45"/>
    <w:rsid w:val="007C01D1"/>
    <w:rsid w:val="007C02E9"/>
    <w:rsid w:val="007C19E3"/>
    <w:rsid w:val="007C2AE2"/>
    <w:rsid w:val="007C2E97"/>
    <w:rsid w:val="007C2FD5"/>
    <w:rsid w:val="007C3FCD"/>
    <w:rsid w:val="007C43A4"/>
    <w:rsid w:val="007C4667"/>
    <w:rsid w:val="007C485F"/>
    <w:rsid w:val="007C4B83"/>
    <w:rsid w:val="007C548B"/>
    <w:rsid w:val="007C6496"/>
    <w:rsid w:val="007C68BC"/>
    <w:rsid w:val="007C6B3C"/>
    <w:rsid w:val="007C6BEE"/>
    <w:rsid w:val="007C74AA"/>
    <w:rsid w:val="007C7CAA"/>
    <w:rsid w:val="007D0147"/>
    <w:rsid w:val="007D02B0"/>
    <w:rsid w:val="007D119D"/>
    <w:rsid w:val="007D135C"/>
    <w:rsid w:val="007D1668"/>
    <w:rsid w:val="007D2124"/>
    <w:rsid w:val="007D2182"/>
    <w:rsid w:val="007D32A8"/>
    <w:rsid w:val="007D32CD"/>
    <w:rsid w:val="007D4660"/>
    <w:rsid w:val="007D4D64"/>
    <w:rsid w:val="007D5222"/>
    <w:rsid w:val="007D55FC"/>
    <w:rsid w:val="007D5CF2"/>
    <w:rsid w:val="007D663F"/>
    <w:rsid w:val="007D6E16"/>
    <w:rsid w:val="007D78A8"/>
    <w:rsid w:val="007E00FB"/>
    <w:rsid w:val="007E108A"/>
    <w:rsid w:val="007E1578"/>
    <w:rsid w:val="007E1D71"/>
    <w:rsid w:val="007E2602"/>
    <w:rsid w:val="007E2689"/>
    <w:rsid w:val="007E2DEA"/>
    <w:rsid w:val="007E2EAA"/>
    <w:rsid w:val="007E34EF"/>
    <w:rsid w:val="007E4200"/>
    <w:rsid w:val="007E4FB0"/>
    <w:rsid w:val="007E569C"/>
    <w:rsid w:val="007E64BE"/>
    <w:rsid w:val="007E69DD"/>
    <w:rsid w:val="007E6B09"/>
    <w:rsid w:val="007E7CE8"/>
    <w:rsid w:val="007F09B7"/>
    <w:rsid w:val="007F0B1A"/>
    <w:rsid w:val="007F0DF7"/>
    <w:rsid w:val="007F1131"/>
    <w:rsid w:val="007F1B4B"/>
    <w:rsid w:val="007F1E2F"/>
    <w:rsid w:val="007F224F"/>
    <w:rsid w:val="007F2B44"/>
    <w:rsid w:val="007F3EBD"/>
    <w:rsid w:val="007F441E"/>
    <w:rsid w:val="007F471A"/>
    <w:rsid w:val="007F4739"/>
    <w:rsid w:val="007F484B"/>
    <w:rsid w:val="007F522A"/>
    <w:rsid w:val="007F53B9"/>
    <w:rsid w:val="007F632E"/>
    <w:rsid w:val="007F7390"/>
    <w:rsid w:val="007F7805"/>
    <w:rsid w:val="0080188E"/>
    <w:rsid w:val="00801B87"/>
    <w:rsid w:val="00801E41"/>
    <w:rsid w:val="00803499"/>
    <w:rsid w:val="00804CAC"/>
    <w:rsid w:val="00804E7D"/>
    <w:rsid w:val="00804EF8"/>
    <w:rsid w:val="0080626A"/>
    <w:rsid w:val="00806D28"/>
    <w:rsid w:val="008071C3"/>
    <w:rsid w:val="008123CD"/>
    <w:rsid w:val="008126AF"/>
    <w:rsid w:val="0081297E"/>
    <w:rsid w:val="00812E13"/>
    <w:rsid w:val="00813CC3"/>
    <w:rsid w:val="00816787"/>
    <w:rsid w:val="00817445"/>
    <w:rsid w:val="008175EF"/>
    <w:rsid w:val="0081770B"/>
    <w:rsid w:val="00817B36"/>
    <w:rsid w:val="008204EE"/>
    <w:rsid w:val="0082072D"/>
    <w:rsid w:val="00820C5C"/>
    <w:rsid w:val="00821035"/>
    <w:rsid w:val="008213E6"/>
    <w:rsid w:val="008224C7"/>
    <w:rsid w:val="00822FC7"/>
    <w:rsid w:val="00824871"/>
    <w:rsid w:val="00824A63"/>
    <w:rsid w:val="00825065"/>
    <w:rsid w:val="008260B7"/>
    <w:rsid w:val="00827729"/>
    <w:rsid w:val="00827763"/>
    <w:rsid w:val="00827B43"/>
    <w:rsid w:val="00831B8F"/>
    <w:rsid w:val="00832B8C"/>
    <w:rsid w:val="00832D53"/>
    <w:rsid w:val="0083385D"/>
    <w:rsid w:val="0083398C"/>
    <w:rsid w:val="00833B82"/>
    <w:rsid w:val="00833E5A"/>
    <w:rsid w:val="00835816"/>
    <w:rsid w:val="0083647F"/>
    <w:rsid w:val="00837B66"/>
    <w:rsid w:val="00840E56"/>
    <w:rsid w:val="00840E5C"/>
    <w:rsid w:val="00841654"/>
    <w:rsid w:val="00842D5A"/>
    <w:rsid w:val="00842DD2"/>
    <w:rsid w:val="008435AD"/>
    <w:rsid w:val="00843800"/>
    <w:rsid w:val="008442EE"/>
    <w:rsid w:val="0084442D"/>
    <w:rsid w:val="00844512"/>
    <w:rsid w:val="008447B5"/>
    <w:rsid w:val="00844F03"/>
    <w:rsid w:val="0084525B"/>
    <w:rsid w:val="00845307"/>
    <w:rsid w:val="0084558F"/>
    <w:rsid w:val="008458F9"/>
    <w:rsid w:val="00845BD8"/>
    <w:rsid w:val="00846017"/>
    <w:rsid w:val="00846CE9"/>
    <w:rsid w:val="00846D2A"/>
    <w:rsid w:val="00846D3E"/>
    <w:rsid w:val="0084739E"/>
    <w:rsid w:val="00847607"/>
    <w:rsid w:val="00847E8E"/>
    <w:rsid w:val="008506AE"/>
    <w:rsid w:val="00850C69"/>
    <w:rsid w:val="00850E6B"/>
    <w:rsid w:val="00851498"/>
    <w:rsid w:val="00851AFF"/>
    <w:rsid w:val="00851C6E"/>
    <w:rsid w:val="00852780"/>
    <w:rsid w:val="00852D4A"/>
    <w:rsid w:val="00852E1C"/>
    <w:rsid w:val="0085307A"/>
    <w:rsid w:val="00853654"/>
    <w:rsid w:val="00853A4B"/>
    <w:rsid w:val="008541C4"/>
    <w:rsid w:val="008546F2"/>
    <w:rsid w:val="00854CF3"/>
    <w:rsid w:val="00854FC2"/>
    <w:rsid w:val="008550A3"/>
    <w:rsid w:val="008551E8"/>
    <w:rsid w:val="008575AB"/>
    <w:rsid w:val="008579E6"/>
    <w:rsid w:val="00860141"/>
    <w:rsid w:val="0086025B"/>
    <w:rsid w:val="008612DB"/>
    <w:rsid w:val="008613B8"/>
    <w:rsid w:val="00861A7C"/>
    <w:rsid w:val="00861CB4"/>
    <w:rsid w:val="008624B0"/>
    <w:rsid w:val="00862EDC"/>
    <w:rsid w:val="0086496E"/>
    <w:rsid w:val="00864E8A"/>
    <w:rsid w:val="0086539E"/>
    <w:rsid w:val="00865BD3"/>
    <w:rsid w:val="008660C1"/>
    <w:rsid w:val="008661D7"/>
    <w:rsid w:val="00866A08"/>
    <w:rsid w:val="00866AED"/>
    <w:rsid w:val="00867166"/>
    <w:rsid w:val="00867B49"/>
    <w:rsid w:val="00870799"/>
    <w:rsid w:val="00870DF1"/>
    <w:rsid w:val="0087231C"/>
    <w:rsid w:val="0087237D"/>
    <w:rsid w:val="0087384D"/>
    <w:rsid w:val="00874081"/>
    <w:rsid w:val="00874DA6"/>
    <w:rsid w:val="0087552B"/>
    <w:rsid w:val="00875A94"/>
    <w:rsid w:val="00875C13"/>
    <w:rsid w:val="00875DF0"/>
    <w:rsid w:val="00876227"/>
    <w:rsid w:val="0087701E"/>
    <w:rsid w:val="008772A8"/>
    <w:rsid w:val="008775B6"/>
    <w:rsid w:val="008777B8"/>
    <w:rsid w:val="00877978"/>
    <w:rsid w:val="00880274"/>
    <w:rsid w:val="0088095F"/>
    <w:rsid w:val="00881371"/>
    <w:rsid w:val="008813FA"/>
    <w:rsid w:val="00881680"/>
    <w:rsid w:val="008817B8"/>
    <w:rsid w:val="00881891"/>
    <w:rsid w:val="00882BCD"/>
    <w:rsid w:val="00882E4B"/>
    <w:rsid w:val="00883AA8"/>
    <w:rsid w:val="00883F74"/>
    <w:rsid w:val="0088465E"/>
    <w:rsid w:val="00884877"/>
    <w:rsid w:val="00884B16"/>
    <w:rsid w:val="0088538E"/>
    <w:rsid w:val="0088656F"/>
    <w:rsid w:val="008868FB"/>
    <w:rsid w:val="00886EE1"/>
    <w:rsid w:val="008875EF"/>
    <w:rsid w:val="00890097"/>
    <w:rsid w:val="00890226"/>
    <w:rsid w:val="00890A99"/>
    <w:rsid w:val="00890B1B"/>
    <w:rsid w:val="008913F7"/>
    <w:rsid w:val="008915B7"/>
    <w:rsid w:val="00891C1D"/>
    <w:rsid w:val="00891F9C"/>
    <w:rsid w:val="00892180"/>
    <w:rsid w:val="008927C2"/>
    <w:rsid w:val="00894856"/>
    <w:rsid w:val="0089497F"/>
    <w:rsid w:val="00895C1A"/>
    <w:rsid w:val="00895CFF"/>
    <w:rsid w:val="00895D63"/>
    <w:rsid w:val="008960FF"/>
    <w:rsid w:val="00896452"/>
    <w:rsid w:val="008968F3"/>
    <w:rsid w:val="00896A08"/>
    <w:rsid w:val="00897DE9"/>
    <w:rsid w:val="00897FF3"/>
    <w:rsid w:val="008A040A"/>
    <w:rsid w:val="008A08AD"/>
    <w:rsid w:val="008A0AC3"/>
    <w:rsid w:val="008A0E00"/>
    <w:rsid w:val="008A1711"/>
    <w:rsid w:val="008A2429"/>
    <w:rsid w:val="008A2C2D"/>
    <w:rsid w:val="008A2F41"/>
    <w:rsid w:val="008A397F"/>
    <w:rsid w:val="008A3ACF"/>
    <w:rsid w:val="008A3C9A"/>
    <w:rsid w:val="008A545E"/>
    <w:rsid w:val="008A679E"/>
    <w:rsid w:val="008A71F9"/>
    <w:rsid w:val="008B03AC"/>
    <w:rsid w:val="008B0BEB"/>
    <w:rsid w:val="008B0DEE"/>
    <w:rsid w:val="008B13F7"/>
    <w:rsid w:val="008B1608"/>
    <w:rsid w:val="008B1ECD"/>
    <w:rsid w:val="008B3E70"/>
    <w:rsid w:val="008B4279"/>
    <w:rsid w:val="008B444D"/>
    <w:rsid w:val="008B4A2A"/>
    <w:rsid w:val="008B4AAC"/>
    <w:rsid w:val="008B4DE6"/>
    <w:rsid w:val="008B5075"/>
    <w:rsid w:val="008B5B6C"/>
    <w:rsid w:val="008B5D27"/>
    <w:rsid w:val="008B5E61"/>
    <w:rsid w:val="008B6896"/>
    <w:rsid w:val="008C08D6"/>
    <w:rsid w:val="008C1707"/>
    <w:rsid w:val="008C2908"/>
    <w:rsid w:val="008C293B"/>
    <w:rsid w:val="008C2E05"/>
    <w:rsid w:val="008C3155"/>
    <w:rsid w:val="008C3339"/>
    <w:rsid w:val="008C341A"/>
    <w:rsid w:val="008C3AF5"/>
    <w:rsid w:val="008C3F0D"/>
    <w:rsid w:val="008C3FE8"/>
    <w:rsid w:val="008C57C4"/>
    <w:rsid w:val="008C58A1"/>
    <w:rsid w:val="008C6162"/>
    <w:rsid w:val="008C654B"/>
    <w:rsid w:val="008C6FBD"/>
    <w:rsid w:val="008C6FDA"/>
    <w:rsid w:val="008C7BB9"/>
    <w:rsid w:val="008C7D2B"/>
    <w:rsid w:val="008D0295"/>
    <w:rsid w:val="008D0795"/>
    <w:rsid w:val="008D0E79"/>
    <w:rsid w:val="008D114D"/>
    <w:rsid w:val="008D13BE"/>
    <w:rsid w:val="008D1B33"/>
    <w:rsid w:val="008D1EDA"/>
    <w:rsid w:val="008D2EF1"/>
    <w:rsid w:val="008D319D"/>
    <w:rsid w:val="008D3279"/>
    <w:rsid w:val="008D4FB1"/>
    <w:rsid w:val="008D507D"/>
    <w:rsid w:val="008D5E82"/>
    <w:rsid w:val="008D6218"/>
    <w:rsid w:val="008D6286"/>
    <w:rsid w:val="008D63EC"/>
    <w:rsid w:val="008D78BF"/>
    <w:rsid w:val="008E00B4"/>
    <w:rsid w:val="008E0E3C"/>
    <w:rsid w:val="008E1808"/>
    <w:rsid w:val="008E1B72"/>
    <w:rsid w:val="008E1D11"/>
    <w:rsid w:val="008E25AE"/>
    <w:rsid w:val="008E2CBC"/>
    <w:rsid w:val="008E2D11"/>
    <w:rsid w:val="008E3023"/>
    <w:rsid w:val="008E3A0F"/>
    <w:rsid w:val="008E44F1"/>
    <w:rsid w:val="008E45AE"/>
    <w:rsid w:val="008E4CE5"/>
    <w:rsid w:val="008E565B"/>
    <w:rsid w:val="008E5A4D"/>
    <w:rsid w:val="008E5CC0"/>
    <w:rsid w:val="008E5FE0"/>
    <w:rsid w:val="008E61F7"/>
    <w:rsid w:val="008E6560"/>
    <w:rsid w:val="008E6D49"/>
    <w:rsid w:val="008E726F"/>
    <w:rsid w:val="008E7655"/>
    <w:rsid w:val="008E79FA"/>
    <w:rsid w:val="008E7A30"/>
    <w:rsid w:val="008E7CFD"/>
    <w:rsid w:val="008E7D6F"/>
    <w:rsid w:val="008E7DA6"/>
    <w:rsid w:val="008F00AF"/>
    <w:rsid w:val="008F0691"/>
    <w:rsid w:val="008F1035"/>
    <w:rsid w:val="008F1897"/>
    <w:rsid w:val="008F1E11"/>
    <w:rsid w:val="008F3326"/>
    <w:rsid w:val="008F3E24"/>
    <w:rsid w:val="008F5544"/>
    <w:rsid w:val="008F63D4"/>
    <w:rsid w:val="008F6613"/>
    <w:rsid w:val="008F7002"/>
    <w:rsid w:val="008F7390"/>
    <w:rsid w:val="00900100"/>
    <w:rsid w:val="009005D9"/>
    <w:rsid w:val="009011EB"/>
    <w:rsid w:val="00902060"/>
    <w:rsid w:val="0090290F"/>
    <w:rsid w:val="00902E5E"/>
    <w:rsid w:val="009033B8"/>
    <w:rsid w:val="009037D5"/>
    <w:rsid w:val="00903C90"/>
    <w:rsid w:val="00904FB6"/>
    <w:rsid w:val="00905980"/>
    <w:rsid w:val="0090697D"/>
    <w:rsid w:val="00907498"/>
    <w:rsid w:val="009105CB"/>
    <w:rsid w:val="009106D9"/>
    <w:rsid w:val="00910B18"/>
    <w:rsid w:val="00910B50"/>
    <w:rsid w:val="00910BBF"/>
    <w:rsid w:val="009114C8"/>
    <w:rsid w:val="00911B7C"/>
    <w:rsid w:val="00911E20"/>
    <w:rsid w:val="00911ED4"/>
    <w:rsid w:val="00911F12"/>
    <w:rsid w:val="00912537"/>
    <w:rsid w:val="009135D9"/>
    <w:rsid w:val="00913B52"/>
    <w:rsid w:val="00914384"/>
    <w:rsid w:val="009148E2"/>
    <w:rsid w:val="00915105"/>
    <w:rsid w:val="00915657"/>
    <w:rsid w:val="0091585D"/>
    <w:rsid w:val="00915CDF"/>
    <w:rsid w:val="00916193"/>
    <w:rsid w:val="0091734E"/>
    <w:rsid w:val="00917693"/>
    <w:rsid w:val="009178D3"/>
    <w:rsid w:val="00917AFA"/>
    <w:rsid w:val="00917B0C"/>
    <w:rsid w:val="009201E1"/>
    <w:rsid w:val="0092090D"/>
    <w:rsid w:val="0092107D"/>
    <w:rsid w:val="00921526"/>
    <w:rsid w:val="009224B3"/>
    <w:rsid w:val="00922656"/>
    <w:rsid w:val="00922932"/>
    <w:rsid w:val="00922A0F"/>
    <w:rsid w:val="00922FC0"/>
    <w:rsid w:val="00923275"/>
    <w:rsid w:val="00923705"/>
    <w:rsid w:val="009238C1"/>
    <w:rsid w:val="00924112"/>
    <w:rsid w:val="00925287"/>
    <w:rsid w:val="0092595C"/>
    <w:rsid w:val="00925E98"/>
    <w:rsid w:val="009260ED"/>
    <w:rsid w:val="0092612C"/>
    <w:rsid w:val="009279B1"/>
    <w:rsid w:val="00927BE9"/>
    <w:rsid w:val="009308FA"/>
    <w:rsid w:val="00930D18"/>
    <w:rsid w:val="0093156B"/>
    <w:rsid w:val="00931C8E"/>
    <w:rsid w:val="00931D40"/>
    <w:rsid w:val="009326EE"/>
    <w:rsid w:val="00935435"/>
    <w:rsid w:val="00935457"/>
    <w:rsid w:val="009364A8"/>
    <w:rsid w:val="00936CEE"/>
    <w:rsid w:val="00937081"/>
    <w:rsid w:val="00937855"/>
    <w:rsid w:val="00941A5D"/>
    <w:rsid w:val="00941D63"/>
    <w:rsid w:val="00941FDD"/>
    <w:rsid w:val="0094243C"/>
    <w:rsid w:val="009426B2"/>
    <w:rsid w:val="0094284D"/>
    <w:rsid w:val="009429EA"/>
    <w:rsid w:val="00942B5B"/>
    <w:rsid w:val="00942BC8"/>
    <w:rsid w:val="00942D91"/>
    <w:rsid w:val="00943C3C"/>
    <w:rsid w:val="00943F77"/>
    <w:rsid w:val="0094437E"/>
    <w:rsid w:val="00944389"/>
    <w:rsid w:val="00944A33"/>
    <w:rsid w:val="00945904"/>
    <w:rsid w:val="009459EE"/>
    <w:rsid w:val="00946850"/>
    <w:rsid w:val="00946888"/>
    <w:rsid w:val="00946F0C"/>
    <w:rsid w:val="009476F2"/>
    <w:rsid w:val="00951CFE"/>
    <w:rsid w:val="009524D4"/>
    <w:rsid w:val="009531FD"/>
    <w:rsid w:val="0095363E"/>
    <w:rsid w:val="0095378A"/>
    <w:rsid w:val="00953CB0"/>
    <w:rsid w:val="00954107"/>
    <w:rsid w:val="0095410C"/>
    <w:rsid w:val="00954B8A"/>
    <w:rsid w:val="009550B1"/>
    <w:rsid w:val="00960297"/>
    <w:rsid w:val="00960578"/>
    <w:rsid w:val="00960B9D"/>
    <w:rsid w:val="00961EB4"/>
    <w:rsid w:val="0096220D"/>
    <w:rsid w:val="009629EA"/>
    <w:rsid w:val="00962CA6"/>
    <w:rsid w:val="00963B0C"/>
    <w:rsid w:val="00964B1C"/>
    <w:rsid w:val="00964E72"/>
    <w:rsid w:val="0096565F"/>
    <w:rsid w:val="00965AAE"/>
    <w:rsid w:val="00965D26"/>
    <w:rsid w:val="009665DD"/>
    <w:rsid w:val="00966DF8"/>
    <w:rsid w:val="00967796"/>
    <w:rsid w:val="009712A9"/>
    <w:rsid w:val="009725B0"/>
    <w:rsid w:val="00973A07"/>
    <w:rsid w:val="00974240"/>
    <w:rsid w:val="009742E7"/>
    <w:rsid w:val="00974B0D"/>
    <w:rsid w:val="00974D9A"/>
    <w:rsid w:val="00975CB4"/>
    <w:rsid w:val="009760DA"/>
    <w:rsid w:val="0097640C"/>
    <w:rsid w:val="009766A1"/>
    <w:rsid w:val="00976A1B"/>
    <w:rsid w:val="00976AE8"/>
    <w:rsid w:val="00977CFD"/>
    <w:rsid w:val="00980604"/>
    <w:rsid w:val="009808B4"/>
    <w:rsid w:val="00980BA7"/>
    <w:rsid w:val="00981DC0"/>
    <w:rsid w:val="009820FE"/>
    <w:rsid w:val="009821A4"/>
    <w:rsid w:val="00982A9D"/>
    <w:rsid w:val="009843B2"/>
    <w:rsid w:val="00984E2A"/>
    <w:rsid w:val="00985439"/>
    <w:rsid w:val="009854BC"/>
    <w:rsid w:val="00985863"/>
    <w:rsid w:val="00985CDB"/>
    <w:rsid w:val="00985FC9"/>
    <w:rsid w:val="00986159"/>
    <w:rsid w:val="00986EF5"/>
    <w:rsid w:val="00990475"/>
    <w:rsid w:val="00990E5E"/>
    <w:rsid w:val="00991145"/>
    <w:rsid w:val="00991BCD"/>
    <w:rsid w:val="00991FEC"/>
    <w:rsid w:val="009920BF"/>
    <w:rsid w:val="00992372"/>
    <w:rsid w:val="00992D46"/>
    <w:rsid w:val="00992E7C"/>
    <w:rsid w:val="00993F62"/>
    <w:rsid w:val="00994FC4"/>
    <w:rsid w:val="00995163"/>
    <w:rsid w:val="00995918"/>
    <w:rsid w:val="00995AC3"/>
    <w:rsid w:val="009963B6"/>
    <w:rsid w:val="00997C43"/>
    <w:rsid w:val="009A0E1D"/>
    <w:rsid w:val="009A1002"/>
    <w:rsid w:val="009A1043"/>
    <w:rsid w:val="009A1B56"/>
    <w:rsid w:val="009A30DB"/>
    <w:rsid w:val="009A488D"/>
    <w:rsid w:val="009A5F28"/>
    <w:rsid w:val="009A62BE"/>
    <w:rsid w:val="009A62FC"/>
    <w:rsid w:val="009A63B8"/>
    <w:rsid w:val="009A6FE4"/>
    <w:rsid w:val="009A70BF"/>
    <w:rsid w:val="009A7D1D"/>
    <w:rsid w:val="009B022D"/>
    <w:rsid w:val="009B029E"/>
    <w:rsid w:val="009B0BB0"/>
    <w:rsid w:val="009B1686"/>
    <w:rsid w:val="009B176B"/>
    <w:rsid w:val="009B198B"/>
    <w:rsid w:val="009B1B87"/>
    <w:rsid w:val="009B2DB6"/>
    <w:rsid w:val="009B2E9E"/>
    <w:rsid w:val="009B3A59"/>
    <w:rsid w:val="009B4277"/>
    <w:rsid w:val="009B46C9"/>
    <w:rsid w:val="009B47D6"/>
    <w:rsid w:val="009B58AA"/>
    <w:rsid w:val="009B64F9"/>
    <w:rsid w:val="009B773A"/>
    <w:rsid w:val="009B78C7"/>
    <w:rsid w:val="009C078A"/>
    <w:rsid w:val="009C0D9E"/>
    <w:rsid w:val="009C1189"/>
    <w:rsid w:val="009C1258"/>
    <w:rsid w:val="009C1ED0"/>
    <w:rsid w:val="009C1EDC"/>
    <w:rsid w:val="009C212E"/>
    <w:rsid w:val="009C2C95"/>
    <w:rsid w:val="009C2F27"/>
    <w:rsid w:val="009C3332"/>
    <w:rsid w:val="009C3505"/>
    <w:rsid w:val="009C3B27"/>
    <w:rsid w:val="009C3D57"/>
    <w:rsid w:val="009C41B2"/>
    <w:rsid w:val="009C4561"/>
    <w:rsid w:val="009C45E4"/>
    <w:rsid w:val="009C46DA"/>
    <w:rsid w:val="009C4BD8"/>
    <w:rsid w:val="009C5E16"/>
    <w:rsid w:val="009C6512"/>
    <w:rsid w:val="009C6688"/>
    <w:rsid w:val="009C681E"/>
    <w:rsid w:val="009C727F"/>
    <w:rsid w:val="009D088C"/>
    <w:rsid w:val="009D08BA"/>
    <w:rsid w:val="009D0C3E"/>
    <w:rsid w:val="009D0E2B"/>
    <w:rsid w:val="009D0FC6"/>
    <w:rsid w:val="009D1189"/>
    <w:rsid w:val="009D1432"/>
    <w:rsid w:val="009D1FDB"/>
    <w:rsid w:val="009D2A42"/>
    <w:rsid w:val="009D3772"/>
    <w:rsid w:val="009D3B87"/>
    <w:rsid w:val="009D3F1E"/>
    <w:rsid w:val="009D480C"/>
    <w:rsid w:val="009D57B4"/>
    <w:rsid w:val="009D61AE"/>
    <w:rsid w:val="009D67DB"/>
    <w:rsid w:val="009D7632"/>
    <w:rsid w:val="009D7946"/>
    <w:rsid w:val="009D7ED8"/>
    <w:rsid w:val="009D7FF8"/>
    <w:rsid w:val="009E0540"/>
    <w:rsid w:val="009E0DCC"/>
    <w:rsid w:val="009E12E5"/>
    <w:rsid w:val="009E12FE"/>
    <w:rsid w:val="009E2296"/>
    <w:rsid w:val="009E2D00"/>
    <w:rsid w:val="009E37BE"/>
    <w:rsid w:val="009E3ACE"/>
    <w:rsid w:val="009E3CDB"/>
    <w:rsid w:val="009E5003"/>
    <w:rsid w:val="009E551E"/>
    <w:rsid w:val="009E5F9E"/>
    <w:rsid w:val="009E6016"/>
    <w:rsid w:val="009E667A"/>
    <w:rsid w:val="009E6EEF"/>
    <w:rsid w:val="009E7D44"/>
    <w:rsid w:val="009F040E"/>
    <w:rsid w:val="009F0C18"/>
    <w:rsid w:val="009F1A0C"/>
    <w:rsid w:val="009F1E8B"/>
    <w:rsid w:val="009F24BD"/>
    <w:rsid w:val="009F24E8"/>
    <w:rsid w:val="009F2A96"/>
    <w:rsid w:val="009F36CF"/>
    <w:rsid w:val="009F3D47"/>
    <w:rsid w:val="009F3DE6"/>
    <w:rsid w:val="009F3E5E"/>
    <w:rsid w:val="009F4837"/>
    <w:rsid w:val="009F4A0E"/>
    <w:rsid w:val="009F4E92"/>
    <w:rsid w:val="009F4F4D"/>
    <w:rsid w:val="009F58FC"/>
    <w:rsid w:val="009F63D8"/>
    <w:rsid w:val="009F6AB7"/>
    <w:rsid w:val="009F6C15"/>
    <w:rsid w:val="009F6C5A"/>
    <w:rsid w:val="009F709A"/>
    <w:rsid w:val="009F7655"/>
    <w:rsid w:val="009F784A"/>
    <w:rsid w:val="009F7DC5"/>
    <w:rsid w:val="00A0091D"/>
    <w:rsid w:val="00A00C5D"/>
    <w:rsid w:val="00A01570"/>
    <w:rsid w:val="00A01C70"/>
    <w:rsid w:val="00A024FD"/>
    <w:rsid w:val="00A02E2E"/>
    <w:rsid w:val="00A03126"/>
    <w:rsid w:val="00A0319E"/>
    <w:rsid w:val="00A0458E"/>
    <w:rsid w:val="00A04A4F"/>
    <w:rsid w:val="00A04FFB"/>
    <w:rsid w:val="00A05005"/>
    <w:rsid w:val="00A05D65"/>
    <w:rsid w:val="00A05F6B"/>
    <w:rsid w:val="00A070BD"/>
    <w:rsid w:val="00A072E3"/>
    <w:rsid w:val="00A07498"/>
    <w:rsid w:val="00A074DB"/>
    <w:rsid w:val="00A077B3"/>
    <w:rsid w:val="00A107C1"/>
    <w:rsid w:val="00A11452"/>
    <w:rsid w:val="00A1164C"/>
    <w:rsid w:val="00A130B5"/>
    <w:rsid w:val="00A132E6"/>
    <w:rsid w:val="00A13913"/>
    <w:rsid w:val="00A1397D"/>
    <w:rsid w:val="00A14075"/>
    <w:rsid w:val="00A147DB"/>
    <w:rsid w:val="00A15260"/>
    <w:rsid w:val="00A15489"/>
    <w:rsid w:val="00A1557E"/>
    <w:rsid w:val="00A15B90"/>
    <w:rsid w:val="00A15BD3"/>
    <w:rsid w:val="00A15DF0"/>
    <w:rsid w:val="00A16113"/>
    <w:rsid w:val="00A164AC"/>
    <w:rsid w:val="00A2068C"/>
    <w:rsid w:val="00A210EE"/>
    <w:rsid w:val="00A21224"/>
    <w:rsid w:val="00A21510"/>
    <w:rsid w:val="00A22745"/>
    <w:rsid w:val="00A2284F"/>
    <w:rsid w:val="00A22BE9"/>
    <w:rsid w:val="00A23185"/>
    <w:rsid w:val="00A236CE"/>
    <w:rsid w:val="00A24200"/>
    <w:rsid w:val="00A242A4"/>
    <w:rsid w:val="00A24428"/>
    <w:rsid w:val="00A2480C"/>
    <w:rsid w:val="00A24D1F"/>
    <w:rsid w:val="00A24E32"/>
    <w:rsid w:val="00A257BE"/>
    <w:rsid w:val="00A258BB"/>
    <w:rsid w:val="00A25C6F"/>
    <w:rsid w:val="00A26917"/>
    <w:rsid w:val="00A26EA3"/>
    <w:rsid w:val="00A26EAB"/>
    <w:rsid w:val="00A2762A"/>
    <w:rsid w:val="00A278E1"/>
    <w:rsid w:val="00A2792B"/>
    <w:rsid w:val="00A27C1F"/>
    <w:rsid w:val="00A304B5"/>
    <w:rsid w:val="00A3122B"/>
    <w:rsid w:val="00A31835"/>
    <w:rsid w:val="00A31C77"/>
    <w:rsid w:val="00A32108"/>
    <w:rsid w:val="00A3223E"/>
    <w:rsid w:val="00A32EDA"/>
    <w:rsid w:val="00A34669"/>
    <w:rsid w:val="00A34770"/>
    <w:rsid w:val="00A347D4"/>
    <w:rsid w:val="00A352DA"/>
    <w:rsid w:val="00A35358"/>
    <w:rsid w:val="00A36544"/>
    <w:rsid w:val="00A36A75"/>
    <w:rsid w:val="00A36C8B"/>
    <w:rsid w:val="00A370AD"/>
    <w:rsid w:val="00A401E0"/>
    <w:rsid w:val="00A403D7"/>
    <w:rsid w:val="00A405BD"/>
    <w:rsid w:val="00A4176E"/>
    <w:rsid w:val="00A41B16"/>
    <w:rsid w:val="00A41FFF"/>
    <w:rsid w:val="00A420D9"/>
    <w:rsid w:val="00A43069"/>
    <w:rsid w:val="00A44BEA"/>
    <w:rsid w:val="00A44DE0"/>
    <w:rsid w:val="00A451AE"/>
    <w:rsid w:val="00A456DC"/>
    <w:rsid w:val="00A45D45"/>
    <w:rsid w:val="00A45DE4"/>
    <w:rsid w:val="00A45F6F"/>
    <w:rsid w:val="00A46227"/>
    <w:rsid w:val="00A46380"/>
    <w:rsid w:val="00A4677C"/>
    <w:rsid w:val="00A46CF8"/>
    <w:rsid w:val="00A46FCC"/>
    <w:rsid w:val="00A47637"/>
    <w:rsid w:val="00A477BE"/>
    <w:rsid w:val="00A47BCA"/>
    <w:rsid w:val="00A50E49"/>
    <w:rsid w:val="00A5123B"/>
    <w:rsid w:val="00A51246"/>
    <w:rsid w:val="00A521A3"/>
    <w:rsid w:val="00A5256E"/>
    <w:rsid w:val="00A52B94"/>
    <w:rsid w:val="00A52CD0"/>
    <w:rsid w:val="00A53042"/>
    <w:rsid w:val="00A532C7"/>
    <w:rsid w:val="00A54254"/>
    <w:rsid w:val="00A54439"/>
    <w:rsid w:val="00A54F11"/>
    <w:rsid w:val="00A55159"/>
    <w:rsid w:val="00A5778B"/>
    <w:rsid w:val="00A57A74"/>
    <w:rsid w:val="00A606BA"/>
    <w:rsid w:val="00A607AC"/>
    <w:rsid w:val="00A60C64"/>
    <w:rsid w:val="00A612BB"/>
    <w:rsid w:val="00A615D9"/>
    <w:rsid w:val="00A615F1"/>
    <w:rsid w:val="00A61A19"/>
    <w:rsid w:val="00A62391"/>
    <w:rsid w:val="00A62F19"/>
    <w:rsid w:val="00A631D5"/>
    <w:rsid w:val="00A63D6A"/>
    <w:rsid w:val="00A63F1F"/>
    <w:rsid w:val="00A64923"/>
    <w:rsid w:val="00A64A9B"/>
    <w:rsid w:val="00A64E7F"/>
    <w:rsid w:val="00A655F2"/>
    <w:rsid w:val="00A65B32"/>
    <w:rsid w:val="00A65E74"/>
    <w:rsid w:val="00A662EA"/>
    <w:rsid w:val="00A67BC6"/>
    <w:rsid w:val="00A701AF"/>
    <w:rsid w:val="00A707CC"/>
    <w:rsid w:val="00A71552"/>
    <w:rsid w:val="00A719B0"/>
    <w:rsid w:val="00A72599"/>
    <w:rsid w:val="00A7282A"/>
    <w:rsid w:val="00A728A1"/>
    <w:rsid w:val="00A72E3A"/>
    <w:rsid w:val="00A73179"/>
    <w:rsid w:val="00A73DC4"/>
    <w:rsid w:val="00A742BD"/>
    <w:rsid w:val="00A743A9"/>
    <w:rsid w:val="00A76762"/>
    <w:rsid w:val="00A76A84"/>
    <w:rsid w:val="00A76D58"/>
    <w:rsid w:val="00A77345"/>
    <w:rsid w:val="00A77EFF"/>
    <w:rsid w:val="00A8005A"/>
    <w:rsid w:val="00A80DE3"/>
    <w:rsid w:val="00A811F2"/>
    <w:rsid w:val="00A814E3"/>
    <w:rsid w:val="00A8179E"/>
    <w:rsid w:val="00A818F0"/>
    <w:rsid w:val="00A81B9C"/>
    <w:rsid w:val="00A820F4"/>
    <w:rsid w:val="00A8231D"/>
    <w:rsid w:val="00A82363"/>
    <w:rsid w:val="00A826BA"/>
    <w:rsid w:val="00A82D24"/>
    <w:rsid w:val="00A83619"/>
    <w:rsid w:val="00A83CB0"/>
    <w:rsid w:val="00A83E7E"/>
    <w:rsid w:val="00A84E88"/>
    <w:rsid w:val="00A8515F"/>
    <w:rsid w:val="00A851E0"/>
    <w:rsid w:val="00A859B8"/>
    <w:rsid w:val="00A862E5"/>
    <w:rsid w:val="00A863A1"/>
    <w:rsid w:val="00A863DF"/>
    <w:rsid w:val="00A86682"/>
    <w:rsid w:val="00A86CE7"/>
    <w:rsid w:val="00A8714F"/>
    <w:rsid w:val="00A872F7"/>
    <w:rsid w:val="00A874CB"/>
    <w:rsid w:val="00A87FC1"/>
    <w:rsid w:val="00A9005F"/>
    <w:rsid w:val="00A91E23"/>
    <w:rsid w:val="00A91E50"/>
    <w:rsid w:val="00A9285B"/>
    <w:rsid w:val="00A9398C"/>
    <w:rsid w:val="00A947D2"/>
    <w:rsid w:val="00A94886"/>
    <w:rsid w:val="00A948F9"/>
    <w:rsid w:val="00A956E8"/>
    <w:rsid w:val="00A95B37"/>
    <w:rsid w:val="00A967F7"/>
    <w:rsid w:val="00A969E2"/>
    <w:rsid w:val="00A97320"/>
    <w:rsid w:val="00A97554"/>
    <w:rsid w:val="00A9761F"/>
    <w:rsid w:val="00A97861"/>
    <w:rsid w:val="00A97907"/>
    <w:rsid w:val="00AA0535"/>
    <w:rsid w:val="00AA0C78"/>
    <w:rsid w:val="00AA2C47"/>
    <w:rsid w:val="00AA2C8C"/>
    <w:rsid w:val="00AA4098"/>
    <w:rsid w:val="00AA419D"/>
    <w:rsid w:val="00AA427C"/>
    <w:rsid w:val="00AA44AA"/>
    <w:rsid w:val="00AA4863"/>
    <w:rsid w:val="00AA4FBF"/>
    <w:rsid w:val="00AA5297"/>
    <w:rsid w:val="00AA5E63"/>
    <w:rsid w:val="00AA5FC2"/>
    <w:rsid w:val="00AA78ED"/>
    <w:rsid w:val="00AB0BF9"/>
    <w:rsid w:val="00AB112B"/>
    <w:rsid w:val="00AB147E"/>
    <w:rsid w:val="00AB14AE"/>
    <w:rsid w:val="00AB2040"/>
    <w:rsid w:val="00AB31A6"/>
    <w:rsid w:val="00AB3298"/>
    <w:rsid w:val="00AB483D"/>
    <w:rsid w:val="00AB4CED"/>
    <w:rsid w:val="00AB54A4"/>
    <w:rsid w:val="00AB5590"/>
    <w:rsid w:val="00AB627E"/>
    <w:rsid w:val="00AB64C4"/>
    <w:rsid w:val="00AB7204"/>
    <w:rsid w:val="00AB726D"/>
    <w:rsid w:val="00AC0D29"/>
    <w:rsid w:val="00AC0F20"/>
    <w:rsid w:val="00AC32B9"/>
    <w:rsid w:val="00AC3788"/>
    <w:rsid w:val="00AC3804"/>
    <w:rsid w:val="00AC382E"/>
    <w:rsid w:val="00AC3C5D"/>
    <w:rsid w:val="00AC7378"/>
    <w:rsid w:val="00AC76A9"/>
    <w:rsid w:val="00AD1023"/>
    <w:rsid w:val="00AD13AE"/>
    <w:rsid w:val="00AD1772"/>
    <w:rsid w:val="00AD22AE"/>
    <w:rsid w:val="00AD25AC"/>
    <w:rsid w:val="00AD3819"/>
    <w:rsid w:val="00AD393B"/>
    <w:rsid w:val="00AD3F30"/>
    <w:rsid w:val="00AD43CD"/>
    <w:rsid w:val="00AD499F"/>
    <w:rsid w:val="00AD4FAC"/>
    <w:rsid w:val="00AD51BA"/>
    <w:rsid w:val="00AD55CB"/>
    <w:rsid w:val="00AD5756"/>
    <w:rsid w:val="00AD5BF1"/>
    <w:rsid w:val="00AD5C34"/>
    <w:rsid w:val="00AD5D7F"/>
    <w:rsid w:val="00AD60B5"/>
    <w:rsid w:val="00AD6155"/>
    <w:rsid w:val="00AD6C6F"/>
    <w:rsid w:val="00AD728C"/>
    <w:rsid w:val="00AD7297"/>
    <w:rsid w:val="00AD7A97"/>
    <w:rsid w:val="00AD7B35"/>
    <w:rsid w:val="00AD7F67"/>
    <w:rsid w:val="00AE0085"/>
    <w:rsid w:val="00AE0354"/>
    <w:rsid w:val="00AE0767"/>
    <w:rsid w:val="00AE0CF3"/>
    <w:rsid w:val="00AE123C"/>
    <w:rsid w:val="00AE1D01"/>
    <w:rsid w:val="00AE1FF6"/>
    <w:rsid w:val="00AE2AEC"/>
    <w:rsid w:val="00AE2D8C"/>
    <w:rsid w:val="00AE2E98"/>
    <w:rsid w:val="00AE31B4"/>
    <w:rsid w:val="00AE350B"/>
    <w:rsid w:val="00AE3B79"/>
    <w:rsid w:val="00AE4149"/>
    <w:rsid w:val="00AE421B"/>
    <w:rsid w:val="00AE46B9"/>
    <w:rsid w:val="00AE4A7B"/>
    <w:rsid w:val="00AE53F8"/>
    <w:rsid w:val="00AE5420"/>
    <w:rsid w:val="00AE6F85"/>
    <w:rsid w:val="00AE726B"/>
    <w:rsid w:val="00AE752C"/>
    <w:rsid w:val="00AE772D"/>
    <w:rsid w:val="00AF0683"/>
    <w:rsid w:val="00AF14F1"/>
    <w:rsid w:val="00AF158B"/>
    <w:rsid w:val="00AF22E6"/>
    <w:rsid w:val="00AF2A8F"/>
    <w:rsid w:val="00AF2C52"/>
    <w:rsid w:val="00AF38D1"/>
    <w:rsid w:val="00AF3D05"/>
    <w:rsid w:val="00AF4498"/>
    <w:rsid w:val="00AF45FB"/>
    <w:rsid w:val="00AF469C"/>
    <w:rsid w:val="00AF4A8E"/>
    <w:rsid w:val="00AF4B39"/>
    <w:rsid w:val="00AF54E3"/>
    <w:rsid w:val="00AF6D94"/>
    <w:rsid w:val="00AF7827"/>
    <w:rsid w:val="00B001A6"/>
    <w:rsid w:val="00B004D6"/>
    <w:rsid w:val="00B0134E"/>
    <w:rsid w:val="00B013EE"/>
    <w:rsid w:val="00B015C1"/>
    <w:rsid w:val="00B0230B"/>
    <w:rsid w:val="00B02817"/>
    <w:rsid w:val="00B03232"/>
    <w:rsid w:val="00B03314"/>
    <w:rsid w:val="00B035BA"/>
    <w:rsid w:val="00B0429E"/>
    <w:rsid w:val="00B04450"/>
    <w:rsid w:val="00B050C0"/>
    <w:rsid w:val="00B05660"/>
    <w:rsid w:val="00B0583C"/>
    <w:rsid w:val="00B05E68"/>
    <w:rsid w:val="00B070BF"/>
    <w:rsid w:val="00B074EA"/>
    <w:rsid w:val="00B07574"/>
    <w:rsid w:val="00B10375"/>
    <w:rsid w:val="00B1062D"/>
    <w:rsid w:val="00B11084"/>
    <w:rsid w:val="00B11D01"/>
    <w:rsid w:val="00B12092"/>
    <w:rsid w:val="00B1228F"/>
    <w:rsid w:val="00B12F56"/>
    <w:rsid w:val="00B13A94"/>
    <w:rsid w:val="00B13B43"/>
    <w:rsid w:val="00B14C77"/>
    <w:rsid w:val="00B14CDF"/>
    <w:rsid w:val="00B163BB"/>
    <w:rsid w:val="00B166CC"/>
    <w:rsid w:val="00B177FC"/>
    <w:rsid w:val="00B17808"/>
    <w:rsid w:val="00B2024B"/>
    <w:rsid w:val="00B20B3C"/>
    <w:rsid w:val="00B20CE1"/>
    <w:rsid w:val="00B217B9"/>
    <w:rsid w:val="00B21DA1"/>
    <w:rsid w:val="00B22EEE"/>
    <w:rsid w:val="00B22F9F"/>
    <w:rsid w:val="00B23257"/>
    <w:rsid w:val="00B23AC4"/>
    <w:rsid w:val="00B2590F"/>
    <w:rsid w:val="00B25D93"/>
    <w:rsid w:val="00B27308"/>
    <w:rsid w:val="00B27742"/>
    <w:rsid w:val="00B32477"/>
    <w:rsid w:val="00B32B2B"/>
    <w:rsid w:val="00B33137"/>
    <w:rsid w:val="00B33492"/>
    <w:rsid w:val="00B33AA6"/>
    <w:rsid w:val="00B34068"/>
    <w:rsid w:val="00B34277"/>
    <w:rsid w:val="00B34A2E"/>
    <w:rsid w:val="00B34ED3"/>
    <w:rsid w:val="00B35140"/>
    <w:rsid w:val="00B354F5"/>
    <w:rsid w:val="00B35A0E"/>
    <w:rsid w:val="00B35F05"/>
    <w:rsid w:val="00B36613"/>
    <w:rsid w:val="00B368B2"/>
    <w:rsid w:val="00B379D6"/>
    <w:rsid w:val="00B37CD3"/>
    <w:rsid w:val="00B37DB7"/>
    <w:rsid w:val="00B4006C"/>
    <w:rsid w:val="00B40122"/>
    <w:rsid w:val="00B40423"/>
    <w:rsid w:val="00B40482"/>
    <w:rsid w:val="00B413CD"/>
    <w:rsid w:val="00B419B0"/>
    <w:rsid w:val="00B41D0B"/>
    <w:rsid w:val="00B41E3E"/>
    <w:rsid w:val="00B423D5"/>
    <w:rsid w:val="00B4246A"/>
    <w:rsid w:val="00B42536"/>
    <w:rsid w:val="00B43299"/>
    <w:rsid w:val="00B4351C"/>
    <w:rsid w:val="00B44227"/>
    <w:rsid w:val="00B44608"/>
    <w:rsid w:val="00B44E0D"/>
    <w:rsid w:val="00B45019"/>
    <w:rsid w:val="00B452DE"/>
    <w:rsid w:val="00B459F0"/>
    <w:rsid w:val="00B45AE5"/>
    <w:rsid w:val="00B46EFE"/>
    <w:rsid w:val="00B472FF"/>
    <w:rsid w:val="00B47530"/>
    <w:rsid w:val="00B512D7"/>
    <w:rsid w:val="00B51F38"/>
    <w:rsid w:val="00B5209D"/>
    <w:rsid w:val="00B52254"/>
    <w:rsid w:val="00B52D65"/>
    <w:rsid w:val="00B53DED"/>
    <w:rsid w:val="00B542F3"/>
    <w:rsid w:val="00B54799"/>
    <w:rsid w:val="00B5563C"/>
    <w:rsid w:val="00B5618B"/>
    <w:rsid w:val="00B5668C"/>
    <w:rsid w:val="00B56BDF"/>
    <w:rsid w:val="00B56DF8"/>
    <w:rsid w:val="00B5790D"/>
    <w:rsid w:val="00B613B7"/>
    <w:rsid w:val="00B614BC"/>
    <w:rsid w:val="00B61A0A"/>
    <w:rsid w:val="00B62316"/>
    <w:rsid w:val="00B625C0"/>
    <w:rsid w:val="00B62941"/>
    <w:rsid w:val="00B63213"/>
    <w:rsid w:val="00B63607"/>
    <w:rsid w:val="00B640ED"/>
    <w:rsid w:val="00B66224"/>
    <w:rsid w:val="00B6648A"/>
    <w:rsid w:val="00B667BC"/>
    <w:rsid w:val="00B66AD8"/>
    <w:rsid w:val="00B66F01"/>
    <w:rsid w:val="00B70460"/>
    <w:rsid w:val="00B70CFA"/>
    <w:rsid w:val="00B711C0"/>
    <w:rsid w:val="00B7180E"/>
    <w:rsid w:val="00B71BFD"/>
    <w:rsid w:val="00B72B5E"/>
    <w:rsid w:val="00B72B6D"/>
    <w:rsid w:val="00B73232"/>
    <w:rsid w:val="00B73C16"/>
    <w:rsid w:val="00B746C6"/>
    <w:rsid w:val="00B7487D"/>
    <w:rsid w:val="00B74EE4"/>
    <w:rsid w:val="00B75953"/>
    <w:rsid w:val="00B75A2D"/>
    <w:rsid w:val="00B75F5C"/>
    <w:rsid w:val="00B75F8B"/>
    <w:rsid w:val="00B768DD"/>
    <w:rsid w:val="00B76E32"/>
    <w:rsid w:val="00B772DC"/>
    <w:rsid w:val="00B779FB"/>
    <w:rsid w:val="00B77AC6"/>
    <w:rsid w:val="00B8074F"/>
    <w:rsid w:val="00B81886"/>
    <w:rsid w:val="00B819DB"/>
    <w:rsid w:val="00B81A78"/>
    <w:rsid w:val="00B81EC0"/>
    <w:rsid w:val="00B81F21"/>
    <w:rsid w:val="00B82052"/>
    <w:rsid w:val="00B8239E"/>
    <w:rsid w:val="00B82DCF"/>
    <w:rsid w:val="00B82FCE"/>
    <w:rsid w:val="00B83A3F"/>
    <w:rsid w:val="00B84C19"/>
    <w:rsid w:val="00B85CB2"/>
    <w:rsid w:val="00B86592"/>
    <w:rsid w:val="00B86CD4"/>
    <w:rsid w:val="00B87011"/>
    <w:rsid w:val="00B87C42"/>
    <w:rsid w:val="00B87CCD"/>
    <w:rsid w:val="00B87D21"/>
    <w:rsid w:val="00B90CEF"/>
    <w:rsid w:val="00B91216"/>
    <w:rsid w:val="00B913EA"/>
    <w:rsid w:val="00B91FC2"/>
    <w:rsid w:val="00B923E1"/>
    <w:rsid w:val="00B92544"/>
    <w:rsid w:val="00B92549"/>
    <w:rsid w:val="00B92DE7"/>
    <w:rsid w:val="00B92E2C"/>
    <w:rsid w:val="00B9356E"/>
    <w:rsid w:val="00B93E82"/>
    <w:rsid w:val="00B94610"/>
    <w:rsid w:val="00B9494B"/>
    <w:rsid w:val="00B950F0"/>
    <w:rsid w:val="00B95A40"/>
    <w:rsid w:val="00B95E94"/>
    <w:rsid w:val="00B967D4"/>
    <w:rsid w:val="00B96B6F"/>
    <w:rsid w:val="00B96DA5"/>
    <w:rsid w:val="00B975B2"/>
    <w:rsid w:val="00BA14A3"/>
    <w:rsid w:val="00BA1C2C"/>
    <w:rsid w:val="00BA4753"/>
    <w:rsid w:val="00BA5448"/>
    <w:rsid w:val="00BA77DE"/>
    <w:rsid w:val="00BA78E3"/>
    <w:rsid w:val="00BB0135"/>
    <w:rsid w:val="00BB04C0"/>
    <w:rsid w:val="00BB078E"/>
    <w:rsid w:val="00BB0835"/>
    <w:rsid w:val="00BB0868"/>
    <w:rsid w:val="00BB0D7B"/>
    <w:rsid w:val="00BB1BA5"/>
    <w:rsid w:val="00BB1E73"/>
    <w:rsid w:val="00BB1F5B"/>
    <w:rsid w:val="00BB22CA"/>
    <w:rsid w:val="00BB2AF1"/>
    <w:rsid w:val="00BB2BB6"/>
    <w:rsid w:val="00BB324D"/>
    <w:rsid w:val="00BB33B5"/>
    <w:rsid w:val="00BB49D5"/>
    <w:rsid w:val="00BB5738"/>
    <w:rsid w:val="00BB5E17"/>
    <w:rsid w:val="00BB6283"/>
    <w:rsid w:val="00BB6A15"/>
    <w:rsid w:val="00BB7409"/>
    <w:rsid w:val="00BB7AC6"/>
    <w:rsid w:val="00BC01EE"/>
    <w:rsid w:val="00BC03AA"/>
    <w:rsid w:val="00BC07C9"/>
    <w:rsid w:val="00BC3532"/>
    <w:rsid w:val="00BC4C16"/>
    <w:rsid w:val="00BC549F"/>
    <w:rsid w:val="00BC5BA8"/>
    <w:rsid w:val="00BC5F6A"/>
    <w:rsid w:val="00BC602A"/>
    <w:rsid w:val="00BC6FD6"/>
    <w:rsid w:val="00BC73C0"/>
    <w:rsid w:val="00BD0824"/>
    <w:rsid w:val="00BD14CE"/>
    <w:rsid w:val="00BD225F"/>
    <w:rsid w:val="00BD3124"/>
    <w:rsid w:val="00BD4215"/>
    <w:rsid w:val="00BD4DB3"/>
    <w:rsid w:val="00BD4FED"/>
    <w:rsid w:val="00BD6B32"/>
    <w:rsid w:val="00BD6F76"/>
    <w:rsid w:val="00BD7983"/>
    <w:rsid w:val="00BD7E2B"/>
    <w:rsid w:val="00BE0011"/>
    <w:rsid w:val="00BE07AC"/>
    <w:rsid w:val="00BE08DB"/>
    <w:rsid w:val="00BE0CA8"/>
    <w:rsid w:val="00BE111D"/>
    <w:rsid w:val="00BE2182"/>
    <w:rsid w:val="00BE25B6"/>
    <w:rsid w:val="00BE269B"/>
    <w:rsid w:val="00BE2868"/>
    <w:rsid w:val="00BE29C4"/>
    <w:rsid w:val="00BE3089"/>
    <w:rsid w:val="00BE4B3E"/>
    <w:rsid w:val="00BE4D7F"/>
    <w:rsid w:val="00BE773F"/>
    <w:rsid w:val="00BE7879"/>
    <w:rsid w:val="00BF120D"/>
    <w:rsid w:val="00BF127D"/>
    <w:rsid w:val="00BF21BC"/>
    <w:rsid w:val="00BF2239"/>
    <w:rsid w:val="00BF3006"/>
    <w:rsid w:val="00BF318C"/>
    <w:rsid w:val="00BF33E9"/>
    <w:rsid w:val="00BF3B7C"/>
    <w:rsid w:val="00BF3DD6"/>
    <w:rsid w:val="00BF4EA0"/>
    <w:rsid w:val="00BF558C"/>
    <w:rsid w:val="00BF5925"/>
    <w:rsid w:val="00BF7F05"/>
    <w:rsid w:val="00C00A97"/>
    <w:rsid w:val="00C01258"/>
    <w:rsid w:val="00C01742"/>
    <w:rsid w:val="00C01FD3"/>
    <w:rsid w:val="00C021F8"/>
    <w:rsid w:val="00C02916"/>
    <w:rsid w:val="00C02B77"/>
    <w:rsid w:val="00C02C6F"/>
    <w:rsid w:val="00C03140"/>
    <w:rsid w:val="00C03311"/>
    <w:rsid w:val="00C0451F"/>
    <w:rsid w:val="00C05D24"/>
    <w:rsid w:val="00C06027"/>
    <w:rsid w:val="00C06315"/>
    <w:rsid w:val="00C06B02"/>
    <w:rsid w:val="00C075C3"/>
    <w:rsid w:val="00C07624"/>
    <w:rsid w:val="00C07A29"/>
    <w:rsid w:val="00C07B25"/>
    <w:rsid w:val="00C10108"/>
    <w:rsid w:val="00C102F3"/>
    <w:rsid w:val="00C112EB"/>
    <w:rsid w:val="00C119C3"/>
    <w:rsid w:val="00C1389E"/>
    <w:rsid w:val="00C13FC5"/>
    <w:rsid w:val="00C14262"/>
    <w:rsid w:val="00C14E12"/>
    <w:rsid w:val="00C15311"/>
    <w:rsid w:val="00C15A90"/>
    <w:rsid w:val="00C15C97"/>
    <w:rsid w:val="00C162D5"/>
    <w:rsid w:val="00C16664"/>
    <w:rsid w:val="00C16AB1"/>
    <w:rsid w:val="00C16D51"/>
    <w:rsid w:val="00C17191"/>
    <w:rsid w:val="00C17AF7"/>
    <w:rsid w:val="00C17D25"/>
    <w:rsid w:val="00C20E54"/>
    <w:rsid w:val="00C20E7E"/>
    <w:rsid w:val="00C21285"/>
    <w:rsid w:val="00C21B7E"/>
    <w:rsid w:val="00C22810"/>
    <w:rsid w:val="00C239C2"/>
    <w:rsid w:val="00C241FC"/>
    <w:rsid w:val="00C24427"/>
    <w:rsid w:val="00C24BE5"/>
    <w:rsid w:val="00C252D1"/>
    <w:rsid w:val="00C258F5"/>
    <w:rsid w:val="00C25B65"/>
    <w:rsid w:val="00C266BB"/>
    <w:rsid w:val="00C26812"/>
    <w:rsid w:val="00C26921"/>
    <w:rsid w:val="00C274C6"/>
    <w:rsid w:val="00C276CF"/>
    <w:rsid w:val="00C27CDC"/>
    <w:rsid w:val="00C31B07"/>
    <w:rsid w:val="00C32AAF"/>
    <w:rsid w:val="00C32FE6"/>
    <w:rsid w:val="00C33895"/>
    <w:rsid w:val="00C343FB"/>
    <w:rsid w:val="00C34A27"/>
    <w:rsid w:val="00C34A42"/>
    <w:rsid w:val="00C350B5"/>
    <w:rsid w:val="00C352F2"/>
    <w:rsid w:val="00C35623"/>
    <w:rsid w:val="00C35BA2"/>
    <w:rsid w:val="00C36CBC"/>
    <w:rsid w:val="00C4081F"/>
    <w:rsid w:val="00C40F85"/>
    <w:rsid w:val="00C41069"/>
    <w:rsid w:val="00C413D4"/>
    <w:rsid w:val="00C420A9"/>
    <w:rsid w:val="00C42F51"/>
    <w:rsid w:val="00C43280"/>
    <w:rsid w:val="00C43659"/>
    <w:rsid w:val="00C43802"/>
    <w:rsid w:val="00C441C4"/>
    <w:rsid w:val="00C44B61"/>
    <w:rsid w:val="00C44E27"/>
    <w:rsid w:val="00C4687C"/>
    <w:rsid w:val="00C471E5"/>
    <w:rsid w:val="00C502A5"/>
    <w:rsid w:val="00C5074F"/>
    <w:rsid w:val="00C50875"/>
    <w:rsid w:val="00C5089A"/>
    <w:rsid w:val="00C50F1C"/>
    <w:rsid w:val="00C51076"/>
    <w:rsid w:val="00C52A03"/>
    <w:rsid w:val="00C53060"/>
    <w:rsid w:val="00C53283"/>
    <w:rsid w:val="00C53341"/>
    <w:rsid w:val="00C53D8B"/>
    <w:rsid w:val="00C53E16"/>
    <w:rsid w:val="00C53F96"/>
    <w:rsid w:val="00C540EB"/>
    <w:rsid w:val="00C54FD9"/>
    <w:rsid w:val="00C5572C"/>
    <w:rsid w:val="00C56296"/>
    <w:rsid w:val="00C562FA"/>
    <w:rsid w:val="00C56541"/>
    <w:rsid w:val="00C57BC2"/>
    <w:rsid w:val="00C57C70"/>
    <w:rsid w:val="00C606FE"/>
    <w:rsid w:val="00C60B1A"/>
    <w:rsid w:val="00C615E5"/>
    <w:rsid w:val="00C61F66"/>
    <w:rsid w:val="00C624B5"/>
    <w:rsid w:val="00C62646"/>
    <w:rsid w:val="00C6296F"/>
    <w:rsid w:val="00C631FB"/>
    <w:rsid w:val="00C63422"/>
    <w:rsid w:val="00C63E56"/>
    <w:rsid w:val="00C63F24"/>
    <w:rsid w:val="00C63F62"/>
    <w:rsid w:val="00C6400C"/>
    <w:rsid w:val="00C64293"/>
    <w:rsid w:val="00C64EEC"/>
    <w:rsid w:val="00C64F0C"/>
    <w:rsid w:val="00C64F1C"/>
    <w:rsid w:val="00C6586E"/>
    <w:rsid w:val="00C65E08"/>
    <w:rsid w:val="00C70154"/>
    <w:rsid w:val="00C71915"/>
    <w:rsid w:val="00C71AE2"/>
    <w:rsid w:val="00C72E1F"/>
    <w:rsid w:val="00C7304B"/>
    <w:rsid w:val="00C7317D"/>
    <w:rsid w:val="00C73828"/>
    <w:rsid w:val="00C74538"/>
    <w:rsid w:val="00C74566"/>
    <w:rsid w:val="00C75165"/>
    <w:rsid w:val="00C75648"/>
    <w:rsid w:val="00C75709"/>
    <w:rsid w:val="00C75898"/>
    <w:rsid w:val="00C75968"/>
    <w:rsid w:val="00C76280"/>
    <w:rsid w:val="00C76766"/>
    <w:rsid w:val="00C76986"/>
    <w:rsid w:val="00C76CBC"/>
    <w:rsid w:val="00C77D1C"/>
    <w:rsid w:val="00C805B2"/>
    <w:rsid w:val="00C80E2A"/>
    <w:rsid w:val="00C814F3"/>
    <w:rsid w:val="00C81840"/>
    <w:rsid w:val="00C81EB9"/>
    <w:rsid w:val="00C82C15"/>
    <w:rsid w:val="00C83EB6"/>
    <w:rsid w:val="00C85345"/>
    <w:rsid w:val="00C868A9"/>
    <w:rsid w:val="00C90242"/>
    <w:rsid w:val="00C902C2"/>
    <w:rsid w:val="00C9090E"/>
    <w:rsid w:val="00C90E1F"/>
    <w:rsid w:val="00C912C0"/>
    <w:rsid w:val="00C91C75"/>
    <w:rsid w:val="00C91D34"/>
    <w:rsid w:val="00C927B4"/>
    <w:rsid w:val="00C9284A"/>
    <w:rsid w:val="00C92B50"/>
    <w:rsid w:val="00C92E49"/>
    <w:rsid w:val="00C92F14"/>
    <w:rsid w:val="00C940D5"/>
    <w:rsid w:val="00C94BF1"/>
    <w:rsid w:val="00C956E2"/>
    <w:rsid w:val="00C95BD2"/>
    <w:rsid w:val="00C96261"/>
    <w:rsid w:val="00C96728"/>
    <w:rsid w:val="00C96A21"/>
    <w:rsid w:val="00C97EBF"/>
    <w:rsid w:val="00CA1201"/>
    <w:rsid w:val="00CA1446"/>
    <w:rsid w:val="00CA225A"/>
    <w:rsid w:val="00CA29FE"/>
    <w:rsid w:val="00CA2F55"/>
    <w:rsid w:val="00CA3232"/>
    <w:rsid w:val="00CA3497"/>
    <w:rsid w:val="00CA3756"/>
    <w:rsid w:val="00CA4755"/>
    <w:rsid w:val="00CA5BA5"/>
    <w:rsid w:val="00CA5E45"/>
    <w:rsid w:val="00CA5E6A"/>
    <w:rsid w:val="00CA6755"/>
    <w:rsid w:val="00CA6905"/>
    <w:rsid w:val="00CA72EE"/>
    <w:rsid w:val="00CA73AF"/>
    <w:rsid w:val="00CA7FDC"/>
    <w:rsid w:val="00CB073E"/>
    <w:rsid w:val="00CB167A"/>
    <w:rsid w:val="00CB168F"/>
    <w:rsid w:val="00CB1773"/>
    <w:rsid w:val="00CB1DD3"/>
    <w:rsid w:val="00CB2F5A"/>
    <w:rsid w:val="00CB3A1B"/>
    <w:rsid w:val="00CB3D98"/>
    <w:rsid w:val="00CB47F1"/>
    <w:rsid w:val="00CB4D0D"/>
    <w:rsid w:val="00CB5A33"/>
    <w:rsid w:val="00CB7C13"/>
    <w:rsid w:val="00CB7EE0"/>
    <w:rsid w:val="00CB7F6B"/>
    <w:rsid w:val="00CC018C"/>
    <w:rsid w:val="00CC063B"/>
    <w:rsid w:val="00CC0D24"/>
    <w:rsid w:val="00CC12E1"/>
    <w:rsid w:val="00CC1591"/>
    <w:rsid w:val="00CC166C"/>
    <w:rsid w:val="00CC1E71"/>
    <w:rsid w:val="00CC280F"/>
    <w:rsid w:val="00CC2867"/>
    <w:rsid w:val="00CC37F7"/>
    <w:rsid w:val="00CC39E9"/>
    <w:rsid w:val="00CC3BB2"/>
    <w:rsid w:val="00CC4D27"/>
    <w:rsid w:val="00CC4D6D"/>
    <w:rsid w:val="00CC4F75"/>
    <w:rsid w:val="00CC5965"/>
    <w:rsid w:val="00CC5A53"/>
    <w:rsid w:val="00CC5B09"/>
    <w:rsid w:val="00CC5E53"/>
    <w:rsid w:val="00CC6A31"/>
    <w:rsid w:val="00CC729F"/>
    <w:rsid w:val="00CC79A3"/>
    <w:rsid w:val="00CD071F"/>
    <w:rsid w:val="00CD14E9"/>
    <w:rsid w:val="00CD1ECE"/>
    <w:rsid w:val="00CD2520"/>
    <w:rsid w:val="00CD2B8C"/>
    <w:rsid w:val="00CD3556"/>
    <w:rsid w:val="00CD370C"/>
    <w:rsid w:val="00CD3B4B"/>
    <w:rsid w:val="00CD3D0E"/>
    <w:rsid w:val="00CD42D4"/>
    <w:rsid w:val="00CD4DEF"/>
    <w:rsid w:val="00CD4F54"/>
    <w:rsid w:val="00CD524E"/>
    <w:rsid w:val="00CD5AC3"/>
    <w:rsid w:val="00CD5C71"/>
    <w:rsid w:val="00CD5FB7"/>
    <w:rsid w:val="00CD7435"/>
    <w:rsid w:val="00CD7FF9"/>
    <w:rsid w:val="00CE041F"/>
    <w:rsid w:val="00CE0A80"/>
    <w:rsid w:val="00CE0AF9"/>
    <w:rsid w:val="00CE0D3F"/>
    <w:rsid w:val="00CE0DAE"/>
    <w:rsid w:val="00CE0E09"/>
    <w:rsid w:val="00CE0F74"/>
    <w:rsid w:val="00CE1303"/>
    <w:rsid w:val="00CE1554"/>
    <w:rsid w:val="00CE1D63"/>
    <w:rsid w:val="00CE1E6D"/>
    <w:rsid w:val="00CE2E72"/>
    <w:rsid w:val="00CE31AF"/>
    <w:rsid w:val="00CE3E53"/>
    <w:rsid w:val="00CE56A9"/>
    <w:rsid w:val="00CE5FD0"/>
    <w:rsid w:val="00CE60EA"/>
    <w:rsid w:val="00CE615F"/>
    <w:rsid w:val="00CE62D7"/>
    <w:rsid w:val="00CE6E9E"/>
    <w:rsid w:val="00CE7E24"/>
    <w:rsid w:val="00CF082C"/>
    <w:rsid w:val="00CF1134"/>
    <w:rsid w:val="00CF1319"/>
    <w:rsid w:val="00CF34DB"/>
    <w:rsid w:val="00CF35EF"/>
    <w:rsid w:val="00CF36EA"/>
    <w:rsid w:val="00CF3AC8"/>
    <w:rsid w:val="00CF46A7"/>
    <w:rsid w:val="00CF4955"/>
    <w:rsid w:val="00CF4A0D"/>
    <w:rsid w:val="00CF5E30"/>
    <w:rsid w:val="00CF5E34"/>
    <w:rsid w:val="00CF78DC"/>
    <w:rsid w:val="00CF7CCD"/>
    <w:rsid w:val="00CF7F58"/>
    <w:rsid w:val="00D0094B"/>
    <w:rsid w:val="00D016EB"/>
    <w:rsid w:val="00D0267A"/>
    <w:rsid w:val="00D03372"/>
    <w:rsid w:val="00D03616"/>
    <w:rsid w:val="00D03F0A"/>
    <w:rsid w:val="00D03F10"/>
    <w:rsid w:val="00D048C6"/>
    <w:rsid w:val="00D0508E"/>
    <w:rsid w:val="00D056A2"/>
    <w:rsid w:val="00D05851"/>
    <w:rsid w:val="00D06B40"/>
    <w:rsid w:val="00D06C84"/>
    <w:rsid w:val="00D06E41"/>
    <w:rsid w:val="00D0722B"/>
    <w:rsid w:val="00D0748E"/>
    <w:rsid w:val="00D10420"/>
    <w:rsid w:val="00D105BF"/>
    <w:rsid w:val="00D11805"/>
    <w:rsid w:val="00D12091"/>
    <w:rsid w:val="00D13086"/>
    <w:rsid w:val="00D134A8"/>
    <w:rsid w:val="00D153F3"/>
    <w:rsid w:val="00D159DC"/>
    <w:rsid w:val="00D16488"/>
    <w:rsid w:val="00D17128"/>
    <w:rsid w:val="00D173A2"/>
    <w:rsid w:val="00D174E3"/>
    <w:rsid w:val="00D17A4F"/>
    <w:rsid w:val="00D17A70"/>
    <w:rsid w:val="00D17A93"/>
    <w:rsid w:val="00D17C71"/>
    <w:rsid w:val="00D20536"/>
    <w:rsid w:val="00D206F0"/>
    <w:rsid w:val="00D21059"/>
    <w:rsid w:val="00D21188"/>
    <w:rsid w:val="00D2119D"/>
    <w:rsid w:val="00D22233"/>
    <w:rsid w:val="00D238AB"/>
    <w:rsid w:val="00D2397A"/>
    <w:rsid w:val="00D2453B"/>
    <w:rsid w:val="00D2515A"/>
    <w:rsid w:val="00D25522"/>
    <w:rsid w:val="00D26647"/>
    <w:rsid w:val="00D27FC4"/>
    <w:rsid w:val="00D3061A"/>
    <w:rsid w:val="00D3092F"/>
    <w:rsid w:val="00D30A26"/>
    <w:rsid w:val="00D3177D"/>
    <w:rsid w:val="00D31BF2"/>
    <w:rsid w:val="00D320AE"/>
    <w:rsid w:val="00D32653"/>
    <w:rsid w:val="00D32706"/>
    <w:rsid w:val="00D327B5"/>
    <w:rsid w:val="00D33251"/>
    <w:rsid w:val="00D33C9B"/>
    <w:rsid w:val="00D348B3"/>
    <w:rsid w:val="00D34C1D"/>
    <w:rsid w:val="00D35730"/>
    <w:rsid w:val="00D357D1"/>
    <w:rsid w:val="00D3618D"/>
    <w:rsid w:val="00D3690C"/>
    <w:rsid w:val="00D3798E"/>
    <w:rsid w:val="00D40591"/>
    <w:rsid w:val="00D405C4"/>
    <w:rsid w:val="00D41672"/>
    <w:rsid w:val="00D41AF7"/>
    <w:rsid w:val="00D41C76"/>
    <w:rsid w:val="00D43036"/>
    <w:rsid w:val="00D438FB"/>
    <w:rsid w:val="00D44060"/>
    <w:rsid w:val="00D451F5"/>
    <w:rsid w:val="00D45D09"/>
    <w:rsid w:val="00D46217"/>
    <w:rsid w:val="00D46338"/>
    <w:rsid w:val="00D469B9"/>
    <w:rsid w:val="00D47173"/>
    <w:rsid w:val="00D47178"/>
    <w:rsid w:val="00D4747E"/>
    <w:rsid w:val="00D47CAF"/>
    <w:rsid w:val="00D5008E"/>
    <w:rsid w:val="00D50A1A"/>
    <w:rsid w:val="00D511FC"/>
    <w:rsid w:val="00D51B74"/>
    <w:rsid w:val="00D52303"/>
    <w:rsid w:val="00D52E51"/>
    <w:rsid w:val="00D532C4"/>
    <w:rsid w:val="00D53355"/>
    <w:rsid w:val="00D53A04"/>
    <w:rsid w:val="00D53DAE"/>
    <w:rsid w:val="00D53F7D"/>
    <w:rsid w:val="00D54E6D"/>
    <w:rsid w:val="00D550A8"/>
    <w:rsid w:val="00D550E3"/>
    <w:rsid w:val="00D56843"/>
    <w:rsid w:val="00D56863"/>
    <w:rsid w:val="00D56FC0"/>
    <w:rsid w:val="00D57773"/>
    <w:rsid w:val="00D579DB"/>
    <w:rsid w:val="00D57C0E"/>
    <w:rsid w:val="00D602D6"/>
    <w:rsid w:val="00D60EA8"/>
    <w:rsid w:val="00D620E7"/>
    <w:rsid w:val="00D62F84"/>
    <w:rsid w:val="00D636DC"/>
    <w:rsid w:val="00D638E7"/>
    <w:rsid w:val="00D63CD0"/>
    <w:rsid w:val="00D6406D"/>
    <w:rsid w:val="00D64908"/>
    <w:rsid w:val="00D65422"/>
    <w:rsid w:val="00D65BF2"/>
    <w:rsid w:val="00D66BA9"/>
    <w:rsid w:val="00D66CDC"/>
    <w:rsid w:val="00D6729F"/>
    <w:rsid w:val="00D7078A"/>
    <w:rsid w:val="00D70C18"/>
    <w:rsid w:val="00D70FC6"/>
    <w:rsid w:val="00D71C42"/>
    <w:rsid w:val="00D71C7F"/>
    <w:rsid w:val="00D72634"/>
    <w:rsid w:val="00D73FA0"/>
    <w:rsid w:val="00D767A1"/>
    <w:rsid w:val="00D76CD0"/>
    <w:rsid w:val="00D76DE3"/>
    <w:rsid w:val="00D76ED3"/>
    <w:rsid w:val="00D77709"/>
    <w:rsid w:val="00D779DA"/>
    <w:rsid w:val="00D81C20"/>
    <w:rsid w:val="00D81F56"/>
    <w:rsid w:val="00D827E0"/>
    <w:rsid w:val="00D82DC9"/>
    <w:rsid w:val="00D837FA"/>
    <w:rsid w:val="00D843FC"/>
    <w:rsid w:val="00D85665"/>
    <w:rsid w:val="00D8655F"/>
    <w:rsid w:val="00D8704C"/>
    <w:rsid w:val="00D87956"/>
    <w:rsid w:val="00D905C0"/>
    <w:rsid w:val="00D912B1"/>
    <w:rsid w:val="00D91891"/>
    <w:rsid w:val="00D91C6C"/>
    <w:rsid w:val="00D91DC2"/>
    <w:rsid w:val="00D9232D"/>
    <w:rsid w:val="00D924E7"/>
    <w:rsid w:val="00D9286A"/>
    <w:rsid w:val="00D92E02"/>
    <w:rsid w:val="00D92F5F"/>
    <w:rsid w:val="00D93A0A"/>
    <w:rsid w:val="00D93E77"/>
    <w:rsid w:val="00D93EB6"/>
    <w:rsid w:val="00D940A1"/>
    <w:rsid w:val="00D94431"/>
    <w:rsid w:val="00D951E5"/>
    <w:rsid w:val="00D9615A"/>
    <w:rsid w:val="00D965D3"/>
    <w:rsid w:val="00D9677A"/>
    <w:rsid w:val="00D96B3E"/>
    <w:rsid w:val="00D97D5D"/>
    <w:rsid w:val="00D97E12"/>
    <w:rsid w:val="00DA025F"/>
    <w:rsid w:val="00DA0C30"/>
    <w:rsid w:val="00DA1485"/>
    <w:rsid w:val="00DA1659"/>
    <w:rsid w:val="00DA17B8"/>
    <w:rsid w:val="00DA1FAE"/>
    <w:rsid w:val="00DA2651"/>
    <w:rsid w:val="00DA2E0E"/>
    <w:rsid w:val="00DA3374"/>
    <w:rsid w:val="00DA43F0"/>
    <w:rsid w:val="00DA4446"/>
    <w:rsid w:val="00DA50EC"/>
    <w:rsid w:val="00DA5A73"/>
    <w:rsid w:val="00DA612F"/>
    <w:rsid w:val="00DA6248"/>
    <w:rsid w:val="00DA704B"/>
    <w:rsid w:val="00DA7770"/>
    <w:rsid w:val="00DB0226"/>
    <w:rsid w:val="00DB09A4"/>
    <w:rsid w:val="00DB0AAD"/>
    <w:rsid w:val="00DB0CA7"/>
    <w:rsid w:val="00DB1C80"/>
    <w:rsid w:val="00DB1DA7"/>
    <w:rsid w:val="00DB231C"/>
    <w:rsid w:val="00DB2CB8"/>
    <w:rsid w:val="00DB2D51"/>
    <w:rsid w:val="00DB352A"/>
    <w:rsid w:val="00DB3FAB"/>
    <w:rsid w:val="00DB4491"/>
    <w:rsid w:val="00DB4865"/>
    <w:rsid w:val="00DB55AC"/>
    <w:rsid w:val="00DB5837"/>
    <w:rsid w:val="00DB60FF"/>
    <w:rsid w:val="00DB6717"/>
    <w:rsid w:val="00DB738D"/>
    <w:rsid w:val="00DB7920"/>
    <w:rsid w:val="00DC0160"/>
    <w:rsid w:val="00DC0543"/>
    <w:rsid w:val="00DC087D"/>
    <w:rsid w:val="00DC0FC8"/>
    <w:rsid w:val="00DC152E"/>
    <w:rsid w:val="00DC2285"/>
    <w:rsid w:val="00DC2E6B"/>
    <w:rsid w:val="00DC3AE4"/>
    <w:rsid w:val="00DC3F90"/>
    <w:rsid w:val="00DC4207"/>
    <w:rsid w:val="00DC4604"/>
    <w:rsid w:val="00DC47B9"/>
    <w:rsid w:val="00DC5103"/>
    <w:rsid w:val="00DC53F4"/>
    <w:rsid w:val="00DC555E"/>
    <w:rsid w:val="00DC5D35"/>
    <w:rsid w:val="00DC7003"/>
    <w:rsid w:val="00DD1B61"/>
    <w:rsid w:val="00DD2E2A"/>
    <w:rsid w:val="00DD2F76"/>
    <w:rsid w:val="00DD37BB"/>
    <w:rsid w:val="00DD4C2B"/>
    <w:rsid w:val="00DD50E0"/>
    <w:rsid w:val="00DD5333"/>
    <w:rsid w:val="00DD57BE"/>
    <w:rsid w:val="00DD5FAA"/>
    <w:rsid w:val="00DD662E"/>
    <w:rsid w:val="00DD6B31"/>
    <w:rsid w:val="00DD6F5F"/>
    <w:rsid w:val="00DD7633"/>
    <w:rsid w:val="00DD7A08"/>
    <w:rsid w:val="00DD7ABB"/>
    <w:rsid w:val="00DE095C"/>
    <w:rsid w:val="00DE1A79"/>
    <w:rsid w:val="00DE1DF4"/>
    <w:rsid w:val="00DE238A"/>
    <w:rsid w:val="00DE23D3"/>
    <w:rsid w:val="00DE2990"/>
    <w:rsid w:val="00DE2D4B"/>
    <w:rsid w:val="00DE32BF"/>
    <w:rsid w:val="00DE3B2D"/>
    <w:rsid w:val="00DE4C91"/>
    <w:rsid w:val="00DE4D56"/>
    <w:rsid w:val="00DE67F4"/>
    <w:rsid w:val="00DE7C12"/>
    <w:rsid w:val="00DF0435"/>
    <w:rsid w:val="00DF0BE8"/>
    <w:rsid w:val="00DF1223"/>
    <w:rsid w:val="00DF1EF3"/>
    <w:rsid w:val="00DF3470"/>
    <w:rsid w:val="00DF35EF"/>
    <w:rsid w:val="00DF3971"/>
    <w:rsid w:val="00DF3BD0"/>
    <w:rsid w:val="00DF3CFF"/>
    <w:rsid w:val="00DF3D82"/>
    <w:rsid w:val="00DF3F73"/>
    <w:rsid w:val="00DF45D9"/>
    <w:rsid w:val="00DF524B"/>
    <w:rsid w:val="00DF594B"/>
    <w:rsid w:val="00DF5B19"/>
    <w:rsid w:val="00DF6EE7"/>
    <w:rsid w:val="00DF73BF"/>
    <w:rsid w:val="00E003C1"/>
    <w:rsid w:val="00E00C45"/>
    <w:rsid w:val="00E02735"/>
    <w:rsid w:val="00E02CA2"/>
    <w:rsid w:val="00E02DD9"/>
    <w:rsid w:val="00E03A90"/>
    <w:rsid w:val="00E0491C"/>
    <w:rsid w:val="00E04F0C"/>
    <w:rsid w:val="00E0554E"/>
    <w:rsid w:val="00E05550"/>
    <w:rsid w:val="00E056C1"/>
    <w:rsid w:val="00E05D48"/>
    <w:rsid w:val="00E063A4"/>
    <w:rsid w:val="00E06439"/>
    <w:rsid w:val="00E06C1B"/>
    <w:rsid w:val="00E07395"/>
    <w:rsid w:val="00E07418"/>
    <w:rsid w:val="00E0743F"/>
    <w:rsid w:val="00E07EC2"/>
    <w:rsid w:val="00E10879"/>
    <w:rsid w:val="00E11FFA"/>
    <w:rsid w:val="00E127FB"/>
    <w:rsid w:val="00E12946"/>
    <w:rsid w:val="00E131FC"/>
    <w:rsid w:val="00E13479"/>
    <w:rsid w:val="00E13E64"/>
    <w:rsid w:val="00E1440A"/>
    <w:rsid w:val="00E1592A"/>
    <w:rsid w:val="00E15D25"/>
    <w:rsid w:val="00E169D5"/>
    <w:rsid w:val="00E2080F"/>
    <w:rsid w:val="00E20C72"/>
    <w:rsid w:val="00E213E0"/>
    <w:rsid w:val="00E22585"/>
    <w:rsid w:val="00E22811"/>
    <w:rsid w:val="00E2329D"/>
    <w:rsid w:val="00E242AD"/>
    <w:rsid w:val="00E250DF"/>
    <w:rsid w:val="00E25172"/>
    <w:rsid w:val="00E264CC"/>
    <w:rsid w:val="00E26C16"/>
    <w:rsid w:val="00E26CE6"/>
    <w:rsid w:val="00E26EB8"/>
    <w:rsid w:val="00E27059"/>
    <w:rsid w:val="00E272AB"/>
    <w:rsid w:val="00E272C2"/>
    <w:rsid w:val="00E27732"/>
    <w:rsid w:val="00E30DD3"/>
    <w:rsid w:val="00E31578"/>
    <w:rsid w:val="00E32066"/>
    <w:rsid w:val="00E320DB"/>
    <w:rsid w:val="00E32158"/>
    <w:rsid w:val="00E32351"/>
    <w:rsid w:val="00E329C7"/>
    <w:rsid w:val="00E33621"/>
    <w:rsid w:val="00E33C90"/>
    <w:rsid w:val="00E34142"/>
    <w:rsid w:val="00E343FA"/>
    <w:rsid w:val="00E34D89"/>
    <w:rsid w:val="00E34F70"/>
    <w:rsid w:val="00E34FF8"/>
    <w:rsid w:val="00E3517A"/>
    <w:rsid w:val="00E35411"/>
    <w:rsid w:val="00E35EBD"/>
    <w:rsid w:val="00E405E3"/>
    <w:rsid w:val="00E409B6"/>
    <w:rsid w:val="00E41053"/>
    <w:rsid w:val="00E412D8"/>
    <w:rsid w:val="00E4139C"/>
    <w:rsid w:val="00E41A5F"/>
    <w:rsid w:val="00E41E7C"/>
    <w:rsid w:val="00E428E0"/>
    <w:rsid w:val="00E42D0B"/>
    <w:rsid w:val="00E42E42"/>
    <w:rsid w:val="00E434D8"/>
    <w:rsid w:val="00E445D0"/>
    <w:rsid w:val="00E44712"/>
    <w:rsid w:val="00E44F0C"/>
    <w:rsid w:val="00E4536E"/>
    <w:rsid w:val="00E459E4"/>
    <w:rsid w:val="00E4636A"/>
    <w:rsid w:val="00E4638D"/>
    <w:rsid w:val="00E46D5A"/>
    <w:rsid w:val="00E46D9C"/>
    <w:rsid w:val="00E4717D"/>
    <w:rsid w:val="00E4792C"/>
    <w:rsid w:val="00E501AA"/>
    <w:rsid w:val="00E51D34"/>
    <w:rsid w:val="00E52653"/>
    <w:rsid w:val="00E52B61"/>
    <w:rsid w:val="00E53105"/>
    <w:rsid w:val="00E5495C"/>
    <w:rsid w:val="00E54FF5"/>
    <w:rsid w:val="00E55316"/>
    <w:rsid w:val="00E55405"/>
    <w:rsid w:val="00E55981"/>
    <w:rsid w:val="00E56318"/>
    <w:rsid w:val="00E56900"/>
    <w:rsid w:val="00E56C18"/>
    <w:rsid w:val="00E56F9D"/>
    <w:rsid w:val="00E6009B"/>
    <w:rsid w:val="00E6026F"/>
    <w:rsid w:val="00E604B9"/>
    <w:rsid w:val="00E60806"/>
    <w:rsid w:val="00E60A6B"/>
    <w:rsid w:val="00E60DAD"/>
    <w:rsid w:val="00E61893"/>
    <w:rsid w:val="00E61B59"/>
    <w:rsid w:val="00E61CD8"/>
    <w:rsid w:val="00E6287A"/>
    <w:rsid w:val="00E62C17"/>
    <w:rsid w:val="00E637C8"/>
    <w:rsid w:val="00E63BB2"/>
    <w:rsid w:val="00E63DA2"/>
    <w:rsid w:val="00E64327"/>
    <w:rsid w:val="00E64A2C"/>
    <w:rsid w:val="00E65084"/>
    <w:rsid w:val="00E65244"/>
    <w:rsid w:val="00E65B76"/>
    <w:rsid w:val="00E65BBA"/>
    <w:rsid w:val="00E66568"/>
    <w:rsid w:val="00E672B3"/>
    <w:rsid w:val="00E67676"/>
    <w:rsid w:val="00E67D4E"/>
    <w:rsid w:val="00E67DF2"/>
    <w:rsid w:val="00E67E7A"/>
    <w:rsid w:val="00E70685"/>
    <w:rsid w:val="00E70C81"/>
    <w:rsid w:val="00E70D80"/>
    <w:rsid w:val="00E71683"/>
    <w:rsid w:val="00E71BE5"/>
    <w:rsid w:val="00E73122"/>
    <w:rsid w:val="00E7320C"/>
    <w:rsid w:val="00E734A2"/>
    <w:rsid w:val="00E73865"/>
    <w:rsid w:val="00E73B85"/>
    <w:rsid w:val="00E73E37"/>
    <w:rsid w:val="00E73FA3"/>
    <w:rsid w:val="00E74051"/>
    <w:rsid w:val="00E74842"/>
    <w:rsid w:val="00E74E6B"/>
    <w:rsid w:val="00E75AB5"/>
    <w:rsid w:val="00E75FA0"/>
    <w:rsid w:val="00E76A15"/>
    <w:rsid w:val="00E76ECC"/>
    <w:rsid w:val="00E772CC"/>
    <w:rsid w:val="00E773FB"/>
    <w:rsid w:val="00E77FBC"/>
    <w:rsid w:val="00E80691"/>
    <w:rsid w:val="00E81F80"/>
    <w:rsid w:val="00E825CE"/>
    <w:rsid w:val="00E82642"/>
    <w:rsid w:val="00E827A7"/>
    <w:rsid w:val="00E830A3"/>
    <w:rsid w:val="00E8341A"/>
    <w:rsid w:val="00E84548"/>
    <w:rsid w:val="00E84B9D"/>
    <w:rsid w:val="00E84F8B"/>
    <w:rsid w:val="00E8542A"/>
    <w:rsid w:val="00E854DE"/>
    <w:rsid w:val="00E85DC6"/>
    <w:rsid w:val="00E85F33"/>
    <w:rsid w:val="00E86342"/>
    <w:rsid w:val="00E91650"/>
    <w:rsid w:val="00E92F0F"/>
    <w:rsid w:val="00E93279"/>
    <w:rsid w:val="00E93351"/>
    <w:rsid w:val="00E93986"/>
    <w:rsid w:val="00E9423F"/>
    <w:rsid w:val="00E94A02"/>
    <w:rsid w:val="00E95117"/>
    <w:rsid w:val="00E960EC"/>
    <w:rsid w:val="00E96D98"/>
    <w:rsid w:val="00E97604"/>
    <w:rsid w:val="00E97DCE"/>
    <w:rsid w:val="00EA216F"/>
    <w:rsid w:val="00EA2B8F"/>
    <w:rsid w:val="00EA2D4C"/>
    <w:rsid w:val="00EA31E3"/>
    <w:rsid w:val="00EA39B2"/>
    <w:rsid w:val="00EA3F1C"/>
    <w:rsid w:val="00EA4757"/>
    <w:rsid w:val="00EA571E"/>
    <w:rsid w:val="00EA5BD8"/>
    <w:rsid w:val="00EA5D1F"/>
    <w:rsid w:val="00EA6789"/>
    <w:rsid w:val="00EA76C8"/>
    <w:rsid w:val="00EA7D6C"/>
    <w:rsid w:val="00EB0AA6"/>
    <w:rsid w:val="00EB0EAA"/>
    <w:rsid w:val="00EB1C8C"/>
    <w:rsid w:val="00EB1E5C"/>
    <w:rsid w:val="00EB1FE0"/>
    <w:rsid w:val="00EB23E4"/>
    <w:rsid w:val="00EB2E51"/>
    <w:rsid w:val="00EB3ECC"/>
    <w:rsid w:val="00EB40DF"/>
    <w:rsid w:val="00EB4783"/>
    <w:rsid w:val="00EB4E21"/>
    <w:rsid w:val="00EB5067"/>
    <w:rsid w:val="00EB6408"/>
    <w:rsid w:val="00EB7E0D"/>
    <w:rsid w:val="00EC047C"/>
    <w:rsid w:val="00EC0783"/>
    <w:rsid w:val="00EC1DF3"/>
    <w:rsid w:val="00EC28B5"/>
    <w:rsid w:val="00EC2AAC"/>
    <w:rsid w:val="00EC2C87"/>
    <w:rsid w:val="00EC2D27"/>
    <w:rsid w:val="00EC31A9"/>
    <w:rsid w:val="00EC3400"/>
    <w:rsid w:val="00EC3BEB"/>
    <w:rsid w:val="00EC4998"/>
    <w:rsid w:val="00EC4C3E"/>
    <w:rsid w:val="00EC4E2C"/>
    <w:rsid w:val="00EC6651"/>
    <w:rsid w:val="00EC6B2F"/>
    <w:rsid w:val="00EC6E26"/>
    <w:rsid w:val="00EC6E5E"/>
    <w:rsid w:val="00ED0AB4"/>
    <w:rsid w:val="00ED1886"/>
    <w:rsid w:val="00ED1C3A"/>
    <w:rsid w:val="00ED230A"/>
    <w:rsid w:val="00ED2D74"/>
    <w:rsid w:val="00ED2F94"/>
    <w:rsid w:val="00ED36C7"/>
    <w:rsid w:val="00ED4244"/>
    <w:rsid w:val="00ED4F3E"/>
    <w:rsid w:val="00ED500B"/>
    <w:rsid w:val="00ED5628"/>
    <w:rsid w:val="00ED57D6"/>
    <w:rsid w:val="00ED68B8"/>
    <w:rsid w:val="00ED7969"/>
    <w:rsid w:val="00ED7E19"/>
    <w:rsid w:val="00EE0C74"/>
    <w:rsid w:val="00EE0CB3"/>
    <w:rsid w:val="00EE1882"/>
    <w:rsid w:val="00EE1EB5"/>
    <w:rsid w:val="00EE22D6"/>
    <w:rsid w:val="00EE23CE"/>
    <w:rsid w:val="00EE2535"/>
    <w:rsid w:val="00EE2818"/>
    <w:rsid w:val="00EE308D"/>
    <w:rsid w:val="00EE44CC"/>
    <w:rsid w:val="00EE5919"/>
    <w:rsid w:val="00EE5AA2"/>
    <w:rsid w:val="00EE6463"/>
    <w:rsid w:val="00EE67BD"/>
    <w:rsid w:val="00EF1078"/>
    <w:rsid w:val="00EF108C"/>
    <w:rsid w:val="00EF1738"/>
    <w:rsid w:val="00EF33C7"/>
    <w:rsid w:val="00EF3ED4"/>
    <w:rsid w:val="00EF445E"/>
    <w:rsid w:val="00EF44E7"/>
    <w:rsid w:val="00EF50D9"/>
    <w:rsid w:val="00EF50FC"/>
    <w:rsid w:val="00EF5FF0"/>
    <w:rsid w:val="00EF69E8"/>
    <w:rsid w:val="00EF6D3F"/>
    <w:rsid w:val="00EF7422"/>
    <w:rsid w:val="00EF79D2"/>
    <w:rsid w:val="00EF7A55"/>
    <w:rsid w:val="00F001EA"/>
    <w:rsid w:val="00F03CDC"/>
    <w:rsid w:val="00F0523B"/>
    <w:rsid w:val="00F05A30"/>
    <w:rsid w:val="00F067BE"/>
    <w:rsid w:val="00F069DE"/>
    <w:rsid w:val="00F06D91"/>
    <w:rsid w:val="00F07604"/>
    <w:rsid w:val="00F07EC8"/>
    <w:rsid w:val="00F10B57"/>
    <w:rsid w:val="00F1280B"/>
    <w:rsid w:val="00F13136"/>
    <w:rsid w:val="00F1332A"/>
    <w:rsid w:val="00F13BC5"/>
    <w:rsid w:val="00F13DCE"/>
    <w:rsid w:val="00F14E0B"/>
    <w:rsid w:val="00F14ECF"/>
    <w:rsid w:val="00F153DB"/>
    <w:rsid w:val="00F157F6"/>
    <w:rsid w:val="00F16356"/>
    <w:rsid w:val="00F16C0D"/>
    <w:rsid w:val="00F175C9"/>
    <w:rsid w:val="00F201DE"/>
    <w:rsid w:val="00F20760"/>
    <w:rsid w:val="00F20C12"/>
    <w:rsid w:val="00F21434"/>
    <w:rsid w:val="00F217F3"/>
    <w:rsid w:val="00F2368B"/>
    <w:rsid w:val="00F2451E"/>
    <w:rsid w:val="00F24A9D"/>
    <w:rsid w:val="00F25249"/>
    <w:rsid w:val="00F253C9"/>
    <w:rsid w:val="00F2553E"/>
    <w:rsid w:val="00F25775"/>
    <w:rsid w:val="00F25CBD"/>
    <w:rsid w:val="00F25D10"/>
    <w:rsid w:val="00F26A19"/>
    <w:rsid w:val="00F26B8B"/>
    <w:rsid w:val="00F27C14"/>
    <w:rsid w:val="00F27D94"/>
    <w:rsid w:val="00F30089"/>
    <w:rsid w:val="00F30302"/>
    <w:rsid w:val="00F3069D"/>
    <w:rsid w:val="00F31186"/>
    <w:rsid w:val="00F31EB0"/>
    <w:rsid w:val="00F3305D"/>
    <w:rsid w:val="00F3325A"/>
    <w:rsid w:val="00F342F1"/>
    <w:rsid w:val="00F35218"/>
    <w:rsid w:val="00F356CD"/>
    <w:rsid w:val="00F35F9B"/>
    <w:rsid w:val="00F360E3"/>
    <w:rsid w:val="00F361DD"/>
    <w:rsid w:val="00F371AD"/>
    <w:rsid w:val="00F374BD"/>
    <w:rsid w:val="00F37E33"/>
    <w:rsid w:val="00F40930"/>
    <w:rsid w:val="00F40C7D"/>
    <w:rsid w:val="00F40D63"/>
    <w:rsid w:val="00F41A31"/>
    <w:rsid w:val="00F432E3"/>
    <w:rsid w:val="00F47449"/>
    <w:rsid w:val="00F50157"/>
    <w:rsid w:val="00F50398"/>
    <w:rsid w:val="00F5075F"/>
    <w:rsid w:val="00F50F48"/>
    <w:rsid w:val="00F5151C"/>
    <w:rsid w:val="00F5167C"/>
    <w:rsid w:val="00F51D56"/>
    <w:rsid w:val="00F52372"/>
    <w:rsid w:val="00F5248D"/>
    <w:rsid w:val="00F52FD3"/>
    <w:rsid w:val="00F53D81"/>
    <w:rsid w:val="00F541E7"/>
    <w:rsid w:val="00F5430E"/>
    <w:rsid w:val="00F544A1"/>
    <w:rsid w:val="00F54560"/>
    <w:rsid w:val="00F54784"/>
    <w:rsid w:val="00F5494D"/>
    <w:rsid w:val="00F556FF"/>
    <w:rsid w:val="00F56EFC"/>
    <w:rsid w:val="00F56FB2"/>
    <w:rsid w:val="00F57FAA"/>
    <w:rsid w:val="00F60222"/>
    <w:rsid w:val="00F603D1"/>
    <w:rsid w:val="00F60ACC"/>
    <w:rsid w:val="00F60E16"/>
    <w:rsid w:val="00F60F1B"/>
    <w:rsid w:val="00F61EC4"/>
    <w:rsid w:val="00F61EFD"/>
    <w:rsid w:val="00F625E0"/>
    <w:rsid w:val="00F62B85"/>
    <w:rsid w:val="00F630FF"/>
    <w:rsid w:val="00F6350C"/>
    <w:rsid w:val="00F63515"/>
    <w:rsid w:val="00F639F5"/>
    <w:rsid w:val="00F63C30"/>
    <w:rsid w:val="00F6404F"/>
    <w:rsid w:val="00F6416D"/>
    <w:rsid w:val="00F645E3"/>
    <w:rsid w:val="00F64B65"/>
    <w:rsid w:val="00F651F0"/>
    <w:rsid w:val="00F65327"/>
    <w:rsid w:val="00F65F2D"/>
    <w:rsid w:val="00F668F1"/>
    <w:rsid w:val="00F66FA2"/>
    <w:rsid w:val="00F70AAF"/>
    <w:rsid w:val="00F71300"/>
    <w:rsid w:val="00F71FB7"/>
    <w:rsid w:val="00F72C71"/>
    <w:rsid w:val="00F72DBC"/>
    <w:rsid w:val="00F74123"/>
    <w:rsid w:val="00F74B24"/>
    <w:rsid w:val="00F75052"/>
    <w:rsid w:val="00F753AD"/>
    <w:rsid w:val="00F764F4"/>
    <w:rsid w:val="00F77600"/>
    <w:rsid w:val="00F800B7"/>
    <w:rsid w:val="00F800B8"/>
    <w:rsid w:val="00F8070C"/>
    <w:rsid w:val="00F809F7"/>
    <w:rsid w:val="00F80E84"/>
    <w:rsid w:val="00F814AA"/>
    <w:rsid w:val="00F81868"/>
    <w:rsid w:val="00F81945"/>
    <w:rsid w:val="00F824C2"/>
    <w:rsid w:val="00F82915"/>
    <w:rsid w:val="00F82CE7"/>
    <w:rsid w:val="00F83272"/>
    <w:rsid w:val="00F83723"/>
    <w:rsid w:val="00F83842"/>
    <w:rsid w:val="00F84106"/>
    <w:rsid w:val="00F843B9"/>
    <w:rsid w:val="00F84AA8"/>
    <w:rsid w:val="00F85260"/>
    <w:rsid w:val="00F853A1"/>
    <w:rsid w:val="00F85A7E"/>
    <w:rsid w:val="00F85EA3"/>
    <w:rsid w:val="00F86324"/>
    <w:rsid w:val="00F872A1"/>
    <w:rsid w:val="00F87A75"/>
    <w:rsid w:val="00F87C38"/>
    <w:rsid w:val="00F906CA"/>
    <w:rsid w:val="00F90834"/>
    <w:rsid w:val="00F90FEB"/>
    <w:rsid w:val="00F91427"/>
    <w:rsid w:val="00F91A46"/>
    <w:rsid w:val="00F922DF"/>
    <w:rsid w:val="00F92EDF"/>
    <w:rsid w:val="00F93214"/>
    <w:rsid w:val="00F9399F"/>
    <w:rsid w:val="00F93D88"/>
    <w:rsid w:val="00F93EDB"/>
    <w:rsid w:val="00F94C12"/>
    <w:rsid w:val="00F94E44"/>
    <w:rsid w:val="00F95235"/>
    <w:rsid w:val="00F9527E"/>
    <w:rsid w:val="00F95538"/>
    <w:rsid w:val="00F95810"/>
    <w:rsid w:val="00F95F3F"/>
    <w:rsid w:val="00F9669F"/>
    <w:rsid w:val="00F97268"/>
    <w:rsid w:val="00F977AE"/>
    <w:rsid w:val="00F9796D"/>
    <w:rsid w:val="00F97AEC"/>
    <w:rsid w:val="00F97FD4"/>
    <w:rsid w:val="00FA0BBC"/>
    <w:rsid w:val="00FA20A5"/>
    <w:rsid w:val="00FA232F"/>
    <w:rsid w:val="00FA25E1"/>
    <w:rsid w:val="00FA2F36"/>
    <w:rsid w:val="00FA386D"/>
    <w:rsid w:val="00FA3D4B"/>
    <w:rsid w:val="00FA438E"/>
    <w:rsid w:val="00FA461E"/>
    <w:rsid w:val="00FA4A66"/>
    <w:rsid w:val="00FA4DBF"/>
    <w:rsid w:val="00FA4F61"/>
    <w:rsid w:val="00FA5435"/>
    <w:rsid w:val="00FA5679"/>
    <w:rsid w:val="00FA568E"/>
    <w:rsid w:val="00FA612D"/>
    <w:rsid w:val="00FA6340"/>
    <w:rsid w:val="00FB08DA"/>
    <w:rsid w:val="00FB0B97"/>
    <w:rsid w:val="00FB10FE"/>
    <w:rsid w:val="00FB1402"/>
    <w:rsid w:val="00FB163F"/>
    <w:rsid w:val="00FB1AA8"/>
    <w:rsid w:val="00FB2BF0"/>
    <w:rsid w:val="00FB311D"/>
    <w:rsid w:val="00FB32B2"/>
    <w:rsid w:val="00FB35C9"/>
    <w:rsid w:val="00FB374E"/>
    <w:rsid w:val="00FB3856"/>
    <w:rsid w:val="00FB3D34"/>
    <w:rsid w:val="00FB3E91"/>
    <w:rsid w:val="00FB3EDA"/>
    <w:rsid w:val="00FB43CE"/>
    <w:rsid w:val="00FB48E0"/>
    <w:rsid w:val="00FB54C1"/>
    <w:rsid w:val="00FB5990"/>
    <w:rsid w:val="00FB61AA"/>
    <w:rsid w:val="00FB6777"/>
    <w:rsid w:val="00FB6924"/>
    <w:rsid w:val="00FB6EAD"/>
    <w:rsid w:val="00FB6FDA"/>
    <w:rsid w:val="00FB710E"/>
    <w:rsid w:val="00FB7DDB"/>
    <w:rsid w:val="00FB7EC9"/>
    <w:rsid w:val="00FC0861"/>
    <w:rsid w:val="00FC09B5"/>
    <w:rsid w:val="00FC1963"/>
    <w:rsid w:val="00FC1FC6"/>
    <w:rsid w:val="00FC30EB"/>
    <w:rsid w:val="00FC333E"/>
    <w:rsid w:val="00FC3680"/>
    <w:rsid w:val="00FC387B"/>
    <w:rsid w:val="00FC38DA"/>
    <w:rsid w:val="00FC5BDD"/>
    <w:rsid w:val="00FC5C64"/>
    <w:rsid w:val="00FC5E1F"/>
    <w:rsid w:val="00FC5FC1"/>
    <w:rsid w:val="00FC66A2"/>
    <w:rsid w:val="00FC6BB2"/>
    <w:rsid w:val="00FD0157"/>
    <w:rsid w:val="00FD0708"/>
    <w:rsid w:val="00FD09E2"/>
    <w:rsid w:val="00FD16CA"/>
    <w:rsid w:val="00FD272A"/>
    <w:rsid w:val="00FD3991"/>
    <w:rsid w:val="00FD4570"/>
    <w:rsid w:val="00FD4EF2"/>
    <w:rsid w:val="00FD5744"/>
    <w:rsid w:val="00FD6BE7"/>
    <w:rsid w:val="00FD717D"/>
    <w:rsid w:val="00FD725A"/>
    <w:rsid w:val="00FD7509"/>
    <w:rsid w:val="00FD7560"/>
    <w:rsid w:val="00FD7591"/>
    <w:rsid w:val="00FE0714"/>
    <w:rsid w:val="00FE0E6E"/>
    <w:rsid w:val="00FE0F22"/>
    <w:rsid w:val="00FE351B"/>
    <w:rsid w:val="00FE39B4"/>
    <w:rsid w:val="00FE3D4A"/>
    <w:rsid w:val="00FE459C"/>
    <w:rsid w:val="00FE46C8"/>
    <w:rsid w:val="00FE501F"/>
    <w:rsid w:val="00FE527E"/>
    <w:rsid w:val="00FE66EA"/>
    <w:rsid w:val="00FE6FBF"/>
    <w:rsid w:val="00FF0222"/>
    <w:rsid w:val="00FF0607"/>
    <w:rsid w:val="00FF08B9"/>
    <w:rsid w:val="00FF0F8D"/>
    <w:rsid w:val="00FF189B"/>
    <w:rsid w:val="00FF1ACA"/>
    <w:rsid w:val="00FF1FE4"/>
    <w:rsid w:val="00FF256C"/>
    <w:rsid w:val="00FF27CC"/>
    <w:rsid w:val="00FF2B1F"/>
    <w:rsid w:val="00FF36FD"/>
    <w:rsid w:val="00FF37AC"/>
    <w:rsid w:val="00FF4408"/>
    <w:rsid w:val="00FF49D7"/>
    <w:rsid w:val="00FF4BA7"/>
    <w:rsid w:val="00FF5005"/>
    <w:rsid w:val="00FF5840"/>
    <w:rsid w:val="00FF59AB"/>
    <w:rsid w:val="00FF5D34"/>
    <w:rsid w:val="00FF6118"/>
    <w:rsid w:val="00FF6DFF"/>
    <w:rsid w:val="00FF6F82"/>
    <w:rsid w:val="0DFF628D"/>
    <w:rsid w:val="1D2C23E7"/>
    <w:rsid w:val="213F3EE4"/>
    <w:rsid w:val="2CD7519D"/>
    <w:rsid w:val="2D104769"/>
    <w:rsid w:val="2D48C921"/>
    <w:rsid w:val="3031474A"/>
    <w:rsid w:val="404AB0A7"/>
    <w:rsid w:val="48231B1C"/>
    <w:rsid w:val="5851A375"/>
    <w:rsid w:val="5D5F32A9"/>
    <w:rsid w:val="5FF814A3"/>
    <w:rsid w:val="649ADA57"/>
    <w:rsid w:val="67AC2A4F"/>
    <w:rsid w:val="6C4F274B"/>
    <w:rsid w:val="712F72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47281"/>
  <w15:docId w15:val="{0A4DCC3F-3A99-469A-876A-7597C0AB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64" w:lineRule="auto"/>
    </w:pPr>
    <w:rPr>
      <w:rFonts w:ascii="Arial" w:hAnsi="Arial"/>
      <w:sz w:val="22"/>
      <w:szCs w:val="24"/>
    </w:rPr>
  </w:style>
  <w:style w:type="paragraph" w:styleId="Heading1">
    <w:name w:val="heading 1"/>
    <w:basedOn w:val="Normal"/>
    <w:next w:val="Normal"/>
    <w:link w:val="Heading1Char"/>
    <w:qFormat/>
    <w:rsid w:val="007B4DA7"/>
    <w:pPr>
      <w:outlineLvl w:val="0"/>
    </w:pPr>
    <w:rPr>
      <w:rFonts w:cs="Arial"/>
      <w:b/>
      <w:bCs/>
      <w:szCs w:val="22"/>
    </w:rPr>
  </w:style>
  <w:style w:type="paragraph" w:styleId="Heading2">
    <w:name w:val="heading 2"/>
    <w:basedOn w:val="Normal"/>
    <w:next w:val="Normal"/>
    <w:link w:val="Heading2Char"/>
    <w:qFormat/>
    <w:rsid w:val="00E827A7"/>
    <w:pPr>
      <w:keepNext/>
      <w:outlineLvl w:val="1"/>
    </w:pPr>
    <w:rPr>
      <w:rFonts w:cs="Arial"/>
      <w:b/>
      <w:bCs/>
      <w:szCs w:val="22"/>
    </w:rPr>
  </w:style>
  <w:style w:type="paragraph" w:styleId="Heading3">
    <w:name w:val="heading 3"/>
    <w:basedOn w:val="Normal"/>
    <w:next w:val="Normal"/>
    <w:link w:val="Heading3Char"/>
    <w:qFormat/>
    <w:rsid w:val="00851498"/>
    <w:pPr>
      <w:keepNext/>
      <w:tabs>
        <w:tab w:val="left" w:pos="0"/>
        <w:tab w:val="left" w:pos="720"/>
        <w:tab w:val="left" w:pos="2160"/>
      </w:tabs>
      <w:outlineLvl w:val="2"/>
    </w:pPr>
    <w:rPr>
      <w:rFonts w:cs="Arial"/>
      <w:i/>
      <w:iCs/>
      <w:szCs w:val="22"/>
      <w:u w:val="single"/>
    </w:rPr>
  </w:style>
  <w:style w:type="paragraph" w:styleId="Heading4">
    <w:name w:val="heading 4"/>
    <w:basedOn w:val="Normal"/>
    <w:next w:val="Normal"/>
    <w:link w:val="Heading4Char"/>
    <w:qFormat/>
    <w:rsid w:val="001643DE"/>
    <w:pPr>
      <w:keepNext/>
      <w:keepLines/>
      <w:numPr>
        <w:ilvl w:val="12"/>
      </w:numPr>
      <w:outlineLvl w:val="3"/>
    </w:pPr>
    <w:rPr>
      <w:rFonts w:cs="Arial"/>
      <w:b/>
      <w:i/>
      <w:iCs/>
      <w:szCs w:val="22"/>
    </w:rPr>
  </w:style>
  <w:style w:type="paragraph" w:styleId="Heading5">
    <w:name w:val="heading 5"/>
    <w:basedOn w:val="Normal"/>
    <w:next w:val="Normal"/>
    <w:link w:val="Heading5Char"/>
    <w:qFormat/>
    <w:pPr>
      <w:keepNext/>
      <w:outlineLvl w:val="4"/>
    </w:pPr>
    <w:rPr>
      <w:rFonts w:cs="Arial"/>
      <w:b/>
      <w:bCs/>
      <w:sz w:val="20"/>
    </w:rPr>
  </w:style>
  <w:style w:type="paragraph" w:styleId="Heading6">
    <w:name w:val="heading 6"/>
    <w:basedOn w:val="Normal"/>
    <w:next w:val="Normal"/>
    <w:link w:val="Heading6Char"/>
    <w:qFormat/>
    <w:pPr>
      <w:keepNext/>
      <w:numPr>
        <w:ilvl w:val="12"/>
      </w:numPr>
      <w:tabs>
        <w:tab w:val="left" w:pos="0"/>
        <w:tab w:val="left" w:pos="720"/>
        <w:tab w:val="left" w:pos="1440"/>
      </w:tabs>
      <w:spacing w:before="2"/>
      <w:jc w:val="center"/>
      <w:outlineLvl w:val="5"/>
    </w:pPr>
    <w:rPr>
      <w:rFonts w:cs="Arial"/>
      <w:b/>
      <w:bCs/>
      <w:sz w:val="20"/>
    </w:rPr>
  </w:style>
  <w:style w:type="paragraph" w:styleId="Heading7">
    <w:name w:val="heading 7"/>
    <w:basedOn w:val="Normal"/>
    <w:next w:val="Normal"/>
    <w:link w:val="Heading7Char"/>
    <w:qFormat/>
    <w:pPr>
      <w:keepNext/>
      <w:spacing w:line="0" w:lineRule="atLeast"/>
      <w:outlineLvl w:val="6"/>
    </w:pPr>
    <w:rPr>
      <w:i/>
      <w:iCs/>
      <w:szCs w:val="20"/>
    </w:rPr>
  </w:style>
  <w:style w:type="paragraph" w:styleId="Heading8">
    <w:name w:val="heading 8"/>
    <w:basedOn w:val="Normal"/>
    <w:next w:val="Normal"/>
    <w:link w:val="Heading8Char"/>
    <w:qFormat/>
    <w:pPr>
      <w:keepNext/>
      <w:jc w:val="center"/>
      <w:outlineLvl w:val="7"/>
    </w:pPr>
    <w:rPr>
      <w:rFonts w:cs="Arial"/>
      <w:b/>
      <w:bCs/>
      <w:sz w:val="21"/>
      <w:szCs w:val="21"/>
    </w:rPr>
  </w:style>
  <w:style w:type="paragraph" w:styleId="Heading9">
    <w:name w:val="heading 9"/>
    <w:basedOn w:val="Normal"/>
    <w:next w:val="Normal"/>
    <w:link w:val="Heading9Char"/>
    <w:qFormat/>
    <w:rsid w:val="00C83EB6"/>
    <w:pPr>
      <w:widowControl w:val="0"/>
      <w:autoSpaceDE w:val="0"/>
      <w:autoSpaceDN w:val="0"/>
      <w:adjustRightInd w:val="0"/>
      <w:spacing w:before="240" w:after="60" w:line="24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DDB"/>
    <w:rPr>
      <w:rFonts w:ascii="Arial" w:hAnsi="Arial" w:cs="Arial"/>
      <w:b/>
      <w:bCs/>
      <w:sz w:val="22"/>
      <w:szCs w:val="22"/>
    </w:rPr>
  </w:style>
  <w:style w:type="character" w:customStyle="1" w:styleId="Heading2Char">
    <w:name w:val="Heading 2 Char"/>
    <w:basedOn w:val="DefaultParagraphFont"/>
    <w:link w:val="Heading2"/>
    <w:rsid w:val="000A5DDB"/>
    <w:rPr>
      <w:rFonts w:ascii="Arial" w:hAnsi="Arial" w:cs="Arial"/>
      <w:b/>
      <w:bCs/>
      <w:sz w:val="22"/>
      <w:szCs w:val="22"/>
    </w:rPr>
  </w:style>
  <w:style w:type="character" w:customStyle="1" w:styleId="Heading3Char">
    <w:name w:val="Heading 3 Char"/>
    <w:basedOn w:val="DefaultParagraphFont"/>
    <w:link w:val="Heading3"/>
    <w:uiPriority w:val="9"/>
    <w:rsid w:val="000A5DDB"/>
    <w:rPr>
      <w:rFonts w:ascii="Arial" w:hAnsi="Arial" w:cs="Arial"/>
      <w:i/>
      <w:iCs/>
      <w:sz w:val="22"/>
      <w:szCs w:val="22"/>
      <w:u w:val="single"/>
    </w:rPr>
  </w:style>
  <w:style w:type="character" w:customStyle="1" w:styleId="Heading4Char">
    <w:name w:val="Heading 4 Char"/>
    <w:basedOn w:val="DefaultParagraphFont"/>
    <w:link w:val="Heading4"/>
    <w:rsid w:val="000A5DDB"/>
    <w:rPr>
      <w:rFonts w:ascii="Arial" w:hAnsi="Arial" w:cs="Arial"/>
      <w:b/>
      <w:i/>
      <w:iCs/>
      <w:sz w:val="22"/>
      <w:szCs w:val="22"/>
    </w:rPr>
  </w:style>
  <w:style w:type="character" w:customStyle="1" w:styleId="Heading5Char">
    <w:name w:val="Heading 5 Char"/>
    <w:basedOn w:val="DefaultParagraphFont"/>
    <w:link w:val="Heading5"/>
    <w:rsid w:val="000A5DDB"/>
    <w:rPr>
      <w:rFonts w:ascii="Arial" w:hAnsi="Arial" w:cs="Arial"/>
      <w:b/>
      <w:bCs/>
      <w:szCs w:val="24"/>
    </w:rPr>
  </w:style>
  <w:style w:type="character" w:customStyle="1" w:styleId="Heading6Char">
    <w:name w:val="Heading 6 Char"/>
    <w:basedOn w:val="DefaultParagraphFont"/>
    <w:link w:val="Heading6"/>
    <w:rsid w:val="000A5DDB"/>
    <w:rPr>
      <w:rFonts w:ascii="Arial" w:hAnsi="Arial" w:cs="Arial"/>
      <w:b/>
      <w:bCs/>
      <w:szCs w:val="24"/>
    </w:rPr>
  </w:style>
  <w:style w:type="character" w:customStyle="1" w:styleId="Heading7Char">
    <w:name w:val="Heading 7 Char"/>
    <w:basedOn w:val="DefaultParagraphFont"/>
    <w:link w:val="Heading7"/>
    <w:rsid w:val="000A5DDB"/>
    <w:rPr>
      <w:rFonts w:ascii="Arial" w:hAnsi="Arial"/>
      <w:i/>
      <w:iCs/>
      <w:sz w:val="22"/>
    </w:rPr>
  </w:style>
  <w:style w:type="character" w:customStyle="1" w:styleId="Heading8Char">
    <w:name w:val="Heading 8 Char"/>
    <w:basedOn w:val="DefaultParagraphFont"/>
    <w:link w:val="Heading8"/>
    <w:rsid w:val="000A5DDB"/>
    <w:rPr>
      <w:rFonts w:ascii="Arial" w:hAnsi="Arial" w:cs="Arial"/>
      <w:b/>
      <w:bCs/>
      <w:sz w:val="21"/>
      <w:szCs w:val="21"/>
    </w:rPr>
  </w:style>
  <w:style w:type="character" w:customStyle="1" w:styleId="Heading9Char">
    <w:name w:val="Heading 9 Char"/>
    <w:basedOn w:val="DefaultParagraphFont"/>
    <w:link w:val="Heading9"/>
    <w:rsid w:val="000A5DDB"/>
    <w:rPr>
      <w:rFonts w:ascii="Arial" w:hAnsi="Arial" w:cs="Arial"/>
      <w:sz w:val="22"/>
      <w:szCs w:val="22"/>
    </w:rPr>
  </w:style>
  <w:style w:type="paragraph" w:customStyle="1" w:styleId="Level1">
    <w:name w:val="Level 1"/>
    <w:pPr>
      <w:autoSpaceDE w:val="0"/>
      <w:autoSpaceDN w:val="0"/>
      <w:adjustRightInd w:val="0"/>
      <w:spacing w:line="264" w:lineRule="auto"/>
      <w:ind w:left="720"/>
    </w:pPr>
    <w:rPr>
      <w:rFonts w:ascii="Arial" w:hAnsi="Arial"/>
      <w:sz w:val="22"/>
      <w:szCs w:val="24"/>
    </w:rPr>
  </w:style>
  <w:style w:type="character" w:customStyle="1" w:styleId="footnoteref">
    <w:name w:val="footnote ref"/>
    <w:rPr>
      <w:vertAlign w:val="superscript"/>
    </w:rPr>
  </w:style>
  <w:style w:type="paragraph" w:styleId="BodyText">
    <w:name w:val="Body Text"/>
    <w:basedOn w:val="Normal"/>
    <w:link w:val="BodyTextChar"/>
    <w:rPr>
      <w:rFonts w:cs="Arial"/>
      <w:szCs w:val="22"/>
    </w:rPr>
  </w:style>
  <w:style w:type="character" w:customStyle="1" w:styleId="BodyTextChar">
    <w:name w:val="Body Text Char"/>
    <w:basedOn w:val="DefaultParagraphFont"/>
    <w:link w:val="BodyText"/>
    <w:rsid w:val="000A5DDB"/>
    <w:rPr>
      <w:rFonts w:ascii="Arial" w:hAnsi="Arial" w:cs="Arial"/>
      <w:sz w:val="22"/>
      <w:szCs w:val="22"/>
    </w:rPr>
  </w:style>
  <w:style w:type="paragraph" w:styleId="BodyTextIndent">
    <w:name w:val="Body Text Indent"/>
    <w:basedOn w:val="Normal"/>
    <w:pPr>
      <w:numPr>
        <w:ilvl w:val="12"/>
      </w:numPr>
      <w:tabs>
        <w:tab w:val="left" w:pos="0"/>
        <w:tab w:val="left" w:pos="720"/>
        <w:tab w:val="left" w:pos="2160"/>
      </w:tabs>
      <w:ind w:left="720" w:hanging="720"/>
    </w:pPr>
    <w:rPr>
      <w:rFonts w:cs="Arial"/>
      <w:szCs w:val="22"/>
    </w:rPr>
  </w:style>
  <w:style w:type="paragraph" w:styleId="BodyTextIndent2">
    <w:name w:val="Body Text Indent 2"/>
    <w:basedOn w:val="Normal"/>
    <w:pPr>
      <w:numPr>
        <w:ilvl w:val="12"/>
      </w:numPr>
      <w:tabs>
        <w:tab w:val="left" w:pos="0"/>
        <w:tab w:val="left" w:pos="1440"/>
        <w:tab w:val="left" w:pos="2160"/>
      </w:tabs>
      <w:ind w:left="720"/>
    </w:pPr>
    <w:rPr>
      <w:rFonts w:cs="Arial"/>
      <w:szCs w:val="22"/>
    </w:rPr>
  </w:style>
  <w:style w:type="paragraph" w:styleId="BodyTextIndent3">
    <w:name w:val="Body Text Indent 3"/>
    <w:basedOn w:val="Normal"/>
    <w:pPr>
      <w:numPr>
        <w:ilvl w:val="12"/>
      </w:numPr>
      <w:tabs>
        <w:tab w:val="left" w:pos="0"/>
        <w:tab w:val="left" w:pos="720"/>
        <w:tab w:val="left" w:pos="1440"/>
      </w:tabs>
      <w:ind w:left="1440" w:hanging="1440"/>
    </w:pPr>
    <w:rPr>
      <w:rFonts w:cs="Arial"/>
      <w:szCs w:val="22"/>
    </w:rPr>
  </w:style>
  <w:style w:type="paragraph" w:styleId="BodyText2">
    <w:name w:val="Body Text 2"/>
    <w:basedOn w:val="Normal"/>
    <w:pPr>
      <w:spacing w:after="240"/>
    </w:pPr>
    <w:rPr>
      <w:rFonts w:cs="Arial"/>
      <w:sz w:val="18"/>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0A5DDB"/>
    <w:rPr>
      <w:rFonts w:ascii="Arial" w:hAnsi="Arial"/>
      <w:sz w:val="22"/>
      <w:szCs w:val="24"/>
    </w:rPr>
  </w:style>
  <w:style w:type="character" w:styleId="PageNumber">
    <w:name w:val="page number"/>
    <w:basedOn w:val="DefaultParagraphFont"/>
  </w:style>
  <w:style w:type="character" w:customStyle="1" w:styleId="SYSHYPERTEXT">
    <w:name w:val="SYS_HYPERTEXT"/>
    <w:rPr>
      <w:color w:val="0000FF"/>
      <w:u w:val="singl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uiPriority w:val="99"/>
    <w:rsid w:val="000A5DDB"/>
    <w:rPr>
      <w:rFonts w:ascii="Arial" w:hAnsi="Arial"/>
    </w:rPr>
  </w:style>
  <w:style w:type="character" w:styleId="FootnoteReference">
    <w:name w:val="footnote reference"/>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0A5DDB"/>
    <w:rPr>
      <w:rFonts w:ascii="Arial" w:hAnsi="Arial"/>
      <w:sz w:val="22"/>
      <w:szCs w:val="24"/>
    </w:rPr>
  </w:style>
  <w:style w:type="paragraph" w:styleId="BodyText3">
    <w:name w:val="Body Text 3"/>
    <w:basedOn w:val="Normal"/>
    <w:pPr>
      <w:keepNext/>
      <w:keepLines/>
      <w:tabs>
        <w:tab w:val="left" w:pos="0"/>
        <w:tab w:val="left" w:pos="720"/>
      </w:tabs>
      <w:jc w:val="center"/>
    </w:pPr>
    <w:rPr>
      <w:rFonts w:cs="Arial"/>
      <w:b/>
      <w:bCs/>
      <w:sz w:val="20"/>
      <w:szCs w:val="22"/>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0A5DDB"/>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sid w:val="000A5DDB"/>
    <w:rPr>
      <w:rFonts w:ascii="Arial" w:hAnsi="Arial"/>
    </w:rPr>
  </w:style>
  <w:style w:type="paragraph" w:customStyle="1" w:styleId="font5">
    <w:name w:val="font5"/>
    <w:basedOn w:val="Normal"/>
    <w:pPr>
      <w:spacing w:before="100" w:beforeAutospacing="1" w:after="100" w:afterAutospacing="1"/>
    </w:pPr>
    <w:rPr>
      <w:rFonts w:eastAsia="Arial Unicode MS" w:cs="Arial"/>
      <w:b/>
      <w:bCs/>
      <w:sz w:val="20"/>
      <w:szCs w:val="20"/>
    </w:rPr>
  </w:style>
  <w:style w:type="paragraph" w:customStyle="1" w:styleId="font6">
    <w:name w:val="font6"/>
    <w:basedOn w:val="Normal"/>
    <w:pPr>
      <w:spacing w:before="100" w:beforeAutospacing="1" w:after="100" w:afterAutospacing="1"/>
    </w:pPr>
    <w:rPr>
      <w:rFonts w:eastAsia="Arial Unicode MS" w:cs="Arial"/>
      <w:sz w:val="20"/>
      <w:szCs w:val="20"/>
    </w:rPr>
  </w:style>
  <w:style w:type="paragraph" w:customStyle="1" w:styleId="font7">
    <w:name w:val="font7"/>
    <w:basedOn w:val="Normal"/>
    <w:pPr>
      <w:spacing w:before="100" w:beforeAutospacing="1" w:after="100" w:afterAutospacing="1"/>
    </w:pPr>
    <w:rPr>
      <w:rFonts w:eastAsia="Arial Unicode MS" w:cs="Arial"/>
      <w:sz w:val="18"/>
      <w:szCs w:val="18"/>
    </w:rPr>
  </w:style>
  <w:style w:type="paragraph" w:customStyle="1" w:styleId="xl24">
    <w:name w:val="xl24"/>
    <w:basedOn w:val="Normal"/>
    <w:pPr>
      <w:pBdr>
        <w:left w:val="single" w:sz="4" w:space="0" w:color="000000"/>
      </w:pBdr>
      <w:spacing w:before="100" w:beforeAutospacing="1" w:after="100" w:afterAutospacing="1"/>
      <w:jc w:val="right"/>
    </w:pPr>
    <w:rPr>
      <w:rFonts w:eastAsia="Arial Unicode MS" w:cs="Arial"/>
    </w:rPr>
  </w:style>
  <w:style w:type="paragraph" w:customStyle="1" w:styleId="xl25">
    <w:name w:val="xl25"/>
    <w:basedOn w:val="Normal"/>
    <w:pPr>
      <w:pBdr>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26">
    <w:name w:val="xl26"/>
    <w:basedOn w:val="Normal"/>
    <w:pPr>
      <w:pBdr>
        <w:left w:val="double" w:sz="6" w:space="0" w:color="000000"/>
      </w:pBdr>
      <w:spacing w:before="100" w:beforeAutospacing="1" w:after="100" w:afterAutospacing="1"/>
    </w:pPr>
    <w:rPr>
      <w:rFonts w:eastAsia="Arial Unicode MS" w:cs="Arial"/>
    </w:rPr>
  </w:style>
  <w:style w:type="paragraph" w:customStyle="1" w:styleId="xl27">
    <w:name w:val="xl27"/>
    <w:basedOn w:val="Normal"/>
    <w:pPr>
      <w:pBdr>
        <w:top w:val="single" w:sz="4" w:space="0" w:color="000000"/>
        <w:left w:val="double" w:sz="6" w:space="0" w:color="000000"/>
      </w:pBdr>
      <w:spacing w:before="100" w:beforeAutospacing="1" w:after="100" w:afterAutospacing="1"/>
    </w:pPr>
    <w:rPr>
      <w:rFonts w:eastAsia="Arial Unicode MS" w:cs="Arial"/>
    </w:rPr>
  </w:style>
  <w:style w:type="paragraph" w:customStyle="1" w:styleId="xl28">
    <w:name w:val="xl28"/>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29">
    <w:name w:val="xl29"/>
    <w:basedOn w:val="Normal"/>
    <w:pPr>
      <w:pBdr>
        <w:top w:val="single" w:sz="4" w:space="0" w:color="000000"/>
        <w:left w:val="double" w:sz="6" w:space="0" w:color="000000"/>
        <w:bottom w:val="single" w:sz="4" w:space="0" w:color="000000"/>
      </w:pBdr>
      <w:spacing w:before="100" w:beforeAutospacing="1" w:after="100" w:afterAutospacing="1"/>
    </w:pPr>
    <w:rPr>
      <w:rFonts w:eastAsia="Arial Unicode MS" w:cs="Arial"/>
    </w:rPr>
  </w:style>
  <w:style w:type="paragraph" w:customStyle="1" w:styleId="xl30">
    <w:name w:val="xl30"/>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1">
    <w:name w:val="xl31"/>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2">
    <w:name w:val="xl32"/>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33">
    <w:name w:val="xl33"/>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4">
    <w:name w:val="xl34"/>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35">
    <w:name w:val="xl35"/>
    <w:basedOn w:val="Normal"/>
    <w:pPr>
      <w:spacing w:before="100" w:beforeAutospacing="1" w:after="100" w:afterAutospacing="1"/>
    </w:pPr>
    <w:rPr>
      <w:rFonts w:eastAsia="Arial Unicode MS" w:cs="Arial"/>
      <w:sz w:val="4"/>
      <w:szCs w:val="4"/>
    </w:rPr>
  </w:style>
  <w:style w:type="paragraph" w:customStyle="1" w:styleId="xl36">
    <w:name w:val="xl36"/>
    <w:basedOn w:val="Normal"/>
    <w:pPr>
      <w:spacing w:before="100" w:beforeAutospacing="1" w:after="100" w:afterAutospacing="1"/>
    </w:pPr>
    <w:rPr>
      <w:rFonts w:eastAsia="Arial Unicode MS" w:cs="Arial"/>
      <w:sz w:val="18"/>
      <w:szCs w:val="18"/>
    </w:rPr>
  </w:style>
  <w:style w:type="paragraph" w:customStyle="1" w:styleId="xl37">
    <w:name w:val="xl37"/>
    <w:basedOn w:val="Normal"/>
    <w:pPr>
      <w:spacing w:before="100" w:beforeAutospacing="1" w:after="100" w:afterAutospacing="1"/>
    </w:pPr>
    <w:rPr>
      <w:rFonts w:eastAsia="Arial Unicode MS" w:cs="Arial"/>
      <w:sz w:val="18"/>
      <w:szCs w:val="18"/>
    </w:rPr>
  </w:style>
  <w:style w:type="paragraph" w:customStyle="1" w:styleId="xl38">
    <w:name w:val="xl38"/>
    <w:basedOn w:val="Normal"/>
    <w:pPr>
      <w:pBdr>
        <w:left w:val="single" w:sz="4" w:space="0" w:color="000000"/>
        <w:bottom w:val="double" w:sz="6" w:space="0" w:color="000000"/>
      </w:pBdr>
      <w:spacing w:before="100" w:beforeAutospacing="1" w:after="100" w:afterAutospacing="1"/>
      <w:jc w:val="center"/>
      <w:textAlignment w:val="center"/>
    </w:pPr>
    <w:rPr>
      <w:rFonts w:eastAsia="Arial Unicode MS" w:cs="Arial"/>
      <w:b/>
      <w:bCs/>
    </w:rPr>
  </w:style>
  <w:style w:type="paragraph" w:customStyle="1" w:styleId="xl39">
    <w:name w:val="xl39"/>
    <w:basedOn w:val="Normal"/>
    <w:pPr>
      <w:pBdr>
        <w:left w:val="single" w:sz="4" w:space="0" w:color="000000"/>
        <w:bottom w:val="double" w:sz="6" w:space="0" w:color="000000"/>
        <w:right w:val="double" w:sz="6" w:space="0" w:color="000000"/>
      </w:pBdr>
      <w:spacing w:before="100" w:beforeAutospacing="1" w:after="100" w:afterAutospacing="1"/>
      <w:jc w:val="right"/>
    </w:pPr>
    <w:rPr>
      <w:rFonts w:eastAsia="Arial Unicode MS" w:cs="Arial"/>
      <w:b/>
      <w:bCs/>
    </w:rPr>
  </w:style>
  <w:style w:type="paragraph" w:customStyle="1" w:styleId="xl40">
    <w:name w:val="xl40"/>
    <w:basedOn w:val="Normal"/>
    <w:pPr>
      <w:pBdr>
        <w:left w:val="single" w:sz="4" w:space="0" w:color="000000"/>
        <w:bottom w:val="double" w:sz="6" w:space="0" w:color="000000"/>
      </w:pBdr>
      <w:spacing w:before="100" w:beforeAutospacing="1" w:after="100" w:afterAutospacing="1"/>
      <w:jc w:val="right"/>
    </w:pPr>
    <w:rPr>
      <w:rFonts w:eastAsia="Arial Unicode MS" w:cs="Arial"/>
      <w:b/>
      <w:bCs/>
    </w:rPr>
  </w:style>
  <w:style w:type="paragraph" w:customStyle="1" w:styleId="xl41">
    <w:name w:val="xl41"/>
    <w:basedOn w:val="Normal"/>
    <w:pPr>
      <w:pBdr>
        <w:top w:val="single" w:sz="4" w:space="0" w:color="auto"/>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42">
    <w:name w:val="xl42"/>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43">
    <w:name w:val="xl43"/>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4">
    <w:name w:val="xl44"/>
    <w:basedOn w:val="Normal"/>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5">
    <w:name w:val="xl45"/>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46">
    <w:name w:val="xl46"/>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7">
    <w:name w:val="xl47"/>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48">
    <w:name w:val="xl48"/>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49">
    <w:name w:val="xl49"/>
    <w:basedOn w:val="Normal"/>
    <w:pPr>
      <w:pBdr>
        <w:left w:val="double" w:sz="6" w:space="0" w:color="000000"/>
        <w:bottom w:val="single" w:sz="4" w:space="0" w:color="000000"/>
      </w:pBdr>
      <w:spacing w:before="100" w:beforeAutospacing="1" w:after="100" w:afterAutospacing="1"/>
    </w:pPr>
    <w:rPr>
      <w:rFonts w:eastAsia="Arial Unicode MS" w:cs="Arial"/>
    </w:rPr>
  </w:style>
  <w:style w:type="paragraph" w:customStyle="1" w:styleId="xl50">
    <w:name w:val="xl50"/>
    <w:basedOn w:val="Normal"/>
    <w:pPr>
      <w:pBdr>
        <w:top w:val="single" w:sz="4" w:space="0" w:color="000000"/>
        <w:left w:val="double" w:sz="6" w:space="0" w:color="000000"/>
        <w:bottom w:val="single" w:sz="4" w:space="0" w:color="auto"/>
      </w:pBdr>
      <w:spacing w:before="100" w:beforeAutospacing="1" w:after="100" w:afterAutospacing="1"/>
    </w:pPr>
    <w:rPr>
      <w:rFonts w:eastAsia="Arial Unicode MS" w:cs="Arial"/>
    </w:rPr>
  </w:style>
  <w:style w:type="paragraph" w:customStyle="1" w:styleId="xl51">
    <w:name w:val="xl51"/>
    <w:basedOn w:val="Normal"/>
    <w:pPr>
      <w:pBdr>
        <w:left w:val="double" w:sz="6" w:space="0" w:color="000000"/>
        <w:bottom w:val="double" w:sz="6" w:space="0" w:color="000000"/>
      </w:pBdr>
      <w:spacing w:before="100" w:beforeAutospacing="1" w:after="100" w:afterAutospacing="1"/>
    </w:pPr>
    <w:rPr>
      <w:rFonts w:eastAsia="Arial Unicode MS" w:cs="Arial"/>
    </w:rPr>
  </w:style>
  <w:style w:type="paragraph" w:customStyle="1" w:styleId="xl52">
    <w:name w:val="xl52"/>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53">
    <w:name w:val="xl53"/>
    <w:basedOn w:val="Normal"/>
    <w:pPr>
      <w:pBdr>
        <w:left w:val="single" w:sz="4" w:space="0" w:color="000000"/>
      </w:pBdr>
      <w:spacing w:before="100" w:beforeAutospacing="1" w:after="100" w:afterAutospacing="1"/>
      <w:jc w:val="right"/>
    </w:pPr>
    <w:rPr>
      <w:rFonts w:eastAsia="Arial Unicode MS" w:cs="Arial"/>
    </w:rPr>
  </w:style>
  <w:style w:type="paragraph" w:customStyle="1" w:styleId="xl54">
    <w:name w:val="xl54"/>
    <w:basedOn w:val="Normal"/>
    <w:pPr>
      <w:pBdr>
        <w:top w:val="double" w:sz="6"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5">
    <w:name w:val="xl55"/>
    <w:basedOn w:val="Normal"/>
    <w:pPr>
      <w:pBdr>
        <w:top w:val="single" w:sz="4" w:space="0" w:color="000000"/>
        <w:left w:val="single" w:sz="4" w:space="0" w:color="000000"/>
      </w:pBdr>
      <w:spacing w:before="100" w:beforeAutospacing="1" w:after="100" w:afterAutospacing="1"/>
      <w:jc w:val="right"/>
    </w:pPr>
    <w:rPr>
      <w:rFonts w:eastAsia="Arial Unicode MS" w:cs="Arial"/>
    </w:rPr>
  </w:style>
  <w:style w:type="paragraph" w:customStyle="1" w:styleId="xl56">
    <w:name w:val="xl56"/>
    <w:basedOn w:val="Normal"/>
    <w:pPr>
      <w:pBdr>
        <w:top w:val="single" w:sz="4" w:space="0" w:color="000000"/>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7">
    <w:name w:val="xl57"/>
    <w:basedOn w:val="Normal"/>
    <w:pPr>
      <w:pBdr>
        <w:left w:val="single" w:sz="4" w:space="0" w:color="000000"/>
        <w:bottom w:val="single" w:sz="4" w:space="0" w:color="000000"/>
      </w:pBdr>
      <w:spacing w:before="100" w:beforeAutospacing="1" w:after="100" w:afterAutospacing="1"/>
      <w:jc w:val="right"/>
    </w:pPr>
    <w:rPr>
      <w:rFonts w:eastAsia="Arial Unicode MS" w:cs="Arial"/>
    </w:rPr>
  </w:style>
  <w:style w:type="paragraph" w:customStyle="1" w:styleId="xl58">
    <w:name w:val="xl58"/>
    <w:basedOn w:val="Normal"/>
    <w:pPr>
      <w:pBdr>
        <w:top w:val="double" w:sz="6" w:space="0" w:color="000000"/>
        <w:left w:val="single" w:sz="4" w:space="0" w:color="000000"/>
        <w:bottom w:val="single" w:sz="4" w:space="0" w:color="auto"/>
        <w:right w:val="double" w:sz="6" w:space="0" w:color="000000"/>
      </w:pBdr>
      <w:spacing w:before="100" w:beforeAutospacing="1" w:after="100" w:afterAutospacing="1"/>
      <w:jc w:val="right"/>
    </w:pPr>
    <w:rPr>
      <w:rFonts w:eastAsia="Arial Unicode MS" w:cs="Arial"/>
    </w:rPr>
  </w:style>
  <w:style w:type="paragraph" w:customStyle="1" w:styleId="xl59">
    <w:name w:val="xl59"/>
    <w:basedOn w:val="Normal"/>
    <w:pPr>
      <w:pBdr>
        <w:top w:val="single" w:sz="4" w:space="0" w:color="auto"/>
        <w:left w:val="double" w:sz="6" w:space="0" w:color="000000"/>
        <w:bottom w:val="single" w:sz="4" w:space="0" w:color="auto"/>
      </w:pBdr>
      <w:spacing w:before="100" w:beforeAutospacing="1" w:after="100" w:afterAutospacing="1"/>
    </w:pPr>
    <w:rPr>
      <w:rFonts w:eastAsia="Arial Unicode MS" w:cs="Arial"/>
    </w:rPr>
  </w:style>
  <w:style w:type="paragraph" w:customStyle="1" w:styleId="xl60">
    <w:name w:val="xl60"/>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1">
    <w:name w:val="xl61"/>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2">
    <w:name w:val="xl62"/>
    <w:basedOn w:val="Normal"/>
    <w:pPr>
      <w:pBdr>
        <w:top w:val="single" w:sz="4" w:space="0" w:color="auto"/>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3">
    <w:name w:val="xl63"/>
    <w:basedOn w:val="Normal"/>
    <w:pPr>
      <w:pBdr>
        <w:top w:val="single" w:sz="4" w:space="0" w:color="000000"/>
        <w:left w:val="single" w:sz="4" w:space="0" w:color="000000"/>
        <w:bottom w:val="single" w:sz="4" w:space="0" w:color="auto"/>
      </w:pBdr>
      <w:spacing w:before="100" w:beforeAutospacing="1" w:after="100" w:afterAutospacing="1"/>
      <w:jc w:val="right"/>
    </w:pPr>
    <w:rPr>
      <w:rFonts w:eastAsia="Arial Unicode MS" w:cs="Arial"/>
    </w:rPr>
  </w:style>
  <w:style w:type="paragraph" w:customStyle="1" w:styleId="xl64">
    <w:name w:val="xl64"/>
    <w:basedOn w:val="Normal"/>
    <w:pPr>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eastAsia="Arial Unicode MS" w:cs="Arial"/>
    </w:rPr>
  </w:style>
  <w:style w:type="paragraph" w:customStyle="1" w:styleId="xl65">
    <w:name w:val="xl65"/>
    <w:basedOn w:val="Normal"/>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6">
    <w:name w:val="xl66"/>
    <w:basedOn w:val="Normal"/>
    <w:pPr>
      <w:pBdr>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7">
    <w:name w:val="xl67"/>
    <w:basedOn w:val="Normal"/>
    <w:pPr>
      <w:pBdr>
        <w:top w:val="single" w:sz="4" w:space="0" w:color="000000"/>
        <w:left w:val="single" w:sz="4" w:space="0" w:color="000000"/>
        <w:bottom w:val="double" w:sz="6" w:space="0" w:color="000000"/>
      </w:pBdr>
      <w:spacing w:before="100" w:beforeAutospacing="1" w:after="100" w:afterAutospacing="1"/>
      <w:jc w:val="right"/>
    </w:pPr>
    <w:rPr>
      <w:rFonts w:eastAsia="Arial Unicode MS" w:cs="Arial"/>
    </w:rPr>
  </w:style>
  <w:style w:type="paragraph" w:customStyle="1" w:styleId="xl68">
    <w:name w:val="xl68"/>
    <w:basedOn w:val="Normal"/>
    <w:pPr>
      <w:pBdr>
        <w:top w:val="single" w:sz="4" w:space="0" w:color="auto"/>
        <w:left w:val="single" w:sz="4" w:space="0" w:color="000000"/>
        <w:bottom w:val="double" w:sz="6" w:space="0" w:color="auto"/>
        <w:right w:val="double" w:sz="6" w:space="0" w:color="000000"/>
      </w:pBdr>
      <w:spacing w:before="100" w:beforeAutospacing="1" w:after="100" w:afterAutospacing="1"/>
      <w:jc w:val="right"/>
    </w:pPr>
    <w:rPr>
      <w:rFonts w:eastAsia="Arial Unicode MS" w:cs="Arial"/>
    </w:rPr>
  </w:style>
  <w:style w:type="paragraph" w:customStyle="1" w:styleId="xl69">
    <w:name w:val="xl69"/>
    <w:basedOn w:val="Normal"/>
    <w:pPr>
      <w:spacing w:before="100" w:beforeAutospacing="1" w:after="100" w:afterAutospacing="1"/>
      <w:jc w:val="center"/>
    </w:pPr>
    <w:rPr>
      <w:rFonts w:eastAsia="Arial Unicode MS" w:cs="Arial"/>
      <w:b/>
      <w:bCs/>
      <w:szCs w:val="22"/>
    </w:rPr>
  </w:style>
  <w:style w:type="paragraph" w:customStyle="1" w:styleId="xl70">
    <w:name w:val="xl70"/>
    <w:basedOn w:val="Normal"/>
    <w:pPr>
      <w:pBdr>
        <w:top w:val="double" w:sz="6" w:space="0" w:color="000000"/>
        <w:left w:val="double" w:sz="6" w:space="0" w:color="000000"/>
        <w:bottom w:val="double" w:sz="6" w:space="0" w:color="000000"/>
      </w:pBdr>
      <w:spacing w:before="100" w:beforeAutospacing="1" w:after="100" w:afterAutospacing="1"/>
    </w:pPr>
    <w:rPr>
      <w:rFonts w:eastAsia="Arial Unicode MS" w:cs="Arial"/>
      <w:b/>
      <w:bCs/>
    </w:rPr>
  </w:style>
  <w:style w:type="paragraph" w:customStyle="1" w:styleId="xl71">
    <w:name w:val="xl71"/>
    <w:basedOn w:val="Normal"/>
    <w:pPr>
      <w:pBdr>
        <w:top w:val="double" w:sz="6" w:space="0" w:color="000000"/>
        <w:bottom w:val="double" w:sz="6" w:space="0" w:color="000000"/>
      </w:pBdr>
      <w:spacing w:before="100" w:beforeAutospacing="1" w:after="100" w:afterAutospacing="1"/>
    </w:pPr>
    <w:rPr>
      <w:rFonts w:eastAsia="Arial Unicode MS" w:cs="Arial"/>
      <w:b/>
      <w:bCs/>
    </w:rPr>
  </w:style>
  <w:style w:type="paragraph" w:customStyle="1" w:styleId="xl72">
    <w:name w:val="xl72"/>
    <w:basedOn w:val="Normal"/>
    <w:pPr>
      <w:pBdr>
        <w:top w:val="double" w:sz="6" w:space="0" w:color="000000"/>
        <w:bottom w:val="double" w:sz="6" w:space="0" w:color="000000"/>
        <w:right w:val="double" w:sz="6" w:space="0" w:color="000000"/>
      </w:pBdr>
      <w:spacing w:before="100" w:beforeAutospacing="1" w:after="100" w:afterAutospacing="1"/>
    </w:pPr>
    <w:rPr>
      <w:rFonts w:eastAsia="Arial Unicode MS" w:cs="Arial"/>
      <w:b/>
      <w:bCs/>
    </w:rPr>
  </w:style>
  <w:style w:type="paragraph" w:customStyle="1" w:styleId="xl73">
    <w:name w:val="xl73"/>
    <w:basedOn w:val="Normal"/>
    <w:pPr>
      <w:pBdr>
        <w:bottom w:val="double" w:sz="6" w:space="0" w:color="000000"/>
      </w:pBdr>
      <w:spacing w:before="100" w:beforeAutospacing="1" w:after="100" w:afterAutospacing="1"/>
      <w:jc w:val="center"/>
    </w:pPr>
    <w:rPr>
      <w:rFonts w:eastAsia="Arial Unicode MS" w:cs="Arial"/>
      <w:b/>
      <w:bCs/>
      <w:szCs w:val="22"/>
    </w:rPr>
  </w:style>
  <w:style w:type="paragraph" w:customStyle="1" w:styleId="xl74">
    <w:name w:val="xl74"/>
    <w:basedOn w:val="Normal"/>
    <w:pPr>
      <w:pBdr>
        <w:bottom w:val="double" w:sz="6" w:space="0" w:color="000000"/>
      </w:pBdr>
      <w:spacing w:before="100" w:beforeAutospacing="1" w:after="100" w:afterAutospacing="1"/>
    </w:pPr>
    <w:rPr>
      <w:rFonts w:ascii="Arial Unicode MS" w:eastAsia="Arial Unicode MS" w:hAnsi="Arial Unicode MS" w:cs="Arial Unicode MS"/>
    </w:rPr>
  </w:style>
  <w:style w:type="paragraph" w:customStyle="1" w:styleId="xl75">
    <w:name w:val="xl75"/>
    <w:basedOn w:val="Normal"/>
    <w:pPr>
      <w:pBdr>
        <w:top w:val="double" w:sz="6" w:space="0" w:color="000000"/>
        <w:left w:val="single" w:sz="4"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6">
    <w:name w:val="xl76"/>
    <w:basedOn w:val="Normal"/>
    <w:pPr>
      <w:pBdr>
        <w:left w:val="single" w:sz="4" w:space="0" w:color="000000"/>
        <w:bottom w:val="double" w:sz="6" w:space="0" w:color="000000"/>
        <w:right w:val="double" w:sz="6" w:space="0" w:color="000000"/>
      </w:pBdr>
      <w:spacing w:before="100" w:beforeAutospacing="1" w:after="100" w:afterAutospacing="1"/>
      <w:jc w:val="center"/>
      <w:textAlignment w:val="center"/>
    </w:pPr>
    <w:rPr>
      <w:rFonts w:eastAsia="Arial Unicode MS" w:cs="Arial"/>
      <w:b/>
      <w:bCs/>
    </w:rPr>
  </w:style>
  <w:style w:type="paragraph" w:customStyle="1" w:styleId="xl77">
    <w:name w:val="xl77"/>
    <w:basedOn w:val="Normal"/>
    <w:pPr>
      <w:pBdr>
        <w:top w:val="double" w:sz="6" w:space="0" w:color="000000"/>
        <w:left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8">
    <w:name w:val="xl78"/>
    <w:basedOn w:val="Normal"/>
    <w:pPr>
      <w:pBdr>
        <w:left w:val="double" w:sz="6" w:space="0" w:color="000000"/>
        <w:bottom w:val="double" w:sz="6"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79">
    <w:name w:val="xl79"/>
    <w:basedOn w:val="Normal"/>
    <w:pPr>
      <w:pBdr>
        <w:top w:val="double" w:sz="6" w:space="0" w:color="000000"/>
        <w:left w:val="single" w:sz="4"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0">
    <w:name w:val="xl80"/>
    <w:basedOn w:val="Normal"/>
    <w:pPr>
      <w:pBdr>
        <w:top w:val="double" w:sz="6" w:space="0" w:color="000000"/>
        <w:bottom w:val="single" w:sz="4" w:space="0" w:color="000000"/>
      </w:pBdr>
      <w:spacing w:before="100" w:beforeAutospacing="1" w:after="100" w:afterAutospacing="1"/>
      <w:jc w:val="center"/>
      <w:textAlignment w:val="center"/>
    </w:pPr>
    <w:rPr>
      <w:rFonts w:eastAsia="Arial Unicode MS" w:cs="Arial"/>
      <w:b/>
      <w:bCs/>
    </w:rPr>
  </w:style>
  <w:style w:type="paragraph" w:customStyle="1" w:styleId="xl81">
    <w:name w:val="xl81"/>
    <w:basedOn w:val="Normal"/>
    <w:pPr>
      <w:pBdr>
        <w:top w:val="double" w:sz="6" w:space="0" w:color="000000"/>
        <w:bottom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xl82">
    <w:name w:val="xl82"/>
    <w:basedOn w:val="Normal"/>
    <w:pPr>
      <w:spacing w:before="100" w:beforeAutospacing="1" w:after="100" w:afterAutospacing="1"/>
    </w:pPr>
    <w:rPr>
      <w:rFonts w:eastAsia="Arial Unicode MS" w:cs="Arial"/>
      <w:sz w:val="18"/>
      <w:szCs w:val="18"/>
    </w:rPr>
  </w:style>
  <w:style w:type="paragraph" w:customStyle="1" w:styleId="xl83">
    <w:name w:val="xl83"/>
    <w:basedOn w:val="Normal"/>
    <w:pP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top w:val="double" w:sz="6" w:space="0" w:color="000000"/>
        <w:left w:val="single" w:sz="4" w:space="0" w:color="000000"/>
        <w:right w:val="single" w:sz="4" w:space="0" w:color="000000"/>
      </w:pBdr>
      <w:spacing w:before="100" w:beforeAutospacing="1" w:after="100" w:afterAutospacing="1"/>
      <w:jc w:val="center"/>
      <w:textAlignment w:val="center"/>
    </w:pPr>
    <w:rPr>
      <w:rFonts w:eastAsia="Arial Unicode MS" w:cs="Arial"/>
      <w:b/>
      <w:bCs/>
    </w:rPr>
  </w:style>
  <w:style w:type="paragraph" w:customStyle="1" w:styleId="font8">
    <w:name w:val="font8"/>
    <w:basedOn w:val="Normal"/>
    <w:pPr>
      <w:spacing w:before="100" w:beforeAutospacing="1" w:after="100" w:afterAutospacing="1"/>
    </w:pPr>
    <w:rPr>
      <w:rFonts w:ascii="Tahoma" w:eastAsia="Arial Unicode MS" w:hAnsi="Tahoma" w:cs="Tahoma"/>
      <w:color w:val="000000"/>
      <w:sz w:val="16"/>
      <w:szCs w:val="16"/>
    </w:rPr>
  </w:style>
  <w:style w:type="paragraph" w:customStyle="1" w:styleId="font9">
    <w:name w:val="font9"/>
    <w:basedOn w:val="Normal"/>
    <w:pPr>
      <w:spacing w:before="100" w:beforeAutospacing="1" w:after="100" w:afterAutospacing="1"/>
    </w:pPr>
    <w:rPr>
      <w:rFonts w:ascii="Tahoma" w:eastAsia="Arial Unicode MS" w:hAnsi="Tahoma" w:cs="Tahoma"/>
      <w:b/>
      <w:bCs/>
      <w:color w:val="000000"/>
      <w:sz w:val="16"/>
      <w:szCs w:val="16"/>
    </w:rPr>
  </w:style>
  <w:style w:type="character" w:styleId="EndnoteReference">
    <w:name w:val="endnote reference"/>
    <w:semiHidden/>
    <w:rPr>
      <w:vertAlign w:val="superscript"/>
    </w:rPr>
  </w:style>
  <w:style w:type="paragraph" w:styleId="Caption">
    <w:name w:val="caption"/>
    <w:basedOn w:val="Normal"/>
    <w:next w:val="Normal"/>
    <w:qFormat/>
    <w:rsid w:val="001F4489"/>
    <w:pPr>
      <w:keepNext/>
      <w:keepLines/>
      <w:jc w:val="center"/>
      <w:outlineLvl w:val="0"/>
    </w:pPr>
    <w:rPr>
      <w:b/>
      <w:bCs/>
      <w:szCs w:val="20"/>
    </w:rPr>
  </w:style>
  <w:style w:type="paragraph" w:customStyle="1" w:styleId="Bullet">
    <w:name w:val="Bullet"/>
    <w:basedOn w:val="BodyText"/>
    <w:link w:val="BulletChar"/>
    <w:pPr>
      <w:numPr>
        <w:numId w:val="15"/>
      </w:numPr>
      <w:autoSpaceDE w:val="0"/>
      <w:autoSpaceDN w:val="0"/>
      <w:adjustRightInd w:val="0"/>
      <w:spacing w:after="180" w:line="288" w:lineRule="auto"/>
    </w:pPr>
  </w:style>
  <w:style w:type="character" w:customStyle="1" w:styleId="BulletChar">
    <w:name w:val="Bullet Char"/>
    <w:link w:val="Bullet"/>
    <w:locked/>
    <w:rsid w:val="009C3332"/>
    <w:rPr>
      <w:rFonts w:ascii="Arial" w:hAnsi="Arial" w:cs="Arial"/>
      <w:sz w:val="22"/>
      <w:szCs w:val="22"/>
    </w:rPr>
  </w:style>
  <w:style w:type="paragraph" w:styleId="CommentSubject">
    <w:name w:val="annotation subject"/>
    <w:basedOn w:val="CommentText"/>
    <w:next w:val="CommentText"/>
    <w:link w:val="CommentSubjectChar"/>
    <w:semiHidden/>
    <w:rsid w:val="004B689C"/>
    <w:rPr>
      <w:b/>
      <w:bCs/>
    </w:rPr>
  </w:style>
  <w:style w:type="character" w:customStyle="1" w:styleId="CommentSubjectChar">
    <w:name w:val="Comment Subject Char"/>
    <w:basedOn w:val="CommentTextChar"/>
    <w:link w:val="CommentSubject"/>
    <w:semiHidden/>
    <w:rsid w:val="000A5DDB"/>
    <w:rPr>
      <w:rFonts w:ascii="Arial" w:hAnsi="Arial"/>
      <w:b/>
      <w:bCs/>
    </w:rPr>
  </w:style>
  <w:style w:type="paragraph" w:styleId="DocumentMap">
    <w:name w:val="Document Map"/>
    <w:basedOn w:val="Normal"/>
    <w:semiHidden/>
    <w:rsid w:val="00A15DF0"/>
    <w:pPr>
      <w:shd w:val="clear" w:color="auto" w:fill="000080"/>
    </w:pPr>
    <w:rPr>
      <w:rFonts w:ascii="Tahoma" w:hAnsi="Tahoma" w:cs="Tahoma"/>
      <w:sz w:val="20"/>
      <w:szCs w:val="20"/>
    </w:rPr>
  </w:style>
  <w:style w:type="paragraph" w:customStyle="1" w:styleId="rHeading2">
    <w:name w:val="rHeading 2"/>
    <w:basedOn w:val="BodyText"/>
    <w:rsid w:val="00E70C81"/>
    <w:pPr>
      <w:widowControl w:val="0"/>
      <w:autoSpaceDE w:val="0"/>
      <w:autoSpaceDN w:val="0"/>
      <w:adjustRightInd w:val="0"/>
      <w:spacing w:after="120" w:line="360" w:lineRule="auto"/>
      <w:ind w:firstLine="432"/>
    </w:pPr>
  </w:style>
  <w:style w:type="paragraph" w:customStyle="1" w:styleId="Default">
    <w:name w:val="Default"/>
    <w:rsid w:val="00C83EB6"/>
    <w:pPr>
      <w:autoSpaceDE w:val="0"/>
      <w:autoSpaceDN w:val="0"/>
      <w:adjustRightInd w:val="0"/>
    </w:pPr>
    <w:rPr>
      <w:rFonts w:ascii="ONPKG B+ Melior" w:hAnsi="ONPKG B+ Melior"/>
      <w:color w:val="000000"/>
      <w:sz w:val="24"/>
      <w:szCs w:val="24"/>
    </w:rPr>
  </w:style>
  <w:style w:type="paragraph" w:customStyle="1" w:styleId="Bodytext1">
    <w:name w:val="Body text 1"/>
    <w:basedOn w:val="Normal"/>
    <w:rsid w:val="00C83EB6"/>
    <w:pPr>
      <w:spacing w:line="360" w:lineRule="auto"/>
      <w:ind w:left="432"/>
    </w:pPr>
    <w:rPr>
      <w:rFonts w:cs="Arial"/>
    </w:rPr>
  </w:style>
  <w:style w:type="paragraph" w:customStyle="1" w:styleId="AppendixBodyText">
    <w:name w:val="Appendix Body Text"/>
    <w:basedOn w:val="BodyText"/>
    <w:rsid w:val="00C83EB6"/>
    <w:pPr>
      <w:widowControl w:val="0"/>
      <w:autoSpaceDE w:val="0"/>
      <w:autoSpaceDN w:val="0"/>
      <w:adjustRightInd w:val="0"/>
      <w:spacing w:after="120" w:line="240" w:lineRule="auto"/>
      <w:ind w:firstLine="432"/>
    </w:pPr>
  </w:style>
  <w:style w:type="paragraph" w:customStyle="1" w:styleId="AppendixTableText">
    <w:name w:val="Appendix Table Text"/>
    <w:basedOn w:val="Normal"/>
    <w:rsid w:val="00C83EB6"/>
    <w:pPr>
      <w:framePr w:hSpace="180" w:wrap="around" w:vAnchor="text" w:hAnchor="text" w:x="216" w:y="1"/>
      <w:widowControl w:val="0"/>
      <w:tabs>
        <w:tab w:val="left" w:pos="1080"/>
      </w:tabs>
      <w:adjustRightInd w:val="0"/>
      <w:spacing w:line="240" w:lineRule="auto"/>
      <w:suppressOverlap/>
      <w:jc w:val="right"/>
    </w:pPr>
    <w:rPr>
      <w:rFonts w:ascii="Arial Narrow" w:hAnsi="Arial Narrow" w:cs="Arial"/>
      <w:sz w:val="20"/>
    </w:rPr>
  </w:style>
  <w:style w:type="paragraph" w:customStyle="1" w:styleId="AppendixCertification">
    <w:name w:val="Appendix Certification"/>
    <w:basedOn w:val="Normal"/>
    <w:rsid w:val="00C83EB6"/>
    <w:pPr>
      <w:widowControl w:val="0"/>
      <w:tabs>
        <w:tab w:val="left" w:pos="1080"/>
      </w:tabs>
      <w:adjustRightInd w:val="0"/>
      <w:spacing w:line="240" w:lineRule="auto"/>
    </w:pPr>
    <w:rPr>
      <w:rFonts w:ascii="Times New Roman" w:hAnsi="Times New Roman"/>
      <w:szCs w:val="22"/>
    </w:rPr>
  </w:style>
  <w:style w:type="paragraph" w:customStyle="1" w:styleId="Level2">
    <w:name w:val="Level 2"/>
    <w:rsid w:val="00C83EB6"/>
    <w:pPr>
      <w:autoSpaceDE w:val="0"/>
      <w:autoSpaceDN w:val="0"/>
      <w:adjustRightInd w:val="0"/>
      <w:ind w:left="1440"/>
    </w:pPr>
    <w:rPr>
      <w:sz w:val="24"/>
      <w:szCs w:val="24"/>
    </w:rPr>
  </w:style>
  <w:style w:type="paragraph" w:customStyle="1" w:styleId="Heading0">
    <w:name w:val="Heading 0"/>
    <w:basedOn w:val="Normal"/>
    <w:rsid w:val="00C83EB6"/>
    <w:pPr>
      <w:widowControl w:val="0"/>
      <w:numPr>
        <w:ilvl w:val="12"/>
      </w:numPr>
      <w:autoSpaceDE w:val="0"/>
      <w:autoSpaceDN w:val="0"/>
      <w:adjustRightInd w:val="0"/>
      <w:spacing w:line="360" w:lineRule="auto"/>
    </w:pPr>
    <w:rPr>
      <w:rFonts w:cs="Arial"/>
      <w:b/>
      <w:bCs/>
      <w:szCs w:val="22"/>
    </w:rPr>
  </w:style>
  <w:style w:type="paragraph" w:customStyle="1" w:styleId="ListSmallLetters">
    <w:name w:val="List Small Letters"/>
    <w:basedOn w:val="BodyText"/>
    <w:rsid w:val="00C83EB6"/>
    <w:pPr>
      <w:widowControl w:val="0"/>
      <w:autoSpaceDE w:val="0"/>
      <w:autoSpaceDN w:val="0"/>
      <w:adjustRightInd w:val="0"/>
      <w:spacing w:after="120" w:line="360" w:lineRule="auto"/>
    </w:pPr>
  </w:style>
  <w:style w:type="character" w:styleId="Emphasis">
    <w:name w:val="Emphasis"/>
    <w:uiPriority w:val="20"/>
    <w:qFormat/>
    <w:rsid w:val="00C83EB6"/>
    <w:rPr>
      <w:i/>
      <w:iCs/>
    </w:rPr>
  </w:style>
  <w:style w:type="character" w:customStyle="1" w:styleId="Hypertext">
    <w:name w:val="Hypertext"/>
    <w:rsid w:val="00C83EB6"/>
    <w:rPr>
      <w:color w:val="0000FF"/>
      <w:u w:val="single"/>
    </w:rPr>
  </w:style>
  <w:style w:type="paragraph" w:customStyle="1" w:styleId="CM42">
    <w:name w:val="CM42"/>
    <w:basedOn w:val="Normal"/>
    <w:next w:val="Normal"/>
    <w:rsid w:val="00C83EB6"/>
    <w:pPr>
      <w:autoSpaceDE w:val="0"/>
      <w:autoSpaceDN w:val="0"/>
      <w:adjustRightInd w:val="0"/>
      <w:spacing w:after="103" w:line="240" w:lineRule="auto"/>
    </w:pPr>
    <w:rPr>
      <w:rFonts w:ascii="LGNLG J+ Melior" w:hAnsi="LGNLG J+ Melior"/>
      <w:sz w:val="24"/>
    </w:rPr>
  </w:style>
  <w:style w:type="paragraph" w:customStyle="1" w:styleId="CM8">
    <w:name w:val="CM8"/>
    <w:basedOn w:val="Default"/>
    <w:next w:val="Default"/>
    <w:rsid w:val="00C83EB6"/>
    <w:pPr>
      <w:spacing w:line="198" w:lineRule="atLeast"/>
    </w:pPr>
    <w:rPr>
      <w:color w:val="auto"/>
    </w:rPr>
  </w:style>
  <w:style w:type="paragraph" w:customStyle="1" w:styleId="CM4">
    <w:name w:val="CM4"/>
    <w:basedOn w:val="Normal"/>
    <w:next w:val="Normal"/>
    <w:rsid w:val="00C83EB6"/>
    <w:pPr>
      <w:autoSpaceDE w:val="0"/>
      <w:autoSpaceDN w:val="0"/>
      <w:adjustRightInd w:val="0"/>
      <w:spacing w:line="198" w:lineRule="atLeast"/>
    </w:pPr>
    <w:rPr>
      <w:rFonts w:ascii="LGNLG J+ Melior" w:hAnsi="LGNLG J+ Melior"/>
      <w:sz w:val="24"/>
    </w:rPr>
  </w:style>
  <w:style w:type="paragraph" w:styleId="ListBullet">
    <w:name w:val="List Bullet"/>
    <w:basedOn w:val="Normal"/>
    <w:autoRedefine/>
    <w:rsid w:val="00C83EB6"/>
    <w:pPr>
      <w:widowControl w:val="0"/>
      <w:numPr>
        <w:numId w:val="1"/>
      </w:numPr>
      <w:tabs>
        <w:tab w:val="num" w:pos="450"/>
      </w:tabs>
      <w:autoSpaceDE w:val="0"/>
      <w:autoSpaceDN w:val="0"/>
      <w:adjustRightInd w:val="0"/>
      <w:spacing w:line="360" w:lineRule="auto"/>
      <w:ind w:left="450" w:hanging="450"/>
    </w:pPr>
    <w:rPr>
      <w:rFonts w:cs="Arial"/>
      <w:szCs w:val="22"/>
    </w:rPr>
  </w:style>
  <w:style w:type="paragraph" w:customStyle="1" w:styleId="ListLargeLetters">
    <w:name w:val="List Large Letters"/>
    <w:basedOn w:val="BodyText"/>
    <w:rsid w:val="00C83EB6"/>
    <w:pPr>
      <w:widowControl w:val="0"/>
      <w:autoSpaceDE w:val="0"/>
      <w:autoSpaceDN w:val="0"/>
      <w:adjustRightInd w:val="0"/>
      <w:spacing w:after="120" w:line="360" w:lineRule="auto"/>
      <w:ind w:left="1" w:hanging="540"/>
    </w:pPr>
  </w:style>
  <w:style w:type="paragraph" w:customStyle="1" w:styleId="CheckboxList">
    <w:name w:val="Checkbox List"/>
    <w:basedOn w:val="Citation"/>
    <w:rsid w:val="00C83EB6"/>
    <w:pPr>
      <w:ind w:left="0"/>
    </w:pPr>
  </w:style>
  <w:style w:type="paragraph" w:customStyle="1" w:styleId="Citation">
    <w:name w:val="Citation"/>
    <w:basedOn w:val="Normal"/>
    <w:rsid w:val="00C83EB6"/>
    <w:pPr>
      <w:widowControl w:val="0"/>
      <w:pBdr>
        <w:left w:val="single" w:sz="4" w:space="4" w:color="auto"/>
      </w:pBdr>
      <w:tabs>
        <w:tab w:val="left" w:pos="1080"/>
      </w:tabs>
      <w:adjustRightInd w:val="0"/>
      <w:spacing w:line="240" w:lineRule="auto"/>
      <w:ind w:left="1080"/>
    </w:pPr>
    <w:rPr>
      <w:rFonts w:ascii="Garamond" w:hAnsi="Garamond"/>
      <w:sz w:val="24"/>
    </w:rPr>
  </w:style>
  <w:style w:type="paragraph" w:customStyle="1" w:styleId="AppendixListBullet">
    <w:name w:val="Appendix List Bullet"/>
    <w:basedOn w:val="ListBullet"/>
    <w:rsid w:val="00C83EB6"/>
    <w:pPr>
      <w:numPr>
        <w:numId w:val="5"/>
      </w:numPr>
      <w:tabs>
        <w:tab w:val="num" w:pos="450"/>
        <w:tab w:val="left" w:pos="1080"/>
      </w:tabs>
      <w:spacing w:line="240" w:lineRule="auto"/>
      <w:ind w:left="1080" w:hanging="634"/>
    </w:pPr>
  </w:style>
  <w:style w:type="paragraph" w:customStyle="1" w:styleId="AppendixHeading1">
    <w:name w:val="Appendix Heading 1"/>
    <w:basedOn w:val="Normal"/>
    <w:rsid w:val="00C83EB6"/>
    <w:pPr>
      <w:widowControl w:val="0"/>
      <w:numPr>
        <w:ilvl w:val="1"/>
        <w:numId w:val="6"/>
      </w:numPr>
      <w:tabs>
        <w:tab w:val="right" w:pos="9360"/>
      </w:tabs>
      <w:autoSpaceDE w:val="0"/>
      <w:autoSpaceDN w:val="0"/>
      <w:adjustRightInd w:val="0"/>
      <w:spacing w:after="120" w:line="240" w:lineRule="auto"/>
      <w:ind w:left="0" w:firstLine="0"/>
    </w:pPr>
    <w:rPr>
      <w:rFonts w:cs="Arial"/>
      <w:b/>
      <w:bCs/>
      <w:szCs w:val="22"/>
    </w:rPr>
  </w:style>
  <w:style w:type="paragraph" w:customStyle="1" w:styleId="FootnoteTex">
    <w:name w:val="Footnote Tex"/>
    <w:rsid w:val="00C83EB6"/>
    <w:pPr>
      <w:autoSpaceDE w:val="0"/>
      <w:autoSpaceDN w:val="0"/>
      <w:adjustRightInd w:val="0"/>
    </w:pPr>
  </w:style>
  <w:style w:type="paragraph" w:customStyle="1" w:styleId="AppendixTable">
    <w:name w:val="Appendix Table"/>
    <w:basedOn w:val="BodyTextIndent2"/>
    <w:rsid w:val="00C83EB6"/>
    <w:pPr>
      <w:widowControl w:val="0"/>
      <w:numPr>
        <w:ilvl w:val="0"/>
      </w:numPr>
      <w:tabs>
        <w:tab w:val="clear" w:pos="0"/>
        <w:tab w:val="clear" w:pos="1440"/>
        <w:tab w:val="clear" w:pos="2160"/>
        <w:tab w:val="left" w:pos="-1380"/>
        <w:tab w:val="left" w:pos="-720"/>
        <w:tab w:val="left" w:pos="360"/>
        <w:tab w:val="left" w:pos="1800"/>
      </w:tabs>
      <w:autoSpaceDE w:val="0"/>
      <w:autoSpaceDN w:val="0"/>
      <w:adjustRightInd w:val="0"/>
      <w:spacing w:line="240" w:lineRule="auto"/>
      <w:ind w:left="720"/>
    </w:pPr>
    <w:rPr>
      <w:sz w:val="20"/>
      <w:szCs w:val="20"/>
    </w:rPr>
  </w:style>
  <w:style w:type="paragraph" w:styleId="HTMLPreformatted">
    <w:name w:val="HTML Preformatted"/>
    <w:basedOn w:val="Normal"/>
    <w:rsid w:val="00C83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paragraph" w:customStyle="1" w:styleId="CM24">
    <w:name w:val="CM24"/>
    <w:basedOn w:val="Default"/>
    <w:next w:val="Default"/>
    <w:rsid w:val="00C83EB6"/>
    <w:pPr>
      <w:spacing w:line="203" w:lineRule="atLeast"/>
    </w:pPr>
    <w:rPr>
      <w:rFonts w:ascii="LGNLG J+ Melior" w:hAnsi="LGNLG J+ Melior"/>
      <w:color w:val="auto"/>
    </w:rPr>
  </w:style>
  <w:style w:type="paragraph" w:customStyle="1" w:styleId="CM3">
    <w:name w:val="CM3"/>
    <w:basedOn w:val="Default"/>
    <w:next w:val="Default"/>
    <w:rsid w:val="00C83EB6"/>
    <w:pPr>
      <w:spacing w:line="200" w:lineRule="atLeast"/>
    </w:pPr>
    <w:rPr>
      <w:rFonts w:ascii="LGNLG J+ Melior" w:hAnsi="LGNLG J+ Melior"/>
      <w:color w:val="auto"/>
    </w:rPr>
  </w:style>
  <w:style w:type="paragraph" w:customStyle="1" w:styleId="CM6">
    <w:name w:val="CM6"/>
    <w:basedOn w:val="Default"/>
    <w:next w:val="Default"/>
    <w:rsid w:val="00C83EB6"/>
    <w:pPr>
      <w:numPr>
        <w:numId w:val="16"/>
      </w:numPr>
      <w:spacing w:line="200" w:lineRule="atLeast"/>
      <w:ind w:left="0" w:firstLine="0"/>
    </w:pPr>
    <w:rPr>
      <w:rFonts w:ascii="LGNLG J+ Melior" w:hAnsi="LGNLG J+ Melior"/>
      <w:color w:val="auto"/>
    </w:rPr>
  </w:style>
  <w:style w:type="paragraph" w:styleId="ListBullet2">
    <w:name w:val="List Bullet 2"/>
    <w:basedOn w:val="Normal"/>
    <w:autoRedefine/>
    <w:rsid w:val="00C83EB6"/>
    <w:pPr>
      <w:numPr>
        <w:numId w:val="3"/>
      </w:numPr>
      <w:tabs>
        <w:tab w:val="num" w:pos="1440"/>
      </w:tabs>
      <w:spacing w:line="240" w:lineRule="auto"/>
      <w:ind w:left="1440"/>
    </w:pPr>
    <w:rPr>
      <w:rFonts w:cs="Arial"/>
      <w:sz w:val="20"/>
    </w:rPr>
  </w:style>
  <w:style w:type="paragraph" w:customStyle="1" w:styleId="tabletext">
    <w:name w:val="table text"/>
    <w:basedOn w:val="Normal"/>
    <w:rsid w:val="00C83EB6"/>
    <w:pPr>
      <w:widowControl w:val="0"/>
      <w:numPr>
        <w:ilvl w:val="12"/>
      </w:numPr>
      <w:tabs>
        <w:tab w:val="left" w:pos="-720"/>
        <w:tab w:val="left" w:pos="0"/>
        <w:tab w:val="left" w:pos="78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before="60" w:after="60" w:line="240" w:lineRule="auto"/>
    </w:pPr>
    <w:rPr>
      <w:rFonts w:eastAsia="@MS Mincho" w:cs="Arial"/>
      <w:sz w:val="18"/>
      <w:szCs w:val="18"/>
    </w:rPr>
  </w:style>
  <w:style w:type="paragraph" w:customStyle="1" w:styleId="CM31">
    <w:name w:val="CM31"/>
    <w:basedOn w:val="Default"/>
    <w:next w:val="Default"/>
    <w:rsid w:val="00C83EB6"/>
    <w:pPr>
      <w:spacing w:after="88"/>
    </w:pPr>
    <w:rPr>
      <w:rFonts w:ascii="BILLF G+ Melior" w:hAnsi="BILLF G+ Melior"/>
      <w:color w:val="auto"/>
    </w:rPr>
  </w:style>
  <w:style w:type="paragraph" w:styleId="NormalWeb">
    <w:name w:val="Normal (Web)"/>
    <w:basedOn w:val="Normal"/>
    <w:uiPriority w:val="99"/>
    <w:rsid w:val="00C83EB6"/>
    <w:pPr>
      <w:spacing w:before="100" w:beforeAutospacing="1" w:after="100" w:afterAutospacing="1" w:line="240" w:lineRule="auto"/>
    </w:pPr>
    <w:rPr>
      <w:rFonts w:ascii="Times New Roman" w:hAnsi="Times New Roman"/>
      <w:sz w:val="24"/>
    </w:rPr>
  </w:style>
  <w:style w:type="paragraph" w:customStyle="1" w:styleId="SPCCcomment">
    <w:name w:val="SPCC comment"/>
    <w:basedOn w:val="Normal"/>
    <w:rsid w:val="00C83EB6"/>
    <w:pPr>
      <w:spacing w:after="120" w:line="240" w:lineRule="auto"/>
      <w:ind w:left="720" w:hanging="720"/>
    </w:pPr>
    <w:rPr>
      <w:rFonts w:cs="Arial"/>
      <w:iCs/>
      <w:szCs w:val="22"/>
    </w:rPr>
  </w:style>
  <w:style w:type="character" w:customStyle="1" w:styleId="reportoutline">
    <w:name w:val="reportoutline"/>
    <w:basedOn w:val="DefaultParagraphFont"/>
    <w:rsid w:val="00C83EB6"/>
  </w:style>
  <w:style w:type="paragraph" w:customStyle="1" w:styleId="western">
    <w:name w:val="western"/>
    <w:basedOn w:val="Normal"/>
    <w:rsid w:val="00C83EB6"/>
    <w:pPr>
      <w:spacing w:before="100" w:beforeAutospacing="1" w:after="100" w:afterAutospacing="1" w:line="240" w:lineRule="auto"/>
    </w:pPr>
    <w:rPr>
      <w:rFonts w:ascii="Times New Roman" w:hAnsi="Times New Roman"/>
      <w:sz w:val="24"/>
    </w:rPr>
  </w:style>
  <w:style w:type="paragraph" w:customStyle="1" w:styleId="CM55">
    <w:name w:val="CM55"/>
    <w:basedOn w:val="Default"/>
    <w:next w:val="Default"/>
    <w:rsid w:val="00C83EB6"/>
    <w:pPr>
      <w:spacing w:after="305"/>
    </w:pPr>
    <w:rPr>
      <w:rFonts w:ascii="Arial" w:hAnsi="Arial"/>
      <w:color w:val="auto"/>
    </w:rPr>
  </w:style>
  <w:style w:type="paragraph" w:customStyle="1" w:styleId="CM14">
    <w:name w:val="CM14"/>
    <w:basedOn w:val="Default"/>
    <w:next w:val="Default"/>
    <w:rsid w:val="00C83EB6"/>
    <w:pPr>
      <w:spacing w:after="313"/>
    </w:pPr>
    <w:rPr>
      <w:rFonts w:ascii="Arial" w:hAnsi="Arial"/>
      <w:color w:val="auto"/>
    </w:rPr>
  </w:style>
  <w:style w:type="paragraph" w:customStyle="1" w:styleId="CM12">
    <w:name w:val="CM12"/>
    <w:basedOn w:val="Default"/>
    <w:next w:val="Default"/>
    <w:rsid w:val="00C83EB6"/>
    <w:pPr>
      <w:spacing w:line="303" w:lineRule="atLeast"/>
    </w:pPr>
    <w:rPr>
      <w:rFonts w:ascii="Arial" w:hAnsi="Arial"/>
      <w:color w:val="auto"/>
    </w:rPr>
  </w:style>
  <w:style w:type="paragraph" w:customStyle="1" w:styleId="CM62">
    <w:name w:val="CM62"/>
    <w:basedOn w:val="Normal"/>
    <w:next w:val="Normal"/>
    <w:rsid w:val="00C83EB6"/>
    <w:pPr>
      <w:autoSpaceDE w:val="0"/>
      <w:autoSpaceDN w:val="0"/>
      <w:adjustRightInd w:val="0"/>
      <w:spacing w:after="515" w:line="240" w:lineRule="auto"/>
    </w:pPr>
    <w:rPr>
      <w:sz w:val="24"/>
    </w:rPr>
  </w:style>
  <w:style w:type="paragraph" w:customStyle="1" w:styleId="CM39">
    <w:name w:val="CM39"/>
    <w:basedOn w:val="Default"/>
    <w:next w:val="Default"/>
    <w:rsid w:val="00C83EB6"/>
    <w:pPr>
      <w:spacing w:after="310"/>
    </w:pPr>
    <w:rPr>
      <w:rFonts w:ascii="Arial" w:hAnsi="Arial"/>
      <w:color w:val="auto"/>
    </w:rPr>
  </w:style>
  <w:style w:type="paragraph" w:customStyle="1" w:styleId="CM43">
    <w:name w:val="CM43"/>
    <w:basedOn w:val="Default"/>
    <w:next w:val="Default"/>
    <w:rsid w:val="00C83EB6"/>
    <w:pPr>
      <w:spacing w:line="200" w:lineRule="atLeast"/>
    </w:pPr>
    <w:rPr>
      <w:color w:val="auto"/>
    </w:rPr>
  </w:style>
  <w:style w:type="character" w:customStyle="1" w:styleId="paraheader">
    <w:name w:val="paraheader"/>
    <w:basedOn w:val="DefaultParagraphFont"/>
    <w:rsid w:val="00C83EB6"/>
  </w:style>
  <w:style w:type="character" w:styleId="Strong">
    <w:name w:val="Strong"/>
    <w:uiPriority w:val="22"/>
    <w:qFormat/>
    <w:rsid w:val="00C83EB6"/>
    <w:rPr>
      <w:b/>
      <w:bCs/>
    </w:rPr>
  </w:style>
  <w:style w:type="paragraph" w:styleId="PlainText">
    <w:name w:val="Plain Text"/>
    <w:basedOn w:val="Normal"/>
    <w:rsid w:val="00C83EB6"/>
    <w:pPr>
      <w:spacing w:line="240" w:lineRule="auto"/>
    </w:pPr>
    <w:rPr>
      <w:rFonts w:ascii="Courier New" w:hAnsi="Courier New" w:cs="Courier New"/>
      <w:sz w:val="20"/>
      <w:szCs w:val="20"/>
    </w:rPr>
  </w:style>
  <w:style w:type="character" w:customStyle="1" w:styleId="defaultlabelstyle8">
    <w:name w:val="defaultlabelstyle8"/>
    <w:rsid w:val="00C83EB6"/>
    <w:rPr>
      <w:rFonts w:ascii="Verdana" w:hAnsi="Verdana" w:hint="default"/>
      <w:color w:val="333333"/>
      <w:sz w:val="18"/>
      <w:szCs w:val="18"/>
    </w:rPr>
  </w:style>
  <w:style w:type="character" w:customStyle="1" w:styleId="defaultlabelstyle6">
    <w:name w:val="defaultlabelstyle6"/>
    <w:rsid w:val="00C83EB6"/>
    <w:rPr>
      <w:rFonts w:ascii="Verdana" w:hAnsi="Verdana" w:hint="default"/>
      <w:color w:val="333333"/>
      <w:sz w:val="20"/>
      <w:szCs w:val="20"/>
    </w:rPr>
  </w:style>
  <w:style w:type="paragraph" w:customStyle="1" w:styleId="Header1">
    <w:name w:val="Header 1"/>
    <w:basedOn w:val="Normal"/>
    <w:rsid w:val="00C83EB6"/>
    <w:pPr>
      <w:autoSpaceDE w:val="0"/>
      <w:autoSpaceDN w:val="0"/>
      <w:adjustRightInd w:val="0"/>
      <w:spacing w:line="480" w:lineRule="auto"/>
    </w:pPr>
    <w:rPr>
      <w:rFonts w:ascii="Times New Roman" w:hAnsi="Times New Roman"/>
      <w:b/>
      <w:sz w:val="24"/>
    </w:rPr>
  </w:style>
  <w:style w:type="paragraph" w:styleId="TOC1">
    <w:name w:val="toc 1"/>
    <w:basedOn w:val="Normal"/>
    <w:next w:val="Normal"/>
    <w:autoRedefine/>
    <w:semiHidden/>
    <w:rsid w:val="008E44F1"/>
    <w:pPr>
      <w:widowControl w:val="0"/>
      <w:tabs>
        <w:tab w:val="left" w:pos="480"/>
        <w:tab w:val="right" w:leader="dot" w:pos="9350"/>
      </w:tabs>
      <w:autoSpaceDE w:val="0"/>
      <w:autoSpaceDN w:val="0"/>
      <w:adjustRightInd w:val="0"/>
      <w:spacing w:line="480" w:lineRule="auto"/>
    </w:pPr>
    <w:rPr>
      <w:rFonts w:ascii="Times New Roman" w:hAnsi="Times New Roman"/>
      <w:noProof/>
      <w:sz w:val="24"/>
    </w:rPr>
  </w:style>
  <w:style w:type="paragraph" w:styleId="TOC2">
    <w:name w:val="toc 2"/>
    <w:basedOn w:val="Normal"/>
    <w:next w:val="Normal"/>
    <w:autoRedefine/>
    <w:semiHidden/>
    <w:rsid w:val="008E44F1"/>
    <w:pPr>
      <w:widowControl w:val="0"/>
      <w:tabs>
        <w:tab w:val="left" w:pos="720"/>
        <w:tab w:val="right" w:leader="dot" w:pos="9350"/>
      </w:tabs>
      <w:autoSpaceDE w:val="0"/>
      <w:autoSpaceDN w:val="0"/>
      <w:adjustRightInd w:val="0"/>
      <w:spacing w:line="480" w:lineRule="auto"/>
      <w:ind w:left="245"/>
    </w:pPr>
    <w:rPr>
      <w:rFonts w:ascii="Times New Roman" w:hAnsi="Times New Roman"/>
      <w:noProof/>
      <w:sz w:val="24"/>
    </w:rPr>
  </w:style>
  <w:style w:type="paragraph" w:styleId="TOC3">
    <w:name w:val="toc 3"/>
    <w:basedOn w:val="Normal"/>
    <w:next w:val="Normal"/>
    <w:autoRedefine/>
    <w:semiHidden/>
    <w:rsid w:val="008E44F1"/>
    <w:pPr>
      <w:widowControl w:val="0"/>
      <w:tabs>
        <w:tab w:val="left" w:pos="960"/>
        <w:tab w:val="right" w:leader="dot" w:pos="9350"/>
      </w:tabs>
      <w:autoSpaceDE w:val="0"/>
      <w:autoSpaceDN w:val="0"/>
      <w:adjustRightInd w:val="0"/>
      <w:spacing w:line="480" w:lineRule="auto"/>
      <w:ind w:left="475"/>
    </w:pPr>
    <w:rPr>
      <w:rFonts w:ascii="Times New Roman" w:hAnsi="Times New Roman"/>
      <w:noProof/>
      <w:sz w:val="24"/>
    </w:rPr>
  </w:style>
  <w:style w:type="paragraph" w:styleId="MacroText">
    <w:name w:val="macro"/>
    <w:semiHidden/>
    <w:rsid w:val="008E44F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Revision">
    <w:name w:val="Revision"/>
    <w:hidden/>
    <w:semiHidden/>
    <w:rsid w:val="008E44F1"/>
    <w:rPr>
      <w:sz w:val="24"/>
      <w:szCs w:val="24"/>
    </w:rPr>
  </w:style>
  <w:style w:type="table" w:styleId="TableGrid">
    <w:name w:val="Table Grid"/>
    <w:basedOn w:val="TableNormal"/>
    <w:rsid w:val="00A15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C25B65"/>
    <w:rPr>
      <w:color w:val="605E5C"/>
      <w:shd w:val="clear" w:color="auto" w:fill="E1DFDD"/>
    </w:rPr>
  </w:style>
  <w:style w:type="paragraph" w:styleId="ListParagraph">
    <w:name w:val="List Paragraph"/>
    <w:basedOn w:val="Normal"/>
    <w:uiPriority w:val="34"/>
    <w:qFormat/>
    <w:rsid w:val="00790A76"/>
    <w:pPr>
      <w:ind w:left="720"/>
      <w:contextualSpacing/>
    </w:pPr>
  </w:style>
  <w:style w:type="character" w:customStyle="1" w:styleId="Mention1">
    <w:name w:val="Mention1"/>
    <w:basedOn w:val="DefaultParagraphFont"/>
    <w:uiPriority w:val="99"/>
    <w:unhideWhenUsed/>
    <w:rsid w:val="00E250DF"/>
    <w:rPr>
      <w:color w:val="2B579A"/>
      <w:shd w:val="clear" w:color="auto" w:fill="E1DFDD"/>
    </w:rPr>
  </w:style>
  <w:style w:type="table" w:customStyle="1" w:styleId="GridTable41">
    <w:name w:val="Grid Table 41"/>
    <w:basedOn w:val="TableNormal"/>
    <w:uiPriority w:val="49"/>
    <w:rsid w:val="000A5DDB"/>
    <w:rPr>
      <w:rFonts w:asciiTheme="minorHAnsi" w:eastAsiaTheme="minorEastAsia"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Number">
    <w:name w:val="List Number"/>
    <w:basedOn w:val="Normal"/>
    <w:uiPriority w:val="99"/>
    <w:unhideWhenUsed/>
    <w:rsid w:val="000A5DDB"/>
    <w:pPr>
      <w:numPr>
        <w:numId w:val="19"/>
      </w:numPr>
      <w:spacing w:after="120"/>
    </w:pPr>
    <w:rPr>
      <w:rFonts w:ascii="Times New Roman" w:eastAsiaTheme="minorHAnsi" w:hAnsi="Times New Roman" w:cstheme="minorBidi"/>
      <w:color w:val="000000" w:themeColor="text1"/>
      <w:szCs w:val="21"/>
    </w:rPr>
  </w:style>
  <w:style w:type="paragraph" w:customStyle="1" w:styleId="TableText0">
    <w:name w:val="Table Text"/>
    <w:basedOn w:val="BodyText"/>
    <w:rsid w:val="000A5DDB"/>
    <w:rPr>
      <w:rFonts w:ascii="Calibri" w:eastAsiaTheme="minorHAnsi" w:hAnsi="Calibri" w:cstheme="minorBidi"/>
      <w:color w:val="000000" w:themeColor="text1"/>
      <w:sz w:val="20"/>
      <w:szCs w:val="21"/>
    </w:rPr>
  </w:style>
  <w:style w:type="paragraph" w:customStyle="1" w:styleId="TableHeading">
    <w:name w:val="Table Heading"/>
    <w:basedOn w:val="TableText0"/>
    <w:rsid w:val="000A5DDB"/>
  </w:style>
  <w:style w:type="paragraph" w:customStyle="1" w:styleId="TableNumber">
    <w:name w:val="Table Number"/>
    <w:basedOn w:val="TableText0"/>
    <w:rsid w:val="000A5DDB"/>
    <w:pPr>
      <w:jc w:val="right"/>
    </w:pPr>
  </w:style>
  <w:style w:type="paragraph" w:customStyle="1" w:styleId="TableFootnote">
    <w:name w:val="Table Footnote"/>
    <w:basedOn w:val="BodyText"/>
    <w:rsid w:val="000A5DDB"/>
    <w:pPr>
      <w:spacing w:after="120" w:line="240" w:lineRule="auto"/>
      <w:contextualSpacing/>
    </w:pPr>
    <w:rPr>
      <w:rFonts w:ascii="Calibri" w:eastAsiaTheme="minorHAnsi" w:hAnsi="Calibri" w:cstheme="minorBidi"/>
      <w:color w:val="000000" w:themeColor="text1"/>
      <w:sz w:val="18"/>
      <w:szCs w:val="18"/>
    </w:rPr>
  </w:style>
  <w:style w:type="paragraph" w:customStyle="1" w:styleId="TableTitle">
    <w:name w:val="Table Title"/>
    <w:basedOn w:val="Caption"/>
    <w:rsid w:val="000A5DDB"/>
    <w:pPr>
      <w:keepLines w:val="0"/>
      <w:jc w:val="left"/>
      <w:outlineLvl w:val="9"/>
    </w:pPr>
    <w:rPr>
      <w:rFonts w:ascii="Calibri" w:eastAsiaTheme="minorHAnsi" w:hAnsi="Calibri" w:cstheme="minorBidi"/>
      <w:bCs w:val="0"/>
      <w:iCs/>
      <w:sz w:val="21"/>
      <w:szCs w:val="18"/>
    </w:rPr>
  </w:style>
  <w:style w:type="paragraph" w:customStyle="1" w:styleId="References">
    <w:name w:val="References"/>
    <w:basedOn w:val="BodyText"/>
    <w:rsid w:val="000A5DDB"/>
    <w:pPr>
      <w:spacing w:after="120"/>
      <w:ind w:left="720" w:hanging="720"/>
    </w:pPr>
    <w:rPr>
      <w:rFonts w:ascii="Times New Roman" w:eastAsiaTheme="minorHAnsi" w:hAnsi="Times New Roman" w:cstheme="minorBidi"/>
      <w:color w:val="000000" w:themeColor="text1"/>
      <w:szCs w:val="21"/>
    </w:rPr>
  </w:style>
  <w:style w:type="paragraph" w:customStyle="1" w:styleId="Figure">
    <w:name w:val="Figure"/>
    <w:basedOn w:val="Heading1"/>
    <w:rsid w:val="000A5DDB"/>
    <w:pPr>
      <w:keepNext/>
      <w:keepLines/>
      <w:spacing w:before="480" w:after="120" w:line="240" w:lineRule="auto"/>
      <w:ind w:left="432" w:hanging="432"/>
    </w:pPr>
    <w:rPr>
      <w:rFonts w:asciiTheme="majorHAnsi" w:eastAsiaTheme="majorEastAsia" w:hAnsiTheme="majorHAnsi" w:cstheme="majorBidi"/>
      <w:color w:val="345A8A" w:themeColor="accent1" w:themeShade="B5"/>
      <w:sz w:val="32"/>
      <w:szCs w:val="32"/>
    </w:rPr>
  </w:style>
  <w:style w:type="paragraph" w:styleId="NoSpacing">
    <w:name w:val="No Spacing"/>
    <w:uiPriority w:val="1"/>
    <w:qFormat/>
    <w:rsid w:val="000A5DDB"/>
    <w:rPr>
      <w:rFonts w:eastAsiaTheme="minorHAnsi" w:cstheme="minorBidi"/>
      <w:color w:val="000000" w:themeColor="text1"/>
      <w:sz w:val="22"/>
      <w:szCs w:val="22"/>
    </w:rPr>
  </w:style>
  <w:style w:type="paragraph" w:styleId="Bibliography">
    <w:name w:val="Bibliography"/>
    <w:basedOn w:val="Normal"/>
    <w:next w:val="Normal"/>
    <w:uiPriority w:val="37"/>
    <w:unhideWhenUsed/>
    <w:rsid w:val="000A5DDB"/>
    <w:pPr>
      <w:spacing w:line="312" w:lineRule="auto"/>
    </w:pPr>
    <w:rPr>
      <w:rFonts w:ascii="Times New Roman" w:eastAsiaTheme="minorHAnsi" w:hAnsi="Times New Roman" w:cstheme="minorBidi"/>
      <w:color w:val="000000" w:themeColor="text1"/>
      <w:szCs w:val="22"/>
    </w:rPr>
  </w:style>
  <w:style w:type="character" w:styleId="UnresolvedMention">
    <w:name w:val="Unresolved Mention"/>
    <w:basedOn w:val="DefaultParagraphFont"/>
    <w:uiPriority w:val="99"/>
    <w:semiHidden/>
    <w:unhideWhenUsed/>
    <w:rsid w:val="00285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9051">
      <w:bodyDiv w:val="1"/>
      <w:marLeft w:val="0"/>
      <w:marRight w:val="0"/>
      <w:marTop w:val="0"/>
      <w:marBottom w:val="0"/>
      <w:divBdr>
        <w:top w:val="none" w:sz="0" w:space="0" w:color="auto"/>
        <w:left w:val="none" w:sz="0" w:space="0" w:color="auto"/>
        <w:bottom w:val="none" w:sz="0" w:space="0" w:color="auto"/>
        <w:right w:val="none" w:sz="0" w:space="0" w:color="auto"/>
      </w:divBdr>
    </w:div>
    <w:div w:id="116218453">
      <w:bodyDiv w:val="1"/>
      <w:marLeft w:val="0"/>
      <w:marRight w:val="0"/>
      <w:marTop w:val="0"/>
      <w:marBottom w:val="0"/>
      <w:divBdr>
        <w:top w:val="none" w:sz="0" w:space="0" w:color="auto"/>
        <w:left w:val="none" w:sz="0" w:space="0" w:color="auto"/>
        <w:bottom w:val="none" w:sz="0" w:space="0" w:color="auto"/>
        <w:right w:val="none" w:sz="0" w:space="0" w:color="auto"/>
      </w:divBdr>
    </w:div>
    <w:div w:id="150172093">
      <w:bodyDiv w:val="1"/>
      <w:marLeft w:val="0"/>
      <w:marRight w:val="0"/>
      <w:marTop w:val="0"/>
      <w:marBottom w:val="0"/>
      <w:divBdr>
        <w:top w:val="none" w:sz="0" w:space="0" w:color="auto"/>
        <w:left w:val="none" w:sz="0" w:space="0" w:color="auto"/>
        <w:bottom w:val="none" w:sz="0" w:space="0" w:color="auto"/>
        <w:right w:val="none" w:sz="0" w:space="0" w:color="auto"/>
      </w:divBdr>
    </w:div>
    <w:div w:id="209805877">
      <w:bodyDiv w:val="1"/>
      <w:marLeft w:val="0"/>
      <w:marRight w:val="0"/>
      <w:marTop w:val="0"/>
      <w:marBottom w:val="0"/>
      <w:divBdr>
        <w:top w:val="none" w:sz="0" w:space="0" w:color="auto"/>
        <w:left w:val="none" w:sz="0" w:space="0" w:color="auto"/>
        <w:bottom w:val="none" w:sz="0" w:space="0" w:color="auto"/>
        <w:right w:val="none" w:sz="0" w:space="0" w:color="auto"/>
      </w:divBdr>
    </w:div>
    <w:div w:id="233128453">
      <w:bodyDiv w:val="1"/>
      <w:marLeft w:val="0"/>
      <w:marRight w:val="0"/>
      <w:marTop w:val="0"/>
      <w:marBottom w:val="0"/>
      <w:divBdr>
        <w:top w:val="none" w:sz="0" w:space="0" w:color="auto"/>
        <w:left w:val="none" w:sz="0" w:space="0" w:color="auto"/>
        <w:bottom w:val="none" w:sz="0" w:space="0" w:color="auto"/>
        <w:right w:val="none" w:sz="0" w:space="0" w:color="auto"/>
      </w:divBdr>
    </w:div>
    <w:div w:id="338965485">
      <w:bodyDiv w:val="1"/>
      <w:marLeft w:val="0"/>
      <w:marRight w:val="0"/>
      <w:marTop w:val="0"/>
      <w:marBottom w:val="0"/>
      <w:divBdr>
        <w:top w:val="none" w:sz="0" w:space="0" w:color="auto"/>
        <w:left w:val="none" w:sz="0" w:space="0" w:color="auto"/>
        <w:bottom w:val="none" w:sz="0" w:space="0" w:color="auto"/>
        <w:right w:val="none" w:sz="0" w:space="0" w:color="auto"/>
      </w:divBdr>
    </w:div>
    <w:div w:id="412090545">
      <w:bodyDiv w:val="1"/>
      <w:marLeft w:val="0"/>
      <w:marRight w:val="0"/>
      <w:marTop w:val="0"/>
      <w:marBottom w:val="0"/>
      <w:divBdr>
        <w:top w:val="none" w:sz="0" w:space="0" w:color="auto"/>
        <w:left w:val="none" w:sz="0" w:space="0" w:color="auto"/>
        <w:bottom w:val="none" w:sz="0" w:space="0" w:color="auto"/>
        <w:right w:val="none" w:sz="0" w:space="0" w:color="auto"/>
      </w:divBdr>
      <w:divsChild>
        <w:div w:id="1352105583">
          <w:marLeft w:val="0"/>
          <w:marRight w:val="0"/>
          <w:marTop w:val="0"/>
          <w:marBottom w:val="0"/>
          <w:divBdr>
            <w:top w:val="none" w:sz="0" w:space="0" w:color="auto"/>
            <w:left w:val="none" w:sz="0" w:space="0" w:color="auto"/>
            <w:bottom w:val="none" w:sz="0" w:space="0" w:color="auto"/>
            <w:right w:val="none" w:sz="0" w:space="0" w:color="auto"/>
          </w:divBdr>
        </w:div>
      </w:divsChild>
    </w:div>
    <w:div w:id="427897523">
      <w:bodyDiv w:val="1"/>
      <w:marLeft w:val="0"/>
      <w:marRight w:val="0"/>
      <w:marTop w:val="0"/>
      <w:marBottom w:val="0"/>
      <w:divBdr>
        <w:top w:val="none" w:sz="0" w:space="0" w:color="auto"/>
        <w:left w:val="none" w:sz="0" w:space="0" w:color="auto"/>
        <w:bottom w:val="none" w:sz="0" w:space="0" w:color="auto"/>
        <w:right w:val="none" w:sz="0" w:space="0" w:color="auto"/>
      </w:divBdr>
    </w:div>
    <w:div w:id="462770111">
      <w:bodyDiv w:val="1"/>
      <w:marLeft w:val="0"/>
      <w:marRight w:val="0"/>
      <w:marTop w:val="0"/>
      <w:marBottom w:val="0"/>
      <w:divBdr>
        <w:top w:val="none" w:sz="0" w:space="0" w:color="auto"/>
        <w:left w:val="none" w:sz="0" w:space="0" w:color="auto"/>
        <w:bottom w:val="none" w:sz="0" w:space="0" w:color="auto"/>
        <w:right w:val="none" w:sz="0" w:space="0" w:color="auto"/>
      </w:divBdr>
    </w:div>
    <w:div w:id="554899529">
      <w:bodyDiv w:val="1"/>
      <w:marLeft w:val="0"/>
      <w:marRight w:val="0"/>
      <w:marTop w:val="0"/>
      <w:marBottom w:val="0"/>
      <w:divBdr>
        <w:top w:val="none" w:sz="0" w:space="0" w:color="auto"/>
        <w:left w:val="none" w:sz="0" w:space="0" w:color="auto"/>
        <w:bottom w:val="none" w:sz="0" w:space="0" w:color="auto"/>
        <w:right w:val="none" w:sz="0" w:space="0" w:color="auto"/>
      </w:divBdr>
    </w:div>
    <w:div w:id="581959842">
      <w:bodyDiv w:val="1"/>
      <w:marLeft w:val="0"/>
      <w:marRight w:val="0"/>
      <w:marTop w:val="0"/>
      <w:marBottom w:val="0"/>
      <w:divBdr>
        <w:top w:val="none" w:sz="0" w:space="0" w:color="auto"/>
        <w:left w:val="none" w:sz="0" w:space="0" w:color="auto"/>
        <w:bottom w:val="none" w:sz="0" w:space="0" w:color="auto"/>
        <w:right w:val="none" w:sz="0" w:space="0" w:color="auto"/>
      </w:divBdr>
    </w:div>
    <w:div w:id="639961347">
      <w:bodyDiv w:val="1"/>
      <w:marLeft w:val="0"/>
      <w:marRight w:val="0"/>
      <w:marTop w:val="0"/>
      <w:marBottom w:val="0"/>
      <w:divBdr>
        <w:top w:val="none" w:sz="0" w:space="0" w:color="auto"/>
        <w:left w:val="none" w:sz="0" w:space="0" w:color="auto"/>
        <w:bottom w:val="none" w:sz="0" w:space="0" w:color="auto"/>
        <w:right w:val="none" w:sz="0" w:space="0" w:color="auto"/>
      </w:divBdr>
    </w:div>
    <w:div w:id="692343930">
      <w:bodyDiv w:val="1"/>
      <w:marLeft w:val="0"/>
      <w:marRight w:val="0"/>
      <w:marTop w:val="0"/>
      <w:marBottom w:val="0"/>
      <w:divBdr>
        <w:top w:val="none" w:sz="0" w:space="0" w:color="auto"/>
        <w:left w:val="none" w:sz="0" w:space="0" w:color="auto"/>
        <w:bottom w:val="none" w:sz="0" w:space="0" w:color="auto"/>
        <w:right w:val="none" w:sz="0" w:space="0" w:color="auto"/>
      </w:divBdr>
    </w:div>
    <w:div w:id="746683003">
      <w:bodyDiv w:val="1"/>
      <w:marLeft w:val="0"/>
      <w:marRight w:val="0"/>
      <w:marTop w:val="0"/>
      <w:marBottom w:val="0"/>
      <w:divBdr>
        <w:top w:val="none" w:sz="0" w:space="0" w:color="auto"/>
        <w:left w:val="none" w:sz="0" w:space="0" w:color="auto"/>
        <w:bottom w:val="none" w:sz="0" w:space="0" w:color="auto"/>
        <w:right w:val="none" w:sz="0" w:space="0" w:color="auto"/>
      </w:divBdr>
      <w:divsChild>
        <w:div w:id="2009601714">
          <w:marLeft w:val="0"/>
          <w:marRight w:val="0"/>
          <w:marTop w:val="0"/>
          <w:marBottom w:val="0"/>
          <w:divBdr>
            <w:top w:val="none" w:sz="0" w:space="0" w:color="auto"/>
            <w:left w:val="none" w:sz="0" w:space="0" w:color="auto"/>
            <w:bottom w:val="none" w:sz="0" w:space="0" w:color="auto"/>
            <w:right w:val="none" w:sz="0" w:space="0" w:color="auto"/>
          </w:divBdr>
        </w:div>
      </w:divsChild>
    </w:div>
    <w:div w:id="760837812">
      <w:bodyDiv w:val="1"/>
      <w:marLeft w:val="0"/>
      <w:marRight w:val="0"/>
      <w:marTop w:val="0"/>
      <w:marBottom w:val="0"/>
      <w:divBdr>
        <w:top w:val="none" w:sz="0" w:space="0" w:color="auto"/>
        <w:left w:val="none" w:sz="0" w:space="0" w:color="auto"/>
        <w:bottom w:val="none" w:sz="0" w:space="0" w:color="auto"/>
        <w:right w:val="none" w:sz="0" w:space="0" w:color="auto"/>
      </w:divBdr>
    </w:div>
    <w:div w:id="808740514">
      <w:bodyDiv w:val="1"/>
      <w:marLeft w:val="0"/>
      <w:marRight w:val="0"/>
      <w:marTop w:val="0"/>
      <w:marBottom w:val="0"/>
      <w:divBdr>
        <w:top w:val="none" w:sz="0" w:space="0" w:color="auto"/>
        <w:left w:val="none" w:sz="0" w:space="0" w:color="auto"/>
        <w:bottom w:val="none" w:sz="0" w:space="0" w:color="auto"/>
        <w:right w:val="none" w:sz="0" w:space="0" w:color="auto"/>
      </w:divBdr>
    </w:div>
    <w:div w:id="819615486">
      <w:bodyDiv w:val="1"/>
      <w:marLeft w:val="0"/>
      <w:marRight w:val="0"/>
      <w:marTop w:val="0"/>
      <w:marBottom w:val="0"/>
      <w:divBdr>
        <w:top w:val="none" w:sz="0" w:space="0" w:color="auto"/>
        <w:left w:val="none" w:sz="0" w:space="0" w:color="auto"/>
        <w:bottom w:val="none" w:sz="0" w:space="0" w:color="auto"/>
        <w:right w:val="none" w:sz="0" w:space="0" w:color="auto"/>
      </w:divBdr>
    </w:div>
    <w:div w:id="825973106">
      <w:bodyDiv w:val="1"/>
      <w:marLeft w:val="0"/>
      <w:marRight w:val="0"/>
      <w:marTop w:val="0"/>
      <w:marBottom w:val="0"/>
      <w:divBdr>
        <w:top w:val="none" w:sz="0" w:space="0" w:color="auto"/>
        <w:left w:val="none" w:sz="0" w:space="0" w:color="auto"/>
        <w:bottom w:val="none" w:sz="0" w:space="0" w:color="auto"/>
        <w:right w:val="none" w:sz="0" w:space="0" w:color="auto"/>
      </w:divBdr>
    </w:div>
    <w:div w:id="938609947">
      <w:bodyDiv w:val="1"/>
      <w:marLeft w:val="0"/>
      <w:marRight w:val="0"/>
      <w:marTop w:val="0"/>
      <w:marBottom w:val="0"/>
      <w:divBdr>
        <w:top w:val="none" w:sz="0" w:space="0" w:color="auto"/>
        <w:left w:val="none" w:sz="0" w:space="0" w:color="auto"/>
        <w:bottom w:val="none" w:sz="0" w:space="0" w:color="auto"/>
        <w:right w:val="none" w:sz="0" w:space="0" w:color="auto"/>
      </w:divBdr>
    </w:div>
    <w:div w:id="954335746">
      <w:bodyDiv w:val="1"/>
      <w:marLeft w:val="0"/>
      <w:marRight w:val="0"/>
      <w:marTop w:val="0"/>
      <w:marBottom w:val="0"/>
      <w:divBdr>
        <w:top w:val="none" w:sz="0" w:space="0" w:color="auto"/>
        <w:left w:val="none" w:sz="0" w:space="0" w:color="auto"/>
        <w:bottom w:val="none" w:sz="0" w:space="0" w:color="auto"/>
        <w:right w:val="none" w:sz="0" w:space="0" w:color="auto"/>
      </w:divBdr>
    </w:div>
    <w:div w:id="1044672489">
      <w:bodyDiv w:val="1"/>
      <w:marLeft w:val="0"/>
      <w:marRight w:val="0"/>
      <w:marTop w:val="0"/>
      <w:marBottom w:val="0"/>
      <w:divBdr>
        <w:top w:val="none" w:sz="0" w:space="0" w:color="auto"/>
        <w:left w:val="none" w:sz="0" w:space="0" w:color="auto"/>
        <w:bottom w:val="none" w:sz="0" w:space="0" w:color="auto"/>
        <w:right w:val="none" w:sz="0" w:space="0" w:color="auto"/>
      </w:divBdr>
    </w:div>
    <w:div w:id="1139299914">
      <w:bodyDiv w:val="1"/>
      <w:marLeft w:val="0"/>
      <w:marRight w:val="0"/>
      <w:marTop w:val="0"/>
      <w:marBottom w:val="0"/>
      <w:divBdr>
        <w:top w:val="none" w:sz="0" w:space="0" w:color="auto"/>
        <w:left w:val="none" w:sz="0" w:space="0" w:color="auto"/>
        <w:bottom w:val="none" w:sz="0" w:space="0" w:color="auto"/>
        <w:right w:val="none" w:sz="0" w:space="0" w:color="auto"/>
      </w:divBdr>
    </w:div>
    <w:div w:id="1176384473">
      <w:bodyDiv w:val="1"/>
      <w:marLeft w:val="0"/>
      <w:marRight w:val="0"/>
      <w:marTop w:val="0"/>
      <w:marBottom w:val="0"/>
      <w:divBdr>
        <w:top w:val="none" w:sz="0" w:space="0" w:color="auto"/>
        <w:left w:val="none" w:sz="0" w:space="0" w:color="auto"/>
        <w:bottom w:val="none" w:sz="0" w:space="0" w:color="auto"/>
        <w:right w:val="none" w:sz="0" w:space="0" w:color="auto"/>
      </w:divBdr>
    </w:div>
    <w:div w:id="1221866393">
      <w:bodyDiv w:val="1"/>
      <w:marLeft w:val="0"/>
      <w:marRight w:val="0"/>
      <w:marTop w:val="0"/>
      <w:marBottom w:val="0"/>
      <w:divBdr>
        <w:top w:val="none" w:sz="0" w:space="0" w:color="auto"/>
        <w:left w:val="none" w:sz="0" w:space="0" w:color="auto"/>
        <w:bottom w:val="none" w:sz="0" w:space="0" w:color="auto"/>
        <w:right w:val="none" w:sz="0" w:space="0" w:color="auto"/>
      </w:divBdr>
      <w:divsChild>
        <w:div w:id="1790273999">
          <w:marLeft w:val="0"/>
          <w:marRight w:val="0"/>
          <w:marTop w:val="0"/>
          <w:marBottom w:val="0"/>
          <w:divBdr>
            <w:top w:val="none" w:sz="0" w:space="0" w:color="auto"/>
            <w:left w:val="none" w:sz="0" w:space="0" w:color="auto"/>
            <w:bottom w:val="none" w:sz="0" w:space="0" w:color="auto"/>
            <w:right w:val="none" w:sz="0" w:space="0" w:color="auto"/>
          </w:divBdr>
        </w:div>
      </w:divsChild>
    </w:div>
    <w:div w:id="1270746213">
      <w:bodyDiv w:val="1"/>
      <w:marLeft w:val="0"/>
      <w:marRight w:val="0"/>
      <w:marTop w:val="0"/>
      <w:marBottom w:val="0"/>
      <w:divBdr>
        <w:top w:val="none" w:sz="0" w:space="0" w:color="auto"/>
        <w:left w:val="none" w:sz="0" w:space="0" w:color="auto"/>
        <w:bottom w:val="none" w:sz="0" w:space="0" w:color="auto"/>
        <w:right w:val="none" w:sz="0" w:space="0" w:color="auto"/>
      </w:divBdr>
    </w:div>
    <w:div w:id="1272399329">
      <w:bodyDiv w:val="1"/>
      <w:marLeft w:val="0"/>
      <w:marRight w:val="0"/>
      <w:marTop w:val="0"/>
      <w:marBottom w:val="0"/>
      <w:divBdr>
        <w:top w:val="none" w:sz="0" w:space="0" w:color="auto"/>
        <w:left w:val="none" w:sz="0" w:space="0" w:color="auto"/>
        <w:bottom w:val="none" w:sz="0" w:space="0" w:color="auto"/>
        <w:right w:val="none" w:sz="0" w:space="0" w:color="auto"/>
      </w:divBdr>
    </w:div>
    <w:div w:id="1273586799">
      <w:bodyDiv w:val="1"/>
      <w:marLeft w:val="0"/>
      <w:marRight w:val="0"/>
      <w:marTop w:val="0"/>
      <w:marBottom w:val="0"/>
      <w:divBdr>
        <w:top w:val="none" w:sz="0" w:space="0" w:color="auto"/>
        <w:left w:val="none" w:sz="0" w:space="0" w:color="auto"/>
        <w:bottom w:val="none" w:sz="0" w:space="0" w:color="auto"/>
        <w:right w:val="none" w:sz="0" w:space="0" w:color="auto"/>
      </w:divBdr>
    </w:div>
    <w:div w:id="1281064657">
      <w:bodyDiv w:val="1"/>
      <w:marLeft w:val="0"/>
      <w:marRight w:val="0"/>
      <w:marTop w:val="0"/>
      <w:marBottom w:val="0"/>
      <w:divBdr>
        <w:top w:val="none" w:sz="0" w:space="0" w:color="auto"/>
        <w:left w:val="none" w:sz="0" w:space="0" w:color="auto"/>
        <w:bottom w:val="none" w:sz="0" w:space="0" w:color="auto"/>
        <w:right w:val="none" w:sz="0" w:space="0" w:color="auto"/>
      </w:divBdr>
    </w:div>
    <w:div w:id="1364751848">
      <w:bodyDiv w:val="1"/>
      <w:marLeft w:val="0"/>
      <w:marRight w:val="0"/>
      <w:marTop w:val="0"/>
      <w:marBottom w:val="0"/>
      <w:divBdr>
        <w:top w:val="none" w:sz="0" w:space="0" w:color="auto"/>
        <w:left w:val="none" w:sz="0" w:space="0" w:color="auto"/>
        <w:bottom w:val="none" w:sz="0" w:space="0" w:color="auto"/>
        <w:right w:val="none" w:sz="0" w:space="0" w:color="auto"/>
      </w:divBdr>
    </w:div>
    <w:div w:id="1452016432">
      <w:bodyDiv w:val="1"/>
      <w:marLeft w:val="0"/>
      <w:marRight w:val="0"/>
      <w:marTop w:val="0"/>
      <w:marBottom w:val="0"/>
      <w:divBdr>
        <w:top w:val="none" w:sz="0" w:space="0" w:color="auto"/>
        <w:left w:val="none" w:sz="0" w:space="0" w:color="auto"/>
        <w:bottom w:val="none" w:sz="0" w:space="0" w:color="auto"/>
        <w:right w:val="none" w:sz="0" w:space="0" w:color="auto"/>
      </w:divBdr>
    </w:div>
    <w:div w:id="1524247346">
      <w:bodyDiv w:val="1"/>
      <w:marLeft w:val="0"/>
      <w:marRight w:val="0"/>
      <w:marTop w:val="0"/>
      <w:marBottom w:val="0"/>
      <w:divBdr>
        <w:top w:val="none" w:sz="0" w:space="0" w:color="auto"/>
        <w:left w:val="none" w:sz="0" w:space="0" w:color="auto"/>
        <w:bottom w:val="none" w:sz="0" w:space="0" w:color="auto"/>
        <w:right w:val="none" w:sz="0" w:space="0" w:color="auto"/>
      </w:divBdr>
      <w:divsChild>
        <w:div w:id="2056927518">
          <w:marLeft w:val="0"/>
          <w:marRight w:val="0"/>
          <w:marTop w:val="0"/>
          <w:marBottom w:val="0"/>
          <w:divBdr>
            <w:top w:val="none" w:sz="0" w:space="0" w:color="auto"/>
            <w:left w:val="none" w:sz="0" w:space="0" w:color="auto"/>
            <w:bottom w:val="none" w:sz="0" w:space="0" w:color="auto"/>
            <w:right w:val="none" w:sz="0" w:space="0" w:color="auto"/>
          </w:divBdr>
        </w:div>
      </w:divsChild>
    </w:div>
    <w:div w:id="1834907316">
      <w:bodyDiv w:val="1"/>
      <w:marLeft w:val="0"/>
      <w:marRight w:val="0"/>
      <w:marTop w:val="0"/>
      <w:marBottom w:val="0"/>
      <w:divBdr>
        <w:top w:val="none" w:sz="0" w:space="0" w:color="auto"/>
        <w:left w:val="none" w:sz="0" w:space="0" w:color="auto"/>
        <w:bottom w:val="none" w:sz="0" w:space="0" w:color="auto"/>
        <w:right w:val="none" w:sz="0" w:space="0" w:color="auto"/>
      </w:divBdr>
    </w:div>
    <w:div w:id="2048331160">
      <w:bodyDiv w:val="1"/>
      <w:marLeft w:val="0"/>
      <w:marRight w:val="0"/>
      <w:marTop w:val="0"/>
      <w:marBottom w:val="0"/>
      <w:divBdr>
        <w:top w:val="none" w:sz="0" w:space="0" w:color="auto"/>
        <w:left w:val="none" w:sz="0" w:space="0" w:color="auto"/>
        <w:bottom w:val="none" w:sz="0" w:space="0" w:color="auto"/>
        <w:right w:val="none" w:sz="0" w:space="0" w:color="auto"/>
      </w:divBdr>
    </w:div>
    <w:div w:id="2074739975">
      <w:bodyDiv w:val="1"/>
      <w:marLeft w:val="0"/>
      <w:marRight w:val="0"/>
      <w:marTop w:val="0"/>
      <w:marBottom w:val="0"/>
      <w:divBdr>
        <w:top w:val="none" w:sz="0" w:space="0" w:color="auto"/>
        <w:left w:val="none" w:sz="0" w:space="0" w:color="auto"/>
        <w:bottom w:val="none" w:sz="0" w:space="0" w:color="auto"/>
        <w:right w:val="none" w:sz="0" w:space="0" w:color="auto"/>
      </w:divBdr>
    </w:div>
    <w:div w:id="214207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oil-spills-prevention-and-preparedness-regulations/oil-storage-us-farms-risks-and-opportunities" TargetMode="External"/><Relationship Id="rId2" Type="http://schemas.openxmlformats.org/officeDocument/2006/relationships/hyperlink" Target="https://www.epa.gov/sites/production/files/2014-04/documents/f_contingencyplan.pdf" TargetMode="External"/><Relationship Id="rId1" Type="http://schemas.openxmlformats.org/officeDocument/2006/relationships/hyperlink" Target="https://www.epa.gov/sites/production/files/2014-04/documents/4_secondarycontainment_impracticability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2019-12-12T13:56:49+00:00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C54F4-7C4E-462B-AB90-89D86271A2F0}">
  <ds:schemaRefs>
    <ds:schemaRef ds:uri="Microsoft.SharePoint.Taxonomy.ContentTypeSync"/>
  </ds:schemaRefs>
</ds:datastoreItem>
</file>

<file path=customXml/itemProps2.xml><?xml version="1.0" encoding="utf-8"?>
<ds:datastoreItem xmlns:ds="http://schemas.openxmlformats.org/officeDocument/2006/customXml" ds:itemID="{209B192E-DA1A-4018-9C0A-F36CFA994CB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CB5C932B-C45F-4DBE-B9AD-C538C5B76073}">
  <ds:schemaRefs>
    <ds:schemaRef ds:uri="http://schemas.microsoft.com/sharepoint/v3/contenttype/forms"/>
  </ds:schemaRefs>
</ds:datastoreItem>
</file>

<file path=customXml/itemProps4.xml><?xml version="1.0" encoding="utf-8"?>
<ds:datastoreItem xmlns:ds="http://schemas.openxmlformats.org/officeDocument/2006/customXml" ds:itemID="{CAD80C81-B32E-457D-8629-4B0702380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C82707-FE5D-4C2C-86F6-A42CE756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17</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RENEWAL OF INFORMATION COLLECTION REQUEST (ICR) PROPOSED RULE</vt:lpstr>
    </vt:vector>
  </TitlesOfParts>
  <Company>Abt Associates Inc.</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(ICR) PROPOSED RULE</dc:title>
  <dc:subject/>
  <dc:creator>Svetlana Semenova</dc:creator>
  <cp:keywords/>
  <cp:lastModifiedBy>Wendy Hoffman</cp:lastModifiedBy>
  <cp:revision>8</cp:revision>
  <cp:lastPrinted>2020-03-02T15:17:00Z</cp:lastPrinted>
  <dcterms:created xsi:type="dcterms:W3CDTF">2020-03-06T16:24:00Z</dcterms:created>
  <dcterms:modified xsi:type="dcterms:W3CDTF">2020-03-06T20:35:00Z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