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E3C" w:rsidRDefault="00D75735" w14:paraId="2EA5AC23" w14:textId="77777777">
      <w:pPr>
        <w:widowControl/>
        <w:tabs>
          <w:tab w:val="center" w:pos="5040"/>
        </w:tabs>
        <w:jc w:val="center"/>
        <w:rPr>
          <w:sz w:val="26"/>
          <w:szCs w:val="26"/>
        </w:rPr>
      </w:pPr>
      <w:r>
        <w:rPr>
          <w:sz w:val="26"/>
          <w:szCs w:val="26"/>
        </w:rPr>
        <w:t>Supporting Statement for</w:t>
      </w:r>
    </w:p>
    <w:p w:rsidR="00BA4E3C" w:rsidRDefault="00D75735" w14:paraId="24C98C17" w14:textId="77777777">
      <w:pPr>
        <w:widowControl/>
        <w:tabs>
          <w:tab w:val="center" w:pos="5040"/>
        </w:tabs>
        <w:jc w:val="center"/>
        <w:rPr>
          <w:b/>
          <w:bCs/>
          <w:sz w:val="26"/>
          <w:szCs w:val="26"/>
        </w:rPr>
      </w:pPr>
      <w:r>
        <w:rPr>
          <w:b/>
          <w:bCs/>
          <w:sz w:val="26"/>
          <w:szCs w:val="26"/>
        </w:rPr>
        <w:t>FERC- 574</w:t>
      </w:r>
      <w:r>
        <w:rPr>
          <w:rStyle w:val="FootnoteReference"/>
          <w:b/>
          <w:bCs/>
          <w:sz w:val="26"/>
          <w:szCs w:val="26"/>
          <w:vertAlign w:val="superscript"/>
        </w:rPr>
        <w:footnoteReference w:id="1"/>
      </w:r>
      <w:r>
        <w:rPr>
          <w:b/>
          <w:bCs/>
          <w:sz w:val="26"/>
          <w:szCs w:val="26"/>
          <w:vertAlign w:val="superscript"/>
        </w:rPr>
        <w:t xml:space="preserve"> </w:t>
      </w:r>
      <w:r>
        <w:rPr>
          <w:b/>
          <w:bCs/>
          <w:sz w:val="26"/>
          <w:szCs w:val="26"/>
        </w:rPr>
        <w:t>(Gas Pipeline Certificates: Hinshaw Exemptions)</w:t>
      </w:r>
    </w:p>
    <w:p w:rsidR="00BA4E3C" w:rsidRDefault="00BA4E3C" w14:paraId="63100BDF" w14:textId="77777777">
      <w:pPr>
        <w:widowControl/>
        <w:tabs>
          <w:tab w:val="center" w:pos="5040"/>
        </w:tabs>
        <w:jc w:val="center"/>
        <w:rPr>
          <w:sz w:val="26"/>
          <w:szCs w:val="26"/>
        </w:rPr>
      </w:pPr>
    </w:p>
    <w:p w:rsidR="00BA4E3C" w:rsidRDefault="00D75735" w14:paraId="79A448B8" w14:textId="77777777">
      <w:pPr>
        <w:widowControl/>
        <w:tabs>
          <w:tab w:val="center" w:pos="5040"/>
        </w:tabs>
        <w:rPr>
          <w:b/>
          <w:sz w:val="26"/>
          <w:szCs w:val="26"/>
        </w:rPr>
      </w:pPr>
      <w:r>
        <w:rPr>
          <w:bCs/>
          <w:sz w:val="26"/>
          <w:szCs w:val="26"/>
        </w:rPr>
        <w:t xml:space="preserve">The Federal Energy Regulatory Commission (Commission or FERC) requests that the Office of Management and Budget (OMB) review and approve </w:t>
      </w:r>
      <w:r>
        <w:rPr>
          <w:b/>
          <w:bCs/>
          <w:sz w:val="26"/>
          <w:szCs w:val="26"/>
        </w:rPr>
        <w:t>FERC- 574 (Gas Pipeline Certificate: Hinshaw Exemptions; OMB Control No. 1902-0116)</w:t>
      </w:r>
      <w:r>
        <w:rPr>
          <w:bCs/>
          <w:sz w:val="26"/>
          <w:szCs w:val="26"/>
        </w:rPr>
        <w:t xml:space="preserve"> for a three-year period.  FERC-574</w:t>
      </w:r>
      <w:r>
        <w:rPr>
          <w:sz w:val="26"/>
          <w:szCs w:val="26"/>
        </w:rPr>
        <w:t xml:space="preserve"> is an existing data collection with reporting requirement in 18 Code of Federal Regulations (CFR) Part 152.</w:t>
      </w:r>
    </w:p>
    <w:p w:rsidR="00BA4E3C" w:rsidRDefault="00BA4E3C" w14:paraId="2E86AB76" w14:textId="77777777">
      <w:pPr>
        <w:widowControl/>
        <w:rPr>
          <w:sz w:val="26"/>
          <w:szCs w:val="26"/>
        </w:rPr>
      </w:pPr>
    </w:p>
    <w:p w:rsidR="00BA4E3C" w:rsidRDefault="00D75735" w14:paraId="7F6CA801" w14:textId="77777777">
      <w:pPr>
        <w:widowControl/>
        <w:rPr>
          <w:b/>
          <w:sz w:val="26"/>
          <w:szCs w:val="26"/>
        </w:rPr>
      </w:pPr>
      <w:r>
        <w:rPr>
          <w:b/>
          <w:sz w:val="26"/>
          <w:szCs w:val="26"/>
        </w:rPr>
        <w:t>1.</w:t>
      </w:r>
      <w:r>
        <w:rPr>
          <w:b/>
          <w:sz w:val="26"/>
          <w:szCs w:val="26"/>
        </w:rPr>
        <w:tab/>
        <w:t xml:space="preserve">CIRCUMSTANCES THAT MAKE THE COLLECTION OF INFORMATION </w:t>
      </w:r>
      <w:r>
        <w:rPr>
          <w:b/>
          <w:sz w:val="26"/>
          <w:szCs w:val="26"/>
        </w:rPr>
        <w:tab/>
        <w:t>NECESSARY</w:t>
      </w:r>
    </w:p>
    <w:p w:rsidR="00BA4E3C" w:rsidRDefault="00BA4E3C" w14:paraId="06761BEA" w14:textId="77777777">
      <w:pPr>
        <w:widowControl/>
        <w:ind w:left="1440"/>
        <w:rPr>
          <w:b/>
          <w:sz w:val="26"/>
          <w:szCs w:val="26"/>
        </w:rPr>
      </w:pPr>
    </w:p>
    <w:p w:rsidR="00BA4E3C" w:rsidRDefault="00D75735" w14:paraId="7C1982B2" w14:textId="77777777">
      <w:pPr>
        <w:rPr>
          <w:sz w:val="26"/>
          <w:szCs w:val="26"/>
        </w:rPr>
      </w:pPr>
      <w:r>
        <w:rPr>
          <w:sz w:val="26"/>
          <w:szCs w:val="26"/>
        </w:rPr>
        <w:t>The Natural Gas Act (NGA) regulates the transportation and sale for resale of natural gas in interstate commerce.  Section 7 of the NGA provides that “[n]o natural gas company or person which will be a natural gas company upon completion of any proposed construction or extension shall engage in transportation or sale of ‘natural gas’ without first obtaining a certificate of public convenience and necessity from the Commission.”  Section 4 of the NGA requires that “natural gas companies” must maintain their rates for transportation or sale of gas with the Commission.  Section 1(c) of the NGA, known as the “Hinshaw Amendment,” exempts from FERC regulation intrastate pipelines that receive natural gas at their state boundary that is consumed within the state and subject to state commission regulation, as well as from the many provisions of NGA, including Sections 4 and 7.  Section 1(c) states:</w:t>
      </w:r>
    </w:p>
    <w:p w:rsidR="00BA4E3C" w:rsidRDefault="00BA4E3C" w14:paraId="79B7EAAF" w14:textId="77777777">
      <w:pPr>
        <w:rPr>
          <w:sz w:val="26"/>
          <w:szCs w:val="26"/>
        </w:rPr>
      </w:pPr>
    </w:p>
    <w:p w:rsidR="00BA4E3C" w:rsidRDefault="00D75735" w14:paraId="1FB33DE0" w14:textId="77777777">
      <w:pPr>
        <w:ind w:left="720"/>
        <w:rPr>
          <w:sz w:val="26"/>
          <w:szCs w:val="26"/>
        </w:rPr>
      </w:pPr>
      <w:r>
        <w:rPr>
          <w:sz w:val="26"/>
          <w:szCs w:val="26"/>
        </w:rPr>
        <w:t xml:space="preserve">The provisions of this chapter shall not apply to any person engaged in…the transportation in interstate commerce or resale, of natural gas received by such person from another person within…a state if all of the natural gas so received is ultimately consumed within such state, or to any facilities used by such person for transportation or sale, provided that the rates and service of such person and facilities by subject to regulation by a state commission.  The matters exempted from the provisions of this chapter are declared to be matters primarily of local concern and subject to regulation by the several states. </w:t>
      </w:r>
    </w:p>
    <w:p w:rsidR="00BA4E3C" w:rsidRDefault="00BA4E3C" w14:paraId="3A598F6B" w14:textId="77777777">
      <w:pPr>
        <w:rPr>
          <w:sz w:val="26"/>
          <w:szCs w:val="26"/>
        </w:rPr>
      </w:pPr>
    </w:p>
    <w:p w:rsidR="00BA4E3C" w:rsidRDefault="00D75735" w14:paraId="18DFDBEF" w14:textId="77777777">
      <w:pPr>
        <w:rPr>
          <w:sz w:val="26"/>
          <w:szCs w:val="26"/>
        </w:rPr>
      </w:pPr>
      <w:r>
        <w:rPr>
          <w:sz w:val="26"/>
          <w:szCs w:val="26"/>
        </w:rPr>
        <w:t xml:space="preserve">Under the NGA, interstate pipelines are subject to FERC regulation while intrastate pipelines operations generally are not.  However, in 1978, Congress enacted the Natural Gas Policy Act (NGPA), in part to eliminate the regulatory barriers between the intrastate and interstate markets and to promote the entry of intrastate pipelines into the interstate market.  The NGPA enabled FERC to “develop a national natural gas transportation network without subjecting intrastate pipelines, already regulated by State agencies, to </w:t>
      </w:r>
      <w:r>
        <w:rPr>
          <w:sz w:val="26"/>
          <w:szCs w:val="26"/>
        </w:rPr>
        <w:lastRenderedPageBreak/>
        <w:t xml:space="preserve">FERC’s regulations over the entirety of their operation.” </w:t>
      </w:r>
    </w:p>
    <w:p w:rsidR="00BA4E3C" w:rsidRDefault="00BA4E3C" w14:paraId="5F050E0E" w14:textId="77777777">
      <w:pPr>
        <w:rPr>
          <w:sz w:val="26"/>
          <w:szCs w:val="26"/>
        </w:rPr>
      </w:pPr>
    </w:p>
    <w:p w:rsidR="00BA4E3C" w:rsidRDefault="00D75735" w14:paraId="5FF90BB2" w14:textId="77777777">
      <w:pPr>
        <w:rPr>
          <w:sz w:val="26"/>
          <w:szCs w:val="26"/>
        </w:rPr>
      </w:pPr>
      <w:r>
        <w:rPr>
          <w:sz w:val="26"/>
          <w:szCs w:val="26"/>
        </w:rPr>
        <w:t xml:space="preserve">Section 311 of the NGPA authorizes FERC to allow intrastate pipelines to transport gas “on behalf of” interstate pipelines or local distribution companies served by interstate pipelines so long as their rates are “fair and equitable” and do not “exceed an amount which is reasonably comparable to the rates and charges interstate pipelines would be permitted to charge for providing similar transportation services.”   Thereafter, in Order No. 63, FERC authorized Hinshaw pipelines to apply for certificates of authorization to transport natural gas in interstate commerce to the same extent and in the same manner as intrastate pipelines </w:t>
      </w:r>
      <w:proofErr w:type="gramStart"/>
      <w:r>
        <w:rPr>
          <w:sz w:val="26"/>
          <w:szCs w:val="26"/>
        </w:rPr>
        <w:t>were allowed to</w:t>
      </w:r>
      <w:proofErr w:type="gramEnd"/>
      <w:r>
        <w:rPr>
          <w:sz w:val="26"/>
          <w:szCs w:val="26"/>
        </w:rPr>
        <w:t xml:space="preserve"> do under §311 of the NGPA.</w:t>
      </w:r>
    </w:p>
    <w:p w:rsidR="00BA4E3C" w:rsidRDefault="00BA4E3C" w14:paraId="704298FB" w14:textId="77777777">
      <w:pPr>
        <w:rPr>
          <w:sz w:val="26"/>
          <w:szCs w:val="26"/>
        </w:rPr>
      </w:pPr>
    </w:p>
    <w:p w:rsidR="00BA4E3C" w:rsidRDefault="00D75735" w14:paraId="45F3D5E9" w14:textId="77777777">
      <w:pPr>
        <w:rPr>
          <w:i/>
          <w:sz w:val="26"/>
          <w:szCs w:val="26"/>
        </w:rPr>
      </w:pPr>
      <w:r>
        <w:rPr>
          <w:sz w:val="26"/>
          <w:szCs w:val="26"/>
        </w:rPr>
        <w:t>Under the NGA the Commission is also authorized to conduct investigations and to collect and record data, to the extent the Commission may consider necessary or useful, for the purpose of carrying out the provisions of the Act.</w:t>
      </w:r>
    </w:p>
    <w:p w:rsidR="00BA4E3C" w:rsidRDefault="00BA4E3C" w14:paraId="366227E2" w14:textId="77777777">
      <w:pPr>
        <w:pStyle w:val="FERCparanumber"/>
        <w:numPr>
          <w:ilvl w:val="0"/>
          <w:numId w:val="0"/>
        </w:numPr>
        <w:tabs>
          <w:tab w:val="left" w:pos="720"/>
          <w:tab w:val="left" w:pos="4860"/>
        </w:tabs>
        <w:rPr>
          <w:szCs w:val="26"/>
        </w:rPr>
      </w:pPr>
    </w:p>
    <w:p w:rsidR="00BA4E3C" w:rsidRDefault="00D75735" w14:paraId="6EA0D394" w14:textId="77777777">
      <w:pPr>
        <w:pStyle w:val="FERCparanumber"/>
        <w:numPr>
          <w:ilvl w:val="0"/>
          <w:numId w:val="2"/>
        </w:numPr>
        <w:tabs>
          <w:tab w:val="left" w:pos="720"/>
          <w:tab w:val="left" w:pos="4860"/>
        </w:tabs>
        <w:rPr>
          <w:szCs w:val="26"/>
        </w:rPr>
      </w:pPr>
      <w:r>
        <w:rPr>
          <w:b/>
          <w:szCs w:val="26"/>
        </w:rPr>
        <w:t>HOW, BY WHOM AND FOR WHAT PURPOSE IS THE INFORMATION USED AND THE CONSEQUENCES OF NOT COLLECTING THE INFORMATION</w:t>
      </w:r>
    </w:p>
    <w:p w:rsidR="00BA4E3C" w:rsidRDefault="00BA4E3C" w14:paraId="2AE1C3BC" w14:textId="77777777">
      <w:pPr>
        <w:pStyle w:val="FERCparanumber"/>
        <w:numPr>
          <w:ilvl w:val="0"/>
          <w:numId w:val="0"/>
        </w:numPr>
        <w:tabs>
          <w:tab w:val="left" w:pos="720"/>
          <w:tab w:val="left" w:pos="4860"/>
        </w:tabs>
        <w:rPr>
          <w:b/>
          <w:szCs w:val="26"/>
        </w:rPr>
      </w:pPr>
    </w:p>
    <w:p w:rsidR="00BA4E3C" w:rsidRDefault="00D75735" w14:paraId="6527989C" w14:textId="1358E0BC">
      <w:pPr>
        <w:rPr>
          <w:sz w:val="26"/>
          <w:szCs w:val="26"/>
        </w:rPr>
      </w:pPr>
      <w:r>
        <w:rPr>
          <w:sz w:val="26"/>
          <w:szCs w:val="26"/>
        </w:rPr>
        <w:t xml:space="preserve">The information collected by FERC-574 is a written application declaring the applicant’s intent following the requirements set forth in 18 CFR 152.  Although the FERC-574 application provides specific data per 18 CFR 152, the information is not collected on a prescribed or preformatted form.  </w:t>
      </w:r>
    </w:p>
    <w:p w:rsidR="00146A51" w:rsidRDefault="00146A51" w14:paraId="53B24E28" w14:textId="77777777">
      <w:pPr>
        <w:rPr>
          <w:sz w:val="26"/>
          <w:szCs w:val="26"/>
        </w:rPr>
      </w:pPr>
    </w:p>
    <w:p w:rsidR="00A34970" w:rsidP="00146A51" w:rsidRDefault="00D75735" w14:paraId="692DC680" w14:textId="4D673857">
      <w:pPr>
        <w:rPr>
          <w:sz w:val="26"/>
          <w:szCs w:val="26"/>
        </w:rPr>
      </w:pPr>
      <w:r>
        <w:rPr>
          <w:sz w:val="26"/>
          <w:szCs w:val="26"/>
        </w:rPr>
        <w:t xml:space="preserve">The application provides the information which the applicant must furnish the Commission in order to </w:t>
      </w:r>
      <w:proofErr w:type="gramStart"/>
      <w:r>
        <w:rPr>
          <w:sz w:val="26"/>
          <w:szCs w:val="26"/>
        </w:rPr>
        <w:t>make a determination</w:t>
      </w:r>
      <w:proofErr w:type="gramEnd"/>
      <w:r>
        <w:rPr>
          <w:sz w:val="26"/>
          <w:szCs w:val="26"/>
        </w:rPr>
        <w:t xml:space="preserve"> as to whether the application meets exemption provisions of Section 1(c) of the Natural Gas Act. </w:t>
      </w:r>
    </w:p>
    <w:p w:rsidR="00146A51" w:rsidP="00146A51" w:rsidRDefault="00146A51" w14:paraId="0BE9517A" w14:textId="77777777">
      <w:pPr>
        <w:rPr>
          <w:rFonts w:ascii="Verdana" w:hAnsi="Verdana"/>
          <w:color w:val="333333"/>
        </w:rPr>
      </w:pPr>
    </w:p>
    <w:p w:rsidRPr="00146A51" w:rsidR="00A34970" w:rsidP="00A34970" w:rsidRDefault="00A34970" w14:paraId="1C24F97D" w14:textId="77777777">
      <w:pPr>
        <w:pStyle w:val="NormalWeb"/>
        <w:shd w:val="clear" w:color="auto" w:fill="FFFFFF"/>
        <w:spacing w:before="0" w:beforeAutospacing="0" w:after="150" w:afterAutospacing="0"/>
        <w:rPr>
          <w:color w:val="333333"/>
          <w:sz w:val="26"/>
          <w:szCs w:val="26"/>
        </w:rPr>
      </w:pPr>
      <w:r w:rsidRPr="00146A51">
        <w:rPr>
          <w:color w:val="333333"/>
          <w:sz w:val="26"/>
          <w:szCs w:val="26"/>
        </w:rPr>
        <w:t>Every application shall set forth in the order indicated, the following:</w:t>
      </w:r>
    </w:p>
    <w:p w:rsidRPr="00146A51" w:rsidR="00A34970" w:rsidP="00A34970" w:rsidRDefault="00A34970" w14:paraId="5183F3D8" w14:textId="77777777">
      <w:pPr>
        <w:pStyle w:val="psection-1"/>
        <w:shd w:val="clear" w:color="auto" w:fill="FFFFFF"/>
        <w:spacing w:before="150" w:beforeAutospacing="0" w:after="150" w:afterAutospacing="0"/>
        <w:rPr>
          <w:color w:val="333333"/>
          <w:sz w:val="26"/>
          <w:szCs w:val="26"/>
        </w:rPr>
      </w:pPr>
      <w:r w:rsidRPr="00146A51">
        <w:rPr>
          <w:rStyle w:val="enumxml"/>
          <w:b/>
          <w:bCs/>
          <w:color w:val="333333"/>
          <w:sz w:val="26"/>
          <w:szCs w:val="26"/>
        </w:rPr>
        <w:t>(a)</w:t>
      </w:r>
      <w:r w:rsidRPr="00146A51">
        <w:rPr>
          <w:color w:val="333333"/>
          <w:sz w:val="26"/>
          <w:szCs w:val="26"/>
        </w:rPr>
        <w:t> The exact legal name of applicant.</w:t>
      </w:r>
    </w:p>
    <w:p w:rsidRPr="00146A51" w:rsidR="00A34970" w:rsidP="00A34970" w:rsidRDefault="00A34970" w14:paraId="4E2E9197" w14:textId="77777777">
      <w:pPr>
        <w:pStyle w:val="psection-1"/>
        <w:shd w:val="clear" w:color="auto" w:fill="FFFFFF"/>
        <w:spacing w:before="150" w:beforeAutospacing="0" w:after="150" w:afterAutospacing="0"/>
        <w:rPr>
          <w:color w:val="333333"/>
          <w:sz w:val="26"/>
          <w:szCs w:val="26"/>
        </w:rPr>
      </w:pPr>
      <w:r w:rsidRPr="00146A51">
        <w:rPr>
          <w:rStyle w:val="enumxml"/>
          <w:b/>
          <w:bCs/>
          <w:color w:val="333333"/>
          <w:sz w:val="26"/>
          <w:szCs w:val="26"/>
        </w:rPr>
        <w:t>(b)</w:t>
      </w:r>
      <w:r w:rsidRPr="00146A51">
        <w:rPr>
          <w:color w:val="333333"/>
          <w:sz w:val="26"/>
          <w:szCs w:val="26"/>
        </w:rPr>
        <w:t xml:space="preserve"> The name, title, and post office address of the person to whom correspondence </w:t>
      </w:r>
      <w:proofErr w:type="gramStart"/>
      <w:r w:rsidRPr="00146A51">
        <w:rPr>
          <w:color w:val="333333"/>
          <w:sz w:val="26"/>
          <w:szCs w:val="26"/>
        </w:rPr>
        <w:t>in regard to</w:t>
      </w:r>
      <w:proofErr w:type="gramEnd"/>
      <w:r w:rsidRPr="00146A51">
        <w:rPr>
          <w:color w:val="333333"/>
          <w:sz w:val="26"/>
          <w:szCs w:val="26"/>
        </w:rPr>
        <w:t xml:space="preserve"> the application shall be addressed.</w:t>
      </w:r>
    </w:p>
    <w:p w:rsidRPr="00146A51" w:rsidR="00A34970" w:rsidP="00A34970" w:rsidRDefault="00A34970" w14:paraId="6B942BD0" w14:textId="77777777">
      <w:pPr>
        <w:pStyle w:val="psection-1"/>
        <w:shd w:val="clear" w:color="auto" w:fill="FFFFFF"/>
        <w:spacing w:before="150" w:beforeAutospacing="0" w:after="150" w:afterAutospacing="0"/>
        <w:rPr>
          <w:color w:val="333333"/>
          <w:sz w:val="26"/>
          <w:szCs w:val="26"/>
        </w:rPr>
      </w:pPr>
      <w:r w:rsidRPr="00146A51">
        <w:rPr>
          <w:rStyle w:val="enumxml"/>
          <w:b/>
          <w:bCs/>
          <w:color w:val="333333"/>
          <w:sz w:val="26"/>
          <w:szCs w:val="26"/>
        </w:rPr>
        <w:t>(c)</w:t>
      </w:r>
      <w:r w:rsidRPr="00146A51">
        <w:rPr>
          <w:color w:val="333333"/>
          <w:sz w:val="26"/>
          <w:szCs w:val="26"/>
        </w:rPr>
        <w:t> A statement of pertinent facts as to the existing service, if any, or authorized service by applicant, including a showing that all of the natural gas which applicant receives from out-of-State sources is and will be ultimately consumed within the State in which the operations sought to be exempted are conducted.</w:t>
      </w:r>
    </w:p>
    <w:p w:rsidRPr="003652B5" w:rsidR="00BE189A" w:rsidP="00BE189A" w:rsidRDefault="00BE189A" w14:paraId="29045454" w14:textId="77777777">
      <w:pPr>
        <w:pStyle w:val="psection-1"/>
        <w:shd w:val="clear" w:color="auto" w:fill="FFFFFF"/>
        <w:spacing w:before="150" w:after="150"/>
        <w:rPr>
          <w:b/>
          <w:bCs/>
          <w:color w:val="333333"/>
          <w:sz w:val="26"/>
          <w:szCs w:val="26"/>
        </w:rPr>
      </w:pPr>
      <w:r w:rsidRPr="003652B5">
        <w:rPr>
          <w:b/>
          <w:bCs/>
          <w:color w:val="333333"/>
          <w:sz w:val="26"/>
          <w:szCs w:val="26"/>
        </w:rPr>
        <w:t>Certificate from State Commission.</w:t>
      </w:r>
    </w:p>
    <w:p w:rsidR="00A34970" w:rsidP="00146A51" w:rsidRDefault="00BE189A" w14:paraId="7764E1B1" w14:textId="2ADC8C0A">
      <w:pPr>
        <w:pStyle w:val="psection-1"/>
        <w:shd w:val="clear" w:color="auto" w:fill="FFFFFF"/>
        <w:spacing w:before="150" w:after="150"/>
        <w:rPr>
          <w:sz w:val="26"/>
          <w:szCs w:val="26"/>
        </w:rPr>
      </w:pPr>
      <w:r w:rsidRPr="003652B5">
        <w:rPr>
          <w:color w:val="333333"/>
          <w:sz w:val="26"/>
          <w:szCs w:val="26"/>
        </w:rPr>
        <w:t>Applications for exemption under</w:t>
      </w:r>
      <w:r>
        <w:rPr>
          <w:color w:val="333333"/>
          <w:sz w:val="26"/>
          <w:szCs w:val="26"/>
        </w:rPr>
        <w:t xml:space="preserve"> </w:t>
      </w:r>
      <w:r w:rsidRPr="003652B5">
        <w:rPr>
          <w:color w:val="333333"/>
          <w:sz w:val="26"/>
          <w:szCs w:val="26"/>
        </w:rPr>
        <w:t>§ 152.3 shall contain, or there shall be</w:t>
      </w:r>
      <w:r>
        <w:rPr>
          <w:color w:val="333333"/>
          <w:sz w:val="26"/>
          <w:szCs w:val="26"/>
        </w:rPr>
        <w:t xml:space="preserve"> </w:t>
      </w:r>
      <w:r w:rsidRPr="003652B5">
        <w:rPr>
          <w:color w:val="333333"/>
          <w:sz w:val="26"/>
          <w:szCs w:val="26"/>
        </w:rPr>
        <w:t>separately filed, a certificate from the</w:t>
      </w:r>
      <w:r>
        <w:rPr>
          <w:color w:val="333333"/>
          <w:sz w:val="26"/>
          <w:szCs w:val="26"/>
        </w:rPr>
        <w:t xml:space="preserve"> </w:t>
      </w:r>
      <w:r w:rsidRPr="003652B5">
        <w:rPr>
          <w:color w:val="333333"/>
          <w:sz w:val="26"/>
          <w:szCs w:val="26"/>
        </w:rPr>
        <w:t>appropriate State Commission that the</w:t>
      </w:r>
      <w:r>
        <w:rPr>
          <w:color w:val="333333"/>
          <w:sz w:val="26"/>
          <w:szCs w:val="26"/>
        </w:rPr>
        <w:t xml:space="preserve"> </w:t>
      </w:r>
      <w:r w:rsidRPr="003652B5">
        <w:rPr>
          <w:color w:val="333333"/>
          <w:sz w:val="26"/>
          <w:szCs w:val="26"/>
        </w:rPr>
        <w:t xml:space="preserve">natural-gas (a) rates </w:t>
      </w:r>
      <w:r w:rsidRPr="003652B5">
        <w:rPr>
          <w:color w:val="333333"/>
          <w:sz w:val="26"/>
          <w:szCs w:val="26"/>
        </w:rPr>
        <w:lastRenderedPageBreak/>
        <w:t>(including rates</w:t>
      </w:r>
      <w:r>
        <w:rPr>
          <w:color w:val="333333"/>
          <w:sz w:val="26"/>
          <w:szCs w:val="26"/>
        </w:rPr>
        <w:t xml:space="preserve"> </w:t>
      </w:r>
      <w:r w:rsidRPr="003652B5">
        <w:rPr>
          <w:color w:val="333333"/>
          <w:sz w:val="26"/>
          <w:szCs w:val="26"/>
        </w:rPr>
        <w:t>for sales for resale), (b) service, and (c)</w:t>
      </w:r>
      <w:r>
        <w:rPr>
          <w:color w:val="333333"/>
          <w:sz w:val="26"/>
          <w:szCs w:val="26"/>
        </w:rPr>
        <w:t xml:space="preserve"> </w:t>
      </w:r>
      <w:r w:rsidRPr="003652B5">
        <w:rPr>
          <w:color w:val="333333"/>
          <w:sz w:val="26"/>
          <w:szCs w:val="26"/>
        </w:rPr>
        <w:t>facilities of the applicant are subject</w:t>
      </w:r>
      <w:r>
        <w:rPr>
          <w:color w:val="333333"/>
          <w:sz w:val="26"/>
          <w:szCs w:val="26"/>
        </w:rPr>
        <w:t xml:space="preserve"> </w:t>
      </w:r>
      <w:r w:rsidRPr="003652B5">
        <w:rPr>
          <w:color w:val="333333"/>
          <w:sz w:val="26"/>
          <w:szCs w:val="26"/>
        </w:rPr>
        <w:t>to the regulatory jurisdiction of the</w:t>
      </w:r>
      <w:r>
        <w:rPr>
          <w:color w:val="333333"/>
          <w:sz w:val="26"/>
          <w:szCs w:val="26"/>
        </w:rPr>
        <w:t xml:space="preserve"> </w:t>
      </w:r>
      <w:r w:rsidRPr="003652B5">
        <w:rPr>
          <w:color w:val="333333"/>
          <w:sz w:val="26"/>
          <w:szCs w:val="26"/>
        </w:rPr>
        <w:t>State Commission and that the State</w:t>
      </w:r>
      <w:r>
        <w:rPr>
          <w:color w:val="333333"/>
          <w:sz w:val="26"/>
          <w:szCs w:val="26"/>
        </w:rPr>
        <w:t xml:space="preserve"> </w:t>
      </w:r>
      <w:r w:rsidRPr="003652B5">
        <w:rPr>
          <w:color w:val="333333"/>
          <w:sz w:val="26"/>
          <w:szCs w:val="26"/>
        </w:rPr>
        <w:t>Commission is exercising such jurisdiction</w:t>
      </w:r>
      <w:r w:rsidR="00146A51">
        <w:rPr>
          <w:color w:val="333333"/>
          <w:sz w:val="26"/>
          <w:szCs w:val="26"/>
        </w:rPr>
        <w:t>.</w:t>
      </w:r>
      <w:bookmarkStart w:name="_GoBack" w:id="0"/>
      <w:bookmarkEnd w:id="0"/>
    </w:p>
    <w:p w:rsidR="00BA4E3C" w:rsidRDefault="00D75735" w14:paraId="74332D19" w14:textId="77777777">
      <w:pPr>
        <w:rPr>
          <w:sz w:val="26"/>
          <w:szCs w:val="26"/>
        </w:rPr>
      </w:pPr>
      <w:r>
        <w:rPr>
          <w:sz w:val="26"/>
          <w:szCs w:val="26"/>
        </w:rPr>
        <w:t xml:space="preserve"> It is used by the Commission’s staff to research the jurisdictional aspects of the applicant’s operations.  Commission staff conducts a systematic review of the prepared application with supplemental documentation provided in the filing.  The research includes examining maps and land ownership records to establish </w:t>
      </w:r>
      <w:proofErr w:type="gramStart"/>
      <w:r>
        <w:rPr>
          <w:sz w:val="26"/>
          <w:szCs w:val="26"/>
        </w:rPr>
        <w:t>whether or not</w:t>
      </w:r>
      <w:proofErr w:type="gramEnd"/>
      <w:r>
        <w:rPr>
          <w:sz w:val="26"/>
          <w:szCs w:val="26"/>
        </w:rPr>
        <w:t xml:space="preserve"> there is Federal jurisdiction.  In addition, companies that are currently regulated by the Commission and change their status and wish to become non-jurisdictional, must document that they meet the criteria as provided for in Part 152.  The required documents allow for a full and complete analysis of a company and provide </w:t>
      </w:r>
      <w:proofErr w:type="gramStart"/>
      <w:r>
        <w:rPr>
          <w:sz w:val="26"/>
          <w:szCs w:val="26"/>
        </w:rPr>
        <w:t>sufficient</w:t>
      </w:r>
      <w:proofErr w:type="gramEnd"/>
      <w:r>
        <w:rPr>
          <w:sz w:val="26"/>
          <w:szCs w:val="26"/>
        </w:rPr>
        <w:t xml:space="preserve"> data to make a jurisdictional decision.  A finding of non-jurisdictional by the Commission can result in the elimination of a substantial paperwork burden for an applicant who might otherwise have to file to comply with sections 4 and 7 of the NGA.  </w:t>
      </w:r>
    </w:p>
    <w:p w:rsidR="00BA4E3C" w:rsidRDefault="00BA4E3C" w14:paraId="6A560434" w14:textId="77777777">
      <w:pPr>
        <w:rPr>
          <w:sz w:val="26"/>
          <w:szCs w:val="26"/>
        </w:rPr>
      </w:pPr>
    </w:p>
    <w:p w:rsidR="00BA4E3C" w:rsidRDefault="00D75735" w14:paraId="00EC1CEE" w14:textId="77777777">
      <w:pPr>
        <w:pStyle w:val="FERCparanumber"/>
        <w:numPr>
          <w:ilvl w:val="0"/>
          <w:numId w:val="0"/>
        </w:numPr>
        <w:tabs>
          <w:tab w:val="left" w:pos="720"/>
          <w:tab w:val="left" w:pos="4860"/>
        </w:tabs>
        <w:rPr>
          <w:szCs w:val="26"/>
        </w:rPr>
      </w:pPr>
      <w:r>
        <w:rPr>
          <w:szCs w:val="26"/>
        </w:rPr>
        <w:t>Failure to issue these requirements would mean the Commission is not meeting its statutory obligations under Sections 1(c), 4 and 7 of the NGA.</w:t>
      </w:r>
    </w:p>
    <w:p w:rsidR="00BA4E3C" w:rsidRDefault="00BA4E3C" w14:paraId="7D1E885C" w14:textId="77777777">
      <w:pPr>
        <w:pStyle w:val="FERCparanumber"/>
        <w:numPr>
          <w:ilvl w:val="0"/>
          <w:numId w:val="0"/>
        </w:numPr>
        <w:tabs>
          <w:tab w:val="left" w:pos="720"/>
          <w:tab w:val="left" w:pos="4860"/>
        </w:tabs>
        <w:rPr>
          <w:szCs w:val="26"/>
        </w:rPr>
      </w:pPr>
    </w:p>
    <w:p w:rsidR="00BA4E3C" w:rsidRDefault="00D75735" w14:paraId="17623094" w14:textId="77777777">
      <w:pPr>
        <w:widowControl/>
        <w:numPr>
          <w:ilvl w:val="0"/>
          <w:numId w:val="2"/>
        </w:numPr>
        <w:rPr>
          <w:sz w:val="26"/>
          <w:szCs w:val="26"/>
        </w:rPr>
      </w:pPr>
      <w:r>
        <w:rPr>
          <w:b/>
          <w:sz w:val="26"/>
          <w:szCs w:val="26"/>
        </w:rPr>
        <w:t>DESCRIBE ANY CONSIDERATION OF THE USE OF IMPROVED INFORMATION TECHNOLOGY TO REDUCE BURDEN AND THE TECHNICAL OR LEGAL OBSTACLES TO REDUCING BURDEN</w:t>
      </w:r>
    </w:p>
    <w:p w:rsidR="00BA4E3C" w:rsidRDefault="00BA4E3C" w14:paraId="2CEE6639" w14:textId="77777777">
      <w:pPr>
        <w:rPr>
          <w:sz w:val="26"/>
          <w:szCs w:val="26"/>
        </w:rPr>
      </w:pPr>
    </w:p>
    <w:p w:rsidR="00BA4E3C" w:rsidRDefault="00D75735" w14:paraId="50D464FC" w14:textId="77777777">
      <w:pPr>
        <w:rPr>
          <w:sz w:val="26"/>
          <w:szCs w:val="26"/>
        </w:rPr>
      </w:pPr>
      <w:r>
        <w:rPr>
          <w:sz w:val="26"/>
          <w:szCs w:val="26"/>
        </w:rPr>
        <w:t xml:space="preserve">FERC encourages companies to use its </w:t>
      </w:r>
      <w:proofErr w:type="spellStart"/>
      <w:r>
        <w:rPr>
          <w:sz w:val="26"/>
          <w:szCs w:val="26"/>
        </w:rPr>
        <w:t>eFiling</w:t>
      </w:r>
      <w:proofErr w:type="spellEnd"/>
      <w:r>
        <w:rPr>
          <w:sz w:val="26"/>
          <w:szCs w:val="26"/>
        </w:rPr>
        <w:t xml:space="preserve"> system. The FERC-574 application may be </w:t>
      </w:r>
      <w:proofErr w:type="spellStart"/>
      <w:r>
        <w:rPr>
          <w:sz w:val="26"/>
          <w:szCs w:val="26"/>
        </w:rPr>
        <w:t>eFiled</w:t>
      </w:r>
      <w:proofErr w:type="spellEnd"/>
      <w:r>
        <w:rPr>
          <w:sz w:val="26"/>
          <w:szCs w:val="26"/>
        </w:rPr>
        <w:t xml:space="preserve"> through FERC’s </w:t>
      </w:r>
      <w:proofErr w:type="spellStart"/>
      <w:r>
        <w:rPr>
          <w:sz w:val="26"/>
          <w:szCs w:val="26"/>
        </w:rPr>
        <w:t>eFiling</w:t>
      </w:r>
      <w:proofErr w:type="spellEnd"/>
      <w:r>
        <w:rPr>
          <w:sz w:val="26"/>
          <w:szCs w:val="26"/>
        </w:rPr>
        <w:t xml:space="preserve"> system.  (See </w:t>
      </w:r>
      <w:hyperlink w:history="1" r:id="rId13">
        <w:r>
          <w:rPr>
            <w:rStyle w:val="Hyperlink"/>
            <w:sz w:val="26"/>
            <w:szCs w:val="26"/>
          </w:rPr>
          <w:t>http://www.ferc.gov/docs-filing/efiling.asp</w:t>
        </w:r>
      </w:hyperlink>
      <w:r>
        <w:rPr>
          <w:sz w:val="26"/>
          <w:szCs w:val="26"/>
        </w:rPr>
        <w:t xml:space="preserve"> for more information.)</w:t>
      </w:r>
    </w:p>
    <w:p w:rsidR="00BA4E3C" w:rsidRDefault="00BA4E3C" w14:paraId="7F32EDF0" w14:textId="77777777">
      <w:pPr>
        <w:rPr>
          <w:sz w:val="26"/>
          <w:szCs w:val="26"/>
        </w:rPr>
      </w:pPr>
    </w:p>
    <w:p w:rsidR="00BA4E3C" w:rsidRDefault="00D75735" w14:paraId="5FDEFA96" w14:textId="77777777">
      <w:pPr>
        <w:pStyle w:val="FERCparanumber"/>
        <w:numPr>
          <w:ilvl w:val="0"/>
          <w:numId w:val="2"/>
        </w:numPr>
        <w:rPr>
          <w:szCs w:val="26"/>
        </w:rPr>
      </w:pPr>
      <w:r>
        <w:rPr>
          <w:b/>
          <w:szCs w:val="26"/>
        </w:rPr>
        <w:t>DESCRIBE EFFORTS TO IDENTIFY DUPLICATON AND SHOW SPECIFICALLY WHY ANY SIMILAR INFORMATION ALREADY AVAILABLE CANNOT BE USED OR MODIFIED FOR USE FOR THE PURPOSE(S) DESCRIBED IN INSTRUCTION NO. 2.</w:t>
      </w:r>
    </w:p>
    <w:p w:rsidR="00BA4E3C" w:rsidRDefault="00BA4E3C" w14:paraId="084023A3" w14:textId="77777777">
      <w:pPr>
        <w:pStyle w:val="FERCparanumber"/>
        <w:numPr>
          <w:ilvl w:val="0"/>
          <w:numId w:val="0"/>
        </w:numPr>
        <w:rPr>
          <w:b/>
          <w:szCs w:val="26"/>
        </w:rPr>
      </w:pPr>
    </w:p>
    <w:p w:rsidR="00BA4E3C" w:rsidRDefault="00D75735" w14:paraId="1FA3E135" w14:textId="77777777">
      <w:pPr>
        <w:rPr>
          <w:sz w:val="26"/>
          <w:szCs w:val="26"/>
        </w:rPr>
      </w:pPr>
      <w:r>
        <w:rPr>
          <w:sz w:val="26"/>
          <w:szCs w:val="26"/>
        </w:rPr>
        <w:t>FERC periodically reviews filing requirements as OMB review dates arise or as it may deem necessary in carrying out its regulatory responsibilities under the NGA.  All Commission information collections are subject to analysis by Commission staff and are examined for redundancy.  FERC has found no other source of this information.</w:t>
      </w:r>
    </w:p>
    <w:p w:rsidR="00BA4E3C" w:rsidRDefault="00BA4E3C" w14:paraId="6D03828C" w14:textId="77777777">
      <w:pPr>
        <w:pStyle w:val="FERCparanumber"/>
        <w:numPr>
          <w:ilvl w:val="0"/>
          <w:numId w:val="0"/>
        </w:numPr>
        <w:rPr>
          <w:b/>
          <w:szCs w:val="26"/>
        </w:rPr>
      </w:pPr>
    </w:p>
    <w:p w:rsidR="00BA4E3C" w:rsidRDefault="00D75735" w14:paraId="3AB41BF6" w14:textId="77777777">
      <w:pPr>
        <w:pStyle w:val="FERCparanumber"/>
        <w:numPr>
          <w:ilvl w:val="0"/>
          <w:numId w:val="2"/>
        </w:numPr>
        <w:rPr>
          <w:szCs w:val="26"/>
        </w:rPr>
      </w:pPr>
      <w:r>
        <w:rPr>
          <w:b/>
          <w:szCs w:val="26"/>
        </w:rPr>
        <w:t>METHODS USED TO MINIMIZE BURDEN IN COLLECTION OF INFORMATION INVOLVING SMALL ENTITIES</w:t>
      </w:r>
      <w:r>
        <w:rPr>
          <w:szCs w:val="26"/>
        </w:rPr>
        <w:t xml:space="preserve"> </w:t>
      </w:r>
    </w:p>
    <w:p w:rsidR="00BA4E3C" w:rsidRDefault="00BA4E3C" w14:paraId="2AA183CF" w14:textId="77777777">
      <w:pPr>
        <w:widowControl/>
        <w:ind w:left="1440"/>
        <w:rPr>
          <w:sz w:val="26"/>
          <w:szCs w:val="26"/>
        </w:rPr>
      </w:pPr>
    </w:p>
    <w:p w:rsidR="00BA4E3C" w:rsidRDefault="00D75735" w14:paraId="114A7511" w14:textId="77777777">
      <w:pPr>
        <w:rPr>
          <w:sz w:val="26"/>
          <w:szCs w:val="26"/>
        </w:rPr>
      </w:pPr>
      <w:r>
        <w:rPr>
          <w:sz w:val="26"/>
          <w:szCs w:val="26"/>
        </w:rPr>
        <w:t>This application does not collect information from small entities. As the purpose of the application is to obtain exemption from the NGA provisions, the minimization of the impact, particularly on small businesses would not be applicable.</w:t>
      </w:r>
    </w:p>
    <w:p w:rsidR="00BA4E3C" w:rsidRDefault="00BA4E3C" w14:paraId="7079D0FC" w14:textId="77777777">
      <w:pPr>
        <w:pStyle w:val="FERCparanumber"/>
        <w:numPr>
          <w:ilvl w:val="0"/>
          <w:numId w:val="0"/>
        </w:numPr>
        <w:tabs>
          <w:tab w:val="num" w:pos="0"/>
        </w:tabs>
        <w:jc w:val="center"/>
        <w:rPr>
          <w:szCs w:val="26"/>
        </w:rPr>
      </w:pPr>
    </w:p>
    <w:p w:rsidR="00BA4E3C" w:rsidRDefault="00D75735" w14:paraId="0C533C26" w14:textId="77777777">
      <w:pPr>
        <w:pStyle w:val="FERCparanumber"/>
        <w:numPr>
          <w:ilvl w:val="0"/>
          <w:numId w:val="2"/>
        </w:numPr>
        <w:rPr>
          <w:szCs w:val="26"/>
        </w:rPr>
      </w:pPr>
      <w:r>
        <w:rPr>
          <w:b/>
          <w:szCs w:val="26"/>
        </w:rPr>
        <w:t>CONSEQUENCE TO FEDERAL PROGRAM IF COLLECTION WERE CONDUCTED LESS FREQUENTLY</w:t>
      </w:r>
    </w:p>
    <w:p w:rsidR="00BA4E3C" w:rsidRDefault="00BA4E3C" w14:paraId="70374728" w14:textId="77777777">
      <w:pPr>
        <w:pStyle w:val="FERCparanumber"/>
        <w:numPr>
          <w:ilvl w:val="0"/>
          <w:numId w:val="0"/>
        </w:numPr>
        <w:rPr>
          <w:b/>
          <w:szCs w:val="26"/>
        </w:rPr>
      </w:pPr>
    </w:p>
    <w:p w:rsidR="00BA4E3C" w:rsidRDefault="00D75735" w14:paraId="13B1C311" w14:textId="77777777">
      <w:pPr>
        <w:rPr>
          <w:sz w:val="26"/>
          <w:szCs w:val="26"/>
        </w:rPr>
      </w:pPr>
      <w:r>
        <w:rPr>
          <w:sz w:val="26"/>
          <w:szCs w:val="26"/>
        </w:rPr>
        <w:t xml:space="preserve">The data required impose the least possible burden on applicants while collecting the information required for processing the application.  As noted above, this is a one-time filing for exemption from the pipelines certificate requirements of the NGA, and as such, the issue of frequency of filing is not applicable.  </w:t>
      </w:r>
    </w:p>
    <w:p w:rsidR="00BA4E3C" w:rsidRDefault="00BA4E3C" w14:paraId="25952EA1" w14:textId="77777777">
      <w:pPr>
        <w:pStyle w:val="FERCparanumber"/>
        <w:numPr>
          <w:ilvl w:val="0"/>
          <w:numId w:val="0"/>
        </w:numPr>
        <w:rPr>
          <w:szCs w:val="26"/>
        </w:rPr>
      </w:pPr>
    </w:p>
    <w:p w:rsidR="00BA4E3C" w:rsidRDefault="00D75735" w14:paraId="672AACF4" w14:textId="77777777">
      <w:pPr>
        <w:pStyle w:val="FERCparanumber"/>
        <w:numPr>
          <w:ilvl w:val="0"/>
          <w:numId w:val="2"/>
        </w:numPr>
        <w:rPr>
          <w:szCs w:val="26"/>
        </w:rPr>
      </w:pPr>
      <w:r>
        <w:rPr>
          <w:b/>
          <w:szCs w:val="26"/>
        </w:rPr>
        <w:t>EXPLAIN ANY SPECIAL CIRCUMSTANCES RELATING TO THE INFORMATION</w:t>
      </w:r>
    </w:p>
    <w:p w:rsidR="00BA4E3C" w:rsidRDefault="00BA4E3C" w14:paraId="6B39FE01" w14:textId="77777777">
      <w:pPr>
        <w:pStyle w:val="FERCparanumber"/>
        <w:numPr>
          <w:ilvl w:val="0"/>
          <w:numId w:val="0"/>
        </w:numPr>
        <w:rPr>
          <w:b/>
          <w:szCs w:val="26"/>
        </w:rPr>
      </w:pPr>
    </w:p>
    <w:p w:rsidR="00BA4E3C" w:rsidRDefault="00D75735" w14:paraId="2AD265C0" w14:textId="77777777">
      <w:pPr>
        <w:tabs>
          <w:tab w:val="left" w:pos="-1440"/>
        </w:tabs>
        <w:rPr>
          <w:sz w:val="26"/>
          <w:szCs w:val="26"/>
        </w:rPr>
      </w:pPr>
      <w:r>
        <w:rPr>
          <w:sz w:val="26"/>
          <w:szCs w:val="26"/>
        </w:rPr>
        <w:t xml:space="preserve">The guidelines of OMB’s regulations of 5 CFR 1320.5(d)(2) are being exceeded in the number of copies forwarded to the Commission.  An original and three copies are required by the Commission to conduct the regulatory review when the submitter chooses not to </w:t>
      </w:r>
      <w:proofErr w:type="spellStart"/>
      <w:r>
        <w:rPr>
          <w:sz w:val="26"/>
          <w:szCs w:val="26"/>
        </w:rPr>
        <w:t>eFile</w:t>
      </w:r>
      <w:proofErr w:type="spellEnd"/>
      <w:r>
        <w:rPr>
          <w:sz w:val="26"/>
          <w:szCs w:val="26"/>
        </w:rPr>
        <w:t>.  There is no requirement for the company to maintain any copies.</w:t>
      </w:r>
    </w:p>
    <w:p w:rsidR="00BA4E3C" w:rsidRDefault="00D75735" w14:paraId="6496341D" w14:textId="77777777">
      <w:pPr>
        <w:tabs>
          <w:tab w:val="left" w:pos="-1440"/>
          <w:tab w:val="left" w:pos="1560"/>
        </w:tabs>
        <w:ind w:left="720" w:hanging="720"/>
        <w:rPr>
          <w:sz w:val="26"/>
          <w:szCs w:val="26"/>
        </w:rPr>
      </w:pPr>
      <w:r>
        <w:rPr>
          <w:sz w:val="26"/>
          <w:szCs w:val="26"/>
        </w:rPr>
        <w:tab/>
      </w:r>
    </w:p>
    <w:p w:rsidR="00BA4E3C" w:rsidRDefault="00D75735" w14:paraId="715A33AB" w14:textId="77777777">
      <w:pPr>
        <w:rPr>
          <w:sz w:val="26"/>
          <w:szCs w:val="26"/>
        </w:rPr>
      </w:pPr>
      <w:r>
        <w:rPr>
          <w:sz w:val="26"/>
          <w:szCs w:val="26"/>
        </w:rPr>
        <w:t xml:space="preserve">The Commission’s Offices of the General Counsel receives one copy and the remaining copies are distributed to Office of Energy Projects staff.  These copies are essential to staff so that the required technical, engineering, and environmental reviews and analyses proceed simultaneously and efficiently.  A project manager must have a copy of the application for review and coordination purposes; additional copies must be available for staff members in various parts of the Commission for assessing the adequacy of diverse exhibits.  It would not be feasible to conduct these review functions in a timely manner (and within the current processing schedule) if fewer copies of the application were provided for staff use. </w:t>
      </w:r>
    </w:p>
    <w:p w:rsidR="00BA4E3C" w:rsidRDefault="00BA4E3C" w14:paraId="2C7D1FFB" w14:textId="77777777">
      <w:pPr>
        <w:pStyle w:val="FERCparanumber"/>
        <w:numPr>
          <w:ilvl w:val="0"/>
          <w:numId w:val="0"/>
        </w:numPr>
        <w:rPr>
          <w:szCs w:val="26"/>
        </w:rPr>
      </w:pPr>
    </w:p>
    <w:p w:rsidR="00BA4E3C" w:rsidRDefault="00D75735" w14:paraId="5740B992" w14:textId="77777777">
      <w:pPr>
        <w:pStyle w:val="FERCparanumber"/>
        <w:numPr>
          <w:ilvl w:val="0"/>
          <w:numId w:val="2"/>
        </w:numPr>
        <w:rPr>
          <w:szCs w:val="26"/>
        </w:rPr>
      </w:pPr>
      <w:r>
        <w:rPr>
          <w:b/>
          <w:szCs w:val="26"/>
        </w:rPr>
        <w:t>DESCRIBE EFFORTS TO CONSULT OUTSIDE THE AGENCY: SUMMARIZE PUBLIC COMMENTS AND THE AGENCY’S RESPONSE TO THESE COMMENTS</w:t>
      </w:r>
    </w:p>
    <w:p w:rsidR="00BA4E3C" w:rsidRDefault="00BA4E3C" w14:paraId="691C0AA0" w14:textId="77777777">
      <w:pPr>
        <w:pStyle w:val="FERCparanumber"/>
        <w:numPr>
          <w:ilvl w:val="0"/>
          <w:numId w:val="0"/>
        </w:numPr>
        <w:rPr>
          <w:b/>
          <w:szCs w:val="26"/>
        </w:rPr>
      </w:pPr>
    </w:p>
    <w:p w:rsidR="00BA4E3C" w:rsidRDefault="00D75735" w14:paraId="73D08E3D" w14:textId="77777777">
      <w:pPr>
        <w:rPr>
          <w:sz w:val="26"/>
          <w:szCs w:val="26"/>
        </w:rPr>
      </w:pPr>
      <w:r>
        <w:rPr>
          <w:sz w:val="26"/>
          <w:szCs w:val="26"/>
        </w:rPr>
        <w:t>In accordance with OMB requirements, the Commission published a 60-day notice</w:t>
      </w:r>
      <w:bookmarkStart w:name="_Ref332712251" w:id="1"/>
      <w:r>
        <w:rPr>
          <w:rStyle w:val="FootnoteReference"/>
          <w:sz w:val="26"/>
          <w:szCs w:val="26"/>
          <w:vertAlign w:val="superscript"/>
        </w:rPr>
        <w:footnoteReference w:id="2"/>
      </w:r>
      <w:bookmarkEnd w:id="1"/>
      <w:r>
        <w:rPr>
          <w:sz w:val="26"/>
          <w:szCs w:val="26"/>
        </w:rPr>
        <w:t xml:space="preserve"> and 30-day notice</w:t>
      </w:r>
      <w:r>
        <w:rPr>
          <w:rStyle w:val="FootnoteReference"/>
          <w:sz w:val="26"/>
          <w:szCs w:val="26"/>
          <w:vertAlign w:val="superscript"/>
        </w:rPr>
        <w:footnoteReference w:id="3"/>
      </w:r>
      <w:r>
        <w:rPr>
          <w:sz w:val="26"/>
          <w:szCs w:val="26"/>
        </w:rPr>
        <w:t xml:space="preserve"> to the public regarding this information collection on 11/26/2019 and 2/18/2020 respectively. Within the public notice, the Commission noted that it would be requesting a three-year extension of the public reporting burden with no change to the existing requirements concerning the collection of data.  The Commission received no comments on the 60-day notice.  </w:t>
      </w:r>
    </w:p>
    <w:p w:rsidR="00BA4E3C" w:rsidRDefault="00BA4E3C" w14:paraId="22EDAC81" w14:textId="77777777">
      <w:pPr>
        <w:pStyle w:val="FERCparanumber"/>
        <w:numPr>
          <w:ilvl w:val="0"/>
          <w:numId w:val="0"/>
        </w:numPr>
        <w:rPr>
          <w:szCs w:val="26"/>
        </w:rPr>
      </w:pPr>
    </w:p>
    <w:p w:rsidR="00BA4E3C" w:rsidRDefault="00D75735" w14:paraId="12FF8B89" w14:textId="77777777">
      <w:pPr>
        <w:pStyle w:val="FERCparanumber"/>
        <w:numPr>
          <w:ilvl w:val="0"/>
          <w:numId w:val="2"/>
        </w:numPr>
        <w:rPr>
          <w:szCs w:val="26"/>
        </w:rPr>
      </w:pPr>
      <w:r>
        <w:rPr>
          <w:b/>
          <w:szCs w:val="26"/>
        </w:rPr>
        <w:t>EXPLAIN ANY PAYMENT OR GIFTS TO RESPONDENTS</w:t>
      </w:r>
    </w:p>
    <w:p w:rsidR="00BA4E3C" w:rsidRDefault="00BA4E3C" w14:paraId="7098C2DC" w14:textId="77777777">
      <w:pPr>
        <w:pStyle w:val="FERCparanumber"/>
        <w:numPr>
          <w:ilvl w:val="0"/>
          <w:numId w:val="0"/>
        </w:numPr>
        <w:rPr>
          <w:b/>
          <w:szCs w:val="26"/>
        </w:rPr>
      </w:pPr>
    </w:p>
    <w:p w:rsidR="00BA4E3C" w:rsidRDefault="00D75735" w14:paraId="2F7865B0" w14:textId="77777777">
      <w:pPr>
        <w:widowControl/>
        <w:autoSpaceDE/>
        <w:autoSpaceDN/>
        <w:adjustRightInd/>
        <w:spacing w:line="276" w:lineRule="auto"/>
        <w:rPr>
          <w:rFonts w:eastAsiaTheme="minorHAnsi"/>
          <w:sz w:val="26"/>
          <w:szCs w:val="26"/>
        </w:rPr>
      </w:pPr>
      <w:r>
        <w:rPr>
          <w:rFonts w:eastAsiaTheme="minorHAnsi"/>
          <w:sz w:val="26"/>
          <w:szCs w:val="26"/>
        </w:rPr>
        <w:lastRenderedPageBreak/>
        <w:t>The Commission does not make payments or provide gifts for respondents related to FERC-574 information collection.</w:t>
      </w:r>
    </w:p>
    <w:p w:rsidR="00BA4E3C" w:rsidRDefault="00BA4E3C" w14:paraId="38E1DCD7" w14:textId="77777777">
      <w:pPr>
        <w:pStyle w:val="FERCparanumber"/>
        <w:numPr>
          <w:ilvl w:val="0"/>
          <w:numId w:val="0"/>
        </w:numPr>
        <w:rPr>
          <w:szCs w:val="26"/>
        </w:rPr>
      </w:pPr>
    </w:p>
    <w:p w:rsidR="00BA4E3C" w:rsidRDefault="00D75735" w14:paraId="4BE1FE05" w14:textId="77777777">
      <w:pPr>
        <w:pStyle w:val="FERCparanumber"/>
        <w:numPr>
          <w:ilvl w:val="0"/>
          <w:numId w:val="2"/>
        </w:numPr>
        <w:rPr>
          <w:szCs w:val="26"/>
        </w:rPr>
      </w:pPr>
      <w:r>
        <w:rPr>
          <w:b/>
          <w:szCs w:val="26"/>
        </w:rPr>
        <w:t>DESCRIBE ANY ASSURANCE OF CONFIDENTIALITY PROVIDED TO RESPONDENTS</w:t>
      </w:r>
    </w:p>
    <w:p w:rsidR="00BA4E3C" w:rsidRDefault="00BA4E3C" w14:paraId="37DADE75" w14:textId="77777777">
      <w:pPr>
        <w:pStyle w:val="FERCparanumber"/>
        <w:numPr>
          <w:ilvl w:val="0"/>
          <w:numId w:val="0"/>
        </w:numPr>
        <w:rPr>
          <w:b/>
          <w:szCs w:val="26"/>
        </w:rPr>
      </w:pPr>
    </w:p>
    <w:p w:rsidR="00BA4E3C" w:rsidRDefault="00D75735" w14:paraId="629503C5" w14:textId="77777777">
      <w:pPr>
        <w:widowControl/>
        <w:autoSpaceDE/>
        <w:autoSpaceDN/>
        <w:adjustRightInd/>
        <w:spacing w:line="276" w:lineRule="auto"/>
        <w:rPr>
          <w:rFonts w:eastAsiaTheme="minorHAnsi"/>
          <w:sz w:val="26"/>
          <w:szCs w:val="26"/>
        </w:rPr>
      </w:pPr>
      <w:r>
        <w:rPr>
          <w:rFonts w:eastAsiaTheme="minorHAnsi"/>
          <w:sz w:val="26"/>
          <w:szCs w:val="26"/>
        </w:rPr>
        <w:t>The Commission does not consider the filings within the FERC-574 to be confidential.  Information provided with the filing may be submitted with a specific request for confidential treatment to the extent permitted by law and pursuant to FERC's regulations.</w:t>
      </w:r>
    </w:p>
    <w:p w:rsidR="00BA4E3C" w:rsidRDefault="00BA4E3C" w14:paraId="09BE9188" w14:textId="77777777">
      <w:pPr>
        <w:pStyle w:val="FERCparanumber"/>
        <w:numPr>
          <w:ilvl w:val="0"/>
          <w:numId w:val="0"/>
        </w:numPr>
        <w:rPr>
          <w:szCs w:val="26"/>
        </w:rPr>
      </w:pPr>
    </w:p>
    <w:p w:rsidR="00BA4E3C" w:rsidRDefault="00D75735" w14:paraId="6EE1D6A2" w14:textId="77777777">
      <w:pPr>
        <w:pStyle w:val="FERCparanumber"/>
        <w:numPr>
          <w:ilvl w:val="0"/>
          <w:numId w:val="2"/>
        </w:numPr>
        <w:rPr>
          <w:szCs w:val="26"/>
        </w:rPr>
      </w:pPr>
      <w:r>
        <w:rPr>
          <w:b/>
          <w:szCs w:val="26"/>
        </w:rPr>
        <w:t>PROVIDE ADDITIONAL JUSTIFICATION FOR ANY QUESTIONS OF A SENSITIVE NATURE, SUCH AS SEXUAL BEHAVIOR AND ATTITUDES, RELIGIOUS BELIEFS, AND OTHER MATTERS THAT ARE COMMONLY CONSIDERED PRIVATE</w:t>
      </w:r>
    </w:p>
    <w:p w:rsidR="00BA4E3C" w:rsidRDefault="00BA4E3C" w14:paraId="68F408F3" w14:textId="77777777">
      <w:pPr>
        <w:pStyle w:val="FERCparanumber"/>
        <w:numPr>
          <w:ilvl w:val="0"/>
          <w:numId w:val="0"/>
        </w:numPr>
        <w:rPr>
          <w:b/>
          <w:szCs w:val="26"/>
        </w:rPr>
      </w:pPr>
    </w:p>
    <w:p w:rsidR="00BA4E3C" w:rsidRDefault="00D75735" w14:paraId="7508351B" w14:textId="77777777">
      <w:pPr>
        <w:widowControl/>
        <w:autoSpaceDE/>
        <w:autoSpaceDN/>
        <w:adjustRightInd/>
        <w:spacing w:line="276" w:lineRule="auto"/>
        <w:rPr>
          <w:rFonts w:eastAsiaTheme="minorHAnsi"/>
          <w:sz w:val="26"/>
          <w:szCs w:val="26"/>
        </w:rPr>
      </w:pPr>
      <w:r>
        <w:rPr>
          <w:rFonts w:eastAsiaTheme="minorHAnsi"/>
          <w:sz w:val="26"/>
          <w:szCs w:val="26"/>
        </w:rPr>
        <w:t>The Commission does not consider any of the questions within the FERC-574 of a sensitive nature that would be considered private.</w:t>
      </w:r>
    </w:p>
    <w:p w:rsidR="00BA4E3C" w:rsidRDefault="00BA4E3C" w14:paraId="56EA3D0D" w14:textId="77777777">
      <w:pPr>
        <w:widowControl/>
        <w:rPr>
          <w:b/>
          <w:sz w:val="26"/>
          <w:szCs w:val="26"/>
        </w:rPr>
      </w:pPr>
    </w:p>
    <w:p w:rsidR="00BA4E3C" w:rsidRDefault="00BA4E3C" w14:paraId="7334F975" w14:textId="77777777">
      <w:pPr>
        <w:pStyle w:val="FERCparanumber"/>
        <w:numPr>
          <w:ilvl w:val="0"/>
          <w:numId w:val="0"/>
        </w:numPr>
        <w:rPr>
          <w:szCs w:val="26"/>
        </w:rPr>
      </w:pPr>
    </w:p>
    <w:p w:rsidR="00BA4E3C" w:rsidRDefault="00D75735" w14:paraId="5252E042" w14:textId="77777777">
      <w:pPr>
        <w:pStyle w:val="FERCparanumber"/>
        <w:numPr>
          <w:ilvl w:val="0"/>
          <w:numId w:val="2"/>
        </w:numPr>
        <w:rPr>
          <w:szCs w:val="26"/>
        </w:rPr>
      </w:pPr>
      <w:r>
        <w:rPr>
          <w:b/>
          <w:szCs w:val="26"/>
        </w:rPr>
        <w:t>ESTIMATED BURDEN COLLECTION OF INFORMATION</w:t>
      </w:r>
    </w:p>
    <w:p w:rsidR="00BA4E3C" w:rsidRDefault="00BA4E3C" w14:paraId="50722D66" w14:textId="77777777">
      <w:pPr>
        <w:pStyle w:val="FERCparanumber"/>
        <w:numPr>
          <w:ilvl w:val="0"/>
          <w:numId w:val="0"/>
        </w:numPr>
        <w:rPr>
          <w:b/>
          <w:szCs w:val="26"/>
        </w:rPr>
      </w:pPr>
    </w:p>
    <w:p w:rsidR="00BA4E3C" w:rsidRDefault="00D75735" w14:paraId="474491B3" w14:textId="77777777">
      <w:pPr>
        <w:widowControl/>
        <w:tabs>
          <w:tab w:val="left" w:pos="720"/>
        </w:tabs>
        <w:autoSpaceDE/>
        <w:autoSpaceDN/>
        <w:adjustRightInd/>
        <w:ind w:left="72"/>
        <w:rPr>
          <w:sz w:val="26"/>
          <w:szCs w:val="26"/>
        </w:rPr>
      </w:pPr>
      <w:r>
        <w:rPr>
          <w:sz w:val="26"/>
          <w:szCs w:val="26"/>
        </w:rPr>
        <w:t>The burden</w:t>
      </w:r>
      <w:r>
        <w:rPr>
          <w:sz w:val="26"/>
          <w:szCs w:val="26"/>
          <w:vertAlign w:val="superscript"/>
        </w:rPr>
        <w:footnoteReference w:id="4"/>
      </w:r>
      <w:r>
        <w:rPr>
          <w:sz w:val="26"/>
          <w:szCs w:val="26"/>
        </w:rPr>
        <w:t xml:space="preserve"> and cost</w:t>
      </w:r>
      <w:r>
        <w:rPr>
          <w:b/>
          <w:sz w:val="26"/>
          <w:szCs w:val="26"/>
          <w:vertAlign w:val="superscript"/>
        </w:rPr>
        <w:footnoteReference w:id="5"/>
      </w:r>
      <w:r>
        <w:rPr>
          <w:sz w:val="26"/>
          <w:szCs w:val="26"/>
        </w:rPr>
        <w:t xml:space="preserve"> of the FERC-574 information collection requirements are: </w:t>
      </w:r>
    </w:p>
    <w:p w:rsidR="00BA4E3C" w:rsidRDefault="00BA4E3C" w14:paraId="2C964C3B" w14:textId="77777777">
      <w:pPr>
        <w:pStyle w:val="FERCparanumber"/>
        <w:numPr>
          <w:ilvl w:val="0"/>
          <w:numId w:val="0"/>
        </w:numPr>
        <w:rPr>
          <w:b/>
          <w:szCs w:val="26"/>
        </w:rPr>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00BA4E3C" w14:paraId="54CCBA14" w14:textId="77777777">
        <w:trPr>
          <w:cantSplit/>
        </w:trPr>
        <w:tc>
          <w:tcPr>
            <w:tcW w:w="5000" w:type="pct"/>
            <w:gridSpan w:val="7"/>
            <w:tcBorders>
              <w:bottom w:val="single" w:color="auto" w:sz="4" w:space="0"/>
            </w:tcBorders>
            <w:shd w:val="clear" w:color="auto" w:fill="D9D9D9"/>
          </w:tcPr>
          <w:p w:rsidR="00BA4E3C" w:rsidRDefault="00D75735" w14:paraId="1CF742DC" w14:textId="77777777">
            <w:pPr>
              <w:jc w:val="center"/>
              <w:rPr>
                <w:rFonts w:eastAsia="Calibri"/>
                <w:b/>
                <w:sz w:val="26"/>
                <w:szCs w:val="26"/>
              </w:rPr>
            </w:pPr>
            <w:r>
              <w:rPr>
                <w:rFonts w:eastAsia="Calibri"/>
                <w:b/>
                <w:sz w:val="26"/>
                <w:szCs w:val="26"/>
              </w:rPr>
              <w:t>FERC-574: Gas Pipeline Certificates: Hinshaw Exemption</w:t>
            </w:r>
          </w:p>
        </w:tc>
      </w:tr>
      <w:tr w:rsidR="00BA4E3C" w14:paraId="38896C88" w14:textId="77777777">
        <w:trPr>
          <w:cantSplit/>
        </w:trPr>
        <w:tc>
          <w:tcPr>
            <w:tcW w:w="878" w:type="pct"/>
            <w:shd w:val="clear" w:color="auto" w:fill="D9D9D9"/>
          </w:tcPr>
          <w:p w:rsidR="00BA4E3C" w:rsidRDefault="00BA4E3C" w14:paraId="4D0B6808" w14:textId="77777777">
            <w:pPr>
              <w:jc w:val="center"/>
              <w:rPr>
                <w:rFonts w:eastAsia="Calibri"/>
                <w:b/>
                <w:sz w:val="26"/>
                <w:szCs w:val="26"/>
              </w:rPr>
            </w:pPr>
          </w:p>
        </w:tc>
        <w:tc>
          <w:tcPr>
            <w:tcW w:w="746" w:type="pct"/>
            <w:shd w:val="clear" w:color="auto" w:fill="D9D9D9"/>
            <w:vAlign w:val="bottom"/>
          </w:tcPr>
          <w:p w:rsidR="00BA4E3C" w:rsidRDefault="00D75735" w14:paraId="49A2E1C8" w14:textId="77777777">
            <w:pPr>
              <w:jc w:val="center"/>
              <w:rPr>
                <w:rFonts w:eastAsia="Calibri"/>
                <w:b/>
                <w:sz w:val="26"/>
                <w:szCs w:val="26"/>
              </w:rPr>
            </w:pPr>
            <w:r>
              <w:rPr>
                <w:rFonts w:eastAsia="Calibri"/>
                <w:b/>
                <w:sz w:val="26"/>
                <w:szCs w:val="26"/>
              </w:rPr>
              <w:t>Number of Respondents</w:t>
            </w:r>
            <w:r>
              <w:rPr>
                <w:rFonts w:eastAsia="Calibri"/>
                <w:b/>
                <w:sz w:val="26"/>
                <w:szCs w:val="26"/>
              </w:rPr>
              <w:br/>
              <w:t>(1)</w:t>
            </w:r>
          </w:p>
        </w:tc>
        <w:tc>
          <w:tcPr>
            <w:tcW w:w="746" w:type="pct"/>
            <w:shd w:val="clear" w:color="auto" w:fill="D9D9D9"/>
            <w:vAlign w:val="bottom"/>
          </w:tcPr>
          <w:p w:rsidR="00BA4E3C" w:rsidRDefault="00D75735" w14:paraId="08BC9E8F" w14:textId="77777777">
            <w:pPr>
              <w:jc w:val="center"/>
              <w:rPr>
                <w:rFonts w:eastAsia="Calibri"/>
                <w:b/>
                <w:sz w:val="26"/>
                <w:szCs w:val="26"/>
              </w:rPr>
            </w:pPr>
            <w:r>
              <w:rPr>
                <w:rFonts w:eastAsia="Calibri"/>
                <w:b/>
                <w:sz w:val="26"/>
                <w:szCs w:val="26"/>
              </w:rPr>
              <w:t>Annual Number of Responses per Respondent</w:t>
            </w:r>
          </w:p>
          <w:p w:rsidR="00BA4E3C" w:rsidRDefault="00D75735" w14:paraId="471B92D0" w14:textId="77777777">
            <w:pPr>
              <w:jc w:val="center"/>
              <w:rPr>
                <w:rFonts w:eastAsia="Calibri"/>
                <w:b/>
                <w:sz w:val="26"/>
                <w:szCs w:val="26"/>
              </w:rPr>
            </w:pPr>
            <w:r>
              <w:rPr>
                <w:rFonts w:eastAsia="Calibri"/>
                <w:b/>
                <w:sz w:val="26"/>
                <w:szCs w:val="26"/>
              </w:rPr>
              <w:t>(2)</w:t>
            </w:r>
          </w:p>
        </w:tc>
        <w:tc>
          <w:tcPr>
            <w:tcW w:w="703" w:type="pct"/>
            <w:shd w:val="clear" w:color="auto" w:fill="D9D9D9"/>
            <w:vAlign w:val="bottom"/>
          </w:tcPr>
          <w:p w:rsidR="00BA4E3C" w:rsidRDefault="00D75735" w14:paraId="07DC1E9E" w14:textId="77777777">
            <w:pPr>
              <w:jc w:val="center"/>
              <w:rPr>
                <w:rFonts w:eastAsia="Calibri"/>
                <w:b/>
                <w:sz w:val="26"/>
                <w:szCs w:val="26"/>
              </w:rPr>
            </w:pPr>
            <w:r>
              <w:rPr>
                <w:rFonts w:eastAsia="Calibri"/>
                <w:b/>
                <w:sz w:val="26"/>
                <w:szCs w:val="26"/>
              </w:rPr>
              <w:t>Total Number of Responses (</w:t>
            </w:r>
            <w:proofErr w:type="gramStart"/>
            <w:r>
              <w:rPr>
                <w:rFonts w:eastAsia="Calibri"/>
                <w:b/>
                <w:sz w:val="26"/>
                <w:szCs w:val="26"/>
              </w:rPr>
              <w:t>1)*</w:t>
            </w:r>
            <w:proofErr w:type="gramEnd"/>
            <w:r>
              <w:rPr>
                <w:rFonts w:eastAsia="Calibri"/>
                <w:b/>
                <w:sz w:val="26"/>
                <w:szCs w:val="26"/>
              </w:rPr>
              <w:t>(2)=(3)</w:t>
            </w:r>
          </w:p>
        </w:tc>
        <w:tc>
          <w:tcPr>
            <w:tcW w:w="654" w:type="pct"/>
            <w:shd w:val="clear" w:color="auto" w:fill="D9D9D9"/>
            <w:vAlign w:val="bottom"/>
          </w:tcPr>
          <w:p w:rsidR="00BA4E3C" w:rsidRDefault="00D75735" w14:paraId="228F39D7" w14:textId="77777777">
            <w:pPr>
              <w:jc w:val="center"/>
              <w:rPr>
                <w:rFonts w:eastAsia="Calibri"/>
                <w:b/>
                <w:sz w:val="26"/>
                <w:szCs w:val="26"/>
              </w:rPr>
            </w:pPr>
            <w:r>
              <w:rPr>
                <w:rFonts w:eastAsia="Calibri"/>
                <w:b/>
                <w:sz w:val="26"/>
                <w:szCs w:val="26"/>
              </w:rPr>
              <w:t>Average Burden &amp; Cost ($) Per Response</w:t>
            </w:r>
          </w:p>
          <w:p w:rsidR="00BA4E3C" w:rsidRDefault="00D75735" w14:paraId="6BAAA78C" w14:textId="77777777">
            <w:pPr>
              <w:jc w:val="center"/>
              <w:rPr>
                <w:rFonts w:eastAsia="Calibri"/>
                <w:b/>
                <w:sz w:val="26"/>
                <w:szCs w:val="26"/>
              </w:rPr>
            </w:pPr>
            <w:r>
              <w:rPr>
                <w:rFonts w:eastAsia="Calibri"/>
                <w:b/>
                <w:sz w:val="26"/>
                <w:szCs w:val="26"/>
              </w:rPr>
              <w:t>(4)</w:t>
            </w:r>
          </w:p>
        </w:tc>
        <w:tc>
          <w:tcPr>
            <w:tcW w:w="657" w:type="pct"/>
            <w:shd w:val="clear" w:color="auto" w:fill="D9D9D9"/>
            <w:vAlign w:val="bottom"/>
          </w:tcPr>
          <w:p w:rsidR="00BA4E3C" w:rsidRDefault="00D75735" w14:paraId="0CEA99C7" w14:textId="77777777">
            <w:pPr>
              <w:jc w:val="center"/>
              <w:rPr>
                <w:rFonts w:eastAsia="Calibri"/>
                <w:b/>
                <w:sz w:val="26"/>
                <w:szCs w:val="26"/>
              </w:rPr>
            </w:pPr>
            <w:r>
              <w:rPr>
                <w:rFonts w:eastAsia="Calibri"/>
                <w:b/>
                <w:sz w:val="26"/>
                <w:szCs w:val="26"/>
              </w:rPr>
              <w:t>Total Annual Burden Hours &amp; Total Annual Cost ($)</w:t>
            </w:r>
          </w:p>
          <w:p w:rsidR="00BA4E3C" w:rsidRDefault="00D75735" w14:paraId="1F1A1AC5" w14:textId="77777777">
            <w:pPr>
              <w:jc w:val="center"/>
              <w:rPr>
                <w:rFonts w:eastAsia="Calibri"/>
                <w:b/>
                <w:sz w:val="26"/>
                <w:szCs w:val="26"/>
              </w:rPr>
            </w:pPr>
            <w:r>
              <w:rPr>
                <w:rFonts w:eastAsia="Calibri"/>
                <w:b/>
                <w:sz w:val="26"/>
                <w:szCs w:val="26"/>
              </w:rPr>
              <w:t>(</w:t>
            </w:r>
            <w:proofErr w:type="gramStart"/>
            <w:r>
              <w:rPr>
                <w:rFonts w:eastAsia="Calibri"/>
                <w:b/>
                <w:sz w:val="26"/>
                <w:szCs w:val="26"/>
              </w:rPr>
              <w:t>3)*</w:t>
            </w:r>
            <w:proofErr w:type="gramEnd"/>
            <w:r>
              <w:rPr>
                <w:rFonts w:eastAsia="Calibri"/>
                <w:b/>
                <w:sz w:val="26"/>
                <w:szCs w:val="26"/>
              </w:rPr>
              <w:t>(4)=(5)</w:t>
            </w:r>
          </w:p>
        </w:tc>
        <w:tc>
          <w:tcPr>
            <w:tcW w:w="616" w:type="pct"/>
            <w:shd w:val="clear" w:color="auto" w:fill="D9D9D9"/>
            <w:vAlign w:val="bottom"/>
          </w:tcPr>
          <w:p w:rsidR="00BA4E3C" w:rsidRDefault="00D75735" w14:paraId="4781C93D" w14:textId="77777777">
            <w:pPr>
              <w:jc w:val="center"/>
              <w:rPr>
                <w:rFonts w:eastAsia="Calibri"/>
                <w:b/>
                <w:sz w:val="26"/>
                <w:szCs w:val="26"/>
              </w:rPr>
            </w:pPr>
            <w:r>
              <w:rPr>
                <w:rFonts w:eastAsia="Calibri"/>
                <w:b/>
                <w:sz w:val="26"/>
                <w:szCs w:val="26"/>
              </w:rPr>
              <w:t>Cost ($) per Respondent</w:t>
            </w:r>
          </w:p>
          <w:p w:rsidR="00BA4E3C" w:rsidRDefault="00D75735" w14:paraId="5912028C" w14:textId="77777777">
            <w:pPr>
              <w:jc w:val="center"/>
              <w:rPr>
                <w:rFonts w:eastAsia="Calibri"/>
                <w:b/>
                <w:sz w:val="26"/>
                <w:szCs w:val="26"/>
              </w:rPr>
            </w:pPr>
            <w:r>
              <w:rPr>
                <w:rFonts w:eastAsia="Calibri"/>
                <w:b/>
                <w:sz w:val="26"/>
                <w:szCs w:val="26"/>
              </w:rPr>
              <w:t xml:space="preserve"> ($)</w:t>
            </w:r>
          </w:p>
          <w:p w:rsidR="00BA4E3C" w:rsidRDefault="00D75735" w14:paraId="22F8A973" w14:textId="77777777">
            <w:pPr>
              <w:jc w:val="center"/>
              <w:rPr>
                <w:rFonts w:eastAsia="Calibri"/>
                <w:b/>
                <w:sz w:val="26"/>
                <w:szCs w:val="26"/>
              </w:rPr>
            </w:pPr>
            <w:r>
              <w:rPr>
                <w:rFonts w:eastAsia="Calibri"/>
                <w:b/>
                <w:sz w:val="26"/>
                <w:szCs w:val="26"/>
              </w:rPr>
              <w:t>(</w:t>
            </w:r>
            <w:proofErr w:type="gramStart"/>
            <w:r>
              <w:rPr>
                <w:rFonts w:eastAsia="Calibri"/>
                <w:b/>
                <w:sz w:val="26"/>
                <w:szCs w:val="26"/>
              </w:rPr>
              <w:t>5)÷</w:t>
            </w:r>
            <w:proofErr w:type="gramEnd"/>
            <w:r>
              <w:rPr>
                <w:rFonts w:eastAsia="Calibri"/>
                <w:b/>
                <w:sz w:val="26"/>
                <w:szCs w:val="26"/>
              </w:rPr>
              <w:t>(1)</w:t>
            </w:r>
          </w:p>
        </w:tc>
      </w:tr>
      <w:tr w:rsidR="00BA4E3C" w14:paraId="518F860F" w14:textId="77777777">
        <w:trPr>
          <w:cantSplit/>
        </w:trPr>
        <w:tc>
          <w:tcPr>
            <w:tcW w:w="878" w:type="pct"/>
          </w:tcPr>
          <w:p w:rsidR="00BA4E3C" w:rsidRDefault="00D75735" w14:paraId="0B156963" w14:textId="77777777">
            <w:pPr>
              <w:rPr>
                <w:rFonts w:eastAsia="Calibri"/>
                <w:sz w:val="26"/>
                <w:szCs w:val="26"/>
              </w:rPr>
            </w:pPr>
            <w:r>
              <w:rPr>
                <w:rFonts w:eastAsia="Calibri"/>
                <w:sz w:val="26"/>
                <w:szCs w:val="26"/>
              </w:rPr>
              <w:t>Pipeline Companies</w:t>
            </w:r>
          </w:p>
        </w:tc>
        <w:tc>
          <w:tcPr>
            <w:tcW w:w="746" w:type="pct"/>
          </w:tcPr>
          <w:p w:rsidR="00BA4E3C" w:rsidRDefault="00D75735" w14:paraId="4F78B57C" w14:textId="77777777">
            <w:pPr>
              <w:jc w:val="right"/>
              <w:rPr>
                <w:rFonts w:eastAsia="Calibri"/>
                <w:sz w:val="26"/>
                <w:szCs w:val="26"/>
              </w:rPr>
            </w:pPr>
            <w:r>
              <w:rPr>
                <w:rFonts w:eastAsia="Calibri"/>
                <w:sz w:val="26"/>
                <w:szCs w:val="26"/>
              </w:rPr>
              <w:t>2</w:t>
            </w:r>
          </w:p>
        </w:tc>
        <w:tc>
          <w:tcPr>
            <w:tcW w:w="746" w:type="pct"/>
          </w:tcPr>
          <w:p w:rsidR="00BA4E3C" w:rsidRDefault="00D75735" w14:paraId="64D72A90" w14:textId="77777777">
            <w:pPr>
              <w:jc w:val="right"/>
              <w:rPr>
                <w:rFonts w:eastAsia="Calibri"/>
                <w:sz w:val="26"/>
                <w:szCs w:val="26"/>
              </w:rPr>
            </w:pPr>
            <w:r>
              <w:rPr>
                <w:rFonts w:eastAsia="Calibri"/>
                <w:sz w:val="26"/>
                <w:szCs w:val="26"/>
              </w:rPr>
              <w:t>1</w:t>
            </w:r>
          </w:p>
        </w:tc>
        <w:tc>
          <w:tcPr>
            <w:tcW w:w="703" w:type="pct"/>
          </w:tcPr>
          <w:p w:rsidR="00BA4E3C" w:rsidRDefault="00D75735" w14:paraId="2D88D252" w14:textId="77777777">
            <w:pPr>
              <w:jc w:val="right"/>
              <w:rPr>
                <w:rFonts w:eastAsia="Calibri"/>
                <w:sz w:val="26"/>
                <w:szCs w:val="26"/>
              </w:rPr>
            </w:pPr>
            <w:r>
              <w:rPr>
                <w:rFonts w:eastAsia="Calibri"/>
                <w:sz w:val="26"/>
                <w:szCs w:val="26"/>
              </w:rPr>
              <w:t>2</w:t>
            </w:r>
          </w:p>
        </w:tc>
        <w:tc>
          <w:tcPr>
            <w:tcW w:w="654" w:type="pct"/>
          </w:tcPr>
          <w:p w:rsidR="00BA4E3C" w:rsidRDefault="00D75735" w14:paraId="74F95EDD" w14:textId="77777777">
            <w:pPr>
              <w:jc w:val="right"/>
              <w:rPr>
                <w:rFonts w:eastAsia="Calibri"/>
                <w:sz w:val="26"/>
                <w:szCs w:val="26"/>
              </w:rPr>
            </w:pPr>
            <w:r>
              <w:rPr>
                <w:rFonts w:eastAsia="Calibri"/>
                <w:sz w:val="26"/>
                <w:szCs w:val="26"/>
              </w:rPr>
              <w:t>60 hrs.;</w:t>
            </w:r>
          </w:p>
          <w:p w:rsidR="00BA4E3C" w:rsidRDefault="00D75735" w14:paraId="1DB944A4" w14:textId="77777777">
            <w:pPr>
              <w:jc w:val="right"/>
              <w:rPr>
                <w:rFonts w:eastAsia="Calibri"/>
                <w:sz w:val="26"/>
                <w:szCs w:val="26"/>
              </w:rPr>
            </w:pPr>
            <w:r>
              <w:rPr>
                <w:rFonts w:eastAsia="Calibri"/>
                <w:sz w:val="26"/>
                <w:szCs w:val="26"/>
              </w:rPr>
              <w:t>$4,800</w:t>
            </w:r>
          </w:p>
        </w:tc>
        <w:tc>
          <w:tcPr>
            <w:tcW w:w="657" w:type="pct"/>
          </w:tcPr>
          <w:p w:rsidR="00BA4E3C" w:rsidRDefault="00D75735" w14:paraId="678B00E5" w14:textId="77777777">
            <w:pPr>
              <w:jc w:val="right"/>
              <w:rPr>
                <w:rFonts w:eastAsia="Calibri"/>
                <w:sz w:val="26"/>
                <w:szCs w:val="26"/>
              </w:rPr>
            </w:pPr>
            <w:r>
              <w:rPr>
                <w:rFonts w:eastAsia="Calibri"/>
                <w:sz w:val="26"/>
                <w:szCs w:val="26"/>
              </w:rPr>
              <w:t xml:space="preserve"> 120 hrs.;</w:t>
            </w:r>
          </w:p>
          <w:p w:rsidR="00BA4E3C" w:rsidRDefault="00D75735" w14:paraId="5AAE4FAB" w14:textId="77777777">
            <w:pPr>
              <w:jc w:val="right"/>
              <w:rPr>
                <w:rFonts w:eastAsia="Calibri"/>
                <w:sz w:val="26"/>
                <w:szCs w:val="26"/>
              </w:rPr>
            </w:pPr>
            <w:r>
              <w:rPr>
                <w:rFonts w:eastAsia="Calibri"/>
                <w:sz w:val="26"/>
                <w:szCs w:val="26"/>
              </w:rPr>
              <w:t xml:space="preserve">$9,600 </w:t>
            </w:r>
          </w:p>
        </w:tc>
        <w:tc>
          <w:tcPr>
            <w:tcW w:w="616" w:type="pct"/>
          </w:tcPr>
          <w:p w:rsidR="00BA4E3C" w:rsidRDefault="00D75735" w14:paraId="6C334456" w14:textId="77777777">
            <w:pPr>
              <w:jc w:val="right"/>
              <w:rPr>
                <w:rFonts w:eastAsia="Calibri"/>
                <w:sz w:val="26"/>
                <w:szCs w:val="26"/>
              </w:rPr>
            </w:pPr>
            <w:r>
              <w:rPr>
                <w:rFonts w:eastAsia="Calibri"/>
                <w:sz w:val="26"/>
                <w:szCs w:val="26"/>
              </w:rPr>
              <w:t xml:space="preserve">$4,800 </w:t>
            </w:r>
          </w:p>
          <w:p w:rsidR="00BA4E3C" w:rsidRDefault="00BA4E3C" w14:paraId="05D182B1" w14:textId="77777777">
            <w:pPr>
              <w:jc w:val="right"/>
              <w:rPr>
                <w:rFonts w:eastAsia="Calibri"/>
                <w:sz w:val="26"/>
                <w:szCs w:val="26"/>
              </w:rPr>
            </w:pPr>
          </w:p>
        </w:tc>
      </w:tr>
    </w:tbl>
    <w:p w:rsidR="00BA4E3C" w:rsidRDefault="00BA4E3C" w14:paraId="0A16CB6A" w14:textId="77777777">
      <w:pPr>
        <w:pStyle w:val="FERCparanumber"/>
        <w:numPr>
          <w:ilvl w:val="0"/>
          <w:numId w:val="0"/>
        </w:numPr>
        <w:rPr>
          <w:szCs w:val="26"/>
        </w:rPr>
      </w:pPr>
    </w:p>
    <w:p w:rsidR="00BA4E3C" w:rsidRDefault="00D75735" w14:paraId="27864C72" w14:textId="77777777">
      <w:pPr>
        <w:pStyle w:val="FERCparanumber"/>
        <w:numPr>
          <w:ilvl w:val="0"/>
          <w:numId w:val="2"/>
        </w:numPr>
        <w:rPr>
          <w:szCs w:val="26"/>
        </w:rPr>
      </w:pPr>
      <w:r>
        <w:rPr>
          <w:b/>
          <w:szCs w:val="26"/>
        </w:rPr>
        <w:t>ESTIMATE OF THE TOTAL ANNUAL COST BURDEN TO RESPONDENTS</w:t>
      </w:r>
    </w:p>
    <w:p w:rsidR="00BA4E3C" w:rsidRDefault="00BA4E3C" w14:paraId="662F67F6" w14:textId="77777777">
      <w:pPr>
        <w:pStyle w:val="FERCparanumber"/>
        <w:numPr>
          <w:ilvl w:val="0"/>
          <w:numId w:val="0"/>
        </w:numPr>
        <w:rPr>
          <w:b/>
          <w:szCs w:val="26"/>
        </w:rPr>
      </w:pPr>
    </w:p>
    <w:p w:rsidR="00BA4E3C" w:rsidRDefault="00D75735" w14:paraId="43B42B33" w14:textId="77777777">
      <w:pPr>
        <w:widowControl/>
        <w:rPr>
          <w:sz w:val="26"/>
          <w:szCs w:val="26"/>
        </w:rPr>
      </w:pPr>
      <w:r>
        <w:rPr>
          <w:sz w:val="26"/>
          <w:szCs w:val="26"/>
        </w:rPr>
        <w:t xml:space="preserve">There </w:t>
      </w:r>
      <w:proofErr w:type="gramStart"/>
      <w:r>
        <w:rPr>
          <w:sz w:val="26"/>
          <w:szCs w:val="26"/>
        </w:rPr>
        <w:t>is</w:t>
      </w:r>
      <w:proofErr w:type="gramEnd"/>
      <w:r>
        <w:rPr>
          <w:sz w:val="26"/>
          <w:szCs w:val="26"/>
        </w:rPr>
        <w:t xml:space="preserve"> no non-labor start-up costs. All costs are related to burden hours and are addressed in Questions #12 and #15.</w:t>
      </w:r>
    </w:p>
    <w:p w:rsidR="00BA4E3C" w:rsidRDefault="00BA4E3C" w14:paraId="71EA0D67" w14:textId="77777777">
      <w:pPr>
        <w:pStyle w:val="FERCparanumber"/>
        <w:numPr>
          <w:ilvl w:val="0"/>
          <w:numId w:val="0"/>
        </w:numPr>
        <w:rPr>
          <w:szCs w:val="26"/>
        </w:rPr>
      </w:pPr>
    </w:p>
    <w:p w:rsidR="00BA4E3C" w:rsidRDefault="00D75735" w14:paraId="3B112C5E" w14:textId="77777777">
      <w:pPr>
        <w:pStyle w:val="FERCparanumber"/>
        <w:numPr>
          <w:ilvl w:val="0"/>
          <w:numId w:val="2"/>
        </w:numPr>
        <w:rPr>
          <w:b/>
          <w:szCs w:val="26"/>
        </w:rPr>
      </w:pPr>
      <w:r>
        <w:rPr>
          <w:b/>
          <w:szCs w:val="26"/>
        </w:rPr>
        <w:t>ESTIMATED ANNUALIZED COST TO FEDERAL GOVERNMENT</w:t>
      </w:r>
    </w:p>
    <w:p w:rsidR="00BA4E3C" w:rsidRDefault="00BA4E3C" w14:paraId="1CDFE70B" w14:textId="77777777">
      <w:pPr>
        <w:pStyle w:val="FERCparanumber"/>
        <w:numPr>
          <w:ilvl w:val="0"/>
          <w:numId w:val="0"/>
        </w:numPr>
        <w:rPr>
          <w:b/>
          <w:szCs w:val="26"/>
        </w:rPr>
      </w:pPr>
    </w:p>
    <w:p w:rsidR="00BA4E3C" w:rsidRDefault="00D75735" w14:paraId="54AF631E" w14:textId="77777777">
      <w:pPr>
        <w:widowControl/>
        <w:tabs>
          <w:tab w:val="left" w:pos="720"/>
        </w:tabs>
        <w:autoSpaceDE/>
        <w:autoSpaceDN/>
        <w:adjustRightInd/>
        <w:rPr>
          <w:sz w:val="26"/>
          <w:szCs w:val="26"/>
        </w:rPr>
      </w:pPr>
      <w:r>
        <w:rPr>
          <w:rFonts w:eastAsia="Calibri"/>
          <w:sz w:val="26"/>
          <w:szCs w:val="26"/>
        </w:rPr>
        <w:t>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w:t>
      </w:r>
      <w:r>
        <w:rPr>
          <w:sz w:val="26"/>
          <w:szCs w:val="26"/>
        </w:rPr>
        <w:t xml:space="preserve"> </w:t>
      </w:r>
    </w:p>
    <w:p w:rsidR="00BA4E3C" w:rsidRDefault="00BA4E3C" w14:paraId="677A52BC" w14:textId="77777777">
      <w:pPr>
        <w:widowControl/>
        <w:tabs>
          <w:tab w:val="left" w:pos="720"/>
        </w:tabs>
        <w:autoSpaceDE/>
        <w:autoSpaceDN/>
        <w:adjustRightInd/>
        <w:rPr>
          <w:sz w:val="26"/>
          <w:szCs w:val="26"/>
        </w:rPr>
      </w:pPr>
    </w:p>
    <w:p w:rsidR="00BA4E3C" w:rsidRDefault="00D75735" w14:paraId="5AC4D228" w14:textId="77777777">
      <w:pPr>
        <w:widowControl/>
        <w:autoSpaceDE/>
        <w:autoSpaceDN/>
        <w:adjustRightInd/>
        <w:spacing w:line="276" w:lineRule="auto"/>
        <w:rPr>
          <w:rFonts w:eastAsia="Calibri"/>
          <w:sz w:val="26"/>
          <w:szCs w:val="26"/>
        </w:rPr>
      </w:pPr>
      <w:r>
        <w:rPr>
          <w:rFonts w:eastAsia="Calibri"/>
          <w:sz w:val="26"/>
          <w:szCs w:val="26"/>
        </w:rPr>
        <w:t xml:space="preserve">The Commission incurs the costs associated with obtaining OMB clearance for the collection under the Paperwork Reduction Act of 1995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w:t>
      </w:r>
    </w:p>
    <w:p w:rsidR="00BA4E3C" w:rsidRDefault="00BA4E3C" w14:paraId="4BBF3CE5" w14:textId="77777777">
      <w:pPr>
        <w:widowControl/>
        <w:autoSpaceDE/>
        <w:autoSpaceDN/>
        <w:adjustRightInd/>
        <w:spacing w:line="276" w:lineRule="auto"/>
        <w:rPr>
          <w:sz w:val="26"/>
          <w:szCs w:val="26"/>
        </w:rPr>
      </w:pPr>
    </w:p>
    <w:p w:rsidR="00BA4E3C" w:rsidRDefault="00D75735" w14:paraId="028FFA68" w14:textId="77777777">
      <w:pPr>
        <w:rPr>
          <w:sz w:val="26"/>
          <w:szCs w:val="26"/>
        </w:rPr>
      </w:pPr>
      <w:r>
        <w:rPr>
          <w:sz w:val="26"/>
          <w:szCs w:val="26"/>
        </w:rPr>
        <w:t>The estimated annualized cost to the Federal Government for FERC-574 follows:</w:t>
      </w:r>
    </w:p>
    <w:p w:rsidR="00BA4E3C" w:rsidRDefault="00BA4E3C" w14:paraId="688619C2" w14:textId="77777777">
      <w:pPr>
        <w:rPr>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00BA4E3C" w14:paraId="5DE846B5" w14:textId="77777777">
        <w:tc>
          <w:tcPr>
            <w:tcW w:w="1756" w:type="pct"/>
            <w:shd w:val="clear" w:color="auto" w:fill="D9D9D9"/>
            <w:vAlign w:val="center"/>
          </w:tcPr>
          <w:p w:rsidR="00BA4E3C" w:rsidRDefault="00D75735" w14:paraId="7B97073C" w14:textId="77777777">
            <w:pPr>
              <w:pStyle w:val="ListParagraph"/>
              <w:spacing w:after="0" w:line="240" w:lineRule="auto"/>
              <w:ind w:left="0"/>
              <w:rPr>
                <w:rFonts w:ascii="Times New Roman" w:hAnsi="Times New Roman"/>
                <w:b/>
                <w:sz w:val="26"/>
                <w:szCs w:val="26"/>
              </w:rPr>
            </w:pPr>
            <w:r>
              <w:rPr>
                <w:rFonts w:ascii="Times New Roman" w:hAnsi="Times New Roman"/>
                <w:b/>
                <w:sz w:val="26"/>
                <w:szCs w:val="26"/>
              </w:rPr>
              <w:t>FERC-574</w:t>
            </w:r>
          </w:p>
        </w:tc>
        <w:tc>
          <w:tcPr>
            <w:tcW w:w="1627" w:type="pct"/>
            <w:shd w:val="clear" w:color="auto" w:fill="D9D9D9"/>
            <w:vAlign w:val="center"/>
          </w:tcPr>
          <w:p w:rsidR="00BA4E3C" w:rsidRDefault="00D75735" w14:paraId="6BFD7EE2" w14:textId="77777777">
            <w:pPr>
              <w:pStyle w:val="ListParagraph"/>
              <w:spacing w:after="0" w:line="240" w:lineRule="auto"/>
              <w:ind w:left="0"/>
              <w:jc w:val="center"/>
              <w:rPr>
                <w:rFonts w:ascii="Times New Roman" w:hAnsi="Times New Roman"/>
                <w:b/>
                <w:sz w:val="26"/>
                <w:szCs w:val="26"/>
              </w:rPr>
            </w:pPr>
            <w:r>
              <w:rPr>
                <w:rFonts w:ascii="Times New Roman" w:hAnsi="Times New Roman"/>
                <w:b/>
                <w:sz w:val="26"/>
                <w:szCs w:val="26"/>
              </w:rPr>
              <w:t>Number of Employees (FTE)</w:t>
            </w:r>
          </w:p>
        </w:tc>
        <w:tc>
          <w:tcPr>
            <w:tcW w:w="1617" w:type="pct"/>
            <w:shd w:val="clear" w:color="auto" w:fill="D9D9D9"/>
            <w:vAlign w:val="center"/>
          </w:tcPr>
          <w:p w:rsidR="00BA4E3C" w:rsidRDefault="00D75735" w14:paraId="76F98821" w14:textId="77777777">
            <w:pPr>
              <w:pStyle w:val="ListParagraph"/>
              <w:spacing w:after="0" w:line="240" w:lineRule="auto"/>
              <w:ind w:left="0"/>
              <w:jc w:val="center"/>
              <w:rPr>
                <w:rFonts w:ascii="Times New Roman" w:hAnsi="Times New Roman"/>
                <w:b/>
                <w:sz w:val="26"/>
                <w:szCs w:val="26"/>
              </w:rPr>
            </w:pPr>
            <w:r>
              <w:rPr>
                <w:rFonts w:ascii="Times New Roman" w:hAnsi="Times New Roman"/>
                <w:b/>
                <w:sz w:val="26"/>
                <w:szCs w:val="26"/>
              </w:rPr>
              <w:t>Estimated Annual Federal Cost</w:t>
            </w:r>
          </w:p>
        </w:tc>
      </w:tr>
      <w:tr w:rsidR="00BA4E3C" w14:paraId="05E13BF8" w14:textId="77777777">
        <w:tc>
          <w:tcPr>
            <w:tcW w:w="1756" w:type="pct"/>
            <w:shd w:val="clear" w:color="auto" w:fill="auto"/>
            <w:vAlign w:val="center"/>
          </w:tcPr>
          <w:p w:rsidR="00BA4E3C" w:rsidRDefault="00D75735" w14:paraId="32ED7D2C" w14:textId="77777777">
            <w:pPr>
              <w:pStyle w:val="ListParagraph"/>
              <w:spacing w:after="0" w:line="240" w:lineRule="auto"/>
              <w:ind w:left="0"/>
              <w:rPr>
                <w:rFonts w:ascii="Times New Roman" w:hAnsi="Times New Roman"/>
                <w:sz w:val="26"/>
                <w:szCs w:val="26"/>
              </w:rPr>
            </w:pPr>
            <w:r>
              <w:rPr>
                <w:rFonts w:ascii="Times New Roman" w:hAnsi="Times New Roman"/>
                <w:sz w:val="26"/>
                <w:szCs w:val="26"/>
              </w:rPr>
              <w:t>Analysis and Processing of Filings</w:t>
            </w:r>
            <w:r>
              <w:rPr>
                <w:rStyle w:val="FootnoteReference"/>
                <w:rFonts w:ascii="Times New Roman" w:hAnsi="Times New Roman"/>
                <w:sz w:val="26"/>
                <w:szCs w:val="26"/>
                <w:vertAlign w:val="superscript"/>
              </w:rPr>
              <w:footnoteReference w:id="6"/>
            </w:r>
          </w:p>
        </w:tc>
        <w:tc>
          <w:tcPr>
            <w:tcW w:w="1627" w:type="pct"/>
            <w:shd w:val="clear" w:color="auto" w:fill="auto"/>
            <w:vAlign w:val="center"/>
          </w:tcPr>
          <w:p w:rsidR="00BA4E3C" w:rsidRDefault="00D75735" w14:paraId="5BE7DEA5" w14:textId="77777777">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0.1</w:t>
            </w:r>
          </w:p>
        </w:tc>
        <w:tc>
          <w:tcPr>
            <w:tcW w:w="1617" w:type="pct"/>
            <w:shd w:val="clear" w:color="auto" w:fill="auto"/>
            <w:vAlign w:val="center"/>
          </w:tcPr>
          <w:p w:rsidR="00BA4E3C" w:rsidRDefault="00D75735" w14:paraId="69553BBA" w14:textId="77777777">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$16,709</w:t>
            </w:r>
          </w:p>
        </w:tc>
      </w:tr>
      <w:tr w:rsidR="00BA4E3C" w14:paraId="60041EBA" w14:textId="77777777">
        <w:tc>
          <w:tcPr>
            <w:tcW w:w="1756" w:type="pct"/>
            <w:shd w:val="clear" w:color="auto" w:fill="auto"/>
            <w:vAlign w:val="center"/>
          </w:tcPr>
          <w:p w:rsidR="00BA4E3C" w:rsidRDefault="00D75735" w14:paraId="2CC65410" w14:textId="77777777">
            <w:pPr>
              <w:pStyle w:val="ListParagraph"/>
              <w:spacing w:after="0" w:line="240" w:lineRule="auto"/>
              <w:ind w:left="0"/>
              <w:rPr>
                <w:rFonts w:ascii="Times New Roman" w:hAnsi="Times New Roman"/>
                <w:sz w:val="26"/>
                <w:szCs w:val="26"/>
              </w:rPr>
            </w:pPr>
            <w:r>
              <w:rPr>
                <w:rFonts w:ascii="Times New Roman" w:hAnsi="Times New Roman"/>
                <w:sz w:val="26"/>
                <w:szCs w:val="26"/>
              </w:rPr>
              <w:lastRenderedPageBreak/>
              <w:t>PRA</w:t>
            </w:r>
            <w:r>
              <w:rPr>
                <w:rStyle w:val="FootnoteReference"/>
                <w:rFonts w:ascii="Times New Roman" w:hAnsi="Times New Roman"/>
                <w:sz w:val="26"/>
                <w:szCs w:val="26"/>
                <w:vertAlign w:val="superscript"/>
              </w:rPr>
              <w:footnoteReference w:id="7"/>
            </w:r>
            <w:r>
              <w:rPr>
                <w:rFonts w:ascii="Times New Roman" w:hAnsi="Times New Roman"/>
                <w:sz w:val="26"/>
                <w:szCs w:val="26"/>
              </w:rPr>
              <w:t xml:space="preserve"> Administrative Cost</w:t>
            </w:r>
            <w:r>
              <w:rPr>
                <w:rStyle w:val="FootnoteReference"/>
                <w:rFonts w:ascii="Times New Roman" w:hAnsi="Times New Roman"/>
                <w:sz w:val="26"/>
                <w:szCs w:val="26"/>
                <w:vertAlign w:val="superscript"/>
              </w:rPr>
              <w:footnoteReference w:id="8"/>
            </w:r>
          </w:p>
        </w:tc>
        <w:tc>
          <w:tcPr>
            <w:tcW w:w="1627" w:type="pct"/>
            <w:shd w:val="clear" w:color="auto" w:fill="D9D9D9"/>
            <w:vAlign w:val="center"/>
          </w:tcPr>
          <w:p w:rsidR="00BA4E3C" w:rsidRDefault="00BA4E3C" w14:paraId="4F93C1C7"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BA4E3C" w:rsidRDefault="00D75735" w14:paraId="727DD292" w14:textId="77777777">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$4,832</w:t>
            </w:r>
          </w:p>
        </w:tc>
      </w:tr>
      <w:tr w:rsidR="00BA4E3C" w14:paraId="34F50FB2" w14:textId="77777777">
        <w:tc>
          <w:tcPr>
            <w:tcW w:w="1756" w:type="pct"/>
            <w:shd w:val="clear" w:color="auto" w:fill="auto"/>
            <w:vAlign w:val="center"/>
          </w:tcPr>
          <w:p w:rsidR="00BA4E3C" w:rsidRDefault="00D75735" w14:paraId="191BB0CC" w14:textId="77777777">
            <w:pPr>
              <w:pStyle w:val="ListParagraph"/>
              <w:spacing w:after="0" w:line="240" w:lineRule="auto"/>
              <w:ind w:left="0"/>
              <w:rPr>
                <w:rFonts w:ascii="Times New Roman" w:hAnsi="Times New Roman"/>
                <w:sz w:val="26"/>
                <w:szCs w:val="26"/>
              </w:rPr>
            </w:pPr>
            <w:r>
              <w:rPr>
                <w:rFonts w:ascii="Times New Roman" w:hAnsi="Times New Roman"/>
                <w:sz w:val="26"/>
                <w:szCs w:val="26"/>
              </w:rPr>
              <w:t>FERC Total</w:t>
            </w:r>
          </w:p>
        </w:tc>
        <w:tc>
          <w:tcPr>
            <w:tcW w:w="1627" w:type="pct"/>
            <w:shd w:val="clear" w:color="auto" w:fill="D9D9D9"/>
            <w:vAlign w:val="center"/>
          </w:tcPr>
          <w:p w:rsidR="00BA4E3C" w:rsidRDefault="00BA4E3C" w14:paraId="565A32D0"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BA4E3C" w:rsidRDefault="00D75735" w14:paraId="5D5C31F3" w14:textId="77777777">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$21,541</w:t>
            </w:r>
          </w:p>
        </w:tc>
      </w:tr>
    </w:tbl>
    <w:p w:rsidR="00BA4E3C" w:rsidRDefault="00BA4E3C" w14:paraId="3867E007" w14:textId="77777777">
      <w:pPr>
        <w:pStyle w:val="ListParagraph"/>
        <w:spacing w:after="0" w:line="240" w:lineRule="auto"/>
        <w:rPr>
          <w:rFonts w:ascii="Times New Roman" w:hAnsi="Times New Roman"/>
          <w:b/>
          <w:sz w:val="26"/>
          <w:szCs w:val="26"/>
        </w:rPr>
      </w:pPr>
    </w:p>
    <w:p w:rsidR="00BA4E3C" w:rsidRDefault="00D75735" w14:paraId="040A4783" w14:textId="77777777">
      <w:pPr>
        <w:pStyle w:val="FERCparanumber"/>
        <w:numPr>
          <w:ilvl w:val="0"/>
          <w:numId w:val="2"/>
        </w:numPr>
        <w:rPr>
          <w:b/>
          <w:szCs w:val="26"/>
        </w:rPr>
      </w:pPr>
      <w:r>
        <w:rPr>
          <w:b/>
          <w:szCs w:val="26"/>
        </w:rPr>
        <w:t>REASONS FOR CHANGES IN BURDEN INCLUDING THE NEED FOR ANY INCREASE</w:t>
      </w:r>
    </w:p>
    <w:p w:rsidR="00BA4E3C" w:rsidRDefault="00BA4E3C" w14:paraId="19660D56" w14:textId="77777777">
      <w:pPr>
        <w:pStyle w:val="FERCparanumber"/>
        <w:numPr>
          <w:ilvl w:val="0"/>
          <w:numId w:val="0"/>
        </w:numPr>
        <w:rPr>
          <w:b/>
          <w:szCs w:val="26"/>
        </w:rPr>
      </w:pPr>
    </w:p>
    <w:p w:rsidR="00BA4E3C" w:rsidRDefault="00D75735" w14:paraId="7B1A5E2D" w14:textId="77777777">
      <w:pPr>
        <w:rPr>
          <w:sz w:val="26"/>
          <w:szCs w:val="26"/>
        </w:rPr>
      </w:pPr>
      <w:r>
        <w:rPr>
          <w:sz w:val="26"/>
          <w:szCs w:val="26"/>
        </w:rPr>
        <w:t xml:space="preserve">There is a change in burden due to an influx in industry.  The estimated number of respondents has increased by 1 respondent and 60 hours annually.  </w:t>
      </w:r>
    </w:p>
    <w:p w:rsidR="00BA4E3C" w:rsidRDefault="00BA4E3C" w14:paraId="3D9BDE8E" w14:textId="77777777">
      <w:pPr>
        <w:widowControl/>
        <w:rPr>
          <w:sz w:val="26"/>
          <w:szCs w:val="26"/>
        </w:rPr>
      </w:pPr>
    </w:p>
    <w:p w:rsidR="00BA4E3C" w:rsidRDefault="00D75735" w14:paraId="1FB5D151" w14:textId="77777777">
      <w:pPr>
        <w:rPr>
          <w:sz w:val="26"/>
          <w:szCs w:val="26"/>
        </w:rPr>
      </w:pPr>
      <w:r>
        <w:rPr>
          <w:sz w:val="26"/>
          <w:szCs w:val="26"/>
        </w:rPr>
        <w:t>The following table shows the total burden for the collection of information.  The format, labels, and definitions of the table follow the ROCIS submission system’s “Information Collection Request Summary of Burden” for the metadata.</w:t>
      </w:r>
    </w:p>
    <w:p w:rsidR="00BA4E3C" w:rsidRDefault="00D75735" w14:paraId="1D2BE133" w14:textId="77777777">
      <w:pPr>
        <w:widowControl/>
        <w:tabs>
          <w:tab w:val="left" w:pos="2394"/>
        </w:tabs>
        <w:rPr>
          <w:sz w:val="26"/>
          <w:szCs w:val="26"/>
        </w:rPr>
      </w:pPr>
      <w:r>
        <w:rPr>
          <w:sz w:val="26"/>
          <w:szCs w:val="26"/>
        </w:rPr>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00BA4E3C" w14:paraId="6BFF15F0" w14:textId="77777777">
        <w:trPr>
          <w:trHeight w:val="870"/>
        </w:trPr>
        <w:tc>
          <w:tcPr>
            <w:tcW w:w="1442" w:type="pct"/>
            <w:shd w:val="clear" w:color="auto" w:fill="D9D9D9"/>
            <w:vAlign w:val="bottom"/>
          </w:tcPr>
          <w:p w:rsidR="00BA4E3C" w:rsidRDefault="00D75735" w14:paraId="376B3406" w14:textId="77777777">
            <w:pPr>
              <w:jc w:val="center"/>
              <w:rPr>
                <w:b/>
                <w:sz w:val="26"/>
                <w:szCs w:val="26"/>
              </w:rPr>
            </w:pPr>
            <w:r>
              <w:rPr>
                <w:b/>
                <w:sz w:val="26"/>
                <w:szCs w:val="26"/>
              </w:rPr>
              <w:t>FERC-574</w:t>
            </w:r>
          </w:p>
        </w:tc>
        <w:tc>
          <w:tcPr>
            <w:tcW w:w="829" w:type="pct"/>
            <w:shd w:val="clear" w:color="auto" w:fill="D9D9D9"/>
            <w:vAlign w:val="bottom"/>
          </w:tcPr>
          <w:p w:rsidR="00BA4E3C" w:rsidRDefault="00D75735" w14:paraId="26B7A37F" w14:textId="77777777">
            <w:pPr>
              <w:jc w:val="center"/>
              <w:rPr>
                <w:b/>
                <w:sz w:val="26"/>
                <w:szCs w:val="26"/>
              </w:rPr>
            </w:pPr>
            <w:r>
              <w:rPr>
                <w:b/>
                <w:sz w:val="26"/>
                <w:szCs w:val="26"/>
              </w:rPr>
              <w:t>Total Request</w:t>
            </w:r>
          </w:p>
        </w:tc>
        <w:tc>
          <w:tcPr>
            <w:tcW w:w="854" w:type="pct"/>
            <w:shd w:val="clear" w:color="auto" w:fill="D9D9D9"/>
            <w:vAlign w:val="bottom"/>
          </w:tcPr>
          <w:p w:rsidR="00BA4E3C" w:rsidRDefault="00D75735" w14:paraId="6E080664" w14:textId="77777777">
            <w:pPr>
              <w:jc w:val="center"/>
              <w:rPr>
                <w:b/>
                <w:sz w:val="26"/>
                <w:szCs w:val="26"/>
              </w:rPr>
            </w:pPr>
            <w:r>
              <w:rPr>
                <w:b/>
                <w:sz w:val="26"/>
                <w:szCs w:val="26"/>
              </w:rPr>
              <w:t>Previously Approved</w:t>
            </w:r>
          </w:p>
        </w:tc>
        <w:tc>
          <w:tcPr>
            <w:tcW w:w="1010" w:type="pct"/>
            <w:shd w:val="clear" w:color="auto" w:fill="D9D9D9"/>
            <w:vAlign w:val="bottom"/>
          </w:tcPr>
          <w:p w:rsidR="00BA4E3C" w:rsidRDefault="00D75735" w14:paraId="44EA2091" w14:textId="77777777">
            <w:pPr>
              <w:jc w:val="center"/>
              <w:rPr>
                <w:b/>
                <w:sz w:val="26"/>
                <w:szCs w:val="26"/>
              </w:rPr>
            </w:pPr>
            <w:r>
              <w:rPr>
                <w:b/>
                <w:sz w:val="26"/>
                <w:szCs w:val="26"/>
              </w:rPr>
              <w:t>Change due to Adjustment in Estimate</w:t>
            </w:r>
          </w:p>
        </w:tc>
        <w:tc>
          <w:tcPr>
            <w:tcW w:w="865" w:type="pct"/>
            <w:shd w:val="clear" w:color="auto" w:fill="D9D9D9"/>
            <w:vAlign w:val="bottom"/>
          </w:tcPr>
          <w:p w:rsidR="00BA4E3C" w:rsidRDefault="00D75735" w14:paraId="64F0266D" w14:textId="77777777">
            <w:pPr>
              <w:jc w:val="center"/>
              <w:rPr>
                <w:b/>
                <w:sz w:val="26"/>
                <w:szCs w:val="26"/>
              </w:rPr>
            </w:pPr>
            <w:r>
              <w:rPr>
                <w:b/>
                <w:sz w:val="26"/>
                <w:szCs w:val="26"/>
              </w:rPr>
              <w:t>Change Due to Agency Discretion</w:t>
            </w:r>
          </w:p>
        </w:tc>
      </w:tr>
      <w:tr w:rsidR="00BA4E3C" w14:paraId="0EF72911" w14:textId="77777777">
        <w:trPr>
          <w:trHeight w:val="591"/>
        </w:trPr>
        <w:tc>
          <w:tcPr>
            <w:tcW w:w="1442" w:type="pct"/>
            <w:shd w:val="clear" w:color="auto" w:fill="auto"/>
          </w:tcPr>
          <w:p w:rsidR="00BA4E3C" w:rsidRDefault="00D75735" w14:paraId="33F97912" w14:textId="77777777">
            <w:pPr>
              <w:jc w:val="center"/>
              <w:rPr>
                <w:sz w:val="26"/>
                <w:szCs w:val="26"/>
              </w:rPr>
            </w:pPr>
            <w:r>
              <w:rPr>
                <w:sz w:val="26"/>
                <w:szCs w:val="26"/>
              </w:rPr>
              <w:t>Annual Number of Responses</w:t>
            </w:r>
          </w:p>
        </w:tc>
        <w:tc>
          <w:tcPr>
            <w:tcW w:w="829" w:type="pct"/>
            <w:shd w:val="clear" w:color="auto" w:fill="auto"/>
            <w:vAlign w:val="center"/>
          </w:tcPr>
          <w:p w:rsidR="00BA4E3C" w:rsidRDefault="00D75735" w14:paraId="04A67C23" w14:textId="77777777">
            <w:pPr>
              <w:jc w:val="right"/>
              <w:rPr>
                <w:sz w:val="26"/>
                <w:szCs w:val="26"/>
              </w:rPr>
            </w:pPr>
            <w:r>
              <w:rPr>
                <w:sz w:val="26"/>
                <w:szCs w:val="26"/>
              </w:rPr>
              <w:t>2</w:t>
            </w:r>
          </w:p>
        </w:tc>
        <w:tc>
          <w:tcPr>
            <w:tcW w:w="854" w:type="pct"/>
            <w:shd w:val="clear" w:color="auto" w:fill="auto"/>
            <w:vAlign w:val="center"/>
          </w:tcPr>
          <w:p w:rsidR="00BA4E3C" w:rsidRDefault="00D75735" w14:paraId="01F500F8" w14:textId="77777777">
            <w:pPr>
              <w:jc w:val="right"/>
              <w:rPr>
                <w:sz w:val="26"/>
                <w:szCs w:val="26"/>
              </w:rPr>
            </w:pPr>
            <w:r>
              <w:rPr>
                <w:sz w:val="26"/>
                <w:szCs w:val="26"/>
              </w:rPr>
              <w:t>1</w:t>
            </w:r>
          </w:p>
        </w:tc>
        <w:tc>
          <w:tcPr>
            <w:tcW w:w="1010" w:type="pct"/>
            <w:shd w:val="clear" w:color="auto" w:fill="auto"/>
            <w:vAlign w:val="center"/>
          </w:tcPr>
          <w:p w:rsidR="00BA4E3C" w:rsidRDefault="00D75735" w14:paraId="2F32CAB0" w14:textId="77777777">
            <w:pPr>
              <w:jc w:val="right"/>
              <w:rPr>
                <w:sz w:val="26"/>
                <w:szCs w:val="26"/>
              </w:rPr>
            </w:pPr>
            <w:r>
              <w:rPr>
                <w:sz w:val="26"/>
                <w:szCs w:val="26"/>
              </w:rPr>
              <w:t>1</w:t>
            </w:r>
          </w:p>
        </w:tc>
        <w:tc>
          <w:tcPr>
            <w:tcW w:w="865" w:type="pct"/>
            <w:shd w:val="clear" w:color="auto" w:fill="auto"/>
            <w:vAlign w:val="center"/>
          </w:tcPr>
          <w:p w:rsidR="00BA4E3C" w:rsidRDefault="00D75735" w14:paraId="4A969C4E" w14:textId="77777777">
            <w:pPr>
              <w:jc w:val="right"/>
              <w:rPr>
                <w:sz w:val="26"/>
                <w:szCs w:val="26"/>
              </w:rPr>
            </w:pPr>
            <w:r>
              <w:rPr>
                <w:sz w:val="26"/>
                <w:szCs w:val="26"/>
              </w:rPr>
              <w:t>0</w:t>
            </w:r>
          </w:p>
        </w:tc>
      </w:tr>
      <w:tr w:rsidR="00BA4E3C" w14:paraId="5C2D879C" w14:textId="77777777">
        <w:trPr>
          <w:trHeight w:val="575"/>
        </w:trPr>
        <w:tc>
          <w:tcPr>
            <w:tcW w:w="1442" w:type="pct"/>
            <w:shd w:val="clear" w:color="auto" w:fill="auto"/>
          </w:tcPr>
          <w:p w:rsidR="00BA4E3C" w:rsidRDefault="00D75735" w14:paraId="3AEF24A7" w14:textId="77777777">
            <w:pPr>
              <w:jc w:val="center"/>
              <w:rPr>
                <w:sz w:val="26"/>
                <w:szCs w:val="26"/>
              </w:rPr>
            </w:pPr>
            <w:r>
              <w:rPr>
                <w:sz w:val="26"/>
                <w:szCs w:val="26"/>
              </w:rPr>
              <w:t>Annual Time Burden (Hours)</w:t>
            </w:r>
          </w:p>
        </w:tc>
        <w:tc>
          <w:tcPr>
            <w:tcW w:w="829" w:type="pct"/>
            <w:shd w:val="clear" w:color="auto" w:fill="auto"/>
            <w:vAlign w:val="center"/>
          </w:tcPr>
          <w:p w:rsidR="00BA4E3C" w:rsidRDefault="00D75735" w14:paraId="035DEC58" w14:textId="77777777">
            <w:pPr>
              <w:jc w:val="right"/>
              <w:rPr>
                <w:sz w:val="26"/>
                <w:szCs w:val="26"/>
              </w:rPr>
            </w:pPr>
            <w:r>
              <w:rPr>
                <w:sz w:val="26"/>
                <w:szCs w:val="26"/>
              </w:rPr>
              <w:t>120</w:t>
            </w:r>
          </w:p>
        </w:tc>
        <w:tc>
          <w:tcPr>
            <w:tcW w:w="854" w:type="pct"/>
            <w:shd w:val="clear" w:color="auto" w:fill="auto"/>
            <w:vAlign w:val="center"/>
          </w:tcPr>
          <w:p w:rsidR="00BA4E3C" w:rsidRDefault="00D75735" w14:paraId="45409EFF" w14:textId="77777777">
            <w:pPr>
              <w:jc w:val="right"/>
              <w:rPr>
                <w:sz w:val="26"/>
                <w:szCs w:val="26"/>
              </w:rPr>
            </w:pPr>
            <w:r>
              <w:rPr>
                <w:sz w:val="26"/>
                <w:szCs w:val="26"/>
              </w:rPr>
              <w:t>60</w:t>
            </w:r>
          </w:p>
        </w:tc>
        <w:tc>
          <w:tcPr>
            <w:tcW w:w="1010" w:type="pct"/>
            <w:shd w:val="clear" w:color="auto" w:fill="auto"/>
            <w:vAlign w:val="center"/>
          </w:tcPr>
          <w:p w:rsidR="00BA4E3C" w:rsidRDefault="00D75735" w14:paraId="5B206ADC" w14:textId="77777777">
            <w:pPr>
              <w:jc w:val="right"/>
              <w:rPr>
                <w:sz w:val="26"/>
                <w:szCs w:val="26"/>
              </w:rPr>
            </w:pPr>
            <w:r>
              <w:rPr>
                <w:sz w:val="26"/>
                <w:szCs w:val="26"/>
              </w:rPr>
              <w:t>60</w:t>
            </w:r>
          </w:p>
        </w:tc>
        <w:tc>
          <w:tcPr>
            <w:tcW w:w="865" w:type="pct"/>
            <w:shd w:val="clear" w:color="auto" w:fill="auto"/>
            <w:vAlign w:val="center"/>
          </w:tcPr>
          <w:p w:rsidR="00BA4E3C" w:rsidRDefault="00D75735" w14:paraId="05B06C0B" w14:textId="77777777">
            <w:pPr>
              <w:jc w:val="right"/>
              <w:rPr>
                <w:sz w:val="26"/>
                <w:szCs w:val="26"/>
              </w:rPr>
            </w:pPr>
            <w:r>
              <w:rPr>
                <w:sz w:val="26"/>
                <w:szCs w:val="26"/>
              </w:rPr>
              <w:t>0</w:t>
            </w:r>
          </w:p>
        </w:tc>
      </w:tr>
      <w:tr w:rsidR="00BA4E3C" w14:paraId="5797147C" w14:textId="77777777">
        <w:trPr>
          <w:trHeight w:val="295"/>
        </w:trPr>
        <w:tc>
          <w:tcPr>
            <w:tcW w:w="1442" w:type="pct"/>
            <w:tcBorders>
              <w:bottom w:val="single" w:color="auto" w:sz="4" w:space="0"/>
            </w:tcBorders>
            <w:shd w:val="clear" w:color="auto" w:fill="auto"/>
          </w:tcPr>
          <w:p w:rsidR="00BA4E3C" w:rsidRDefault="00D75735" w14:paraId="59B84C8E" w14:textId="77777777">
            <w:pPr>
              <w:jc w:val="center"/>
              <w:rPr>
                <w:sz w:val="26"/>
                <w:szCs w:val="26"/>
              </w:rPr>
            </w:pPr>
            <w:r>
              <w:rPr>
                <w:sz w:val="26"/>
                <w:szCs w:val="26"/>
              </w:rPr>
              <w:t>Annual Cost Burden ($)</w:t>
            </w:r>
          </w:p>
        </w:tc>
        <w:tc>
          <w:tcPr>
            <w:tcW w:w="829" w:type="pct"/>
            <w:tcBorders>
              <w:bottom w:val="single" w:color="auto" w:sz="4" w:space="0"/>
            </w:tcBorders>
            <w:shd w:val="clear" w:color="auto" w:fill="auto"/>
            <w:vAlign w:val="center"/>
          </w:tcPr>
          <w:p w:rsidR="00BA4E3C" w:rsidRDefault="00D75735" w14:paraId="0E5DB81C" w14:textId="77777777">
            <w:pPr>
              <w:jc w:val="right"/>
              <w:rPr>
                <w:sz w:val="26"/>
                <w:szCs w:val="26"/>
              </w:rPr>
            </w:pPr>
            <w:r>
              <w:rPr>
                <w:sz w:val="26"/>
                <w:szCs w:val="26"/>
              </w:rPr>
              <w:t>$0</w:t>
            </w:r>
          </w:p>
        </w:tc>
        <w:tc>
          <w:tcPr>
            <w:tcW w:w="854" w:type="pct"/>
            <w:tcBorders>
              <w:bottom w:val="single" w:color="auto" w:sz="4" w:space="0"/>
            </w:tcBorders>
            <w:shd w:val="clear" w:color="auto" w:fill="auto"/>
            <w:vAlign w:val="center"/>
          </w:tcPr>
          <w:p w:rsidR="00BA4E3C" w:rsidRDefault="00D75735" w14:paraId="3C6CB974" w14:textId="77777777">
            <w:pPr>
              <w:jc w:val="right"/>
              <w:rPr>
                <w:sz w:val="26"/>
                <w:szCs w:val="26"/>
              </w:rPr>
            </w:pPr>
            <w:r>
              <w:rPr>
                <w:sz w:val="26"/>
                <w:szCs w:val="26"/>
              </w:rPr>
              <w:t>$0</w:t>
            </w:r>
          </w:p>
        </w:tc>
        <w:tc>
          <w:tcPr>
            <w:tcW w:w="1010" w:type="pct"/>
            <w:tcBorders>
              <w:bottom w:val="single" w:color="auto" w:sz="4" w:space="0"/>
            </w:tcBorders>
            <w:shd w:val="clear" w:color="auto" w:fill="auto"/>
            <w:vAlign w:val="center"/>
          </w:tcPr>
          <w:p w:rsidR="00BA4E3C" w:rsidRDefault="00D75735" w14:paraId="32136238" w14:textId="77777777">
            <w:pPr>
              <w:jc w:val="right"/>
              <w:rPr>
                <w:sz w:val="26"/>
                <w:szCs w:val="26"/>
              </w:rPr>
            </w:pPr>
            <w:r>
              <w:rPr>
                <w:sz w:val="26"/>
                <w:szCs w:val="26"/>
              </w:rPr>
              <w:t>$0</w:t>
            </w:r>
          </w:p>
        </w:tc>
        <w:tc>
          <w:tcPr>
            <w:tcW w:w="865" w:type="pct"/>
            <w:tcBorders>
              <w:bottom w:val="single" w:color="auto" w:sz="4" w:space="0"/>
            </w:tcBorders>
            <w:shd w:val="clear" w:color="auto" w:fill="auto"/>
            <w:vAlign w:val="center"/>
          </w:tcPr>
          <w:p w:rsidR="00BA4E3C" w:rsidRDefault="00D75735" w14:paraId="2CABD856" w14:textId="77777777">
            <w:pPr>
              <w:jc w:val="right"/>
              <w:rPr>
                <w:sz w:val="26"/>
                <w:szCs w:val="26"/>
              </w:rPr>
            </w:pPr>
            <w:r>
              <w:rPr>
                <w:sz w:val="26"/>
                <w:szCs w:val="26"/>
              </w:rPr>
              <w:t>$0</w:t>
            </w:r>
          </w:p>
        </w:tc>
      </w:tr>
    </w:tbl>
    <w:p w:rsidR="00BA4E3C" w:rsidRDefault="00BA4E3C" w14:paraId="59F9D08E" w14:textId="77777777">
      <w:pPr>
        <w:widowControl/>
        <w:rPr>
          <w:b/>
          <w:sz w:val="26"/>
          <w:szCs w:val="26"/>
        </w:rPr>
      </w:pPr>
    </w:p>
    <w:p w:rsidR="00BA4E3C" w:rsidRDefault="00BA4E3C" w14:paraId="5FC2CCEC" w14:textId="77777777">
      <w:pPr>
        <w:pStyle w:val="FERCparanumber"/>
        <w:numPr>
          <w:ilvl w:val="0"/>
          <w:numId w:val="0"/>
        </w:numPr>
        <w:rPr>
          <w:b/>
          <w:szCs w:val="26"/>
        </w:rPr>
      </w:pPr>
    </w:p>
    <w:p w:rsidR="00BA4E3C" w:rsidRDefault="00D75735" w14:paraId="4F3C64CE" w14:textId="77777777">
      <w:pPr>
        <w:pStyle w:val="FERCparanumber"/>
        <w:numPr>
          <w:ilvl w:val="0"/>
          <w:numId w:val="2"/>
        </w:numPr>
        <w:rPr>
          <w:b/>
          <w:szCs w:val="26"/>
        </w:rPr>
      </w:pPr>
      <w:r>
        <w:rPr>
          <w:b/>
          <w:szCs w:val="26"/>
        </w:rPr>
        <w:t>TIME SCHEDULE FOR PUBLICATION OF DATA</w:t>
      </w:r>
    </w:p>
    <w:p w:rsidR="00BA4E3C" w:rsidRDefault="00BA4E3C" w14:paraId="5AF42254" w14:textId="77777777">
      <w:pPr>
        <w:pStyle w:val="FERCparanumber"/>
        <w:numPr>
          <w:ilvl w:val="0"/>
          <w:numId w:val="0"/>
        </w:numPr>
        <w:rPr>
          <w:b/>
          <w:szCs w:val="26"/>
        </w:rPr>
      </w:pPr>
    </w:p>
    <w:p w:rsidR="00BA4E3C" w:rsidRDefault="00D75735" w14:paraId="62D5D524" w14:textId="77777777">
      <w:pPr>
        <w:widowControl/>
        <w:rPr>
          <w:sz w:val="26"/>
          <w:szCs w:val="26"/>
        </w:rPr>
      </w:pPr>
      <w:r>
        <w:rPr>
          <w:sz w:val="26"/>
          <w:szCs w:val="26"/>
        </w:rPr>
        <w:t>There is no publication of data associated with FERC-574 information collection.</w:t>
      </w:r>
    </w:p>
    <w:p w:rsidR="00BA4E3C" w:rsidRDefault="00BA4E3C" w14:paraId="405EC41C" w14:textId="77777777">
      <w:pPr>
        <w:pStyle w:val="FERCparanumber"/>
        <w:numPr>
          <w:ilvl w:val="0"/>
          <w:numId w:val="0"/>
        </w:numPr>
        <w:rPr>
          <w:b/>
          <w:szCs w:val="26"/>
        </w:rPr>
      </w:pPr>
    </w:p>
    <w:p w:rsidR="00BA4E3C" w:rsidRDefault="00D75735" w14:paraId="0E962D95" w14:textId="77777777">
      <w:pPr>
        <w:pStyle w:val="FERCparanumber"/>
        <w:numPr>
          <w:ilvl w:val="0"/>
          <w:numId w:val="2"/>
        </w:numPr>
        <w:rPr>
          <w:b/>
          <w:szCs w:val="26"/>
        </w:rPr>
      </w:pPr>
      <w:r>
        <w:rPr>
          <w:b/>
          <w:szCs w:val="26"/>
        </w:rPr>
        <w:t>DISPLAY OF EXPIRATION DATE</w:t>
      </w:r>
    </w:p>
    <w:p w:rsidR="00BA4E3C" w:rsidRDefault="00BA4E3C" w14:paraId="325F6494" w14:textId="77777777">
      <w:pPr>
        <w:pStyle w:val="FERCparanumber"/>
        <w:numPr>
          <w:ilvl w:val="0"/>
          <w:numId w:val="0"/>
        </w:numPr>
        <w:rPr>
          <w:b/>
          <w:szCs w:val="26"/>
        </w:rPr>
      </w:pPr>
    </w:p>
    <w:p w:rsidR="00BA4E3C" w:rsidRDefault="00D75735" w14:paraId="10A24521" w14:textId="77777777">
      <w:pPr>
        <w:rPr>
          <w:sz w:val="26"/>
          <w:szCs w:val="26"/>
        </w:rPr>
      </w:pPr>
      <w:r>
        <w:rPr>
          <w:sz w:val="26"/>
          <w:szCs w:val="26"/>
        </w:rPr>
        <w:t xml:space="preserve">The expiration dates are available on ferc.gov at  </w:t>
      </w:r>
      <w:hyperlink w:history="1" r:id="rId14">
        <w:r>
          <w:rPr>
            <w:rStyle w:val="Hyperlink"/>
            <w:sz w:val="26"/>
            <w:szCs w:val="26"/>
          </w:rPr>
          <w:t>http://www.ferc.gov/docs-filing/info-collections.asp</w:t>
        </w:r>
      </w:hyperlink>
      <w:r>
        <w:rPr>
          <w:sz w:val="26"/>
          <w:szCs w:val="26"/>
        </w:rPr>
        <w:t>.</w:t>
      </w:r>
    </w:p>
    <w:p w:rsidR="00BA4E3C" w:rsidRDefault="00BA4E3C" w14:paraId="3C42C1C7" w14:textId="77777777">
      <w:pPr>
        <w:pStyle w:val="FERCparanumber"/>
        <w:numPr>
          <w:ilvl w:val="0"/>
          <w:numId w:val="0"/>
        </w:numPr>
        <w:rPr>
          <w:b/>
          <w:szCs w:val="26"/>
        </w:rPr>
      </w:pPr>
    </w:p>
    <w:p w:rsidR="00BA4E3C" w:rsidRDefault="00D75735" w14:paraId="6810D15F" w14:textId="77777777">
      <w:pPr>
        <w:widowControl/>
        <w:numPr>
          <w:ilvl w:val="0"/>
          <w:numId w:val="2"/>
        </w:numPr>
        <w:ind w:hanging="720"/>
        <w:rPr>
          <w:b/>
          <w:sz w:val="26"/>
          <w:szCs w:val="26"/>
        </w:rPr>
      </w:pPr>
      <w:r>
        <w:rPr>
          <w:b/>
          <w:sz w:val="26"/>
          <w:szCs w:val="26"/>
        </w:rPr>
        <w:t>EXCEPTIONS TO THE CERTIFICATION STATEMENT</w:t>
      </w:r>
    </w:p>
    <w:p w:rsidR="00BA4E3C" w:rsidRDefault="00BA4E3C" w14:paraId="683D20CC" w14:textId="77777777">
      <w:pPr>
        <w:widowControl/>
        <w:ind w:left="720"/>
        <w:rPr>
          <w:b/>
          <w:sz w:val="26"/>
          <w:szCs w:val="26"/>
        </w:rPr>
      </w:pPr>
    </w:p>
    <w:p w:rsidR="00BA4E3C" w:rsidRDefault="00D75735" w14:paraId="0C20128C" w14:textId="77777777">
      <w:pPr>
        <w:widowControl/>
        <w:rPr>
          <w:sz w:val="26"/>
          <w:szCs w:val="26"/>
        </w:rPr>
      </w:pPr>
      <w:r>
        <w:rPr>
          <w:sz w:val="26"/>
          <w:szCs w:val="26"/>
        </w:rPr>
        <w:t>There are no exceptions.</w:t>
      </w:r>
    </w:p>
    <w:p w:rsidR="00BA4E3C" w:rsidRDefault="00BA4E3C" w14:paraId="45742F92" w14:textId="77777777">
      <w:pPr>
        <w:rPr>
          <w:sz w:val="26"/>
          <w:szCs w:val="26"/>
        </w:rPr>
      </w:pPr>
    </w:p>
    <w:sectPr w:rsidR="00BA4E3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727B" w14:textId="77777777" w:rsidR="006449E1" w:rsidRDefault="006449E1">
      <w:r>
        <w:separator/>
      </w:r>
    </w:p>
  </w:endnote>
  <w:endnote w:type="continuationSeparator" w:id="0">
    <w:p w14:paraId="1DC0E226" w14:textId="77777777" w:rsidR="006449E1" w:rsidRDefault="0064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02A57" w14:textId="77777777" w:rsidR="00BA4E3C" w:rsidRDefault="00BA4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28FD" w14:textId="77777777" w:rsidR="00BA4E3C" w:rsidRDefault="00D75735">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p w14:paraId="0A5050EC" w14:textId="77777777" w:rsidR="00BA4E3C" w:rsidRDefault="00BA4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72E8" w14:textId="77777777" w:rsidR="00BA4E3C" w:rsidRDefault="00BA4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FBCE4" w14:textId="77777777" w:rsidR="006449E1" w:rsidRDefault="006449E1">
      <w:r>
        <w:separator/>
      </w:r>
    </w:p>
  </w:footnote>
  <w:footnote w:type="continuationSeparator" w:id="0">
    <w:p w14:paraId="75795208" w14:textId="77777777" w:rsidR="006449E1" w:rsidRDefault="006449E1">
      <w:r>
        <w:continuationSeparator/>
      </w:r>
    </w:p>
  </w:footnote>
  <w:footnote w:id="1">
    <w:p w14:paraId="55231FB8" w14:textId="77777777" w:rsidR="00BA4E3C" w:rsidRDefault="00D75735">
      <w:pPr>
        <w:pStyle w:val="FootnoteText"/>
        <w:rPr>
          <w:sz w:val="26"/>
          <w:szCs w:val="26"/>
        </w:rPr>
      </w:pPr>
      <w:r>
        <w:rPr>
          <w:rStyle w:val="FootnoteReference"/>
        </w:rPr>
        <w:footnoteRef/>
      </w:r>
      <w:r>
        <w:t xml:space="preserve"> </w:t>
      </w:r>
      <w:r>
        <w:rPr>
          <w:sz w:val="26"/>
          <w:szCs w:val="26"/>
        </w:rPr>
        <w:t>An Emergency Extension was requested by FERC to OMB on information collection FERC-574.  OMB granted the emergency on 12/19/2019, extending the expiration date to 03/31/2020.</w:t>
      </w:r>
    </w:p>
  </w:footnote>
  <w:footnote w:id="2">
    <w:p w14:paraId="3F84C244" w14:textId="77777777" w:rsidR="00BA4E3C" w:rsidRDefault="00D75735">
      <w:pPr>
        <w:pStyle w:val="FootnoteText"/>
      </w:pPr>
      <w:r>
        <w:rPr>
          <w:rStyle w:val="FootnoteReference"/>
          <w:b/>
          <w:vertAlign w:val="superscript"/>
        </w:rPr>
        <w:footnoteRef/>
      </w:r>
      <w:r>
        <w:rPr>
          <w:vertAlign w:val="superscript"/>
        </w:rPr>
        <w:t xml:space="preserve"> </w:t>
      </w:r>
      <w:r>
        <w:rPr>
          <w:sz w:val="26"/>
          <w:szCs w:val="26"/>
        </w:rPr>
        <w:t>84 FR 65148</w:t>
      </w:r>
    </w:p>
  </w:footnote>
  <w:footnote w:id="3">
    <w:p w14:paraId="631D7E2C" w14:textId="77777777" w:rsidR="00BA4E3C" w:rsidRDefault="00D75735">
      <w:pPr>
        <w:pStyle w:val="FootnoteText"/>
        <w:rPr>
          <w:sz w:val="26"/>
          <w:szCs w:val="26"/>
        </w:rPr>
      </w:pPr>
      <w:r>
        <w:rPr>
          <w:rStyle w:val="FootnoteReference"/>
        </w:rPr>
        <w:footnoteRef/>
      </w:r>
      <w:r>
        <w:t xml:space="preserve"> </w:t>
      </w:r>
      <w:r>
        <w:rPr>
          <w:sz w:val="26"/>
          <w:szCs w:val="26"/>
        </w:rPr>
        <w:t>85 FR 8853</w:t>
      </w:r>
    </w:p>
  </w:footnote>
  <w:footnote w:id="4">
    <w:p w14:paraId="7D7E4528" w14:textId="77777777" w:rsidR="00BA4E3C" w:rsidRDefault="00D75735">
      <w:pPr>
        <w:pStyle w:val="FootnoteText"/>
        <w:rPr>
          <w:sz w:val="26"/>
          <w:szCs w:val="26"/>
        </w:rPr>
      </w:pPr>
      <w:r>
        <w:rPr>
          <w:rStyle w:val="FootnoteReference"/>
        </w:rPr>
        <w:footnoteRef/>
      </w:r>
      <w:r>
        <w:rPr>
          <w:sz w:val="26"/>
          <w:szCs w:val="26"/>
          <w:vertAlign w:val="superscript"/>
        </w:rPr>
        <w:t xml:space="preserve"> </w:t>
      </w:r>
      <w:r>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5">
    <w:p w14:paraId="7030144D" w14:textId="77777777" w:rsidR="00BA4E3C" w:rsidRDefault="00D75735">
      <w:pPr>
        <w:pStyle w:val="FootnoteText"/>
        <w:rPr>
          <w:sz w:val="26"/>
          <w:szCs w:val="26"/>
        </w:rPr>
      </w:pPr>
      <w:r>
        <w:rPr>
          <w:rStyle w:val="FootnoteReference"/>
        </w:rPr>
        <w:footnoteRef/>
      </w:r>
      <w:r>
        <w:rPr>
          <w:sz w:val="26"/>
          <w:szCs w:val="26"/>
        </w:rPr>
        <w:t xml:space="preserve"> Commission staff estimates that the industry’s skill set and cost (for wages and benefits) for FERC-574 are approximately the same as the Commission’s average cost.  The FERC 2019 average salary plus benefits for one FERC full-time equivalent (FTE) is $167,091/year (or $80.00/hour).  </w:t>
      </w:r>
    </w:p>
    <w:p w14:paraId="7F87C914" w14:textId="77777777" w:rsidR="00BA4E3C" w:rsidRDefault="00BA4E3C">
      <w:pPr>
        <w:pStyle w:val="FootnoteText"/>
        <w:rPr>
          <w:sz w:val="26"/>
          <w:szCs w:val="26"/>
        </w:rPr>
      </w:pPr>
    </w:p>
  </w:footnote>
  <w:footnote w:id="6">
    <w:p w14:paraId="1739EEE4" w14:textId="77777777" w:rsidR="00BA4E3C" w:rsidRDefault="00D75735">
      <w:pPr>
        <w:rPr>
          <w:sz w:val="26"/>
          <w:szCs w:val="26"/>
        </w:rPr>
      </w:pPr>
      <w:r>
        <w:rPr>
          <w:rStyle w:val="FootnoteReference"/>
          <w:b/>
          <w:sz w:val="20"/>
          <w:szCs w:val="20"/>
          <w:vertAlign w:val="superscript"/>
        </w:rPr>
        <w:footnoteRef/>
      </w:r>
      <w:r>
        <w:rPr>
          <w:b/>
          <w:sz w:val="20"/>
          <w:szCs w:val="20"/>
        </w:rPr>
        <w:t xml:space="preserve"> </w:t>
      </w:r>
      <w:r>
        <w:rPr>
          <w:sz w:val="26"/>
          <w:szCs w:val="26"/>
        </w:rPr>
        <w:t>Based upon 2019 FTE average annual salary plus benefits ($167,091).</w:t>
      </w:r>
    </w:p>
  </w:footnote>
  <w:footnote w:id="7">
    <w:p w14:paraId="248E6697" w14:textId="77777777" w:rsidR="00BA4E3C" w:rsidRDefault="00D75735">
      <w:pPr>
        <w:pStyle w:val="FootnoteText"/>
        <w:rPr>
          <w:sz w:val="26"/>
          <w:szCs w:val="26"/>
        </w:rPr>
      </w:pPr>
      <w:r>
        <w:rPr>
          <w:rStyle w:val="FootnoteReference"/>
          <w:b/>
          <w:sz w:val="26"/>
          <w:szCs w:val="26"/>
          <w:vertAlign w:val="superscript"/>
        </w:rPr>
        <w:footnoteRef/>
      </w:r>
      <w:r>
        <w:rPr>
          <w:sz w:val="26"/>
          <w:szCs w:val="26"/>
          <w:vertAlign w:val="superscript"/>
        </w:rPr>
        <w:t xml:space="preserve"> </w:t>
      </w:r>
      <w:r>
        <w:rPr>
          <w:sz w:val="26"/>
          <w:szCs w:val="26"/>
        </w:rPr>
        <w:t>Paperwork Reduction Act of 1995 (PRA).</w:t>
      </w:r>
    </w:p>
  </w:footnote>
  <w:footnote w:id="8">
    <w:p w14:paraId="06026675" w14:textId="77777777" w:rsidR="00BA4E3C" w:rsidRDefault="00D75735">
      <w:pPr>
        <w:pStyle w:val="FootnoteText"/>
        <w:rPr>
          <w:sz w:val="26"/>
          <w:szCs w:val="26"/>
        </w:rPr>
      </w:pPr>
      <w:r>
        <w:rPr>
          <w:rStyle w:val="FootnoteReference"/>
          <w:b/>
          <w:sz w:val="26"/>
          <w:szCs w:val="26"/>
          <w:vertAlign w:val="superscript"/>
        </w:rPr>
        <w:footnoteRef/>
      </w:r>
      <w:r>
        <w:rPr>
          <w:sz w:val="26"/>
          <w:szCs w:val="26"/>
          <w:vertAlign w:val="superscript"/>
        </w:rPr>
        <w:t xml:space="preserve"> </w:t>
      </w:r>
      <w:r>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917A6" w14:textId="77777777" w:rsidR="00BA4E3C" w:rsidRDefault="00BA4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11A9" w14:textId="6A08D9B7" w:rsidR="00BA4E3C" w:rsidRDefault="00D75735">
    <w:pPr>
      <w:pStyle w:val="Header"/>
    </w:pPr>
    <w:r>
      <w:t>FERC-574 (OMB Control No. 1902-0116)</w:t>
    </w:r>
  </w:p>
  <w:p w14:paraId="70952BA7" w14:textId="23281D9F" w:rsidR="008F4978" w:rsidRDefault="008F4978">
    <w:pPr>
      <w:pStyle w:val="Header"/>
    </w:pPr>
    <w:r>
      <w:t>(updated 4/15/2020)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75115" w14:textId="77777777" w:rsidR="00BA4E3C" w:rsidRDefault="00D75735">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3C"/>
    <w:rsid w:val="0003224D"/>
    <w:rsid w:val="00142CEB"/>
    <w:rsid w:val="00146A51"/>
    <w:rsid w:val="006449E1"/>
    <w:rsid w:val="008F4978"/>
    <w:rsid w:val="00A34970"/>
    <w:rsid w:val="00BA4E3C"/>
    <w:rsid w:val="00BD2B83"/>
    <w:rsid w:val="00BE189A"/>
    <w:rsid w:val="00D7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5C98D"/>
  <w15:chartTrackingRefBased/>
  <w15:docId w15:val="{DBB1DD85-CDE5-4DBC-ACB3-B0B35FFA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uiPriority w:val="99"/>
    <w:qFormat/>
    <w:rPr>
      <w:sz w:val="20"/>
      <w:szCs w:val="20"/>
    </w:rPr>
  </w:style>
  <w:style w:type="character" w:customStyle="1" w:styleId="FootnoteTextChar">
    <w:name w:val="Footnote Text Char"/>
    <w:basedOn w:val="DefaultParagraphFont"/>
    <w:uiPriority w:val="99"/>
    <w:semiHidden/>
    <w:rPr>
      <w:rFonts w:ascii="Times New Roman" w:eastAsia="Times New Roman" w:hAnsi="Times New Roman" w:cs="Times New Roman"/>
      <w:sz w:val="20"/>
      <w:szCs w:val="20"/>
    </w:rPr>
  </w:style>
  <w:style w:type="paragraph" w:customStyle="1" w:styleId="FERCparanumber">
    <w:name w:val="FERC paranumber"/>
    <w:basedOn w:val="Normal"/>
    <w:link w:val="FERCparanumberChar"/>
    <w:uiPriority w:val="99"/>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Pr>
      <w:rFonts w:ascii="Times New Roman" w:eastAsia="Times New Roman" w:hAnsi="Times New Roman" w:cs="Times New Roman"/>
      <w:sz w:val="20"/>
      <w:szCs w:val="20"/>
    </w:rPr>
  </w:style>
  <w:style w:type="character" w:customStyle="1" w:styleId="FERCparanumberChar">
    <w:name w:val="FERC paranumber Char"/>
    <w:link w:val="FERCparanumber"/>
    <w:uiPriority w:val="99"/>
    <w:rPr>
      <w:rFonts w:ascii="Times New Roman" w:eastAsia="Times New Roman" w:hAnsi="Times New Roman" w:cs="Times New Roman"/>
      <w:sz w:val="26"/>
      <w:szCs w:val="24"/>
    </w:rPr>
  </w:style>
  <w:style w:type="character" w:styleId="Hyperlink">
    <w:name w:val="Hyperlink"/>
    <w:rPr>
      <w:color w:val="0000FF"/>
      <w:u w:val="single"/>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rmalWeb">
    <w:name w:val="Normal (Web)"/>
    <w:basedOn w:val="Normal"/>
    <w:uiPriority w:val="99"/>
    <w:semiHidden/>
    <w:unhideWhenUsed/>
    <w:rsid w:val="00A34970"/>
    <w:pPr>
      <w:widowControl/>
      <w:autoSpaceDE/>
      <w:autoSpaceDN/>
      <w:adjustRightInd/>
      <w:spacing w:before="100" w:beforeAutospacing="1" w:after="100" w:afterAutospacing="1"/>
    </w:pPr>
  </w:style>
  <w:style w:type="paragraph" w:customStyle="1" w:styleId="psection-1">
    <w:name w:val="psection-1"/>
    <w:basedOn w:val="Normal"/>
    <w:rsid w:val="00A34970"/>
    <w:pPr>
      <w:widowControl/>
      <w:autoSpaceDE/>
      <w:autoSpaceDN/>
      <w:adjustRightInd/>
      <w:spacing w:before="100" w:beforeAutospacing="1" w:after="100" w:afterAutospacing="1"/>
    </w:pPr>
  </w:style>
  <w:style w:type="character" w:customStyle="1" w:styleId="enumxml">
    <w:name w:val="enumxml"/>
    <w:basedOn w:val="DefaultParagraphFont"/>
    <w:rsid w:val="00A34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81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574</_x0031__x002e__x0020_Collection_x0020_Number>
    <Date xmlns="d6eefc7d-9817-4fa6-84d5-3bc009be21b8">2020-04-15T04:00:00+00:00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IC20-3</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4B17A-21E3-4EF3-BEBF-876D27C2A2FD}">
  <ds:schemaRefs>
    <ds:schemaRef ds:uri="Microsoft.SharePoint.Taxonomy.ContentTypeSync"/>
  </ds:schemaRefs>
</ds:datastoreItem>
</file>

<file path=customXml/itemProps2.xml><?xml version="1.0" encoding="utf-8"?>
<ds:datastoreItem xmlns:ds="http://schemas.openxmlformats.org/officeDocument/2006/customXml" ds:itemID="{69BBD21C-C014-4AC4-BB01-EC4C73BB0145}">
  <ds:schemaRefs>
    <ds:schemaRef ds:uri="http://schemas.microsoft.com/office/2006/metadata/customXsn"/>
  </ds:schemaRefs>
</ds:datastoreItem>
</file>

<file path=customXml/itemProps3.xml><?xml version="1.0" encoding="utf-8"?>
<ds:datastoreItem xmlns:ds="http://schemas.openxmlformats.org/officeDocument/2006/customXml" ds:itemID="{390A58B5-544C-42C5-B30F-81DD18CFD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0AF6B-3FC1-4CF1-AF67-ABA82AE8F265}">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B252A478-79F9-40C6-AB5B-2EA34FA5BFFC}">
  <ds:schemaRefs>
    <ds:schemaRef ds:uri="http://schemas.microsoft.com/sharepoint/v3/contenttype/forms"/>
  </ds:schemaRefs>
</ds:datastoreItem>
</file>

<file path=customXml/itemProps6.xml><?xml version="1.0" encoding="utf-8"?>
<ds:datastoreItem xmlns:ds="http://schemas.openxmlformats.org/officeDocument/2006/customXml" ds:itemID="{4CE48832-191B-4AAB-AF49-B1C74461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Gas Pipeline Certificate: Hinshaw Exemptions</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Pipeline Certificate: Hinshaw Exemptions</dc:title>
  <dc:subject/>
  <dc:creator>Michele Chambers</dc:creator>
  <cp:keywords/>
  <dc:description/>
  <cp:lastModifiedBy>Michele Chambers</cp:lastModifiedBy>
  <cp:revision>3</cp:revision>
  <dcterms:created xsi:type="dcterms:W3CDTF">2020-04-15T16:06:00Z</dcterms:created>
  <dcterms:modified xsi:type="dcterms:W3CDTF">2020-04-15T16:08:00Z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