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45467" w:rsidR="00745467" w:rsidP="00745467" w:rsidRDefault="00745467">
      <w:pPr>
        <w:spacing w:after="0" w:line="240" w:lineRule="auto"/>
        <w:rPr>
          <w:rFonts w:ascii="Arial" w:hAnsi="Arial" w:eastAsia="Times New Roman" w:cs="Arial"/>
          <w:color w:val="32434F"/>
        </w:rPr>
      </w:pPr>
      <w:bookmarkStart w:name="hl1" w:id="0"/>
      <w:r w:rsidRPr="00745467">
        <w:rPr>
          <w:rFonts w:ascii="Arial" w:hAnsi="Arial" w:eastAsia="Times New Roman" w:cs="Arial"/>
          <w:b/>
          <w:bCs/>
          <w:color w:val="000000"/>
          <w:shd w:val="clear" w:color="auto" w:fill="FFFF00"/>
        </w:rPr>
        <w:t>15 USC</w:t>
      </w:r>
      <w:bookmarkEnd w:id="0"/>
      <w:r w:rsidRPr="00745467">
        <w:rPr>
          <w:rFonts w:ascii="Arial" w:hAnsi="Arial" w:eastAsia="Times New Roman" w:cs="Arial"/>
          <w:b/>
          <w:bCs/>
          <w:color w:val="32434F"/>
        </w:rPr>
        <w:t xml:space="preserve"> 717o: Administrative powers of Commission; rules, regulations, and orders</w:t>
      </w:r>
      <w:r w:rsidRPr="00745467">
        <w:rPr>
          <w:rFonts w:ascii="Arial" w:hAnsi="Arial" w:eastAsia="Times New Roman" w:cs="Arial"/>
          <w:color w:val="32434F"/>
        </w:rPr>
        <w:t xml:space="preserve"> Text contains those laws in effect on February 10, 2020 </w:t>
      </w:r>
    </w:p>
    <w:p w:rsidRPr="00745467" w:rsidR="00745467" w:rsidP="00745467" w:rsidRDefault="00745467">
      <w:pPr>
        <w:spacing w:after="0" w:line="240" w:lineRule="auto"/>
        <w:rPr>
          <w:rFonts w:ascii="Arial" w:hAnsi="Arial" w:eastAsia="Times New Roman" w:cs="Arial"/>
          <w:color w:val="32434F"/>
        </w:rPr>
      </w:pPr>
      <w:r w:rsidRPr="00745467">
        <w:rPr>
          <w:rFonts w:ascii="Arial" w:hAnsi="Arial" w:eastAsia="Times New Roman" w:cs="Arial"/>
          <w:b/>
          <w:bCs/>
          <w:color w:val="000000"/>
        </w:rPr>
        <w:t xml:space="preserve">From Title </w:t>
      </w:r>
      <w:bookmarkStart w:name="hl2" w:id="1"/>
      <w:r w:rsidRPr="00745467">
        <w:rPr>
          <w:rFonts w:ascii="Arial" w:hAnsi="Arial" w:eastAsia="Times New Roman" w:cs="Arial"/>
          <w:b/>
          <w:bCs/>
          <w:color w:val="000000"/>
          <w:shd w:val="clear" w:color="auto" w:fill="FFFF00"/>
        </w:rPr>
        <w:t>15</w:t>
      </w:r>
      <w:bookmarkEnd w:id="1"/>
      <w:r w:rsidRPr="00745467">
        <w:rPr>
          <w:rFonts w:ascii="Arial" w:hAnsi="Arial" w:eastAsia="Times New Roman" w:cs="Arial"/>
          <w:b/>
          <w:bCs/>
          <w:color w:val="000000"/>
        </w:rPr>
        <w:t>-COMMERCE AND TRADE</w:t>
      </w:r>
      <w:r w:rsidRPr="00745467">
        <w:rPr>
          <w:rFonts w:ascii="Arial" w:hAnsi="Arial" w:eastAsia="Times New Roman" w:cs="Arial"/>
          <w:color w:val="000000"/>
        </w:rPr>
        <w:t>CHAPTER 15B-NATURAL GAS</w:t>
      </w:r>
      <w:r w:rsidRPr="00745467">
        <w:rPr>
          <w:rFonts w:ascii="Arial" w:hAnsi="Arial" w:eastAsia="Times New Roman" w:cs="Arial"/>
          <w:color w:val="32434F"/>
        </w:rPr>
        <w:t xml:space="preserve"> </w:t>
      </w:r>
    </w:p>
    <w:p w:rsidRPr="00745467" w:rsidR="00745467" w:rsidP="00745467" w:rsidRDefault="00745467">
      <w:pPr>
        <w:spacing w:after="0" w:line="240" w:lineRule="auto"/>
        <w:rPr>
          <w:rFonts w:ascii="Arial" w:hAnsi="Arial" w:eastAsia="Times New Roman" w:cs="Arial"/>
          <w:color w:val="32434F"/>
        </w:rPr>
      </w:pPr>
      <w:r w:rsidRPr="00745467">
        <w:rPr>
          <w:rFonts w:ascii="Arial" w:hAnsi="Arial" w:eastAsia="Times New Roman" w:cs="Arial"/>
          <w:b/>
          <w:bCs/>
          <w:color w:val="000000"/>
        </w:rPr>
        <w:t xml:space="preserve">Jump To: </w:t>
      </w:r>
      <w:hyperlink w:history="1" w:anchor="sourcecredit" r:id="rId6">
        <w:r w:rsidRPr="00745467">
          <w:rPr>
            <w:rFonts w:ascii="Arial" w:hAnsi="Arial" w:eastAsia="Times New Roman" w:cs="Arial"/>
            <w:color w:val="6F0B0B"/>
            <w:u w:val="single"/>
          </w:rPr>
          <w:t>Source Credit</w:t>
        </w:r>
      </w:hyperlink>
      <w:r w:rsidRPr="00745467">
        <w:rPr>
          <w:rFonts w:ascii="Arial" w:hAnsi="Arial" w:eastAsia="Times New Roman" w:cs="Arial"/>
          <w:color w:val="32434F"/>
        </w:rPr>
        <w:t xml:space="preserve"> </w:t>
      </w:r>
    </w:p>
    <w:p w:rsidRPr="00745467" w:rsidR="00745467" w:rsidP="00745467" w:rsidRDefault="00745467">
      <w:pPr>
        <w:spacing w:before="150" w:after="45" w:line="240" w:lineRule="auto"/>
        <w:ind w:hanging="480"/>
        <w:outlineLvl w:val="2"/>
        <w:rPr>
          <w:rFonts w:ascii="Arial" w:hAnsi="Arial" w:eastAsia="Times New Roman" w:cs="Arial"/>
          <w:b/>
          <w:bCs/>
          <w:color w:val="32434F"/>
          <w:sz w:val="27"/>
          <w:szCs w:val="27"/>
        </w:rPr>
      </w:pPr>
      <w:r w:rsidRPr="00745467">
        <w:rPr>
          <w:rFonts w:ascii="Arial" w:hAnsi="Arial" w:eastAsia="Times New Roman" w:cs="Arial"/>
          <w:b/>
          <w:bCs/>
          <w:color w:val="32434F"/>
          <w:sz w:val="27"/>
          <w:szCs w:val="27"/>
        </w:rPr>
        <w:t>§</w:t>
      </w:r>
      <w:bookmarkStart w:name="hl3" w:id="2"/>
      <w:r w:rsidRPr="00745467">
        <w:rPr>
          <w:rFonts w:ascii="Arial" w:hAnsi="Arial" w:eastAsia="Times New Roman" w:cs="Arial"/>
          <w:b/>
          <w:bCs/>
          <w:color w:val="000000"/>
          <w:sz w:val="27"/>
          <w:szCs w:val="27"/>
          <w:shd w:val="clear" w:color="auto" w:fill="00FF00"/>
        </w:rPr>
        <w:t>717</w:t>
      </w:r>
      <w:bookmarkEnd w:id="2"/>
      <w:r w:rsidRPr="00745467">
        <w:rPr>
          <w:rFonts w:ascii="Arial" w:hAnsi="Arial" w:eastAsia="Times New Roman" w:cs="Arial"/>
          <w:b/>
          <w:bCs/>
          <w:i/>
          <w:iCs/>
          <w:color w:val="32434F"/>
          <w:sz w:val="27"/>
          <w:szCs w:val="27"/>
        </w:rPr>
        <w:t>o</w:t>
      </w:r>
      <w:r w:rsidRPr="00745467">
        <w:rPr>
          <w:rFonts w:ascii="Arial" w:hAnsi="Arial" w:eastAsia="Times New Roman" w:cs="Arial"/>
          <w:b/>
          <w:bCs/>
          <w:color w:val="32434F"/>
          <w:sz w:val="27"/>
          <w:szCs w:val="27"/>
        </w:rPr>
        <w:t>. Administrative powers of Commission; rules, regulations, and orders</w:t>
      </w:r>
    </w:p>
    <w:p w:rsidRPr="00745467" w:rsidR="00745467" w:rsidP="00745467" w:rsidRDefault="00745467">
      <w:pPr>
        <w:spacing w:after="0" w:line="240" w:lineRule="auto"/>
        <w:ind w:firstLine="240"/>
        <w:rPr>
          <w:rFonts w:ascii="Arial" w:hAnsi="Arial" w:eastAsia="Times New Roman" w:cs="Arial"/>
        </w:rPr>
      </w:pPr>
      <w:r w:rsidRPr="00745467">
        <w:rPr>
          <w:rFonts w:ascii="Arial" w:hAnsi="Arial" w:eastAsia="Times New Roman" w:cs="Arial"/>
        </w:rPr>
        <w:t>The Commission shall have power to perform any and all acts, and to prescribe, issue, make, amend, and rescind such orders, rules, and regulations as it may find necessary or appropriate to carry out the provisions of this chapter. Among other things, such rules and regulations may define accounting, technical, and trade terms used in this chapter; and may prescribe the form or forms of all statements, declarations, applications, and reports to be filed with the Commission, the information which they shall contain, and the time within which they shall be filed. Unless a different date is specified therein, rules and regulations of the Commission shall be effective thirty days after publication in the manner which the Commission shall prescribe. Orders of the Commission shall be effective on the date and in the manner which the Commission shall prescribe. For the purposes of its rules and regulations, the Commission may classify persons and matters within its jurisdiction and prescribe different requirements for different classes of persons or matters. All rules and regulations of the Commission shall be filed with its secretary and shall be kept open in convenient form for public inspection and examination during reasonable business hours.</w:t>
      </w:r>
    </w:p>
    <w:p w:rsidRPr="00745467" w:rsidR="00745467" w:rsidP="00745467" w:rsidRDefault="00745467">
      <w:pPr>
        <w:spacing w:before="75" w:after="75" w:line="240" w:lineRule="auto"/>
        <w:rPr>
          <w:rFonts w:ascii="Arial" w:hAnsi="Arial" w:eastAsia="Times New Roman" w:cs="Arial"/>
        </w:rPr>
      </w:pPr>
      <w:bookmarkStart w:name="sourcecredit" w:id="3"/>
      <w:bookmarkEnd w:id="3"/>
      <w:r w:rsidRPr="00745467">
        <w:rPr>
          <w:rFonts w:ascii="Arial" w:hAnsi="Arial" w:eastAsia="Times New Roman" w:cs="Arial"/>
        </w:rPr>
        <w:t>(</w:t>
      </w:r>
      <w:hyperlink w:tgtFrame="_blank" w:history="1" r:id="rId7">
        <w:r w:rsidRPr="00745467">
          <w:rPr>
            <w:rFonts w:ascii="Arial" w:hAnsi="Arial" w:eastAsia="Times New Roman" w:cs="Arial"/>
            <w:color w:val="0F0D61"/>
          </w:rPr>
          <w:t xml:space="preserve">June 21, 1938, </w:t>
        </w:r>
        <w:proofErr w:type="spellStart"/>
        <w:r w:rsidRPr="00745467">
          <w:rPr>
            <w:rFonts w:ascii="Arial" w:hAnsi="Arial" w:eastAsia="Times New Roman" w:cs="Arial"/>
            <w:color w:val="0F0D61"/>
          </w:rPr>
          <w:t>ch.</w:t>
        </w:r>
        <w:proofErr w:type="spellEnd"/>
        <w:r w:rsidRPr="00745467">
          <w:rPr>
            <w:rFonts w:ascii="Arial" w:hAnsi="Arial" w:eastAsia="Times New Roman" w:cs="Arial"/>
            <w:color w:val="0F0D61"/>
          </w:rPr>
          <w:t xml:space="preserve"> 556, §16, 52 Stat. 830 </w:t>
        </w:r>
      </w:hyperlink>
      <w:r w:rsidRPr="00745467">
        <w:rPr>
          <w:rFonts w:ascii="Arial" w:hAnsi="Arial" w:eastAsia="Times New Roman" w:cs="Arial"/>
        </w:rPr>
        <w:t>.)</w:t>
      </w:r>
    </w:p>
    <w:p w:rsidR="00E704E3" w:rsidRDefault="00E704E3">
      <w:bookmarkStart w:name="_GoBack" w:id="4"/>
      <w:bookmarkEnd w:id="4"/>
    </w:p>
    <w:sectPr w:rsidR="00E704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467" w:rsidRDefault="00745467" w:rsidP="00745467">
      <w:pPr>
        <w:spacing w:after="0" w:line="240" w:lineRule="auto"/>
      </w:pPr>
      <w:r>
        <w:separator/>
      </w:r>
    </w:p>
  </w:endnote>
  <w:endnote w:type="continuationSeparator" w:id="0">
    <w:p w:rsidR="00745467" w:rsidRDefault="00745467" w:rsidP="0074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467" w:rsidRDefault="00745467" w:rsidP="00745467">
      <w:pPr>
        <w:spacing w:after="0" w:line="240" w:lineRule="auto"/>
      </w:pPr>
      <w:r>
        <w:separator/>
      </w:r>
    </w:p>
  </w:footnote>
  <w:footnote w:type="continuationSeparator" w:id="0">
    <w:p w:rsidR="00745467" w:rsidRDefault="00745467" w:rsidP="00745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67"/>
    <w:rsid w:val="00745467"/>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17F412D-5479-42C4-A2E8-BDB2141D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355231">
      <w:bodyDiv w:val="1"/>
      <w:marLeft w:val="720"/>
      <w:marRight w:val="0"/>
      <w:marTop w:val="0"/>
      <w:marBottom w:val="0"/>
      <w:divBdr>
        <w:top w:val="none" w:sz="0" w:space="0" w:color="auto"/>
        <w:left w:val="none" w:sz="0" w:space="0" w:color="auto"/>
        <w:bottom w:val="none" w:sz="0" w:space="0" w:color="auto"/>
        <w:right w:val="none" w:sz="0" w:space="0" w:color="auto"/>
      </w:divBdr>
      <w:divsChild>
        <w:div w:id="1767657046">
          <w:marLeft w:val="75"/>
          <w:marRight w:val="75"/>
          <w:marTop w:val="75"/>
          <w:marBottom w:val="75"/>
          <w:divBdr>
            <w:top w:val="none" w:sz="0" w:space="0" w:color="auto"/>
            <w:left w:val="none" w:sz="0" w:space="0" w:color="auto"/>
            <w:bottom w:val="none" w:sz="0" w:space="0" w:color="auto"/>
            <w:right w:val="none" w:sz="0" w:space="0" w:color="auto"/>
          </w:divBdr>
          <w:divsChild>
            <w:div w:id="1640957311">
              <w:marLeft w:val="0"/>
              <w:marRight w:val="0"/>
              <w:marTop w:val="0"/>
              <w:marBottom w:val="0"/>
              <w:divBdr>
                <w:top w:val="none" w:sz="0" w:space="0" w:color="auto"/>
                <w:left w:val="none" w:sz="0" w:space="0" w:color="auto"/>
                <w:bottom w:val="none" w:sz="0" w:space="0" w:color="auto"/>
                <w:right w:val="none" w:sz="0" w:space="0" w:color="auto"/>
              </w:divBdr>
              <w:divsChild>
                <w:div w:id="1914772715">
                  <w:marLeft w:val="0"/>
                  <w:marRight w:val="0"/>
                  <w:marTop w:val="0"/>
                  <w:marBottom w:val="0"/>
                  <w:divBdr>
                    <w:top w:val="none" w:sz="0" w:space="0" w:color="auto"/>
                    <w:left w:val="none" w:sz="0" w:space="0" w:color="auto"/>
                    <w:bottom w:val="none" w:sz="0" w:space="0" w:color="auto"/>
                    <w:right w:val="none" w:sz="0" w:space="0" w:color="auto"/>
                  </w:divBdr>
                  <w:divsChild>
                    <w:div w:id="1549612295">
                      <w:marLeft w:val="0"/>
                      <w:marRight w:val="0"/>
                      <w:marTop w:val="0"/>
                      <w:marBottom w:val="0"/>
                      <w:divBdr>
                        <w:top w:val="none" w:sz="0" w:space="0" w:color="auto"/>
                        <w:left w:val="none" w:sz="0" w:space="0" w:color="auto"/>
                        <w:bottom w:val="none" w:sz="0" w:space="0" w:color="auto"/>
                        <w:right w:val="none" w:sz="0" w:space="0" w:color="auto"/>
                      </w:divBdr>
                      <w:divsChild>
                        <w:div w:id="1619337821">
                          <w:marLeft w:val="0"/>
                          <w:marRight w:val="0"/>
                          <w:marTop w:val="0"/>
                          <w:marBottom w:val="0"/>
                          <w:divBdr>
                            <w:top w:val="single" w:sz="18" w:space="8" w:color="CFC2B2"/>
                            <w:left w:val="single" w:sz="18" w:space="8" w:color="CFC2B2"/>
                            <w:bottom w:val="single" w:sz="18" w:space="8" w:color="CFC2B2"/>
                            <w:right w:val="single" w:sz="18" w:space="8" w:color="CFC2B2"/>
                          </w:divBdr>
                          <w:divsChild>
                            <w:div w:id="1481000220">
                              <w:marLeft w:val="0"/>
                              <w:marRight w:val="0"/>
                              <w:marTop w:val="150"/>
                              <w:marBottom w:val="0"/>
                              <w:divBdr>
                                <w:top w:val="none" w:sz="0" w:space="0" w:color="auto"/>
                                <w:left w:val="none" w:sz="0" w:space="0" w:color="auto"/>
                                <w:bottom w:val="none" w:sz="0" w:space="0" w:color="auto"/>
                                <w:right w:val="none" w:sz="0" w:space="0" w:color="auto"/>
                              </w:divBdr>
                            </w:div>
                            <w:div w:id="17271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scode.house.gov/statviewer.htm?volume=52&amp;page=8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code.house.gov/view.xhtml?req=15+USC+717+%28c%29&amp;f=treesort&amp;fq=true&amp;num=71&amp;hl=true&amp;edition=prelim&amp;granuleId=USC-prelim-title15-section717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2020-02-11T18:30:00Z</dcterms:created>
  <dcterms:modified xsi:type="dcterms:W3CDTF">2020-02-11T18:31:00Z</dcterms:modified>
</cp:coreProperties>
</file>