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5B78" w:rsidR="00F95B78" w:rsidP="00F95B78" w:rsidRDefault="00F95B78" w14:paraId="36C3C9CB" w14:textId="77777777">
      <w:pPr>
        <w:tabs>
          <w:tab w:val="left" w:pos="0"/>
        </w:tabs>
        <w:suppressAutoHyphens/>
        <w:spacing w:after="0" w:line="240" w:lineRule="auto"/>
        <w:rPr>
          <w:rFonts w:ascii="Times New Roman" w:hAnsi="Times New Roman"/>
          <w:iCs/>
          <w:sz w:val="24"/>
          <w:szCs w:val="24"/>
        </w:rPr>
      </w:pPr>
      <w:bookmarkStart w:name="_GoBack" w:id="0"/>
      <w:bookmarkEnd w:id="0"/>
      <w:r w:rsidRPr="00F95B78">
        <w:rPr>
          <w:rFonts w:ascii="Times New Roman" w:hAnsi="Times New Roman"/>
          <w:iCs/>
          <w:sz w:val="24"/>
          <w:szCs w:val="24"/>
        </w:rPr>
        <w:t>On July 6, 2012, the Moving Ahead for Progress in the 21st Century Act (MAP-</w:t>
      </w:r>
      <w:proofErr w:type="gramStart"/>
      <w:r w:rsidRPr="00F95B78">
        <w:rPr>
          <w:rFonts w:ascii="Times New Roman" w:hAnsi="Times New Roman"/>
          <w:iCs/>
          <w:sz w:val="24"/>
          <w:szCs w:val="24"/>
        </w:rPr>
        <w:t>21)was</w:t>
      </w:r>
      <w:proofErr w:type="gramEnd"/>
      <w:r w:rsidRPr="00F95B78">
        <w:rPr>
          <w:rFonts w:ascii="Times New Roman" w:hAnsi="Times New Roman"/>
          <w:iCs/>
          <w:sz w:val="24"/>
          <w:szCs w:val="24"/>
        </w:rPr>
        <w:t xml:space="preserve"> signed into law.  MAP-21 included two changes to the William D. Ford Federal Direct Loan (Direct Loan) Program.  Specifically, MAP-21 amended section 455 of the Higher Education Act of 1965, as amended (HEA) to extend the 3.4 percent fixed interest rate that applies to Direct Subsidized Loans made to undergraduate students to loans for which the first disbursement is made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is enrolled after reaching this 150 percent limit.</w:t>
      </w:r>
    </w:p>
    <w:p w:rsidRPr="00F95B78" w:rsidR="00D21D87" w:rsidP="00F95B78" w:rsidRDefault="00D21D87" w14:paraId="10213310" w14:textId="77777777">
      <w:pPr>
        <w:tabs>
          <w:tab w:val="left" w:pos="0"/>
        </w:tabs>
        <w:suppressAutoHyphens/>
        <w:spacing w:after="0" w:line="240" w:lineRule="auto"/>
        <w:rPr>
          <w:rFonts w:ascii="Times New Roman" w:hAnsi="Times New Roman"/>
          <w:iCs/>
          <w:sz w:val="24"/>
          <w:szCs w:val="24"/>
        </w:rPr>
      </w:pPr>
    </w:p>
    <w:p w:rsidRPr="00F95B78" w:rsidR="00E03272" w:rsidP="00F95B78" w:rsidRDefault="00E03272" w14:paraId="64B096C5" w14:textId="77777777">
      <w:pPr>
        <w:spacing w:after="0" w:line="240" w:lineRule="auto"/>
        <w:jc w:val="both"/>
        <w:rPr>
          <w:rFonts w:ascii="Times New Roman" w:hAnsi="Times New Roman"/>
          <w:b/>
          <w:iCs/>
          <w:sz w:val="24"/>
          <w:szCs w:val="24"/>
          <w:u w:val="single"/>
        </w:rPr>
      </w:pPr>
      <w:r w:rsidRPr="00F95B78">
        <w:rPr>
          <w:rFonts w:ascii="Times New Roman" w:hAnsi="Times New Roman"/>
          <w:b/>
          <w:iCs/>
          <w:sz w:val="24"/>
          <w:szCs w:val="24"/>
          <w:u w:val="single"/>
        </w:rPr>
        <w:t>Section 685.304 –Counseling borrowers</w:t>
      </w:r>
    </w:p>
    <w:p w:rsidRPr="00F95B78" w:rsidR="00E03272" w:rsidP="00F95B78" w:rsidRDefault="00E03272" w14:paraId="6594F8FA" w14:textId="77777777">
      <w:pPr>
        <w:spacing w:after="0" w:line="240" w:lineRule="auto"/>
        <w:jc w:val="both"/>
        <w:rPr>
          <w:rFonts w:ascii="Times New Roman" w:hAnsi="Times New Roman"/>
          <w:b/>
          <w:iCs/>
          <w:sz w:val="24"/>
          <w:szCs w:val="24"/>
          <w:u w:val="single"/>
        </w:rPr>
      </w:pPr>
    </w:p>
    <w:p w:rsidRPr="00F95B78" w:rsidR="00E03272" w:rsidP="00F95B78" w:rsidRDefault="00E03272" w14:paraId="1F2080DD" w14:textId="77777777">
      <w:pPr>
        <w:spacing w:after="0" w:line="240" w:lineRule="auto"/>
        <w:rPr>
          <w:rFonts w:ascii="Times New Roman" w:hAnsi="Times New Roman"/>
          <w:iCs/>
          <w:sz w:val="24"/>
          <w:szCs w:val="24"/>
        </w:rPr>
      </w:pPr>
      <w:r w:rsidRPr="00F95B78">
        <w:rPr>
          <w:rFonts w:ascii="Times New Roman" w:hAnsi="Times New Roman"/>
          <w:iCs/>
          <w:sz w:val="24"/>
          <w:szCs w:val="24"/>
        </w:rPr>
        <w:t xml:space="preserve">The regulations implement the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rsidRPr="00F95B78" w:rsidR="00E03272" w:rsidP="00F95B78" w:rsidRDefault="00E03272" w14:paraId="3CFC634B" w14:textId="77777777">
      <w:pPr>
        <w:spacing w:after="0" w:line="240" w:lineRule="auto"/>
        <w:rPr>
          <w:rFonts w:ascii="Times New Roman" w:hAnsi="Times New Roman"/>
          <w:iCs/>
          <w:sz w:val="24"/>
          <w:szCs w:val="24"/>
        </w:rPr>
      </w:pPr>
    </w:p>
    <w:p w:rsidRPr="00F95B78" w:rsidR="00E03272" w:rsidP="00F95B78" w:rsidRDefault="00E03272" w14:paraId="397A1940" w14:textId="77777777">
      <w:pPr>
        <w:spacing w:after="0" w:line="240" w:lineRule="auto"/>
        <w:rPr>
          <w:rFonts w:ascii="Times New Roman" w:hAnsi="Times New Roman"/>
          <w:iCs/>
          <w:sz w:val="24"/>
          <w:szCs w:val="24"/>
        </w:rPr>
      </w:pPr>
      <w:r w:rsidRPr="00F95B78">
        <w:rPr>
          <w:rFonts w:ascii="Times New Roman" w:hAnsi="Times New Roman"/>
          <w:iCs/>
          <w:sz w:val="24"/>
          <w:szCs w:val="24"/>
        </w:rPr>
        <w:t>Entrance counseling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
    <w:p w:rsidRPr="00F95B78" w:rsidR="00E03272" w:rsidP="00F95B78" w:rsidRDefault="00E03272" w14:paraId="1C278066" w14:textId="77777777">
      <w:pPr>
        <w:spacing w:after="0" w:line="240" w:lineRule="auto"/>
        <w:rPr>
          <w:rFonts w:ascii="Times New Roman" w:hAnsi="Times New Roman"/>
          <w:iCs/>
          <w:sz w:val="24"/>
          <w:szCs w:val="24"/>
        </w:rPr>
      </w:pPr>
    </w:p>
    <w:p w:rsidRPr="00F95B78" w:rsidR="00E03272" w:rsidP="00F95B78" w:rsidRDefault="00E03272" w14:paraId="32757BDB" w14:textId="77777777">
      <w:pPr>
        <w:spacing w:after="0" w:line="240" w:lineRule="auto"/>
        <w:rPr>
          <w:rFonts w:ascii="Times New Roman" w:hAnsi="Times New Roman"/>
          <w:iCs/>
          <w:sz w:val="24"/>
          <w:szCs w:val="24"/>
        </w:rPr>
      </w:pPr>
      <w:r w:rsidRPr="00F95B78">
        <w:rPr>
          <w:rFonts w:ascii="Times New Roman" w:hAnsi="Times New Roman"/>
          <w:iCs/>
          <w:sz w:val="24"/>
          <w:szCs w:val="24"/>
        </w:rPr>
        <w:t>Exit counseling under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
    <w:p w:rsidRPr="00F95B78" w:rsidR="00E03272" w:rsidP="00F95B78" w:rsidRDefault="00E03272" w14:paraId="601D603E" w14:textId="77777777">
      <w:pPr>
        <w:spacing w:after="0" w:line="240" w:lineRule="auto"/>
        <w:rPr>
          <w:rFonts w:ascii="Times New Roman" w:hAnsi="Times New Roman"/>
          <w:iCs/>
          <w:sz w:val="24"/>
          <w:szCs w:val="24"/>
        </w:rPr>
      </w:pPr>
    </w:p>
    <w:p w:rsidRPr="00F95B78" w:rsidR="00E03272" w:rsidP="00F95B78" w:rsidRDefault="00E03272" w14:paraId="620202A3" w14:textId="77777777">
      <w:pPr>
        <w:spacing w:after="0" w:line="240" w:lineRule="auto"/>
        <w:rPr>
          <w:rFonts w:ascii="Times New Roman" w:hAnsi="Times New Roman"/>
          <w:iCs/>
          <w:sz w:val="24"/>
          <w:szCs w:val="24"/>
        </w:rPr>
      </w:pPr>
      <w:r w:rsidRPr="00F95B78">
        <w:rPr>
          <w:rFonts w:ascii="Times New Roman" w:hAnsi="Times New Roman"/>
          <w:iCs/>
          <w:sz w:val="24"/>
          <w:szCs w:val="24"/>
        </w:rPr>
        <w:lastRenderedPageBreak/>
        <w:t>There is burden associated with entrance and exit counseling for borrowers, who are required to complete entrance counseling by virtue of their participation in the Title IV loan programs.</w:t>
      </w:r>
    </w:p>
    <w:p w:rsidRPr="00F95B78" w:rsidR="00E03272" w:rsidP="00F95B78" w:rsidRDefault="00E03272" w14:paraId="022C1870" w14:textId="77777777">
      <w:pPr>
        <w:spacing w:after="0" w:line="240" w:lineRule="auto"/>
        <w:rPr>
          <w:rFonts w:ascii="Times New Roman" w:hAnsi="Times New Roman"/>
          <w:iCs/>
          <w:sz w:val="24"/>
          <w:szCs w:val="24"/>
        </w:rPr>
      </w:pPr>
    </w:p>
    <w:p w:rsidRPr="00F95B78" w:rsidR="00F95B78" w:rsidP="00F95B78" w:rsidRDefault="00F95B78" w14:paraId="70B21F68" w14:textId="77777777">
      <w:pPr>
        <w:spacing w:after="0" w:line="240" w:lineRule="auto"/>
        <w:rPr>
          <w:rFonts w:ascii="Times New Roman" w:hAnsi="Times New Roman"/>
          <w:iCs/>
          <w:sz w:val="24"/>
          <w:szCs w:val="24"/>
        </w:rPr>
      </w:pPr>
      <w:r w:rsidRPr="00F95B78">
        <w:rPr>
          <w:rFonts w:ascii="Times New Roman" w:hAnsi="Times New Roman"/>
          <w:iCs/>
          <w:sz w:val="24"/>
          <w:szCs w:val="24"/>
        </w:rPr>
        <w:t>We estimate that each entrance counseling interview will take 2 additional minutes (0.03 hours) per borrower to complete and estimated that number of borrowers who took entrance counseling in 2018 as 3,616,520.  Therefore, we estimate that burden will increase by 108,496 hours (3,616,520 borrowers multiplied by 1 interview per borrower multiplied by 0.03 additional hours per interview).</w:t>
      </w:r>
    </w:p>
    <w:p w:rsidRPr="00F95B78" w:rsidR="00F95B78" w:rsidP="00F95B78" w:rsidRDefault="00F95B78" w14:paraId="7C6BC4C0" w14:textId="77777777">
      <w:pPr>
        <w:spacing w:after="0" w:line="240" w:lineRule="auto"/>
        <w:rPr>
          <w:rFonts w:ascii="Times New Roman" w:hAnsi="Times New Roman"/>
          <w:iCs/>
          <w:sz w:val="24"/>
          <w:szCs w:val="24"/>
        </w:rPr>
      </w:pPr>
    </w:p>
    <w:p w:rsidRPr="00F95B78" w:rsidR="00F95B78" w:rsidP="00F95B78" w:rsidRDefault="00F95B78" w14:paraId="4D680724" w14:textId="77777777">
      <w:pPr>
        <w:spacing w:after="0" w:line="240" w:lineRule="auto"/>
        <w:rPr>
          <w:rFonts w:ascii="Times New Roman" w:hAnsi="Times New Roman"/>
          <w:iCs/>
          <w:sz w:val="24"/>
          <w:szCs w:val="24"/>
        </w:rPr>
      </w:pPr>
      <w:r w:rsidRPr="00F95B78">
        <w:rPr>
          <w:rFonts w:ascii="Times New Roman" w:hAnsi="Times New Roman"/>
          <w:iCs/>
          <w:sz w:val="24"/>
          <w:szCs w:val="24"/>
        </w:rPr>
        <w:t>We estimate that each exit counseling interview will take an additional 3 minutes (0.05 hours) per borrower to complete and estimated the 1,333,575 borrowers took exit counseling in 2018.  Therefore, we estimate that burden will increase by 66,679 hours (1,333,575 borrowers multiplied by 1 interview per borrower multiplied by 0.05 additional hours per interview).</w:t>
      </w:r>
    </w:p>
    <w:p w:rsidRPr="00F95B78" w:rsidR="00FE2371" w:rsidP="00F95B78" w:rsidRDefault="00FE2371" w14:paraId="2AE6C0A1" w14:textId="77777777">
      <w:pPr>
        <w:pStyle w:val="NoSpacing"/>
        <w:rPr>
          <w:rFonts w:ascii="Times New Roman" w:hAnsi="Times New Roman"/>
          <w:iCs/>
          <w:sz w:val="24"/>
          <w:szCs w:val="24"/>
        </w:rPr>
      </w:pPr>
    </w:p>
    <w:p w:rsidRPr="00F95B78" w:rsidR="00DC5AF1" w:rsidP="00F95B78" w:rsidRDefault="00DC5AF1" w14:paraId="71789E14" w14:textId="77777777">
      <w:pPr>
        <w:pStyle w:val="NoSpacing"/>
        <w:rPr>
          <w:rFonts w:ascii="Times New Roman" w:hAnsi="Times New Roman"/>
          <w:iCs/>
          <w:sz w:val="24"/>
          <w:szCs w:val="24"/>
        </w:rPr>
      </w:pPr>
      <w:r w:rsidRPr="00F95B78">
        <w:rPr>
          <w:rFonts w:ascii="Times New Roman" w:hAnsi="Times New Roman"/>
          <w:iCs/>
          <w:sz w:val="24"/>
          <w:szCs w:val="24"/>
        </w:rPr>
        <w:t>TOTALS</w:t>
      </w:r>
    </w:p>
    <w:p w:rsidRPr="00F95B78" w:rsidR="00DC5AF1" w:rsidP="00F95B78" w:rsidRDefault="00DC5AF1" w14:paraId="3B554AF2" w14:textId="77777777">
      <w:pPr>
        <w:pStyle w:val="NoSpacing"/>
        <w:rPr>
          <w:rFonts w:ascii="Times New Roman" w:hAnsi="Times New Roman"/>
          <w:iCs/>
          <w:sz w:val="24"/>
          <w:szCs w:val="24"/>
        </w:rPr>
      </w:pPr>
      <w:r w:rsidRPr="00F95B78">
        <w:rPr>
          <w:rFonts w:ascii="Times New Roman" w:hAnsi="Times New Roman"/>
          <w:iCs/>
          <w:sz w:val="24"/>
          <w:szCs w:val="24"/>
        </w:rPr>
        <w:tab/>
        <w:t>Responses</w:t>
      </w:r>
      <w:r w:rsidRPr="00F95B78">
        <w:rPr>
          <w:rFonts w:ascii="Times New Roman" w:hAnsi="Times New Roman"/>
          <w:iCs/>
          <w:sz w:val="24"/>
          <w:szCs w:val="24"/>
        </w:rPr>
        <w:tab/>
      </w:r>
      <w:r w:rsidRPr="00F95B78" w:rsidR="00F95B78">
        <w:rPr>
          <w:rFonts w:ascii="Times New Roman" w:hAnsi="Times New Roman"/>
          <w:iCs/>
          <w:sz w:val="24"/>
          <w:szCs w:val="24"/>
        </w:rPr>
        <w:t>4,950,095</w:t>
      </w:r>
    </w:p>
    <w:p w:rsidRPr="00F95B78" w:rsidR="00DC5AF1" w:rsidP="00F95B78" w:rsidRDefault="00DC5AF1" w14:paraId="5228EC1F" w14:textId="77777777">
      <w:pPr>
        <w:pStyle w:val="NoSpacing"/>
        <w:rPr>
          <w:rFonts w:ascii="Times New Roman" w:hAnsi="Times New Roman"/>
          <w:iCs/>
          <w:sz w:val="24"/>
          <w:szCs w:val="24"/>
        </w:rPr>
      </w:pPr>
      <w:r w:rsidRPr="00F95B78">
        <w:rPr>
          <w:rFonts w:ascii="Times New Roman" w:hAnsi="Times New Roman"/>
          <w:iCs/>
          <w:sz w:val="24"/>
          <w:szCs w:val="24"/>
        </w:rPr>
        <w:tab/>
        <w:t>Respondents</w:t>
      </w:r>
      <w:r w:rsidRPr="00F95B78">
        <w:rPr>
          <w:rFonts w:ascii="Times New Roman" w:hAnsi="Times New Roman"/>
          <w:iCs/>
          <w:sz w:val="24"/>
          <w:szCs w:val="24"/>
        </w:rPr>
        <w:tab/>
      </w:r>
      <w:r w:rsidRPr="00F95B78" w:rsidR="00F95B78">
        <w:rPr>
          <w:rFonts w:ascii="Times New Roman" w:hAnsi="Times New Roman"/>
          <w:iCs/>
          <w:sz w:val="24"/>
          <w:szCs w:val="24"/>
        </w:rPr>
        <w:t>4,950,095</w:t>
      </w:r>
    </w:p>
    <w:p w:rsidRPr="00F95B78" w:rsidR="00DC5AF1" w:rsidP="00F95B78" w:rsidRDefault="00DC5AF1" w14:paraId="06F742AC" w14:textId="77777777">
      <w:pPr>
        <w:pStyle w:val="NoSpacing"/>
        <w:rPr>
          <w:rFonts w:ascii="Times New Roman" w:hAnsi="Times New Roman"/>
          <w:iCs/>
          <w:sz w:val="24"/>
          <w:szCs w:val="24"/>
        </w:rPr>
      </w:pPr>
      <w:r w:rsidRPr="00F95B78">
        <w:rPr>
          <w:rFonts w:ascii="Times New Roman" w:hAnsi="Times New Roman"/>
          <w:iCs/>
          <w:sz w:val="24"/>
          <w:szCs w:val="24"/>
        </w:rPr>
        <w:tab/>
        <w:t>Burden Hours</w:t>
      </w:r>
      <w:r w:rsidRPr="00F95B78">
        <w:rPr>
          <w:rFonts w:ascii="Times New Roman" w:hAnsi="Times New Roman"/>
          <w:iCs/>
          <w:sz w:val="24"/>
          <w:szCs w:val="24"/>
        </w:rPr>
        <w:tab/>
      </w:r>
      <w:r w:rsidRPr="00F95B78" w:rsidR="00E03272">
        <w:rPr>
          <w:rFonts w:ascii="Times New Roman" w:hAnsi="Times New Roman"/>
          <w:iCs/>
          <w:sz w:val="24"/>
          <w:szCs w:val="24"/>
        </w:rPr>
        <w:t xml:space="preserve">   </w:t>
      </w:r>
      <w:r w:rsidRPr="00F95B78" w:rsidR="00F95B78">
        <w:rPr>
          <w:rFonts w:ascii="Times New Roman" w:hAnsi="Times New Roman"/>
          <w:iCs/>
          <w:sz w:val="24"/>
          <w:szCs w:val="24"/>
        </w:rPr>
        <w:t>175,175</w:t>
      </w:r>
    </w:p>
    <w:sectPr w:rsidRPr="00F95B78" w:rsidR="00DC5AF1" w:rsidSect="00531526">
      <w:head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C097F" w14:textId="77777777" w:rsidR="00361E6F" w:rsidRDefault="00361E6F" w:rsidP="00C50755">
      <w:pPr>
        <w:spacing w:after="0" w:line="240" w:lineRule="auto"/>
      </w:pPr>
      <w:r>
        <w:separator/>
      </w:r>
    </w:p>
  </w:endnote>
  <w:endnote w:type="continuationSeparator" w:id="0">
    <w:p w14:paraId="0EF095FA" w14:textId="77777777" w:rsidR="00361E6F" w:rsidRDefault="00361E6F"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5790E" w14:textId="77777777" w:rsidR="00361E6F" w:rsidRDefault="00361E6F" w:rsidP="00C50755">
      <w:pPr>
        <w:spacing w:after="0" w:line="240" w:lineRule="auto"/>
      </w:pPr>
      <w:r>
        <w:separator/>
      </w:r>
    </w:p>
  </w:footnote>
  <w:footnote w:type="continuationSeparator" w:id="0">
    <w:p w14:paraId="5AB75796" w14:textId="77777777" w:rsidR="00361E6F" w:rsidRDefault="00361E6F"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8F4B" w14:textId="77777777" w:rsidR="00C50755" w:rsidRPr="00107FD7" w:rsidRDefault="00C50755" w:rsidP="00107FD7">
    <w:pPr>
      <w:spacing w:after="0" w:line="240" w:lineRule="auto"/>
      <w:rPr>
        <w:rFonts w:ascii="Times New Roman" w:hAnsi="Times New Roman"/>
        <w:sz w:val="20"/>
        <w:szCs w:val="20"/>
      </w:rPr>
    </w:pPr>
    <w:r w:rsidRPr="00107FD7">
      <w:rPr>
        <w:rFonts w:ascii="Times New Roman" w:hAnsi="Times New Roman"/>
        <w:sz w:val="20"/>
        <w:szCs w:val="20"/>
      </w:rPr>
      <w:t>1845-</w:t>
    </w:r>
    <w:r w:rsidR="00D21D87">
      <w:rPr>
        <w:rFonts w:ascii="Times New Roman" w:hAnsi="Times New Roman"/>
        <w:sz w:val="20"/>
        <w:szCs w:val="20"/>
      </w:rPr>
      <w:t>0116</w:t>
    </w:r>
    <w:r w:rsidRPr="00107FD7">
      <w:rPr>
        <w:rFonts w:ascii="Times New Roman" w:hAnsi="Times New Roman"/>
        <w:sz w:val="20"/>
        <w:szCs w:val="20"/>
      </w:rPr>
      <w:t xml:space="preserve"> – Affected Public - Individuals </w:t>
    </w:r>
    <w:r w:rsidRPr="00107FD7">
      <w:rPr>
        <w:rFonts w:ascii="Times New Roman" w:hAnsi="Times New Roman"/>
        <w:sz w:val="20"/>
        <w:szCs w:val="20"/>
      </w:rPr>
      <w:tab/>
    </w:r>
    <w:r w:rsidR="006D071C" w:rsidRPr="00107FD7">
      <w:rPr>
        <w:rFonts w:ascii="Times New Roman" w:hAnsi="Times New Roman"/>
        <w:sz w:val="20"/>
        <w:szCs w:val="20"/>
      </w:rPr>
      <w:tab/>
    </w:r>
    <w:r w:rsidR="006D071C" w:rsidRPr="00107FD7">
      <w:rPr>
        <w:rFonts w:ascii="Times New Roman" w:hAnsi="Times New Roman"/>
        <w:sz w:val="20"/>
        <w:szCs w:val="20"/>
      </w:rPr>
      <w:tab/>
    </w:r>
    <w:r w:rsidR="006D071C" w:rsidRPr="00107FD7">
      <w:rPr>
        <w:rFonts w:ascii="Times New Roman" w:hAnsi="Times New Roman"/>
        <w:sz w:val="20"/>
        <w:szCs w:val="20"/>
      </w:rPr>
      <w:tab/>
    </w:r>
    <w:r w:rsidR="00D84004" w:rsidRPr="00107FD7">
      <w:rPr>
        <w:rFonts w:ascii="Times New Roman" w:hAnsi="Times New Roman"/>
        <w:sz w:val="20"/>
        <w:szCs w:val="20"/>
      </w:rPr>
      <w:tab/>
    </w:r>
    <w:r w:rsidR="00F95B78">
      <w:rPr>
        <w:rFonts w:ascii="Times New Roman" w:hAnsi="Times New Roman"/>
        <w:sz w:val="20"/>
        <w:szCs w:val="20"/>
      </w:rPr>
      <w:tab/>
    </w:r>
    <w:r w:rsidR="00D84004" w:rsidRPr="00107FD7">
      <w:rPr>
        <w:rFonts w:ascii="Times New Roman" w:hAnsi="Times New Roman"/>
        <w:sz w:val="20"/>
        <w:szCs w:val="20"/>
      </w:rPr>
      <w:tab/>
    </w:r>
    <w:r w:rsidR="00F95B78">
      <w:rPr>
        <w:rFonts w:ascii="Times New Roman" w:hAnsi="Times New Roman"/>
        <w:sz w:val="20"/>
        <w:szCs w:val="20"/>
      </w:rPr>
      <w:t>1/172020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55DD"/>
    <w:rsid w:val="000B7A94"/>
    <w:rsid w:val="000E5548"/>
    <w:rsid w:val="00107FD7"/>
    <w:rsid w:val="001D6BFD"/>
    <w:rsid w:val="00200BCA"/>
    <w:rsid w:val="00355842"/>
    <w:rsid w:val="00361E6F"/>
    <w:rsid w:val="00376AAD"/>
    <w:rsid w:val="00482525"/>
    <w:rsid w:val="00531526"/>
    <w:rsid w:val="00557675"/>
    <w:rsid w:val="00575D0C"/>
    <w:rsid w:val="006D071C"/>
    <w:rsid w:val="00736542"/>
    <w:rsid w:val="00971597"/>
    <w:rsid w:val="00A102A9"/>
    <w:rsid w:val="00A257D9"/>
    <w:rsid w:val="00A75BC5"/>
    <w:rsid w:val="00B101F3"/>
    <w:rsid w:val="00B16783"/>
    <w:rsid w:val="00B36517"/>
    <w:rsid w:val="00B90240"/>
    <w:rsid w:val="00C07F20"/>
    <w:rsid w:val="00C50755"/>
    <w:rsid w:val="00C64805"/>
    <w:rsid w:val="00D21D87"/>
    <w:rsid w:val="00D84004"/>
    <w:rsid w:val="00DC5AF1"/>
    <w:rsid w:val="00E03272"/>
    <w:rsid w:val="00F11AA2"/>
    <w:rsid w:val="00F5694D"/>
    <w:rsid w:val="00F95B78"/>
    <w:rsid w:val="00FE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598A380"/>
  <w15:chartTrackingRefBased/>
  <w15:docId w15:val="{92CB7950-0669-4F6B-BEA4-9A25F272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6714D-442A-40E1-90DA-65CFA9C58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48BD3-630B-4D07-A667-E37EF687DF35}">
  <ds:schemaRefs>
    <ds:schemaRef ds:uri="http://schemas.microsoft.com/sharepoint/v3/contenttype/forms"/>
  </ds:schemaRefs>
</ds:datastoreItem>
</file>

<file path=customXml/itemProps3.xml><?xml version="1.0" encoding="utf-8"?>
<ds:datastoreItem xmlns:ds="http://schemas.openxmlformats.org/officeDocument/2006/customXml" ds:itemID="{CC24601C-B732-495F-803A-9D56CEAACC65}">
  <ds:schemaRefs>
    <ds:schemaRef ds:uri="http://schemas.microsoft.com/office/infopath/2007/PartnerControls"/>
    <ds:schemaRef ds:uri="http://purl.org/dc/terms/"/>
    <ds:schemaRef ds:uri="f87c7b8b-c0e7-4b77-a067-2c707fd1239f"/>
    <ds:schemaRef ds:uri="http://schemas.openxmlformats.org/package/2006/metadata/core-properties"/>
    <ds:schemaRef ds:uri="http://purl.org/dc/dcmitype/"/>
    <ds:schemaRef ds:uri="http://www.w3.org/XML/1998/namespace"/>
    <ds:schemaRef ds:uri="http://schemas.microsoft.com/office/2006/documentManagement/types"/>
    <ds:schemaRef ds:uri="02e41e38-1731-4866-b09a-6257d8bc047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dcterms:created xsi:type="dcterms:W3CDTF">2020-01-21T17:26:00Z</dcterms:created>
  <dcterms:modified xsi:type="dcterms:W3CDTF">2020-01-21T17:26:00Z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