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14:paraId="2F768A57" w14:textId="77777777">
      <w:pPr>
        <w:tabs>
          <w:tab w:val="center" w:pos="4680"/>
        </w:tabs>
        <w:rPr>
          <w:rFonts w:ascii="Times New Roman" w:hAnsi="Times New Roman"/>
          <w:b/>
          <w:bCs/>
        </w:rPr>
      </w:pPr>
      <w:r w:rsidRPr="00F820CF">
        <w:rPr>
          <w:rFonts w:ascii="Times New Roman" w:hAnsi="Times New Roman"/>
          <w:b/>
          <w:bCs/>
        </w:rPr>
        <w:tab/>
        <w:t>SUPPORTING S</w:t>
      </w:r>
      <w:bookmarkStart w:name="_GoBack" w:id="0"/>
      <w:bookmarkEnd w:id="0"/>
      <w:r w:rsidRPr="00F820CF">
        <w:rPr>
          <w:rFonts w:ascii="Times New Roman" w:hAnsi="Times New Roman"/>
          <w:b/>
          <w:bCs/>
        </w:rPr>
        <w:t>TATEMENT</w:t>
      </w:r>
    </w:p>
    <w:p w:rsidR="00D5405A" w:rsidP="00526997" w:rsidRDefault="00D5405A" w14:paraId="71A5FDE0" w14:textId="77777777">
      <w:pPr>
        <w:tabs>
          <w:tab w:val="center" w:pos="4680"/>
        </w:tabs>
        <w:jc w:val="center"/>
        <w:rPr>
          <w:rFonts w:ascii="Times New Roman" w:hAnsi="Times New Roman"/>
          <w:bCs/>
        </w:rPr>
      </w:pPr>
      <w:r w:rsidRPr="00D5405A">
        <w:rPr>
          <w:rFonts w:ascii="Times New Roman" w:hAnsi="Times New Roman"/>
          <w:bCs/>
        </w:rPr>
        <w:t>Internal Revenue Service</w:t>
      </w:r>
    </w:p>
    <w:p w:rsidR="00BC6ED7" w:rsidP="00526997" w:rsidRDefault="00526997" w14:paraId="0809738A" w14:textId="77777777">
      <w:pPr>
        <w:tabs>
          <w:tab w:val="center" w:pos="4680"/>
        </w:tabs>
        <w:jc w:val="center"/>
        <w:rPr>
          <w:rFonts w:ascii="Times New Roman" w:hAnsi="Times New Roman"/>
          <w:bCs/>
        </w:rPr>
      </w:pPr>
      <w:r w:rsidRPr="00BC6ED7">
        <w:rPr>
          <w:rFonts w:ascii="Times New Roman" w:hAnsi="Times New Roman"/>
          <w:bCs/>
        </w:rPr>
        <w:t xml:space="preserve">Requirements </w:t>
      </w:r>
      <w:r w:rsidR="00BC6ED7">
        <w:rPr>
          <w:rFonts w:ascii="Times New Roman" w:hAnsi="Times New Roman"/>
          <w:bCs/>
        </w:rPr>
        <w:t>f</w:t>
      </w:r>
      <w:r w:rsidRPr="00BC6ED7">
        <w:rPr>
          <w:rFonts w:ascii="Times New Roman" w:hAnsi="Times New Roman"/>
          <w:bCs/>
        </w:rPr>
        <w:t xml:space="preserve">or Investments to Qualify under Section 936(d)(4) </w:t>
      </w:r>
    </w:p>
    <w:p w:rsidRPr="00BC6ED7" w:rsidR="0042327E" w:rsidP="00526997" w:rsidRDefault="00526997" w14:paraId="6DA21DAB" w14:textId="77777777">
      <w:pPr>
        <w:tabs>
          <w:tab w:val="center" w:pos="4680"/>
        </w:tabs>
        <w:jc w:val="center"/>
        <w:rPr>
          <w:rFonts w:ascii="Times New Roman" w:hAnsi="Times New Roman"/>
          <w:bCs/>
        </w:rPr>
      </w:pPr>
      <w:r w:rsidRPr="00BC6ED7">
        <w:rPr>
          <w:rFonts w:ascii="Times New Roman" w:hAnsi="Times New Roman"/>
          <w:bCs/>
        </w:rPr>
        <w:t>as Investments in Qualified Caribbean Basin Countries</w:t>
      </w:r>
    </w:p>
    <w:p w:rsidRPr="00F820CF" w:rsidR="0042327E" w:rsidP="008362FD" w:rsidRDefault="0067075A" w14:paraId="7F590D39" w14:textId="77777777">
      <w:pPr>
        <w:tabs>
          <w:tab w:val="center" w:pos="4680"/>
        </w:tabs>
        <w:rPr>
          <w:rFonts w:ascii="Times New Roman" w:hAnsi="Times New Roman"/>
          <w:b/>
          <w:bCs/>
        </w:rPr>
      </w:pPr>
      <w:r w:rsidRPr="00F820CF">
        <w:rPr>
          <w:rFonts w:ascii="Times New Roman" w:hAnsi="Times New Roman"/>
          <w:b/>
          <w:bCs/>
        </w:rPr>
        <w:tab/>
      </w:r>
      <w:r w:rsidRPr="00BC6ED7">
        <w:rPr>
          <w:rFonts w:ascii="Times New Roman" w:hAnsi="Times New Roman"/>
          <w:bCs/>
        </w:rPr>
        <w:t>OMB #</w:t>
      </w:r>
      <w:r w:rsidRPr="00F820CF">
        <w:rPr>
          <w:rFonts w:ascii="Times New Roman" w:hAnsi="Times New Roman"/>
          <w:b/>
          <w:bCs/>
        </w:rPr>
        <w:t xml:space="preserve"> 1545-1138</w:t>
      </w:r>
    </w:p>
    <w:p w:rsidRPr="00F820CF" w:rsidR="0042327E" w:rsidRDefault="0042327E" w14:paraId="165D3753" w14:textId="77777777">
      <w:pPr>
        <w:rPr>
          <w:rFonts w:ascii="Times New Roman" w:hAnsi="Times New Roman"/>
          <w:b/>
          <w:bCs/>
        </w:rPr>
      </w:pPr>
    </w:p>
    <w:p w:rsidRPr="00F820CF" w:rsidR="0042327E" w:rsidRDefault="0042327E" w14:paraId="1120291F"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19D6460F" w14:textId="77777777">
      <w:pPr>
        <w:rPr>
          <w:rFonts w:ascii="Times New Roman" w:hAnsi="Times New Roman"/>
        </w:rPr>
      </w:pPr>
    </w:p>
    <w:p w:rsidRPr="00F820CF" w:rsidR="0042327E" w:rsidRDefault="007039F8" w14:paraId="4C4A5EFA" w14:textId="77777777">
      <w:pPr>
        <w:ind w:left="720"/>
        <w:rPr>
          <w:rFonts w:ascii="Times New Roman" w:hAnsi="Times New Roman"/>
        </w:rPr>
      </w:pPr>
      <w:r>
        <w:rPr>
          <w:rFonts w:ascii="Times New Roman" w:hAnsi="Times New Roman"/>
        </w:rPr>
        <w:t xml:space="preserve">Internal Revenue Code (IRC) </w:t>
      </w:r>
      <w:r w:rsidRPr="00F820CF" w:rsidR="0042327E">
        <w:rPr>
          <w:rFonts w:ascii="Times New Roman" w:hAnsi="Times New Roman"/>
        </w:rPr>
        <w:t>Section 936(d)(4) expands the definition of "qualified possession source investment income" by providing that an investment in a qualified financial institution will, subject to such conditions as the Secretary of the Treasury prescribes pursuant to regulations, be treated as used in Puerto Rico to the extent used by such financial institution for investment in accordance with the goals and purposes of the Caribbean Basin Economic Recovery Act (P.L. 98</w:t>
      </w:r>
      <w:r w:rsidRPr="00F820CF" w:rsidR="0042327E">
        <w:rPr>
          <w:rFonts w:ascii="Times New Roman" w:hAnsi="Times New Roman"/>
        </w:rPr>
        <w:noBreakHyphen/>
        <w:t>67 (Aug. 5, 1983)), in active business assets or development projects in a qualified Caribbean Basin country.  Income that is qualified possession source investment income is entitled to a quasi</w:t>
      </w:r>
      <w:r w:rsidRPr="00F820CF" w:rsidR="0042327E">
        <w:rPr>
          <w:rFonts w:ascii="Times New Roman" w:hAnsi="Times New Roman"/>
        </w:rPr>
        <w:noBreakHyphen/>
        <w:t xml:space="preserve">tax exemption by reason of the </w:t>
      </w:r>
      <w:smartTag w:uri="urn:schemas-microsoft-com:office:smarttags" w:element="country-region">
        <w:r w:rsidR="0042327E" w:rsidRPr="00F820CF">
          <w:rPr>
            <w:rFonts w:ascii="Times New Roman" w:hAnsi="Times New Roman"/>
          </w:rPr>
          <w:t>U.S.</w:t>
        </w:r>
      </w:smartTag>
      <w:r w:rsidRPr="00F820CF" w:rsidR="0042327E">
        <w:rPr>
          <w:rFonts w:ascii="Times New Roman" w:hAnsi="Times New Roman"/>
        </w:rPr>
        <w:t xml:space="preserve"> possessions tax credit under section 936(a) and substantial tax exemptions in </w:t>
      </w:r>
      <w:smartTag w:uri="urn:schemas-microsoft-com:office:smarttags" w:element="place">
        <w:r w:rsidR="0042327E" w:rsidRPr="00F820CF">
          <w:rPr>
            <w:rFonts w:ascii="Times New Roman" w:hAnsi="Times New Roman"/>
          </w:rPr>
          <w:t>Puerto Rico</w:t>
        </w:r>
      </w:smartTag>
      <w:r w:rsidRPr="00F820CF" w:rsidR="0042327E">
        <w:rPr>
          <w:rFonts w:ascii="Times New Roman" w:hAnsi="Times New Roman"/>
        </w:rPr>
        <w:t>.  Section 936(d)(4)(C) places certification requirements on the recipient of the investment and the qualified financial institution; and recordkeeping requirements on the financial institution and the recipient of the investment funds to enable the Secretary to ensure that the requirements of section 936(d)(4) are being fulfilled.  Sections 1.936</w:t>
      </w:r>
      <w:r w:rsidRPr="00F820CF" w:rsidR="0042327E">
        <w:rPr>
          <w:rFonts w:ascii="Times New Roman" w:hAnsi="Times New Roman"/>
        </w:rPr>
        <w:noBreakHyphen/>
        <w:t xml:space="preserve">10(c)(12) and (13) enumerate </w:t>
      </w:r>
      <w:r w:rsidRPr="00F820CF" w:rsidR="00BC6ED7">
        <w:rPr>
          <w:rFonts w:ascii="Times New Roman" w:hAnsi="Times New Roman"/>
        </w:rPr>
        <w:t>these certifications</w:t>
      </w:r>
      <w:r w:rsidRPr="00F820CF" w:rsidR="0042327E">
        <w:rPr>
          <w:rFonts w:ascii="Times New Roman" w:hAnsi="Times New Roman"/>
        </w:rPr>
        <w:t xml:space="preserve"> and continuing due diligence requirements.</w:t>
      </w:r>
    </w:p>
    <w:p w:rsidRPr="00F820CF" w:rsidR="0042327E" w:rsidRDefault="0042327E" w14:paraId="5C2A7921" w14:textId="77777777">
      <w:pPr>
        <w:rPr>
          <w:rFonts w:ascii="Times New Roman" w:hAnsi="Times New Roman"/>
        </w:rPr>
      </w:pPr>
      <w:r w:rsidRPr="00F820CF">
        <w:rPr>
          <w:rFonts w:ascii="Times New Roman" w:hAnsi="Times New Roman"/>
        </w:rPr>
        <w:t xml:space="preserve">     </w:t>
      </w:r>
    </w:p>
    <w:p w:rsidRPr="00F820CF" w:rsidR="0042327E" w:rsidRDefault="0042327E" w14:paraId="6475DECC"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18F122F6" w14:textId="77777777">
      <w:pPr>
        <w:rPr>
          <w:rFonts w:ascii="Times New Roman" w:hAnsi="Times New Roman"/>
        </w:rPr>
      </w:pPr>
    </w:p>
    <w:p w:rsidRPr="00F820CF" w:rsidR="0042327E" w:rsidRDefault="0042327E" w14:paraId="75D6EB97" w14:textId="77777777">
      <w:pPr>
        <w:ind w:left="720"/>
        <w:rPr>
          <w:rFonts w:ascii="Times New Roman" w:hAnsi="Times New Roman"/>
        </w:rPr>
      </w:pPr>
      <w:r w:rsidRPr="00F820CF">
        <w:rPr>
          <w:rFonts w:ascii="Times New Roman" w:hAnsi="Times New Roman"/>
        </w:rPr>
        <w:t>The certification and recordkeeping requirements that sections 1.936</w:t>
      </w:r>
      <w:r w:rsidRPr="00F820CF">
        <w:rPr>
          <w:rFonts w:ascii="Times New Roman" w:hAnsi="Times New Roman"/>
        </w:rPr>
        <w:noBreakHyphen/>
        <w:t>10(c)(12) and (13) place on the recipients of investments and the qualified financial institutions are used by the IRS to verify that the investment funds are being used properly and in accordance with the purposes of the Caribbean Basin Economic Recovery Act.</w:t>
      </w:r>
    </w:p>
    <w:p w:rsidRPr="00F820CF" w:rsidR="0042327E" w:rsidRDefault="0042327E" w14:paraId="5118F0D9" w14:textId="77777777">
      <w:pPr>
        <w:rPr>
          <w:rFonts w:ascii="Times New Roman" w:hAnsi="Times New Roman"/>
        </w:rPr>
      </w:pPr>
      <w:r w:rsidRPr="00F820CF">
        <w:rPr>
          <w:rFonts w:ascii="Times New Roman" w:hAnsi="Times New Roman"/>
        </w:rPr>
        <w:t xml:space="preserve">               </w:t>
      </w:r>
    </w:p>
    <w:p w:rsidRPr="00F820CF" w:rsidR="0042327E" w:rsidRDefault="0042327E" w14:paraId="44DC8B60"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5BDBB3D8" w14:textId="77777777">
      <w:pPr>
        <w:rPr>
          <w:rFonts w:ascii="Times New Roman" w:hAnsi="Times New Roman"/>
        </w:rPr>
      </w:pPr>
    </w:p>
    <w:p w:rsidRPr="00F820CF" w:rsidR="00A66703" w:rsidRDefault="00EC289E" w14:paraId="168F5ABC" w14:textId="77777777">
      <w:pPr>
        <w:ind w:left="720"/>
        <w:rPr>
          <w:rFonts w:ascii="Times New Roman" w:hAnsi="Times New Roman"/>
        </w:rPr>
      </w:pPr>
      <w:r>
        <w:rPr>
          <w:rFonts w:ascii="Times New Roman" w:hAnsi="Times New Roman"/>
        </w:rPr>
        <w:t xml:space="preserve">Because there are no reporting requirements associated with TD 8350, electronic filing is not possible. </w:t>
      </w:r>
      <w:r w:rsidRPr="00F820CF" w:rsidR="0042327E">
        <w:rPr>
          <w:rFonts w:ascii="Times New Roman" w:hAnsi="Times New Roman"/>
        </w:rPr>
        <w:t>IRS publication, regulations, notices and letters are to be electronically enabled on an as practicable basis in accordance with the IRS Reform and Restructuring Act of 1998.</w:t>
      </w:r>
    </w:p>
    <w:p w:rsidRPr="00F820CF" w:rsidR="0042327E" w:rsidRDefault="0042327E" w14:paraId="14989C0A" w14:textId="77777777">
      <w:pPr>
        <w:ind w:firstLine="720"/>
        <w:rPr>
          <w:rFonts w:ascii="Times New Roman" w:hAnsi="Times New Roman"/>
        </w:rPr>
      </w:pPr>
    </w:p>
    <w:p w:rsidRPr="00F820CF" w:rsidR="0042327E" w:rsidRDefault="0042327E" w14:paraId="3DA6F8E2"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49A6DA5B" w14:textId="77777777">
      <w:pPr>
        <w:rPr>
          <w:rFonts w:ascii="Times New Roman" w:hAnsi="Times New Roman"/>
        </w:rPr>
      </w:pPr>
    </w:p>
    <w:p w:rsidRPr="00F820CF" w:rsidR="00CF6A91" w:rsidRDefault="0042327E" w14:paraId="2113B040" w14:textId="77777777">
      <w:pPr>
        <w:ind w:left="720"/>
        <w:rPr>
          <w:rFonts w:ascii="Times New Roman" w:hAnsi="Times New Roman"/>
        </w:rPr>
      </w:pPr>
      <w:r w:rsidRPr="00F820CF">
        <w:rPr>
          <w:rFonts w:ascii="Times New Roman" w:hAnsi="Times New Roman"/>
        </w:rPr>
        <w:t xml:space="preserve">We have attempted to eliminate duplication within the agency wherever possible.  </w:t>
      </w:r>
    </w:p>
    <w:p w:rsidRPr="00F820CF" w:rsidR="0042327E" w:rsidRDefault="0042327E" w14:paraId="0B5D3CE7" w14:textId="77777777">
      <w:pPr>
        <w:rPr>
          <w:rFonts w:ascii="Times New Roman" w:hAnsi="Times New Roman"/>
        </w:rPr>
      </w:pPr>
    </w:p>
    <w:p w:rsidRPr="00F820CF" w:rsidR="0042327E" w:rsidRDefault="0042327E" w14:paraId="12F61F7F"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0722F9BF" w14:textId="77777777">
      <w:pPr>
        <w:rPr>
          <w:rFonts w:ascii="Times New Roman" w:hAnsi="Times New Roman"/>
        </w:rPr>
      </w:pPr>
    </w:p>
    <w:p w:rsidRPr="00F820CF" w:rsidR="0042327E" w:rsidP="00BC6ED7" w:rsidRDefault="008255E6" w14:paraId="63D3C71C" w14:textId="3CEEA34C">
      <w:pPr>
        <w:ind w:left="720"/>
        <w:rPr>
          <w:rFonts w:ascii="Times New Roman" w:hAnsi="Times New Roman"/>
        </w:rPr>
      </w:pPr>
      <w:r w:rsidRPr="008255E6">
        <w:rPr>
          <w:rFonts w:ascii="Times New Roman" w:hAnsi="Times New Roman"/>
        </w:rPr>
        <w:t xml:space="preserve">Small businesses should not be disadvantaged as the requirements are structured to </w:t>
      </w:r>
      <w:r w:rsidRPr="008255E6">
        <w:rPr>
          <w:rFonts w:ascii="Times New Roman" w:hAnsi="Times New Roman"/>
        </w:rPr>
        <w:lastRenderedPageBreak/>
        <w:t xml:space="preserve">request the least amount of information and still satisfy the requirements of the statute and the needs of the Service.  It was been determined in TD 8350 (56 FR 21926), that these rules </w:t>
      </w:r>
      <w:r w:rsidRPr="00BC6ED7" w:rsidR="00BC6ED7">
        <w:rPr>
          <w:rFonts w:ascii="Times New Roman" w:hAnsi="Times New Roman"/>
        </w:rPr>
        <w:t>are not major rules as defined in Executive Order 12291. Therefore, a</w:t>
      </w:r>
      <w:r w:rsidR="00BC6ED7">
        <w:rPr>
          <w:rFonts w:ascii="Times New Roman" w:hAnsi="Times New Roman"/>
        </w:rPr>
        <w:t xml:space="preserve"> </w:t>
      </w:r>
      <w:r w:rsidRPr="00BC6ED7" w:rsidR="00BC6ED7">
        <w:rPr>
          <w:rFonts w:ascii="Times New Roman" w:hAnsi="Times New Roman"/>
        </w:rPr>
        <w:t>Regulatory Impact Analysis is not required. It has also been determined that section 553(b) of the Administrative</w:t>
      </w:r>
      <w:r w:rsidR="00BC6ED7">
        <w:rPr>
          <w:rFonts w:ascii="Times New Roman" w:hAnsi="Times New Roman"/>
        </w:rPr>
        <w:t xml:space="preserve"> </w:t>
      </w:r>
      <w:r w:rsidRPr="00BC6ED7" w:rsidR="00BC6ED7">
        <w:rPr>
          <w:rFonts w:ascii="Times New Roman" w:hAnsi="Times New Roman"/>
        </w:rPr>
        <w:t>Procedure Act (5 U.S.C. chapter 5) and the Regulatory Flexibility Act (5 U.S.C. chapter 6) do not apply to these</w:t>
      </w:r>
      <w:r w:rsidR="00BC6ED7">
        <w:rPr>
          <w:rFonts w:ascii="Times New Roman" w:hAnsi="Times New Roman"/>
        </w:rPr>
        <w:t xml:space="preserve"> </w:t>
      </w:r>
      <w:r w:rsidRPr="00BC6ED7" w:rsidR="00BC6ED7">
        <w:rPr>
          <w:rFonts w:ascii="Times New Roman" w:hAnsi="Times New Roman"/>
        </w:rPr>
        <w:t>regulations, and, therefore, a final Regulatory Flexibility Analysis is not required. Pursuant to section 7805(f) of the</w:t>
      </w:r>
      <w:r w:rsidR="00BC6ED7">
        <w:rPr>
          <w:rFonts w:ascii="Times New Roman" w:hAnsi="Times New Roman"/>
        </w:rPr>
        <w:t xml:space="preserve"> </w:t>
      </w:r>
      <w:r w:rsidRPr="00BC6ED7" w:rsidR="00BC6ED7">
        <w:rPr>
          <w:rFonts w:ascii="Times New Roman" w:hAnsi="Times New Roman"/>
        </w:rPr>
        <w:t>Code, the notice of proposed rulemaking was submitted to the Chief Counsel for Advocacy of the Small Business</w:t>
      </w:r>
      <w:r w:rsidR="00BC6ED7">
        <w:rPr>
          <w:rFonts w:ascii="Times New Roman" w:hAnsi="Times New Roman"/>
        </w:rPr>
        <w:t xml:space="preserve"> </w:t>
      </w:r>
      <w:r w:rsidRPr="00BC6ED7" w:rsidR="00BC6ED7">
        <w:rPr>
          <w:rFonts w:ascii="Times New Roman" w:hAnsi="Times New Roman"/>
        </w:rPr>
        <w:t>Administration for comment on its impact on small business.</w:t>
      </w:r>
    </w:p>
    <w:p w:rsidRPr="00F820CF" w:rsidR="0042327E" w:rsidRDefault="0042327E" w14:paraId="4E8A7C40" w14:textId="77777777">
      <w:pPr>
        <w:rPr>
          <w:rFonts w:ascii="Times New Roman" w:hAnsi="Times New Roman"/>
        </w:rPr>
      </w:pPr>
    </w:p>
    <w:p w:rsidRPr="00F820CF" w:rsidR="0042327E" w:rsidRDefault="0042327E" w14:paraId="31CD7F7D" w14:textId="77777777">
      <w:pPr>
        <w:rPr>
          <w:rFonts w:ascii="Times New Roman" w:hAnsi="Times New Roman"/>
        </w:rPr>
        <w:sectPr w:rsidRPr="00F820CF" w:rsidR="0042327E">
          <w:pgSz w:w="12240" w:h="15840"/>
          <w:pgMar w:top="1440" w:right="1440" w:bottom="1440" w:left="1440" w:header="1440" w:footer="1440" w:gutter="0"/>
          <w:cols w:space="720"/>
          <w:noEndnote/>
        </w:sectPr>
      </w:pPr>
    </w:p>
    <w:p w:rsidRPr="00F820CF" w:rsidR="0042327E" w:rsidRDefault="0042327E" w14:paraId="33A0A8E4"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14:paraId="357BFB6F" w14:textId="77777777">
      <w:pPr>
        <w:rPr>
          <w:rFonts w:ascii="Times New Roman" w:hAnsi="Times New Roman"/>
        </w:rPr>
      </w:pPr>
    </w:p>
    <w:p w:rsidRPr="00F820CF" w:rsidR="0042327E" w:rsidP="005F3C3B" w:rsidRDefault="005F3C3B" w14:paraId="7069AB89" w14:textId="77777777">
      <w:pPr>
        <w:ind w:left="720"/>
        <w:rPr>
          <w:rFonts w:ascii="Times New Roman" w:hAnsi="Times New Roman"/>
        </w:rPr>
      </w:pPr>
      <w:r w:rsidRPr="00F820CF">
        <w:rPr>
          <w:rFonts w:ascii="Times New Roman" w:hAnsi="Times New Roman"/>
        </w:rPr>
        <w:t xml:space="preserve">A less frequent collection will </w:t>
      </w:r>
      <w:r w:rsidRPr="00F820CF" w:rsidR="008F187B">
        <w:rPr>
          <w:rFonts w:ascii="Times New Roman" w:hAnsi="Times New Roman"/>
        </w:rPr>
        <w:t>not enable the IRS to verify that the investment funds are being used properly and in accordance with the purposes of the Caribbean Basin Economic Recovery Act.</w:t>
      </w:r>
    </w:p>
    <w:p w:rsidRPr="00F820CF" w:rsidR="008F187B" w:rsidP="005F3C3B" w:rsidRDefault="008F187B" w14:paraId="20E69B49" w14:textId="77777777">
      <w:pPr>
        <w:ind w:left="720"/>
        <w:rPr>
          <w:rFonts w:ascii="Times New Roman" w:hAnsi="Times New Roman"/>
        </w:rPr>
      </w:pPr>
    </w:p>
    <w:p w:rsidRPr="00F820CF" w:rsidR="0042327E" w:rsidRDefault="0042327E" w14:paraId="49E00461"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3214D44E" w14:textId="77777777">
      <w:pPr>
        <w:rPr>
          <w:rFonts w:ascii="Times New Roman" w:hAnsi="Times New Roman"/>
        </w:rPr>
      </w:pPr>
    </w:p>
    <w:p w:rsidRPr="00F820CF" w:rsidR="0042327E" w:rsidRDefault="005F3C3B" w14:paraId="642190B8"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42327E" w:rsidRDefault="0042327E" w14:paraId="76B9E19F" w14:textId="77777777">
      <w:pPr>
        <w:rPr>
          <w:rFonts w:ascii="Times New Roman" w:hAnsi="Times New Roman"/>
        </w:rPr>
      </w:pPr>
    </w:p>
    <w:p w:rsidRPr="00F820CF" w:rsidR="0042327E" w:rsidRDefault="0042327E" w14:paraId="5411777D"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3D21D173" w14:textId="77777777">
      <w:pPr>
        <w:rPr>
          <w:rFonts w:ascii="Times New Roman" w:hAnsi="Times New Roman"/>
        </w:rPr>
      </w:pPr>
    </w:p>
    <w:p w:rsidRPr="00BC6ED7" w:rsidR="00BC6ED7" w:rsidP="00BC6ED7" w:rsidRDefault="00BC6ED7" w14:paraId="556CF6DA" w14:textId="77777777">
      <w:pPr>
        <w:ind w:left="720"/>
        <w:rPr>
          <w:rFonts w:ascii="Times New Roman" w:hAnsi="Times New Roman"/>
        </w:rPr>
      </w:pPr>
      <w:r w:rsidRPr="00BC6ED7">
        <w:rPr>
          <w:rFonts w:ascii="Times New Roman" w:hAnsi="Times New Roman"/>
        </w:rPr>
        <w:t>On September 22, 1989, the Federal Register published proposed and temporary Income Tax Regulations (26 CFR</w:t>
      </w:r>
      <w:r>
        <w:rPr>
          <w:rFonts w:ascii="Times New Roman" w:hAnsi="Times New Roman"/>
        </w:rPr>
        <w:t xml:space="preserve"> </w:t>
      </w:r>
      <w:r w:rsidRPr="00BC6ED7">
        <w:rPr>
          <w:rFonts w:ascii="Times New Roman" w:hAnsi="Times New Roman"/>
        </w:rPr>
        <w:t>part 1) [T.D. 8268, 1989-2 C.B. 134] under section 936(d)(4)</w:t>
      </w:r>
      <w:r>
        <w:rPr>
          <w:rFonts w:ascii="Times New Roman" w:hAnsi="Times New Roman"/>
        </w:rPr>
        <w:t xml:space="preserve"> </w:t>
      </w:r>
      <w:r w:rsidRPr="00BC6ED7">
        <w:rPr>
          <w:rFonts w:ascii="Times New Roman" w:hAnsi="Times New Roman"/>
        </w:rPr>
        <w:t>of the Internal Revenue Code of 1986, which section was</w:t>
      </w:r>
      <w:r>
        <w:rPr>
          <w:rFonts w:ascii="Times New Roman" w:hAnsi="Times New Roman"/>
        </w:rPr>
        <w:t xml:space="preserve"> </w:t>
      </w:r>
      <w:r w:rsidRPr="00BC6ED7">
        <w:rPr>
          <w:rFonts w:ascii="Times New Roman" w:hAnsi="Times New Roman"/>
        </w:rPr>
        <w:t>enacted by section 1231(c) of the Tax Reform Act of 1986 (100 Stat. 2085). Written comments responding to the notice</w:t>
      </w:r>
    </w:p>
    <w:p w:rsidR="00BC6ED7" w:rsidP="00BC6ED7" w:rsidRDefault="00BC6ED7" w14:paraId="5046ED60" w14:textId="77777777">
      <w:pPr>
        <w:ind w:left="720"/>
        <w:rPr>
          <w:rFonts w:ascii="Times New Roman" w:hAnsi="Times New Roman"/>
        </w:rPr>
      </w:pPr>
      <w:r w:rsidRPr="00BC6ED7">
        <w:rPr>
          <w:rFonts w:ascii="Times New Roman" w:hAnsi="Times New Roman"/>
        </w:rPr>
        <w:t>of proposed amendment were received. Also, a request for public hearings was received and hearings were held on</w:t>
      </w:r>
      <w:r>
        <w:rPr>
          <w:rFonts w:ascii="Times New Roman" w:hAnsi="Times New Roman"/>
        </w:rPr>
        <w:t xml:space="preserve"> </w:t>
      </w:r>
      <w:r w:rsidRPr="00BC6ED7">
        <w:rPr>
          <w:rFonts w:ascii="Times New Roman" w:hAnsi="Times New Roman"/>
        </w:rPr>
        <w:t>March 19, 1990. After consideration of all comments</w:t>
      </w:r>
      <w:r w:rsidR="00AE66E5">
        <w:rPr>
          <w:rFonts w:ascii="Times New Roman" w:hAnsi="Times New Roman"/>
        </w:rPr>
        <w:t xml:space="preserve"> </w:t>
      </w:r>
      <w:r w:rsidRPr="00BC6ED7">
        <w:rPr>
          <w:rFonts w:ascii="Times New Roman" w:hAnsi="Times New Roman"/>
        </w:rPr>
        <w:t>regarding the proposed amendments, many of those amendments</w:t>
      </w:r>
      <w:r>
        <w:rPr>
          <w:rFonts w:ascii="Times New Roman" w:hAnsi="Times New Roman"/>
        </w:rPr>
        <w:t xml:space="preserve"> were </w:t>
      </w:r>
      <w:r w:rsidRPr="00BC6ED7">
        <w:rPr>
          <w:rFonts w:ascii="Times New Roman" w:hAnsi="Times New Roman"/>
        </w:rPr>
        <w:t>adopted by Treasury Decision</w:t>
      </w:r>
      <w:r>
        <w:rPr>
          <w:rFonts w:ascii="Times New Roman" w:hAnsi="Times New Roman"/>
        </w:rPr>
        <w:t xml:space="preserve"> 8350 (56 FR 21926</w:t>
      </w:r>
      <w:r w:rsidR="00D20B84">
        <w:rPr>
          <w:rFonts w:ascii="Times New Roman" w:hAnsi="Times New Roman"/>
        </w:rPr>
        <w:t>, May 13, 1991)</w:t>
      </w:r>
      <w:r w:rsidRPr="00BC6ED7">
        <w:rPr>
          <w:rFonts w:ascii="Times New Roman" w:hAnsi="Times New Roman"/>
        </w:rPr>
        <w:t xml:space="preserve">, some with revisions. The significant comments and suggestions </w:t>
      </w:r>
      <w:r>
        <w:rPr>
          <w:rFonts w:ascii="Times New Roman" w:hAnsi="Times New Roman"/>
        </w:rPr>
        <w:t xml:space="preserve">were </w:t>
      </w:r>
      <w:r w:rsidRPr="00BC6ED7">
        <w:rPr>
          <w:rFonts w:ascii="Times New Roman" w:hAnsi="Times New Roman"/>
        </w:rPr>
        <w:t>described</w:t>
      </w:r>
      <w:r>
        <w:rPr>
          <w:rFonts w:ascii="Times New Roman" w:hAnsi="Times New Roman"/>
        </w:rPr>
        <w:t xml:space="preserve"> in TD 8350</w:t>
      </w:r>
      <w:r w:rsidRPr="00BC6ED7">
        <w:rPr>
          <w:rFonts w:ascii="Times New Roman" w:hAnsi="Times New Roman"/>
        </w:rPr>
        <w:t>.</w:t>
      </w:r>
    </w:p>
    <w:p w:rsidR="00BC6ED7" w:rsidRDefault="00BC6ED7" w14:paraId="4C0D5018" w14:textId="77777777">
      <w:pPr>
        <w:ind w:left="720"/>
        <w:rPr>
          <w:rFonts w:ascii="Times New Roman" w:hAnsi="Times New Roman"/>
        </w:rPr>
      </w:pPr>
    </w:p>
    <w:p w:rsidRPr="00F820CF" w:rsidR="0042327E" w:rsidRDefault="0042327E" w14:paraId="35C688DA" w14:textId="77777777">
      <w:pPr>
        <w:ind w:left="720"/>
        <w:rPr>
          <w:rFonts w:ascii="Times New Roman" w:hAnsi="Times New Roman"/>
        </w:rPr>
      </w:pPr>
      <w:r w:rsidRPr="00F820CF">
        <w:rPr>
          <w:rFonts w:ascii="Times New Roman" w:hAnsi="Times New Roman"/>
        </w:rPr>
        <w:t>We received no comments during the comment period in response to the</w:t>
      </w:r>
      <w:r w:rsidRPr="00F820CF">
        <w:rPr>
          <w:rFonts w:ascii="Times New Roman" w:hAnsi="Times New Roman"/>
          <w:b/>
          <w:bCs/>
        </w:rPr>
        <w:t xml:space="preserve"> Federal Register</w:t>
      </w:r>
      <w:r w:rsidRPr="00F820CF">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sidR="00AE66E5">
        <w:rPr>
          <w:rFonts w:ascii="Times New Roman" w:hAnsi="Times New Roman"/>
        </w:rPr>
        <w:t>4</w:t>
      </w:r>
      <w:r w:rsidRPr="00F820CF" w:rsidR="00CF6A91">
        <w:rPr>
          <w:rFonts w:ascii="Times New Roman" w:hAnsi="Times New Roman"/>
        </w:rPr>
        <w:t xml:space="preserve"> FR </w:t>
      </w:r>
      <w:r w:rsidR="008362FD">
        <w:rPr>
          <w:rFonts w:ascii="Times New Roman" w:hAnsi="Times New Roman"/>
        </w:rPr>
        <w:t>61137</w:t>
      </w:r>
      <w:r w:rsidRPr="00F820CF" w:rsidR="00CF6A91">
        <w:rPr>
          <w:rFonts w:ascii="Times New Roman" w:hAnsi="Times New Roman"/>
        </w:rPr>
        <w:t xml:space="preserve">), </w:t>
      </w:r>
      <w:r w:rsidRPr="00F820CF">
        <w:rPr>
          <w:rFonts w:ascii="Times New Roman" w:hAnsi="Times New Roman"/>
        </w:rPr>
        <w:t xml:space="preserve">dated </w:t>
      </w:r>
      <w:r w:rsidRPr="00F820CF" w:rsidR="005F3C3B">
        <w:rPr>
          <w:rFonts w:ascii="Times New Roman" w:hAnsi="Times New Roman"/>
        </w:rPr>
        <w:t xml:space="preserve">November </w:t>
      </w:r>
      <w:r w:rsidR="008362FD">
        <w:rPr>
          <w:rFonts w:ascii="Times New Roman" w:hAnsi="Times New Roman"/>
        </w:rPr>
        <w:t>12</w:t>
      </w:r>
      <w:r w:rsidRPr="00F820CF" w:rsidR="00094223">
        <w:rPr>
          <w:rFonts w:ascii="Times New Roman" w:hAnsi="Times New Roman"/>
        </w:rPr>
        <w:t>, 201</w:t>
      </w:r>
      <w:r w:rsidR="00AE66E5">
        <w:rPr>
          <w:rFonts w:ascii="Times New Roman" w:hAnsi="Times New Roman"/>
        </w:rPr>
        <w:t>9</w:t>
      </w:r>
      <w:r w:rsidRPr="00F820CF">
        <w:rPr>
          <w:rFonts w:ascii="Times New Roman" w:hAnsi="Times New Roman"/>
        </w:rPr>
        <w:t xml:space="preserve">. </w:t>
      </w:r>
    </w:p>
    <w:p w:rsidRPr="00F820CF" w:rsidR="0042327E" w:rsidRDefault="0042327E" w14:paraId="1C7CEEC3" w14:textId="77777777">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14:paraId="7FE060F7"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5DF4D16D" w14:textId="77777777">
      <w:pPr>
        <w:rPr>
          <w:rFonts w:ascii="Times New Roman" w:hAnsi="Times New Roman"/>
        </w:rPr>
      </w:pPr>
    </w:p>
    <w:p w:rsidRPr="00F820CF" w:rsidR="0042327E" w:rsidRDefault="008F187B" w14:paraId="14131971"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42327E" w:rsidRDefault="0042327E" w14:paraId="3BC3CB88" w14:textId="77777777">
      <w:pPr>
        <w:rPr>
          <w:rFonts w:ascii="Times New Roman" w:hAnsi="Times New Roman"/>
        </w:rPr>
      </w:pPr>
    </w:p>
    <w:p w:rsidRPr="00F820CF" w:rsidR="0042327E" w:rsidRDefault="0042327E" w14:paraId="6164052F" w14:textId="77777777">
      <w:pPr>
        <w:pStyle w:val="Level1"/>
        <w:tabs>
          <w:tab w:val="left" w:pos="-1440"/>
          <w:tab w:val="num" w:pos="720"/>
        </w:tabs>
        <w:rPr>
          <w:rFonts w:ascii="Times New Roman" w:hAnsi="Times New Roman"/>
        </w:rPr>
      </w:pPr>
      <w:r w:rsidRPr="00F820CF">
        <w:rPr>
          <w:rFonts w:ascii="Times New Roman" w:hAnsi="Times New Roman"/>
          <w:u w:val="single"/>
        </w:rPr>
        <w:lastRenderedPageBreak/>
        <w:t>ASSURANCE OF CONFIDENTIALITY OF RESPONSES</w:t>
      </w:r>
    </w:p>
    <w:p w:rsidRPr="00F820CF" w:rsidR="0042327E" w:rsidRDefault="0042327E" w14:paraId="5527C1AD" w14:textId="77777777">
      <w:pPr>
        <w:rPr>
          <w:rFonts w:ascii="Times New Roman" w:hAnsi="Times New Roman"/>
        </w:rPr>
      </w:pPr>
    </w:p>
    <w:p w:rsidRPr="00F820CF" w:rsidR="0042327E" w:rsidRDefault="0042327E" w14:paraId="713DEF5F"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7015146F" w14:textId="77777777">
      <w:pPr>
        <w:rPr>
          <w:rFonts w:ascii="Times New Roman" w:hAnsi="Times New Roman"/>
        </w:rPr>
      </w:pPr>
    </w:p>
    <w:p w:rsidRPr="00F820CF" w:rsidR="0042327E" w:rsidRDefault="0042327E" w14:paraId="73BDC927"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52DACD7C" w14:textId="77777777">
      <w:pPr>
        <w:rPr>
          <w:rFonts w:ascii="Times New Roman" w:hAnsi="Times New Roman"/>
          <w:u w:val="single"/>
        </w:rPr>
      </w:pPr>
    </w:p>
    <w:p w:rsidRPr="00F820CF" w:rsidR="0042327E" w:rsidRDefault="008F187B" w14:paraId="2F09F2AD" w14:textId="77777777">
      <w:pPr>
        <w:ind w:left="720"/>
        <w:rPr>
          <w:rFonts w:ascii="Times New Roman" w:hAnsi="Times New Roman"/>
        </w:rPr>
      </w:pPr>
      <w:r w:rsidRPr="00F820CF">
        <w:rPr>
          <w:rFonts w:ascii="Times New Roman" w:hAnsi="Times New Roman"/>
        </w:rPr>
        <w:t>There is no personally identifiable information (PII) in this collection</w:t>
      </w:r>
      <w:r w:rsidRPr="00F820CF" w:rsidR="0042327E">
        <w:rPr>
          <w:rFonts w:ascii="Times New Roman" w:hAnsi="Times New Roman"/>
        </w:rPr>
        <w:t>.</w:t>
      </w:r>
    </w:p>
    <w:p w:rsidRPr="00F820CF" w:rsidR="0042327E" w:rsidRDefault="0042327E" w14:paraId="2BAFAE84" w14:textId="77777777">
      <w:pPr>
        <w:rPr>
          <w:rFonts w:ascii="Times New Roman" w:hAnsi="Times New Roman"/>
        </w:rPr>
      </w:pPr>
    </w:p>
    <w:p w:rsidRPr="00F820CF" w:rsidR="0042327E" w:rsidRDefault="0042327E" w14:paraId="0DC6C55D"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1D8E383C" w14:textId="77777777">
      <w:pPr>
        <w:rPr>
          <w:rFonts w:ascii="Times New Roman" w:hAnsi="Times New Roman"/>
          <w:u w:val="single"/>
        </w:rPr>
      </w:pPr>
    </w:p>
    <w:p w:rsidRPr="00F820CF" w:rsidR="0042327E" w:rsidRDefault="0042327E" w14:paraId="74101928" w14:textId="77777777">
      <w:pPr>
        <w:rPr>
          <w:rFonts w:ascii="Times New Roman" w:hAnsi="Times New Roman"/>
          <w:u w:val="single"/>
        </w:rPr>
        <w:sectPr w:rsidRPr="00F820CF" w:rsidR="0042327E">
          <w:headerReference w:type="default" r:id="rId7"/>
          <w:type w:val="continuous"/>
          <w:pgSz w:w="12240" w:h="15840"/>
          <w:pgMar w:top="1440" w:right="1440" w:bottom="1440" w:left="1440" w:header="1440" w:footer="1440" w:gutter="0"/>
          <w:cols w:space="720"/>
          <w:noEndnote/>
        </w:sectPr>
      </w:pPr>
    </w:p>
    <w:p w:rsidRPr="00F820CF" w:rsidR="0042327E" w:rsidRDefault="0042327E" w14:paraId="28A1F8B0" w14:textId="77777777">
      <w:pPr>
        <w:ind w:left="720"/>
        <w:rPr>
          <w:rFonts w:ascii="Times New Roman" w:hAnsi="Times New Roman"/>
        </w:rPr>
      </w:pPr>
      <w:r w:rsidRPr="00F820CF">
        <w:rPr>
          <w:rFonts w:ascii="Times New Roman" w:hAnsi="Times New Roman"/>
        </w:rPr>
        <w:t>Section 1.936</w:t>
      </w:r>
      <w:r w:rsidRPr="00F820CF">
        <w:rPr>
          <w:rFonts w:ascii="Times New Roman" w:hAnsi="Times New Roman"/>
        </w:rPr>
        <w:noBreakHyphen/>
        <w:t>10(c)(12) provides that the certification responsibility placed on the recipient of the investment and the financial institution is satisfied if the financial institution submits a certificate to both the Assistant Commissioner (International) and to the Commissioner of Financial Institutions of Puerto Rico upon authorization of the investment by the Commissioner of Financial Institutions and, in any event, prior to the first disbursement of the loan proceeds to the qualified recipient or to the financial intermediary (if any).  Section l.936</w:t>
      </w:r>
      <w:r w:rsidRPr="00F820CF">
        <w:rPr>
          <w:rFonts w:ascii="Times New Roman" w:hAnsi="Times New Roman"/>
        </w:rPr>
        <w:noBreakHyphen/>
        <w:t>10(c)(13)(i) requires the recipient of the investment to submit annually to the qualified financial institution certain information concerning use of the loan proceeds.  Section 1.936</w:t>
      </w:r>
      <w:r w:rsidRPr="00F820CF">
        <w:rPr>
          <w:rFonts w:ascii="Times New Roman" w:hAnsi="Times New Roman"/>
        </w:rPr>
        <w:noBreakHyphen/>
        <w:t>10(c)(13)(ii) specifies the documents and information that the financial institution must maintain and have available for inspection by the Secretary or the Commissioner of Financial Institutions of Puerto Rico.  The total burden for these requirements is estimated to be 1,500 hours.</w:t>
      </w:r>
    </w:p>
    <w:p w:rsidRPr="00F820CF" w:rsidR="0042327E" w:rsidRDefault="0042327E" w14:paraId="68CE33CE" w14:textId="77777777">
      <w:pPr>
        <w:rPr>
          <w:rFonts w:ascii="Times New Roman" w:hAnsi="Times New Roman"/>
        </w:rPr>
      </w:pPr>
    </w:p>
    <w:tbl>
      <w:tblPr>
        <w:tblW w:w="9483" w:type="dxa"/>
        <w:tblInd w:w="93" w:type="dxa"/>
        <w:tblLook w:val="04A0" w:firstRow="1" w:lastRow="0" w:firstColumn="1" w:lastColumn="0" w:noHBand="0" w:noVBand="1"/>
      </w:tblPr>
      <w:tblGrid>
        <w:gridCol w:w="593"/>
        <w:gridCol w:w="1915"/>
        <w:gridCol w:w="1247"/>
        <w:gridCol w:w="1660"/>
        <w:gridCol w:w="1354"/>
        <w:gridCol w:w="1369"/>
        <w:gridCol w:w="1345"/>
      </w:tblGrid>
      <w:tr w:rsidRPr="00FE5C44" w:rsidR="00FE5C44" w:rsidTr="00FE5C44" w14:paraId="62D40B72" w14:textId="77777777">
        <w:trPr>
          <w:trHeight w:val="480"/>
        </w:trPr>
        <w:tc>
          <w:tcPr>
            <w:tcW w:w="593" w:type="dxa"/>
            <w:tcBorders>
              <w:top w:val="single" w:color="auto" w:sz="4" w:space="0"/>
              <w:left w:val="single" w:color="auto" w:sz="4" w:space="0"/>
              <w:bottom w:val="single" w:color="auto" w:sz="4" w:space="0"/>
              <w:right w:val="single" w:color="auto" w:sz="4" w:space="0"/>
            </w:tcBorders>
            <w:noWrap/>
            <w:vAlign w:val="center"/>
          </w:tcPr>
          <w:p w:rsidRPr="00FE5C44" w:rsidR="00FE5C44" w:rsidP="00FE5C44" w:rsidRDefault="00FE5C44" w14:paraId="49A644B2" w14:textId="77777777">
            <w:pPr>
              <w:widowControl/>
              <w:autoSpaceDE/>
              <w:adjustRightInd/>
              <w:rPr>
                <w:rFonts w:ascii="Arial Narrow" w:hAnsi="Arial Narrow" w:cs="Arial"/>
                <w:color w:val="000000"/>
                <w:sz w:val="22"/>
                <w:szCs w:val="22"/>
              </w:rPr>
            </w:pPr>
          </w:p>
        </w:tc>
        <w:tc>
          <w:tcPr>
            <w:tcW w:w="1915" w:type="dxa"/>
            <w:tcBorders>
              <w:top w:val="single" w:color="auto" w:sz="4" w:space="0"/>
              <w:left w:val="nil"/>
              <w:bottom w:val="single" w:color="auto" w:sz="4" w:space="0"/>
              <w:right w:val="single" w:color="auto" w:sz="4" w:space="0"/>
            </w:tcBorders>
            <w:noWrap/>
            <w:vAlign w:val="center"/>
            <w:hideMark/>
          </w:tcPr>
          <w:p w:rsidRPr="00FE5C44" w:rsidR="00FE5C44" w:rsidP="00FE5C44" w:rsidRDefault="00FE5C44" w14:paraId="0AA638DC" w14:textId="77777777">
            <w:pPr>
              <w:widowControl/>
              <w:autoSpaceDE/>
              <w:adjustRightInd/>
              <w:rPr>
                <w:rFonts w:ascii="Arial Narrow" w:hAnsi="Arial Narrow" w:cs="Arial"/>
                <w:color w:val="000000"/>
                <w:sz w:val="22"/>
                <w:szCs w:val="22"/>
              </w:rPr>
            </w:pPr>
            <w:r w:rsidRPr="00FE5C44">
              <w:rPr>
                <w:rFonts w:ascii="Arial Narrow" w:hAnsi="Arial Narrow" w:cs="Arial"/>
                <w:color w:val="000000"/>
                <w:sz w:val="22"/>
                <w:szCs w:val="22"/>
              </w:rPr>
              <w:t>CFR Citation</w:t>
            </w:r>
          </w:p>
        </w:tc>
        <w:tc>
          <w:tcPr>
            <w:tcW w:w="1247" w:type="dxa"/>
            <w:tcBorders>
              <w:top w:val="single" w:color="auto" w:sz="4" w:space="0"/>
              <w:left w:val="nil"/>
              <w:bottom w:val="single" w:color="auto" w:sz="4" w:space="0"/>
              <w:right w:val="single" w:color="auto" w:sz="4" w:space="0"/>
            </w:tcBorders>
            <w:vAlign w:val="center"/>
            <w:hideMark/>
          </w:tcPr>
          <w:p w:rsidRPr="00FE5C44" w:rsidR="00FE5C44" w:rsidP="00FE5C44" w:rsidRDefault="00FE5C44" w14:paraId="25DFFB62" w14:textId="77777777">
            <w:pPr>
              <w:widowControl/>
              <w:autoSpaceDE/>
              <w:adjustRightInd/>
              <w:jc w:val="center"/>
              <w:rPr>
                <w:rFonts w:ascii="Arial Narrow" w:hAnsi="Arial Narrow" w:cs="Arial"/>
                <w:color w:val="000000"/>
                <w:sz w:val="20"/>
                <w:szCs w:val="20"/>
              </w:rPr>
            </w:pPr>
            <w:r w:rsidRPr="00FE5C44">
              <w:rPr>
                <w:rFonts w:ascii="Arial Narrow" w:hAnsi="Arial Narrow" w:cs="Arial"/>
                <w:color w:val="000000"/>
                <w:sz w:val="20"/>
                <w:szCs w:val="20"/>
              </w:rPr>
              <w:t>Respondents</w:t>
            </w:r>
          </w:p>
        </w:tc>
        <w:tc>
          <w:tcPr>
            <w:tcW w:w="1660" w:type="dxa"/>
            <w:tcBorders>
              <w:top w:val="single" w:color="auto" w:sz="4" w:space="0"/>
              <w:left w:val="nil"/>
              <w:bottom w:val="single" w:color="auto" w:sz="4" w:space="0"/>
              <w:right w:val="single" w:color="auto" w:sz="4" w:space="0"/>
            </w:tcBorders>
            <w:vAlign w:val="center"/>
            <w:hideMark/>
          </w:tcPr>
          <w:p w:rsidRPr="00FE5C44" w:rsidR="00FE5C44" w:rsidP="00FE5C44" w:rsidRDefault="00FE5C44" w14:paraId="1CBB9F91" w14:textId="77777777">
            <w:pPr>
              <w:widowControl/>
              <w:autoSpaceDE/>
              <w:adjustRightInd/>
              <w:jc w:val="center"/>
              <w:rPr>
                <w:rFonts w:ascii="Arial Narrow" w:hAnsi="Arial Narrow" w:cs="Arial"/>
                <w:color w:val="000000"/>
                <w:sz w:val="20"/>
                <w:szCs w:val="20"/>
              </w:rPr>
            </w:pPr>
            <w:r w:rsidRPr="00FE5C44">
              <w:rPr>
                <w:rFonts w:ascii="Arial Narrow" w:hAnsi="Arial Narrow" w:cs="Arial"/>
                <w:color w:val="000000"/>
                <w:sz w:val="20"/>
                <w:szCs w:val="20"/>
              </w:rPr>
              <w:t xml:space="preserve"># </w:t>
            </w:r>
            <w:r>
              <w:rPr>
                <w:rFonts w:ascii="Arial Narrow" w:hAnsi="Arial Narrow" w:cs="Arial"/>
                <w:color w:val="000000"/>
                <w:sz w:val="20"/>
                <w:szCs w:val="20"/>
              </w:rPr>
              <w:t>Recordkeepers</w:t>
            </w:r>
            <w:r w:rsidRPr="00FE5C44">
              <w:rPr>
                <w:rFonts w:ascii="Arial Narrow" w:hAnsi="Arial Narrow" w:cs="Arial"/>
                <w:color w:val="000000"/>
                <w:sz w:val="20"/>
                <w:szCs w:val="20"/>
              </w:rPr>
              <w:t xml:space="preserve"> Per Respondent</w:t>
            </w:r>
          </w:p>
        </w:tc>
        <w:tc>
          <w:tcPr>
            <w:tcW w:w="1354" w:type="dxa"/>
            <w:tcBorders>
              <w:top w:val="single" w:color="auto" w:sz="4" w:space="0"/>
              <w:left w:val="nil"/>
              <w:bottom w:val="single" w:color="auto" w:sz="4" w:space="0"/>
              <w:right w:val="single" w:color="auto" w:sz="4" w:space="0"/>
            </w:tcBorders>
            <w:vAlign w:val="center"/>
            <w:hideMark/>
          </w:tcPr>
          <w:p w:rsidRPr="00FE5C44" w:rsidR="00FE5C44" w:rsidP="00FE5C44" w:rsidRDefault="00FE5C44" w14:paraId="64E543A8" w14:textId="77777777">
            <w:pPr>
              <w:widowControl/>
              <w:autoSpaceDE/>
              <w:adjustRightInd/>
              <w:jc w:val="center"/>
              <w:rPr>
                <w:rFonts w:ascii="Arial Narrow" w:hAnsi="Arial Narrow" w:cs="Arial"/>
                <w:color w:val="000000"/>
                <w:sz w:val="20"/>
                <w:szCs w:val="20"/>
              </w:rPr>
            </w:pPr>
            <w:r w:rsidRPr="00FE5C44">
              <w:rPr>
                <w:rFonts w:ascii="Arial Narrow" w:hAnsi="Arial Narrow" w:cs="Arial"/>
                <w:color w:val="000000"/>
                <w:sz w:val="20"/>
                <w:szCs w:val="20"/>
              </w:rPr>
              <w:t>Annual Recordkeeper</w:t>
            </w:r>
            <w:r>
              <w:rPr>
                <w:rFonts w:ascii="Arial Narrow" w:hAnsi="Arial Narrow" w:cs="Arial"/>
                <w:color w:val="000000"/>
                <w:sz w:val="20"/>
                <w:szCs w:val="20"/>
              </w:rPr>
              <w:t>s</w:t>
            </w:r>
          </w:p>
        </w:tc>
        <w:tc>
          <w:tcPr>
            <w:tcW w:w="1369" w:type="dxa"/>
            <w:tcBorders>
              <w:top w:val="single" w:color="auto" w:sz="4" w:space="0"/>
              <w:left w:val="nil"/>
              <w:bottom w:val="single" w:color="auto" w:sz="4" w:space="0"/>
              <w:right w:val="single" w:color="auto" w:sz="4" w:space="0"/>
            </w:tcBorders>
            <w:vAlign w:val="center"/>
            <w:hideMark/>
          </w:tcPr>
          <w:p w:rsidRPr="00FE5C44" w:rsidR="00FE5C44" w:rsidP="00FE5C44" w:rsidRDefault="00FE5C44" w14:paraId="4A6176E5" w14:textId="77777777">
            <w:pPr>
              <w:widowControl/>
              <w:autoSpaceDE/>
              <w:adjustRightInd/>
              <w:jc w:val="center"/>
              <w:rPr>
                <w:rFonts w:ascii="Arial Narrow" w:hAnsi="Arial Narrow" w:cs="Arial"/>
                <w:color w:val="000000"/>
                <w:sz w:val="20"/>
                <w:szCs w:val="20"/>
              </w:rPr>
            </w:pPr>
            <w:r>
              <w:rPr>
                <w:rFonts w:ascii="Arial Narrow" w:hAnsi="Arial Narrow" w:cs="Arial"/>
                <w:color w:val="000000"/>
                <w:sz w:val="20"/>
                <w:szCs w:val="20"/>
              </w:rPr>
              <w:t xml:space="preserve">Recordkeeping </w:t>
            </w:r>
            <w:r w:rsidRPr="00FE5C44">
              <w:rPr>
                <w:rFonts w:ascii="Arial Narrow" w:hAnsi="Arial Narrow" w:cs="Arial"/>
                <w:color w:val="000000"/>
                <w:sz w:val="20"/>
                <w:szCs w:val="20"/>
              </w:rPr>
              <w:t>Hours Per Respon</w:t>
            </w:r>
            <w:r>
              <w:rPr>
                <w:rFonts w:ascii="Arial Narrow" w:hAnsi="Arial Narrow" w:cs="Arial"/>
                <w:color w:val="000000"/>
                <w:sz w:val="20"/>
                <w:szCs w:val="20"/>
              </w:rPr>
              <w:t>dent</w:t>
            </w:r>
          </w:p>
        </w:tc>
        <w:tc>
          <w:tcPr>
            <w:tcW w:w="1345" w:type="dxa"/>
            <w:tcBorders>
              <w:top w:val="single" w:color="auto" w:sz="4" w:space="0"/>
              <w:left w:val="nil"/>
              <w:bottom w:val="single" w:color="auto" w:sz="4" w:space="0"/>
              <w:right w:val="single" w:color="auto" w:sz="4" w:space="0"/>
            </w:tcBorders>
            <w:vAlign w:val="center"/>
            <w:hideMark/>
          </w:tcPr>
          <w:p w:rsidRPr="00FE5C44" w:rsidR="00FE5C44" w:rsidP="00FE5C44" w:rsidRDefault="00FE5C44" w14:paraId="181B1A7E" w14:textId="77777777">
            <w:pPr>
              <w:widowControl/>
              <w:autoSpaceDE/>
              <w:adjustRightInd/>
              <w:jc w:val="center"/>
              <w:rPr>
                <w:rFonts w:ascii="Arial Narrow" w:hAnsi="Arial Narrow" w:cs="Arial"/>
                <w:color w:val="000000"/>
                <w:sz w:val="20"/>
                <w:szCs w:val="20"/>
              </w:rPr>
            </w:pPr>
            <w:r w:rsidRPr="00FE5C44">
              <w:rPr>
                <w:rFonts w:ascii="Arial Narrow" w:hAnsi="Arial Narrow" w:cs="Arial"/>
                <w:color w:val="000000"/>
                <w:sz w:val="20"/>
                <w:szCs w:val="20"/>
              </w:rPr>
              <w:t>Total Annual Burden</w:t>
            </w:r>
          </w:p>
        </w:tc>
      </w:tr>
      <w:tr w:rsidRPr="00FE5C44" w:rsidR="00FE5C44" w:rsidTr="00FE5C44" w14:paraId="5D79F243" w14:textId="77777777">
        <w:trPr>
          <w:trHeight w:val="395"/>
        </w:trPr>
        <w:tc>
          <w:tcPr>
            <w:tcW w:w="593" w:type="dxa"/>
            <w:tcBorders>
              <w:top w:val="nil"/>
              <w:left w:val="single" w:color="auto" w:sz="4" w:space="0"/>
              <w:bottom w:val="single" w:color="auto" w:sz="4" w:space="0"/>
              <w:right w:val="single" w:color="auto" w:sz="4" w:space="0"/>
            </w:tcBorders>
            <w:noWrap/>
            <w:vAlign w:val="center"/>
            <w:hideMark/>
          </w:tcPr>
          <w:p w:rsidRPr="00FE5C44" w:rsidR="00FE5C44" w:rsidP="00FE5C44" w:rsidRDefault="00FE5C44" w14:paraId="7BC7ECAD" w14:textId="77777777">
            <w:pPr>
              <w:widowControl/>
              <w:autoSpaceDE/>
              <w:adjustRightInd/>
              <w:jc w:val="center"/>
              <w:rPr>
                <w:rFonts w:ascii="Arial" w:hAnsi="Arial" w:cs="Arial"/>
                <w:color w:val="000000"/>
                <w:sz w:val="20"/>
                <w:szCs w:val="20"/>
              </w:rPr>
            </w:pPr>
            <w:r w:rsidRPr="00FE5C44">
              <w:rPr>
                <w:rFonts w:ascii="Arial" w:hAnsi="Arial" w:cs="Arial"/>
                <w:color w:val="000000"/>
                <w:sz w:val="20"/>
                <w:szCs w:val="20"/>
              </w:rPr>
              <w:t>1</w:t>
            </w:r>
          </w:p>
        </w:tc>
        <w:tc>
          <w:tcPr>
            <w:tcW w:w="1915" w:type="dxa"/>
            <w:tcBorders>
              <w:top w:val="nil"/>
              <w:left w:val="nil"/>
              <w:bottom w:val="single" w:color="auto" w:sz="4" w:space="0"/>
              <w:right w:val="single" w:color="auto" w:sz="4" w:space="0"/>
            </w:tcBorders>
            <w:noWrap/>
            <w:vAlign w:val="center"/>
            <w:hideMark/>
          </w:tcPr>
          <w:p w:rsidRPr="00FE5C44" w:rsidR="00FE5C44" w:rsidP="00FE5C44" w:rsidRDefault="00FE5C44" w14:paraId="3FCFA800" w14:textId="77777777">
            <w:pPr>
              <w:widowControl/>
              <w:autoSpaceDE/>
              <w:adjustRightInd/>
              <w:rPr>
                <w:rFonts w:ascii="Arial Narrow" w:hAnsi="Arial Narrow" w:cs="Arial"/>
                <w:color w:val="000000"/>
                <w:sz w:val="20"/>
                <w:szCs w:val="20"/>
              </w:rPr>
            </w:pPr>
            <w:r>
              <w:rPr>
                <w:rFonts w:ascii="Arial Narrow" w:hAnsi="Arial Narrow" w:cs="Arial"/>
                <w:color w:val="000000"/>
                <w:sz w:val="20"/>
                <w:szCs w:val="20"/>
              </w:rPr>
              <w:t>1.936-10(C)(12), -(13)</w:t>
            </w:r>
          </w:p>
        </w:tc>
        <w:tc>
          <w:tcPr>
            <w:tcW w:w="1247" w:type="dxa"/>
            <w:tcBorders>
              <w:top w:val="nil"/>
              <w:left w:val="nil"/>
              <w:bottom w:val="single" w:color="auto" w:sz="4" w:space="0"/>
              <w:right w:val="single" w:color="auto" w:sz="4" w:space="0"/>
            </w:tcBorders>
            <w:noWrap/>
            <w:vAlign w:val="center"/>
            <w:hideMark/>
          </w:tcPr>
          <w:p w:rsidRPr="00FE5C44" w:rsidR="00FE5C44" w:rsidP="00FE5C44" w:rsidRDefault="00FE5C44" w14:paraId="1C6CEB48" w14:textId="77777777">
            <w:pPr>
              <w:widowControl/>
              <w:autoSpaceDE/>
              <w:adjustRightInd/>
              <w:jc w:val="right"/>
              <w:rPr>
                <w:rFonts w:ascii="Arial" w:hAnsi="Arial" w:cs="Arial"/>
                <w:color w:val="000000"/>
                <w:sz w:val="20"/>
                <w:szCs w:val="20"/>
              </w:rPr>
            </w:pPr>
            <w:r>
              <w:rPr>
                <w:rFonts w:ascii="Arial" w:hAnsi="Arial" w:cs="Arial"/>
                <w:color w:val="000000"/>
                <w:sz w:val="20"/>
                <w:szCs w:val="20"/>
              </w:rPr>
              <w:t>50</w:t>
            </w:r>
          </w:p>
        </w:tc>
        <w:tc>
          <w:tcPr>
            <w:tcW w:w="1660" w:type="dxa"/>
            <w:tcBorders>
              <w:top w:val="nil"/>
              <w:left w:val="nil"/>
              <w:bottom w:val="single" w:color="auto" w:sz="4" w:space="0"/>
              <w:right w:val="single" w:color="auto" w:sz="4" w:space="0"/>
            </w:tcBorders>
            <w:noWrap/>
            <w:vAlign w:val="center"/>
            <w:hideMark/>
          </w:tcPr>
          <w:p w:rsidRPr="00FE5C44" w:rsidR="00FE5C44" w:rsidP="00FE5C44" w:rsidRDefault="00FE5C44" w14:paraId="198AF67C" w14:textId="77777777">
            <w:pPr>
              <w:widowControl/>
              <w:autoSpaceDE/>
              <w:adjustRightInd/>
              <w:jc w:val="center"/>
              <w:rPr>
                <w:rFonts w:ascii="Arial" w:hAnsi="Arial" w:cs="Arial"/>
                <w:color w:val="000000"/>
                <w:sz w:val="20"/>
                <w:szCs w:val="20"/>
              </w:rPr>
            </w:pPr>
            <w:r w:rsidRPr="00FE5C44">
              <w:rPr>
                <w:rFonts w:ascii="Arial" w:hAnsi="Arial" w:cs="Arial"/>
                <w:color w:val="000000"/>
                <w:sz w:val="20"/>
                <w:szCs w:val="20"/>
              </w:rPr>
              <w:t>1</w:t>
            </w:r>
          </w:p>
        </w:tc>
        <w:tc>
          <w:tcPr>
            <w:tcW w:w="1354" w:type="dxa"/>
            <w:tcBorders>
              <w:top w:val="nil"/>
              <w:left w:val="nil"/>
              <w:bottom w:val="single" w:color="auto" w:sz="4" w:space="0"/>
              <w:right w:val="single" w:color="auto" w:sz="4" w:space="0"/>
            </w:tcBorders>
            <w:noWrap/>
            <w:vAlign w:val="center"/>
            <w:hideMark/>
          </w:tcPr>
          <w:p w:rsidRPr="00FE5C44" w:rsidR="00FE5C44" w:rsidP="00FE5C44" w:rsidRDefault="00FE5C44" w14:paraId="031EB7E9" w14:textId="77777777">
            <w:pPr>
              <w:widowControl/>
              <w:autoSpaceDE/>
              <w:adjustRightInd/>
              <w:jc w:val="right"/>
              <w:rPr>
                <w:rFonts w:ascii="Arial" w:hAnsi="Arial" w:cs="Arial"/>
                <w:color w:val="000000"/>
                <w:sz w:val="20"/>
                <w:szCs w:val="20"/>
              </w:rPr>
            </w:pPr>
            <w:r>
              <w:rPr>
                <w:rFonts w:ascii="Arial" w:hAnsi="Arial" w:cs="Arial"/>
                <w:color w:val="000000"/>
                <w:sz w:val="20"/>
                <w:szCs w:val="20"/>
              </w:rPr>
              <w:t>50</w:t>
            </w:r>
          </w:p>
        </w:tc>
        <w:tc>
          <w:tcPr>
            <w:tcW w:w="1369" w:type="dxa"/>
            <w:tcBorders>
              <w:top w:val="nil"/>
              <w:left w:val="nil"/>
              <w:bottom w:val="single" w:color="auto" w:sz="4" w:space="0"/>
              <w:right w:val="single" w:color="auto" w:sz="4" w:space="0"/>
            </w:tcBorders>
            <w:noWrap/>
            <w:vAlign w:val="center"/>
            <w:hideMark/>
          </w:tcPr>
          <w:p w:rsidRPr="00FE5C44" w:rsidR="00FE5C44" w:rsidP="00FE5C44" w:rsidRDefault="00FE5C44" w14:paraId="4C821659" w14:textId="77777777">
            <w:pPr>
              <w:widowControl/>
              <w:autoSpaceDE/>
              <w:adjustRightInd/>
              <w:jc w:val="right"/>
              <w:rPr>
                <w:rFonts w:ascii="Arial" w:hAnsi="Arial" w:cs="Arial"/>
                <w:color w:val="000000"/>
                <w:sz w:val="20"/>
                <w:szCs w:val="20"/>
              </w:rPr>
            </w:pPr>
            <w:r w:rsidRPr="00FE5C44">
              <w:rPr>
                <w:rFonts w:ascii="Arial" w:hAnsi="Arial" w:cs="Arial"/>
                <w:color w:val="000000"/>
                <w:sz w:val="20"/>
                <w:szCs w:val="20"/>
              </w:rPr>
              <w:t>3</w:t>
            </w:r>
            <w:r>
              <w:rPr>
                <w:rFonts w:ascii="Arial" w:hAnsi="Arial" w:cs="Arial"/>
                <w:color w:val="000000"/>
                <w:sz w:val="20"/>
                <w:szCs w:val="20"/>
              </w:rPr>
              <w:t>0</w:t>
            </w:r>
            <w:r w:rsidRPr="00FE5C44">
              <w:rPr>
                <w:rFonts w:ascii="Arial" w:hAnsi="Arial" w:cs="Arial"/>
                <w:color w:val="000000"/>
                <w:sz w:val="20"/>
                <w:szCs w:val="20"/>
              </w:rPr>
              <w:t>.00</w:t>
            </w:r>
          </w:p>
        </w:tc>
        <w:tc>
          <w:tcPr>
            <w:tcW w:w="1345" w:type="dxa"/>
            <w:tcBorders>
              <w:top w:val="nil"/>
              <w:left w:val="nil"/>
              <w:bottom w:val="single" w:color="auto" w:sz="4" w:space="0"/>
              <w:right w:val="single" w:color="auto" w:sz="4" w:space="0"/>
            </w:tcBorders>
            <w:noWrap/>
            <w:vAlign w:val="center"/>
            <w:hideMark/>
          </w:tcPr>
          <w:p w:rsidRPr="00FE5C44" w:rsidR="00FE5C44" w:rsidP="00FE5C44" w:rsidRDefault="00FE5C44" w14:paraId="35A030B9" w14:textId="77777777">
            <w:pPr>
              <w:widowControl/>
              <w:autoSpaceDE/>
              <w:adjustRightInd/>
              <w:jc w:val="right"/>
              <w:rPr>
                <w:rFonts w:ascii="Arial" w:hAnsi="Arial" w:cs="Arial"/>
                <w:color w:val="000000"/>
                <w:sz w:val="20"/>
                <w:szCs w:val="20"/>
              </w:rPr>
            </w:pPr>
            <w:r>
              <w:rPr>
                <w:rFonts w:ascii="Arial" w:hAnsi="Arial" w:cs="Arial"/>
                <w:color w:val="000000"/>
                <w:sz w:val="20"/>
                <w:szCs w:val="20"/>
              </w:rPr>
              <w:t>1,500</w:t>
            </w:r>
          </w:p>
        </w:tc>
      </w:tr>
    </w:tbl>
    <w:p w:rsidR="0042327E" w:rsidRDefault="0042327E" w14:paraId="2A4FD200" w14:textId="77777777">
      <w:pPr>
        <w:rPr>
          <w:rFonts w:ascii="Times New Roman" w:hAnsi="Times New Roman"/>
        </w:rPr>
      </w:pPr>
      <w:r w:rsidRPr="00F820CF">
        <w:rPr>
          <w:rFonts w:ascii="Times New Roman" w:hAnsi="Times New Roman"/>
        </w:rPr>
        <w:t xml:space="preserve">     </w:t>
      </w:r>
    </w:p>
    <w:p w:rsidRPr="00DF58EE" w:rsidR="00895219" w:rsidP="00895219" w:rsidRDefault="00895219" w14:paraId="533825C9" w14:textId="77777777">
      <w:pPr>
        <w:ind w:left="720"/>
        <w:rPr>
          <w:rFonts w:ascii="Times New Roman" w:hAnsi="Times New Roman"/>
        </w:rPr>
      </w:pPr>
      <w:r w:rsidRPr="00DF58EE">
        <w:rPr>
          <w:rFonts w:ascii="Times New Roman" w:hAnsi="Times New Roman"/>
        </w:rPr>
        <w:t>The following regulation imposes no additional burden. Please continue to assign            OMB number 1545-</w:t>
      </w:r>
      <w:r>
        <w:rPr>
          <w:rFonts w:ascii="Times New Roman" w:hAnsi="Times New Roman"/>
        </w:rPr>
        <w:t>1138</w:t>
      </w:r>
      <w:r w:rsidRPr="00DF58EE">
        <w:rPr>
          <w:rFonts w:ascii="Times New Roman" w:hAnsi="Times New Roman"/>
        </w:rPr>
        <w:t xml:space="preserve"> to this regulation.</w:t>
      </w:r>
    </w:p>
    <w:p w:rsidRPr="00DF58EE" w:rsidR="00895219" w:rsidP="00895219" w:rsidRDefault="00895219" w14:paraId="2C0E7D6B" w14:textId="77777777">
      <w:pPr>
        <w:ind w:left="720"/>
        <w:rPr>
          <w:rFonts w:ascii="Times New Roman" w:hAnsi="Times New Roman"/>
        </w:rPr>
      </w:pPr>
      <w:r w:rsidRPr="00DF58EE">
        <w:rPr>
          <w:rFonts w:ascii="Times New Roman" w:hAnsi="Times New Roman"/>
        </w:rPr>
        <w:t xml:space="preserve">     </w:t>
      </w:r>
    </w:p>
    <w:p w:rsidR="00895219" w:rsidP="00895219" w:rsidRDefault="00895219" w14:paraId="42EE2CD7" w14:textId="77777777">
      <w:pPr>
        <w:ind w:left="720"/>
        <w:rPr>
          <w:rFonts w:ascii="Times New Roman" w:hAnsi="Times New Roman"/>
        </w:rPr>
      </w:pPr>
      <w:r w:rsidRPr="00DF58EE">
        <w:rPr>
          <w:rFonts w:ascii="Times New Roman" w:hAnsi="Times New Roman"/>
        </w:rPr>
        <w:t xml:space="preserve">       </w:t>
      </w:r>
      <w:r w:rsidRPr="00DF58EE">
        <w:rPr>
          <w:rFonts w:ascii="Times New Roman" w:hAnsi="Times New Roman"/>
        </w:rPr>
        <w:tab/>
      </w:r>
      <w:r>
        <w:rPr>
          <w:rFonts w:ascii="Times New Roman" w:hAnsi="Times New Roman"/>
        </w:rPr>
        <w:t>1.936-10</w:t>
      </w:r>
    </w:p>
    <w:p w:rsidRPr="00FE5C44" w:rsidR="00FE5C44" w:rsidP="00FE5C44" w:rsidRDefault="00FE5C44" w14:paraId="463B0C12" w14:textId="77777777">
      <w:pPr>
        <w:pStyle w:val="Level1"/>
        <w:numPr>
          <w:ilvl w:val="0"/>
          <w:numId w:val="0"/>
        </w:numPr>
        <w:tabs>
          <w:tab w:val="left" w:pos="-1440"/>
        </w:tabs>
        <w:ind w:left="720" w:hanging="720"/>
        <w:rPr>
          <w:rFonts w:ascii="Times New Roman" w:hAnsi="Times New Roman"/>
        </w:rPr>
      </w:pPr>
    </w:p>
    <w:p w:rsidRPr="00F820CF" w:rsidR="0042327E" w:rsidRDefault="0042327E" w14:paraId="624AF1D1"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14:paraId="702BD29D" w14:textId="77777777">
      <w:pPr>
        <w:rPr>
          <w:rFonts w:ascii="Times New Roman" w:hAnsi="Times New Roman"/>
        </w:rPr>
      </w:pPr>
    </w:p>
    <w:p w:rsidRPr="00895219" w:rsidR="00895219" w:rsidP="00895219" w:rsidRDefault="00895219" w14:paraId="5C3BBC42" w14:textId="77777777">
      <w:pPr>
        <w:ind w:left="720"/>
        <w:rPr>
          <w:rFonts w:ascii="Times New Roman" w:hAnsi="Times New Roman"/>
        </w:rPr>
      </w:pPr>
      <w:r w:rsidRPr="00895219">
        <w:rPr>
          <w:rFonts w:ascii="Times New Roman" w:hAnsi="Times New Roman"/>
        </w:rPr>
        <w:t xml:space="preserve">As suggested by OMB, our Federal Register notice dated </w:t>
      </w:r>
      <w:r>
        <w:rPr>
          <w:rFonts w:ascii="Times New Roman" w:hAnsi="Times New Roman"/>
        </w:rPr>
        <w:t>November</w:t>
      </w:r>
      <w:r w:rsidRPr="00895219">
        <w:rPr>
          <w:rFonts w:ascii="Times New Roman" w:hAnsi="Times New Roman"/>
        </w:rPr>
        <w:t xml:space="preserve"> </w:t>
      </w:r>
      <w:r w:rsidR="008362FD">
        <w:rPr>
          <w:rFonts w:ascii="Times New Roman" w:hAnsi="Times New Roman"/>
        </w:rPr>
        <w:t>12</w:t>
      </w:r>
      <w:r w:rsidRPr="00895219">
        <w:rPr>
          <w:rFonts w:ascii="Times New Roman" w:hAnsi="Times New Roman"/>
        </w:rPr>
        <w:t xml:space="preserve">, 2019,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895219" w:rsidR="00895219" w:rsidP="00895219" w:rsidRDefault="00895219" w14:paraId="7AB2071D" w14:textId="77777777">
      <w:pPr>
        <w:ind w:left="720"/>
        <w:rPr>
          <w:rFonts w:ascii="Times New Roman" w:hAnsi="Times New Roman"/>
        </w:rPr>
      </w:pPr>
    </w:p>
    <w:p w:rsidRPr="00F820CF" w:rsidR="0042327E" w:rsidP="00895219" w:rsidRDefault="00895219" w14:paraId="1AC7ED42" w14:textId="77777777">
      <w:pPr>
        <w:ind w:left="720"/>
        <w:rPr>
          <w:rFonts w:ascii="Times New Roman" w:hAnsi="Times New Roman"/>
        </w:rPr>
      </w:pPr>
      <w:r w:rsidRPr="00895219">
        <w:rPr>
          <w:rFonts w:ascii="Times New Roman" w:hAnsi="Times New Roman"/>
        </w:rPr>
        <w:t xml:space="preserve">To ensure more accuracy and consistency across its information collections, IRS is currently in the process of revising the methodology it uses to estimate burden and costs. </w:t>
      </w:r>
      <w:r w:rsidRPr="00895219">
        <w:rPr>
          <w:rFonts w:ascii="Times New Roman" w:hAnsi="Times New Roman"/>
        </w:rPr>
        <w:lastRenderedPageBreak/>
        <w:t>Once this methodology is complete, IRS will update this information collection to reflect a more precise estimate of burden and costs.</w:t>
      </w:r>
    </w:p>
    <w:p w:rsidRPr="00F820CF" w:rsidR="0042327E" w:rsidRDefault="0042327E" w14:paraId="02E5AB10" w14:textId="77777777">
      <w:pPr>
        <w:rPr>
          <w:rFonts w:ascii="Times New Roman" w:hAnsi="Times New Roman"/>
        </w:rPr>
      </w:pPr>
    </w:p>
    <w:p w:rsidRPr="00F820CF" w:rsidR="0042327E" w:rsidRDefault="0042327E" w14:paraId="3FE02D20"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162FF3D4" w14:textId="77777777">
      <w:pPr>
        <w:rPr>
          <w:rFonts w:ascii="Times New Roman" w:hAnsi="Times New Roman"/>
        </w:rPr>
      </w:pPr>
    </w:p>
    <w:p w:rsidRPr="00F820CF" w:rsidR="0042327E" w:rsidRDefault="007C0117" w14:paraId="48A9D645" w14:textId="77777777">
      <w:pPr>
        <w:ind w:left="720"/>
        <w:rPr>
          <w:rFonts w:ascii="Times New Roman" w:hAnsi="Times New Roman"/>
        </w:rPr>
      </w:pPr>
      <w:r w:rsidRPr="00F820CF">
        <w:rPr>
          <w:rFonts w:ascii="Times New Roman" w:hAnsi="Times New Roman"/>
        </w:rPr>
        <w:t>There is no annualized cost to the federal government</w:t>
      </w:r>
      <w:r w:rsidRPr="00F820CF" w:rsidR="0042327E">
        <w:rPr>
          <w:rFonts w:ascii="Times New Roman" w:hAnsi="Times New Roman"/>
        </w:rPr>
        <w:t>.</w:t>
      </w:r>
    </w:p>
    <w:p w:rsidRPr="00F820CF" w:rsidR="0042327E" w:rsidRDefault="0042327E" w14:paraId="368DEF22" w14:textId="77777777">
      <w:pPr>
        <w:rPr>
          <w:rFonts w:ascii="Times New Roman" w:hAnsi="Times New Roman"/>
        </w:rPr>
      </w:pPr>
    </w:p>
    <w:p w:rsidRPr="00F820CF" w:rsidR="0042327E" w:rsidRDefault="0042327E" w14:paraId="7E1BAB90"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0691A6B5" w14:textId="77777777">
      <w:pPr>
        <w:rPr>
          <w:rFonts w:ascii="Times New Roman" w:hAnsi="Times New Roman"/>
        </w:rPr>
      </w:pPr>
    </w:p>
    <w:p w:rsidRPr="00F820CF" w:rsidR="00A66703" w:rsidP="008362FD" w:rsidRDefault="0042327E" w14:paraId="1CB516BE" w14:textId="77777777">
      <w:pPr>
        <w:ind w:left="720"/>
        <w:rPr>
          <w:rFonts w:ascii="Times New Roman" w:hAnsi="Times New Roman"/>
        </w:rPr>
      </w:pPr>
      <w:r w:rsidRPr="00F820CF">
        <w:rPr>
          <w:rFonts w:ascii="Times New Roman" w:hAnsi="Times New Roman"/>
        </w:rPr>
        <w:t xml:space="preserve">There is no change in the paperwork burden previously approved by OMB.  We are making this submission to renew the OMB approval.  </w:t>
      </w:r>
    </w:p>
    <w:p w:rsidRPr="00F820CF" w:rsidR="00A66703" w:rsidRDefault="00A66703" w14:paraId="6A363835" w14:textId="77777777">
      <w:pPr>
        <w:rPr>
          <w:rFonts w:ascii="Times New Roman" w:hAnsi="Times New Roman"/>
        </w:rPr>
      </w:pPr>
    </w:p>
    <w:p w:rsidRPr="00F820CF" w:rsidR="0042327E" w:rsidRDefault="0042327E" w14:paraId="3D174A81"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41921D5E" w14:textId="77777777">
      <w:pPr>
        <w:rPr>
          <w:rFonts w:ascii="Times New Roman" w:hAnsi="Times New Roman"/>
        </w:rPr>
      </w:pPr>
    </w:p>
    <w:p w:rsidRPr="00F820CF" w:rsidR="0042327E" w:rsidRDefault="007C0117" w14:paraId="1D7D6535" w14:textId="77777777">
      <w:pPr>
        <w:ind w:left="720"/>
        <w:rPr>
          <w:rFonts w:ascii="Times New Roman" w:hAnsi="Times New Roman"/>
        </w:rPr>
      </w:pPr>
      <w:r w:rsidRPr="00F820CF">
        <w:rPr>
          <w:rFonts w:ascii="Times New Roman" w:hAnsi="Times New Roman"/>
        </w:rPr>
        <w:t>There are no plans for tabulation, statistical analysis and publication.</w:t>
      </w:r>
    </w:p>
    <w:p w:rsidRPr="00F820CF" w:rsidR="0042327E" w:rsidRDefault="0042327E" w14:paraId="6EA075B9" w14:textId="77777777">
      <w:pPr>
        <w:rPr>
          <w:rFonts w:ascii="Times New Roman" w:hAnsi="Times New Roman"/>
        </w:rPr>
      </w:pPr>
    </w:p>
    <w:p w:rsidRPr="00F820CF" w:rsidR="0042327E" w:rsidRDefault="0042327E" w14:paraId="1CD12163"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1DFA8B17" w14:textId="77777777">
      <w:pPr>
        <w:rPr>
          <w:rFonts w:ascii="Times New Roman" w:hAnsi="Times New Roman"/>
        </w:rPr>
      </w:pPr>
    </w:p>
    <w:p w:rsidRPr="00F820CF" w:rsidR="0042327E" w:rsidRDefault="0042327E" w14:paraId="2FB6A6B5"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Pr="00F820CF" w:rsidR="0042327E" w:rsidRDefault="0042327E" w14:paraId="0D262DD2" w14:textId="77777777">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820CF" w:rsidR="0042327E" w:rsidRDefault="0042327E" w14:paraId="0CB89062" w14:textId="77777777">
      <w:pPr>
        <w:rPr>
          <w:rFonts w:ascii="Times New Roman" w:hAnsi="Times New Roman"/>
        </w:rPr>
      </w:pPr>
    </w:p>
    <w:p w:rsidRPr="00F820CF" w:rsidR="0042327E" w:rsidRDefault="0042327E" w14:paraId="1F87B0D5"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14:paraId="33979BD1" w14:textId="77777777">
      <w:pPr>
        <w:rPr>
          <w:rFonts w:ascii="Times New Roman" w:hAnsi="Times New Roman"/>
        </w:rPr>
      </w:pPr>
    </w:p>
    <w:p w:rsidRPr="00F820CF" w:rsidR="0042327E" w:rsidRDefault="007C0117" w14:paraId="5A4182DB"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1E45F4E9" w14:textId="77777777">
      <w:pPr>
        <w:rPr>
          <w:rFonts w:ascii="Times New Roman" w:hAnsi="Times New Roman"/>
        </w:rPr>
      </w:pPr>
    </w:p>
    <w:p w:rsidRPr="00F820CF" w:rsidR="0042327E" w:rsidRDefault="0042327E" w14:paraId="7CD150F4"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proofErr w:type="gramStart"/>
      <w:r w:rsidRPr="00F820CF">
        <w:rPr>
          <w:rFonts w:ascii="Times New Roman" w:hAnsi="Times New Roman"/>
        </w:rPr>
        <w:t>all of</w:t>
      </w:r>
      <w:proofErr w:type="gramEnd"/>
      <w:r w:rsidRPr="00F820CF">
        <w:rPr>
          <w:rFonts w:ascii="Times New Roman" w:hAnsi="Times New Roman"/>
        </w:rPr>
        <w:t xml:space="preserve"> the collections of information in this submission:</w:t>
      </w:r>
    </w:p>
    <w:p w:rsidRPr="00F820CF" w:rsidR="0042327E" w:rsidRDefault="0042327E" w14:paraId="051B9755" w14:textId="77777777">
      <w:pPr>
        <w:rPr>
          <w:rFonts w:ascii="Times New Roman" w:hAnsi="Times New Roman"/>
        </w:rPr>
      </w:pPr>
    </w:p>
    <w:p w:rsidRPr="00F820CF" w:rsidR="0042327E" w:rsidRDefault="0042327E" w14:paraId="0E894091" w14:textId="77777777">
      <w:pPr>
        <w:ind w:firstLine="720"/>
        <w:rPr>
          <w:rFonts w:ascii="Times New Roman" w:hAnsi="Times New Roman"/>
        </w:rPr>
      </w:pPr>
      <w:r w:rsidRPr="00F820C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20CF">
        <w:rPr>
          <w:rFonts w:ascii="Times New Roman" w:hAnsi="Times New Roman"/>
        </w:rPr>
        <w:t>as long as</w:t>
      </w:r>
      <w:proofErr w:type="gramEnd"/>
      <w:r w:rsidRPr="00F820CF">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F820CF" w:rsidR="0042327E" w:rsidRDefault="0042327E" w14:paraId="427EC65B" w14:textId="77777777">
      <w:pPr>
        <w:rPr>
          <w:rFonts w:ascii="Times New Roman" w:hAnsi="Times New Roman"/>
        </w:rPr>
      </w:pPr>
    </w:p>
    <w:p w:rsidRPr="00F820CF" w:rsidR="0042327E" w:rsidRDefault="0042327E" w14:paraId="148C5612"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32BF1" w14:textId="77777777" w:rsidR="008C54E7" w:rsidRDefault="008C54E7">
      <w:r>
        <w:separator/>
      </w:r>
    </w:p>
  </w:endnote>
  <w:endnote w:type="continuationSeparator" w:id="0">
    <w:p w14:paraId="246C23BA" w14:textId="77777777" w:rsidR="008C54E7" w:rsidRDefault="008C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EAF2D" w14:textId="77777777" w:rsidR="008C54E7" w:rsidRDefault="008C54E7">
      <w:r>
        <w:separator/>
      </w:r>
    </w:p>
  </w:footnote>
  <w:footnote w:type="continuationSeparator" w:id="0">
    <w:p w14:paraId="3F21E9B9" w14:textId="77777777" w:rsidR="008C54E7" w:rsidRDefault="008C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5495" w14:textId="77777777"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14:paraId="5613878F" w14:textId="77777777" w:rsidR="0042327E" w:rsidRDefault="0042327E"/>
  <w:p w14:paraId="464451F7"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27E"/>
    <w:rsid w:val="00094223"/>
    <w:rsid w:val="00200A9E"/>
    <w:rsid w:val="00205B23"/>
    <w:rsid w:val="00230365"/>
    <w:rsid w:val="0042327E"/>
    <w:rsid w:val="00526997"/>
    <w:rsid w:val="005F3C3B"/>
    <w:rsid w:val="0067075A"/>
    <w:rsid w:val="007039F8"/>
    <w:rsid w:val="007C0117"/>
    <w:rsid w:val="008255E6"/>
    <w:rsid w:val="008362FD"/>
    <w:rsid w:val="00895219"/>
    <w:rsid w:val="008C54E7"/>
    <w:rsid w:val="008F187B"/>
    <w:rsid w:val="00A66703"/>
    <w:rsid w:val="00AE66E5"/>
    <w:rsid w:val="00B11DB0"/>
    <w:rsid w:val="00BC6ED7"/>
    <w:rsid w:val="00CF6A91"/>
    <w:rsid w:val="00D20B84"/>
    <w:rsid w:val="00D5405A"/>
    <w:rsid w:val="00E320E8"/>
    <w:rsid w:val="00EC289E"/>
    <w:rsid w:val="00F820CF"/>
    <w:rsid w:val="00FA5532"/>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C1EAA0"/>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Durbala R Joseph</cp:lastModifiedBy>
  <cp:revision>8</cp:revision>
  <dcterms:created xsi:type="dcterms:W3CDTF">2017-02-24T14:53:00Z</dcterms:created>
  <dcterms:modified xsi:type="dcterms:W3CDTF">2020-06-16T18:23:00Z</dcterms:modified>
</cp:coreProperties>
</file>