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70F5" w:rsidR="003A35BE" w:rsidP="003A35BE" w:rsidRDefault="003A35BE" w14:paraId="5A6811F8" w14:textId="77777777">
      <w:pPr>
        <w:pStyle w:val="Heading1"/>
        <w:rPr>
          <w:color w:val="auto"/>
        </w:rPr>
      </w:pPr>
      <w:r w:rsidRPr="008870F5">
        <w:rPr>
          <w:color w:val="auto"/>
        </w:rPr>
        <w:t>OMB SUPPORTING STATEMENT</w:t>
      </w:r>
    </w:p>
    <w:p w:rsidRPr="008870F5" w:rsidR="003A35BE" w:rsidP="003A35BE" w:rsidRDefault="003A35BE" w14:paraId="6586435D" w14:textId="77777777">
      <w:pPr>
        <w:pStyle w:val="Heading1"/>
        <w:rPr>
          <w:color w:val="auto"/>
        </w:rPr>
      </w:pPr>
      <w:r w:rsidRPr="008870F5">
        <w:rPr>
          <w:color w:val="auto"/>
        </w:rPr>
        <w:t>Internal revenue service</w:t>
      </w:r>
    </w:p>
    <w:p w:rsidRPr="008870F5" w:rsidR="003A35BE" w:rsidP="003A35BE" w:rsidRDefault="003A35BE" w14:paraId="6AD332AE" w14:textId="77777777">
      <w:pPr>
        <w:pStyle w:val="Heading1"/>
        <w:rPr>
          <w:color w:val="auto"/>
        </w:rPr>
      </w:pPr>
      <w:r w:rsidRPr="008870F5">
        <w:rPr>
          <w:color w:val="auto"/>
        </w:rPr>
        <w:t>IRS Taxpayer burden surveys</w:t>
      </w:r>
    </w:p>
    <w:p w:rsidRPr="008870F5" w:rsidR="003A35BE" w:rsidP="003A35BE" w:rsidRDefault="003A35BE" w14:paraId="434C2CA1" w14:textId="77777777">
      <w:pPr>
        <w:pStyle w:val="Heading1"/>
        <w:rPr>
          <w:color w:val="auto"/>
        </w:rPr>
      </w:pPr>
      <w:r w:rsidRPr="008870F5">
        <w:rPr>
          <w:color w:val="auto"/>
        </w:rPr>
        <w:t>TIRNO-10-Q-00152</w:t>
      </w:r>
    </w:p>
    <w:p w:rsidRPr="008870F5" w:rsidR="003A35BE" w:rsidP="00466B49" w:rsidRDefault="003A35BE" w14:paraId="5C58FA39" w14:textId="77777777">
      <w:pPr>
        <w:jc w:val="center"/>
        <w:rPr>
          <w:rFonts w:ascii="Tahoma" w:hAnsi="Tahoma" w:cs="Tahoma"/>
          <w:b/>
          <w:bCs/>
          <w:iCs/>
          <w:sz w:val="22"/>
          <w:szCs w:val="22"/>
        </w:rPr>
      </w:pPr>
    </w:p>
    <w:p w:rsidRPr="008870F5" w:rsidR="00D664BC" w:rsidP="00D35597" w:rsidRDefault="00D664BC" w14:paraId="60EE26D6" w14:textId="531B946E">
      <w:pPr>
        <w:tabs>
          <w:tab w:val="left" w:pos="540"/>
        </w:tabs>
        <w:ind w:left="1094" w:hanging="547"/>
        <w:jc w:val="center"/>
        <w:rPr>
          <w:sz w:val="20"/>
          <w:szCs w:val="20"/>
        </w:rPr>
      </w:pPr>
      <w:bookmarkStart w:name="_GoBack" w:id="0"/>
      <w:bookmarkEnd w:id="0"/>
      <w:r w:rsidRPr="008870F5">
        <w:rPr>
          <w:rFonts w:ascii="Tahoma" w:hAnsi="Tahoma" w:cs="Tahoma"/>
          <w:b/>
          <w:bCs/>
          <w:iCs/>
          <w:sz w:val="22"/>
          <w:szCs w:val="22"/>
        </w:rPr>
        <w:t>PART B – JUSTIFICATION</w:t>
      </w:r>
    </w:p>
    <w:p w:rsidRPr="008870F5" w:rsidR="00D664BC" w:rsidP="00286751" w:rsidRDefault="00D664BC" w14:paraId="2B54B922" w14:textId="77777777">
      <w:pPr>
        <w:rPr>
          <w:sz w:val="20"/>
          <w:szCs w:val="20"/>
        </w:rPr>
      </w:pPr>
    </w:p>
    <w:p w:rsidRPr="007A4184" w:rsidR="00D664BC" w:rsidP="007D2889" w:rsidRDefault="00D664BC" w14:paraId="6C4F1B93" w14:textId="77777777">
      <w:pPr>
        <w:pStyle w:val="NoSpacing"/>
        <w:contextualSpacing/>
        <w:rPr>
          <w:rFonts w:ascii="Arial" w:hAnsi="Arial" w:cs="Arial"/>
          <w:b/>
          <w:sz w:val="20"/>
          <w:szCs w:val="20"/>
        </w:rPr>
      </w:pPr>
      <w:r w:rsidRPr="007A4184">
        <w:rPr>
          <w:rFonts w:ascii="Arial" w:hAnsi="Arial" w:cs="Arial"/>
          <w:b/>
          <w:sz w:val="20"/>
          <w:szCs w:val="20"/>
        </w:rPr>
        <w:t>1.  Describe (including a numerical estimate) the potential respondent universe and any sampling or other respondent selection methods to be used.</w:t>
      </w:r>
    </w:p>
    <w:p w:rsidRPr="008870F5" w:rsidR="00D664BC" w:rsidP="00286751" w:rsidRDefault="00D664BC" w14:paraId="31E1C885" w14:textId="77777777">
      <w:pPr>
        <w:rPr>
          <w:sz w:val="20"/>
          <w:szCs w:val="20"/>
        </w:rPr>
      </w:pPr>
    </w:p>
    <w:p w:rsidRPr="008870F5" w:rsidR="00D664BC" w:rsidP="00286751" w:rsidRDefault="00616172" w14:paraId="3DD6625E" w14:textId="77777777">
      <w:pPr>
        <w:rPr>
          <w:sz w:val="20"/>
          <w:szCs w:val="20"/>
        </w:rPr>
      </w:pPr>
      <w:r w:rsidRPr="008870F5">
        <w:rPr>
          <w:sz w:val="20"/>
          <w:szCs w:val="20"/>
        </w:rPr>
        <w:t>The suite of burden surveys recognizes differences between taxpayers (individuals, corporations, partnerships, tax-exempt organizations</w:t>
      </w:r>
      <w:r>
        <w:rPr>
          <w:sz w:val="20"/>
          <w:szCs w:val="20"/>
        </w:rPr>
        <w:t>, trusts, estates, employers, and information document issuers</w:t>
      </w:r>
      <w:r w:rsidRPr="008870F5">
        <w:rPr>
          <w:sz w:val="20"/>
          <w:szCs w:val="20"/>
        </w:rPr>
        <w:t xml:space="preserve">). However, across all the surveys, the data are captured in an internally consistent manner (in terms of time and money). </w:t>
      </w:r>
      <w:r w:rsidRPr="008870F5" w:rsidR="00D664BC">
        <w:rPr>
          <w:sz w:val="20"/>
          <w:szCs w:val="20"/>
        </w:rPr>
        <w:t xml:space="preserve">Some populations </w:t>
      </w:r>
      <w:r w:rsidR="00167587">
        <w:rPr>
          <w:sz w:val="20"/>
          <w:szCs w:val="20"/>
        </w:rPr>
        <w:t>are</w:t>
      </w:r>
      <w:r w:rsidRPr="008870F5" w:rsidR="00D664BC">
        <w:rPr>
          <w:sz w:val="20"/>
          <w:szCs w:val="20"/>
        </w:rPr>
        <w:t xml:space="preserve"> explicitly excluded from the survey population. This includes minors, deceased taxpayers, and </w:t>
      </w:r>
      <w:r w:rsidR="00167587">
        <w:rPr>
          <w:sz w:val="20"/>
          <w:szCs w:val="20"/>
        </w:rPr>
        <w:t xml:space="preserve">in most circumstances, </w:t>
      </w:r>
      <w:r w:rsidRPr="008870F5" w:rsidR="00D664BC">
        <w:rPr>
          <w:sz w:val="20"/>
          <w:szCs w:val="20"/>
        </w:rPr>
        <w:t xml:space="preserve">taxpayers that have international addresses, including active duty military serving overseas.  </w:t>
      </w:r>
    </w:p>
    <w:p w:rsidRPr="008870F5" w:rsidR="00D664BC" w:rsidP="00286751" w:rsidRDefault="00D664BC" w14:paraId="648897FF" w14:textId="77777777">
      <w:pPr>
        <w:rPr>
          <w:sz w:val="20"/>
          <w:szCs w:val="20"/>
        </w:rPr>
      </w:pPr>
    </w:p>
    <w:p w:rsidR="00250C5E" w:rsidP="00250C5E" w:rsidRDefault="00470138" w14:paraId="673C0865" w14:textId="77777777">
      <w:pPr>
        <w:rPr>
          <w:sz w:val="20"/>
          <w:szCs w:val="20"/>
        </w:rPr>
      </w:pPr>
      <w:r>
        <w:rPr>
          <w:sz w:val="20"/>
          <w:szCs w:val="20"/>
        </w:rPr>
        <w:t xml:space="preserve">Tables 1 – </w:t>
      </w:r>
      <w:r w:rsidRPr="00C11A38" w:rsidR="00C11A38">
        <w:rPr>
          <w:color w:val="000000" w:themeColor="text1"/>
          <w:sz w:val="20"/>
          <w:szCs w:val="20"/>
        </w:rPr>
        <w:t>12</w:t>
      </w:r>
      <w:r>
        <w:rPr>
          <w:sz w:val="20"/>
          <w:szCs w:val="20"/>
        </w:rPr>
        <w:t xml:space="preserve"> below show the </w:t>
      </w:r>
      <w:r w:rsidR="00E30A47">
        <w:rPr>
          <w:sz w:val="20"/>
          <w:szCs w:val="20"/>
        </w:rPr>
        <w:t>potential</w:t>
      </w:r>
      <w:r>
        <w:rPr>
          <w:sz w:val="20"/>
          <w:szCs w:val="20"/>
        </w:rPr>
        <w:t xml:space="preserve"> </w:t>
      </w:r>
      <w:r w:rsidR="00167587">
        <w:rPr>
          <w:sz w:val="20"/>
          <w:szCs w:val="20"/>
        </w:rPr>
        <w:t xml:space="preserve">respondent </w:t>
      </w:r>
      <w:r>
        <w:rPr>
          <w:sz w:val="20"/>
          <w:szCs w:val="20"/>
        </w:rPr>
        <w:t>universe (</w:t>
      </w:r>
      <w:r w:rsidR="00167587">
        <w:rPr>
          <w:sz w:val="20"/>
          <w:szCs w:val="20"/>
        </w:rPr>
        <w:t>population</w:t>
      </w:r>
      <w:r>
        <w:rPr>
          <w:sz w:val="20"/>
          <w:szCs w:val="20"/>
        </w:rPr>
        <w:t xml:space="preserve"> count), stratification plan, and sample allocations</w:t>
      </w:r>
      <w:r w:rsidR="00167587">
        <w:rPr>
          <w:sz w:val="20"/>
          <w:szCs w:val="20"/>
        </w:rPr>
        <w:t xml:space="preserve"> for </w:t>
      </w:r>
      <w:r>
        <w:rPr>
          <w:sz w:val="20"/>
          <w:szCs w:val="20"/>
        </w:rPr>
        <w:t>each survey</w:t>
      </w:r>
      <w:r w:rsidR="00E30A47">
        <w:rPr>
          <w:sz w:val="20"/>
          <w:szCs w:val="20"/>
        </w:rPr>
        <w:t xml:space="preserve"> and special study</w:t>
      </w:r>
      <w:r w:rsidR="009A27D5">
        <w:rPr>
          <w:sz w:val="20"/>
          <w:szCs w:val="20"/>
        </w:rPr>
        <w:t xml:space="preserve"> for which a sampling plan exists</w:t>
      </w:r>
      <w:r w:rsidR="005E4599">
        <w:rPr>
          <w:sz w:val="20"/>
          <w:szCs w:val="20"/>
        </w:rPr>
        <w:t xml:space="preserve"> as of the date this request was submitted</w:t>
      </w:r>
      <w:r>
        <w:rPr>
          <w:sz w:val="20"/>
          <w:szCs w:val="20"/>
        </w:rPr>
        <w:t xml:space="preserve">. </w:t>
      </w:r>
      <w:r w:rsidRPr="008870F5" w:rsidR="00250C5E">
        <w:rPr>
          <w:sz w:val="20"/>
          <w:szCs w:val="20"/>
        </w:rPr>
        <w:t>When sub-populations vary considerably, it is advantageous to sample each subpopulation (stratum) independently. Stratification is the process of grouping members of the population into relatively homogeneous sub-groups before sampling.  The strata should be:</w:t>
      </w:r>
    </w:p>
    <w:p w:rsidRPr="008870F5" w:rsidR="00250C5E" w:rsidP="00250C5E" w:rsidRDefault="00250C5E" w14:paraId="051B0714" w14:textId="77777777">
      <w:pPr>
        <w:rPr>
          <w:sz w:val="20"/>
          <w:szCs w:val="20"/>
        </w:rPr>
      </w:pPr>
    </w:p>
    <w:p w:rsidRPr="008870F5" w:rsidR="00250C5E" w:rsidP="00250C5E" w:rsidRDefault="00250C5E" w14:paraId="78EB2B75" w14:textId="77777777">
      <w:pPr>
        <w:widowControl/>
        <w:numPr>
          <w:ilvl w:val="0"/>
          <w:numId w:val="6"/>
        </w:numPr>
        <w:tabs>
          <w:tab w:val="clear" w:pos="360"/>
          <w:tab w:val="num" w:pos="720"/>
        </w:tabs>
        <w:autoSpaceDE/>
        <w:autoSpaceDN/>
        <w:adjustRightInd/>
        <w:ind w:left="720"/>
        <w:rPr>
          <w:sz w:val="20"/>
          <w:szCs w:val="20"/>
        </w:rPr>
      </w:pPr>
      <w:r w:rsidRPr="008870F5">
        <w:rPr>
          <w:sz w:val="20"/>
          <w:szCs w:val="20"/>
        </w:rPr>
        <w:t xml:space="preserve">Mutually Exclusive. Members must be assigned to only one stratum, and </w:t>
      </w:r>
    </w:p>
    <w:p w:rsidR="00250C5E" w:rsidP="00250C5E" w:rsidRDefault="00250C5E" w14:paraId="70EF1340" w14:textId="77777777">
      <w:pPr>
        <w:widowControl/>
        <w:numPr>
          <w:ilvl w:val="0"/>
          <w:numId w:val="6"/>
        </w:numPr>
        <w:tabs>
          <w:tab w:val="clear" w:pos="360"/>
          <w:tab w:val="num" w:pos="720"/>
        </w:tabs>
        <w:autoSpaceDE/>
        <w:autoSpaceDN/>
        <w:adjustRightInd/>
        <w:ind w:left="720"/>
        <w:rPr>
          <w:sz w:val="20"/>
          <w:szCs w:val="20"/>
        </w:rPr>
      </w:pPr>
      <w:r w:rsidRPr="008870F5">
        <w:rPr>
          <w:sz w:val="20"/>
          <w:szCs w:val="20"/>
        </w:rPr>
        <w:t xml:space="preserve">Collectively Exhaustive. No members can be excluded.  </w:t>
      </w:r>
    </w:p>
    <w:p w:rsidRPr="008870F5" w:rsidR="00D01379" w:rsidP="00D01379" w:rsidRDefault="00D01379" w14:paraId="1EC25FE2" w14:textId="77777777">
      <w:pPr>
        <w:widowControl/>
        <w:autoSpaceDE/>
        <w:autoSpaceDN/>
        <w:adjustRightInd/>
        <w:ind w:left="720"/>
        <w:rPr>
          <w:sz w:val="20"/>
          <w:szCs w:val="20"/>
        </w:rPr>
      </w:pPr>
    </w:p>
    <w:p w:rsidR="00250C5E" w:rsidP="00250C5E" w:rsidRDefault="00250C5E" w14:paraId="21E52EA8" w14:textId="77777777">
      <w:pPr>
        <w:spacing w:line="180" w:lineRule="exact"/>
        <w:rPr>
          <w:sz w:val="20"/>
          <w:szCs w:val="20"/>
        </w:rPr>
      </w:pPr>
    </w:p>
    <w:p w:rsidRPr="00E2594C" w:rsidR="005329CE" w:rsidP="005329CE" w:rsidRDefault="005329CE" w14:paraId="703B966E" w14:textId="77777777">
      <w:pPr>
        <w:pStyle w:val="ListParagraph"/>
        <w:ind w:left="0"/>
        <w:rPr>
          <w:b/>
          <w:bCs/>
          <w:sz w:val="18"/>
          <w:szCs w:val="18"/>
        </w:rPr>
      </w:pPr>
      <w:r w:rsidRPr="00E2594C">
        <w:rPr>
          <w:b/>
          <w:bCs/>
          <w:sz w:val="18"/>
          <w:szCs w:val="18"/>
        </w:rPr>
        <w:t>Table 1 –</w:t>
      </w:r>
      <w:r w:rsidR="001B759C">
        <w:rPr>
          <w:b/>
          <w:bCs/>
          <w:sz w:val="18"/>
          <w:szCs w:val="18"/>
        </w:rPr>
        <w:t xml:space="preserve">2019, 2020, and  2021 </w:t>
      </w:r>
      <w:r w:rsidRPr="00E2594C">
        <w:rPr>
          <w:b/>
          <w:bCs/>
          <w:sz w:val="18"/>
          <w:szCs w:val="18"/>
        </w:rPr>
        <w:t>Individual Taxpayer Burden Survey</w:t>
      </w:r>
      <w:r w:rsidR="001B759C">
        <w:rPr>
          <w:b/>
          <w:bCs/>
          <w:sz w:val="18"/>
          <w:szCs w:val="18"/>
        </w:rPr>
        <w:t>s</w:t>
      </w:r>
    </w:p>
    <w:tbl>
      <w:tblPr>
        <w:tblW w:w="7372" w:type="dxa"/>
        <w:tblInd w:w="108" w:type="dxa"/>
        <w:tblLook w:val="04A0" w:firstRow="1" w:lastRow="0" w:firstColumn="1" w:lastColumn="0" w:noHBand="0" w:noVBand="1"/>
      </w:tblPr>
      <w:tblGrid>
        <w:gridCol w:w="2560"/>
        <w:gridCol w:w="2180"/>
        <w:gridCol w:w="1540"/>
        <w:gridCol w:w="1092"/>
      </w:tblGrid>
      <w:tr w:rsidRPr="00E2594C" w:rsidR="005329CE" w:rsidTr="00241B15" w14:paraId="636E0F5A" w14:textId="77777777">
        <w:trPr>
          <w:trHeight w:val="300"/>
        </w:trPr>
        <w:tc>
          <w:tcPr>
            <w:tcW w:w="4740" w:type="dxa"/>
            <w:gridSpan w:val="2"/>
            <w:tcBorders>
              <w:top w:val="single" w:color="auto" w:sz="8" w:space="0"/>
              <w:left w:val="single" w:color="auto" w:sz="8" w:space="0"/>
              <w:bottom w:val="single" w:color="auto" w:sz="4" w:space="0"/>
              <w:right w:val="single" w:color="auto" w:sz="4" w:space="0"/>
            </w:tcBorders>
            <w:shd w:val="clear" w:color="auto" w:fill="auto"/>
            <w:tcMar>
              <w:left w:w="0" w:type="dxa"/>
              <w:right w:w="14" w:type="dxa"/>
            </w:tcMar>
            <w:vAlign w:val="center"/>
            <w:hideMark/>
          </w:tcPr>
          <w:p w:rsidRPr="00E2594C" w:rsidR="005329CE" w:rsidP="00E2594C" w:rsidRDefault="005329CE" w14:paraId="3906EB07" w14:textId="77777777">
            <w:pPr>
              <w:widowControl/>
              <w:autoSpaceDE/>
              <w:autoSpaceDN/>
              <w:adjustRightInd/>
              <w:jc w:val="center"/>
              <w:rPr>
                <w:sz w:val="18"/>
                <w:szCs w:val="18"/>
              </w:rPr>
            </w:pPr>
            <w:r w:rsidRPr="00E2594C">
              <w:rPr>
                <w:sz w:val="18"/>
                <w:szCs w:val="18"/>
              </w:rPr>
              <w:t>Strata</w:t>
            </w:r>
          </w:p>
        </w:tc>
        <w:tc>
          <w:tcPr>
            <w:tcW w:w="1540" w:type="dxa"/>
            <w:vMerge w:val="restart"/>
            <w:tcBorders>
              <w:top w:val="single" w:color="auto" w:sz="8" w:space="0"/>
              <w:left w:val="single" w:color="auto" w:sz="4" w:space="0"/>
              <w:bottom w:val="single" w:color="000000" w:sz="8" w:space="0"/>
              <w:right w:val="single" w:color="auto" w:sz="4" w:space="0"/>
            </w:tcBorders>
            <w:shd w:val="clear" w:color="auto" w:fill="auto"/>
            <w:tcMar>
              <w:left w:w="0" w:type="dxa"/>
              <w:right w:w="14" w:type="dxa"/>
            </w:tcMar>
            <w:vAlign w:val="center"/>
            <w:hideMark/>
          </w:tcPr>
          <w:p w:rsidRPr="00E2594C" w:rsidR="005329CE" w:rsidP="00E2594C" w:rsidRDefault="005329CE" w14:paraId="59734921" w14:textId="77777777">
            <w:pPr>
              <w:widowControl/>
              <w:autoSpaceDE/>
              <w:autoSpaceDN/>
              <w:adjustRightInd/>
              <w:jc w:val="center"/>
              <w:rPr>
                <w:sz w:val="18"/>
                <w:szCs w:val="18"/>
              </w:rPr>
            </w:pPr>
            <w:r w:rsidRPr="00E2594C">
              <w:rPr>
                <w:sz w:val="18"/>
                <w:szCs w:val="18"/>
              </w:rPr>
              <w:t>Population Count</w:t>
            </w:r>
          </w:p>
        </w:tc>
        <w:tc>
          <w:tcPr>
            <w:tcW w:w="1092" w:type="dxa"/>
            <w:vMerge w:val="restart"/>
            <w:tcBorders>
              <w:top w:val="single" w:color="auto" w:sz="8" w:space="0"/>
              <w:left w:val="single" w:color="auto" w:sz="4" w:space="0"/>
              <w:bottom w:val="single" w:color="000000" w:sz="8" w:space="0"/>
              <w:right w:val="single" w:color="auto" w:sz="8" w:space="0"/>
            </w:tcBorders>
            <w:shd w:val="clear" w:color="auto" w:fill="auto"/>
            <w:tcMar>
              <w:left w:w="0" w:type="dxa"/>
              <w:right w:w="14" w:type="dxa"/>
            </w:tcMar>
            <w:vAlign w:val="center"/>
            <w:hideMark/>
          </w:tcPr>
          <w:p w:rsidRPr="00E2594C" w:rsidR="005329CE" w:rsidP="00E2594C" w:rsidRDefault="005329CE" w14:paraId="36C94BCF" w14:textId="77777777">
            <w:pPr>
              <w:widowControl/>
              <w:autoSpaceDE/>
              <w:autoSpaceDN/>
              <w:adjustRightInd/>
              <w:jc w:val="center"/>
              <w:rPr>
                <w:sz w:val="18"/>
                <w:szCs w:val="18"/>
              </w:rPr>
            </w:pPr>
            <w:r w:rsidRPr="00E2594C">
              <w:rPr>
                <w:sz w:val="18"/>
                <w:szCs w:val="18"/>
              </w:rPr>
              <w:t>Sample Allocation</w:t>
            </w:r>
          </w:p>
        </w:tc>
      </w:tr>
      <w:tr w:rsidRPr="00E2594C" w:rsidR="005329CE" w:rsidTr="00241B15" w14:paraId="4EDDE29A" w14:textId="77777777">
        <w:trPr>
          <w:trHeight w:val="250"/>
        </w:trPr>
        <w:tc>
          <w:tcPr>
            <w:tcW w:w="2560" w:type="dxa"/>
            <w:tcBorders>
              <w:top w:val="nil"/>
              <w:left w:val="single" w:color="auto" w:sz="8" w:space="0"/>
              <w:bottom w:val="single" w:color="auto" w:sz="8" w:space="0"/>
              <w:right w:val="single" w:color="auto" w:sz="4" w:space="0"/>
            </w:tcBorders>
            <w:shd w:val="clear" w:color="auto" w:fill="auto"/>
            <w:noWrap/>
            <w:tcMar>
              <w:left w:w="0" w:type="dxa"/>
              <w:right w:w="14" w:type="dxa"/>
            </w:tcMar>
            <w:vAlign w:val="bottom"/>
            <w:hideMark/>
          </w:tcPr>
          <w:p w:rsidRPr="00E2594C" w:rsidR="005329CE" w:rsidP="00E2594C" w:rsidRDefault="005329CE" w14:paraId="104FD0A8" w14:textId="77777777">
            <w:pPr>
              <w:widowControl/>
              <w:autoSpaceDE/>
              <w:autoSpaceDN/>
              <w:adjustRightInd/>
              <w:jc w:val="center"/>
              <w:rPr>
                <w:color w:val="000000"/>
                <w:sz w:val="18"/>
                <w:szCs w:val="18"/>
              </w:rPr>
            </w:pPr>
            <w:r w:rsidRPr="00E2594C">
              <w:rPr>
                <w:color w:val="000000"/>
                <w:sz w:val="18"/>
                <w:szCs w:val="18"/>
              </w:rPr>
              <w:t>Preparation Method</w:t>
            </w:r>
          </w:p>
        </w:tc>
        <w:tc>
          <w:tcPr>
            <w:tcW w:w="218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5329CE" w:rsidP="00E2594C" w:rsidRDefault="005329CE" w14:paraId="61047227" w14:textId="77777777">
            <w:pPr>
              <w:widowControl/>
              <w:autoSpaceDE/>
              <w:autoSpaceDN/>
              <w:adjustRightInd/>
              <w:jc w:val="center"/>
              <w:rPr>
                <w:sz w:val="18"/>
                <w:szCs w:val="18"/>
              </w:rPr>
            </w:pPr>
            <w:r w:rsidRPr="00E2594C">
              <w:rPr>
                <w:sz w:val="18"/>
                <w:szCs w:val="18"/>
              </w:rPr>
              <w:t>Complexity</w:t>
            </w:r>
          </w:p>
        </w:tc>
        <w:tc>
          <w:tcPr>
            <w:tcW w:w="1540" w:type="dxa"/>
            <w:vMerge/>
            <w:tcBorders>
              <w:top w:val="single" w:color="auto" w:sz="8" w:space="0"/>
              <w:left w:val="single" w:color="auto" w:sz="4" w:space="0"/>
              <w:bottom w:val="single" w:color="000000" w:sz="8" w:space="0"/>
              <w:right w:val="single" w:color="auto" w:sz="4" w:space="0"/>
            </w:tcBorders>
            <w:tcMar>
              <w:left w:w="0" w:type="dxa"/>
              <w:right w:w="14" w:type="dxa"/>
            </w:tcMar>
            <w:vAlign w:val="center"/>
            <w:hideMark/>
          </w:tcPr>
          <w:p w:rsidRPr="00E2594C" w:rsidR="005329CE" w:rsidP="00E2594C" w:rsidRDefault="005329CE" w14:paraId="029C3A0F" w14:textId="77777777">
            <w:pPr>
              <w:widowControl/>
              <w:autoSpaceDE/>
              <w:autoSpaceDN/>
              <w:adjustRightInd/>
              <w:rPr>
                <w:sz w:val="18"/>
                <w:szCs w:val="18"/>
              </w:rPr>
            </w:pPr>
          </w:p>
        </w:tc>
        <w:tc>
          <w:tcPr>
            <w:tcW w:w="1092" w:type="dxa"/>
            <w:vMerge/>
            <w:tcBorders>
              <w:top w:val="single" w:color="auto" w:sz="8" w:space="0"/>
              <w:left w:val="single" w:color="auto" w:sz="4" w:space="0"/>
              <w:bottom w:val="single" w:color="000000" w:sz="8" w:space="0"/>
              <w:right w:val="single" w:color="auto" w:sz="8" w:space="0"/>
            </w:tcBorders>
            <w:tcMar>
              <w:left w:w="0" w:type="dxa"/>
              <w:right w:w="14" w:type="dxa"/>
            </w:tcMar>
            <w:vAlign w:val="center"/>
            <w:hideMark/>
          </w:tcPr>
          <w:p w:rsidRPr="00E2594C" w:rsidR="005329CE" w:rsidP="00E2594C" w:rsidRDefault="005329CE" w14:paraId="3E6BF68A" w14:textId="77777777">
            <w:pPr>
              <w:widowControl/>
              <w:autoSpaceDE/>
              <w:autoSpaceDN/>
              <w:adjustRightInd/>
              <w:rPr>
                <w:sz w:val="18"/>
                <w:szCs w:val="18"/>
              </w:rPr>
            </w:pPr>
          </w:p>
        </w:tc>
      </w:tr>
      <w:tr w:rsidRPr="00E2594C" w:rsidR="00241B15" w:rsidTr="00241B15" w14:paraId="16D33C05"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314B0FF4"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27AFCD99" w14:textId="77777777">
            <w:pPr>
              <w:widowControl/>
              <w:autoSpaceDE/>
              <w:autoSpaceDN/>
              <w:adjustRightInd/>
              <w:jc w:val="center"/>
              <w:rPr>
                <w:sz w:val="18"/>
                <w:szCs w:val="18"/>
              </w:rPr>
            </w:pPr>
            <w:r w:rsidRPr="00E2594C">
              <w:rPr>
                <w:sz w:val="18"/>
                <w:szCs w:val="18"/>
              </w:rPr>
              <w:t>Low</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1E6F24C6" w14:textId="77777777">
            <w:pPr>
              <w:widowControl/>
              <w:autoSpaceDE/>
              <w:autoSpaceDN/>
              <w:adjustRightInd/>
              <w:jc w:val="right"/>
              <w:rPr>
                <w:sz w:val="18"/>
                <w:szCs w:val="18"/>
              </w:rPr>
            </w:pPr>
            <w:r w:rsidRPr="00E2594C">
              <w:rPr>
                <w:sz w:val="18"/>
                <w:szCs w:val="18"/>
              </w:rPr>
              <w:t>9,758,524</w:t>
            </w:r>
          </w:p>
        </w:tc>
        <w:tc>
          <w:tcPr>
            <w:tcW w:w="1092" w:type="dxa"/>
            <w:tcBorders>
              <w:top w:val="single" w:color="auto" w:sz="8" w:space="0"/>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28E290A1" w14:textId="77777777">
            <w:pPr>
              <w:widowControl/>
              <w:autoSpaceDE/>
              <w:autoSpaceDN/>
              <w:adjustRightInd/>
              <w:jc w:val="right"/>
              <w:rPr>
                <w:color w:val="000000"/>
                <w:sz w:val="18"/>
                <w:szCs w:val="18"/>
              </w:rPr>
            </w:pPr>
            <w:r>
              <w:rPr>
                <w:color w:val="000000"/>
                <w:sz w:val="18"/>
                <w:szCs w:val="18"/>
              </w:rPr>
              <w:t>2,218</w:t>
            </w:r>
          </w:p>
        </w:tc>
      </w:tr>
      <w:tr w:rsidRPr="00E2594C" w:rsidR="00241B15" w:rsidTr="00241B15" w14:paraId="7E5989A3"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40B242E4"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11BCEBB7" w14:textId="77777777">
            <w:pPr>
              <w:widowControl/>
              <w:autoSpaceDE/>
              <w:autoSpaceDN/>
              <w:adjustRightInd/>
              <w:jc w:val="center"/>
              <w:rPr>
                <w:sz w:val="18"/>
                <w:szCs w:val="18"/>
              </w:rPr>
            </w:pPr>
            <w:r w:rsidRPr="00E2594C">
              <w:rPr>
                <w:sz w:val="18"/>
                <w:szCs w:val="18"/>
              </w:rPr>
              <w:t>Medium-Low</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17AB7884" w14:textId="77777777">
            <w:pPr>
              <w:widowControl/>
              <w:autoSpaceDE/>
              <w:autoSpaceDN/>
              <w:adjustRightInd/>
              <w:jc w:val="right"/>
              <w:rPr>
                <w:sz w:val="18"/>
                <w:szCs w:val="18"/>
              </w:rPr>
            </w:pPr>
            <w:r w:rsidRPr="00E2594C">
              <w:rPr>
                <w:sz w:val="18"/>
                <w:szCs w:val="18"/>
              </w:rPr>
              <w:t>22,015,186</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283B19CD" w14:textId="77777777">
            <w:pPr>
              <w:jc w:val="right"/>
              <w:rPr>
                <w:color w:val="000000"/>
                <w:sz w:val="18"/>
                <w:szCs w:val="18"/>
              </w:rPr>
            </w:pPr>
            <w:r>
              <w:rPr>
                <w:color w:val="000000"/>
                <w:sz w:val="18"/>
                <w:szCs w:val="18"/>
              </w:rPr>
              <w:t>4,382</w:t>
            </w:r>
          </w:p>
        </w:tc>
      </w:tr>
      <w:tr w:rsidRPr="00E2594C" w:rsidR="00241B15" w:rsidTr="00241B15" w14:paraId="3E03BB86"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4C022CF2"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0A832E23" w14:textId="77777777">
            <w:pPr>
              <w:widowControl/>
              <w:autoSpaceDE/>
              <w:autoSpaceDN/>
              <w:adjustRightInd/>
              <w:jc w:val="center"/>
              <w:rPr>
                <w:sz w:val="18"/>
                <w:szCs w:val="18"/>
              </w:rPr>
            </w:pPr>
            <w:r w:rsidRPr="00E2594C">
              <w:rPr>
                <w:sz w:val="18"/>
                <w:szCs w:val="18"/>
              </w:rPr>
              <w:t>Medium</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658DAF9B" w14:textId="77777777">
            <w:pPr>
              <w:widowControl/>
              <w:autoSpaceDE/>
              <w:autoSpaceDN/>
              <w:adjustRightInd/>
              <w:jc w:val="right"/>
              <w:rPr>
                <w:sz w:val="18"/>
                <w:szCs w:val="18"/>
              </w:rPr>
            </w:pPr>
            <w:r w:rsidRPr="00E2594C">
              <w:rPr>
                <w:sz w:val="18"/>
                <w:szCs w:val="18"/>
              </w:rPr>
              <w:t>15,372,213</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0796C4AC" w14:textId="77777777">
            <w:pPr>
              <w:jc w:val="right"/>
              <w:rPr>
                <w:color w:val="000000"/>
                <w:sz w:val="18"/>
                <w:szCs w:val="18"/>
              </w:rPr>
            </w:pPr>
            <w:r>
              <w:rPr>
                <w:color w:val="000000"/>
                <w:sz w:val="18"/>
                <w:szCs w:val="18"/>
              </w:rPr>
              <w:t>3,912</w:t>
            </w:r>
          </w:p>
        </w:tc>
      </w:tr>
      <w:tr w:rsidRPr="00E2594C" w:rsidR="00241B15" w:rsidTr="00241B15" w14:paraId="5E05F7D0"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303DD0A2"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4E799F3B" w14:textId="77777777">
            <w:pPr>
              <w:widowControl/>
              <w:autoSpaceDE/>
              <w:autoSpaceDN/>
              <w:adjustRightInd/>
              <w:jc w:val="center"/>
              <w:rPr>
                <w:sz w:val="18"/>
                <w:szCs w:val="18"/>
              </w:rPr>
            </w:pPr>
            <w:r w:rsidRPr="00E2594C">
              <w:rPr>
                <w:sz w:val="18"/>
                <w:szCs w:val="18"/>
              </w:rPr>
              <w:t>Medium-High - Simpler</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2ADE861B" w14:textId="77777777">
            <w:pPr>
              <w:widowControl/>
              <w:autoSpaceDE/>
              <w:autoSpaceDN/>
              <w:adjustRightInd/>
              <w:jc w:val="right"/>
              <w:rPr>
                <w:sz w:val="18"/>
                <w:szCs w:val="18"/>
              </w:rPr>
            </w:pPr>
            <w:r w:rsidRPr="00E2594C">
              <w:rPr>
                <w:sz w:val="18"/>
                <w:szCs w:val="18"/>
              </w:rPr>
              <w:t>6,496,505</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35CB9453" w14:textId="77777777">
            <w:pPr>
              <w:jc w:val="right"/>
              <w:rPr>
                <w:color w:val="000000"/>
                <w:sz w:val="18"/>
                <w:szCs w:val="18"/>
              </w:rPr>
            </w:pPr>
            <w:r>
              <w:rPr>
                <w:color w:val="000000"/>
                <w:sz w:val="18"/>
                <w:szCs w:val="18"/>
              </w:rPr>
              <w:t>1,546</w:t>
            </w:r>
          </w:p>
        </w:tc>
      </w:tr>
      <w:tr w:rsidRPr="00E2594C" w:rsidR="00241B15" w:rsidTr="00241B15" w14:paraId="25A414D9"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2600C13A"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06019FAC" w14:textId="77777777">
            <w:pPr>
              <w:widowControl/>
              <w:autoSpaceDE/>
              <w:autoSpaceDN/>
              <w:adjustRightInd/>
              <w:jc w:val="center"/>
              <w:rPr>
                <w:sz w:val="18"/>
                <w:szCs w:val="18"/>
              </w:rPr>
            </w:pPr>
            <w:r w:rsidRPr="00E2594C">
              <w:rPr>
                <w:sz w:val="18"/>
                <w:szCs w:val="18"/>
              </w:rPr>
              <w:t>Medium-High - Moderate</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0757358C" w14:textId="77777777">
            <w:pPr>
              <w:widowControl/>
              <w:autoSpaceDE/>
              <w:autoSpaceDN/>
              <w:adjustRightInd/>
              <w:jc w:val="right"/>
              <w:rPr>
                <w:sz w:val="18"/>
                <w:szCs w:val="18"/>
              </w:rPr>
            </w:pPr>
            <w:r w:rsidRPr="00E2594C">
              <w:rPr>
                <w:sz w:val="18"/>
                <w:szCs w:val="18"/>
              </w:rPr>
              <w:t>4,455,117</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37ADE7D8" w14:textId="77777777">
            <w:pPr>
              <w:jc w:val="right"/>
              <w:rPr>
                <w:color w:val="000000"/>
                <w:sz w:val="18"/>
                <w:szCs w:val="18"/>
              </w:rPr>
            </w:pPr>
            <w:r>
              <w:rPr>
                <w:color w:val="000000"/>
                <w:sz w:val="18"/>
                <w:szCs w:val="18"/>
              </w:rPr>
              <w:t>1,266</w:t>
            </w:r>
          </w:p>
        </w:tc>
      </w:tr>
      <w:tr w:rsidRPr="00E2594C" w:rsidR="00241B15" w:rsidTr="00241B15" w14:paraId="39D83833"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22C09855"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51A0C401" w14:textId="77777777">
            <w:pPr>
              <w:widowControl/>
              <w:autoSpaceDE/>
              <w:autoSpaceDN/>
              <w:adjustRightInd/>
              <w:jc w:val="center"/>
              <w:rPr>
                <w:sz w:val="18"/>
                <w:szCs w:val="18"/>
              </w:rPr>
            </w:pPr>
            <w:r w:rsidRPr="00E2594C">
              <w:rPr>
                <w:sz w:val="18"/>
                <w:szCs w:val="18"/>
              </w:rPr>
              <w:t>Medium-High - Difficult</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1F8C2D03" w14:textId="77777777">
            <w:pPr>
              <w:widowControl/>
              <w:autoSpaceDE/>
              <w:autoSpaceDN/>
              <w:adjustRightInd/>
              <w:jc w:val="right"/>
              <w:rPr>
                <w:sz w:val="18"/>
                <w:szCs w:val="18"/>
              </w:rPr>
            </w:pPr>
            <w:r w:rsidRPr="00E2594C">
              <w:rPr>
                <w:sz w:val="18"/>
                <w:szCs w:val="18"/>
              </w:rPr>
              <w:t>5,235,768</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5FA78CFA" w14:textId="77777777">
            <w:pPr>
              <w:jc w:val="right"/>
              <w:rPr>
                <w:color w:val="000000"/>
                <w:sz w:val="18"/>
                <w:szCs w:val="18"/>
              </w:rPr>
            </w:pPr>
            <w:r>
              <w:rPr>
                <w:color w:val="000000"/>
                <w:sz w:val="18"/>
                <w:szCs w:val="18"/>
              </w:rPr>
              <w:t>2,486</w:t>
            </w:r>
          </w:p>
        </w:tc>
      </w:tr>
      <w:tr w:rsidRPr="00E2594C" w:rsidR="00241B15" w:rsidTr="00241B15" w14:paraId="7CABA90D"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36F0CD27"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4EFB15BA" w14:textId="77777777">
            <w:pPr>
              <w:widowControl/>
              <w:autoSpaceDE/>
              <w:autoSpaceDN/>
              <w:adjustRightInd/>
              <w:jc w:val="center"/>
              <w:rPr>
                <w:sz w:val="18"/>
                <w:szCs w:val="18"/>
              </w:rPr>
            </w:pPr>
            <w:r w:rsidRPr="00E2594C">
              <w:rPr>
                <w:sz w:val="18"/>
                <w:szCs w:val="18"/>
              </w:rPr>
              <w:t>High-Simpler</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117D6221" w14:textId="77777777">
            <w:pPr>
              <w:widowControl/>
              <w:autoSpaceDE/>
              <w:autoSpaceDN/>
              <w:adjustRightInd/>
              <w:jc w:val="right"/>
              <w:rPr>
                <w:sz w:val="18"/>
                <w:szCs w:val="18"/>
              </w:rPr>
            </w:pPr>
            <w:r w:rsidRPr="00E2594C">
              <w:rPr>
                <w:sz w:val="18"/>
                <w:szCs w:val="18"/>
              </w:rPr>
              <w:t>4,333,619</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122A5280" w14:textId="77777777">
            <w:pPr>
              <w:jc w:val="right"/>
              <w:rPr>
                <w:color w:val="000000"/>
                <w:sz w:val="18"/>
                <w:szCs w:val="18"/>
              </w:rPr>
            </w:pPr>
            <w:r>
              <w:rPr>
                <w:color w:val="000000"/>
                <w:sz w:val="18"/>
                <w:szCs w:val="18"/>
              </w:rPr>
              <w:t>1,324</w:t>
            </w:r>
          </w:p>
        </w:tc>
      </w:tr>
      <w:tr w:rsidRPr="00E2594C" w:rsidR="00241B15" w:rsidTr="00241B15" w14:paraId="3439E24D"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60814C89"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5B620480" w14:textId="77777777">
            <w:pPr>
              <w:widowControl/>
              <w:autoSpaceDE/>
              <w:autoSpaceDN/>
              <w:adjustRightInd/>
              <w:jc w:val="center"/>
              <w:rPr>
                <w:sz w:val="18"/>
                <w:szCs w:val="18"/>
              </w:rPr>
            </w:pPr>
            <w:r w:rsidRPr="00E2594C">
              <w:rPr>
                <w:sz w:val="18"/>
                <w:szCs w:val="18"/>
              </w:rPr>
              <w:t>High-Moderate</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5A538F72" w14:textId="77777777">
            <w:pPr>
              <w:widowControl/>
              <w:autoSpaceDE/>
              <w:autoSpaceDN/>
              <w:adjustRightInd/>
              <w:jc w:val="right"/>
              <w:rPr>
                <w:sz w:val="18"/>
                <w:szCs w:val="18"/>
              </w:rPr>
            </w:pPr>
            <w:r w:rsidRPr="00E2594C">
              <w:rPr>
                <w:sz w:val="18"/>
                <w:szCs w:val="18"/>
              </w:rPr>
              <w:t>2,500,073</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52B2E64C" w14:textId="77777777">
            <w:pPr>
              <w:jc w:val="right"/>
              <w:rPr>
                <w:color w:val="000000"/>
                <w:sz w:val="18"/>
                <w:szCs w:val="18"/>
              </w:rPr>
            </w:pPr>
            <w:r>
              <w:rPr>
                <w:color w:val="000000"/>
                <w:sz w:val="18"/>
                <w:szCs w:val="18"/>
              </w:rPr>
              <w:t>1,302</w:t>
            </w:r>
          </w:p>
        </w:tc>
      </w:tr>
      <w:tr w:rsidRPr="00E2594C" w:rsidR="00241B15" w:rsidTr="00241B15" w14:paraId="654858CD" w14:textId="77777777">
        <w:trPr>
          <w:trHeight w:val="187"/>
        </w:trPr>
        <w:tc>
          <w:tcPr>
            <w:tcW w:w="2560" w:type="dxa"/>
            <w:tcBorders>
              <w:top w:val="nil"/>
              <w:left w:val="single" w:color="auto" w:sz="8" w:space="0"/>
              <w:bottom w:val="single" w:color="auto" w:sz="8" w:space="0"/>
              <w:right w:val="single" w:color="auto" w:sz="4" w:space="0"/>
            </w:tcBorders>
            <w:shd w:val="clear" w:color="auto" w:fill="auto"/>
            <w:noWrap/>
            <w:tcMar>
              <w:left w:w="0" w:type="dxa"/>
              <w:right w:w="14" w:type="dxa"/>
            </w:tcMar>
            <w:vAlign w:val="bottom"/>
            <w:hideMark/>
          </w:tcPr>
          <w:p w:rsidRPr="00E2594C" w:rsidR="00241B15" w:rsidP="00241B15" w:rsidRDefault="00241B15" w14:paraId="2BAB8502"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6E1A59D1" w14:textId="77777777">
            <w:pPr>
              <w:widowControl/>
              <w:autoSpaceDE/>
              <w:autoSpaceDN/>
              <w:adjustRightInd/>
              <w:jc w:val="center"/>
              <w:rPr>
                <w:sz w:val="18"/>
                <w:szCs w:val="18"/>
              </w:rPr>
            </w:pPr>
            <w:r w:rsidRPr="00E2594C">
              <w:rPr>
                <w:sz w:val="18"/>
                <w:szCs w:val="18"/>
              </w:rPr>
              <w:t>High-Difficult</w:t>
            </w:r>
          </w:p>
        </w:tc>
        <w:tc>
          <w:tcPr>
            <w:tcW w:w="154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03F49AB2" w14:textId="77777777">
            <w:pPr>
              <w:widowControl/>
              <w:autoSpaceDE/>
              <w:autoSpaceDN/>
              <w:adjustRightInd/>
              <w:jc w:val="right"/>
              <w:rPr>
                <w:sz w:val="18"/>
                <w:szCs w:val="18"/>
              </w:rPr>
            </w:pPr>
            <w:r w:rsidRPr="00E2594C">
              <w:rPr>
                <w:sz w:val="18"/>
                <w:szCs w:val="18"/>
              </w:rPr>
              <w:t>4,446,633</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59DF4434" w14:textId="77777777">
            <w:pPr>
              <w:jc w:val="right"/>
              <w:rPr>
                <w:color w:val="000000"/>
                <w:sz w:val="18"/>
                <w:szCs w:val="18"/>
              </w:rPr>
            </w:pPr>
            <w:r>
              <w:rPr>
                <w:color w:val="000000"/>
                <w:sz w:val="18"/>
                <w:szCs w:val="18"/>
              </w:rPr>
              <w:t>3,636</w:t>
            </w:r>
          </w:p>
        </w:tc>
      </w:tr>
      <w:tr w:rsidRPr="00E2594C" w:rsidR="00241B15" w:rsidTr="00241B15" w14:paraId="54FFB108"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2383AF7A" w14:textId="77777777">
            <w:pPr>
              <w:widowControl/>
              <w:autoSpaceDE/>
              <w:autoSpaceDN/>
              <w:adjustRightInd/>
              <w:jc w:val="center"/>
              <w:rPr>
                <w:color w:val="000000"/>
                <w:sz w:val="18"/>
                <w:szCs w:val="18"/>
              </w:rPr>
            </w:pPr>
            <w:r w:rsidRPr="00E2594C">
              <w:rPr>
                <w:color w:val="000000"/>
                <w:sz w:val="18"/>
                <w:szCs w:val="18"/>
              </w:rPr>
              <w:t>Self-Prepared by Hand</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0DEFB098" w14:textId="77777777">
            <w:pPr>
              <w:widowControl/>
              <w:autoSpaceDE/>
              <w:autoSpaceDN/>
              <w:adjustRightInd/>
              <w:jc w:val="center"/>
              <w:rPr>
                <w:sz w:val="18"/>
                <w:szCs w:val="18"/>
              </w:rPr>
            </w:pPr>
            <w:r w:rsidRPr="00E2594C">
              <w:rPr>
                <w:sz w:val="18"/>
                <w:szCs w:val="18"/>
              </w:rPr>
              <w:t>Low</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3F565F75" w14:textId="77777777">
            <w:pPr>
              <w:widowControl/>
              <w:autoSpaceDE/>
              <w:autoSpaceDN/>
              <w:adjustRightInd/>
              <w:jc w:val="right"/>
              <w:rPr>
                <w:sz w:val="18"/>
                <w:szCs w:val="18"/>
              </w:rPr>
            </w:pPr>
            <w:r w:rsidRPr="00E2594C">
              <w:rPr>
                <w:sz w:val="18"/>
                <w:szCs w:val="18"/>
              </w:rPr>
              <w:t>1,277,493</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6F98D3BB" w14:textId="77777777">
            <w:pPr>
              <w:jc w:val="right"/>
              <w:rPr>
                <w:color w:val="000000"/>
                <w:sz w:val="18"/>
                <w:szCs w:val="18"/>
              </w:rPr>
            </w:pPr>
            <w:r>
              <w:rPr>
                <w:color w:val="000000"/>
                <w:sz w:val="18"/>
                <w:szCs w:val="18"/>
              </w:rPr>
              <w:t>1,526</w:t>
            </w:r>
          </w:p>
        </w:tc>
      </w:tr>
      <w:tr w:rsidRPr="00E2594C" w:rsidR="00241B15" w:rsidTr="00241B15" w14:paraId="79F234B0"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703762BC" w14:textId="77777777">
            <w:pPr>
              <w:widowControl/>
              <w:autoSpaceDE/>
              <w:autoSpaceDN/>
              <w:adjustRightInd/>
              <w:jc w:val="center"/>
              <w:rPr>
                <w:color w:val="000000"/>
                <w:sz w:val="18"/>
                <w:szCs w:val="18"/>
              </w:rPr>
            </w:pPr>
            <w:r w:rsidRPr="00E2594C">
              <w:rPr>
                <w:color w:val="000000"/>
                <w:sz w:val="18"/>
                <w:szCs w:val="18"/>
              </w:rPr>
              <w:t>Self-Prepared by Hand</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17D3B68B" w14:textId="77777777">
            <w:pPr>
              <w:widowControl/>
              <w:autoSpaceDE/>
              <w:autoSpaceDN/>
              <w:adjustRightInd/>
              <w:jc w:val="center"/>
              <w:rPr>
                <w:sz w:val="18"/>
                <w:szCs w:val="18"/>
              </w:rPr>
            </w:pPr>
            <w:r w:rsidRPr="00E2594C">
              <w:rPr>
                <w:sz w:val="18"/>
                <w:szCs w:val="18"/>
              </w:rPr>
              <w:t>Medium-Low</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300EA9DF" w14:textId="77777777">
            <w:pPr>
              <w:widowControl/>
              <w:autoSpaceDE/>
              <w:autoSpaceDN/>
              <w:adjustRightInd/>
              <w:jc w:val="right"/>
              <w:rPr>
                <w:sz w:val="18"/>
                <w:szCs w:val="18"/>
              </w:rPr>
            </w:pPr>
            <w:r w:rsidRPr="00E2594C">
              <w:rPr>
                <w:sz w:val="18"/>
                <w:szCs w:val="18"/>
              </w:rPr>
              <w:t>1,581,900</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3D978C68" w14:textId="77777777">
            <w:pPr>
              <w:jc w:val="right"/>
              <w:rPr>
                <w:color w:val="000000"/>
                <w:sz w:val="18"/>
                <w:szCs w:val="18"/>
              </w:rPr>
            </w:pPr>
            <w:r>
              <w:rPr>
                <w:color w:val="000000"/>
                <w:sz w:val="18"/>
                <w:szCs w:val="18"/>
              </w:rPr>
              <w:t>846</w:t>
            </w:r>
          </w:p>
        </w:tc>
      </w:tr>
      <w:tr w:rsidRPr="00E2594C" w:rsidR="00241B15" w:rsidTr="00241B15" w14:paraId="6D0AC1D5"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5BDC4C02" w14:textId="77777777">
            <w:pPr>
              <w:widowControl/>
              <w:autoSpaceDE/>
              <w:autoSpaceDN/>
              <w:adjustRightInd/>
              <w:jc w:val="center"/>
              <w:rPr>
                <w:color w:val="000000"/>
                <w:sz w:val="18"/>
                <w:szCs w:val="18"/>
              </w:rPr>
            </w:pPr>
            <w:r w:rsidRPr="00E2594C">
              <w:rPr>
                <w:color w:val="000000"/>
                <w:sz w:val="18"/>
                <w:szCs w:val="18"/>
              </w:rPr>
              <w:t>Self-Prepared by Hand</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2D5CBD2C" w14:textId="77777777">
            <w:pPr>
              <w:widowControl/>
              <w:autoSpaceDE/>
              <w:autoSpaceDN/>
              <w:adjustRightInd/>
              <w:jc w:val="center"/>
              <w:rPr>
                <w:sz w:val="18"/>
                <w:szCs w:val="18"/>
              </w:rPr>
            </w:pPr>
            <w:r w:rsidRPr="00E2594C">
              <w:rPr>
                <w:sz w:val="18"/>
                <w:szCs w:val="18"/>
              </w:rPr>
              <w:t>Medium</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59D20FA8" w14:textId="77777777">
            <w:pPr>
              <w:widowControl/>
              <w:autoSpaceDE/>
              <w:autoSpaceDN/>
              <w:adjustRightInd/>
              <w:jc w:val="right"/>
              <w:rPr>
                <w:sz w:val="18"/>
                <w:szCs w:val="18"/>
              </w:rPr>
            </w:pPr>
            <w:r w:rsidRPr="00E2594C">
              <w:rPr>
                <w:sz w:val="18"/>
                <w:szCs w:val="18"/>
              </w:rPr>
              <w:t>932,670</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6AAF9597" w14:textId="77777777">
            <w:pPr>
              <w:jc w:val="right"/>
              <w:rPr>
                <w:color w:val="000000"/>
                <w:sz w:val="18"/>
                <w:szCs w:val="18"/>
              </w:rPr>
            </w:pPr>
            <w:r>
              <w:rPr>
                <w:color w:val="000000"/>
                <w:sz w:val="18"/>
                <w:szCs w:val="18"/>
              </w:rPr>
              <w:t>844</w:t>
            </w:r>
          </w:p>
        </w:tc>
      </w:tr>
      <w:tr w:rsidRPr="00E2594C" w:rsidR="00241B15" w:rsidTr="00241B15" w14:paraId="16202874"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50BAEB82" w14:textId="77777777">
            <w:pPr>
              <w:widowControl/>
              <w:autoSpaceDE/>
              <w:autoSpaceDN/>
              <w:adjustRightInd/>
              <w:jc w:val="center"/>
              <w:rPr>
                <w:color w:val="000000"/>
                <w:sz w:val="18"/>
                <w:szCs w:val="18"/>
              </w:rPr>
            </w:pPr>
            <w:r w:rsidRPr="00E2594C">
              <w:rPr>
                <w:color w:val="000000"/>
                <w:sz w:val="18"/>
                <w:szCs w:val="18"/>
              </w:rPr>
              <w:t>Self-Prepared by Hand</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2DE9C00E" w14:textId="77777777">
            <w:pPr>
              <w:widowControl/>
              <w:autoSpaceDE/>
              <w:autoSpaceDN/>
              <w:adjustRightInd/>
              <w:jc w:val="center"/>
              <w:rPr>
                <w:sz w:val="18"/>
                <w:szCs w:val="18"/>
              </w:rPr>
            </w:pPr>
            <w:r w:rsidRPr="00E2594C">
              <w:rPr>
                <w:sz w:val="18"/>
                <w:szCs w:val="18"/>
              </w:rPr>
              <w:t>Medium-High</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7B79AD27" w14:textId="77777777">
            <w:pPr>
              <w:widowControl/>
              <w:autoSpaceDE/>
              <w:autoSpaceDN/>
              <w:adjustRightInd/>
              <w:jc w:val="right"/>
              <w:rPr>
                <w:sz w:val="18"/>
                <w:szCs w:val="18"/>
              </w:rPr>
            </w:pPr>
            <w:r w:rsidRPr="00E2594C">
              <w:rPr>
                <w:sz w:val="18"/>
                <w:szCs w:val="18"/>
              </w:rPr>
              <w:t>525,801</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05F4A9BB" w14:textId="77777777">
            <w:pPr>
              <w:jc w:val="right"/>
              <w:rPr>
                <w:color w:val="000000"/>
                <w:sz w:val="18"/>
                <w:szCs w:val="18"/>
              </w:rPr>
            </w:pPr>
            <w:r>
              <w:rPr>
                <w:color w:val="000000"/>
                <w:sz w:val="18"/>
                <w:szCs w:val="18"/>
              </w:rPr>
              <w:t>790</w:t>
            </w:r>
          </w:p>
        </w:tc>
      </w:tr>
      <w:tr w:rsidRPr="00E2594C" w:rsidR="00241B15" w:rsidTr="00241B15" w14:paraId="29523DAD" w14:textId="77777777">
        <w:trPr>
          <w:trHeight w:val="187"/>
        </w:trPr>
        <w:tc>
          <w:tcPr>
            <w:tcW w:w="2560" w:type="dxa"/>
            <w:tcBorders>
              <w:top w:val="nil"/>
              <w:left w:val="single" w:color="auto" w:sz="8" w:space="0"/>
              <w:bottom w:val="single" w:color="auto" w:sz="8" w:space="0"/>
              <w:right w:val="single" w:color="auto" w:sz="4" w:space="0"/>
            </w:tcBorders>
            <w:shd w:val="clear" w:color="auto" w:fill="auto"/>
            <w:noWrap/>
            <w:tcMar>
              <w:left w:w="0" w:type="dxa"/>
              <w:right w:w="14" w:type="dxa"/>
            </w:tcMar>
            <w:vAlign w:val="bottom"/>
            <w:hideMark/>
          </w:tcPr>
          <w:p w:rsidRPr="00E2594C" w:rsidR="00241B15" w:rsidP="00241B15" w:rsidRDefault="00241B15" w14:paraId="6ABCA27C" w14:textId="77777777">
            <w:pPr>
              <w:widowControl/>
              <w:autoSpaceDE/>
              <w:autoSpaceDN/>
              <w:adjustRightInd/>
              <w:jc w:val="center"/>
              <w:rPr>
                <w:color w:val="000000"/>
                <w:sz w:val="18"/>
                <w:szCs w:val="18"/>
              </w:rPr>
            </w:pPr>
            <w:r w:rsidRPr="00E2594C">
              <w:rPr>
                <w:color w:val="000000"/>
                <w:sz w:val="18"/>
                <w:szCs w:val="18"/>
              </w:rPr>
              <w:t>Self-Prepared by Hand</w:t>
            </w:r>
          </w:p>
        </w:tc>
        <w:tc>
          <w:tcPr>
            <w:tcW w:w="218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61B25FAA" w14:textId="77777777">
            <w:pPr>
              <w:widowControl/>
              <w:autoSpaceDE/>
              <w:autoSpaceDN/>
              <w:adjustRightInd/>
              <w:jc w:val="center"/>
              <w:rPr>
                <w:sz w:val="18"/>
                <w:szCs w:val="18"/>
              </w:rPr>
            </w:pPr>
            <w:r w:rsidRPr="00E2594C">
              <w:rPr>
                <w:sz w:val="18"/>
                <w:szCs w:val="18"/>
              </w:rPr>
              <w:t>High</w:t>
            </w:r>
          </w:p>
        </w:tc>
        <w:tc>
          <w:tcPr>
            <w:tcW w:w="154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130CD6D3" w14:textId="77777777">
            <w:pPr>
              <w:widowControl/>
              <w:autoSpaceDE/>
              <w:autoSpaceDN/>
              <w:adjustRightInd/>
              <w:jc w:val="right"/>
              <w:rPr>
                <w:sz w:val="18"/>
                <w:szCs w:val="18"/>
              </w:rPr>
            </w:pPr>
            <w:r w:rsidRPr="00E2594C">
              <w:rPr>
                <w:sz w:val="18"/>
                <w:szCs w:val="18"/>
              </w:rPr>
              <w:t>201,726</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6E9A1CDD" w14:textId="77777777">
            <w:pPr>
              <w:jc w:val="right"/>
              <w:rPr>
                <w:color w:val="000000"/>
                <w:sz w:val="18"/>
                <w:szCs w:val="18"/>
              </w:rPr>
            </w:pPr>
            <w:r>
              <w:rPr>
                <w:color w:val="000000"/>
                <w:sz w:val="18"/>
                <w:szCs w:val="18"/>
              </w:rPr>
              <w:t>806</w:t>
            </w:r>
          </w:p>
        </w:tc>
      </w:tr>
      <w:tr w:rsidRPr="00E2594C" w:rsidR="00241B15" w:rsidTr="00241B15" w14:paraId="0EE605BB"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5314E532" w14:textId="77777777">
            <w:pPr>
              <w:widowControl/>
              <w:autoSpaceDE/>
              <w:autoSpaceDN/>
              <w:adjustRightInd/>
              <w:jc w:val="center"/>
              <w:rPr>
                <w:color w:val="000000"/>
                <w:sz w:val="18"/>
                <w:szCs w:val="18"/>
              </w:rPr>
            </w:pPr>
            <w:r w:rsidRPr="00E2594C">
              <w:rPr>
                <w:color w:val="000000"/>
                <w:sz w:val="18"/>
                <w:szCs w:val="18"/>
              </w:rPr>
              <w:t>Self-Prepared by Software</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63A996B7" w14:textId="77777777">
            <w:pPr>
              <w:widowControl/>
              <w:autoSpaceDE/>
              <w:autoSpaceDN/>
              <w:adjustRightInd/>
              <w:jc w:val="center"/>
              <w:rPr>
                <w:sz w:val="18"/>
                <w:szCs w:val="18"/>
              </w:rPr>
            </w:pPr>
            <w:r w:rsidRPr="00E2594C">
              <w:rPr>
                <w:sz w:val="18"/>
                <w:szCs w:val="18"/>
              </w:rPr>
              <w:t>Low</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7C07C55D" w14:textId="77777777">
            <w:pPr>
              <w:widowControl/>
              <w:autoSpaceDE/>
              <w:autoSpaceDN/>
              <w:adjustRightInd/>
              <w:jc w:val="right"/>
              <w:rPr>
                <w:sz w:val="18"/>
                <w:szCs w:val="18"/>
              </w:rPr>
            </w:pPr>
            <w:r w:rsidRPr="00E2594C">
              <w:rPr>
                <w:sz w:val="18"/>
                <w:szCs w:val="18"/>
              </w:rPr>
              <w:t>13,352,100</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512B8DA6" w14:textId="77777777">
            <w:pPr>
              <w:jc w:val="right"/>
              <w:rPr>
                <w:color w:val="000000"/>
                <w:sz w:val="18"/>
                <w:szCs w:val="18"/>
              </w:rPr>
            </w:pPr>
            <w:r>
              <w:rPr>
                <w:color w:val="000000"/>
                <w:sz w:val="18"/>
                <w:szCs w:val="18"/>
              </w:rPr>
              <w:t>2,018</w:t>
            </w:r>
          </w:p>
        </w:tc>
      </w:tr>
      <w:tr w:rsidRPr="00E2594C" w:rsidR="00241B15" w:rsidTr="00241B15" w14:paraId="52040B0E"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2976840B" w14:textId="77777777">
            <w:pPr>
              <w:widowControl/>
              <w:autoSpaceDE/>
              <w:autoSpaceDN/>
              <w:adjustRightInd/>
              <w:jc w:val="center"/>
              <w:rPr>
                <w:color w:val="000000"/>
                <w:sz w:val="18"/>
                <w:szCs w:val="18"/>
              </w:rPr>
            </w:pPr>
            <w:r w:rsidRPr="00E2594C">
              <w:rPr>
                <w:color w:val="000000"/>
                <w:sz w:val="18"/>
                <w:szCs w:val="18"/>
              </w:rPr>
              <w:t>Self-Prepared by Software</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42B45ACF" w14:textId="77777777">
            <w:pPr>
              <w:widowControl/>
              <w:autoSpaceDE/>
              <w:autoSpaceDN/>
              <w:adjustRightInd/>
              <w:jc w:val="center"/>
              <w:rPr>
                <w:sz w:val="18"/>
                <w:szCs w:val="18"/>
              </w:rPr>
            </w:pPr>
            <w:r w:rsidRPr="00E2594C">
              <w:rPr>
                <w:sz w:val="18"/>
                <w:szCs w:val="18"/>
              </w:rPr>
              <w:t>Medium-Low</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1C0C959D" w14:textId="77777777">
            <w:pPr>
              <w:widowControl/>
              <w:autoSpaceDE/>
              <w:autoSpaceDN/>
              <w:adjustRightInd/>
              <w:jc w:val="right"/>
              <w:rPr>
                <w:sz w:val="18"/>
                <w:szCs w:val="18"/>
              </w:rPr>
            </w:pPr>
            <w:r w:rsidRPr="00E2594C">
              <w:rPr>
                <w:sz w:val="18"/>
                <w:szCs w:val="18"/>
              </w:rPr>
              <w:t>21,713,432</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29D4566B" w14:textId="77777777">
            <w:pPr>
              <w:jc w:val="right"/>
              <w:rPr>
                <w:color w:val="000000"/>
                <w:sz w:val="18"/>
                <w:szCs w:val="18"/>
              </w:rPr>
            </w:pPr>
            <w:r>
              <w:rPr>
                <w:color w:val="000000"/>
                <w:sz w:val="18"/>
                <w:szCs w:val="18"/>
              </w:rPr>
              <w:t>4,002</w:t>
            </w:r>
          </w:p>
        </w:tc>
      </w:tr>
      <w:tr w:rsidRPr="00E2594C" w:rsidR="00241B15" w:rsidTr="00241B15" w14:paraId="0B9E44DC"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0028FD2B" w14:textId="77777777">
            <w:pPr>
              <w:widowControl/>
              <w:autoSpaceDE/>
              <w:autoSpaceDN/>
              <w:adjustRightInd/>
              <w:jc w:val="center"/>
              <w:rPr>
                <w:color w:val="000000"/>
                <w:sz w:val="18"/>
                <w:szCs w:val="18"/>
              </w:rPr>
            </w:pPr>
            <w:r w:rsidRPr="00E2594C">
              <w:rPr>
                <w:color w:val="000000"/>
                <w:sz w:val="18"/>
                <w:szCs w:val="18"/>
              </w:rPr>
              <w:t>Self-Prepared by Software</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3F850F5F" w14:textId="77777777">
            <w:pPr>
              <w:widowControl/>
              <w:autoSpaceDE/>
              <w:autoSpaceDN/>
              <w:adjustRightInd/>
              <w:jc w:val="center"/>
              <w:rPr>
                <w:sz w:val="18"/>
                <w:szCs w:val="18"/>
              </w:rPr>
            </w:pPr>
            <w:r w:rsidRPr="00E2594C">
              <w:rPr>
                <w:sz w:val="18"/>
                <w:szCs w:val="18"/>
              </w:rPr>
              <w:t>Medium</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6EAB848E" w14:textId="77777777">
            <w:pPr>
              <w:widowControl/>
              <w:autoSpaceDE/>
              <w:autoSpaceDN/>
              <w:adjustRightInd/>
              <w:jc w:val="right"/>
              <w:rPr>
                <w:sz w:val="18"/>
                <w:szCs w:val="18"/>
              </w:rPr>
            </w:pPr>
            <w:r w:rsidRPr="00E2594C">
              <w:rPr>
                <w:sz w:val="18"/>
                <w:szCs w:val="18"/>
              </w:rPr>
              <w:t>11,570,065</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45092A08" w14:textId="77777777">
            <w:pPr>
              <w:jc w:val="right"/>
              <w:rPr>
                <w:color w:val="000000"/>
                <w:sz w:val="18"/>
                <w:szCs w:val="18"/>
              </w:rPr>
            </w:pPr>
            <w:r>
              <w:rPr>
                <w:color w:val="000000"/>
                <w:sz w:val="18"/>
                <w:szCs w:val="18"/>
              </w:rPr>
              <w:t>3,040</w:t>
            </w:r>
          </w:p>
        </w:tc>
      </w:tr>
      <w:tr w:rsidRPr="00E2594C" w:rsidR="00241B15" w:rsidTr="00241B15" w14:paraId="10D6A02F"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hideMark/>
          </w:tcPr>
          <w:p w:rsidRPr="00E2594C" w:rsidR="00241B15" w:rsidP="00241B15" w:rsidRDefault="00241B15" w14:paraId="51C45821" w14:textId="77777777">
            <w:pPr>
              <w:widowControl/>
              <w:autoSpaceDE/>
              <w:autoSpaceDN/>
              <w:adjustRightInd/>
              <w:jc w:val="center"/>
              <w:rPr>
                <w:color w:val="000000"/>
                <w:sz w:val="18"/>
                <w:szCs w:val="18"/>
              </w:rPr>
            </w:pPr>
            <w:r w:rsidRPr="00E2594C">
              <w:rPr>
                <w:color w:val="000000"/>
                <w:sz w:val="18"/>
                <w:szCs w:val="18"/>
              </w:rPr>
              <w:t>Self-Prepared by Software</w:t>
            </w:r>
          </w:p>
        </w:tc>
        <w:tc>
          <w:tcPr>
            <w:tcW w:w="218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7475CA45" w14:textId="77777777">
            <w:pPr>
              <w:widowControl/>
              <w:autoSpaceDE/>
              <w:autoSpaceDN/>
              <w:adjustRightInd/>
              <w:jc w:val="center"/>
              <w:rPr>
                <w:sz w:val="18"/>
                <w:szCs w:val="18"/>
              </w:rPr>
            </w:pPr>
            <w:r w:rsidRPr="00E2594C">
              <w:rPr>
                <w:sz w:val="18"/>
                <w:szCs w:val="18"/>
              </w:rPr>
              <w:t>Medium-High</w:t>
            </w:r>
          </w:p>
        </w:tc>
        <w:tc>
          <w:tcPr>
            <w:tcW w:w="1540" w:type="dxa"/>
            <w:tcBorders>
              <w:top w:val="nil"/>
              <w:left w:val="nil"/>
              <w:bottom w:val="single" w:color="auto" w:sz="4" w:space="0"/>
              <w:right w:val="single" w:color="auto" w:sz="4" w:space="0"/>
            </w:tcBorders>
            <w:shd w:val="clear" w:color="auto" w:fill="auto"/>
            <w:tcMar>
              <w:left w:w="0" w:type="dxa"/>
              <w:right w:w="14" w:type="dxa"/>
            </w:tcMar>
            <w:vAlign w:val="center"/>
            <w:hideMark/>
          </w:tcPr>
          <w:p w:rsidRPr="00E2594C" w:rsidR="00241B15" w:rsidP="00241B15" w:rsidRDefault="00241B15" w14:paraId="65DDA290" w14:textId="77777777">
            <w:pPr>
              <w:widowControl/>
              <w:autoSpaceDE/>
              <w:autoSpaceDN/>
              <w:adjustRightInd/>
              <w:jc w:val="right"/>
              <w:rPr>
                <w:sz w:val="18"/>
                <w:szCs w:val="18"/>
              </w:rPr>
            </w:pPr>
            <w:r w:rsidRPr="00E2594C">
              <w:rPr>
                <w:sz w:val="18"/>
                <w:szCs w:val="18"/>
              </w:rPr>
              <w:t>7,571,992</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02B264EE" w14:textId="77777777">
            <w:pPr>
              <w:jc w:val="right"/>
              <w:rPr>
                <w:color w:val="000000"/>
                <w:sz w:val="18"/>
                <w:szCs w:val="18"/>
              </w:rPr>
            </w:pPr>
            <w:r>
              <w:rPr>
                <w:color w:val="000000"/>
                <w:sz w:val="18"/>
                <w:szCs w:val="18"/>
              </w:rPr>
              <w:t>2,130</w:t>
            </w:r>
          </w:p>
        </w:tc>
      </w:tr>
      <w:tr w:rsidRPr="00E2594C" w:rsidR="00241B15" w:rsidTr="00241B15" w14:paraId="6DC32D9D" w14:textId="77777777">
        <w:trPr>
          <w:trHeight w:val="187"/>
        </w:trPr>
        <w:tc>
          <w:tcPr>
            <w:tcW w:w="2560" w:type="dxa"/>
            <w:tcBorders>
              <w:top w:val="nil"/>
              <w:left w:val="single" w:color="auto" w:sz="8" w:space="0"/>
              <w:bottom w:val="single" w:color="auto" w:sz="8" w:space="0"/>
              <w:right w:val="single" w:color="auto" w:sz="4" w:space="0"/>
            </w:tcBorders>
            <w:shd w:val="clear" w:color="auto" w:fill="auto"/>
            <w:noWrap/>
            <w:tcMar>
              <w:left w:w="0" w:type="dxa"/>
              <w:right w:w="14" w:type="dxa"/>
            </w:tcMar>
            <w:vAlign w:val="bottom"/>
            <w:hideMark/>
          </w:tcPr>
          <w:p w:rsidRPr="00E2594C" w:rsidR="00241B15" w:rsidP="00241B15" w:rsidRDefault="00241B15" w14:paraId="14CBD484" w14:textId="77777777">
            <w:pPr>
              <w:widowControl/>
              <w:autoSpaceDE/>
              <w:autoSpaceDN/>
              <w:adjustRightInd/>
              <w:jc w:val="center"/>
              <w:rPr>
                <w:color w:val="000000"/>
                <w:sz w:val="18"/>
                <w:szCs w:val="18"/>
              </w:rPr>
            </w:pPr>
            <w:r w:rsidRPr="00E2594C">
              <w:rPr>
                <w:color w:val="000000"/>
                <w:sz w:val="18"/>
                <w:szCs w:val="18"/>
              </w:rPr>
              <w:t>Self-Prepared by Software</w:t>
            </w:r>
          </w:p>
        </w:tc>
        <w:tc>
          <w:tcPr>
            <w:tcW w:w="218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6AA4813A" w14:textId="77777777">
            <w:pPr>
              <w:widowControl/>
              <w:autoSpaceDE/>
              <w:autoSpaceDN/>
              <w:adjustRightInd/>
              <w:jc w:val="center"/>
              <w:rPr>
                <w:sz w:val="18"/>
                <w:szCs w:val="18"/>
              </w:rPr>
            </w:pPr>
            <w:r w:rsidRPr="00E2594C">
              <w:rPr>
                <w:sz w:val="18"/>
                <w:szCs w:val="18"/>
              </w:rPr>
              <w:t>High</w:t>
            </w:r>
          </w:p>
        </w:tc>
        <w:tc>
          <w:tcPr>
            <w:tcW w:w="154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43FE6D87" w14:textId="77777777">
            <w:pPr>
              <w:widowControl/>
              <w:autoSpaceDE/>
              <w:autoSpaceDN/>
              <w:adjustRightInd/>
              <w:jc w:val="right"/>
              <w:rPr>
                <w:sz w:val="18"/>
                <w:szCs w:val="18"/>
              </w:rPr>
            </w:pPr>
            <w:r w:rsidRPr="00E2594C">
              <w:rPr>
                <w:sz w:val="18"/>
                <w:szCs w:val="18"/>
              </w:rPr>
              <w:t>1,681,784</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12BCBD9F" w14:textId="77777777">
            <w:pPr>
              <w:jc w:val="right"/>
              <w:rPr>
                <w:color w:val="000000"/>
                <w:sz w:val="18"/>
                <w:szCs w:val="18"/>
              </w:rPr>
            </w:pPr>
            <w:r>
              <w:rPr>
                <w:color w:val="000000"/>
                <w:sz w:val="18"/>
                <w:szCs w:val="18"/>
              </w:rPr>
              <w:t>948</w:t>
            </w:r>
          </w:p>
        </w:tc>
      </w:tr>
      <w:tr w:rsidRPr="00E2594C" w:rsidR="00241B15" w:rsidTr="00241B15" w14:paraId="2489FDD9" w14:textId="77777777">
        <w:trPr>
          <w:trHeight w:val="187"/>
        </w:trPr>
        <w:tc>
          <w:tcPr>
            <w:tcW w:w="2560" w:type="dxa"/>
            <w:tcBorders>
              <w:top w:val="nil"/>
              <w:left w:val="single" w:color="auto" w:sz="8" w:space="0"/>
              <w:bottom w:val="single" w:color="auto" w:sz="8" w:space="0"/>
              <w:right w:val="single" w:color="auto" w:sz="4" w:space="0"/>
            </w:tcBorders>
            <w:shd w:val="clear" w:color="auto" w:fill="auto"/>
            <w:noWrap/>
            <w:tcMar>
              <w:left w:w="0" w:type="dxa"/>
              <w:right w:w="14" w:type="dxa"/>
            </w:tcMar>
            <w:vAlign w:val="bottom"/>
            <w:hideMark/>
          </w:tcPr>
          <w:p w:rsidRPr="00E2594C" w:rsidR="00241B15" w:rsidP="00241B15" w:rsidRDefault="00241B15" w14:paraId="73B9CA5B" w14:textId="77777777">
            <w:pPr>
              <w:widowControl/>
              <w:autoSpaceDE/>
              <w:autoSpaceDN/>
              <w:adjustRightInd/>
              <w:jc w:val="center"/>
              <w:rPr>
                <w:color w:val="000000"/>
                <w:sz w:val="18"/>
                <w:szCs w:val="18"/>
              </w:rPr>
            </w:pPr>
            <w:r w:rsidRPr="00E2594C">
              <w:rPr>
                <w:color w:val="000000"/>
                <w:sz w:val="18"/>
                <w:szCs w:val="18"/>
              </w:rPr>
              <w:t>VITA Prepared</w:t>
            </w:r>
          </w:p>
        </w:tc>
        <w:tc>
          <w:tcPr>
            <w:tcW w:w="218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3994FBAC" w14:textId="77777777">
            <w:pPr>
              <w:widowControl/>
              <w:autoSpaceDE/>
              <w:autoSpaceDN/>
              <w:adjustRightInd/>
              <w:jc w:val="center"/>
              <w:rPr>
                <w:sz w:val="18"/>
                <w:szCs w:val="18"/>
              </w:rPr>
            </w:pPr>
            <w:r w:rsidRPr="00E2594C">
              <w:rPr>
                <w:sz w:val="18"/>
                <w:szCs w:val="18"/>
              </w:rPr>
              <w:t>ANY</w:t>
            </w:r>
          </w:p>
        </w:tc>
        <w:tc>
          <w:tcPr>
            <w:tcW w:w="1540" w:type="dxa"/>
            <w:tcBorders>
              <w:top w:val="nil"/>
              <w:left w:val="nil"/>
              <w:bottom w:val="single" w:color="auto" w:sz="8" w:space="0"/>
              <w:right w:val="single" w:color="auto" w:sz="4" w:space="0"/>
            </w:tcBorders>
            <w:shd w:val="clear" w:color="auto" w:fill="auto"/>
            <w:tcMar>
              <w:left w:w="0" w:type="dxa"/>
              <w:right w:w="14" w:type="dxa"/>
            </w:tcMar>
            <w:vAlign w:val="center"/>
            <w:hideMark/>
          </w:tcPr>
          <w:p w:rsidRPr="00E2594C" w:rsidR="00241B15" w:rsidP="00241B15" w:rsidRDefault="00241B15" w14:paraId="2387BDA4" w14:textId="77777777">
            <w:pPr>
              <w:widowControl/>
              <w:autoSpaceDE/>
              <w:autoSpaceDN/>
              <w:adjustRightInd/>
              <w:jc w:val="right"/>
              <w:rPr>
                <w:sz w:val="18"/>
                <w:szCs w:val="18"/>
              </w:rPr>
            </w:pPr>
            <w:r w:rsidRPr="00E2594C">
              <w:rPr>
                <w:sz w:val="18"/>
                <w:szCs w:val="18"/>
              </w:rPr>
              <w:t>3,421,941</w:t>
            </w:r>
          </w:p>
        </w:tc>
        <w:tc>
          <w:tcPr>
            <w:tcW w:w="1092"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hideMark/>
          </w:tcPr>
          <w:p w:rsidR="00241B15" w:rsidP="00241B15" w:rsidRDefault="00241B15" w14:paraId="29831359" w14:textId="77777777">
            <w:pPr>
              <w:jc w:val="right"/>
              <w:rPr>
                <w:color w:val="000000"/>
                <w:sz w:val="18"/>
                <w:szCs w:val="18"/>
              </w:rPr>
            </w:pPr>
            <w:r>
              <w:rPr>
                <w:color w:val="000000"/>
                <w:sz w:val="18"/>
                <w:szCs w:val="18"/>
              </w:rPr>
              <w:t>978</w:t>
            </w:r>
          </w:p>
        </w:tc>
      </w:tr>
      <w:tr w:rsidRPr="00E2594C" w:rsidR="00241B15" w:rsidTr="00241B15" w14:paraId="6F1B625C" w14:textId="77777777">
        <w:trPr>
          <w:trHeight w:val="315"/>
        </w:trPr>
        <w:tc>
          <w:tcPr>
            <w:tcW w:w="2560" w:type="dxa"/>
            <w:tcBorders>
              <w:top w:val="nil"/>
              <w:left w:val="nil"/>
              <w:bottom w:val="nil"/>
              <w:right w:val="nil"/>
            </w:tcBorders>
            <w:shd w:val="clear" w:color="auto" w:fill="auto"/>
            <w:noWrap/>
            <w:tcMar>
              <w:left w:w="0" w:type="dxa"/>
              <w:right w:w="14" w:type="dxa"/>
            </w:tcMar>
            <w:vAlign w:val="bottom"/>
            <w:hideMark/>
          </w:tcPr>
          <w:p w:rsidRPr="00E2594C" w:rsidR="00241B15" w:rsidP="00241B15" w:rsidRDefault="00241B15" w14:paraId="5CDC305E" w14:textId="77777777">
            <w:pPr>
              <w:widowControl/>
              <w:autoSpaceDE/>
              <w:autoSpaceDN/>
              <w:adjustRightInd/>
              <w:jc w:val="right"/>
              <w:rPr>
                <w:sz w:val="18"/>
                <w:szCs w:val="18"/>
              </w:rPr>
            </w:pPr>
          </w:p>
        </w:tc>
        <w:tc>
          <w:tcPr>
            <w:tcW w:w="2180" w:type="dxa"/>
            <w:tcBorders>
              <w:top w:val="nil"/>
              <w:left w:val="nil"/>
              <w:bottom w:val="nil"/>
              <w:right w:val="nil"/>
            </w:tcBorders>
            <w:shd w:val="clear" w:color="auto" w:fill="auto"/>
            <w:noWrap/>
            <w:tcMar>
              <w:left w:w="0" w:type="dxa"/>
              <w:right w:w="14" w:type="dxa"/>
            </w:tcMar>
            <w:vAlign w:val="bottom"/>
            <w:hideMark/>
          </w:tcPr>
          <w:p w:rsidRPr="00E2594C" w:rsidR="00241B15" w:rsidP="00241B15" w:rsidRDefault="00241B15" w14:paraId="06386B61" w14:textId="77777777">
            <w:pPr>
              <w:widowControl/>
              <w:autoSpaceDE/>
              <w:autoSpaceDN/>
              <w:adjustRightInd/>
              <w:rPr>
                <w:sz w:val="18"/>
                <w:szCs w:val="18"/>
              </w:rPr>
            </w:pPr>
          </w:p>
        </w:tc>
        <w:tc>
          <w:tcPr>
            <w:tcW w:w="1540" w:type="dxa"/>
            <w:tcBorders>
              <w:top w:val="nil"/>
              <w:left w:val="nil"/>
              <w:bottom w:val="nil"/>
              <w:right w:val="nil"/>
            </w:tcBorders>
            <w:shd w:val="clear" w:color="auto" w:fill="auto"/>
            <w:noWrap/>
            <w:tcMar>
              <w:left w:w="0" w:type="dxa"/>
              <w:right w:w="14" w:type="dxa"/>
            </w:tcMar>
            <w:vAlign w:val="bottom"/>
            <w:hideMark/>
          </w:tcPr>
          <w:p w:rsidRPr="00E2594C" w:rsidR="00241B15" w:rsidP="00241B15" w:rsidRDefault="00241B15" w14:paraId="3D7C2AED" w14:textId="77777777">
            <w:pPr>
              <w:widowControl/>
              <w:autoSpaceDE/>
              <w:autoSpaceDN/>
              <w:adjustRightInd/>
              <w:rPr>
                <w:sz w:val="18"/>
                <w:szCs w:val="18"/>
              </w:rPr>
            </w:pPr>
          </w:p>
        </w:tc>
        <w:tc>
          <w:tcPr>
            <w:tcW w:w="1092" w:type="dxa"/>
            <w:tcBorders>
              <w:top w:val="nil"/>
              <w:left w:val="single" w:color="auto" w:sz="8" w:space="0"/>
              <w:bottom w:val="single" w:color="auto" w:sz="8" w:space="0"/>
              <w:right w:val="single" w:color="auto" w:sz="8" w:space="0"/>
            </w:tcBorders>
            <w:shd w:val="clear" w:color="auto" w:fill="auto"/>
            <w:noWrap/>
            <w:tcMar>
              <w:left w:w="0" w:type="dxa"/>
              <w:right w:w="14" w:type="dxa"/>
            </w:tcMar>
            <w:vAlign w:val="center"/>
            <w:hideMark/>
          </w:tcPr>
          <w:p w:rsidR="00241B15" w:rsidP="00241B15" w:rsidRDefault="00241B15" w14:paraId="5F8792E6" w14:textId="77777777">
            <w:pPr>
              <w:jc w:val="right"/>
              <w:rPr>
                <w:color w:val="000000"/>
                <w:sz w:val="18"/>
                <w:szCs w:val="18"/>
              </w:rPr>
            </w:pPr>
            <w:r>
              <w:rPr>
                <w:color w:val="000000"/>
                <w:sz w:val="18"/>
                <w:szCs w:val="18"/>
              </w:rPr>
              <w:t>40,000</w:t>
            </w:r>
          </w:p>
        </w:tc>
      </w:tr>
    </w:tbl>
    <w:p w:rsidR="005329CE" w:rsidP="005329CE" w:rsidRDefault="005329CE" w14:paraId="08995757" w14:textId="77777777">
      <w:pPr>
        <w:pStyle w:val="ListParagraph"/>
        <w:ind w:left="0"/>
        <w:rPr>
          <w:b/>
          <w:bCs/>
          <w:sz w:val="18"/>
          <w:szCs w:val="18"/>
        </w:rPr>
      </w:pPr>
    </w:p>
    <w:p w:rsidR="00ED0BAF" w:rsidP="005329CE" w:rsidRDefault="00ED0BAF" w14:paraId="7DB85814" w14:textId="77777777">
      <w:pPr>
        <w:pStyle w:val="ListParagraph"/>
        <w:ind w:left="0"/>
        <w:rPr>
          <w:b/>
          <w:bCs/>
          <w:sz w:val="18"/>
          <w:szCs w:val="18"/>
        </w:rPr>
      </w:pPr>
    </w:p>
    <w:p w:rsidRPr="00E2594C" w:rsidR="00A754A7" w:rsidP="00A754A7" w:rsidRDefault="00A754A7" w14:paraId="2417EF4E" w14:textId="77777777">
      <w:pPr>
        <w:pStyle w:val="ListParagraph"/>
        <w:widowControl w:val="0"/>
        <w:autoSpaceDE w:val="0"/>
        <w:autoSpaceDN w:val="0"/>
        <w:adjustRightInd w:val="0"/>
        <w:ind w:left="0"/>
        <w:rPr>
          <w:b/>
          <w:bCs/>
          <w:sz w:val="18"/>
          <w:szCs w:val="18"/>
        </w:rPr>
      </w:pPr>
      <w:r>
        <w:rPr>
          <w:b/>
          <w:bCs/>
          <w:sz w:val="18"/>
          <w:szCs w:val="18"/>
        </w:rPr>
        <w:br w:type="page"/>
      </w:r>
      <w:r>
        <w:rPr>
          <w:b/>
          <w:bCs/>
          <w:sz w:val="18"/>
          <w:szCs w:val="18"/>
        </w:rPr>
        <w:lastRenderedPageBreak/>
        <w:t>Table 2 - 2019</w:t>
      </w:r>
      <w:r w:rsidRPr="00E2594C">
        <w:rPr>
          <w:b/>
          <w:bCs/>
          <w:sz w:val="18"/>
          <w:szCs w:val="18"/>
        </w:rPr>
        <w:t xml:space="preserve"> </w:t>
      </w:r>
      <w:r>
        <w:rPr>
          <w:b/>
          <w:bCs/>
          <w:sz w:val="18"/>
          <w:szCs w:val="18"/>
        </w:rPr>
        <w:t xml:space="preserve">Individual </w:t>
      </w:r>
      <w:r w:rsidRPr="00E2594C">
        <w:rPr>
          <w:b/>
          <w:bCs/>
          <w:sz w:val="18"/>
          <w:szCs w:val="18"/>
        </w:rPr>
        <w:t xml:space="preserve">Taxpayer </w:t>
      </w:r>
      <w:r>
        <w:rPr>
          <w:b/>
          <w:bCs/>
          <w:sz w:val="18"/>
          <w:szCs w:val="18"/>
        </w:rPr>
        <w:t>Compliance (Post-Filing)</w:t>
      </w:r>
      <w:r w:rsidRPr="00E2594C">
        <w:rPr>
          <w:b/>
          <w:bCs/>
          <w:sz w:val="18"/>
          <w:szCs w:val="18"/>
        </w:rPr>
        <w:t xml:space="preserve"> Burden Survey</w:t>
      </w:r>
    </w:p>
    <w:tbl>
      <w:tblPr>
        <w:tblW w:w="8275" w:type="dxa"/>
        <w:tblInd w:w="113" w:type="dxa"/>
        <w:tblLook w:val="04A0" w:firstRow="1" w:lastRow="0" w:firstColumn="1" w:lastColumn="0" w:noHBand="0" w:noVBand="1"/>
      </w:tblPr>
      <w:tblGrid>
        <w:gridCol w:w="1525"/>
        <w:gridCol w:w="2430"/>
        <w:gridCol w:w="2070"/>
        <w:gridCol w:w="1170"/>
        <w:gridCol w:w="1080"/>
      </w:tblGrid>
      <w:tr w:rsidRPr="00E2594C" w:rsidR="00A754A7" w:rsidTr="009A27D5" w14:paraId="5B938CDA" w14:textId="77777777">
        <w:tc>
          <w:tcPr>
            <w:tcW w:w="602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45443683" w14:textId="77777777">
            <w:pPr>
              <w:widowControl/>
              <w:autoSpaceDE/>
              <w:autoSpaceDN/>
              <w:adjustRightInd/>
              <w:jc w:val="center"/>
              <w:rPr>
                <w:color w:val="000000"/>
                <w:sz w:val="18"/>
                <w:szCs w:val="18"/>
              </w:rPr>
            </w:pPr>
            <w:r w:rsidRPr="00E2594C">
              <w:rPr>
                <w:color w:val="000000"/>
                <w:sz w:val="18"/>
                <w:szCs w:val="18"/>
              </w:rPr>
              <w:t>Strata</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64EC1BC0" w14:textId="77777777">
            <w:pPr>
              <w:widowControl/>
              <w:autoSpaceDE/>
              <w:autoSpaceDN/>
              <w:adjustRightInd/>
              <w:jc w:val="center"/>
              <w:rPr>
                <w:sz w:val="18"/>
                <w:szCs w:val="18"/>
              </w:rPr>
            </w:pPr>
            <w:r w:rsidRPr="00E2594C">
              <w:rPr>
                <w:sz w:val="18"/>
                <w:szCs w:val="18"/>
              </w:rPr>
              <w:t>Population Count</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50F17E9F" w14:textId="77777777">
            <w:pPr>
              <w:widowControl/>
              <w:autoSpaceDE/>
              <w:autoSpaceDN/>
              <w:adjustRightInd/>
              <w:jc w:val="center"/>
              <w:rPr>
                <w:sz w:val="18"/>
                <w:szCs w:val="18"/>
              </w:rPr>
            </w:pPr>
            <w:r w:rsidRPr="00E2594C">
              <w:rPr>
                <w:sz w:val="18"/>
                <w:szCs w:val="18"/>
              </w:rPr>
              <w:t>Sample Allocation</w:t>
            </w:r>
          </w:p>
        </w:tc>
      </w:tr>
      <w:tr w:rsidRPr="00E2594C" w:rsidR="00A754A7" w:rsidTr="009A27D5" w14:paraId="38796656"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468F6109" w14:textId="77777777">
            <w:pPr>
              <w:widowControl/>
              <w:autoSpaceDE/>
              <w:autoSpaceDN/>
              <w:adjustRightInd/>
              <w:jc w:val="center"/>
              <w:rPr>
                <w:b/>
                <w:bCs/>
                <w:color w:val="000000"/>
                <w:sz w:val="18"/>
                <w:szCs w:val="18"/>
              </w:rPr>
            </w:pPr>
            <w:r w:rsidRPr="00E2594C">
              <w:rPr>
                <w:b/>
                <w:bCs/>
                <w:color w:val="000000"/>
                <w:sz w:val="18"/>
                <w:szCs w:val="18"/>
              </w:rPr>
              <w:t>Post Filing Issue Complexity</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58A67F2" w14:textId="77777777">
            <w:pPr>
              <w:widowControl/>
              <w:autoSpaceDE/>
              <w:autoSpaceDN/>
              <w:adjustRightInd/>
              <w:jc w:val="center"/>
              <w:rPr>
                <w:b/>
                <w:bCs/>
                <w:color w:val="000000"/>
                <w:sz w:val="18"/>
                <w:szCs w:val="18"/>
              </w:rPr>
            </w:pPr>
            <w:r w:rsidRPr="00E2594C">
              <w:rPr>
                <w:b/>
                <w:bCs/>
                <w:color w:val="000000"/>
                <w:sz w:val="18"/>
                <w:szCs w:val="18"/>
              </w:rPr>
              <w:t>Return Complexity</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9C261F1" w14:textId="77777777">
            <w:pPr>
              <w:widowControl/>
              <w:autoSpaceDE/>
              <w:autoSpaceDN/>
              <w:adjustRightInd/>
              <w:jc w:val="center"/>
              <w:rPr>
                <w:b/>
                <w:bCs/>
                <w:color w:val="000000"/>
                <w:sz w:val="18"/>
                <w:szCs w:val="18"/>
              </w:rPr>
            </w:pPr>
            <w:r w:rsidRPr="00E2594C">
              <w:rPr>
                <w:b/>
                <w:bCs/>
                <w:color w:val="000000"/>
                <w:sz w:val="18"/>
                <w:szCs w:val="18"/>
              </w:rPr>
              <w:t>Preparation Method</w:t>
            </w: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E2594C" w:rsidR="00A754A7" w:rsidP="009A27D5" w:rsidRDefault="00A754A7" w14:paraId="213428C7" w14:textId="77777777">
            <w:pPr>
              <w:widowControl/>
              <w:autoSpaceDE/>
              <w:autoSpaceDN/>
              <w:adjustRightInd/>
              <w:rPr>
                <w:sz w:val="18"/>
                <w:szCs w:val="18"/>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E2594C" w:rsidR="00A754A7" w:rsidP="009A27D5" w:rsidRDefault="00A754A7" w14:paraId="690D260B" w14:textId="77777777">
            <w:pPr>
              <w:widowControl/>
              <w:autoSpaceDE/>
              <w:autoSpaceDN/>
              <w:adjustRightInd/>
              <w:rPr>
                <w:sz w:val="18"/>
                <w:szCs w:val="18"/>
              </w:rPr>
            </w:pPr>
          </w:p>
        </w:tc>
      </w:tr>
      <w:tr w:rsidRPr="00E2594C" w:rsidR="00A754A7" w:rsidTr="009A27D5" w14:paraId="6E98F4A6"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2457D220" w14:textId="77777777">
            <w:pPr>
              <w:widowControl/>
              <w:autoSpaceDE/>
              <w:autoSpaceDN/>
              <w:adjustRightInd/>
              <w:jc w:val="center"/>
              <w:rPr>
                <w:color w:val="000000"/>
                <w:sz w:val="18"/>
                <w:szCs w:val="18"/>
              </w:rPr>
            </w:pPr>
            <w:r w:rsidRPr="00E2594C">
              <w:rPr>
                <w:color w:val="000000"/>
                <w:sz w:val="18"/>
                <w:szCs w:val="18"/>
              </w:rPr>
              <w:t>Appeal</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824EA25" w14:textId="77777777">
            <w:pPr>
              <w:widowControl/>
              <w:autoSpaceDE/>
              <w:autoSpaceDN/>
              <w:adjustRightInd/>
              <w:jc w:val="center"/>
              <w:rPr>
                <w:color w:val="000000"/>
                <w:sz w:val="18"/>
                <w:szCs w:val="18"/>
              </w:rPr>
            </w:pPr>
            <w:r w:rsidRPr="00E2594C">
              <w:rPr>
                <w:color w:val="000000"/>
                <w:sz w:val="18"/>
                <w:szCs w:val="18"/>
              </w:rPr>
              <w:t xml:space="preserve">Other than High </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B376316" w14:textId="77777777">
            <w:pPr>
              <w:widowControl/>
              <w:autoSpaceDE/>
              <w:autoSpaceDN/>
              <w:adjustRightInd/>
              <w:jc w:val="center"/>
              <w:rPr>
                <w:color w:val="000000"/>
                <w:sz w:val="18"/>
                <w:szCs w:val="18"/>
              </w:rPr>
            </w:pPr>
            <w:r w:rsidRPr="00E2594C">
              <w:rPr>
                <w:color w:val="000000"/>
                <w:sz w:val="18"/>
                <w:szCs w:val="18"/>
              </w:rPr>
              <w:t>Other than 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36E10E12" w14:textId="77777777">
            <w:pPr>
              <w:widowControl/>
              <w:autoSpaceDE/>
              <w:autoSpaceDN/>
              <w:adjustRightInd/>
              <w:jc w:val="right"/>
              <w:rPr>
                <w:color w:val="000000"/>
                <w:sz w:val="18"/>
                <w:szCs w:val="18"/>
              </w:rPr>
            </w:pPr>
            <w:r w:rsidRPr="00E2594C">
              <w:rPr>
                <w:color w:val="000000"/>
                <w:sz w:val="18"/>
                <w:szCs w:val="18"/>
              </w:rPr>
              <w:t>2,552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72E5A286" w14:textId="77777777">
            <w:pPr>
              <w:widowControl/>
              <w:autoSpaceDE/>
              <w:autoSpaceDN/>
              <w:adjustRightInd/>
              <w:jc w:val="right"/>
              <w:rPr>
                <w:color w:val="000000"/>
                <w:sz w:val="18"/>
                <w:szCs w:val="18"/>
              </w:rPr>
            </w:pPr>
            <w:r>
              <w:rPr>
                <w:color w:val="000000"/>
                <w:sz w:val="18"/>
                <w:szCs w:val="18"/>
              </w:rPr>
              <w:t>1,363</w:t>
            </w:r>
          </w:p>
        </w:tc>
      </w:tr>
      <w:tr w:rsidRPr="00E2594C" w:rsidR="00A754A7" w:rsidTr="009A27D5" w14:paraId="7D74AF85"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7CEE7BD0" w14:textId="77777777">
            <w:pPr>
              <w:widowControl/>
              <w:autoSpaceDE/>
              <w:autoSpaceDN/>
              <w:adjustRightInd/>
              <w:jc w:val="center"/>
              <w:rPr>
                <w:color w:val="000000"/>
                <w:sz w:val="18"/>
                <w:szCs w:val="18"/>
              </w:rPr>
            </w:pPr>
            <w:r w:rsidRPr="00E2594C">
              <w:rPr>
                <w:color w:val="000000"/>
                <w:sz w:val="18"/>
                <w:szCs w:val="18"/>
              </w:rPr>
              <w:t>Exam - High</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410CFF9" w14:textId="77777777">
            <w:pPr>
              <w:widowControl/>
              <w:autoSpaceDE/>
              <w:autoSpaceDN/>
              <w:adjustRightInd/>
              <w:jc w:val="center"/>
              <w:rPr>
                <w:color w:val="000000"/>
                <w:sz w:val="18"/>
                <w:szCs w:val="18"/>
              </w:rPr>
            </w:pPr>
            <w:r w:rsidRPr="00E2594C">
              <w:rPr>
                <w:color w:val="000000"/>
                <w:sz w:val="18"/>
                <w:szCs w:val="18"/>
              </w:rPr>
              <w:t xml:space="preserve">Other than High </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4077592" w14:textId="77777777">
            <w:pPr>
              <w:widowControl/>
              <w:autoSpaceDE/>
              <w:autoSpaceDN/>
              <w:adjustRightInd/>
              <w:jc w:val="center"/>
              <w:rPr>
                <w:color w:val="000000"/>
                <w:sz w:val="18"/>
                <w:szCs w:val="18"/>
              </w:rPr>
            </w:pPr>
            <w:r w:rsidRPr="00E2594C">
              <w:rPr>
                <w:color w:val="000000"/>
                <w:sz w:val="18"/>
                <w:szCs w:val="18"/>
              </w:rPr>
              <w:t>Other than 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D365461" w14:textId="77777777">
            <w:pPr>
              <w:widowControl/>
              <w:autoSpaceDE/>
              <w:autoSpaceDN/>
              <w:adjustRightInd/>
              <w:jc w:val="right"/>
              <w:rPr>
                <w:color w:val="000000"/>
                <w:sz w:val="18"/>
                <w:szCs w:val="18"/>
              </w:rPr>
            </w:pPr>
            <w:r w:rsidRPr="00E2594C">
              <w:rPr>
                <w:color w:val="000000"/>
                <w:sz w:val="18"/>
                <w:szCs w:val="18"/>
              </w:rPr>
              <w:t>4,548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084FEE46" w14:textId="77777777">
            <w:pPr>
              <w:jc w:val="right"/>
              <w:rPr>
                <w:color w:val="000000"/>
                <w:sz w:val="18"/>
                <w:szCs w:val="18"/>
              </w:rPr>
            </w:pPr>
            <w:r>
              <w:rPr>
                <w:color w:val="000000"/>
                <w:sz w:val="18"/>
                <w:szCs w:val="18"/>
              </w:rPr>
              <w:t>1,363</w:t>
            </w:r>
          </w:p>
        </w:tc>
      </w:tr>
      <w:tr w:rsidRPr="00E2594C" w:rsidR="00A754A7" w:rsidTr="009A27D5" w14:paraId="3A88EC56"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007E7516" w14:textId="77777777">
            <w:pPr>
              <w:widowControl/>
              <w:autoSpaceDE/>
              <w:autoSpaceDN/>
              <w:adjustRightInd/>
              <w:jc w:val="center"/>
              <w:rPr>
                <w:color w:val="000000"/>
                <w:sz w:val="18"/>
                <w:szCs w:val="18"/>
              </w:rPr>
            </w:pPr>
            <w:r w:rsidRPr="00E2594C">
              <w:rPr>
                <w:color w:val="000000"/>
                <w:sz w:val="18"/>
                <w:szCs w:val="18"/>
              </w:rPr>
              <w:t>Appeal</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E5E7289"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85CA552"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53F1EEE" w14:textId="77777777">
            <w:pPr>
              <w:widowControl/>
              <w:autoSpaceDE/>
              <w:autoSpaceDN/>
              <w:adjustRightInd/>
              <w:jc w:val="right"/>
              <w:rPr>
                <w:color w:val="000000"/>
                <w:sz w:val="18"/>
                <w:szCs w:val="18"/>
              </w:rPr>
            </w:pPr>
            <w:r w:rsidRPr="00E2594C">
              <w:rPr>
                <w:color w:val="000000"/>
                <w:sz w:val="18"/>
                <w:szCs w:val="18"/>
              </w:rPr>
              <w:t>8,294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1192746B" w14:textId="77777777">
            <w:pPr>
              <w:jc w:val="right"/>
              <w:rPr>
                <w:color w:val="000000"/>
                <w:sz w:val="18"/>
                <w:szCs w:val="18"/>
              </w:rPr>
            </w:pPr>
            <w:r>
              <w:rPr>
                <w:color w:val="000000"/>
                <w:sz w:val="18"/>
                <w:szCs w:val="18"/>
              </w:rPr>
              <w:t>1,363</w:t>
            </w:r>
          </w:p>
        </w:tc>
      </w:tr>
      <w:tr w:rsidRPr="00E2594C" w:rsidR="00A754A7" w:rsidTr="009A27D5" w14:paraId="00AE59A7"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31DF7350" w14:textId="77777777">
            <w:pPr>
              <w:widowControl/>
              <w:autoSpaceDE/>
              <w:autoSpaceDN/>
              <w:adjustRightInd/>
              <w:jc w:val="center"/>
              <w:rPr>
                <w:color w:val="000000"/>
                <w:sz w:val="18"/>
                <w:szCs w:val="18"/>
              </w:rPr>
            </w:pPr>
            <w:r w:rsidRPr="00E2594C">
              <w:rPr>
                <w:color w:val="000000"/>
                <w:sz w:val="18"/>
                <w:szCs w:val="18"/>
              </w:rPr>
              <w:t>Exam - Medium</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4579642" w14:textId="77777777">
            <w:pPr>
              <w:widowControl/>
              <w:autoSpaceDE/>
              <w:autoSpaceDN/>
              <w:adjustRightInd/>
              <w:jc w:val="center"/>
              <w:rPr>
                <w:color w:val="000000"/>
                <w:sz w:val="18"/>
                <w:szCs w:val="18"/>
              </w:rPr>
            </w:pPr>
            <w:r w:rsidRPr="00E2594C">
              <w:rPr>
                <w:color w:val="000000"/>
                <w:sz w:val="18"/>
                <w:szCs w:val="18"/>
              </w:rPr>
              <w:t xml:space="preserve">Other than High </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F2C45C9" w14:textId="77777777">
            <w:pPr>
              <w:widowControl/>
              <w:autoSpaceDE/>
              <w:autoSpaceDN/>
              <w:adjustRightInd/>
              <w:jc w:val="center"/>
              <w:rPr>
                <w:color w:val="000000"/>
                <w:sz w:val="18"/>
                <w:szCs w:val="18"/>
              </w:rPr>
            </w:pPr>
            <w:r w:rsidRPr="00E2594C">
              <w:rPr>
                <w:color w:val="000000"/>
                <w:sz w:val="18"/>
                <w:szCs w:val="18"/>
              </w:rPr>
              <w:t>Other than 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307DE166" w14:textId="77777777">
            <w:pPr>
              <w:widowControl/>
              <w:autoSpaceDE/>
              <w:autoSpaceDN/>
              <w:adjustRightInd/>
              <w:jc w:val="right"/>
              <w:rPr>
                <w:color w:val="000000"/>
                <w:sz w:val="18"/>
                <w:szCs w:val="18"/>
              </w:rPr>
            </w:pPr>
            <w:r w:rsidRPr="00E2594C">
              <w:rPr>
                <w:color w:val="000000"/>
                <w:sz w:val="18"/>
                <w:szCs w:val="18"/>
              </w:rPr>
              <w:t>10,168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683CD46D" w14:textId="77777777">
            <w:pPr>
              <w:jc w:val="right"/>
              <w:rPr>
                <w:color w:val="000000"/>
                <w:sz w:val="18"/>
                <w:szCs w:val="18"/>
              </w:rPr>
            </w:pPr>
            <w:r>
              <w:rPr>
                <w:color w:val="000000"/>
                <w:sz w:val="18"/>
                <w:szCs w:val="18"/>
              </w:rPr>
              <w:t>1,363</w:t>
            </w:r>
          </w:p>
        </w:tc>
      </w:tr>
      <w:tr w:rsidRPr="00E2594C" w:rsidR="00A754A7" w:rsidTr="009A27D5" w14:paraId="6BC3CBFA"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3BB21F67" w14:textId="77777777">
            <w:pPr>
              <w:widowControl/>
              <w:autoSpaceDE/>
              <w:autoSpaceDN/>
              <w:adjustRightInd/>
              <w:jc w:val="center"/>
              <w:rPr>
                <w:color w:val="000000"/>
                <w:sz w:val="18"/>
                <w:szCs w:val="18"/>
              </w:rPr>
            </w:pPr>
            <w:r w:rsidRPr="00E2594C">
              <w:rPr>
                <w:color w:val="000000"/>
                <w:sz w:val="18"/>
                <w:szCs w:val="18"/>
              </w:rPr>
              <w:t>Collection - High</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3B6B940D"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91B8FAA"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163378A" w14:textId="77777777">
            <w:pPr>
              <w:widowControl/>
              <w:autoSpaceDE/>
              <w:autoSpaceDN/>
              <w:adjustRightInd/>
              <w:jc w:val="right"/>
              <w:rPr>
                <w:color w:val="000000"/>
                <w:sz w:val="18"/>
                <w:szCs w:val="18"/>
              </w:rPr>
            </w:pPr>
            <w:r w:rsidRPr="00E2594C">
              <w:rPr>
                <w:color w:val="000000"/>
                <w:sz w:val="18"/>
                <w:szCs w:val="18"/>
              </w:rPr>
              <w:t>17,175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7656673F" w14:textId="77777777">
            <w:pPr>
              <w:jc w:val="right"/>
              <w:rPr>
                <w:color w:val="000000"/>
                <w:sz w:val="18"/>
                <w:szCs w:val="18"/>
              </w:rPr>
            </w:pPr>
            <w:r>
              <w:rPr>
                <w:color w:val="000000"/>
                <w:sz w:val="18"/>
                <w:szCs w:val="18"/>
              </w:rPr>
              <w:t>1,363</w:t>
            </w:r>
          </w:p>
        </w:tc>
      </w:tr>
      <w:tr w:rsidRPr="00E2594C" w:rsidR="00A754A7" w:rsidTr="009A27D5" w14:paraId="28ECACA7"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51752BD5" w14:textId="77777777">
            <w:pPr>
              <w:widowControl/>
              <w:autoSpaceDE/>
              <w:autoSpaceDN/>
              <w:adjustRightInd/>
              <w:jc w:val="center"/>
              <w:rPr>
                <w:color w:val="000000"/>
                <w:sz w:val="18"/>
                <w:szCs w:val="18"/>
              </w:rPr>
            </w:pPr>
            <w:r w:rsidRPr="00E2594C">
              <w:rPr>
                <w:color w:val="000000"/>
                <w:sz w:val="18"/>
                <w:szCs w:val="18"/>
              </w:rPr>
              <w:t>Collection - High</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71F6785"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AD30454"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C59C807" w14:textId="77777777">
            <w:pPr>
              <w:widowControl/>
              <w:autoSpaceDE/>
              <w:autoSpaceDN/>
              <w:adjustRightInd/>
              <w:jc w:val="right"/>
              <w:rPr>
                <w:color w:val="000000"/>
                <w:sz w:val="18"/>
                <w:szCs w:val="18"/>
              </w:rPr>
            </w:pPr>
            <w:r w:rsidRPr="00E2594C">
              <w:rPr>
                <w:color w:val="000000"/>
                <w:sz w:val="18"/>
                <w:szCs w:val="18"/>
              </w:rPr>
              <w:t>23,015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1B5BB99E" w14:textId="77777777">
            <w:pPr>
              <w:jc w:val="right"/>
              <w:rPr>
                <w:color w:val="000000"/>
                <w:sz w:val="18"/>
                <w:szCs w:val="18"/>
              </w:rPr>
            </w:pPr>
            <w:r>
              <w:rPr>
                <w:color w:val="000000"/>
                <w:sz w:val="18"/>
                <w:szCs w:val="18"/>
              </w:rPr>
              <w:t>1,363</w:t>
            </w:r>
          </w:p>
        </w:tc>
      </w:tr>
      <w:tr w:rsidRPr="00E2594C" w:rsidR="00A754A7" w:rsidTr="009A27D5" w14:paraId="6AB7DA13"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1AA85CBC" w14:textId="77777777">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47FA5883"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A22669D"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44C78ABF" w14:textId="77777777">
            <w:pPr>
              <w:widowControl/>
              <w:autoSpaceDE/>
              <w:autoSpaceDN/>
              <w:adjustRightInd/>
              <w:jc w:val="right"/>
              <w:rPr>
                <w:color w:val="000000"/>
                <w:sz w:val="18"/>
                <w:szCs w:val="18"/>
              </w:rPr>
            </w:pPr>
            <w:r w:rsidRPr="00E2594C">
              <w:rPr>
                <w:color w:val="000000"/>
                <w:sz w:val="18"/>
                <w:szCs w:val="18"/>
              </w:rPr>
              <w:t>27,091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3622A8F0" w14:textId="77777777">
            <w:pPr>
              <w:jc w:val="right"/>
              <w:rPr>
                <w:color w:val="000000"/>
                <w:sz w:val="18"/>
                <w:szCs w:val="18"/>
              </w:rPr>
            </w:pPr>
            <w:r>
              <w:rPr>
                <w:color w:val="000000"/>
                <w:sz w:val="18"/>
                <w:szCs w:val="18"/>
              </w:rPr>
              <w:t>1,363</w:t>
            </w:r>
          </w:p>
        </w:tc>
      </w:tr>
      <w:tr w:rsidRPr="00E2594C" w:rsidR="00A754A7" w:rsidTr="009A27D5" w14:paraId="64721FBE"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2A35F168" w14:textId="77777777">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27AE8D6"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0435393"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1EA15BA" w14:textId="77777777">
            <w:pPr>
              <w:widowControl/>
              <w:autoSpaceDE/>
              <w:autoSpaceDN/>
              <w:adjustRightInd/>
              <w:jc w:val="right"/>
              <w:rPr>
                <w:color w:val="000000"/>
                <w:sz w:val="18"/>
                <w:szCs w:val="18"/>
              </w:rPr>
            </w:pPr>
            <w:r w:rsidRPr="00E2594C">
              <w:rPr>
                <w:color w:val="000000"/>
                <w:sz w:val="18"/>
                <w:szCs w:val="18"/>
              </w:rPr>
              <w:t>32,183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6C506CFD" w14:textId="77777777">
            <w:pPr>
              <w:jc w:val="right"/>
              <w:rPr>
                <w:color w:val="000000"/>
                <w:sz w:val="18"/>
                <w:szCs w:val="18"/>
              </w:rPr>
            </w:pPr>
            <w:r>
              <w:rPr>
                <w:color w:val="000000"/>
                <w:sz w:val="18"/>
                <w:szCs w:val="18"/>
              </w:rPr>
              <w:t>1,363</w:t>
            </w:r>
          </w:p>
        </w:tc>
      </w:tr>
      <w:tr w:rsidRPr="00E2594C" w:rsidR="00A754A7" w:rsidTr="009A27D5" w14:paraId="55EA09D6"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0938A35A" w14:textId="77777777">
            <w:pPr>
              <w:widowControl/>
              <w:autoSpaceDE/>
              <w:autoSpaceDN/>
              <w:adjustRightInd/>
              <w:jc w:val="center"/>
              <w:rPr>
                <w:color w:val="000000"/>
                <w:sz w:val="18"/>
                <w:szCs w:val="18"/>
              </w:rPr>
            </w:pPr>
            <w:r w:rsidRPr="00E2594C">
              <w:rPr>
                <w:color w:val="000000"/>
                <w:sz w:val="18"/>
                <w:szCs w:val="18"/>
              </w:rPr>
              <w:t>Exam - High</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CDF79AD"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44BD4B7"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C2C356A" w14:textId="77777777">
            <w:pPr>
              <w:widowControl/>
              <w:autoSpaceDE/>
              <w:autoSpaceDN/>
              <w:adjustRightInd/>
              <w:jc w:val="right"/>
              <w:rPr>
                <w:color w:val="000000"/>
                <w:sz w:val="18"/>
                <w:szCs w:val="18"/>
              </w:rPr>
            </w:pPr>
            <w:r w:rsidRPr="00E2594C">
              <w:rPr>
                <w:color w:val="000000"/>
                <w:sz w:val="18"/>
                <w:szCs w:val="18"/>
              </w:rPr>
              <w:t>65,083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770A018A" w14:textId="77777777">
            <w:pPr>
              <w:jc w:val="right"/>
              <w:rPr>
                <w:color w:val="000000"/>
                <w:sz w:val="18"/>
                <w:szCs w:val="18"/>
              </w:rPr>
            </w:pPr>
            <w:r>
              <w:rPr>
                <w:color w:val="000000"/>
                <w:sz w:val="18"/>
                <w:szCs w:val="18"/>
              </w:rPr>
              <w:t>1,363</w:t>
            </w:r>
          </w:p>
        </w:tc>
      </w:tr>
      <w:tr w:rsidRPr="00E2594C" w:rsidR="00A754A7" w:rsidTr="009A27D5" w14:paraId="4F594376"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0E883694" w14:textId="77777777">
            <w:pPr>
              <w:widowControl/>
              <w:autoSpaceDE/>
              <w:autoSpaceDN/>
              <w:adjustRightInd/>
              <w:jc w:val="center"/>
              <w:rPr>
                <w:color w:val="000000"/>
                <w:sz w:val="18"/>
                <w:szCs w:val="18"/>
              </w:rPr>
            </w:pPr>
            <w:r w:rsidRPr="00E2594C">
              <w:rPr>
                <w:color w:val="000000"/>
                <w:sz w:val="18"/>
                <w:szCs w:val="18"/>
              </w:rPr>
              <w:t>Coll - High</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AA28B75"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8CCCA1D"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372A6BC" w14:textId="77777777">
            <w:pPr>
              <w:widowControl/>
              <w:autoSpaceDE/>
              <w:autoSpaceDN/>
              <w:adjustRightInd/>
              <w:jc w:val="right"/>
              <w:rPr>
                <w:color w:val="000000"/>
                <w:sz w:val="18"/>
                <w:szCs w:val="18"/>
              </w:rPr>
            </w:pPr>
            <w:r w:rsidRPr="00E2594C">
              <w:rPr>
                <w:color w:val="000000"/>
                <w:sz w:val="18"/>
                <w:szCs w:val="18"/>
              </w:rPr>
              <w:t>74,933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307338DD" w14:textId="77777777">
            <w:pPr>
              <w:jc w:val="right"/>
              <w:rPr>
                <w:color w:val="000000"/>
                <w:sz w:val="18"/>
                <w:szCs w:val="18"/>
              </w:rPr>
            </w:pPr>
            <w:r>
              <w:rPr>
                <w:color w:val="000000"/>
                <w:sz w:val="18"/>
                <w:szCs w:val="18"/>
              </w:rPr>
              <w:t>1,363</w:t>
            </w:r>
          </w:p>
        </w:tc>
      </w:tr>
      <w:tr w:rsidRPr="00E2594C" w:rsidR="00A754A7" w:rsidTr="009A27D5" w14:paraId="5C930144"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2E7DE328" w14:textId="77777777">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E802E7A"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683D9F6"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B4D6B77" w14:textId="77777777">
            <w:pPr>
              <w:widowControl/>
              <w:autoSpaceDE/>
              <w:autoSpaceDN/>
              <w:adjustRightInd/>
              <w:jc w:val="right"/>
              <w:rPr>
                <w:color w:val="000000"/>
                <w:sz w:val="18"/>
                <w:szCs w:val="18"/>
              </w:rPr>
            </w:pPr>
            <w:r w:rsidRPr="00E2594C">
              <w:rPr>
                <w:color w:val="000000"/>
                <w:sz w:val="18"/>
                <w:szCs w:val="18"/>
              </w:rPr>
              <w:t>90,776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34207771" w14:textId="77777777">
            <w:pPr>
              <w:jc w:val="right"/>
              <w:rPr>
                <w:color w:val="000000"/>
                <w:sz w:val="18"/>
                <w:szCs w:val="18"/>
              </w:rPr>
            </w:pPr>
            <w:r>
              <w:rPr>
                <w:color w:val="000000"/>
                <w:sz w:val="18"/>
                <w:szCs w:val="18"/>
              </w:rPr>
              <w:t>1,363</w:t>
            </w:r>
          </w:p>
        </w:tc>
      </w:tr>
      <w:tr w:rsidRPr="00E2594C" w:rsidR="00A754A7" w:rsidTr="009A27D5" w14:paraId="0AF5641C"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0EA47808" w14:textId="77777777">
            <w:pPr>
              <w:widowControl/>
              <w:autoSpaceDE/>
              <w:autoSpaceDN/>
              <w:adjustRightInd/>
              <w:jc w:val="center"/>
              <w:rPr>
                <w:color w:val="000000"/>
                <w:sz w:val="18"/>
                <w:szCs w:val="18"/>
              </w:rPr>
            </w:pPr>
            <w:r w:rsidRPr="00E2594C">
              <w:rPr>
                <w:color w:val="000000"/>
                <w:sz w:val="18"/>
                <w:szCs w:val="18"/>
              </w:rPr>
              <w:t>Exam - Medium</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69D74B7"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19377F4"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416DC5ED" w14:textId="77777777">
            <w:pPr>
              <w:widowControl/>
              <w:autoSpaceDE/>
              <w:autoSpaceDN/>
              <w:adjustRightInd/>
              <w:jc w:val="right"/>
              <w:rPr>
                <w:color w:val="000000"/>
                <w:sz w:val="18"/>
                <w:szCs w:val="18"/>
              </w:rPr>
            </w:pPr>
            <w:r w:rsidRPr="00E2594C">
              <w:rPr>
                <w:color w:val="000000"/>
                <w:sz w:val="18"/>
                <w:szCs w:val="18"/>
              </w:rPr>
              <w:t>92,153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2B4ED95C" w14:textId="77777777">
            <w:pPr>
              <w:jc w:val="right"/>
              <w:rPr>
                <w:color w:val="000000"/>
                <w:sz w:val="18"/>
                <w:szCs w:val="18"/>
              </w:rPr>
            </w:pPr>
            <w:r>
              <w:rPr>
                <w:color w:val="000000"/>
                <w:sz w:val="18"/>
                <w:szCs w:val="18"/>
              </w:rPr>
              <w:t>1,363</w:t>
            </w:r>
          </w:p>
        </w:tc>
      </w:tr>
      <w:tr w:rsidRPr="00E2594C" w:rsidR="00A754A7" w:rsidTr="009A27D5" w14:paraId="77F449AC"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030E36CE" w14:textId="77777777">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3592BE4"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EF5A65F"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0FC3B24" w14:textId="77777777">
            <w:pPr>
              <w:widowControl/>
              <w:autoSpaceDE/>
              <w:autoSpaceDN/>
              <w:adjustRightInd/>
              <w:jc w:val="right"/>
              <w:rPr>
                <w:color w:val="000000"/>
                <w:sz w:val="18"/>
                <w:szCs w:val="18"/>
              </w:rPr>
            </w:pPr>
            <w:r w:rsidRPr="00E2594C">
              <w:rPr>
                <w:color w:val="000000"/>
                <w:sz w:val="18"/>
                <w:szCs w:val="18"/>
              </w:rPr>
              <w:t>132,179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7775A97E" w14:textId="77777777">
            <w:pPr>
              <w:jc w:val="right"/>
              <w:rPr>
                <w:color w:val="000000"/>
                <w:sz w:val="18"/>
                <w:szCs w:val="18"/>
              </w:rPr>
            </w:pPr>
            <w:r>
              <w:rPr>
                <w:color w:val="000000"/>
                <w:sz w:val="18"/>
                <w:szCs w:val="18"/>
              </w:rPr>
              <w:t>1,363</w:t>
            </w:r>
          </w:p>
        </w:tc>
      </w:tr>
      <w:tr w:rsidRPr="00E2594C" w:rsidR="00A754A7" w:rsidTr="009A27D5" w14:paraId="157986B4"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71BB31E9" w14:textId="77777777">
            <w:pPr>
              <w:widowControl/>
              <w:autoSpaceDE/>
              <w:autoSpaceDN/>
              <w:adjustRightInd/>
              <w:jc w:val="center"/>
              <w:rPr>
                <w:color w:val="000000"/>
                <w:sz w:val="18"/>
                <w:szCs w:val="18"/>
              </w:rPr>
            </w:pPr>
            <w:r w:rsidRPr="00E2594C">
              <w:rPr>
                <w:color w:val="000000"/>
                <w:sz w:val="18"/>
                <w:szCs w:val="18"/>
              </w:rPr>
              <w:t>Coll - High</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35769D2C"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2787F9F"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3C4BA0D" w14:textId="77777777">
            <w:pPr>
              <w:widowControl/>
              <w:autoSpaceDE/>
              <w:autoSpaceDN/>
              <w:adjustRightInd/>
              <w:jc w:val="right"/>
              <w:rPr>
                <w:color w:val="000000"/>
                <w:sz w:val="18"/>
                <w:szCs w:val="18"/>
              </w:rPr>
            </w:pPr>
            <w:r w:rsidRPr="00E2594C">
              <w:rPr>
                <w:color w:val="000000"/>
                <w:sz w:val="18"/>
                <w:szCs w:val="18"/>
              </w:rPr>
              <w:t>193,443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2D223C8C" w14:textId="77777777">
            <w:pPr>
              <w:jc w:val="right"/>
              <w:rPr>
                <w:color w:val="000000"/>
                <w:sz w:val="18"/>
                <w:szCs w:val="18"/>
              </w:rPr>
            </w:pPr>
            <w:r>
              <w:rPr>
                <w:color w:val="000000"/>
                <w:sz w:val="18"/>
                <w:szCs w:val="18"/>
              </w:rPr>
              <w:t>1,363</w:t>
            </w:r>
          </w:p>
        </w:tc>
      </w:tr>
      <w:tr w:rsidRPr="00E2594C" w:rsidR="00A754A7" w:rsidTr="009A27D5" w14:paraId="69BC5488"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72315193" w14:textId="77777777">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913585B"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63180E3"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42A5889" w14:textId="77777777">
            <w:pPr>
              <w:widowControl/>
              <w:autoSpaceDE/>
              <w:autoSpaceDN/>
              <w:adjustRightInd/>
              <w:jc w:val="right"/>
              <w:rPr>
                <w:color w:val="000000"/>
                <w:sz w:val="18"/>
                <w:szCs w:val="18"/>
              </w:rPr>
            </w:pPr>
            <w:r w:rsidRPr="00E2594C">
              <w:rPr>
                <w:color w:val="000000"/>
                <w:sz w:val="18"/>
                <w:szCs w:val="18"/>
              </w:rPr>
              <w:t>257,990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779351F6" w14:textId="77777777">
            <w:pPr>
              <w:jc w:val="right"/>
              <w:rPr>
                <w:color w:val="000000"/>
                <w:sz w:val="18"/>
                <w:szCs w:val="18"/>
              </w:rPr>
            </w:pPr>
            <w:r>
              <w:rPr>
                <w:color w:val="000000"/>
                <w:sz w:val="18"/>
                <w:szCs w:val="18"/>
              </w:rPr>
              <w:t>1,363</w:t>
            </w:r>
          </w:p>
        </w:tc>
      </w:tr>
      <w:tr w:rsidRPr="00E2594C" w:rsidR="00A754A7" w:rsidTr="009A27D5" w14:paraId="0A076588"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7903E382" w14:textId="77777777">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53BE6F8"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6186B93"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1E391B5" w14:textId="77777777">
            <w:pPr>
              <w:widowControl/>
              <w:autoSpaceDE/>
              <w:autoSpaceDN/>
              <w:adjustRightInd/>
              <w:jc w:val="right"/>
              <w:rPr>
                <w:color w:val="000000"/>
                <w:sz w:val="18"/>
                <w:szCs w:val="18"/>
              </w:rPr>
            </w:pPr>
            <w:r w:rsidRPr="00E2594C">
              <w:rPr>
                <w:color w:val="000000"/>
                <w:sz w:val="18"/>
                <w:szCs w:val="18"/>
              </w:rPr>
              <w:t>308,263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4259CC82" w14:textId="77777777">
            <w:pPr>
              <w:jc w:val="right"/>
              <w:rPr>
                <w:color w:val="000000"/>
                <w:sz w:val="18"/>
                <w:szCs w:val="18"/>
              </w:rPr>
            </w:pPr>
            <w:r>
              <w:rPr>
                <w:color w:val="000000"/>
                <w:sz w:val="18"/>
                <w:szCs w:val="18"/>
              </w:rPr>
              <w:t>1,363</w:t>
            </w:r>
          </w:p>
        </w:tc>
      </w:tr>
      <w:tr w:rsidRPr="00E2594C" w:rsidR="00A754A7" w:rsidTr="009A27D5" w14:paraId="71C44B1E"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58CEBEC3" w14:textId="77777777">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E792D10"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9C279B4" w14:textId="77777777">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4C3E5C1" w14:textId="77777777">
            <w:pPr>
              <w:widowControl/>
              <w:autoSpaceDE/>
              <w:autoSpaceDN/>
              <w:adjustRightInd/>
              <w:jc w:val="right"/>
              <w:rPr>
                <w:color w:val="000000"/>
                <w:sz w:val="18"/>
                <w:szCs w:val="18"/>
              </w:rPr>
            </w:pPr>
            <w:r w:rsidRPr="00E2594C">
              <w:rPr>
                <w:color w:val="000000"/>
                <w:sz w:val="18"/>
                <w:szCs w:val="18"/>
              </w:rPr>
              <w:t>386,219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3A51DE27" w14:textId="77777777">
            <w:pPr>
              <w:jc w:val="right"/>
              <w:rPr>
                <w:color w:val="000000"/>
                <w:sz w:val="18"/>
                <w:szCs w:val="18"/>
              </w:rPr>
            </w:pPr>
            <w:r>
              <w:rPr>
                <w:color w:val="000000"/>
                <w:sz w:val="18"/>
                <w:szCs w:val="18"/>
              </w:rPr>
              <w:t>1,363</w:t>
            </w:r>
          </w:p>
        </w:tc>
      </w:tr>
      <w:tr w:rsidRPr="00E2594C" w:rsidR="00A754A7" w:rsidTr="009A27D5" w14:paraId="7BDBD49C"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1282ACA5" w14:textId="77777777">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3A25FB67"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5E2A6081"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AC516A6" w14:textId="77777777">
            <w:pPr>
              <w:widowControl/>
              <w:autoSpaceDE/>
              <w:autoSpaceDN/>
              <w:adjustRightInd/>
              <w:jc w:val="right"/>
              <w:rPr>
                <w:color w:val="000000"/>
                <w:sz w:val="18"/>
                <w:szCs w:val="18"/>
              </w:rPr>
            </w:pPr>
            <w:r w:rsidRPr="00E2594C">
              <w:rPr>
                <w:color w:val="000000"/>
                <w:sz w:val="18"/>
                <w:szCs w:val="18"/>
              </w:rPr>
              <w:t>472,121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1602935B" w14:textId="77777777">
            <w:pPr>
              <w:jc w:val="right"/>
              <w:rPr>
                <w:color w:val="000000"/>
                <w:sz w:val="18"/>
                <w:szCs w:val="18"/>
              </w:rPr>
            </w:pPr>
            <w:r>
              <w:rPr>
                <w:color w:val="000000"/>
                <w:sz w:val="18"/>
                <w:szCs w:val="18"/>
              </w:rPr>
              <w:t>1,377</w:t>
            </w:r>
          </w:p>
        </w:tc>
      </w:tr>
      <w:tr w:rsidRPr="00E2594C" w:rsidR="00A754A7" w:rsidTr="009A27D5" w14:paraId="14ADB8F0"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3B785A9C" w14:textId="77777777">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338E8EB"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094C3579"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4BAC1BFA" w14:textId="77777777">
            <w:pPr>
              <w:widowControl/>
              <w:autoSpaceDE/>
              <w:autoSpaceDN/>
              <w:adjustRightInd/>
              <w:jc w:val="right"/>
              <w:rPr>
                <w:color w:val="000000"/>
                <w:sz w:val="18"/>
                <w:szCs w:val="18"/>
              </w:rPr>
            </w:pPr>
            <w:r w:rsidRPr="00E2594C">
              <w:rPr>
                <w:color w:val="000000"/>
                <w:sz w:val="18"/>
                <w:szCs w:val="18"/>
              </w:rPr>
              <w:t>1,459,608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24BA286E" w14:textId="77777777">
            <w:pPr>
              <w:jc w:val="right"/>
              <w:rPr>
                <w:color w:val="000000"/>
                <w:sz w:val="18"/>
                <w:szCs w:val="18"/>
              </w:rPr>
            </w:pPr>
            <w:r>
              <w:rPr>
                <w:color w:val="000000"/>
                <w:sz w:val="18"/>
                <w:szCs w:val="18"/>
              </w:rPr>
              <w:t>1,363</w:t>
            </w:r>
          </w:p>
        </w:tc>
      </w:tr>
      <w:tr w:rsidRPr="00E2594C" w:rsidR="00A754A7" w:rsidTr="009A27D5" w14:paraId="00A3F547"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679C92C5" w14:textId="77777777">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CB7899F"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282794D8"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185F485" w14:textId="77777777">
            <w:pPr>
              <w:widowControl/>
              <w:autoSpaceDE/>
              <w:autoSpaceDN/>
              <w:adjustRightInd/>
              <w:jc w:val="right"/>
              <w:rPr>
                <w:color w:val="000000"/>
                <w:sz w:val="18"/>
                <w:szCs w:val="18"/>
              </w:rPr>
            </w:pPr>
            <w:r w:rsidRPr="00E2594C">
              <w:rPr>
                <w:color w:val="000000"/>
                <w:sz w:val="18"/>
                <w:szCs w:val="18"/>
              </w:rPr>
              <w:t>2,055,678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5B0241D2" w14:textId="77777777">
            <w:pPr>
              <w:jc w:val="right"/>
              <w:rPr>
                <w:color w:val="000000"/>
                <w:sz w:val="18"/>
                <w:szCs w:val="18"/>
              </w:rPr>
            </w:pPr>
            <w:r>
              <w:rPr>
                <w:color w:val="000000"/>
                <w:sz w:val="18"/>
                <w:szCs w:val="18"/>
              </w:rPr>
              <w:t>1,363</w:t>
            </w:r>
          </w:p>
        </w:tc>
      </w:tr>
      <w:tr w:rsidRPr="00E2594C" w:rsidR="00A754A7" w:rsidTr="009A27D5" w14:paraId="6609A150"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2D054C0F" w14:textId="77777777">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3F4395D2" w14:textId="77777777">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1ED76B60"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493F0802" w14:textId="77777777">
            <w:pPr>
              <w:widowControl/>
              <w:autoSpaceDE/>
              <w:autoSpaceDN/>
              <w:adjustRightInd/>
              <w:jc w:val="right"/>
              <w:rPr>
                <w:color w:val="000000"/>
                <w:sz w:val="18"/>
                <w:szCs w:val="18"/>
              </w:rPr>
            </w:pPr>
            <w:r w:rsidRPr="00E2594C">
              <w:rPr>
                <w:color w:val="000000"/>
                <w:sz w:val="18"/>
                <w:szCs w:val="18"/>
              </w:rPr>
              <w:t>2,361,685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12230F2B" w14:textId="77777777">
            <w:pPr>
              <w:jc w:val="right"/>
              <w:rPr>
                <w:color w:val="000000"/>
                <w:sz w:val="18"/>
                <w:szCs w:val="18"/>
              </w:rPr>
            </w:pPr>
            <w:r>
              <w:rPr>
                <w:color w:val="000000"/>
                <w:sz w:val="18"/>
                <w:szCs w:val="18"/>
              </w:rPr>
              <w:t>1,363</w:t>
            </w:r>
          </w:p>
        </w:tc>
      </w:tr>
      <w:tr w:rsidRPr="00E2594C" w:rsidR="00A754A7" w:rsidTr="009A27D5" w14:paraId="7095CF72" w14:textId="77777777">
        <w:tc>
          <w:tcPr>
            <w:tcW w:w="1525" w:type="dxa"/>
            <w:tcBorders>
              <w:top w:val="nil"/>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1A7E58D9" w14:textId="77777777">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C234E0D" w14:textId="77777777">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71764507" w14:textId="77777777">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color="auto" w:sz="4" w:space="0"/>
              <w:right w:val="single" w:color="auto" w:sz="4" w:space="0"/>
            </w:tcBorders>
            <w:shd w:val="clear" w:color="auto" w:fill="auto"/>
            <w:vAlign w:val="center"/>
            <w:hideMark/>
          </w:tcPr>
          <w:p w:rsidRPr="00E2594C" w:rsidR="00A754A7" w:rsidP="009A27D5" w:rsidRDefault="00A754A7" w14:paraId="61430491" w14:textId="77777777">
            <w:pPr>
              <w:widowControl/>
              <w:autoSpaceDE/>
              <w:autoSpaceDN/>
              <w:adjustRightInd/>
              <w:jc w:val="right"/>
              <w:rPr>
                <w:color w:val="000000"/>
                <w:sz w:val="18"/>
                <w:szCs w:val="18"/>
              </w:rPr>
            </w:pPr>
            <w:r w:rsidRPr="00E2594C">
              <w:rPr>
                <w:color w:val="000000"/>
                <w:sz w:val="18"/>
                <w:szCs w:val="18"/>
              </w:rPr>
              <w:t>4,037,175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A754A7" w:rsidP="009A27D5" w:rsidRDefault="00A754A7" w14:paraId="63132596" w14:textId="77777777">
            <w:pPr>
              <w:jc w:val="right"/>
              <w:rPr>
                <w:color w:val="000000"/>
                <w:sz w:val="18"/>
                <w:szCs w:val="18"/>
              </w:rPr>
            </w:pPr>
            <w:r>
              <w:rPr>
                <w:color w:val="000000"/>
                <w:sz w:val="18"/>
                <w:szCs w:val="18"/>
              </w:rPr>
              <w:t>1,363</w:t>
            </w:r>
          </w:p>
        </w:tc>
      </w:tr>
      <w:tr w:rsidRPr="00E2594C" w:rsidR="00A754A7" w:rsidTr="009A27D5" w14:paraId="0A8389C5" w14:textId="77777777">
        <w:tc>
          <w:tcPr>
            <w:tcW w:w="1525" w:type="dxa"/>
            <w:tcBorders>
              <w:top w:val="nil"/>
              <w:left w:val="nil"/>
              <w:bottom w:val="nil"/>
              <w:right w:val="nil"/>
            </w:tcBorders>
            <w:shd w:val="clear" w:color="auto" w:fill="auto"/>
            <w:noWrap/>
            <w:vAlign w:val="bottom"/>
            <w:hideMark/>
          </w:tcPr>
          <w:p w:rsidRPr="00E2594C" w:rsidR="00A754A7" w:rsidP="009A27D5" w:rsidRDefault="00A754A7" w14:paraId="3E442E18" w14:textId="77777777">
            <w:pPr>
              <w:widowControl/>
              <w:autoSpaceDE/>
              <w:autoSpaceDN/>
              <w:adjustRightInd/>
              <w:jc w:val="right"/>
              <w:rPr>
                <w:color w:val="000000"/>
                <w:sz w:val="18"/>
                <w:szCs w:val="18"/>
              </w:rPr>
            </w:pPr>
          </w:p>
        </w:tc>
        <w:tc>
          <w:tcPr>
            <w:tcW w:w="2430" w:type="dxa"/>
            <w:tcBorders>
              <w:top w:val="nil"/>
              <w:left w:val="nil"/>
              <w:bottom w:val="nil"/>
              <w:right w:val="nil"/>
            </w:tcBorders>
            <w:shd w:val="clear" w:color="auto" w:fill="auto"/>
            <w:noWrap/>
            <w:vAlign w:val="bottom"/>
            <w:hideMark/>
          </w:tcPr>
          <w:p w:rsidRPr="00E2594C" w:rsidR="00A754A7" w:rsidP="009A27D5" w:rsidRDefault="00A754A7" w14:paraId="58A914ED" w14:textId="77777777">
            <w:pPr>
              <w:widowControl/>
              <w:autoSpaceDE/>
              <w:autoSpaceDN/>
              <w:adjustRightInd/>
              <w:rPr>
                <w:sz w:val="18"/>
                <w:szCs w:val="18"/>
              </w:rPr>
            </w:pPr>
          </w:p>
        </w:tc>
        <w:tc>
          <w:tcPr>
            <w:tcW w:w="2070" w:type="dxa"/>
            <w:tcBorders>
              <w:top w:val="nil"/>
              <w:left w:val="nil"/>
              <w:bottom w:val="nil"/>
              <w:right w:val="nil"/>
            </w:tcBorders>
            <w:shd w:val="clear" w:color="auto" w:fill="auto"/>
            <w:noWrap/>
            <w:vAlign w:val="bottom"/>
            <w:hideMark/>
          </w:tcPr>
          <w:p w:rsidRPr="00E2594C" w:rsidR="00A754A7" w:rsidP="009A27D5" w:rsidRDefault="00A754A7" w14:paraId="6994A981" w14:textId="77777777">
            <w:pPr>
              <w:widowControl/>
              <w:autoSpaceDE/>
              <w:autoSpaceDN/>
              <w:adjustRightInd/>
              <w:rPr>
                <w:sz w:val="18"/>
                <w:szCs w:val="18"/>
              </w:rPr>
            </w:pPr>
          </w:p>
        </w:tc>
        <w:tc>
          <w:tcPr>
            <w:tcW w:w="1170" w:type="dxa"/>
            <w:tcBorders>
              <w:top w:val="nil"/>
              <w:left w:val="nil"/>
              <w:bottom w:val="nil"/>
              <w:right w:val="single" w:color="auto" w:sz="4" w:space="0"/>
            </w:tcBorders>
            <w:shd w:val="clear" w:color="auto" w:fill="auto"/>
            <w:noWrap/>
            <w:vAlign w:val="bottom"/>
            <w:hideMark/>
          </w:tcPr>
          <w:p w:rsidRPr="00E2594C" w:rsidR="00A754A7" w:rsidP="009A27D5" w:rsidRDefault="00A754A7" w14:paraId="073798CD" w14:textId="77777777">
            <w:pPr>
              <w:widowControl/>
              <w:autoSpaceDE/>
              <w:autoSpaceDN/>
              <w:adjustRightInd/>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7AEDA944" w14:textId="77777777">
            <w:pPr>
              <w:jc w:val="right"/>
              <w:rPr>
                <w:color w:val="000000"/>
                <w:sz w:val="18"/>
                <w:szCs w:val="18"/>
              </w:rPr>
            </w:pPr>
            <w:r>
              <w:rPr>
                <w:color w:val="000000"/>
                <w:sz w:val="18"/>
                <w:szCs w:val="18"/>
              </w:rPr>
              <w:t>30,000</w:t>
            </w:r>
          </w:p>
        </w:tc>
      </w:tr>
    </w:tbl>
    <w:p w:rsidRPr="00E2594C" w:rsidR="00A754A7" w:rsidP="00A754A7" w:rsidRDefault="00A754A7" w14:paraId="73490BFA" w14:textId="77777777">
      <w:pPr>
        <w:pStyle w:val="ListParagraph"/>
        <w:widowControl w:val="0"/>
        <w:autoSpaceDE w:val="0"/>
        <w:autoSpaceDN w:val="0"/>
        <w:adjustRightInd w:val="0"/>
        <w:ind w:left="0"/>
        <w:rPr>
          <w:b/>
          <w:bCs/>
          <w:sz w:val="18"/>
          <w:szCs w:val="18"/>
        </w:rPr>
      </w:pPr>
    </w:p>
    <w:p w:rsidRPr="00E2594C" w:rsidR="00A754A7" w:rsidP="00A754A7" w:rsidRDefault="00A754A7" w14:paraId="545D659D" w14:textId="77777777">
      <w:pPr>
        <w:pStyle w:val="ListParagraph"/>
        <w:widowControl w:val="0"/>
        <w:autoSpaceDE w:val="0"/>
        <w:autoSpaceDN w:val="0"/>
        <w:adjustRightInd w:val="0"/>
        <w:ind w:left="0"/>
        <w:rPr>
          <w:b/>
          <w:bCs/>
          <w:sz w:val="18"/>
          <w:szCs w:val="18"/>
        </w:rPr>
      </w:pPr>
      <w:r>
        <w:rPr>
          <w:b/>
          <w:bCs/>
          <w:sz w:val="18"/>
          <w:szCs w:val="18"/>
        </w:rPr>
        <w:t>Table 3 - 2021</w:t>
      </w:r>
      <w:r w:rsidRPr="00E2594C">
        <w:rPr>
          <w:b/>
          <w:bCs/>
          <w:sz w:val="18"/>
          <w:szCs w:val="18"/>
        </w:rPr>
        <w:t xml:space="preserve"> Tax-Exempt Organization Burden Survey</w:t>
      </w:r>
    </w:p>
    <w:tbl>
      <w:tblPr>
        <w:tblW w:w="6925" w:type="dxa"/>
        <w:tblInd w:w="113" w:type="dxa"/>
        <w:tblLook w:val="04A0" w:firstRow="1" w:lastRow="0" w:firstColumn="1" w:lastColumn="0" w:noHBand="0" w:noVBand="1"/>
      </w:tblPr>
      <w:tblGrid>
        <w:gridCol w:w="2329"/>
        <w:gridCol w:w="2431"/>
        <w:gridCol w:w="1085"/>
        <w:gridCol w:w="1080"/>
      </w:tblGrid>
      <w:tr w:rsidRPr="00E2594C" w:rsidR="00A754A7" w:rsidTr="009A27D5" w14:paraId="4345D5C9" w14:textId="77777777">
        <w:tc>
          <w:tcPr>
            <w:tcW w:w="47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1E10122D" w14:textId="77777777">
            <w:pPr>
              <w:widowControl/>
              <w:autoSpaceDE/>
              <w:autoSpaceDN/>
              <w:adjustRightInd/>
              <w:jc w:val="center"/>
              <w:rPr>
                <w:color w:val="000000"/>
                <w:sz w:val="18"/>
                <w:szCs w:val="18"/>
              </w:rPr>
            </w:pPr>
            <w:r w:rsidRPr="00E2594C">
              <w:rPr>
                <w:color w:val="000000"/>
                <w:sz w:val="18"/>
                <w:szCs w:val="18"/>
              </w:rPr>
              <w:t>Strata</w:t>
            </w:r>
          </w:p>
        </w:tc>
        <w:tc>
          <w:tcPr>
            <w:tcW w:w="10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69960F87" w14:textId="77777777">
            <w:pPr>
              <w:widowControl/>
              <w:autoSpaceDE/>
              <w:autoSpaceDN/>
              <w:adjustRightInd/>
              <w:jc w:val="center"/>
              <w:rPr>
                <w:sz w:val="18"/>
                <w:szCs w:val="18"/>
              </w:rPr>
            </w:pPr>
            <w:r w:rsidRPr="00E2594C">
              <w:rPr>
                <w:sz w:val="18"/>
                <w:szCs w:val="18"/>
              </w:rPr>
              <w:t>Population Count</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2594C" w:rsidR="00A754A7" w:rsidP="009A27D5" w:rsidRDefault="00A754A7" w14:paraId="3CDE9D50" w14:textId="77777777">
            <w:pPr>
              <w:widowControl/>
              <w:autoSpaceDE/>
              <w:autoSpaceDN/>
              <w:adjustRightInd/>
              <w:jc w:val="center"/>
              <w:rPr>
                <w:sz w:val="18"/>
                <w:szCs w:val="18"/>
              </w:rPr>
            </w:pPr>
            <w:r w:rsidRPr="00E2594C">
              <w:rPr>
                <w:sz w:val="18"/>
                <w:szCs w:val="18"/>
              </w:rPr>
              <w:t>Sample Allocation</w:t>
            </w:r>
          </w:p>
        </w:tc>
      </w:tr>
      <w:tr w:rsidRPr="00E2594C" w:rsidR="00A754A7" w:rsidTr="009A27D5" w14:paraId="1D8E997E"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6927640C" w14:textId="77777777">
            <w:pPr>
              <w:widowControl/>
              <w:autoSpaceDE/>
              <w:autoSpaceDN/>
              <w:adjustRightInd/>
              <w:rPr>
                <w:color w:val="000000"/>
                <w:sz w:val="18"/>
                <w:szCs w:val="18"/>
              </w:rPr>
            </w:pPr>
            <w:r w:rsidRPr="00E2594C">
              <w:rPr>
                <w:color w:val="000000"/>
                <w:sz w:val="18"/>
                <w:szCs w:val="18"/>
              </w:rPr>
              <w:t>Preparation Method</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27360D02" w14:textId="77777777">
            <w:pPr>
              <w:widowControl/>
              <w:autoSpaceDE/>
              <w:autoSpaceDN/>
              <w:adjustRightInd/>
              <w:rPr>
                <w:color w:val="000000"/>
                <w:sz w:val="18"/>
                <w:szCs w:val="18"/>
              </w:rPr>
            </w:pPr>
            <w:r w:rsidRPr="00E2594C">
              <w:rPr>
                <w:color w:val="000000"/>
                <w:sz w:val="18"/>
                <w:szCs w:val="18"/>
              </w:rPr>
              <w:t>Total Revenue</w:t>
            </w:r>
          </w:p>
        </w:tc>
        <w:tc>
          <w:tcPr>
            <w:tcW w:w="1085" w:type="dxa"/>
            <w:vMerge/>
            <w:tcBorders>
              <w:top w:val="single" w:color="auto" w:sz="4" w:space="0"/>
              <w:left w:val="single" w:color="auto" w:sz="4" w:space="0"/>
              <w:bottom w:val="single" w:color="auto" w:sz="4" w:space="0"/>
              <w:right w:val="single" w:color="auto" w:sz="4" w:space="0"/>
            </w:tcBorders>
            <w:vAlign w:val="center"/>
            <w:hideMark/>
          </w:tcPr>
          <w:p w:rsidRPr="00E2594C" w:rsidR="00A754A7" w:rsidP="009A27D5" w:rsidRDefault="00A754A7" w14:paraId="5F9DC7BD" w14:textId="77777777">
            <w:pPr>
              <w:widowControl/>
              <w:autoSpaceDE/>
              <w:autoSpaceDN/>
              <w:adjustRightInd/>
              <w:rPr>
                <w:sz w:val="18"/>
                <w:szCs w:val="18"/>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E2594C" w:rsidR="00A754A7" w:rsidP="009A27D5" w:rsidRDefault="00A754A7" w14:paraId="43047879" w14:textId="77777777">
            <w:pPr>
              <w:widowControl/>
              <w:autoSpaceDE/>
              <w:autoSpaceDN/>
              <w:adjustRightInd/>
              <w:rPr>
                <w:sz w:val="18"/>
                <w:szCs w:val="18"/>
              </w:rPr>
            </w:pPr>
          </w:p>
        </w:tc>
      </w:tr>
      <w:tr w:rsidRPr="00E2594C" w:rsidR="00A754A7" w:rsidTr="009A27D5" w14:paraId="315AEE0D"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02A340F5" w14:textId="77777777">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4BFFA3BC" w14:textId="77777777">
            <w:pPr>
              <w:widowControl/>
              <w:autoSpaceDE/>
              <w:autoSpaceDN/>
              <w:adjustRightInd/>
              <w:rPr>
                <w:color w:val="000000"/>
                <w:sz w:val="18"/>
                <w:szCs w:val="18"/>
              </w:rPr>
            </w:pPr>
            <w:r w:rsidRPr="00E2594C">
              <w:rPr>
                <w:color w:val="000000"/>
                <w:sz w:val="18"/>
                <w:szCs w:val="18"/>
              </w:rPr>
              <w:t>Less than $5,000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29394E00" w14:textId="77777777">
            <w:pPr>
              <w:widowControl/>
              <w:autoSpaceDE/>
              <w:autoSpaceDN/>
              <w:adjustRightInd/>
              <w:jc w:val="right"/>
              <w:rPr>
                <w:color w:val="000000"/>
                <w:sz w:val="18"/>
                <w:szCs w:val="18"/>
              </w:rPr>
            </w:pPr>
            <w:r w:rsidRPr="00E2594C">
              <w:rPr>
                <w:color w:val="000000"/>
                <w:sz w:val="18"/>
                <w:szCs w:val="18"/>
              </w:rPr>
              <w:t>31,081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1672134B" w14:textId="77777777">
            <w:pPr>
              <w:widowControl/>
              <w:autoSpaceDE/>
              <w:autoSpaceDN/>
              <w:adjustRightInd/>
              <w:jc w:val="right"/>
              <w:rPr>
                <w:color w:val="000000"/>
                <w:sz w:val="18"/>
                <w:szCs w:val="18"/>
              </w:rPr>
            </w:pPr>
            <w:r>
              <w:rPr>
                <w:color w:val="000000"/>
                <w:sz w:val="18"/>
                <w:szCs w:val="18"/>
              </w:rPr>
              <w:t>832</w:t>
            </w:r>
          </w:p>
        </w:tc>
      </w:tr>
      <w:tr w:rsidRPr="00E2594C" w:rsidR="00A754A7" w:rsidTr="009A27D5" w14:paraId="24A96965"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086B3F58" w14:textId="77777777">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1569C58C" w14:textId="77777777">
            <w:pPr>
              <w:widowControl/>
              <w:autoSpaceDE/>
              <w:autoSpaceDN/>
              <w:adjustRightInd/>
              <w:rPr>
                <w:color w:val="000000"/>
                <w:sz w:val="18"/>
                <w:szCs w:val="18"/>
              </w:rPr>
            </w:pPr>
            <w:r w:rsidRPr="00E2594C">
              <w:rPr>
                <w:color w:val="000000"/>
                <w:sz w:val="18"/>
                <w:szCs w:val="18"/>
              </w:rPr>
              <w:t>$5,001 - $100,000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15CC56A4" w14:textId="77777777">
            <w:pPr>
              <w:widowControl/>
              <w:autoSpaceDE/>
              <w:autoSpaceDN/>
              <w:adjustRightInd/>
              <w:jc w:val="right"/>
              <w:rPr>
                <w:color w:val="000000"/>
                <w:sz w:val="18"/>
                <w:szCs w:val="18"/>
              </w:rPr>
            </w:pPr>
            <w:r w:rsidRPr="00E2594C">
              <w:rPr>
                <w:color w:val="000000"/>
                <w:sz w:val="18"/>
                <w:szCs w:val="18"/>
              </w:rPr>
              <w:t>81,248</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5B248FB1" w14:textId="77777777">
            <w:pPr>
              <w:jc w:val="right"/>
              <w:rPr>
                <w:color w:val="000000"/>
                <w:sz w:val="18"/>
                <w:szCs w:val="18"/>
              </w:rPr>
            </w:pPr>
            <w:r>
              <w:rPr>
                <w:color w:val="000000"/>
                <w:sz w:val="18"/>
                <w:szCs w:val="18"/>
              </w:rPr>
              <w:t>705</w:t>
            </w:r>
          </w:p>
        </w:tc>
      </w:tr>
      <w:tr w:rsidRPr="00E2594C" w:rsidR="00A754A7" w:rsidTr="009A27D5" w14:paraId="4C47FC8C"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123D1758" w14:textId="77777777">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4CB541AA" w14:textId="77777777">
            <w:pPr>
              <w:widowControl/>
              <w:autoSpaceDE/>
              <w:autoSpaceDN/>
              <w:adjustRightInd/>
              <w:rPr>
                <w:color w:val="000000"/>
                <w:sz w:val="18"/>
                <w:szCs w:val="18"/>
              </w:rPr>
            </w:pPr>
            <w:r w:rsidRPr="00E2594C">
              <w:rPr>
                <w:color w:val="000000"/>
                <w:sz w:val="18"/>
                <w:szCs w:val="18"/>
              </w:rPr>
              <w:t>$100,001 - $1,000,000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60A50786" w14:textId="77777777">
            <w:pPr>
              <w:widowControl/>
              <w:autoSpaceDE/>
              <w:autoSpaceDN/>
              <w:adjustRightInd/>
              <w:jc w:val="right"/>
              <w:rPr>
                <w:color w:val="000000"/>
                <w:sz w:val="18"/>
                <w:szCs w:val="18"/>
              </w:rPr>
            </w:pPr>
            <w:r w:rsidRPr="00E2594C">
              <w:rPr>
                <w:color w:val="000000"/>
                <w:sz w:val="18"/>
                <w:szCs w:val="18"/>
              </w:rPr>
              <w:t>48,578</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361E87AE" w14:textId="77777777">
            <w:pPr>
              <w:jc w:val="right"/>
              <w:rPr>
                <w:color w:val="000000"/>
                <w:sz w:val="18"/>
                <w:szCs w:val="18"/>
              </w:rPr>
            </w:pPr>
            <w:r>
              <w:rPr>
                <w:color w:val="000000"/>
                <w:sz w:val="18"/>
                <w:szCs w:val="18"/>
              </w:rPr>
              <w:t>1,490</w:t>
            </w:r>
          </w:p>
        </w:tc>
      </w:tr>
      <w:tr w:rsidRPr="00E2594C" w:rsidR="00A754A7" w:rsidTr="009A27D5" w14:paraId="35AD0F9D"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00B054A4" w14:textId="77777777">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07ABB986" w14:textId="77777777">
            <w:pPr>
              <w:widowControl/>
              <w:autoSpaceDE/>
              <w:autoSpaceDN/>
              <w:adjustRightInd/>
              <w:rPr>
                <w:color w:val="000000"/>
                <w:sz w:val="18"/>
                <w:szCs w:val="18"/>
              </w:rPr>
            </w:pPr>
            <w:r w:rsidRPr="00E2594C">
              <w:rPr>
                <w:color w:val="000000"/>
                <w:sz w:val="18"/>
                <w:szCs w:val="18"/>
              </w:rPr>
              <w:t xml:space="preserve"> $1,000,001 or more</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61F90805" w14:textId="77777777">
            <w:pPr>
              <w:widowControl/>
              <w:autoSpaceDE/>
              <w:autoSpaceDN/>
              <w:adjustRightInd/>
              <w:jc w:val="right"/>
              <w:rPr>
                <w:color w:val="000000"/>
                <w:sz w:val="18"/>
                <w:szCs w:val="18"/>
              </w:rPr>
            </w:pPr>
            <w:r w:rsidRPr="00E2594C">
              <w:rPr>
                <w:color w:val="000000"/>
                <w:sz w:val="18"/>
                <w:szCs w:val="18"/>
              </w:rPr>
              <w:t>18,489</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29B591F4" w14:textId="77777777">
            <w:pPr>
              <w:jc w:val="right"/>
              <w:rPr>
                <w:color w:val="000000"/>
                <w:sz w:val="18"/>
                <w:szCs w:val="18"/>
              </w:rPr>
            </w:pPr>
            <w:r>
              <w:rPr>
                <w:color w:val="000000"/>
                <w:sz w:val="18"/>
                <w:szCs w:val="18"/>
              </w:rPr>
              <w:t>767</w:t>
            </w:r>
          </w:p>
        </w:tc>
      </w:tr>
      <w:tr w:rsidRPr="00E2594C" w:rsidR="00A754A7" w:rsidTr="009A27D5" w14:paraId="2A847492"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4B3CC8EF"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75F55CED" w14:textId="77777777">
            <w:pPr>
              <w:widowControl/>
              <w:autoSpaceDE/>
              <w:autoSpaceDN/>
              <w:adjustRightInd/>
              <w:rPr>
                <w:color w:val="000000"/>
                <w:sz w:val="18"/>
                <w:szCs w:val="18"/>
              </w:rPr>
            </w:pPr>
            <w:r w:rsidRPr="00E2594C">
              <w:rPr>
                <w:color w:val="000000"/>
                <w:sz w:val="18"/>
                <w:szCs w:val="18"/>
              </w:rPr>
              <w:t xml:space="preserve"> Equal to zero</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60FAE3B6" w14:textId="77777777">
            <w:pPr>
              <w:widowControl/>
              <w:autoSpaceDE/>
              <w:autoSpaceDN/>
              <w:adjustRightInd/>
              <w:jc w:val="right"/>
              <w:rPr>
                <w:color w:val="000000"/>
                <w:sz w:val="18"/>
                <w:szCs w:val="18"/>
              </w:rPr>
            </w:pPr>
            <w:r w:rsidRPr="00E2594C">
              <w:rPr>
                <w:color w:val="000000"/>
                <w:sz w:val="18"/>
                <w:szCs w:val="18"/>
              </w:rPr>
              <w:t>6,273</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13FEA173" w14:textId="77777777">
            <w:pPr>
              <w:jc w:val="right"/>
              <w:rPr>
                <w:color w:val="000000"/>
                <w:sz w:val="18"/>
                <w:szCs w:val="18"/>
              </w:rPr>
            </w:pPr>
            <w:r>
              <w:rPr>
                <w:color w:val="000000"/>
                <w:sz w:val="18"/>
                <w:szCs w:val="18"/>
              </w:rPr>
              <w:t>573</w:t>
            </w:r>
          </w:p>
        </w:tc>
      </w:tr>
      <w:tr w:rsidRPr="00E2594C" w:rsidR="00A754A7" w:rsidTr="009A27D5" w14:paraId="72F8EBCB"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3678DCEE"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55C072C6" w14:textId="77777777">
            <w:pPr>
              <w:widowControl/>
              <w:autoSpaceDE/>
              <w:autoSpaceDN/>
              <w:adjustRightInd/>
              <w:rPr>
                <w:color w:val="000000"/>
                <w:sz w:val="18"/>
                <w:szCs w:val="18"/>
              </w:rPr>
            </w:pPr>
            <w:r w:rsidRPr="00E2594C">
              <w:rPr>
                <w:color w:val="000000"/>
                <w:sz w:val="18"/>
                <w:szCs w:val="18"/>
              </w:rPr>
              <w:t>$1 - $5,000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52FFE760" w14:textId="77777777">
            <w:pPr>
              <w:widowControl/>
              <w:autoSpaceDE/>
              <w:autoSpaceDN/>
              <w:adjustRightInd/>
              <w:jc w:val="right"/>
              <w:rPr>
                <w:color w:val="000000"/>
                <w:sz w:val="18"/>
                <w:szCs w:val="18"/>
              </w:rPr>
            </w:pPr>
            <w:r w:rsidRPr="00E2594C">
              <w:rPr>
                <w:color w:val="000000"/>
                <w:sz w:val="18"/>
                <w:szCs w:val="18"/>
              </w:rPr>
              <w:t>16,889</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3E5C38B9" w14:textId="77777777">
            <w:pPr>
              <w:jc w:val="right"/>
              <w:rPr>
                <w:color w:val="000000"/>
                <w:sz w:val="18"/>
                <w:szCs w:val="18"/>
              </w:rPr>
            </w:pPr>
            <w:r>
              <w:rPr>
                <w:color w:val="000000"/>
                <w:sz w:val="18"/>
                <w:szCs w:val="18"/>
              </w:rPr>
              <w:t>465</w:t>
            </w:r>
          </w:p>
        </w:tc>
      </w:tr>
      <w:tr w:rsidRPr="00E2594C" w:rsidR="00A754A7" w:rsidTr="009A27D5" w14:paraId="3C90FC41"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527ABBBD"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49811834" w14:textId="77777777">
            <w:pPr>
              <w:widowControl/>
              <w:autoSpaceDE/>
              <w:autoSpaceDN/>
              <w:adjustRightInd/>
              <w:rPr>
                <w:color w:val="000000"/>
                <w:sz w:val="18"/>
                <w:szCs w:val="18"/>
              </w:rPr>
            </w:pPr>
            <w:r w:rsidRPr="00E2594C">
              <w:rPr>
                <w:color w:val="000000"/>
                <w:sz w:val="18"/>
                <w:szCs w:val="18"/>
              </w:rPr>
              <w:t>$5,001 – 50,000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788A54DC" w14:textId="77777777">
            <w:pPr>
              <w:widowControl/>
              <w:autoSpaceDE/>
              <w:autoSpaceDN/>
              <w:adjustRightInd/>
              <w:jc w:val="right"/>
              <w:rPr>
                <w:color w:val="000000"/>
                <w:sz w:val="18"/>
                <w:szCs w:val="18"/>
              </w:rPr>
            </w:pPr>
            <w:r w:rsidRPr="00E2594C">
              <w:rPr>
                <w:color w:val="000000"/>
                <w:sz w:val="18"/>
                <w:szCs w:val="18"/>
              </w:rPr>
              <w:t>80,604</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6DE6712F" w14:textId="77777777">
            <w:pPr>
              <w:jc w:val="right"/>
              <w:rPr>
                <w:color w:val="000000"/>
                <w:sz w:val="18"/>
                <w:szCs w:val="18"/>
              </w:rPr>
            </w:pPr>
            <w:r>
              <w:rPr>
                <w:color w:val="000000"/>
                <w:sz w:val="18"/>
                <w:szCs w:val="18"/>
              </w:rPr>
              <w:t>590</w:t>
            </w:r>
          </w:p>
        </w:tc>
      </w:tr>
      <w:tr w:rsidRPr="00E2594C" w:rsidR="00A754A7" w:rsidTr="009A27D5" w14:paraId="4600AB18"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212A1DE9"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67CA3461" w14:textId="77777777">
            <w:pPr>
              <w:widowControl/>
              <w:autoSpaceDE/>
              <w:autoSpaceDN/>
              <w:adjustRightInd/>
              <w:rPr>
                <w:color w:val="000000"/>
                <w:sz w:val="18"/>
                <w:szCs w:val="18"/>
              </w:rPr>
            </w:pPr>
            <w:r w:rsidRPr="00E2594C">
              <w:rPr>
                <w:color w:val="000000"/>
                <w:sz w:val="18"/>
                <w:szCs w:val="18"/>
              </w:rPr>
              <w:t>$50,001 - $100,000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53486B0B" w14:textId="77777777">
            <w:pPr>
              <w:widowControl/>
              <w:autoSpaceDE/>
              <w:autoSpaceDN/>
              <w:adjustRightInd/>
              <w:jc w:val="right"/>
              <w:rPr>
                <w:color w:val="000000"/>
                <w:sz w:val="18"/>
                <w:szCs w:val="18"/>
              </w:rPr>
            </w:pPr>
            <w:r w:rsidRPr="00E2594C">
              <w:rPr>
                <w:color w:val="000000"/>
                <w:sz w:val="18"/>
                <w:szCs w:val="18"/>
              </w:rPr>
              <w:t>69,488</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1C3F5DDD" w14:textId="77777777">
            <w:pPr>
              <w:jc w:val="right"/>
              <w:rPr>
                <w:color w:val="000000"/>
                <w:sz w:val="18"/>
                <w:szCs w:val="18"/>
              </w:rPr>
            </w:pPr>
            <w:r>
              <w:rPr>
                <w:color w:val="000000"/>
                <w:sz w:val="18"/>
                <w:szCs w:val="18"/>
              </w:rPr>
              <w:t>1,110</w:t>
            </w:r>
          </w:p>
        </w:tc>
      </w:tr>
      <w:tr w:rsidRPr="00E2594C" w:rsidR="00A754A7" w:rsidTr="009A27D5" w14:paraId="783728E0"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22B0A052"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6D033324" w14:textId="77777777">
            <w:pPr>
              <w:widowControl/>
              <w:autoSpaceDE/>
              <w:autoSpaceDN/>
              <w:adjustRightInd/>
              <w:rPr>
                <w:color w:val="000000"/>
                <w:sz w:val="18"/>
                <w:szCs w:val="18"/>
              </w:rPr>
            </w:pPr>
            <w:r w:rsidRPr="00E2594C">
              <w:rPr>
                <w:color w:val="000000"/>
                <w:sz w:val="18"/>
                <w:szCs w:val="18"/>
              </w:rPr>
              <w:t>$100,001 - $500,000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2ECDE59D" w14:textId="77777777">
            <w:pPr>
              <w:widowControl/>
              <w:autoSpaceDE/>
              <w:autoSpaceDN/>
              <w:adjustRightInd/>
              <w:jc w:val="right"/>
              <w:rPr>
                <w:color w:val="000000"/>
                <w:sz w:val="18"/>
                <w:szCs w:val="18"/>
              </w:rPr>
            </w:pPr>
            <w:r w:rsidRPr="00E2594C">
              <w:rPr>
                <w:color w:val="000000"/>
                <w:sz w:val="18"/>
                <w:szCs w:val="18"/>
              </w:rPr>
              <w:t>134,164</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2BEE837D" w14:textId="77777777">
            <w:pPr>
              <w:jc w:val="right"/>
              <w:rPr>
                <w:color w:val="000000"/>
                <w:sz w:val="18"/>
                <w:szCs w:val="18"/>
              </w:rPr>
            </w:pPr>
            <w:r>
              <w:rPr>
                <w:color w:val="000000"/>
                <w:sz w:val="18"/>
                <w:szCs w:val="18"/>
              </w:rPr>
              <w:t>3,588</w:t>
            </w:r>
          </w:p>
        </w:tc>
      </w:tr>
      <w:tr w:rsidRPr="00E2594C" w:rsidR="00A754A7" w:rsidTr="009A27D5" w14:paraId="3807E38F"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77280ABD"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5630EE1E" w14:textId="77777777">
            <w:pPr>
              <w:widowControl/>
              <w:autoSpaceDE/>
              <w:autoSpaceDN/>
              <w:adjustRightInd/>
              <w:rPr>
                <w:color w:val="000000"/>
                <w:sz w:val="18"/>
                <w:szCs w:val="18"/>
              </w:rPr>
            </w:pPr>
            <w:r w:rsidRPr="00E2594C">
              <w:rPr>
                <w:color w:val="000000"/>
                <w:sz w:val="18"/>
                <w:szCs w:val="18"/>
              </w:rPr>
              <w:t>$500,001 - $1,000,000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2E2BDFAC" w14:textId="77777777">
            <w:pPr>
              <w:widowControl/>
              <w:autoSpaceDE/>
              <w:autoSpaceDN/>
              <w:adjustRightInd/>
              <w:jc w:val="right"/>
              <w:rPr>
                <w:color w:val="000000"/>
                <w:sz w:val="18"/>
                <w:szCs w:val="18"/>
              </w:rPr>
            </w:pPr>
            <w:r w:rsidRPr="00E2594C">
              <w:rPr>
                <w:color w:val="000000"/>
                <w:sz w:val="18"/>
                <w:szCs w:val="18"/>
              </w:rPr>
              <w:t>41,783</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64309D1A" w14:textId="77777777">
            <w:pPr>
              <w:jc w:val="right"/>
              <w:rPr>
                <w:color w:val="000000"/>
                <w:sz w:val="18"/>
                <w:szCs w:val="18"/>
              </w:rPr>
            </w:pPr>
            <w:r>
              <w:rPr>
                <w:color w:val="000000"/>
                <w:sz w:val="18"/>
                <w:szCs w:val="18"/>
              </w:rPr>
              <w:t>1,085</w:t>
            </w:r>
          </w:p>
        </w:tc>
      </w:tr>
      <w:tr w:rsidRPr="00E2594C" w:rsidR="00A754A7" w:rsidTr="009A27D5" w14:paraId="0FAB1E89"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21B1BB1E"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3A644364" w14:textId="77777777">
            <w:pPr>
              <w:widowControl/>
              <w:autoSpaceDE/>
              <w:autoSpaceDN/>
              <w:adjustRightInd/>
              <w:rPr>
                <w:color w:val="000000"/>
                <w:sz w:val="18"/>
                <w:szCs w:val="18"/>
              </w:rPr>
            </w:pPr>
            <w:r w:rsidRPr="00E2594C">
              <w:rPr>
                <w:color w:val="000000"/>
                <w:sz w:val="18"/>
                <w:szCs w:val="18"/>
              </w:rPr>
              <w:t>$1,000,001 - $5,000,000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337A36D6" w14:textId="77777777">
            <w:pPr>
              <w:widowControl/>
              <w:autoSpaceDE/>
              <w:autoSpaceDN/>
              <w:adjustRightInd/>
              <w:jc w:val="right"/>
              <w:rPr>
                <w:color w:val="000000"/>
                <w:sz w:val="18"/>
                <w:szCs w:val="18"/>
              </w:rPr>
            </w:pPr>
            <w:r w:rsidRPr="00E2594C">
              <w:rPr>
                <w:color w:val="000000"/>
                <w:sz w:val="18"/>
                <w:szCs w:val="18"/>
              </w:rPr>
              <w:t>55,838</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72966B9B" w14:textId="77777777">
            <w:pPr>
              <w:jc w:val="right"/>
              <w:rPr>
                <w:color w:val="000000"/>
                <w:sz w:val="18"/>
                <w:szCs w:val="18"/>
              </w:rPr>
            </w:pPr>
            <w:r>
              <w:rPr>
                <w:color w:val="000000"/>
                <w:sz w:val="18"/>
                <w:szCs w:val="18"/>
              </w:rPr>
              <w:t>4,732</w:t>
            </w:r>
          </w:p>
        </w:tc>
      </w:tr>
      <w:tr w:rsidRPr="00E2594C" w:rsidR="00A754A7" w:rsidTr="009A27D5" w14:paraId="1F8DF8C1"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32BF1FBF"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6931C225" w14:textId="77777777">
            <w:pPr>
              <w:widowControl/>
              <w:autoSpaceDE/>
              <w:autoSpaceDN/>
              <w:adjustRightInd/>
              <w:rPr>
                <w:color w:val="000000"/>
                <w:sz w:val="18"/>
                <w:szCs w:val="18"/>
              </w:rPr>
            </w:pPr>
            <w:r w:rsidRPr="00E2594C">
              <w:rPr>
                <w:color w:val="000000"/>
                <w:sz w:val="18"/>
                <w:szCs w:val="18"/>
              </w:rPr>
              <w:t>$5,000,001 - $10,000,000</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34F1E487" w14:textId="77777777">
            <w:pPr>
              <w:widowControl/>
              <w:autoSpaceDE/>
              <w:autoSpaceDN/>
              <w:adjustRightInd/>
              <w:jc w:val="right"/>
              <w:rPr>
                <w:color w:val="000000"/>
                <w:sz w:val="18"/>
                <w:szCs w:val="18"/>
              </w:rPr>
            </w:pPr>
            <w:r w:rsidRPr="00E2594C">
              <w:rPr>
                <w:color w:val="000000"/>
                <w:sz w:val="18"/>
                <w:szCs w:val="18"/>
              </w:rPr>
              <w:t>12,481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3ED8D5C7" w14:textId="77777777">
            <w:pPr>
              <w:jc w:val="right"/>
              <w:rPr>
                <w:color w:val="000000"/>
                <w:sz w:val="18"/>
                <w:szCs w:val="18"/>
              </w:rPr>
            </w:pPr>
            <w:r>
              <w:rPr>
                <w:color w:val="000000"/>
                <w:sz w:val="18"/>
                <w:szCs w:val="18"/>
              </w:rPr>
              <w:t>1,043</w:t>
            </w:r>
          </w:p>
        </w:tc>
      </w:tr>
      <w:tr w:rsidRPr="00E2594C" w:rsidR="00A754A7" w:rsidTr="009A27D5" w14:paraId="07F7FEEF" w14:textId="77777777">
        <w:tc>
          <w:tcPr>
            <w:tcW w:w="2329" w:type="dxa"/>
            <w:tcBorders>
              <w:top w:val="nil"/>
              <w:left w:val="single" w:color="auto" w:sz="4" w:space="0"/>
              <w:bottom w:val="single" w:color="auto" w:sz="4" w:space="0"/>
              <w:right w:val="single" w:color="auto" w:sz="4" w:space="0"/>
            </w:tcBorders>
            <w:shd w:val="clear" w:color="auto" w:fill="auto"/>
            <w:noWrap/>
            <w:vAlign w:val="bottom"/>
            <w:hideMark/>
          </w:tcPr>
          <w:p w:rsidRPr="00E2594C" w:rsidR="00A754A7" w:rsidP="009A27D5" w:rsidRDefault="00A754A7" w14:paraId="248CC634" w14:textId="77777777">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479C744F" w14:textId="77777777">
            <w:pPr>
              <w:widowControl/>
              <w:autoSpaceDE/>
              <w:autoSpaceDN/>
              <w:adjustRightInd/>
              <w:rPr>
                <w:color w:val="000000"/>
                <w:sz w:val="18"/>
                <w:szCs w:val="18"/>
              </w:rPr>
            </w:pPr>
            <w:r w:rsidRPr="00E2594C">
              <w:rPr>
                <w:color w:val="000000"/>
                <w:sz w:val="18"/>
                <w:szCs w:val="18"/>
              </w:rPr>
              <w:t>$10,000,001 or more</w:t>
            </w:r>
          </w:p>
        </w:tc>
        <w:tc>
          <w:tcPr>
            <w:tcW w:w="1085" w:type="dxa"/>
            <w:tcBorders>
              <w:top w:val="nil"/>
              <w:left w:val="nil"/>
              <w:bottom w:val="single" w:color="auto" w:sz="4" w:space="0"/>
              <w:right w:val="single" w:color="auto" w:sz="4" w:space="0"/>
            </w:tcBorders>
            <w:shd w:val="clear" w:color="auto" w:fill="auto"/>
            <w:noWrap/>
            <w:vAlign w:val="bottom"/>
            <w:hideMark/>
          </w:tcPr>
          <w:p w:rsidRPr="00E2594C" w:rsidR="00A754A7" w:rsidP="009A27D5" w:rsidRDefault="00A754A7" w14:paraId="5826D61C" w14:textId="77777777">
            <w:pPr>
              <w:widowControl/>
              <w:autoSpaceDE/>
              <w:autoSpaceDN/>
              <w:adjustRightInd/>
              <w:jc w:val="right"/>
              <w:rPr>
                <w:color w:val="000000"/>
                <w:sz w:val="18"/>
                <w:szCs w:val="18"/>
              </w:rPr>
            </w:pPr>
            <w:r w:rsidRPr="00E2594C">
              <w:rPr>
                <w:color w:val="000000"/>
                <w:sz w:val="18"/>
                <w:szCs w:val="18"/>
              </w:rPr>
              <w:t>19,014</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64F0E116" w14:textId="77777777">
            <w:pPr>
              <w:jc w:val="right"/>
              <w:rPr>
                <w:color w:val="000000"/>
                <w:sz w:val="18"/>
                <w:szCs w:val="18"/>
              </w:rPr>
            </w:pPr>
            <w:r>
              <w:rPr>
                <w:color w:val="000000"/>
                <w:sz w:val="18"/>
                <w:szCs w:val="18"/>
              </w:rPr>
              <w:t>3,020</w:t>
            </w:r>
          </w:p>
        </w:tc>
      </w:tr>
      <w:tr w:rsidRPr="00E2594C" w:rsidR="00A754A7" w:rsidTr="009A27D5" w14:paraId="17FF6244" w14:textId="77777777">
        <w:tc>
          <w:tcPr>
            <w:tcW w:w="2329" w:type="dxa"/>
            <w:tcBorders>
              <w:top w:val="nil"/>
              <w:left w:val="nil"/>
              <w:bottom w:val="nil"/>
              <w:right w:val="nil"/>
            </w:tcBorders>
            <w:shd w:val="clear" w:color="auto" w:fill="auto"/>
            <w:noWrap/>
            <w:vAlign w:val="bottom"/>
            <w:hideMark/>
          </w:tcPr>
          <w:p w:rsidRPr="00E2594C" w:rsidR="00A754A7" w:rsidP="009A27D5" w:rsidRDefault="00A754A7" w14:paraId="4FFBC68E" w14:textId="77777777">
            <w:pPr>
              <w:widowControl/>
              <w:autoSpaceDE/>
              <w:autoSpaceDN/>
              <w:adjustRightInd/>
              <w:jc w:val="right"/>
              <w:rPr>
                <w:color w:val="000000"/>
                <w:sz w:val="18"/>
                <w:szCs w:val="18"/>
              </w:rPr>
            </w:pPr>
          </w:p>
        </w:tc>
        <w:tc>
          <w:tcPr>
            <w:tcW w:w="2431" w:type="dxa"/>
            <w:tcBorders>
              <w:top w:val="nil"/>
              <w:left w:val="nil"/>
              <w:bottom w:val="nil"/>
              <w:right w:val="nil"/>
            </w:tcBorders>
            <w:shd w:val="clear" w:color="auto" w:fill="auto"/>
            <w:noWrap/>
            <w:vAlign w:val="bottom"/>
            <w:hideMark/>
          </w:tcPr>
          <w:p w:rsidRPr="00E2594C" w:rsidR="00A754A7" w:rsidP="009A27D5" w:rsidRDefault="00A754A7" w14:paraId="08FD041D" w14:textId="77777777">
            <w:pPr>
              <w:widowControl/>
              <w:autoSpaceDE/>
              <w:autoSpaceDN/>
              <w:adjustRightInd/>
              <w:rPr>
                <w:sz w:val="18"/>
                <w:szCs w:val="18"/>
              </w:rPr>
            </w:pPr>
          </w:p>
        </w:tc>
        <w:tc>
          <w:tcPr>
            <w:tcW w:w="1085" w:type="dxa"/>
            <w:tcBorders>
              <w:top w:val="nil"/>
              <w:left w:val="nil"/>
              <w:bottom w:val="nil"/>
              <w:right w:val="single" w:color="auto" w:sz="4" w:space="0"/>
            </w:tcBorders>
            <w:shd w:val="clear" w:color="auto" w:fill="auto"/>
            <w:noWrap/>
            <w:vAlign w:val="bottom"/>
            <w:hideMark/>
          </w:tcPr>
          <w:p w:rsidRPr="00E2594C" w:rsidR="00A754A7" w:rsidP="009A27D5" w:rsidRDefault="00A754A7" w14:paraId="6D938DCC" w14:textId="77777777">
            <w:pPr>
              <w:widowControl/>
              <w:autoSpaceDE/>
              <w:autoSpaceDN/>
              <w:adjustRightInd/>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A754A7" w:rsidP="009A27D5" w:rsidRDefault="00A754A7" w14:paraId="50B3ACF7" w14:textId="77777777">
            <w:pPr>
              <w:jc w:val="right"/>
              <w:rPr>
                <w:color w:val="000000"/>
                <w:sz w:val="18"/>
                <w:szCs w:val="18"/>
              </w:rPr>
            </w:pPr>
            <w:r>
              <w:rPr>
                <w:color w:val="000000"/>
                <w:sz w:val="18"/>
                <w:szCs w:val="18"/>
              </w:rPr>
              <w:t>20,000</w:t>
            </w:r>
          </w:p>
        </w:tc>
      </w:tr>
    </w:tbl>
    <w:p w:rsidR="00A754A7" w:rsidP="00A754A7" w:rsidRDefault="00A754A7" w14:paraId="3B6978B6" w14:textId="77777777">
      <w:pPr>
        <w:pStyle w:val="ListParagraph"/>
        <w:widowControl w:val="0"/>
        <w:autoSpaceDE w:val="0"/>
        <w:autoSpaceDN w:val="0"/>
        <w:adjustRightInd w:val="0"/>
        <w:ind w:left="0"/>
        <w:rPr>
          <w:b/>
          <w:bCs/>
          <w:sz w:val="18"/>
          <w:szCs w:val="18"/>
        </w:rPr>
      </w:pPr>
    </w:p>
    <w:p w:rsidR="00773333" w:rsidP="00A754A7" w:rsidRDefault="00A754A7" w14:paraId="5848A5D3" w14:textId="77777777">
      <w:pPr>
        <w:pStyle w:val="ListParagraph"/>
        <w:ind w:left="0"/>
        <w:rPr>
          <w:b/>
          <w:bCs/>
          <w:sz w:val="18"/>
          <w:szCs w:val="18"/>
        </w:rPr>
      </w:pPr>
      <w:r>
        <w:rPr>
          <w:b/>
          <w:bCs/>
          <w:sz w:val="18"/>
          <w:szCs w:val="18"/>
        </w:rPr>
        <w:br w:type="page"/>
      </w:r>
      <w:r w:rsidR="00773333">
        <w:rPr>
          <w:b/>
          <w:bCs/>
          <w:sz w:val="18"/>
          <w:szCs w:val="18"/>
        </w:rPr>
        <w:lastRenderedPageBreak/>
        <w:t xml:space="preserve">Table </w:t>
      </w:r>
      <w:r>
        <w:rPr>
          <w:b/>
          <w:bCs/>
          <w:sz w:val="18"/>
          <w:szCs w:val="18"/>
        </w:rPr>
        <w:t xml:space="preserve">4 </w:t>
      </w:r>
      <w:r w:rsidR="00773333">
        <w:rPr>
          <w:b/>
          <w:bCs/>
          <w:sz w:val="18"/>
          <w:szCs w:val="18"/>
        </w:rPr>
        <w:t>– 2019 Information Return Burden Survey</w:t>
      </w:r>
    </w:p>
    <w:tbl>
      <w:tblPr>
        <w:tblW w:w="9118" w:type="dxa"/>
        <w:tblInd w:w="113" w:type="dxa"/>
        <w:tblLook w:val="04A0" w:firstRow="1" w:lastRow="0" w:firstColumn="1" w:lastColumn="0" w:noHBand="0" w:noVBand="1"/>
      </w:tblPr>
      <w:tblGrid>
        <w:gridCol w:w="399"/>
        <w:gridCol w:w="1306"/>
        <w:gridCol w:w="2070"/>
        <w:gridCol w:w="3420"/>
        <w:gridCol w:w="946"/>
        <w:gridCol w:w="977"/>
      </w:tblGrid>
      <w:tr w:rsidRPr="00773333" w:rsidR="00773333" w:rsidTr="00773333" w14:paraId="51FB3F7B" w14:textId="77777777">
        <w:trPr>
          <w:trHeight w:val="290"/>
        </w:trPr>
        <w:tc>
          <w:tcPr>
            <w:tcW w:w="39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73333" w:rsidR="00773333" w:rsidP="00773333" w:rsidRDefault="00773333" w14:paraId="760E62F8" w14:textId="77777777">
            <w:pPr>
              <w:widowControl/>
              <w:autoSpaceDE/>
              <w:autoSpaceDN/>
              <w:adjustRightInd/>
              <w:jc w:val="center"/>
              <w:rPr>
                <w:sz w:val="18"/>
                <w:szCs w:val="18"/>
              </w:rPr>
            </w:pPr>
            <w:r w:rsidRPr="00773333">
              <w:rPr>
                <w:sz w:val="18"/>
                <w:szCs w:val="18"/>
              </w:rPr>
              <w:t>#</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773333" w:rsidR="00773333" w:rsidP="00773333" w:rsidRDefault="00773333" w14:paraId="20F7C3B3" w14:textId="77777777">
            <w:pPr>
              <w:widowControl/>
              <w:autoSpaceDE/>
              <w:autoSpaceDN/>
              <w:adjustRightInd/>
              <w:jc w:val="center"/>
              <w:rPr>
                <w:sz w:val="18"/>
                <w:szCs w:val="18"/>
              </w:rPr>
            </w:pPr>
            <w:r w:rsidRPr="00773333">
              <w:rPr>
                <w:sz w:val="18"/>
                <w:szCs w:val="18"/>
              </w:rPr>
              <w:t>Clients</w:t>
            </w:r>
          </w:p>
        </w:tc>
        <w:tc>
          <w:tcPr>
            <w:tcW w:w="2070" w:type="dxa"/>
            <w:tcBorders>
              <w:top w:val="single" w:color="auto" w:sz="4" w:space="0"/>
              <w:left w:val="nil"/>
              <w:bottom w:val="single" w:color="auto" w:sz="4" w:space="0"/>
              <w:right w:val="single" w:color="auto" w:sz="4" w:space="0"/>
            </w:tcBorders>
            <w:shd w:val="clear" w:color="auto" w:fill="auto"/>
            <w:noWrap/>
            <w:vAlign w:val="center"/>
            <w:hideMark/>
          </w:tcPr>
          <w:p w:rsidRPr="00773333" w:rsidR="00773333" w:rsidP="00773333" w:rsidRDefault="00773333" w14:paraId="5C1B6A64" w14:textId="77777777">
            <w:pPr>
              <w:widowControl/>
              <w:autoSpaceDE/>
              <w:autoSpaceDN/>
              <w:adjustRightInd/>
              <w:jc w:val="center"/>
              <w:rPr>
                <w:sz w:val="18"/>
                <w:szCs w:val="18"/>
              </w:rPr>
            </w:pPr>
            <w:r w:rsidRPr="00773333">
              <w:rPr>
                <w:sz w:val="18"/>
                <w:szCs w:val="18"/>
              </w:rPr>
              <w:t>Types</w:t>
            </w:r>
          </w:p>
        </w:tc>
        <w:tc>
          <w:tcPr>
            <w:tcW w:w="3420" w:type="dxa"/>
            <w:tcBorders>
              <w:top w:val="single" w:color="auto" w:sz="4" w:space="0"/>
              <w:left w:val="nil"/>
              <w:bottom w:val="single" w:color="auto" w:sz="4" w:space="0"/>
              <w:right w:val="single" w:color="auto" w:sz="4" w:space="0"/>
            </w:tcBorders>
            <w:shd w:val="clear" w:color="auto" w:fill="auto"/>
            <w:noWrap/>
            <w:vAlign w:val="center"/>
            <w:hideMark/>
          </w:tcPr>
          <w:p w:rsidRPr="00773333" w:rsidR="00773333" w:rsidP="00773333" w:rsidRDefault="00773333" w14:paraId="22CD594B" w14:textId="77777777">
            <w:pPr>
              <w:widowControl/>
              <w:autoSpaceDE/>
              <w:autoSpaceDN/>
              <w:adjustRightInd/>
              <w:jc w:val="center"/>
              <w:rPr>
                <w:sz w:val="18"/>
                <w:szCs w:val="18"/>
              </w:rPr>
            </w:pPr>
            <w:r w:rsidRPr="00773333">
              <w:rPr>
                <w:sz w:val="18"/>
                <w:szCs w:val="18"/>
              </w:rPr>
              <w:t>Forms</w:t>
            </w:r>
          </w:p>
        </w:tc>
        <w:tc>
          <w:tcPr>
            <w:tcW w:w="946" w:type="dxa"/>
            <w:tcBorders>
              <w:top w:val="single" w:color="auto" w:sz="4" w:space="0"/>
              <w:left w:val="nil"/>
              <w:bottom w:val="single" w:color="auto" w:sz="4" w:space="0"/>
              <w:right w:val="single" w:color="auto" w:sz="4" w:space="0"/>
            </w:tcBorders>
            <w:shd w:val="clear" w:color="auto" w:fill="auto"/>
            <w:vAlign w:val="center"/>
            <w:hideMark/>
          </w:tcPr>
          <w:p w:rsidRPr="00773333" w:rsidR="00773333" w:rsidP="00773333" w:rsidRDefault="00773333" w14:paraId="3AE7595B" w14:textId="77777777">
            <w:pPr>
              <w:widowControl/>
              <w:autoSpaceDE/>
              <w:autoSpaceDN/>
              <w:adjustRightInd/>
              <w:jc w:val="center"/>
              <w:rPr>
                <w:sz w:val="18"/>
                <w:szCs w:val="18"/>
              </w:rPr>
            </w:pPr>
            <w:r w:rsidRPr="00773333">
              <w:rPr>
                <w:sz w:val="18"/>
                <w:szCs w:val="18"/>
              </w:rPr>
              <w:t> </w:t>
            </w:r>
          </w:p>
        </w:tc>
        <w:tc>
          <w:tcPr>
            <w:tcW w:w="977" w:type="dxa"/>
            <w:tcBorders>
              <w:top w:val="single" w:color="auto" w:sz="4" w:space="0"/>
              <w:left w:val="nil"/>
              <w:bottom w:val="single" w:color="auto" w:sz="4" w:space="0"/>
              <w:right w:val="single" w:color="auto" w:sz="4" w:space="0"/>
            </w:tcBorders>
            <w:shd w:val="clear" w:color="auto" w:fill="auto"/>
            <w:vAlign w:val="center"/>
            <w:hideMark/>
          </w:tcPr>
          <w:p w:rsidRPr="00773333" w:rsidR="00773333" w:rsidP="00773333" w:rsidRDefault="00773333" w14:paraId="585BB9FF" w14:textId="77777777">
            <w:pPr>
              <w:widowControl/>
              <w:autoSpaceDE/>
              <w:autoSpaceDN/>
              <w:adjustRightInd/>
              <w:jc w:val="center"/>
              <w:rPr>
                <w:sz w:val="18"/>
                <w:szCs w:val="18"/>
              </w:rPr>
            </w:pPr>
            <w:r w:rsidRPr="00773333">
              <w:rPr>
                <w:sz w:val="18"/>
                <w:szCs w:val="18"/>
              </w:rPr>
              <w:t>Allocation</w:t>
            </w:r>
          </w:p>
        </w:tc>
      </w:tr>
      <w:tr w:rsidRPr="00773333" w:rsidR="00773333" w:rsidTr="00773333" w14:paraId="701D3C4E"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2EBF3557" w14:textId="77777777">
            <w:pPr>
              <w:widowControl/>
              <w:autoSpaceDE/>
              <w:autoSpaceDN/>
              <w:adjustRightInd/>
              <w:jc w:val="right"/>
              <w:rPr>
                <w:sz w:val="18"/>
                <w:szCs w:val="18"/>
              </w:rPr>
            </w:pPr>
            <w:r w:rsidRPr="00773333">
              <w:rPr>
                <w:sz w:val="18"/>
                <w:szCs w:val="18"/>
              </w:rPr>
              <w:t>1</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86E1468"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211D6C3"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168CFC7" w14:textId="77777777">
            <w:pPr>
              <w:widowControl/>
              <w:autoSpaceDE/>
              <w:autoSpaceDN/>
              <w:adjustRightInd/>
              <w:rPr>
                <w:sz w:val="18"/>
                <w:szCs w:val="18"/>
              </w:rPr>
            </w:pPr>
            <w:r w:rsidRPr="00773333">
              <w:rPr>
                <w:sz w:val="18"/>
                <w:szCs w:val="18"/>
              </w:rPr>
              <w:t xml:space="preserve">F1099MISC - Rent and </w:t>
            </w:r>
            <w:proofErr w:type="spellStart"/>
            <w:r w:rsidRPr="00773333">
              <w:rPr>
                <w:sz w:val="18"/>
                <w:szCs w:val="18"/>
              </w:rPr>
              <w:t>NonEmp</w:t>
            </w:r>
            <w:proofErr w:type="spellEnd"/>
            <w:r w:rsidRPr="00773333">
              <w:rPr>
                <w:sz w:val="18"/>
                <w:szCs w:val="18"/>
              </w:rPr>
              <w:t xml:space="preserve"> Comp</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5CF7F66F"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877,910</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FB5E4F4" w14:textId="77777777">
            <w:pPr>
              <w:widowControl/>
              <w:autoSpaceDE/>
              <w:autoSpaceDN/>
              <w:adjustRightInd/>
              <w:jc w:val="right"/>
              <w:rPr>
                <w:color w:val="000000"/>
                <w:sz w:val="18"/>
                <w:szCs w:val="18"/>
              </w:rPr>
            </w:pPr>
            <w:r w:rsidRPr="00773333">
              <w:rPr>
                <w:color w:val="000000"/>
                <w:sz w:val="18"/>
                <w:szCs w:val="18"/>
              </w:rPr>
              <w:t>989</w:t>
            </w:r>
          </w:p>
        </w:tc>
      </w:tr>
      <w:tr w:rsidRPr="00773333" w:rsidR="00773333" w:rsidTr="00773333" w14:paraId="4ABDEEA2"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2C9F6A1B" w14:textId="77777777">
            <w:pPr>
              <w:widowControl/>
              <w:autoSpaceDE/>
              <w:autoSpaceDN/>
              <w:adjustRightInd/>
              <w:jc w:val="right"/>
              <w:rPr>
                <w:sz w:val="18"/>
                <w:szCs w:val="18"/>
              </w:rPr>
            </w:pPr>
            <w:r w:rsidRPr="00773333">
              <w:rPr>
                <w:sz w:val="18"/>
                <w:szCs w:val="18"/>
              </w:rPr>
              <w:t>2</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AB66BB1"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34E55FE"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F45D24F" w14:textId="77777777">
            <w:pPr>
              <w:widowControl/>
              <w:autoSpaceDE/>
              <w:autoSpaceDN/>
              <w:adjustRightInd/>
              <w:rPr>
                <w:sz w:val="18"/>
                <w:szCs w:val="18"/>
              </w:rPr>
            </w:pPr>
            <w:r w:rsidRPr="00773333">
              <w:rPr>
                <w:sz w:val="18"/>
                <w:szCs w:val="18"/>
              </w:rPr>
              <w:t>F1099MISC - Rent</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4A1DCCB"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290,278</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70A02525" w14:textId="77777777">
            <w:pPr>
              <w:widowControl/>
              <w:autoSpaceDE/>
              <w:autoSpaceDN/>
              <w:adjustRightInd/>
              <w:jc w:val="right"/>
              <w:rPr>
                <w:color w:val="000000"/>
                <w:sz w:val="18"/>
                <w:szCs w:val="18"/>
              </w:rPr>
            </w:pPr>
            <w:r w:rsidRPr="00773333">
              <w:rPr>
                <w:color w:val="000000"/>
                <w:sz w:val="18"/>
                <w:szCs w:val="18"/>
              </w:rPr>
              <w:t>395</w:t>
            </w:r>
          </w:p>
        </w:tc>
      </w:tr>
      <w:tr w:rsidRPr="00773333" w:rsidR="00773333" w:rsidTr="00773333" w14:paraId="18178044"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73788FCB" w14:textId="77777777">
            <w:pPr>
              <w:widowControl/>
              <w:autoSpaceDE/>
              <w:autoSpaceDN/>
              <w:adjustRightInd/>
              <w:jc w:val="right"/>
              <w:rPr>
                <w:sz w:val="18"/>
                <w:szCs w:val="18"/>
              </w:rPr>
            </w:pPr>
            <w:r w:rsidRPr="00773333">
              <w:rPr>
                <w:sz w:val="18"/>
                <w:szCs w:val="18"/>
              </w:rPr>
              <w:t>3</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33161DE"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8847D0E"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DBE6239" w14:textId="77777777">
            <w:pPr>
              <w:widowControl/>
              <w:autoSpaceDE/>
              <w:autoSpaceDN/>
              <w:adjustRightInd/>
              <w:rPr>
                <w:sz w:val="18"/>
                <w:szCs w:val="18"/>
              </w:rPr>
            </w:pPr>
            <w:r w:rsidRPr="00773333">
              <w:rPr>
                <w:sz w:val="18"/>
                <w:szCs w:val="18"/>
              </w:rPr>
              <w:t xml:space="preserve">F1099MISC - </w:t>
            </w:r>
            <w:proofErr w:type="spellStart"/>
            <w:r w:rsidRPr="00773333">
              <w:rPr>
                <w:sz w:val="18"/>
                <w:szCs w:val="18"/>
              </w:rPr>
              <w:t>NonEmp</w:t>
            </w:r>
            <w:proofErr w:type="spellEnd"/>
            <w:r w:rsidRPr="00773333">
              <w:rPr>
                <w:sz w:val="18"/>
                <w:szCs w:val="18"/>
              </w:rPr>
              <w:t xml:space="preserve"> Comp</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BCAD9E8"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3,926,013</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01671C6" w14:textId="77777777">
            <w:pPr>
              <w:widowControl/>
              <w:autoSpaceDE/>
              <w:autoSpaceDN/>
              <w:adjustRightInd/>
              <w:jc w:val="right"/>
              <w:rPr>
                <w:color w:val="000000"/>
                <w:sz w:val="18"/>
                <w:szCs w:val="18"/>
              </w:rPr>
            </w:pPr>
            <w:r w:rsidRPr="00773333">
              <w:rPr>
                <w:color w:val="000000"/>
                <w:sz w:val="18"/>
                <w:szCs w:val="18"/>
              </w:rPr>
              <w:t>3,757</w:t>
            </w:r>
          </w:p>
        </w:tc>
      </w:tr>
      <w:tr w:rsidRPr="00773333" w:rsidR="00773333" w:rsidTr="00773333" w14:paraId="1D8A2A90"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58A0612E" w14:textId="77777777">
            <w:pPr>
              <w:widowControl/>
              <w:autoSpaceDE/>
              <w:autoSpaceDN/>
              <w:adjustRightInd/>
              <w:jc w:val="right"/>
              <w:rPr>
                <w:sz w:val="18"/>
                <w:szCs w:val="18"/>
              </w:rPr>
            </w:pPr>
            <w:r w:rsidRPr="00773333">
              <w:rPr>
                <w:sz w:val="18"/>
                <w:szCs w:val="18"/>
              </w:rPr>
              <w:t>4</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BBD0F8F"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F0A9F5D"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5909864" w14:textId="77777777">
            <w:pPr>
              <w:widowControl/>
              <w:autoSpaceDE/>
              <w:autoSpaceDN/>
              <w:adjustRightInd/>
              <w:rPr>
                <w:sz w:val="18"/>
                <w:szCs w:val="18"/>
              </w:rPr>
            </w:pPr>
            <w:r w:rsidRPr="00773333">
              <w:rPr>
                <w:sz w:val="18"/>
                <w:szCs w:val="18"/>
              </w:rPr>
              <w:t>F1099MISC - No Rent or No Emp comp</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6732F37E"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180,426</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8B40756" w14:textId="77777777">
            <w:pPr>
              <w:widowControl/>
              <w:autoSpaceDE/>
              <w:autoSpaceDN/>
              <w:adjustRightInd/>
              <w:jc w:val="right"/>
              <w:rPr>
                <w:color w:val="000000"/>
                <w:sz w:val="18"/>
                <w:szCs w:val="18"/>
              </w:rPr>
            </w:pPr>
            <w:r w:rsidRPr="00773333">
              <w:rPr>
                <w:color w:val="000000"/>
                <w:sz w:val="18"/>
                <w:szCs w:val="18"/>
              </w:rPr>
              <w:t>395</w:t>
            </w:r>
          </w:p>
        </w:tc>
      </w:tr>
      <w:tr w:rsidRPr="00773333" w:rsidR="00773333" w:rsidTr="00773333" w14:paraId="53E66E6D"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588F9241" w14:textId="77777777">
            <w:pPr>
              <w:widowControl/>
              <w:autoSpaceDE/>
              <w:autoSpaceDN/>
              <w:adjustRightInd/>
              <w:jc w:val="right"/>
              <w:rPr>
                <w:sz w:val="18"/>
                <w:szCs w:val="18"/>
              </w:rPr>
            </w:pPr>
            <w:r w:rsidRPr="00773333">
              <w:rPr>
                <w:sz w:val="18"/>
                <w:szCs w:val="18"/>
              </w:rPr>
              <w:t>5</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6EAAD72"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40C9C1F"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2CE2376" w14:textId="77777777">
            <w:pPr>
              <w:widowControl/>
              <w:autoSpaceDE/>
              <w:autoSpaceDN/>
              <w:adjustRightInd/>
              <w:rPr>
                <w:sz w:val="18"/>
                <w:szCs w:val="18"/>
              </w:rPr>
            </w:pPr>
            <w:r w:rsidRPr="00773333">
              <w:rPr>
                <w:sz w:val="18"/>
                <w:szCs w:val="18"/>
              </w:rPr>
              <w:t xml:space="preserve">F1098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933234F"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49,799</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9DE6571" w14:textId="77777777">
            <w:pPr>
              <w:widowControl/>
              <w:autoSpaceDE/>
              <w:autoSpaceDN/>
              <w:adjustRightInd/>
              <w:jc w:val="right"/>
              <w:rPr>
                <w:color w:val="000000"/>
                <w:sz w:val="18"/>
                <w:szCs w:val="18"/>
              </w:rPr>
            </w:pPr>
            <w:r w:rsidRPr="00773333">
              <w:rPr>
                <w:color w:val="000000"/>
                <w:sz w:val="18"/>
                <w:szCs w:val="18"/>
              </w:rPr>
              <w:t>1,055</w:t>
            </w:r>
          </w:p>
        </w:tc>
      </w:tr>
      <w:tr w:rsidRPr="00773333" w:rsidR="00773333" w:rsidTr="00773333" w14:paraId="751A0FBE"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4A272549" w14:textId="77777777">
            <w:pPr>
              <w:widowControl/>
              <w:autoSpaceDE/>
              <w:autoSpaceDN/>
              <w:adjustRightInd/>
              <w:jc w:val="right"/>
              <w:rPr>
                <w:sz w:val="18"/>
                <w:szCs w:val="18"/>
              </w:rPr>
            </w:pPr>
            <w:r w:rsidRPr="00773333">
              <w:rPr>
                <w:sz w:val="18"/>
                <w:szCs w:val="18"/>
              </w:rPr>
              <w:t>6</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ACE4B9E"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737CE08"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2E7D661" w14:textId="77777777">
            <w:pPr>
              <w:widowControl/>
              <w:autoSpaceDE/>
              <w:autoSpaceDN/>
              <w:adjustRightInd/>
              <w:rPr>
                <w:sz w:val="18"/>
                <w:szCs w:val="18"/>
              </w:rPr>
            </w:pPr>
            <w:r w:rsidRPr="00773333">
              <w:rPr>
                <w:sz w:val="18"/>
                <w:szCs w:val="18"/>
              </w:rPr>
              <w:t xml:space="preserve">F1099INT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43184066"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92,999</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146B57F5" w14:textId="77777777">
            <w:pPr>
              <w:widowControl/>
              <w:autoSpaceDE/>
              <w:autoSpaceDN/>
              <w:adjustRightInd/>
              <w:jc w:val="right"/>
              <w:rPr>
                <w:color w:val="000000"/>
                <w:sz w:val="18"/>
                <w:szCs w:val="18"/>
              </w:rPr>
            </w:pPr>
            <w:r w:rsidRPr="00773333">
              <w:rPr>
                <w:color w:val="000000"/>
                <w:sz w:val="18"/>
                <w:szCs w:val="18"/>
              </w:rPr>
              <w:t>1,055</w:t>
            </w:r>
          </w:p>
        </w:tc>
      </w:tr>
      <w:tr w:rsidRPr="00773333" w:rsidR="00773333" w:rsidTr="00773333" w14:paraId="69CDEA71"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03DADFA4" w14:textId="77777777">
            <w:pPr>
              <w:widowControl/>
              <w:autoSpaceDE/>
              <w:autoSpaceDN/>
              <w:adjustRightInd/>
              <w:jc w:val="right"/>
              <w:rPr>
                <w:sz w:val="18"/>
                <w:szCs w:val="18"/>
              </w:rPr>
            </w:pPr>
            <w:r w:rsidRPr="00773333">
              <w:rPr>
                <w:sz w:val="18"/>
                <w:szCs w:val="18"/>
              </w:rPr>
              <w:t>7</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EC2548A"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00323AA8"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200F0B6" w14:textId="77777777">
            <w:pPr>
              <w:widowControl/>
              <w:autoSpaceDE/>
              <w:autoSpaceDN/>
              <w:adjustRightInd/>
              <w:rPr>
                <w:sz w:val="18"/>
                <w:szCs w:val="18"/>
              </w:rPr>
            </w:pPr>
            <w:r w:rsidRPr="00773333">
              <w:rPr>
                <w:sz w:val="18"/>
                <w:szCs w:val="18"/>
              </w:rPr>
              <w:t xml:space="preserve">F1099R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191F3A02"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39,929</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5E010FF4" w14:textId="77777777">
            <w:pPr>
              <w:widowControl/>
              <w:autoSpaceDE/>
              <w:autoSpaceDN/>
              <w:adjustRightInd/>
              <w:jc w:val="right"/>
              <w:rPr>
                <w:color w:val="000000"/>
                <w:sz w:val="18"/>
                <w:szCs w:val="18"/>
              </w:rPr>
            </w:pPr>
            <w:r w:rsidRPr="00773333">
              <w:rPr>
                <w:color w:val="000000"/>
                <w:sz w:val="18"/>
                <w:szCs w:val="18"/>
              </w:rPr>
              <w:t>1,055</w:t>
            </w:r>
          </w:p>
        </w:tc>
      </w:tr>
      <w:tr w:rsidRPr="00773333" w:rsidR="00773333" w:rsidTr="00773333" w14:paraId="39442931"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1BA7D2FC" w14:textId="77777777">
            <w:pPr>
              <w:widowControl/>
              <w:autoSpaceDE/>
              <w:autoSpaceDN/>
              <w:adjustRightInd/>
              <w:jc w:val="right"/>
              <w:rPr>
                <w:sz w:val="18"/>
                <w:szCs w:val="18"/>
              </w:rPr>
            </w:pPr>
            <w:r w:rsidRPr="00773333">
              <w:rPr>
                <w:sz w:val="18"/>
                <w:szCs w:val="18"/>
              </w:rPr>
              <w:t>8</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055D089"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72DDA15"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51427F4" w14:textId="77777777">
            <w:pPr>
              <w:widowControl/>
              <w:autoSpaceDE/>
              <w:autoSpaceDN/>
              <w:adjustRightInd/>
              <w:rPr>
                <w:sz w:val="18"/>
                <w:szCs w:val="18"/>
              </w:rPr>
            </w:pPr>
            <w:r w:rsidRPr="00773333">
              <w:rPr>
                <w:sz w:val="18"/>
                <w:szCs w:val="18"/>
              </w:rPr>
              <w:t xml:space="preserve">F1099DIV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314D8AB1"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23,433</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06CE73FB" w14:textId="77777777">
            <w:pPr>
              <w:widowControl/>
              <w:autoSpaceDE/>
              <w:autoSpaceDN/>
              <w:adjustRightInd/>
              <w:jc w:val="right"/>
              <w:rPr>
                <w:color w:val="000000"/>
                <w:sz w:val="18"/>
                <w:szCs w:val="18"/>
              </w:rPr>
            </w:pPr>
            <w:r w:rsidRPr="00773333">
              <w:rPr>
                <w:color w:val="000000"/>
                <w:sz w:val="18"/>
                <w:szCs w:val="18"/>
              </w:rPr>
              <w:t>1,055</w:t>
            </w:r>
          </w:p>
        </w:tc>
      </w:tr>
      <w:tr w:rsidRPr="00773333" w:rsidR="00773333" w:rsidTr="00773333" w14:paraId="11A75547"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06ED21CF" w14:textId="77777777">
            <w:pPr>
              <w:widowControl/>
              <w:autoSpaceDE/>
              <w:autoSpaceDN/>
              <w:adjustRightInd/>
              <w:jc w:val="right"/>
              <w:rPr>
                <w:sz w:val="18"/>
                <w:szCs w:val="18"/>
              </w:rPr>
            </w:pPr>
            <w:r w:rsidRPr="00773333">
              <w:rPr>
                <w:sz w:val="18"/>
                <w:szCs w:val="18"/>
              </w:rPr>
              <w:t>9</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236AFFB"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70A095A"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7157B03" w14:textId="77777777">
            <w:pPr>
              <w:widowControl/>
              <w:autoSpaceDE/>
              <w:autoSpaceDN/>
              <w:adjustRightInd/>
              <w:rPr>
                <w:sz w:val="18"/>
                <w:szCs w:val="18"/>
              </w:rPr>
            </w:pPr>
            <w:r w:rsidRPr="00773333">
              <w:rPr>
                <w:sz w:val="18"/>
                <w:szCs w:val="18"/>
              </w:rPr>
              <w:t xml:space="preserve">F1098T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0E1D2092"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13,121</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0E774BE5" w14:textId="77777777">
            <w:pPr>
              <w:widowControl/>
              <w:autoSpaceDE/>
              <w:autoSpaceDN/>
              <w:adjustRightInd/>
              <w:jc w:val="right"/>
              <w:rPr>
                <w:color w:val="000000"/>
                <w:sz w:val="18"/>
                <w:szCs w:val="18"/>
              </w:rPr>
            </w:pPr>
            <w:r w:rsidRPr="00773333">
              <w:rPr>
                <w:color w:val="000000"/>
                <w:sz w:val="18"/>
                <w:szCs w:val="18"/>
              </w:rPr>
              <w:t>659</w:t>
            </w:r>
          </w:p>
        </w:tc>
      </w:tr>
      <w:tr w:rsidRPr="00773333" w:rsidR="00773333" w:rsidTr="00773333" w14:paraId="0A6E3C5E"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5B7F4A66" w14:textId="77777777">
            <w:pPr>
              <w:widowControl/>
              <w:autoSpaceDE/>
              <w:autoSpaceDN/>
              <w:adjustRightInd/>
              <w:jc w:val="right"/>
              <w:rPr>
                <w:sz w:val="18"/>
                <w:szCs w:val="18"/>
              </w:rPr>
            </w:pPr>
            <w:r w:rsidRPr="00773333">
              <w:rPr>
                <w:sz w:val="18"/>
                <w:szCs w:val="18"/>
              </w:rPr>
              <w:t>10</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D562171"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C4DC597"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EA20E05" w14:textId="77777777">
            <w:pPr>
              <w:widowControl/>
              <w:autoSpaceDE/>
              <w:autoSpaceDN/>
              <w:adjustRightInd/>
              <w:rPr>
                <w:sz w:val="18"/>
                <w:szCs w:val="18"/>
              </w:rPr>
            </w:pPr>
            <w:r w:rsidRPr="00773333">
              <w:rPr>
                <w:sz w:val="18"/>
                <w:szCs w:val="18"/>
              </w:rPr>
              <w:t xml:space="preserve">F1099S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6A009953"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8,728</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3406F83E" w14:textId="77777777">
            <w:pPr>
              <w:widowControl/>
              <w:autoSpaceDE/>
              <w:autoSpaceDN/>
              <w:adjustRightInd/>
              <w:jc w:val="right"/>
              <w:rPr>
                <w:color w:val="000000"/>
                <w:sz w:val="18"/>
                <w:szCs w:val="18"/>
              </w:rPr>
            </w:pPr>
            <w:r w:rsidRPr="00773333">
              <w:rPr>
                <w:color w:val="000000"/>
                <w:sz w:val="18"/>
                <w:szCs w:val="18"/>
              </w:rPr>
              <w:t>330</w:t>
            </w:r>
          </w:p>
        </w:tc>
      </w:tr>
      <w:tr w:rsidRPr="00773333" w:rsidR="00773333" w:rsidTr="00773333" w14:paraId="4D2193C7"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420E8D75" w14:textId="77777777">
            <w:pPr>
              <w:widowControl/>
              <w:autoSpaceDE/>
              <w:autoSpaceDN/>
              <w:adjustRightInd/>
              <w:jc w:val="right"/>
              <w:rPr>
                <w:sz w:val="18"/>
                <w:szCs w:val="18"/>
              </w:rPr>
            </w:pPr>
            <w:r w:rsidRPr="00773333">
              <w:rPr>
                <w:sz w:val="18"/>
                <w:szCs w:val="18"/>
              </w:rPr>
              <w:t>11</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3559AE5"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624116B"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0BD019F" w14:textId="77777777">
            <w:pPr>
              <w:widowControl/>
              <w:autoSpaceDE/>
              <w:autoSpaceDN/>
              <w:adjustRightInd/>
              <w:rPr>
                <w:sz w:val="18"/>
                <w:szCs w:val="18"/>
              </w:rPr>
            </w:pPr>
            <w:r w:rsidRPr="00773333">
              <w:rPr>
                <w:sz w:val="18"/>
                <w:szCs w:val="18"/>
              </w:rPr>
              <w:t xml:space="preserve">F1042S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1DF4231B"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7,384</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39F37D7A" w14:textId="77777777">
            <w:pPr>
              <w:widowControl/>
              <w:autoSpaceDE/>
              <w:autoSpaceDN/>
              <w:adjustRightInd/>
              <w:jc w:val="right"/>
              <w:rPr>
                <w:color w:val="000000"/>
                <w:sz w:val="18"/>
                <w:szCs w:val="18"/>
              </w:rPr>
            </w:pPr>
            <w:r w:rsidRPr="00773333">
              <w:rPr>
                <w:color w:val="000000"/>
                <w:sz w:val="18"/>
                <w:szCs w:val="18"/>
              </w:rPr>
              <w:t>1,055</w:t>
            </w:r>
          </w:p>
        </w:tc>
      </w:tr>
      <w:tr w:rsidRPr="00773333" w:rsidR="00773333" w:rsidTr="00773333" w14:paraId="652CECED"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1C2F06B2" w14:textId="77777777">
            <w:pPr>
              <w:widowControl/>
              <w:autoSpaceDE/>
              <w:autoSpaceDN/>
              <w:adjustRightInd/>
              <w:jc w:val="right"/>
              <w:rPr>
                <w:sz w:val="18"/>
                <w:szCs w:val="18"/>
              </w:rPr>
            </w:pPr>
            <w:r w:rsidRPr="00773333">
              <w:rPr>
                <w:sz w:val="18"/>
                <w:szCs w:val="18"/>
              </w:rPr>
              <w:t>12</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320A67E"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6A002B9"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395299A" w14:textId="77777777">
            <w:pPr>
              <w:widowControl/>
              <w:autoSpaceDE/>
              <w:autoSpaceDN/>
              <w:adjustRightInd/>
              <w:rPr>
                <w:sz w:val="18"/>
                <w:szCs w:val="18"/>
              </w:rPr>
            </w:pPr>
            <w:r w:rsidRPr="00773333">
              <w:rPr>
                <w:sz w:val="18"/>
                <w:szCs w:val="18"/>
              </w:rPr>
              <w:t xml:space="preserve">F1099B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6C69F433"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1,193</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37CA4103" w14:textId="77777777">
            <w:pPr>
              <w:widowControl/>
              <w:autoSpaceDE/>
              <w:autoSpaceDN/>
              <w:adjustRightInd/>
              <w:jc w:val="right"/>
              <w:rPr>
                <w:color w:val="000000"/>
                <w:sz w:val="18"/>
                <w:szCs w:val="18"/>
              </w:rPr>
            </w:pPr>
            <w:r w:rsidRPr="00773333">
              <w:rPr>
                <w:color w:val="000000"/>
                <w:sz w:val="18"/>
                <w:szCs w:val="18"/>
              </w:rPr>
              <w:t>791</w:t>
            </w:r>
          </w:p>
        </w:tc>
      </w:tr>
      <w:tr w:rsidRPr="00773333" w:rsidR="00773333" w:rsidTr="00773333" w14:paraId="5242D4DA"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078A1BF7" w14:textId="77777777">
            <w:pPr>
              <w:widowControl/>
              <w:autoSpaceDE/>
              <w:autoSpaceDN/>
              <w:adjustRightInd/>
              <w:jc w:val="right"/>
              <w:rPr>
                <w:sz w:val="18"/>
                <w:szCs w:val="18"/>
              </w:rPr>
            </w:pPr>
            <w:r w:rsidRPr="00773333">
              <w:rPr>
                <w:sz w:val="18"/>
                <w:szCs w:val="18"/>
              </w:rPr>
              <w:t>13</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85F7A5E"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1E6455C"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9FFB2C3" w14:textId="77777777">
            <w:pPr>
              <w:widowControl/>
              <w:autoSpaceDE/>
              <w:autoSpaceDN/>
              <w:adjustRightInd/>
              <w:rPr>
                <w:sz w:val="18"/>
                <w:szCs w:val="18"/>
              </w:rPr>
            </w:pPr>
            <w:r w:rsidRPr="00773333">
              <w:rPr>
                <w:sz w:val="18"/>
                <w:szCs w:val="18"/>
              </w:rPr>
              <w:t xml:space="preserve">F1099C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4179C299"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1,319</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772B46AA" w14:textId="77777777">
            <w:pPr>
              <w:widowControl/>
              <w:autoSpaceDE/>
              <w:autoSpaceDN/>
              <w:adjustRightInd/>
              <w:jc w:val="right"/>
              <w:rPr>
                <w:color w:val="000000"/>
                <w:sz w:val="18"/>
                <w:szCs w:val="18"/>
              </w:rPr>
            </w:pPr>
            <w:r w:rsidRPr="00773333">
              <w:rPr>
                <w:color w:val="000000"/>
                <w:sz w:val="18"/>
                <w:szCs w:val="18"/>
              </w:rPr>
              <w:t>264</w:t>
            </w:r>
          </w:p>
        </w:tc>
      </w:tr>
      <w:tr w:rsidRPr="00773333" w:rsidR="00773333" w:rsidTr="00773333" w14:paraId="5B64DF31"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68EC9B04" w14:textId="77777777">
            <w:pPr>
              <w:widowControl/>
              <w:autoSpaceDE/>
              <w:autoSpaceDN/>
              <w:adjustRightInd/>
              <w:jc w:val="right"/>
              <w:rPr>
                <w:sz w:val="18"/>
                <w:szCs w:val="18"/>
              </w:rPr>
            </w:pPr>
            <w:r w:rsidRPr="00773333">
              <w:rPr>
                <w:sz w:val="18"/>
                <w:szCs w:val="18"/>
              </w:rPr>
              <w:t>14</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803D0E7"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5720FB4"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3D12171" w14:textId="77777777">
            <w:pPr>
              <w:widowControl/>
              <w:autoSpaceDE/>
              <w:autoSpaceDN/>
              <w:adjustRightInd/>
              <w:rPr>
                <w:sz w:val="18"/>
                <w:szCs w:val="18"/>
              </w:rPr>
            </w:pPr>
            <w:r w:rsidRPr="00773333">
              <w:rPr>
                <w:sz w:val="18"/>
                <w:szCs w:val="18"/>
              </w:rPr>
              <w:t xml:space="preserve">F1099K   </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8FCB69B"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154</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01F627E3" w14:textId="77777777">
            <w:pPr>
              <w:widowControl/>
              <w:autoSpaceDE/>
              <w:autoSpaceDN/>
              <w:adjustRightInd/>
              <w:jc w:val="right"/>
              <w:rPr>
                <w:color w:val="000000"/>
                <w:sz w:val="18"/>
                <w:szCs w:val="18"/>
              </w:rPr>
            </w:pPr>
            <w:r w:rsidRPr="00773333">
              <w:rPr>
                <w:color w:val="000000"/>
                <w:sz w:val="18"/>
                <w:szCs w:val="18"/>
              </w:rPr>
              <w:t>330</w:t>
            </w:r>
          </w:p>
        </w:tc>
      </w:tr>
      <w:tr w:rsidRPr="00773333" w:rsidR="00773333" w:rsidTr="00773333" w14:paraId="3651A04C"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47D34FB1" w14:textId="77777777">
            <w:pPr>
              <w:widowControl/>
              <w:autoSpaceDE/>
              <w:autoSpaceDN/>
              <w:adjustRightInd/>
              <w:jc w:val="right"/>
              <w:rPr>
                <w:sz w:val="18"/>
                <w:szCs w:val="18"/>
              </w:rPr>
            </w:pPr>
            <w:r w:rsidRPr="00773333">
              <w:rPr>
                <w:sz w:val="18"/>
                <w:szCs w:val="18"/>
              </w:rPr>
              <w:t>15</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0A51192"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79FC078"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6A77870" w14:textId="77777777">
            <w:pPr>
              <w:widowControl/>
              <w:autoSpaceDE/>
              <w:autoSpaceDN/>
              <w:adjustRightInd/>
              <w:rPr>
                <w:sz w:val="18"/>
                <w:szCs w:val="18"/>
              </w:rPr>
            </w:pPr>
            <w:r w:rsidRPr="00773333">
              <w:rPr>
                <w:sz w:val="18"/>
                <w:szCs w:val="18"/>
              </w:rPr>
              <w:t>F5498</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51C4270B"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79</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6D1AC056" w14:textId="77777777">
            <w:pPr>
              <w:widowControl/>
              <w:autoSpaceDE/>
              <w:autoSpaceDN/>
              <w:adjustRightInd/>
              <w:jc w:val="right"/>
              <w:rPr>
                <w:color w:val="000000"/>
                <w:sz w:val="18"/>
                <w:szCs w:val="18"/>
              </w:rPr>
            </w:pPr>
            <w:r w:rsidRPr="00773333">
              <w:rPr>
                <w:color w:val="000000"/>
                <w:sz w:val="18"/>
                <w:szCs w:val="18"/>
              </w:rPr>
              <w:t>227</w:t>
            </w:r>
          </w:p>
        </w:tc>
      </w:tr>
      <w:tr w:rsidRPr="00773333" w:rsidR="00773333" w:rsidTr="00773333" w14:paraId="25952525"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747F6397" w14:textId="77777777">
            <w:pPr>
              <w:widowControl/>
              <w:autoSpaceDE/>
              <w:autoSpaceDN/>
              <w:adjustRightInd/>
              <w:jc w:val="right"/>
              <w:rPr>
                <w:sz w:val="18"/>
                <w:szCs w:val="18"/>
              </w:rPr>
            </w:pPr>
            <w:r w:rsidRPr="00773333">
              <w:rPr>
                <w:sz w:val="18"/>
                <w:szCs w:val="18"/>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61C8BD8"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02DBE34"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5E6977A" w14:textId="77777777">
            <w:pPr>
              <w:widowControl/>
              <w:autoSpaceDE/>
              <w:autoSpaceDN/>
              <w:adjustRightInd/>
              <w:rPr>
                <w:sz w:val="18"/>
                <w:szCs w:val="18"/>
              </w:rPr>
            </w:pPr>
            <w:proofErr w:type="spellStart"/>
            <w:r w:rsidRPr="00773333">
              <w:rPr>
                <w:sz w:val="18"/>
                <w:szCs w:val="18"/>
              </w:rPr>
              <w:t>MISC|No</w:t>
            </w:r>
            <w:proofErr w:type="spellEnd"/>
            <w:r w:rsidRPr="00773333">
              <w:rPr>
                <w:sz w:val="18"/>
                <w:szCs w:val="18"/>
              </w:rPr>
              <w:t xml:space="preserve"> </w:t>
            </w:r>
            <w:proofErr w:type="spellStart"/>
            <w:r w:rsidRPr="00773333">
              <w:rPr>
                <w:sz w:val="18"/>
                <w:szCs w:val="18"/>
              </w:rPr>
              <w:t>Int|No</w:t>
            </w:r>
            <w:proofErr w:type="spellEnd"/>
            <w:r w:rsidRPr="00773333">
              <w:rPr>
                <w:sz w:val="18"/>
                <w:szCs w:val="18"/>
              </w:rPr>
              <w:t xml:space="preserve"> </w:t>
            </w:r>
            <w:proofErr w:type="spellStart"/>
            <w:r w:rsidRPr="00773333">
              <w:rPr>
                <w:sz w:val="18"/>
                <w:szCs w:val="18"/>
              </w:rPr>
              <w:t>Div</w:t>
            </w:r>
            <w:proofErr w:type="spellEnd"/>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4A4DDAD8"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69,160</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7D15ACD" w14:textId="77777777">
            <w:pPr>
              <w:widowControl/>
              <w:autoSpaceDE/>
              <w:autoSpaceDN/>
              <w:adjustRightInd/>
              <w:jc w:val="right"/>
              <w:rPr>
                <w:color w:val="000000"/>
                <w:sz w:val="18"/>
                <w:szCs w:val="18"/>
              </w:rPr>
            </w:pPr>
            <w:r w:rsidRPr="00773333">
              <w:rPr>
                <w:color w:val="000000"/>
                <w:sz w:val="18"/>
                <w:szCs w:val="18"/>
              </w:rPr>
              <w:t>527</w:t>
            </w:r>
          </w:p>
        </w:tc>
      </w:tr>
      <w:tr w:rsidRPr="00773333" w:rsidR="00773333" w:rsidTr="00773333" w14:paraId="7DCA77F4"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65BEB888" w14:textId="77777777">
            <w:pPr>
              <w:widowControl/>
              <w:autoSpaceDE/>
              <w:autoSpaceDN/>
              <w:adjustRightInd/>
              <w:jc w:val="right"/>
              <w:rPr>
                <w:sz w:val="18"/>
                <w:szCs w:val="18"/>
              </w:rPr>
            </w:pPr>
            <w:r w:rsidRPr="00773333">
              <w:rPr>
                <w:sz w:val="18"/>
                <w:szCs w:val="18"/>
              </w:rPr>
              <w:t>17</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0BA2D2B"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163BCCF"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A4F4A82" w14:textId="77777777">
            <w:pPr>
              <w:widowControl/>
              <w:autoSpaceDE/>
              <w:autoSpaceDN/>
              <w:adjustRightInd/>
              <w:rPr>
                <w:sz w:val="18"/>
                <w:szCs w:val="18"/>
              </w:rPr>
            </w:pPr>
            <w:proofErr w:type="spellStart"/>
            <w:r w:rsidRPr="00773333">
              <w:rPr>
                <w:sz w:val="18"/>
                <w:szCs w:val="18"/>
              </w:rPr>
              <w:t>MISC|No</w:t>
            </w:r>
            <w:proofErr w:type="spellEnd"/>
            <w:r w:rsidRPr="00773333">
              <w:rPr>
                <w:sz w:val="18"/>
                <w:szCs w:val="18"/>
              </w:rPr>
              <w:t xml:space="preserve"> </w:t>
            </w:r>
            <w:proofErr w:type="spellStart"/>
            <w:r w:rsidRPr="00773333">
              <w:rPr>
                <w:sz w:val="18"/>
                <w:szCs w:val="18"/>
              </w:rPr>
              <w:t>Int|Div</w:t>
            </w:r>
            <w:proofErr w:type="spellEnd"/>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5EEA39FC"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30,382</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5ABF73CD" w14:textId="77777777">
            <w:pPr>
              <w:widowControl/>
              <w:autoSpaceDE/>
              <w:autoSpaceDN/>
              <w:adjustRightInd/>
              <w:jc w:val="right"/>
              <w:rPr>
                <w:color w:val="000000"/>
                <w:sz w:val="18"/>
                <w:szCs w:val="18"/>
              </w:rPr>
            </w:pPr>
            <w:r w:rsidRPr="00773333">
              <w:rPr>
                <w:color w:val="000000"/>
                <w:sz w:val="18"/>
                <w:szCs w:val="18"/>
              </w:rPr>
              <w:t>527</w:t>
            </w:r>
          </w:p>
        </w:tc>
      </w:tr>
      <w:tr w:rsidRPr="00773333" w:rsidR="00773333" w:rsidTr="00773333" w14:paraId="4CFD31B8"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5B68CED7" w14:textId="77777777">
            <w:pPr>
              <w:widowControl/>
              <w:autoSpaceDE/>
              <w:autoSpaceDN/>
              <w:adjustRightInd/>
              <w:jc w:val="right"/>
              <w:rPr>
                <w:sz w:val="18"/>
                <w:szCs w:val="18"/>
              </w:rPr>
            </w:pPr>
            <w:r w:rsidRPr="00773333">
              <w:rPr>
                <w:sz w:val="18"/>
                <w:szCs w:val="18"/>
              </w:rPr>
              <w:t>18</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ED3EA0A"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02C67CF8"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3B4E8D3" w14:textId="77777777">
            <w:pPr>
              <w:widowControl/>
              <w:autoSpaceDE/>
              <w:autoSpaceDN/>
              <w:adjustRightInd/>
              <w:rPr>
                <w:sz w:val="18"/>
                <w:szCs w:val="18"/>
              </w:rPr>
            </w:pPr>
            <w:proofErr w:type="spellStart"/>
            <w:r w:rsidRPr="00773333">
              <w:rPr>
                <w:sz w:val="18"/>
                <w:szCs w:val="18"/>
              </w:rPr>
              <w:t>MISC|Int</w:t>
            </w:r>
            <w:proofErr w:type="spellEnd"/>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1E549902"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207,819</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E7EAE9B" w14:textId="77777777">
            <w:pPr>
              <w:widowControl/>
              <w:autoSpaceDE/>
              <w:autoSpaceDN/>
              <w:adjustRightInd/>
              <w:jc w:val="right"/>
              <w:rPr>
                <w:color w:val="000000"/>
                <w:sz w:val="18"/>
                <w:szCs w:val="18"/>
              </w:rPr>
            </w:pPr>
            <w:r w:rsidRPr="00773333">
              <w:rPr>
                <w:color w:val="000000"/>
                <w:sz w:val="18"/>
                <w:szCs w:val="18"/>
              </w:rPr>
              <w:t>659</w:t>
            </w:r>
          </w:p>
        </w:tc>
      </w:tr>
      <w:tr w:rsidRPr="00773333" w:rsidR="00773333" w:rsidTr="00773333" w14:paraId="5C81D209"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28694FA3" w14:textId="77777777">
            <w:pPr>
              <w:widowControl/>
              <w:autoSpaceDE/>
              <w:autoSpaceDN/>
              <w:adjustRightInd/>
              <w:jc w:val="right"/>
              <w:rPr>
                <w:sz w:val="18"/>
                <w:szCs w:val="18"/>
              </w:rPr>
            </w:pPr>
            <w:r w:rsidRPr="00773333">
              <w:rPr>
                <w:sz w:val="18"/>
                <w:szCs w:val="18"/>
              </w:rPr>
              <w:t>19</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B20FA5A"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B313C3D"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AE0DF94" w14:textId="77777777">
            <w:pPr>
              <w:widowControl/>
              <w:autoSpaceDE/>
              <w:autoSpaceDN/>
              <w:adjustRightInd/>
              <w:rPr>
                <w:sz w:val="18"/>
                <w:szCs w:val="18"/>
              </w:rPr>
            </w:pPr>
            <w:r w:rsidRPr="00773333">
              <w:rPr>
                <w:sz w:val="18"/>
                <w:szCs w:val="18"/>
              </w:rPr>
              <w:t xml:space="preserve">No </w:t>
            </w:r>
            <w:proofErr w:type="spellStart"/>
            <w:r w:rsidRPr="00773333">
              <w:rPr>
                <w:sz w:val="18"/>
                <w:szCs w:val="18"/>
              </w:rPr>
              <w:t>MISC|No</w:t>
            </w:r>
            <w:proofErr w:type="spellEnd"/>
            <w:r w:rsidRPr="00773333">
              <w:rPr>
                <w:sz w:val="18"/>
                <w:szCs w:val="18"/>
              </w:rPr>
              <w:t xml:space="preserve"> Int</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7FEE0E7F"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3,631</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6AAF2741" w14:textId="77777777">
            <w:pPr>
              <w:widowControl/>
              <w:autoSpaceDE/>
              <w:autoSpaceDN/>
              <w:adjustRightInd/>
              <w:jc w:val="right"/>
              <w:rPr>
                <w:color w:val="000000"/>
                <w:sz w:val="18"/>
                <w:szCs w:val="18"/>
              </w:rPr>
            </w:pPr>
            <w:r w:rsidRPr="00773333">
              <w:rPr>
                <w:color w:val="000000"/>
                <w:sz w:val="18"/>
                <w:szCs w:val="18"/>
              </w:rPr>
              <w:t>527</w:t>
            </w:r>
          </w:p>
        </w:tc>
      </w:tr>
      <w:tr w:rsidRPr="00773333" w:rsidR="00773333" w:rsidTr="00773333" w14:paraId="4CF4444C"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7B6392E9" w14:textId="77777777">
            <w:pPr>
              <w:widowControl/>
              <w:autoSpaceDE/>
              <w:autoSpaceDN/>
              <w:adjustRightInd/>
              <w:jc w:val="right"/>
              <w:rPr>
                <w:sz w:val="18"/>
                <w:szCs w:val="18"/>
              </w:rPr>
            </w:pPr>
            <w:r w:rsidRPr="00773333">
              <w:rPr>
                <w:sz w:val="18"/>
                <w:szCs w:val="18"/>
              </w:rPr>
              <w:t>20</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3607E736"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83DD21D"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6B29806" w14:textId="77777777">
            <w:pPr>
              <w:widowControl/>
              <w:autoSpaceDE/>
              <w:autoSpaceDN/>
              <w:adjustRightInd/>
              <w:rPr>
                <w:sz w:val="18"/>
                <w:szCs w:val="18"/>
              </w:rPr>
            </w:pPr>
            <w:r w:rsidRPr="00773333">
              <w:rPr>
                <w:sz w:val="18"/>
                <w:szCs w:val="18"/>
              </w:rPr>
              <w:t xml:space="preserve">No </w:t>
            </w:r>
            <w:proofErr w:type="spellStart"/>
            <w:r w:rsidRPr="00773333">
              <w:rPr>
                <w:sz w:val="18"/>
                <w:szCs w:val="18"/>
              </w:rPr>
              <w:t>MISC|Int|B</w:t>
            </w:r>
            <w:proofErr w:type="spellEnd"/>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C7EF0D4"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4,323</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1CE9B5E8" w14:textId="77777777">
            <w:pPr>
              <w:widowControl/>
              <w:autoSpaceDE/>
              <w:autoSpaceDN/>
              <w:adjustRightInd/>
              <w:jc w:val="right"/>
              <w:rPr>
                <w:color w:val="000000"/>
                <w:sz w:val="18"/>
                <w:szCs w:val="18"/>
              </w:rPr>
            </w:pPr>
            <w:r w:rsidRPr="00773333">
              <w:rPr>
                <w:color w:val="000000"/>
                <w:sz w:val="18"/>
                <w:szCs w:val="18"/>
              </w:rPr>
              <w:t>527</w:t>
            </w:r>
          </w:p>
        </w:tc>
      </w:tr>
      <w:tr w:rsidRPr="00773333" w:rsidR="00773333" w:rsidTr="00773333" w14:paraId="1031235F"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51ECE83B" w14:textId="77777777">
            <w:pPr>
              <w:widowControl/>
              <w:autoSpaceDE/>
              <w:autoSpaceDN/>
              <w:adjustRightInd/>
              <w:jc w:val="right"/>
              <w:rPr>
                <w:sz w:val="18"/>
                <w:szCs w:val="18"/>
              </w:rPr>
            </w:pPr>
            <w:r w:rsidRPr="00773333">
              <w:rPr>
                <w:sz w:val="18"/>
                <w:szCs w:val="18"/>
              </w:rPr>
              <w:t>21</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08960A5C" w14:textId="77777777">
            <w:pPr>
              <w:widowControl/>
              <w:autoSpaceDE/>
              <w:autoSpaceDN/>
              <w:adjustRightInd/>
              <w:rPr>
                <w:sz w:val="18"/>
                <w:szCs w:val="18"/>
              </w:rPr>
            </w:pPr>
            <w:r w:rsidRPr="00773333">
              <w:rPr>
                <w:sz w:val="18"/>
                <w:szCs w:val="18"/>
              </w:rPr>
              <w:t>500 or Less</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F18269D"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C8E41E8" w14:textId="77777777">
            <w:pPr>
              <w:widowControl/>
              <w:autoSpaceDE/>
              <w:autoSpaceDN/>
              <w:adjustRightInd/>
              <w:rPr>
                <w:sz w:val="18"/>
                <w:szCs w:val="18"/>
              </w:rPr>
            </w:pPr>
            <w:r w:rsidRPr="00773333">
              <w:rPr>
                <w:sz w:val="18"/>
                <w:szCs w:val="18"/>
              </w:rPr>
              <w:t xml:space="preserve">No </w:t>
            </w:r>
            <w:proofErr w:type="spellStart"/>
            <w:r w:rsidRPr="00773333">
              <w:rPr>
                <w:sz w:val="18"/>
                <w:szCs w:val="18"/>
              </w:rPr>
              <w:t>MISC|Int|No</w:t>
            </w:r>
            <w:proofErr w:type="spellEnd"/>
            <w:r w:rsidRPr="00773333">
              <w:rPr>
                <w:sz w:val="18"/>
                <w:szCs w:val="18"/>
              </w:rPr>
              <w:t xml:space="preserve"> B</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58833846"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2,821</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3D12AAD9" w14:textId="77777777">
            <w:pPr>
              <w:widowControl/>
              <w:autoSpaceDE/>
              <w:autoSpaceDN/>
              <w:adjustRightInd/>
              <w:jc w:val="right"/>
              <w:rPr>
                <w:color w:val="000000"/>
                <w:sz w:val="18"/>
                <w:szCs w:val="18"/>
              </w:rPr>
            </w:pPr>
            <w:r w:rsidRPr="00773333">
              <w:rPr>
                <w:color w:val="000000"/>
                <w:sz w:val="18"/>
                <w:szCs w:val="18"/>
              </w:rPr>
              <w:t>527</w:t>
            </w:r>
          </w:p>
        </w:tc>
      </w:tr>
      <w:tr w:rsidRPr="00773333" w:rsidR="00773333" w:rsidTr="00773333" w14:paraId="3587AACA"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4826B380" w14:textId="77777777">
            <w:pPr>
              <w:widowControl/>
              <w:autoSpaceDE/>
              <w:autoSpaceDN/>
              <w:adjustRightInd/>
              <w:jc w:val="right"/>
              <w:rPr>
                <w:sz w:val="18"/>
                <w:szCs w:val="18"/>
              </w:rPr>
            </w:pPr>
            <w:r w:rsidRPr="00773333">
              <w:rPr>
                <w:sz w:val="18"/>
                <w:szCs w:val="18"/>
              </w:rPr>
              <w:t>22</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0FC113FD" w14:textId="77777777">
            <w:pPr>
              <w:widowControl/>
              <w:autoSpaceDE/>
              <w:autoSpaceDN/>
              <w:adjustRightInd/>
              <w:rPr>
                <w:sz w:val="18"/>
                <w:szCs w:val="18"/>
              </w:rPr>
            </w:pPr>
            <w:r w:rsidRPr="00773333">
              <w:rPr>
                <w:sz w:val="18"/>
                <w:szCs w:val="18"/>
              </w:rPr>
              <w:t>More than 500</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7D288641"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6B37868" w14:textId="77777777">
            <w:pPr>
              <w:widowControl/>
              <w:autoSpaceDE/>
              <w:autoSpaceDN/>
              <w:adjustRightInd/>
              <w:rPr>
                <w:sz w:val="18"/>
                <w:szCs w:val="18"/>
              </w:rPr>
            </w:pPr>
            <w:r w:rsidRPr="00773333">
              <w:rPr>
                <w:sz w:val="18"/>
                <w:szCs w:val="18"/>
              </w:rPr>
              <w:t>Form 1099-MISC</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7E1EECF1"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7,307</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0374DE7A" w14:textId="77777777">
            <w:pPr>
              <w:widowControl/>
              <w:autoSpaceDE/>
              <w:autoSpaceDN/>
              <w:adjustRightInd/>
              <w:jc w:val="right"/>
              <w:rPr>
                <w:color w:val="000000"/>
                <w:sz w:val="18"/>
                <w:szCs w:val="18"/>
              </w:rPr>
            </w:pPr>
            <w:r w:rsidRPr="00773333">
              <w:rPr>
                <w:color w:val="000000"/>
                <w:sz w:val="18"/>
                <w:szCs w:val="18"/>
              </w:rPr>
              <w:t>659</w:t>
            </w:r>
          </w:p>
        </w:tc>
      </w:tr>
      <w:tr w:rsidRPr="00773333" w:rsidR="00773333" w:rsidTr="00773333" w14:paraId="5A5775E9"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30AFD143" w14:textId="77777777">
            <w:pPr>
              <w:widowControl/>
              <w:autoSpaceDE/>
              <w:autoSpaceDN/>
              <w:adjustRightInd/>
              <w:jc w:val="right"/>
              <w:rPr>
                <w:sz w:val="18"/>
                <w:szCs w:val="18"/>
              </w:rPr>
            </w:pPr>
            <w:r w:rsidRPr="00773333">
              <w:rPr>
                <w:sz w:val="18"/>
                <w:szCs w:val="18"/>
              </w:rPr>
              <w:t>23</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3FBD4EC" w14:textId="77777777">
            <w:pPr>
              <w:widowControl/>
              <w:autoSpaceDE/>
              <w:autoSpaceDN/>
              <w:adjustRightInd/>
              <w:rPr>
                <w:sz w:val="18"/>
                <w:szCs w:val="18"/>
              </w:rPr>
            </w:pPr>
            <w:r w:rsidRPr="00773333">
              <w:rPr>
                <w:sz w:val="18"/>
                <w:szCs w:val="18"/>
              </w:rPr>
              <w:t>More than 500</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F245CEA" w14:textId="77777777">
            <w:pPr>
              <w:widowControl/>
              <w:autoSpaceDE/>
              <w:autoSpaceDN/>
              <w:adjustRightInd/>
              <w:rPr>
                <w:sz w:val="18"/>
                <w:szCs w:val="18"/>
              </w:rPr>
            </w:pPr>
            <w:r w:rsidRPr="00773333">
              <w:rPr>
                <w:sz w:val="18"/>
                <w:szCs w:val="18"/>
              </w:rPr>
              <w:t>Filed 1 Type</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410D6E86" w14:textId="77777777">
            <w:pPr>
              <w:widowControl/>
              <w:autoSpaceDE/>
              <w:autoSpaceDN/>
              <w:adjustRightInd/>
              <w:rPr>
                <w:sz w:val="18"/>
                <w:szCs w:val="18"/>
              </w:rPr>
            </w:pPr>
            <w:r w:rsidRPr="00773333">
              <w:rPr>
                <w:sz w:val="18"/>
                <w:szCs w:val="18"/>
              </w:rPr>
              <w:t>Not Form 1099-MISC</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3B55EBA3"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1,454</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6A3DA7B3" w14:textId="77777777">
            <w:pPr>
              <w:widowControl/>
              <w:autoSpaceDE/>
              <w:autoSpaceDN/>
              <w:adjustRightInd/>
              <w:jc w:val="right"/>
              <w:rPr>
                <w:color w:val="000000"/>
                <w:sz w:val="18"/>
                <w:szCs w:val="18"/>
              </w:rPr>
            </w:pPr>
            <w:r w:rsidRPr="00773333">
              <w:rPr>
                <w:color w:val="000000"/>
                <w:sz w:val="18"/>
                <w:szCs w:val="18"/>
              </w:rPr>
              <w:t>659</w:t>
            </w:r>
          </w:p>
        </w:tc>
      </w:tr>
      <w:tr w:rsidRPr="00773333" w:rsidR="00773333" w:rsidTr="00773333" w14:paraId="47C5C2C8"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68535D75" w14:textId="77777777">
            <w:pPr>
              <w:widowControl/>
              <w:autoSpaceDE/>
              <w:autoSpaceDN/>
              <w:adjustRightInd/>
              <w:jc w:val="right"/>
              <w:rPr>
                <w:sz w:val="18"/>
                <w:szCs w:val="18"/>
              </w:rPr>
            </w:pPr>
            <w:r w:rsidRPr="00773333">
              <w:rPr>
                <w:sz w:val="18"/>
                <w:szCs w:val="18"/>
              </w:rPr>
              <w:t>24</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1354E55" w14:textId="77777777">
            <w:pPr>
              <w:widowControl/>
              <w:autoSpaceDE/>
              <w:autoSpaceDN/>
              <w:adjustRightInd/>
              <w:rPr>
                <w:sz w:val="18"/>
                <w:szCs w:val="18"/>
              </w:rPr>
            </w:pPr>
            <w:r w:rsidRPr="00773333">
              <w:rPr>
                <w:sz w:val="18"/>
                <w:szCs w:val="18"/>
              </w:rPr>
              <w:t>More than 500</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550B043F"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22AEB7E9" w14:textId="77777777">
            <w:pPr>
              <w:widowControl/>
              <w:autoSpaceDE/>
              <w:autoSpaceDN/>
              <w:adjustRightInd/>
              <w:rPr>
                <w:sz w:val="18"/>
                <w:szCs w:val="18"/>
              </w:rPr>
            </w:pPr>
            <w:r w:rsidRPr="00773333">
              <w:rPr>
                <w:sz w:val="18"/>
                <w:szCs w:val="18"/>
              </w:rPr>
              <w:t>Form 1099-MISC</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3D22303"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9,768</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4F95FADD" w14:textId="77777777">
            <w:pPr>
              <w:widowControl/>
              <w:autoSpaceDE/>
              <w:autoSpaceDN/>
              <w:adjustRightInd/>
              <w:jc w:val="right"/>
              <w:rPr>
                <w:color w:val="000000"/>
                <w:sz w:val="18"/>
                <w:szCs w:val="18"/>
              </w:rPr>
            </w:pPr>
            <w:r w:rsidRPr="00773333">
              <w:rPr>
                <w:color w:val="000000"/>
                <w:sz w:val="18"/>
                <w:szCs w:val="18"/>
              </w:rPr>
              <w:t>1,318</w:t>
            </w:r>
          </w:p>
        </w:tc>
      </w:tr>
      <w:tr w:rsidRPr="00773333" w:rsidR="00773333" w:rsidTr="00773333" w14:paraId="41220FF9" w14:textId="77777777">
        <w:trPr>
          <w:trHeight w:val="290"/>
        </w:trPr>
        <w:tc>
          <w:tcPr>
            <w:tcW w:w="399" w:type="dxa"/>
            <w:tcBorders>
              <w:top w:val="nil"/>
              <w:left w:val="single" w:color="auto" w:sz="4" w:space="0"/>
              <w:bottom w:val="single" w:color="auto" w:sz="4" w:space="0"/>
              <w:right w:val="single" w:color="auto" w:sz="4" w:space="0"/>
            </w:tcBorders>
            <w:shd w:val="clear" w:color="auto" w:fill="auto"/>
            <w:noWrap/>
            <w:vAlign w:val="center"/>
            <w:hideMark/>
          </w:tcPr>
          <w:p w:rsidRPr="00773333" w:rsidR="00773333" w:rsidP="00773333" w:rsidRDefault="00773333" w14:paraId="08CE4BF9" w14:textId="77777777">
            <w:pPr>
              <w:widowControl/>
              <w:autoSpaceDE/>
              <w:autoSpaceDN/>
              <w:adjustRightInd/>
              <w:jc w:val="right"/>
              <w:rPr>
                <w:sz w:val="18"/>
                <w:szCs w:val="18"/>
              </w:rPr>
            </w:pPr>
            <w:r w:rsidRPr="00773333">
              <w:rPr>
                <w:sz w:val="18"/>
                <w:szCs w:val="18"/>
              </w:rPr>
              <w:t>25</w:t>
            </w:r>
          </w:p>
        </w:tc>
        <w:tc>
          <w:tcPr>
            <w:tcW w:w="1306"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6D4556B6" w14:textId="77777777">
            <w:pPr>
              <w:widowControl/>
              <w:autoSpaceDE/>
              <w:autoSpaceDN/>
              <w:adjustRightInd/>
              <w:rPr>
                <w:sz w:val="18"/>
                <w:szCs w:val="18"/>
              </w:rPr>
            </w:pPr>
            <w:r w:rsidRPr="00773333">
              <w:rPr>
                <w:sz w:val="18"/>
                <w:szCs w:val="18"/>
              </w:rPr>
              <w:t>More than 500</w:t>
            </w:r>
          </w:p>
        </w:tc>
        <w:tc>
          <w:tcPr>
            <w:tcW w:w="207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81C7A5B" w14:textId="77777777">
            <w:pPr>
              <w:widowControl/>
              <w:autoSpaceDE/>
              <w:autoSpaceDN/>
              <w:adjustRightInd/>
              <w:rPr>
                <w:sz w:val="18"/>
                <w:szCs w:val="18"/>
              </w:rPr>
            </w:pPr>
            <w:r w:rsidRPr="00773333">
              <w:rPr>
                <w:sz w:val="18"/>
                <w:szCs w:val="18"/>
              </w:rPr>
              <w:t>Filed 2 or More Types</w:t>
            </w:r>
          </w:p>
        </w:tc>
        <w:tc>
          <w:tcPr>
            <w:tcW w:w="3420" w:type="dxa"/>
            <w:tcBorders>
              <w:top w:val="nil"/>
              <w:left w:val="nil"/>
              <w:bottom w:val="single" w:color="auto" w:sz="4" w:space="0"/>
              <w:right w:val="single" w:color="auto" w:sz="4" w:space="0"/>
            </w:tcBorders>
            <w:shd w:val="clear" w:color="auto" w:fill="auto"/>
            <w:noWrap/>
            <w:vAlign w:val="center"/>
            <w:hideMark/>
          </w:tcPr>
          <w:p w:rsidRPr="00773333" w:rsidR="00773333" w:rsidP="00773333" w:rsidRDefault="00773333" w14:paraId="178EC0D0" w14:textId="77777777">
            <w:pPr>
              <w:widowControl/>
              <w:autoSpaceDE/>
              <w:autoSpaceDN/>
              <w:adjustRightInd/>
              <w:rPr>
                <w:sz w:val="18"/>
                <w:szCs w:val="18"/>
              </w:rPr>
            </w:pPr>
            <w:r w:rsidRPr="00773333">
              <w:rPr>
                <w:sz w:val="18"/>
                <w:szCs w:val="18"/>
              </w:rPr>
              <w:t>Not Form 1099-MISC</w:t>
            </w:r>
          </w:p>
        </w:tc>
        <w:tc>
          <w:tcPr>
            <w:tcW w:w="946"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5A87B78A" w14:textId="77777777">
            <w:pPr>
              <w:widowControl/>
              <w:autoSpaceDE/>
              <w:autoSpaceDN/>
              <w:adjustRightInd/>
              <w:jc w:val="right"/>
              <w:rPr>
                <w:rFonts w:ascii="Calibri" w:hAnsi="Calibri"/>
                <w:color w:val="000000"/>
                <w:sz w:val="18"/>
                <w:szCs w:val="18"/>
              </w:rPr>
            </w:pPr>
            <w:r w:rsidRPr="00773333">
              <w:rPr>
                <w:rFonts w:ascii="Calibri" w:hAnsi="Calibri"/>
                <w:color w:val="000000"/>
                <w:sz w:val="18"/>
                <w:szCs w:val="18"/>
              </w:rPr>
              <w:t>2,464</w:t>
            </w:r>
          </w:p>
        </w:tc>
        <w:tc>
          <w:tcPr>
            <w:tcW w:w="977" w:type="dxa"/>
            <w:tcBorders>
              <w:top w:val="nil"/>
              <w:left w:val="nil"/>
              <w:bottom w:val="single" w:color="auto" w:sz="4" w:space="0"/>
              <w:right w:val="single" w:color="auto" w:sz="4" w:space="0"/>
            </w:tcBorders>
            <w:shd w:val="clear" w:color="auto" w:fill="auto"/>
            <w:noWrap/>
            <w:vAlign w:val="bottom"/>
            <w:hideMark/>
          </w:tcPr>
          <w:p w:rsidRPr="00773333" w:rsidR="00773333" w:rsidP="00773333" w:rsidRDefault="00773333" w14:paraId="23990A04" w14:textId="77777777">
            <w:pPr>
              <w:widowControl/>
              <w:autoSpaceDE/>
              <w:autoSpaceDN/>
              <w:adjustRightInd/>
              <w:jc w:val="right"/>
              <w:rPr>
                <w:color w:val="000000"/>
                <w:sz w:val="18"/>
                <w:szCs w:val="18"/>
              </w:rPr>
            </w:pPr>
            <w:r w:rsidRPr="00773333">
              <w:rPr>
                <w:color w:val="000000"/>
                <w:sz w:val="18"/>
                <w:szCs w:val="18"/>
              </w:rPr>
              <w:t>658</w:t>
            </w:r>
          </w:p>
        </w:tc>
      </w:tr>
      <w:tr w:rsidRPr="00773333" w:rsidR="00773333" w:rsidTr="00773333" w14:paraId="0D751C05" w14:textId="77777777">
        <w:trPr>
          <w:trHeight w:val="290"/>
        </w:trPr>
        <w:tc>
          <w:tcPr>
            <w:tcW w:w="399" w:type="dxa"/>
            <w:tcBorders>
              <w:top w:val="nil"/>
              <w:left w:val="nil"/>
              <w:bottom w:val="nil"/>
              <w:right w:val="nil"/>
            </w:tcBorders>
            <w:shd w:val="clear" w:color="auto" w:fill="auto"/>
            <w:noWrap/>
            <w:vAlign w:val="bottom"/>
            <w:hideMark/>
          </w:tcPr>
          <w:p w:rsidRPr="00773333" w:rsidR="00773333" w:rsidP="00773333" w:rsidRDefault="00773333" w14:paraId="52CB9919" w14:textId="77777777">
            <w:pPr>
              <w:widowControl/>
              <w:autoSpaceDE/>
              <w:autoSpaceDN/>
              <w:adjustRightInd/>
              <w:jc w:val="right"/>
              <w:rPr>
                <w:color w:val="000000"/>
                <w:sz w:val="18"/>
                <w:szCs w:val="18"/>
              </w:rPr>
            </w:pPr>
          </w:p>
        </w:tc>
        <w:tc>
          <w:tcPr>
            <w:tcW w:w="1306" w:type="dxa"/>
            <w:tcBorders>
              <w:top w:val="nil"/>
              <w:left w:val="nil"/>
              <w:bottom w:val="nil"/>
              <w:right w:val="nil"/>
            </w:tcBorders>
            <w:shd w:val="clear" w:color="auto" w:fill="auto"/>
            <w:noWrap/>
            <w:vAlign w:val="bottom"/>
            <w:hideMark/>
          </w:tcPr>
          <w:p w:rsidRPr="00773333" w:rsidR="00773333" w:rsidP="00773333" w:rsidRDefault="00773333" w14:paraId="67BD4585" w14:textId="77777777">
            <w:pPr>
              <w:widowControl/>
              <w:autoSpaceDE/>
              <w:autoSpaceDN/>
              <w:adjustRightInd/>
              <w:rPr>
                <w:sz w:val="20"/>
                <w:szCs w:val="20"/>
              </w:rPr>
            </w:pPr>
          </w:p>
        </w:tc>
        <w:tc>
          <w:tcPr>
            <w:tcW w:w="2070" w:type="dxa"/>
            <w:tcBorders>
              <w:top w:val="nil"/>
              <w:left w:val="nil"/>
              <w:bottom w:val="nil"/>
              <w:right w:val="nil"/>
            </w:tcBorders>
            <w:shd w:val="clear" w:color="auto" w:fill="auto"/>
            <w:noWrap/>
            <w:vAlign w:val="bottom"/>
            <w:hideMark/>
          </w:tcPr>
          <w:p w:rsidRPr="00773333" w:rsidR="00773333" w:rsidP="00773333" w:rsidRDefault="00773333" w14:paraId="6320FFAB" w14:textId="77777777">
            <w:pPr>
              <w:widowControl/>
              <w:autoSpaceDE/>
              <w:autoSpaceDN/>
              <w:adjustRightInd/>
              <w:rPr>
                <w:sz w:val="20"/>
                <w:szCs w:val="20"/>
              </w:rPr>
            </w:pPr>
          </w:p>
        </w:tc>
        <w:tc>
          <w:tcPr>
            <w:tcW w:w="3420" w:type="dxa"/>
            <w:tcBorders>
              <w:top w:val="nil"/>
              <w:left w:val="nil"/>
              <w:bottom w:val="nil"/>
              <w:right w:val="nil"/>
            </w:tcBorders>
            <w:shd w:val="clear" w:color="auto" w:fill="auto"/>
            <w:noWrap/>
            <w:vAlign w:val="bottom"/>
            <w:hideMark/>
          </w:tcPr>
          <w:p w:rsidRPr="00773333" w:rsidR="00773333" w:rsidP="00773333" w:rsidRDefault="00773333" w14:paraId="03FD22BC" w14:textId="77777777">
            <w:pPr>
              <w:widowControl/>
              <w:autoSpaceDE/>
              <w:autoSpaceDN/>
              <w:adjustRightInd/>
              <w:rPr>
                <w:sz w:val="20"/>
                <w:szCs w:val="20"/>
              </w:rPr>
            </w:pPr>
          </w:p>
        </w:tc>
        <w:tc>
          <w:tcPr>
            <w:tcW w:w="946" w:type="dxa"/>
            <w:tcBorders>
              <w:top w:val="nil"/>
              <w:left w:val="nil"/>
              <w:bottom w:val="nil"/>
              <w:right w:val="single" w:color="auto" w:sz="4" w:space="0"/>
            </w:tcBorders>
            <w:shd w:val="clear" w:color="auto" w:fill="auto"/>
            <w:noWrap/>
            <w:vAlign w:val="bottom"/>
            <w:hideMark/>
          </w:tcPr>
          <w:p w:rsidRPr="00773333" w:rsidR="00773333" w:rsidP="00773333" w:rsidRDefault="00773333" w14:paraId="212A3115" w14:textId="77777777">
            <w:pPr>
              <w:widowControl/>
              <w:autoSpaceDE/>
              <w:autoSpaceDN/>
              <w:adjustRightInd/>
              <w:rPr>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3333" w:rsidR="00773333" w:rsidP="00773333" w:rsidRDefault="00773333" w14:paraId="6AA9C19A" w14:textId="77777777">
            <w:pPr>
              <w:widowControl/>
              <w:autoSpaceDE/>
              <w:autoSpaceDN/>
              <w:adjustRightInd/>
              <w:jc w:val="right"/>
              <w:rPr>
                <w:sz w:val="18"/>
                <w:szCs w:val="18"/>
              </w:rPr>
            </w:pPr>
            <w:r w:rsidRPr="00773333">
              <w:rPr>
                <w:sz w:val="18"/>
                <w:szCs w:val="18"/>
              </w:rPr>
              <w:t>20,000</w:t>
            </w:r>
          </w:p>
        </w:tc>
      </w:tr>
    </w:tbl>
    <w:p w:rsidR="00466BA6" w:rsidP="005329CE" w:rsidRDefault="00466BA6" w14:paraId="60C0B4F2" w14:textId="77777777">
      <w:pPr>
        <w:pStyle w:val="ListParagraph"/>
        <w:widowControl w:val="0"/>
        <w:autoSpaceDE w:val="0"/>
        <w:autoSpaceDN w:val="0"/>
        <w:adjustRightInd w:val="0"/>
        <w:ind w:left="0"/>
        <w:rPr>
          <w:b/>
          <w:bCs/>
          <w:sz w:val="18"/>
          <w:szCs w:val="18"/>
        </w:rPr>
      </w:pPr>
    </w:p>
    <w:p w:rsidR="009A27D5" w:rsidP="009A27D5" w:rsidRDefault="009A27D5" w14:paraId="5BEA8C8B" w14:textId="77777777">
      <w:pPr>
        <w:pStyle w:val="ListParagraph"/>
        <w:widowControl w:val="0"/>
        <w:autoSpaceDE w:val="0"/>
        <w:autoSpaceDN w:val="0"/>
        <w:adjustRightInd w:val="0"/>
        <w:ind w:left="0"/>
        <w:rPr>
          <w:b/>
          <w:bCs/>
          <w:sz w:val="18"/>
          <w:szCs w:val="18"/>
        </w:rPr>
      </w:pPr>
    </w:p>
    <w:p w:rsidRPr="00E2594C" w:rsidR="009A27D5" w:rsidP="009A27D5" w:rsidRDefault="009A27D5" w14:paraId="501E8829" w14:textId="77777777">
      <w:pPr>
        <w:pStyle w:val="ListParagraph"/>
        <w:widowControl w:val="0"/>
        <w:autoSpaceDE w:val="0"/>
        <w:autoSpaceDN w:val="0"/>
        <w:adjustRightInd w:val="0"/>
        <w:ind w:left="0"/>
        <w:rPr>
          <w:b/>
          <w:bCs/>
          <w:sz w:val="18"/>
          <w:szCs w:val="18"/>
        </w:rPr>
      </w:pPr>
      <w:r>
        <w:rPr>
          <w:b/>
          <w:bCs/>
          <w:sz w:val="18"/>
          <w:szCs w:val="18"/>
        </w:rPr>
        <w:t xml:space="preserve">Table </w:t>
      </w:r>
      <w:r w:rsidR="00EB1EF9">
        <w:rPr>
          <w:b/>
          <w:bCs/>
          <w:sz w:val="18"/>
          <w:szCs w:val="18"/>
        </w:rPr>
        <w:t>5</w:t>
      </w:r>
      <w:r>
        <w:rPr>
          <w:b/>
          <w:bCs/>
          <w:sz w:val="18"/>
          <w:szCs w:val="18"/>
        </w:rPr>
        <w:t xml:space="preserve"> – 2020</w:t>
      </w:r>
      <w:r w:rsidRPr="00E2594C">
        <w:rPr>
          <w:b/>
          <w:bCs/>
          <w:sz w:val="18"/>
          <w:szCs w:val="18"/>
        </w:rPr>
        <w:t xml:space="preserve"> Trust and Estate Income Tax Return</w:t>
      </w:r>
    </w:p>
    <w:tbl>
      <w:tblPr>
        <w:tblW w:w="7825" w:type="dxa"/>
        <w:tblInd w:w="113" w:type="dxa"/>
        <w:tblLook w:val="04A0" w:firstRow="1" w:lastRow="0" w:firstColumn="1" w:lastColumn="0" w:noHBand="0" w:noVBand="1"/>
      </w:tblPr>
      <w:tblGrid>
        <w:gridCol w:w="4591"/>
        <w:gridCol w:w="1129"/>
        <w:gridCol w:w="1115"/>
        <w:gridCol w:w="990"/>
      </w:tblGrid>
      <w:tr w:rsidRPr="00E2594C" w:rsidR="009A27D5" w:rsidTr="009A27D5" w14:paraId="18737336" w14:textId="77777777">
        <w:tc>
          <w:tcPr>
            <w:tcW w:w="57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2594C" w:rsidR="009A27D5" w:rsidP="009A27D5" w:rsidRDefault="009A27D5" w14:paraId="3E5A7AAA" w14:textId="77777777">
            <w:pPr>
              <w:widowControl/>
              <w:autoSpaceDE/>
              <w:autoSpaceDN/>
              <w:adjustRightInd/>
              <w:jc w:val="center"/>
              <w:rPr>
                <w:color w:val="000000"/>
                <w:sz w:val="18"/>
                <w:szCs w:val="18"/>
              </w:rPr>
            </w:pPr>
            <w:r w:rsidRPr="00E2594C">
              <w:rPr>
                <w:color w:val="000000"/>
                <w:sz w:val="18"/>
                <w:szCs w:val="18"/>
              </w:rPr>
              <w:t>Strata</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2594C" w:rsidR="009A27D5" w:rsidP="009A27D5" w:rsidRDefault="009A27D5" w14:paraId="3020A992" w14:textId="77777777">
            <w:pPr>
              <w:widowControl/>
              <w:autoSpaceDE/>
              <w:autoSpaceDN/>
              <w:adjustRightInd/>
              <w:jc w:val="center"/>
              <w:rPr>
                <w:sz w:val="18"/>
                <w:szCs w:val="18"/>
              </w:rPr>
            </w:pPr>
            <w:r w:rsidRPr="00E2594C">
              <w:rPr>
                <w:sz w:val="18"/>
                <w:szCs w:val="18"/>
              </w:rPr>
              <w:t>Population Count</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2594C" w:rsidR="009A27D5" w:rsidP="009A27D5" w:rsidRDefault="009A27D5" w14:paraId="70160966" w14:textId="77777777">
            <w:pPr>
              <w:widowControl/>
              <w:autoSpaceDE/>
              <w:autoSpaceDN/>
              <w:adjustRightInd/>
              <w:jc w:val="center"/>
              <w:rPr>
                <w:sz w:val="18"/>
                <w:szCs w:val="18"/>
              </w:rPr>
            </w:pPr>
            <w:r w:rsidRPr="00E2594C">
              <w:rPr>
                <w:sz w:val="18"/>
                <w:szCs w:val="18"/>
              </w:rPr>
              <w:t>Sample Allocation</w:t>
            </w:r>
          </w:p>
        </w:tc>
      </w:tr>
      <w:tr w:rsidRPr="00E2594C" w:rsidR="009A27D5" w:rsidTr="009A27D5" w14:paraId="44B8759E" w14:textId="77777777">
        <w:tc>
          <w:tcPr>
            <w:tcW w:w="4591" w:type="dxa"/>
            <w:tcBorders>
              <w:top w:val="nil"/>
              <w:left w:val="single" w:color="auto" w:sz="4" w:space="0"/>
              <w:bottom w:val="single" w:color="auto" w:sz="4" w:space="0"/>
              <w:right w:val="single" w:color="auto" w:sz="4" w:space="0"/>
            </w:tcBorders>
            <w:shd w:val="clear" w:color="auto" w:fill="auto"/>
            <w:noWrap/>
            <w:vAlign w:val="bottom"/>
            <w:hideMark/>
          </w:tcPr>
          <w:p w:rsidRPr="00E2594C" w:rsidR="009A27D5" w:rsidP="009A27D5" w:rsidRDefault="009A27D5" w14:paraId="20179A7D" w14:textId="77777777">
            <w:pPr>
              <w:widowControl/>
              <w:autoSpaceDE/>
              <w:autoSpaceDN/>
              <w:adjustRightInd/>
              <w:rPr>
                <w:color w:val="000000"/>
                <w:sz w:val="18"/>
                <w:szCs w:val="18"/>
              </w:rPr>
            </w:pPr>
            <w:r w:rsidRPr="00E2594C">
              <w:rPr>
                <w:color w:val="000000"/>
                <w:sz w:val="18"/>
                <w:szCs w:val="18"/>
              </w:rPr>
              <w:t>Form 1041 Type</w:t>
            </w:r>
          </w:p>
        </w:tc>
        <w:tc>
          <w:tcPr>
            <w:tcW w:w="1129" w:type="dxa"/>
            <w:tcBorders>
              <w:top w:val="nil"/>
              <w:left w:val="nil"/>
              <w:bottom w:val="single" w:color="auto" w:sz="4" w:space="0"/>
              <w:right w:val="single" w:color="auto" w:sz="4" w:space="0"/>
            </w:tcBorders>
            <w:shd w:val="clear" w:color="auto" w:fill="auto"/>
            <w:noWrap/>
            <w:vAlign w:val="bottom"/>
            <w:hideMark/>
          </w:tcPr>
          <w:p w:rsidRPr="00E2594C" w:rsidR="009A27D5" w:rsidP="009A27D5" w:rsidRDefault="009A27D5" w14:paraId="448E65E8" w14:textId="77777777">
            <w:pPr>
              <w:widowControl/>
              <w:autoSpaceDE/>
              <w:autoSpaceDN/>
              <w:adjustRightInd/>
              <w:rPr>
                <w:color w:val="000000"/>
                <w:sz w:val="18"/>
                <w:szCs w:val="18"/>
              </w:rPr>
            </w:pPr>
            <w:r w:rsidRPr="00E2594C">
              <w:rPr>
                <w:color w:val="000000"/>
                <w:sz w:val="18"/>
                <w:szCs w:val="18"/>
              </w:rPr>
              <w:t>Complexity</w:t>
            </w:r>
          </w:p>
        </w:tc>
        <w:tc>
          <w:tcPr>
            <w:tcW w:w="1115" w:type="dxa"/>
            <w:vMerge/>
            <w:tcBorders>
              <w:top w:val="single" w:color="auto" w:sz="4" w:space="0"/>
              <w:left w:val="single" w:color="auto" w:sz="4" w:space="0"/>
              <w:bottom w:val="single" w:color="auto" w:sz="4" w:space="0"/>
              <w:right w:val="single" w:color="auto" w:sz="4" w:space="0"/>
            </w:tcBorders>
            <w:vAlign w:val="center"/>
            <w:hideMark/>
          </w:tcPr>
          <w:p w:rsidRPr="00E2594C" w:rsidR="009A27D5" w:rsidP="009A27D5" w:rsidRDefault="009A27D5" w14:paraId="25E84D79" w14:textId="77777777">
            <w:pPr>
              <w:widowControl/>
              <w:autoSpaceDE/>
              <w:autoSpaceDN/>
              <w:adjustRightInd/>
              <w:rPr>
                <w:sz w:val="18"/>
                <w:szCs w:val="18"/>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E2594C" w:rsidR="009A27D5" w:rsidP="009A27D5" w:rsidRDefault="009A27D5" w14:paraId="5BF0ECC7" w14:textId="77777777">
            <w:pPr>
              <w:widowControl/>
              <w:autoSpaceDE/>
              <w:autoSpaceDN/>
              <w:adjustRightInd/>
              <w:rPr>
                <w:sz w:val="18"/>
                <w:szCs w:val="18"/>
              </w:rPr>
            </w:pPr>
          </w:p>
        </w:tc>
      </w:tr>
      <w:tr w:rsidRPr="00E2594C" w:rsidR="009A27D5" w:rsidTr="009A27D5" w14:paraId="27D6C988" w14:textId="77777777">
        <w:tc>
          <w:tcPr>
            <w:tcW w:w="4591"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73851ABE" w14:textId="77777777">
            <w:pPr>
              <w:widowControl/>
              <w:autoSpaceDE/>
              <w:autoSpaceDN/>
              <w:adjustRightInd/>
              <w:rPr>
                <w:color w:val="000000"/>
                <w:sz w:val="18"/>
                <w:szCs w:val="18"/>
              </w:rPr>
            </w:pPr>
            <w:r w:rsidRPr="00E2594C">
              <w:rPr>
                <w:color w:val="000000"/>
                <w:sz w:val="18"/>
                <w:szCs w:val="18"/>
              </w:rPr>
              <w:t>Complex trust or Generation-Skipping Trust</w:t>
            </w: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545FDDE3" w14:textId="77777777">
            <w:pPr>
              <w:widowControl/>
              <w:autoSpaceDE/>
              <w:autoSpaceDN/>
              <w:adjustRightInd/>
              <w:jc w:val="center"/>
              <w:rPr>
                <w:color w:val="000000"/>
                <w:sz w:val="18"/>
                <w:szCs w:val="18"/>
              </w:rPr>
            </w:pPr>
            <w:r w:rsidRPr="00E2594C">
              <w:rPr>
                <w:color w:val="000000"/>
                <w:sz w:val="18"/>
                <w:szCs w:val="18"/>
              </w:rPr>
              <w:t>Low</w:t>
            </w:r>
          </w:p>
        </w:tc>
        <w:tc>
          <w:tcPr>
            <w:tcW w:w="111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7CD038D5" w14:textId="77777777">
            <w:pPr>
              <w:widowControl/>
              <w:autoSpaceDE/>
              <w:autoSpaceDN/>
              <w:adjustRightInd/>
              <w:jc w:val="right"/>
              <w:rPr>
                <w:color w:val="000000"/>
                <w:sz w:val="18"/>
                <w:szCs w:val="18"/>
              </w:rPr>
            </w:pPr>
            <w:r w:rsidRPr="00E2594C">
              <w:rPr>
                <w:color w:val="000000"/>
                <w:sz w:val="18"/>
                <w:szCs w:val="18"/>
              </w:rPr>
              <w:t>1,750,000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5B214EBF" w14:textId="77777777">
            <w:pPr>
              <w:widowControl/>
              <w:autoSpaceDE/>
              <w:autoSpaceDN/>
              <w:adjustRightInd/>
              <w:jc w:val="right"/>
              <w:rPr>
                <w:color w:val="000000"/>
                <w:sz w:val="18"/>
                <w:szCs w:val="18"/>
              </w:rPr>
            </w:pPr>
            <w:r>
              <w:rPr>
                <w:color w:val="000000"/>
                <w:sz w:val="18"/>
                <w:szCs w:val="18"/>
              </w:rPr>
              <w:t>4,502</w:t>
            </w:r>
          </w:p>
        </w:tc>
      </w:tr>
      <w:tr w:rsidRPr="00E2594C" w:rsidR="009A27D5" w:rsidTr="009A27D5" w14:paraId="02BEF2B5" w14:textId="77777777">
        <w:tc>
          <w:tcPr>
            <w:tcW w:w="4591"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75FE3F91" w14:textId="77777777">
            <w:pPr>
              <w:widowControl/>
              <w:autoSpaceDE/>
              <w:autoSpaceDN/>
              <w:adjustRightInd/>
              <w:rPr>
                <w:color w:val="000000"/>
                <w:sz w:val="18"/>
                <w:szCs w:val="18"/>
              </w:rPr>
            </w:pP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35D9A3B9" w14:textId="77777777">
            <w:pPr>
              <w:widowControl/>
              <w:autoSpaceDE/>
              <w:autoSpaceDN/>
              <w:adjustRightInd/>
              <w:jc w:val="center"/>
              <w:rPr>
                <w:color w:val="000000"/>
                <w:sz w:val="18"/>
                <w:szCs w:val="18"/>
              </w:rPr>
            </w:pPr>
            <w:r w:rsidRPr="00E2594C">
              <w:rPr>
                <w:color w:val="000000"/>
                <w:sz w:val="18"/>
                <w:szCs w:val="18"/>
              </w:rPr>
              <w:t>High</w:t>
            </w:r>
          </w:p>
        </w:tc>
        <w:tc>
          <w:tcPr>
            <w:tcW w:w="1115"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796AC865" w14:textId="77777777">
            <w:pPr>
              <w:widowControl/>
              <w:autoSpaceDE/>
              <w:autoSpaceDN/>
              <w:adjustRightInd/>
              <w:rPr>
                <w:color w:val="000000"/>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1096C2E1" w14:textId="77777777">
            <w:pPr>
              <w:jc w:val="right"/>
              <w:rPr>
                <w:color w:val="000000"/>
                <w:sz w:val="18"/>
                <w:szCs w:val="18"/>
              </w:rPr>
            </w:pPr>
            <w:r>
              <w:rPr>
                <w:color w:val="000000"/>
                <w:sz w:val="18"/>
                <w:szCs w:val="18"/>
              </w:rPr>
              <w:t>3,001</w:t>
            </w:r>
          </w:p>
        </w:tc>
      </w:tr>
      <w:tr w:rsidRPr="00E2594C" w:rsidR="009A27D5" w:rsidTr="009A27D5" w14:paraId="01249485" w14:textId="77777777">
        <w:tc>
          <w:tcPr>
            <w:tcW w:w="4591"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7271A95F" w14:textId="77777777">
            <w:pPr>
              <w:widowControl/>
              <w:autoSpaceDE/>
              <w:autoSpaceDN/>
              <w:adjustRightInd/>
              <w:rPr>
                <w:color w:val="000000"/>
                <w:sz w:val="18"/>
                <w:szCs w:val="18"/>
              </w:rPr>
            </w:pPr>
            <w:r w:rsidRPr="00E2594C">
              <w:rPr>
                <w:color w:val="000000"/>
                <w:sz w:val="18"/>
                <w:szCs w:val="18"/>
              </w:rPr>
              <w:t>Simple Trust or Taxable Grantor Type Trust</w:t>
            </w: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0D7B9462" w14:textId="77777777">
            <w:pPr>
              <w:widowControl/>
              <w:autoSpaceDE/>
              <w:autoSpaceDN/>
              <w:adjustRightInd/>
              <w:jc w:val="center"/>
              <w:rPr>
                <w:color w:val="000000"/>
                <w:sz w:val="18"/>
                <w:szCs w:val="18"/>
              </w:rPr>
            </w:pPr>
            <w:r w:rsidRPr="00E2594C">
              <w:rPr>
                <w:color w:val="000000"/>
                <w:sz w:val="18"/>
                <w:szCs w:val="18"/>
              </w:rPr>
              <w:t>Low</w:t>
            </w:r>
          </w:p>
        </w:tc>
        <w:tc>
          <w:tcPr>
            <w:tcW w:w="111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58F8292D" w14:textId="77777777">
            <w:pPr>
              <w:widowControl/>
              <w:autoSpaceDE/>
              <w:autoSpaceDN/>
              <w:adjustRightInd/>
              <w:jc w:val="right"/>
              <w:rPr>
                <w:color w:val="000000"/>
                <w:sz w:val="18"/>
                <w:szCs w:val="18"/>
              </w:rPr>
            </w:pPr>
            <w:r w:rsidRPr="00E2594C">
              <w:rPr>
                <w:color w:val="000000"/>
                <w:sz w:val="18"/>
                <w:szCs w:val="18"/>
              </w:rPr>
              <w:t>750,000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43507851" w14:textId="77777777">
            <w:pPr>
              <w:jc w:val="right"/>
              <w:rPr>
                <w:color w:val="000000"/>
                <w:sz w:val="18"/>
                <w:szCs w:val="18"/>
              </w:rPr>
            </w:pPr>
            <w:r>
              <w:rPr>
                <w:color w:val="000000"/>
                <w:sz w:val="18"/>
                <w:szCs w:val="18"/>
              </w:rPr>
              <w:t>2,487</w:t>
            </w:r>
          </w:p>
        </w:tc>
      </w:tr>
      <w:tr w:rsidRPr="00E2594C" w:rsidR="009A27D5" w:rsidTr="009A27D5" w14:paraId="72B394F2" w14:textId="77777777">
        <w:tc>
          <w:tcPr>
            <w:tcW w:w="4591"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736264AA" w14:textId="77777777">
            <w:pPr>
              <w:widowControl/>
              <w:autoSpaceDE/>
              <w:autoSpaceDN/>
              <w:adjustRightInd/>
              <w:rPr>
                <w:color w:val="000000"/>
                <w:sz w:val="18"/>
                <w:szCs w:val="18"/>
              </w:rPr>
            </w:pP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20BCD05C" w14:textId="77777777">
            <w:pPr>
              <w:widowControl/>
              <w:autoSpaceDE/>
              <w:autoSpaceDN/>
              <w:adjustRightInd/>
              <w:jc w:val="center"/>
              <w:rPr>
                <w:color w:val="000000"/>
                <w:sz w:val="18"/>
                <w:szCs w:val="18"/>
              </w:rPr>
            </w:pPr>
            <w:r w:rsidRPr="00E2594C">
              <w:rPr>
                <w:color w:val="000000"/>
                <w:sz w:val="18"/>
                <w:szCs w:val="18"/>
              </w:rPr>
              <w:t>High</w:t>
            </w:r>
          </w:p>
        </w:tc>
        <w:tc>
          <w:tcPr>
            <w:tcW w:w="1115"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06922F85" w14:textId="77777777">
            <w:pPr>
              <w:widowControl/>
              <w:autoSpaceDE/>
              <w:autoSpaceDN/>
              <w:adjustRightInd/>
              <w:rPr>
                <w:color w:val="000000"/>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3135A97B" w14:textId="77777777">
            <w:pPr>
              <w:jc w:val="right"/>
              <w:rPr>
                <w:color w:val="000000"/>
                <w:sz w:val="18"/>
                <w:szCs w:val="18"/>
              </w:rPr>
            </w:pPr>
            <w:r>
              <w:rPr>
                <w:color w:val="000000"/>
                <w:sz w:val="18"/>
                <w:szCs w:val="18"/>
              </w:rPr>
              <w:t>1,658</w:t>
            </w:r>
          </w:p>
        </w:tc>
      </w:tr>
      <w:tr w:rsidRPr="00E2594C" w:rsidR="009A27D5" w:rsidTr="009A27D5" w14:paraId="2A0F530B" w14:textId="77777777">
        <w:tc>
          <w:tcPr>
            <w:tcW w:w="4591"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6E65E9C5" w14:textId="77777777">
            <w:pPr>
              <w:widowControl/>
              <w:autoSpaceDE/>
              <w:autoSpaceDN/>
              <w:adjustRightInd/>
              <w:rPr>
                <w:color w:val="000000"/>
                <w:sz w:val="18"/>
                <w:szCs w:val="18"/>
              </w:rPr>
            </w:pPr>
            <w:r w:rsidRPr="00E2594C">
              <w:rPr>
                <w:color w:val="000000"/>
                <w:sz w:val="18"/>
                <w:szCs w:val="18"/>
              </w:rPr>
              <w:t>Non-taxable Grantor Type Trust</w:t>
            </w: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56C60D19" w14:textId="77777777">
            <w:pPr>
              <w:widowControl/>
              <w:autoSpaceDE/>
              <w:autoSpaceDN/>
              <w:adjustRightInd/>
              <w:jc w:val="center"/>
              <w:rPr>
                <w:color w:val="000000"/>
                <w:sz w:val="18"/>
                <w:szCs w:val="18"/>
              </w:rPr>
            </w:pPr>
            <w:r w:rsidRPr="00E2594C">
              <w:rPr>
                <w:color w:val="000000"/>
                <w:sz w:val="18"/>
                <w:szCs w:val="18"/>
              </w:rPr>
              <w:t>Low</w:t>
            </w:r>
          </w:p>
        </w:tc>
        <w:tc>
          <w:tcPr>
            <w:tcW w:w="111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06F14C88" w14:textId="77777777">
            <w:pPr>
              <w:widowControl/>
              <w:autoSpaceDE/>
              <w:autoSpaceDN/>
              <w:adjustRightInd/>
              <w:jc w:val="right"/>
              <w:rPr>
                <w:color w:val="000000"/>
                <w:sz w:val="18"/>
                <w:szCs w:val="18"/>
              </w:rPr>
            </w:pPr>
            <w:r w:rsidRPr="00E2594C">
              <w:rPr>
                <w:color w:val="000000"/>
                <w:sz w:val="18"/>
                <w:szCs w:val="18"/>
              </w:rPr>
              <w:t>500,000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7211A5B7" w14:textId="77777777">
            <w:pPr>
              <w:jc w:val="right"/>
              <w:rPr>
                <w:color w:val="000000"/>
                <w:sz w:val="18"/>
                <w:szCs w:val="18"/>
              </w:rPr>
            </w:pPr>
            <w:r>
              <w:rPr>
                <w:color w:val="000000"/>
                <w:sz w:val="18"/>
                <w:szCs w:val="18"/>
              </w:rPr>
              <w:t>2,055</w:t>
            </w:r>
          </w:p>
        </w:tc>
      </w:tr>
      <w:tr w:rsidRPr="00E2594C" w:rsidR="009A27D5" w:rsidTr="009A27D5" w14:paraId="103BEEAD" w14:textId="77777777">
        <w:tc>
          <w:tcPr>
            <w:tcW w:w="4591"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28F1A6B0" w14:textId="77777777">
            <w:pPr>
              <w:widowControl/>
              <w:autoSpaceDE/>
              <w:autoSpaceDN/>
              <w:adjustRightInd/>
              <w:rPr>
                <w:color w:val="000000"/>
                <w:sz w:val="18"/>
                <w:szCs w:val="18"/>
              </w:rPr>
            </w:pP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599471AC" w14:textId="77777777">
            <w:pPr>
              <w:widowControl/>
              <w:autoSpaceDE/>
              <w:autoSpaceDN/>
              <w:adjustRightInd/>
              <w:jc w:val="center"/>
              <w:rPr>
                <w:color w:val="000000"/>
                <w:sz w:val="18"/>
                <w:szCs w:val="18"/>
              </w:rPr>
            </w:pPr>
            <w:r w:rsidRPr="00E2594C">
              <w:rPr>
                <w:color w:val="000000"/>
                <w:sz w:val="18"/>
                <w:szCs w:val="18"/>
              </w:rPr>
              <w:t>High</w:t>
            </w:r>
          </w:p>
        </w:tc>
        <w:tc>
          <w:tcPr>
            <w:tcW w:w="1115"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2ED9B51E" w14:textId="77777777">
            <w:pPr>
              <w:widowControl/>
              <w:autoSpaceDE/>
              <w:autoSpaceDN/>
              <w:adjustRightInd/>
              <w:rPr>
                <w:color w:val="000000"/>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71060D5F" w14:textId="77777777">
            <w:pPr>
              <w:jc w:val="right"/>
              <w:rPr>
                <w:color w:val="000000"/>
                <w:sz w:val="18"/>
                <w:szCs w:val="18"/>
              </w:rPr>
            </w:pPr>
            <w:r>
              <w:rPr>
                <w:color w:val="000000"/>
                <w:sz w:val="18"/>
                <w:szCs w:val="18"/>
              </w:rPr>
              <w:t>1,370</w:t>
            </w:r>
          </w:p>
        </w:tc>
      </w:tr>
      <w:tr w:rsidRPr="00E2594C" w:rsidR="009A27D5" w:rsidTr="009A27D5" w14:paraId="57C71996" w14:textId="77777777">
        <w:tc>
          <w:tcPr>
            <w:tcW w:w="4591"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66400B62" w14:textId="77777777">
            <w:pPr>
              <w:widowControl/>
              <w:autoSpaceDE/>
              <w:autoSpaceDN/>
              <w:adjustRightInd/>
              <w:rPr>
                <w:color w:val="000000"/>
                <w:sz w:val="18"/>
                <w:szCs w:val="18"/>
              </w:rPr>
            </w:pPr>
            <w:r w:rsidRPr="00E2594C">
              <w:rPr>
                <w:color w:val="000000"/>
                <w:sz w:val="18"/>
                <w:szCs w:val="18"/>
              </w:rPr>
              <w:t>Decedent’s estate</w:t>
            </w: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420192B5" w14:textId="77777777">
            <w:pPr>
              <w:widowControl/>
              <w:autoSpaceDE/>
              <w:autoSpaceDN/>
              <w:adjustRightInd/>
              <w:jc w:val="center"/>
              <w:rPr>
                <w:color w:val="000000"/>
                <w:sz w:val="18"/>
                <w:szCs w:val="18"/>
              </w:rPr>
            </w:pPr>
            <w:r w:rsidRPr="00E2594C">
              <w:rPr>
                <w:color w:val="000000"/>
                <w:sz w:val="18"/>
                <w:szCs w:val="18"/>
              </w:rPr>
              <w:t>Low</w:t>
            </w:r>
          </w:p>
        </w:tc>
        <w:tc>
          <w:tcPr>
            <w:tcW w:w="111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5165F701" w14:textId="77777777">
            <w:pPr>
              <w:widowControl/>
              <w:autoSpaceDE/>
              <w:autoSpaceDN/>
              <w:adjustRightInd/>
              <w:jc w:val="right"/>
              <w:rPr>
                <w:color w:val="000000"/>
                <w:sz w:val="18"/>
                <w:szCs w:val="18"/>
              </w:rPr>
            </w:pPr>
            <w:r w:rsidRPr="00E2594C">
              <w:rPr>
                <w:color w:val="000000"/>
                <w:sz w:val="18"/>
                <w:szCs w:val="18"/>
              </w:rPr>
              <w:t>400,000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4FC1C59E" w14:textId="77777777">
            <w:pPr>
              <w:jc w:val="right"/>
              <w:rPr>
                <w:color w:val="000000"/>
                <w:sz w:val="18"/>
                <w:szCs w:val="18"/>
              </w:rPr>
            </w:pPr>
            <w:r>
              <w:rPr>
                <w:color w:val="000000"/>
                <w:sz w:val="18"/>
                <w:szCs w:val="18"/>
              </w:rPr>
              <w:t>1,717</w:t>
            </w:r>
          </w:p>
        </w:tc>
      </w:tr>
      <w:tr w:rsidRPr="00E2594C" w:rsidR="009A27D5" w:rsidTr="009A27D5" w14:paraId="6420E5CB" w14:textId="77777777">
        <w:tc>
          <w:tcPr>
            <w:tcW w:w="4591"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0C2D6B82" w14:textId="77777777">
            <w:pPr>
              <w:widowControl/>
              <w:autoSpaceDE/>
              <w:autoSpaceDN/>
              <w:adjustRightInd/>
              <w:rPr>
                <w:color w:val="000000"/>
                <w:sz w:val="18"/>
                <w:szCs w:val="18"/>
              </w:rPr>
            </w:pP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45820FCD" w14:textId="77777777">
            <w:pPr>
              <w:widowControl/>
              <w:autoSpaceDE/>
              <w:autoSpaceDN/>
              <w:adjustRightInd/>
              <w:jc w:val="center"/>
              <w:rPr>
                <w:color w:val="000000"/>
                <w:sz w:val="18"/>
                <w:szCs w:val="18"/>
              </w:rPr>
            </w:pPr>
            <w:r w:rsidRPr="00E2594C">
              <w:rPr>
                <w:color w:val="000000"/>
                <w:sz w:val="18"/>
                <w:szCs w:val="18"/>
              </w:rPr>
              <w:t>High</w:t>
            </w:r>
          </w:p>
        </w:tc>
        <w:tc>
          <w:tcPr>
            <w:tcW w:w="1115" w:type="dxa"/>
            <w:vMerge/>
            <w:tcBorders>
              <w:top w:val="nil"/>
              <w:left w:val="single" w:color="auto" w:sz="4" w:space="0"/>
              <w:bottom w:val="single" w:color="auto" w:sz="4" w:space="0"/>
              <w:right w:val="single" w:color="auto" w:sz="4" w:space="0"/>
            </w:tcBorders>
            <w:vAlign w:val="center"/>
            <w:hideMark/>
          </w:tcPr>
          <w:p w:rsidRPr="00E2594C" w:rsidR="009A27D5" w:rsidP="009A27D5" w:rsidRDefault="009A27D5" w14:paraId="29A50071" w14:textId="77777777">
            <w:pPr>
              <w:widowControl/>
              <w:autoSpaceDE/>
              <w:autoSpaceDN/>
              <w:adjustRightInd/>
              <w:rPr>
                <w:color w:val="000000"/>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3A0EC824" w14:textId="77777777">
            <w:pPr>
              <w:jc w:val="right"/>
              <w:rPr>
                <w:color w:val="000000"/>
                <w:sz w:val="18"/>
                <w:szCs w:val="18"/>
              </w:rPr>
            </w:pPr>
            <w:r>
              <w:rPr>
                <w:color w:val="000000"/>
                <w:sz w:val="18"/>
                <w:szCs w:val="18"/>
              </w:rPr>
              <w:t>1,145</w:t>
            </w:r>
          </w:p>
        </w:tc>
      </w:tr>
      <w:tr w:rsidRPr="00E2594C" w:rsidR="009A27D5" w:rsidTr="009A27D5" w14:paraId="1A2264F8" w14:textId="77777777">
        <w:tc>
          <w:tcPr>
            <w:tcW w:w="4591" w:type="dxa"/>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5D1C78FB" w14:textId="77777777">
            <w:pPr>
              <w:widowControl/>
              <w:autoSpaceDE/>
              <w:autoSpaceDN/>
              <w:adjustRightInd/>
              <w:rPr>
                <w:color w:val="000000"/>
                <w:sz w:val="18"/>
                <w:szCs w:val="18"/>
              </w:rPr>
            </w:pPr>
            <w:r w:rsidRPr="00E2594C">
              <w:rPr>
                <w:color w:val="000000"/>
                <w:sz w:val="18"/>
                <w:szCs w:val="18"/>
              </w:rPr>
              <w:t>Qualified Disability Trust</w:t>
            </w: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285A2607" w14:textId="77777777">
            <w:pPr>
              <w:widowControl/>
              <w:autoSpaceDE/>
              <w:autoSpaceDN/>
              <w:adjustRightInd/>
              <w:jc w:val="center"/>
              <w:rPr>
                <w:color w:val="000000"/>
                <w:sz w:val="18"/>
                <w:szCs w:val="18"/>
              </w:rPr>
            </w:pPr>
            <w:r w:rsidRPr="00E2594C">
              <w:rPr>
                <w:color w:val="000000"/>
                <w:sz w:val="18"/>
                <w:szCs w:val="18"/>
              </w:rPr>
              <w:t>ANY</w:t>
            </w:r>
          </w:p>
        </w:tc>
        <w:tc>
          <w:tcPr>
            <w:tcW w:w="1115" w:type="dxa"/>
            <w:tcBorders>
              <w:top w:val="nil"/>
              <w:left w:val="nil"/>
              <w:bottom w:val="single" w:color="auto" w:sz="4" w:space="0"/>
              <w:right w:val="single" w:color="auto" w:sz="4" w:space="0"/>
            </w:tcBorders>
            <w:shd w:val="clear" w:color="auto" w:fill="auto"/>
            <w:noWrap/>
            <w:vAlign w:val="bottom"/>
            <w:hideMark/>
          </w:tcPr>
          <w:p w:rsidRPr="00E2594C" w:rsidR="009A27D5" w:rsidP="009A27D5" w:rsidRDefault="009A27D5" w14:paraId="2571A327" w14:textId="77777777">
            <w:pPr>
              <w:widowControl/>
              <w:autoSpaceDE/>
              <w:autoSpaceDN/>
              <w:adjustRightInd/>
              <w:jc w:val="right"/>
              <w:rPr>
                <w:color w:val="000000"/>
                <w:sz w:val="18"/>
                <w:szCs w:val="18"/>
              </w:rPr>
            </w:pPr>
            <w:r w:rsidRPr="00E2594C">
              <w:rPr>
                <w:color w:val="000000"/>
                <w:sz w:val="18"/>
                <w:szCs w:val="18"/>
              </w:rPr>
              <w:t>25,000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138CC305" w14:textId="77777777">
            <w:pPr>
              <w:jc w:val="right"/>
              <w:rPr>
                <w:color w:val="000000"/>
                <w:sz w:val="18"/>
                <w:szCs w:val="18"/>
              </w:rPr>
            </w:pPr>
            <w:r>
              <w:rPr>
                <w:color w:val="000000"/>
                <w:sz w:val="18"/>
                <w:szCs w:val="18"/>
              </w:rPr>
              <w:t>689</w:t>
            </w:r>
          </w:p>
        </w:tc>
      </w:tr>
      <w:tr w:rsidRPr="00E2594C" w:rsidR="009A27D5" w:rsidTr="009A27D5" w14:paraId="75D8DB34" w14:textId="77777777">
        <w:tc>
          <w:tcPr>
            <w:tcW w:w="4591" w:type="dxa"/>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348842E1" w14:textId="77777777">
            <w:pPr>
              <w:widowControl/>
              <w:autoSpaceDE/>
              <w:autoSpaceDN/>
              <w:adjustRightInd/>
              <w:rPr>
                <w:color w:val="000000"/>
                <w:sz w:val="18"/>
                <w:szCs w:val="18"/>
              </w:rPr>
            </w:pPr>
            <w:r w:rsidRPr="00E2594C">
              <w:rPr>
                <w:color w:val="000000"/>
                <w:sz w:val="18"/>
                <w:szCs w:val="18"/>
              </w:rPr>
              <w:t>Non-Exempt Charitable and Split Interest Trust</w:t>
            </w: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6A7A81D6" w14:textId="77777777">
            <w:pPr>
              <w:widowControl/>
              <w:autoSpaceDE/>
              <w:autoSpaceDN/>
              <w:adjustRightInd/>
              <w:jc w:val="center"/>
              <w:rPr>
                <w:color w:val="000000"/>
                <w:sz w:val="18"/>
                <w:szCs w:val="18"/>
              </w:rPr>
            </w:pPr>
            <w:r w:rsidRPr="00E2594C">
              <w:rPr>
                <w:color w:val="000000"/>
                <w:sz w:val="18"/>
                <w:szCs w:val="18"/>
              </w:rPr>
              <w:t>ANY</w:t>
            </w:r>
          </w:p>
        </w:tc>
        <w:tc>
          <w:tcPr>
            <w:tcW w:w="1115" w:type="dxa"/>
            <w:tcBorders>
              <w:top w:val="nil"/>
              <w:left w:val="nil"/>
              <w:bottom w:val="single" w:color="auto" w:sz="4" w:space="0"/>
              <w:right w:val="single" w:color="auto" w:sz="4" w:space="0"/>
            </w:tcBorders>
            <w:shd w:val="clear" w:color="auto" w:fill="auto"/>
            <w:noWrap/>
            <w:vAlign w:val="bottom"/>
            <w:hideMark/>
          </w:tcPr>
          <w:p w:rsidRPr="00E2594C" w:rsidR="009A27D5" w:rsidP="009A27D5" w:rsidRDefault="009A27D5" w14:paraId="78D3CF3F" w14:textId="77777777">
            <w:pPr>
              <w:widowControl/>
              <w:autoSpaceDE/>
              <w:autoSpaceDN/>
              <w:adjustRightInd/>
              <w:jc w:val="right"/>
              <w:rPr>
                <w:color w:val="000000"/>
                <w:sz w:val="18"/>
                <w:szCs w:val="18"/>
              </w:rPr>
            </w:pPr>
            <w:r w:rsidRPr="00E2594C">
              <w:rPr>
                <w:color w:val="000000"/>
                <w:sz w:val="18"/>
                <w:szCs w:val="18"/>
              </w:rPr>
              <w:t>7,500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70C2A24A" w14:textId="77777777">
            <w:pPr>
              <w:jc w:val="right"/>
              <w:rPr>
                <w:color w:val="000000"/>
                <w:sz w:val="18"/>
                <w:szCs w:val="18"/>
              </w:rPr>
            </w:pPr>
            <w:r>
              <w:rPr>
                <w:color w:val="000000"/>
                <w:sz w:val="18"/>
                <w:szCs w:val="18"/>
              </w:rPr>
              <w:t>689</w:t>
            </w:r>
          </w:p>
        </w:tc>
      </w:tr>
      <w:tr w:rsidRPr="00E2594C" w:rsidR="009A27D5" w:rsidTr="009A27D5" w14:paraId="307C2544" w14:textId="77777777">
        <w:tc>
          <w:tcPr>
            <w:tcW w:w="4591" w:type="dxa"/>
            <w:tcBorders>
              <w:top w:val="nil"/>
              <w:left w:val="single" w:color="auto" w:sz="4" w:space="0"/>
              <w:bottom w:val="single" w:color="auto" w:sz="4" w:space="0"/>
              <w:right w:val="single" w:color="auto" w:sz="4" w:space="0"/>
            </w:tcBorders>
            <w:shd w:val="clear" w:color="auto" w:fill="auto"/>
            <w:noWrap/>
            <w:vAlign w:val="center"/>
            <w:hideMark/>
          </w:tcPr>
          <w:p w:rsidRPr="00E2594C" w:rsidR="009A27D5" w:rsidP="009A27D5" w:rsidRDefault="009A27D5" w14:paraId="1B5E5081" w14:textId="77777777">
            <w:pPr>
              <w:widowControl/>
              <w:autoSpaceDE/>
              <w:autoSpaceDN/>
              <w:adjustRightInd/>
              <w:rPr>
                <w:color w:val="000000"/>
                <w:sz w:val="18"/>
                <w:szCs w:val="18"/>
              </w:rPr>
            </w:pPr>
            <w:r w:rsidRPr="00E2594C">
              <w:rPr>
                <w:color w:val="000000"/>
                <w:sz w:val="18"/>
                <w:szCs w:val="18"/>
              </w:rPr>
              <w:t>Bankruptcy Estate</w:t>
            </w:r>
          </w:p>
        </w:tc>
        <w:tc>
          <w:tcPr>
            <w:tcW w:w="1129" w:type="dxa"/>
            <w:tcBorders>
              <w:top w:val="nil"/>
              <w:left w:val="nil"/>
              <w:bottom w:val="single" w:color="auto" w:sz="4" w:space="0"/>
              <w:right w:val="single" w:color="auto" w:sz="4" w:space="0"/>
            </w:tcBorders>
            <w:shd w:val="clear" w:color="auto" w:fill="auto"/>
            <w:noWrap/>
            <w:vAlign w:val="center"/>
            <w:hideMark/>
          </w:tcPr>
          <w:p w:rsidRPr="00E2594C" w:rsidR="009A27D5" w:rsidP="009A27D5" w:rsidRDefault="009A27D5" w14:paraId="0C432D06" w14:textId="77777777">
            <w:pPr>
              <w:widowControl/>
              <w:autoSpaceDE/>
              <w:autoSpaceDN/>
              <w:adjustRightInd/>
              <w:jc w:val="center"/>
              <w:rPr>
                <w:color w:val="000000"/>
                <w:sz w:val="18"/>
                <w:szCs w:val="18"/>
              </w:rPr>
            </w:pPr>
            <w:r w:rsidRPr="00E2594C">
              <w:rPr>
                <w:color w:val="000000"/>
                <w:sz w:val="18"/>
                <w:szCs w:val="18"/>
              </w:rPr>
              <w:t>ANY</w:t>
            </w:r>
          </w:p>
        </w:tc>
        <w:tc>
          <w:tcPr>
            <w:tcW w:w="1115" w:type="dxa"/>
            <w:tcBorders>
              <w:top w:val="nil"/>
              <w:left w:val="nil"/>
              <w:bottom w:val="single" w:color="auto" w:sz="4" w:space="0"/>
              <w:right w:val="single" w:color="auto" w:sz="4" w:space="0"/>
            </w:tcBorders>
            <w:shd w:val="clear" w:color="auto" w:fill="auto"/>
            <w:noWrap/>
            <w:vAlign w:val="bottom"/>
            <w:hideMark/>
          </w:tcPr>
          <w:p w:rsidRPr="00E2594C" w:rsidR="009A27D5" w:rsidP="009A27D5" w:rsidRDefault="009A27D5" w14:paraId="0822EF96" w14:textId="77777777">
            <w:pPr>
              <w:widowControl/>
              <w:autoSpaceDE/>
              <w:autoSpaceDN/>
              <w:adjustRightInd/>
              <w:jc w:val="right"/>
              <w:rPr>
                <w:color w:val="000000"/>
                <w:sz w:val="18"/>
                <w:szCs w:val="18"/>
              </w:rPr>
            </w:pPr>
            <w:r w:rsidRPr="00E2594C">
              <w:rPr>
                <w:color w:val="000000"/>
                <w:sz w:val="18"/>
                <w:szCs w:val="18"/>
              </w:rPr>
              <w:t>750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3F4E0E01" w14:textId="77777777">
            <w:pPr>
              <w:jc w:val="right"/>
              <w:rPr>
                <w:color w:val="000000"/>
                <w:sz w:val="18"/>
                <w:szCs w:val="18"/>
              </w:rPr>
            </w:pPr>
            <w:r>
              <w:rPr>
                <w:color w:val="000000"/>
                <w:sz w:val="18"/>
                <w:szCs w:val="18"/>
              </w:rPr>
              <w:t>688</w:t>
            </w:r>
          </w:p>
        </w:tc>
      </w:tr>
      <w:tr w:rsidRPr="00E2594C" w:rsidR="009A27D5" w:rsidTr="009A27D5" w14:paraId="042D3B58" w14:textId="77777777">
        <w:tc>
          <w:tcPr>
            <w:tcW w:w="4591" w:type="dxa"/>
            <w:tcBorders>
              <w:top w:val="nil"/>
              <w:left w:val="nil"/>
              <w:bottom w:val="nil"/>
              <w:right w:val="nil"/>
            </w:tcBorders>
            <w:shd w:val="clear" w:color="auto" w:fill="auto"/>
            <w:noWrap/>
            <w:vAlign w:val="bottom"/>
            <w:hideMark/>
          </w:tcPr>
          <w:p w:rsidRPr="00E2594C" w:rsidR="009A27D5" w:rsidP="009A27D5" w:rsidRDefault="009A27D5" w14:paraId="25AE6092" w14:textId="77777777">
            <w:pPr>
              <w:widowControl/>
              <w:autoSpaceDE/>
              <w:autoSpaceDN/>
              <w:adjustRightInd/>
              <w:jc w:val="right"/>
              <w:rPr>
                <w:color w:val="000000"/>
                <w:sz w:val="18"/>
                <w:szCs w:val="18"/>
              </w:rPr>
            </w:pPr>
          </w:p>
        </w:tc>
        <w:tc>
          <w:tcPr>
            <w:tcW w:w="1129" w:type="dxa"/>
            <w:tcBorders>
              <w:top w:val="nil"/>
              <w:left w:val="nil"/>
              <w:bottom w:val="nil"/>
              <w:right w:val="nil"/>
            </w:tcBorders>
            <w:shd w:val="clear" w:color="auto" w:fill="auto"/>
            <w:noWrap/>
            <w:vAlign w:val="bottom"/>
            <w:hideMark/>
          </w:tcPr>
          <w:p w:rsidRPr="00E2594C" w:rsidR="009A27D5" w:rsidP="009A27D5" w:rsidRDefault="009A27D5" w14:paraId="2DBB83BA" w14:textId="77777777">
            <w:pPr>
              <w:widowControl/>
              <w:autoSpaceDE/>
              <w:autoSpaceDN/>
              <w:adjustRightInd/>
              <w:rPr>
                <w:sz w:val="18"/>
                <w:szCs w:val="18"/>
              </w:rPr>
            </w:pPr>
          </w:p>
        </w:tc>
        <w:tc>
          <w:tcPr>
            <w:tcW w:w="1115" w:type="dxa"/>
            <w:tcBorders>
              <w:top w:val="nil"/>
              <w:left w:val="nil"/>
              <w:bottom w:val="nil"/>
              <w:right w:val="single" w:color="auto" w:sz="4" w:space="0"/>
            </w:tcBorders>
            <w:shd w:val="clear" w:color="auto" w:fill="auto"/>
            <w:noWrap/>
            <w:vAlign w:val="bottom"/>
            <w:hideMark/>
          </w:tcPr>
          <w:p w:rsidRPr="00E2594C" w:rsidR="009A27D5" w:rsidP="009A27D5" w:rsidRDefault="009A27D5" w14:paraId="0DB94360" w14:textId="77777777">
            <w:pPr>
              <w:widowControl/>
              <w:autoSpaceDE/>
              <w:autoSpaceDN/>
              <w:adjustRightInd/>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9A27D5" w:rsidP="009A27D5" w:rsidRDefault="009A27D5" w14:paraId="175A7452" w14:textId="77777777">
            <w:pPr>
              <w:jc w:val="right"/>
              <w:rPr>
                <w:color w:val="000000"/>
                <w:sz w:val="18"/>
                <w:szCs w:val="18"/>
              </w:rPr>
            </w:pPr>
            <w:r>
              <w:rPr>
                <w:color w:val="000000"/>
                <w:sz w:val="18"/>
                <w:szCs w:val="18"/>
              </w:rPr>
              <w:t>20,000</w:t>
            </w:r>
          </w:p>
        </w:tc>
      </w:tr>
    </w:tbl>
    <w:p w:rsidR="009A27D5" w:rsidP="009A27D5" w:rsidRDefault="009A27D5" w14:paraId="564A525E" w14:textId="77777777">
      <w:pPr>
        <w:rPr>
          <w:b/>
          <w:sz w:val="18"/>
          <w:szCs w:val="18"/>
        </w:rPr>
      </w:pPr>
    </w:p>
    <w:p w:rsidR="00C3074F" w:rsidP="009A27D5" w:rsidRDefault="009A27D5" w14:paraId="7C46D136" w14:textId="77777777">
      <w:r>
        <w:br w:type="page"/>
      </w:r>
    </w:p>
    <w:tbl>
      <w:tblPr>
        <w:tblW w:w="7254" w:type="dxa"/>
        <w:tblInd w:w="108" w:type="dxa"/>
        <w:tblLook w:val="04A0" w:firstRow="1" w:lastRow="0" w:firstColumn="1" w:lastColumn="0" w:noHBand="0" w:noVBand="1"/>
      </w:tblPr>
      <w:tblGrid>
        <w:gridCol w:w="1308"/>
        <w:gridCol w:w="1490"/>
        <w:gridCol w:w="1816"/>
        <w:gridCol w:w="606"/>
        <w:gridCol w:w="1060"/>
        <w:gridCol w:w="977"/>
      </w:tblGrid>
      <w:tr w:rsidRPr="00C3074F" w:rsidR="00C3074F" w:rsidTr="00C3074F" w14:paraId="07CBBDA4" w14:textId="77777777">
        <w:trPr>
          <w:trHeight w:val="290"/>
        </w:trPr>
        <w:tc>
          <w:tcPr>
            <w:tcW w:w="5217" w:type="dxa"/>
            <w:gridSpan w:val="4"/>
            <w:tcBorders>
              <w:top w:val="nil"/>
              <w:left w:val="nil"/>
              <w:bottom w:val="nil"/>
              <w:right w:val="nil"/>
            </w:tcBorders>
            <w:shd w:val="clear" w:color="auto" w:fill="auto"/>
            <w:noWrap/>
            <w:vAlign w:val="center"/>
            <w:hideMark/>
          </w:tcPr>
          <w:p w:rsidRPr="00C3074F" w:rsidR="00C3074F" w:rsidP="00C3074F" w:rsidRDefault="00C3074F" w14:paraId="43D5087E" w14:textId="77777777">
            <w:pPr>
              <w:widowControl/>
              <w:autoSpaceDE/>
              <w:autoSpaceDN/>
              <w:adjustRightInd/>
              <w:rPr>
                <w:b/>
                <w:bCs/>
                <w:color w:val="000000"/>
                <w:sz w:val="18"/>
                <w:szCs w:val="18"/>
              </w:rPr>
            </w:pPr>
            <w:r w:rsidRPr="00C3074F">
              <w:rPr>
                <w:b/>
                <w:bCs/>
                <w:color w:val="000000"/>
                <w:sz w:val="18"/>
                <w:szCs w:val="18"/>
              </w:rPr>
              <w:lastRenderedPageBreak/>
              <w:t xml:space="preserve">Table </w:t>
            </w:r>
            <w:r w:rsidR="00EB1EF9">
              <w:rPr>
                <w:b/>
                <w:bCs/>
                <w:color w:val="000000"/>
                <w:sz w:val="18"/>
                <w:szCs w:val="18"/>
              </w:rPr>
              <w:t>6</w:t>
            </w:r>
            <w:r w:rsidRPr="00C3074F">
              <w:rPr>
                <w:b/>
                <w:bCs/>
                <w:color w:val="000000"/>
                <w:sz w:val="18"/>
                <w:szCs w:val="18"/>
              </w:rPr>
              <w:t xml:space="preserve"> – Tax Year 2019 Employment Tax Burden Survey</w:t>
            </w:r>
          </w:p>
        </w:tc>
        <w:tc>
          <w:tcPr>
            <w:tcW w:w="1060" w:type="dxa"/>
            <w:tcBorders>
              <w:top w:val="nil"/>
              <w:left w:val="nil"/>
              <w:bottom w:val="nil"/>
              <w:right w:val="nil"/>
            </w:tcBorders>
            <w:shd w:val="clear" w:color="auto" w:fill="auto"/>
            <w:noWrap/>
            <w:vAlign w:val="bottom"/>
            <w:hideMark/>
          </w:tcPr>
          <w:p w:rsidRPr="00C3074F" w:rsidR="00C3074F" w:rsidP="00C3074F" w:rsidRDefault="00C3074F" w14:paraId="5EB3979F" w14:textId="77777777">
            <w:pPr>
              <w:widowControl/>
              <w:autoSpaceDE/>
              <w:autoSpaceDN/>
              <w:adjustRightInd/>
              <w:rPr>
                <w:b/>
                <w:bCs/>
                <w:color w:val="000000"/>
                <w:sz w:val="18"/>
                <w:szCs w:val="18"/>
              </w:rPr>
            </w:pPr>
          </w:p>
        </w:tc>
        <w:tc>
          <w:tcPr>
            <w:tcW w:w="977" w:type="dxa"/>
            <w:tcBorders>
              <w:top w:val="nil"/>
              <w:left w:val="nil"/>
              <w:bottom w:val="nil"/>
              <w:right w:val="nil"/>
            </w:tcBorders>
            <w:shd w:val="clear" w:color="auto" w:fill="auto"/>
            <w:noWrap/>
            <w:vAlign w:val="bottom"/>
            <w:hideMark/>
          </w:tcPr>
          <w:p w:rsidRPr="00C3074F" w:rsidR="00C3074F" w:rsidP="00C3074F" w:rsidRDefault="00C3074F" w14:paraId="2ACCA467" w14:textId="77777777">
            <w:pPr>
              <w:widowControl/>
              <w:autoSpaceDE/>
              <w:autoSpaceDN/>
              <w:adjustRightInd/>
              <w:rPr>
                <w:sz w:val="20"/>
                <w:szCs w:val="20"/>
              </w:rPr>
            </w:pPr>
          </w:p>
        </w:tc>
      </w:tr>
      <w:tr w:rsidRPr="00C3074F" w:rsidR="00C3074F" w:rsidTr="00C3074F" w14:paraId="0FE679DE" w14:textId="77777777">
        <w:trPr>
          <w:trHeight w:val="300"/>
        </w:trPr>
        <w:tc>
          <w:tcPr>
            <w:tcW w:w="5217"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C3074F" w:rsidR="00C3074F" w:rsidP="00C3074F" w:rsidRDefault="00C3074F" w14:paraId="2E36F53A" w14:textId="77777777">
            <w:pPr>
              <w:widowControl/>
              <w:autoSpaceDE/>
              <w:autoSpaceDN/>
              <w:adjustRightInd/>
              <w:jc w:val="center"/>
              <w:rPr>
                <w:color w:val="000000"/>
                <w:sz w:val="18"/>
                <w:szCs w:val="18"/>
              </w:rPr>
            </w:pPr>
            <w:r w:rsidRPr="00C3074F">
              <w:rPr>
                <w:color w:val="000000"/>
                <w:sz w:val="18"/>
                <w:szCs w:val="18"/>
              </w:rPr>
              <w:t>Strata</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074F" w:rsidR="00C3074F" w:rsidP="00C3074F" w:rsidRDefault="00C3074F" w14:paraId="0D6A71D6" w14:textId="77777777">
            <w:pPr>
              <w:widowControl/>
              <w:autoSpaceDE/>
              <w:autoSpaceDN/>
              <w:adjustRightInd/>
              <w:jc w:val="center"/>
              <w:rPr>
                <w:color w:val="000000"/>
                <w:sz w:val="18"/>
                <w:szCs w:val="18"/>
              </w:rPr>
            </w:pPr>
            <w:r w:rsidRPr="00C3074F">
              <w:rPr>
                <w:color w:val="000000"/>
                <w:sz w:val="18"/>
                <w:szCs w:val="18"/>
              </w:rPr>
              <w:t>Population Count</w:t>
            </w:r>
          </w:p>
        </w:tc>
        <w:tc>
          <w:tcPr>
            <w:tcW w:w="97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074F" w:rsidR="00C3074F" w:rsidP="00C3074F" w:rsidRDefault="00C3074F" w14:paraId="479DE852" w14:textId="77777777">
            <w:pPr>
              <w:widowControl/>
              <w:autoSpaceDE/>
              <w:autoSpaceDN/>
              <w:adjustRightInd/>
              <w:jc w:val="center"/>
              <w:rPr>
                <w:color w:val="000000"/>
                <w:sz w:val="18"/>
                <w:szCs w:val="18"/>
              </w:rPr>
            </w:pPr>
            <w:r w:rsidRPr="00C3074F">
              <w:rPr>
                <w:color w:val="000000"/>
                <w:sz w:val="18"/>
                <w:szCs w:val="18"/>
              </w:rPr>
              <w:t>Sample Allocation</w:t>
            </w:r>
          </w:p>
        </w:tc>
      </w:tr>
      <w:tr w:rsidRPr="00C3074F" w:rsidR="00C3074F" w:rsidTr="00C3074F" w14:paraId="12300801" w14:textId="77777777">
        <w:trPr>
          <w:trHeight w:val="290"/>
        </w:trPr>
        <w:tc>
          <w:tcPr>
            <w:tcW w:w="1308" w:type="dxa"/>
            <w:tcBorders>
              <w:top w:val="nil"/>
              <w:left w:val="single" w:color="auto" w:sz="4" w:space="0"/>
              <w:bottom w:val="single" w:color="auto" w:sz="4" w:space="0"/>
              <w:right w:val="single" w:color="auto" w:sz="4" w:space="0"/>
            </w:tcBorders>
            <w:shd w:val="clear" w:color="auto" w:fill="auto"/>
            <w:noWrap/>
            <w:vAlign w:val="center"/>
            <w:hideMark/>
          </w:tcPr>
          <w:p w:rsidRPr="00C3074F" w:rsidR="00C3074F" w:rsidP="00C3074F" w:rsidRDefault="00C3074F" w14:paraId="17DDF897" w14:textId="77777777">
            <w:pPr>
              <w:widowControl/>
              <w:autoSpaceDE/>
              <w:autoSpaceDN/>
              <w:adjustRightInd/>
              <w:jc w:val="center"/>
              <w:rPr>
                <w:color w:val="000000"/>
                <w:sz w:val="18"/>
                <w:szCs w:val="18"/>
              </w:rPr>
            </w:pPr>
            <w:r w:rsidRPr="00C3074F">
              <w:rPr>
                <w:color w:val="000000"/>
                <w:sz w:val="18"/>
                <w:szCs w:val="18"/>
              </w:rPr>
              <w:t>Primary Form</w:t>
            </w: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9968283" w14:textId="77777777">
            <w:pPr>
              <w:widowControl/>
              <w:autoSpaceDE/>
              <w:autoSpaceDN/>
              <w:adjustRightInd/>
              <w:jc w:val="center"/>
              <w:rPr>
                <w:color w:val="000000"/>
                <w:sz w:val="18"/>
                <w:szCs w:val="18"/>
              </w:rPr>
            </w:pPr>
            <w:r w:rsidRPr="00C3074F">
              <w:rPr>
                <w:color w:val="000000"/>
                <w:sz w:val="18"/>
                <w:szCs w:val="18"/>
              </w:rPr>
              <w:t>Number of W2s</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E19A445" w14:textId="77777777">
            <w:pPr>
              <w:widowControl/>
              <w:autoSpaceDE/>
              <w:autoSpaceDN/>
              <w:adjustRightInd/>
              <w:jc w:val="center"/>
              <w:rPr>
                <w:color w:val="000000"/>
                <w:sz w:val="18"/>
                <w:szCs w:val="18"/>
              </w:rPr>
            </w:pPr>
            <w:r w:rsidRPr="00C3074F">
              <w:rPr>
                <w:color w:val="000000"/>
                <w:sz w:val="18"/>
                <w:szCs w:val="18"/>
              </w:rPr>
              <w:t>Share with Benefits</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8BFCC40" w14:textId="77777777">
            <w:pPr>
              <w:widowControl/>
              <w:autoSpaceDE/>
              <w:autoSpaceDN/>
              <w:adjustRightInd/>
              <w:jc w:val="center"/>
              <w:rPr>
                <w:color w:val="000000"/>
                <w:sz w:val="18"/>
                <w:szCs w:val="18"/>
              </w:rPr>
            </w:pPr>
            <w:r w:rsidRPr="00C3074F">
              <w:rPr>
                <w:color w:val="000000"/>
                <w:sz w:val="18"/>
                <w:szCs w:val="18"/>
              </w:rPr>
              <w:t>Tips</w:t>
            </w: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C3074F" w:rsidR="00C3074F" w:rsidP="00C3074F" w:rsidRDefault="00C3074F" w14:paraId="110B7D48" w14:textId="77777777">
            <w:pPr>
              <w:widowControl/>
              <w:autoSpaceDE/>
              <w:autoSpaceDN/>
              <w:adjustRightInd/>
              <w:rPr>
                <w:color w:val="000000"/>
                <w:sz w:val="18"/>
                <w:szCs w:val="18"/>
              </w:rPr>
            </w:pPr>
          </w:p>
        </w:tc>
        <w:tc>
          <w:tcPr>
            <w:tcW w:w="977" w:type="dxa"/>
            <w:vMerge/>
            <w:tcBorders>
              <w:top w:val="single" w:color="auto" w:sz="4" w:space="0"/>
              <w:left w:val="single" w:color="auto" w:sz="4" w:space="0"/>
              <w:bottom w:val="single" w:color="auto" w:sz="4" w:space="0"/>
              <w:right w:val="single" w:color="auto" w:sz="4" w:space="0"/>
            </w:tcBorders>
            <w:vAlign w:val="center"/>
            <w:hideMark/>
          </w:tcPr>
          <w:p w:rsidRPr="00C3074F" w:rsidR="00C3074F" w:rsidP="00C3074F" w:rsidRDefault="00C3074F" w14:paraId="00D1F852" w14:textId="77777777">
            <w:pPr>
              <w:widowControl/>
              <w:autoSpaceDE/>
              <w:autoSpaceDN/>
              <w:adjustRightInd/>
              <w:rPr>
                <w:color w:val="000000"/>
                <w:sz w:val="18"/>
                <w:szCs w:val="18"/>
              </w:rPr>
            </w:pPr>
          </w:p>
        </w:tc>
      </w:tr>
      <w:tr w:rsidRPr="00C3074F" w:rsidR="00C3074F" w:rsidTr="00C3074F" w14:paraId="349C0B0D" w14:textId="77777777">
        <w:trPr>
          <w:trHeight w:val="300"/>
        </w:trPr>
        <w:tc>
          <w:tcPr>
            <w:tcW w:w="1308" w:type="dxa"/>
            <w:vMerge w:val="restart"/>
            <w:tcBorders>
              <w:top w:val="nil"/>
              <w:left w:val="single" w:color="auto" w:sz="4" w:space="0"/>
              <w:bottom w:val="single" w:color="auto" w:sz="4" w:space="0"/>
              <w:right w:val="single" w:color="auto" w:sz="4" w:space="0"/>
            </w:tcBorders>
            <w:shd w:val="clear" w:color="auto" w:fill="auto"/>
            <w:noWrap/>
            <w:textDirection w:val="btLr"/>
            <w:vAlign w:val="center"/>
            <w:hideMark/>
          </w:tcPr>
          <w:p w:rsidRPr="00C3074F" w:rsidR="00C3074F" w:rsidP="00C3074F" w:rsidRDefault="00C3074F" w14:paraId="57AFDA44" w14:textId="77777777">
            <w:pPr>
              <w:widowControl/>
              <w:autoSpaceDE/>
              <w:autoSpaceDN/>
              <w:adjustRightInd/>
              <w:jc w:val="center"/>
              <w:rPr>
                <w:color w:val="000000"/>
                <w:sz w:val="18"/>
                <w:szCs w:val="18"/>
              </w:rPr>
            </w:pPr>
            <w:r w:rsidRPr="00C3074F">
              <w:rPr>
                <w:color w:val="000000"/>
                <w:sz w:val="18"/>
                <w:szCs w:val="18"/>
              </w:rPr>
              <w:t>Form 941</w:t>
            </w: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055481F" w14:textId="77777777">
            <w:pPr>
              <w:widowControl/>
              <w:autoSpaceDE/>
              <w:autoSpaceDN/>
              <w:adjustRightInd/>
              <w:jc w:val="center"/>
              <w:rPr>
                <w:color w:val="000000"/>
                <w:sz w:val="18"/>
                <w:szCs w:val="18"/>
              </w:rPr>
            </w:pPr>
            <w:r w:rsidRPr="00C3074F">
              <w:rPr>
                <w:color w:val="000000"/>
                <w:sz w:val="18"/>
                <w:szCs w:val="18"/>
              </w:rPr>
              <w:t>1 to 4</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2BC8E27" w14:textId="77777777">
            <w:pPr>
              <w:widowControl/>
              <w:autoSpaceDE/>
              <w:autoSpaceDN/>
              <w:adjustRightInd/>
              <w:jc w:val="center"/>
              <w:rPr>
                <w:color w:val="000000"/>
                <w:sz w:val="18"/>
                <w:szCs w:val="18"/>
              </w:rPr>
            </w:pPr>
            <w:r w:rsidRPr="00C3074F">
              <w:rPr>
                <w:color w:val="000000"/>
                <w:sz w:val="18"/>
                <w:szCs w:val="18"/>
              </w:rPr>
              <w:t>None</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6A62D30" w14:textId="77777777">
            <w:pPr>
              <w:widowControl/>
              <w:autoSpaceDE/>
              <w:autoSpaceDN/>
              <w:adjustRightInd/>
              <w:jc w:val="center"/>
              <w:rPr>
                <w:color w:val="000000"/>
                <w:sz w:val="18"/>
                <w:szCs w:val="18"/>
              </w:rPr>
            </w:pPr>
            <w:r w:rsidRPr="00C3074F">
              <w:rPr>
                <w:color w:val="000000"/>
                <w:sz w:val="18"/>
                <w:szCs w:val="18"/>
              </w:rPr>
              <w:t>ANY</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02034B3" w14:textId="77777777">
            <w:pPr>
              <w:widowControl/>
              <w:autoSpaceDE/>
              <w:autoSpaceDN/>
              <w:adjustRightInd/>
              <w:jc w:val="right"/>
              <w:rPr>
                <w:color w:val="000000"/>
                <w:sz w:val="18"/>
                <w:szCs w:val="18"/>
              </w:rPr>
            </w:pPr>
            <w:r w:rsidRPr="00C3074F">
              <w:rPr>
                <w:color w:val="000000"/>
                <w:sz w:val="18"/>
                <w:szCs w:val="18"/>
              </w:rPr>
              <w:t>1,846,642</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5E927B96"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2,604</w:t>
            </w:r>
          </w:p>
        </w:tc>
      </w:tr>
      <w:tr w:rsidRPr="00C3074F" w:rsidR="00C3074F" w:rsidTr="00C3074F" w14:paraId="4A924175"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6160B83A"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6888659" w14:textId="77777777">
            <w:pPr>
              <w:widowControl/>
              <w:autoSpaceDE/>
              <w:autoSpaceDN/>
              <w:adjustRightInd/>
              <w:jc w:val="center"/>
              <w:rPr>
                <w:color w:val="000000"/>
                <w:sz w:val="18"/>
                <w:szCs w:val="18"/>
              </w:rPr>
            </w:pPr>
            <w:r w:rsidRPr="00C3074F">
              <w:rPr>
                <w:color w:val="000000"/>
                <w:sz w:val="18"/>
                <w:szCs w:val="18"/>
              </w:rPr>
              <w:t>5 to 19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4E96F925" w14:textId="77777777">
            <w:pPr>
              <w:widowControl/>
              <w:autoSpaceDE/>
              <w:autoSpaceDN/>
              <w:adjustRightInd/>
              <w:jc w:val="center"/>
              <w:rPr>
                <w:color w:val="000000"/>
                <w:sz w:val="18"/>
                <w:szCs w:val="18"/>
              </w:rPr>
            </w:pPr>
            <w:r w:rsidRPr="00C3074F">
              <w:rPr>
                <w:color w:val="000000"/>
                <w:sz w:val="18"/>
                <w:szCs w:val="18"/>
              </w:rPr>
              <w:t>None</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0E0E11A" w14:textId="77777777">
            <w:pPr>
              <w:widowControl/>
              <w:autoSpaceDE/>
              <w:autoSpaceDN/>
              <w:adjustRightInd/>
              <w:jc w:val="center"/>
              <w:rPr>
                <w:color w:val="000000"/>
                <w:sz w:val="18"/>
                <w:szCs w:val="18"/>
              </w:rPr>
            </w:pPr>
            <w:r w:rsidRPr="00C3074F">
              <w:rPr>
                <w:color w:val="000000"/>
                <w:sz w:val="18"/>
                <w:szCs w:val="18"/>
              </w:rPr>
              <w:t>ANY</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E286210" w14:textId="77777777">
            <w:pPr>
              <w:widowControl/>
              <w:autoSpaceDE/>
              <w:autoSpaceDN/>
              <w:adjustRightInd/>
              <w:jc w:val="right"/>
              <w:rPr>
                <w:color w:val="000000"/>
                <w:sz w:val="18"/>
                <w:szCs w:val="18"/>
              </w:rPr>
            </w:pPr>
            <w:r w:rsidRPr="00C3074F">
              <w:rPr>
                <w:color w:val="000000"/>
                <w:sz w:val="18"/>
                <w:szCs w:val="18"/>
              </w:rPr>
              <w:t>768,328</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0E46BB75"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947</w:t>
            </w:r>
          </w:p>
        </w:tc>
      </w:tr>
      <w:tr w:rsidRPr="00C3074F" w:rsidR="00C3074F" w:rsidTr="00C3074F" w14:paraId="3A158DAB"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67E60A0E"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F1CB225" w14:textId="77777777">
            <w:pPr>
              <w:widowControl/>
              <w:autoSpaceDE/>
              <w:autoSpaceDN/>
              <w:adjustRightInd/>
              <w:jc w:val="center"/>
              <w:rPr>
                <w:color w:val="000000"/>
                <w:sz w:val="18"/>
                <w:szCs w:val="18"/>
              </w:rPr>
            </w:pPr>
            <w:r w:rsidRPr="00C3074F">
              <w:rPr>
                <w:color w:val="000000"/>
                <w:sz w:val="18"/>
                <w:szCs w:val="18"/>
              </w:rPr>
              <w:t>20 to 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AEB2756" w14:textId="77777777">
            <w:pPr>
              <w:widowControl/>
              <w:autoSpaceDE/>
              <w:autoSpaceDN/>
              <w:adjustRightInd/>
              <w:jc w:val="center"/>
              <w:rPr>
                <w:color w:val="000000"/>
                <w:sz w:val="18"/>
                <w:szCs w:val="18"/>
              </w:rPr>
            </w:pPr>
            <w:r w:rsidRPr="00C3074F">
              <w:rPr>
                <w:color w:val="000000"/>
                <w:sz w:val="18"/>
                <w:szCs w:val="18"/>
              </w:rPr>
              <w:t>None</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A50C550"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7AE7B50" w14:textId="77777777">
            <w:pPr>
              <w:widowControl/>
              <w:autoSpaceDE/>
              <w:autoSpaceDN/>
              <w:adjustRightInd/>
              <w:jc w:val="right"/>
              <w:rPr>
                <w:color w:val="000000"/>
                <w:sz w:val="18"/>
                <w:szCs w:val="18"/>
              </w:rPr>
            </w:pPr>
            <w:r w:rsidRPr="00C3074F">
              <w:rPr>
                <w:color w:val="000000"/>
                <w:sz w:val="18"/>
                <w:szCs w:val="18"/>
              </w:rPr>
              <w:t>271,569</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4BBD593E"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613</w:t>
            </w:r>
          </w:p>
        </w:tc>
      </w:tr>
      <w:tr w:rsidRPr="00C3074F" w:rsidR="00C3074F" w:rsidTr="00C3074F" w14:paraId="473EE332"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67E8B368"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5379843" w14:textId="77777777">
            <w:pPr>
              <w:widowControl/>
              <w:autoSpaceDE/>
              <w:autoSpaceDN/>
              <w:adjustRightInd/>
              <w:jc w:val="center"/>
              <w:rPr>
                <w:color w:val="000000"/>
                <w:sz w:val="18"/>
                <w:szCs w:val="18"/>
              </w:rPr>
            </w:pPr>
            <w:r w:rsidRPr="00C3074F">
              <w:rPr>
                <w:color w:val="000000"/>
                <w:sz w:val="18"/>
                <w:szCs w:val="18"/>
              </w:rPr>
              <w:t>100 to 299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0D9295E" w14:textId="77777777">
            <w:pPr>
              <w:widowControl/>
              <w:autoSpaceDE/>
              <w:autoSpaceDN/>
              <w:adjustRightInd/>
              <w:jc w:val="center"/>
              <w:rPr>
                <w:color w:val="000000"/>
                <w:sz w:val="18"/>
                <w:szCs w:val="18"/>
              </w:rPr>
            </w:pPr>
            <w:r w:rsidRPr="00C3074F">
              <w:rPr>
                <w:color w:val="000000"/>
                <w:sz w:val="18"/>
                <w:szCs w:val="18"/>
              </w:rPr>
              <w:t>None</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4614CB9F"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6D46FC0" w14:textId="77777777">
            <w:pPr>
              <w:widowControl/>
              <w:autoSpaceDE/>
              <w:autoSpaceDN/>
              <w:adjustRightInd/>
              <w:jc w:val="right"/>
              <w:rPr>
                <w:color w:val="000000"/>
                <w:sz w:val="18"/>
                <w:szCs w:val="18"/>
              </w:rPr>
            </w:pPr>
            <w:r w:rsidRPr="00C3074F">
              <w:rPr>
                <w:color w:val="000000"/>
                <w:sz w:val="18"/>
                <w:szCs w:val="18"/>
              </w:rPr>
              <w:t>23,184</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3ECFDC30"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497</w:t>
            </w:r>
          </w:p>
        </w:tc>
      </w:tr>
      <w:tr w:rsidRPr="00C3074F" w:rsidR="00C3074F" w:rsidTr="00C3074F" w14:paraId="0E8057D7"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529ED320"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21643EC" w14:textId="77777777">
            <w:pPr>
              <w:widowControl/>
              <w:autoSpaceDE/>
              <w:autoSpaceDN/>
              <w:adjustRightInd/>
              <w:jc w:val="center"/>
              <w:rPr>
                <w:color w:val="000000"/>
                <w:sz w:val="18"/>
                <w:szCs w:val="18"/>
              </w:rPr>
            </w:pPr>
            <w:r w:rsidRPr="00C3074F">
              <w:rPr>
                <w:color w:val="000000"/>
                <w:sz w:val="18"/>
                <w:szCs w:val="18"/>
              </w:rPr>
              <w:t>300 to 999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B3891A6" w14:textId="77777777">
            <w:pPr>
              <w:widowControl/>
              <w:autoSpaceDE/>
              <w:autoSpaceDN/>
              <w:adjustRightInd/>
              <w:jc w:val="center"/>
              <w:rPr>
                <w:color w:val="000000"/>
                <w:sz w:val="18"/>
                <w:szCs w:val="18"/>
              </w:rPr>
            </w:pPr>
            <w:r w:rsidRPr="00C3074F">
              <w:rPr>
                <w:color w:val="000000"/>
                <w:sz w:val="18"/>
                <w:szCs w:val="18"/>
              </w:rPr>
              <w:t>None</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43849C5"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E72FACF" w14:textId="77777777">
            <w:pPr>
              <w:widowControl/>
              <w:autoSpaceDE/>
              <w:autoSpaceDN/>
              <w:adjustRightInd/>
              <w:jc w:val="right"/>
              <w:rPr>
                <w:color w:val="000000"/>
                <w:sz w:val="18"/>
                <w:szCs w:val="18"/>
              </w:rPr>
            </w:pPr>
            <w:r w:rsidRPr="00C3074F">
              <w:rPr>
                <w:color w:val="000000"/>
                <w:sz w:val="18"/>
                <w:szCs w:val="18"/>
              </w:rPr>
              <w:t>3,664</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7C0CB4C8"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444</w:t>
            </w:r>
          </w:p>
        </w:tc>
      </w:tr>
      <w:tr w:rsidRPr="00C3074F" w:rsidR="00C3074F" w:rsidTr="00C3074F" w14:paraId="39471C58"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6CB69E42"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4E22AEF" w14:textId="77777777">
            <w:pPr>
              <w:widowControl/>
              <w:autoSpaceDE/>
              <w:autoSpaceDN/>
              <w:adjustRightInd/>
              <w:jc w:val="center"/>
              <w:rPr>
                <w:color w:val="000000"/>
                <w:sz w:val="18"/>
                <w:szCs w:val="18"/>
              </w:rPr>
            </w:pPr>
            <w:r w:rsidRPr="00C3074F">
              <w:rPr>
                <w:color w:val="000000"/>
                <w:sz w:val="18"/>
                <w:szCs w:val="18"/>
              </w:rPr>
              <w:t>Over 1000</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395EE76" w14:textId="77777777">
            <w:pPr>
              <w:widowControl/>
              <w:autoSpaceDE/>
              <w:autoSpaceDN/>
              <w:adjustRightInd/>
              <w:jc w:val="center"/>
              <w:rPr>
                <w:color w:val="000000"/>
                <w:sz w:val="18"/>
                <w:szCs w:val="18"/>
              </w:rPr>
            </w:pPr>
            <w:r w:rsidRPr="00C3074F">
              <w:rPr>
                <w:color w:val="000000"/>
                <w:sz w:val="18"/>
                <w:szCs w:val="18"/>
              </w:rPr>
              <w:t>None</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9EA0454"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1B4CDB9" w14:textId="77777777">
            <w:pPr>
              <w:widowControl/>
              <w:autoSpaceDE/>
              <w:autoSpaceDN/>
              <w:adjustRightInd/>
              <w:jc w:val="right"/>
              <w:rPr>
                <w:color w:val="000000"/>
                <w:sz w:val="18"/>
                <w:szCs w:val="18"/>
              </w:rPr>
            </w:pPr>
            <w:r w:rsidRPr="00C3074F">
              <w:rPr>
                <w:color w:val="000000"/>
                <w:sz w:val="18"/>
                <w:szCs w:val="18"/>
              </w:rPr>
              <w:t>792</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40452FCA"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445</w:t>
            </w:r>
          </w:p>
        </w:tc>
      </w:tr>
      <w:tr w:rsidRPr="00C3074F" w:rsidR="00C3074F" w:rsidTr="00C3074F" w14:paraId="2B867CE8"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78172C24"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C05488E" w14:textId="77777777">
            <w:pPr>
              <w:widowControl/>
              <w:autoSpaceDE/>
              <w:autoSpaceDN/>
              <w:adjustRightInd/>
              <w:jc w:val="center"/>
              <w:rPr>
                <w:color w:val="000000"/>
                <w:sz w:val="18"/>
                <w:szCs w:val="18"/>
              </w:rPr>
            </w:pPr>
            <w:r w:rsidRPr="00C3074F">
              <w:rPr>
                <w:color w:val="000000"/>
                <w:sz w:val="18"/>
                <w:szCs w:val="18"/>
              </w:rPr>
              <w:t>1 to 19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1BD4394" w14:textId="77777777">
            <w:pPr>
              <w:widowControl/>
              <w:autoSpaceDE/>
              <w:autoSpaceDN/>
              <w:adjustRightInd/>
              <w:jc w:val="center"/>
              <w:rPr>
                <w:color w:val="000000"/>
                <w:sz w:val="18"/>
                <w:szCs w:val="18"/>
              </w:rPr>
            </w:pPr>
            <w:r w:rsidRPr="00C3074F">
              <w:rPr>
                <w:color w:val="000000"/>
                <w:sz w:val="18"/>
                <w:szCs w:val="18"/>
              </w:rPr>
              <w:t>Less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4D6765C"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28768FC" w14:textId="77777777">
            <w:pPr>
              <w:widowControl/>
              <w:autoSpaceDE/>
              <w:autoSpaceDN/>
              <w:adjustRightInd/>
              <w:jc w:val="right"/>
              <w:rPr>
                <w:color w:val="000000"/>
                <w:sz w:val="18"/>
                <w:szCs w:val="18"/>
              </w:rPr>
            </w:pPr>
            <w:r w:rsidRPr="00C3074F">
              <w:rPr>
                <w:color w:val="000000"/>
                <w:sz w:val="18"/>
                <w:szCs w:val="18"/>
              </w:rPr>
              <w:t>410,266</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3FD362EA"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841</w:t>
            </w:r>
          </w:p>
        </w:tc>
      </w:tr>
      <w:tr w:rsidRPr="00C3074F" w:rsidR="00C3074F" w:rsidTr="00C3074F" w14:paraId="07FA705D"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61729836"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44637D9" w14:textId="77777777">
            <w:pPr>
              <w:widowControl/>
              <w:autoSpaceDE/>
              <w:autoSpaceDN/>
              <w:adjustRightInd/>
              <w:jc w:val="center"/>
              <w:rPr>
                <w:color w:val="000000"/>
                <w:sz w:val="18"/>
                <w:szCs w:val="18"/>
              </w:rPr>
            </w:pPr>
            <w:r w:rsidRPr="00C3074F">
              <w:rPr>
                <w:color w:val="000000"/>
                <w:sz w:val="18"/>
                <w:szCs w:val="18"/>
              </w:rPr>
              <w:t>20 to 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4D92659" w14:textId="77777777">
            <w:pPr>
              <w:widowControl/>
              <w:autoSpaceDE/>
              <w:autoSpaceDN/>
              <w:adjustRightInd/>
              <w:jc w:val="center"/>
              <w:rPr>
                <w:color w:val="000000"/>
                <w:sz w:val="18"/>
                <w:szCs w:val="18"/>
              </w:rPr>
            </w:pPr>
            <w:r w:rsidRPr="00C3074F">
              <w:rPr>
                <w:color w:val="000000"/>
                <w:sz w:val="18"/>
                <w:szCs w:val="18"/>
              </w:rPr>
              <w:t>Less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9A0E5BE"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C9A99D1" w14:textId="77777777">
            <w:pPr>
              <w:widowControl/>
              <w:autoSpaceDE/>
              <w:autoSpaceDN/>
              <w:adjustRightInd/>
              <w:jc w:val="right"/>
              <w:rPr>
                <w:color w:val="000000"/>
                <w:sz w:val="18"/>
                <w:szCs w:val="18"/>
              </w:rPr>
            </w:pPr>
            <w:r w:rsidRPr="00C3074F">
              <w:rPr>
                <w:color w:val="000000"/>
                <w:sz w:val="18"/>
                <w:szCs w:val="18"/>
              </w:rPr>
              <w:t>252,724</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320BC111"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613</w:t>
            </w:r>
          </w:p>
        </w:tc>
      </w:tr>
      <w:tr w:rsidRPr="00C3074F" w:rsidR="00C3074F" w:rsidTr="00C3074F" w14:paraId="73ABF6E1"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2DB54254"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DBE603E" w14:textId="77777777">
            <w:pPr>
              <w:widowControl/>
              <w:autoSpaceDE/>
              <w:autoSpaceDN/>
              <w:adjustRightInd/>
              <w:jc w:val="center"/>
              <w:rPr>
                <w:color w:val="000000"/>
                <w:sz w:val="18"/>
                <w:szCs w:val="18"/>
              </w:rPr>
            </w:pPr>
            <w:r w:rsidRPr="00C3074F">
              <w:rPr>
                <w:color w:val="000000"/>
                <w:sz w:val="18"/>
                <w:szCs w:val="18"/>
              </w:rPr>
              <w:t>100 to 299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B7EE831" w14:textId="77777777">
            <w:pPr>
              <w:widowControl/>
              <w:autoSpaceDE/>
              <w:autoSpaceDN/>
              <w:adjustRightInd/>
              <w:jc w:val="center"/>
              <w:rPr>
                <w:color w:val="000000"/>
                <w:sz w:val="18"/>
                <w:szCs w:val="18"/>
              </w:rPr>
            </w:pPr>
            <w:r w:rsidRPr="00C3074F">
              <w:rPr>
                <w:color w:val="000000"/>
                <w:sz w:val="18"/>
                <w:szCs w:val="18"/>
              </w:rPr>
              <w:t>Less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E9E6615"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DBF1C01" w14:textId="77777777">
            <w:pPr>
              <w:widowControl/>
              <w:autoSpaceDE/>
              <w:autoSpaceDN/>
              <w:adjustRightInd/>
              <w:jc w:val="right"/>
              <w:rPr>
                <w:color w:val="000000"/>
                <w:sz w:val="18"/>
                <w:szCs w:val="18"/>
              </w:rPr>
            </w:pPr>
            <w:r w:rsidRPr="00C3074F">
              <w:rPr>
                <w:color w:val="000000"/>
                <w:sz w:val="18"/>
                <w:szCs w:val="18"/>
              </w:rPr>
              <w:t>56,339</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07A22D2E"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497</w:t>
            </w:r>
          </w:p>
        </w:tc>
      </w:tr>
      <w:tr w:rsidRPr="00C3074F" w:rsidR="00C3074F" w:rsidTr="00C3074F" w14:paraId="76330C33"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272B0648"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89CCB67" w14:textId="77777777">
            <w:pPr>
              <w:widowControl/>
              <w:autoSpaceDE/>
              <w:autoSpaceDN/>
              <w:adjustRightInd/>
              <w:jc w:val="center"/>
              <w:rPr>
                <w:color w:val="000000"/>
                <w:sz w:val="18"/>
                <w:szCs w:val="18"/>
              </w:rPr>
            </w:pPr>
            <w:r w:rsidRPr="00C3074F">
              <w:rPr>
                <w:color w:val="000000"/>
                <w:sz w:val="18"/>
                <w:szCs w:val="18"/>
              </w:rPr>
              <w:t>300 to 999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23400B0" w14:textId="77777777">
            <w:pPr>
              <w:widowControl/>
              <w:autoSpaceDE/>
              <w:autoSpaceDN/>
              <w:adjustRightInd/>
              <w:jc w:val="center"/>
              <w:rPr>
                <w:color w:val="000000"/>
                <w:sz w:val="18"/>
                <w:szCs w:val="18"/>
              </w:rPr>
            </w:pPr>
            <w:r w:rsidRPr="00C3074F">
              <w:rPr>
                <w:color w:val="000000"/>
                <w:sz w:val="18"/>
                <w:szCs w:val="18"/>
              </w:rPr>
              <w:t>Less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00B4AB6"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C3DFBD0" w14:textId="77777777">
            <w:pPr>
              <w:widowControl/>
              <w:autoSpaceDE/>
              <w:autoSpaceDN/>
              <w:adjustRightInd/>
              <w:jc w:val="right"/>
              <w:rPr>
                <w:color w:val="000000"/>
                <w:sz w:val="18"/>
                <w:szCs w:val="18"/>
              </w:rPr>
            </w:pPr>
            <w:r w:rsidRPr="00C3074F">
              <w:rPr>
                <w:color w:val="000000"/>
                <w:sz w:val="18"/>
                <w:szCs w:val="18"/>
              </w:rPr>
              <w:t>11,699</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50F23048"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448</w:t>
            </w:r>
          </w:p>
        </w:tc>
      </w:tr>
      <w:tr w:rsidRPr="00C3074F" w:rsidR="00C3074F" w:rsidTr="00C3074F" w14:paraId="3ED3688A"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1F67FCC3"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3587E9B" w14:textId="77777777">
            <w:pPr>
              <w:widowControl/>
              <w:autoSpaceDE/>
              <w:autoSpaceDN/>
              <w:adjustRightInd/>
              <w:jc w:val="center"/>
              <w:rPr>
                <w:color w:val="000000"/>
                <w:sz w:val="18"/>
                <w:szCs w:val="18"/>
              </w:rPr>
            </w:pPr>
            <w:r w:rsidRPr="00C3074F">
              <w:rPr>
                <w:color w:val="000000"/>
                <w:sz w:val="18"/>
                <w:szCs w:val="18"/>
              </w:rPr>
              <w:t>Over 1000</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4FE023C" w14:textId="77777777">
            <w:pPr>
              <w:widowControl/>
              <w:autoSpaceDE/>
              <w:autoSpaceDN/>
              <w:adjustRightInd/>
              <w:jc w:val="center"/>
              <w:rPr>
                <w:color w:val="000000"/>
                <w:sz w:val="18"/>
                <w:szCs w:val="18"/>
              </w:rPr>
            </w:pPr>
            <w:r w:rsidRPr="00C3074F">
              <w:rPr>
                <w:color w:val="000000"/>
                <w:sz w:val="18"/>
                <w:szCs w:val="18"/>
              </w:rPr>
              <w:t>Less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FA89070"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40B9EDF5" w14:textId="77777777">
            <w:pPr>
              <w:widowControl/>
              <w:autoSpaceDE/>
              <w:autoSpaceDN/>
              <w:adjustRightInd/>
              <w:jc w:val="right"/>
              <w:rPr>
                <w:color w:val="000000"/>
                <w:sz w:val="18"/>
                <w:szCs w:val="18"/>
              </w:rPr>
            </w:pPr>
            <w:r w:rsidRPr="00C3074F">
              <w:rPr>
                <w:color w:val="000000"/>
                <w:sz w:val="18"/>
                <w:szCs w:val="18"/>
              </w:rPr>
              <w:t>3,192</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37EA9E9B"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466</w:t>
            </w:r>
          </w:p>
        </w:tc>
      </w:tr>
      <w:tr w:rsidRPr="00C3074F" w:rsidR="00C3074F" w:rsidTr="00C3074F" w14:paraId="08E37FCD"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4F5E53DE"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0C44E67" w14:textId="77777777">
            <w:pPr>
              <w:widowControl/>
              <w:autoSpaceDE/>
              <w:autoSpaceDN/>
              <w:adjustRightInd/>
              <w:jc w:val="center"/>
              <w:rPr>
                <w:color w:val="000000"/>
                <w:sz w:val="18"/>
                <w:szCs w:val="18"/>
              </w:rPr>
            </w:pPr>
            <w:r w:rsidRPr="00C3074F">
              <w:rPr>
                <w:color w:val="000000"/>
                <w:sz w:val="18"/>
                <w:szCs w:val="18"/>
              </w:rPr>
              <w:t>1 to 19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600AEB1" w14:textId="77777777">
            <w:pPr>
              <w:widowControl/>
              <w:autoSpaceDE/>
              <w:autoSpaceDN/>
              <w:adjustRightInd/>
              <w:jc w:val="center"/>
              <w:rPr>
                <w:color w:val="000000"/>
                <w:sz w:val="18"/>
                <w:szCs w:val="18"/>
              </w:rPr>
            </w:pPr>
            <w:r w:rsidRPr="00C3074F">
              <w:rPr>
                <w:color w:val="000000"/>
                <w:sz w:val="18"/>
                <w:szCs w:val="18"/>
              </w:rPr>
              <w:t>Greater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33A9E15"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ACF670C" w14:textId="77777777">
            <w:pPr>
              <w:widowControl/>
              <w:autoSpaceDE/>
              <w:autoSpaceDN/>
              <w:adjustRightInd/>
              <w:jc w:val="right"/>
              <w:rPr>
                <w:color w:val="000000"/>
                <w:sz w:val="18"/>
                <w:szCs w:val="18"/>
              </w:rPr>
            </w:pPr>
            <w:r w:rsidRPr="00C3074F">
              <w:rPr>
                <w:color w:val="000000"/>
                <w:sz w:val="18"/>
                <w:szCs w:val="18"/>
              </w:rPr>
              <w:t>167,492</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51B0DB8D"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841</w:t>
            </w:r>
          </w:p>
        </w:tc>
      </w:tr>
      <w:tr w:rsidRPr="00C3074F" w:rsidR="00C3074F" w:rsidTr="00C3074F" w14:paraId="38D1E641"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1AAA8B34"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BAB186B" w14:textId="77777777">
            <w:pPr>
              <w:widowControl/>
              <w:autoSpaceDE/>
              <w:autoSpaceDN/>
              <w:adjustRightInd/>
              <w:jc w:val="center"/>
              <w:rPr>
                <w:color w:val="000000"/>
                <w:sz w:val="18"/>
                <w:szCs w:val="18"/>
              </w:rPr>
            </w:pPr>
            <w:r w:rsidRPr="00C3074F">
              <w:rPr>
                <w:color w:val="000000"/>
                <w:sz w:val="18"/>
                <w:szCs w:val="18"/>
              </w:rPr>
              <w:t>20 to 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DD48223" w14:textId="77777777">
            <w:pPr>
              <w:widowControl/>
              <w:autoSpaceDE/>
              <w:autoSpaceDN/>
              <w:adjustRightInd/>
              <w:jc w:val="center"/>
              <w:rPr>
                <w:color w:val="000000"/>
                <w:sz w:val="18"/>
                <w:szCs w:val="18"/>
              </w:rPr>
            </w:pPr>
            <w:r w:rsidRPr="00C3074F">
              <w:rPr>
                <w:color w:val="000000"/>
                <w:sz w:val="18"/>
                <w:szCs w:val="18"/>
              </w:rPr>
              <w:t>Greater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C913436"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98CB7A2" w14:textId="77777777">
            <w:pPr>
              <w:widowControl/>
              <w:autoSpaceDE/>
              <w:autoSpaceDN/>
              <w:adjustRightInd/>
              <w:jc w:val="right"/>
              <w:rPr>
                <w:color w:val="000000"/>
                <w:sz w:val="18"/>
                <w:szCs w:val="18"/>
              </w:rPr>
            </w:pPr>
            <w:r w:rsidRPr="00C3074F">
              <w:rPr>
                <w:color w:val="000000"/>
                <w:sz w:val="18"/>
                <w:szCs w:val="18"/>
              </w:rPr>
              <w:t>20,499</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066DAEA7"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611</w:t>
            </w:r>
          </w:p>
        </w:tc>
      </w:tr>
      <w:tr w:rsidRPr="00C3074F" w:rsidR="00C3074F" w:rsidTr="00C3074F" w14:paraId="05F58BA3"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677B1E2F"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941D15B" w14:textId="77777777">
            <w:pPr>
              <w:widowControl/>
              <w:autoSpaceDE/>
              <w:autoSpaceDN/>
              <w:adjustRightInd/>
              <w:jc w:val="center"/>
              <w:rPr>
                <w:color w:val="000000"/>
                <w:sz w:val="18"/>
                <w:szCs w:val="18"/>
              </w:rPr>
            </w:pPr>
            <w:r w:rsidRPr="00C3074F">
              <w:rPr>
                <w:color w:val="000000"/>
                <w:sz w:val="18"/>
                <w:szCs w:val="18"/>
              </w:rPr>
              <w:t>100 to 299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D09798E" w14:textId="77777777">
            <w:pPr>
              <w:widowControl/>
              <w:autoSpaceDE/>
              <w:autoSpaceDN/>
              <w:adjustRightInd/>
              <w:jc w:val="center"/>
              <w:rPr>
                <w:color w:val="000000"/>
                <w:sz w:val="18"/>
                <w:szCs w:val="18"/>
              </w:rPr>
            </w:pPr>
            <w:r w:rsidRPr="00C3074F">
              <w:rPr>
                <w:color w:val="000000"/>
                <w:sz w:val="18"/>
                <w:szCs w:val="18"/>
              </w:rPr>
              <w:t>Greater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F893333"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D7DF3AE" w14:textId="77777777">
            <w:pPr>
              <w:widowControl/>
              <w:autoSpaceDE/>
              <w:autoSpaceDN/>
              <w:adjustRightInd/>
              <w:jc w:val="right"/>
              <w:rPr>
                <w:color w:val="000000"/>
                <w:sz w:val="18"/>
                <w:szCs w:val="18"/>
              </w:rPr>
            </w:pPr>
            <w:r w:rsidRPr="00C3074F">
              <w:rPr>
                <w:color w:val="000000"/>
                <w:sz w:val="18"/>
                <w:szCs w:val="18"/>
              </w:rPr>
              <w:t>10,684</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13FA5758"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496</w:t>
            </w:r>
          </w:p>
        </w:tc>
      </w:tr>
      <w:tr w:rsidRPr="00C3074F" w:rsidR="00C3074F" w:rsidTr="00C3074F" w14:paraId="2EDF9D3A"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37FA9653"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365CB24" w14:textId="77777777">
            <w:pPr>
              <w:widowControl/>
              <w:autoSpaceDE/>
              <w:autoSpaceDN/>
              <w:adjustRightInd/>
              <w:jc w:val="center"/>
              <w:rPr>
                <w:color w:val="000000"/>
                <w:sz w:val="18"/>
                <w:szCs w:val="18"/>
              </w:rPr>
            </w:pPr>
            <w:r w:rsidRPr="00C3074F">
              <w:rPr>
                <w:color w:val="000000"/>
                <w:sz w:val="18"/>
                <w:szCs w:val="18"/>
              </w:rPr>
              <w:t>300 to 999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32EE784" w14:textId="77777777">
            <w:pPr>
              <w:widowControl/>
              <w:autoSpaceDE/>
              <w:autoSpaceDN/>
              <w:adjustRightInd/>
              <w:jc w:val="center"/>
              <w:rPr>
                <w:color w:val="000000"/>
                <w:sz w:val="18"/>
                <w:szCs w:val="18"/>
              </w:rPr>
            </w:pPr>
            <w:r w:rsidRPr="00C3074F">
              <w:rPr>
                <w:color w:val="000000"/>
                <w:sz w:val="18"/>
                <w:szCs w:val="18"/>
              </w:rPr>
              <w:t>Greater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97478B7"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447BC14" w14:textId="77777777">
            <w:pPr>
              <w:widowControl/>
              <w:autoSpaceDE/>
              <w:autoSpaceDN/>
              <w:adjustRightInd/>
              <w:jc w:val="right"/>
              <w:rPr>
                <w:color w:val="000000"/>
                <w:sz w:val="18"/>
                <w:szCs w:val="18"/>
              </w:rPr>
            </w:pPr>
            <w:r w:rsidRPr="00C3074F">
              <w:rPr>
                <w:color w:val="000000"/>
                <w:sz w:val="18"/>
                <w:szCs w:val="18"/>
              </w:rPr>
              <w:t>11,572</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5F071C90"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450</w:t>
            </w:r>
          </w:p>
        </w:tc>
      </w:tr>
      <w:tr w:rsidRPr="00C3074F" w:rsidR="00C3074F" w:rsidTr="00C3074F" w14:paraId="0ADF6D54"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539F7689"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7935604" w14:textId="77777777">
            <w:pPr>
              <w:widowControl/>
              <w:autoSpaceDE/>
              <w:autoSpaceDN/>
              <w:adjustRightInd/>
              <w:jc w:val="center"/>
              <w:rPr>
                <w:color w:val="000000"/>
                <w:sz w:val="18"/>
                <w:szCs w:val="18"/>
              </w:rPr>
            </w:pPr>
            <w:r w:rsidRPr="00C3074F">
              <w:rPr>
                <w:color w:val="000000"/>
                <w:sz w:val="18"/>
                <w:szCs w:val="18"/>
              </w:rPr>
              <w:t>Over 1000</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A578EAD" w14:textId="77777777">
            <w:pPr>
              <w:widowControl/>
              <w:autoSpaceDE/>
              <w:autoSpaceDN/>
              <w:adjustRightInd/>
              <w:jc w:val="center"/>
              <w:rPr>
                <w:color w:val="000000"/>
                <w:sz w:val="18"/>
                <w:szCs w:val="18"/>
              </w:rPr>
            </w:pPr>
            <w:r w:rsidRPr="00C3074F">
              <w:rPr>
                <w:color w:val="000000"/>
                <w:sz w:val="18"/>
                <w:szCs w:val="18"/>
              </w:rPr>
              <w:t>Greater Than 10%</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C0957AA" w14:textId="77777777">
            <w:pPr>
              <w:widowControl/>
              <w:autoSpaceDE/>
              <w:autoSpaceDN/>
              <w:adjustRightInd/>
              <w:jc w:val="center"/>
              <w:rPr>
                <w:color w:val="000000"/>
                <w:sz w:val="18"/>
                <w:szCs w:val="18"/>
              </w:rPr>
            </w:pPr>
            <w:r w:rsidRPr="00C3074F">
              <w:rPr>
                <w:color w:val="000000"/>
                <w:sz w:val="18"/>
                <w:szCs w:val="18"/>
              </w:rPr>
              <w:t>NO</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D750646" w14:textId="77777777">
            <w:pPr>
              <w:widowControl/>
              <w:autoSpaceDE/>
              <w:autoSpaceDN/>
              <w:adjustRightInd/>
              <w:jc w:val="right"/>
              <w:rPr>
                <w:color w:val="000000"/>
                <w:sz w:val="18"/>
                <w:szCs w:val="18"/>
              </w:rPr>
            </w:pPr>
            <w:r w:rsidRPr="00C3074F">
              <w:rPr>
                <w:color w:val="000000"/>
                <w:sz w:val="18"/>
                <w:szCs w:val="18"/>
              </w:rPr>
              <w:t>4,839</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4D7E8C76"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469</w:t>
            </w:r>
          </w:p>
        </w:tc>
      </w:tr>
      <w:tr w:rsidRPr="00C3074F" w:rsidR="00C3074F" w:rsidTr="00C3074F" w14:paraId="6E8914A7"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3871D68E"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240D16B" w14:textId="77777777">
            <w:pPr>
              <w:widowControl/>
              <w:autoSpaceDE/>
              <w:autoSpaceDN/>
              <w:adjustRightInd/>
              <w:jc w:val="center"/>
              <w:rPr>
                <w:color w:val="000000"/>
                <w:sz w:val="18"/>
                <w:szCs w:val="18"/>
              </w:rPr>
            </w:pPr>
            <w:r w:rsidRPr="00C3074F">
              <w:rPr>
                <w:color w:val="000000"/>
                <w:sz w:val="18"/>
                <w:szCs w:val="18"/>
              </w:rPr>
              <w:t>1 to 19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BAEA275" w14:textId="77777777">
            <w:pPr>
              <w:widowControl/>
              <w:autoSpaceDE/>
              <w:autoSpaceDN/>
              <w:adjustRightInd/>
              <w:jc w:val="center"/>
              <w:rPr>
                <w:color w:val="000000"/>
                <w:sz w:val="18"/>
                <w:szCs w:val="18"/>
              </w:rPr>
            </w:pPr>
            <w:r w:rsidRPr="00C3074F">
              <w:rPr>
                <w:color w:val="000000"/>
                <w:sz w:val="18"/>
                <w:szCs w:val="18"/>
              </w:rPr>
              <w:t>ANY</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459B18E7" w14:textId="77777777">
            <w:pPr>
              <w:widowControl/>
              <w:autoSpaceDE/>
              <w:autoSpaceDN/>
              <w:adjustRightInd/>
              <w:jc w:val="center"/>
              <w:rPr>
                <w:color w:val="000000"/>
                <w:sz w:val="18"/>
                <w:szCs w:val="18"/>
              </w:rPr>
            </w:pPr>
            <w:r w:rsidRPr="00C3074F">
              <w:rPr>
                <w:color w:val="000000"/>
                <w:sz w:val="18"/>
                <w:szCs w:val="18"/>
              </w:rPr>
              <w:t>YES</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A1741CE" w14:textId="77777777">
            <w:pPr>
              <w:widowControl/>
              <w:autoSpaceDE/>
              <w:autoSpaceDN/>
              <w:adjustRightInd/>
              <w:jc w:val="right"/>
              <w:rPr>
                <w:color w:val="000000"/>
                <w:sz w:val="18"/>
                <w:szCs w:val="18"/>
              </w:rPr>
            </w:pPr>
            <w:r w:rsidRPr="00C3074F">
              <w:rPr>
                <w:color w:val="000000"/>
                <w:sz w:val="18"/>
                <w:szCs w:val="18"/>
              </w:rPr>
              <w:t>82,030</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19445BF9"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841</w:t>
            </w:r>
          </w:p>
        </w:tc>
      </w:tr>
      <w:tr w:rsidRPr="00C3074F" w:rsidR="00C3074F" w:rsidTr="00C3074F" w14:paraId="7D554838"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1BEA4986"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6136117" w14:textId="77777777">
            <w:pPr>
              <w:widowControl/>
              <w:autoSpaceDE/>
              <w:autoSpaceDN/>
              <w:adjustRightInd/>
              <w:jc w:val="center"/>
              <w:rPr>
                <w:color w:val="000000"/>
                <w:sz w:val="18"/>
                <w:szCs w:val="18"/>
              </w:rPr>
            </w:pPr>
            <w:r w:rsidRPr="00C3074F">
              <w:rPr>
                <w:color w:val="000000"/>
                <w:sz w:val="18"/>
                <w:szCs w:val="18"/>
              </w:rPr>
              <w:t>20 to 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08066CE" w14:textId="77777777">
            <w:pPr>
              <w:widowControl/>
              <w:autoSpaceDE/>
              <w:autoSpaceDN/>
              <w:adjustRightInd/>
              <w:jc w:val="center"/>
              <w:rPr>
                <w:color w:val="000000"/>
                <w:sz w:val="18"/>
                <w:szCs w:val="18"/>
              </w:rPr>
            </w:pPr>
            <w:r w:rsidRPr="00C3074F">
              <w:rPr>
                <w:color w:val="000000"/>
                <w:sz w:val="18"/>
                <w:szCs w:val="18"/>
              </w:rPr>
              <w:t>ANY</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48F4B032" w14:textId="77777777">
            <w:pPr>
              <w:widowControl/>
              <w:autoSpaceDE/>
              <w:autoSpaceDN/>
              <w:adjustRightInd/>
              <w:jc w:val="center"/>
              <w:rPr>
                <w:color w:val="000000"/>
                <w:sz w:val="18"/>
                <w:szCs w:val="18"/>
              </w:rPr>
            </w:pPr>
            <w:r w:rsidRPr="00C3074F">
              <w:rPr>
                <w:color w:val="000000"/>
                <w:sz w:val="18"/>
                <w:szCs w:val="18"/>
              </w:rPr>
              <w:t>YES</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E185351" w14:textId="77777777">
            <w:pPr>
              <w:widowControl/>
              <w:autoSpaceDE/>
              <w:autoSpaceDN/>
              <w:adjustRightInd/>
              <w:jc w:val="right"/>
              <w:rPr>
                <w:color w:val="000000"/>
                <w:sz w:val="18"/>
                <w:szCs w:val="18"/>
              </w:rPr>
            </w:pPr>
            <w:r w:rsidRPr="00C3074F">
              <w:rPr>
                <w:color w:val="000000"/>
                <w:sz w:val="18"/>
                <w:szCs w:val="18"/>
              </w:rPr>
              <w:t>90,295</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36412C82"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613</w:t>
            </w:r>
          </w:p>
        </w:tc>
      </w:tr>
      <w:tr w:rsidRPr="00C3074F" w:rsidR="00C3074F" w:rsidTr="00C3074F" w14:paraId="1E3A5DE0"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4BC09A1C"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6E4F120" w14:textId="77777777">
            <w:pPr>
              <w:widowControl/>
              <w:autoSpaceDE/>
              <w:autoSpaceDN/>
              <w:adjustRightInd/>
              <w:jc w:val="center"/>
              <w:rPr>
                <w:color w:val="000000"/>
                <w:sz w:val="18"/>
                <w:szCs w:val="18"/>
              </w:rPr>
            </w:pPr>
            <w:r w:rsidRPr="00C3074F">
              <w:rPr>
                <w:color w:val="000000"/>
                <w:sz w:val="18"/>
                <w:szCs w:val="18"/>
              </w:rPr>
              <w:t>100 to 299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8032102" w14:textId="77777777">
            <w:pPr>
              <w:widowControl/>
              <w:autoSpaceDE/>
              <w:autoSpaceDN/>
              <w:adjustRightInd/>
              <w:jc w:val="center"/>
              <w:rPr>
                <w:color w:val="000000"/>
                <w:sz w:val="18"/>
                <w:szCs w:val="18"/>
              </w:rPr>
            </w:pPr>
            <w:r w:rsidRPr="00C3074F">
              <w:rPr>
                <w:color w:val="000000"/>
                <w:sz w:val="18"/>
                <w:szCs w:val="18"/>
              </w:rPr>
              <w:t>ANY</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B160F08" w14:textId="77777777">
            <w:pPr>
              <w:widowControl/>
              <w:autoSpaceDE/>
              <w:autoSpaceDN/>
              <w:adjustRightInd/>
              <w:jc w:val="center"/>
              <w:rPr>
                <w:color w:val="000000"/>
                <w:sz w:val="18"/>
                <w:szCs w:val="18"/>
              </w:rPr>
            </w:pPr>
            <w:r w:rsidRPr="00C3074F">
              <w:rPr>
                <w:color w:val="000000"/>
                <w:sz w:val="18"/>
                <w:szCs w:val="18"/>
              </w:rPr>
              <w:t>YES</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84BA6C9" w14:textId="77777777">
            <w:pPr>
              <w:widowControl/>
              <w:autoSpaceDE/>
              <w:autoSpaceDN/>
              <w:adjustRightInd/>
              <w:jc w:val="right"/>
              <w:rPr>
                <w:color w:val="000000"/>
                <w:sz w:val="18"/>
                <w:szCs w:val="18"/>
              </w:rPr>
            </w:pPr>
            <w:r w:rsidRPr="00C3074F">
              <w:rPr>
                <w:color w:val="000000"/>
                <w:sz w:val="18"/>
                <w:szCs w:val="18"/>
              </w:rPr>
              <w:t>14,041</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294A30AE"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496</w:t>
            </w:r>
          </w:p>
        </w:tc>
      </w:tr>
      <w:tr w:rsidRPr="00C3074F" w:rsidR="00C3074F" w:rsidTr="00C3074F" w14:paraId="092CF448"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40302BF9"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313C1E2" w14:textId="77777777">
            <w:pPr>
              <w:widowControl/>
              <w:autoSpaceDE/>
              <w:autoSpaceDN/>
              <w:adjustRightInd/>
              <w:jc w:val="center"/>
              <w:rPr>
                <w:color w:val="000000"/>
                <w:sz w:val="18"/>
                <w:szCs w:val="18"/>
              </w:rPr>
            </w:pPr>
            <w:r w:rsidRPr="00C3074F">
              <w:rPr>
                <w:color w:val="000000"/>
                <w:sz w:val="18"/>
                <w:szCs w:val="18"/>
              </w:rPr>
              <w:t>300 to 999</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801A715" w14:textId="77777777">
            <w:pPr>
              <w:widowControl/>
              <w:autoSpaceDE/>
              <w:autoSpaceDN/>
              <w:adjustRightInd/>
              <w:jc w:val="center"/>
              <w:rPr>
                <w:color w:val="000000"/>
                <w:sz w:val="18"/>
                <w:szCs w:val="18"/>
              </w:rPr>
            </w:pPr>
            <w:r w:rsidRPr="00C3074F">
              <w:rPr>
                <w:color w:val="000000"/>
                <w:sz w:val="18"/>
                <w:szCs w:val="18"/>
              </w:rPr>
              <w:t>ANY</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273C25E" w14:textId="77777777">
            <w:pPr>
              <w:widowControl/>
              <w:autoSpaceDE/>
              <w:autoSpaceDN/>
              <w:adjustRightInd/>
              <w:jc w:val="center"/>
              <w:rPr>
                <w:color w:val="000000"/>
                <w:sz w:val="18"/>
                <w:szCs w:val="18"/>
              </w:rPr>
            </w:pPr>
            <w:r w:rsidRPr="00C3074F">
              <w:rPr>
                <w:color w:val="000000"/>
                <w:sz w:val="18"/>
                <w:szCs w:val="18"/>
              </w:rPr>
              <w:t>YES</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DF48629" w14:textId="77777777">
            <w:pPr>
              <w:widowControl/>
              <w:autoSpaceDE/>
              <w:autoSpaceDN/>
              <w:adjustRightInd/>
              <w:jc w:val="right"/>
              <w:rPr>
                <w:color w:val="000000"/>
                <w:sz w:val="18"/>
                <w:szCs w:val="18"/>
              </w:rPr>
            </w:pPr>
            <w:r w:rsidRPr="00C3074F">
              <w:rPr>
                <w:color w:val="000000"/>
                <w:sz w:val="18"/>
                <w:szCs w:val="18"/>
              </w:rPr>
              <w:t>2,198</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08CBB009"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441</w:t>
            </w:r>
          </w:p>
        </w:tc>
      </w:tr>
      <w:tr w:rsidRPr="00C3074F" w:rsidR="00C3074F" w:rsidTr="00C3074F" w14:paraId="2DC1598C" w14:textId="77777777">
        <w:trPr>
          <w:trHeight w:val="290"/>
        </w:trPr>
        <w:tc>
          <w:tcPr>
            <w:tcW w:w="1308" w:type="dxa"/>
            <w:vMerge/>
            <w:tcBorders>
              <w:top w:val="nil"/>
              <w:left w:val="single" w:color="auto" w:sz="4" w:space="0"/>
              <w:bottom w:val="single" w:color="auto" w:sz="4" w:space="0"/>
              <w:right w:val="single" w:color="auto" w:sz="4" w:space="0"/>
            </w:tcBorders>
            <w:vAlign w:val="center"/>
            <w:hideMark/>
          </w:tcPr>
          <w:p w:rsidRPr="00C3074F" w:rsidR="00C3074F" w:rsidP="00C3074F" w:rsidRDefault="00C3074F" w14:paraId="1CA42BAD" w14:textId="77777777">
            <w:pPr>
              <w:widowControl/>
              <w:autoSpaceDE/>
              <w:autoSpaceDN/>
              <w:adjustRightInd/>
              <w:rPr>
                <w:color w:val="000000"/>
                <w:sz w:val="18"/>
                <w:szCs w:val="18"/>
              </w:rPr>
            </w:pP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612C4431" w14:textId="77777777">
            <w:pPr>
              <w:widowControl/>
              <w:autoSpaceDE/>
              <w:autoSpaceDN/>
              <w:adjustRightInd/>
              <w:jc w:val="center"/>
              <w:rPr>
                <w:color w:val="000000"/>
                <w:sz w:val="18"/>
                <w:szCs w:val="18"/>
              </w:rPr>
            </w:pPr>
            <w:r w:rsidRPr="00C3074F">
              <w:rPr>
                <w:color w:val="000000"/>
                <w:sz w:val="18"/>
                <w:szCs w:val="18"/>
              </w:rPr>
              <w:t>Over 1000</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A40FC6A" w14:textId="77777777">
            <w:pPr>
              <w:widowControl/>
              <w:autoSpaceDE/>
              <w:autoSpaceDN/>
              <w:adjustRightInd/>
              <w:jc w:val="center"/>
              <w:rPr>
                <w:color w:val="000000"/>
                <w:sz w:val="18"/>
                <w:szCs w:val="18"/>
              </w:rPr>
            </w:pPr>
            <w:r w:rsidRPr="00C3074F">
              <w:rPr>
                <w:color w:val="000000"/>
                <w:sz w:val="18"/>
                <w:szCs w:val="18"/>
              </w:rPr>
              <w:t>ANY</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A206EF0" w14:textId="77777777">
            <w:pPr>
              <w:widowControl/>
              <w:autoSpaceDE/>
              <w:autoSpaceDN/>
              <w:adjustRightInd/>
              <w:jc w:val="center"/>
              <w:rPr>
                <w:color w:val="000000"/>
                <w:sz w:val="18"/>
                <w:szCs w:val="18"/>
              </w:rPr>
            </w:pPr>
            <w:r w:rsidRPr="00C3074F">
              <w:rPr>
                <w:color w:val="000000"/>
                <w:sz w:val="18"/>
                <w:szCs w:val="18"/>
              </w:rPr>
              <w:t>YES</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94CAD8D" w14:textId="77777777">
            <w:pPr>
              <w:widowControl/>
              <w:autoSpaceDE/>
              <w:autoSpaceDN/>
              <w:adjustRightInd/>
              <w:jc w:val="right"/>
              <w:rPr>
                <w:color w:val="000000"/>
                <w:sz w:val="18"/>
                <w:szCs w:val="18"/>
              </w:rPr>
            </w:pPr>
            <w:r w:rsidRPr="00C3074F">
              <w:rPr>
                <w:color w:val="000000"/>
                <w:sz w:val="18"/>
                <w:szCs w:val="18"/>
              </w:rPr>
              <w:t>924</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4DAAD52F"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453</w:t>
            </w:r>
          </w:p>
        </w:tc>
      </w:tr>
      <w:tr w:rsidRPr="00C3074F" w:rsidR="00C3074F" w:rsidTr="00C3074F" w14:paraId="0709F0D4" w14:textId="77777777">
        <w:trPr>
          <w:trHeight w:val="290"/>
        </w:trPr>
        <w:tc>
          <w:tcPr>
            <w:tcW w:w="1308" w:type="dxa"/>
            <w:tcBorders>
              <w:top w:val="nil"/>
              <w:left w:val="single" w:color="auto" w:sz="4" w:space="0"/>
              <w:bottom w:val="single" w:color="auto" w:sz="4" w:space="0"/>
              <w:right w:val="single" w:color="auto" w:sz="4" w:space="0"/>
            </w:tcBorders>
            <w:shd w:val="clear" w:color="auto" w:fill="auto"/>
            <w:noWrap/>
            <w:vAlign w:val="center"/>
            <w:hideMark/>
          </w:tcPr>
          <w:p w:rsidRPr="00C3074F" w:rsidR="00C3074F" w:rsidP="00C3074F" w:rsidRDefault="00C3074F" w14:paraId="6D9511CB" w14:textId="77777777">
            <w:pPr>
              <w:widowControl/>
              <w:autoSpaceDE/>
              <w:autoSpaceDN/>
              <w:adjustRightInd/>
              <w:jc w:val="center"/>
              <w:rPr>
                <w:color w:val="000000"/>
                <w:sz w:val="18"/>
                <w:szCs w:val="18"/>
              </w:rPr>
            </w:pPr>
            <w:r w:rsidRPr="00C3074F">
              <w:rPr>
                <w:color w:val="000000"/>
                <w:sz w:val="18"/>
                <w:szCs w:val="18"/>
              </w:rPr>
              <w:t>Form 944</w:t>
            </w: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0AD892F5" w14:textId="77777777">
            <w:pPr>
              <w:widowControl/>
              <w:autoSpaceDE/>
              <w:autoSpaceDN/>
              <w:adjustRightInd/>
              <w:jc w:val="center"/>
              <w:rPr>
                <w:color w:val="000000"/>
                <w:sz w:val="18"/>
                <w:szCs w:val="18"/>
              </w:rPr>
            </w:pPr>
            <w:r w:rsidRPr="00C3074F">
              <w:rPr>
                <w:color w:val="000000"/>
                <w:sz w:val="18"/>
                <w:szCs w:val="18"/>
              </w:rPr>
              <w:t>ANY</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18A7E5F" w14:textId="77777777">
            <w:pPr>
              <w:widowControl/>
              <w:autoSpaceDE/>
              <w:autoSpaceDN/>
              <w:adjustRightInd/>
              <w:jc w:val="center"/>
              <w:rPr>
                <w:color w:val="000000"/>
                <w:sz w:val="18"/>
                <w:szCs w:val="18"/>
              </w:rPr>
            </w:pPr>
            <w:r w:rsidRPr="00C3074F">
              <w:rPr>
                <w:color w:val="000000"/>
                <w:sz w:val="18"/>
                <w:szCs w:val="18"/>
              </w:rPr>
              <w:t>ANY</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291ED349" w14:textId="77777777">
            <w:pPr>
              <w:widowControl/>
              <w:autoSpaceDE/>
              <w:autoSpaceDN/>
              <w:adjustRightInd/>
              <w:jc w:val="center"/>
              <w:rPr>
                <w:color w:val="000000"/>
                <w:sz w:val="18"/>
                <w:szCs w:val="18"/>
              </w:rPr>
            </w:pPr>
            <w:r w:rsidRPr="00C3074F">
              <w:rPr>
                <w:color w:val="000000"/>
                <w:sz w:val="18"/>
                <w:szCs w:val="18"/>
              </w:rPr>
              <w:t>ANY</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1E9C6A05" w14:textId="77777777">
            <w:pPr>
              <w:widowControl/>
              <w:autoSpaceDE/>
              <w:autoSpaceDN/>
              <w:adjustRightInd/>
              <w:jc w:val="right"/>
              <w:rPr>
                <w:color w:val="000000"/>
                <w:sz w:val="18"/>
                <w:szCs w:val="18"/>
              </w:rPr>
            </w:pPr>
            <w:r w:rsidRPr="00C3074F">
              <w:rPr>
                <w:color w:val="000000"/>
                <w:sz w:val="18"/>
                <w:szCs w:val="18"/>
              </w:rPr>
              <w:t>31,693</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719BF4C4"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472</w:t>
            </w:r>
          </w:p>
        </w:tc>
      </w:tr>
      <w:tr w:rsidRPr="00C3074F" w:rsidR="00C3074F" w:rsidTr="00C3074F" w14:paraId="2801185E" w14:textId="77777777">
        <w:trPr>
          <w:trHeight w:val="290"/>
        </w:trPr>
        <w:tc>
          <w:tcPr>
            <w:tcW w:w="1308" w:type="dxa"/>
            <w:tcBorders>
              <w:top w:val="nil"/>
              <w:left w:val="single" w:color="auto" w:sz="4" w:space="0"/>
              <w:bottom w:val="single" w:color="auto" w:sz="4" w:space="0"/>
              <w:right w:val="single" w:color="auto" w:sz="4" w:space="0"/>
            </w:tcBorders>
            <w:shd w:val="clear" w:color="auto" w:fill="auto"/>
            <w:noWrap/>
            <w:vAlign w:val="center"/>
            <w:hideMark/>
          </w:tcPr>
          <w:p w:rsidRPr="00C3074F" w:rsidR="00C3074F" w:rsidP="00C3074F" w:rsidRDefault="00C3074F" w14:paraId="23689E9A" w14:textId="77777777">
            <w:pPr>
              <w:widowControl/>
              <w:autoSpaceDE/>
              <w:autoSpaceDN/>
              <w:adjustRightInd/>
              <w:jc w:val="center"/>
              <w:rPr>
                <w:color w:val="000000"/>
                <w:sz w:val="18"/>
                <w:szCs w:val="18"/>
              </w:rPr>
            </w:pPr>
            <w:r w:rsidRPr="00C3074F">
              <w:rPr>
                <w:color w:val="000000"/>
                <w:sz w:val="18"/>
                <w:szCs w:val="18"/>
              </w:rPr>
              <w:t>Form 943</w:t>
            </w:r>
          </w:p>
        </w:tc>
        <w:tc>
          <w:tcPr>
            <w:tcW w:w="149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7F994C83" w14:textId="77777777">
            <w:pPr>
              <w:widowControl/>
              <w:autoSpaceDE/>
              <w:autoSpaceDN/>
              <w:adjustRightInd/>
              <w:jc w:val="center"/>
              <w:rPr>
                <w:color w:val="000000"/>
                <w:sz w:val="18"/>
                <w:szCs w:val="18"/>
              </w:rPr>
            </w:pPr>
            <w:r w:rsidRPr="00C3074F">
              <w:rPr>
                <w:color w:val="000000"/>
                <w:sz w:val="18"/>
                <w:szCs w:val="18"/>
              </w:rPr>
              <w:t>ANY</w:t>
            </w:r>
          </w:p>
        </w:tc>
        <w:tc>
          <w:tcPr>
            <w:tcW w:w="1816"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3719443D" w14:textId="77777777">
            <w:pPr>
              <w:widowControl/>
              <w:autoSpaceDE/>
              <w:autoSpaceDN/>
              <w:adjustRightInd/>
              <w:jc w:val="center"/>
              <w:rPr>
                <w:color w:val="000000"/>
                <w:sz w:val="18"/>
                <w:szCs w:val="18"/>
              </w:rPr>
            </w:pPr>
            <w:r w:rsidRPr="00C3074F">
              <w:rPr>
                <w:color w:val="000000"/>
                <w:sz w:val="18"/>
                <w:szCs w:val="18"/>
              </w:rPr>
              <w:t>ANY</w:t>
            </w:r>
          </w:p>
        </w:tc>
        <w:tc>
          <w:tcPr>
            <w:tcW w:w="603"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F5B9B5F" w14:textId="77777777">
            <w:pPr>
              <w:widowControl/>
              <w:autoSpaceDE/>
              <w:autoSpaceDN/>
              <w:adjustRightInd/>
              <w:jc w:val="center"/>
              <w:rPr>
                <w:color w:val="000000"/>
                <w:sz w:val="18"/>
                <w:szCs w:val="18"/>
              </w:rPr>
            </w:pPr>
            <w:r w:rsidRPr="00C3074F">
              <w:rPr>
                <w:color w:val="000000"/>
                <w:sz w:val="18"/>
                <w:szCs w:val="18"/>
              </w:rPr>
              <w:t>ANY</w:t>
            </w:r>
          </w:p>
        </w:tc>
        <w:tc>
          <w:tcPr>
            <w:tcW w:w="1060" w:type="dxa"/>
            <w:tcBorders>
              <w:top w:val="nil"/>
              <w:left w:val="nil"/>
              <w:bottom w:val="single" w:color="auto" w:sz="4" w:space="0"/>
              <w:right w:val="single" w:color="auto" w:sz="4" w:space="0"/>
            </w:tcBorders>
            <w:shd w:val="clear" w:color="auto" w:fill="auto"/>
            <w:noWrap/>
            <w:vAlign w:val="center"/>
            <w:hideMark/>
          </w:tcPr>
          <w:p w:rsidRPr="00C3074F" w:rsidR="00C3074F" w:rsidP="00C3074F" w:rsidRDefault="00C3074F" w14:paraId="586462BA" w14:textId="77777777">
            <w:pPr>
              <w:widowControl/>
              <w:autoSpaceDE/>
              <w:autoSpaceDN/>
              <w:adjustRightInd/>
              <w:jc w:val="right"/>
              <w:rPr>
                <w:color w:val="000000"/>
                <w:sz w:val="18"/>
                <w:szCs w:val="18"/>
              </w:rPr>
            </w:pPr>
            <w:r w:rsidRPr="00C3074F">
              <w:rPr>
                <w:color w:val="000000"/>
                <w:sz w:val="18"/>
                <w:szCs w:val="18"/>
              </w:rPr>
              <w:t>75,426</w:t>
            </w:r>
          </w:p>
        </w:tc>
        <w:tc>
          <w:tcPr>
            <w:tcW w:w="977" w:type="dxa"/>
            <w:tcBorders>
              <w:top w:val="nil"/>
              <w:left w:val="nil"/>
              <w:bottom w:val="single" w:color="auto" w:sz="4" w:space="0"/>
              <w:right w:val="single" w:color="auto" w:sz="4" w:space="0"/>
            </w:tcBorders>
            <w:shd w:val="clear" w:color="auto" w:fill="auto"/>
            <w:noWrap/>
            <w:vAlign w:val="bottom"/>
            <w:hideMark/>
          </w:tcPr>
          <w:p w:rsidRPr="00C3074F" w:rsidR="00C3074F" w:rsidP="00C3074F" w:rsidRDefault="00C3074F" w14:paraId="1E2C63E5"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402</w:t>
            </w:r>
          </w:p>
        </w:tc>
      </w:tr>
      <w:tr w:rsidRPr="00C3074F" w:rsidR="00C3074F" w:rsidTr="007D7E52" w14:paraId="74A52CD9" w14:textId="77777777">
        <w:trPr>
          <w:trHeight w:val="300"/>
        </w:trPr>
        <w:tc>
          <w:tcPr>
            <w:tcW w:w="1308" w:type="dxa"/>
            <w:tcBorders>
              <w:top w:val="nil"/>
              <w:left w:val="nil"/>
              <w:bottom w:val="nil"/>
              <w:right w:val="nil"/>
            </w:tcBorders>
            <w:shd w:val="clear" w:color="auto" w:fill="auto"/>
            <w:noWrap/>
            <w:vAlign w:val="bottom"/>
            <w:hideMark/>
          </w:tcPr>
          <w:p w:rsidRPr="00C3074F" w:rsidR="00C3074F" w:rsidP="00C3074F" w:rsidRDefault="00C3074F" w14:paraId="4D108F43" w14:textId="77777777">
            <w:pPr>
              <w:widowControl/>
              <w:autoSpaceDE/>
              <w:autoSpaceDN/>
              <w:adjustRightInd/>
              <w:jc w:val="right"/>
              <w:rPr>
                <w:rFonts w:ascii="Calibri" w:hAnsi="Calibri"/>
                <w:color w:val="000000"/>
                <w:sz w:val="18"/>
                <w:szCs w:val="18"/>
              </w:rPr>
            </w:pPr>
          </w:p>
        </w:tc>
        <w:tc>
          <w:tcPr>
            <w:tcW w:w="1490" w:type="dxa"/>
            <w:tcBorders>
              <w:top w:val="nil"/>
              <w:left w:val="nil"/>
              <w:bottom w:val="nil"/>
              <w:right w:val="nil"/>
            </w:tcBorders>
            <w:shd w:val="clear" w:color="auto" w:fill="auto"/>
            <w:noWrap/>
            <w:vAlign w:val="bottom"/>
            <w:hideMark/>
          </w:tcPr>
          <w:p w:rsidRPr="00C3074F" w:rsidR="00C3074F" w:rsidP="00C3074F" w:rsidRDefault="00C3074F" w14:paraId="0F54D143" w14:textId="77777777">
            <w:pPr>
              <w:widowControl/>
              <w:autoSpaceDE/>
              <w:autoSpaceDN/>
              <w:adjustRightInd/>
              <w:rPr>
                <w:sz w:val="20"/>
                <w:szCs w:val="20"/>
              </w:rPr>
            </w:pPr>
          </w:p>
        </w:tc>
        <w:tc>
          <w:tcPr>
            <w:tcW w:w="1816" w:type="dxa"/>
            <w:tcBorders>
              <w:top w:val="nil"/>
              <w:left w:val="nil"/>
              <w:bottom w:val="nil"/>
              <w:right w:val="nil"/>
            </w:tcBorders>
            <w:shd w:val="clear" w:color="auto" w:fill="auto"/>
            <w:noWrap/>
            <w:vAlign w:val="bottom"/>
            <w:hideMark/>
          </w:tcPr>
          <w:p w:rsidRPr="00C3074F" w:rsidR="00C3074F" w:rsidP="00C3074F" w:rsidRDefault="00C3074F" w14:paraId="43ECBB99" w14:textId="77777777">
            <w:pPr>
              <w:widowControl/>
              <w:autoSpaceDE/>
              <w:autoSpaceDN/>
              <w:adjustRightInd/>
              <w:rPr>
                <w:sz w:val="20"/>
                <w:szCs w:val="20"/>
              </w:rPr>
            </w:pPr>
          </w:p>
        </w:tc>
        <w:tc>
          <w:tcPr>
            <w:tcW w:w="603" w:type="dxa"/>
            <w:tcBorders>
              <w:top w:val="nil"/>
              <w:left w:val="nil"/>
              <w:bottom w:val="nil"/>
              <w:right w:val="nil"/>
            </w:tcBorders>
            <w:shd w:val="clear" w:color="auto" w:fill="auto"/>
            <w:noWrap/>
            <w:vAlign w:val="bottom"/>
            <w:hideMark/>
          </w:tcPr>
          <w:p w:rsidRPr="00C3074F" w:rsidR="00C3074F" w:rsidP="00C3074F" w:rsidRDefault="00C3074F" w14:paraId="6BE5C8A0"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C3074F" w:rsidR="00C3074F" w:rsidP="00C3074F" w:rsidRDefault="00C3074F" w14:paraId="694E9F7A" w14:textId="77777777">
            <w:pPr>
              <w:widowControl/>
              <w:autoSpaceDE/>
              <w:autoSpaceDN/>
              <w:adjustRightInd/>
              <w:rPr>
                <w:sz w:val="20"/>
                <w:szCs w:val="20"/>
              </w:rPr>
            </w:pPr>
          </w:p>
        </w:tc>
        <w:tc>
          <w:tcPr>
            <w:tcW w:w="977" w:type="dxa"/>
            <w:tcBorders>
              <w:top w:val="nil"/>
              <w:left w:val="single" w:color="auto" w:sz="4" w:space="0"/>
              <w:bottom w:val="nil"/>
              <w:right w:val="single" w:color="auto" w:sz="4" w:space="0"/>
            </w:tcBorders>
            <w:shd w:val="clear" w:color="auto" w:fill="auto"/>
            <w:noWrap/>
            <w:vAlign w:val="bottom"/>
            <w:hideMark/>
          </w:tcPr>
          <w:p w:rsidRPr="00C3074F" w:rsidR="00C3074F" w:rsidP="00C3074F" w:rsidRDefault="00C3074F" w14:paraId="0849072E" w14:textId="77777777">
            <w:pPr>
              <w:widowControl/>
              <w:autoSpaceDE/>
              <w:autoSpaceDN/>
              <w:adjustRightInd/>
              <w:jc w:val="right"/>
              <w:rPr>
                <w:rFonts w:ascii="Calibri" w:hAnsi="Calibri"/>
                <w:color w:val="000000"/>
                <w:sz w:val="18"/>
                <w:szCs w:val="18"/>
              </w:rPr>
            </w:pPr>
            <w:r w:rsidRPr="00C3074F">
              <w:rPr>
                <w:rFonts w:ascii="Calibri" w:hAnsi="Calibri"/>
                <w:color w:val="000000"/>
                <w:sz w:val="18"/>
                <w:szCs w:val="18"/>
              </w:rPr>
              <w:t>15,000</w:t>
            </w:r>
          </w:p>
        </w:tc>
      </w:tr>
      <w:tr w:rsidRPr="00C3074F" w:rsidR="007B5838" w:rsidTr="00C3074F" w14:paraId="46559BE7" w14:textId="77777777">
        <w:trPr>
          <w:trHeight w:val="300"/>
        </w:trPr>
        <w:tc>
          <w:tcPr>
            <w:tcW w:w="1308" w:type="dxa"/>
            <w:tcBorders>
              <w:top w:val="nil"/>
              <w:left w:val="nil"/>
              <w:bottom w:val="nil"/>
              <w:right w:val="nil"/>
            </w:tcBorders>
            <w:shd w:val="clear" w:color="auto" w:fill="auto"/>
            <w:noWrap/>
            <w:vAlign w:val="bottom"/>
          </w:tcPr>
          <w:p w:rsidRPr="00C3074F" w:rsidR="007B5838" w:rsidP="00C3074F" w:rsidRDefault="007B5838" w14:paraId="2FBBFAF8" w14:textId="77777777">
            <w:pPr>
              <w:widowControl/>
              <w:autoSpaceDE/>
              <w:autoSpaceDN/>
              <w:adjustRightInd/>
              <w:jc w:val="right"/>
              <w:rPr>
                <w:rFonts w:ascii="Calibri" w:hAnsi="Calibri"/>
                <w:color w:val="000000"/>
                <w:sz w:val="18"/>
                <w:szCs w:val="18"/>
              </w:rPr>
            </w:pPr>
          </w:p>
        </w:tc>
        <w:tc>
          <w:tcPr>
            <w:tcW w:w="1490" w:type="dxa"/>
            <w:tcBorders>
              <w:top w:val="nil"/>
              <w:left w:val="nil"/>
              <w:bottom w:val="nil"/>
              <w:right w:val="nil"/>
            </w:tcBorders>
            <w:shd w:val="clear" w:color="auto" w:fill="auto"/>
            <w:noWrap/>
            <w:vAlign w:val="bottom"/>
          </w:tcPr>
          <w:p w:rsidRPr="00C3074F" w:rsidR="007B5838" w:rsidP="00C3074F" w:rsidRDefault="007B5838" w14:paraId="5997CE37" w14:textId="77777777">
            <w:pPr>
              <w:widowControl/>
              <w:autoSpaceDE/>
              <w:autoSpaceDN/>
              <w:adjustRightInd/>
              <w:rPr>
                <w:sz w:val="20"/>
                <w:szCs w:val="20"/>
              </w:rPr>
            </w:pPr>
          </w:p>
        </w:tc>
        <w:tc>
          <w:tcPr>
            <w:tcW w:w="1816" w:type="dxa"/>
            <w:tcBorders>
              <w:top w:val="nil"/>
              <w:left w:val="nil"/>
              <w:bottom w:val="nil"/>
              <w:right w:val="nil"/>
            </w:tcBorders>
            <w:shd w:val="clear" w:color="auto" w:fill="auto"/>
            <w:noWrap/>
            <w:vAlign w:val="bottom"/>
          </w:tcPr>
          <w:p w:rsidRPr="00C3074F" w:rsidR="007B5838" w:rsidP="00C3074F" w:rsidRDefault="007B5838" w14:paraId="2FCEF0D1" w14:textId="77777777">
            <w:pPr>
              <w:widowControl/>
              <w:autoSpaceDE/>
              <w:autoSpaceDN/>
              <w:adjustRightInd/>
              <w:rPr>
                <w:sz w:val="20"/>
                <w:szCs w:val="20"/>
              </w:rPr>
            </w:pPr>
          </w:p>
        </w:tc>
        <w:tc>
          <w:tcPr>
            <w:tcW w:w="603" w:type="dxa"/>
            <w:tcBorders>
              <w:top w:val="nil"/>
              <w:left w:val="nil"/>
              <w:bottom w:val="nil"/>
              <w:right w:val="nil"/>
            </w:tcBorders>
            <w:shd w:val="clear" w:color="auto" w:fill="auto"/>
            <w:noWrap/>
            <w:vAlign w:val="bottom"/>
          </w:tcPr>
          <w:p w:rsidRPr="00C3074F" w:rsidR="007B5838" w:rsidP="00C3074F" w:rsidRDefault="007B5838" w14:paraId="30F95DCA"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tcPr>
          <w:p w:rsidRPr="00C3074F" w:rsidR="007B5838" w:rsidP="00C3074F" w:rsidRDefault="007B5838" w14:paraId="698FDC62" w14:textId="77777777">
            <w:pPr>
              <w:widowControl/>
              <w:autoSpaceDE/>
              <w:autoSpaceDN/>
              <w:adjustRightInd/>
              <w:rPr>
                <w:sz w:val="20"/>
                <w:szCs w:val="20"/>
              </w:rPr>
            </w:pPr>
          </w:p>
        </w:tc>
        <w:tc>
          <w:tcPr>
            <w:tcW w:w="977" w:type="dxa"/>
            <w:tcBorders>
              <w:top w:val="nil"/>
              <w:left w:val="single" w:color="auto" w:sz="4" w:space="0"/>
              <w:bottom w:val="single" w:color="auto" w:sz="4" w:space="0"/>
              <w:right w:val="single" w:color="auto" w:sz="4" w:space="0"/>
            </w:tcBorders>
            <w:shd w:val="clear" w:color="auto" w:fill="auto"/>
            <w:noWrap/>
            <w:vAlign w:val="bottom"/>
          </w:tcPr>
          <w:p w:rsidRPr="00C3074F" w:rsidR="007B5838" w:rsidP="00C3074F" w:rsidRDefault="007B5838" w14:paraId="4F0678D0" w14:textId="77777777">
            <w:pPr>
              <w:widowControl/>
              <w:autoSpaceDE/>
              <w:autoSpaceDN/>
              <w:adjustRightInd/>
              <w:jc w:val="right"/>
              <w:rPr>
                <w:rFonts w:ascii="Calibri" w:hAnsi="Calibri"/>
                <w:color w:val="000000"/>
                <w:sz w:val="18"/>
                <w:szCs w:val="18"/>
              </w:rPr>
            </w:pPr>
          </w:p>
        </w:tc>
      </w:tr>
    </w:tbl>
    <w:p w:rsidR="007B5838" w:rsidP="00A754A7" w:rsidRDefault="007B5838" w14:paraId="199AE7EF" w14:textId="77777777">
      <w:pPr>
        <w:rPr>
          <w:b/>
          <w:sz w:val="18"/>
          <w:szCs w:val="18"/>
        </w:rPr>
      </w:pPr>
    </w:p>
    <w:p w:rsidRPr="00A754A7" w:rsidR="00167587" w:rsidP="00A754A7" w:rsidRDefault="007B46FC" w14:paraId="7FB6896C" w14:textId="5D4ACCAD">
      <w:pPr>
        <w:rPr>
          <w:b/>
          <w:sz w:val="18"/>
          <w:szCs w:val="18"/>
        </w:rPr>
      </w:pPr>
      <w:r w:rsidRPr="00A754A7">
        <w:rPr>
          <w:b/>
          <w:sz w:val="18"/>
          <w:szCs w:val="18"/>
        </w:rPr>
        <w:t xml:space="preserve">Table </w:t>
      </w:r>
      <w:r w:rsidRPr="00A754A7" w:rsidR="00C3074F">
        <w:rPr>
          <w:b/>
          <w:sz w:val="18"/>
          <w:szCs w:val="18"/>
        </w:rPr>
        <w:t>7</w:t>
      </w:r>
      <w:r w:rsidRPr="00A754A7" w:rsidR="0050623E">
        <w:rPr>
          <w:b/>
          <w:sz w:val="18"/>
          <w:szCs w:val="18"/>
        </w:rPr>
        <w:t xml:space="preserve"> – 2</w:t>
      </w:r>
      <w:r w:rsidRPr="00A754A7" w:rsidR="001B759C">
        <w:rPr>
          <w:b/>
          <w:sz w:val="18"/>
          <w:szCs w:val="18"/>
        </w:rPr>
        <w:t>020 Estate Tax Burden</w:t>
      </w:r>
      <w:r w:rsidRPr="00A754A7" w:rsidR="001A1782">
        <w:rPr>
          <w:b/>
          <w:sz w:val="18"/>
          <w:szCs w:val="18"/>
        </w:rPr>
        <w:t xml:space="preserve"> Survey</w:t>
      </w:r>
    </w:p>
    <w:p w:rsidRPr="008B503E" w:rsidR="001B759C" w:rsidP="00167587" w:rsidRDefault="00E42119" w14:paraId="18C2F989" w14:textId="0422D0FA">
      <w:pPr>
        <w:rPr>
          <w:sz w:val="18"/>
          <w:szCs w:val="18"/>
        </w:rPr>
      </w:pPr>
      <w:r>
        <w:rPr>
          <w:b/>
          <w:noProof/>
          <w:sz w:val="18"/>
          <w:szCs w:val="18"/>
        </w:rPr>
        <w:drawing>
          <wp:inline distT="0" distB="0" distL="0" distR="0" wp14:anchorId="5F3E0853" wp14:editId="5F456439">
            <wp:extent cx="4646930" cy="2429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6930" cy="2429510"/>
                    </a:xfrm>
                    <a:prstGeom prst="rect">
                      <a:avLst/>
                    </a:prstGeom>
                    <a:noFill/>
                    <a:ln>
                      <a:noFill/>
                    </a:ln>
                  </pic:spPr>
                </pic:pic>
              </a:graphicData>
            </a:graphic>
          </wp:inline>
        </w:drawing>
      </w:r>
    </w:p>
    <w:p w:rsidRPr="00910881" w:rsidR="001B759C" w:rsidP="00167587" w:rsidRDefault="001B759C" w14:paraId="0AEBB5A5" w14:textId="77777777">
      <w:pPr>
        <w:rPr>
          <w:color w:val="FF0000"/>
          <w:sz w:val="18"/>
          <w:szCs w:val="18"/>
        </w:rPr>
      </w:pPr>
    </w:p>
    <w:p w:rsidR="00EB1EF9" w:rsidP="00167587" w:rsidRDefault="00EB1EF9" w14:paraId="0FA42940" w14:textId="77777777">
      <w:pPr>
        <w:rPr>
          <w:b/>
          <w:sz w:val="18"/>
          <w:szCs w:val="18"/>
        </w:rPr>
      </w:pPr>
    </w:p>
    <w:p w:rsidR="00EB1EF9" w:rsidP="00167587" w:rsidRDefault="00EB1EF9" w14:paraId="27CF3978" w14:textId="77777777">
      <w:pPr>
        <w:rPr>
          <w:b/>
          <w:sz w:val="18"/>
          <w:szCs w:val="18"/>
        </w:rPr>
      </w:pPr>
    </w:p>
    <w:p w:rsidR="00EB1EF9" w:rsidP="00167587" w:rsidRDefault="00EB1EF9" w14:paraId="53DC736E" w14:textId="77777777">
      <w:pPr>
        <w:rPr>
          <w:b/>
          <w:sz w:val="18"/>
          <w:szCs w:val="18"/>
        </w:rPr>
      </w:pPr>
    </w:p>
    <w:p w:rsidRPr="00E84543" w:rsidR="001B759C" w:rsidP="00167587" w:rsidRDefault="007B46FC" w14:paraId="35913498" w14:textId="77777777">
      <w:pPr>
        <w:rPr>
          <w:b/>
          <w:sz w:val="18"/>
          <w:szCs w:val="18"/>
        </w:rPr>
      </w:pPr>
      <w:r w:rsidRPr="00E84543">
        <w:rPr>
          <w:b/>
          <w:sz w:val="18"/>
          <w:szCs w:val="18"/>
        </w:rPr>
        <w:lastRenderedPageBreak/>
        <w:t xml:space="preserve">Table </w:t>
      </w:r>
      <w:r w:rsidR="00C3074F">
        <w:rPr>
          <w:b/>
          <w:sz w:val="18"/>
          <w:szCs w:val="18"/>
        </w:rPr>
        <w:t>8</w:t>
      </w:r>
      <w:r w:rsidRPr="00E84543" w:rsidR="0050623E">
        <w:rPr>
          <w:b/>
          <w:sz w:val="18"/>
          <w:szCs w:val="18"/>
        </w:rPr>
        <w:t xml:space="preserve"> – 2</w:t>
      </w:r>
      <w:r w:rsidRPr="00E84543" w:rsidR="001B759C">
        <w:rPr>
          <w:b/>
          <w:sz w:val="18"/>
          <w:szCs w:val="18"/>
        </w:rPr>
        <w:t>020 Gift Tax Burden</w:t>
      </w:r>
      <w:r w:rsidRPr="00E84543" w:rsidR="001A1782">
        <w:rPr>
          <w:b/>
          <w:sz w:val="18"/>
          <w:szCs w:val="18"/>
        </w:rPr>
        <w:t xml:space="preserve"> Survey</w:t>
      </w:r>
    </w:p>
    <w:p w:rsidRPr="00910881" w:rsidR="00E92DA3" w:rsidP="00167587" w:rsidRDefault="00E42119" w14:paraId="1E9B7985" w14:textId="2F09542F">
      <w:pPr>
        <w:rPr>
          <w:color w:val="FF0000"/>
          <w:sz w:val="18"/>
          <w:szCs w:val="18"/>
        </w:rPr>
      </w:pPr>
      <w:r>
        <w:rPr>
          <w:noProof/>
        </w:rPr>
        <w:drawing>
          <wp:inline distT="0" distB="0" distL="0" distR="0" wp14:anchorId="4B73B084" wp14:editId="409F0180">
            <wp:extent cx="3971290" cy="2101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290" cy="2101850"/>
                    </a:xfrm>
                    <a:prstGeom prst="rect">
                      <a:avLst/>
                    </a:prstGeom>
                    <a:noFill/>
                    <a:ln>
                      <a:noFill/>
                    </a:ln>
                  </pic:spPr>
                </pic:pic>
              </a:graphicData>
            </a:graphic>
          </wp:inline>
        </w:drawing>
      </w:r>
    </w:p>
    <w:p w:rsidRPr="00910881" w:rsidR="00E92DA3" w:rsidP="00E92DA3" w:rsidRDefault="00E92DA3" w14:paraId="4D91B609" w14:textId="77777777">
      <w:pPr>
        <w:rPr>
          <w:color w:val="FF0000"/>
          <w:sz w:val="18"/>
          <w:szCs w:val="18"/>
        </w:rPr>
      </w:pPr>
    </w:p>
    <w:p w:rsidRPr="003702F1" w:rsidR="00E92DA3" w:rsidP="00E92DA3" w:rsidRDefault="00E92DA3" w14:paraId="6A01657D" w14:textId="77777777">
      <w:pPr>
        <w:rPr>
          <w:b/>
          <w:sz w:val="18"/>
          <w:szCs w:val="18"/>
        </w:rPr>
      </w:pPr>
      <w:r w:rsidRPr="003702F1">
        <w:rPr>
          <w:b/>
          <w:sz w:val="18"/>
          <w:szCs w:val="18"/>
        </w:rPr>
        <w:t xml:space="preserve">Table </w:t>
      </w:r>
      <w:r w:rsidR="00C3074F">
        <w:rPr>
          <w:b/>
          <w:sz w:val="18"/>
          <w:szCs w:val="18"/>
        </w:rPr>
        <w:t>9</w:t>
      </w:r>
      <w:r w:rsidRPr="003702F1" w:rsidR="0050623E">
        <w:rPr>
          <w:b/>
          <w:sz w:val="18"/>
          <w:szCs w:val="18"/>
        </w:rPr>
        <w:t xml:space="preserve"> – 2</w:t>
      </w:r>
      <w:r w:rsidRPr="003702F1">
        <w:rPr>
          <w:b/>
          <w:sz w:val="18"/>
          <w:szCs w:val="18"/>
        </w:rPr>
        <w:t>021 Nonfiler/Late-Filer</w:t>
      </w:r>
      <w:r w:rsidRPr="003702F1" w:rsidR="001A1782">
        <w:rPr>
          <w:b/>
          <w:sz w:val="18"/>
          <w:szCs w:val="18"/>
        </w:rPr>
        <w:t xml:space="preserve"> Burden </w:t>
      </w:r>
      <w:r w:rsidR="003702F1">
        <w:rPr>
          <w:b/>
          <w:sz w:val="18"/>
          <w:szCs w:val="18"/>
        </w:rPr>
        <w:t>S</w:t>
      </w:r>
      <w:r w:rsidRPr="003702F1" w:rsidR="001A1782">
        <w:rPr>
          <w:b/>
          <w:sz w:val="18"/>
          <w:szCs w:val="18"/>
        </w:rPr>
        <w:t>urvey</w:t>
      </w:r>
    </w:p>
    <w:p w:rsidR="00461567" w:rsidP="00E92DA3" w:rsidRDefault="00E42119" w14:paraId="529F4DAB" w14:textId="4CDE25F3">
      <w:pPr>
        <w:rPr>
          <w:color w:val="FF0000"/>
          <w:sz w:val="18"/>
          <w:szCs w:val="18"/>
        </w:rPr>
      </w:pPr>
      <w:r>
        <w:rPr>
          <w:noProof/>
        </w:rPr>
        <w:drawing>
          <wp:inline distT="0" distB="0" distL="0" distR="0" wp14:anchorId="15337EBE" wp14:editId="6ADA1ED8">
            <wp:extent cx="3719195" cy="1071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9195" cy="1071245"/>
                    </a:xfrm>
                    <a:prstGeom prst="rect">
                      <a:avLst/>
                    </a:prstGeom>
                    <a:noFill/>
                    <a:ln>
                      <a:noFill/>
                    </a:ln>
                  </pic:spPr>
                </pic:pic>
              </a:graphicData>
            </a:graphic>
          </wp:inline>
        </w:drawing>
      </w:r>
    </w:p>
    <w:p w:rsidR="00A754A7" w:rsidP="00E92DA3" w:rsidRDefault="00466BA6" w14:paraId="44736A1E" w14:textId="77777777">
      <w:pPr>
        <w:rPr>
          <w:b/>
          <w:sz w:val="18"/>
          <w:szCs w:val="18"/>
        </w:rPr>
      </w:pPr>
      <w:r>
        <w:rPr>
          <w:b/>
          <w:sz w:val="18"/>
          <w:szCs w:val="18"/>
        </w:rPr>
        <w:br/>
      </w:r>
    </w:p>
    <w:p w:rsidRPr="009C0BBA" w:rsidR="00A754A7" w:rsidP="00A754A7" w:rsidRDefault="00A754A7" w14:paraId="1ABAE84D" w14:textId="77777777">
      <w:pPr>
        <w:rPr>
          <w:b/>
          <w:sz w:val="18"/>
          <w:szCs w:val="18"/>
        </w:rPr>
      </w:pPr>
      <w:r w:rsidRPr="009C0BBA">
        <w:rPr>
          <w:b/>
          <w:sz w:val="18"/>
          <w:szCs w:val="18"/>
        </w:rPr>
        <w:t xml:space="preserve">Table </w:t>
      </w:r>
      <w:r>
        <w:rPr>
          <w:b/>
          <w:sz w:val="18"/>
          <w:szCs w:val="18"/>
        </w:rPr>
        <w:t>1</w:t>
      </w:r>
      <w:r w:rsidR="00EB1EF9">
        <w:rPr>
          <w:b/>
          <w:sz w:val="18"/>
          <w:szCs w:val="18"/>
        </w:rPr>
        <w:t>0</w:t>
      </w:r>
      <w:r w:rsidRPr="009C0BBA">
        <w:rPr>
          <w:b/>
          <w:sz w:val="18"/>
          <w:szCs w:val="18"/>
        </w:rPr>
        <w:t xml:space="preserve"> – 2021 Excise Tax Burden </w:t>
      </w:r>
      <w:r>
        <w:rPr>
          <w:b/>
          <w:sz w:val="18"/>
          <w:szCs w:val="18"/>
        </w:rPr>
        <w:t>S</w:t>
      </w:r>
      <w:r w:rsidRPr="009C0BBA">
        <w:rPr>
          <w:b/>
          <w:sz w:val="18"/>
          <w:szCs w:val="18"/>
        </w:rPr>
        <w:t>urvey</w:t>
      </w:r>
    </w:p>
    <w:p w:rsidR="00A754A7" w:rsidP="00A754A7" w:rsidRDefault="00E42119" w14:paraId="0F6E9EED" w14:textId="3B955AA2">
      <w:pPr>
        <w:rPr>
          <w:sz w:val="18"/>
          <w:szCs w:val="18"/>
        </w:rPr>
      </w:pPr>
      <w:r>
        <w:rPr>
          <w:noProof/>
        </w:rPr>
        <w:drawing>
          <wp:inline distT="0" distB="0" distL="0" distR="0" wp14:anchorId="1F51767A" wp14:editId="08A1A075">
            <wp:extent cx="4067175" cy="1473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7175" cy="1473835"/>
                    </a:xfrm>
                    <a:prstGeom prst="rect">
                      <a:avLst/>
                    </a:prstGeom>
                    <a:noFill/>
                    <a:ln>
                      <a:noFill/>
                    </a:ln>
                  </pic:spPr>
                </pic:pic>
              </a:graphicData>
            </a:graphic>
          </wp:inline>
        </w:drawing>
      </w:r>
    </w:p>
    <w:p w:rsidR="00A754A7" w:rsidP="00A754A7" w:rsidRDefault="00A754A7" w14:paraId="21D3B27B" w14:textId="77777777">
      <w:pPr>
        <w:rPr>
          <w:sz w:val="18"/>
          <w:szCs w:val="18"/>
        </w:rPr>
      </w:pPr>
    </w:p>
    <w:p w:rsidR="00A754A7" w:rsidP="00A754A7" w:rsidRDefault="00A754A7" w14:paraId="5172DDFE" w14:textId="77777777">
      <w:pPr>
        <w:rPr>
          <w:b/>
          <w:sz w:val="18"/>
          <w:szCs w:val="18"/>
        </w:rPr>
      </w:pPr>
    </w:p>
    <w:p w:rsidRPr="00A754A7" w:rsidR="00C11A38" w:rsidP="00C11A38" w:rsidRDefault="00C11A38" w14:paraId="3EBB33CA" w14:textId="77777777">
      <w:pPr>
        <w:rPr>
          <w:b/>
          <w:sz w:val="18"/>
          <w:szCs w:val="18"/>
        </w:rPr>
      </w:pPr>
      <w:r w:rsidRPr="00A754A7">
        <w:rPr>
          <w:b/>
          <w:sz w:val="18"/>
          <w:szCs w:val="18"/>
        </w:rPr>
        <w:t>Table 1</w:t>
      </w:r>
      <w:r>
        <w:rPr>
          <w:b/>
          <w:sz w:val="18"/>
          <w:szCs w:val="18"/>
        </w:rPr>
        <w:t>1</w:t>
      </w:r>
      <w:r w:rsidRPr="00A754A7">
        <w:rPr>
          <w:b/>
          <w:sz w:val="18"/>
          <w:szCs w:val="18"/>
        </w:rPr>
        <w:t xml:space="preserve"> – 2021 Business Entity Special Survey</w:t>
      </w:r>
    </w:p>
    <w:tbl>
      <w:tblPr>
        <w:tblW w:w="5200" w:type="dxa"/>
        <w:tblInd w:w="108" w:type="dxa"/>
        <w:tblLook w:val="04A0" w:firstRow="1" w:lastRow="0" w:firstColumn="1" w:lastColumn="0" w:noHBand="0" w:noVBand="1"/>
      </w:tblPr>
      <w:tblGrid>
        <w:gridCol w:w="2560"/>
        <w:gridCol w:w="1548"/>
        <w:gridCol w:w="1092"/>
      </w:tblGrid>
      <w:tr w:rsidRPr="00E2594C" w:rsidR="00C11A38" w:rsidTr="00773CD0" w14:paraId="0E8146B3" w14:textId="77777777">
        <w:trPr>
          <w:trHeight w:val="569"/>
        </w:trPr>
        <w:tc>
          <w:tcPr>
            <w:tcW w:w="2560" w:type="dxa"/>
            <w:tcBorders>
              <w:top w:val="single" w:color="auto" w:sz="4" w:space="0"/>
              <w:left w:val="single" w:color="auto" w:sz="4" w:space="0"/>
              <w:bottom w:val="single" w:color="auto" w:sz="4" w:space="0"/>
              <w:right w:val="single" w:color="auto" w:sz="4" w:space="0"/>
            </w:tcBorders>
            <w:shd w:val="clear" w:color="auto" w:fill="auto"/>
            <w:tcMar>
              <w:left w:w="0" w:type="dxa"/>
              <w:right w:w="14" w:type="dxa"/>
            </w:tcMar>
            <w:vAlign w:val="center"/>
            <w:hideMark/>
          </w:tcPr>
          <w:p w:rsidRPr="00E2594C" w:rsidR="00C11A38" w:rsidP="00773CD0" w:rsidRDefault="00C11A38" w14:paraId="2EBE900B" w14:textId="77777777">
            <w:pPr>
              <w:widowControl/>
              <w:autoSpaceDE/>
              <w:autoSpaceDN/>
              <w:adjustRightInd/>
              <w:jc w:val="center"/>
              <w:rPr>
                <w:sz w:val="18"/>
                <w:szCs w:val="18"/>
              </w:rPr>
            </w:pPr>
            <w:r w:rsidRPr="00E2594C">
              <w:rPr>
                <w:sz w:val="18"/>
                <w:szCs w:val="18"/>
              </w:rPr>
              <w:t>Strata</w:t>
            </w:r>
          </w:p>
        </w:tc>
        <w:tc>
          <w:tcPr>
            <w:tcW w:w="1548" w:type="dxa"/>
            <w:tcBorders>
              <w:top w:val="single" w:color="auto" w:sz="8" w:space="0"/>
              <w:left w:val="single" w:color="auto" w:sz="4" w:space="0"/>
              <w:bottom w:val="single" w:color="000000" w:sz="8" w:space="0"/>
              <w:right w:val="single" w:color="auto" w:sz="4" w:space="0"/>
            </w:tcBorders>
            <w:shd w:val="clear" w:color="auto" w:fill="auto"/>
            <w:tcMar>
              <w:left w:w="0" w:type="dxa"/>
              <w:right w:w="14" w:type="dxa"/>
            </w:tcMar>
            <w:vAlign w:val="center"/>
            <w:hideMark/>
          </w:tcPr>
          <w:p w:rsidRPr="00E2594C" w:rsidR="00C11A38" w:rsidP="00773CD0" w:rsidRDefault="00C11A38" w14:paraId="5FA8D0A8" w14:textId="77777777">
            <w:pPr>
              <w:widowControl/>
              <w:autoSpaceDE/>
              <w:autoSpaceDN/>
              <w:adjustRightInd/>
              <w:jc w:val="center"/>
              <w:rPr>
                <w:sz w:val="18"/>
                <w:szCs w:val="18"/>
              </w:rPr>
            </w:pPr>
            <w:r w:rsidRPr="00E2594C">
              <w:rPr>
                <w:sz w:val="18"/>
                <w:szCs w:val="18"/>
              </w:rPr>
              <w:t>Population Count</w:t>
            </w:r>
          </w:p>
        </w:tc>
        <w:tc>
          <w:tcPr>
            <w:tcW w:w="1092" w:type="dxa"/>
            <w:tcBorders>
              <w:top w:val="single" w:color="auto" w:sz="8" w:space="0"/>
              <w:left w:val="single" w:color="auto" w:sz="4" w:space="0"/>
              <w:bottom w:val="single" w:color="000000" w:sz="8" w:space="0"/>
              <w:right w:val="single" w:color="auto" w:sz="8" w:space="0"/>
            </w:tcBorders>
            <w:shd w:val="clear" w:color="auto" w:fill="auto"/>
            <w:tcMar>
              <w:left w:w="0" w:type="dxa"/>
              <w:right w:w="14" w:type="dxa"/>
            </w:tcMar>
            <w:vAlign w:val="center"/>
            <w:hideMark/>
          </w:tcPr>
          <w:p w:rsidRPr="00E2594C" w:rsidR="00C11A38" w:rsidP="00773CD0" w:rsidRDefault="00C11A38" w14:paraId="6A59B4FD" w14:textId="77777777">
            <w:pPr>
              <w:widowControl/>
              <w:autoSpaceDE/>
              <w:autoSpaceDN/>
              <w:adjustRightInd/>
              <w:jc w:val="center"/>
              <w:rPr>
                <w:sz w:val="18"/>
                <w:szCs w:val="18"/>
              </w:rPr>
            </w:pPr>
            <w:r w:rsidRPr="00E2594C">
              <w:rPr>
                <w:sz w:val="18"/>
                <w:szCs w:val="18"/>
              </w:rPr>
              <w:t>Sample Allocation</w:t>
            </w:r>
          </w:p>
        </w:tc>
      </w:tr>
      <w:tr w:rsidRPr="00E2594C" w:rsidR="00C11A38" w:rsidTr="00773CD0" w14:paraId="783F75D7" w14:textId="77777777">
        <w:trPr>
          <w:trHeight w:val="187"/>
        </w:trPr>
        <w:tc>
          <w:tcPr>
            <w:tcW w:w="2560" w:type="dxa"/>
            <w:tcBorders>
              <w:top w:val="single" w:color="auto" w:sz="4" w:space="0"/>
              <w:left w:val="single" w:color="auto" w:sz="8" w:space="0"/>
              <w:bottom w:val="single" w:color="auto" w:sz="4" w:space="0"/>
              <w:right w:val="single" w:color="auto" w:sz="4" w:space="0"/>
            </w:tcBorders>
            <w:shd w:val="clear" w:color="auto" w:fill="auto"/>
            <w:noWrap/>
            <w:tcMar>
              <w:left w:w="0" w:type="dxa"/>
              <w:right w:w="14" w:type="dxa"/>
            </w:tcMar>
            <w:vAlign w:val="bottom"/>
          </w:tcPr>
          <w:p w:rsidRPr="00E2594C" w:rsidR="00C11A38" w:rsidP="00773CD0" w:rsidRDefault="00C11A38" w14:paraId="1081ED03" w14:textId="77777777">
            <w:pPr>
              <w:widowControl/>
              <w:autoSpaceDE/>
              <w:autoSpaceDN/>
              <w:adjustRightInd/>
              <w:jc w:val="center"/>
              <w:rPr>
                <w:color w:val="000000"/>
                <w:sz w:val="18"/>
                <w:szCs w:val="18"/>
              </w:rPr>
            </w:pPr>
            <w:r>
              <w:rPr>
                <w:color w:val="000000"/>
                <w:sz w:val="18"/>
                <w:szCs w:val="18"/>
              </w:rPr>
              <w:t>Form 1120</w:t>
            </w:r>
          </w:p>
        </w:tc>
        <w:tc>
          <w:tcPr>
            <w:tcW w:w="1548" w:type="dxa"/>
            <w:tcBorders>
              <w:top w:val="single" w:color="auto" w:sz="8" w:space="0"/>
              <w:left w:val="single" w:color="auto" w:sz="8" w:space="0"/>
              <w:bottom w:val="single" w:color="auto" w:sz="8" w:space="0"/>
              <w:right w:val="single" w:color="auto" w:sz="8" w:space="0"/>
            </w:tcBorders>
            <w:shd w:val="clear" w:color="auto" w:fill="auto"/>
            <w:tcMar>
              <w:left w:w="0" w:type="dxa"/>
              <w:right w:w="14" w:type="dxa"/>
            </w:tcMar>
            <w:vAlign w:val="bottom"/>
          </w:tcPr>
          <w:p w:rsidR="00C11A38" w:rsidP="00773CD0" w:rsidRDefault="00C11A38" w14:paraId="636E5777" w14:textId="77777777">
            <w:pPr>
              <w:widowControl/>
              <w:autoSpaceDE/>
              <w:autoSpaceDN/>
              <w:adjustRightInd/>
              <w:jc w:val="right"/>
              <w:rPr>
                <w:rFonts w:ascii="Calibri" w:hAnsi="Calibri"/>
                <w:color w:val="000000"/>
                <w:sz w:val="18"/>
                <w:szCs w:val="18"/>
              </w:rPr>
            </w:pPr>
            <w:r>
              <w:rPr>
                <w:rFonts w:ascii="Calibri" w:hAnsi="Calibri"/>
                <w:color w:val="000000"/>
                <w:sz w:val="18"/>
                <w:szCs w:val="18"/>
              </w:rPr>
              <w:t>1,774,426</w:t>
            </w:r>
          </w:p>
        </w:tc>
        <w:tc>
          <w:tcPr>
            <w:tcW w:w="1092" w:type="dxa"/>
            <w:tcBorders>
              <w:top w:val="single" w:color="auto" w:sz="8" w:space="0"/>
              <w:left w:val="nil"/>
              <w:bottom w:val="single" w:color="auto" w:sz="8" w:space="0"/>
              <w:right w:val="single" w:color="auto" w:sz="8" w:space="0"/>
            </w:tcBorders>
            <w:shd w:val="clear" w:color="auto" w:fill="auto"/>
            <w:tcMar>
              <w:left w:w="0" w:type="dxa"/>
              <w:right w:w="14" w:type="dxa"/>
            </w:tcMar>
            <w:vAlign w:val="bottom"/>
          </w:tcPr>
          <w:p w:rsidR="00C11A38" w:rsidP="00773CD0" w:rsidRDefault="00C11A38" w14:paraId="1B1E6618" w14:textId="77777777">
            <w:pPr>
              <w:jc w:val="right"/>
              <w:rPr>
                <w:color w:val="000000"/>
                <w:sz w:val="18"/>
                <w:szCs w:val="18"/>
              </w:rPr>
            </w:pPr>
            <w:r>
              <w:rPr>
                <w:color w:val="000000"/>
                <w:sz w:val="18"/>
                <w:szCs w:val="18"/>
              </w:rPr>
              <w:t>3,655</w:t>
            </w:r>
          </w:p>
        </w:tc>
      </w:tr>
      <w:tr w:rsidRPr="00E2594C" w:rsidR="00C11A38" w:rsidTr="00773CD0" w14:paraId="54B3E891"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tcPr>
          <w:p w:rsidRPr="00E2594C" w:rsidR="00C11A38" w:rsidP="00773CD0" w:rsidRDefault="00C11A38" w14:paraId="3598B21E" w14:textId="77777777">
            <w:pPr>
              <w:widowControl/>
              <w:autoSpaceDE/>
              <w:autoSpaceDN/>
              <w:adjustRightInd/>
              <w:jc w:val="center"/>
              <w:rPr>
                <w:color w:val="000000"/>
                <w:sz w:val="18"/>
                <w:szCs w:val="18"/>
              </w:rPr>
            </w:pPr>
            <w:r>
              <w:rPr>
                <w:color w:val="000000"/>
                <w:sz w:val="18"/>
                <w:szCs w:val="18"/>
              </w:rPr>
              <w:t>Form 1120-S</w:t>
            </w:r>
          </w:p>
        </w:tc>
        <w:tc>
          <w:tcPr>
            <w:tcW w:w="1548"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tcPr>
          <w:p w:rsidR="00C11A38" w:rsidP="00773CD0" w:rsidRDefault="00C11A38" w14:paraId="3DF5E9DD" w14:textId="77777777">
            <w:pPr>
              <w:jc w:val="right"/>
              <w:rPr>
                <w:rFonts w:ascii="Calibri" w:hAnsi="Calibri"/>
                <w:color w:val="000000"/>
                <w:sz w:val="18"/>
                <w:szCs w:val="18"/>
              </w:rPr>
            </w:pPr>
            <w:r>
              <w:rPr>
                <w:rFonts w:ascii="Calibri" w:hAnsi="Calibri"/>
                <w:color w:val="000000"/>
                <w:sz w:val="18"/>
                <w:szCs w:val="18"/>
              </w:rPr>
              <w:t>4,265,196</w:t>
            </w:r>
          </w:p>
        </w:tc>
        <w:tc>
          <w:tcPr>
            <w:tcW w:w="1092" w:type="dxa"/>
            <w:tcBorders>
              <w:top w:val="nil"/>
              <w:left w:val="nil"/>
              <w:bottom w:val="single" w:color="auto" w:sz="8" w:space="0"/>
              <w:right w:val="single" w:color="auto" w:sz="8" w:space="0"/>
            </w:tcBorders>
            <w:shd w:val="clear" w:color="auto" w:fill="auto"/>
            <w:tcMar>
              <w:left w:w="0" w:type="dxa"/>
              <w:right w:w="14" w:type="dxa"/>
            </w:tcMar>
            <w:vAlign w:val="bottom"/>
          </w:tcPr>
          <w:p w:rsidR="00C11A38" w:rsidP="00773CD0" w:rsidRDefault="00C11A38" w14:paraId="1E198945" w14:textId="77777777">
            <w:pPr>
              <w:jc w:val="right"/>
              <w:rPr>
                <w:color w:val="000000"/>
                <w:sz w:val="18"/>
                <w:szCs w:val="18"/>
              </w:rPr>
            </w:pPr>
            <w:r>
              <w:rPr>
                <w:color w:val="000000"/>
                <w:sz w:val="18"/>
                <w:szCs w:val="18"/>
              </w:rPr>
              <w:t>8,786</w:t>
            </w:r>
          </w:p>
        </w:tc>
      </w:tr>
      <w:tr w:rsidRPr="00E2594C" w:rsidR="00C11A38" w:rsidTr="00773CD0" w14:paraId="045AA96D" w14:textId="77777777">
        <w:trPr>
          <w:trHeight w:val="187"/>
        </w:trPr>
        <w:tc>
          <w:tcPr>
            <w:tcW w:w="2560" w:type="dxa"/>
            <w:tcBorders>
              <w:top w:val="nil"/>
              <w:left w:val="single" w:color="auto" w:sz="8" w:space="0"/>
              <w:bottom w:val="single" w:color="auto" w:sz="4" w:space="0"/>
              <w:right w:val="single" w:color="auto" w:sz="4" w:space="0"/>
            </w:tcBorders>
            <w:shd w:val="clear" w:color="auto" w:fill="auto"/>
            <w:noWrap/>
            <w:tcMar>
              <w:left w:w="0" w:type="dxa"/>
              <w:right w:w="14" w:type="dxa"/>
            </w:tcMar>
            <w:vAlign w:val="bottom"/>
          </w:tcPr>
          <w:p w:rsidRPr="00E2594C" w:rsidR="00C11A38" w:rsidP="00773CD0" w:rsidRDefault="00C11A38" w14:paraId="14EDEDFA" w14:textId="77777777">
            <w:pPr>
              <w:widowControl/>
              <w:autoSpaceDE/>
              <w:autoSpaceDN/>
              <w:adjustRightInd/>
              <w:jc w:val="center"/>
              <w:rPr>
                <w:color w:val="000000"/>
                <w:sz w:val="18"/>
                <w:szCs w:val="18"/>
              </w:rPr>
            </w:pPr>
            <w:r>
              <w:rPr>
                <w:color w:val="000000"/>
                <w:sz w:val="18"/>
                <w:szCs w:val="18"/>
              </w:rPr>
              <w:t>Other Form 1120</w:t>
            </w:r>
          </w:p>
        </w:tc>
        <w:tc>
          <w:tcPr>
            <w:tcW w:w="1548"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tcPr>
          <w:p w:rsidR="00C11A38" w:rsidP="00773CD0" w:rsidRDefault="00C11A38" w14:paraId="06CF477F" w14:textId="77777777">
            <w:pPr>
              <w:jc w:val="right"/>
              <w:rPr>
                <w:rFonts w:ascii="Calibri" w:hAnsi="Calibri"/>
                <w:color w:val="000000"/>
                <w:sz w:val="18"/>
                <w:szCs w:val="18"/>
              </w:rPr>
            </w:pPr>
            <w:r>
              <w:rPr>
                <w:rFonts w:ascii="Calibri" w:hAnsi="Calibri"/>
                <w:color w:val="000000"/>
                <w:sz w:val="18"/>
                <w:szCs w:val="18"/>
              </w:rPr>
              <w:t>36,324</w:t>
            </w:r>
          </w:p>
        </w:tc>
        <w:tc>
          <w:tcPr>
            <w:tcW w:w="1092" w:type="dxa"/>
            <w:tcBorders>
              <w:top w:val="nil"/>
              <w:left w:val="nil"/>
              <w:bottom w:val="single" w:color="auto" w:sz="8" w:space="0"/>
              <w:right w:val="single" w:color="auto" w:sz="8" w:space="0"/>
            </w:tcBorders>
            <w:shd w:val="clear" w:color="auto" w:fill="auto"/>
            <w:tcMar>
              <w:left w:w="0" w:type="dxa"/>
              <w:right w:w="14" w:type="dxa"/>
            </w:tcMar>
            <w:vAlign w:val="bottom"/>
          </w:tcPr>
          <w:p w:rsidR="00C11A38" w:rsidP="00773CD0" w:rsidRDefault="00C11A38" w14:paraId="58F6850A" w14:textId="77777777">
            <w:pPr>
              <w:jc w:val="right"/>
              <w:rPr>
                <w:color w:val="000000"/>
                <w:sz w:val="18"/>
                <w:szCs w:val="18"/>
              </w:rPr>
            </w:pPr>
            <w:r>
              <w:rPr>
                <w:color w:val="000000"/>
                <w:sz w:val="18"/>
                <w:szCs w:val="18"/>
              </w:rPr>
              <w:t>575</w:t>
            </w:r>
          </w:p>
        </w:tc>
      </w:tr>
      <w:tr w:rsidRPr="00E2594C" w:rsidR="00C11A38" w:rsidTr="00773CD0" w14:paraId="2FC46351" w14:textId="77777777">
        <w:trPr>
          <w:trHeight w:val="187"/>
        </w:trPr>
        <w:tc>
          <w:tcPr>
            <w:tcW w:w="2560" w:type="dxa"/>
            <w:tcBorders>
              <w:top w:val="nil"/>
              <w:left w:val="single" w:color="auto" w:sz="8" w:space="0"/>
              <w:bottom w:val="single" w:color="auto" w:sz="8" w:space="0"/>
              <w:right w:val="single" w:color="auto" w:sz="4" w:space="0"/>
            </w:tcBorders>
            <w:shd w:val="clear" w:color="auto" w:fill="auto"/>
            <w:noWrap/>
            <w:tcMar>
              <w:left w:w="0" w:type="dxa"/>
              <w:right w:w="14" w:type="dxa"/>
            </w:tcMar>
            <w:vAlign w:val="bottom"/>
          </w:tcPr>
          <w:p w:rsidRPr="00E2594C" w:rsidR="00C11A38" w:rsidP="00773CD0" w:rsidRDefault="00C11A38" w14:paraId="25227771" w14:textId="77777777">
            <w:pPr>
              <w:widowControl/>
              <w:autoSpaceDE/>
              <w:autoSpaceDN/>
              <w:adjustRightInd/>
              <w:jc w:val="center"/>
              <w:rPr>
                <w:color w:val="000000"/>
                <w:sz w:val="18"/>
                <w:szCs w:val="18"/>
              </w:rPr>
            </w:pPr>
            <w:r>
              <w:rPr>
                <w:color w:val="000000"/>
                <w:sz w:val="18"/>
                <w:szCs w:val="18"/>
              </w:rPr>
              <w:t>Form 1065</w:t>
            </w:r>
          </w:p>
        </w:tc>
        <w:tc>
          <w:tcPr>
            <w:tcW w:w="1548" w:type="dxa"/>
            <w:tcBorders>
              <w:top w:val="nil"/>
              <w:left w:val="single" w:color="auto" w:sz="8" w:space="0"/>
              <w:bottom w:val="single" w:color="auto" w:sz="8" w:space="0"/>
              <w:right w:val="single" w:color="auto" w:sz="8" w:space="0"/>
            </w:tcBorders>
            <w:shd w:val="clear" w:color="auto" w:fill="auto"/>
            <w:tcMar>
              <w:left w:w="0" w:type="dxa"/>
              <w:right w:w="14" w:type="dxa"/>
            </w:tcMar>
            <w:vAlign w:val="bottom"/>
          </w:tcPr>
          <w:p w:rsidR="00C11A38" w:rsidP="00773CD0" w:rsidRDefault="00C11A38" w14:paraId="364CF069" w14:textId="77777777">
            <w:pPr>
              <w:jc w:val="right"/>
              <w:rPr>
                <w:rFonts w:ascii="Calibri" w:hAnsi="Calibri"/>
                <w:color w:val="000000"/>
                <w:sz w:val="18"/>
                <w:szCs w:val="18"/>
              </w:rPr>
            </w:pPr>
            <w:r>
              <w:rPr>
                <w:rFonts w:ascii="Calibri" w:hAnsi="Calibri"/>
                <w:color w:val="000000"/>
                <w:sz w:val="18"/>
                <w:szCs w:val="18"/>
              </w:rPr>
              <w:t>3,390,363</w:t>
            </w:r>
          </w:p>
        </w:tc>
        <w:tc>
          <w:tcPr>
            <w:tcW w:w="1092" w:type="dxa"/>
            <w:tcBorders>
              <w:top w:val="nil"/>
              <w:left w:val="nil"/>
              <w:bottom w:val="single" w:color="auto" w:sz="8" w:space="0"/>
              <w:right w:val="single" w:color="auto" w:sz="8" w:space="0"/>
            </w:tcBorders>
            <w:shd w:val="clear" w:color="auto" w:fill="auto"/>
            <w:tcMar>
              <w:left w:w="0" w:type="dxa"/>
              <w:right w:w="14" w:type="dxa"/>
            </w:tcMar>
            <w:vAlign w:val="bottom"/>
          </w:tcPr>
          <w:p w:rsidR="00C11A38" w:rsidP="00773CD0" w:rsidRDefault="00C11A38" w14:paraId="40AFB520" w14:textId="77777777">
            <w:pPr>
              <w:jc w:val="right"/>
              <w:rPr>
                <w:color w:val="000000"/>
                <w:sz w:val="18"/>
                <w:szCs w:val="18"/>
              </w:rPr>
            </w:pPr>
            <w:r>
              <w:rPr>
                <w:color w:val="000000"/>
                <w:sz w:val="18"/>
                <w:szCs w:val="18"/>
              </w:rPr>
              <w:t>6,984</w:t>
            </w:r>
          </w:p>
        </w:tc>
      </w:tr>
      <w:tr w:rsidRPr="00E2594C" w:rsidR="00C11A38" w:rsidTr="00773CD0" w14:paraId="40E2815A" w14:textId="77777777">
        <w:trPr>
          <w:trHeight w:val="187"/>
        </w:trPr>
        <w:tc>
          <w:tcPr>
            <w:tcW w:w="2560" w:type="dxa"/>
            <w:tcBorders>
              <w:top w:val="nil"/>
              <w:left w:val="nil"/>
              <w:bottom w:val="nil"/>
            </w:tcBorders>
            <w:shd w:val="clear" w:color="auto" w:fill="auto"/>
            <w:noWrap/>
            <w:tcMar>
              <w:left w:w="0" w:type="dxa"/>
              <w:right w:w="14" w:type="dxa"/>
            </w:tcMar>
            <w:vAlign w:val="bottom"/>
            <w:hideMark/>
          </w:tcPr>
          <w:p w:rsidRPr="00E2594C" w:rsidR="00C11A38" w:rsidP="00773CD0" w:rsidRDefault="00C11A38" w14:paraId="1C22FA56" w14:textId="77777777">
            <w:pPr>
              <w:widowControl/>
              <w:autoSpaceDE/>
              <w:autoSpaceDN/>
              <w:adjustRightInd/>
              <w:jc w:val="right"/>
              <w:rPr>
                <w:sz w:val="18"/>
                <w:szCs w:val="18"/>
              </w:rPr>
            </w:pPr>
          </w:p>
        </w:tc>
        <w:tc>
          <w:tcPr>
            <w:tcW w:w="1548" w:type="dxa"/>
            <w:tcBorders>
              <w:top w:val="single" w:color="auto" w:sz="4" w:space="0"/>
              <w:right w:val="single" w:color="auto" w:sz="4" w:space="0"/>
            </w:tcBorders>
            <w:shd w:val="clear" w:color="auto" w:fill="auto"/>
            <w:noWrap/>
            <w:tcMar>
              <w:left w:w="0" w:type="dxa"/>
              <w:right w:w="14" w:type="dxa"/>
            </w:tcMar>
            <w:vAlign w:val="bottom"/>
            <w:hideMark/>
          </w:tcPr>
          <w:p w:rsidR="00C11A38" w:rsidP="00773CD0" w:rsidRDefault="00C11A38" w14:paraId="04EA7BE7" w14:textId="77777777">
            <w:pPr>
              <w:jc w:val="right"/>
              <w:rPr>
                <w:rFonts w:ascii="Calibri" w:hAnsi="Calibri"/>
                <w:color w:val="000000"/>
                <w:sz w:val="18"/>
                <w:szCs w:val="18"/>
              </w:rPr>
            </w:pPr>
          </w:p>
        </w:tc>
        <w:tc>
          <w:tcPr>
            <w:tcW w:w="1092" w:type="dxa"/>
            <w:tcBorders>
              <w:top w:val="nil"/>
              <w:left w:val="single" w:color="auto" w:sz="8" w:space="0"/>
              <w:bottom w:val="single" w:color="auto" w:sz="8" w:space="0"/>
              <w:right w:val="single" w:color="auto" w:sz="8" w:space="0"/>
            </w:tcBorders>
            <w:shd w:val="clear" w:color="auto" w:fill="auto"/>
            <w:noWrap/>
            <w:tcMar>
              <w:left w:w="0" w:type="dxa"/>
              <w:right w:w="14" w:type="dxa"/>
            </w:tcMar>
            <w:vAlign w:val="bottom"/>
            <w:hideMark/>
          </w:tcPr>
          <w:p w:rsidR="00C11A38" w:rsidP="00773CD0" w:rsidRDefault="00C11A38" w14:paraId="32A00B69" w14:textId="77777777">
            <w:pPr>
              <w:jc w:val="right"/>
              <w:rPr>
                <w:color w:val="000000"/>
                <w:sz w:val="18"/>
                <w:szCs w:val="18"/>
              </w:rPr>
            </w:pPr>
            <w:r>
              <w:rPr>
                <w:color w:val="000000"/>
                <w:sz w:val="18"/>
                <w:szCs w:val="18"/>
              </w:rPr>
              <w:t>20,000</w:t>
            </w:r>
          </w:p>
        </w:tc>
      </w:tr>
    </w:tbl>
    <w:p w:rsidR="00C11A38" w:rsidP="00A754A7" w:rsidRDefault="00C11A38" w14:paraId="4C893B1A" w14:textId="77777777">
      <w:pPr>
        <w:rPr>
          <w:b/>
          <w:sz w:val="18"/>
          <w:szCs w:val="18"/>
        </w:rPr>
      </w:pPr>
    </w:p>
    <w:p w:rsidR="00C11A38" w:rsidP="00A754A7" w:rsidRDefault="00C11A38" w14:paraId="47AD3361" w14:textId="77777777">
      <w:pPr>
        <w:rPr>
          <w:b/>
          <w:sz w:val="18"/>
          <w:szCs w:val="18"/>
        </w:rPr>
      </w:pPr>
    </w:p>
    <w:p w:rsidR="00C11A38" w:rsidP="00A754A7" w:rsidRDefault="00C11A38" w14:paraId="5A98EF65" w14:textId="77777777">
      <w:pPr>
        <w:rPr>
          <w:b/>
          <w:sz w:val="18"/>
          <w:szCs w:val="18"/>
        </w:rPr>
      </w:pPr>
    </w:p>
    <w:p w:rsidR="00C11A38" w:rsidP="00A754A7" w:rsidRDefault="00C11A38" w14:paraId="3824E9C2" w14:textId="77777777">
      <w:pPr>
        <w:rPr>
          <w:b/>
          <w:sz w:val="18"/>
          <w:szCs w:val="18"/>
        </w:rPr>
      </w:pPr>
    </w:p>
    <w:p w:rsidR="00C11A38" w:rsidP="00E92DA3" w:rsidRDefault="00C11A38" w14:paraId="7B2878D0" w14:textId="77777777">
      <w:pPr>
        <w:rPr>
          <w:b/>
          <w:sz w:val="18"/>
          <w:szCs w:val="18"/>
        </w:rPr>
      </w:pPr>
    </w:p>
    <w:p w:rsidR="00C11A38" w:rsidP="00E92DA3" w:rsidRDefault="00C11A38" w14:paraId="5AAFAC63" w14:textId="77777777">
      <w:pPr>
        <w:rPr>
          <w:b/>
          <w:sz w:val="18"/>
          <w:szCs w:val="18"/>
        </w:rPr>
      </w:pPr>
    </w:p>
    <w:p w:rsidR="00C11A38" w:rsidP="00E92DA3" w:rsidRDefault="00C11A38" w14:paraId="2075304D" w14:textId="77777777">
      <w:pPr>
        <w:rPr>
          <w:b/>
          <w:sz w:val="18"/>
          <w:szCs w:val="18"/>
        </w:rPr>
      </w:pPr>
    </w:p>
    <w:p w:rsidR="00C11A38" w:rsidP="00E92DA3" w:rsidRDefault="00C11A38" w14:paraId="4ACAC7BF" w14:textId="77777777">
      <w:pPr>
        <w:rPr>
          <w:b/>
          <w:sz w:val="18"/>
          <w:szCs w:val="18"/>
        </w:rPr>
      </w:pPr>
    </w:p>
    <w:p w:rsidR="00C11A38" w:rsidP="00E92DA3" w:rsidRDefault="00C11A38" w14:paraId="605DD90E" w14:textId="77777777">
      <w:pPr>
        <w:rPr>
          <w:b/>
          <w:sz w:val="18"/>
          <w:szCs w:val="18"/>
        </w:rPr>
      </w:pPr>
    </w:p>
    <w:p w:rsidR="00C11A38" w:rsidP="00E92DA3" w:rsidRDefault="00C11A38" w14:paraId="0B5CD2CB" w14:textId="77777777">
      <w:pPr>
        <w:rPr>
          <w:b/>
          <w:sz w:val="18"/>
          <w:szCs w:val="18"/>
        </w:rPr>
      </w:pPr>
    </w:p>
    <w:p w:rsidR="00C11A38" w:rsidP="00E92DA3" w:rsidRDefault="00C11A38" w14:paraId="030F6E05" w14:textId="77777777">
      <w:pPr>
        <w:rPr>
          <w:b/>
          <w:sz w:val="18"/>
          <w:szCs w:val="18"/>
        </w:rPr>
      </w:pPr>
    </w:p>
    <w:p w:rsidR="00C11A38" w:rsidP="00E92DA3" w:rsidRDefault="00C11A38" w14:paraId="01FC791B" w14:textId="77777777">
      <w:pPr>
        <w:rPr>
          <w:b/>
          <w:sz w:val="18"/>
          <w:szCs w:val="18"/>
        </w:rPr>
      </w:pPr>
    </w:p>
    <w:p w:rsidRPr="003702F1" w:rsidR="00461567" w:rsidP="00E92DA3" w:rsidRDefault="00461567" w14:paraId="4DBEB8A2" w14:textId="77777777">
      <w:pPr>
        <w:rPr>
          <w:b/>
          <w:sz w:val="18"/>
          <w:szCs w:val="18"/>
        </w:rPr>
      </w:pPr>
      <w:r w:rsidRPr="003702F1">
        <w:rPr>
          <w:b/>
          <w:sz w:val="18"/>
          <w:szCs w:val="18"/>
        </w:rPr>
        <w:lastRenderedPageBreak/>
        <w:t xml:space="preserve">Table </w:t>
      </w:r>
      <w:r w:rsidR="00C3074F">
        <w:rPr>
          <w:b/>
          <w:sz w:val="18"/>
          <w:szCs w:val="18"/>
        </w:rPr>
        <w:t>1</w:t>
      </w:r>
      <w:r w:rsidR="00C11A38">
        <w:rPr>
          <w:b/>
          <w:sz w:val="18"/>
          <w:szCs w:val="18"/>
        </w:rPr>
        <w:t>2</w:t>
      </w:r>
      <w:r w:rsidRPr="003702F1">
        <w:rPr>
          <w:b/>
          <w:sz w:val="18"/>
          <w:szCs w:val="18"/>
        </w:rPr>
        <w:t xml:space="preserve"> – 2021 Pension Plan Burden Survey</w:t>
      </w:r>
    </w:p>
    <w:p w:rsidR="00461567" w:rsidP="00E92DA3" w:rsidRDefault="00E42119" w14:paraId="28BDF5B1" w14:textId="535EBE76">
      <w:pPr>
        <w:rPr>
          <w:color w:val="FF0000"/>
          <w:sz w:val="18"/>
          <w:szCs w:val="18"/>
        </w:rPr>
      </w:pPr>
      <w:r>
        <w:rPr>
          <w:noProof/>
        </w:rPr>
        <w:drawing>
          <wp:inline distT="0" distB="0" distL="0" distR="0" wp14:anchorId="1E703180" wp14:editId="6420A4CA">
            <wp:extent cx="4728845" cy="2981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8845" cy="2981960"/>
                    </a:xfrm>
                    <a:prstGeom prst="rect">
                      <a:avLst/>
                    </a:prstGeom>
                    <a:noFill/>
                    <a:ln>
                      <a:noFill/>
                    </a:ln>
                  </pic:spPr>
                </pic:pic>
              </a:graphicData>
            </a:graphic>
          </wp:inline>
        </w:drawing>
      </w:r>
    </w:p>
    <w:p w:rsidR="00F21C00" w:rsidP="00E92DA3" w:rsidRDefault="00F21C00" w14:paraId="1A874724" w14:textId="77777777">
      <w:pPr>
        <w:rPr>
          <w:sz w:val="18"/>
          <w:szCs w:val="18"/>
        </w:rPr>
      </w:pPr>
    </w:p>
    <w:p w:rsidR="00167587" w:rsidP="00167587" w:rsidRDefault="00167587" w14:paraId="52C100A0" w14:textId="77777777">
      <w:pPr>
        <w:rPr>
          <w:sz w:val="20"/>
          <w:szCs w:val="20"/>
        </w:rPr>
      </w:pPr>
    </w:p>
    <w:p w:rsidRPr="008870F5" w:rsidR="00D664BC" w:rsidP="00533368" w:rsidRDefault="00D664BC" w14:paraId="5141DE14" w14:textId="77777777">
      <w:pPr>
        <w:pStyle w:val="NoSpacing"/>
        <w:numPr>
          <w:ilvl w:val="0"/>
          <w:numId w:val="8"/>
        </w:numPr>
        <w:tabs>
          <w:tab w:val="clear" w:pos="720"/>
          <w:tab w:val="num" w:pos="360"/>
        </w:tabs>
        <w:ind w:left="360"/>
        <w:contextualSpacing/>
        <w:rPr>
          <w:rFonts w:ascii="Times New Roman" w:hAnsi="Times New Roman"/>
          <w:b/>
          <w:sz w:val="20"/>
          <w:szCs w:val="20"/>
        </w:rPr>
      </w:pPr>
      <w:r w:rsidRPr="008870F5">
        <w:rPr>
          <w:rFonts w:ascii="Times New Roman" w:hAnsi="Times New Roman"/>
          <w:b/>
          <w:sz w:val="20"/>
          <w:szCs w:val="20"/>
        </w:rPr>
        <w:t xml:space="preserve">Describe the procedures for the collection of information. </w:t>
      </w:r>
    </w:p>
    <w:p w:rsidRPr="008870F5" w:rsidR="00D664BC" w:rsidP="00013F66" w:rsidRDefault="00D664BC" w14:paraId="66F18AF1" w14:textId="77777777">
      <w:pPr>
        <w:pStyle w:val="NoSpacing"/>
        <w:spacing w:line="240" w:lineRule="exact"/>
        <w:contextualSpacing/>
        <w:rPr>
          <w:rFonts w:ascii="Times New Roman" w:hAnsi="Times New Roman"/>
          <w:sz w:val="20"/>
          <w:szCs w:val="20"/>
        </w:rPr>
      </w:pPr>
    </w:p>
    <w:p w:rsidR="004838D5" w:rsidP="00875AA0" w:rsidRDefault="00D664BC" w14:paraId="5B6C2C0C" w14:textId="77777777">
      <w:pPr>
        <w:pStyle w:val="NoSpacing"/>
        <w:contextualSpacing/>
        <w:rPr>
          <w:rFonts w:ascii="Times New Roman" w:hAnsi="Times New Roman"/>
          <w:bCs/>
          <w:sz w:val="20"/>
          <w:szCs w:val="20"/>
        </w:rPr>
      </w:pPr>
      <w:r w:rsidRPr="008870F5">
        <w:rPr>
          <w:rFonts w:ascii="Times New Roman" w:hAnsi="Times New Roman"/>
          <w:sz w:val="20"/>
          <w:szCs w:val="20"/>
        </w:rPr>
        <w:t>We have two objectives in the design of th</w:t>
      </w:r>
      <w:r w:rsidRPr="008870F5" w:rsidR="00941603">
        <w:rPr>
          <w:rFonts w:ascii="Times New Roman" w:hAnsi="Times New Roman"/>
          <w:sz w:val="20"/>
          <w:szCs w:val="20"/>
        </w:rPr>
        <w:t>e following</w:t>
      </w:r>
      <w:r w:rsidRPr="008870F5">
        <w:rPr>
          <w:rFonts w:ascii="Times New Roman" w:hAnsi="Times New Roman"/>
          <w:sz w:val="20"/>
          <w:szCs w:val="20"/>
        </w:rPr>
        <w:t xml:space="preserve"> protocol</w:t>
      </w:r>
      <w:r w:rsidRPr="008870F5" w:rsidR="00941603">
        <w:rPr>
          <w:rFonts w:ascii="Times New Roman" w:hAnsi="Times New Roman"/>
          <w:sz w:val="20"/>
          <w:szCs w:val="20"/>
        </w:rPr>
        <w:t>s</w:t>
      </w:r>
      <w:r w:rsidRPr="008870F5">
        <w:rPr>
          <w:rFonts w:ascii="Times New Roman" w:hAnsi="Times New Roman"/>
          <w:sz w:val="20"/>
          <w:szCs w:val="20"/>
        </w:rPr>
        <w:t xml:space="preserve">. The first is the efficient collection of the current sample; the second is to inform the design of future studies. </w:t>
      </w:r>
      <w:r w:rsidRPr="008870F5">
        <w:rPr>
          <w:rFonts w:ascii="Times New Roman" w:hAnsi="Times New Roman"/>
          <w:bCs/>
          <w:sz w:val="20"/>
          <w:szCs w:val="20"/>
        </w:rPr>
        <w:t xml:space="preserve">The exact form of each of these contacts </w:t>
      </w:r>
      <w:r w:rsidR="00C01431">
        <w:rPr>
          <w:rFonts w:ascii="Times New Roman" w:hAnsi="Times New Roman"/>
          <w:bCs/>
          <w:sz w:val="20"/>
          <w:szCs w:val="20"/>
        </w:rPr>
        <w:t>may</w:t>
      </w:r>
      <w:r w:rsidRPr="008870F5" w:rsidR="00C01431">
        <w:rPr>
          <w:rFonts w:ascii="Times New Roman" w:hAnsi="Times New Roman"/>
          <w:bCs/>
          <w:sz w:val="20"/>
          <w:szCs w:val="20"/>
        </w:rPr>
        <w:t xml:space="preserve"> </w:t>
      </w:r>
      <w:r w:rsidRPr="008870F5">
        <w:rPr>
          <w:rFonts w:ascii="Times New Roman" w:hAnsi="Times New Roman"/>
          <w:bCs/>
          <w:sz w:val="20"/>
          <w:szCs w:val="20"/>
        </w:rPr>
        <w:t xml:space="preserve">vary somewhat, depending </w:t>
      </w:r>
      <w:r w:rsidR="00FF5BED">
        <w:rPr>
          <w:rFonts w:ascii="Times New Roman" w:hAnsi="Times New Roman"/>
          <w:bCs/>
          <w:sz w:val="20"/>
          <w:szCs w:val="20"/>
        </w:rPr>
        <w:t xml:space="preserve">on </w:t>
      </w:r>
      <w:r w:rsidR="00C01431">
        <w:rPr>
          <w:rFonts w:ascii="Times New Roman" w:hAnsi="Times New Roman"/>
          <w:bCs/>
          <w:sz w:val="20"/>
          <w:szCs w:val="20"/>
        </w:rPr>
        <w:t>whether any survey-related research is conducted during survey administration</w:t>
      </w:r>
      <w:r w:rsidRPr="008870F5">
        <w:rPr>
          <w:rFonts w:ascii="Times New Roman" w:hAnsi="Times New Roman"/>
          <w:bCs/>
          <w:sz w:val="20"/>
          <w:szCs w:val="20"/>
        </w:rPr>
        <w:t>.</w:t>
      </w:r>
      <w:r w:rsidR="00C01431">
        <w:rPr>
          <w:rFonts w:ascii="Times New Roman" w:hAnsi="Times New Roman"/>
          <w:bCs/>
          <w:sz w:val="20"/>
          <w:szCs w:val="20"/>
        </w:rPr>
        <w:t xml:space="preserve"> Examples of such potential research are timing of mailings, messaging, shorter-length surveys, or response mode options.</w:t>
      </w:r>
    </w:p>
    <w:p w:rsidRPr="008870F5" w:rsidR="00180AA7" w:rsidP="00180AA7" w:rsidRDefault="00180AA7" w14:paraId="5FE2A2CC" w14:textId="77777777">
      <w:pPr>
        <w:pStyle w:val="L1-FlLSp12"/>
        <w:rPr>
          <w:b/>
          <w:sz w:val="20"/>
        </w:rPr>
      </w:pPr>
    </w:p>
    <w:p w:rsidR="00AC4280" w:rsidP="00286751" w:rsidRDefault="00AC4280" w14:paraId="148C4F2B" w14:textId="77777777">
      <w:pPr>
        <w:rPr>
          <w:b/>
          <w:sz w:val="20"/>
          <w:szCs w:val="20"/>
        </w:rPr>
      </w:pPr>
    </w:p>
    <w:p w:rsidR="00AC4280" w:rsidP="00286751" w:rsidRDefault="00AC4280" w14:paraId="65C5DD0A" w14:textId="77777777">
      <w:pPr>
        <w:rPr>
          <w:b/>
          <w:sz w:val="20"/>
          <w:szCs w:val="20"/>
        </w:rPr>
      </w:pPr>
    </w:p>
    <w:p w:rsidR="008051B1" w:rsidP="00286751" w:rsidRDefault="008051B1" w14:paraId="72BDC037" w14:textId="77777777">
      <w:pPr>
        <w:rPr>
          <w:b/>
          <w:sz w:val="20"/>
          <w:szCs w:val="20"/>
        </w:rPr>
      </w:pPr>
    </w:p>
    <w:p w:rsidR="008051B1" w:rsidP="00286751" w:rsidRDefault="008051B1" w14:paraId="7483FA49" w14:textId="77777777">
      <w:pPr>
        <w:rPr>
          <w:b/>
          <w:sz w:val="20"/>
          <w:szCs w:val="20"/>
        </w:rPr>
      </w:pPr>
    </w:p>
    <w:p w:rsidR="008051B1" w:rsidP="00286751" w:rsidRDefault="008051B1" w14:paraId="0625A98D" w14:textId="77777777">
      <w:pPr>
        <w:rPr>
          <w:b/>
          <w:sz w:val="20"/>
          <w:szCs w:val="20"/>
        </w:rPr>
      </w:pPr>
    </w:p>
    <w:p w:rsidR="00D01379" w:rsidP="00286751" w:rsidRDefault="00D01379" w14:paraId="6DE63068" w14:textId="77777777">
      <w:pPr>
        <w:rPr>
          <w:b/>
          <w:sz w:val="20"/>
          <w:szCs w:val="20"/>
        </w:rPr>
        <w:sectPr w:rsidR="00D01379" w:rsidSect="00BD588B">
          <w:footerReference w:type="default" r:id="rId13"/>
          <w:pgSz w:w="12240" w:h="15840"/>
          <w:pgMar w:top="1008" w:right="1440" w:bottom="1008" w:left="1440" w:header="1080" w:footer="662" w:gutter="0"/>
          <w:cols w:space="720"/>
          <w:noEndnote/>
          <w:docGrid w:linePitch="326"/>
        </w:sectPr>
      </w:pPr>
    </w:p>
    <w:p w:rsidR="008051B1" w:rsidP="00286751" w:rsidRDefault="008051B1" w14:paraId="32DBE9BD" w14:textId="77777777">
      <w:pPr>
        <w:rPr>
          <w:b/>
          <w:sz w:val="20"/>
          <w:szCs w:val="20"/>
        </w:rPr>
      </w:pPr>
    </w:p>
    <w:p w:rsidR="008051B1" w:rsidP="00286751" w:rsidRDefault="008051B1" w14:paraId="39A2B720" w14:textId="77777777">
      <w:pPr>
        <w:rPr>
          <w:b/>
          <w:sz w:val="20"/>
          <w:szCs w:val="20"/>
        </w:rPr>
      </w:pPr>
    </w:p>
    <w:p w:rsidRPr="008870F5" w:rsidR="00B52505" w:rsidP="00286751" w:rsidRDefault="00B52505" w14:paraId="32581AB2" w14:textId="77777777">
      <w:pPr>
        <w:rPr>
          <w:b/>
          <w:sz w:val="20"/>
          <w:szCs w:val="20"/>
        </w:rPr>
      </w:pPr>
      <w:r w:rsidRPr="008870F5">
        <w:rPr>
          <w:b/>
          <w:sz w:val="20"/>
          <w:szCs w:val="20"/>
        </w:rPr>
        <w:t>Individual Taxpayer Burden Survey</w:t>
      </w:r>
      <w:r w:rsidRPr="008870F5" w:rsidR="00180AA7">
        <w:rPr>
          <w:b/>
          <w:sz w:val="20"/>
          <w:szCs w:val="20"/>
        </w:rPr>
        <w:t>s (</w:t>
      </w:r>
      <w:r w:rsidR="00317E67">
        <w:rPr>
          <w:b/>
          <w:sz w:val="20"/>
          <w:szCs w:val="20"/>
        </w:rPr>
        <w:t>TY</w:t>
      </w:r>
      <w:r w:rsidR="00E92E47">
        <w:rPr>
          <w:b/>
          <w:sz w:val="20"/>
          <w:szCs w:val="20"/>
        </w:rPr>
        <w:t>201</w:t>
      </w:r>
      <w:r w:rsidR="0009089D">
        <w:rPr>
          <w:b/>
          <w:sz w:val="20"/>
          <w:szCs w:val="20"/>
        </w:rPr>
        <w:t>9</w:t>
      </w:r>
      <w:r w:rsidR="00E92E47">
        <w:rPr>
          <w:b/>
          <w:sz w:val="20"/>
          <w:szCs w:val="20"/>
        </w:rPr>
        <w:t xml:space="preserve">, </w:t>
      </w:r>
      <w:r w:rsidR="00317E67">
        <w:rPr>
          <w:b/>
          <w:sz w:val="20"/>
          <w:szCs w:val="20"/>
        </w:rPr>
        <w:t>TY</w:t>
      </w:r>
      <w:r w:rsidR="00E92E47">
        <w:rPr>
          <w:b/>
          <w:sz w:val="20"/>
          <w:szCs w:val="20"/>
        </w:rPr>
        <w:t>20</w:t>
      </w:r>
      <w:r w:rsidR="0009089D">
        <w:rPr>
          <w:b/>
          <w:sz w:val="20"/>
          <w:szCs w:val="20"/>
        </w:rPr>
        <w:t>20</w:t>
      </w:r>
      <w:r w:rsidR="00E92E47">
        <w:rPr>
          <w:b/>
          <w:sz w:val="20"/>
          <w:szCs w:val="20"/>
        </w:rPr>
        <w:t xml:space="preserve"> </w:t>
      </w:r>
      <w:r w:rsidR="00317E67">
        <w:rPr>
          <w:b/>
          <w:sz w:val="20"/>
          <w:szCs w:val="20"/>
        </w:rPr>
        <w:t>TY</w:t>
      </w:r>
      <w:r w:rsidR="00E92E47">
        <w:rPr>
          <w:b/>
          <w:sz w:val="20"/>
          <w:szCs w:val="20"/>
        </w:rPr>
        <w:t>20</w:t>
      </w:r>
      <w:r w:rsidR="0009089D">
        <w:rPr>
          <w:b/>
          <w:sz w:val="20"/>
          <w:szCs w:val="20"/>
        </w:rPr>
        <w:t>21</w:t>
      </w:r>
      <w:r w:rsidRPr="008870F5" w:rsidR="00180AA7">
        <w:rPr>
          <w:b/>
          <w:sz w:val="20"/>
          <w:szCs w:val="20"/>
        </w:rPr>
        <w:t>)</w:t>
      </w:r>
      <w:r w:rsidRPr="008870F5">
        <w:rPr>
          <w:b/>
          <w:sz w:val="20"/>
          <w:szCs w:val="20"/>
        </w:rPr>
        <w:t xml:space="preserve"> </w:t>
      </w:r>
    </w:p>
    <w:tbl>
      <w:tblPr>
        <w:tblW w:w="9288" w:type="dxa"/>
        <w:tblBorders>
          <w:top w:val="single" w:color="7F7F7F" w:sz="18" w:space="0"/>
          <w:left w:val="single" w:color="7F7F7F" w:sz="18" w:space="0"/>
          <w:bottom w:val="single" w:color="7F7F7F" w:sz="18" w:space="0"/>
          <w:right w:val="single" w:color="7F7F7F" w:sz="18" w:space="0"/>
        </w:tblBorders>
        <w:tblLook w:val="04A0" w:firstRow="1" w:lastRow="0" w:firstColumn="1" w:lastColumn="0" w:noHBand="0" w:noVBand="1"/>
      </w:tblPr>
      <w:tblGrid>
        <w:gridCol w:w="2448"/>
        <w:gridCol w:w="4770"/>
        <w:gridCol w:w="2070"/>
      </w:tblGrid>
      <w:tr w:rsidRPr="008870F5" w:rsidR="002415F8" w:rsidTr="008905E3" w14:paraId="2355E971" w14:textId="77777777">
        <w:tc>
          <w:tcPr>
            <w:tcW w:w="2448" w:type="dxa"/>
            <w:tcBorders>
              <w:top w:val="single" w:color="7F7F7F" w:sz="4" w:space="0"/>
              <w:left w:val="single" w:color="7F7F7F" w:sz="4" w:space="0"/>
              <w:bottom w:val="single" w:color="7F7F7F" w:sz="4" w:space="0"/>
              <w:right w:val="single" w:color="7F7F7F" w:sz="4" w:space="0"/>
            </w:tcBorders>
          </w:tcPr>
          <w:p w:rsidRPr="008870F5" w:rsidR="002415F8" w:rsidP="002415F8" w:rsidRDefault="002415F8" w14:paraId="7904F0DB" w14:textId="77777777">
            <w:pPr>
              <w:jc w:val="center"/>
              <w:rPr>
                <w:sz w:val="20"/>
                <w:szCs w:val="20"/>
              </w:rPr>
            </w:pPr>
            <w:r w:rsidRPr="008870F5">
              <w:rPr>
                <w:sz w:val="20"/>
                <w:szCs w:val="20"/>
              </w:rPr>
              <w:t>Contact</w:t>
            </w:r>
          </w:p>
        </w:tc>
        <w:tc>
          <w:tcPr>
            <w:tcW w:w="4770" w:type="dxa"/>
            <w:tcBorders>
              <w:top w:val="single" w:color="7F7F7F" w:sz="4" w:space="0"/>
              <w:left w:val="single" w:color="7F7F7F" w:sz="4" w:space="0"/>
              <w:bottom w:val="single" w:color="7F7F7F" w:sz="4" w:space="0"/>
              <w:right w:val="single" w:color="7F7F7F" w:sz="4" w:space="0"/>
            </w:tcBorders>
          </w:tcPr>
          <w:p w:rsidRPr="008870F5" w:rsidR="002415F8" w:rsidP="002415F8" w:rsidRDefault="002415F8" w14:paraId="4D990BBA" w14:textId="77777777">
            <w:pPr>
              <w:jc w:val="center"/>
              <w:rPr>
                <w:sz w:val="20"/>
              </w:rPr>
            </w:pPr>
            <w:r w:rsidRPr="008870F5">
              <w:rPr>
                <w:sz w:val="20"/>
              </w:rPr>
              <w:t>Description</w:t>
            </w:r>
          </w:p>
        </w:tc>
        <w:tc>
          <w:tcPr>
            <w:tcW w:w="2070" w:type="dxa"/>
            <w:tcBorders>
              <w:top w:val="single" w:color="7F7F7F" w:sz="4" w:space="0"/>
              <w:left w:val="single" w:color="7F7F7F" w:sz="4" w:space="0"/>
              <w:bottom w:val="single" w:color="7F7F7F" w:sz="4" w:space="0"/>
              <w:right w:val="single" w:color="7F7F7F" w:sz="4" w:space="0"/>
            </w:tcBorders>
          </w:tcPr>
          <w:p w:rsidRPr="008870F5" w:rsidR="002415F8" w:rsidP="002415F8" w:rsidRDefault="002415F8" w14:paraId="0363B651" w14:textId="77777777">
            <w:pPr>
              <w:jc w:val="center"/>
              <w:rPr>
                <w:sz w:val="20"/>
                <w:szCs w:val="20"/>
              </w:rPr>
            </w:pPr>
            <w:r w:rsidRPr="008870F5">
              <w:rPr>
                <w:sz w:val="20"/>
                <w:szCs w:val="20"/>
              </w:rPr>
              <w:t>Schedule</w:t>
            </w:r>
          </w:p>
        </w:tc>
      </w:tr>
      <w:tr w:rsidRPr="008870F5" w:rsidR="002415F8" w:rsidTr="008905E3" w14:paraId="514978D5" w14:textId="77777777">
        <w:tc>
          <w:tcPr>
            <w:tcW w:w="2448"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31E94761" w14:textId="77777777">
            <w:pPr>
              <w:rPr>
                <w:sz w:val="20"/>
                <w:szCs w:val="20"/>
              </w:rPr>
            </w:pPr>
            <w:r w:rsidRPr="008870F5">
              <w:rPr>
                <w:sz w:val="20"/>
                <w:szCs w:val="20"/>
              </w:rPr>
              <w:t>Contact 1: Pre-note</w:t>
            </w:r>
          </w:p>
        </w:tc>
        <w:tc>
          <w:tcPr>
            <w:tcW w:w="47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5D6417F9" w14:textId="77777777">
            <w:pPr>
              <w:rPr>
                <w:sz w:val="20"/>
                <w:szCs w:val="20"/>
              </w:rPr>
            </w:pPr>
            <w:r w:rsidRPr="008870F5">
              <w:rPr>
                <w:sz w:val="20"/>
              </w:rPr>
              <w:t xml:space="preserve">The pre-note is a hardcopy letter from an IRS official endorsing the survey and emphasizing the importance </w:t>
            </w:r>
            <w:r w:rsidRPr="008870F5" w:rsidR="001A178B">
              <w:rPr>
                <w:sz w:val="20"/>
              </w:rPr>
              <w:t xml:space="preserve">of the data collection effort. </w:t>
            </w:r>
            <w:r w:rsidRPr="008870F5">
              <w:rPr>
                <w:sz w:val="20"/>
              </w:rPr>
              <w:t>It notifies the respondent of selection for the survey, as well as provides information about the survey and assurances that there is no risk associated with participation. In addition, respondents will be given directions on how to view the survey on the taxstats website.</w:t>
            </w:r>
            <w:r w:rsidR="00E92E47">
              <w:rPr>
                <w:sz w:val="20"/>
              </w:rPr>
              <w:t xml:space="preserve"> Provided in English and Spanish.</w:t>
            </w:r>
          </w:p>
        </w:tc>
        <w:tc>
          <w:tcPr>
            <w:tcW w:w="20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63F88D16" w14:textId="77777777">
            <w:pPr>
              <w:rPr>
                <w:sz w:val="20"/>
                <w:szCs w:val="20"/>
              </w:rPr>
            </w:pPr>
            <w:r w:rsidRPr="008870F5">
              <w:rPr>
                <w:sz w:val="20"/>
                <w:szCs w:val="20"/>
              </w:rPr>
              <w:t>Beginning of data collection period</w:t>
            </w:r>
          </w:p>
        </w:tc>
      </w:tr>
      <w:tr w:rsidRPr="008870F5" w:rsidR="002415F8" w:rsidTr="008905E3" w14:paraId="3B865AA2" w14:textId="77777777">
        <w:tc>
          <w:tcPr>
            <w:tcW w:w="2448"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0AAD562E" w14:textId="77777777">
            <w:pPr>
              <w:rPr>
                <w:sz w:val="20"/>
                <w:szCs w:val="20"/>
              </w:rPr>
            </w:pPr>
            <w:r w:rsidRPr="008870F5">
              <w:rPr>
                <w:sz w:val="20"/>
                <w:szCs w:val="20"/>
              </w:rPr>
              <w:t>Contact 2: Survey packet</w:t>
            </w:r>
          </w:p>
        </w:tc>
        <w:tc>
          <w:tcPr>
            <w:tcW w:w="4770" w:type="dxa"/>
            <w:tcBorders>
              <w:top w:val="single" w:color="7F7F7F" w:sz="4" w:space="0"/>
              <w:left w:val="single" w:color="7F7F7F" w:sz="4" w:space="0"/>
              <w:bottom w:val="single" w:color="7F7F7F" w:sz="4" w:space="0"/>
              <w:right w:val="single" w:color="7F7F7F" w:sz="4" w:space="0"/>
            </w:tcBorders>
          </w:tcPr>
          <w:p w:rsidR="007B5838" w:rsidP="005C5EB9" w:rsidRDefault="002415F8" w14:paraId="39417163" w14:textId="77777777">
            <w:pPr>
              <w:rPr>
                <w:sz w:val="20"/>
              </w:rPr>
            </w:pPr>
            <w:r w:rsidRPr="008870F5">
              <w:rPr>
                <w:sz w:val="20"/>
              </w:rPr>
              <w:t>The survey packet consists of a paper-and-pencil questionnaire, a pre-addressed postage paid reply envelope, and a letter from the survey vendor indicating that the enclosed survey is the one referred to in the previously-received pre-note</w:t>
            </w:r>
            <w:r w:rsidRPr="008870F5" w:rsidR="00C130C9">
              <w:rPr>
                <w:sz w:val="20"/>
              </w:rPr>
              <w:t>,</w:t>
            </w:r>
            <w:r w:rsidR="001C5D5E">
              <w:rPr>
                <w:sz w:val="20"/>
              </w:rPr>
              <w:t xml:space="preserve"> and</w:t>
            </w:r>
            <w:r w:rsidRPr="008870F5" w:rsidR="00C130C9">
              <w:rPr>
                <w:sz w:val="20"/>
              </w:rPr>
              <w:t xml:space="preserve"> a reminder that completing the survey is voluntary</w:t>
            </w:r>
            <w:r w:rsidR="001C5D5E">
              <w:rPr>
                <w:sz w:val="20"/>
              </w:rPr>
              <w:t>.</w:t>
            </w:r>
            <w:r w:rsidRPr="008870F5" w:rsidR="00C130C9">
              <w:rPr>
                <w:sz w:val="20"/>
              </w:rPr>
              <w:t xml:space="preserve"> </w:t>
            </w:r>
            <w:r w:rsidRPr="008870F5">
              <w:rPr>
                <w:sz w:val="20"/>
              </w:rPr>
              <w:t xml:space="preserve">The paper survey also includes information on how the respondents may complete the survey on the web, if so desired. </w:t>
            </w:r>
          </w:p>
          <w:p w:rsidR="007B5838" w:rsidP="005C5EB9" w:rsidRDefault="007B5838" w14:paraId="21B896E4" w14:textId="77777777">
            <w:pPr>
              <w:rPr>
                <w:sz w:val="20"/>
              </w:rPr>
            </w:pPr>
          </w:p>
          <w:p w:rsidRPr="008870F5" w:rsidR="002415F8" w:rsidP="005C5EB9" w:rsidRDefault="00E92E47" w14:paraId="36CFCB2C" w14:textId="25A77DED">
            <w:pPr>
              <w:rPr>
                <w:sz w:val="20"/>
                <w:szCs w:val="20"/>
              </w:rPr>
            </w:pPr>
            <w:r>
              <w:rPr>
                <w:sz w:val="20"/>
              </w:rPr>
              <w:t>ITB only</w:t>
            </w:r>
            <w:r w:rsidR="007B5838">
              <w:rPr>
                <w:sz w:val="20"/>
              </w:rPr>
              <w:t>:</w:t>
            </w:r>
            <w:r w:rsidR="00045ABA">
              <w:rPr>
                <w:sz w:val="20"/>
              </w:rPr>
              <w:t xml:space="preserve"> </w:t>
            </w:r>
            <w:r w:rsidR="007B5838">
              <w:rPr>
                <w:sz w:val="20"/>
              </w:rPr>
              <w:t>A</w:t>
            </w:r>
            <w:r w:rsidRPr="008870F5" w:rsidR="00C130C9">
              <w:rPr>
                <w:sz w:val="20"/>
              </w:rPr>
              <w:t xml:space="preserve"> $2 incentive will be enclosed in this mailing.</w:t>
            </w:r>
            <w:r>
              <w:rPr>
                <w:sz w:val="20"/>
              </w:rPr>
              <w:t xml:space="preserve">  The survey vendor letter states</w:t>
            </w:r>
            <w:r w:rsidRPr="008870F5">
              <w:rPr>
                <w:sz w:val="20"/>
              </w:rPr>
              <w:t xml:space="preserve"> that the incentive is a token of appreciation.</w:t>
            </w:r>
          </w:p>
        </w:tc>
        <w:tc>
          <w:tcPr>
            <w:tcW w:w="2070" w:type="dxa"/>
            <w:tcBorders>
              <w:top w:val="single" w:color="7F7F7F" w:sz="4" w:space="0"/>
              <w:left w:val="single" w:color="7F7F7F" w:sz="4" w:space="0"/>
              <w:bottom w:val="single" w:color="7F7F7F" w:sz="4" w:space="0"/>
              <w:right w:val="single" w:color="7F7F7F" w:sz="4" w:space="0"/>
            </w:tcBorders>
          </w:tcPr>
          <w:p w:rsidRPr="008870F5" w:rsidR="002415F8" w:rsidP="00180AA7" w:rsidRDefault="00180AA7" w14:paraId="5CB2341E" w14:textId="77777777">
            <w:pPr>
              <w:rPr>
                <w:sz w:val="20"/>
                <w:szCs w:val="20"/>
              </w:rPr>
            </w:pPr>
            <w:r w:rsidRPr="008870F5">
              <w:rPr>
                <w:sz w:val="20"/>
                <w:szCs w:val="20"/>
              </w:rPr>
              <w:t>1</w:t>
            </w:r>
            <w:r w:rsidRPr="008870F5" w:rsidR="002415F8">
              <w:rPr>
                <w:sz w:val="20"/>
                <w:szCs w:val="20"/>
              </w:rPr>
              <w:t xml:space="preserve"> – </w:t>
            </w:r>
            <w:r w:rsidRPr="008870F5">
              <w:rPr>
                <w:sz w:val="20"/>
                <w:szCs w:val="20"/>
              </w:rPr>
              <w:t>2</w:t>
            </w:r>
            <w:r w:rsidRPr="008870F5" w:rsidR="002415F8">
              <w:rPr>
                <w:sz w:val="20"/>
                <w:szCs w:val="20"/>
              </w:rPr>
              <w:t xml:space="preserve"> weeks after Contact 1 mails</w:t>
            </w:r>
          </w:p>
        </w:tc>
      </w:tr>
      <w:tr w:rsidRPr="008870F5" w:rsidR="002415F8" w:rsidTr="008905E3" w14:paraId="3E2B9C3A" w14:textId="77777777">
        <w:tc>
          <w:tcPr>
            <w:tcW w:w="2448"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2C4FDCBC" w14:textId="77777777">
            <w:pPr>
              <w:rPr>
                <w:sz w:val="20"/>
                <w:szCs w:val="20"/>
              </w:rPr>
            </w:pPr>
            <w:r w:rsidRPr="008870F5">
              <w:rPr>
                <w:sz w:val="20"/>
                <w:szCs w:val="20"/>
              </w:rPr>
              <w:t xml:space="preserve">Contact 3: </w:t>
            </w:r>
            <w:r w:rsidR="00AF4CB7">
              <w:rPr>
                <w:sz w:val="20"/>
                <w:szCs w:val="20"/>
              </w:rPr>
              <w:t>Thank you/Reminder Letter</w:t>
            </w:r>
          </w:p>
        </w:tc>
        <w:tc>
          <w:tcPr>
            <w:tcW w:w="47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0ED3D0A5" w14:textId="77777777">
            <w:pPr>
              <w:rPr>
                <w:sz w:val="20"/>
                <w:szCs w:val="20"/>
              </w:rPr>
            </w:pPr>
            <w:r w:rsidRPr="008870F5">
              <w:rPr>
                <w:sz w:val="20"/>
              </w:rPr>
              <w:t>All respondents will be maile</w:t>
            </w:r>
            <w:r w:rsidR="00511919">
              <w:rPr>
                <w:sz w:val="20"/>
              </w:rPr>
              <w:t xml:space="preserve">d a thank you/reminder </w:t>
            </w:r>
            <w:r w:rsidR="00FD1497">
              <w:rPr>
                <w:sz w:val="20"/>
              </w:rPr>
              <w:t>letter</w:t>
            </w:r>
            <w:r w:rsidR="00511919">
              <w:rPr>
                <w:sz w:val="20"/>
              </w:rPr>
              <w:t>.</w:t>
            </w:r>
            <w:r w:rsidRPr="008870F5">
              <w:rPr>
                <w:sz w:val="20"/>
              </w:rPr>
              <w:t xml:space="preserve"> The </w:t>
            </w:r>
            <w:r w:rsidR="00FD1497">
              <w:rPr>
                <w:sz w:val="20"/>
              </w:rPr>
              <w:t>letter</w:t>
            </w:r>
            <w:r w:rsidRPr="008870F5">
              <w:rPr>
                <w:sz w:val="20"/>
              </w:rPr>
              <w:t xml:space="preserve"> will thank those who have already submitted a completed survey and ask those who have not</w:t>
            </w:r>
            <w:r w:rsidR="00E92E47">
              <w:rPr>
                <w:sz w:val="20"/>
              </w:rPr>
              <w:t xml:space="preserve"> responded</w:t>
            </w:r>
            <w:r w:rsidRPr="008870F5">
              <w:rPr>
                <w:sz w:val="20"/>
              </w:rPr>
              <w:t xml:space="preserve"> to please do so. </w:t>
            </w:r>
          </w:p>
        </w:tc>
        <w:tc>
          <w:tcPr>
            <w:tcW w:w="20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6EF81431" w14:textId="77777777">
            <w:pPr>
              <w:rPr>
                <w:sz w:val="20"/>
                <w:szCs w:val="20"/>
              </w:rPr>
            </w:pPr>
            <w:r w:rsidRPr="008870F5">
              <w:rPr>
                <w:sz w:val="20"/>
                <w:szCs w:val="20"/>
              </w:rPr>
              <w:t>3 weeks after Contact 2 mails</w:t>
            </w:r>
          </w:p>
        </w:tc>
      </w:tr>
      <w:tr w:rsidRPr="008870F5" w:rsidR="002415F8" w:rsidTr="008905E3" w14:paraId="20CE3907" w14:textId="77777777">
        <w:tc>
          <w:tcPr>
            <w:tcW w:w="2448"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2A1543CC" w14:textId="77777777">
            <w:pPr>
              <w:rPr>
                <w:sz w:val="20"/>
                <w:szCs w:val="20"/>
              </w:rPr>
            </w:pPr>
            <w:r w:rsidRPr="008870F5">
              <w:rPr>
                <w:sz w:val="20"/>
                <w:szCs w:val="20"/>
              </w:rPr>
              <w:t>Contact 4: Survey packet</w:t>
            </w:r>
          </w:p>
        </w:tc>
        <w:tc>
          <w:tcPr>
            <w:tcW w:w="4770" w:type="dxa"/>
            <w:tcBorders>
              <w:top w:val="single" w:color="7F7F7F" w:sz="4" w:space="0"/>
              <w:left w:val="single" w:color="7F7F7F" w:sz="4" w:space="0"/>
              <w:bottom w:val="single" w:color="7F7F7F" w:sz="4" w:space="0"/>
              <w:right w:val="single" w:color="7F7F7F" w:sz="4" w:space="0"/>
            </w:tcBorders>
          </w:tcPr>
          <w:p w:rsidR="007B5838" w:rsidP="00DE290D" w:rsidRDefault="002415F8" w14:paraId="5FCF7465" w14:textId="22B9E99D">
            <w:pPr>
              <w:rPr>
                <w:sz w:val="20"/>
              </w:rPr>
            </w:pPr>
            <w:r w:rsidRPr="008870F5">
              <w:rPr>
                <w:sz w:val="20"/>
              </w:rPr>
              <w:t xml:space="preserve">Nonrespondents are sent the </w:t>
            </w:r>
            <w:r w:rsidR="00A24AD8">
              <w:rPr>
                <w:sz w:val="20"/>
              </w:rPr>
              <w:t xml:space="preserve">same packet </w:t>
            </w:r>
            <w:r w:rsidR="00232682">
              <w:rPr>
                <w:sz w:val="20"/>
              </w:rPr>
              <w:t xml:space="preserve">as </w:t>
            </w:r>
            <w:r w:rsidR="00E92E47">
              <w:rPr>
                <w:sz w:val="20"/>
              </w:rPr>
              <w:t xml:space="preserve">Contact 2. </w:t>
            </w:r>
          </w:p>
          <w:p w:rsidR="007B5838" w:rsidP="00DE290D" w:rsidRDefault="007B5838" w14:paraId="0C535AE6" w14:textId="77777777">
            <w:pPr>
              <w:rPr>
                <w:sz w:val="20"/>
              </w:rPr>
            </w:pPr>
          </w:p>
          <w:p w:rsidRPr="008870F5" w:rsidR="002415F8" w:rsidP="00DE290D" w:rsidRDefault="00E92E47" w14:paraId="0CD6C413" w14:textId="34B12E8B">
            <w:pPr>
              <w:rPr>
                <w:sz w:val="20"/>
                <w:szCs w:val="20"/>
              </w:rPr>
            </w:pPr>
            <w:r>
              <w:rPr>
                <w:sz w:val="20"/>
              </w:rPr>
              <w:t>ITB only: No incentive is included. The survey vendor letter is replaced with a letter that does not mention an incentive.</w:t>
            </w:r>
          </w:p>
        </w:tc>
        <w:tc>
          <w:tcPr>
            <w:tcW w:w="20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262CD403" w14:textId="77777777">
            <w:pPr>
              <w:rPr>
                <w:sz w:val="20"/>
                <w:szCs w:val="20"/>
              </w:rPr>
            </w:pPr>
            <w:r w:rsidRPr="008870F5">
              <w:rPr>
                <w:sz w:val="20"/>
                <w:szCs w:val="20"/>
              </w:rPr>
              <w:t>2 weeks after Contact 3 mails</w:t>
            </w:r>
          </w:p>
        </w:tc>
      </w:tr>
      <w:tr w:rsidRPr="008870F5" w:rsidR="002415F8" w:rsidTr="008905E3" w14:paraId="0DA7C44C" w14:textId="77777777">
        <w:tc>
          <w:tcPr>
            <w:tcW w:w="2448"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226E9564" w14:textId="77777777">
            <w:pPr>
              <w:rPr>
                <w:sz w:val="20"/>
                <w:szCs w:val="20"/>
              </w:rPr>
            </w:pPr>
            <w:r w:rsidRPr="008870F5">
              <w:rPr>
                <w:sz w:val="20"/>
                <w:szCs w:val="20"/>
              </w:rPr>
              <w:t xml:space="preserve">Contact 5: </w:t>
            </w:r>
            <w:r w:rsidRPr="008870F5" w:rsidR="00317E67">
              <w:rPr>
                <w:sz w:val="20"/>
                <w:szCs w:val="20"/>
              </w:rPr>
              <w:t>Thank you/</w:t>
            </w:r>
            <w:r w:rsidR="00AF4CB7">
              <w:rPr>
                <w:sz w:val="20"/>
                <w:szCs w:val="20"/>
              </w:rPr>
              <w:t>R</w:t>
            </w:r>
            <w:r w:rsidRPr="008870F5" w:rsidR="00317E67">
              <w:rPr>
                <w:sz w:val="20"/>
                <w:szCs w:val="20"/>
              </w:rPr>
              <w:t>eminder</w:t>
            </w:r>
            <w:r w:rsidR="00AF4CB7">
              <w:rPr>
                <w:sz w:val="20"/>
                <w:szCs w:val="20"/>
              </w:rPr>
              <w:t xml:space="preserve"> Letter</w:t>
            </w:r>
            <w:r w:rsidRPr="008870F5" w:rsidR="00317E67">
              <w:rPr>
                <w:sz w:val="20"/>
                <w:szCs w:val="20"/>
              </w:rPr>
              <w:t xml:space="preserve"> </w:t>
            </w:r>
            <w:r w:rsidR="00317E67">
              <w:rPr>
                <w:sz w:val="20"/>
                <w:szCs w:val="20"/>
              </w:rPr>
              <w:t xml:space="preserve">or </w:t>
            </w:r>
            <w:r w:rsidRPr="008870F5">
              <w:rPr>
                <w:sz w:val="20"/>
                <w:szCs w:val="20"/>
              </w:rPr>
              <w:t xml:space="preserve">Phone </w:t>
            </w:r>
            <w:r w:rsidRPr="008870F5" w:rsidR="00511919">
              <w:rPr>
                <w:sz w:val="20"/>
                <w:szCs w:val="20"/>
              </w:rPr>
              <w:t>call</w:t>
            </w:r>
          </w:p>
        </w:tc>
        <w:tc>
          <w:tcPr>
            <w:tcW w:w="4770" w:type="dxa"/>
            <w:tcBorders>
              <w:top w:val="single" w:color="7F7F7F" w:sz="4" w:space="0"/>
              <w:left w:val="single" w:color="7F7F7F" w:sz="4" w:space="0"/>
              <w:bottom w:val="single" w:color="7F7F7F" w:sz="4" w:space="0"/>
              <w:right w:val="single" w:color="7F7F7F" w:sz="4" w:space="0"/>
            </w:tcBorders>
          </w:tcPr>
          <w:p w:rsidR="007B5838" w:rsidP="005C5EB9" w:rsidRDefault="002415F8" w14:paraId="57E3B42C" w14:textId="77777777">
            <w:pPr>
              <w:rPr>
                <w:sz w:val="20"/>
              </w:rPr>
            </w:pPr>
            <w:r w:rsidRPr="008870F5">
              <w:rPr>
                <w:sz w:val="20"/>
              </w:rPr>
              <w:t xml:space="preserve">If no completed survey is received, nonrespondents </w:t>
            </w:r>
            <w:r w:rsidR="00E92E47">
              <w:rPr>
                <w:sz w:val="20"/>
              </w:rPr>
              <w:t xml:space="preserve">will receive a follow-up thank you/reminder </w:t>
            </w:r>
            <w:r w:rsidR="00FD1497">
              <w:rPr>
                <w:sz w:val="20"/>
              </w:rPr>
              <w:t>letter</w:t>
            </w:r>
            <w:r w:rsidR="00E92E47">
              <w:rPr>
                <w:sz w:val="20"/>
              </w:rPr>
              <w:t>, similar to Contact 3</w:t>
            </w:r>
            <w:r w:rsidR="00317E67">
              <w:rPr>
                <w:sz w:val="20"/>
              </w:rPr>
              <w:t xml:space="preserve">. </w:t>
            </w:r>
          </w:p>
          <w:p w:rsidR="007B5838" w:rsidP="005C5EB9" w:rsidRDefault="007B5838" w14:paraId="4060B249" w14:textId="77777777">
            <w:pPr>
              <w:rPr>
                <w:sz w:val="20"/>
              </w:rPr>
            </w:pPr>
          </w:p>
          <w:p w:rsidRPr="008870F5" w:rsidR="002415F8" w:rsidP="005C5EB9" w:rsidRDefault="00317E67" w14:paraId="0765DAA0" w14:textId="5583E7CE">
            <w:pPr>
              <w:rPr>
                <w:sz w:val="20"/>
                <w:szCs w:val="20"/>
              </w:rPr>
            </w:pPr>
            <w:r>
              <w:rPr>
                <w:sz w:val="20"/>
              </w:rPr>
              <w:t>ITB only</w:t>
            </w:r>
            <w:r w:rsidR="001C5D5E">
              <w:rPr>
                <w:sz w:val="20"/>
              </w:rPr>
              <w:t>:</w:t>
            </w:r>
            <w:r>
              <w:rPr>
                <w:sz w:val="20"/>
              </w:rPr>
              <w:t xml:space="preserve"> N</w:t>
            </w:r>
            <w:r w:rsidR="00B66387">
              <w:rPr>
                <w:sz w:val="20"/>
              </w:rPr>
              <w:t>o</w:t>
            </w:r>
            <w:r w:rsidR="00E92E47">
              <w:rPr>
                <w:sz w:val="20"/>
              </w:rPr>
              <w:t xml:space="preserve">nrespondents </w:t>
            </w:r>
            <w:r w:rsidRPr="008870F5" w:rsidR="002415F8">
              <w:rPr>
                <w:sz w:val="20"/>
              </w:rPr>
              <w:t xml:space="preserve">that have been matched to a phone number will receive </w:t>
            </w:r>
            <w:r>
              <w:rPr>
                <w:sz w:val="20"/>
              </w:rPr>
              <w:t>an IVR prompt that will ask them complete and return the survey or call the su</w:t>
            </w:r>
            <w:r w:rsidR="00B66387">
              <w:rPr>
                <w:sz w:val="20"/>
              </w:rPr>
              <w:t>r</w:t>
            </w:r>
            <w:r>
              <w:rPr>
                <w:sz w:val="20"/>
              </w:rPr>
              <w:t>vey vendor if the respondent has questions.</w:t>
            </w:r>
          </w:p>
        </w:tc>
        <w:tc>
          <w:tcPr>
            <w:tcW w:w="20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6980CF90" w14:textId="77777777">
            <w:pPr>
              <w:rPr>
                <w:sz w:val="20"/>
                <w:szCs w:val="20"/>
              </w:rPr>
            </w:pPr>
            <w:r w:rsidRPr="008870F5">
              <w:rPr>
                <w:sz w:val="20"/>
                <w:szCs w:val="20"/>
              </w:rPr>
              <w:t>2 weeks after Contact 4 mails</w:t>
            </w:r>
          </w:p>
        </w:tc>
      </w:tr>
      <w:tr w:rsidRPr="008870F5" w:rsidR="002415F8" w:rsidTr="008905E3" w14:paraId="3D15E057" w14:textId="77777777">
        <w:tc>
          <w:tcPr>
            <w:tcW w:w="2448"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78224A2F" w14:textId="77777777">
            <w:pPr>
              <w:rPr>
                <w:sz w:val="20"/>
                <w:szCs w:val="20"/>
              </w:rPr>
            </w:pPr>
            <w:r w:rsidRPr="008870F5">
              <w:rPr>
                <w:sz w:val="20"/>
                <w:szCs w:val="20"/>
              </w:rPr>
              <w:t>Contact 6: Survey packet</w:t>
            </w:r>
          </w:p>
        </w:tc>
        <w:tc>
          <w:tcPr>
            <w:tcW w:w="47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5684DE37" w14:textId="77777777">
            <w:pPr>
              <w:rPr>
                <w:sz w:val="20"/>
                <w:szCs w:val="20"/>
              </w:rPr>
            </w:pPr>
            <w:r w:rsidRPr="008870F5">
              <w:rPr>
                <w:sz w:val="20"/>
              </w:rPr>
              <w:t>Nonrespondents are sent the survey packet, which provides a third copy of the paper-and-pencil questionnaire, a pre-addressed postage paid reply envelope, and a letter from the survey vendor asking for response. As with the first and second survey packets, the paper survey also includes information on how the respondents may complete the survey on the web, if so desired.</w:t>
            </w:r>
          </w:p>
        </w:tc>
        <w:tc>
          <w:tcPr>
            <w:tcW w:w="2070" w:type="dxa"/>
            <w:tcBorders>
              <w:top w:val="single" w:color="7F7F7F" w:sz="4" w:space="0"/>
              <w:left w:val="single" w:color="7F7F7F" w:sz="4" w:space="0"/>
              <w:bottom w:val="single" w:color="7F7F7F" w:sz="4" w:space="0"/>
              <w:right w:val="single" w:color="7F7F7F" w:sz="4" w:space="0"/>
            </w:tcBorders>
          </w:tcPr>
          <w:p w:rsidRPr="008870F5" w:rsidR="002415F8" w:rsidP="00DE290D" w:rsidRDefault="002415F8" w14:paraId="424DC89C" w14:textId="77777777">
            <w:pPr>
              <w:rPr>
                <w:sz w:val="20"/>
                <w:szCs w:val="20"/>
              </w:rPr>
            </w:pPr>
            <w:r w:rsidRPr="008870F5">
              <w:rPr>
                <w:sz w:val="20"/>
                <w:szCs w:val="20"/>
              </w:rPr>
              <w:t xml:space="preserve">2 weeks after Contact 5 phone or </w:t>
            </w:r>
            <w:r w:rsidR="00FD1497">
              <w:rPr>
                <w:sz w:val="20"/>
                <w:szCs w:val="20"/>
              </w:rPr>
              <w:t>letter</w:t>
            </w:r>
            <w:r w:rsidRPr="008870F5">
              <w:rPr>
                <w:sz w:val="20"/>
                <w:szCs w:val="20"/>
              </w:rPr>
              <w:t xml:space="preserve"> follow-up</w:t>
            </w:r>
          </w:p>
        </w:tc>
      </w:tr>
    </w:tbl>
    <w:p w:rsidRPr="008870F5" w:rsidR="008905E3" w:rsidRDefault="008905E3" w14:paraId="0B4C3104" w14:textId="77777777"/>
    <w:p w:rsidR="00B52505" w:rsidP="00286751" w:rsidRDefault="00B52505" w14:paraId="05011DE7" w14:textId="77777777">
      <w:pPr>
        <w:rPr>
          <w:sz w:val="20"/>
          <w:szCs w:val="20"/>
        </w:rPr>
      </w:pPr>
    </w:p>
    <w:p w:rsidR="00317E67" w:rsidP="00286751" w:rsidRDefault="00317E67" w14:paraId="16E4EA48" w14:textId="77777777">
      <w:pPr>
        <w:rPr>
          <w:sz w:val="20"/>
          <w:szCs w:val="20"/>
        </w:rPr>
      </w:pPr>
    </w:p>
    <w:p w:rsidR="00317E67" w:rsidP="00286751" w:rsidRDefault="00317E67" w14:paraId="66FC8AF2" w14:textId="77777777">
      <w:pPr>
        <w:rPr>
          <w:sz w:val="20"/>
          <w:szCs w:val="20"/>
        </w:rPr>
      </w:pPr>
    </w:p>
    <w:p w:rsidR="00B66387" w:rsidP="00286751" w:rsidRDefault="00B66387" w14:paraId="016B4800" w14:textId="77777777">
      <w:pPr>
        <w:rPr>
          <w:sz w:val="20"/>
          <w:szCs w:val="20"/>
        </w:rPr>
      </w:pPr>
    </w:p>
    <w:p w:rsidR="008051B1" w:rsidP="00286751" w:rsidRDefault="008051B1" w14:paraId="0BB5D290" w14:textId="77777777">
      <w:pPr>
        <w:rPr>
          <w:sz w:val="20"/>
          <w:szCs w:val="20"/>
        </w:rPr>
      </w:pPr>
    </w:p>
    <w:p w:rsidR="008051B1" w:rsidP="00286751" w:rsidRDefault="008051B1" w14:paraId="595B9862" w14:textId="77777777">
      <w:pPr>
        <w:rPr>
          <w:sz w:val="20"/>
          <w:szCs w:val="20"/>
        </w:rPr>
      </w:pPr>
    </w:p>
    <w:p w:rsidR="008051B1" w:rsidP="00286751" w:rsidRDefault="008051B1" w14:paraId="29F1C42D" w14:textId="77777777">
      <w:pPr>
        <w:rPr>
          <w:sz w:val="20"/>
          <w:szCs w:val="20"/>
        </w:rPr>
      </w:pPr>
    </w:p>
    <w:p w:rsidRPr="008870F5" w:rsidR="00332BE3" w:rsidP="00332BE3" w:rsidRDefault="00317E67" w14:paraId="374D3C06" w14:textId="77777777">
      <w:pPr>
        <w:rPr>
          <w:b/>
          <w:sz w:val="20"/>
          <w:szCs w:val="20"/>
        </w:rPr>
      </w:pPr>
      <w:r>
        <w:rPr>
          <w:b/>
          <w:sz w:val="20"/>
          <w:szCs w:val="20"/>
        </w:rPr>
        <w:lastRenderedPageBreak/>
        <w:t xml:space="preserve">All Other </w:t>
      </w:r>
      <w:r w:rsidR="008552D9">
        <w:rPr>
          <w:b/>
          <w:sz w:val="20"/>
          <w:szCs w:val="20"/>
        </w:rPr>
        <w:t xml:space="preserve">Mixed Mode (Paper and Web) </w:t>
      </w:r>
      <w:r>
        <w:rPr>
          <w:b/>
          <w:sz w:val="20"/>
          <w:szCs w:val="20"/>
        </w:rPr>
        <w:t>Surveys</w:t>
      </w:r>
      <w:r w:rsidR="00B650EA">
        <w:rPr>
          <w:b/>
          <w:sz w:val="20"/>
          <w:szCs w:val="20"/>
        </w:rPr>
        <w:t>/Special Studies</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4320"/>
        <w:gridCol w:w="2160"/>
      </w:tblGrid>
      <w:tr w:rsidRPr="008870F5" w:rsidR="00332BE3" w:rsidTr="00332BE3" w14:paraId="052A5B97" w14:textId="77777777">
        <w:tc>
          <w:tcPr>
            <w:tcW w:w="2808" w:type="dxa"/>
          </w:tcPr>
          <w:p w:rsidRPr="008870F5" w:rsidR="00332BE3" w:rsidP="00332BE3" w:rsidRDefault="00332BE3" w14:paraId="290478C4" w14:textId="77777777">
            <w:pPr>
              <w:jc w:val="center"/>
              <w:rPr>
                <w:sz w:val="20"/>
                <w:szCs w:val="20"/>
              </w:rPr>
            </w:pPr>
            <w:r w:rsidRPr="008870F5">
              <w:rPr>
                <w:sz w:val="20"/>
                <w:szCs w:val="20"/>
              </w:rPr>
              <w:t>Contact</w:t>
            </w:r>
          </w:p>
        </w:tc>
        <w:tc>
          <w:tcPr>
            <w:tcW w:w="4320" w:type="dxa"/>
          </w:tcPr>
          <w:p w:rsidRPr="008870F5" w:rsidR="00332BE3" w:rsidP="00332BE3" w:rsidRDefault="00332BE3" w14:paraId="2B99AEBA" w14:textId="77777777">
            <w:pPr>
              <w:jc w:val="center"/>
              <w:rPr>
                <w:sz w:val="20"/>
              </w:rPr>
            </w:pPr>
            <w:r w:rsidRPr="008870F5">
              <w:rPr>
                <w:sz w:val="20"/>
              </w:rPr>
              <w:t>Description</w:t>
            </w:r>
          </w:p>
        </w:tc>
        <w:tc>
          <w:tcPr>
            <w:tcW w:w="2160" w:type="dxa"/>
          </w:tcPr>
          <w:p w:rsidRPr="008870F5" w:rsidR="00332BE3" w:rsidP="00332BE3" w:rsidRDefault="00332BE3" w14:paraId="41D0DFE6" w14:textId="77777777">
            <w:pPr>
              <w:jc w:val="center"/>
              <w:rPr>
                <w:sz w:val="20"/>
                <w:szCs w:val="20"/>
              </w:rPr>
            </w:pPr>
            <w:r w:rsidRPr="008870F5">
              <w:rPr>
                <w:sz w:val="20"/>
                <w:szCs w:val="20"/>
              </w:rPr>
              <w:t>Schedule</w:t>
            </w:r>
          </w:p>
        </w:tc>
      </w:tr>
      <w:tr w:rsidRPr="008870F5" w:rsidR="00332BE3" w:rsidTr="00332BE3" w14:paraId="13489B95" w14:textId="77777777">
        <w:tc>
          <w:tcPr>
            <w:tcW w:w="2808" w:type="dxa"/>
          </w:tcPr>
          <w:p w:rsidRPr="008870F5" w:rsidR="00332BE3" w:rsidP="00DE290D" w:rsidRDefault="00332BE3" w14:paraId="45086BF3" w14:textId="77777777">
            <w:pPr>
              <w:rPr>
                <w:sz w:val="20"/>
                <w:szCs w:val="20"/>
              </w:rPr>
            </w:pPr>
            <w:r w:rsidRPr="008870F5">
              <w:rPr>
                <w:sz w:val="20"/>
                <w:szCs w:val="20"/>
              </w:rPr>
              <w:t>Contact 1: Initial survey packet</w:t>
            </w:r>
          </w:p>
        </w:tc>
        <w:tc>
          <w:tcPr>
            <w:tcW w:w="4320" w:type="dxa"/>
          </w:tcPr>
          <w:p w:rsidRPr="008870F5" w:rsidR="00332BE3" w:rsidP="00DA7688" w:rsidRDefault="00332BE3" w14:paraId="6F2216AD" w14:textId="77777777">
            <w:pPr>
              <w:rPr>
                <w:sz w:val="20"/>
                <w:szCs w:val="20"/>
              </w:rPr>
            </w:pPr>
            <w:r w:rsidRPr="008870F5">
              <w:rPr>
                <w:sz w:val="20"/>
                <w:szCs w:val="20"/>
              </w:rPr>
              <w:t xml:space="preserve">The initial survey packet consists of a paper-and-pencil (TeleForm) survey, a letter from the IRS endorsing the survey, a letter from </w:t>
            </w:r>
            <w:r w:rsidRPr="008870F5" w:rsidR="00DA7688">
              <w:rPr>
                <w:sz w:val="20"/>
                <w:szCs w:val="20"/>
              </w:rPr>
              <w:t>the survey vendor</w:t>
            </w:r>
            <w:r w:rsidRPr="008870F5">
              <w:rPr>
                <w:sz w:val="20"/>
                <w:szCs w:val="20"/>
              </w:rPr>
              <w:t xml:space="preserve"> with instructions on completing the survey online, and a postage-paid return envelope. </w:t>
            </w:r>
          </w:p>
        </w:tc>
        <w:tc>
          <w:tcPr>
            <w:tcW w:w="2160" w:type="dxa"/>
          </w:tcPr>
          <w:p w:rsidRPr="008870F5" w:rsidR="00332BE3" w:rsidP="00DE290D" w:rsidRDefault="00332BE3" w14:paraId="09CCDD0B" w14:textId="77777777">
            <w:pPr>
              <w:rPr>
                <w:sz w:val="20"/>
                <w:szCs w:val="20"/>
              </w:rPr>
            </w:pPr>
            <w:r w:rsidRPr="008870F5">
              <w:rPr>
                <w:sz w:val="20"/>
                <w:szCs w:val="20"/>
              </w:rPr>
              <w:t>Beginning of data collection period</w:t>
            </w:r>
          </w:p>
        </w:tc>
      </w:tr>
      <w:tr w:rsidRPr="008870F5" w:rsidR="00332BE3" w:rsidTr="00332BE3" w14:paraId="19D23C8A" w14:textId="77777777">
        <w:tc>
          <w:tcPr>
            <w:tcW w:w="2808" w:type="dxa"/>
          </w:tcPr>
          <w:p w:rsidRPr="008870F5" w:rsidR="00332BE3" w:rsidP="00DE290D" w:rsidRDefault="00332BE3" w14:paraId="63855986" w14:textId="77777777">
            <w:pPr>
              <w:rPr>
                <w:sz w:val="20"/>
                <w:szCs w:val="20"/>
              </w:rPr>
            </w:pPr>
            <w:r w:rsidRPr="008870F5">
              <w:rPr>
                <w:sz w:val="20"/>
                <w:szCs w:val="20"/>
              </w:rPr>
              <w:t xml:space="preserve">Contact 2: Thank you/reminder </w:t>
            </w:r>
            <w:r w:rsidR="00AF4CB7">
              <w:rPr>
                <w:sz w:val="20"/>
                <w:szCs w:val="20"/>
              </w:rPr>
              <w:t>Letter</w:t>
            </w:r>
          </w:p>
        </w:tc>
        <w:tc>
          <w:tcPr>
            <w:tcW w:w="4320" w:type="dxa"/>
          </w:tcPr>
          <w:p w:rsidRPr="008870F5" w:rsidR="00332BE3" w:rsidP="00DE290D" w:rsidRDefault="00317E67" w14:paraId="0DC864F1" w14:textId="77777777">
            <w:pPr>
              <w:rPr>
                <w:sz w:val="20"/>
                <w:szCs w:val="20"/>
              </w:rPr>
            </w:pPr>
            <w:r w:rsidRPr="008870F5">
              <w:rPr>
                <w:sz w:val="20"/>
              </w:rPr>
              <w:t xml:space="preserve">All respondents will be mailed a thank you/reminder </w:t>
            </w:r>
            <w:r w:rsidR="00FD1497">
              <w:rPr>
                <w:sz w:val="20"/>
              </w:rPr>
              <w:t>letter</w:t>
            </w:r>
            <w:r w:rsidR="00511919">
              <w:rPr>
                <w:sz w:val="20"/>
              </w:rPr>
              <w:t>.</w:t>
            </w:r>
            <w:r w:rsidRPr="008870F5">
              <w:rPr>
                <w:sz w:val="20"/>
              </w:rPr>
              <w:t xml:space="preserve"> The </w:t>
            </w:r>
            <w:r w:rsidR="00FD1497">
              <w:rPr>
                <w:sz w:val="20"/>
              </w:rPr>
              <w:t>letter</w:t>
            </w:r>
            <w:r w:rsidRPr="008870F5">
              <w:rPr>
                <w:sz w:val="20"/>
              </w:rPr>
              <w:t xml:space="preserve"> will thank those who have already submitted a completed survey and ask those who have not</w:t>
            </w:r>
            <w:r>
              <w:rPr>
                <w:sz w:val="20"/>
              </w:rPr>
              <w:t xml:space="preserve"> responded</w:t>
            </w:r>
            <w:r w:rsidRPr="008870F5">
              <w:rPr>
                <w:sz w:val="20"/>
              </w:rPr>
              <w:t xml:space="preserve"> to please do so.</w:t>
            </w:r>
          </w:p>
        </w:tc>
        <w:tc>
          <w:tcPr>
            <w:tcW w:w="2160" w:type="dxa"/>
          </w:tcPr>
          <w:p w:rsidRPr="008870F5" w:rsidR="00332BE3" w:rsidP="00DE290D" w:rsidRDefault="00332BE3" w14:paraId="5BD51D4F" w14:textId="77777777">
            <w:pPr>
              <w:rPr>
                <w:sz w:val="20"/>
                <w:szCs w:val="20"/>
              </w:rPr>
            </w:pPr>
            <w:r w:rsidRPr="008870F5">
              <w:rPr>
                <w:sz w:val="20"/>
                <w:szCs w:val="20"/>
              </w:rPr>
              <w:t>7 – 10 days after Contact 1 mails</w:t>
            </w:r>
          </w:p>
        </w:tc>
      </w:tr>
      <w:tr w:rsidRPr="008870F5" w:rsidR="00332BE3" w:rsidTr="00332BE3" w14:paraId="397D751F" w14:textId="77777777">
        <w:tc>
          <w:tcPr>
            <w:tcW w:w="2808" w:type="dxa"/>
          </w:tcPr>
          <w:p w:rsidRPr="008870F5" w:rsidR="00332BE3" w:rsidP="00DE290D" w:rsidRDefault="00332BE3" w14:paraId="31692FA2" w14:textId="77777777">
            <w:pPr>
              <w:rPr>
                <w:sz w:val="20"/>
                <w:szCs w:val="20"/>
              </w:rPr>
            </w:pPr>
            <w:r w:rsidRPr="008870F5">
              <w:rPr>
                <w:sz w:val="20"/>
                <w:szCs w:val="20"/>
              </w:rPr>
              <w:t>Contact 3: Follow-up survey packet</w:t>
            </w:r>
          </w:p>
        </w:tc>
        <w:tc>
          <w:tcPr>
            <w:tcW w:w="4320" w:type="dxa"/>
          </w:tcPr>
          <w:p w:rsidRPr="008870F5" w:rsidR="00332BE3" w:rsidP="00DA7688" w:rsidRDefault="00332BE3" w14:paraId="2B5527DA" w14:textId="093E7BC3">
            <w:pPr>
              <w:rPr>
                <w:sz w:val="20"/>
                <w:szCs w:val="20"/>
              </w:rPr>
            </w:pPr>
            <w:r w:rsidRPr="008870F5">
              <w:rPr>
                <w:sz w:val="20"/>
                <w:szCs w:val="20"/>
              </w:rPr>
              <w:t xml:space="preserve">All sampled organizations will receive a follow-up survey packet, which will include the paper-and-pencil (TeleForm) survey, </w:t>
            </w:r>
            <w:r w:rsidRPr="008870F5" w:rsidR="00740CC6">
              <w:rPr>
                <w:sz w:val="20"/>
              </w:rPr>
              <w:t>a pre-addressed postage paid reply envelope, and a letter from the survey vendor asking for response</w:t>
            </w:r>
            <w:r w:rsidR="007B5838">
              <w:rPr>
                <w:sz w:val="20"/>
              </w:rPr>
              <w:t>.</w:t>
            </w:r>
            <w:r w:rsidRPr="008870F5" w:rsidDel="00740CC6" w:rsidR="00740CC6">
              <w:rPr>
                <w:sz w:val="20"/>
                <w:szCs w:val="20"/>
              </w:rPr>
              <w:t xml:space="preserve"> </w:t>
            </w:r>
            <w:r w:rsidRPr="008870F5">
              <w:rPr>
                <w:sz w:val="20"/>
                <w:szCs w:val="20"/>
              </w:rPr>
              <w:t>The letter will be tailored to acknowledge the earlier survey package sent to the respondent.</w:t>
            </w:r>
          </w:p>
        </w:tc>
        <w:tc>
          <w:tcPr>
            <w:tcW w:w="2160" w:type="dxa"/>
          </w:tcPr>
          <w:p w:rsidRPr="008870F5" w:rsidR="00332BE3" w:rsidP="00DE290D" w:rsidRDefault="00332BE3" w14:paraId="7CE6B367" w14:textId="77777777">
            <w:pPr>
              <w:rPr>
                <w:sz w:val="20"/>
                <w:szCs w:val="20"/>
              </w:rPr>
            </w:pPr>
            <w:r w:rsidRPr="008870F5">
              <w:rPr>
                <w:sz w:val="20"/>
                <w:szCs w:val="20"/>
              </w:rPr>
              <w:t>7 – 10 days after Contact 1 mails</w:t>
            </w:r>
          </w:p>
        </w:tc>
      </w:tr>
      <w:tr w:rsidRPr="008870F5" w:rsidR="00317E67" w:rsidTr="00F95382" w14:paraId="14979C55" w14:textId="77777777">
        <w:tc>
          <w:tcPr>
            <w:tcW w:w="2808" w:type="dxa"/>
            <w:tcBorders>
              <w:top w:val="single" w:color="7F7F7F" w:sz="4" w:space="0"/>
              <w:left w:val="single" w:color="7F7F7F" w:sz="4" w:space="0"/>
              <w:bottom w:val="single" w:color="7F7F7F" w:sz="4" w:space="0"/>
              <w:right w:val="single" w:color="7F7F7F" w:sz="4" w:space="0"/>
            </w:tcBorders>
          </w:tcPr>
          <w:p w:rsidRPr="008870F5" w:rsidR="00317E67" w:rsidP="00317E67" w:rsidRDefault="00317E67" w14:paraId="1D030619" w14:textId="77777777">
            <w:pPr>
              <w:rPr>
                <w:sz w:val="20"/>
                <w:szCs w:val="20"/>
              </w:rPr>
            </w:pPr>
            <w:r>
              <w:rPr>
                <w:sz w:val="20"/>
                <w:szCs w:val="20"/>
              </w:rPr>
              <w:t>Contact 4</w:t>
            </w:r>
            <w:r w:rsidRPr="008870F5">
              <w:rPr>
                <w:sz w:val="20"/>
                <w:szCs w:val="20"/>
              </w:rPr>
              <w:t xml:space="preserve">: Thank you/reminder </w:t>
            </w:r>
            <w:r w:rsidR="00AF4CB7">
              <w:rPr>
                <w:sz w:val="20"/>
                <w:szCs w:val="20"/>
              </w:rPr>
              <w:t>Letter</w:t>
            </w:r>
            <w:r w:rsidRPr="008870F5">
              <w:rPr>
                <w:sz w:val="20"/>
                <w:szCs w:val="20"/>
              </w:rPr>
              <w:t xml:space="preserve"> </w:t>
            </w:r>
            <w:r>
              <w:rPr>
                <w:sz w:val="20"/>
                <w:szCs w:val="20"/>
              </w:rPr>
              <w:t xml:space="preserve">or </w:t>
            </w:r>
            <w:r w:rsidRPr="008870F5">
              <w:rPr>
                <w:sz w:val="20"/>
                <w:szCs w:val="20"/>
              </w:rPr>
              <w:t xml:space="preserve">Phone </w:t>
            </w:r>
            <w:r w:rsidRPr="008870F5" w:rsidR="00511919">
              <w:rPr>
                <w:sz w:val="20"/>
                <w:szCs w:val="20"/>
              </w:rPr>
              <w:t>call)</w:t>
            </w:r>
          </w:p>
        </w:tc>
        <w:tc>
          <w:tcPr>
            <w:tcW w:w="4320" w:type="dxa"/>
            <w:tcBorders>
              <w:top w:val="single" w:color="7F7F7F" w:sz="4" w:space="0"/>
              <w:left w:val="single" w:color="7F7F7F" w:sz="4" w:space="0"/>
              <w:bottom w:val="single" w:color="7F7F7F" w:sz="4" w:space="0"/>
              <w:right w:val="single" w:color="7F7F7F" w:sz="4" w:space="0"/>
            </w:tcBorders>
          </w:tcPr>
          <w:p w:rsidRPr="008870F5" w:rsidR="00317E67" w:rsidP="00317E67" w:rsidRDefault="00317E67" w14:paraId="180DACC6" w14:textId="77777777">
            <w:pPr>
              <w:rPr>
                <w:sz w:val="20"/>
                <w:szCs w:val="20"/>
              </w:rPr>
            </w:pPr>
            <w:r w:rsidRPr="008870F5">
              <w:rPr>
                <w:sz w:val="20"/>
              </w:rPr>
              <w:t xml:space="preserve">If no completed survey is received, nonrespondents </w:t>
            </w:r>
            <w:r>
              <w:rPr>
                <w:sz w:val="20"/>
              </w:rPr>
              <w:t xml:space="preserve">will either receive a follow-up thank you/reminder </w:t>
            </w:r>
            <w:r w:rsidR="00FD1497">
              <w:rPr>
                <w:sz w:val="20"/>
              </w:rPr>
              <w:t>letter</w:t>
            </w:r>
            <w:r>
              <w:rPr>
                <w:sz w:val="20"/>
              </w:rPr>
              <w:t>, similar to Contact 3, or if they have been matched to a phone number, an IVR prompt will ask them complete and return the survey or call the su</w:t>
            </w:r>
            <w:r w:rsidR="00B66387">
              <w:rPr>
                <w:sz w:val="20"/>
              </w:rPr>
              <w:t>r</w:t>
            </w:r>
            <w:r>
              <w:rPr>
                <w:sz w:val="20"/>
              </w:rPr>
              <w:t>vey vendor if the respondent has questions.</w:t>
            </w:r>
          </w:p>
        </w:tc>
        <w:tc>
          <w:tcPr>
            <w:tcW w:w="2160" w:type="dxa"/>
          </w:tcPr>
          <w:p w:rsidRPr="008870F5" w:rsidR="00317E67" w:rsidP="00317E67" w:rsidRDefault="00317E67" w14:paraId="5FA9EA8A" w14:textId="77777777">
            <w:pPr>
              <w:rPr>
                <w:sz w:val="20"/>
                <w:szCs w:val="20"/>
              </w:rPr>
            </w:pPr>
            <w:r w:rsidRPr="008870F5">
              <w:rPr>
                <w:sz w:val="20"/>
                <w:szCs w:val="20"/>
              </w:rPr>
              <w:t xml:space="preserve">7 – 10 days after Contact </w:t>
            </w:r>
            <w:r w:rsidR="008552D9">
              <w:rPr>
                <w:sz w:val="20"/>
                <w:szCs w:val="20"/>
              </w:rPr>
              <w:t>2</w:t>
            </w:r>
            <w:r w:rsidRPr="008870F5">
              <w:rPr>
                <w:sz w:val="20"/>
                <w:szCs w:val="20"/>
              </w:rPr>
              <w:t xml:space="preserve"> mails</w:t>
            </w:r>
          </w:p>
        </w:tc>
      </w:tr>
      <w:tr w:rsidRPr="008870F5" w:rsidR="00317E67" w:rsidTr="00F95382" w14:paraId="541D3F63" w14:textId="77777777">
        <w:tblPrEx>
          <w:tblBorders>
            <w:top w:val="single" w:color="7F7F7F" w:sz="18" w:space="0"/>
            <w:left w:val="single" w:color="7F7F7F" w:sz="18" w:space="0"/>
            <w:bottom w:val="single" w:color="7F7F7F" w:sz="18" w:space="0"/>
            <w:right w:val="single" w:color="7F7F7F" w:sz="18" w:space="0"/>
            <w:insideH w:val="none" w:color="auto" w:sz="0" w:space="0"/>
            <w:insideV w:val="none" w:color="auto" w:sz="0" w:space="0"/>
          </w:tblBorders>
        </w:tblPrEx>
        <w:tc>
          <w:tcPr>
            <w:tcW w:w="2808" w:type="dxa"/>
            <w:tcBorders>
              <w:top w:val="single" w:color="7F7F7F" w:sz="4" w:space="0"/>
              <w:left w:val="single" w:color="7F7F7F" w:sz="4" w:space="0"/>
              <w:bottom w:val="single" w:color="7F7F7F" w:sz="4" w:space="0"/>
              <w:right w:val="single" w:color="7F7F7F" w:sz="4" w:space="0"/>
            </w:tcBorders>
          </w:tcPr>
          <w:p w:rsidRPr="008870F5" w:rsidR="00317E67" w:rsidP="00E2594C" w:rsidRDefault="00317E67" w14:paraId="17552772" w14:textId="77777777">
            <w:pPr>
              <w:rPr>
                <w:sz w:val="20"/>
                <w:szCs w:val="20"/>
              </w:rPr>
            </w:pPr>
            <w:r w:rsidRPr="008870F5">
              <w:rPr>
                <w:sz w:val="20"/>
                <w:szCs w:val="20"/>
              </w:rPr>
              <w:t xml:space="preserve">Contact </w:t>
            </w:r>
            <w:r>
              <w:rPr>
                <w:sz w:val="20"/>
                <w:szCs w:val="20"/>
              </w:rPr>
              <w:t>5</w:t>
            </w:r>
            <w:r w:rsidRPr="008870F5">
              <w:rPr>
                <w:sz w:val="20"/>
                <w:szCs w:val="20"/>
              </w:rPr>
              <w:t>: Survey packet</w:t>
            </w:r>
          </w:p>
        </w:tc>
        <w:tc>
          <w:tcPr>
            <w:tcW w:w="4320" w:type="dxa"/>
            <w:tcBorders>
              <w:top w:val="single" w:color="7F7F7F" w:sz="4" w:space="0"/>
              <w:left w:val="single" w:color="7F7F7F" w:sz="4" w:space="0"/>
              <w:bottom w:val="single" w:color="7F7F7F" w:sz="4" w:space="0"/>
              <w:right w:val="single" w:color="7F7F7F" w:sz="4" w:space="0"/>
            </w:tcBorders>
          </w:tcPr>
          <w:p w:rsidRPr="008870F5" w:rsidR="00317E67" w:rsidP="00E2594C" w:rsidRDefault="00317E67" w14:paraId="38D70D97" w14:textId="77777777">
            <w:pPr>
              <w:rPr>
                <w:sz w:val="20"/>
                <w:szCs w:val="20"/>
              </w:rPr>
            </w:pPr>
            <w:r w:rsidRPr="008870F5">
              <w:rPr>
                <w:sz w:val="20"/>
              </w:rPr>
              <w:t>Nonrespondents are sent the survey packet, which provides a third copy of the paper-and-pencil questionnaire, a pre-addressed postage paid reply envelope, and a letter from the survey vendor asking for response. As with the first and second survey packets, the paper survey also includes information on how the respondents may complete the survey on the web, if so desired.</w:t>
            </w:r>
          </w:p>
        </w:tc>
        <w:tc>
          <w:tcPr>
            <w:tcW w:w="2160" w:type="dxa"/>
            <w:tcBorders>
              <w:top w:val="single" w:color="7F7F7F" w:sz="4" w:space="0"/>
              <w:left w:val="single" w:color="7F7F7F" w:sz="4" w:space="0"/>
              <w:bottom w:val="single" w:color="7F7F7F" w:sz="4" w:space="0"/>
              <w:right w:val="single" w:color="7F7F7F" w:sz="4" w:space="0"/>
            </w:tcBorders>
          </w:tcPr>
          <w:p w:rsidRPr="008870F5" w:rsidR="00317E67" w:rsidP="00E2594C" w:rsidRDefault="00317E67" w14:paraId="2D313725" w14:textId="77777777">
            <w:pPr>
              <w:rPr>
                <w:sz w:val="20"/>
                <w:szCs w:val="20"/>
              </w:rPr>
            </w:pPr>
            <w:r w:rsidRPr="008870F5">
              <w:rPr>
                <w:sz w:val="20"/>
                <w:szCs w:val="20"/>
              </w:rPr>
              <w:t xml:space="preserve">2 weeks after Contact </w:t>
            </w:r>
            <w:r w:rsidR="008552D9">
              <w:rPr>
                <w:sz w:val="20"/>
                <w:szCs w:val="20"/>
              </w:rPr>
              <w:t>4</w:t>
            </w:r>
            <w:r w:rsidRPr="008870F5">
              <w:rPr>
                <w:sz w:val="20"/>
                <w:szCs w:val="20"/>
              </w:rPr>
              <w:t xml:space="preserve"> phone or </w:t>
            </w:r>
            <w:r w:rsidR="00FD1497">
              <w:rPr>
                <w:sz w:val="20"/>
                <w:szCs w:val="20"/>
              </w:rPr>
              <w:t>letter</w:t>
            </w:r>
            <w:r w:rsidRPr="008870F5">
              <w:rPr>
                <w:sz w:val="20"/>
                <w:szCs w:val="20"/>
              </w:rPr>
              <w:t xml:space="preserve"> follow-up</w:t>
            </w:r>
          </w:p>
        </w:tc>
      </w:tr>
    </w:tbl>
    <w:p w:rsidR="00E01D27" w:rsidP="00286751" w:rsidRDefault="00E01D27" w14:paraId="0115949B" w14:textId="77777777">
      <w:pPr>
        <w:rPr>
          <w:sz w:val="20"/>
          <w:szCs w:val="20"/>
        </w:rPr>
      </w:pPr>
    </w:p>
    <w:p w:rsidR="00C11A38" w:rsidP="00286751" w:rsidRDefault="00C11A38" w14:paraId="33F2B768" w14:textId="77777777">
      <w:pPr>
        <w:rPr>
          <w:sz w:val="20"/>
          <w:szCs w:val="20"/>
        </w:rPr>
      </w:pPr>
    </w:p>
    <w:p w:rsidR="00C11A38" w:rsidP="00286751" w:rsidRDefault="00C11A38" w14:paraId="0172D3FF" w14:textId="77777777">
      <w:pPr>
        <w:rPr>
          <w:sz w:val="20"/>
          <w:szCs w:val="20"/>
        </w:rPr>
      </w:pPr>
    </w:p>
    <w:p w:rsidRPr="008552D9" w:rsidR="008552D9" w:rsidP="00286751" w:rsidRDefault="008552D9" w14:paraId="2D3B99FE" w14:textId="77777777">
      <w:pPr>
        <w:rPr>
          <w:b/>
          <w:sz w:val="20"/>
          <w:szCs w:val="20"/>
        </w:rPr>
      </w:pPr>
      <w:r w:rsidRPr="008552D9">
        <w:rPr>
          <w:b/>
          <w:sz w:val="20"/>
          <w:szCs w:val="20"/>
        </w:rPr>
        <w:t>All Web-Only Surveys</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4320"/>
        <w:gridCol w:w="2160"/>
      </w:tblGrid>
      <w:tr w:rsidRPr="008870F5" w:rsidR="008552D9" w:rsidTr="005B6573" w14:paraId="2024A1D2" w14:textId="77777777">
        <w:tc>
          <w:tcPr>
            <w:tcW w:w="2808" w:type="dxa"/>
          </w:tcPr>
          <w:p w:rsidRPr="008870F5" w:rsidR="008552D9" w:rsidP="005B6573" w:rsidRDefault="008552D9" w14:paraId="628F77E2" w14:textId="77777777">
            <w:pPr>
              <w:jc w:val="center"/>
              <w:rPr>
                <w:sz w:val="20"/>
                <w:szCs w:val="20"/>
              </w:rPr>
            </w:pPr>
            <w:r w:rsidRPr="008870F5">
              <w:rPr>
                <w:sz w:val="20"/>
                <w:szCs w:val="20"/>
              </w:rPr>
              <w:t>Contact</w:t>
            </w:r>
          </w:p>
        </w:tc>
        <w:tc>
          <w:tcPr>
            <w:tcW w:w="4320" w:type="dxa"/>
          </w:tcPr>
          <w:p w:rsidRPr="008870F5" w:rsidR="008552D9" w:rsidP="005B6573" w:rsidRDefault="008552D9" w14:paraId="34F6F530" w14:textId="77777777">
            <w:pPr>
              <w:jc w:val="center"/>
              <w:rPr>
                <w:sz w:val="20"/>
              </w:rPr>
            </w:pPr>
            <w:r w:rsidRPr="008870F5">
              <w:rPr>
                <w:sz w:val="20"/>
              </w:rPr>
              <w:t>Description</w:t>
            </w:r>
          </w:p>
        </w:tc>
        <w:tc>
          <w:tcPr>
            <w:tcW w:w="2160" w:type="dxa"/>
          </w:tcPr>
          <w:p w:rsidRPr="008870F5" w:rsidR="008552D9" w:rsidP="005B6573" w:rsidRDefault="008552D9" w14:paraId="01291559" w14:textId="77777777">
            <w:pPr>
              <w:jc w:val="center"/>
              <w:rPr>
                <w:sz w:val="20"/>
                <w:szCs w:val="20"/>
              </w:rPr>
            </w:pPr>
            <w:r w:rsidRPr="008870F5">
              <w:rPr>
                <w:sz w:val="20"/>
                <w:szCs w:val="20"/>
              </w:rPr>
              <w:t>Schedule</w:t>
            </w:r>
          </w:p>
        </w:tc>
      </w:tr>
      <w:tr w:rsidRPr="008870F5" w:rsidR="008552D9" w:rsidTr="005B6573" w14:paraId="4C320491" w14:textId="77777777">
        <w:tc>
          <w:tcPr>
            <w:tcW w:w="2808" w:type="dxa"/>
          </w:tcPr>
          <w:p w:rsidRPr="008870F5" w:rsidR="008552D9" w:rsidP="005B6573" w:rsidRDefault="008552D9" w14:paraId="3860A864" w14:textId="77777777">
            <w:pPr>
              <w:rPr>
                <w:sz w:val="20"/>
                <w:szCs w:val="20"/>
              </w:rPr>
            </w:pPr>
            <w:r w:rsidRPr="008870F5">
              <w:rPr>
                <w:sz w:val="20"/>
                <w:szCs w:val="20"/>
              </w:rPr>
              <w:t>Contact 1: Initial packet</w:t>
            </w:r>
          </w:p>
        </w:tc>
        <w:tc>
          <w:tcPr>
            <w:tcW w:w="4320" w:type="dxa"/>
          </w:tcPr>
          <w:p w:rsidRPr="008870F5" w:rsidR="008552D9" w:rsidP="005B6573" w:rsidRDefault="008552D9" w14:paraId="6F28E505" w14:textId="77777777">
            <w:pPr>
              <w:rPr>
                <w:sz w:val="20"/>
                <w:szCs w:val="20"/>
              </w:rPr>
            </w:pPr>
            <w:r w:rsidRPr="008870F5">
              <w:rPr>
                <w:sz w:val="20"/>
                <w:szCs w:val="20"/>
              </w:rPr>
              <w:t>The initial packet consists of a letter from the IRS endorsing the survey</w:t>
            </w:r>
            <w:r>
              <w:rPr>
                <w:sz w:val="20"/>
                <w:szCs w:val="20"/>
              </w:rPr>
              <w:t xml:space="preserve"> and </w:t>
            </w:r>
            <w:r w:rsidRPr="008870F5">
              <w:rPr>
                <w:sz w:val="20"/>
                <w:szCs w:val="20"/>
              </w:rPr>
              <w:t xml:space="preserve">instructions </w:t>
            </w:r>
            <w:r>
              <w:rPr>
                <w:sz w:val="20"/>
                <w:szCs w:val="20"/>
              </w:rPr>
              <w:t>for</w:t>
            </w:r>
            <w:r w:rsidRPr="008870F5">
              <w:rPr>
                <w:sz w:val="20"/>
                <w:szCs w:val="20"/>
              </w:rPr>
              <w:t xml:space="preserve"> completing the survey online </w:t>
            </w:r>
          </w:p>
        </w:tc>
        <w:tc>
          <w:tcPr>
            <w:tcW w:w="2160" w:type="dxa"/>
          </w:tcPr>
          <w:p w:rsidRPr="008870F5" w:rsidR="008552D9" w:rsidP="005B6573" w:rsidRDefault="008552D9" w14:paraId="0EE6ED80" w14:textId="77777777">
            <w:pPr>
              <w:rPr>
                <w:sz w:val="20"/>
                <w:szCs w:val="20"/>
              </w:rPr>
            </w:pPr>
            <w:r w:rsidRPr="008870F5">
              <w:rPr>
                <w:sz w:val="20"/>
                <w:szCs w:val="20"/>
              </w:rPr>
              <w:t>Beginning of data collection period</w:t>
            </w:r>
          </w:p>
        </w:tc>
      </w:tr>
      <w:tr w:rsidRPr="008870F5" w:rsidR="008552D9" w:rsidTr="005B6573" w14:paraId="0DC87A09" w14:textId="77777777">
        <w:tc>
          <w:tcPr>
            <w:tcW w:w="2808" w:type="dxa"/>
          </w:tcPr>
          <w:p w:rsidRPr="008870F5" w:rsidR="008552D9" w:rsidP="005B6573" w:rsidRDefault="008552D9" w14:paraId="35E609F0" w14:textId="77777777">
            <w:pPr>
              <w:rPr>
                <w:sz w:val="20"/>
                <w:szCs w:val="20"/>
              </w:rPr>
            </w:pPr>
            <w:r w:rsidRPr="008870F5">
              <w:rPr>
                <w:sz w:val="20"/>
                <w:szCs w:val="20"/>
              </w:rPr>
              <w:t xml:space="preserve">Contact 2: Thank you/reminder </w:t>
            </w:r>
            <w:r>
              <w:rPr>
                <w:sz w:val="20"/>
                <w:szCs w:val="20"/>
              </w:rPr>
              <w:t>Letter</w:t>
            </w:r>
          </w:p>
        </w:tc>
        <w:tc>
          <w:tcPr>
            <w:tcW w:w="4320" w:type="dxa"/>
          </w:tcPr>
          <w:p w:rsidRPr="008870F5" w:rsidR="008552D9" w:rsidP="005B6573" w:rsidRDefault="008552D9" w14:paraId="55181F2B" w14:textId="77777777">
            <w:pPr>
              <w:rPr>
                <w:sz w:val="20"/>
                <w:szCs w:val="20"/>
              </w:rPr>
            </w:pPr>
            <w:r w:rsidRPr="008870F5">
              <w:rPr>
                <w:sz w:val="20"/>
              </w:rPr>
              <w:t xml:space="preserve">All respondents will be mailed a thank you/reminder </w:t>
            </w:r>
            <w:r>
              <w:rPr>
                <w:sz w:val="20"/>
              </w:rPr>
              <w:t>letter.</w:t>
            </w:r>
            <w:r w:rsidRPr="008870F5">
              <w:rPr>
                <w:sz w:val="20"/>
              </w:rPr>
              <w:t xml:space="preserve"> The </w:t>
            </w:r>
            <w:r>
              <w:rPr>
                <w:sz w:val="20"/>
              </w:rPr>
              <w:t>letter</w:t>
            </w:r>
            <w:r w:rsidRPr="008870F5">
              <w:rPr>
                <w:sz w:val="20"/>
              </w:rPr>
              <w:t xml:space="preserve"> will thank those who have already submitted a completed survey and ask those who have not</w:t>
            </w:r>
            <w:r>
              <w:rPr>
                <w:sz w:val="20"/>
              </w:rPr>
              <w:t xml:space="preserve"> responded</w:t>
            </w:r>
            <w:r w:rsidRPr="008870F5">
              <w:rPr>
                <w:sz w:val="20"/>
              </w:rPr>
              <w:t xml:space="preserve"> to please do so.</w:t>
            </w:r>
          </w:p>
        </w:tc>
        <w:tc>
          <w:tcPr>
            <w:tcW w:w="2160" w:type="dxa"/>
          </w:tcPr>
          <w:p w:rsidRPr="008870F5" w:rsidR="008552D9" w:rsidP="005B6573" w:rsidRDefault="008552D9" w14:paraId="19708C71" w14:textId="77777777">
            <w:pPr>
              <w:rPr>
                <w:sz w:val="20"/>
                <w:szCs w:val="20"/>
              </w:rPr>
            </w:pPr>
            <w:r w:rsidRPr="008870F5">
              <w:rPr>
                <w:sz w:val="20"/>
                <w:szCs w:val="20"/>
              </w:rPr>
              <w:t>7 – 10 days after Contact 1 mails</w:t>
            </w:r>
          </w:p>
        </w:tc>
      </w:tr>
      <w:tr w:rsidRPr="008870F5" w:rsidR="008552D9" w:rsidTr="005B6573" w14:paraId="3A9971C6" w14:textId="77777777">
        <w:tc>
          <w:tcPr>
            <w:tcW w:w="2808" w:type="dxa"/>
          </w:tcPr>
          <w:p w:rsidRPr="008870F5" w:rsidR="008552D9" w:rsidP="005B6573" w:rsidRDefault="008552D9" w14:paraId="5EFE5A79" w14:textId="77777777">
            <w:pPr>
              <w:rPr>
                <w:sz w:val="20"/>
                <w:szCs w:val="20"/>
              </w:rPr>
            </w:pPr>
            <w:r w:rsidRPr="008870F5">
              <w:rPr>
                <w:sz w:val="20"/>
                <w:szCs w:val="20"/>
              </w:rPr>
              <w:t xml:space="preserve">Contact 3: Thank you/reminder </w:t>
            </w:r>
            <w:r>
              <w:rPr>
                <w:sz w:val="20"/>
                <w:szCs w:val="20"/>
              </w:rPr>
              <w:t>Letter</w:t>
            </w:r>
          </w:p>
        </w:tc>
        <w:tc>
          <w:tcPr>
            <w:tcW w:w="4320" w:type="dxa"/>
          </w:tcPr>
          <w:p w:rsidRPr="008870F5" w:rsidR="008552D9" w:rsidP="005B6573" w:rsidRDefault="008552D9" w14:paraId="5EE1BE6E" w14:textId="77777777">
            <w:pPr>
              <w:rPr>
                <w:sz w:val="20"/>
                <w:szCs w:val="20"/>
              </w:rPr>
            </w:pPr>
            <w:r w:rsidRPr="008870F5">
              <w:rPr>
                <w:sz w:val="20"/>
              </w:rPr>
              <w:t xml:space="preserve">All </w:t>
            </w:r>
            <w:r>
              <w:rPr>
                <w:sz w:val="20"/>
              </w:rPr>
              <w:t>non</w:t>
            </w:r>
            <w:r w:rsidRPr="008870F5">
              <w:rPr>
                <w:sz w:val="20"/>
              </w:rPr>
              <w:t xml:space="preserve">respondents will be mailed a reminder </w:t>
            </w:r>
            <w:r>
              <w:rPr>
                <w:sz w:val="20"/>
              </w:rPr>
              <w:t>letter with instructions for completing the survey online.</w:t>
            </w:r>
          </w:p>
        </w:tc>
        <w:tc>
          <w:tcPr>
            <w:tcW w:w="2160" w:type="dxa"/>
          </w:tcPr>
          <w:p w:rsidRPr="008870F5" w:rsidR="008552D9" w:rsidP="005B6573" w:rsidRDefault="008552D9" w14:paraId="15536013" w14:textId="77777777">
            <w:pPr>
              <w:rPr>
                <w:sz w:val="20"/>
                <w:szCs w:val="20"/>
              </w:rPr>
            </w:pPr>
            <w:r w:rsidRPr="008870F5">
              <w:rPr>
                <w:sz w:val="20"/>
                <w:szCs w:val="20"/>
              </w:rPr>
              <w:t xml:space="preserve">7 – 10 days after Contact </w:t>
            </w:r>
            <w:r>
              <w:rPr>
                <w:sz w:val="20"/>
                <w:szCs w:val="20"/>
              </w:rPr>
              <w:t>2</w:t>
            </w:r>
            <w:r w:rsidRPr="008870F5">
              <w:rPr>
                <w:sz w:val="20"/>
                <w:szCs w:val="20"/>
              </w:rPr>
              <w:t xml:space="preserve"> mails</w:t>
            </w:r>
          </w:p>
        </w:tc>
      </w:tr>
      <w:tr w:rsidRPr="008870F5" w:rsidR="008552D9" w:rsidTr="005B6573" w14:paraId="640D6374" w14:textId="77777777">
        <w:tc>
          <w:tcPr>
            <w:tcW w:w="2808" w:type="dxa"/>
            <w:tcBorders>
              <w:top w:val="single" w:color="7F7F7F" w:sz="4" w:space="0"/>
              <w:left w:val="single" w:color="7F7F7F" w:sz="4" w:space="0"/>
              <w:bottom w:val="single" w:color="7F7F7F" w:sz="4" w:space="0"/>
              <w:right w:val="single" w:color="7F7F7F" w:sz="4" w:space="0"/>
            </w:tcBorders>
          </w:tcPr>
          <w:p w:rsidRPr="008870F5" w:rsidR="008552D9" w:rsidP="005B6573" w:rsidRDefault="008552D9" w14:paraId="2BAE8D9A" w14:textId="77777777">
            <w:pPr>
              <w:rPr>
                <w:sz w:val="20"/>
                <w:szCs w:val="20"/>
              </w:rPr>
            </w:pPr>
            <w:r>
              <w:rPr>
                <w:sz w:val="20"/>
                <w:szCs w:val="20"/>
              </w:rPr>
              <w:t>Contact 4</w:t>
            </w:r>
            <w:r w:rsidRPr="008870F5">
              <w:rPr>
                <w:sz w:val="20"/>
                <w:szCs w:val="20"/>
              </w:rPr>
              <w:t xml:space="preserve">: Thank you/reminder </w:t>
            </w:r>
            <w:r>
              <w:rPr>
                <w:sz w:val="20"/>
                <w:szCs w:val="20"/>
              </w:rPr>
              <w:t>Letter</w:t>
            </w:r>
          </w:p>
        </w:tc>
        <w:tc>
          <w:tcPr>
            <w:tcW w:w="4320" w:type="dxa"/>
            <w:tcBorders>
              <w:top w:val="single" w:color="7F7F7F" w:sz="4" w:space="0"/>
              <w:left w:val="single" w:color="7F7F7F" w:sz="4" w:space="0"/>
              <w:bottom w:val="single" w:color="7F7F7F" w:sz="4" w:space="0"/>
              <w:right w:val="single" w:color="7F7F7F" w:sz="4" w:space="0"/>
            </w:tcBorders>
          </w:tcPr>
          <w:p w:rsidRPr="008870F5" w:rsidR="008552D9" w:rsidP="005B6573" w:rsidRDefault="008552D9" w14:paraId="627B0A29" w14:textId="77777777">
            <w:pPr>
              <w:rPr>
                <w:sz w:val="20"/>
                <w:szCs w:val="20"/>
              </w:rPr>
            </w:pPr>
            <w:r w:rsidRPr="008870F5">
              <w:rPr>
                <w:sz w:val="20"/>
              </w:rPr>
              <w:t xml:space="preserve">All </w:t>
            </w:r>
            <w:r>
              <w:rPr>
                <w:sz w:val="20"/>
              </w:rPr>
              <w:t>non</w:t>
            </w:r>
            <w:r w:rsidRPr="008870F5">
              <w:rPr>
                <w:sz w:val="20"/>
              </w:rPr>
              <w:t xml:space="preserve">respondents will be mailed a reminder </w:t>
            </w:r>
            <w:r>
              <w:rPr>
                <w:sz w:val="20"/>
              </w:rPr>
              <w:t>letter with instructions for completing the survey online.</w:t>
            </w:r>
            <w:r w:rsidRPr="008870F5">
              <w:rPr>
                <w:sz w:val="20"/>
              </w:rPr>
              <w:t xml:space="preserve"> </w:t>
            </w:r>
          </w:p>
        </w:tc>
        <w:tc>
          <w:tcPr>
            <w:tcW w:w="2160" w:type="dxa"/>
          </w:tcPr>
          <w:p w:rsidRPr="008870F5" w:rsidR="008552D9" w:rsidP="005B6573" w:rsidRDefault="008552D9" w14:paraId="2541B019" w14:textId="77777777">
            <w:pPr>
              <w:rPr>
                <w:sz w:val="20"/>
                <w:szCs w:val="20"/>
              </w:rPr>
            </w:pPr>
            <w:r w:rsidRPr="008870F5">
              <w:rPr>
                <w:sz w:val="20"/>
                <w:szCs w:val="20"/>
              </w:rPr>
              <w:t xml:space="preserve">7 – 10 days after Contact </w:t>
            </w:r>
            <w:r>
              <w:rPr>
                <w:sz w:val="20"/>
                <w:szCs w:val="20"/>
              </w:rPr>
              <w:t>3</w:t>
            </w:r>
            <w:r w:rsidRPr="008870F5">
              <w:rPr>
                <w:sz w:val="20"/>
                <w:szCs w:val="20"/>
              </w:rPr>
              <w:t xml:space="preserve"> mails</w:t>
            </w:r>
          </w:p>
        </w:tc>
      </w:tr>
    </w:tbl>
    <w:p w:rsidR="008552D9" w:rsidP="00286751" w:rsidRDefault="008552D9" w14:paraId="70AD5811" w14:textId="77777777">
      <w:pPr>
        <w:rPr>
          <w:sz w:val="20"/>
          <w:szCs w:val="20"/>
        </w:rPr>
      </w:pPr>
    </w:p>
    <w:p w:rsidRPr="008870F5" w:rsidR="00D664BC" w:rsidP="00286751" w:rsidRDefault="002777A6" w14:paraId="56E0A2E6" w14:textId="77777777">
      <w:pPr>
        <w:rPr>
          <w:sz w:val="20"/>
          <w:szCs w:val="20"/>
        </w:rPr>
      </w:pPr>
      <w:r w:rsidRPr="008870F5">
        <w:rPr>
          <w:b/>
          <w:sz w:val="20"/>
          <w:szCs w:val="20"/>
        </w:rPr>
        <w:t>Web survey.</w:t>
      </w:r>
      <w:r w:rsidRPr="008870F5">
        <w:rPr>
          <w:sz w:val="20"/>
          <w:szCs w:val="20"/>
        </w:rPr>
        <w:t xml:space="preserve"> </w:t>
      </w:r>
      <w:r w:rsidRPr="008870F5" w:rsidR="00D664BC">
        <w:rPr>
          <w:sz w:val="20"/>
          <w:szCs w:val="20"/>
        </w:rPr>
        <w:t xml:space="preserve">The secure web survey will be posted online using a proprietary web survey delivery system developed by our contractor. The software easily accommodates different question formats, including open-ended response fields.  It also allows participants to skip questions and complete the survey in more than one session (i.e., </w:t>
      </w:r>
      <w:r w:rsidRPr="008870F5" w:rsidR="00D664BC">
        <w:rPr>
          <w:sz w:val="20"/>
          <w:szCs w:val="20"/>
        </w:rPr>
        <w:lastRenderedPageBreak/>
        <w:t>the respondent can leave the web survey and come back to finish it at a later time).  Development and testing of the web survey will follow well-established, documented best methods.</w:t>
      </w:r>
    </w:p>
    <w:p w:rsidRPr="008870F5" w:rsidR="00D664BC" w:rsidP="00D35597" w:rsidRDefault="00D664BC" w14:paraId="02D646BF" w14:textId="77777777">
      <w:pPr>
        <w:spacing w:line="180" w:lineRule="exact"/>
        <w:rPr>
          <w:sz w:val="20"/>
          <w:szCs w:val="20"/>
        </w:rPr>
      </w:pPr>
    </w:p>
    <w:p w:rsidRPr="008870F5" w:rsidR="00D664BC" w:rsidP="00286751" w:rsidRDefault="002777A6" w14:paraId="7164C428" w14:textId="77777777">
      <w:pPr>
        <w:rPr>
          <w:sz w:val="20"/>
          <w:szCs w:val="20"/>
        </w:rPr>
      </w:pPr>
      <w:r w:rsidRPr="008870F5">
        <w:rPr>
          <w:b/>
          <w:sz w:val="20"/>
          <w:szCs w:val="20"/>
        </w:rPr>
        <w:t>Paper-and-pencil survey.</w:t>
      </w:r>
      <w:r w:rsidRPr="008870F5">
        <w:rPr>
          <w:sz w:val="20"/>
          <w:szCs w:val="20"/>
        </w:rPr>
        <w:t xml:space="preserve"> </w:t>
      </w:r>
      <w:r w:rsidRPr="008870F5" w:rsidR="00D664BC">
        <w:rPr>
          <w:sz w:val="20"/>
          <w:szCs w:val="20"/>
        </w:rPr>
        <w:t>The paper-and-pencil mail survey will be designed to be user friendly, easy to navigate, and with clear and simple instructions.  The survey will be created using TeleForm technology, a software system for intelligent data capture and image processing.  The software extracts indexing information automatically from any document type through the use of multiple recognition engines. TeleForm reads hand print, machine print, optical marks, bar codes, and signatures. </w:t>
      </w:r>
    </w:p>
    <w:p w:rsidRPr="008870F5" w:rsidR="00D664BC" w:rsidP="00286751" w:rsidRDefault="00D664BC" w14:paraId="41C62A45" w14:textId="77777777">
      <w:pPr>
        <w:rPr>
          <w:sz w:val="20"/>
          <w:szCs w:val="20"/>
        </w:rPr>
      </w:pPr>
    </w:p>
    <w:p w:rsidRPr="008870F5" w:rsidR="00D664BC" w:rsidP="00286751" w:rsidRDefault="002777A6" w14:paraId="6A506DA8" w14:textId="77777777">
      <w:pPr>
        <w:rPr>
          <w:sz w:val="20"/>
          <w:szCs w:val="20"/>
        </w:rPr>
      </w:pPr>
      <w:r w:rsidRPr="008870F5">
        <w:rPr>
          <w:b/>
          <w:sz w:val="20"/>
          <w:szCs w:val="20"/>
        </w:rPr>
        <w:t>Data storage and usage.</w:t>
      </w:r>
      <w:r w:rsidRPr="008870F5">
        <w:rPr>
          <w:sz w:val="20"/>
          <w:szCs w:val="20"/>
        </w:rPr>
        <w:t xml:space="preserve"> </w:t>
      </w:r>
      <w:r w:rsidRPr="008870F5" w:rsidR="00D664BC">
        <w:rPr>
          <w:sz w:val="20"/>
          <w:szCs w:val="20"/>
        </w:rPr>
        <w:t xml:space="preserve">Response data will be stored and tracked in a response database which can then </w:t>
      </w:r>
      <w:r w:rsidR="00DD2DB5">
        <w:rPr>
          <w:sz w:val="20"/>
          <w:szCs w:val="20"/>
        </w:rPr>
        <w:t xml:space="preserve">be </w:t>
      </w:r>
      <w:r w:rsidRPr="008870F5" w:rsidR="00D664BC">
        <w:rPr>
          <w:sz w:val="20"/>
          <w:szCs w:val="20"/>
        </w:rPr>
        <w:t>used to update and extend the IRS compliance burden model. In addition, a tailored Survey Management System will track cases throughout all modes of contact, including mail, telephone, and IVR.</w:t>
      </w:r>
    </w:p>
    <w:p w:rsidRPr="008870F5" w:rsidR="00180AA7" w:rsidP="00286751" w:rsidRDefault="00180AA7" w14:paraId="2A8BC902" w14:textId="77777777">
      <w:pPr>
        <w:rPr>
          <w:sz w:val="20"/>
          <w:szCs w:val="20"/>
        </w:rPr>
      </w:pPr>
    </w:p>
    <w:p w:rsidRPr="008870F5" w:rsidR="00A17D59" w:rsidP="00A17D59" w:rsidRDefault="00A17D59" w14:paraId="4FAB18AF" w14:textId="77777777">
      <w:pPr>
        <w:rPr>
          <w:sz w:val="20"/>
          <w:szCs w:val="20"/>
        </w:rPr>
      </w:pPr>
      <w:r w:rsidRPr="00A17D59">
        <w:rPr>
          <w:b/>
          <w:sz w:val="20"/>
          <w:szCs w:val="20"/>
        </w:rPr>
        <w:t>Focus groups.</w:t>
      </w:r>
      <w:r>
        <w:rPr>
          <w:sz w:val="20"/>
          <w:szCs w:val="20"/>
        </w:rPr>
        <w:t xml:space="preserve"> </w:t>
      </w:r>
      <w:r w:rsidRPr="008870F5">
        <w:rPr>
          <w:sz w:val="20"/>
          <w:szCs w:val="20"/>
        </w:rPr>
        <w:t xml:space="preserve">Focus groups allow the IRS to speak directly to industry stakeholders and </w:t>
      </w:r>
      <w:r w:rsidR="00927161">
        <w:rPr>
          <w:sz w:val="20"/>
          <w:szCs w:val="20"/>
        </w:rPr>
        <w:t>taxpayers</w:t>
      </w:r>
      <w:r w:rsidRPr="008870F5">
        <w:rPr>
          <w:sz w:val="20"/>
          <w:szCs w:val="20"/>
        </w:rPr>
        <w:t xml:space="preserve"> regarding the primary drivers of burden to inform survey instrument design. They are extremely important to the design of a new survey because they offer the opportunity to increase and validate the understanding of the burden incurred by the relevant population as well as to develop and test meaningful survey questions.</w:t>
      </w:r>
    </w:p>
    <w:p w:rsidR="00180AA7" w:rsidP="00286751" w:rsidRDefault="00180AA7" w14:paraId="71DECBEF" w14:textId="77777777">
      <w:pPr>
        <w:rPr>
          <w:sz w:val="20"/>
          <w:szCs w:val="20"/>
        </w:rPr>
      </w:pPr>
    </w:p>
    <w:p w:rsidRPr="008870F5" w:rsidR="00C11A38" w:rsidP="00286751" w:rsidRDefault="00C11A38" w14:paraId="0B429247" w14:textId="77777777">
      <w:pPr>
        <w:rPr>
          <w:sz w:val="20"/>
          <w:szCs w:val="20"/>
        </w:rPr>
      </w:pPr>
    </w:p>
    <w:p w:rsidRPr="008870F5" w:rsidR="00D664BC" w:rsidP="00533368" w:rsidRDefault="005230D1" w14:paraId="13F26A6A" w14:textId="77777777">
      <w:pPr>
        <w:pStyle w:val="NoSpacing"/>
        <w:numPr>
          <w:ilvl w:val="0"/>
          <w:numId w:val="7"/>
        </w:numPr>
        <w:tabs>
          <w:tab w:val="clear" w:pos="720"/>
          <w:tab w:val="num" w:pos="360"/>
        </w:tabs>
        <w:ind w:left="360"/>
        <w:contextualSpacing/>
        <w:rPr>
          <w:rFonts w:ascii="Arial" w:hAnsi="Arial" w:cs="Arial"/>
          <w:b/>
        </w:rPr>
      </w:pPr>
      <w:r w:rsidRPr="008870F5">
        <w:rPr>
          <w:rFonts w:ascii="Arial" w:hAnsi="Arial" w:cs="Arial"/>
          <w:b/>
        </w:rPr>
        <w:t>D</w:t>
      </w:r>
      <w:r w:rsidRPr="008870F5" w:rsidR="00D664BC">
        <w:rPr>
          <w:rFonts w:ascii="Arial" w:hAnsi="Arial" w:cs="Arial"/>
          <w:b/>
        </w:rPr>
        <w:t>escribe methods to maximize response rates and to deal with issues of non-response.</w:t>
      </w:r>
    </w:p>
    <w:p w:rsidRPr="008870F5" w:rsidR="00D664BC" w:rsidP="00A511A9" w:rsidRDefault="00D664BC" w14:paraId="55E915F6" w14:textId="77777777">
      <w:pPr>
        <w:pStyle w:val="NoSpacing"/>
        <w:spacing w:line="180" w:lineRule="exact"/>
        <w:contextualSpacing/>
        <w:rPr>
          <w:rFonts w:ascii="Times New Roman" w:hAnsi="Times New Roman"/>
          <w:sz w:val="20"/>
          <w:szCs w:val="20"/>
        </w:rPr>
      </w:pPr>
    </w:p>
    <w:p w:rsidR="00CA1A34" w:rsidP="00CA1A34" w:rsidRDefault="00043499" w14:paraId="69FC53B5" w14:textId="77777777">
      <w:pPr>
        <w:rPr>
          <w:sz w:val="20"/>
          <w:szCs w:val="20"/>
        </w:rPr>
      </w:pPr>
      <w:r>
        <w:rPr>
          <w:sz w:val="20"/>
          <w:szCs w:val="20"/>
        </w:rPr>
        <w:t>The survey instrument design and administration protocol are informed by currently-accepted</w:t>
      </w:r>
      <w:r w:rsidR="001C5D5E">
        <w:rPr>
          <w:sz w:val="20"/>
          <w:szCs w:val="20"/>
        </w:rPr>
        <w:t xml:space="preserve"> best</w:t>
      </w:r>
      <w:r>
        <w:rPr>
          <w:sz w:val="20"/>
          <w:szCs w:val="20"/>
        </w:rPr>
        <w:t xml:space="preserve"> practices</w:t>
      </w:r>
      <w:r w:rsidR="00E10A3A">
        <w:rPr>
          <w:sz w:val="20"/>
          <w:szCs w:val="20"/>
        </w:rPr>
        <w:t xml:space="preserve"> that support survey response rates</w:t>
      </w:r>
      <w:r w:rsidR="00CA1A34">
        <w:rPr>
          <w:sz w:val="20"/>
          <w:szCs w:val="20"/>
        </w:rPr>
        <w:t>, such as including official IRS letter as a pre-note,</w:t>
      </w:r>
      <w:r w:rsidR="00E10A3A">
        <w:rPr>
          <w:sz w:val="20"/>
          <w:szCs w:val="20"/>
        </w:rPr>
        <w:t xml:space="preserve"> item formatting, and survey length. IRS </w:t>
      </w:r>
      <w:r w:rsidR="001C5D5E">
        <w:rPr>
          <w:sz w:val="20"/>
          <w:szCs w:val="20"/>
        </w:rPr>
        <w:t xml:space="preserve">conducted </w:t>
      </w:r>
      <w:r w:rsidR="00E10A3A">
        <w:rPr>
          <w:sz w:val="20"/>
          <w:szCs w:val="20"/>
        </w:rPr>
        <w:t>survey research during prior burden survey administrations, such as the</w:t>
      </w:r>
      <w:r w:rsidRPr="00E10A3A" w:rsidR="00E10A3A">
        <w:rPr>
          <w:sz w:val="20"/>
          <w:szCs w:val="20"/>
        </w:rPr>
        <w:t xml:space="preserve"> </w:t>
      </w:r>
      <w:r w:rsidR="00E10A3A">
        <w:rPr>
          <w:sz w:val="20"/>
          <w:szCs w:val="20"/>
        </w:rPr>
        <w:t xml:space="preserve">incentive studies discussed in Section A9, </w:t>
      </w:r>
      <w:r w:rsidR="005C5EB9">
        <w:rPr>
          <w:sz w:val="20"/>
          <w:szCs w:val="20"/>
        </w:rPr>
        <w:t xml:space="preserve">that </w:t>
      </w:r>
      <w:r w:rsidR="00E10A3A">
        <w:rPr>
          <w:sz w:val="20"/>
          <w:szCs w:val="20"/>
        </w:rPr>
        <w:t>have also provided important insight</w:t>
      </w:r>
      <w:r w:rsidR="005C5EB9">
        <w:rPr>
          <w:sz w:val="20"/>
          <w:szCs w:val="20"/>
        </w:rPr>
        <w:t>.</w:t>
      </w:r>
    </w:p>
    <w:p w:rsidR="00E10A3A" w:rsidP="00CA1A34" w:rsidRDefault="00E10A3A" w14:paraId="102442B0" w14:textId="77777777">
      <w:pPr>
        <w:rPr>
          <w:sz w:val="20"/>
          <w:szCs w:val="20"/>
        </w:rPr>
      </w:pPr>
    </w:p>
    <w:p w:rsidRPr="008870F5" w:rsidR="00D664BC" w:rsidP="00286751" w:rsidRDefault="00D664BC" w14:paraId="5A1F1E0C" w14:textId="77777777">
      <w:pPr>
        <w:rPr>
          <w:sz w:val="20"/>
          <w:szCs w:val="20"/>
        </w:rPr>
      </w:pPr>
      <w:r w:rsidRPr="008870F5">
        <w:rPr>
          <w:sz w:val="20"/>
          <w:szCs w:val="20"/>
        </w:rPr>
        <w:t xml:space="preserve">Upon completion of </w:t>
      </w:r>
      <w:r w:rsidR="00CE5D45">
        <w:rPr>
          <w:sz w:val="20"/>
          <w:szCs w:val="20"/>
        </w:rPr>
        <w:t>each</w:t>
      </w:r>
      <w:r w:rsidRPr="008870F5" w:rsidR="00CE5D45">
        <w:rPr>
          <w:sz w:val="20"/>
          <w:szCs w:val="20"/>
        </w:rPr>
        <w:t xml:space="preserve"> </w:t>
      </w:r>
      <w:r w:rsidRPr="008870F5">
        <w:rPr>
          <w:sz w:val="20"/>
          <w:szCs w:val="20"/>
        </w:rPr>
        <w:t xml:space="preserve">survey </w:t>
      </w:r>
      <w:r w:rsidR="008B4FCF">
        <w:rPr>
          <w:sz w:val="20"/>
          <w:szCs w:val="20"/>
        </w:rPr>
        <w:t>data collection</w:t>
      </w:r>
      <w:r w:rsidR="00CE5D45">
        <w:rPr>
          <w:sz w:val="20"/>
          <w:szCs w:val="20"/>
        </w:rPr>
        <w:t>,</w:t>
      </w:r>
      <w:r w:rsidRPr="008870F5">
        <w:rPr>
          <w:sz w:val="20"/>
          <w:szCs w:val="20"/>
        </w:rPr>
        <w:t xml:space="preserve"> we will conduct</w:t>
      </w:r>
      <w:r w:rsidRPr="008870F5" w:rsidR="00180AA7">
        <w:rPr>
          <w:sz w:val="20"/>
          <w:szCs w:val="20"/>
        </w:rPr>
        <w:t xml:space="preserve"> a nonresponse bias analysis. </w:t>
      </w:r>
      <w:r w:rsidRPr="008870F5">
        <w:rPr>
          <w:sz w:val="20"/>
          <w:szCs w:val="20"/>
        </w:rPr>
        <w:t xml:space="preserve">This analysis will </w:t>
      </w:r>
      <w:r w:rsidR="00CE5D45">
        <w:rPr>
          <w:sz w:val="20"/>
          <w:szCs w:val="20"/>
        </w:rPr>
        <w:t>use</w:t>
      </w:r>
      <w:r w:rsidRPr="008870F5">
        <w:rPr>
          <w:sz w:val="20"/>
          <w:szCs w:val="20"/>
        </w:rPr>
        <w:t xml:space="preserve"> a raking technique to control for </w:t>
      </w:r>
      <w:r w:rsidR="005C5EB9">
        <w:rPr>
          <w:sz w:val="20"/>
          <w:szCs w:val="20"/>
        </w:rPr>
        <w:t>the difference between the characteristics of those who respond and those who do not</w:t>
      </w:r>
      <w:r w:rsidRPr="008870F5">
        <w:rPr>
          <w:sz w:val="20"/>
          <w:szCs w:val="20"/>
        </w:rPr>
        <w:t xml:space="preserve">. The process is further outlined in the paper “Response Mode and Bias Analysis in the IRS’ Individual Taxpayer Burden Survey”, by J. Michael Brick, George Contos, Karen Masken, and Roy Nord.  </w:t>
      </w:r>
    </w:p>
    <w:p w:rsidRPr="008870F5" w:rsidR="00D664BC" w:rsidP="00A511A9" w:rsidRDefault="00D664BC" w14:paraId="76D09077" w14:textId="77777777">
      <w:pPr>
        <w:spacing w:line="280" w:lineRule="exact"/>
        <w:rPr>
          <w:sz w:val="20"/>
          <w:szCs w:val="20"/>
        </w:rPr>
      </w:pPr>
    </w:p>
    <w:p w:rsidRPr="008870F5" w:rsidR="00D664BC" w:rsidP="00533368" w:rsidRDefault="00D664BC" w14:paraId="3A432AD4" w14:textId="77777777">
      <w:pPr>
        <w:pStyle w:val="NoSpacing"/>
        <w:numPr>
          <w:ilvl w:val="0"/>
          <w:numId w:val="7"/>
        </w:numPr>
        <w:tabs>
          <w:tab w:val="clear" w:pos="720"/>
          <w:tab w:val="num" w:pos="360"/>
        </w:tabs>
        <w:ind w:left="360"/>
        <w:contextualSpacing/>
        <w:rPr>
          <w:rFonts w:ascii="Arial" w:hAnsi="Arial" w:cs="Arial"/>
          <w:b/>
        </w:rPr>
      </w:pPr>
      <w:r w:rsidRPr="008870F5">
        <w:rPr>
          <w:rFonts w:ascii="Arial" w:hAnsi="Arial" w:cs="Arial"/>
          <w:b/>
        </w:rPr>
        <w:t xml:space="preserve">Describe any tests of procedures or methods to be undertaken. </w:t>
      </w:r>
    </w:p>
    <w:p w:rsidRPr="008870F5" w:rsidR="00D664BC" w:rsidP="00A511A9" w:rsidRDefault="00D664BC" w14:paraId="3DCEDBC3" w14:textId="77777777">
      <w:pPr>
        <w:spacing w:line="180" w:lineRule="exact"/>
        <w:rPr>
          <w:sz w:val="20"/>
          <w:szCs w:val="20"/>
        </w:rPr>
      </w:pPr>
    </w:p>
    <w:p w:rsidRPr="008870F5" w:rsidR="00D664BC" w:rsidP="00286751" w:rsidRDefault="00D664BC" w14:paraId="43D18C06" w14:textId="77777777">
      <w:pPr>
        <w:rPr>
          <w:sz w:val="20"/>
          <w:szCs w:val="20"/>
        </w:rPr>
      </w:pPr>
      <w:r w:rsidRPr="008870F5">
        <w:rPr>
          <w:sz w:val="20"/>
          <w:szCs w:val="20"/>
        </w:rPr>
        <w:t>To ensure that the collection of information is not burdensome and that the questions are clearly written and will produce accurate and valid results, the IRS will conduct cognitive testing for any new or revised survey instrument. Cognitive testing is a well-established qualitative research method intended to identify problems respondents have with comprehension of survey questions (Willis 2005)</w:t>
      </w:r>
      <w:r w:rsidRPr="008870F5">
        <w:rPr>
          <w:rStyle w:val="FootnoteReference"/>
          <w:sz w:val="20"/>
          <w:szCs w:val="20"/>
          <w:vertAlign w:val="superscript"/>
        </w:rPr>
        <w:footnoteReference w:id="1"/>
      </w:r>
      <w:r w:rsidRPr="008870F5">
        <w:rPr>
          <w:sz w:val="20"/>
          <w:szCs w:val="20"/>
        </w:rPr>
        <w:t>.  The testing will be conducted with taxpayers in the Washington, D.C. area.  Respondents will be recruited according to specific criteria (e.g., filing status, complexity of return, and filing method). Efforts will be made to recruit respondents who are demographically representative of the population being surveyed.</w:t>
      </w:r>
    </w:p>
    <w:p w:rsidRPr="008870F5" w:rsidR="00D664BC" w:rsidP="00286751" w:rsidRDefault="00D664BC" w14:paraId="58F5A742" w14:textId="77777777">
      <w:pPr>
        <w:rPr>
          <w:sz w:val="20"/>
          <w:szCs w:val="20"/>
        </w:rPr>
      </w:pPr>
    </w:p>
    <w:p w:rsidR="00D664BC" w:rsidP="00286751" w:rsidRDefault="00D664BC" w14:paraId="631E6A16" w14:textId="77777777">
      <w:pPr>
        <w:rPr>
          <w:sz w:val="20"/>
          <w:szCs w:val="20"/>
        </w:rPr>
      </w:pPr>
      <w:r w:rsidRPr="008870F5">
        <w:rPr>
          <w:sz w:val="20"/>
          <w:szCs w:val="20"/>
        </w:rPr>
        <w:t>In addition, at the outset as well as after each interaction of testing, the instrument will undergo extensive review by the IRS, the contractor, and stakeholders.</w:t>
      </w:r>
    </w:p>
    <w:p w:rsidR="00C11A38" w:rsidP="00286751" w:rsidRDefault="00C11A38" w14:paraId="20D8C967" w14:textId="77777777">
      <w:pPr>
        <w:rPr>
          <w:sz w:val="20"/>
          <w:szCs w:val="20"/>
        </w:rPr>
      </w:pPr>
    </w:p>
    <w:p w:rsidR="00C11A38" w:rsidP="00286751" w:rsidRDefault="00C11A38" w14:paraId="37B32E1D" w14:textId="77777777">
      <w:pPr>
        <w:rPr>
          <w:sz w:val="20"/>
          <w:szCs w:val="20"/>
        </w:rPr>
      </w:pPr>
    </w:p>
    <w:p w:rsidR="00C11A38" w:rsidP="00286751" w:rsidRDefault="00C11A38" w14:paraId="6FFCE320" w14:textId="77777777">
      <w:pPr>
        <w:rPr>
          <w:sz w:val="20"/>
          <w:szCs w:val="20"/>
        </w:rPr>
      </w:pPr>
    </w:p>
    <w:p w:rsidR="007B5838" w:rsidRDefault="007B5838" w14:paraId="53A24599" w14:textId="787D2E59">
      <w:pPr>
        <w:widowControl/>
        <w:autoSpaceDE/>
        <w:autoSpaceDN/>
        <w:adjustRightInd/>
        <w:rPr>
          <w:sz w:val="20"/>
          <w:szCs w:val="20"/>
        </w:rPr>
      </w:pPr>
      <w:r>
        <w:rPr>
          <w:sz w:val="20"/>
          <w:szCs w:val="20"/>
        </w:rPr>
        <w:br w:type="page"/>
      </w:r>
    </w:p>
    <w:p w:rsidRPr="008870F5" w:rsidR="00D664BC" w:rsidP="00533368" w:rsidRDefault="00D664BC" w14:paraId="1354EBE8" w14:textId="77777777">
      <w:pPr>
        <w:pStyle w:val="ListParagraph"/>
        <w:numPr>
          <w:ilvl w:val="0"/>
          <w:numId w:val="7"/>
        </w:numPr>
        <w:tabs>
          <w:tab w:val="clear" w:pos="720"/>
          <w:tab w:val="num" w:pos="360"/>
        </w:tabs>
        <w:ind w:left="360"/>
        <w:rPr>
          <w:rFonts w:ascii="Arial" w:hAnsi="Arial" w:cs="Arial"/>
          <w:b/>
          <w:sz w:val="22"/>
          <w:szCs w:val="22"/>
        </w:rPr>
      </w:pPr>
      <w:r w:rsidRPr="008870F5">
        <w:rPr>
          <w:rFonts w:ascii="Arial" w:hAnsi="Arial" w:cs="Arial"/>
          <w:b/>
          <w:sz w:val="22"/>
          <w:szCs w:val="22"/>
        </w:rPr>
        <w:lastRenderedPageBreak/>
        <w:t xml:space="preserve">Provide the names and telephone numbers of individuals consulted on statistical aspects of the design and the name of the agency unit, contractor(s), grantee(s), or other person(s) who will actually collect and/or analyze the information for the agency. </w:t>
      </w:r>
    </w:p>
    <w:p w:rsidRPr="008870F5" w:rsidR="00D664BC" w:rsidP="00367A09" w:rsidRDefault="00D664BC" w14:paraId="3BEAD748" w14:textId="77777777">
      <w:pPr>
        <w:pStyle w:val="ListParagraph"/>
        <w:ind w:left="360"/>
        <w:rPr>
          <w:sz w:val="20"/>
          <w:szCs w:val="20"/>
        </w:rPr>
      </w:pPr>
    </w:p>
    <w:p w:rsidRPr="008870F5" w:rsidR="00D664BC" w:rsidP="007D7E52" w:rsidRDefault="00D664BC" w14:paraId="3B51C13E" w14:textId="77777777">
      <w:pPr>
        <w:pStyle w:val="ListParagraph"/>
        <w:ind w:left="360"/>
        <w:rPr>
          <w:sz w:val="20"/>
          <w:szCs w:val="20"/>
          <w:u w:val="single"/>
        </w:rPr>
      </w:pPr>
      <w:r w:rsidRPr="008870F5">
        <w:rPr>
          <w:sz w:val="20"/>
          <w:szCs w:val="20"/>
          <w:u w:val="single"/>
        </w:rPr>
        <w:t xml:space="preserve">IRS </w:t>
      </w:r>
      <w:r w:rsidR="003E406C">
        <w:rPr>
          <w:sz w:val="20"/>
          <w:szCs w:val="20"/>
          <w:u w:val="single"/>
        </w:rPr>
        <w:t>Research, Applied Analytics, and Statistics and</w:t>
      </w:r>
      <w:r w:rsidRPr="008870F5" w:rsidR="008102AD">
        <w:rPr>
          <w:sz w:val="20"/>
          <w:szCs w:val="20"/>
          <w:u w:val="single"/>
        </w:rPr>
        <w:t xml:space="preserve"> Treasury Office of Tax Analysis</w:t>
      </w:r>
    </w:p>
    <w:p w:rsidRPr="008870F5" w:rsidR="008102AD" w:rsidP="007D7E52" w:rsidRDefault="008102AD" w14:paraId="4A6F4A6E" w14:textId="77777777">
      <w:pPr>
        <w:pStyle w:val="ListParagraph"/>
        <w:ind w:left="360"/>
        <w:rPr>
          <w:sz w:val="20"/>
          <w:szCs w:val="20"/>
        </w:rPr>
      </w:pPr>
    </w:p>
    <w:p w:rsidRPr="008870F5" w:rsidR="00D664BC" w:rsidP="007D7E52" w:rsidRDefault="00D664BC" w14:paraId="2A872ECF" w14:textId="77777777">
      <w:pPr>
        <w:pStyle w:val="ListParagraph"/>
        <w:ind w:left="360"/>
        <w:rPr>
          <w:sz w:val="20"/>
          <w:szCs w:val="20"/>
        </w:rPr>
      </w:pPr>
      <w:r w:rsidRPr="008870F5">
        <w:rPr>
          <w:sz w:val="20"/>
          <w:szCs w:val="20"/>
        </w:rPr>
        <w:t xml:space="preserve">Statistical Design:  </w:t>
      </w:r>
    </w:p>
    <w:p w:rsidRPr="008870F5" w:rsidR="00A01B15" w:rsidP="007D7E52" w:rsidRDefault="00A01B15" w14:paraId="1F1B94AA" w14:textId="77777777">
      <w:pPr>
        <w:pStyle w:val="ListParagraph"/>
        <w:ind w:left="360"/>
        <w:rPr>
          <w:sz w:val="20"/>
          <w:szCs w:val="20"/>
          <w:lang w:val="de-DE"/>
        </w:rPr>
      </w:pPr>
      <w:r w:rsidRPr="008870F5">
        <w:rPr>
          <w:sz w:val="20"/>
          <w:szCs w:val="20"/>
          <w:lang w:val="de-DE"/>
        </w:rPr>
        <w:t xml:space="preserve">Ahmad Qadri </w:t>
      </w:r>
      <w:r w:rsidRPr="008870F5" w:rsidR="008102AD">
        <w:rPr>
          <w:sz w:val="20"/>
          <w:szCs w:val="20"/>
        </w:rPr>
        <w:t>IRS Research, Analysis, &amp; Statistics</w:t>
      </w:r>
      <w:r w:rsidRPr="008870F5" w:rsidR="00D73D12">
        <w:rPr>
          <w:sz w:val="20"/>
          <w:szCs w:val="20"/>
        </w:rPr>
        <w:t xml:space="preserve">  202-803-9373</w:t>
      </w:r>
    </w:p>
    <w:p w:rsidRPr="008870F5" w:rsidR="0043505D" w:rsidP="007D7E52" w:rsidRDefault="00DA7688" w14:paraId="002312F5" w14:textId="77777777">
      <w:pPr>
        <w:shd w:val="clear" w:color="auto" w:fill="FFFFFF"/>
        <w:ind w:left="360"/>
        <w:rPr>
          <w:rFonts w:ascii="MS Shell Dlg 2" w:hAnsi="MS Shell Dlg 2"/>
          <w:sz w:val="18"/>
          <w:szCs w:val="18"/>
        </w:rPr>
      </w:pPr>
      <w:r w:rsidRPr="008870F5">
        <w:rPr>
          <w:sz w:val="20"/>
          <w:szCs w:val="20"/>
        </w:rPr>
        <w:t xml:space="preserve">Ishani Roy, IRS Research, Analysis, &amp; </w:t>
      </w:r>
      <w:r w:rsidRPr="008870F5" w:rsidR="00856858">
        <w:rPr>
          <w:sz w:val="20"/>
          <w:szCs w:val="20"/>
        </w:rPr>
        <w:t>Statistics 202</w:t>
      </w:r>
      <w:r w:rsidRPr="008870F5" w:rsidR="0043505D">
        <w:rPr>
          <w:sz w:val="20"/>
          <w:szCs w:val="20"/>
        </w:rPr>
        <w:t>-803-9372</w:t>
      </w:r>
    </w:p>
    <w:p w:rsidRPr="008870F5" w:rsidR="00D664BC" w:rsidP="007D7E52" w:rsidRDefault="00D664BC" w14:paraId="5C9AE245" w14:textId="77777777">
      <w:pPr>
        <w:pStyle w:val="ListParagraph"/>
        <w:ind w:left="360"/>
        <w:rPr>
          <w:sz w:val="20"/>
          <w:szCs w:val="20"/>
        </w:rPr>
      </w:pPr>
    </w:p>
    <w:p w:rsidRPr="008870F5" w:rsidR="00D664BC" w:rsidP="007D7E52" w:rsidRDefault="00D664BC" w14:paraId="3CE763C9" w14:textId="77777777">
      <w:pPr>
        <w:pStyle w:val="ListParagraph"/>
        <w:ind w:left="360"/>
        <w:rPr>
          <w:sz w:val="20"/>
          <w:szCs w:val="20"/>
        </w:rPr>
      </w:pPr>
      <w:r w:rsidRPr="008870F5">
        <w:rPr>
          <w:sz w:val="20"/>
          <w:szCs w:val="20"/>
        </w:rPr>
        <w:t xml:space="preserve">Collection and Analysis:  </w:t>
      </w:r>
    </w:p>
    <w:p w:rsidR="00811A6F" w:rsidP="007D7E52" w:rsidRDefault="00811A6F" w14:paraId="13EBDB68" w14:textId="77777777">
      <w:pPr>
        <w:pStyle w:val="ListParagraph"/>
        <w:ind w:left="360"/>
        <w:rPr>
          <w:sz w:val="20"/>
          <w:szCs w:val="20"/>
        </w:rPr>
      </w:pPr>
      <w:r w:rsidRPr="008870F5">
        <w:rPr>
          <w:sz w:val="20"/>
          <w:szCs w:val="20"/>
        </w:rPr>
        <w:t>Brenda Schafer (</w:t>
      </w:r>
      <w:r w:rsidR="00DE0C56">
        <w:rPr>
          <w:sz w:val="20"/>
          <w:szCs w:val="20"/>
        </w:rPr>
        <w:t>overall</w:t>
      </w:r>
      <w:r w:rsidRPr="008870F5">
        <w:rPr>
          <w:sz w:val="20"/>
          <w:szCs w:val="20"/>
        </w:rPr>
        <w:t xml:space="preserve"> lead), IRS Research, </w:t>
      </w:r>
      <w:r w:rsidRPr="008870F5" w:rsidR="00E75236">
        <w:rPr>
          <w:sz w:val="20"/>
          <w:szCs w:val="20"/>
        </w:rPr>
        <w:t>A</w:t>
      </w:r>
      <w:r w:rsidR="00E75236">
        <w:rPr>
          <w:sz w:val="20"/>
          <w:szCs w:val="20"/>
        </w:rPr>
        <w:t>pplied Analytics,</w:t>
      </w:r>
      <w:r w:rsidR="00EE70A9">
        <w:rPr>
          <w:sz w:val="20"/>
          <w:szCs w:val="20"/>
        </w:rPr>
        <w:t xml:space="preserve"> </w:t>
      </w:r>
      <w:r w:rsidR="00E75236">
        <w:rPr>
          <w:sz w:val="20"/>
          <w:szCs w:val="20"/>
        </w:rPr>
        <w:t>and</w:t>
      </w:r>
      <w:r w:rsidRPr="008870F5">
        <w:rPr>
          <w:sz w:val="20"/>
          <w:szCs w:val="20"/>
        </w:rPr>
        <w:t xml:space="preserve"> </w:t>
      </w:r>
      <w:r w:rsidRPr="008870F5" w:rsidR="00856858">
        <w:rPr>
          <w:sz w:val="20"/>
          <w:szCs w:val="20"/>
        </w:rPr>
        <w:t>Statistics</w:t>
      </w:r>
      <w:r w:rsidR="00034131">
        <w:rPr>
          <w:sz w:val="20"/>
          <w:szCs w:val="20"/>
        </w:rPr>
        <w:t>,</w:t>
      </w:r>
      <w:r w:rsidR="00E75236">
        <w:rPr>
          <w:sz w:val="20"/>
          <w:szCs w:val="20"/>
        </w:rPr>
        <w:t xml:space="preserve"> </w:t>
      </w:r>
      <w:r w:rsidRPr="008870F5" w:rsidR="00856858">
        <w:rPr>
          <w:sz w:val="20"/>
          <w:szCs w:val="20"/>
        </w:rPr>
        <w:t>202</w:t>
      </w:r>
      <w:r w:rsidRPr="008870F5">
        <w:rPr>
          <w:sz w:val="20"/>
          <w:szCs w:val="20"/>
        </w:rPr>
        <w:t>-</w:t>
      </w:r>
      <w:r w:rsidRPr="008870F5" w:rsidR="00A17890">
        <w:rPr>
          <w:sz w:val="20"/>
          <w:szCs w:val="20"/>
        </w:rPr>
        <w:t>803-9412</w:t>
      </w:r>
    </w:p>
    <w:p w:rsidRPr="008870F5" w:rsidR="00DE0C56" w:rsidP="007D7E52" w:rsidRDefault="00DE0C56" w14:paraId="5A4CDFE6" w14:textId="77777777">
      <w:pPr>
        <w:pStyle w:val="ListParagraph"/>
        <w:ind w:left="360"/>
        <w:rPr>
          <w:sz w:val="20"/>
          <w:szCs w:val="20"/>
        </w:rPr>
      </w:pPr>
      <w:r w:rsidRPr="008870F5">
        <w:rPr>
          <w:sz w:val="20"/>
          <w:szCs w:val="20"/>
        </w:rPr>
        <w:t xml:space="preserve">Patrick Langetieg </w:t>
      </w:r>
      <w:r>
        <w:rPr>
          <w:sz w:val="20"/>
          <w:szCs w:val="20"/>
        </w:rPr>
        <w:t>(deputy lead)</w:t>
      </w:r>
      <w:r w:rsidR="00E75236">
        <w:rPr>
          <w:sz w:val="20"/>
          <w:szCs w:val="20"/>
        </w:rPr>
        <w:t>,</w:t>
      </w:r>
      <w:r w:rsidRPr="008870F5" w:rsidR="00E75236">
        <w:rPr>
          <w:sz w:val="20"/>
          <w:szCs w:val="20"/>
        </w:rPr>
        <w:t xml:space="preserve"> IRS Research, A</w:t>
      </w:r>
      <w:r w:rsidR="00E75236">
        <w:rPr>
          <w:sz w:val="20"/>
          <w:szCs w:val="20"/>
        </w:rPr>
        <w:t>pplied Analytics,</w:t>
      </w:r>
      <w:r w:rsidR="00EE70A9">
        <w:rPr>
          <w:sz w:val="20"/>
          <w:szCs w:val="20"/>
        </w:rPr>
        <w:t xml:space="preserve"> </w:t>
      </w:r>
      <w:r w:rsidR="00E75236">
        <w:rPr>
          <w:sz w:val="20"/>
          <w:szCs w:val="20"/>
        </w:rPr>
        <w:t>and</w:t>
      </w:r>
      <w:r w:rsidRPr="008870F5" w:rsidR="00E75236">
        <w:rPr>
          <w:sz w:val="20"/>
          <w:szCs w:val="20"/>
        </w:rPr>
        <w:t xml:space="preserve"> Statistics</w:t>
      </w:r>
      <w:r w:rsidR="00E75236">
        <w:rPr>
          <w:sz w:val="20"/>
          <w:szCs w:val="20"/>
        </w:rPr>
        <w:t>,</w:t>
      </w:r>
      <w:r w:rsidRPr="008870F5" w:rsidR="00E75236">
        <w:rPr>
          <w:sz w:val="20"/>
          <w:szCs w:val="20"/>
        </w:rPr>
        <w:t xml:space="preserve"> </w:t>
      </w:r>
      <w:r w:rsidRPr="00AB7BEE" w:rsidR="00AB7BEE">
        <w:rPr>
          <w:sz w:val="20"/>
          <w:szCs w:val="20"/>
        </w:rPr>
        <w:t>202-803-9419</w:t>
      </w:r>
    </w:p>
    <w:p w:rsidRPr="008870F5" w:rsidR="00DE0C56" w:rsidP="007D7E52" w:rsidRDefault="00DE0C56" w14:paraId="52366075" w14:textId="77777777">
      <w:pPr>
        <w:pStyle w:val="ListParagraph"/>
        <w:ind w:left="360"/>
        <w:rPr>
          <w:sz w:val="20"/>
          <w:szCs w:val="20"/>
        </w:rPr>
      </w:pPr>
      <w:r w:rsidRPr="008870F5">
        <w:rPr>
          <w:sz w:val="20"/>
          <w:szCs w:val="20"/>
        </w:rPr>
        <w:t xml:space="preserve">Jose Colon de la </w:t>
      </w:r>
      <w:r w:rsidRPr="008870F5" w:rsidR="00034131">
        <w:rPr>
          <w:sz w:val="20"/>
          <w:szCs w:val="20"/>
        </w:rPr>
        <w:t>Matta,</w:t>
      </w:r>
      <w:r w:rsidRPr="008870F5" w:rsidR="00E75236">
        <w:rPr>
          <w:sz w:val="20"/>
          <w:szCs w:val="20"/>
        </w:rPr>
        <w:t xml:space="preserve"> IRS Research, A</w:t>
      </w:r>
      <w:r w:rsidR="00E75236">
        <w:rPr>
          <w:sz w:val="20"/>
          <w:szCs w:val="20"/>
        </w:rPr>
        <w:t>pplied Analytics,</w:t>
      </w:r>
      <w:r w:rsidR="00EE70A9">
        <w:rPr>
          <w:sz w:val="20"/>
          <w:szCs w:val="20"/>
        </w:rPr>
        <w:t xml:space="preserve"> </w:t>
      </w:r>
      <w:r w:rsidR="00E75236">
        <w:rPr>
          <w:sz w:val="20"/>
          <w:szCs w:val="20"/>
        </w:rPr>
        <w:t>and</w:t>
      </w:r>
      <w:r w:rsidRPr="008870F5" w:rsidR="00E75236">
        <w:rPr>
          <w:sz w:val="20"/>
          <w:szCs w:val="20"/>
        </w:rPr>
        <w:t xml:space="preserve"> </w:t>
      </w:r>
      <w:r w:rsidR="00E75236">
        <w:rPr>
          <w:sz w:val="20"/>
          <w:szCs w:val="20"/>
        </w:rPr>
        <w:t>Statistics, 202-803-9412</w:t>
      </w:r>
    </w:p>
    <w:p w:rsidR="00DE0C56" w:rsidP="007D7E52" w:rsidRDefault="00D664BC" w14:paraId="0B1F438C" w14:textId="77777777">
      <w:pPr>
        <w:pStyle w:val="ListParagraph"/>
        <w:ind w:left="360"/>
        <w:rPr>
          <w:sz w:val="20"/>
          <w:szCs w:val="20"/>
        </w:rPr>
      </w:pPr>
      <w:r w:rsidRPr="008870F5">
        <w:rPr>
          <w:sz w:val="20"/>
          <w:szCs w:val="20"/>
        </w:rPr>
        <w:t xml:space="preserve">Ronald H. Hodge </w:t>
      </w:r>
      <w:r w:rsidRPr="008870F5" w:rsidR="00034131">
        <w:rPr>
          <w:sz w:val="20"/>
          <w:szCs w:val="20"/>
        </w:rPr>
        <w:t>II,</w:t>
      </w:r>
      <w:r w:rsidRPr="008870F5" w:rsidR="00E75236">
        <w:rPr>
          <w:sz w:val="20"/>
          <w:szCs w:val="20"/>
        </w:rPr>
        <w:t xml:space="preserve"> IRS Research, A</w:t>
      </w:r>
      <w:r w:rsidR="00E75236">
        <w:rPr>
          <w:sz w:val="20"/>
          <w:szCs w:val="20"/>
        </w:rPr>
        <w:t>pplied Analytics,</w:t>
      </w:r>
      <w:r w:rsidR="00EE70A9">
        <w:rPr>
          <w:sz w:val="20"/>
          <w:szCs w:val="20"/>
        </w:rPr>
        <w:t xml:space="preserve"> </w:t>
      </w:r>
      <w:r w:rsidR="00E75236">
        <w:rPr>
          <w:sz w:val="20"/>
          <w:szCs w:val="20"/>
        </w:rPr>
        <w:t>and</w:t>
      </w:r>
      <w:r w:rsidRPr="008870F5" w:rsidR="00E75236">
        <w:rPr>
          <w:sz w:val="20"/>
          <w:szCs w:val="20"/>
        </w:rPr>
        <w:t xml:space="preserve"> Statistics</w:t>
      </w:r>
      <w:r w:rsidR="00AE775A">
        <w:rPr>
          <w:sz w:val="20"/>
          <w:szCs w:val="20"/>
        </w:rPr>
        <w:t xml:space="preserve">, </w:t>
      </w:r>
      <w:r w:rsidRPr="00AE775A" w:rsidR="00AE775A">
        <w:rPr>
          <w:sz w:val="20"/>
          <w:szCs w:val="20"/>
        </w:rPr>
        <w:t>202-803-9414</w:t>
      </w:r>
      <w:r w:rsidR="00E75236">
        <w:rPr>
          <w:sz w:val="20"/>
          <w:szCs w:val="20"/>
        </w:rPr>
        <w:t xml:space="preserve"> </w:t>
      </w:r>
    </w:p>
    <w:p w:rsidR="00DE0C56" w:rsidP="007D7E52" w:rsidRDefault="00DE0C56" w14:paraId="496EF992" w14:textId="77777777">
      <w:pPr>
        <w:pStyle w:val="ListParagraph"/>
        <w:ind w:left="360"/>
        <w:rPr>
          <w:sz w:val="20"/>
          <w:szCs w:val="20"/>
        </w:rPr>
      </w:pPr>
      <w:r>
        <w:rPr>
          <w:sz w:val="20"/>
          <w:szCs w:val="20"/>
        </w:rPr>
        <w:t>Rizwan Javaid,</w:t>
      </w:r>
      <w:r w:rsidR="00E75236">
        <w:rPr>
          <w:sz w:val="20"/>
          <w:szCs w:val="20"/>
        </w:rPr>
        <w:t xml:space="preserve"> </w:t>
      </w:r>
      <w:r w:rsidRPr="008870F5" w:rsidR="00E75236">
        <w:rPr>
          <w:sz w:val="20"/>
          <w:szCs w:val="20"/>
        </w:rPr>
        <w:t>IRS Research, A</w:t>
      </w:r>
      <w:r w:rsidR="00EE70A9">
        <w:rPr>
          <w:sz w:val="20"/>
          <w:szCs w:val="20"/>
        </w:rPr>
        <w:t>pplied Analytics</w:t>
      </w:r>
      <w:r w:rsidRPr="008870F5" w:rsidR="00E75236">
        <w:rPr>
          <w:sz w:val="20"/>
          <w:szCs w:val="20"/>
        </w:rPr>
        <w:t>,</w:t>
      </w:r>
      <w:r w:rsidR="00EE70A9">
        <w:rPr>
          <w:sz w:val="20"/>
          <w:szCs w:val="20"/>
        </w:rPr>
        <w:t xml:space="preserve"> </w:t>
      </w:r>
      <w:r w:rsidR="00E75236">
        <w:rPr>
          <w:sz w:val="20"/>
          <w:szCs w:val="20"/>
        </w:rPr>
        <w:t>and</w:t>
      </w:r>
      <w:r w:rsidRPr="008870F5" w:rsidR="00E75236">
        <w:rPr>
          <w:sz w:val="20"/>
          <w:szCs w:val="20"/>
        </w:rPr>
        <w:t xml:space="preserve"> </w:t>
      </w:r>
      <w:r w:rsidRPr="008870F5" w:rsidR="00034131">
        <w:rPr>
          <w:sz w:val="20"/>
          <w:szCs w:val="20"/>
        </w:rPr>
        <w:t>Statistics</w:t>
      </w:r>
      <w:r w:rsidR="00034131">
        <w:rPr>
          <w:sz w:val="20"/>
          <w:szCs w:val="20"/>
        </w:rPr>
        <w:t>, 240</w:t>
      </w:r>
      <w:r w:rsidRPr="00AB7BEE" w:rsidR="00AB7BEE">
        <w:rPr>
          <w:sz w:val="20"/>
          <w:szCs w:val="20"/>
        </w:rPr>
        <w:t>-613-5023</w:t>
      </w:r>
    </w:p>
    <w:p w:rsidRPr="00A95FC4" w:rsidR="00012920" w:rsidP="007D7E52" w:rsidRDefault="00012920" w14:paraId="41693A38" w14:textId="77777777">
      <w:pPr>
        <w:pStyle w:val="ListParagraph"/>
        <w:ind w:left="360"/>
        <w:rPr>
          <w:color w:val="000000" w:themeColor="text1"/>
          <w:sz w:val="20"/>
          <w:szCs w:val="20"/>
        </w:rPr>
      </w:pPr>
      <w:r>
        <w:rPr>
          <w:sz w:val="20"/>
          <w:szCs w:val="20"/>
        </w:rPr>
        <w:t xml:space="preserve">Yuri Katrinic, </w:t>
      </w:r>
      <w:r w:rsidRPr="008870F5">
        <w:rPr>
          <w:sz w:val="20"/>
          <w:szCs w:val="20"/>
        </w:rPr>
        <w:t>IRS Research, A</w:t>
      </w:r>
      <w:r>
        <w:rPr>
          <w:sz w:val="20"/>
          <w:szCs w:val="20"/>
        </w:rPr>
        <w:t>pplied Analytics</w:t>
      </w:r>
      <w:r w:rsidRPr="008870F5">
        <w:rPr>
          <w:sz w:val="20"/>
          <w:szCs w:val="20"/>
        </w:rPr>
        <w:t>,</w:t>
      </w:r>
      <w:r>
        <w:rPr>
          <w:sz w:val="20"/>
          <w:szCs w:val="20"/>
        </w:rPr>
        <w:t xml:space="preserve"> and</w:t>
      </w:r>
      <w:r w:rsidRPr="008870F5">
        <w:rPr>
          <w:sz w:val="20"/>
          <w:szCs w:val="20"/>
        </w:rPr>
        <w:t xml:space="preserve"> </w:t>
      </w:r>
      <w:r w:rsidRPr="00A95FC4">
        <w:rPr>
          <w:color w:val="000000" w:themeColor="text1"/>
          <w:sz w:val="20"/>
          <w:szCs w:val="20"/>
        </w:rPr>
        <w:t>Statistics, 202-803-</w:t>
      </w:r>
      <w:r w:rsidRPr="00A95FC4" w:rsidR="00A95FC4">
        <w:rPr>
          <w:color w:val="000000" w:themeColor="text1"/>
          <w:sz w:val="20"/>
          <w:szCs w:val="20"/>
        </w:rPr>
        <w:t>9443</w:t>
      </w:r>
    </w:p>
    <w:p w:rsidRPr="00A95FC4" w:rsidR="00012920" w:rsidP="007D7E52" w:rsidRDefault="003E406C" w14:paraId="7CEB4A8F" w14:textId="77777777">
      <w:pPr>
        <w:pStyle w:val="ListParagraph"/>
        <w:ind w:left="360"/>
        <w:rPr>
          <w:color w:val="000000" w:themeColor="text1"/>
          <w:sz w:val="20"/>
          <w:szCs w:val="20"/>
        </w:rPr>
      </w:pPr>
      <w:r w:rsidRPr="00A95FC4">
        <w:rPr>
          <w:color w:val="000000" w:themeColor="text1"/>
          <w:sz w:val="20"/>
          <w:szCs w:val="20"/>
        </w:rPr>
        <w:t xml:space="preserve">Scott Leary, </w:t>
      </w:r>
      <w:r w:rsidRPr="00A95FC4" w:rsidR="00012920">
        <w:rPr>
          <w:color w:val="000000" w:themeColor="text1"/>
          <w:sz w:val="20"/>
          <w:szCs w:val="20"/>
        </w:rPr>
        <w:t>IRS Research, Applied Analytics, and Statistics, 202-803-</w:t>
      </w:r>
      <w:r w:rsidRPr="00A95FC4" w:rsidR="00A95FC4">
        <w:rPr>
          <w:color w:val="000000" w:themeColor="text1"/>
          <w:sz w:val="20"/>
          <w:szCs w:val="20"/>
        </w:rPr>
        <w:t>9909</w:t>
      </w:r>
    </w:p>
    <w:p w:rsidRPr="00A95FC4" w:rsidR="00927161" w:rsidP="007D7E52" w:rsidRDefault="00927161" w14:paraId="69985671" w14:textId="77777777">
      <w:pPr>
        <w:pStyle w:val="ListParagraph"/>
        <w:ind w:left="360"/>
        <w:rPr>
          <w:color w:val="000000" w:themeColor="text1"/>
          <w:sz w:val="20"/>
          <w:szCs w:val="20"/>
        </w:rPr>
      </w:pPr>
      <w:r w:rsidRPr="00A95FC4">
        <w:rPr>
          <w:color w:val="000000" w:themeColor="text1"/>
          <w:sz w:val="20"/>
          <w:szCs w:val="20"/>
        </w:rPr>
        <w:t>Alexander Saak, IRS Research, Applied Analytics, and Statistics, 202-803-</w:t>
      </w:r>
      <w:r w:rsidRPr="00A95FC4" w:rsidR="00A95FC4">
        <w:rPr>
          <w:color w:val="000000" w:themeColor="text1"/>
          <w:sz w:val="20"/>
          <w:szCs w:val="20"/>
        </w:rPr>
        <w:t>9450</w:t>
      </w:r>
    </w:p>
    <w:p w:rsidRPr="008870F5" w:rsidR="00D664BC" w:rsidP="007D7E52" w:rsidRDefault="00D664BC" w14:paraId="14392F0E" w14:textId="77777777">
      <w:pPr>
        <w:pStyle w:val="ListParagraph"/>
        <w:ind w:left="360"/>
        <w:rPr>
          <w:sz w:val="20"/>
          <w:szCs w:val="20"/>
        </w:rPr>
      </w:pPr>
      <w:r w:rsidRPr="008870F5">
        <w:rPr>
          <w:sz w:val="20"/>
          <w:szCs w:val="20"/>
        </w:rPr>
        <w:t xml:space="preserve">Melissa Vigil, </w:t>
      </w:r>
      <w:r w:rsidR="00E75236">
        <w:rPr>
          <w:sz w:val="20"/>
          <w:szCs w:val="20"/>
        </w:rPr>
        <w:t>I</w:t>
      </w:r>
      <w:r w:rsidRPr="008870F5" w:rsidR="00E75236">
        <w:rPr>
          <w:sz w:val="20"/>
          <w:szCs w:val="20"/>
        </w:rPr>
        <w:t>RS Research, A</w:t>
      </w:r>
      <w:r w:rsidR="00E75236">
        <w:rPr>
          <w:sz w:val="20"/>
          <w:szCs w:val="20"/>
        </w:rPr>
        <w:t>pplied Analytics,</w:t>
      </w:r>
      <w:r w:rsidR="00EE70A9">
        <w:rPr>
          <w:sz w:val="20"/>
          <w:szCs w:val="20"/>
        </w:rPr>
        <w:t xml:space="preserve"> </w:t>
      </w:r>
      <w:r w:rsidR="00E75236">
        <w:rPr>
          <w:sz w:val="20"/>
          <w:szCs w:val="20"/>
        </w:rPr>
        <w:t>and</w:t>
      </w:r>
      <w:r w:rsidRPr="008870F5" w:rsidR="00E75236">
        <w:rPr>
          <w:sz w:val="20"/>
          <w:szCs w:val="20"/>
        </w:rPr>
        <w:t xml:space="preserve"> </w:t>
      </w:r>
      <w:r w:rsidRPr="008870F5" w:rsidR="00034131">
        <w:rPr>
          <w:sz w:val="20"/>
          <w:szCs w:val="20"/>
        </w:rPr>
        <w:t>Statistics</w:t>
      </w:r>
      <w:r w:rsidR="00034131">
        <w:rPr>
          <w:sz w:val="20"/>
          <w:szCs w:val="20"/>
        </w:rPr>
        <w:t xml:space="preserve">, </w:t>
      </w:r>
      <w:r w:rsidRPr="008870F5" w:rsidR="00034131">
        <w:rPr>
          <w:sz w:val="20"/>
          <w:szCs w:val="20"/>
        </w:rPr>
        <w:t>202</w:t>
      </w:r>
      <w:r w:rsidRPr="00AB7BEE" w:rsidR="00AB7BEE">
        <w:rPr>
          <w:sz w:val="20"/>
          <w:szCs w:val="20"/>
        </w:rPr>
        <w:t>-803-9404</w:t>
      </w:r>
      <w:r w:rsidR="00E75236">
        <w:rPr>
          <w:sz w:val="20"/>
          <w:szCs w:val="20"/>
        </w:rPr>
        <w:t xml:space="preserve"> </w:t>
      </w:r>
    </w:p>
    <w:p w:rsidRPr="008870F5" w:rsidR="00D664BC" w:rsidP="007D7E52" w:rsidRDefault="00D664BC" w14:paraId="70CEE52E" w14:textId="77777777">
      <w:pPr>
        <w:pStyle w:val="ListParagraph"/>
        <w:ind w:left="360"/>
        <w:rPr>
          <w:sz w:val="20"/>
          <w:szCs w:val="20"/>
        </w:rPr>
      </w:pPr>
    </w:p>
    <w:p w:rsidRPr="000F5C20" w:rsidR="00D664BC" w:rsidP="007D7E52" w:rsidRDefault="00DA7688" w14:paraId="4C3AFF49" w14:textId="77777777">
      <w:pPr>
        <w:pStyle w:val="ListParagraph"/>
        <w:ind w:left="360"/>
        <w:rPr>
          <w:color w:val="000000" w:themeColor="text1"/>
          <w:sz w:val="20"/>
          <w:szCs w:val="20"/>
          <w:u w:val="single"/>
        </w:rPr>
      </w:pPr>
      <w:r w:rsidRPr="000F5C20">
        <w:rPr>
          <w:color w:val="000000" w:themeColor="text1"/>
          <w:sz w:val="20"/>
          <w:szCs w:val="20"/>
          <w:u w:val="single"/>
        </w:rPr>
        <w:t>Survey</w:t>
      </w:r>
      <w:r w:rsidRPr="000F5C20" w:rsidR="00DE0C56">
        <w:rPr>
          <w:color w:val="000000" w:themeColor="text1"/>
          <w:sz w:val="20"/>
          <w:szCs w:val="20"/>
          <w:u w:val="single"/>
        </w:rPr>
        <w:t xml:space="preserve"> Administrator</w:t>
      </w:r>
      <w:r w:rsidRPr="000F5C20" w:rsidR="00012920">
        <w:rPr>
          <w:color w:val="000000" w:themeColor="text1"/>
          <w:sz w:val="20"/>
          <w:szCs w:val="20"/>
          <w:u w:val="single"/>
        </w:rPr>
        <w:t>s:</w:t>
      </w:r>
    </w:p>
    <w:p w:rsidRPr="008870F5" w:rsidR="008102AD" w:rsidP="007D7E52" w:rsidRDefault="008102AD" w14:paraId="0E606AD0" w14:textId="77777777">
      <w:pPr>
        <w:pStyle w:val="ListParagraph"/>
        <w:ind w:left="360"/>
        <w:rPr>
          <w:sz w:val="20"/>
          <w:szCs w:val="20"/>
        </w:rPr>
      </w:pPr>
    </w:p>
    <w:p w:rsidRPr="008870F5" w:rsidR="00D664BC" w:rsidP="007D7E52" w:rsidRDefault="00012920" w14:paraId="23EE787E" w14:textId="77777777">
      <w:pPr>
        <w:pStyle w:val="ListParagraph"/>
        <w:ind w:left="360"/>
        <w:rPr>
          <w:sz w:val="20"/>
          <w:szCs w:val="20"/>
        </w:rPr>
      </w:pPr>
      <w:r>
        <w:rPr>
          <w:sz w:val="20"/>
          <w:szCs w:val="20"/>
        </w:rPr>
        <w:t>Westat</w:t>
      </w:r>
    </w:p>
    <w:p w:rsidRPr="008870F5" w:rsidR="00D664BC" w:rsidP="007D7E52" w:rsidRDefault="00D664BC" w14:paraId="0E9145D4" w14:textId="77777777">
      <w:pPr>
        <w:pStyle w:val="ListParagraph"/>
        <w:ind w:left="360"/>
        <w:rPr>
          <w:sz w:val="20"/>
          <w:szCs w:val="20"/>
        </w:rPr>
      </w:pPr>
      <w:r w:rsidRPr="008870F5">
        <w:rPr>
          <w:sz w:val="20"/>
          <w:szCs w:val="20"/>
        </w:rPr>
        <w:t>Kerry Levin, Project Manager</w:t>
      </w:r>
      <w:r w:rsidRPr="008870F5" w:rsidR="00863A7B">
        <w:rPr>
          <w:sz w:val="20"/>
          <w:szCs w:val="20"/>
        </w:rPr>
        <w:t>, 301-294-3928</w:t>
      </w:r>
    </w:p>
    <w:p w:rsidRPr="008870F5" w:rsidR="00863A7B" w:rsidP="007D7E52" w:rsidRDefault="00863A7B" w14:paraId="76309780" w14:textId="77777777">
      <w:pPr>
        <w:pStyle w:val="ListParagraph"/>
        <w:ind w:left="360"/>
        <w:rPr>
          <w:sz w:val="20"/>
          <w:szCs w:val="20"/>
        </w:rPr>
      </w:pPr>
      <w:r w:rsidRPr="008870F5">
        <w:rPr>
          <w:sz w:val="20"/>
          <w:szCs w:val="20"/>
        </w:rPr>
        <w:t>Jocelyn Newsome, Research Analyst</w:t>
      </w:r>
    </w:p>
    <w:p w:rsidRPr="008870F5" w:rsidR="00D664BC" w:rsidP="007D7E52" w:rsidRDefault="00D664BC" w14:paraId="41310043" w14:textId="77777777">
      <w:pPr>
        <w:pStyle w:val="ListParagraph"/>
        <w:ind w:left="360"/>
        <w:rPr>
          <w:sz w:val="20"/>
          <w:szCs w:val="20"/>
        </w:rPr>
      </w:pPr>
      <w:r w:rsidRPr="008870F5">
        <w:rPr>
          <w:sz w:val="20"/>
          <w:szCs w:val="20"/>
        </w:rPr>
        <w:t>Martha Stapleton, Project Manager</w:t>
      </w:r>
    </w:p>
    <w:p w:rsidR="00DE0C56" w:rsidP="007D7E52" w:rsidRDefault="00DE0C56" w14:paraId="3425D0DA" w14:textId="77777777">
      <w:pPr>
        <w:pStyle w:val="ListParagraph"/>
        <w:ind w:left="360"/>
        <w:rPr>
          <w:sz w:val="20"/>
          <w:szCs w:val="20"/>
        </w:rPr>
      </w:pPr>
      <w:r>
        <w:rPr>
          <w:sz w:val="20"/>
          <w:szCs w:val="20"/>
        </w:rPr>
        <w:t>Karen Stein, Project Manager</w:t>
      </w:r>
    </w:p>
    <w:p w:rsidRPr="008870F5" w:rsidR="00534332" w:rsidP="007D7E52" w:rsidRDefault="00832C76" w14:paraId="29C9FC76" w14:textId="77777777">
      <w:pPr>
        <w:pStyle w:val="ListParagraph"/>
        <w:ind w:left="360"/>
        <w:rPr>
          <w:sz w:val="20"/>
          <w:szCs w:val="20"/>
        </w:rPr>
      </w:pPr>
      <w:r>
        <w:rPr>
          <w:sz w:val="20"/>
          <w:szCs w:val="20"/>
        </w:rPr>
        <w:t>Reina Sprankle, Survey Intake Manager</w:t>
      </w:r>
    </w:p>
    <w:p w:rsidRPr="008870F5" w:rsidR="00D664BC" w:rsidP="007D7E52" w:rsidRDefault="00D664BC" w14:paraId="44E6F65C" w14:textId="77777777">
      <w:pPr>
        <w:pStyle w:val="ListParagraph"/>
        <w:ind w:left="360"/>
        <w:rPr>
          <w:sz w:val="20"/>
          <w:szCs w:val="20"/>
        </w:rPr>
      </w:pPr>
      <w:r w:rsidRPr="008870F5">
        <w:rPr>
          <w:sz w:val="20"/>
          <w:szCs w:val="20"/>
        </w:rPr>
        <w:t>Statistic</w:t>
      </w:r>
      <w:r w:rsidRPr="008870F5" w:rsidR="008102AD">
        <w:rPr>
          <w:sz w:val="20"/>
          <w:szCs w:val="20"/>
        </w:rPr>
        <w:t>al Design and Analysis</w:t>
      </w:r>
      <w:r w:rsidRPr="008870F5">
        <w:rPr>
          <w:sz w:val="20"/>
          <w:szCs w:val="20"/>
        </w:rPr>
        <w:t>:</w:t>
      </w:r>
    </w:p>
    <w:p w:rsidRPr="008870F5" w:rsidR="00286751" w:rsidP="007D7E52" w:rsidRDefault="00D664BC" w14:paraId="6B8609CD" w14:textId="77777777">
      <w:pPr>
        <w:pStyle w:val="ListParagraph"/>
        <w:ind w:left="360"/>
        <w:rPr>
          <w:sz w:val="20"/>
          <w:szCs w:val="20"/>
        </w:rPr>
      </w:pPr>
      <w:r w:rsidRPr="008870F5">
        <w:rPr>
          <w:sz w:val="20"/>
          <w:szCs w:val="20"/>
        </w:rPr>
        <w:t>Mike Brick, Statistician</w:t>
      </w:r>
    </w:p>
    <w:p w:rsidRPr="008870F5" w:rsidR="00A17890" w:rsidP="007D7E52" w:rsidRDefault="00A17890" w14:paraId="1032EA46" w14:textId="77777777">
      <w:pPr>
        <w:pStyle w:val="ListParagraph"/>
        <w:ind w:left="360"/>
        <w:rPr>
          <w:sz w:val="20"/>
          <w:szCs w:val="20"/>
        </w:rPr>
      </w:pPr>
    </w:p>
    <w:p w:rsidRPr="00012920" w:rsidR="001647C7" w:rsidP="007D7E52" w:rsidRDefault="00012920" w14:paraId="0C522905" w14:textId="77777777">
      <w:pPr>
        <w:pStyle w:val="ListParagraph"/>
        <w:ind w:left="360"/>
        <w:rPr>
          <w:bCs/>
          <w:sz w:val="20"/>
          <w:szCs w:val="20"/>
        </w:rPr>
      </w:pPr>
      <w:r w:rsidRPr="00012920">
        <w:rPr>
          <w:bCs/>
          <w:sz w:val="20"/>
          <w:szCs w:val="20"/>
        </w:rPr>
        <w:t>Fors Marsh Group</w:t>
      </w:r>
    </w:p>
    <w:p w:rsidRPr="009D2A83" w:rsidR="009D2A83" w:rsidP="007D7E52" w:rsidRDefault="009D2A83" w14:paraId="46FC5106" w14:textId="77777777">
      <w:pPr>
        <w:widowControl/>
        <w:autoSpaceDE/>
        <w:autoSpaceDN/>
        <w:adjustRightInd/>
        <w:ind w:left="360"/>
        <w:rPr>
          <w:rFonts w:eastAsia="Calibri"/>
          <w:sz w:val="20"/>
          <w:szCs w:val="20"/>
        </w:rPr>
      </w:pPr>
      <w:r w:rsidRPr="009D2A83">
        <w:rPr>
          <w:rFonts w:eastAsia="Calibri"/>
          <w:sz w:val="20"/>
          <w:szCs w:val="20"/>
        </w:rPr>
        <w:t>Justin Baer</w:t>
      </w:r>
      <w:r w:rsidR="00E70C4B">
        <w:rPr>
          <w:rFonts w:eastAsia="Calibri"/>
          <w:sz w:val="20"/>
          <w:szCs w:val="20"/>
        </w:rPr>
        <w:t xml:space="preserve">, Project Manager, </w:t>
      </w:r>
      <w:r w:rsidRPr="009D2A83">
        <w:rPr>
          <w:rFonts w:eastAsia="Calibri"/>
          <w:sz w:val="20"/>
          <w:szCs w:val="20"/>
        </w:rPr>
        <w:t>571-444-1781</w:t>
      </w:r>
    </w:p>
    <w:p w:rsidRPr="009D2A83" w:rsidR="009D2A83" w:rsidP="007D7E52" w:rsidRDefault="009D2A83" w14:paraId="58BD3376" w14:textId="77777777">
      <w:pPr>
        <w:widowControl/>
        <w:autoSpaceDE/>
        <w:autoSpaceDN/>
        <w:adjustRightInd/>
        <w:ind w:left="360"/>
        <w:rPr>
          <w:rFonts w:eastAsia="Calibri"/>
          <w:sz w:val="20"/>
          <w:szCs w:val="20"/>
        </w:rPr>
      </w:pPr>
      <w:r w:rsidRPr="009D2A83">
        <w:rPr>
          <w:rFonts w:eastAsia="Calibri"/>
          <w:sz w:val="20"/>
          <w:szCs w:val="20"/>
        </w:rPr>
        <w:t xml:space="preserve">Kimberly </w:t>
      </w:r>
      <w:proofErr w:type="spellStart"/>
      <w:r w:rsidRPr="009D2A83">
        <w:rPr>
          <w:rFonts w:eastAsia="Calibri"/>
          <w:sz w:val="20"/>
          <w:szCs w:val="20"/>
        </w:rPr>
        <w:t>Wyborski</w:t>
      </w:r>
      <w:proofErr w:type="spellEnd"/>
      <w:r w:rsidR="00E70C4B">
        <w:rPr>
          <w:rFonts w:eastAsia="Calibri"/>
          <w:sz w:val="20"/>
          <w:szCs w:val="20"/>
        </w:rPr>
        <w:t>, Project Lead</w:t>
      </w:r>
    </w:p>
    <w:p w:rsidR="00012920" w:rsidP="0068062D" w:rsidRDefault="00012920" w14:paraId="6D6C1F5D" w14:textId="77777777">
      <w:pPr>
        <w:pStyle w:val="ListParagraph"/>
        <w:ind w:left="0"/>
        <w:rPr>
          <w:b/>
          <w:bCs/>
          <w:sz w:val="20"/>
          <w:szCs w:val="20"/>
        </w:rPr>
      </w:pPr>
    </w:p>
    <w:p w:rsidR="001647C7" w:rsidP="0068062D" w:rsidRDefault="001647C7" w14:paraId="67FC2965" w14:textId="77777777">
      <w:pPr>
        <w:pStyle w:val="ListParagraph"/>
        <w:ind w:left="0"/>
        <w:rPr>
          <w:b/>
          <w:bCs/>
          <w:sz w:val="20"/>
          <w:szCs w:val="20"/>
        </w:rPr>
      </w:pPr>
    </w:p>
    <w:p w:rsidR="00E40FB5" w:rsidP="0068062D" w:rsidRDefault="00E40FB5" w14:paraId="4FCCF636" w14:textId="77777777">
      <w:pPr>
        <w:pStyle w:val="ListParagraph"/>
        <w:ind w:left="0"/>
        <w:rPr>
          <w:b/>
          <w:bCs/>
          <w:sz w:val="20"/>
          <w:szCs w:val="20"/>
        </w:rPr>
      </w:pPr>
      <w:r>
        <w:rPr>
          <w:b/>
          <w:bCs/>
          <w:sz w:val="20"/>
          <w:szCs w:val="20"/>
        </w:rPr>
        <w:t xml:space="preserve">APPENDIX A </w:t>
      </w:r>
      <w:r w:rsidR="00B520CB">
        <w:rPr>
          <w:b/>
          <w:bCs/>
          <w:sz w:val="20"/>
          <w:szCs w:val="20"/>
        </w:rPr>
        <w:t>– C</w:t>
      </w:r>
      <w:r>
        <w:rPr>
          <w:b/>
          <w:bCs/>
          <w:sz w:val="20"/>
          <w:szCs w:val="20"/>
        </w:rPr>
        <w:t>itations</w:t>
      </w:r>
    </w:p>
    <w:p w:rsidR="00E40FB5" w:rsidP="0068062D" w:rsidRDefault="00E40FB5" w14:paraId="050E4C63" w14:textId="77777777">
      <w:pPr>
        <w:pStyle w:val="ListParagraph"/>
        <w:ind w:left="0"/>
        <w:rPr>
          <w:b/>
          <w:bCs/>
          <w:sz w:val="20"/>
          <w:szCs w:val="20"/>
        </w:rPr>
      </w:pPr>
    </w:p>
    <w:p w:rsidRPr="008870F5" w:rsidR="00E40FB5" w:rsidP="00E40FB5" w:rsidRDefault="002C24DA" w14:paraId="1095327B" w14:textId="77777777">
      <w:pPr>
        <w:shd w:val="clear" w:color="auto" w:fill="FFFFFF"/>
        <w:textAlignment w:val="top"/>
        <w:outlineLvl w:val="1"/>
        <w:rPr>
          <w:bCs/>
          <w:kern w:val="36"/>
          <w:sz w:val="20"/>
          <w:szCs w:val="20"/>
        </w:rPr>
      </w:pPr>
      <w:hyperlink w:tooltip="View all posts by American Academy of Political and Social Science" w:history="1" r:id="rId14">
        <w:r w:rsidRPr="008870F5" w:rsidR="00E40FB5">
          <w:rPr>
            <w:rStyle w:val="author3"/>
            <w:b w:val="0"/>
            <w:sz w:val="20"/>
            <w:szCs w:val="20"/>
          </w:rPr>
          <w:t>American Academy of Political and Social Science</w:t>
        </w:r>
      </w:hyperlink>
      <w:r w:rsidRPr="008870F5" w:rsidR="00E40FB5">
        <w:rPr>
          <w:rStyle w:val="author3"/>
          <w:b w:val="0"/>
          <w:sz w:val="20"/>
          <w:szCs w:val="20"/>
        </w:rPr>
        <w:t>, “</w:t>
      </w:r>
      <w:r w:rsidRPr="008870F5" w:rsidR="00E40FB5">
        <w:rPr>
          <w:bCs/>
          <w:kern w:val="36"/>
          <w:sz w:val="20"/>
          <w:szCs w:val="20"/>
        </w:rPr>
        <w:t xml:space="preserve">The Nonresponse Challenge to Surveys and Statistics” (May 13, 2013), </w:t>
      </w:r>
      <w:hyperlink w:history="1" r:id="rId15">
        <w:r w:rsidRPr="008870F5" w:rsidR="00E40FB5">
          <w:rPr>
            <w:rStyle w:val="Hyperlink"/>
            <w:bCs/>
            <w:color w:val="auto"/>
            <w:kern w:val="36"/>
            <w:sz w:val="20"/>
            <w:szCs w:val="20"/>
          </w:rPr>
          <w:t>http://www.socialsciencespace.com/2013/05/the-nonresponse-challenge-to-surveys-and-statistics/</w:t>
        </w:r>
      </w:hyperlink>
    </w:p>
    <w:p w:rsidRPr="008870F5" w:rsidR="00E40FB5" w:rsidP="00E40FB5" w:rsidRDefault="00E40FB5" w14:paraId="46BE5B38" w14:textId="77777777">
      <w:pPr>
        <w:rPr>
          <w:sz w:val="20"/>
          <w:szCs w:val="20"/>
        </w:rPr>
      </w:pPr>
    </w:p>
    <w:p w:rsidRPr="008870F5" w:rsidR="00E40FB5" w:rsidP="00E40FB5" w:rsidRDefault="00E40FB5" w14:paraId="0FBE5893" w14:textId="77777777">
      <w:pPr>
        <w:rPr>
          <w:sz w:val="20"/>
          <w:szCs w:val="20"/>
        </w:rPr>
      </w:pPr>
      <w:r w:rsidRPr="008870F5">
        <w:rPr>
          <w:sz w:val="20"/>
          <w:szCs w:val="20"/>
        </w:rPr>
        <w:t xml:space="preserve">Church, A.H., “Estimating the Effect of Incentives on Mail Survey Response Rates: A Meta-Analysis”, </w:t>
      </w:r>
      <w:r w:rsidRPr="008870F5">
        <w:rPr>
          <w:i/>
          <w:sz w:val="20"/>
          <w:szCs w:val="20"/>
        </w:rPr>
        <w:t>Public Opinion Quarterly</w:t>
      </w:r>
      <w:r w:rsidRPr="008870F5">
        <w:rPr>
          <w:sz w:val="20"/>
          <w:szCs w:val="20"/>
        </w:rPr>
        <w:t>, 57: 62-79 (1993).</w:t>
      </w:r>
    </w:p>
    <w:p w:rsidRPr="008870F5" w:rsidR="00E40FB5" w:rsidP="00E40FB5" w:rsidRDefault="00E40FB5" w14:paraId="1458C217" w14:textId="77777777">
      <w:pPr>
        <w:rPr>
          <w:sz w:val="20"/>
          <w:szCs w:val="20"/>
        </w:rPr>
      </w:pPr>
    </w:p>
    <w:p w:rsidRPr="008870F5" w:rsidR="00E40FB5" w:rsidP="00E40FB5" w:rsidRDefault="00E40FB5" w14:paraId="2C1AB929" w14:textId="77777777">
      <w:pPr>
        <w:spacing w:after="200"/>
        <w:rPr>
          <w:sz w:val="20"/>
          <w:szCs w:val="20"/>
        </w:rPr>
      </w:pPr>
      <w:r w:rsidRPr="008870F5">
        <w:rPr>
          <w:sz w:val="20"/>
          <w:szCs w:val="20"/>
        </w:rPr>
        <w:t xml:space="preserve">Dillman, D., Smyth, J., and Christian, L., </w:t>
      </w:r>
      <w:r w:rsidRPr="008870F5">
        <w:rPr>
          <w:i/>
          <w:sz w:val="20"/>
          <w:szCs w:val="20"/>
        </w:rPr>
        <w:t>Internet, Mail, and Mixed-Mode Surveys: The Tailored Design Method,</w:t>
      </w:r>
      <w:r w:rsidRPr="008870F5">
        <w:rPr>
          <w:sz w:val="20"/>
          <w:szCs w:val="20"/>
        </w:rPr>
        <w:t xml:space="preserve"> Hoboken, NJ: John Wiley &amp; Sons (2008).</w:t>
      </w:r>
    </w:p>
    <w:p w:rsidRPr="008870F5" w:rsidR="00E40FB5" w:rsidP="00E40FB5" w:rsidRDefault="00E40FB5" w14:paraId="183E1457" w14:textId="77777777">
      <w:pPr>
        <w:spacing w:after="200"/>
        <w:rPr>
          <w:sz w:val="20"/>
          <w:szCs w:val="20"/>
        </w:rPr>
      </w:pPr>
      <w:r w:rsidRPr="008870F5">
        <w:rPr>
          <w:sz w:val="20"/>
          <w:szCs w:val="20"/>
        </w:rPr>
        <w:t xml:space="preserve">Groves, R., Dillman, D., Eltinge, J., and Little, R, </w:t>
      </w:r>
      <w:r w:rsidRPr="008870F5">
        <w:rPr>
          <w:i/>
          <w:sz w:val="20"/>
          <w:szCs w:val="20"/>
        </w:rPr>
        <w:t xml:space="preserve">Survey Nonresponse, </w:t>
      </w:r>
      <w:r w:rsidRPr="008870F5">
        <w:rPr>
          <w:sz w:val="20"/>
          <w:szCs w:val="20"/>
        </w:rPr>
        <w:t>New York: John Wiley and Sons (2002).</w:t>
      </w:r>
    </w:p>
    <w:p w:rsidRPr="008870F5" w:rsidR="00E40FB5" w:rsidP="00E40FB5" w:rsidRDefault="00E40FB5" w14:paraId="209F1B29" w14:textId="77777777">
      <w:pPr>
        <w:spacing w:after="200"/>
        <w:rPr>
          <w:sz w:val="20"/>
          <w:szCs w:val="20"/>
        </w:rPr>
      </w:pPr>
      <w:r w:rsidRPr="008870F5">
        <w:rPr>
          <w:sz w:val="20"/>
          <w:szCs w:val="20"/>
        </w:rPr>
        <w:t xml:space="preserve">James, Jeannine M., and Richard Bolstein, ‘‘The Effect of Monetary Incentives and Follow Up Mailings on the Response Rate and Response Quality in Mail Surveys,’’ </w:t>
      </w:r>
      <w:r w:rsidRPr="008870F5">
        <w:rPr>
          <w:i/>
          <w:sz w:val="20"/>
          <w:szCs w:val="20"/>
        </w:rPr>
        <w:t>Public Opinion Quarterly</w:t>
      </w:r>
      <w:r w:rsidRPr="008870F5">
        <w:rPr>
          <w:sz w:val="20"/>
          <w:szCs w:val="20"/>
        </w:rPr>
        <w:t xml:space="preserve"> 54:346–61 (1990).</w:t>
      </w:r>
    </w:p>
    <w:p w:rsidRPr="008870F5" w:rsidR="00E40FB5" w:rsidP="00E40FB5" w:rsidRDefault="00E40FB5" w14:paraId="12E1A74C" w14:textId="77777777">
      <w:pPr>
        <w:spacing w:after="200"/>
        <w:rPr>
          <w:i/>
          <w:sz w:val="20"/>
          <w:szCs w:val="20"/>
        </w:rPr>
      </w:pPr>
      <w:r w:rsidRPr="008870F5">
        <w:rPr>
          <w:sz w:val="20"/>
          <w:szCs w:val="20"/>
        </w:rPr>
        <w:t xml:space="preserve">Millar, M.M. and Dillman, D.A., “Improving Response to Web and Mixed-Mode Surveys”, </w:t>
      </w:r>
      <w:r w:rsidRPr="008870F5">
        <w:rPr>
          <w:i/>
          <w:sz w:val="20"/>
          <w:szCs w:val="20"/>
        </w:rPr>
        <w:t>Public Opinion Quarterly</w:t>
      </w:r>
      <w:r w:rsidRPr="008870F5">
        <w:rPr>
          <w:sz w:val="20"/>
          <w:szCs w:val="20"/>
        </w:rPr>
        <w:t>, 1-21 (2011).</w:t>
      </w:r>
    </w:p>
    <w:p w:rsidR="007B5838" w:rsidP="00E40FB5" w:rsidRDefault="007B5838" w14:paraId="002D2677" w14:textId="77777777">
      <w:pPr>
        <w:spacing w:after="200"/>
        <w:rPr>
          <w:sz w:val="20"/>
          <w:szCs w:val="20"/>
        </w:rPr>
      </w:pPr>
    </w:p>
    <w:p w:rsidRPr="008870F5" w:rsidR="00E40FB5" w:rsidP="00E40FB5" w:rsidRDefault="00E40FB5" w14:paraId="75DBD94F" w14:textId="08ECD17C">
      <w:pPr>
        <w:spacing w:after="200"/>
        <w:rPr>
          <w:sz w:val="20"/>
          <w:szCs w:val="20"/>
        </w:rPr>
      </w:pPr>
      <w:r w:rsidRPr="008870F5">
        <w:rPr>
          <w:sz w:val="20"/>
          <w:szCs w:val="20"/>
        </w:rPr>
        <w:lastRenderedPageBreak/>
        <w:t xml:space="preserve">Petrolia, D.R. and Bhattacharjee, S., “Revisiting Incentive Effects: Evidence from a Random-Sample Mail Survey on Consumer Preferences for Fuel Ethanol”, </w:t>
      </w:r>
      <w:r w:rsidRPr="008870F5">
        <w:rPr>
          <w:i/>
          <w:sz w:val="20"/>
          <w:szCs w:val="20"/>
        </w:rPr>
        <w:t>Public Opinion Quarterly</w:t>
      </w:r>
      <w:r w:rsidRPr="008870F5">
        <w:rPr>
          <w:sz w:val="20"/>
          <w:szCs w:val="20"/>
        </w:rPr>
        <w:t>, 73:537-550 (2009).</w:t>
      </w:r>
    </w:p>
    <w:p w:rsidRPr="008870F5" w:rsidR="00E40FB5" w:rsidP="00E40FB5" w:rsidRDefault="00E40FB5" w14:paraId="0E2CAF94" w14:textId="77777777">
      <w:pPr>
        <w:spacing w:after="200"/>
        <w:rPr>
          <w:sz w:val="20"/>
          <w:szCs w:val="20"/>
        </w:rPr>
      </w:pPr>
      <w:r w:rsidRPr="008870F5">
        <w:rPr>
          <w:sz w:val="20"/>
          <w:szCs w:val="20"/>
        </w:rPr>
        <w:t xml:space="preserve">Shaw, M.J. et al, “The Use of Monetary Incentives in a Community Survey: Impact on Response Rates, Data Quality, and Cost”, </w:t>
      </w:r>
      <w:r w:rsidRPr="008870F5">
        <w:rPr>
          <w:i/>
          <w:sz w:val="20"/>
          <w:szCs w:val="20"/>
        </w:rPr>
        <w:t>Health Services Research</w:t>
      </w:r>
      <w:r w:rsidRPr="008870F5">
        <w:rPr>
          <w:sz w:val="20"/>
          <w:szCs w:val="20"/>
        </w:rPr>
        <w:t>, 35: 1339-1346 (2001).</w:t>
      </w:r>
    </w:p>
    <w:p w:rsidRPr="008870F5" w:rsidR="00E40FB5" w:rsidP="00E40FB5" w:rsidRDefault="00E40FB5" w14:paraId="63586840" w14:textId="77777777">
      <w:pPr>
        <w:spacing w:after="200"/>
        <w:rPr>
          <w:sz w:val="20"/>
          <w:szCs w:val="20"/>
        </w:rPr>
      </w:pPr>
      <w:r w:rsidRPr="008870F5">
        <w:rPr>
          <w:sz w:val="20"/>
          <w:szCs w:val="20"/>
        </w:rPr>
        <w:t xml:space="preserve">Shettle, C. and Mooney, G., “Evaluation of Using Monetary Incentives in a Government Survey”, Mathematics Policy Research, </w:t>
      </w:r>
      <w:r w:rsidRPr="008870F5">
        <w:rPr>
          <w:i/>
          <w:sz w:val="20"/>
          <w:szCs w:val="20"/>
        </w:rPr>
        <w:t>National Science Foundation</w:t>
      </w:r>
      <w:r w:rsidRPr="008870F5">
        <w:rPr>
          <w:sz w:val="20"/>
          <w:szCs w:val="20"/>
        </w:rPr>
        <w:t xml:space="preserve"> (1999).</w:t>
      </w:r>
    </w:p>
    <w:p w:rsidRPr="008870F5" w:rsidR="00E40FB5" w:rsidP="00E40FB5" w:rsidRDefault="00E40FB5" w14:paraId="51A454E3" w14:textId="77777777">
      <w:pPr>
        <w:spacing w:after="200"/>
        <w:rPr>
          <w:sz w:val="20"/>
          <w:szCs w:val="20"/>
        </w:rPr>
      </w:pPr>
      <w:r w:rsidRPr="008870F5">
        <w:rPr>
          <w:sz w:val="20"/>
          <w:szCs w:val="20"/>
        </w:rPr>
        <w:t xml:space="preserve">Teisl, M.F., Roe, B. and Vayda, M., “Incentive Effects on Response Rates, Data Quality, and Survey Administration Costs”, </w:t>
      </w:r>
      <w:r w:rsidRPr="008870F5">
        <w:rPr>
          <w:i/>
          <w:sz w:val="20"/>
          <w:szCs w:val="20"/>
        </w:rPr>
        <w:t>International Journal of Public Opinion Research</w:t>
      </w:r>
      <w:r w:rsidRPr="008870F5">
        <w:rPr>
          <w:sz w:val="20"/>
          <w:szCs w:val="20"/>
        </w:rPr>
        <w:t xml:space="preserve"> 18 (2005).</w:t>
      </w:r>
    </w:p>
    <w:p w:rsidR="00E40FB5" w:rsidP="00E40FB5" w:rsidRDefault="00E40FB5" w14:paraId="2859690D" w14:textId="77777777">
      <w:r w:rsidRPr="008870F5">
        <w:rPr>
          <w:sz w:val="20"/>
          <w:szCs w:val="20"/>
        </w:rPr>
        <w:t xml:space="preserve">Trussell, N. and Lavrakas, P.J., “The Influence of Incremental Increases in Token Cash Incentives on Mail Survey Response: Is there an Optimal Amount?” </w:t>
      </w:r>
      <w:r w:rsidRPr="008870F5">
        <w:rPr>
          <w:i/>
          <w:sz w:val="20"/>
          <w:szCs w:val="20"/>
        </w:rPr>
        <w:t>Public Opinion Quarterly</w:t>
      </w:r>
      <w:r w:rsidRPr="008870F5">
        <w:rPr>
          <w:sz w:val="20"/>
          <w:szCs w:val="20"/>
        </w:rPr>
        <w:t xml:space="preserve"> 68: 349-367 (2004)</w:t>
      </w:r>
    </w:p>
    <w:p w:rsidR="00E40FB5" w:rsidP="0068062D" w:rsidRDefault="00E40FB5" w14:paraId="091FD05F" w14:textId="77777777">
      <w:pPr>
        <w:pStyle w:val="ListParagraph"/>
        <w:ind w:left="0"/>
        <w:rPr>
          <w:b/>
          <w:bCs/>
          <w:sz w:val="20"/>
          <w:szCs w:val="20"/>
        </w:rPr>
      </w:pPr>
    </w:p>
    <w:sectPr w:rsidR="00E40FB5" w:rsidSect="00950FBE">
      <w:pgSz w:w="12240" w:h="15840"/>
      <w:pgMar w:top="1296" w:right="1440" w:bottom="1008" w:left="1440" w:header="1080" w:footer="6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EC0FF" w14:textId="77777777" w:rsidR="002C24DA" w:rsidRDefault="002C24DA">
      <w:r>
        <w:separator/>
      </w:r>
    </w:p>
  </w:endnote>
  <w:endnote w:type="continuationSeparator" w:id="0">
    <w:p w14:paraId="507C5F76" w14:textId="77777777" w:rsidR="002C24DA" w:rsidRDefault="002C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495F" w14:textId="77777777" w:rsidR="002C24DA" w:rsidRDefault="002C24DA">
    <w:pPr>
      <w:pStyle w:val="Footer"/>
      <w:jc w:val="center"/>
    </w:pPr>
    <w:r>
      <w:fldChar w:fldCharType="begin"/>
    </w:r>
    <w:r>
      <w:instrText xml:space="preserve"> PAGE   \* MERGEFORMAT </w:instrText>
    </w:r>
    <w:r>
      <w:fldChar w:fldCharType="separate"/>
    </w:r>
    <w:r>
      <w:rPr>
        <w:noProof/>
      </w:rPr>
      <w:t>2</w:t>
    </w:r>
    <w:r>
      <w:rPr>
        <w:noProof/>
      </w:rPr>
      <w:fldChar w:fldCharType="end"/>
    </w:r>
  </w:p>
  <w:p w14:paraId="1D26A997" w14:textId="77777777" w:rsidR="002C24DA" w:rsidRPr="00427A81" w:rsidRDefault="002C24DA" w:rsidP="00427A81">
    <w:pPr>
      <w:tabs>
        <w:tab w:val="right" w:pos="9360"/>
      </w:tabs>
      <w:rPr>
        <w:rFonts w:ascii="Arial Narrow" w:hAnsi="Arial Narrow"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0C77" w14:textId="77777777" w:rsidR="002C24DA" w:rsidRDefault="002C24DA">
      <w:r>
        <w:separator/>
      </w:r>
    </w:p>
  </w:footnote>
  <w:footnote w:type="continuationSeparator" w:id="0">
    <w:p w14:paraId="2E0F2D1D" w14:textId="77777777" w:rsidR="002C24DA" w:rsidRDefault="002C24DA">
      <w:r>
        <w:continuationSeparator/>
      </w:r>
    </w:p>
  </w:footnote>
  <w:footnote w:id="1">
    <w:p w14:paraId="24898C47" w14:textId="77777777" w:rsidR="002C24DA" w:rsidRDefault="002C24DA" w:rsidP="00286751">
      <w:pPr>
        <w:pStyle w:val="FootnoteText"/>
      </w:pPr>
      <w:r w:rsidRPr="004D12AF">
        <w:rPr>
          <w:rStyle w:val="FootnoteReference"/>
          <w:vertAlign w:val="superscript"/>
        </w:rPr>
        <w:footnoteRef/>
      </w:r>
      <w:r>
        <w:rPr>
          <w:rFonts w:ascii="Verdana" w:hAnsi="Verdana"/>
          <w:sz w:val="15"/>
          <w:szCs w:val="15"/>
        </w:rPr>
        <w:t>Willis, G.B. (2005). Cognitive Interviewing: A Tool for Improving Questionnaire Design. Thousand Oaks, CA: Sage Publications.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BF8A8E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856836"/>
    <w:multiLevelType w:val="hybridMultilevel"/>
    <w:tmpl w:val="06124264"/>
    <w:lvl w:ilvl="0" w:tplc="0409000F">
      <w:start w:val="1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1A330D"/>
    <w:multiLevelType w:val="hybridMultilevel"/>
    <w:tmpl w:val="4CE0AC5C"/>
    <w:lvl w:ilvl="0" w:tplc="04090001">
      <w:start w:val="1"/>
      <w:numFmt w:val="bullet"/>
      <w:lvlText w:val=""/>
      <w:lvlJc w:val="left"/>
      <w:pPr>
        <w:tabs>
          <w:tab w:val="num" w:pos="720"/>
        </w:tabs>
        <w:ind w:left="720" w:hanging="360"/>
      </w:pPr>
      <w:rPr>
        <w:rFonts w:ascii="Symbol" w:hAnsi="Symbol"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6F6B08"/>
    <w:multiLevelType w:val="hybridMultilevel"/>
    <w:tmpl w:val="36BE8C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65FF3"/>
    <w:multiLevelType w:val="hybridMultilevel"/>
    <w:tmpl w:val="71624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4F726D"/>
    <w:multiLevelType w:val="hybridMultilevel"/>
    <w:tmpl w:val="6374C756"/>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D1CAD"/>
    <w:multiLevelType w:val="hybridMultilevel"/>
    <w:tmpl w:val="B782854E"/>
    <w:lvl w:ilvl="0" w:tplc="D5F00CBE">
      <w:start w:val="1"/>
      <w:numFmt w:val="decimal"/>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0B64F2"/>
    <w:multiLevelType w:val="hybridMultilevel"/>
    <w:tmpl w:val="C4C8B4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286D01"/>
    <w:multiLevelType w:val="hybridMultilevel"/>
    <w:tmpl w:val="FBA6D4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7C0E0D"/>
    <w:multiLevelType w:val="hybridMultilevel"/>
    <w:tmpl w:val="8F0E8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C624D4"/>
    <w:multiLevelType w:val="hybridMultilevel"/>
    <w:tmpl w:val="7E3C23D0"/>
    <w:lvl w:ilvl="0" w:tplc="0409000F">
      <w:start w:val="1"/>
      <w:numFmt w:val="decimal"/>
      <w:lvlText w:val="%1."/>
      <w:lvlJc w:val="left"/>
      <w:pPr>
        <w:tabs>
          <w:tab w:val="num" w:pos="720"/>
        </w:tabs>
        <w:ind w:left="720" w:hanging="360"/>
      </w:pPr>
      <w:rPr>
        <w:rFonts w:cs="Times New Roman"/>
      </w:rPr>
    </w:lvl>
    <w:lvl w:ilvl="1" w:tplc="60EC9BE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BED3FF0"/>
    <w:multiLevelType w:val="hybridMultilevel"/>
    <w:tmpl w:val="036801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0A119C"/>
    <w:multiLevelType w:val="hybridMultilevel"/>
    <w:tmpl w:val="0F5695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6"/>
  </w:num>
  <w:num w:numId="4">
    <w:abstractNumId w:val="2"/>
  </w:num>
  <w:num w:numId="5">
    <w:abstractNumId w:val="10"/>
  </w:num>
  <w:num w:numId="6">
    <w:abstractNumId w:val="13"/>
  </w:num>
  <w:num w:numId="7">
    <w:abstractNumId w:val="12"/>
  </w:num>
  <w:num w:numId="8">
    <w:abstractNumId w:val="4"/>
  </w:num>
  <w:num w:numId="9">
    <w:abstractNumId w:val="9"/>
  </w:num>
  <w:num w:numId="10">
    <w:abstractNumId w:val="8"/>
  </w:num>
  <w:num w:numId="11">
    <w:abstractNumId w:val="11"/>
  </w:num>
  <w:num w:numId="12">
    <w:abstractNumId w:val="7"/>
  </w:num>
  <w:num w:numId="13">
    <w:abstractNumId w:val="3"/>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215B"/>
    <w:rsid w:val="000031B4"/>
    <w:rsid w:val="00003D64"/>
    <w:rsid w:val="0000463F"/>
    <w:rsid w:val="00005B76"/>
    <w:rsid w:val="00010A75"/>
    <w:rsid w:val="00012920"/>
    <w:rsid w:val="00013F66"/>
    <w:rsid w:val="00014EB5"/>
    <w:rsid w:val="00015CAC"/>
    <w:rsid w:val="000166A7"/>
    <w:rsid w:val="00016A0A"/>
    <w:rsid w:val="00026FB2"/>
    <w:rsid w:val="00027107"/>
    <w:rsid w:val="00031746"/>
    <w:rsid w:val="00034131"/>
    <w:rsid w:val="000342FE"/>
    <w:rsid w:val="00034BB6"/>
    <w:rsid w:val="00035257"/>
    <w:rsid w:val="000356B0"/>
    <w:rsid w:val="00040ADB"/>
    <w:rsid w:val="00042574"/>
    <w:rsid w:val="00043499"/>
    <w:rsid w:val="00043707"/>
    <w:rsid w:val="000457AF"/>
    <w:rsid w:val="00045ABA"/>
    <w:rsid w:val="00051737"/>
    <w:rsid w:val="00052C24"/>
    <w:rsid w:val="0005474F"/>
    <w:rsid w:val="00054A4D"/>
    <w:rsid w:val="00054F31"/>
    <w:rsid w:val="00056E3C"/>
    <w:rsid w:val="00057634"/>
    <w:rsid w:val="00062809"/>
    <w:rsid w:val="00062844"/>
    <w:rsid w:val="00062D47"/>
    <w:rsid w:val="00063823"/>
    <w:rsid w:val="00064C0C"/>
    <w:rsid w:val="00064E0F"/>
    <w:rsid w:val="0007050F"/>
    <w:rsid w:val="00071F8E"/>
    <w:rsid w:val="00072338"/>
    <w:rsid w:val="00074413"/>
    <w:rsid w:val="00076BA1"/>
    <w:rsid w:val="00081C2C"/>
    <w:rsid w:val="0008492C"/>
    <w:rsid w:val="0009089D"/>
    <w:rsid w:val="00094930"/>
    <w:rsid w:val="00097801"/>
    <w:rsid w:val="000A1A58"/>
    <w:rsid w:val="000A228B"/>
    <w:rsid w:val="000B071C"/>
    <w:rsid w:val="000B209F"/>
    <w:rsid w:val="000B4417"/>
    <w:rsid w:val="000B4BAA"/>
    <w:rsid w:val="000B54A5"/>
    <w:rsid w:val="000B5ED6"/>
    <w:rsid w:val="000C186C"/>
    <w:rsid w:val="000C36B4"/>
    <w:rsid w:val="000C68AE"/>
    <w:rsid w:val="000C73FC"/>
    <w:rsid w:val="000C7C67"/>
    <w:rsid w:val="000D1B34"/>
    <w:rsid w:val="000D2976"/>
    <w:rsid w:val="000D2D2C"/>
    <w:rsid w:val="000D5D91"/>
    <w:rsid w:val="000D79FB"/>
    <w:rsid w:val="000E07A6"/>
    <w:rsid w:val="000E0888"/>
    <w:rsid w:val="000E3F22"/>
    <w:rsid w:val="000E5840"/>
    <w:rsid w:val="000E5D69"/>
    <w:rsid w:val="000E6364"/>
    <w:rsid w:val="000E6498"/>
    <w:rsid w:val="000F4DC6"/>
    <w:rsid w:val="000F5C20"/>
    <w:rsid w:val="000F6C4A"/>
    <w:rsid w:val="000F6F5B"/>
    <w:rsid w:val="000F7D65"/>
    <w:rsid w:val="00104405"/>
    <w:rsid w:val="00104AB2"/>
    <w:rsid w:val="0010528A"/>
    <w:rsid w:val="001129A0"/>
    <w:rsid w:val="00113F3E"/>
    <w:rsid w:val="00114296"/>
    <w:rsid w:val="001144E0"/>
    <w:rsid w:val="00114586"/>
    <w:rsid w:val="00115675"/>
    <w:rsid w:val="001236A1"/>
    <w:rsid w:val="001236A4"/>
    <w:rsid w:val="00125C2D"/>
    <w:rsid w:val="00131E6E"/>
    <w:rsid w:val="001326E4"/>
    <w:rsid w:val="001350C4"/>
    <w:rsid w:val="00136F00"/>
    <w:rsid w:val="00137677"/>
    <w:rsid w:val="001403FC"/>
    <w:rsid w:val="001417A2"/>
    <w:rsid w:val="00142495"/>
    <w:rsid w:val="001455EA"/>
    <w:rsid w:val="00145E6F"/>
    <w:rsid w:val="00150F08"/>
    <w:rsid w:val="00156F01"/>
    <w:rsid w:val="0016299F"/>
    <w:rsid w:val="00162E44"/>
    <w:rsid w:val="001647C7"/>
    <w:rsid w:val="00164F07"/>
    <w:rsid w:val="00167587"/>
    <w:rsid w:val="001677E2"/>
    <w:rsid w:val="001703C6"/>
    <w:rsid w:val="00171CAF"/>
    <w:rsid w:val="00171ED1"/>
    <w:rsid w:val="00173DF0"/>
    <w:rsid w:val="00180AA7"/>
    <w:rsid w:val="00186836"/>
    <w:rsid w:val="00187478"/>
    <w:rsid w:val="00192DF8"/>
    <w:rsid w:val="00197F9A"/>
    <w:rsid w:val="001A0DA3"/>
    <w:rsid w:val="001A1782"/>
    <w:rsid w:val="001A178B"/>
    <w:rsid w:val="001A3A0A"/>
    <w:rsid w:val="001A468E"/>
    <w:rsid w:val="001A67F5"/>
    <w:rsid w:val="001A683C"/>
    <w:rsid w:val="001B1A8D"/>
    <w:rsid w:val="001B759C"/>
    <w:rsid w:val="001C0C09"/>
    <w:rsid w:val="001C3119"/>
    <w:rsid w:val="001C3176"/>
    <w:rsid w:val="001C4BCE"/>
    <w:rsid w:val="001C4DEE"/>
    <w:rsid w:val="001C55CF"/>
    <w:rsid w:val="001C5D5E"/>
    <w:rsid w:val="001C7A86"/>
    <w:rsid w:val="001C7EE3"/>
    <w:rsid w:val="001D0DF0"/>
    <w:rsid w:val="001D40E4"/>
    <w:rsid w:val="001D4AF7"/>
    <w:rsid w:val="001D4F88"/>
    <w:rsid w:val="001D6A7C"/>
    <w:rsid w:val="001D759A"/>
    <w:rsid w:val="001E2556"/>
    <w:rsid w:val="001E34B4"/>
    <w:rsid w:val="001E6537"/>
    <w:rsid w:val="001E66C5"/>
    <w:rsid w:val="001E78DA"/>
    <w:rsid w:val="001F018D"/>
    <w:rsid w:val="001F3AB3"/>
    <w:rsid w:val="001F455A"/>
    <w:rsid w:val="001F4FE1"/>
    <w:rsid w:val="00200A74"/>
    <w:rsid w:val="002031ED"/>
    <w:rsid w:val="00207990"/>
    <w:rsid w:val="002111CB"/>
    <w:rsid w:val="00211C2D"/>
    <w:rsid w:val="00215A7B"/>
    <w:rsid w:val="00215D7D"/>
    <w:rsid w:val="00217E1B"/>
    <w:rsid w:val="00221443"/>
    <w:rsid w:val="002214A1"/>
    <w:rsid w:val="00222388"/>
    <w:rsid w:val="00223E23"/>
    <w:rsid w:val="00232682"/>
    <w:rsid w:val="00234637"/>
    <w:rsid w:val="00234A00"/>
    <w:rsid w:val="002376F0"/>
    <w:rsid w:val="00237730"/>
    <w:rsid w:val="002415F8"/>
    <w:rsid w:val="00241B15"/>
    <w:rsid w:val="00242CA8"/>
    <w:rsid w:val="0024456A"/>
    <w:rsid w:val="00250C5E"/>
    <w:rsid w:val="00250FFD"/>
    <w:rsid w:val="002528DA"/>
    <w:rsid w:val="002548BE"/>
    <w:rsid w:val="002602B5"/>
    <w:rsid w:val="00262108"/>
    <w:rsid w:val="0026545B"/>
    <w:rsid w:val="00270B66"/>
    <w:rsid w:val="00272071"/>
    <w:rsid w:val="002776CD"/>
    <w:rsid w:val="002777A6"/>
    <w:rsid w:val="0028167D"/>
    <w:rsid w:val="002860D0"/>
    <w:rsid w:val="0028667A"/>
    <w:rsid w:val="00286751"/>
    <w:rsid w:val="00290710"/>
    <w:rsid w:val="0029480F"/>
    <w:rsid w:val="002979AA"/>
    <w:rsid w:val="002A22C4"/>
    <w:rsid w:val="002A301D"/>
    <w:rsid w:val="002B076B"/>
    <w:rsid w:val="002B122A"/>
    <w:rsid w:val="002B12D4"/>
    <w:rsid w:val="002B1B5C"/>
    <w:rsid w:val="002B2D9B"/>
    <w:rsid w:val="002B3A7B"/>
    <w:rsid w:val="002B4407"/>
    <w:rsid w:val="002B5AB8"/>
    <w:rsid w:val="002C015E"/>
    <w:rsid w:val="002C11AE"/>
    <w:rsid w:val="002C1801"/>
    <w:rsid w:val="002C1ABE"/>
    <w:rsid w:val="002C24DA"/>
    <w:rsid w:val="002C5EFF"/>
    <w:rsid w:val="002C61FB"/>
    <w:rsid w:val="002D0DFD"/>
    <w:rsid w:val="002D22B8"/>
    <w:rsid w:val="002D277C"/>
    <w:rsid w:val="002D5C88"/>
    <w:rsid w:val="002D6743"/>
    <w:rsid w:val="002E6FB2"/>
    <w:rsid w:val="002F2EBD"/>
    <w:rsid w:val="0030044D"/>
    <w:rsid w:val="00301A01"/>
    <w:rsid w:val="00305525"/>
    <w:rsid w:val="00311908"/>
    <w:rsid w:val="00312A97"/>
    <w:rsid w:val="00313B7B"/>
    <w:rsid w:val="00317E67"/>
    <w:rsid w:val="0032582A"/>
    <w:rsid w:val="0032588D"/>
    <w:rsid w:val="00326284"/>
    <w:rsid w:val="00332BE3"/>
    <w:rsid w:val="00333031"/>
    <w:rsid w:val="00334E14"/>
    <w:rsid w:val="003374C6"/>
    <w:rsid w:val="00337EA3"/>
    <w:rsid w:val="00341132"/>
    <w:rsid w:val="00347C95"/>
    <w:rsid w:val="00347E13"/>
    <w:rsid w:val="00347ED5"/>
    <w:rsid w:val="00351276"/>
    <w:rsid w:val="00353E4E"/>
    <w:rsid w:val="003553DC"/>
    <w:rsid w:val="00365057"/>
    <w:rsid w:val="00366A2C"/>
    <w:rsid w:val="00367A09"/>
    <w:rsid w:val="003702F1"/>
    <w:rsid w:val="0038144F"/>
    <w:rsid w:val="00383842"/>
    <w:rsid w:val="003905D3"/>
    <w:rsid w:val="00392703"/>
    <w:rsid w:val="00394E3D"/>
    <w:rsid w:val="003A04DD"/>
    <w:rsid w:val="003A2BDA"/>
    <w:rsid w:val="003A35BE"/>
    <w:rsid w:val="003A3DB4"/>
    <w:rsid w:val="003A47E9"/>
    <w:rsid w:val="003A4AE0"/>
    <w:rsid w:val="003A53F3"/>
    <w:rsid w:val="003A6579"/>
    <w:rsid w:val="003A7BFD"/>
    <w:rsid w:val="003B47E6"/>
    <w:rsid w:val="003B5462"/>
    <w:rsid w:val="003B77CF"/>
    <w:rsid w:val="003C2E4E"/>
    <w:rsid w:val="003C56D4"/>
    <w:rsid w:val="003D0392"/>
    <w:rsid w:val="003D0890"/>
    <w:rsid w:val="003D1ABD"/>
    <w:rsid w:val="003D3DBF"/>
    <w:rsid w:val="003D4F5E"/>
    <w:rsid w:val="003D7FD6"/>
    <w:rsid w:val="003E01C6"/>
    <w:rsid w:val="003E1A8A"/>
    <w:rsid w:val="003E1AD8"/>
    <w:rsid w:val="003E406C"/>
    <w:rsid w:val="003E743E"/>
    <w:rsid w:val="003E7C24"/>
    <w:rsid w:val="003F1164"/>
    <w:rsid w:val="003F164F"/>
    <w:rsid w:val="003F4998"/>
    <w:rsid w:val="003F5ED4"/>
    <w:rsid w:val="003F67D5"/>
    <w:rsid w:val="00402243"/>
    <w:rsid w:val="004029BE"/>
    <w:rsid w:val="00404C6B"/>
    <w:rsid w:val="00404DD9"/>
    <w:rsid w:val="004064C6"/>
    <w:rsid w:val="004170D8"/>
    <w:rsid w:val="00420B4C"/>
    <w:rsid w:val="004227F9"/>
    <w:rsid w:val="00423908"/>
    <w:rsid w:val="004269CE"/>
    <w:rsid w:val="00427191"/>
    <w:rsid w:val="00427A81"/>
    <w:rsid w:val="00430965"/>
    <w:rsid w:val="0043285E"/>
    <w:rsid w:val="00432C2B"/>
    <w:rsid w:val="00434F7E"/>
    <w:rsid w:val="0043505D"/>
    <w:rsid w:val="004353A4"/>
    <w:rsid w:val="004419FC"/>
    <w:rsid w:val="00447AAD"/>
    <w:rsid w:val="004501CD"/>
    <w:rsid w:val="00450367"/>
    <w:rsid w:val="00451D8F"/>
    <w:rsid w:val="00454302"/>
    <w:rsid w:val="00454AAD"/>
    <w:rsid w:val="00455F79"/>
    <w:rsid w:val="00460033"/>
    <w:rsid w:val="004607D7"/>
    <w:rsid w:val="00461567"/>
    <w:rsid w:val="00462EE8"/>
    <w:rsid w:val="00466B13"/>
    <w:rsid w:val="00466B49"/>
    <w:rsid w:val="00466BA6"/>
    <w:rsid w:val="00470138"/>
    <w:rsid w:val="004705AF"/>
    <w:rsid w:val="004727D5"/>
    <w:rsid w:val="00473918"/>
    <w:rsid w:val="00477BCB"/>
    <w:rsid w:val="00477F48"/>
    <w:rsid w:val="004814AB"/>
    <w:rsid w:val="004827D3"/>
    <w:rsid w:val="004838D5"/>
    <w:rsid w:val="00484B77"/>
    <w:rsid w:val="004853C3"/>
    <w:rsid w:val="00491B67"/>
    <w:rsid w:val="004A213E"/>
    <w:rsid w:val="004A3892"/>
    <w:rsid w:val="004A478E"/>
    <w:rsid w:val="004A5FE4"/>
    <w:rsid w:val="004A74AD"/>
    <w:rsid w:val="004A7779"/>
    <w:rsid w:val="004A7EFB"/>
    <w:rsid w:val="004B0DB5"/>
    <w:rsid w:val="004B20BD"/>
    <w:rsid w:val="004B397F"/>
    <w:rsid w:val="004B45D7"/>
    <w:rsid w:val="004B51AA"/>
    <w:rsid w:val="004B7987"/>
    <w:rsid w:val="004C07DE"/>
    <w:rsid w:val="004C21EE"/>
    <w:rsid w:val="004C68D1"/>
    <w:rsid w:val="004C762A"/>
    <w:rsid w:val="004C7CA1"/>
    <w:rsid w:val="004D12AF"/>
    <w:rsid w:val="004D39A0"/>
    <w:rsid w:val="004D43EC"/>
    <w:rsid w:val="004D4803"/>
    <w:rsid w:val="004D50AB"/>
    <w:rsid w:val="004D5A38"/>
    <w:rsid w:val="004D729F"/>
    <w:rsid w:val="004D76D1"/>
    <w:rsid w:val="004E446A"/>
    <w:rsid w:val="004E6557"/>
    <w:rsid w:val="004E72C5"/>
    <w:rsid w:val="004E77F6"/>
    <w:rsid w:val="004F1D72"/>
    <w:rsid w:val="004F34AD"/>
    <w:rsid w:val="004F39AE"/>
    <w:rsid w:val="00501CF9"/>
    <w:rsid w:val="00504B59"/>
    <w:rsid w:val="0050623E"/>
    <w:rsid w:val="005102EC"/>
    <w:rsid w:val="00511919"/>
    <w:rsid w:val="005160FA"/>
    <w:rsid w:val="0052123E"/>
    <w:rsid w:val="0052157C"/>
    <w:rsid w:val="00522046"/>
    <w:rsid w:val="005229D3"/>
    <w:rsid w:val="005229E8"/>
    <w:rsid w:val="005230D1"/>
    <w:rsid w:val="005254C0"/>
    <w:rsid w:val="00527B8B"/>
    <w:rsid w:val="00527EDC"/>
    <w:rsid w:val="0053148B"/>
    <w:rsid w:val="00531847"/>
    <w:rsid w:val="005329CE"/>
    <w:rsid w:val="00533368"/>
    <w:rsid w:val="00534332"/>
    <w:rsid w:val="005349F6"/>
    <w:rsid w:val="005372DC"/>
    <w:rsid w:val="00537D17"/>
    <w:rsid w:val="005401A4"/>
    <w:rsid w:val="005421FF"/>
    <w:rsid w:val="005432A2"/>
    <w:rsid w:val="0054647B"/>
    <w:rsid w:val="00550741"/>
    <w:rsid w:val="00551900"/>
    <w:rsid w:val="005523E1"/>
    <w:rsid w:val="00556C87"/>
    <w:rsid w:val="0056032C"/>
    <w:rsid w:val="005608FC"/>
    <w:rsid w:val="00561A70"/>
    <w:rsid w:val="00561B09"/>
    <w:rsid w:val="00562696"/>
    <w:rsid w:val="0056291C"/>
    <w:rsid w:val="00565B3C"/>
    <w:rsid w:val="00565B3D"/>
    <w:rsid w:val="00566078"/>
    <w:rsid w:val="0057220F"/>
    <w:rsid w:val="00575CF0"/>
    <w:rsid w:val="0057640F"/>
    <w:rsid w:val="0057680F"/>
    <w:rsid w:val="00576872"/>
    <w:rsid w:val="00577660"/>
    <w:rsid w:val="00580B47"/>
    <w:rsid w:val="005829ED"/>
    <w:rsid w:val="00585CCA"/>
    <w:rsid w:val="00585D26"/>
    <w:rsid w:val="005865EE"/>
    <w:rsid w:val="00590621"/>
    <w:rsid w:val="00591512"/>
    <w:rsid w:val="005918A6"/>
    <w:rsid w:val="0059383F"/>
    <w:rsid w:val="005976A4"/>
    <w:rsid w:val="005979B4"/>
    <w:rsid w:val="005A678D"/>
    <w:rsid w:val="005A699D"/>
    <w:rsid w:val="005A7E37"/>
    <w:rsid w:val="005B2CBE"/>
    <w:rsid w:val="005B3F30"/>
    <w:rsid w:val="005B62D1"/>
    <w:rsid w:val="005B6573"/>
    <w:rsid w:val="005C1099"/>
    <w:rsid w:val="005C363C"/>
    <w:rsid w:val="005C37DF"/>
    <w:rsid w:val="005C5EB9"/>
    <w:rsid w:val="005C6823"/>
    <w:rsid w:val="005D2394"/>
    <w:rsid w:val="005D4AEA"/>
    <w:rsid w:val="005E2377"/>
    <w:rsid w:val="005E4599"/>
    <w:rsid w:val="005E69B9"/>
    <w:rsid w:val="005E7DBC"/>
    <w:rsid w:val="005F0C7A"/>
    <w:rsid w:val="005F1501"/>
    <w:rsid w:val="005F277A"/>
    <w:rsid w:val="005F2CBB"/>
    <w:rsid w:val="005F6795"/>
    <w:rsid w:val="005F6CA3"/>
    <w:rsid w:val="005F70AD"/>
    <w:rsid w:val="00606145"/>
    <w:rsid w:val="006069EE"/>
    <w:rsid w:val="00606E02"/>
    <w:rsid w:val="00611EB3"/>
    <w:rsid w:val="00616172"/>
    <w:rsid w:val="00617945"/>
    <w:rsid w:val="00617F5F"/>
    <w:rsid w:val="00621CE2"/>
    <w:rsid w:val="006248D7"/>
    <w:rsid w:val="00626B35"/>
    <w:rsid w:val="00630361"/>
    <w:rsid w:val="00630AFA"/>
    <w:rsid w:val="006327D3"/>
    <w:rsid w:val="006379AD"/>
    <w:rsid w:val="00641A36"/>
    <w:rsid w:val="006423AA"/>
    <w:rsid w:val="006445A9"/>
    <w:rsid w:val="00650B37"/>
    <w:rsid w:val="00652AFF"/>
    <w:rsid w:val="00654DA3"/>
    <w:rsid w:val="00655504"/>
    <w:rsid w:val="00656B16"/>
    <w:rsid w:val="00656BA0"/>
    <w:rsid w:val="0065795B"/>
    <w:rsid w:val="006602E8"/>
    <w:rsid w:val="00660BD4"/>
    <w:rsid w:val="0066114D"/>
    <w:rsid w:val="00662D45"/>
    <w:rsid w:val="00664B9D"/>
    <w:rsid w:val="006652F2"/>
    <w:rsid w:val="00665AD4"/>
    <w:rsid w:val="00670625"/>
    <w:rsid w:val="00670C33"/>
    <w:rsid w:val="00671115"/>
    <w:rsid w:val="00672269"/>
    <w:rsid w:val="00672D96"/>
    <w:rsid w:val="006735AA"/>
    <w:rsid w:val="00674292"/>
    <w:rsid w:val="00675218"/>
    <w:rsid w:val="00675E91"/>
    <w:rsid w:val="00676383"/>
    <w:rsid w:val="00676D8A"/>
    <w:rsid w:val="0068062D"/>
    <w:rsid w:val="00681671"/>
    <w:rsid w:val="00682726"/>
    <w:rsid w:val="006863F9"/>
    <w:rsid w:val="006915AC"/>
    <w:rsid w:val="00691D85"/>
    <w:rsid w:val="006970C5"/>
    <w:rsid w:val="00697898"/>
    <w:rsid w:val="006A1170"/>
    <w:rsid w:val="006A1B0D"/>
    <w:rsid w:val="006A2393"/>
    <w:rsid w:val="006A34CE"/>
    <w:rsid w:val="006B455B"/>
    <w:rsid w:val="006B548A"/>
    <w:rsid w:val="006B71A2"/>
    <w:rsid w:val="006C1A31"/>
    <w:rsid w:val="006C1F14"/>
    <w:rsid w:val="006C2064"/>
    <w:rsid w:val="006C35DD"/>
    <w:rsid w:val="006D0CA2"/>
    <w:rsid w:val="006D1667"/>
    <w:rsid w:val="006D32C9"/>
    <w:rsid w:val="006D4B76"/>
    <w:rsid w:val="006D5008"/>
    <w:rsid w:val="006E1A4A"/>
    <w:rsid w:val="006E2336"/>
    <w:rsid w:val="006E7671"/>
    <w:rsid w:val="006E7B6E"/>
    <w:rsid w:val="006F3B14"/>
    <w:rsid w:val="006F70C0"/>
    <w:rsid w:val="006F7F4B"/>
    <w:rsid w:val="00700D1B"/>
    <w:rsid w:val="0070291D"/>
    <w:rsid w:val="00703CE1"/>
    <w:rsid w:val="00704FAE"/>
    <w:rsid w:val="007053A4"/>
    <w:rsid w:val="0071501F"/>
    <w:rsid w:val="007154D8"/>
    <w:rsid w:val="0072155F"/>
    <w:rsid w:val="00722188"/>
    <w:rsid w:val="00722484"/>
    <w:rsid w:val="00723757"/>
    <w:rsid w:val="007262EA"/>
    <w:rsid w:val="00726E81"/>
    <w:rsid w:val="007309DF"/>
    <w:rsid w:val="00731F87"/>
    <w:rsid w:val="007343CD"/>
    <w:rsid w:val="00740407"/>
    <w:rsid w:val="00740CC6"/>
    <w:rsid w:val="00740CD9"/>
    <w:rsid w:val="0074246F"/>
    <w:rsid w:val="00742480"/>
    <w:rsid w:val="00744E6E"/>
    <w:rsid w:val="007535AF"/>
    <w:rsid w:val="00753EFC"/>
    <w:rsid w:val="00754B87"/>
    <w:rsid w:val="00754F80"/>
    <w:rsid w:val="00762AD3"/>
    <w:rsid w:val="00763447"/>
    <w:rsid w:val="007642C3"/>
    <w:rsid w:val="00772076"/>
    <w:rsid w:val="00773333"/>
    <w:rsid w:val="00773CD0"/>
    <w:rsid w:val="00776462"/>
    <w:rsid w:val="00780053"/>
    <w:rsid w:val="007803FE"/>
    <w:rsid w:val="007854B2"/>
    <w:rsid w:val="00790B59"/>
    <w:rsid w:val="00791A05"/>
    <w:rsid w:val="00793217"/>
    <w:rsid w:val="00793840"/>
    <w:rsid w:val="00794289"/>
    <w:rsid w:val="00795350"/>
    <w:rsid w:val="00795E7F"/>
    <w:rsid w:val="00796625"/>
    <w:rsid w:val="00796C77"/>
    <w:rsid w:val="00797A94"/>
    <w:rsid w:val="00797C90"/>
    <w:rsid w:val="007A0B93"/>
    <w:rsid w:val="007A4184"/>
    <w:rsid w:val="007A43AB"/>
    <w:rsid w:val="007A7CB5"/>
    <w:rsid w:val="007B2EDE"/>
    <w:rsid w:val="007B46FC"/>
    <w:rsid w:val="007B5838"/>
    <w:rsid w:val="007B6D0F"/>
    <w:rsid w:val="007B6FAD"/>
    <w:rsid w:val="007B7653"/>
    <w:rsid w:val="007C7BE1"/>
    <w:rsid w:val="007D0C5E"/>
    <w:rsid w:val="007D2871"/>
    <w:rsid w:val="007D2889"/>
    <w:rsid w:val="007D6396"/>
    <w:rsid w:val="007D6CB2"/>
    <w:rsid w:val="007D7E52"/>
    <w:rsid w:val="007E09FD"/>
    <w:rsid w:val="007E0C0F"/>
    <w:rsid w:val="007E571D"/>
    <w:rsid w:val="007E5CBA"/>
    <w:rsid w:val="007E5EAF"/>
    <w:rsid w:val="007F227A"/>
    <w:rsid w:val="007F3BB0"/>
    <w:rsid w:val="007F6ACC"/>
    <w:rsid w:val="008027C4"/>
    <w:rsid w:val="008045DF"/>
    <w:rsid w:val="008051B1"/>
    <w:rsid w:val="008102AD"/>
    <w:rsid w:val="008112BA"/>
    <w:rsid w:val="00811A6F"/>
    <w:rsid w:val="00812B13"/>
    <w:rsid w:val="00813155"/>
    <w:rsid w:val="008164FE"/>
    <w:rsid w:val="008174DD"/>
    <w:rsid w:val="00824668"/>
    <w:rsid w:val="008311A7"/>
    <w:rsid w:val="00831352"/>
    <w:rsid w:val="008321B4"/>
    <w:rsid w:val="00832C76"/>
    <w:rsid w:val="00833205"/>
    <w:rsid w:val="00833DA4"/>
    <w:rsid w:val="00837733"/>
    <w:rsid w:val="00837A3A"/>
    <w:rsid w:val="0084083C"/>
    <w:rsid w:val="00840F39"/>
    <w:rsid w:val="00841B6B"/>
    <w:rsid w:val="00842365"/>
    <w:rsid w:val="008505B0"/>
    <w:rsid w:val="00850CCA"/>
    <w:rsid w:val="00852740"/>
    <w:rsid w:val="008552D9"/>
    <w:rsid w:val="00856858"/>
    <w:rsid w:val="0086142B"/>
    <w:rsid w:val="00861CED"/>
    <w:rsid w:val="00862A24"/>
    <w:rsid w:val="00863A7B"/>
    <w:rsid w:val="00864121"/>
    <w:rsid w:val="0086788D"/>
    <w:rsid w:val="00867A42"/>
    <w:rsid w:val="00867C54"/>
    <w:rsid w:val="00872B69"/>
    <w:rsid w:val="00873990"/>
    <w:rsid w:val="00875AA0"/>
    <w:rsid w:val="00875F31"/>
    <w:rsid w:val="008817C7"/>
    <w:rsid w:val="00882616"/>
    <w:rsid w:val="00882DB4"/>
    <w:rsid w:val="00883A5C"/>
    <w:rsid w:val="00885BA7"/>
    <w:rsid w:val="008870F5"/>
    <w:rsid w:val="00890057"/>
    <w:rsid w:val="008905E3"/>
    <w:rsid w:val="00892C77"/>
    <w:rsid w:val="008944A9"/>
    <w:rsid w:val="0089457D"/>
    <w:rsid w:val="00896507"/>
    <w:rsid w:val="008A001A"/>
    <w:rsid w:val="008A0A3D"/>
    <w:rsid w:val="008A2CE2"/>
    <w:rsid w:val="008A3375"/>
    <w:rsid w:val="008A6D4D"/>
    <w:rsid w:val="008A7FE9"/>
    <w:rsid w:val="008B2BE3"/>
    <w:rsid w:val="008B2CC1"/>
    <w:rsid w:val="008B40D8"/>
    <w:rsid w:val="008B4FCF"/>
    <w:rsid w:val="008B503E"/>
    <w:rsid w:val="008B53F4"/>
    <w:rsid w:val="008B587D"/>
    <w:rsid w:val="008B5F65"/>
    <w:rsid w:val="008C325F"/>
    <w:rsid w:val="008C46F0"/>
    <w:rsid w:val="008C5351"/>
    <w:rsid w:val="008C53C1"/>
    <w:rsid w:val="008C65F9"/>
    <w:rsid w:val="008D2D40"/>
    <w:rsid w:val="008D4E82"/>
    <w:rsid w:val="008D54A8"/>
    <w:rsid w:val="008D71C5"/>
    <w:rsid w:val="008D7C1E"/>
    <w:rsid w:val="008E04B6"/>
    <w:rsid w:val="008E0973"/>
    <w:rsid w:val="008E5378"/>
    <w:rsid w:val="008E6D1D"/>
    <w:rsid w:val="008F007F"/>
    <w:rsid w:val="008F27F5"/>
    <w:rsid w:val="008F3485"/>
    <w:rsid w:val="009012E3"/>
    <w:rsid w:val="0090214D"/>
    <w:rsid w:val="00905232"/>
    <w:rsid w:val="00910881"/>
    <w:rsid w:val="00910E3E"/>
    <w:rsid w:val="00911707"/>
    <w:rsid w:val="00911924"/>
    <w:rsid w:val="00916A0C"/>
    <w:rsid w:val="00917427"/>
    <w:rsid w:val="00917B76"/>
    <w:rsid w:val="00921F96"/>
    <w:rsid w:val="009238D4"/>
    <w:rsid w:val="00923C6B"/>
    <w:rsid w:val="00924588"/>
    <w:rsid w:val="00926C09"/>
    <w:rsid w:val="00927123"/>
    <w:rsid w:val="00927161"/>
    <w:rsid w:val="00932C70"/>
    <w:rsid w:val="00941603"/>
    <w:rsid w:val="009458DB"/>
    <w:rsid w:val="009478CF"/>
    <w:rsid w:val="0095031E"/>
    <w:rsid w:val="00950FBE"/>
    <w:rsid w:val="00951B31"/>
    <w:rsid w:val="009562CF"/>
    <w:rsid w:val="00963531"/>
    <w:rsid w:val="009666A5"/>
    <w:rsid w:val="009677B2"/>
    <w:rsid w:val="00967800"/>
    <w:rsid w:val="009737FC"/>
    <w:rsid w:val="00973966"/>
    <w:rsid w:val="00973FFE"/>
    <w:rsid w:val="0097466B"/>
    <w:rsid w:val="00975584"/>
    <w:rsid w:val="009769D9"/>
    <w:rsid w:val="009816AA"/>
    <w:rsid w:val="009818CF"/>
    <w:rsid w:val="00983F28"/>
    <w:rsid w:val="009863D7"/>
    <w:rsid w:val="00986FF4"/>
    <w:rsid w:val="009873CC"/>
    <w:rsid w:val="0099073B"/>
    <w:rsid w:val="00991A15"/>
    <w:rsid w:val="00996900"/>
    <w:rsid w:val="009A00B1"/>
    <w:rsid w:val="009A0953"/>
    <w:rsid w:val="009A11EB"/>
    <w:rsid w:val="009A18ED"/>
    <w:rsid w:val="009A27D5"/>
    <w:rsid w:val="009A2D99"/>
    <w:rsid w:val="009A3A5C"/>
    <w:rsid w:val="009A71EB"/>
    <w:rsid w:val="009A769F"/>
    <w:rsid w:val="009A77A0"/>
    <w:rsid w:val="009B064A"/>
    <w:rsid w:val="009B2BC7"/>
    <w:rsid w:val="009B4F63"/>
    <w:rsid w:val="009B51D2"/>
    <w:rsid w:val="009C0BBA"/>
    <w:rsid w:val="009C1EDD"/>
    <w:rsid w:val="009C2CA1"/>
    <w:rsid w:val="009D0812"/>
    <w:rsid w:val="009D235E"/>
    <w:rsid w:val="009D2667"/>
    <w:rsid w:val="009D2A83"/>
    <w:rsid w:val="009D5625"/>
    <w:rsid w:val="009E0D30"/>
    <w:rsid w:val="009E1F03"/>
    <w:rsid w:val="009E2460"/>
    <w:rsid w:val="009E4801"/>
    <w:rsid w:val="009E5E3B"/>
    <w:rsid w:val="009E71C7"/>
    <w:rsid w:val="009E7249"/>
    <w:rsid w:val="009F12CA"/>
    <w:rsid w:val="009F1BF3"/>
    <w:rsid w:val="009F4531"/>
    <w:rsid w:val="00A000E3"/>
    <w:rsid w:val="00A000F6"/>
    <w:rsid w:val="00A00F60"/>
    <w:rsid w:val="00A01B15"/>
    <w:rsid w:val="00A02324"/>
    <w:rsid w:val="00A02C6A"/>
    <w:rsid w:val="00A05196"/>
    <w:rsid w:val="00A11061"/>
    <w:rsid w:val="00A11D19"/>
    <w:rsid w:val="00A133EB"/>
    <w:rsid w:val="00A1392B"/>
    <w:rsid w:val="00A17890"/>
    <w:rsid w:val="00A17D59"/>
    <w:rsid w:val="00A21912"/>
    <w:rsid w:val="00A24AD8"/>
    <w:rsid w:val="00A2660D"/>
    <w:rsid w:val="00A2687B"/>
    <w:rsid w:val="00A3196D"/>
    <w:rsid w:val="00A322F0"/>
    <w:rsid w:val="00A325A6"/>
    <w:rsid w:val="00A36605"/>
    <w:rsid w:val="00A40B98"/>
    <w:rsid w:val="00A443D0"/>
    <w:rsid w:val="00A50011"/>
    <w:rsid w:val="00A511A9"/>
    <w:rsid w:val="00A5268B"/>
    <w:rsid w:val="00A52FD6"/>
    <w:rsid w:val="00A53729"/>
    <w:rsid w:val="00A54AC9"/>
    <w:rsid w:val="00A555A9"/>
    <w:rsid w:val="00A5571D"/>
    <w:rsid w:val="00A55BB2"/>
    <w:rsid w:val="00A56739"/>
    <w:rsid w:val="00A5675F"/>
    <w:rsid w:val="00A57A6F"/>
    <w:rsid w:val="00A717F9"/>
    <w:rsid w:val="00A7300E"/>
    <w:rsid w:val="00A754A7"/>
    <w:rsid w:val="00A76E13"/>
    <w:rsid w:val="00A776AC"/>
    <w:rsid w:val="00A81AC4"/>
    <w:rsid w:val="00A82520"/>
    <w:rsid w:val="00A84A03"/>
    <w:rsid w:val="00A864E5"/>
    <w:rsid w:val="00A9180D"/>
    <w:rsid w:val="00A91A37"/>
    <w:rsid w:val="00A9252B"/>
    <w:rsid w:val="00A94C9A"/>
    <w:rsid w:val="00A95866"/>
    <w:rsid w:val="00A95FC4"/>
    <w:rsid w:val="00AA06D7"/>
    <w:rsid w:val="00AA0E34"/>
    <w:rsid w:val="00AA1E33"/>
    <w:rsid w:val="00AA3421"/>
    <w:rsid w:val="00AA50F7"/>
    <w:rsid w:val="00AA65AC"/>
    <w:rsid w:val="00AB2D5B"/>
    <w:rsid w:val="00AB42BD"/>
    <w:rsid w:val="00AB644C"/>
    <w:rsid w:val="00AB6F3E"/>
    <w:rsid w:val="00AB7BEE"/>
    <w:rsid w:val="00AC4280"/>
    <w:rsid w:val="00AC4B42"/>
    <w:rsid w:val="00AC7BEB"/>
    <w:rsid w:val="00AD12F6"/>
    <w:rsid w:val="00AD3CB7"/>
    <w:rsid w:val="00AD5B3C"/>
    <w:rsid w:val="00AD7CB5"/>
    <w:rsid w:val="00AE1B73"/>
    <w:rsid w:val="00AE2D5B"/>
    <w:rsid w:val="00AE369A"/>
    <w:rsid w:val="00AE41EB"/>
    <w:rsid w:val="00AE6D9B"/>
    <w:rsid w:val="00AE6DEB"/>
    <w:rsid w:val="00AE7516"/>
    <w:rsid w:val="00AE775A"/>
    <w:rsid w:val="00AF2BC5"/>
    <w:rsid w:val="00AF4CB7"/>
    <w:rsid w:val="00B0079A"/>
    <w:rsid w:val="00B01572"/>
    <w:rsid w:val="00B02D50"/>
    <w:rsid w:val="00B11BCD"/>
    <w:rsid w:val="00B12439"/>
    <w:rsid w:val="00B15579"/>
    <w:rsid w:val="00B157D1"/>
    <w:rsid w:val="00B22235"/>
    <w:rsid w:val="00B22415"/>
    <w:rsid w:val="00B2328A"/>
    <w:rsid w:val="00B2358B"/>
    <w:rsid w:val="00B24DE8"/>
    <w:rsid w:val="00B326BE"/>
    <w:rsid w:val="00B36389"/>
    <w:rsid w:val="00B366D4"/>
    <w:rsid w:val="00B378E6"/>
    <w:rsid w:val="00B37EDB"/>
    <w:rsid w:val="00B408C7"/>
    <w:rsid w:val="00B45970"/>
    <w:rsid w:val="00B45CC8"/>
    <w:rsid w:val="00B520BA"/>
    <w:rsid w:val="00B520CB"/>
    <w:rsid w:val="00B5230B"/>
    <w:rsid w:val="00B5242B"/>
    <w:rsid w:val="00B52505"/>
    <w:rsid w:val="00B555C0"/>
    <w:rsid w:val="00B5760E"/>
    <w:rsid w:val="00B605FA"/>
    <w:rsid w:val="00B60C99"/>
    <w:rsid w:val="00B60FF9"/>
    <w:rsid w:val="00B62947"/>
    <w:rsid w:val="00B650EA"/>
    <w:rsid w:val="00B66387"/>
    <w:rsid w:val="00B72ECF"/>
    <w:rsid w:val="00B769F2"/>
    <w:rsid w:val="00B8320F"/>
    <w:rsid w:val="00B83781"/>
    <w:rsid w:val="00B8714C"/>
    <w:rsid w:val="00B9114F"/>
    <w:rsid w:val="00B91B6D"/>
    <w:rsid w:val="00B930EE"/>
    <w:rsid w:val="00B94C7B"/>
    <w:rsid w:val="00B95CB4"/>
    <w:rsid w:val="00B95FCE"/>
    <w:rsid w:val="00BA1C8D"/>
    <w:rsid w:val="00BA1E12"/>
    <w:rsid w:val="00BA1E73"/>
    <w:rsid w:val="00BA2A41"/>
    <w:rsid w:val="00BA4BC6"/>
    <w:rsid w:val="00BA7B8D"/>
    <w:rsid w:val="00BB2D40"/>
    <w:rsid w:val="00BC3076"/>
    <w:rsid w:val="00BC550A"/>
    <w:rsid w:val="00BC5EF3"/>
    <w:rsid w:val="00BC7D3D"/>
    <w:rsid w:val="00BD1FBD"/>
    <w:rsid w:val="00BD2D9D"/>
    <w:rsid w:val="00BD5350"/>
    <w:rsid w:val="00BD562C"/>
    <w:rsid w:val="00BD588B"/>
    <w:rsid w:val="00BD7E3C"/>
    <w:rsid w:val="00BE0092"/>
    <w:rsid w:val="00BE1D7B"/>
    <w:rsid w:val="00BE329F"/>
    <w:rsid w:val="00BF00AA"/>
    <w:rsid w:val="00BF116B"/>
    <w:rsid w:val="00BF370D"/>
    <w:rsid w:val="00BF4029"/>
    <w:rsid w:val="00C01431"/>
    <w:rsid w:val="00C04D2D"/>
    <w:rsid w:val="00C05852"/>
    <w:rsid w:val="00C05909"/>
    <w:rsid w:val="00C07D74"/>
    <w:rsid w:val="00C11A38"/>
    <w:rsid w:val="00C11F1A"/>
    <w:rsid w:val="00C130C9"/>
    <w:rsid w:val="00C16988"/>
    <w:rsid w:val="00C21A56"/>
    <w:rsid w:val="00C230FB"/>
    <w:rsid w:val="00C25479"/>
    <w:rsid w:val="00C3013D"/>
    <w:rsid w:val="00C3074F"/>
    <w:rsid w:val="00C317C9"/>
    <w:rsid w:val="00C319AB"/>
    <w:rsid w:val="00C32F00"/>
    <w:rsid w:val="00C33084"/>
    <w:rsid w:val="00C34244"/>
    <w:rsid w:val="00C34BB0"/>
    <w:rsid w:val="00C3565B"/>
    <w:rsid w:val="00C379F8"/>
    <w:rsid w:val="00C37CD8"/>
    <w:rsid w:val="00C4181B"/>
    <w:rsid w:val="00C43EA7"/>
    <w:rsid w:val="00C457C2"/>
    <w:rsid w:val="00C46995"/>
    <w:rsid w:val="00C52499"/>
    <w:rsid w:val="00C534E4"/>
    <w:rsid w:val="00C5682A"/>
    <w:rsid w:val="00C61300"/>
    <w:rsid w:val="00C713ED"/>
    <w:rsid w:val="00C7202A"/>
    <w:rsid w:val="00C731A9"/>
    <w:rsid w:val="00C7479E"/>
    <w:rsid w:val="00C765AF"/>
    <w:rsid w:val="00C7720F"/>
    <w:rsid w:val="00C77746"/>
    <w:rsid w:val="00C80AA3"/>
    <w:rsid w:val="00C816F3"/>
    <w:rsid w:val="00C82E82"/>
    <w:rsid w:val="00C853EA"/>
    <w:rsid w:val="00C90C7B"/>
    <w:rsid w:val="00C91AE9"/>
    <w:rsid w:val="00C924D4"/>
    <w:rsid w:val="00C9322F"/>
    <w:rsid w:val="00C964C5"/>
    <w:rsid w:val="00CA1A34"/>
    <w:rsid w:val="00CA2E1E"/>
    <w:rsid w:val="00CA3986"/>
    <w:rsid w:val="00CA5FD2"/>
    <w:rsid w:val="00CB0A80"/>
    <w:rsid w:val="00CB42DB"/>
    <w:rsid w:val="00CB49EA"/>
    <w:rsid w:val="00CB5448"/>
    <w:rsid w:val="00CB67E2"/>
    <w:rsid w:val="00CC2EC3"/>
    <w:rsid w:val="00CC47FD"/>
    <w:rsid w:val="00CC574C"/>
    <w:rsid w:val="00CC579B"/>
    <w:rsid w:val="00CD007A"/>
    <w:rsid w:val="00CD0FF3"/>
    <w:rsid w:val="00CD4D53"/>
    <w:rsid w:val="00CE18E7"/>
    <w:rsid w:val="00CE3842"/>
    <w:rsid w:val="00CE5D45"/>
    <w:rsid w:val="00CE72E9"/>
    <w:rsid w:val="00CF4B28"/>
    <w:rsid w:val="00CF75B4"/>
    <w:rsid w:val="00CF7B3D"/>
    <w:rsid w:val="00D00CF3"/>
    <w:rsid w:val="00D01379"/>
    <w:rsid w:val="00D0254B"/>
    <w:rsid w:val="00D025D1"/>
    <w:rsid w:val="00D02FBC"/>
    <w:rsid w:val="00D031BB"/>
    <w:rsid w:val="00D03DEA"/>
    <w:rsid w:val="00D04B59"/>
    <w:rsid w:val="00D04EB5"/>
    <w:rsid w:val="00D05ED9"/>
    <w:rsid w:val="00D0743E"/>
    <w:rsid w:val="00D10ACD"/>
    <w:rsid w:val="00D15672"/>
    <w:rsid w:val="00D248B2"/>
    <w:rsid w:val="00D25FB6"/>
    <w:rsid w:val="00D26ECB"/>
    <w:rsid w:val="00D271F9"/>
    <w:rsid w:val="00D27318"/>
    <w:rsid w:val="00D275D2"/>
    <w:rsid w:val="00D33CDC"/>
    <w:rsid w:val="00D35597"/>
    <w:rsid w:val="00D35D99"/>
    <w:rsid w:val="00D36C11"/>
    <w:rsid w:val="00D37567"/>
    <w:rsid w:val="00D37DB4"/>
    <w:rsid w:val="00D4224B"/>
    <w:rsid w:val="00D434C7"/>
    <w:rsid w:val="00D44A4F"/>
    <w:rsid w:val="00D45DFB"/>
    <w:rsid w:val="00D53E04"/>
    <w:rsid w:val="00D54AE7"/>
    <w:rsid w:val="00D56D94"/>
    <w:rsid w:val="00D57FD3"/>
    <w:rsid w:val="00D60D9E"/>
    <w:rsid w:val="00D6391B"/>
    <w:rsid w:val="00D63E49"/>
    <w:rsid w:val="00D64354"/>
    <w:rsid w:val="00D64F6D"/>
    <w:rsid w:val="00D6563F"/>
    <w:rsid w:val="00D664BC"/>
    <w:rsid w:val="00D72D47"/>
    <w:rsid w:val="00D73D12"/>
    <w:rsid w:val="00D7665F"/>
    <w:rsid w:val="00D81644"/>
    <w:rsid w:val="00D848AC"/>
    <w:rsid w:val="00D86033"/>
    <w:rsid w:val="00D87A68"/>
    <w:rsid w:val="00D920CF"/>
    <w:rsid w:val="00D9369F"/>
    <w:rsid w:val="00D9390D"/>
    <w:rsid w:val="00DA1A9F"/>
    <w:rsid w:val="00DA2FA8"/>
    <w:rsid w:val="00DA3905"/>
    <w:rsid w:val="00DA7688"/>
    <w:rsid w:val="00DA778D"/>
    <w:rsid w:val="00DB0728"/>
    <w:rsid w:val="00DB1C2D"/>
    <w:rsid w:val="00DB1EF1"/>
    <w:rsid w:val="00DB2651"/>
    <w:rsid w:val="00DB539E"/>
    <w:rsid w:val="00DC1BCC"/>
    <w:rsid w:val="00DC3A67"/>
    <w:rsid w:val="00DC5300"/>
    <w:rsid w:val="00DD1214"/>
    <w:rsid w:val="00DD1D3C"/>
    <w:rsid w:val="00DD20A8"/>
    <w:rsid w:val="00DD2DB5"/>
    <w:rsid w:val="00DD32BF"/>
    <w:rsid w:val="00DD3DD0"/>
    <w:rsid w:val="00DD4D34"/>
    <w:rsid w:val="00DD55BE"/>
    <w:rsid w:val="00DD7D77"/>
    <w:rsid w:val="00DE0535"/>
    <w:rsid w:val="00DE074C"/>
    <w:rsid w:val="00DE0C56"/>
    <w:rsid w:val="00DE24E6"/>
    <w:rsid w:val="00DE290D"/>
    <w:rsid w:val="00DE3826"/>
    <w:rsid w:val="00DE5CD0"/>
    <w:rsid w:val="00DF062D"/>
    <w:rsid w:val="00DF1C5D"/>
    <w:rsid w:val="00DF23E7"/>
    <w:rsid w:val="00DF646D"/>
    <w:rsid w:val="00DF7300"/>
    <w:rsid w:val="00E0181E"/>
    <w:rsid w:val="00E01D27"/>
    <w:rsid w:val="00E0270A"/>
    <w:rsid w:val="00E078A3"/>
    <w:rsid w:val="00E10A3A"/>
    <w:rsid w:val="00E1104B"/>
    <w:rsid w:val="00E131C1"/>
    <w:rsid w:val="00E21AB4"/>
    <w:rsid w:val="00E2594C"/>
    <w:rsid w:val="00E26B50"/>
    <w:rsid w:val="00E27032"/>
    <w:rsid w:val="00E30A47"/>
    <w:rsid w:val="00E31457"/>
    <w:rsid w:val="00E31E25"/>
    <w:rsid w:val="00E32509"/>
    <w:rsid w:val="00E3280D"/>
    <w:rsid w:val="00E32E42"/>
    <w:rsid w:val="00E34489"/>
    <w:rsid w:val="00E35226"/>
    <w:rsid w:val="00E40316"/>
    <w:rsid w:val="00E40FB5"/>
    <w:rsid w:val="00E42119"/>
    <w:rsid w:val="00E42975"/>
    <w:rsid w:val="00E42A28"/>
    <w:rsid w:val="00E479AC"/>
    <w:rsid w:val="00E501C1"/>
    <w:rsid w:val="00E52425"/>
    <w:rsid w:val="00E55028"/>
    <w:rsid w:val="00E55B66"/>
    <w:rsid w:val="00E6018F"/>
    <w:rsid w:val="00E6177F"/>
    <w:rsid w:val="00E6210E"/>
    <w:rsid w:val="00E7052A"/>
    <w:rsid w:val="00E70C4B"/>
    <w:rsid w:val="00E75236"/>
    <w:rsid w:val="00E76D78"/>
    <w:rsid w:val="00E777FC"/>
    <w:rsid w:val="00E77898"/>
    <w:rsid w:val="00E8080F"/>
    <w:rsid w:val="00E8313B"/>
    <w:rsid w:val="00E84056"/>
    <w:rsid w:val="00E84543"/>
    <w:rsid w:val="00E90A4D"/>
    <w:rsid w:val="00E92DA3"/>
    <w:rsid w:val="00E92E47"/>
    <w:rsid w:val="00E93A72"/>
    <w:rsid w:val="00E9441C"/>
    <w:rsid w:val="00E94928"/>
    <w:rsid w:val="00E9573A"/>
    <w:rsid w:val="00E96513"/>
    <w:rsid w:val="00E96DC3"/>
    <w:rsid w:val="00EA5B09"/>
    <w:rsid w:val="00EA5DD9"/>
    <w:rsid w:val="00EA6433"/>
    <w:rsid w:val="00EB025B"/>
    <w:rsid w:val="00EB1567"/>
    <w:rsid w:val="00EB1EF9"/>
    <w:rsid w:val="00EB3DE0"/>
    <w:rsid w:val="00EC01EA"/>
    <w:rsid w:val="00EC0AD9"/>
    <w:rsid w:val="00EC10FF"/>
    <w:rsid w:val="00EC186C"/>
    <w:rsid w:val="00EC2BB6"/>
    <w:rsid w:val="00EC318D"/>
    <w:rsid w:val="00EC55CA"/>
    <w:rsid w:val="00EC5E53"/>
    <w:rsid w:val="00EC70B9"/>
    <w:rsid w:val="00ED0BAF"/>
    <w:rsid w:val="00EE1137"/>
    <w:rsid w:val="00EE376B"/>
    <w:rsid w:val="00EE3F85"/>
    <w:rsid w:val="00EE4FB1"/>
    <w:rsid w:val="00EE5B4F"/>
    <w:rsid w:val="00EE70A9"/>
    <w:rsid w:val="00EF150E"/>
    <w:rsid w:val="00EF6E9B"/>
    <w:rsid w:val="00F0419F"/>
    <w:rsid w:val="00F064FD"/>
    <w:rsid w:val="00F06545"/>
    <w:rsid w:val="00F066FF"/>
    <w:rsid w:val="00F1032D"/>
    <w:rsid w:val="00F11DB3"/>
    <w:rsid w:val="00F14B05"/>
    <w:rsid w:val="00F20C7A"/>
    <w:rsid w:val="00F2149E"/>
    <w:rsid w:val="00F21C00"/>
    <w:rsid w:val="00F22461"/>
    <w:rsid w:val="00F228FC"/>
    <w:rsid w:val="00F22C03"/>
    <w:rsid w:val="00F26E05"/>
    <w:rsid w:val="00F27256"/>
    <w:rsid w:val="00F32801"/>
    <w:rsid w:val="00F3349D"/>
    <w:rsid w:val="00F3420D"/>
    <w:rsid w:val="00F35D26"/>
    <w:rsid w:val="00F433A0"/>
    <w:rsid w:val="00F444BB"/>
    <w:rsid w:val="00F50853"/>
    <w:rsid w:val="00F50BDB"/>
    <w:rsid w:val="00F50CF7"/>
    <w:rsid w:val="00F522B4"/>
    <w:rsid w:val="00F52306"/>
    <w:rsid w:val="00F54262"/>
    <w:rsid w:val="00F56258"/>
    <w:rsid w:val="00F56A6A"/>
    <w:rsid w:val="00F60CB1"/>
    <w:rsid w:val="00F632AF"/>
    <w:rsid w:val="00F653CE"/>
    <w:rsid w:val="00F677CC"/>
    <w:rsid w:val="00F67AEA"/>
    <w:rsid w:val="00F71836"/>
    <w:rsid w:val="00F72E13"/>
    <w:rsid w:val="00F73692"/>
    <w:rsid w:val="00F736E2"/>
    <w:rsid w:val="00F737A8"/>
    <w:rsid w:val="00F74A41"/>
    <w:rsid w:val="00F74F32"/>
    <w:rsid w:val="00F76B83"/>
    <w:rsid w:val="00F76CC7"/>
    <w:rsid w:val="00F83F68"/>
    <w:rsid w:val="00F8418A"/>
    <w:rsid w:val="00F84ED2"/>
    <w:rsid w:val="00F86447"/>
    <w:rsid w:val="00F9034B"/>
    <w:rsid w:val="00F90F0D"/>
    <w:rsid w:val="00F914FF"/>
    <w:rsid w:val="00F91E42"/>
    <w:rsid w:val="00F94594"/>
    <w:rsid w:val="00F95382"/>
    <w:rsid w:val="00F9584D"/>
    <w:rsid w:val="00F95E5D"/>
    <w:rsid w:val="00F97C17"/>
    <w:rsid w:val="00FA09BD"/>
    <w:rsid w:val="00FA2512"/>
    <w:rsid w:val="00FA7873"/>
    <w:rsid w:val="00FB0570"/>
    <w:rsid w:val="00FB1B61"/>
    <w:rsid w:val="00FB21B1"/>
    <w:rsid w:val="00FB252E"/>
    <w:rsid w:val="00FB4597"/>
    <w:rsid w:val="00FB57B5"/>
    <w:rsid w:val="00FB5D5D"/>
    <w:rsid w:val="00FC4A23"/>
    <w:rsid w:val="00FC6E21"/>
    <w:rsid w:val="00FD1382"/>
    <w:rsid w:val="00FD1497"/>
    <w:rsid w:val="00FD5799"/>
    <w:rsid w:val="00FD6756"/>
    <w:rsid w:val="00FD69E8"/>
    <w:rsid w:val="00FE1835"/>
    <w:rsid w:val="00FE27DF"/>
    <w:rsid w:val="00FE5BF3"/>
    <w:rsid w:val="00FF296C"/>
    <w:rsid w:val="00FF3A75"/>
    <w:rsid w:val="00FF3EF4"/>
    <w:rsid w:val="00FF5BED"/>
    <w:rsid w:val="00FF6259"/>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16984F5"/>
  <w15:docId w15:val="{38AED6A8-B0C1-44CC-98B9-CA818D75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3727">
      <w:bodyDiv w:val="1"/>
      <w:marLeft w:val="0"/>
      <w:marRight w:val="0"/>
      <w:marTop w:val="0"/>
      <w:marBottom w:val="0"/>
      <w:divBdr>
        <w:top w:val="none" w:sz="0" w:space="0" w:color="auto"/>
        <w:left w:val="none" w:sz="0" w:space="0" w:color="auto"/>
        <w:bottom w:val="none" w:sz="0" w:space="0" w:color="auto"/>
        <w:right w:val="none" w:sz="0" w:space="0" w:color="auto"/>
      </w:divBdr>
    </w:div>
    <w:div w:id="170023204">
      <w:bodyDiv w:val="1"/>
      <w:marLeft w:val="0"/>
      <w:marRight w:val="0"/>
      <w:marTop w:val="0"/>
      <w:marBottom w:val="0"/>
      <w:divBdr>
        <w:top w:val="none" w:sz="0" w:space="0" w:color="auto"/>
        <w:left w:val="none" w:sz="0" w:space="0" w:color="auto"/>
        <w:bottom w:val="none" w:sz="0" w:space="0" w:color="auto"/>
        <w:right w:val="none" w:sz="0" w:space="0" w:color="auto"/>
      </w:divBdr>
    </w:div>
    <w:div w:id="200941173">
      <w:bodyDiv w:val="1"/>
      <w:marLeft w:val="0"/>
      <w:marRight w:val="0"/>
      <w:marTop w:val="0"/>
      <w:marBottom w:val="0"/>
      <w:divBdr>
        <w:top w:val="none" w:sz="0" w:space="0" w:color="auto"/>
        <w:left w:val="none" w:sz="0" w:space="0" w:color="auto"/>
        <w:bottom w:val="none" w:sz="0" w:space="0" w:color="auto"/>
        <w:right w:val="none" w:sz="0" w:space="0" w:color="auto"/>
      </w:divBdr>
    </w:div>
    <w:div w:id="248471601">
      <w:bodyDiv w:val="1"/>
      <w:marLeft w:val="0"/>
      <w:marRight w:val="0"/>
      <w:marTop w:val="0"/>
      <w:marBottom w:val="0"/>
      <w:divBdr>
        <w:top w:val="none" w:sz="0" w:space="0" w:color="auto"/>
        <w:left w:val="none" w:sz="0" w:space="0" w:color="auto"/>
        <w:bottom w:val="none" w:sz="0" w:space="0" w:color="auto"/>
        <w:right w:val="none" w:sz="0" w:space="0" w:color="auto"/>
      </w:divBdr>
    </w:div>
    <w:div w:id="320811477">
      <w:bodyDiv w:val="1"/>
      <w:marLeft w:val="0"/>
      <w:marRight w:val="0"/>
      <w:marTop w:val="0"/>
      <w:marBottom w:val="0"/>
      <w:divBdr>
        <w:top w:val="none" w:sz="0" w:space="0" w:color="auto"/>
        <w:left w:val="none" w:sz="0" w:space="0" w:color="auto"/>
        <w:bottom w:val="none" w:sz="0" w:space="0" w:color="auto"/>
        <w:right w:val="none" w:sz="0" w:space="0" w:color="auto"/>
      </w:divBdr>
    </w:div>
    <w:div w:id="409666318">
      <w:bodyDiv w:val="1"/>
      <w:marLeft w:val="25"/>
      <w:marRight w:val="25"/>
      <w:marTop w:val="0"/>
      <w:marBottom w:val="0"/>
      <w:divBdr>
        <w:top w:val="none" w:sz="0" w:space="0" w:color="auto"/>
        <w:left w:val="none" w:sz="0" w:space="0" w:color="auto"/>
        <w:bottom w:val="none" w:sz="0" w:space="0" w:color="auto"/>
        <w:right w:val="none" w:sz="0" w:space="0" w:color="auto"/>
      </w:divBdr>
      <w:divsChild>
        <w:div w:id="938636267">
          <w:marLeft w:val="0"/>
          <w:marRight w:val="0"/>
          <w:marTop w:val="0"/>
          <w:marBottom w:val="0"/>
          <w:divBdr>
            <w:top w:val="none" w:sz="0" w:space="0" w:color="auto"/>
            <w:left w:val="none" w:sz="0" w:space="0" w:color="auto"/>
            <w:bottom w:val="none" w:sz="0" w:space="0" w:color="auto"/>
            <w:right w:val="none" w:sz="0" w:space="0" w:color="auto"/>
          </w:divBdr>
          <w:divsChild>
            <w:div w:id="666058117">
              <w:marLeft w:val="0"/>
              <w:marRight w:val="0"/>
              <w:marTop w:val="0"/>
              <w:marBottom w:val="0"/>
              <w:divBdr>
                <w:top w:val="none" w:sz="0" w:space="0" w:color="auto"/>
                <w:left w:val="none" w:sz="0" w:space="0" w:color="auto"/>
                <w:bottom w:val="none" w:sz="0" w:space="0" w:color="auto"/>
                <w:right w:val="none" w:sz="0" w:space="0" w:color="auto"/>
              </w:divBdr>
              <w:divsChild>
                <w:div w:id="999844459">
                  <w:marLeft w:val="150"/>
                  <w:marRight w:val="0"/>
                  <w:marTop w:val="0"/>
                  <w:marBottom w:val="0"/>
                  <w:divBdr>
                    <w:top w:val="none" w:sz="0" w:space="0" w:color="auto"/>
                    <w:left w:val="none" w:sz="0" w:space="0" w:color="auto"/>
                    <w:bottom w:val="none" w:sz="0" w:space="0" w:color="auto"/>
                    <w:right w:val="none" w:sz="0" w:space="0" w:color="auto"/>
                  </w:divBdr>
                  <w:divsChild>
                    <w:div w:id="11742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32019">
      <w:bodyDiv w:val="1"/>
      <w:marLeft w:val="0"/>
      <w:marRight w:val="0"/>
      <w:marTop w:val="0"/>
      <w:marBottom w:val="0"/>
      <w:divBdr>
        <w:top w:val="none" w:sz="0" w:space="0" w:color="auto"/>
        <w:left w:val="none" w:sz="0" w:space="0" w:color="auto"/>
        <w:bottom w:val="none" w:sz="0" w:space="0" w:color="auto"/>
        <w:right w:val="none" w:sz="0" w:space="0" w:color="auto"/>
      </w:divBdr>
    </w:div>
    <w:div w:id="726804750">
      <w:bodyDiv w:val="1"/>
      <w:marLeft w:val="0"/>
      <w:marRight w:val="0"/>
      <w:marTop w:val="0"/>
      <w:marBottom w:val="0"/>
      <w:divBdr>
        <w:top w:val="none" w:sz="0" w:space="0" w:color="auto"/>
        <w:left w:val="none" w:sz="0" w:space="0" w:color="auto"/>
        <w:bottom w:val="none" w:sz="0" w:space="0" w:color="auto"/>
        <w:right w:val="none" w:sz="0" w:space="0" w:color="auto"/>
      </w:divBdr>
    </w:div>
    <w:div w:id="801119778">
      <w:bodyDiv w:val="1"/>
      <w:marLeft w:val="0"/>
      <w:marRight w:val="0"/>
      <w:marTop w:val="0"/>
      <w:marBottom w:val="0"/>
      <w:divBdr>
        <w:top w:val="none" w:sz="0" w:space="0" w:color="auto"/>
        <w:left w:val="none" w:sz="0" w:space="0" w:color="auto"/>
        <w:bottom w:val="none" w:sz="0" w:space="0" w:color="auto"/>
        <w:right w:val="none" w:sz="0" w:space="0" w:color="auto"/>
      </w:divBdr>
      <w:divsChild>
        <w:div w:id="428736625">
          <w:marLeft w:val="0"/>
          <w:marRight w:val="0"/>
          <w:marTop w:val="0"/>
          <w:marBottom w:val="0"/>
          <w:divBdr>
            <w:top w:val="none" w:sz="0" w:space="0" w:color="auto"/>
            <w:left w:val="none" w:sz="0" w:space="0" w:color="auto"/>
            <w:bottom w:val="none" w:sz="0" w:space="0" w:color="auto"/>
            <w:right w:val="none" w:sz="0" w:space="0" w:color="auto"/>
          </w:divBdr>
        </w:div>
        <w:div w:id="1398671429">
          <w:marLeft w:val="0"/>
          <w:marRight w:val="0"/>
          <w:marTop w:val="0"/>
          <w:marBottom w:val="0"/>
          <w:divBdr>
            <w:top w:val="none" w:sz="0" w:space="0" w:color="auto"/>
            <w:left w:val="none" w:sz="0" w:space="0" w:color="auto"/>
            <w:bottom w:val="none" w:sz="0" w:space="0" w:color="auto"/>
            <w:right w:val="none" w:sz="0" w:space="0" w:color="auto"/>
          </w:divBdr>
        </w:div>
        <w:div w:id="1420981345">
          <w:marLeft w:val="0"/>
          <w:marRight w:val="0"/>
          <w:marTop w:val="0"/>
          <w:marBottom w:val="0"/>
          <w:divBdr>
            <w:top w:val="none" w:sz="0" w:space="0" w:color="auto"/>
            <w:left w:val="none" w:sz="0" w:space="0" w:color="auto"/>
            <w:bottom w:val="none" w:sz="0" w:space="0" w:color="auto"/>
            <w:right w:val="none" w:sz="0" w:space="0" w:color="auto"/>
          </w:divBdr>
        </w:div>
        <w:div w:id="1449083633">
          <w:marLeft w:val="0"/>
          <w:marRight w:val="0"/>
          <w:marTop w:val="0"/>
          <w:marBottom w:val="0"/>
          <w:divBdr>
            <w:top w:val="none" w:sz="0" w:space="0" w:color="auto"/>
            <w:left w:val="none" w:sz="0" w:space="0" w:color="auto"/>
            <w:bottom w:val="none" w:sz="0" w:space="0" w:color="auto"/>
            <w:right w:val="none" w:sz="0" w:space="0" w:color="auto"/>
          </w:divBdr>
        </w:div>
        <w:div w:id="1936285940">
          <w:marLeft w:val="0"/>
          <w:marRight w:val="0"/>
          <w:marTop w:val="0"/>
          <w:marBottom w:val="0"/>
          <w:divBdr>
            <w:top w:val="none" w:sz="0" w:space="0" w:color="auto"/>
            <w:left w:val="none" w:sz="0" w:space="0" w:color="auto"/>
            <w:bottom w:val="none" w:sz="0" w:space="0" w:color="auto"/>
            <w:right w:val="none" w:sz="0" w:space="0" w:color="auto"/>
          </w:divBdr>
        </w:div>
        <w:div w:id="2097704423">
          <w:marLeft w:val="0"/>
          <w:marRight w:val="0"/>
          <w:marTop w:val="0"/>
          <w:marBottom w:val="0"/>
          <w:divBdr>
            <w:top w:val="none" w:sz="0" w:space="0" w:color="auto"/>
            <w:left w:val="none" w:sz="0" w:space="0" w:color="auto"/>
            <w:bottom w:val="none" w:sz="0" w:space="0" w:color="auto"/>
            <w:right w:val="none" w:sz="0" w:space="0" w:color="auto"/>
          </w:divBdr>
        </w:div>
      </w:divsChild>
    </w:div>
    <w:div w:id="816722457">
      <w:bodyDiv w:val="1"/>
      <w:marLeft w:val="0"/>
      <w:marRight w:val="0"/>
      <w:marTop w:val="0"/>
      <w:marBottom w:val="0"/>
      <w:divBdr>
        <w:top w:val="none" w:sz="0" w:space="0" w:color="auto"/>
        <w:left w:val="none" w:sz="0" w:space="0" w:color="auto"/>
        <w:bottom w:val="none" w:sz="0" w:space="0" w:color="auto"/>
        <w:right w:val="none" w:sz="0" w:space="0" w:color="auto"/>
      </w:divBdr>
    </w:div>
    <w:div w:id="874804190">
      <w:bodyDiv w:val="1"/>
      <w:marLeft w:val="0"/>
      <w:marRight w:val="0"/>
      <w:marTop w:val="0"/>
      <w:marBottom w:val="0"/>
      <w:divBdr>
        <w:top w:val="none" w:sz="0" w:space="0" w:color="auto"/>
        <w:left w:val="none" w:sz="0" w:space="0" w:color="auto"/>
        <w:bottom w:val="none" w:sz="0" w:space="0" w:color="auto"/>
        <w:right w:val="none" w:sz="0" w:space="0" w:color="auto"/>
      </w:divBdr>
    </w:div>
    <w:div w:id="945577327">
      <w:bodyDiv w:val="1"/>
      <w:marLeft w:val="0"/>
      <w:marRight w:val="0"/>
      <w:marTop w:val="0"/>
      <w:marBottom w:val="0"/>
      <w:divBdr>
        <w:top w:val="none" w:sz="0" w:space="0" w:color="auto"/>
        <w:left w:val="none" w:sz="0" w:space="0" w:color="auto"/>
        <w:bottom w:val="none" w:sz="0" w:space="0" w:color="auto"/>
        <w:right w:val="none" w:sz="0" w:space="0" w:color="auto"/>
      </w:divBdr>
    </w:div>
    <w:div w:id="1049259040">
      <w:bodyDiv w:val="1"/>
      <w:marLeft w:val="0"/>
      <w:marRight w:val="0"/>
      <w:marTop w:val="0"/>
      <w:marBottom w:val="0"/>
      <w:divBdr>
        <w:top w:val="none" w:sz="0" w:space="0" w:color="auto"/>
        <w:left w:val="none" w:sz="0" w:space="0" w:color="auto"/>
        <w:bottom w:val="none" w:sz="0" w:space="0" w:color="auto"/>
        <w:right w:val="none" w:sz="0" w:space="0" w:color="auto"/>
      </w:divBdr>
    </w:div>
    <w:div w:id="1285504985">
      <w:bodyDiv w:val="1"/>
      <w:marLeft w:val="0"/>
      <w:marRight w:val="0"/>
      <w:marTop w:val="0"/>
      <w:marBottom w:val="0"/>
      <w:divBdr>
        <w:top w:val="none" w:sz="0" w:space="0" w:color="auto"/>
        <w:left w:val="none" w:sz="0" w:space="0" w:color="auto"/>
        <w:bottom w:val="none" w:sz="0" w:space="0" w:color="auto"/>
        <w:right w:val="none" w:sz="0" w:space="0" w:color="auto"/>
      </w:divBdr>
    </w:div>
    <w:div w:id="1312713526">
      <w:bodyDiv w:val="1"/>
      <w:marLeft w:val="0"/>
      <w:marRight w:val="0"/>
      <w:marTop w:val="0"/>
      <w:marBottom w:val="0"/>
      <w:divBdr>
        <w:top w:val="none" w:sz="0" w:space="0" w:color="auto"/>
        <w:left w:val="none" w:sz="0" w:space="0" w:color="auto"/>
        <w:bottom w:val="none" w:sz="0" w:space="0" w:color="auto"/>
        <w:right w:val="none" w:sz="0" w:space="0" w:color="auto"/>
      </w:divBdr>
    </w:div>
    <w:div w:id="1399866685">
      <w:bodyDiv w:val="1"/>
      <w:marLeft w:val="0"/>
      <w:marRight w:val="0"/>
      <w:marTop w:val="0"/>
      <w:marBottom w:val="0"/>
      <w:divBdr>
        <w:top w:val="none" w:sz="0" w:space="0" w:color="auto"/>
        <w:left w:val="none" w:sz="0" w:space="0" w:color="auto"/>
        <w:bottom w:val="none" w:sz="0" w:space="0" w:color="auto"/>
        <w:right w:val="none" w:sz="0" w:space="0" w:color="auto"/>
      </w:divBdr>
    </w:div>
    <w:div w:id="1410156196">
      <w:bodyDiv w:val="1"/>
      <w:marLeft w:val="0"/>
      <w:marRight w:val="0"/>
      <w:marTop w:val="0"/>
      <w:marBottom w:val="0"/>
      <w:divBdr>
        <w:top w:val="none" w:sz="0" w:space="0" w:color="auto"/>
        <w:left w:val="none" w:sz="0" w:space="0" w:color="auto"/>
        <w:bottom w:val="none" w:sz="0" w:space="0" w:color="auto"/>
        <w:right w:val="none" w:sz="0" w:space="0" w:color="auto"/>
      </w:divBdr>
    </w:div>
    <w:div w:id="1422025980">
      <w:bodyDiv w:val="1"/>
      <w:marLeft w:val="0"/>
      <w:marRight w:val="0"/>
      <w:marTop w:val="0"/>
      <w:marBottom w:val="0"/>
      <w:divBdr>
        <w:top w:val="none" w:sz="0" w:space="0" w:color="auto"/>
        <w:left w:val="none" w:sz="0" w:space="0" w:color="auto"/>
        <w:bottom w:val="none" w:sz="0" w:space="0" w:color="auto"/>
        <w:right w:val="none" w:sz="0" w:space="0" w:color="auto"/>
      </w:divBdr>
    </w:div>
    <w:div w:id="1490058715">
      <w:bodyDiv w:val="1"/>
      <w:marLeft w:val="0"/>
      <w:marRight w:val="0"/>
      <w:marTop w:val="0"/>
      <w:marBottom w:val="0"/>
      <w:divBdr>
        <w:top w:val="none" w:sz="0" w:space="0" w:color="auto"/>
        <w:left w:val="none" w:sz="0" w:space="0" w:color="auto"/>
        <w:bottom w:val="none" w:sz="0" w:space="0" w:color="auto"/>
        <w:right w:val="none" w:sz="0" w:space="0" w:color="auto"/>
      </w:divBdr>
    </w:div>
    <w:div w:id="1603145985">
      <w:bodyDiv w:val="1"/>
      <w:marLeft w:val="0"/>
      <w:marRight w:val="0"/>
      <w:marTop w:val="0"/>
      <w:marBottom w:val="0"/>
      <w:divBdr>
        <w:top w:val="none" w:sz="0" w:space="0" w:color="auto"/>
        <w:left w:val="none" w:sz="0" w:space="0" w:color="auto"/>
        <w:bottom w:val="none" w:sz="0" w:space="0" w:color="auto"/>
        <w:right w:val="none" w:sz="0" w:space="0" w:color="auto"/>
      </w:divBdr>
    </w:div>
    <w:div w:id="1636834286">
      <w:bodyDiv w:val="1"/>
      <w:marLeft w:val="0"/>
      <w:marRight w:val="0"/>
      <w:marTop w:val="0"/>
      <w:marBottom w:val="0"/>
      <w:divBdr>
        <w:top w:val="none" w:sz="0" w:space="0" w:color="auto"/>
        <w:left w:val="none" w:sz="0" w:space="0" w:color="auto"/>
        <w:bottom w:val="none" w:sz="0" w:space="0" w:color="auto"/>
        <w:right w:val="none" w:sz="0" w:space="0" w:color="auto"/>
      </w:divBdr>
    </w:div>
    <w:div w:id="1665818445">
      <w:bodyDiv w:val="1"/>
      <w:marLeft w:val="0"/>
      <w:marRight w:val="0"/>
      <w:marTop w:val="0"/>
      <w:marBottom w:val="0"/>
      <w:divBdr>
        <w:top w:val="none" w:sz="0" w:space="0" w:color="auto"/>
        <w:left w:val="none" w:sz="0" w:space="0" w:color="auto"/>
        <w:bottom w:val="none" w:sz="0" w:space="0" w:color="auto"/>
        <w:right w:val="none" w:sz="0" w:space="0" w:color="auto"/>
      </w:divBdr>
    </w:div>
    <w:div w:id="1688092064">
      <w:bodyDiv w:val="1"/>
      <w:marLeft w:val="0"/>
      <w:marRight w:val="0"/>
      <w:marTop w:val="0"/>
      <w:marBottom w:val="0"/>
      <w:divBdr>
        <w:top w:val="none" w:sz="0" w:space="0" w:color="auto"/>
        <w:left w:val="none" w:sz="0" w:space="0" w:color="auto"/>
        <w:bottom w:val="none" w:sz="0" w:space="0" w:color="auto"/>
        <w:right w:val="none" w:sz="0" w:space="0" w:color="auto"/>
      </w:divBdr>
    </w:div>
    <w:div w:id="1787460216">
      <w:bodyDiv w:val="1"/>
      <w:marLeft w:val="0"/>
      <w:marRight w:val="0"/>
      <w:marTop w:val="0"/>
      <w:marBottom w:val="0"/>
      <w:divBdr>
        <w:top w:val="none" w:sz="0" w:space="0" w:color="auto"/>
        <w:left w:val="none" w:sz="0" w:space="0" w:color="auto"/>
        <w:bottom w:val="none" w:sz="0" w:space="0" w:color="auto"/>
        <w:right w:val="none" w:sz="0" w:space="0" w:color="auto"/>
      </w:divBdr>
    </w:div>
    <w:div w:id="1838572170">
      <w:bodyDiv w:val="1"/>
      <w:marLeft w:val="0"/>
      <w:marRight w:val="0"/>
      <w:marTop w:val="0"/>
      <w:marBottom w:val="0"/>
      <w:divBdr>
        <w:top w:val="none" w:sz="0" w:space="0" w:color="auto"/>
        <w:left w:val="none" w:sz="0" w:space="0" w:color="auto"/>
        <w:bottom w:val="none" w:sz="0" w:space="0" w:color="auto"/>
        <w:right w:val="none" w:sz="0" w:space="0" w:color="auto"/>
      </w:divBdr>
    </w:div>
    <w:div w:id="1962766284">
      <w:bodyDiv w:val="1"/>
      <w:marLeft w:val="0"/>
      <w:marRight w:val="0"/>
      <w:marTop w:val="0"/>
      <w:marBottom w:val="0"/>
      <w:divBdr>
        <w:top w:val="none" w:sz="0" w:space="0" w:color="auto"/>
        <w:left w:val="none" w:sz="0" w:space="0" w:color="auto"/>
        <w:bottom w:val="none" w:sz="0" w:space="0" w:color="auto"/>
        <w:right w:val="none" w:sz="0" w:space="0" w:color="auto"/>
      </w:divBdr>
    </w:div>
    <w:div w:id="1983846690">
      <w:bodyDiv w:val="1"/>
      <w:marLeft w:val="0"/>
      <w:marRight w:val="0"/>
      <w:marTop w:val="0"/>
      <w:marBottom w:val="0"/>
      <w:divBdr>
        <w:top w:val="none" w:sz="0" w:space="0" w:color="auto"/>
        <w:left w:val="none" w:sz="0" w:space="0" w:color="auto"/>
        <w:bottom w:val="none" w:sz="0" w:space="0" w:color="auto"/>
        <w:right w:val="none" w:sz="0" w:space="0" w:color="auto"/>
      </w:divBdr>
      <w:divsChild>
        <w:div w:id="2080058674">
          <w:marLeft w:val="0"/>
          <w:marRight w:val="0"/>
          <w:marTop w:val="0"/>
          <w:marBottom w:val="0"/>
          <w:divBdr>
            <w:top w:val="none" w:sz="0" w:space="0" w:color="auto"/>
            <w:left w:val="none" w:sz="0" w:space="0" w:color="auto"/>
            <w:bottom w:val="none" w:sz="0" w:space="0" w:color="auto"/>
            <w:right w:val="none" w:sz="0" w:space="0" w:color="auto"/>
          </w:divBdr>
          <w:divsChild>
            <w:div w:id="1629774358">
              <w:marLeft w:val="0"/>
              <w:marRight w:val="0"/>
              <w:marTop w:val="150"/>
              <w:marBottom w:val="150"/>
              <w:divBdr>
                <w:top w:val="none" w:sz="0" w:space="0" w:color="auto"/>
                <w:left w:val="none" w:sz="0" w:space="0" w:color="auto"/>
                <w:bottom w:val="none" w:sz="0" w:space="0" w:color="auto"/>
                <w:right w:val="none" w:sz="0" w:space="0" w:color="auto"/>
              </w:divBdr>
              <w:divsChild>
                <w:div w:id="1373923441">
                  <w:marLeft w:val="0"/>
                  <w:marRight w:val="0"/>
                  <w:marTop w:val="0"/>
                  <w:marBottom w:val="0"/>
                  <w:divBdr>
                    <w:top w:val="none" w:sz="0" w:space="0" w:color="auto"/>
                    <w:left w:val="none" w:sz="0" w:space="0" w:color="auto"/>
                    <w:bottom w:val="none" w:sz="0" w:space="0" w:color="auto"/>
                    <w:right w:val="none" w:sz="0" w:space="0" w:color="auto"/>
                  </w:divBdr>
                  <w:divsChild>
                    <w:div w:id="1308629746">
                      <w:marLeft w:val="0"/>
                      <w:marRight w:val="0"/>
                      <w:marTop w:val="0"/>
                      <w:marBottom w:val="0"/>
                      <w:divBdr>
                        <w:top w:val="none" w:sz="0" w:space="0" w:color="auto"/>
                        <w:left w:val="none" w:sz="0" w:space="0" w:color="auto"/>
                        <w:bottom w:val="none" w:sz="0" w:space="0" w:color="auto"/>
                        <w:right w:val="none" w:sz="0" w:space="0" w:color="auto"/>
                      </w:divBdr>
                      <w:divsChild>
                        <w:div w:id="738018050">
                          <w:marLeft w:val="0"/>
                          <w:marRight w:val="0"/>
                          <w:marTop w:val="0"/>
                          <w:marBottom w:val="0"/>
                          <w:divBdr>
                            <w:top w:val="none" w:sz="0" w:space="0" w:color="auto"/>
                            <w:left w:val="none" w:sz="0" w:space="0" w:color="auto"/>
                            <w:bottom w:val="none" w:sz="0" w:space="0" w:color="auto"/>
                            <w:right w:val="none" w:sz="0" w:space="0" w:color="auto"/>
                          </w:divBdr>
                          <w:divsChild>
                            <w:div w:id="19996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86923">
      <w:bodyDiv w:val="1"/>
      <w:marLeft w:val="0"/>
      <w:marRight w:val="0"/>
      <w:marTop w:val="0"/>
      <w:marBottom w:val="0"/>
      <w:divBdr>
        <w:top w:val="none" w:sz="0" w:space="0" w:color="auto"/>
        <w:left w:val="none" w:sz="0" w:space="0" w:color="auto"/>
        <w:bottom w:val="none" w:sz="0" w:space="0" w:color="auto"/>
        <w:right w:val="none" w:sz="0" w:space="0" w:color="auto"/>
      </w:divBdr>
    </w:div>
    <w:div w:id="2002349467">
      <w:bodyDiv w:val="1"/>
      <w:marLeft w:val="30"/>
      <w:marRight w:val="30"/>
      <w:marTop w:val="0"/>
      <w:marBottom w:val="0"/>
      <w:divBdr>
        <w:top w:val="none" w:sz="0" w:space="0" w:color="auto"/>
        <w:left w:val="none" w:sz="0" w:space="0" w:color="auto"/>
        <w:bottom w:val="none" w:sz="0" w:space="0" w:color="auto"/>
        <w:right w:val="none" w:sz="0" w:space="0" w:color="auto"/>
      </w:divBdr>
      <w:divsChild>
        <w:div w:id="1667706830">
          <w:marLeft w:val="0"/>
          <w:marRight w:val="0"/>
          <w:marTop w:val="0"/>
          <w:marBottom w:val="0"/>
          <w:divBdr>
            <w:top w:val="none" w:sz="0" w:space="0" w:color="auto"/>
            <w:left w:val="none" w:sz="0" w:space="0" w:color="auto"/>
            <w:bottom w:val="none" w:sz="0" w:space="0" w:color="auto"/>
            <w:right w:val="none" w:sz="0" w:space="0" w:color="auto"/>
          </w:divBdr>
          <w:divsChild>
            <w:div w:id="1768311852">
              <w:marLeft w:val="0"/>
              <w:marRight w:val="0"/>
              <w:marTop w:val="0"/>
              <w:marBottom w:val="0"/>
              <w:divBdr>
                <w:top w:val="none" w:sz="0" w:space="0" w:color="auto"/>
                <w:left w:val="none" w:sz="0" w:space="0" w:color="auto"/>
                <w:bottom w:val="none" w:sz="0" w:space="0" w:color="auto"/>
                <w:right w:val="none" w:sz="0" w:space="0" w:color="auto"/>
              </w:divBdr>
              <w:divsChild>
                <w:div w:id="1985617331">
                  <w:marLeft w:val="180"/>
                  <w:marRight w:val="0"/>
                  <w:marTop w:val="0"/>
                  <w:marBottom w:val="0"/>
                  <w:divBdr>
                    <w:top w:val="none" w:sz="0" w:space="0" w:color="auto"/>
                    <w:left w:val="none" w:sz="0" w:space="0" w:color="auto"/>
                    <w:bottom w:val="none" w:sz="0" w:space="0" w:color="auto"/>
                    <w:right w:val="none" w:sz="0" w:space="0" w:color="auto"/>
                  </w:divBdr>
                  <w:divsChild>
                    <w:div w:id="6630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3197">
      <w:bodyDiv w:val="1"/>
      <w:marLeft w:val="0"/>
      <w:marRight w:val="0"/>
      <w:marTop w:val="0"/>
      <w:marBottom w:val="0"/>
      <w:divBdr>
        <w:top w:val="none" w:sz="0" w:space="0" w:color="auto"/>
        <w:left w:val="none" w:sz="0" w:space="0" w:color="auto"/>
        <w:bottom w:val="none" w:sz="0" w:space="0" w:color="auto"/>
        <w:right w:val="none" w:sz="0" w:space="0" w:color="auto"/>
      </w:divBdr>
      <w:divsChild>
        <w:div w:id="173688260">
          <w:marLeft w:val="0"/>
          <w:marRight w:val="0"/>
          <w:marTop w:val="0"/>
          <w:marBottom w:val="0"/>
          <w:divBdr>
            <w:top w:val="none" w:sz="0" w:space="0" w:color="auto"/>
            <w:left w:val="none" w:sz="0" w:space="0" w:color="auto"/>
            <w:bottom w:val="none" w:sz="0" w:space="0" w:color="auto"/>
            <w:right w:val="none" w:sz="0" w:space="0" w:color="auto"/>
          </w:divBdr>
          <w:divsChild>
            <w:div w:id="341930349">
              <w:marLeft w:val="0"/>
              <w:marRight w:val="0"/>
              <w:marTop w:val="150"/>
              <w:marBottom w:val="150"/>
              <w:divBdr>
                <w:top w:val="none" w:sz="0" w:space="0" w:color="auto"/>
                <w:left w:val="none" w:sz="0" w:space="0" w:color="auto"/>
                <w:bottom w:val="none" w:sz="0" w:space="0" w:color="auto"/>
                <w:right w:val="none" w:sz="0" w:space="0" w:color="auto"/>
              </w:divBdr>
              <w:divsChild>
                <w:div w:id="2063944876">
                  <w:marLeft w:val="0"/>
                  <w:marRight w:val="0"/>
                  <w:marTop w:val="0"/>
                  <w:marBottom w:val="0"/>
                  <w:divBdr>
                    <w:top w:val="none" w:sz="0" w:space="0" w:color="auto"/>
                    <w:left w:val="none" w:sz="0" w:space="0" w:color="auto"/>
                    <w:bottom w:val="none" w:sz="0" w:space="0" w:color="auto"/>
                    <w:right w:val="none" w:sz="0" w:space="0" w:color="auto"/>
                  </w:divBdr>
                  <w:divsChild>
                    <w:div w:id="1015768745">
                      <w:marLeft w:val="0"/>
                      <w:marRight w:val="0"/>
                      <w:marTop w:val="0"/>
                      <w:marBottom w:val="0"/>
                      <w:divBdr>
                        <w:top w:val="none" w:sz="0" w:space="0" w:color="auto"/>
                        <w:left w:val="none" w:sz="0" w:space="0" w:color="auto"/>
                        <w:bottom w:val="none" w:sz="0" w:space="0" w:color="auto"/>
                        <w:right w:val="none" w:sz="0" w:space="0" w:color="auto"/>
                      </w:divBdr>
                      <w:divsChild>
                        <w:div w:id="1970166505">
                          <w:marLeft w:val="0"/>
                          <w:marRight w:val="0"/>
                          <w:marTop w:val="0"/>
                          <w:marBottom w:val="0"/>
                          <w:divBdr>
                            <w:top w:val="none" w:sz="0" w:space="0" w:color="auto"/>
                            <w:left w:val="none" w:sz="0" w:space="0" w:color="auto"/>
                            <w:bottom w:val="none" w:sz="0" w:space="0" w:color="auto"/>
                            <w:right w:val="none" w:sz="0" w:space="0" w:color="auto"/>
                          </w:divBdr>
                          <w:divsChild>
                            <w:div w:id="6098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socialsciencespace.com/2013/05/the-nonresponse-challenge-to-surveys-and-statistics/"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ocialsciencespace.com/author/aap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3E44-E89C-45EC-9CFE-7742B997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3225</Words>
  <Characters>18135</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21318</CharactersWithSpaces>
  <SharedDoc>false</SharedDoc>
  <HLinks>
    <vt:vector size="18" baseType="variant">
      <vt:variant>
        <vt:i4>1638475</vt:i4>
      </vt:variant>
      <vt:variant>
        <vt:i4>6</vt:i4>
      </vt:variant>
      <vt:variant>
        <vt:i4>0</vt:i4>
      </vt:variant>
      <vt:variant>
        <vt:i4>5</vt:i4>
      </vt:variant>
      <vt:variant>
        <vt:lpwstr>http://apps.irs.gov/app/eos/forwardToEpostDownload.do</vt:lpwstr>
      </vt:variant>
      <vt:variant>
        <vt:lpwstr/>
      </vt:variant>
      <vt:variant>
        <vt:i4>2424945</vt:i4>
      </vt:variant>
      <vt:variant>
        <vt:i4>3</vt:i4>
      </vt:variant>
      <vt:variant>
        <vt:i4>0</vt:i4>
      </vt:variant>
      <vt:variant>
        <vt:i4>5</vt:i4>
      </vt:variant>
      <vt:variant>
        <vt:lpwstr>http://www.socialsciencespace.com/2013/05/the-nonresponse-challenge-to-surveys-and-statistics/</vt:lpwstr>
      </vt:variant>
      <vt:variant>
        <vt:lpwstr/>
      </vt:variant>
      <vt:variant>
        <vt:i4>3866721</vt:i4>
      </vt:variant>
      <vt:variant>
        <vt:i4>0</vt:i4>
      </vt:variant>
      <vt:variant>
        <vt:i4>0</vt:i4>
      </vt:variant>
      <vt:variant>
        <vt:i4>5</vt:i4>
      </vt:variant>
      <vt:variant>
        <vt:lpwstr>http://www.socialsciencespace.com/author/aapss/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Durbala R Joseph</cp:lastModifiedBy>
  <cp:revision>2</cp:revision>
  <cp:lastPrinted>2019-11-12T17:38:00Z</cp:lastPrinted>
  <dcterms:created xsi:type="dcterms:W3CDTF">2019-11-12T18:24:00Z</dcterms:created>
  <dcterms:modified xsi:type="dcterms:W3CDTF">2019-11-12T18:24:00Z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312500763</vt:i4>
  </property>
  <property fmtid="{D5CDD505-2E9C-101B-9397-08002B2CF9AE}" pid="3" name="_NewReviewCycle">
    <vt:lpwstr/>
  </property>
  <property fmtid="{D5CDD505-2E9C-101B-9397-08002B2CF9AE}" pid="4" name="_EmailSubject">
    <vt:lpwstr>1545-2212</vt:lpwstr>
  </property>
  <property fmtid="{D5CDD505-2E9C-101B-9397-08002B2CF9AE}" pid="5" name="_AuthorEmail">
    <vt:lpwstr>Brenda.Schafer@irs.gov</vt:lpwstr>
  </property>
  <property fmtid="{D5CDD505-2E9C-101B-9397-08002B2CF9AE}" pid="6" name="_AuthorEmailDisplayName">
    <vt:lpwstr>Schafer Brenda</vt:lpwstr>
  </property>
  <property fmtid="{D5CDD505-2E9C-101B-9397-08002B2CF9AE}" pid="7" name="_ReviewingToolsShownOnce">
    <vt:lpwstr/>
  </property>
</Properties>
</file>