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819" w:rsidR="0059088D" w:rsidRDefault="00CB5EE7">
      <w:pPr>
        <w:tabs>
          <w:tab w:val="center" w:pos="4680"/>
        </w:tabs>
        <w:rPr>
          <w:rFonts w:ascii="Times New Roman" w:hAnsi="Times New Roman"/>
          <w:bCs/>
        </w:rPr>
      </w:pPr>
      <w:r w:rsidRPr="00085819">
        <w:rPr>
          <w:rFonts w:ascii="Times New Roman" w:hAnsi="Times New Roman"/>
          <w:bCs/>
        </w:rPr>
        <w:tab/>
      </w:r>
    </w:p>
    <w:p w:rsidRPr="00085819" w:rsidR="0059088D" w:rsidRDefault="0059088D">
      <w:pPr>
        <w:tabs>
          <w:tab w:val="center" w:pos="4680"/>
        </w:tabs>
        <w:rPr>
          <w:rFonts w:ascii="Times New Roman" w:hAnsi="Times New Roman"/>
          <w:bCs/>
        </w:rPr>
      </w:pPr>
    </w:p>
    <w:p w:rsidRPr="00085819" w:rsidR="0059088D" w:rsidRDefault="0059088D">
      <w:pPr>
        <w:tabs>
          <w:tab w:val="center" w:pos="4680"/>
        </w:tabs>
        <w:rPr>
          <w:rFonts w:ascii="Times New Roman" w:hAnsi="Times New Roman"/>
          <w:bCs/>
        </w:rPr>
      </w:pPr>
    </w:p>
    <w:p w:rsidRPr="00085819" w:rsidR="00CB5EE7" w:rsidP="0059088D" w:rsidRDefault="00CB5EE7">
      <w:pPr>
        <w:tabs>
          <w:tab w:val="center" w:pos="4680"/>
        </w:tabs>
        <w:jc w:val="center"/>
        <w:rPr>
          <w:rFonts w:ascii="Times New Roman" w:hAnsi="Times New Roman"/>
          <w:bCs/>
        </w:rPr>
      </w:pPr>
      <w:r w:rsidRPr="00085819">
        <w:rPr>
          <w:rFonts w:ascii="Times New Roman" w:hAnsi="Times New Roman"/>
          <w:bCs/>
        </w:rPr>
        <w:t>SUPPORTING STATEMENT</w:t>
      </w:r>
    </w:p>
    <w:p w:rsidRPr="00085819" w:rsidR="00D860DE" w:rsidP="0059088D" w:rsidRDefault="00D860DE">
      <w:pPr>
        <w:tabs>
          <w:tab w:val="center" w:pos="4680"/>
        </w:tabs>
        <w:jc w:val="center"/>
        <w:rPr>
          <w:rFonts w:ascii="Times New Roman" w:hAnsi="Times New Roman"/>
          <w:bCs/>
        </w:rPr>
      </w:pPr>
      <w:r w:rsidRPr="00085819">
        <w:rPr>
          <w:rFonts w:ascii="Times New Roman" w:hAnsi="Times New Roman"/>
          <w:bCs/>
        </w:rPr>
        <w:t>Internal Revenue Service</w:t>
      </w:r>
    </w:p>
    <w:p w:rsidRPr="00085819" w:rsidR="0059088D" w:rsidP="0059088D" w:rsidRDefault="0059088D">
      <w:pPr>
        <w:tabs>
          <w:tab w:val="center" w:pos="4680"/>
        </w:tabs>
        <w:jc w:val="center"/>
        <w:rPr>
          <w:rFonts w:ascii="Times New Roman" w:hAnsi="Times New Roman"/>
          <w:bCs/>
        </w:rPr>
      </w:pPr>
      <w:r w:rsidRPr="00085819">
        <w:rPr>
          <w:rFonts w:ascii="Times New Roman" w:hAnsi="Times New Roman"/>
          <w:bCs/>
        </w:rPr>
        <w:t xml:space="preserve">TD 9032, Election </w:t>
      </w:r>
      <w:proofErr w:type="gramStart"/>
      <w:r w:rsidRPr="00085819">
        <w:rPr>
          <w:rFonts w:ascii="Times New Roman" w:hAnsi="Times New Roman"/>
          <w:bCs/>
        </w:rPr>
        <w:t>To</w:t>
      </w:r>
      <w:proofErr w:type="gramEnd"/>
      <w:r w:rsidRPr="00085819">
        <w:rPr>
          <w:rFonts w:ascii="Times New Roman" w:hAnsi="Times New Roman"/>
          <w:bCs/>
        </w:rPr>
        <w:t xml:space="preserve"> Treat Trust As Part Of An Estate </w:t>
      </w:r>
    </w:p>
    <w:p w:rsidRPr="00085819" w:rsidR="00D860DE" w:rsidP="0059088D" w:rsidRDefault="00D860DE">
      <w:pPr>
        <w:tabs>
          <w:tab w:val="center" w:pos="4680"/>
        </w:tabs>
        <w:jc w:val="center"/>
        <w:rPr>
          <w:rFonts w:ascii="Times New Roman" w:hAnsi="Times New Roman"/>
          <w:bCs/>
        </w:rPr>
      </w:pPr>
      <w:r w:rsidRPr="00085819">
        <w:rPr>
          <w:rFonts w:ascii="Times New Roman" w:hAnsi="Times New Roman"/>
          <w:bCs/>
        </w:rPr>
        <w:t>OMB No. 1545-1578</w:t>
      </w:r>
    </w:p>
    <w:p w:rsidRPr="00085819" w:rsidR="00CB5EE7" w:rsidRDefault="00CB5EE7">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1.</w:t>
      </w:r>
      <w:r w:rsidRPr="00085819">
        <w:rPr>
          <w:rFonts w:ascii="Times New Roman" w:hAnsi="Times New Roman"/>
          <w:bCs/>
        </w:rPr>
        <w:tab/>
        <w:t>CIRCUMSTANCES NECESSITATING COLLECTION OF INFORMATION</w:t>
      </w:r>
    </w:p>
    <w:p w:rsidRPr="00085819" w:rsidR="00CB5EE7" w:rsidRDefault="00CB5EE7">
      <w:pPr>
        <w:rPr>
          <w:rFonts w:ascii="Times New Roman" w:hAnsi="Times New Roman"/>
          <w:bCs/>
        </w:rPr>
      </w:pPr>
    </w:p>
    <w:p w:rsidRPr="00085819" w:rsidR="00CB5EE7" w:rsidRDefault="00CB5EE7">
      <w:pPr>
        <w:ind w:left="720"/>
        <w:rPr>
          <w:rFonts w:ascii="Times New Roman" w:hAnsi="Times New Roman"/>
          <w:bCs/>
        </w:rPr>
      </w:pPr>
      <w:r w:rsidRPr="00085819">
        <w:rPr>
          <w:rFonts w:ascii="Times New Roman" w:hAnsi="Times New Roman"/>
          <w:bCs/>
        </w:rPr>
        <w:t xml:space="preserve">Section 1305 of the Taxpayer Relief Act of 1997, Pub. L. No. 105-34, 111 Stat. 788 (1997) added §646 to the Internal Revenue Code to permit an election to treat and tax certain revocable trusts as part of an estate.   Section 646 was </w:t>
      </w:r>
      <w:proofErr w:type="spellStart"/>
      <w:r w:rsidRPr="00085819">
        <w:rPr>
          <w:rFonts w:ascii="Times New Roman" w:hAnsi="Times New Roman"/>
          <w:bCs/>
        </w:rPr>
        <w:t>redesignated</w:t>
      </w:r>
      <w:proofErr w:type="spellEnd"/>
      <w:r w:rsidRPr="00085819">
        <w:rPr>
          <w:rFonts w:ascii="Times New Roman" w:hAnsi="Times New Roman"/>
          <w:bCs/>
        </w:rPr>
        <w:t xml:space="preserve"> section 645 by section 6013(a) of the Internal Revenue Service Restructuring and Reform Act of 1998, Public Law 105-206, 112 Stat. 685 (1998).  Rev. Proc. 98-13, 1998-1 C.B. 370, </w:t>
      </w:r>
      <w:r w:rsidRPr="00085819" w:rsidR="0039635B">
        <w:rPr>
          <w:rFonts w:ascii="Times New Roman" w:hAnsi="Times New Roman"/>
          <w:bCs/>
        </w:rPr>
        <w:t xml:space="preserve">replaced by </w:t>
      </w:r>
      <w:r w:rsidRPr="00085819" w:rsidR="001E714E">
        <w:rPr>
          <w:rFonts w:ascii="Times New Roman" w:hAnsi="Times New Roman"/>
          <w:bCs/>
        </w:rPr>
        <w:t>TD 9032,</w:t>
      </w:r>
      <w:r w:rsidRPr="00085819" w:rsidR="00046E4A">
        <w:rPr>
          <w:rFonts w:ascii="Times New Roman" w:hAnsi="Times New Roman"/>
          <w:bCs/>
        </w:rPr>
        <w:t xml:space="preserve"> 2003-1 C.B. 471</w:t>
      </w:r>
      <w:r w:rsidRPr="00085819" w:rsidR="009D48A4">
        <w:rPr>
          <w:rFonts w:ascii="Times New Roman" w:hAnsi="Times New Roman"/>
          <w:bCs/>
        </w:rPr>
        <w:t xml:space="preserve">. The </w:t>
      </w:r>
      <w:r w:rsidRPr="00085819" w:rsidR="0039635B">
        <w:rPr>
          <w:rFonts w:ascii="Times New Roman" w:hAnsi="Times New Roman"/>
          <w:bCs/>
        </w:rPr>
        <w:t xml:space="preserve">final regulations </w:t>
      </w:r>
      <w:r w:rsidRPr="00085819">
        <w:rPr>
          <w:rFonts w:ascii="Times New Roman" w:hAnsi="Times New Roman"/>
          <w:bCs/>
        </w:rPr>
        <w:t xml:space="preserve">provides the procedures and requirements for making the §645 election.   </w:t>
      </w:r>
    </w:p>
    <w:p w:rsidRPr="00085819" w:rsidR="00CB5EE7" w:rsidRDefault="00CB5EE7">
      <w:pPr>
        <w:ind w:firstLine="720"/>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2.</w:t>
      </w:r>
      <w:r w:rsidRPr="00085819">
        <w:rPr>
          <w:rFonts w:ascii="Times New Roman" w:hAnsi="Times New Roman"/>
          <w:bCs/>
        </w:rPr>
        <w:tab/>
        <w:t>USE OF DATA</w:t>
      </w:r>
    </w:p>
    <w:p w:rsidRPr="00085819" w:rsidR="00CB5EE7" w:rsidRDefault="00CB5EE7">
      <w:pPr>
        <w:rPr>
          <w:rFonts w:ascii="Times New Roman" w:hAnsi="Times New Roman"/>
          <w:bCs/>
        </w:rPr>
      </w:pPr>
    </w:p>
    <w:p w:rsidRPr="00085819" w:rsidR="00CB5EE7" w:rsidRDefault="00CB5EE7">
      <w:pPr>
        <w:ind w:left="720"/>
        <w:rPr>
          <w:rFonts w:ascii="Times New Roman" w:hAnsi="Times New Roman"/>
          <w:bCs/>
        </w:rPr>
      </w:pPr>
      <w:r w:rsidRPr="00085819">
        <w:rPr>
          <w:rFonts w:ascii="Times New Roman" w:hAnsi="Times New Roman"/>
          <w:bCs/>
        </w:rPr>
        <w:t xml:space="preserve">Section 1.645-1 of the regulation requires that taxpayers must submit the information in order to make the §645 election.  The information </w:t>
      </w:r>
      <w:proofErr w:type="gramStart"/>
      <w:r w:rsidRPr="00085819">
        <w:rPr>
          <w:rFonts w:ascii="Times New Roman" w:hAnsi="Times New Roman"/>
          <w:bCs/>
        </w:rPr>
        <w:t>will be used</w:t>
      </w:r>
      <w:proofErr w:type="gramEnd"/>
      <w:r w:rsidRPr="00085819">
        <w:rPr>
          <w:rFonts w:ascii="Times New Roman" w:hAnsi="Times New Roman"/>
          <w:bCs/>
        </w:rPr>
        <w:t xml:space="preserve"> by the I.R.S for tax administration purposes. </w:t>
      </w:r>
    </w:p>
    <w:p w:rsidRPr="00085819" w:rsidR="00CB5EE7" w:rsidRDefault="00CB5EE7">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3.</w:t>
      </w:r>
      <w:r w:rsidRPr="00085819">
        <w:rPr>
          <w:rFonts w:ascii="Times New Roman" w:hAnsi="Times New Roman"/>
          <w:bCs/>
        </w:rPr>
        <w:tab/>
        <w:t>USE OF IMPROVED INFORMATION TECHNOLOGY TO REDUCE BURDEN</w:t>
      </w:r>
    </w:p>
    <w:p w:rsidRPr="00085819" w:rsidR="00CB5EE7" w:rsidRDefault="00CB5EE7">
      <w:pPr>
        <w:rPr>
          <w:rFonts w:ascii="Times New Roman" w:hAnsi="Times New Roman"/>
          <w:bCs/>
        </w:rPr>
      </w:pPr>
    </w:p>
    <w:p w:rsidRPr="00085819" w:rsidR="00CB5EE7" w:rsidRDefault="00CB5EE7">
      <w:pPr>
        <w:ind w:left="720"/>
        <w:rPr>
          <w:rFonts w:ascii="Times New Roman" w:hAnsi="Times New Roman"/>
          <w:bCs/>
        </w:rPr>
      </w:pPr>
      <w:r w:rsidRPr="00085819">
        <w:rPr>
          <w:rFonts w:ascii="Times New Roman" w:hAnsi="Times New Roman"/>
          <w:bCs/>
        </w:rPr>
        <w:t xml:space="preserve">IRS Publications, Regulations, Notices and Letters are to </w:t>
      </w:r>
      <w:proofErr w:type="gramStart"/>
      <w:r w:rsidRPr="00085819">
        <w:rPr>
          <w:rFonts w:ascii="Times New Roman" w:hAnsi="Times New Roman"/>
          <w:bCs/>
        </w:rPr>
        <w:t>be electronically enabled</w:t>
      </w:r>
      <w:proofErr w:type="gramEnd"/>
      <w:r w:rsidRPr="00085819">
        <w:rPr>
          <w:rFonts w:ascii="Times New Roman" w:hAnsi="Times New Roman"/>
          <w:bCs/>
        </w:rPr>
        <w:t xml:space="preserve"> on an as practicable basis in accordance with the IRS Reform and Restructuring Act of 1998.</w:t>
      </w:r>
    </w:p>
    <w:p w:rsidRPr="00085819" w:rsidR="0059088D" w:rsidRDefault="0059088D">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4.</w:t>
      </w:r>
      <w:r w:rsidRPr="00085819">
        <w:rPr>
          <w:rFonts w:ascii="Times New Roman" w:hAnsi="Times New Roman"/>
          <w:bCs/>
        </w:rPr>
        <w:tab/>
        <w:t>EFFORTS TO IDENTIFY DUPLICATION</w:t>
      </w:r>
    </w:p>
    <w:p w:rsidRPr="00085819" w:rsidR="00CB5EE7" w:rsidRDefault="00CB5EE7">
      <w:pPr>
        <w:rPr>
          <w:rFonts w:ascii="Times New Roman" w:hAnsi="Times New Roman"/>
          <w:bCs/>
        </w:rPr>
      </w:pPr>
    </w:p>
    <w:p w:rsidRPr="00085819" w:rsidR="00CB5EE7" w:rsidP="00D860DE" w:rsidRDefault="00D860DE">
      <w:pPr>
        <w:ind w:left="720"/>
        <w:rPr>
          <w:rFonts w:ascii="Times New Roman" w:hAnsi="Times New Roman"/>
          <w:bCs/>
        </w:rPr>
      </w:pPr>
      <w:r w:rsidRPr="00085819">
        <w:rPr>
          <w:rFonts w:ascii="Times New Roman" w:hAnsi="Times New Roman"/>
          <w:bCs/>
        </w:rPr>
        <w:t>The information obtained through this collection is unique and is not already available for use or adaptation from another source.</w:t>
      </w:r>
    </w:p>
    <w:p w:rsidRPr="00085819" w:rsidR="00D860DE" w:rsidP="00D860DE" w:rsidRDefault="00D860DE">
      <w:pPr>
        <w:ind w:left="720"/>
        <w:rPr>
          <w:rFonts w:ascii="Times New Roman" w:hAnsi="Times New Roman"/>
          <w:bCs/>
        </w:rPr>
      </w:pPr>
    </w:p>
    <w:p w:rsidRPr="00085819" w:rsidR="00CB5EE7" w:rsidRDefault="00CB5EE7">
      <w:pPr>
        <w:pStyle w:val="Level1"/>
        <w:numPr>
          <w:ilvl w:val="0"/>
          <w:numId w:val="1"/>
        </w:numPr>
        <w:tabs>
          <w:tab w:val="left" w:pos="-1440"/>
          <w:tab w:val="num" w:pos="720"/>
        </w:tabs>
        <w:rPr>
          <w:rFonts w:ascii="Times New Roman" w:hAnsi="Times New Roman"/>
          <w:bCs/>
        </w:rPr>
      </w:pPr>
      <w:r w:rsidRPr="00085819">
        <w:rPr>
          <w:rFonts w:ascii="Times New Roman" w:hAnsi="Times New Roman"/>
          <w:bCs/>
        </w:rPr>
        <w:t>METHODS TO MINIMIZE BURDEN ON SMALL BUSINESSES OR OTHER SMALL ENTITIES</w:t>
      </w:r>
    </w:p>
    <w:p w:rsidRPr="00085819" w:rsidR="00CB5EE7" w:rsidRDefault="00CB5EE7">
      <w:pPr>
        <w:rPr>
          <w:rFonts w:ascii="Times New Roman" w:hAnsi="Times New Roman"/>
          <w:bCs/>
        </w:rPr>
      </w:pPr>
    </w:p>
    <w:p w:rsidRPr="00085819" w:rsidR="0082285E" w:rsidP="009D5D8B" w:rsidRDefault="0082285E">
      <w:pPr>
        <w:ind w:left="720" w:firstLine="6"/>
        <w:rPr>
          <w:rFonts w:ascii="Times New Roman" w:hAnsi="Times New Roman"/>
        </w:rPr>
      </w:pPr>
      <w:r w:rsidRPr="00085819">
        <w:rPr>
          <w:rFonts w:ascii="Times New Roman" w:hAnsi="Times New Roman"/>
        </w:rPr>
        <w:t xml:space="preserve">Section 645 allows a qualified electing trust owned by the decedent prior to death to elect to </w:t>
      </w:r>
      <w:proofErr w:type="gramStart"/>
      <w:r w:rsidRPr="00085819">
        <w:rPr>
          <w:rFonts w:ascii="Times New Roman" w:hAnsi="Times New Roman"/>
        </w:rPr>
        <w:t>be treated</w:t>
      </w:r>
      <w:proofErr w:type="gramEnd"/>
      <w:r w:rsidRPr="00085819">
        <w:rPr>
          <w:rFonts w:ascii="Times New Roman" w:hAnsi="Times New Roman"/>
        </w:rPr>
        <w:t xml:space="preserve"> as part of the decedent’s estate. See section 645(a).  The reporting requirements in these regulations apply to trusts and estates that make this election.  The trusts and estates are not small entities for purposes of the Paperwork Reducti</w:t>
      </w:r>
      <w:r w:rsidRPr="00085819" w:rsidR="00D860DE">
        <w:rPr>
          <w:rFonts w:ascii="Times New Roman" w:hAnsi="Times New Roman"/>
        </w:rPr>
        <w:t>o</w:t>
      </w:r>
      <w:r w:rsidRPr="00085819">
        <w:rPr>
          <w:rFonts w:ascii="Times New Roman" w:hAnsi="Times New Roman"/>
        </w:rPr>
        <w:t xml:space="preserve">n </w:t>
      </w:r>
      <w:r w:rsidRPr="00085819">
        <w:rPr>
          <w:rFonts w:ascii="Times New Roman" w:hAnsi="Times New Roman"/>
        </w:rPr>
        <w:lastRenderedPageBreak/>
        <w:t>Act.</w:t>
      </w:r>
    </w:p>
    <w:p w:rsidRPr="00085819" w:rsidR="0082285E" w:rsidP="009D5D8B" w:rsidRDefault="0082285E">
      <w:pPr>
        <w:ind w:left="720" w:firstLine="6"/>
        <w:rPr>
          <w:rFonts w:ascii="Times New Roman" w:hAnsi="Times New Roman"/>
          <w:highlight w:val="yellow"/>
        </w:rPr>
      </w:pPr>
    </w:p>
    <w:p w:rsidRPr="00085819" w:rsidR="00CB5EE7" w:rsidRDefault="00CB5EE7">
      <w:pPr>
        <w:ind w:left="720" w:hanging="720"/>
        <w:rPr>
          <w:rFonts w:ascii="Times New Roman" w:hAnsi="Times New Roman"/>
          <w:bCs/>
        </w:rPr>
      </w:pPr>
      <w:r w:rsidRPr="00085819">
        <w:rPr>
          <w:rFonts w:ascii="Times New Roman" w:hAnsi="Times New Roman"/>
          <w:bCs/>
        </w:rPr>
        <w:t>6.</w:t>
      </w:r>
      <w:r w:rsidRPr="00085819">
        <w:rPr>
          <w:rFonts w:ascii="Times New Roman" w:hAnsi="Times New Roman"/>
          <w:bCs/>
        </w:rPr>
        <w:tab/>
        <w:t>CONSEQUENCES OF LESS FREQUENT COLLECTION ON FEDERAL PROGRAMS OR POLICY ACTIVITIES</w:t>
      </w:r>
    </w:p>
    <w:p w:rsidRPr="00085819" w:rsidR="00CB5EE7" w:rsidRDefault="00CB5EE7">
      <w:pPr>
        <w:rPr>
          <w:rFonts w:ascii="Times New Roman" w:hAnsi="Times New Roman"/>
          <w:bCs/>
        </w:rPr>
      </w:pPr>
    </w:p>
    <w:p w:rsidRPr="00085819" w:rsidR="00CB5EE7" w:rsidRDefault="00427ABE">
      <w:pPr>
        <w:ind w:left="720"/>
        <w:rPr>
          <w:rFonts w:ascii="Times New Roman" w:hAnsi="Times New Roman"/>
          <w:bCs/>
        </w:rPr>
      </w:pPr>
      <w:r w:rsidRPr="00085819">
        <w:rPr>
          <w:rFonts w:ascii="Times New Roman" w:hAnsi="Times New Roman"/>
          <w:bCs/>
        </w:rPr>
        <w:t>Taxpayers may submit incorrect information and not make the §645 election.</w:t>
      </w:r>
    </w:p>
    <w:p w:rsidRPr="00085819" w:rsidR="00CB5EE7" w:rsidRDefault="00CB5EE7">
      <w:pPr>
        <w:rPr>
          <w:rFonts w:ascii="Times New Roman" w:hAnsi="Times New Roman"/>
          <w:bCs/>
        </w:rPr>
      </w:pPr>
    </w:p>
    <w:p w:rsidRPr="00085819" w:rsidR="00CB5EE7" w:rsidRDefault="00CB5EE7">
      <w:pPr>
        <w:ind w:left="720" w:hanging="720"/>
        <w:rPr>
          <w:rFonts w:ascii="Times New Roman" w:hAnsi="Times New Roman"/>
          <w:bCs/>
        </w:rPr>
      </w:pPr>
      <w:r w:rsidRPr="00085819">
        <w:rPr>
          <w:rFonts w:ascii="Times New Roman" w:hAnsi="Times New Roman"/>
          <w:bCs/>
        </w:rPr>
        <w:t>7.</w:t>
      </w:r>
      <w:r w:rsidRPr="00085819">
        <w:rPr>
          <w:rFonts w:ascii="Times New Roman" w:hAnsi="Times New Roman"/>
          <w:bCs/>
        </w:rPr>
        <w:tab/>
        <w:t>SPECIAL CIRCUMSTANCES REQUIRING DATA COLLECTION TO BE INCONSISTENT WITH GUIDELINES IN 5 CFR 1320.5(d</w:t>
      </w:r>
      <w:proofErr w:type="gramStart"/>
      <w:r w:rsidRPr="00085819">
        <w:rPr>
          <w:rFonts w:ascii="Times New Roman" w:hAnsi="Times New Roman"/>
          <w:bCs/>
        </w:rPr>
        <w:t>)(</w:t>
      </w:r>
      <w:proofErr w:type="gramEnd"/>
      <w:r w:rsidRPr="00085819">
        <w:rPr>
          <w:rFonts w:ascii="Times New Roman" w:hAnsi="Times New Roman"/>
          <w:bCs/>
        </w:rPr>
        <w:t>2)</w:t>
      </w:r>
    </w:p>
    <w:p w:rsidRPr="00085819" w:rsidR="00CB5EE7" w:rsidRDefault="00CB5EE7">
      <w:pPr>
        <w:rPr>
          <w:rFonts w:ascii="Times New Roman" w:hAnsi="Times New Roman"/>
          <w:bCs/>
        </w:rPr>
      </w:pPr>
    </w:p>
    <w:p w:rsidRPr="00085819" w:rsidR="00CB5EE7" w:rsidRDefault="00427ABE">
      <w:pPr>
        <w:ind w:left="720"/>
        <w:rPr>
          <w:rFonts w:ascii="Times New Roman" w:hAnsi="Times New Roman"/>
          <w:bCs/>
        </w:rPr>
      </w:pPr>
      <w:r w:rsidRPr="00085819">
        <w:rPr>
          <w:rFonts w:ascii="Times New Roman" w:hAnsi="Times New Roman"/>
        </w:rPr>
        <w:t>There are no special circumstances requiring data collection to be inconsistent with Guidelines in 5 CFR      1320.5(d</w:t>
      </w:r>
      <w:proofErr w:type="gramStart"/>
      <w:r w:rsidRPr="00085819">
        <w:rPr>
          <w:rFonts w:ascii="Times New Roman" w:hAnsi="Times New Roman"/>
        </w:rPr>
        <w:t>)(</w:t>
      </w:r>
      <w:proofErr w:type="gramEnd"/>
      <w:r w:rsidRPr="00085819">
        <w:rPr>
          <w:rFonts w:ascii="Times New Roman" w:hAnsi="Times New Roman"/>
        </w:rPr>
        <w:t>2).</w:t>
      </w:r>
    </w:p>
    <w:p w:rsidRPr="00085819" w:rsidR="00CB5EE7" w:rsidRDefault="00CB5EE7">
      <w:pPr>
        <w:ind w:left="720"/>
        <w:rPr>
          <w:rFonts w:ascii="Times New Roman" w:hAnsi="Times New Roman"/>
          <w:bCs/>
        </w:rPr>
        <w:sectPr w:rsidRPr="00085819" w:rsidR="00CB5EE7">
          <w:pgSz w:w="12240" w:h="15840"/>
          <w:pgMar w:top="1440" w:right="1440" w:bottom="1440" w:left="1440" w:header="1440" w:footer="1440" w:gutter="0"/>
          <w:cols w:space="720"/>
          <w:noEndnote/>
        </w:sectPr>
      </w:pPr>
    </w:p>
    <w:p w:rsidRPr="00085819" w:rsidR="00CB5EE7" w:rsidRDefault="00CB5EE7">
      <w:pPr>
        <w:rPr>
          <w:rFonts w:ascii="Times New Roman" w:hAnsi="Times New Roman"/>
          <w:bCs/>
        </w:rPr>
      </w:pPr>
    </w:p>
    <w:p w:rsidRPr="00085819" w:rsidR="00CB5EE7" w:rsidRDefault="00CB5EE7">
      <w:pPr>
        <w:rPr>
          <w:rFonts w:ascii="Times New Roman" w:hAnsi="Times New Roman"/>
          <w:bCs/>
        </w:rPr>
      </w:pPr>
    </w:p>
    <w:p w:rsidRPr="00085819" w:rsidR="00CB5EE7" w:rsidRDefault="00CB5EE7">
      <w:pPr>
        <w:pStyle w:val="Level1"/>
        <w:numPr>
          <w:ilvl w:val="0"/>
          <w:numId w:val="2"/>
        </w:numPr>
        <w:tabs>
          <w:tab w:val="left" w:pos="-1440"/>
          <w:tab w:val="num" w:pos="720"/>
        </w:tabs>
        <w:rPr>
          <w:rFonts w:ascii="Times New Roman" w:hAnsi="Times New Roman"/>
          <w:bCs/>
        </w:rPr>
      </w:pPr>
      <w:r w:rsidRPr="00085819">
        <w:rPr>
          <w:rFonts w:ascii="Times New Roman" w:hAnsi="Times New Roman"/>
          <w:bCs/>
        </w:rPr>
        <w:t>CONSULTATION WITH INDIVIDUALS OUTSIDE OF THE AGENCY ON      AVAILABILITY OF DATA, FREQUENCY OF COLLECTION, CLARITY OF   INSTRUCTIONS AND FORMS, AND DATA ELEMENTS</w:t>
      </w:r>
    </w:p>
    <w:p w:rsidRPr="00085819" w:rsidR="00CB5EE7" w:rsidRDefault="00CB5EE7">
      <w:pPr>
        <w:rPr>
          <w:rFonts w:ascii="Times New Roman" w:hAnsi="Times New Roman"/>
          <w:bCs/>
        </w:rPr>
      </w:pPr>
    </w:p>
    <w:p w:rsidRPr="00085819" w:rsidR="00CB5EE7" w:rsidRDefault="00CB5EE7">
      <w:pPr>
        <w:rPr>
          <w:rFonts w:ascii="Times New Roman" w:hAnsi="Times New Roman"/>
          <w:bCs/>
        </w:rPr>
      </w:pPr>
    </w:p>
    <w:p w:rsidRPr="00085819" w:rsidR="00CB5EE7" w:rsidP="000C33F9" w:rsidRDefault="00CB5EE7">
      <w:pPr>
        <w:ind w:left="720"/>
        <w:rPr>
          <w:rFonts w:ascii="Times New Roman" w:hAnsi="Times New Roman"/>
          <w:bCs/>
        </w:rPr>
      </w:pPr>
      <w:r w:rsidRPr="00085819">
        <w:rPr>
          <w:rFonts w:ascii="Times New Roman" w:hAnsi="Times New Roman"/>
          <w:bCs/>
        </w:rPr>
        <w:t xml:space="preserve">In response to the </w:t>
      </w:r>
      <w:r w:rsidRPr="00085819">
        <w:rPr>
          <w:rFonts w:ascii="Times New Roman" w:hAnsi="Times New Roman"/>
          <w:bCs/>
          <w:i/>
        </w:rPr>
        <w:t>Federal Register</w:t>
      </w:r>
      <w:r w:rsidRPr="00085819">
        <w:rPr>
          <w:rFonts w:ascii="Times New Roman" w:hAnsi="Times New Roman"/>
          <w:bCs/>
        </w:rPr>
        <w:t xml:space="preserve"> </w:t>
      </w:r>
      <w:r w:rsidRPr="00085819" w:rsidR="001E714E">
        <w:rPr>
          <w:rFonts w:ascii="Times New Roman" w:hAnsi="Times New Roman"/>
          <w:bCs/>
        </w:rPr>
        <w:t>n</w:t>
      </w:r>
      <w:r w:rsidRPr="00085819">
        <w:rPr>
          <w:rFonts w:ascii="Times New Roman" w:hAnsi="Times New Roman"/>
          <w:bCs/>
        </w:rPr>
        <w:t xml:space="preserve">otice </w:t>
      </w:r>
      <w:r w:rsidRPr="00085819" w:rsidR="000C33F9">
        <w:rPr>
          <w:rFonts w:ascii="Times New Roman" w:hAnsi="Times New Roman"/>
          <w:bCs/>
        </w:rPr>
        <w:t>(</w:t>
      </w:r>
      <w:r w:rsidRPr="00085819" w:rsidR="00233A70">
        <w:rPr>
          <w:rFonts w:ascii="Times New Roman" w:hAnsi="Times New Roman"/>
          <w:bCs/>
        </w:rPr>
        <w:t>8</w:t>
      </w:r>
      <w:r w:rsidRPr="00085819" w:rsidR="00D860DE">
        <w:rPr>
          <w:rFonts w:ascii="Times New Roman" w:hAnsi="Times New Roman"/>
          <w:bCs/>
        </w:rPr>
        <w:t>4</w:t>
      </w:r>
      <w:r w:rsidRPr="00085819" w:rsidR="000C33F9">
        <w:rPr>
          <w:rFonts w:ascii="Times New Roman" w:hAnsi="Times New Roman"/>
          <w:bCs/>
        </w:rPr>
        <w:t xml:space="preserve"> FR </w:t>
      </w:r>
      <w:r w:rsidRPr="00085819" w:rsidR="001E714E">
        <w:rPr>
          <w:rFonts w:ascii="Times New Roman" w:hAnsi="Times New Roman"/>
          <w:bCs/>
        </w:rPr>
        <w:t>6</w:t>
      </w:r>
      <w:r w:rsidRPr="00085819" w:rsidR="00D860DE">
        <w:rPr>
          <w:rFonts w:ascii="Times New Roman" w:hAnsi="Times New Roman"/>
          <w:bCs/>
        </w:rPr>
        <w:t>4406</w:t>
      </w:r>
      <w:r w:rsidRPr="00085819" w:rsidR="000C33F9">
        <w:rPr>
          <w:rFonts w:ascii="Times New Roman" w:hAnsi="Times New Roman"/>
          <w:bCs/>
        </w:rPr>
        <w:t xml:space="preserve">), </w:t>
      </w:r>
      <w:r w:rsidRPr="00085819">
        <w:rPr>
          <w:rFonts w:ascii="Times New Roman" w:hAnsi="Times New Roman"/>
          <w:bCs/>
        </w:rPr>
        <w:t xml:space="preserve">dated </w:t>
      </w:r>
      <w:r w:rsidRPr="00085819" w:rsidR="00D860DE">
        <w:rPr>
          <w:rFonts w:ascii="Times New Roman" w:hAnsi="Times New Roman"/>
          <w:bCs/>
        </w:rPr>
        <w:t>November</w:t>
      </w:r>
      <w:r w:rsidRPr="00085819" w:rsidR="00D12134">
        <w:rPr>
          <w:rFonts w:ascii="Times New Roman" w:hAnsi="Times New Roman"/>
          <w:bCs/>
        </w:rPr>
        <w:t xml:space="preserve"> </w:t>
      </w:r>
      <w:r w:rsidRPr="00085819" w:rsidR="001E714E">
        <w:rPr>
          <w:rFonts w:ascii="Times New Roman" w:hAnsi="Times New Roman"/>
          <w:bCs/>
        </w:rPr>
        <w:t>2</w:t>
      </w:r>
      <w:r w:rsidRPr="00085819" w:rsidR="00D860DE">
        <w:rPr>
          <w:rFonts w:ascii="Times New Roman" w:hAnsi="Times New Roman"/>
          <w:bCs/>
        </w:rPr>
        <w:t>1</w:t>
      </w:r>
      <w:r w:rsidRPr="00085819" w:rsidR="00D12134">
        <w:rPr>
          <w:rFonts w:ascii="Times New Roman" w:hAnsi="Times New Roman"/>
          <w:bCs/>
        </w:rPr>
        <w:t>, 20</w:t>
      </w:r>
      <w:r w:rsidRPr="00085819" w:rsidR="00233A70">
        <w:rPr>
          <w:rFonts w:ascii="Times New Roman" w:hAnsi="Times New Roman"/>
          <w:bCs/>
        </w:rPr>
        <w:t>1</w:t>
      </w:r>
      <w:r w:rsidRPr="00085819" w:rsidR="00D860DE">
        <w:rPr>
          <w:rFonts w:ascii="Times New Roman" w:hAnsi="Times New Roman"/>
          <w:bCs/>
        </w:rPr>
        <w:t>9</w:t>
      </w:r>
      <w:r w:rsidRPr="00085819">
        <w:rPr>
          <w:rFonts w:ascii="Times New Roman" w:hAnsi="Times New Roman"/>
          <w:bCs/>
        </w:rPr>
        <w:t>, we received</w:t>
      </w:r>
      <w:r w:rsidRPr="00085819" w:rsidR="000C33F9">
        <w:rPr>
          <w:rFonts w:ascii="Times New Roman" w:hAnsi="Times New Roman"/>
          <w:bCs/>
        </w:rPr>
        <w:t xml:space="preserve"> </w:t>
      </w:r>
      <w:r w:rsidRPr="00085819">
        <w:rPr>
          <w:rFonts w:ascii="Times New Roman" w:hAnsi="Times New Roman"/>
          <w:bCs/>
        </w:rPr>
        <w:t xml:space="preserve">no comments during the comment period.          </w:t>
      </w:r>
    </w:p>
    <w:p w:rsidRPr="00085819" w:rsidR="00CB5EE7" w:rsidRDefault="00CB5EE7">
      <w:pPr>
        <w:rPr>
          <w:rFonts w:ascii="Times New Roman" w:hAnsi="Times New Roman"/>
          <w:bCs/>
        </w:rPr>
      </w:pPr>
    </w:p>
    <w:p w:rsidRPr="00085819" w:rsidR="00CB5EE7" w:rsidRDefault="00CB5EE7">
      <w:pPr>
        <w:pStyle w:val="Level1"/>
        <w:numPr>
          <w:ilvl w:val="0"/>
          <w:numId w:val="2"/>
        </w:numPr>
        <w:tabs>
          <w:tab w:val="left" w:pos="-1440"/>
          <w:tab w:val="num" w:pos="720"/>
        </w:tabs>
        <w:rPr>
          <w:rFonts w:ascii="Times New Roman" w:hAnsi="Times New Roman"/>
          <w:bCs/>
        </w:rPr>
      </w:pPr>
      <w:r w:rsidRPr="00085819">
        <w:rPr>
          <w:rFonts w:ascii="Times New Roman" w:hAnsi="Times New Roman"/>
          <w:bCs/>
        </w:rPr>
        <w:t>EXPLANATION OF DECISION TO PROVIDE ANY PAYMENT OR GIFT TO   RESPONDENTS</w:t>
      </w:r>
    </w:p>
    <w:p w:rsidRPr="00085819" w:rsidR="00CB5EE7" w:rsidRDefault="00CB5EE7">
      <w:pPr>
        <w:rPr>
          <w:rFonts w:ascii="Times New Roman" w:hAnsi="Times New Roman"/>
          <w:bCs/>
        </w:rPr>
      </w:pPr>
    </w:p>
    <w:p w:rsidRPr="00085819" w:rsidR="00CB5EE7" w:rsidRDefault="00427ABE">
      <w:pPr>
        <w:ind w:left="720"/>
        <w:rPr>
          <w:rFonts w:ascii="Times New Roman" w:hAnsi="Times New Roman"/>
          <w:bCs/>
        </w:rPr>
      </w:pPr>
      <w:r w:rsidRPr="00085819">
        <w:rPr>
          <w:rFonts w:ascii="Times New Roman" w:hAnsi="Times New Roman"/>
        </w:rPr>
        <w:t xml:space="preserve">No payment or gift </w:t>
      </w:r>
      <w:proofErr w:type="gramStart"/>
      <w:r w:rsidRPr="00085819">
        <w:rPr>
          <w:rFonts w:ascii="Times New Roman" w:hAnsi="Times New Roman"/>
        </w:rPr>
        <w:t>has been provided</w:t>
      </w:r>
      <w:proofErr w:type="gramEnd"/>
      <w:r w:rsidRPr="00085819">
        <w:rPr>
          <w:rFonts w:ascii="Times New Roman" w:hAnsi="Times New Roman"/>
        </w:rPr>
        <w:t xml:space="preserve"> to any respondents.</w:t>
      </w:r>
    </w:p>
    <w:p w:rsidRPr="00085819" w:rsidR="00CB5EE7" w:rsidRDefault="00CB5EE7">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10.</w:t>
      </w:r>
      <w:r w:rsidRPr="00085819">
        <w:rPr>
          <w:rFonts w:ascii="Times New Roman" w:hAnsi="Times New Roman"/>
          <w:bCs/>
        </w:rPr>
        <w:tab/>
        <w:t>ASSURANCE OF CONFIDENTIALITY OF RESPONSES</w:t>
      </w:r>
    </w:p>
    <w:p w:rsidRPr="00085819" w:rsidR="00CB5EE7" w:rsidRDefault="00CB5EE7">
      <w:pPr>
        <w:rPr>
          <w:rFonts w:ascii="Times New Roman" w:hAnsi="Times New Roman"/>
          <w:bCs/>
        </w:rPr>
      </w:pPr>
    </w:p>
    <w:p w:rsidRPr="00085819" w:rsidR="00CB5EE7" w:rsidRDefault="00CB5EE7">
      <w:pPr>
        <w:ind w:left="720"/>
        <w:rPr>
          <w:rFonts w:ascii="Times New Roman" w:hAnsi="Times New Roman"/>
          <w:bCs/>
        </w:rPr>
      </w:pPr>
      <w:r w:rsidRPr="00085819">
        <w:rPr>
          <w:rFonts w:ascii="Times New Roman" w:hAnsi="Times New Roman"/>
          <w:bCs/>
        </w:rPr>
        <w:t>Generally, tax returns and return information are confidential as required by 26 U.S.C. 6103.</w:t>
      </w:r>
    </w:p>
    <w:p w:rsidRPr="00085819" w:rsidR="00CB5EE7" w:rsidRDefault="00CB5EE7">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11.</w:t>
      </w:r>
      <w:r w:rsidRPr="00085819">
        <w:rPr>
          <w:rFonts w:ascii="Times New Roman" w:hAnsi="Times New Roman"/>
          <w:bCs/>
        </w:rPr>
        <w:tab/>
        <w:t>JUSTIFICATION OF SENSITIVE QUESTIONS</w:t>
      </w:r>
    </w:p>
    <w:p w:rsidRPr="00085819" w:rsidR="00CB5EE7" w:rsidRDefault="00CB5EE7">
      <w:pPr>
        <w:rPr>
          <w:rFonts w:ascii="Times New Roman" w:hAnsi="Times New Roman"/>
          <w:bCs/>
        </w:rPr>
      </w:pPr>
    </w:p>
    <w:p w:rsidRPr="00085819" w:rsidR="00427ABE" w:rsidP="00427ABE" w:rsidRDefault="00427ABE">
      <w:pPr>
        <w:ind w:left="720"/>
        <w:rPr>
          <w:rFonts w:ascii="Times New Roman" w:hAnsi="Times New Roman"/>
        </w:rPr>
      </w:pPr>
      <w:r w:rsidRPr="00085819">
        <w:rPr>
          <w:rFonts w:ascii="Times New Roman" w:hAnsi="Times New Roman"/>
        </w:rPr>
        <w:t>No personally identifiable information (PII) is collected.</w:t>
      </w:r>
    </w:p>
    <w:p w:rsidRPr="00085819" w:rsidR="00CB5EE7" w:rsidRDefault="00CB5EE7">
      <w:pPr>
        <w:ind w:left="720"/>
        <w:rPr>
          <w:rFonts w:ascii="Times New Roman" w:hAnsi="Times New Roman"/>
          <w:bCs/>
        </w:rPr>
      </w:pPr>
    </w:p>
    <w:p w:rsidRPr="00085819" w:rsidR="0059088D" w:rsidRDefault="0059088D">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12.</w:t>
      </w:r>
      <w:r w:rsidRPr="00085819">
        <w:rPr>
          <w:rFonts w:ascii="Times New Roman" w:hAnsi="Times New Roman"/>
          <w:bCs/>
        </w:rPr>
        <w:tab/>
        <w:t>ESTIMATED BURDEN OF INFORMATION COLLECTION</w:t>
      </w:r>
    </w:p>
    <w:p w:rsidRPr="00085819" w:rsidR="00CB5EE7" w:rsidRDefault="00CB5EE7">
      <w:pPr>
        <w:rPr>
          <w:rFonts w:ascii="Times New Roman" w:hAnsi="Times New Roman"/>
          <w:bCs/>
        </w:rPr>
      </w:pPr>
    </w:p>
    <w:p w:rsidRPr="00085819" w:rsidR="00427ABE" w:rsidRDefault="00CB5EE7">
      <w:pPr>
        <w:ind w:left="720"/>
        <w:rPr>
          <w:rFonts w:ascii="Times New Roman" w:hAnsi="Times New Roman"/>
          <w:bCs/>
        </w:rPr>
      </w:pPr>
      <w:r w:rsidRPr="00085819">
        <w:rPr>
          <w:rFonts w:ascii="Times New Roman" w:hAnsi="Times New Roman"/>
          <w:bCs/>
        </w:rPr>
        <w:t xml:space="preserve">Section 1.645-1 of the proposed regulation requires a statement to be completed and </w:t>
      </w:r>
      <w:proofErr w:type="gramStart"/>
      <w:r w:rsidRPr="00085819">
        <w:rPr>
          <w:rFonts w:ascii="Times New Roman" w:hAnsi="Times New Roman"/>
          <w:bCs/>
        </w:rPr>
        <w:t>attached</w:t>
      </w:r>
      <w:proofErr w:type="gramEnd"/>
      <w:r w:rsidRPr="00085819">
        <w:rPr>
          <w:rFonts w:ascii="Times New Roman" w:hAnsi="Times New Roman"/>
          <w:bCs/>
        </w:rPr>
        <w:t xml:space="preserve"> to the Form 1041, U.S. Income Tax Return for Estates and Trusts, filed for the estate for its first taxable year.  </w:t>
      </w:r>
    </w:p>
    <w:p w:rsidRPr="00085819" w:rsidR="00427ABE" w:rsidRDefault="00427ABE">
      <w:pPr>
        <w:ind w:left="720"/>
        <w:rPr>
          <w:rFonts w:ascii="Times New Roman" w:hAnsi="Times New Roman"/>
          <w:bCs/>
        </w:rPr>
      </w:pPr>
    </w:p>
    <w:p w:rsidRPr="00085819" w:rsidR="00427ABE" w:rsidRDefault="00427ABE">
      <w:pPr>
        <w:ind w:left="720"/>
        <w:rPr>
          <w:rFonts w:ascii="Times New Roman" w:hAnsi="Times New Roman"/>
          <w:bCs/>
        </w:rPr>
      </w:pPr>
      <w:r w:rsidRPr="00085819">
        <w:rPr>
          <w:rFonts w:ascii="Times New Roman" w:hAnsi="Times New Roman"/>
          <w:bCs/>
        </w:rPr>
        <w:t>The burden estimate is as follows:</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7"/>
        <w:gridCol w:w="2156"/>
        <w:gridCol w:w="2333"/>
        <w:gridCol w:w="2094"/>
      </w:tblGrid>
      <w:tr w:rsidRPr="00085819" w:rsidR="000E030A" w:rsidTr="00C5486D">
        <w:tc>
          <w:tcPr>
            <w:tcW w:w="2394" w:type="dxa"/>
            <w:shd w:val="clear" w:color="auto" w:fill="auto"/>
          </w:tcPr>
          <w:p w:rsidRPr="00085819" w:rsidR="000E030A" w:rsidRDefault="000E030A">
            <w:pPr>
              <w:rPr>
                <w:rFonts w:ascii="Times New Roman" w:hAnsi="Times New Roman"/>
                <w:bCs/>
              </w:rPr>
            </w:pPr>
            <w:r w:rsidRPr="00085819">
              <w:rPr>
                <w:rFonts w:ascii="Times New Roman" w:hAnsi="Times New Roman"/>
                <w:bCs/>
              </w:rPr>
              <w:t>TD</w:t>
            </w:r>
          </w:p>
        </w:tc>
        <w:tc>
          <w:tcPr>
            <w:tcW w:w="2394" w:type="dxa"/>
            <w:shd w:val="clear" w:color="auto" w:fill="auto"/>
          </w:tcPr>
          <w:p w:rsidRPr="00085819" w:rsidR="000E030A" w:rsidRDefault="000E030A">
            <w:pPr>
              <w:rPr>
                <w:rFonts w:ascii="Times New Roman" w:hAnsi="Times New Roman"/>
                <w:bCs/>
              </w:rPr>
            </w:pPr>
            <w:r w:rsidRPr="00085819">
              <w:rPr>
                <w:rFonts w:ascii="Times New Roman" w:hAnsi="Times New Roman"/>
                <w:bCs/>
              </w:rPr>
              <w:t>Responses (Trusts)</w:t>
            </w:r>
          </w:p>
        </w:tc>
        <w:tc>
          <w:tcPr>
            <w:tcW w:w="2394" w:type="dxa"/>
            <w:shd w:val="clear" w:color="auto" w:fill="auto"/>
          </w:tcPr>
          <w:p w:rsidRPr="00085819" w:rsidR="000E030A" w:rsidP="000E030A" w:rsidRDefault="000E030A">
            <w:pPr>
              <w:rPr>
                <w:rFonts w:ascii="Times New Roman" w:hAnsi="Times New Roman"/>
                <w:bCs/>
              </w:rPr>
            </w:pPr>
            <w:r w:rsidRPr="00085819">
              <w:rPr>
                <w:rFonts w:ascii="Times New Roman" w:hAnsi="Times New Roman"/>
                <w:bCs/>
              </w:rPr>
              <w:t xml:space="preserve">Time/per/responses </w:t>
            </w:r>
          </w:p>
        </w:tc>
        <w:tc>
          <w:tcPr>
            <w:tcW w:w="2394" w:type="dxa"/>
            <w:shd w:val="clear" w:color="auto" w:fill="auto"/>
          </w:tcPr>
          <w:p w:rsidRPr="00085819" w:rsidR="000E030A" w:rsidRDefault="000E030A">
            <w:pPr>
              <w:rPr>
                <w:rFonts w:ascii="Times New Roman" w:hAnsi="Times New Roman"/>
                <w:bCs/>
              </w:rPr>
            </w:pPr>
            <w:r w:rsidRPr="00085819">
              <w:rPr>
                <w:rFonts w:ascii="Times New Roman" w:hAnsi="Times New Roman"/>
                <w:bCs/>
              </w:rPr>
              <w:t>Total Burden Hours</w:t>
            </w:r>
          </w:p>
        </w:tc>
      </w:tr>
      <w:tr w:rsidRPr="00085819" w:rsidR="000E030A" w:rsidTr="00C5486D">
        <w:tc>
          <w:tcPr>
            <w:tcW w:w="2394" w:type="dxa"/>
            <w:shd w:val="clear" w:color="auto" w:fill="auto"/>
          </w:tcPr>
          <w:p w:rsidRPr="00085819" w:rsidR="000E030A" w:rsidRDefault="000E030A">
            <w:pPr>
              <w:rPr>
                <w:rFonts w:ascii="Times New Roman" w:hAnsi="Times New Roman"/>
                <w:bCs/>
              </w:rPr>
            </w:pPr>
            <w:r w:rsidRPr="00085819">
              <w:rPr>
                <w:rFonts w:ascii="Times New Roman" w:hAnsi="Times New Roman"/>
                <w:bCs/>
              </w:rPr>
              <w:t>TD 9032</w:t>
            </w:r>
          </w:p>
        </w:tc>
        <w:tc>
          <w:tcPr>
            <w:tcW w:w="2394" w:type="dxa"/>
            <w:shd w:val="clear" w:color="auto" w:fill="auto"/>
          </w:tcPr>
          <w:p w:rsidRPr="00085819" w:rsidR="000E030A" w:rsidRDefault="000E030A">
            <w:pPr>
              <w:rPr>
                <w:rFonts w:ascii="Times New Roman" w:hAnsi="Times New Roman"/>
                <w:bCs/>
              </w:rPr>
            </w:pPr>
            <w:r w:rsidRPr="00085819">
              <w:rPr>
                <w:rFonts w:ascii="Times New Roman" w:hAnsi="Times New Roman"/>
                <w:bCs/>
              </w:rPr>
              <w:t>10,000</w:t>
            </w:r>
          </w:p>
        </w:tc>
        <w:tc>
          <w:tcPr>
            <w:tcW w:w="2394" w:type="dxa"/>
            <w:shd w:val="clear" w:color="auto" w:fill="auto"/>
          </w:tcPr>
          <w:p w:rsidRPr="00085819" w:rsidR="000E030A" w:rsidRDefault="000E030A">
            <w:pPr>
              <w:rPr>
                <w:rFonts w:ascii="Times New Roman" w:hAnsi="Times New Roman"/>
                <w:bCs/>
              </w:rPr>
            </w:pPr>
            <w:bookmarkStart w:name="_GoBack" w:id="0"/>
            <w:bookmarkEnd w:id="0"/>
            <w:r w:rsidRPr="00085819">
              <w:rPr>
                <w:rFonts w:ascii="Times New Roman" w:hAnsi="Times New Roman"/>
                <w:bCs/>
              </w:rPr>
              <w:t>30 minutes</w:t>
            </w:r>
          </w:p>
        </w:tc>
        <w:tc>
          <w:tcPr>
            <w:tcW w:w="2394" w:type="dxa"/>
            <w:shd w:val="clear" w:color="auto" w:fill="auto"/>
          </w:tcPr>
          <w:p w:rsidRPr="00085819" w:rsidR="000E030A" w:rsidRDefault="000E030A">
            <w:pPr>
              <w:rPr>
                <w:rFonts w:ascii="Times New Roman" w:hAnsi="Times New Roman"/>
                <w:bCs/>
              </w:rPr>
            </w:pPr>
            <w:r w:rsidRPr="00085819">
              <w:rPr>
                <w:rFonts w:ascii="Times New Roman" w:hAnsi="Times New Roman"/>
                <w:bCs/>
              </w:rPr>
              <w:t>5,000</w:t>
            </w:r>
          </w:p>
        </w:tc>
      </w:tr>
    </w:tbl>
    <w:p w:rsidRPr="00085819" w:rsidR="00427ABE" w:rsidRDefault="00427ABE">
      <w:pPr>
        <w:ind w:left="720"/>
        <w:rPr>
          <w:rFonts w:ascii="Times New Roman" w:hAnsi="Times New Roman"/>
          <w:bCs/>
        </w:rPr>
      </w:pPr>
    </w:p>
    <w:p w:rsidRPr="00085819" w:rsidR="000C33F9" w:rsidRDefault="000C33F9">
      <w:pPr>
        <w:ind w:left="720"/>
        <w:rPr>
          <w:rFonts w:ascii="Times New Roman" w:hAnsi="Times New Roman"/>
          <w:bCs/>
        </w:rPr>
      </w:pPr>
    </w:p>
    <w:p w:rsidRPr="00085819" w:rsidR="00CB5EE7" w:rsidRDefault="00CB5EE7">
      <w:pPr>
        <w:rPr>
          <w:rFonts w:ascii="Times New Roman" w:hAnsi="Times New Roman"/>
          <w:bCs/>
        </w:rPr>
      </w:pPr>
    </w:p>
    <w:p w:rsidRPr="00085819" w:rsidR="00CB5EE7" w:rsidRDefault="00CB5EE7">
      <w:pPr>
        <w:rPr>
          <w:rFonts w:ascii="Times New Roman" w:hAnsi="Times New Roman"/>
          <w:bCs/>
        </w:rPr>
        <w:sectPr w:rsidRPr="00085819" w:rsidR="00CB5EE7">
          <w:headerReference w:type="default" r:id="rId7"/>
          <w:type w:val="continuous"/>
          <w:pgSz w:w="12240" w:h="15840"/>
          <w:pgMar w:top="1440" w:right="1440" w:bottom="1440" w:left="1440" w:header="1440" w:footer="1440" w:gutter="0"/>
          <w:cols w:space="720"/>
          <w:noEndnote/>
        </w:sectPr>
      </w:pPr>
    </w:p>
    <w:p w:rsidRPr="00085819" w:rsidR="00CB5EE7" w:rsidRDefault="00CB5EE7">
      <w:pPr>
        <w:rPr>
          <w:rFonts w:ascii="Times New Roman" w:hAnsi="Times New Roman"/>
          <w:bCs/>
        </w:rPr>
      </w:pPr>
      <w:r w:rsidRPr="00085819">
        <w:rPr>
          <w:rFonts w:ascii="Times New Roman" w:hAnsi="Times New Roman"/>
          <w:bCs/>
        </w:rPr>
        <w:t>13.</w:t>
      </w:r>
      <w:r w:rsidRPr="00085819">
        <w:rPr>
          <w:rFonts w:ascii="Times New Roman" w:hAnsi="Times New Roman"/>
          <w:bCs/>
        </w:rPr>
        <w:tab/>
        <w:t>ESTIMATED TOTAL ANNUAL COST BURDEN TO RESPONDENTS</w:t>
      </w:r>
    </w:p>
    <w:p w:rsidRPr="00085819" w:rsidR="00CB5EE7" w:rsidRDefault="00CB5EE7">
      <w:pPr>
        <w:rPr>
          <w:rFonts w:ascii="Times New Roman" w:hAnsi="Times New Roman"/>
          <w:bCs/>
        </w:rPr>
      </w:pPr>
    </w:p>
    <w:p w:rsidRPr="00085819" w:rsidR="000E030A" w:rsidP="000E030A" w:rsidRDefault="000E030A">
      <w:pPr>
        <w:ind w:left="720"/>
        <w:rPr>
          <w:rFonts w:ascii="Times New Roman" w:hAnsi="Times New Roman"/>
        </w:rPr>
      </w:pPr>
      <w:r w:rsidRPr="00085819">
        <w:rPr>
          <w:rFonts w:ascii="Times New Roman" w:hAnsi="Times New Roman"/>
        </w:rPr>
        <w:t>There are no capital/start-up or ongoing operation/maintenance cost associated with this information collection.</w:t>
      </w:r>
    </w:p>
    <w:p w:rsidRPr="00085819" w:rsidR="00CB5EE7" w:rsidP="000C33F9" w:rsidRDefault="00CB5EE7">
      <w:pPr>
        <w:tabs>
          <w:tab w:val="left" w:pos="-1440"/>
        </w:tabs>
        <w:ind w:left="720"/>
        <w:rPr>
          <w:rFonts w:ascii="Times New Roman" w:hAnsi="Times New Roman"/>
          <w:bCs/>
        </w:rPr>
      </w:pPr>
    </w:p>
    <w:p w:rsidRPr="00085819" w:rsidR="00CB5EE7" w:rsidRDefault="00CB5EE7">
      <w:pPr>
        <w:rPr>
          <w:rFonts w:ascii="Times New Roman" w:hAnsi="Times New Roman"/>
          <w:bCs/>
        </w:rPr>
      </w:pPr>
    </w:p>
    <w:p w:rsidRPr="00085819" w:rsidR="00CB5EE7" w:rsidRDefault="00CB5EE7">
      <w:pPr>
        <w:pStyle w:val="Level1"/>
        <w:tabs>
          <w:tab w:val="left" w:pos="-1440"/>
          <w:tab w:val="num" w:pos="720"/>
        </w:tabs>
        <w:rPr>
          <w:rFonts w:ascii="Times New Roman" w:hAnsi="Times New Roman"/>
          <w:bCs/>
        </w:rPr>
      </w:pPr>
      <w:r w:rsidRPr="00085819">
        <w:rPr>
          <w:rFonts w:ascii="Times New Roman" w:hAnsi="Times New Roman"/>
          <w:bCs/>
        </w:rPr>
        <w:t>ESTIMATED ANNUALIZED COST TO THE FEDERAL GOVERNMENT</w:t>
      </w:r>
    </w:p>
    <w:p w:rsidRPr="00085819" w:rsidR="00CB5EE7" w:rsidRDefault="00CB5EE7">
      <w:pPr>
        <w:rPr>
          <w:rFonts w:ascii="Times New Roman" w:hAnsi="Times New Roman"/>
          <w:bCs/>
        </w:rPr>
      </w:pPr>
    </w:p>
    <w:p w:rsidRPr="00085819" w:rsidR="000E030A" w:rsidP="000E030A" w:rsidRDefault="000E030A">
      <w:pPr>
        <w:ind w:left="576" w:hanging="576"/>
        <w:rPr>
          <w:rFonts w:ascii="Times New Roman" w:hAnsi="Times New Roman"/>
        </w:rPr>
      </w:pPr>
      <w:r w:rsidRPr="00085819">
        <w:rPr>
          <w:rFonts w:ascii="Times New Roman" w:hAnsi="Times New Roman"/>
        </w:rPr>
        <w:t xml:space="preserve">    </w:t>
      </w:r>
      <w:r w:rsidR="00085819">
        <w:rPr>
          <w:rFonts w:ascii="Times New Roman" w:hAnsi="Times New Roman"/>
        </w:rPr>
        <w:tab/>
      </w:r>
      <w:r w:rsidRPr="00085819">
        <w:rPr>
          <w:rFonts w:ascii="Times New Roman" w:hAnsi="Times New Roman"/>
        </w:rPr>
        <w:t xml:space="preserve"> There is no estimated annualized cost to the federal government.</w:t>
      </w:r>
    </w:p>
    <w:p w:rsidRPr="00085819" w:rsidR="00CB5EE7" w:rsidRDefault="00CB5EE7">
      <w:pPr>
        <w:ind w:left="720"/>
        <w:rPr>
          <w:rFonts w:ascii="Times New Roman" w:hAnsi="Times New Roman"/>
          <w:bCs/>
        </w:rPr>
      </w:pPr>
    </w:p>
    <w:p w:rsidRPr="00085819" w:rsidR="00CB5EE7" w:rsidRDefault="00CB5EE7">
      <w:pPr>
        <w:rPr>
          <w:rFonts w:ascii="Times New Roman" w:hAnsi="Times New Roman"/>
          <w:bCs/>
        </w:rPr>
      </w:pPr>
    </w:p>
    <w:p w:rsidRPr="00085819" w:rsidR="00CB5EE7" w:rsidRDefault="00CB5EE7">
      <w:pPr>
        <w:pStyle w:val="Level1"/>
        <w:tabs>
          <w:tab w:val="left" w:pos="-1440"/>
          <w:tab w:val="num" w:pos="720"/>
        </w:tabs>
        <w:rPr>
          <w:rFonts w:ascii="Times New Roman" w:hAnsi="Times New Roman"/>
          <w:bCs/>
        </w:rPr>
      </w:pPr>
      <w:r w:rsidRPr="00085819">
        <w:rPr>
          <w:rFonts w:ascii="Times New Roman" w:hAnsi="Times New Roman"/>
          <w:bCs/>
        </w:rPr>
        <w:t>REASONS FOR CHANGE IN BURDEN</w:t>
      </w:r>
    </w:p>
    <w:p w:rsidRPr="00085819" w:rsidR="00CB5EE7" w:rsidRDefault="00CB5EE7">
      <w:pPr>
        <w:rPr>
          <w:rFonts w:ascii="Times New Roman" w:hAnsi="Times New Roman"/>
          <w:bCs/>
        </w:rPr>
      </w:pPr>
    </w:p>
    <w:p w:rsidRPr="00085819" w:rsidR="00CB5EE7" w:rsidP="000C33F9" w:rsidRDefault="00CB5EE7">
      <w:pPr>
        <w:ind w:left="720"/>
        <w:rPr>
          <w:rFonts w:ascii="Times New Roman" w:hAnsi="Times New Roman"/>
          <w:bCs/>
        </w:rPr>
      </w:pPr>
      <w:r w:rsidRPr="00085819">
        <w:rPr>
          <w:rFonts w:ascii="Times New Roman" w:hAnsi="Times New Roman"/>
          <w:bCs/>
        </w:rPr>
        <w:t>There is no change in the paperwork burden previously approved by OMB.  We are making this submission to renew the OMB approval.</w:t>
      </w:r>
    </w:p>
    <w:p w:rsidRPr="00085819" w:rsidR="00CB5EE7" w:rsidRDefault="00CB5EE7">
      <w:pPr>
        <w:rPr>
          <w:rFonts w:ascii="Times New Roman" w:hAnsi="Times New Roman"/>
          <w:bCs/>
        </w:rPr>
      </w:pPr>
    </w:p>
    <w:p w:rsidRPr="00085819" w:rsidR="00CB5EE7" w:rsidRDefault="00CB5EE7">
      <w:pPr>
        <w:pStyle w:val="Level1"/>
        <w:tabs>
          <w:tab w:val="left" w:pos="-1440"/>
          <w:tab w:val="num" w:pos="720"/>
        </w:tabs>
        <w:rPr>
          <w:rFonts w:ascii="Times New Roman" w:hAnsi="Times New Roman"/>
          <w:bCs/>
        </w:rPr>
      </w:pPr>
      <w:r w:rsidRPr="00085819">
        <w:rPr>
          <w:rFonts w:ascii="Times New Roman" w:hAnsi="Times New Roman"/>
          <w:bCs/>
        </w:rPr>
        <w:t>PLANS FOR TABULATION, STATISTICAL ANALYSIS AND PUBLICATION</w:t>
      </w:r>
    </w:p>
    <w:p w:rsidRPr="00085819" w:rsidR="00CB5EE7" w:rsidRDefault="00CB5EE7">
      <w:pPr>
        <w:rPr>
          <w:rFonts w:ascii="Times New Roman" w:hAnsi="Times New Roman"/>
          <w:bCs/>
        </w:rPr>
      </w:pPr>
    </w:p>
    <w:p w:rsidRPr="00085819" w:rsidR="000E030A" w:rsidP="000E030A" w:rsidRDefault="000E030A">
      <w:pPr>
        <w:rPr>
          <w:rFonts w:ascii="Times New Roman" w:hAnsi="Times New Roman"/>
        </w:rPr>
      </w:pPr>
      <w:r w:rsidRPr="00085819">
        <w:rPr>
          <w:rFonts w:ascii="Times New Roman" w:hAnsi="Times New Roman"/>
        </w:rPr>
        <w:t xml:space="preserve">     </w:t>
      </w:r>
      <w:r w:rsidR="00085819">
        <w:rPr>
          <w:rFonts w:ascii="Times New Roman" w:hAnsi="Times New Roman"/>
        </w:rPr>
        <w:tab/>
      </w:r>
      <w:r w:rsidRPr="00085819">
        <w:rPr>
          <w:rFonts w:ascii="Times New Roman" w:hAnsi="Times New Roman"/>
        </w:rPr>
        <w:t>There are no plans for tabulation, statistical analysis and publication.</w:t>
      </w:r>
    </w:p>
    <w:p w:rsidRPr="00085819" w:rsidR="00CB5EE7" w:rsidRDefault="00CB5EE7">
      <w:pPr>
        <w:ind w:left="720"/>
        <w:rPr>
          <w:rFonts w:ascii="Times New Roman" w:hAnsi="Times New Roman"/>
          <w:bCs/>
        </w:rPr>
      </w:pPr>
    </w:p>
    <w:p w:rsidRPr="00085819" w:rsidR="001E714E" w:rsidRDefault="001E714E">
      <w:pPr>
        <w:ind w:left="720"/>
        <w:rPr>
          <w:rFonts w:ascii="Times New Roman" w:hAnsi="Times New Roman"/>
          <w:bCs/>
        </w:rPr>
      </w:pPr>
    </w:p>
    <w:p w:rsidRPr="00085819" w:rsidR="00CB5EE7" w:rsidRDefault="00CB5EE7">
      <w:pPr>
        <w:pStyle w:val="Level1"/>
        <w:tabs>
          <w:tab w:val="left" w:pos="-1440"/>
          <w:tab w:val="num" w:pos="720"/>
        </w:tabs>
        <w:rPr>
          <w:rFonts w:ascii="Times New Roman" w:hAnsi="Times New Roman"/>
          <w:bCs/>
        </w:rPr>
      </w:pPr>
      <w:r w:rsidRPr="00085819">
        <w:rPr>
          <w:rFonts w:ascii="Times New Roman" w:hAnsi="Times New Roman"/>
          <w:bCs/>
        </w:rPr>
        <w:t>REASONS WHY DISPLAYING THE OMB EXPIRATION DATE IS      INAPPROPRIATE</w:t>
      </w:r>
    </w:p>
    <w:p w:rsidRPr="00085819" w:rsidR="00CB5EE7" w:rsidRDefault="00CB5EE7">
      <w:pPr>
        <w:rPr>
          <w:rFonts w:ascii="Times New Roman" w:hAnsi="Times New Roman"/>
          <w:bCs/>
        </w:rPr>
      </w:pPr>
    </w:p>
    <w:p w:rsidRPr="00085819" w:rsidR="000C33F9" w:rsidRDefault="00D860DE">
      <w:pPr>
        <w:ind w:left="720"/>
        <w:rPr>
          <w:rFonts w:ascii="Times New Roman" w:hAnsi="Times New Roman"/>
          <w:bCs/>
        </w:rPr>
      </w:pPr>
      <w:r w:rsidRPr="00085819">
        <w:rPr>
          <w:rFonts w:ascii="Times New Roman" w:hAnsi="Times New Roman"/>
          <w:bCs/>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085819" w:rsidR="000C33F9" w:rsidRDefault="000C33F9">
      <w:pPr>
        <w:ind w:left="720"/>
        <w:rPr>
          <w:rFonts w:ascii="Times New Roman" w:hAnsi="Times New Roman"/>
          <w:bCs/>
        </w:rPr>
      </w:pPr>
    </w:p>
    <w:p w:rsidRPr="00085819" w:rsidR="00CB5EE7" w:rsidRDefault="00CB5EE7">
      <w:pPr>
        <w:rPr>
          <w:rFonts w:ascii="Times New Roman" w:hAnsi="Times New Roman"/>
          <w:bCs/>
        </w:rPr>
      </w:pPr>
    </w:p>
    <w:p w:rsidRPr="00085819" w:rsidR="00CB5EE7" w:rsidRDefault="00CB5EE7">
      <w:pPr>
        <w:pStyle w:val="Level1"/>
        <w:tabs>
          <w:tab w:val="left" w:pos="-1440"/>
          <w:tab w:val="num" w:pos="720"/>
        </w:tabs>
        <w:rPr>
          <w:rFonts w:ascii="Times New Roman" w:hAnsi="Times New Roman"/>
          <w:bCs/>
        </w:rPr>
      </w:pPr>
      <w:r w:rsidRPr="00085819">
        <w:rPr>
          <w:rFonts w:ascii="Times New Roman" w:hAnsi="Times New Roman"/>
          <w:bCs/>
        </w:rPr>
        <w:t>EXCEPTIONS TO THE CERTIFICATION STATEMENT</w:t>
      </w:r>
    </w:p>
    <w:p w:rsidRPr="00085819" w:rsidR="00CB5EE7" w:rsidRDefault="00CB5EE7">
      <w:pPr>
        <w:rPr>
          <w:rFonts w:ascii="Times New Roman" w:hAnsi="Times New Roman"/>
          <w:bCs/>
        </w:rPr>
      </w:pPr>
    </w:p>
    <w:p w:rsidRPr="00085819" w:rsidR="004F6AD0" w:rsidP="004F6AD0" w:rsidRDefault="004F6AD0">
      <w:pPr>
        <w:ind w:left="720"/>
        <w:rPr>
          <w:rFonts w:ascii="Times New Roman" w:hAnsi="Times New Roman"/>
        </w:rPr>
      </w:pPr>
      <w:r w:rsidRPr="00085819">
        <w:rPr>
          <w:rFonts w:ascii="Times New Roman" w:hAnsi="Times New Roman"/>
        </w:rPr>
        <w:t>There are no exceptions to the certification statement.</w:t>
      </w:r>
    </w:p>
    <w:p w:rsidRPr="00085819" w:rsidR="00CB5EE7" w:rsidRDefault="00CB5EE7">
      <w:pPr>
        <w:rPr>
          <w:rFonts w:ascii="Times New Roman" w:hAnsi="Times New Roman"/>
          <w:bCs/>
        </w:rPr>
      </w:pPr>
    </w:p>
    <w:p w:rsidRPr="00085819" w:rsidR="00CB5EE7" w:rsidRDefault="00CB5EE7">
      <w:pPr>
        <w:rPr>
          <w:rFonts w:ascii="Times New Roman" w:hAnsi="Times New Roman"/>
          <w:bCs/>
        </w:rPr>
      </w:pPr>
    </w:p>
    <w:p w:rsidRPr="00085819" w:rsidR="00CB5EE7" w:rsidRDefault="00CB5EE7">
      <w:pPr>
        <w:rPr>
          <w:rFonts w:ascii="Times New Roman" w:hAnsi="Times New Roman"/>
          <w:bCs/>
        </w:rPr>
      </w:pPr>
      <w:r w:rsidRPr="00085819">
        <w:rPr>
          <w:rFonts w:ascii="Times New Roman" w:hAnsi="Times New Roman"/>
          <w:bCs/>
        </w:rPr>
        <w:t>Note:   The following paragraph applies to all of the collections of information in this submission:</w:t>
      </w:r>
    </w:p>
    <w:p w:rsidRPr="00085819" w:rsidR="00CB5EE7" w:rsidRDefault="00CB5EE7">
      <w:pPr>
        <w:rPr>
          <w:rFonts w:ascii="Times New Roman" w:hAnsi="Times New Roman"/>
          <w:bCs/>
        </w:rPr>
        <w:sectPr w:rsidRPr="00085819" w:rsidR="00CB5EE7">
          <w:type w:val="continuous"/>
          <w:pgSz w:w="12240" w:h="15840"/>
          <w:pgMar w:top="1440" w:right="1440" w:bottom="1440" w:left="1440" w:header="1440" w:footer="1440" w:gutter="0"/>
          <w:cols w:space="720"/>
          <w:noEndnote/>
        </w:sectPr>
      </w:pPr>
    </w:p>
    <w:p w:rsidRPr="00085819" w:rsidR="00D860DE" w:rsidP="000C33F9" w:rsidRDefault="00D860DE">
      <w:pPr>
        <w:ind w:firstLine="720"/>
        <w:rPr>
          <w:rFonts w:ascii="Times New Roman" w:hAnsi="Times New Roman"/>
          <w:bCs/>
        </w:rPr>
      </w:pPr>
    </w:p>
    <w:p w:rsidRPr="00085819" w:rsidR="000C33F9" w:rsidP="000C33F9" w:rsidRDefault="00CB5EE7">
      <w:pPr>
        <w:ind w:firstLine="720"/>
        <w:rPr>
          <w:rFonts w:ascii="Times New Roman" w:hAnsi="Times New Roman"/>
          <w:bCs/>
        </w:rPr>
      </w:pPr>
      <w:r w:rsidRPr="00085819">
        <w:rPr>
          <w:rFonts w:ascii="Times New Roman" w:hAnsi="Times New Roman"/>
          <w:bCs/>
        </w:rPr>
        <w:t xml:space="preserve">An agency may not conduct or sponsor, and a person is not required to respond to, a collection of information unless the collection of information displays a valid OMB control number.  Books or records relating to a collection of information </w:t>
      </w:r>
      <w:proofErr w:type="gramStart"/>
      <w:r w:rsidRPr="00085819">
        <w:rPr>
          <w:rFonts w:ascii="Times New Roman" w:hAnsi="Times New Roman"/>
          <w:bCs/>
        </w:rPr>
        <w:t>must be retained</w:t>
      </w:r>
      <w:proofErr w:type="gramEnd"/>
      <w:r w:rsidRPr="00085819">
        <w:rPr>
          <w:rFonts w:ascii="Times New Roman" w:hAnsi="Times New Roman"/>
          <w:bCs/>
        </w:rPr>
        <w:t xml:space="preserve"> as long as their contents may become material in the administration of any internal revenue law.  Generally, tax returns and tax return information are confidential, as required by 26 U.S.C. 6103.</w:t>
      </w:r>
      <w:r w:rsidRPr="00085819" w:rsidR="000C33F9">
        <w:rPr>
          <w:rFonts w:ascii="Times New Roman" w:hAnsi="Times New Roman"/>
          <w:bCs/>
        </w:rPr>
        <w:t xml:space="preserve">  </w:t>
      </w:r>
    </w:p>
    <w:sectPr w:rsidRPr="00085819" w:rsidR="000C33F9" w:rsidSect="00CB5EE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16" w:rsidRDefault="00010216">
      <w:r>
        <w:separator/>
      </w:r>
    </w:p>
  </w:endnote>
  <w:endnote w:type="continuationSeparator" w:id="0">
    <w:p w:rsidR="00010216" w:rsidRDefault="0001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16" w:rsidRDefault="00010216">
      <w:r>
        <w:separator/>
      </w:r>
    </w:p>
  </w:footnote>
  <w:footnote w:type="continuationSeparator" w:id="0">
    <w:p w:rsidR="00010216" w:rsidRDefault="0001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EE7" w:rsidRDefault="00085819">
    <w:pPr>
      <w:rPr>
        <w:rFonts w:ascii="Courier New" w:hAnsi="Courier New" w:cs="Courier New"/>
      </w:rPr>
    </w:pPr>
    <w:r>
      <w:rPr>
        <w:noProof/>
      </w:rPr>
      <mc:AlternateContent>
        <mc:Choice Requires="wps">
          <w:drawing>
            <wp:anchor distT="0" distB="0" distL="114300" distR="114300" simplePos="0" relativeHeight="251657728" behindDoc="1" locked="1" layoutInCell="0" allowOverlap="1">
              <wp:simplePos x="0" y="0"/>
              <wp:positionH relativeFrom="margin">
                <wp:posOffset>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B5EE7" w:rsidRDefault="00CB5EE7">
                          <w:pPr>
                            <w:pBdr>
                              <w:top w:val="single" w:sz="6" w:space="0" w:color="FFFFFF"/>
                              <w:left w:val="single" w:sz="6" w:space="0" w:color="FFFFFF"/>
                              <w:bottom w:val="single" w:sz="6" w:space="0" w:color="FFFFFF"/>
                              <w:right w:val="single" w:sz="6" w:space="0" w:color="FFFFFF"/>
                            </w:pBdr>
                            <w:tabs>
                              <w:tab w:val="center" w:pos="6120"/>
                              <w:tab w:val="right" w:pos="10800"/>
                            </w:tabs>
                            <w:rPr>
                              <w:rFonts w:ascii="Courier New" w:hAnsi="Courier New" w:cs="Courier New"/>
                            </w:rPr>
                          </w:pPr>
                          <w:r>
                            <w:rPr>
                              <w:rFonts w:ascii="Courier New" w:hAnsi="Courier New" w:cs="Courier New"/>
                            </w:rPr>
                            <w:tab/>
                          </w:r>
                          <w:r>
                            <w:rPr>
                              <w:rFonts w:ascii="Courier New" w:hAnsi="Courier New" w:cs="Courier New"/>
                            </w:rPr>
                            <w:fldChar w:fldCharType="begin"/>
                          </w:r>
                          <w:r>
                            <w:rPr>
                              <w:rFonts w:ascii="Courier New" w:hAnsi="Courier New" w:cs="Courier New"/>
                            </w:rPr>
                            <w:instrText xml:space="preserve">PAGE </w:instrText>
                          </w:r>
                          <w:r w:rsidR="000C33F9">
                            <w:rPr>
                              <w:rFonts w:ascii="Courier New" w:hAnsi="Courier New" w:cs="Courier New"/>
                            </w:rPr>
                            <w:fldChar w:fldCharType="separate"/>
                          </w:r>
                          <w:r w:rsidR="001F3570">
                            <w:rPr>
                              <w:rFonts w:ascii="Courier New" w:hAnsi="Courier New" w:cs="Courier New"/>
                              <w:noProof/>
                            </w:rPr>
                            <w:t>3</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" o:allowincell="f" filled="f" stroked="f" strokeweight="0">
              <v:textbox inset="0,0,0,0">
                <w:txbxContent>
                  <w:p w:rsidR="00CB5EE7" w:rsidRDefault="00CB5EE7">
                    <w:pPr>
                      <w:pBdr>
                        <w:top w:val="single" w:sz="6" w:space="0" w:color="FFFFFF"/>
                        <w:left w:val="single" w:sz="6" w:space="0" w:color="FFFFFF"/>
                        <w:bottom w:val="single" w:sz="6" w:space="0" w:color="FFFFFF"/>
                        <w:right w:val="single" w:sz="6" w:space="0" w:color="FFFFFF"/>
                      </w:pBdr>
                      <w:tabs>
                        <w:tab w:val="center" w:pos="6120"/>
                        <w:tab w:val="right" w:pos="10800"/>
                      </w:tabs>
                      <w:rPr>
                        <w:rFonts w:ascii="Courier New" w:hAnsi="Courier New" w:cs="Courier New"/>
                      </w:rPr>
                    </w:pPr>
                    <w:r>
                      <w:rPr>
                        <w:rFonts w:ascii="Courier New" w:hAnsi="Courier New" w:cs="Courier New"/>
                      </w:rPr>
                      <w:tab/>
                    </w:r>
                    <w:r>
                      <w:rPr>
                        <w:rFonts w:ascii="Courier New" w:hAnsi="Courier New" w:cs="Courier New"/>
                      </w:rPr>
                      <w:fldChar w:fldCharType="begin"/>
                    </w:r>
                    <w:r>
                      <w:rPr>
                        <w:rFonts w:ascii="Courier New" w:hAnsi="Courier New" w:cs="Courier New"/>
                      </w:rPr>
                      <w:instrText xml:space="preserve">PAGE </w:instrText>
                    </w:r>
                    <w:r w:rsidR="000C33F9">
                      <w:rPr>
                        <w:rFonts w:ascii="Courier New" w:hAnsi="Courier New" w:cs="Courier New"/>
                      </w:rPr>
                      <w:fldChar w:fldCharType="separate"/>
                    </w:r>
                    <w:r w:rsidR="001F3570">
                      <w:rPr>
                        <w:rFonts w:ascii="Courier New" w:hAnsi="Courier New" w:cs="Courier New"/>
                        <w:noProof/>
                      </w:rPr>
                      <w:t>3</w:t>
                    </w:r>
                    <w:r>
                      <w:rPr>
                        <w:rFonts w:ascii="Courier New" w:hAnsi="Courier New" w:cs="Courier New"/>
                      </w:rPr>
                      <w:fldChar w:fldCharType="end"/>
                    </w:r>
                  </w:p>
                </w:txbxContent>
              </v:textbox>
              <w10:wrap anchorx="margin"/>
              <w10:anchorlock/>
            </v:rect>
          </w:pict>
        </mc:Fallback>
      </mc:AlternateContent>
    </w:r>
  </w:p>
  <w:p w:rsidR="00CB5EE7" w:rsidRDefault="00CB5EE7">
    <w:pPr>
      <w:rPr>
        <w:rFonts w:ascii="Courier New" w:hAnsi="Courier New" w:cs="Courier New"/>
      </w:rPr>
    </w:pPr>
  </w:p>
  <w:p w:rsidR="00CB5EE7" w:rsidRDefault="00CB5EE7">
    <w:pPr>
      <w:spacing w:line="240" w:lineRule="exac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E7"/>
    <w:rsid w:val="00010216"/>
    <w:rsid w:val="00030B77"/>
    <w:rsid w:val="00046E4A"/>
    <w:rsid w:val="00085819"/>
    <w:rsid w:val="000C33F9"/>
    <w:rsid w:val="000E030A"/>
    <w:rsid w:val="001E714E"/>
    <w:rsid w:val="001F3570"/>
    <w:rsid w:val="00233A70"/>
    <w:rsid w:val="0026140E"/>
    <w:rsid w:val="0032449D"/>
    <w:rsid w:val="003609B1"/>
    <w:rsid w:val="0039635B"/>
    <w:rsid w:val="00427ABE"/>
    <w:rsid w:val="004E0061"/>
    <w:rsid w:val="004F6AD0"/>
    <w:rsid w:val="0059088D"/>
    <w:rsid w:val="006A213A"/>
    <w:rsid w:val="007E5E2A"/>
    <w:rsid w:val="0082285E"/>
    <w:rsid w:val="009D48A4"/>
    <w:rsid w:val="009D5D8B"/>
    <w:rsid w:val="00A86F1E"/>
    <w:rsid w:val="00C5486D"/>
    <w:rsid w:val="00CB5EE7"/>
    <w:rsid w:val="00D12134"/>
    <w:rsid w:val="00D467DB"/>
    <w:rsid w:val="00D860DE"/>
    <w:rsid w:val="00DB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561853"/>
  <w15:chartTrackingRefBased/>
  <w15:docId w15:val="{F0E35337-E59F-44B1-BBEF-24F17FE3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table" w:styleId="TableGrid">
    <w:name w:val="Table Grid"/>
    <w:basedOn w:val="TableNormal"/>
    <w:rsid w:val="000E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285E"/>
    <w:rPr>
      <w:rFonts w:ascii="Tahoma" w:hAnsi="Tahoma" w:cs="Tahoma"/>
      <w:sz w:val="16"/>
      <w:szCs w:val="16"/>
    </w:rPr>
  </w:style>
  <w:style w:type="character" w:customStyle="1" w:styleId="BalloonTextChar">
    <w:name w:val="Balloon Text Char"/>
    <w:link w:val="BalloonText"/>
    <w:rsid w:val="00822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754</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cp:lastModifiedBy>Clark, Spencer</cp:lastModifiedBy>
  <cp:revision>3</cp:revision>
  <cp:lastPrinted>2019-10-10T20:19:00Z</cp:lastPrinted>
  <dcterms:created xsi:type="dcterms:W3CDTF">2020-03-26T11:35:00Z</dcterms:created>
  <dcterms:modified xsi:type="dcterms:W3CDTF">2020-03-26T11:36:00Z</dcterms:modified>
</cp:coreProperties>
</file>