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44" w:rsidP="00053F44" w:rsidRDefault="00053F44">
      <w:pPr>
        <w:pStyle w:val="Header"/>
        <w:tabs>
          <w:tab w:val="clear" w:pos="4320"/>
          <w:tab w:val="clear" w:pos="8640"/>
        </w:tabs>
      </w:pPr>
      <w:bookmarkStart w:name="QuickMark" w:id="0"/>
      <w:bookmarkStart w:name="_GoBack" w:id="1"/>
      <w:bookmarkEnd w:id="0"/>
      <w:bookmarkEnd w:id="1"/>
      <w:r w:rsidRPr="00DE4730">
        <w:t>SUPPORTING STATEMENT FOR PAPERWORK REDUCTION ACT OF 1995 SUBMISSIONS</w:t>
      </w:r>
    </w:p>
    <w:p w:rsidR="00821357" w:rsidP="00053F44" w:rsidRDefault="00821357">
      <w:pPr>
        <w:pStyle w:val="Header"/>
        <w:tabs>
          <w:tab w:val="clear" w:pos="4320"/>
          <w:tab w:val="clear" w:pos="8640"/>
        </w:tabs>
      </w:pPr>
    </w:p>
    <w:p w:rsidRPr="00784C8D" w:rsidR="00821357" w:rsidP="00821357" w:rsidRDefault="00821357">
      <w:pPr>
        <w:widowControl/>
      </w:pPr>
      <w:r w:rsidRPr="00374AD6">
        <w:t>The Department of Labor, Employee Benefits Security Administration requests an extension without change for the information collections currently approved un</w:t>
      </w:r>
      <w:r>
        <w:t>der OMB Control Number 1210-0053</w:t>
      </w:r>
      <w:r w:rsidRPr="00374AD6">
        <w:t>.</w:t>
      </w:r>
    </w:p>
    <w:p w:rsidRPr="00DE4730" w:rsidR="00821357" w:rsidP="00053F44" w:rsidRDefault="00821357">
      <w:pPr>
        <w:pStyle w:val="Header"/>
        <w:tabs>
          <w:tab w:val="clear" w:pos="4320"/>
          <w:tab w:val="clear" w:pos="8640"/>
        </w:tabs>
      </w:pPr>
    </w:p>
    <w:p w:rsidRPr="00DE4730" w:rsidR="00053F44" w:rsidP="00C56518" w:rsidRDefault="00053F44">
      <w:pPr>
        <w:ind w:left="720"/>
      </w:pPr>
    </w:p>
    <w:p w:rsidRPr="00DE4730" w:rsidR="00053F44" w:rsidP="00C56518" w:rsidRDefault="00053F44">
      <w:pPr>
        <w:pStyle w:val="Heading1"/>
        <w:numPr>
          <w:ilvl w:val="0"/>
          <w:numId w:val="3"/>
        </w:numPr>
        <w:ind w:hanging="720"/>
      </w:pPr>
      <w:r w:rsidRPr="00DE4730">
        <w:t>Justification</w:t>
      </w:r>
    </w:p>
    <w:p w:rsidRPr="00DE4730" w:rsidR="00053F44" w:rsidP="00494D9A" w:rsidRDefault="00053F44">
      <w:pPr>
        <w:ind w:left="720"/>
      </w:pPr>
    </w:p>
    <w:p w:rsidRPr="00DE4730" w:rsidR="00FC2F3E" w:rsidP="00494D9A" w:rsidRDefault="00FC2F3E">
      <w:pPr>
        <w:pStyle w:val="Quick1"/>
        <w:widowControl/>
        <w:numPr>
          <w:ilvl w:val="0"/>
          <w:numId w:val="1"/>
        </w:numPr>
        <w:tabs>
          <w:tab w:val="left" w:pos="-1440"/>
          <w:tab w:val="num" w:pos="720"/>
        </w:tabs>
      </w:pPr>
      <w:r w:rsidRPr="00DE4730">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E4730" w:rsidR="00FC2F3E" w:rsidP="00494D9A" w:rsidRDefault="00FC2F3E">
      <w:pPr>
        <w:widowControl/>
        <w:ind w:left="720"/>
      </w:pPr>
    </w:p>
    <w:p w:rsidRPr="00DE4730" w:rsidR="00FC2F3E" w:rsidP="00494D9A" w:rsidRDefault="00FC2F3E">
      <w:pPr>
        <w:widowControl/>
        <w:ind w:left="720"/>
      </w:pPr>
      <w:r w:rsidRPr="00DE4730">
        <w:t>Section 503 (“</w:t>
      </w:r>
      <w:r w:rsidRPr="00DE4730" w:rsidR="000D7B34">
        <w:t xml:space="preserve">the </w:t>
      </w:r>
      <w:r w:rsidRPr="00DE4730">
        <w:t xml:space="preserve">Claims Procedure”) of </w:t>
      </w:r>
      <w:r w:rsidR="009606B9">
        <w:t xml:space="preserve">the </w:t>
      </w:r>
      <w:r w:rsidRPr="00DE4730">
        <w:t>E</w:t>
      </w:r>
      <w:r w:rsidR="009606B9">
        <w:t xml:space="preserve">mployment </w:t>
      </w:r>
      <w:r w:rsidRPr="00DE4730">
        <w:t>R</w:t>
      </w:r>
      <w:r w:rsidR="009606B9">
        <w:t xml:space="preserve">etirement </w:t>
      </w:r>
      <w:r w:rsidRPr="00DE4730">
        <w:t>I</w:t>
      </w:r>
      <w:r w:rsidR="009606B9">
        <w:t xml:space="preserve">ncome </w:t>
      </w:r>
      <w:r w:rsidRPr="00DE4730">
        <w:t>S</w:t>
      </w:r>
      <w:r w:rsidR="009606B9">
        <w:t xml:space="preserve">ecurity </w:t>
      </w:r>
      <w:r w:rsidRPr="00DE4730">
        <w:t>A</w:t>
      </w:r>
      <w:r w:rsidR="009606B9">
        <w:t>ct (ERISA)</w:t>
      </w:r>
      <w:r w:rsidRPr="00DE4730">
        <w:t xml:space="preserve"> states, in its entirety: </w:t>
      </w:r>
    </w:p>
    <w:p w:rsidRPr="00DE4730" w:rsidR="00FC2F3E" w:rsidP="00494D9A" w:rsidRDefault="00FC2F3E">
      <w:pPr>
        <w:widowControl/>
        <w:ind w:left="720"/>
      </w:pPr>
    </w:p>
    <w:p w:rsidRPr="00DE4730" w:rsidR="00FC2F3E" w:rsidP="00494D9A" w:rsidRDefault="00FC2F3E">
      <w:pPr>
        <w:widowControl/>
        <w:ind w:left="720"/>
      </w:pPr>
      <w:r w:rsidRPr="00DE4730">
        <w:t>In accordance with regulations of the Secretary</w:t>
      </w:r>
      <w:r w:rsidR="009606B9">
        <w:t xml:space="preserve"> of Labor</w:t>
      </w:r>
      <w:r w:rsidRPr="00DE4730">
        <w:t>, every employee benefit plan shall --</w:t>
      </w:r>
    </w:p>
    <w:p w:rsidRPr="00DE4730" w:rsidR="00FC2F3E" w:rsidP="00494D9A" w:rsidRDefault="00FC2F3E">
      <w:pPr>
        <w:widowControl/>
        <w:ind w:left="720"/>
      </w:pPr>
    </w:p>
    <w:p w:rsidRPr="00DE4730" w:rsidR="00FC2F3E" w:rsidP="00CC5573" w:rsidRDefault="00FC2F3E">
      <w:pPr>
        <w:widowControl/>
        <w:tabs>
          <w:tab w:val="left" w:pos="-1440"/>
        </w:tabs>
        <w:ind w:left="1440" w:hanging="720"/>
      </w:pPr>
      <w:r w:rsidRPr="00DE4730">
        <w:t>(1)</w:t>
      </w:r>
      <w:r w:rsidRPr="00DE4730">
        <w:tab/>
        <w:t xml:space="preserve">provide adequate notice in writing to any participant or beneficiary whose claim for benefits under the plan has been denied, setting forth the specific reasons for </w:t>
      </w:r>
      <w:proofErr w:type="gramStart"/>
      <w:r w:rsidRPr="00DE4730">
        <w:t>the</w:t>
      </w:r>
      <w:proofErr w:type="gramEnd"/>
      <w:r w:rsidRPr="00DE4730">
        <w:t xml:space="preserve"> denial, written in a manner calculated to be understood by the participant, and</w:t>
      </w:r>
    </w:p>
    <w:p w:rsidRPr="00DE4730" w:rsidR="00FC2F3E" w:rsidP="00CC5573" w:rsidRDefault="00FC2F3E">
      <w:pPr>
        <w:widowControl/>
        <w:ind w:left="1440" w:hanging="720"/>
      </w:pPr>
    </w:p>
    <w:p w:rsidRPr="00DE4730" w:rsidR="00FC2F3E" w:rsidP="00CC5573" w:rsidRDefault="00FC2F3E">
      <w:pPr>
        <w:widowControl/>
        <w:tabs>
          <w:tab w:val="left" w:pos="-1440"/>
        </w:tabs>
        <w:ind w:left="1440" w:hanging="720"/>
      </w:pPr>
      <w:r w:rsidRPr="00DE4730">
        <w:t>(2)</w:t>
      </w:r>
      <w:r w:rsidRPr="00DE4730">
        <w:tab/>
      </w:r>
      <w:proofErr w:type="gramStart"/>
      <w:r w:rsidRPr="00DE4730">
        <w:t>afford</w:t>
      </w:r>
      <w:proofErr w:type="gramEnd"/>
      <w:r w:rsidRPr="00DE4730">
        <w:t xml:space="preserve"> a reasonable opportunity to any participant whose claim for benefits has been denied for a full and fair review by the appropriate named fiduciary of the decision denying the claims.</w:t>
      </w:r>
    </w:p>
    <w:p w:rsidRPr="00DE4730" w:rsidR="00FC2F3E" w:rsidP="00494D9A" w:rsidRDefault="00FC2F3E">
      <w:pPr>
        <w:widowControl/>
        <w:ind w:left="720"/>
      </w:pPr>
    </w:p>
    <w:p w:rsidRPr="00DE4730" w:rsidR="002F4CD3" w:rsidP="00494D9A" w:rsidRDefault="00C70894">
      <w:pPr>
        <w:widowControl/>
        <w:ind w:left="720"/>
      </w:pPr>
      <w:r w:rsidRPr="00DE4730">
        <w:t>In November 2000, t</w:t>
      </w:r>
      <w:r w:rsidRPr="00DE4730" w:rsidR="00BE47A7">
        <w:t xml:space="preserve">he Department </w:t>
      </w:r>
      <w:r w:rsidRPr="00DE4730" w:rsidR="00A4464B">
        <w:t>issued a final</w:t>
      </w:r>
      <w:r w:rsidRPr="00DE4730" w:rsidR="00BE47A7">
        <w:t xml:space="preserve"> </w:t>
      </w:r>
      <w:r w:rsidRPr="00DE4730" w:rsidR="00A4464B">
        <w:t>regulation</w:t>
      </w:r>
      <w:r w:rsidRPr="00DE4730">
        <w:t xml:space="preserve"> </w:t>
      </w:r>
      <w:r w:rsidRPr="00DE4730" w:rsidR="00FC2F3E">
        <w:t>establish</w:t>
      </w:r>
      <w:r w:rsidRPr="00DE4730" w:rsidR="00BE47A7">
        <w:t>ing mi</w:t>
      </w:r>
      <w:r w:rsidRPr="00DE4730" w:rsidR="00FC2F3E">
        <w:t xml:space="preserve">nimum </w:t>
      </w:r>
      <w:r w:rsidRPr="00DE4730">
        <w:t xml:space="preserve">claims procedure </w:t>
      </w:r>
      <w:r w:rsidRPr="00DE4730" w:rsidR="00FC2F3E">
        <w:t xml:space="preserve">requirements </w:t>
      </w:r>
      <w:r w:rsidRPr="00DE4730">
        <w:t>that all employee benefit plans under ERISA must meet in order to satisfy the requirements of section 503</w:t>
      </w:r>
      <w:r w:rsidR="009606B9">
        <w:t xml:space="preserve"> of ERISA</w:t>
      </w:r>
      <w:r w:rsidRPr="00DE4730">
        <w:t>.</w:t>
      </w:r>
      <w:r w:rsidRPr="00DE4730" w:rsidR="00A4464B">
        <w:rPr>
          <w:rStyle w:val="FootnoteReference"/>
          <w:vertAlign w:val="superscript"/>
        </w:rPr>
        <w:footnoteReference w:id="1"/>
      </w:r>
      <w:r w:rsidRPr="00DE4730">
        <w:rPr>
          <w:vertAlign w:val="superscript"/>
        </w:rPr>
        <w:t xml:space="preserve"> </w:t>
      </w:r>
      <w:r w:rsidRPr="00DE4730">
        <w:t xml:space="preserve"> The claims procedure regulation is </w:t>
      </w:r>
      <w:r w:rsidRPr="00DE4730" w:rsidR="00FC2F3E">
        <w:t>codified at 29 CFR 2560.503-1</w:t>
      </w:r>
      <w:r w:rsidR="00004AAB">
        <w:t xml:space="preserve"> of ERISA</w:t>
      </w:r>
      <w:r w:rsidRPr="00DE4730" w:rsidR="00FC2F3E">
        <w:t xml:space="preserve">.  Section 505 of ERISA authorizes the Secretary to prescribe regulations as appropriate or necessary to carry out the provisions of Title I of ERISA.  </w:t>
      </w:r>
      <w:r w:rsidRPr="00DE4730" w:rsidR="002F4CD3">
        <w:t>The regulation requires plans to provide every claimant</w:t>
      </w:r>
      <w:r w:rsidR="00004AAB">
        <w:t xml:space="preserve"> </w:t>
      </w:r>
      <w:r w:rsidRPr="00DE4730" w:rsidR="002F4CD3">
        <w:t>who is denied a claim with a written or electronic notice that contains the specific reasons for denial, a reference to the relevant plan provisions on which the denial is based, a description of any additional information necessary to perfect the claim</w:t>
      </w:r>
      <w:r w:rsidR="00004AAB">
        <w:t>,</w:t>
      </w:r>
      <w:r w:rsidRPr="00DE4730" w:rsidR="002F4CD3">
        <w:t xml:space="preserve"> and a description of steps to be taken if the participant or beneficiary wishes to appeal the denial.  The </w:t>
      </w:r>
      <w:r w:rsidRPr="00DE4730" w:rsidR="002F4CD3">
        <w:lastRenderedPageBreak/>
        <w:t>regulation also requires that any adverse decision upon review be in writing (including electronic means) and include specific reasons for the decision, as well as references to relevant plan provisions.</w:t>
      </w:r>
    </w:p>
    <w:p w:rsidRPr="00DE4730" w:rsidR="00BE47A7" w:rsidP="00494D9A" w:rsidRDefault="00BE47A7">
      <w:pPr>
        <w:widowControl/>
        <w:ind w:left="720"/>
      </w:pPr>
    </w:p>
    <w:p w:rsidRPr="00DE4730" w:rsidR="00BE47A7" w:rsidP="00494D9A" w:rsidRDefault="00BE47A7">
      <w:pPr>
        <w:widowControl/>
        <w:ind w:left="720"/>
      </w:pPr>
      <w:r w:rsidRPr="00DE4730">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 beneficiaries of the plan.</w:t>
      </w:r>
    </w:p>
    <w:p w:rsidRPr="00DE4730" w:rsidR="00FC2F3E" w:rsidP="00494D9A" w:rsidRDefault="00FC2F3E">
      <w:pPr>
        <w:widowControl/>
        <w:ind w:left="720"/>
      </w:pPr>
    </w:p>
    <w:p w:rsidRPr="00DE4730" w:rsidR="00FC2F3E" w:rsidP="00CC5573" w:rsidRDefault="00FC2F3E">
      <w:pPr>
        <w:widowControl/>
        <w:tabs>
          <w:tab w:val="left" w:pos="-1440"/>
        </w:tabs>
        <w:ind w:left="720" w:hanging="720"/>
      </w:pPr>
      <w:r w:rsidRPr="00DE4730">
        <w:t>2.</w:t>
      </w:r>
      <w:r w:rsidRPr="00DE4730">
        <w:tab/>
      </w:r>
      <w:r w:rsidRPr="00DE4730">
        <w:rPr>
          <w:i/>
          <w:iCs/>
        </w:rPr>
        <w:t>Indicate how, by whom, and for what purpose the information is to be used.  Except for a new collection, indicate the actual use the agency has made of the information received from the current collection.</w:t>
      </w:r>
    </w:p>
    <w:p w:rsidRPr="00DE4730" w:rsidR="00FC2F3E" w:rsidP="00CC5573" w:rsidRDefault="00FC2F3E">
      <w:pPr>
        <w:widowControl/>
        <w:ind w:left="720"/>
      </w:pPr>
    </w:p>
    <w:p w:rsidRPr="00DE4730" w:rsidR="00FC2F3E" w:rsidP="00CC5573" w:rsidRDefault="001E12BC">
      <w:pPr>
        <w:widowControl/>
        <w:ind w:left="720"/>
      </w:pPr>
      <w:r w:rsidRPr="00DE4730">
        <w:t>The</w:t>
      </w:r>
      <w:r w:rsidRPr="00DE4730" w:rsidR="00BE47A7">
        <w:t xml:space="preserve"> information collection</w:t>
      </w:r>
      <w:r w:rsidRPr="00DE4730" w:rsidR="00FC2F3E">
        <w:t xml:space="preserve"> requirement</w:t>
      </w:r>
      <w:r w:rsidRPr="00DE4730" w:rsidR="00BE47A7">
        <w:t>s</w:t>
      </w:r>
      <w:r w:rsidRPr="00DE4730" w:rsidR="00FC2F3E">
        <w:t xml:space="preserve"> </w:t>
      </w:r>
      <w:r w:rsidRPr="00DE4730">
        <w:t xml:space="preserve">included in the claims procedure regulation </w:t>
      </w:r>
      <w:r w:rsidRPr="00DE4730" w:rsidR="002F4CD3">
        <w:t>e</w:t>
      </w:r>
      <w:r w:rsidRPr="00DE4730" w:rsidR="00FC2F3E">
        <w:t>nsure</w:t>
      </w:r>
      <w:r w:rsidRPr="00DE4730">
        <w:t xml:space="preserve"> that participants</w:t>
      </w:r>
      <w:r w:rsidRPr="00DE4730" w:rsidR="00FC2F3E">
        <w:t xml:space="preserve"> </w:t>
      </w:r>
      <w:r w:rsidRPr="00DE4730">
        <w:t>and beneficiaries</w:t>
      </w:r>
      <w:r w:rsidRPr="00DE4730" w:rsidR="00BE47A7">
        <w:t xml:space="preserve"> (claimants) </w:t>
      </w:r>
      <w:r w:rsidRPr="00DE4730">
        <w:t>receive adequate</w:t>
      </w:r>
      <w:r w:rsidRPr="00DE4730" w:rsidR="00FC2F3E">
        <w:t xml:space="preserve"> information </w:t>
      </w:r>
      <w:r w:rsidRPr="00DE4730">
        <w:t xml:space="preserve">regarding the plan’s claims procedures and </w:t>
      </w:r>
      <w:r w:rsidRPr="00DE4730" w:rsidR="002F4CD3">
        <w:t xml:space="preserve">the plan’s </w:t>
      </w:r>
      <w:r w:rsidRPr="00DE4730">
        <w:t>handling of specific benefit claims</w:t>
      </w:r>
      <w:r w:rsidRPr="00DE4730" w:rsidR="002F4CD3">
        <w:t xml:space="preserve">.  Participants and beneficiaries need </w:t>
      </w:r>
      <w:r w:rsidRPr="00DE4730" w:rsidR="00FC2F3E">
        <w:t xml:space="preserve">to understand </w:t>
      </w:r>
      <w:r w:rsidRPr="00DE4730" w:rsidR="002F4CD3">
        <w:t xml:space="preserve">plan procedures and </w:t>
      </w:r>
      <w:r w:rsidRPr="00DE4730" w:rsidR="00BE47A7">
        <w:t xml:space="preserve">plan decisions </w:t>
      </w:r>
      <w:r w:rsidRPr="00DE4730" w:rsidR="002F4CD3">
        <w:t xml:space="preserve">in order to </w:t>
      </w:r>
      <w:r w:rsidRPr="00DE4730" w:rsidR="00BE47A7">
        <w:t xml:space="preserve">appropriately request </w:t>
      </w:r>
      <w:r w:rsidRPr="00DE4730" w:rsidR="002F4CD3">
        <w:t>benefits and/or appeal</w:t>
      </w:r>
      <w:r w:rsidRPr="00DE4730" w:rsidR="00FC2F3E">
        <w:t xml:space="preserve"> </w:t>
      </w:r>
      <w:r w:rsidRPr="00DE4730">
        <w:t>benefit denials</w:t>
      </w:r>
      <w:r w:rsidR="00CC5573">
        <w:t>.</w:t>
      </w:r>
    </w:p>
    <w:p w:rsidRPr="00DE4730" w:rsidR="00FC2F3E" w:rsidP="00CC5573" w:rsidRDefault="00FC2F3E">
      <w:pPr>
        <w:widowControl/>
        <w:ind w:left="720"/>
      </w:pPr>
    </w:p>
    <w:p w:rsidRPr="00DE4730" w:rsidR="00FC2F3E" w:rsidP="00CC5573" w:rsidRDefault="00FC2F3E">
      <w:pPr>
        <w:widowControl/>
        <w:tabs>
          <w:tab w:val="left" w:pos="-1440"/>
        </w:tabs>
        <w:ind w:left="720" w:hanging="720"/>
        <w:rPr>
          <w:i/>
          <w:iCs/>
        </w:rPr>
      </w:pPr>
      <w:r w:rsidRPr="00DE4730">
        <w:t>3.</w:t>
      </w:r>
      <w:r w:rsidRPr="00DE4730">
        <w:tab/>
      </w:r>
      <w:r w:rsidRPr="00DE4730">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DE4730" w:rsidR="00D83B51" w:rsidP="00CC5573" w:rsidRDefault="00D83B51">
      <w:pPr>
        <w:widowControl/>
        <w:ind w:left="720"/>
      </w:pPr>
    </w:p>
    <w:p w:rsidRPr="00DE4730" w:rsidR="00FC2F3E" w:rsidP="00CC5573" w:rsidRDefault="002F4CD3">
      <w:pPr>
        <w:widowControl/>
        <w:ind w:left="720"/>
      </w:pPr>
      <w:r w:rsidRPr="00DE4730">
        <w:t>The claims</w:t>
      </w:r>
      <w:r w:rsidRPr="00DE4730" w:rsidR="00FC2F3E">
        <w:t xml:space="preserve"> regulation </w:t>
      </w:r>
      <w:r w:rsidRPr="00DE4730">
        <w:t>does not restrict</w:t>
      </w:r>
      <w:r w:rsidRPr="00DE4730" w:rsidR="00FC2F3E">
        <w:t xml:space="preserve"> </w:t>
      </w:r>
      <w:r w:rsidRPr="00DE4730">
        <w:t>plans’</w:t>
      </w:r>
      <w:r w:rsidRPr="00DE4730" w:rsidR="00FC2F3E">
        <w:t xml:space="preserve"> use of electronic technology to process and pay claims, to maintain information as to the basis for claim determination, and to generate correspondence related to claims processing decisions.  </w:t>
      </w:r>
      <w:r w:rsidRPr="00DE4730" w:rsidR="000B7A90">
        <w:t xml:space="preserve">This regulation incorporates by reference </w:t>
      </w:r>
      <w:r w:rsidRPr="00DE4730" w:rsidR="000D7B34">
        <w:t xml:space="preserve">the </w:t>
      </w:r>
      <w:r w:rsidRPr="00DE4730" w:rsidR="000B7A90">
        <w:t xml:space="preserve">pertinent provisions of </w:t>
      </w:r>
      <w:r w:rsidRPr="00DE4730">
        <w:t xml:space="preserve">the Department’s </w:t>
      </w:r>
      <w:r w:rsidRPr="00DE4730" w:rsidR="000B7A90">
        <w:t xml:space="preserve">separate </w:t>
      </w:r>
      <w:r w:rsidRPr="00DE4730">
        <w:t>r</w:t>
      </w:r>
      <w:r w:rsidRPr="00DE4730" w:rsidR="000B7A90">
        <w:t>egulation</w:t>
      </w:r>
      <w:r w:rsidRPr="00DE4730">
        <w:t>, 29 CFR 2520.104b</w:t>
      </w:r>
      <w:r w:rsidRPr="00DE4730">
        <w:noBreakHyphen/>
        <w:t>1,</w:t>
      </w:r>
      <w:r w:rsidRPr="00DE4730" w:rsidR="000B7A90">
        <w:t xml:space="preserve"> </w:t>
      </w:r>
      <w:r w:rsidRPr="00DE4730" w:rsidR="000D7B34">
        <w:t xml:space="preserve">which </w:t>
      </w:r>
      <w:r w:rsidRPr="00DE4730">
        <w:t>facilitat</w:t>
      </w:r>
      <w:r w:rsidRPr="00DE4730" w:rsidR="000D7B34">
        <w:t>es</w:t>
      </w:r>
      <w:r w:rsidRPr="00DE4730">
        <w:t xml:space="preserve"> and encourag</w:t>
      </w:r>
      <w:r w:rsidRPr="00DE4730" w:rsidR="000D7B34">
        <w:t xml:space="preserve">es </w:t>
      </w:r>
      <w:r w:rsidRPr="00DE4730" w:rsidR="000B7A90">
        <w:t>the use of electronic information technology.</w:t>
      </w:r>
      <w:r w:rsidRPr="00DE4730" w:rsidR="00D83B51">
        <w:t xml:space="preserve">  </w:t>
      </w:r>
      <w:r w:rsidRPr="00DE4730">
        <w:t>This burden estimate incorporates the Department’s assumptions, described in the response to item 12, below, concerning the rate of use by plans of electronic means of communication.</w:t>
      </w:r>
    </w:p>
    <w:p w:rsidRPr="00DE4730" w:rsidR="00FC2F3E" w:rsidP="00CC5573" w:rsidRDefault="00FC2F3E">
      <w:pPr>
        <w:widowControl/>
        <w:ind w:left="720"/>
      </w:pPr>
    </w:p>
    <w:p w:rsidRPr="00DE4730" w:rsidR="00FC2F3E" w:rsidP="00CC5573" w:rsidRDefault="00FC2F3E">
      <w:pPr>
        <w:widowControl/>
        <w:tabs>
          <w:tab w:val="left" w:pos="-1440"/>
        </w:tabs>
        <w:ind w:left="720" w:hanging="720"/>
      </w:pPr>
      <w:r w:rsidRPr="00DE4730">
        <w:t>4.</w:t>
      </w:r>
      <w:r w:rsidRPr="00DE4730">
        <w:tab/>
      </w:r>
      <w:r w:rsidRPr="00DE4730">
        <w:rPr>
          <w:i/>
          <w:iCs/>
        </w:rPr>
        <w:t>Describe efforts to identify duplication.  Show specifically why any similar information already available cannot be used or modified for use for the purposes described in Item 2 above.</w:t>
      </w:r>
    </w:p>
    <w:p w:rsidRPr="00DE4730" w:rsidR="00FC2F3E" w:rsidP="00CC5573" w:rsidRDefault="00FC2F3E">
      <w:pPr>
        <w:widowControl/>
        <w:ind w:left="720"/>
      </w:pPr>
    </w:p>
    <w:p w:rsidRPr="00DE4730" w:rsidR="00FC2F3E" w:rsidP="00CC5573" w:rsidRDefault="00FC2F3E">
      <w:pPr>
        <w:widowControl/>
        <w:ind w:left="720"/>
      </w:pPr>
      <w:r w:rsidRPr="00DE4730">
        <w:t xml:space="preserve">No duplication with other Federal statutes exists.  In some circumstances, states </w:t>
      </w:r>
      <w:r w:rsidRPr="00DE4730" w:rsidR="007A1B61">
        <w:t>may</w:t>
      </w:r>
      <w:r w:rsidRPr="00DE4730">
        <w:t xml:space="preserve"> require substantially similar information to be provided to insured persons.  However, no</w:t>
      </w:r>
      <w:r w:rsidR="00F43BFC">
        <w:t xml:space="preserve"> </w:t>
      </w:r>
      <w:r w:rsidRPr="00DE4730">
        <w:lastRenderedPageBreak/>
        <w:t xml:space="preserve">duplication occurs because the same information disclosure </w:t>
      </w:r>
      <w:r w:rsidRPr="00DE4730" w:rsidR="00BE47A7">
        <w:t>may be</w:t>
      </w:r>
      <w:r w:rsidRPr="00DE4730">
        <w:t xml:space="preserve"> used to satisfy </w:t>
      </w:r>
      <w:r w:rsidRPr="00DE4730" w:rsidR="00BE47A7">
        <w:t>duplicative or overlapping</w:t>
      </w:r>
      <w:r w:rsidRPr="00DE4730">
        <w:t xml:space="preserve"> requirements.</w:t>
      </w:r>
    </w:p>
    <w:p w:rsidRPr="00DE4730" w:rsidR="00FC2F3E" w:rsidP="00CC5573" w:rsidRDefault="00FC2F3E">
      <w:pPr>
        <w:widowControl/>
        <w:ind w:left="720"/>
      </w:pPr>
    </w:p>
    <w:p w:rsidRPr="00DE4730" w:rsidR="00FC2F3E" w:rsidP="00AB35CF" w:rsidRDefault="00FC2F3E">
      <w:pPr>
        <w:widowControl/>
        <w:tabs>
          <w:tab w:val="left" w:pos="-1440"/>
        </w:tabs>
        <w:ind w:left="720" w:hanging="720"/>
      </w:pPr>
      <w:r w:rsidRPr="00DE4730">
        <w:t>5.</w:t>
      </w:r>
      <w:r w:rsidRPr="00DE4730">
        <w:tab/>
      </w:r>
      <w:r w:rsidRPr="00DE4730">
        <w:rPr>
          <w:i/>
          <w:iCs/>
        </w:rPr>
        <w:t>If the collection of information impacts small businesses or other small entities describe any methods used to minimize burden.</w:t>
      </w:r>
    </w:p>
    <w:p w:rsidRPr="00DE4730" w:rsidR="00FC2F3E" w:rsidP="00AB35CF" w:rsidRDefault="00FC2F3E">
      <w:pPr>
        <w:widowControl/>
        <w:ind w:left="720"/>
      </w:pPr>
    </w:p>
    <w:p w:rsidRPr="00DE4730" w:rsidR="00FC2F3E" w:rsidP="00AB35CF" w:rsidRDefault="00BE47A7">
      <w:pPr>
        <w:widowControl/>
        <w:ind w:left="720"/>
      </w:pPr>
      <w:r w:rsidRPr="00DE4730">
        <w:t xml:space="preserve">The regulation applies to all employee benefit plans and therefore is likely to affect small entities (small business, small plans) that provide benefits.  The Department took into account the potential burden on small entities in structuring the regulation by </w:t>
      </w:r>
      <w:r w:rsidRPr="00DE4730" w:rsidR="00343035">
        <w:t xml:space="preserve">permitting </w:t>
      </w:r>
      <w:r w:rsidRPr="00DE4730">
        <w:t xml:space="preserve">plan sponsors the </w:t>
      </w:r>
      <w:r w:rsidRPr="00DE4730" w:rsidR="00343035">
        <w:t xml:space="preserve">maximum </w:t>
      </w:r>
      <w:r w:rsidRPr="00DE4730">
        <w:t xml:space="preserve">possible </w:t>
      </w:r>
      <w:r w:rsidRPr="00DE4730" w:rsidR="00343035">
        <w:t xml:space="preserve">flexibility in </w:t>
      </w:r>
      <w:r w:rsidRPr="00DE4730">
        <w:t xml:space="preserve">designing their plans, including the possibility of </w:t>
      </w:r>
      <w:r w:rsidRPr="00DE4730" w:rsidR="007A1B61">
        <w:t xml:space="preserve">hiring third-party service providers to carry out these </w:t>
      </w:r>
      <w:r w:rsidRPr="00DE4730" w:rsidR="00343035">
        <w:t>a</w:t>
      </w:r>
      <w:r w:rsidRPr="00DE4730" w:rsidR="000F20D7">
        <w:t xml:space="preserve">dministration responsibilities in order to </w:t>
      </w:r>
      <w:r w:rsidRPr="00DE4730" w:rsidR="007A1B61">
        <w:t xml:space="preserve">make use of the </w:t>
      </w:r>
      <w:r w:rsidRPr="00DE4730" w:rsidR="00343035">
        <w:t>lowest cost method of compliance</w:t>
      </w:r>
      <w:r w:rsidRPr="00DE4730" w:rsidR="007A1B61">
        <w:t xml:space="preserve"> available</w:t>
      </w:r>
      <w:r w:rsidRPr="00DE4730" w:rsidR="00343035">
        <w:t xml:space="preserve">.  </w:t>
      </w:r>
      <w:r w:rsidRPr="00DE4730" w:rsidR="007A1B61">
        <w:t>A</w:t>
      </w:r>
      <w:r w:rsidRPr="00DE4730" w:rsidR="00343035">
        <w:t xml:space="preserve"> large majority of small plans purchase claims administration services from insurers, HMOs, and other service providers</w:t>
      </w:r>
      <w:r w:rsidRPr="00DE4730" w:rsidR="007A1B61">
        <w:t>, and the Department has taken this fact into account in deriving its burden estimates</w:t>
      </w:r>
      <w:r w:rsidRPr="00DE4730" w:rsidR="00343035">
        <w:t xml:space="preserve">.  </w:t>
      </w:r>
      <w:r w:rsidRPr="00DE4730" w:rsidR="007A1B61">
        <w:t>T</w:t>
      </w:r>
      <w:r w:rsidRPr="00DE4730" w:rsidR="00343035">
        <w:t xml:space="preserve">hese service providers typically </w:t>
      </w:r>
      <w:r w:rsidRPr="00DE4730" w:rsidR="007A1B61">
        <w:t>develop</w:t>
      </w:r>
      <w:r w:rsidRPr="00DE4730" w:rsidR="00343035">
        <w:t xml:space="preserve"> a single claims processing system to service a large number of customers, including small entities.  Thus, the cost of revising and implementing the procedures is spread thinly over a large number of small plans.  Moreover, small plans and their respective enrollees benefit equally from </w:t>
      </w:r>
      <w:r w:rsidRPr="00DE4730" w:rsidR="0023492D">
        <w:t xml:space="preserve">the service provider’s expertise and ability to provide </w:t>
      </w:r>
      <w:r w:rsidRPr="00DE4730" w:rsidR="00343035">
        <w:t>improved accuracy and timeliness in clai</w:t>
      </w:r>
      <w:r w:rsidRPr="00DE4730" w:rsidR="000F20D7">
        <w:t>ms and appeals determinations.</w:t>
      </w:r>
    </w:p>
    <w:p w:rsidRPr="00DE4730" w:rsidR="00343035" w:rsidP="00AB35CF" w:rsidRDefault="00343035">
      <w:pPr>
        <w:widowControl/>
        <w:ind w:left="720"/>
      </w:pPr>
    </w:p>
    <w:p w:rsidRPr="00DE4730" w:rsidR="00FC2F3E" w:rsidP="007801FD" w:rsidRDefault="00FC2F3E">
      <w:pPr>
        <w:widowControl/>
        <w:tabs>
          <w:tab w:val="left" w:pos="-1440"/>
        </w:tabs>
        <w:ind w:left="720" w:hanging="720"/>
      </w:pPr>
      <w:r w:rsidRPr="00DE4730">
        <w:t>6.</w:t>
      </w:r>
      <w:r w:rsidRPr="00DE4730">
        <w:tab/>
      </w:r>
      <w:r w:rsidRPr="00DE4730">
        <w:rPr>
          <w:i/>
          <w:iCs/>
        </w:rPr>
        <w:t>Describe the consequence to Federal program or policy activities if the collection is not conducted or is conducted less frequently, as well as any technical or legal obstacles to reducing burden.</w:t>
      </w:r>
    </w:p>
    <w:p w:rsidRPr="00DE4730" w:rsidR="00FC2F3E" w:rsidP="007801FD" w:rsidRDefault="00FC2F3E">
      <w:pPr>
        <w:widowControl/>
        <w:ind w:left="720"/>
      </w:pPr>
    </w:p>
    <w:p w:rsidRPr="00DE4730" w:rsidR="00FC2F3E" w:rsidP="007801FD" w:rsidRDefault="00FC2F3E">
      <w:pPr>
        <w:widowControl/>
        <w:ind w:left="720"/>
      </w:pPr>
      <w:r w:rsidRPr="00DE4730">
        <w:t>Th</w:t>
      </w:r>
      <w:r w:rsidRPr="00DE4730" w:rsidR="000F20D7">
        <w:t xml:space="preserve">e information collection requirements arise in connection with </w:t>
      </w:r>
      <w:r w:rsidRPr="00DE4730">
        <w:t>the occurrence of individual claims for benefits</w:t>
      </w:r>
      <w:r w:rsidRPr="00DE4730" w:rsidR="000F20D7">
        <w:t xml:space="preserve"> and consist of third-party notices and disclosures</w:t>
      </w:r>
      <w:r w:rsidRPr="00DE4730">
        <w:t xml:space="preserve">.  No information is reported to the Federal government.  Every claim event is normally of importance to </w:t>
      </w:r>
      <w:r w:rsidRPr="00DE4730" w:rsidR="0023492D">
        <w:t>the specific participant who relies</w:t>
      </w:r>
      <w:r w:rsidRPr="00DE4730">
        <w:t xml:space="preserve"> on </w:t>
      </w:r>
      <w:r w:rsidRPr="00DE4730" w:rsidR="0023492D">
        <w:t>an employee benefit plan to provide the promised benefit</w:t>
      </w:r>
      <w:r w:rsidRPr="00DE4730">
        <w:t>.  The information collection provisions of</w:t>
      </w:r>
      <w:r w:rsidRPr="00DE4730" w:rsidR="0023492D">
        <w:t xml:space="preserve"> the regulation </w:t>
      </w:r>
      <w:r w:rsidRPr="00DE4730" w:rsidR="000F20D7">
        <w:t>ensure that</w:t>
      </w:r>
      <w:r w:rsidRPr="00DE4730">
        <w:t xml:space="preserve"> sufficient information </w:t>
      </w:r>
      <w:r w:rsidRPr="00DE4730" w:rsidR="000F20D7">
        <w:t>is</w:t>
      </w:r>
      <w:r w:rsidRPr="00DE4730">
        <w:t xml:space="preserve"> provided to: a) participants and beneficiaries so that they may fully exercise their rights under their employee benefit plans, and b) to fiduciaries responsible for operating plans </w:t>
      </w:r>
      <w:r w:rsidR="007801FD">
        <w:t>in accordance with their terms.</w:t>
      </w:r>
    </w:p>
    <w:p w:rsidRPr="00DE4730" w:rsidR="00FC2F3E" w:rsidP="007801FD" w:rsidRDefault="00FC2F3E">
      <w:pPr>
        <w:pStyle w:val="Header"/>
        <w:widowControl/>
        <w:tabs>
          <w:tab w:val="clear" w:pos="4320"/>
          <w:tab w:val="clear" w:pos="8640"/>
        </w:tabs>
        <w:ind w:left="720"/>
      </w:pPr>
    </w:p>
    <w:p w:rsidRPr="00DE4730" w:rsidR="00FC2F3E" w:rsidP="007801FD" w:rsidRDefault="00FC2F3E">
      <w:pPr>
        <w:widowControl/>
        <w:tabs>
          <w:tab w:val="left" w:pos="-1440"/>
        </w:tabs>
        <w:ind w:left="720" w:hanging="720"/>
        <w:rPr>
          <w:i/>
          <w:iCs/>
        </w:rPr>
      </w:pPr>
      <w:r w:rsidRPr="00DE4730">
        <w:t>7.</w:t>
      </w:r>
      <w:r w:rsidRPr="00DE4730">
        <w:tab/>
      </w:r>
      <w:r w:rsidRPr="00DE4730">
        <w:rPr>
          <w:i/>
          <w:iCs/>
        </w:rPr>
        <w:t>Explain any special circumstances that would cause an information collection to be conducted in a manner:</w:t>
      </w:r>
    </w:p>
    <w:p w:rsidRPr="00DE4730" w:rsidR="00FC2F3E" w:rsidP="007801FD" w:rsidRDefault="00FC2F3E">
      <w:pPr>
        <w:widowControl/>
        <w:tabs>
          <w:tab w:val="left" w:pos="-1440"/>
        </w:tabs>
        <w:ind w:left="1440" w:hanging="720"/>
        <w:rPr>
          <w:i/>
          <w:iCs/>
        </w:rPr>
      </w:pPr>
      <w:r w:rsidRPr="00DE4730">
        <w:rPr>
          <w:i/>
          <w:iCs/>
        </w:rPr>
        <w:t>•</w:t>
      </w:r>
      <w:r w:rsidRPr="00DE4730">
        <w:rPr>
          <w:i/>
          <w:iCs/>
        </w:rPr>
        <w:tab/>
      </w:r>
      <w:proofErr w:type="gramStart"/>
      <w:r w:rsidRPr="00DE4730">
        <w:rPr>
          <w:i/>
          <w:iCs/>
        </w:rPr>
        <w:t>requiring</w:t>
      </w:r>
      <w:proofErr w:type="gramEnd"/>
      <w:r w:rsidRPr="00DE4730">
        <w:rPr>
          <w:i/>
          <w:iCs/>
        </w:rPr>
        <w:t xml:space="preserve"> respondents to report information to the agency more often than quarterly;</w:t>
      </w:r>
    </w:p>
    <w:p w:rsidRPr="00DE4730" w:rsidR="00FC2F3E" w:rsidP="007801FD" w:rsidRDefault="00FC2F3E">
      <w:pPr>
        <w:widowControl/>
        <w:tabs>
          <w:tab w:val="left" w:pos="-1440"/>
        </w:tabs>
        <w:ind w:left="1440" w:hanging="720"/>
        <w:rPr>
          <w:i/>
          <w:iCs/>
        </w:rPr>
      </w:pPr>
      <w:r w:rsidRPr="00DE4730">
        <w:rPr>
          <w:i/>
          <w:iCs/>
        </w:rPr>
        <w:t>•</w:t>
      </w:r>
      <w:r w:rsidRPr="00DE4730">
        <w:rPr>
          <w:i/>
          <w:iCs/>
        </w:rPr>
        <w:tab/>
        <w:t>requiring respondents to prepare a written response to a collection of information in fewer than 30 days after receipt of it;</w:t>
      </w:r>
    </w:p>
    <w:p w:rsidRPr="00DE4730" w:rsidR="00FC2F3E" w:rsidP="007801FD" w:rsidRDefault="00FC2F3E">
      <w:pPr>
        <w:widowControl/>
        <w:tabs>
          <w:tab w:val="left" w:pos="-1440"/>
        </w:tabs>
        <w:ind w:left="1440" w:hanging="720"/>
        <w:rPr>
          <w:i/>
          <w:iCs/>
        </w:rPr>
      </w:pPr>
      <w:r w:rsidRPr="00DE4730">
        <w:rPr>
          <w:i/>
          <w:iCs/>
        </w:rPr>
        <w:lastRenderedPageBreak/>
        <w:t>•</w:t>
      </w:r>
      <w:r w:rsidRPr="00DE4730">
        <w:rPr>
          <w:i/>
          <w:iCs/>
        </w:rPr>
        <w:tab/>
        <w:t>requiring respondents to submit more than an original and two copies of any document;</w:t>
      </w:r>
    </w:p>
    <w:p w:rsidRPr="00DE4730" w:rsidR="00FC2F3E" w:rsidP="007801FD" w:rsidRDefault="00FC2F3E">
      <w:pPr>
        <w:widowControl/>
        <w:tabs>
          <w:tab w:val="left" w:pos="-1440"/>
        </w:tabs>
        <w:ind w:left="1440" w:hanging="720"/>
        <w:rPr>
          <w:i/>
          <w:iCs/>
        </w:rPr>
      </w:pPr>
      <w:r w:rsidRPr="00DE4730">
        <w:rPr>
          <w:i/>
          <w:iCs/>
        </w:rPr>
        <w:t>•</w:t>
      </w:r>
      <w:r w:rsidRPr="00DE4730">
        <w:rPr>
          <w:i/>
          <w:iCs/>
        </w:rPr>
        <w:tab/>
        <w:t>requiring respondents to retain records, other than health, medical, government contract, grant-in-aid, or tax records for more than three years;</w:t>
      </w:r>
    </w:p>
    <w:p w:rsidRPr="00DE4730" w:rsidR="00FC2F3E" w:rsidP="007801FD" w:rsidRDefault="00FC2F3E">
      <w:pPr>
        <w:widowControl/>
        <w:tabs>
          <w:tab w:val="left" w:pos="-1440"/>
        </w:tabs>
        <w:ind w:left="1440" w:hanging="720"/>
        <w:rPr>
          <w:i/>
          <w:iCs/>
        </w:rPr>
      </w:pPr>
      <w:r w:rsidRPr="00DE4730">
        <w:rPr>
          <w:i/>
          <w:iCs/>
        </w:rPr>
        <w:t>•</w:t>
      </w:r>
      <w:r w:rsidRPr="00DE4730">
        <w:rPr>
          <w:i/>
          <w:iCs/>
        </w:rPr>
        <w:tab/>
      </w:r>
      <w:proofErr w:type="gramStart"/>
      <w:r w:rsidRPr="00DE4730">
        <w:rPr>
          <w:i/>
          <w:iCs/>
        </w:rPr>
        <w:t>in</w:t>
      </w:r>
      <w:proofErr w:type="gramEnd"/>
      <w:r w:rsidRPr="00DE4730">
        <w:rPr>
          <w:i/>
          <w:iCs/>
        </w:rPr>
        <w:t xml:space="preserve"> connection with a statistical survey, that is not designed to produce valid and reliable results that can be generalized to the universe of study;</w:t>
      </w:r>
    </w:p>
    <w:p w:rsidRPr="00DE4730" w:rsidR="00FC2F3E" w:rsidP="007801FD" w:rsidRDefault="00FC2F3E">
      <w:pPr>
        <w:widowControl/>
        <w:tabs>
          <w:tab w:val="left" w:pos="-1440"/>
        </w:tabs>
        <w:ind w:left="1440" w:hanging="720"/>
        <w:rPr>
          <w:i/>
          <w:iCs/>
        </w:rPr>
      </w:pPr>
      <w:r w:rsidRPr="00DE4730">
        <w:rPr>
          <w:i/>
          <w:iCs/>
        </w:rPr>
        <w:t>•</w:t>
      </w:r>
      <w:r w:rsidRPr="00DE4730">
        <w:rPr>
          <w:i/>
          <w:iCs/>
        </w:rPr>
        <w:tab/>
        <w:t>requiring the use of a statistical data classification that has not been reviewed and approved by OMB;</w:t>
      </w:r>
    </w:p>
    <w:p w:rsidRPr="00DE4730" w:rsidR="00FC2F3E" w:rsidP="007801FD" w:rsidRDefault="00FC2F3E">
      <w:pPr>
        <w:widowControl/>
        <w:tabs>
          <w:tab w:val="left" w:pos="-1440"/>
        </w:tabs>
        <w:ind w:left="1440" w:hanging="720"/>
        <w:rPr>
          <w:i/>
          <w:iCs/>
        </w:rPr>
      </w:pPr>
      <w:r w:rsidRPr="00DE4730">
        <w:rPr>
          <w:i/>
          <w:iCs/>
        </w:rPr>
        <w:t>•</w:t>
      </w:r>
      <w:r w:rsidRPr="00DE4730">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E4730" w:rsidR="00FC2F3E" w:rsidP="007801FD" w:rsidRDefault="00FC2F3E">
      <w:pPr>
        <w:widowControl/>
        <w:tabs>
          <w:tab w:val="left" w:pos="-1440"/>
        </w:tabs>
        <w:ind w:left="1440" w:hanging="720"/>
        <w:rPr>
          <w:i/>
          <w:iCs/>
        </w:rPr>
      </w:pPr>
      <w:r w:rsidRPr="00DE4730">
        <w:rPr>
          <w:i/>
          <w:iCs/>
        </w:rPr>
        <w:t>•</w:t>
      </w:r>
      <w:r w:rsidRPr="00DE4730">
        <w:rPr>
          <w:i/>
          <w:iCs/>
        </w:rPr>
        <w:tab/>
        <w:t>requiring respondents to submit proprietary trade secret, or other confidential information unless the agency can demonstrate that it has instituted procedures to protect the information's confidentiality to the extent permitted by law.</w:t>
      </w:r>
    </w:p>
    <w:p w:rsidRPr="00DE4730" w:rsidR="00FC2F3E" w:rsidP="007801FD" w:rsidRDefault="00FC2F3E">
      <w:pPr>
        <w:widowControl/>
        <w:ind w:left="720"/>
      </w:pPr>
    </w:p>
    <w:p w:rsidRPr="00DE4730" w:rsidR="00B67E43" w:rsidP="007801FD" w:rsidRDefault="000F20D7">
      <w:pPr>
        <w:widowControl/>
        <w:ind w:left="720"/>
      </w:pPr>
      <w:r w:rsidRPr="00DE4730">
        <w:t xml:space="preserve">The regulation imposes special timing requirements </w:t>
      </w:r>
      <w:r w:rsidRPr="00DE4730" w:rsidR="007E3107">
        <w:t>for</w:t>
      </w:r>
      <w:r w:rsidRPr="00DE4730">
        <w:t xml:space="preserve"> the handling of claims under group health plans.  Depending on </w:t>
      </w:r>
      <w:r w:rsidRPr="00DE4730" w:rsidR="007E3107">
        <w:t xml:space="preserve">circumstances indicating </w:t>
      </w:r>
      <w:r w:rsidRPr="00DE4730">
        <w:t>the urgency of the need for a claims decision, g</w:t>
      </w:r>
      <w:r w:rsidRPr="00DE4730" w:rsidR="00D83B51">
        <w:t xml:space="preserve">roup health plans </w:t>
      </w:r>
      <w:r w:rsidRPr="00DE4730" w:rsidR="007E3107">
        <w:t>may be required to</w:t>
      </w:r>
      <w:r w:rsidRPr="00DE4730" w:rsidR="00D83B51">
        <w:t xml:space="preserve"> notify claimants about health benefit </w:t>
      </w:r>
      <w:r w:rsidRPr="00DE4730">
        <w:t xml:space="preserve">claim </w:t>
      </w:r>
      <w:r w:rsidRPr="00DE4730" w:rsidR="00D83B51">
        <w:t>determi</w:t>
      </w:r>
      <w:r w:rsidR="007801FD">
        <w:t>nations in fewer than 30 days.</w:t>
      </w:r>
    </w:p>
    <w:p w:rsidRPr="00DE4730" w:rsidR="00B67E43" w:rsidP="007801FD" w:rsidRDefault="00B67E43">
      <w:pPr>
        <w:widowControl/>
        <w:ind w:left="720"/>
      </w:pPr>
    </w:p>
    <w:p w:rsidRPr="00DE4730" w:rsidR="00B67E43" w:rsidP="007801FD" w:rsidRDefault="00D83B51">
      <w:pPr>
        <w:widowControl/>
        <w:ind w:left="720"/>
      </w:pPr>
      <w:r w:rsidRPr="00DE4730">
        <w:t xml:space="preserve">First, for claims involving “urgent care,” the regulation requires, in general, that claimants be notified of health benefit determinations “as soon as possible, but not later than 72 hours after receipt of the claim by the plan. . . .”  </w:t>
      </w:r>
      <w:r w:rsidRPr="00DE4730" w:rsidR="00B67E43">
        <w:t>29 CFR 2560.503</w:t>
      </w:r>
      <w:r w:rsidRPr="00DE4730" w:rsidR="00B67E43">
        <w:noBreakHyphen/>
      </w:r>
      <w:proofErr w:type="gramStart"/>
      <w:r w:rsidRPr="00DE4730" w:rsidR="00B67E43">
        <w:t>1(</w:t>
      </w:r>
      <w:proofErr w:type="gramEnd"/>
      <w:r w:rsidRPr="00DE4730" w:rsidR="00B67E43">
        <w:t>f)(2)(ii).  In cases involving urgent care where the health claim is a request to extend the time period or number of treatments of ongoing medical care, this period is 24 hours.  2</w:t>
      </w:r>
      <w:r w:rsidR="007801FD">
        <w:t>9 CFR 2560.503</w:t>
      </w:r>
      <w:r w:rsidR="007801FD">
        <w:noBreakHyphen/>
      </w:r>
      <w:proofErr w:type="gramStart"/>
      <w:r w:rsidR="007801FD">
        <w:t>1(</w:t>
      </w:r>
      <w:proofErr w:type="gramEnd"/>
      <w:r w:rsidR="007801FD">
        <w:t>f)(2)(ii)(B).</w:t>
      </w:r>
    </w:p>
    <w:p w:rsidRPr="00DE4730" w:rsidR="00B67E43" w:rsidP="007801FD" w:rsidRDefault="00B67E43">
      <w:pPr>
        <w:widowControl/>
        <w:ind w:left="720"/>
      </w:pPr>
    </w:p>
    <w:p w:rsidRPr="00DE4730" w:rsidR="00FC2F3E" w:rsidP="007801FD" w:rsidRDefault="00D83B51">
      <w:pPr>
        <w:widowControl/>
        <w:ind w:left="720"/>
      </w:pPr>
      <w:r w:rsidRPr="00DE4730">
        <w:t>Second, for “pre-service” claims, the regulation requires that claimants be notified of health benefit determinations “within a reasonable period of time appropriate to the medi</w:t>
      </w:r>
      <w:r w:rsidRPr="00DE4730" w:rsidR="0009069B">
        <w:t>c</w:t>
      </w:r>
      <w:r w:rsidRPr="00DE4730">
        <w:t>al circumstances,</w:t>
      </w:r>
      <w:r w:rsidRPr="00DE4730" w:rsidR="00B67E43">
        <w:t xml:space="preserve"> but</w:t>
      </w:r>
      <w:r w:rsidRPr="00DE4730">
        <w:t xml:space="preserve"> not later than 15 days after receipt of the claim by the plan</w:t>
      </w:r>
      <w:r w:rsidRPr="00DE4730" w:rsidR="00B67E43">
        <w:t>.”  29 CFR 2560.503</w:t>
      </w:r>
      <w:r w:rsidRPr="00DE4730" w:rsidR="00B67E43">
        <w:noBreakHyphen/>
      </w:r>
      <w:proofErr w:type="gramStart"/>
      <w:r w:rsidRPr="00DE4730" w:rsidR="00B67E43">
        <w:t>1(</w:t>
      </w:r>
      <w:proofErr w:type="gramEnd"/>
      <w:r w:rsidRPr="00DE4730" w:rsidR="00B67E43">
        <w:t xml:space="preserve">f)(2)(iii)(A).  </w:t>
      </w:r>
      <w:r w:rsidRPr="00DE4730" w:rsidR="000F20D7">
        <w:t>Pre-service claims involve plan requirements that a claimant obtain approval from the plan prior to receiving health care services or products in order to maintain eligibility for benefits.</w:t>
      </w:r>
    </w:p>
    <w:p w:rsidRPr="00DE4730" w:rsidR="0009069B" w:rsidP="007801FD" w:rsidRDefault="0009069B">
      <w:pPr>
        <w:widowControl/>
        <w:ind w:left="720"/>
      </w:pPr>
    </w:p>
    <w:p w:rsidRPr="00DE4730" w:rsidR="006D6FAC" w:rsidP="007801FD" w:rsidRDefault="0009069B">
      <w:pPr>
        <w:widowControl/>
        <w:ind w:left="720"/>
      </w:pPr>
      <w:r w:rsidRPr="00DE4730">
        <w:t xml:space="preserve">Third, for “post-service” health benefit claims, the regulation requires notification of an adverse benefit determination “within a reasonable period of time, but not later than 30 days after receipt of the claim.”  Even though 30 days is the </w:t>
      </w:r>
      <w:r w:rsidRPr="00DE4730" w:rsidR="004B3B02">
        <w:t>maximum response time</w:t>
      </w:r>
      <w:r w:rsidRPr="00DE4730">
        <w:t xml:space="preserve"> for these claims, a plan </w:t>
      </w:r>
      <w:r w:rsidRPr="00DE4730" w:rsidR="000F20D7">
        <w:t>must</w:t>
      </w:r>
      <w:r w:rsidRPr="00DE4730">
        <w:t xml:space="preserve"> provide </w:t>
      </w:r>
      <w:r w:rsidRPr="00DE4730" w:rsidR="000F20D7">
        <w:t>a</w:t>
      </w:r>
      <w:r w:rsidRPr="00DE4730">
        <w:t xml:space="preserve"> determination sooner if it is reasonable to do so.  Disability benefit claims </w:t>
      </w:r>
      <w:r w:rsidRPr="00DE4730" w:rsidR="004B3B02">
        <w:t>are subject to a</w:t>
      </w:r>
      <w:r w:rsidRPr="00DE4730">
        <w:t xml:space="preserve"> similar construct, except that the ma</w:t>
      </w:r>
      <w:r w:rsidR="007801FD">
        <w:t>ximum response time is 45 days.</w:t>
      </w:r>
    </w:p>
    <w:p w:rsidRPr="00DE4730" w:rsidR="006D6FAC" w:rsidP="007801FD" w:rsidRDefault="006D6FAC">
      <w:pPr>
        <w:widowControl/>
        <w:ind w:left="720"/>
      </w:pPr>
    </w:p>
    <w:p w:rsidRPr="00DE4730" w:rsidR="0009069B" w:rsidP="007801FD" w:rsidRDefault="006D6FAC">
      <w:pPr>
        <w:widowControl/>
        <w:ind w:left="720"/>
      </w:pPr>
      <w:r w:rsidRPr="00DE4730">
        <w:t>Appeals of denied claims must be decided within similar</w:t>
      </w:r>
      <w:r w:rsidRPr="00DE4730" w:rsidR="007E3107">
        <w:t>, short</w:t>
      </w:r>
      <w:r w:rsidR="007801FD">
        <w:t xml:space="preserve"> time limits.</w:t>
      </w:r>
    </w:p>
    <w:p w:rsidRPr="00DE4730" w:rsidR="00382728" w:rsidP="007801FD" w:rsidRDefault="00382728">
      <w:pPr>
        <w:widowControl/>
        <w:ind w:left="720"/>
      </w:pPr>
    </w:p>
    <w:p w:rsidRPr="00DE4730" w:rsidR="009938EB" w:rsidP="007801FD" w:rsidRDefault="009938EB">
      <w:pPr>
        <w:widowControl/>
        <w:ind w:left="720"/>
      </w:pPr>
      <w:r w:rsidRPr="00DE4730">
        <w:t xml:space="preserve">These </w:t>
      </w:r>
      <w:r w:rsidRPr="00DE4730" w:rsidR="006D6FAC">
        <w:t>timing requirements</w:t>
      </w:r>
      <w:r w:rsidRPr="00DE4730">
        <w:t xml:space="preserve"> are reasonably related to important policy objectives</w:t>
      </w:r>
      <w:r w:rsidRPr="00DE4730" w:rsidR="006D6FAC">
        <w:t xml:space="preserve"> in an area of important public concern</w:t>
      </w:r>
      <w:r w:rsidRPr="00DE4730">
        <w:t>.  For example, the shortest time</w:t>
      </w:r>
      <w:r w:rsidR="00D07F5C">
        <w:t xml:space="preserve"> </w:t>
      </w:r>
      <w:r w:rsidRPr="00DE4730">
        <w:t xml:space="preserve">frame for “urgent care” claims applies only under circumstances in which delay could seriously jeopardize the life or health of the claimant or the ability of the claimant to regain maximum function, or </w:t>
      </w:r>
      <w:r w:rsidRPr="00DE4730" w:rsidR="006D6FAC">
        <w:t xml:space="preserve">where delay </w:t>
      </w:r>
      <w:r w:rsidRPr="00DE4730">
        <w:t xml:space="preserve">would subject the claimant to severe pain.   </w:t>
      </w:r>
      <w:r w:rsidRPr="00DE4730" w:rsidR="006D6FAC">
        <w:t>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w:t>
      </w:r>
      <w:r w:rsidRPr="00DE4730" w:rsidR="0028109D">
        <w:t xml:space="preserve"> plans may take at least 30 days to respond if it is reasonably nec</w:t>
      </w:r>
      <w:r w:rsidR="007801FD">
        <w:t>essary to do so.</w:t>
      </w:r>
    </w:p>
    <w:p w:rsidRPr="00DE4730" w:rsidR="009938EB" w:rsidP="007801FD" w:rsidRDefault="009938EB">
      <w:pPr>
        <w:widowControl/>
        <w:ind w:left="720"/>
      </w:pPr>
    </w:p>
    <w:p w:rsidRPr="00DE4730" w:rsidR="00382728" w:rsidP="007801FD" w:rsidRDefault="0028109D">
      <w:pPr>
        <w:widowControl/>
        <w:ind w:left="720"/>
      </w:pPr>
      <w:r w:rsidRPr="00DE4730">
        <w:t>Another reason why these time frames are important is that these notices relate to the payment of money by a plan to claimants to whom fiduciary responsibilities are owed.  Without enforcement of reasonable deadlines, payors could be given a financial incentive to delay the payments, and this would likely be inconsistent with appropriate fiduciary standards.  Finally, t</w:t>
      </w:r>
      <w:r w:rsidRPr="00DE4730" w:rsidR="009938EB">
        <w:t xml:space="preserve">hese time frames for health and disability claims are generally consistent with industry standards and with the requirements of other regulators such </w:t>
      </w:r>
      <w:r w:rsidR="007801FD">
        <w:t>as state insurance departments.</w:t>
      </w:r>
    </w:p>
    <w:p w:rsidRPr="00DE4730" w:rsidR="00FC2F3E" w:rsidP="007801FD" w:rsidRDefault="00FC2F3E">
      <w:pPr>
        <w:pStyle w:val="Header"/>
        <w:widowControl/>
        <w:tabs>
          <w:tab w:val="clear" w:pos="4320"/>
          <w:tab w:val="clear" w:pos="8640"/>
        </w:tabs>
        <w:ind w:left="720"/>
      </w:pPr>
    </w:p>
    <w:p w:rsidRPr="00DE4730" w:rsidR="00FC2F3E" w:rsidP="007801FD" w:rsidRDefault="00FC2F3E">
      <w:pPr>
        <w:widowControl/>
        <w:tabs>
          <w:tab w:val="left" w:pos="-1440"/>
        </w:tabs>
        <w:ind w:left="720" w:hanging="720"/>
        <w:rPr>
          <w:i/>
          <w:iCs/>
        </w:rPr>
      </w:pPr>
      <w:r w:rsidRPr="00DE4730">
        <w:t>8.</w:t>
      </w:r>
      <w:r w:rsidRPr="00DE4730">
        <w:tab/>
      </w:r>
      <w:r w:rsidRPr="00DE4730">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E4730" w:rsidR="00FC2F3E" w:rsidP="00E20930" w:rsidRDefault="00FC2F3E">
      <w:pPr>
        <w:widowControl/>
        <w:ind w:left="720"/>
        <w:rPr>
          <w:i/>
          <w:iCs/>
        </w:rPr>
      </w:pPr>
    </w:p>
    <w:p w:rsidRPr="00DE4730" w:rsidR="00FC2F3E" w:rsidP="00E20930" w:rsidRDefault="00FC2F3E">
      <w:pPr>
        <w:widowControl/>
        <w:ind w:left="720"/>
        <w:rPr>
          <w:i/>
          <w:iCs/>
        </w:rPr>
      </w:pPr>
      <w:r w:rsidRPr="00DE4730">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E4730" w:rsidR="00FC2F3E" w:rsidP="00E20930" w:rsidRDefault="00FC2F3E">
      <w:pPr>
        <w:widowControl/>
        <w:ind w:left="720"/>
        <w:rPr>
          <w:i/>
          <w:iCs/>
        </w:rPr>
      </w:pPr>
    </w:p>
    <w:p w:rsidRPr="00DE4730" w:rsidR="00FC2F3E" w:rsidP="00E20930" w:rsidRDefault="00FC2F3E">
      <w:pPr>
        <w:widowControl/>
        <w:ind w:left="720"/>
        <w:rPr>
          <w:i/>
          <w:iCs/>
        </w:rPr>
      </w:pPr>
      <w:r w:rsidRPr="00DE4730">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E4730" w:rsidR="00FC2F3E" w:rsidP="00E20930" w:rsidRDefault="00FC2F3E">
      <w:pPr>
        <w:widowControl/>
        <w:ind w:left="720"/>
      </w:pPr>
    </w:p>
    <w:p w:rsidRPr="00DE4730" w:rsidR="00FC2F3E" w:rsidP="00E20930" w:rsidRDefault="00FC2F3E">
      <w:pPr>
        <w:pStyle w:val="BodyTextIndent"/>
        <w:ind w:left="720" w:firstLine="0"/>
      </w:pPr>
      <w:r w:rsidRPr="00DE4730">
        <w:lastRenderedPageBreak/>
        <w:t>The Department published the notice required</w:t>
      </w:r>
      <w:r w:rsidRPr="00DE4730" w:rsidR="0029675C">
        <w:t xml:space="preserve"> by 5 CFR 1320.8(d) </w:t>
      </w:r>
      <w:r w:rsidRPr="00DE4730" w:rsidR="007E3107">
        <w:t xml:space="preserve">in the Federal Register </w:t>
      </w:r>
      <w:r w:rsidRPr="00DE4730" w:rsidR="0029675C">
        <w:t xml:space="preserve">on </w:t>
      </w:r>
      <w:r w:rsidR="00F14D82">
        <w:t>October 10, 2019</w:t>
      </w:r>
      <w:r w:rsidRPr="00DE4730" w:rsidR="00DD275D">
        <w:t xml:space="preserve"> (</w:t>
      </w:r>
      <w:r w:rsidRPr="00DE4730" w:rsidR="00926B1C">
        <w:t>8</w:t>
      </w:r>
      <w:r w:rsidR="00F14D82">
        <w:t>4</w:t>
      </w:r>
      <w:r w:rsidRPr="00DE4730" w:rsidR="00DD275D">
        <w:t xml:space="preserve"> FR </w:t>
      </w:r>
      <w:r w:rsidR="00F14D82">
        <w:t>54642</w:t>
      </w:r>
      <w:r w:rsidRPr="00DE4730" w:rsidR="00DD275D">
        <w:t>)</w:t>
      </w:r>
      <w:r w:rsidRPr="00DE4730">
        <w:t>.  No comments were received.</w:t>
      </w:r>
    </w:p>
    <w:p w:rsidRPr="00DE4730" w:rsidR="00FC2F3E" w:rsidP="00E20930" w:rsidRDefault="00FC2F3E">
      <w:pPr>
        <w:widowControl/>
        <w:ind w:left="720"/>
      </w:pPr>
    </w:p>
    <w:p w:rsidRPr="00DE4730" w:rsidR="00FC2F3E" w:rsidRDefault="00FC2F3E">
      <w:pPr>
        <w:widowControl/>
        <w:tabs>
          <w:tab w:val="left" w:pos="-1440"/>
        </w:tabs>
        <w:ind w:left="720" w:hanging="720"/>
        <w:rPr>
          <w:i/>
          <w:iCs/>
        </w:rPr>
      </w:pPr>
      <w:r w:rsidRPr="00DE4730">
        <w:t>9.</w:t>
      </w:r>
      <w:r w:rsidRPr="00DE4730">
        <w:tab/>
      </w:r>
      <w:r w:rsidRPr="00DE4730">
        <w:rPr>
          <w:i/>
          <w:iCs/>
        </w:rPr>
        <w:t>Explain any decision to provide any payment or gift to respondents, other than remuneration of contractors or grantees.</w:t>
      </w:r>
    </w:p>
    <w:p w:rsidRPr="00DE4730" w:rsidR="00FC2F3E" w:rsidP="008635A9" w:rsidRDefault="00FC2F3E">
      <w:pPr>
        <w:widowControl/>
        <w:ind w:left="720"/>
      </w:pPr>
    </w:p>
    <w:p w:rsidRPr="00DE4730" w:rsidR="00FC2F3E" w:rsidP="008635A9" w:rsidRDefault="00F14D82">
      <w:pPr>
        <w:widowControl/>
        <w:ind w:left="720"/>
      </w:pPr>
      <w:r w:rsidRPr="00F14D82">
        <w:t xml:space="preserve">No payments or gifts are provided to respondents. </w:t>
      </w:r>
    </w:p>
    <w:p w:rsidRPr="00DE4730" w:rsidR="00FC2F3E" w:rsidP="008635A9" w:rsidRDefault="00FC2F3E">
      <w:pPr>
        <w:pStyle w:val="Header"/>
        <w:widowControl/>
        <w:tabs>
          <w:tab w:val="clear" w:pos="4320"/>
          <w:tab w:val="clear" w:pos="8640"/>
        </w:tabs>
        <w:ind w:left="720"/>
      </w:pPr>
    </w:p>
    <w:p w:rsidRPr="00DE4730" w:rsidR="00FC2F3E" w:rsidP="008635A9" w:rsidRDefault="00FC2F3E">
      <w:pPr>
        <w:widowControl/>
        <w:tabs>
          <w:tab w:val="left" w:pos="-1440"/>
        </w:tabs>
        <w:ind w:left="720" w:hanging="720"/>
        <w:rPr>
          <w:i/>
          <w:iCs/>
        </w:rPr>
      </w:pPr>
      <w:r w:rsidRPr="00DE4730">
        <w:t>10.</w:t>
      </w:r>
      <w:r w:rsidRPr="00DE4730">
        <w:tab/>
      </w:r>
      <w:r w:rsidRPr="00DE4730">
        <w:rPr>
          <w:i/>
          <w:iCs/>
        </w:rPr>
        <w:t>Describe any assurance of confidentiality provided to respondents and the basis for the assurance in statute, regulation, or agency policy.</w:t>
      </w:r>
    </w:p>
    <w:p w:rsidRPr="00DE4730" w:rsidR="00FC2F3E" w:rsidP="008635A9" w:rsidRDefault="00FC2F3E">
      <w:pPr>
        <w:widowControl/>
        <w:ind w:left="720"/>
      </w:pPr>
    </w:p>
    <w:p w:rsidRPr="00DE4730" w:rsidR="00FC2F3E" w:rsidP="008635A9" w:rsidRDefault="007E3107">
      <w:pPr>
        <w:widowControl/>
        <w:ind w:left="720"/>
      </w:pPr>
      <w:r w:rsidRPr="00DE4730">
        <w:t>This</w:t>
      </w:r>
      <w:r w:rsidRPr="00DE4730" w:rsidR="00FC2F3E">
        <w:t xml:space="preserve"> information collection </w:t>
      </w:r>
      <w:r w:rsidRPr="00DE4730">
        <w:t xml:space="preserve">request (ICR) </w:t>
      </w:r>
      <w:r w:rsidRPr="00DE4730" w:rsidR="00FC2F3E">
        <w:t>involves disclosures of information by plan administrators to plan participants.  Issues of confidentiality between third parties do not fall within the scope of this information collection request.</w:t>
      </w:r>
    </w:p>
    <w:p w:rsidRPr="00DE4730" w:rsidR="00FC2F3E" w:rsidP="008635A9" w:rsidRDefault="00FC2F3E">
      <w:pPr>
        <w:widowControl/>
        <w:ind w:left="720"/>
      </w:pPr>
    </w:p>
    <w:p w:rsidRPr="00DE4730" w:rsidR="00FC2F3E" w:rsidP="008635A9" w:rsidRDefault="00FC2F3E">
      <w:pPr>
        <w:widowControl/>
        <w:tabs>
          <w:tab w:val="left" w:pos="-1440"/>
        </w:tabs>
        <w:ind w:left="720" w:hanging="720"/>
        <w:rPr>
          <w:i/>
          <w:iCs/>
        </w:rPr>
      </w:pPr>
      <w:r w:rsidRPr="00DE4730">
        <w:t>11.</w:t>
      </w:r>
      <w:r w:rsidRPr="00DE4730">
        <w:tab/>
      </w:r>
      <w:r w:rsidRPr="00DE4730">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E4730" w:rsidR="00FC2F3E" w:rsidP="008635A9" w:rsidRDefault="00FC2F3E">
      <w:pPr>
        <w:widowControl/>
        <w:ind w:left="720"/>
        <w:rPr>
          <w:i/>
          <w:iCs/>
        </w:rPr>
      </w:pPr>
    </w:p>
    <w:p w:rsidRPr="00DE4730" w:rsidR="00FC2F3E" w:rsidP="008635A9" w:rsidRDefault="00F14D82">
      <w:pPr>
        <w:widowControl/>
        <w:ind w:left="720"/>
      </w:pPr>
      <w:r w:rsidRPr="00F14D82">
        <w:t xml:space="preserve">This information collection does not ask questions of a sensitive nature. </w:t>
      </w:r>
    </w:p>
    <w:p w:rsidRPr="00DE4730" w:rsidR="00FC2F3E" w:rsidP="008635A9" w:rsidRDefault="00FC2F3E">
      <w:pPr>
        <w:widowControl/>
        <w:ind w:left="720"/>
      </w:pPr>
    </w:p>
    <w:p w:rsidRPr="00DE4730" w:rsidR="00FC2F3E" w:rsidP="008635A9" w:rsidRDefault="00FC2F3E">
      <w:pPr>
        <w:widowControl/>
        <w:tabs>
          <w:tab w:val="left" w:pos="-1440"/>
        </w:tabs>
        <w:ind w:left="720" w:hanging="720"/>
        <w:rPr>
          <w:i/>
          <w:iCs/>
        </w:rPr>
      </w:pPr>
      <w:r w:rsidRPr="00DE4730">
        <w:t>12.</w:t>
      </w:r>
      <w:r w:rsidRPr="00DE4730">
        <w:tab/>
      </w:r>
      <w:r w:rsidRPr="00DE4730">
        <w:rPr>
          <w:i/>
          <w:iCs/>
        </w:rPr>
        <w:t>Provide estimates of the hour burden of the collection of information.  The statement should:</w:t>
      </w:r>
    </w:p>
    <w:p w:rsidRPr="00DE4730" w:rsidR="00FC2F3E" w:rsidP="0064789E" w:rsidRDefault="00FC2F3E">
      <w:pPr>
        <w:widowControl/>
        <w:tabs>
          <w:tab w:val="left" w:pos="-1440"/>
        </w:tabs>
        <w:ind w:left="1440" w:hanging="720"/>
        <w:rPr>
          <w:i/>
          <w:iCs/>
        </w:rPr>
      </w:pPr>
      <w:r w:rsidRPr="00DE4730">
        <w:rPr>
          <w:i/>
          <w:iCs/>
        </w:rPr>
        <w:t>•</w:t>
      </w:r>
      <w:r w:rsidRPr="00DE4730">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E4730" w:rsidR="00FC2F3E" w:rsidP="0064789E" w:rsidRDefault="00FC2F3E">
      <w:pPr>
        <w:widowControl/>
        <w:tabs>
          <w:tab w:val="left" w:pos="-1440"/>
        </w:tabs>
        <w:ind w:left="1440" w:hanging="720"/>
        <w:rPr>
          <w:i/>
          <w:iCs/>
        </w:rPr>
      </w:pPr>
      <w:r w:rsidRPr="00DE4730">
        <w:rPr>
          <w:i/>
          <w:iCs/>
        </w:rPr>
        <w:t>•</w:t>
      </w:r>
      <w:r w:rsidRPr="00DE4730">
        <w:rPr>
          <w:i/>
          <w:iCs/>
        </w:rPr>
        <w:tab/>
        <w:t>If this request for approval covers more than one form, provide separate hour burden estimates for each form and aggregate the hour burdens in Item 13.</w:t>
      </w:r>
    </w:p>
    <w:p w:rsidRPr="00DE4730" w:rsidR="00FC2F3E" w:rsidP="0064789E" w:rsidRDefault="00FC2F3E">
      <w:pPr>
        <w:widowControl/>
        <w:tabs>
          <w:tab w:val="left" w:pos="-1440"/>
        </w:tabs>
        <w:ind w:left="1440" w:hanging="720"/>
        <w:rPr>
          <w:i/>
          <w:iCs/>
        </w:rPr>
      </w:pPr>
      <w:r w:rsidRPr="00DE4730">
        <w:rPr>
          <w:i/>
          <w:iCs/>
        </w:rPr>
        <w:t>•</w:t>
      </w:r>
      <w:r w:rsidRPr="00DE4730">
        <w:rPr>
          <w:i/>
          <w:iCs/>
        </w:rPr>
        <w:tab/>
        <w:t xml:space="preserve">Provide estimates of annualized cost to respondents for the hour burdens for collections of information, identifying and using appropriate wage rate categories.  The cost of contracting out or paying outside parties for information </w:t>
      </w:r>
      <w:r w:rsidRPr="00DE4730">
        <w:rPr>
          <w:i/>
          <w:iCs/>
        </w:rPr>
        <w:lastRenderedPageBreak/>
        <w:t>collection activities should not be included here.  Instead, this cost should be included in Ite</w:t>
      </w:r>
      <w:r w:rsidR="008635A9">
        <w:rPr>
          <w:i/>
          <w:iCs/>
        </w:rPr>
        <w:t>m 14.</w:t>
      </w:r>
    </w:p>
    <w:p w:rsidRPr="00DE4730" w:rsidR="00E431D2" w:rsidP="0064789E" w:rsidRDefault="00E431D2">
      <w:pPr>
        <w:widowControl/>
        <w:ind w:left="720"/>
      </w:pPr>
    </w:p>
    <w:p w:rsidRPr="00DE4730" w:rsidR="00696114" w:rsidP="0064789E" w:rsidRDefault="00696114">
      <w:pPr>
        <w:pStyle w:val="BodyTextIndent"/>
        <w:ind w:left="720" w:firstLine="0"/>
      </w:pPr>
      <w:r w:rsidRPr="00DE4730">
        <w:t xml:space="preserve">The information collection provisions of the regulation are found in 29 CFR 2560.503-1 (g), (h), (i), and (j), and in ERISA at section 503.  The Department estimates that this information collection affects </w:t>
      </w:r>
      <w:r w:rsidR="000A6386">
        <w:t>6,223,774</w:t>
      </w:r>
      <w:r w:rsidRPr="00DE4730">
        <w:t xml:space="preserve"> respondents. The frequency of response will be on occasion, mirroring the frequency of benefit claims that require responses, totaling about </w:t>
      </w:r>
      <w:r w:rsidR="007B2D15">
        <w:t>1,465,526,748</w:t>
      </w:r>
      <w:r w:rsidR="006A633A">
        <w:t xml:space="preserve"> </w:t>
      </w:r>
      <w:r w:rsidRPr="00DE4730">
        <w:t xml:space="preserve">per year.  The hour burden is estimated to be </w:t>
      </w:r>
      <w:r w:rsidR="007B2D15">
        <w:t>1,627,422</w:t>
      </w:r>
      <w:r w:rsidR="002246E8">
        <w:t xml:space="preserve"> </w:t>
      </w:r>
      <w:r w:rsidRPr="00DE4730">
        <w:t>hours annually.</w:t>
      </w:r>
    </w:p>
    <w:p w:rsidRPr="00DE4730" w:rsidR="00696114" w:rsidP="0064789E" w:rsidRDefault="00696114">
      <w:pPr>
        <w:widowControl/>
        <w:ind w:left="720"/>
      </w:pPr>
    </w:p>
    <w:p w:rsidRPr="00DE4730" w:rsidR="00696114" w:rsidP="0064789E" w:rsidRDefault="00696114">
      <w:pPr>
        <w:widowControl/>
        <w:ind w:left="720"/>
      </w:pPr>
      <w:r w:rsidRPr="00DE4730">
        <w:t>The Department’s final regulation governing ERISA plans’ claims procedures, of which this information collection is part, generally became applicable on or after January 1, 2003.  The estimates include only ongoing costs of compliance with the statute and the regulations.</w:t>
      </w:r>
    </w:p>
    <w:p w:rsidRPr="00DE4730" w:rsidR="00696114" w:rsidP="0064789E" w:rsidRDefault="00696114">
      <w:pPr>
        <w:widowControl/>
        <w:ind w:left="720"/>
      </w:pPr>
    </w:p>
    <w:p w:rsidRPr="00DE4730" w:rsidR="00696114" w:rsidP="0064789E" w:rsidRDefault="00696114">
      <w:pPr>
        <w:widowControl/>
        <w:ind w:left="720"/>
      </w:pPr>
      <w:r w:rsidRPr="00DE4730">
        <w:t xml:space="preserve">Ongoing burdens are a function of claims volume, as well as the denial and appeal rates of various plans.  As shown in the table below, health benefit claims comprise the majority of all claims filed annually.  </w:t>
      </w:r>
    </w:p>
    <w:p w:rsidRPr="00DE4730" w:rsidR="00FD2C53" w:rsidP="0064789E" w:rsidRDefault="00FD2C53">
      <w:pPr>
        <w:widowControl/>
        <w:ind w:left="720"/>
      </w:pPr>
    </w:p>
    <w:tbl>
      <w:tblPr>
        <w:tblW w:w="9074" w:type="dxa"/>
        <w:tblInd w:w="108" w:type="dxa"/>
        <w:tblLook w:val="04A0" w:firstRow="1" w:lastRow="0" w:firstColumn="1" w:lastColumn="0" w:noHBand="0" w:noVBand="1"/>
      </w:tblPr>
      <w:tblGrid>
        <w:gridCol w:w="2492"/>
        <w:gridCol w:w="1165"/>
        <w:gridCol w:w="1119"/>
        <w:gridCol w:w="1119"/>
        <w:gridCol w:w="1119"/>
        <w:gridCol w:w="1119"/>
        <w:gridCol w:w="1119"/>
      </w:tblGrid>
      <w:tr w:rsidRPr="00497F5F" w:rsidR="00497F5F" w:rsidTr="00497F5F">
        <w:trPr>
          <w:trHeight w:val="270"/>
        </w:trPr>
        <w:tc>
          <w:tcPr>
            <w:tcW w:w="3474" w:type="dxa"/>
            <w:gridSpan w:val="2"/>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TABLE 1.--</w:t>
            </w:r>
            <w:r w:rsidRPr="00497F5F">
              <w:rPr>
                <w:i/>
                <w:iCs/>
                <w:sz w:val="20"/>
                <w:szCs w:val="20"/>
              </w:rPr>
              <w:t>Claims (in thousands)</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494" w:type="dxa"/>
            <w:tcBorders>
              <w:top w:val="single" w:color="auto" w:sz="8" w:space="0"/>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98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Health</w:t>
            </w:r>
          </w:p>
        </w:tc>
        <w:tc>
          <w:tcPr>
            <w:tcW w:w="2240" w:type="dxa"/>
            <w:gridSpan w:val="2"/>
            <w:tcBorders>
              <w:top w:val="single" w:color="auto" w:sz="8" w:space="0"/>
              <w:left w:val="nil"/>
              <w:bottom w:val="single" w:color="auto" w:sz="4"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Disability</w:t>
            </w:r>
          </w:p>
        </w:tc>
        <w:tc>
          <w:tcPr>
            <w:tcW w:w="112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Pension</w:t>
            </w:r>
          </w:p>
        </w:tc>
        <w:tc>
          <w:tcPr>
            <w:tcW w:w="112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Other</w:t>
            </w:r>
          </w:p>
        </w:tc>
        <w:tc>
          <w:tcPr>
            <w:tcW w:w="112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Total</w:t>
            </w:r>
          </w:p>
        </w:tc>
      </w:tr>
      <w:tr w:rsidRPr="00497F5F" w:rsidR="00497F5F" w:rsidTr="00497F5F">
        <w:trPr>
          <w:trHeight w:val="270"/>
        </w:trPr>
        <w:tc>
          <w:tcPr>
            <w:tcW w:w="2494"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98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20"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Short-Term</w:t>
            </w:r>
          </w:p>
        </w:tc>
        <w:tc>
          <w:tcPr>
            <w:tcW w:w="1120"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Long-Term</w:t>
            </w:r>
          </w:p>
        </w:tc>
        <w:tc>
          <w:tcPr>
            <w:tcW w:w="112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2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2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Claims</w:t>
            </w:r>
          </w:p>
        </w:tc>
        <w:tc>
          <w:tcPr>
            <w:tcW w:w="980" w:type="dxa"/>
            <w:tcBorders>
              <w:top w:val="nil"/>
              <w:left w:val="nil"/>
              <w:bottom w:val="nil"/>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1,384,140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3,188</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332</w:t>
            </w:r>
          </w:p>
        </w:tc>
        <w:tc>
          <w:tcPr>
            <w:tcW w:w="1120" w:type="dxa"/>
            <w:tcBorders>
              <w:top w:val="nil"/>
              <w:left w:val="nil"/>
              <w:bottom w:val="nil"/>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 xml:space="preserve">2,138 </w:t>
            </w:r>
          </w:p>
        </w:tc>
        <w:tc>
          <w:tcPr>
            <w:tcW w:w="1120" w:type="dxa"/>
            <w:tcBorders>
              <w:top w:val="nil"/>
              <w:left w:val="nil"/>
              <w:bottom w:val="nil"/>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294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1,390,092</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Pre-Service</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Approved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35,295.6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35,296</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6,228.6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6,229</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Post-Service</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xml:space="preserve">   Claims Approved </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1,141,223.4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1,141,223</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201,392.4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95.7</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73.0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8.8</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201,588</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Extended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80,556.9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31.9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66.4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80,655</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Denial Appeal</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Total</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475.0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9.6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48.2</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535</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Appeal Approved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190.0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4.8</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24.1</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220</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Appeal Denied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285.0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4.8</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24.1</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315</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Medical*</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137.3</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137</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600" w:firstLineChars="300"/>
              <w:rPr>
                <w:sz w:val="20"/>
                <w:szCs w:val="20"/>
              </w:rPr>
            </w:pPr>
            <w:r w:rsidRPr="00497F5F">
              <w:rPr>
                <w:sz w:val="20"/>
                <w:szCs w:val="20"/>
              </w:rPr>
              <w:t>Claim Approved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54.9</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55</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600" w:firstLineChars="300"/>
              <w:rPr>
                <w:sz w:val="20"/>
                <w:szCs w:val="20"/>
              </w:rPr>
            </w:pPr>
            <w:r w:rsidRPr="00497F5F">
              <w:rPr>
                <w:sz w:val="20"/>
                <w:szCs w:val="20"/>
              </w:rPr>
              <w:t>Claim Denied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82.4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82</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Administrative</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337.7</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338</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600" w:firstLineChars="300"/>
              <w:rPr>
                <w:sz w:val="20"/>
                <w:szCs w:val="20"/>
              </w:rPr>
            </w:pPr>
            <w:r w:rsidRPr="00497F5F">
              <w:rPr>
                <w:sz w:val="20"/>
                <w:szCs w:val="20"/>
              </w:rPr>
              <w:t>Claim Approved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135.1</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135</w:t>
            </w:r>
          </w:p>
        </w:tc>
      </w:tr>
      <w:tr w:rsidRPr="00497F5F" w:rsidR="00497F5F" w:rsidTr="00497F5F">
        <w:trPr>
          <w:trHeight w:val="255"/>
        </w:trPr>
        <w:tc>
          <w:tcPr>
            <w:tcW w:w="249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600" w:firstLineChars="300"/>
              <w:rPr>
                <w:sz w:val="20"/>
                <w:szCs w:val="20"/>
              </w:rPr>
            </w:pPr>
            <w:r w:rsidRPr="00497F5F">
              <w:rPr>
                <w:sz w:val="20"/>
                <w:szCs w:val="20"/>
              </w:rPr>
              <w:t>Claim Denied</w:t>
            </w:r>
          </w:p>
        </w:tc>
        <w:tc>
          <w:tcPr>
            <w:tcW w:w="98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202.6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203</w:t>
            </w:r>
          </w:p>
        </w:tc>
      </w:tr>
      <w:tr w:rsidRPr="00497F5F" w:rsidR="00497F5F" w:rsidTr="00497F5F">
        <w:trPr>
          <w:trHeight w:val="270"/>
        </w:trPr>
        <w:tc>
          <w:tcPr>
            <w:tcW w:w="2494"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Total Responses</w:t>
            </w:r>
          </w:p>
        </w:tc>
        <w:tc>
          <w:tcPr>
            <w:tcW w:w="98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1,465,172</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137</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188</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21</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1,465,527</w:t>
            </w:r>
          </w:p>
        </w:tc>
      </w:tr>
    </w:tbl>
    <w:p w:rsidRPr="00DE4730" w:rsidR="00FD2C53" w:rsidP="007C1420" w:rsidRDefault="00FD2C53">
      <w:pPr>
        <w:widowControl/>
        <w:ind w:left="720"/>
      </w:pPr>
    </w:p>
    <w:p w:rsidRPr="00DE4730" w:rsidR="00696114" w:rsidP="003F34B7" w:rsidRDefault="00696114">
      <w:pPr>
        <w:widowControl/>
        <w:ind w:left="720"/>
      </w:pPr>
      <w:r w:rsidRPr="00DE4730">
        <w:t>The transaction burden will vary widely with the type and complexity of claim in question, but the mix of claims and associated burdens generally are expected to be similar across plans of the same type.  The average time required for the information collection associated with any particular type of health benefit claim transaction will range from one minute for certain routine automatic notices to six hours for certain disclosures on request following</w:t>
      </w:r>
      <w:r w:rsidR="007831ED">
        <w:t xml:space="preserve"> adverse claim determinations.</w:t>
      </w:r>
    </w:p>
    <w:p w:rsidRPr="00DE4730" w:rsidR="00696114" w:rsidP="007C1420" w:rsidRDefault="00696114">
      <w:pPr>
        <w:widowControl/>
        <w:ind w:left="720"/>
      </w:pPr>
    </w:p>
    <w:p w:rsidRPr="00DE4730" w:rsidR="00696114" w:rsidP="007C1420" w:rsidRDefault="00696114">
      <w:pPr>
        <w:widowControl/>
        <w:ind w:left="720"/>
      </w:pPr>
      <w:r w:rsidRPr="00DE4730">
        <w:t xml:space="preserve">The Department estimates that approximately 93 percent of large benefit and all small benefit plans administer claims using a third-party provider.  Approximately </w:t>
      </w:r>
      <w:r w:rsidR="00631154">
        <w:t xml:space="preserve">12,147 </w:t>
      </w:r>
      <w:r w:rsidRPr="00DE4730" w:rsidR="00631154">
        <w:t>health</w:t>
      </w:r>
      <w:r w:rsidRPr="00DE4730">
        <w:t xml:space="preserve">, </w:t>
      </w:r>
      <w:r w:rsidRPr="00631154" w:rsidR="00631154">
        <w:t xml:space="preserve">7,768 </w:t>
      </w:r>
      <w:r w:rsidRPr="00DE4730">
        <w:t xml:space="preserve">disability, </w:t>
      </w:r>
      <w:r w:rsidRPr="00631154" w:rsidR="00631154">
        <w:t xml:space="preserve">6,342 </w:t>
      </w:r>
      <w:r w:rsidRPr="00DE4730">
        <w:t xml:space="preserve">pension </w:t>
      </w:r>
      <w:r w:rsidR="00631154">
        <w:t>10,593</w:t>
      </w:r>
      <w:r w:rsidRPr="00DE4730">
        <w:t xml:space="preserve"> other plans administer claims in-house.  In-house administration burdens are accounted for as hours, while purchased services are accounted for as dollar costs</w:t>
      </w:r>
      <w:r w:rsidRPr="00DE4730" w:rsidR="00EB6EBF">
        <w:t xml:space="preserve"> and are discussed question 13</w:t>
      </w:r>
      <w:r w:rsidRPr="00DE4730">
        <w:t xml:space="preserve">.  The hourly burden as well as </w:t>
      </w:r>
      <w:r w:rsidRPr="00DE4730" w:rsidR="005D1D58">
        <w:t>labor costs associated with mailing document</w:t>
      </w:r>
      <w:r w:rsidRPr="00DE4730">
        <w:t xml:space="preserve"> for plans processing claims in-house is described below:</w:t>
      </w:r>
    </w:p>
    <w:p w:rsidRPr="00DE4730" w:rsidR="00696114" w:rsidP="007C1420" w:rsidRDefault="00696114">
      <w:pPr>
        <w:widowControl/>
        <w:ind w:left="720"/>
      </w:pPr>
    </w:p>
    <w:tbl>
      <w:tblPr>
        <w:tblW w:w="9840" w:type="dxa"/>
        <w:tblInd w:w="108" w:type="dxa"/>
        <w:tblLayout w:type="fixed"/>
        <w:tblLook w:val="04A0" w:firstRow="1" w:lastRow="0" w:firstColumn="1" w:lastColumn="0" w:noHBand="0" w:noVBand="1"/>
      </w:tblPr>
      <w:tblGrid>
        <w:gridCol w:w="2588"/>
        <w:gridCol w:w="740"/>
        <w:gridCol w:w="1132"/>
        <w:gridCol w:w="1120"/>
        <w:gridCol w:w="1120"/>
        <w:gridCol w:w="1120"/>
        <w:gridCol w:w="960"/>
        <w:gridCol w:w="1060"/>
      </w:tblGrid>
      <w:tr w:rsidRPr="00497F5F" w:rsidR="00497F5F" w:rsidTr="00497F5F">
        <w:trPr>
          <w:trHeight w:val="270"/>
        </w:trPr>
        <w:tc>
          <w:tcPr>
            <w:tcW w:w="4460" w:type="dxa"/>
            <w:gridSpan w:val="3"/>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TABLE 2.--</w:t>
            </w:r>
            <w:r w:rsidRPr="00497F5F">
              <w:rPr>
                <w:i/>
                <w:iCs/>
                <w:sz w:val="20"/>
                <w:szCs w:val="20"/>
              </w:rPr>
              <w:t>In-House Burden Hours (in thousands)</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588" w:type="dxa"/>
            <w:tcBorders>
              <w:top w:val="single" w:color="auto" w:sz="8" w:space="0"/>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74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Health</w:t>
            </w:r>
          </w:p>
        </w:tc>
        <w:tc>
          <w:tcPr>
            <w:tcW w:w="2252" w:type="dxa"/>
            <w:gridSpan w:val="2"/>
            <w:tcBorders>
              <w:top w:val="single" w:color="auto" w:sz="8" w:space="0"/>
              <w:left w:val="nil"/>
              <w:bottom w:val="single" w:color="auto" w:sz="4"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Disability</w:t>
            </w:r>
          </w:p>
        </w:tc>
        <w:tc>
          <w:tcPr>
            <w:tcW w:w="112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Pension</w:t>
            </w:r>
          </w:p>
        </w:tc>
        <w:tc>
          <w:tcPr>
            <w:tcW w:w="1120" w:type="dxa"/>
            <w:vMerge w:val="restart"/>
            <w:tcBorders>
              <w:top w:val="single" w:color="auto" w:sz="8" w:space="0"/>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Other</w:t>
            </w:r>
          </w:p>
        </w:tc>
        <w:tc>
          <w:tcPr>
            <w:tcW w:w="960" w:type="dxa"/>
            <w:vMerge w:val="restart"/>
            <w:tcBorders>
              <w:top w:val="single" w:color="auto" w:sz="8" w:space="0"/>
              <w:left w:val="nil"/>
              <w:bottom w:val="single" w:color="000000" w:sz="8" w:space="0"/>
              <w:right w:val="nil"/>
            </w:tcBorders>
            <w:shd w:val="clear" w:color="auto" w:fill="auto"/>
            <w:vAlign w:val="center"/>
            <w:hideMark/>
          </w:tcPr>
          <w:p w:rsidRPr="00497F5F" w:rsidR="00497F5F" w:rsidP="00497F5F" w:rsidRDefault="00497F5F">
            <w:pPr>
              <w:widowControl/>
              <w:autoSpaceDE/>
              <w:autoSpaceDN/>
              <w:adjustRightInd/>
              <w:jc w:val="center"/>
              <w:rPr>
                <w:sz w:val="20"/>
                <w:szCs w:val="20"/>
              </w:rPr>
            </w:pPr>
            <w:r w:rsidRPr="00497F5F">
              <w:rPr>
                <w:sz w:val="20"/>
                <w:szCs w:val="20"/>
              </w:rPr>
              <w:t>Mailing Cost</w:t>
            </w:r>
          </w:p>
        </w:tc>
        <w:tc>
          <w:tcPr>
            <w:tcW w:w="1060" w:type="dxa"/>
            <w:vMerge w:val="restart"/>
            <w:tcBorders>
              <w:top w:val="single" w:color="auto" w:sz="8" w:space="0"/>
              <w:left w:val="nil"/>
              <w:bottom w:val="single" w:color="000000" w:sz="8" w:space="0"/>
              <w:right w:val="nil"/>
            </w:tcBorders>
            <w:shd w:val="clear" w:color="auto" w:fill="auto"/>
            <w:vAlign w:val="center"/>
            <w:hideMark/>
          </w:tcPr>
          <w:p w:rsidRPr="00497F5F" w:rsidR="00497F5F" w:rsidP="00497F5F" w:rsidRDefault="00497F5F">
            <w:pPr>
              <w:widowControl/>
              <w:autoSpaceDE/>
              <w:autoSpaceDN/>
              <w:adjustRightInd/>
              <w:jc w:val="center"/>
              <w:rPr>
                <w:sz w:val="20"/>
                <w:szCs w:val="20"/>
              </w:rPr>
            </w:pPr>
            <w:r w:rsidRPr="00497F5F">
              <w:rPr>
                <w:sz w:val="20"/>
                <w:szCs w:val="20"/>
              </w:rPr>
              <w:t>Total Hours</w:t>
            </w:r>
          </w:p>
        </w:tc>
      </w:tr>
      <w:tr w:rsidRPr="00497F5F" w:rsidR="00497F5F" w:rsidTr="00497F5F">
        <w:trPr>
          <w:trHeight w:val="270"/>
        </w:trPr>
        <w:tc>
          <w:tcPr>
            <w:tcW w:w="2588"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74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32"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Short-Term</w:t>
            </w:r>
          </w:p>
        </w:tc>
        <w:tc>
          <w:tcPr>
            <w:tcW w:w="1120"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Long-Term</w:t>
            </w:r>
          </w:p>
        </w:tc>
        <w:tc>
          <w:tcPr>
            <w:tcW w:w="112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2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96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060" w:type="dxa"/>
            <w:vMerge/>
            <w:tcBorders>
              <w:top w:val="single" w:color="auto" w:sz="8" w:space="0"/>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Pre-Service</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Approved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32.4</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$316</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32.4</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$56</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Post-Service</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xml:space="preserve">   Claims Approved </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1,047.8</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$10,216</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1,047.8</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369.8</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2.6</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0.1</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$1,805</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376.6</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Extended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74.0</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0.4</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$722</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76.2</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Denial Appeal</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Total</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80.0</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0.3</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2.7</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$19</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83.0</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Appeal Approved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18.4</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18.4</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Appeal Denied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61.6</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0.3</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2.7</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0.0</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64.6</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Medical</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57.5</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57.5</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Approved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18.1</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18.1</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Denied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39.3</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39.3</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Administrative</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22.6</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$12</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22.6</w:t>
            </w:r>
          </w:p>
        </w:tc>
      </w:tr>
      <w:tr w:rsidRPr="00497F5F" w:rsidR="00497F5F" w:rsidTr="00497F5F">
        <w:trPr>
          <w:trHeight w:val="255"/>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Approved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0.2</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0.2</w:t>
            </w:r>
          </w:p>
        </w:tc>
      </w:tr>
      <w:tr w:rsidRPr="00497F5F" w:rsidR="00497F5F" w:rsidTr="00497F5F">
        <w:trPr>
          <w:trHeight w:val="270"/>
        </w:trPr>
        <w:tc>
          <w:tcPr>
            <w:tcW w:w="25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Denied</w:t>
            </w:r>
          </w:p>
        </w:tc>
        <w:tc>
          <w:tcPr>
            <w:tcW w:w="74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22.3</w:t>
            </w:r>
          </w:p>
        </w:tc>
        <w:tc>
          <w:tcPr>
            <w:tcW w:w="113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2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9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22.3</w:t>
            </w:r>
          </w:p>
        </w:tc>
      </w:tr>
      <w:tr w:rsidRPr="00497F5F" w:rsidR="00497F5F" w:rsidTr="00497F5F">
        <w:trPr>
          <w:trHeight w:val="285"/>
        </w:trPr>
        <w:tc>
          <w:tcPr>
            <w:tcW w:w="2588"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b/>
                <w:bCs/>
                <w:sz w:val="20"/>
                <w:szCs w:val="20"/>
              </w:rPr>
            </w:pPr>
            <w:r w:rsidRPr="00497F5F">
              <w:rPr>
                <w:b/>
                <w:bCs/>
                <w:sz w:val="20"/>
                <w:szCs w:val="20"/>
              </w:rPr>
              <w:t>Total</w:t>
            </w:r>
          </w:p>
        </w:tc>
        <w:tc>
          <w:tcPr>
            <w:tcW w:w="74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1,615</w:t>
            </w:r>
          </w:p>
        </w:tc>
        <w:tc>
          <w:tcPr>
            <w:tcW w:w="1132"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3</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9</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0</w:t>
            </w:r>
          </w:p>
        </w:tc>
        <w:tc>
          <w:tcPr>
            <w:tcW w:w="112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0</w:t>
            </w:r>
          </w:p>
        </w:tc>
        <w:tc>
          <w:tcPr>
            <w:tcW w:w="96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$13,133</w:t>
            </w:r>
          </w:p>
        </w:tc>
        <w:tc>
          <w:tcPr>
            <w:tcW w:w="106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1,627.4</w:t>
            </w:r>
          </w:p>
        </w:tc>
      </w:tr>
      <w:tr w:rsidRPr="00497F5F" w:rsidR="00497F5F" w:rsidTr="00497F5F">
        <w:trPr>
          <w:trHeight w:val="255"/>
        </w:trPr>
        <w:tc>
          <w:tcPr>
            <w:tcW w:w="8780" w:type="dxa"/>
            <w:gridSpan w:val="7"/>
            <w:vMerge w:val="restart"/>
            <w:tcBorders>
              <w:top w:val="nil"/>
              <w:left w:val="nil"/>
              <w:bottom w:val="nil"/>
              <w:right w:val="nil"/>
            </w:tcBorders>
            <w:shd w:val="clear" w:color="auto" w:fill="auto"/>
            <w:vAlign w:val="bottom"/>
            <w:hideMark/>
          </w:tcPr>
          <w:p w:rsidRPr="00497F5F" w:rsidR="00497F5F" w:rsidP="00497F5F" w:rsidRDefault="00497F5F">
            <w:pPr>
              <w:widowControl/>
              <w:autoSpaceDE/>
              <w:autoSpaceDN/>
              <w:adjustRightInd/>
              <w:rPr>
                <w:sz w:val="20"/>
                <w:szCs w:val="20"/>
              </w:rPr>
            </w:pPr>
            <w:r w:rsidRPr="00497F5F">
              <w:rPr>
                <w:sz w:val="20"/>
                <w:szCs w:val="20"/>
              </w:rPr>
              <w:t>Note: Assumed that 7 percent of large plan process these claims in-house.  Large plans account for 69.7 percent of policy-holders and therefore 4.9 percent of claims are processed in-house</w:t>
            </w: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8780" w:type="dxa"/>
            <w:gridSpan w:val="7"/>
            <w:vMerge/>
            <w:tcBorders>
              <w:top w:val="nil"/>
              <w:left w:val="nil"/>
              <w:bottom w:val="nil"/>
              <w:right w:val="nil"/>
            </w:tcBorders>
            <w:vAlign w:val="center"/>
            <w:hideMark/>
          </w:tcPr>
          <w:p w:rsidRPr="00497F5F" w:rsidR="00497F5F" w:rsidP="00497F5F" w:rsidRDefault="00497F5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bl>
    <w:p w:rsidRPr="00DE4730" w:rsidR="00696114" w:rsidP="00833560" w:rsidRDefault="00696114">
      <w:pPr>
        <w:widowControl/>
      </w:pPr>
    </w:p>
    <w:p w:rsidR="00886B7F" w:rsidP="00886B7F" w:rsidRDefault="00696114">
      <w:pPr>
        <w:widowControl/>
        <w:ind w:left="720"/>
      </w:pPr>
      <w:r w:rsidRPr="00DE4730">
        <w:lastRenderedPageBreak/>
        <w:t xml:space="preserve">Total burden hours are estimated at </w:t>
      </w:r>
      <w:r w:rsidR="007B2D15">
        <w:t>1,627,422</w:t>
      </w:r>
      <w:r w:rsidRPr="00DE4730">
        <w:t xml:space="preserve"> hours</w:t>
      </w:r>
      <w:r w:rsidRPr="00DE4730" w:rsidR="00BF2630">
        <w:t>.  Using the hourly cost of clerical workers ($</w:t>
      </w:r>
      <w:r w:rsidR="0047127D">
        <w:t>55.14</w:t>
      </w:r>
      <w:r w:rsidRPr="00DE4730" w:rsidR="00BF2630">
        <w:t>), doctors ($</w:t>
      </w:r>
      <w:r w:rsidR="006D5246">
        <w:t>169.96</w:t>
      </w:r>
      <w:r w:rsidRPr="00DE4730" w:rsidR="00BF2630">
        <w:t>) or lawyers (</w:t>
      </w:r>
      <w:r w:rsidR="00C82173">
        <w:t>138.41</w:t>
      </w:r>
      <w:r w:rsidRPr="00DE4730" w:rsidR="00BF2630">
        <w:t>),</w:t>
      </w:r>
      <w:r w:rsidRPr="00DE4730" w:rsidR="00BF2630">
        <w:rPr>
          <w:rStyle w:val="FootnoteReference"/>
          <w:vertAlign w:val="superscript"/>
        </w:rPr>
        <w:footnoteReference w:id="2"/>
      </w:r>
      <w:r w:rsidRPr="00DE4730" w:rsidR="00BF2630">
        <w:t xml:space="preserve"> as appropriate, the equivalent costs </w:t>
      </w:r>
      <w:r w:rsidRPr="00DE4730">
        <w:t xml:space="preserve">are estimated </w:t>
      </w:r>
      <w:r w:rsidRPr="00DE4730" w:rsidR="00BF2630">
        <w:t>to be</w:t>
      </w:r>
      <w:r w:rsidRPr="00DE4730">
        <w:t xml:space="preserve"> </w:t>
      </w:r>
      <w:r w:rsidRPr="00041F08" w:rsidR="00041F08">
        <w:t>$</w:t>
      </w:r>
      <w:r w:rsidR="007B2D15">
        <w:t>122,021,326</w:t>
      </w:r>
      <w:r w:rsidRPr="00DE4730">
        <w:t>.</w:t>
      </w:r>
    </w:p>
    <w:p w:rsidR="00886B7F" w:rsidP="00833560" w:rsidRDefault="00886B7F">
      <w:pPr>
        <w:widowControl/>
      </w:pPr>
    </w:p>
    <w:p w:rsidR="00886B7F" w:rsidP="00F43BFC" w:rsidRDefault="00886B7F">
      <w:pPr>
        <w:widowControl/>
        <w:ind w:left="720"/>
      </w:pPr>
      <w:r>
        <w:t xml:space="preserve">Note to reviewer:  The burden of this ICR has increased substantially.  This is due to the inclusion of post-service approved claims.  </w:t>
      </w:r>
      <w:r w:rsidR="00925860">
        <w:t>A review of FAQs issued by the agency highlighted that approved claims still could be an adverse determination if 100 percent of the claim was not paid (even if in-line with plan requirements</w:t>
      </w:r>
      <w:r w:rsidR="00060C62">
        <w:t xml:space="preserve"> due to co-pays, deductibles, and other cost-sharing arrangements</w:t>
      </w:r>
      <w:r w:rsidR="00925860">
        <w:t>).</w:t>
      </w:r>
      <w:r w:rsidR="00925860">
        <w:rPr>
          <w:rStyle w:val="FootnoteReference"/>
        </w:rPr>
        <w:footnoteReference w:id="3"/>
      </w:r>
      <w:r w:rsidR="00925860">
        <w:t xml:space="preserve">  The adverse determination would require notice, which often occurs in the form of </w:t>
      </w:r>
      <w:r w:rsidR="00113419">
        <w:t xml:space="preserve">an </w:t>
      </w:r>
      <w:r w:rsidR="00925860">
        <w:t>explanation of benefits (EOBs).  While some approved claims are paid in full and should not be counted</w:t>
      </w:r>
      <w:r w:rsidR="00113419">
        <w:t>,</w:t>
      </w:r>
      <w:r w:rsidR="00925860">
        <w:t xml:space="preserve"> we do not know what </w:t>
      </w:r>
      <w:r w:rsidR="00113419">
        <w:t xml:space="preserve">portion are paid in full, </w:t>
      </w:r>
      <w:r w:rsidR="00925860">
        <w:t xml:space="preserve">therefore </w:t>
      </w:r>
      <w:r w:rsidR="00113419">
        <w:t xml:space="preserve">we </w:t>
      </w:r>
      <w:r w:rsidR="00925860">
        <w:t>include all paid claims.</w:t>
      </w:r>
    </w:p>
    <w:p w:rsidR="00886B7F" w:rsidP="00886B7F" w:rsidRDefault="00886B7F">
      <w:pPr>
        <w:widowControl/>
        <w:ind w:left="720"/>
      </w:pPr>
    </w:p>
    <w:p w:rsidRPr="00DE4730" w:rsidR="00886B7F" w:rsidP="00307521" w:rsidRDefault="00886B7F">
      <w:pPr>
        <w:widowControl/>
        <w:ind w:left="720"/>
      </w:pPr>
    </w:p>
    <w:p w:rsidRPr="00DE4730" w:rsidR="00FC2F3E" w:rsidP="00307521"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4730">
        <w:rPr>
          <w:i/>
          <w:iCs/>
        </w:rPr>
        <w:t>Provide an estimate of the total annual cost burden to respondents or recordkeepers resulting from the collection of information.  (Do not include the cost of any hour burden shown in Items 12 or 14).</w:t>
      </w:r>
    </w:p>
    <w:p w:rsidRPr="00DE4730" w:rsidR="00FC2F3E" w:rsidP="0030752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696114" w:rsidP="00307521" w:rsidRDefault="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 xml:space="preserve">As indicated in question 12, the bulk of these claims will be processed by third-party service providers.  Total costs </w:t>
      </w:r>
      <w:r w:rsidRPr="00DE4730" w:rsidR="00BF2630">
        <w:t>are</w:t>
      </w:r>
      <w:r w:rsidRPr="00DE4730">
        <w:t xml:space="preserve"> estimated by multiplying the number of responses by the amount of time required to prepare the documents and then multiplying this by the appropriate hourly cost</w:t>
      </w:r>
      <w:r w:rsidRPr="00DE4730" w:rsidR="00BF2630">
        <w:t xml:space="preserve"> from question 12</w:t>
      </w:r>
      <w:r w:rsidRPr="00DE4730">
        <w:t>, and then adding the cost of copying and mailing responses (</w:t>
      </w:r>
      <w:r w:rsidR="00D030F9">
        <w:t>$0.</w:t>
      </w:r>
      <w:r w:rsidR="007B2D15">
        <w:t>6</w:t>
      </w:r>
      <w:r w:rsidR="00D030F9">
        <w:t xml:space="preserve">5 </w:t>
      </w:r>
      <w:r w:rsidRPr="00DE4730">
        <w:t>each for those not sent electronically).  These costs are described below:</w:t>
      </w:r>
    </w:p>
    <w:p w:rsidR="00696114" w:rsidP="00307521" w:rsidRDefault="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9840" w:type="dxa"/>
        <w:tblInd w:w="108" w:type="dxa"/>
        <w:tblLook w:val="04A0" w:firstRow="1" w:lastRow="0" w:firstColumn="1" w:lastColumn="0" w:noHBand="0" w:noVBand="1"/>
      </w:tblPr>
      <w:tblGrid>
        <w:gridCol w:w="2688"/>
        <w:gridCol w:w="1135"/>
        <w:gridCol w:w="1176"/>
        <w:gridCol w:w="1162"/>
        <w:gridCol w:w="850"/>
        <w:gridCol w:w="672"/>
        <w:gridCol w:w="1062"/>
        <w:gridCol w:w="1214"/>
      </w:tblGrid>
      <w:tr w:rsidRPr="00497F5F" w:rsidR="00497F5F" w:rsidTr="00497F5F">
        <w:trPr>
          <w:trHeight w:val="270"/>
        </w:trPr>
        <w:tc>
          <w:tcPr>
            <w:tcW w:w="9840" w:type="dxa"/>
            <w:gridSpan w:val="8"/>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Table 3.--</w:t>
            </w:r>
            <w:r w:rsidRPr="00497F5F">
              <w:rPr>
                <w:i/>
                <w:iCs/>
                <w:sz w:val="20"/>
                <w:szCs w:val="20"/>
              </w:rPr>
              <w:t>Service Provider and Materials Burden Cost (in thousands)</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1135" w:type="dxa"/>
            <w:vMerge w:val="restart"/>
            <w:tcBorders>
              <w:top w:val="nil"/>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Health</w:t>
            </w:r>
          </w:p>
        </w:tc>
        <w:tc>
          <w:tcPr>
            <w:tcW w:w="2338" w:type="dxa"/>
            <w:gridSpan w:val="2"/>
            <w:tcBorders>
              <w:top w:val="single" w:color="auto" w:sz="8" w:space="0"/>
              <w:left w:val="nil"/>
              <w:bottom w:val="single" w:color="auto" w:sz="4"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Disability</w:t>
            </w:r>
          </w:p>
        </w:tc>
        <w:tc>
          <w:tcPr>
            <w:tcW w:w="810" w:type="dxa"/>
            <w:vMerge w:val="restart"/>
            <w:tcBorders>
              <w:top w:val="nil"/>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Pension</w:t>
            </w:r>
          </w:p>
        </w:tc>
        <w:tc>
          <w:tcPr>
            <w:tcW w:w="593" w:type="dxa"/>
            <w:vMerge w:val="restart"/>
            <w:tcBorders>
              <w:top w:val="nil"/>
              <w:left w:val="nil"/>
              <w:bottom w:val="single" w:color="000000" w:sz="8" w:space="0"/>
              <w:right w:val="nil"/>
            </w:tcBorders>
            <w:shd w:val="clear" w:color="auto" w:fill="auto"/>
            <w:noWrap/>
            <w:vAlign w:val="center"/>
            <w:hideMark/>
          </w:tcPr>
          <w:p w:rsidRPr="00497F5F" w:rsidR="00497F5F" w:rsidP="00497F5F" w:rsidRDefault="00497F5F">
            <w:pPr>
              <w:widowControl/>
              <w:autoSpaceDE/>
              <w:autoSpaceDN/>
              <w:adjustRightInd/>
              <w:jc w:val="center"/>
              <w:rPr>
                <w:sz w:val="20"/>
                <w:szCs w:val="20"/>
              </w:rPr>
            </w:pPr>
            <w:r w:rsidRPr="00497F5F">
              <w:rPr>
                <w:sz w:val="20"/>
                <w:szCs w:val="20"/>
              </w:rPr>
              <w:t>Other</w:t>
            </w:r>
          </w:p>
        </w:tc>
        <w:tc>
          <w:tcPr>
            <w:tcW w:w="1062" w:type="dxa"/>
            <w:vMerge w:val="restart"/>
            <w:tcBorders>
              <w:top w:val="nil"/>
              <w:left w:val="nil"/>
              <w:bottom w:val="single" w:color="000000" w:sz="8" w:space="0"/>
              <w:right w:val="nil"/>
            </w:tcBorders>
            <w:shd w:val="clear" w:color="auto" w:fill="auto"/>
            <w:vAlign w:val="center"/>
            <w:hideMark/>
          </w:tcPr>
          <w:p w:rsidRPr="00497F5F" w:rsidR="00497F5F" w:rsidP="00497F5F" w:rsidRDefault="00497F5F">
            <w:pPr>
              <w:widowControl/>
              <w:autoSpaceDE/>
              <w:autoSpaceDN/>
              <w:adjustRightInd/>
              <w:jc w:val="center"/>
              <w:rPr>
                <w:sz w:val="20"/>
                <w:szCs w:val="20"/>
              </w:rPr>
            </w:pPr>
            <w:r w:rsidRPr="00497F5F">
              <w:rPr>
                <w:sz w:val="20"/>
                <w:szCs w:val="20"/>
              </w:rPr>
              <w:t>Mailing Cost</w:t>
            </w:r>
          </w:p>
        </w:tc>
        <w:tc>
          <w:tcPr>
            <w:tcW w:w="1214" w:type="dxa"/>
            <w:vMerge w:val="restart"/>
            <w:tcBorders>
              <w:top w:val="nil"/>
              <w:left w:val="nil"/>
              <w:bottom w:val="single" w:color="000000" w:sz="8" w:space="0"/>
              <w:right w:val="nil"/>
            </w:tcBorders>
            <w:shd w:val="clear" w:color="auto" w:fill="auto"/>
            <w:vAlign w:val="center"/>
            <w:hideMark/>
          </w:tcPr>
          <w:p w:rsidRPr="00497F5F" w:rsidR="00497F5F" w:rsidP="00497F5F" w:rsidRDefault="00497F5F">
            <w:pPr>
              <w:widowControl/>
              <w:autoSpaceDE/>
              <w:autoSpaceDN/>
              <w:adjustRightInd/>
              <w:jc w:val="center"/>
              <w:rPr>
                <w:sz w:val="20"/>
                <w:szCs w:val="20"/>
              </w:rPr>
            </w:pPr>
            <w:r w:rsidRPr="00497F5F">
              <w:rPr>
                <w:sz w:val="20"/>
                <w:szCs w:val="20"/>
              </w:rPr>
              <w:t>Total Costs</w:t>
            </w:r>
          </w:p>
        </w:tc>
      </w:tr>
      <w:tr w:rsidRPr="00497F5F" w:rsidR="00497F5F" w:rsidTr="00497F5F">
        <w:trPr>
          <w:trHeight w:val="270"/>
        </w:trPr>
        <w:tc>
          <w:tcPr>
            <w:tcW w:w="2688"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w:t>
            </w:r>
          </w:p>
        </w:tc>
        <w:tc>
          <w:tcPr>
            <w:tcW w:w="1135" w:type="dxa"/>
            <w:vMerge/>
            <w:tcBorders>
              <w:top w:val="nil"/>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176"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Short-Term</w:t>
            </w:r>
          </w:p>
        </w:tc>
        <w:tc>
          <w:tcPr>
            <w:tcW w:w="1162" w:type="dxa"/>
            <w:tcBorders>
              <w:top w:val="nil"/>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Long-Term</w:t>
            </w:r>
          </w:p>
        </w:tc>
        <w:tc>
          <w:tcPr>
            <w:tcW w:w="810" w:type="dxa"/>
            <w:vMerge/>
            <w:tcBorders>
              <w:top w:val="nil"/>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593" w:type="dxa"/>
            <w:vMerge/>
            <w:tcBorders>
              <w:top w:val="nil"/>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062" w:type="dxa"/>
            <w:vMerge/>
            <w:tcBorders>
              <w:top w:val="nil"/>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c>
          <w:tcPr>
            <w:tcW w:w="1214" w:type="dxa"/>
            <w:vMerge/>
            <w:tcBorders>
              <w:top w:val="nil"/>
              <w:left w:val="nil"/>
              <w:bottom w:val="single" w:color="000000" w:sz="8" w:space="0"/>
              <w:right w:val="nil"/>
            </w:tcBorders>
            <w:vAlign w:val="center"/>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Pre-Service</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Approved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$30,650</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$5,420</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$36,069</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$10,818</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$956</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$11,774</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Post-Service</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 xml:space="preserve">   Claims Approved </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$991,011</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$185,449</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$1,176,460</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Denied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$349,769</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$7,681</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$11,723</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$81</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$38</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$32,854</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$402,145</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Claim Extended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$69,954</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$1,280</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$5,329</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$13,154</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$89,717</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r w:rsidRPr="00497F5F">
              <w:rPr>
                <w:sz w:val="20"/>
                <w:szCs w:val="20"/>
              </w:rPr>
              <w:t>Denial Appeal</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lastRenderedPageBreak/>
              <w:t>Total</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$221,119</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$776</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$7,779</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$21</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$348</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$230,053</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Appeal Approved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$53,494</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$8</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$42</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$0</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$143</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$53,688</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Appeal Denied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$167,625</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$768</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$7,737</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$10</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$205</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$176,365</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Medical</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$167,532</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$167,532</w:t>
            </w:r>
          </w:p>
        </w:tc>
      </w:tr>
      <w:tr w:rsidRPr="00497F5F" w:rsidR="00497F5F" w:rsidTr="00497F5F">
        <w:trPr>
          <w:trHeight w:val="270"/>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Approved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$52,905</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$52,905</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Denied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$114,627</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$114,627</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200" w:firstLineChars="100"/>
              <w:rPr>
                <w:sz w:val="20"/>
                <w:szCs w:val="20"/>
              </w:rPr>
            </w:pPr>
            <w:r w:rsidRPr="00497F5F">
              <w:rPr>
                <w:sz w:val="20"/>
                <w:szCs w:val="20"/>
              </w:rPr>
              <w:t>Administrative</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$53,587</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$53,587</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Approved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$589</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$589</w:t>
            </w:r>
          </w:p>
        </w:tc>
      </w:tr>
      <w:tr w:rsidRPr="00497F5F" w:rsidR="00497F5F" w:rsidTr="00497F5F">
        <w:trPr>
          <w:trHeight w:val="255"/>
        </w:trPr>
        <w:tc>
          <w:tcPr>
            <w:tcW w:w="2688"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ind w:firstLine="400" w:firstLineChars="200"/>
              <w:rPr>
                <w:sz w:val="20"/>
                <w:szCs w:val="20"/>
              </w:rPr>
            </w:pPr>
            <w:r w:rsidRPr="00497F5F">
              <w:rPr>
                <w:sz w:val="20"/>
                <w:szCs w:val="20"/>
              </w:rPr>
              <w:t>Claim Denied</w:t>
            </w:r>
          </w:p>
        </w:tc>
        <w:tc>
          <w:tcPr>
            <w:tcW w:w="1135"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$52,998</w:t>
            </w:r>
          </w:p>
        </w:tc>
        <w:tc>
          <w:tcPr>
            <w:tcW w:w="1176"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1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810"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593"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062"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w:t>
            </w:r>
          </w:p>
        </w:tc>
        <w:tc>
          <w:tcPr>
            <w:tcW w:w="1214" w:type="dxa"/>
            <w:tcBorders>
              <w:top w:val="nil"/>
              <w:left w:val="nil"/>
              <w:bottom w:val="nil"/>
              <w:right w:val="nil"/>
            </w:tcBorders>
            <w:shd w:val="clear" w:color="auto" w:fill="auto"/>
            <w:noWrap/>
            <w:vAlign w:val="bottom"/>
            <w:hideMark/>
          </w:tcPr>
          <w:p w:rsidRPr="00497F5F" w:rsidR="00497F5F" w:rsidP="00497F5F" w:rsidRDefault="00497F5F">
            <w:pPr>
              <w:widowControl/>
              <w:autoSpaceDE/>
              <w:autoSpaceDN/>
              <w:adjustRightInd/>
              <w:jc w:val="center"/>
              <w:rPr>
                <w:sz w:val="20"/>
                <w:szCs w:val="20"/>
              </w:rPr>
            </w:pPr>
            <w:r w:rsidRPr="00497F5F">
              <w:rPr>
                <w:sz w:val="20"/>
                <w:szCs w:val="20"/>
              </w:rPr>
              <w:t>$52,998</w:t>
            </w:r>
          </w:p>
        </w:tc>
      </w:tr>
      <w:tr w:rsidRPr="00497F5F" w:rsidR="00497F5F" w:rsidTr="00497F5F">
        <w:trPr>
          <w:trHeight w:val="255"/>
        </w:trPr>
        <w:tc>
          <w:tcPr>
            <w:tcW w:w="2688"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rPr>
                <w:b/>
                <w:bCs/>
                <w:sz w:val="20"/>
                <w:szCs w:val="20"/>
              </w:rPr>
            </w:pPr>
            <w:r w:rsidRPr="00497F5F">
              <w:rPr>
                <w:b/>
                <w:bCs/>
                <w:sz w:val="20"/>
                <w:szCs w:val="20"/>
              </w:rPr>
              <w:t>Total Costs</w:t>
            </w:r>
          </w:p>
        </w:tc>
        <w:tc>
          <w:tcPr>
            <w:tcW w:w="1135"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$1,673,320</w:t>
            </w:r>
          </w:p>
        </w:tc>
        <w:tc>
          <w:tcPr>
            <w:tcW w:w="1176"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$9,737</w:t>
            </w:r>
          </w:p>
        </w:tc>
        <w:tc>
          <w:tcPr>
            <w:tcW w:w="1162"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$24,830</w:t>
            </w:r>
          </w:p>
        </w:tc>
        <w:tc>
          <w:tcPr>
            <w:tcW w:w="810"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$102</w:t>
            </w:r>
          </w:p>
        </w:tc>
        <w:tc>
          <w:tcPr>
            <w:tcW w:w="593"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$48</w:t>
            </w:r>
          </w:p>
        </w:tc>
        <w:tc>
          <w:tcPr>
            <w:tcW w:w="1062"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$238,181</w:t>
            </w:r>
          </w:p>
        </w:tc>
        <w:tc>
          <w:tcPr>
            <w:tcW w:w="1214" w:type="dxa"/>
            <w:tcBorders>
              <w:top w:val="single" w:color="auto" w:sz="4" w:space="0"/>
              <w:left w:val="nil"/>
              <w:bottom w:val="single" w:color="auto" w:sz="8" w:space="0"/>
              <w:right w:val="nil"/>
            </w:tcBorders>
            <w:shd w:val="clear" w:color="auto" w:fill="auto"/>
            <w:noWrap/>
            <w:vAlign w:val="bottom"/>
            <w:hideMark/>
          </w:tcPr>
          <w:p w:rsidRPr="00497F5F" w:rsidR="00497F5F" w:rsidP="00497F5F" w:rsidRDefault="00497F5F">
            <w:pPr>
              <w:widowControl/>
              <w:autoSpaceDE/>
              <w:autoSpaceDN/>
              <w:adjustRightInd/>
              <w:jc w:val="center"/>
              <w:rPr>
                <w:b/>
                <w:bCs/>
                <w:sz w:val="20"/>
                <w:szCs w:val="20"/>
              </w:rPr>
            </w:pPr>
            <w:r w:rsidRPr="00497F5F">
              <w:rPr>
                <w:b/>
                <w:bCs/>
                <w:sz w:val="20"/>
                <w:szCs w:val="20"/>
              </w:rPr>
              <w:t>$1,946,219</w:t>
            </w:r>
          </w:p>
        </w:tc>
      </w:tr>
    </w:tbl>
    <w:p w:rsidR="00370423" w:rsidP="00307521" w:rsidRDefault="003704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96114" w:rsidP="000F0DA1" w:rsidRDefault="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886B7F" w:rsidP="000F0DA1" w:rsidRDefault="00886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696114" w:rsidP="000F0DA1" w:rsidRDefault="00696114">
      <w:pPr>
        <w:ind w:left="720"/>
      </w:pPr>
      <w:r w:rsidRPr="00DE4730">
        <w:t xml:space="preserve">The total estimated cost burden for those plans that use service providers, including the cost of mailing all responses (including </w:t>
      </w:r>
      <w:r w:rsidRPr="00DE4730" w:rsidR="000F6E83">
        <w:t>materials and postage</w:t>
      </w:r>
      <w:r w:rsidRPr="00DE4730">
        <w:t xml:space="preserve"> costs for those prepared in-house listed in Table 2), is </w:t>
      </w:r>
      <w:r w:rsidRPr="00D030F9" w:rsidR="00D030F9">
        <w:t>$</w:t>
      </w:r>
      <w:r w:rsidR="007B2D15">
        <w:t>1,959,351,534</w:t>
      </w:r>
      <w:r w:rsidR="00D030F9">
        <w:t xml:space="preserve"> </w:t>
      </w:r>
      <w:r w:rsidRPr="00DE4730">
        <w:t xml:space="preserve">annually.  </w:t>
      </w:r>
    </w:p>
    <w:p w:rsidRPr="00DE4730" w:rsidR="00A71122" w:rsidP="000F0DA1" w:rsidRDefault="00A71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DE4730">
        <w:t>14.</w:t>
      </w:r>
      <w:r w:rsidRPr="00DE4730">
        <w:tab/>
      </w:r>
      <w:r w:rsidRPr="00DE4730">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There are no costs to the Federal government associated with this information collection.</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DE4730">
        <w:t>15.</w:t>
      </w:r>
      <w:r w:rsidRPr="00DE4730">
        <w:tab/>
      </w:r>
      <w:r w:rsidRPr="00DE4730">
        <w:rPr>
          <w:i/>
          <w:iCs/>
        </w:rPr>
        <w:t>Explain the reasons for any program changes or adjustments reporting in Items 13 or 14.</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696114" w:rsidP="000F0DA1" w:rsidRDefault="00696114">
      <w:pPr>
        <w:widowControl/>
        <w:ind w:left="720"/>
      </w:pPr>
      <w:r w:rsidRPr="00DE4730">
        <w:t>No program changes have been made since the previous submission.  The changes in burden estimation are due to the use of updated information concerning the number of respondents and claims</w:t>
      </w:r>
      <w:r w:rsidRPr="00DE4730" w:rsidR="004341E3">
        <w:t>, as well as updated labor costs</w:t>
      </w:r>
      <w:r w:rsidRPr="00DE4730">
        <w:t>.</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DE4730">
        <w:t>16.</w:t>
      </w:r>
      <w:r w:rsidRPr="00DE4730">
        <w:tab/>
      </w:r>
      <w:r w:rsidRPr="00DE4730">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Not applicable.</w:t>
      </w:r>
    </w:p>
    <w:p w:rsidRPr="00DE4730" w:rsidR="00FC2F3E" w:rsidP="000F0DA1"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DE4730">
        <w:t>17.</w:t>
      </w:r>
      <w:r w:rsidRPr="00DE4730">
        <w:tab/>
      </w:r>
      <w:r w:rsidRPr="00DE4730">
        <w:rPr>
          <w:i/>
          <w:iCs/>
        </w:rPr>
        <w:t>If seeking approval to not display the expiration date for OMB approval of the information collection, explain the reasons that display would be inappropriate.</w:t>
      </w: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The collection of information will display a currently valid OMB control number.</w:t>
      </w: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rPr>
      </w:pPr>
      <w:r w:rsidRPr="00DE4730">
        <w:t>18.</w:t>
      </w:r>
      <w:r w:rsidRPr="00DE4730">
        <w:tab/>
      </w:r>
      <w:r w:rsidRPr="00DE4730">
        <w:rPr>
          <w:i/>
          <w:iCs/>
        </w:rPr>
        <w:t>Explain each exception to the certification statement identified in Item 19, "Certification for Paperwork Reduction Act Submission</w:t>
      </w:r>
      <w:r w:rsidRPr="00DE4730" w:rsidR="004341E3">
        <w:rPr>
          <w:i/>
          <w:iCs/>
        </w:rPr>
        <w:t>.</w:t>
      </w:r>
      <w:r w:rsidRPr="00DE4730">
        <w:rPr>
          <w:i/>
          <w:iCs/>
        </w:rPr>
        <w:t>"</w:t>
      </w: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FC2F3E" w:rsidP="00883136"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Not applicable; no exceptions to the certification statement.</w:t>
      </w:r>
    </w:p>
    <w:p w:rsidRPr="00DE4730" w:rsidR="00053F44" w:rsidP="00883136" w:rsidRDefault="00053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053F44" w:rsidP="00883136" w:rsidRDefault="00053F44">
      <w:pPr>
        <w:numPr>
          <w:ilvl w:val="0"/>
          <w:numId w:val="3"/>
        </w:numPr>
        <w:ind w:hanging="720"/>
        <w:rPr>
          <w:b/>
        </w:rPr>
      </w:pPr>
      <w:r w:rsidRPr="00DE4730">
        <w:rPr>
          <w:b/>
        </w:rPr>
        <w:t>Collection of Information Employing Statistical Methods</w:t>
      </w:r>
    </w:p>
    <w:p w:rsidRPr="00DE4730" w:rsidR="00053F44" w:rsidP="00883136" w:rsidRDefault="00053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E4730" w:rsidR="00053F44" w:rsidP="00883136" w:rsidRDefault="00053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DE4730">
        <w:t>Not applicable.  The use of statistical methods is not relevant to this collection of information.</w:t>
      </w:r>
    </w:p>
    <w:sectPr w:rsidRPr="00DE4730" w:rsidR="00053F44">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0C7" w:rsidRDefault="009070C7">
      <w:r>
        <w:separator/>
      </w:r>
    </w:p>
  </w:endnote>
  <w:endnote w:type="continuationSeparator" w:id="0">
    <w:p w:rsidR="009070C7" w:rsidRDefault="0090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7F" w:rsidRDefault="00886B7F">
    <w:pPr>
      <w:spacing w:line="240" w:lineRule="exact"/>
    </w:pPr>
  </w:p>
  <w:p w:rsidR="00886B7F" w:rsidRDefault="00886B7F">
    <w:pPr>
      <w:framePr w:w="9361" w:wrap="notBeside" w:vAnchor="text" w:hAnchor="text" w:x="1" w:y="1"/>
      <w:jc w:val="center"/>
    </w:pPr>
    <w:r>
      <w:fldChar w:fldCharType="begin"/>
    </w:r>
    <w:r>
      <w:instrText xml:space="preserve">PAGE </w:instrText>
    </w:r>
    <w:r>
      <w:fldChar w:fldCharType="separate"/>
    </w:r>
    <w:r w:rsidR="00846F19">
      <w:rPr>
        <w:noProof/>
      </w:rPr>
      <w:t>11</w:t>
    </w:r>
    <w:r>
      <w:fldChar w:fldCharType="end"/>
    </w:r>
  </w:p>
  <w:p w:rsidR="00886B7F" w:rsidRDefault="00886B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0C7" w:rsidRDefault="009070C7">
      <w:r>
        <w:separator/>
      </w:r>
    </w:p>
  </w:footnote>
  <w:footnote w:type="continuationSeparator" w:id="0">
    <w:p w:rsidR="009070C7" w:rsidRDefault="009070C7">
      <w:r>
        <w:continuationSeparator/>
      </w:r>
    </w:p>
  </w:footnote>
  <w:footnote w:id="1">
    <w:p w:rsidR="00886B7F" w:rsidRPr="00A4464B" w:rsidRDefault="00886B7F">
      <w:pPr>
        <w:pStyle w:val="FootnoteText"/>
      </w:pPr>
      <w:r w:rsidRPr="00A4464B">
        <w:rPr>
          <w:rStyle w:val="FootnoteReference"/>
          <w:vertAlign w:val="superscript"/>
        </w:rPr>
        <w:footnoteRef/>
      </w:r>
      <w:r w:rsidRPr="00A4464B">
        <w:rPr>
          <w:vertAlign w:val="superscript"/>
        </w:rPr>
        <w:t xml:space="preserve"> </w:t>
      </w:r>
      <w:r>
        <w:t>The claims procedure regulation replaced an earlier regulation that had been finalized and published in 1977.</w:t>
      </w:r>
    </w:p>
  </w:footnote>
  <w:footnote w:id="2">
    <w:p w:rsidR="00886B7F" w:rsidRPr="00B44341" w:rsidRDefault="00886B7F" w:rsidP="00B44341">
      <w:pPr>
        <w:pStyle w:val="FootnoteText"/>
      </w:pPr>
      <w:r w:rsidRPr="00D32291">
        <w:rPr>
          <w:rStyle w:val="FootnoteReference"/>
          <w:vertAlign w:val="superscript"/>
        </w:rPr>
        <w:footnoteRef/>
      </w:r>
      <w:r>
        <w:t xml:space="preserve"> </w:t>
      </w:r>
      <w:r w:rsidRPr="00D57850">
        <w:t xml:space="preserve"> </w:t>
      </w:r>
      <w:r w:rsidRPr="00530062">
        <w:t xml:space="preserve">For a description of the Department’s methodology for calculating wage rates, see </w:t>
      </w:r>
    </w:p>
    <w:p w:rsidR="00886B7F" w:rsidRPr="00B44341" w:rsidRDefault="00886B7F" w:rsidP="00B44341">
      <w:pPr>
        <w:pStyle w:val="FootnoteText"/>
      </w:pPr>
      <w:hyperlink r:id="rId1" w:history="1">
        <w:r w:rsidRPr="00B44341">
          <w:rPr>
            <w:rStyle w:val="Hyperlink"/>
          </w:rPr>
          <w:t>https://www.dol.gov/sites/dolgov/files/EBSA/laws-and-regulations/rules-and-regulations/technical-appendices/labor-cost-inputs-used-in-ebsa-opr-ria-and-pra-burden-calculations-june-2019.pdf</w:t>
        </w:r>
      </w:hyperlink>
    </w:p>
    <w:p w:rsidR="00886B7F" w:rsidRPr="00736192" w:rsidRDefault="00886B7F" w:rsidP="00BF2630">
      <w:pPr>
        <w:pStyle w:val="FootnoteText"/>
      </w:pPr>
    </w:p>
  </w:footnote>
  <w:footnote w:id="3">
    <w:p w:rsidR="00925860" w:rsidRDefault="00925860">
      <w:pPr>
        <w:pStyle w:val="FootnoteText"/>
      </w:pPr>
      <w:r>
        <w:rPr>
          <w:rStyle w:val="FootnoteReference"/>
        </w:rPr>
        <w:footnoteRef/>
      </w:r>
      <w:r>
        <w:t xml:space="preserve"> “Benefit Claims Procedure Regulation FAQs, C-12” </w:t>
      </w:r>
      <w:r w:rsidRPr="00925860">
        <w:t>https://www.dol.gov/agencies/ebsa/about-ebsa/our-activities/resource-center/faqs/benefit-claims-procedure-regulation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7F" w:rsidRDefault="00886B7F" w:rsidP="00973912">
    <w:pPr>
      <w:jc w:val="right"/>
      <w:rPr>
        <w:b/>
        <w:bCs/>
        <w:sz w:val="20"/>
        <w:szCs w:val="20"/>
      </w:rPr>
    </w:pPr>
    <w:r>
      <w:rPr>
        <w:b/>
        <w:bCs/>
        <w:sz w:val="20"/>
        <w:szCs w:val="20"/>
      </w:rPr>
      <w:t>ERISA Claims Procedure Regulation</w:t>
    </w:r>
  </w:p>
  <w:p w:rsidR="00886B7F" w:rsidRDefault="00886B7F" w:rsidP="00973912">
    <w:pPr>
      <w:jc w:val="right"/>
      <w:rPr>
        <w:b/>
        <w:bCs/>
        <w:sz w:val="20"/>
        <w:szCs w:val="20"/>
      </w:rPr>
    </w:pPr>
    <w:r>
      <w:rPr>
        <w:b/>
        <w:bCs/>
        <w:sz w:val="20"/>
        <w:szCs w:val="20"/>
      </w:rPr>
      <w:t>OMB Control No. 1210-0053</w:t>
    </w:r>
  </w:p>
  <w:p w:rsidR="00886B7F" w:rsidRPr="00973912" w:rsidRDefault="00886B7F" w:rsidP="00973912">
    <w:pPr>
      <w:jc w:val="right"/>
    </w:pPr>
    <w:r>
      <w:rPr>
        <w:b/>
        <w:bCs/>
        <w:sz w:val="20"/>
        <w:szCs w:val="20"/>
      </w:rPr>
      <w:t>January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7835553"/>
    <w:multiLevelType w:val="hybridMultilevel"/>
    <w:tmpl w:val="B6322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4AAB"/>
    <w:rsid w:val="00010844"/>
    <w:rsid w:val="00037371"/>
    <w:rsid w:val="00037A4F"/>
    <w:rsid w:val="00041F08"/>
    <w:rsid w:val="00053F44"/>
    <w:rsid w:val="00060C62"/>
    <w:rsid w:val="0009069B"/>
    <w:rsid w:val="000A6386"/>
    <w:rsid w:val="000B7A90"/>
    <w:rsid w:val="000D1B14"/>
    <w:rsid w:val="000D7B34"/>
    <w:rsid w:val="000E4496"/>
    <w:rsid w:val="000F0DA1"/>
    <w:rsid w:val="000F20D7"/>
    <w:rsid w:val="000F6E83"/>
    <w:rsid w:val="00102BC9"/>
    <w:rsid w:val="00113419"/>
    <w:rsid w:val="00181A8C"/>
    <w:rsid w:val="001E12BC"/>
    <w:rsid w:val="001E6249"/>
    <w:rsid w:val="00202865"/>
    <w:rsid w:val="00220A85"/>
    <w:rsid w:val="0022169C"/>
    <w:rsid w:val="002246E8"/>
    <w:rsid w:val="00227909"/>
    <w:rsid w:val="00230CFC"/>
    <w:rsid w:val="0023492D"/>
    <w:rsid w:val="00240DE3"/>
    <w:rsid w:val="002512A8"/>
    <w:rsid w:val="0026567F"/>
    <w:rsid w:val="00276222"/>
    <w:rsid w:val="002808E1"/>
    <w:rsid w:val="0028109D"/>
    <w:rsid w:val="00281BC5"/>
    <w:rsid w:val="00290737"/>
    <w:rsid w:val="0029675C"/>
    <w:rsid w:val="002B3ED7"/>
    <w:rsid w:val="002B4B94"/>
    <w:rsid w:val="002C40A1"/>
    <w:rsid w:val="002F4CD3"/>
    <w:rsid w:val="00307521"/>
    <w:rsid w:val="0031296B"/>
    <w:rsid w:val="00325DD1"/>
    <w:rsid w:val="00343035"/>
    <w:rsid w:val="00370423"/>
    <w:rsid w:val="00382728"/>
    <w:rsid w:val="00385452"/>
    <w:rsid w:val="003B7B66"/>
    <w:rsid w:val="003F34B7"/>
    <w:rsid w:val="003F34BE"/>
    <w:rsid w:val="004001C4"/>
    <w:rsid w:val="004054CD"/>
    <w:rsid w:val="004341E3"/>
    <w:rsid w:val="00436373"/>
    <w:rsid w:val="00442058"/>
    <w:rsid w:val="00461EC0"/>
    <w:rsid w:val="00462AAA"/>
    <w:rsid w:val="0047127D"/>
    <w:rsid w:val="00477006"/>
    <w:rsid w:val="00481C9F"/>
    <w:rsid w:val="00486406"/>
    <w:rsid w:val="00494D9A"/>
    <w:rsid w:val="00497F5F"/>
    <w:rsid w:val="004B3B02"/>
    <w:rsid w:val="00502B9D"/>
    <w:rsid w:val="00530062"/>
    <w:rsid w:val="0055575C"/>
    <w:rsid w:val="00595407"/>
    <w:rsid w:val="005B50D4"/>
    <w:rsid w:val="005D1D58"/>
    <w:rsid w:val="005E233A"/>
    <w:rsid w:val="0060224F"/>
    <w:rsid w:val="00631154"/>
    <w:rsid w:val="00632423"/>
    <w:rsid w:val="0064789E"/>
    <w:rsid w:val="00662A79"/>
    <w:rsid w:val="006849F0"/>
    <w:rsid w:val="00696114"/>
    <w:rsid w:val="006A633A"/>
    <w:rsid w:val="006A6CA3"/>
    <w:rsid w:val="006D437D"/>
    <w:rsid w:val="006D5246"/>
    <w:rsid w:val="006D6FAC"/>
    <w:rsid w:val="00752E2D"/>
    <w:rsid w:val="00757E61"/>
    <w:rsid w:val="007801FD"/>
    <w:rsid w:val="007831ED"/>
    <w:rsid w:val="007A1B61"/>
    <w:rsid w:val="007B2D15"/>
    <w:rsid w:val="007C1420"/>
    <w:rsid w:val="007E3107"/>
    <w:rsid w:val="00801ED7"/>
    <w:rsid w:val="008164EB"/>
    <w:rsid w:val="00821357"/>
    <w:rsid w:val="00833560"/>
    <w:rsid w:val="00833A8C"/>
    <w:rsid w:val="00846F19"/>
    <w:rsid w:val="008635A9"/>
    <w:rsid w:val="0087551A"/>
    <w:rsid w:val="00883136"/>
    <w:rsid w:val="008842CB"/>
    <w:rsid w:val="00886B7F"/>
    <w:rsid w:val="008C6D57"/>
    <w:rsid w:val="008D354C"/>
    <w:rsid w:val="008E3E79"/>
    <w:rsid w:val="009070C7"/>
    <w:rsid w:val="00925860"/>
    <w:rsid w:val="00926B1C"/>
    <w:rsid w:val="009606B9"/>
    <w:rsid w:val="00973912"/>
    <w:rsid w:val="009938EB"/>
    <w:rsid w:val="009A0073"/>
    <w:rsid w:val="00A424A7"/>
    <w:rsid w:val="00A4464B"/>
    <w:rsid w:val="00A71122"/>
    <w:rsid w:val="00AB35CF"/>
    <w:rsid w:val="00AB6038"/>
    <w:rsid w:val="00AD4381"/>
    <w:rsid w:val="00AE32A8"/>
    <w:rsid w:val="00B07E11"/>
    <w:rsid w:val="00B20E17"/>
    <w:rsid w:val="00B256C5"/>
    <w:rsid w:val="00B44341"/>
    <w:rsid w:val="00B67E43"/>
    <w:rsid w:val="00B67FE6"/>
    <w:rsid w:val="00B87C60"/>
    <w:rsid w:val="00BB02F4"/>
    <w:rsid w:val="00BE47A7"/>
    <w:rsid w:val="00BF2630"/>
    <w:rsid w:val="00C1334A"/>
    <w:rsid w:val="00C56518"/>
    <w:rsid w:val="00C70894"/>
    <w:rsid w:val="00C77D41"/>
    <w:rsid w:val="00C81C5F"/>
    <w:rsid w:val="00C82173"/>
    <w:rsid w:val="00C911B6"/>
    <w:rsid w:val="00C94F71"/>
    <w:rsid w:val="00CC5573"/>
    <w:rsid w:val="00CF1024"/>
    <w:rsid w:val="00D030F9"/>
    <w:rsid w:val="00D07F5C"/>
    <w:rsid w:val="00D3022A"/>
    <w:rsid w:val="00D32291"/>
    <w:rsid w:val="00D711E4"/>
    <w:rsid w:val="00D77B8B"/>
    <w:rsid w:val="00D83B51"/>
    <w:rsid w:val="00D85EE8"/>
    <w:rsid w:val="00DC1321"/>
    <w:rsid w:val="00DC66A6"/>
    <w:rsid w:val="00DD275D"/>
    <w:rsid w:val="00DE4730"/>
    <w:rsid w:val="00DF0D7B"/>
    <w:rsid w:val="00E20930"/>
    <w:rsid w:val="00E431D2"/>
    <w:rsid w:val="00E71EBF"/>
    <w:rsid w:val="00E72E32"/>
    <w:rsid w:val="00E90714"/>
    <w:rsid w:val="00EB6EBF"/>
    <w:rsid w:val="00EC5E4E"/>
    <w:rsid w:val="00ED25DD"/>
    <w:rsid w:val="00EF3989"/>
    <w:rsid w:val="00EF6ED7"/>
    <w:rsid w:val="00F129F3"/>
    <w:rsid w:val="00F14D82"/>
    <w:rsid w:val="00F37C5B"/>
    <w:rsid w:val="00F43BFC"/>
    <w:rsid w:val="00F54EAB"/>
    <w:rsid w:val="00F90474"/>
    <w:rsid w:val="00F938B4"/>
    <w:rsid w:val="00FB0E99"/>
    <w:rsid w:val="00FB6B31"/>
    <w:rsid w:val="00FC2F3E"/>
    <w:rsid w:val="00FD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1B0FDB-F227-4BF5-BA09-8489B1FB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053F44"/>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Heading1Char">
    <w:name w:val="Heading 1 Char"/>
    <w:link w:val="Heading1"/>
    <w:rsid w:val="00053F44"/>
    <w:rPr>
      <w:b/>
      <w:bCs/>
      <w:sz w:val="24"/>
      <w:szCs w:val="24"/>
    </w:rPr>
  </w:style>
  <w:style w:type="paragraph" w:styleId="Revision">
    <w:name w:val="Revision"/>
    <w:hidden/>
    <w:uiPriority w:val="99"/>
    <w:semiHidden/>
    <w:rsid w:val="004341E3"/>
    <w:rPr>
      <w:sz w:val="24"/>
      <w:szCs w:val="24"/>
    </w:rPr>
  </w:style>
  <w:style w:type="character" w:styleId="Hyperlink">
    <w:name w:val="Hyperlink"/>
    <w:rsid w:val="00B443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490">
      <w:bodyDiv w:val="1"/>
      <w:marLeft w:val="0"/>
      <w:marRight w:val="0"/>
      <w:marTop w:val="0"/>
      <w:marBottom w:val="0"/>
      <w:divBdr>
        <w:top w:val="none" w:sz="0" w:space="0" w:color="auto"/>
        <w:left w:val="none" w:sz="0" w:space="0" w:color="auto"/>
        <w:bottom w:val="none" w:sz="0" w:space="0" w:color="auto"/>
        <w:right w:val="none" w:sz="0" w:space="0" w:color="auto"/>
      </w:divBdr>
    </w:div>
    <w:div w:id="121272602">
      <w:bodyDiv w:val="1"/>
      <w:marLeft w:val="0"/>
      <w:marRight w:val="0"/>
      <w:marTop w:val="0"/>
      <w:marBottom w:val="0"/>
      <w:divBdr>
        <w:top w:val="none" w:sz="0" w:space="0" w:color="auto"/>
        <w:left w:val="none" w:sz="0" w:space="0" w:color="auto"/>
        <w:bottom w:val="none" w:sz="0" w:space="0" w:color="auto"/>
        <w:right w:val="none" w:sz="0" w:space="0" w:color="auto"/>
      </w:divBdr>
    </w:div>
    <w:div w:id="523249261">
      <w:bodyDiv w:val="1"/>
      <w:marLeft w:val="0"/>
      <w:marRight w:val="0"/>
      <w:marTop w:val="0"/>
      <w:marBottom w:val="0"/>
      <w:divBdr>
        <w:top w:val="none" w:sz="0" w:space="0" w:color="auto"/>
        <w:left w:val="none" w:sz="0" w:space="0" w:color="auto"/>
        <w:bottom w:val="none" w:sz="0" w:space="0" w:color="auto"/>
        <w:right w:val="none" w:sz="0" w:space="0" w:color="auto"/>
      </w:divBdr>
    </w:div>
    <w:div w:id="901791592">
      <w:bodyDiv w:val="1"/>
      <w:marLeft w:val="0"/>
      <w:marRight w:val="0"/>
      <w:marTop w:val="0"/>
      <w:marBottom w:val="0"/>
      <w:divBdr>
        <w:top w:val="none" w:sz="0" w:space="0" w:color="auto"/>
        <w:left w:val="none" w:sz="0" w:space="0" w:color="auto"/>
        <w:bottom w:val="none" w:sz="0" w:space="0" w:color="auto"/>
        <w:right w:val="none" w:sz="0" w:space="0" w:color="auto"/>
      </w:divBdr>
    </w:div>
    <w:div w:id="931203083">
      <w:bodyDiv w:val="1"/>
      <w:marLeft w:val="0"/>
      <w:marRight w:val="0"/>
      <w:marTop w:val="0"/>
      <w:marBottom w:val="0"/>
      <w:divBdr>
        <w:top w:val="none" w:sz="0" w:space="0" w:color="auto"/>
        <w:left w:val="none" w:sz="0" w:space="0" w:color="auto"/>
        <w:bottom w:val="none" w:sz="0" w:space="0" w:color="auto"/>
        <w:right w:val="none" w:sz="0" w:space="0" w:color="auto"/>
      </w:divBdr>
    </w:div>
    <w:div w:id="934632146">
      <w:bodyDiv w:val="1"/>
      <w:marLeft w:val="0"/>
      <w:marRight w:val="0"/>
      <w:marTop w:val="0"/>
      <w:marBottom w:val="0"/>
      <w:divBdr>
        <w:top w:val="none" w:sz="0" w:space="0" w:color="auto"/>
        <w:left w:val="none" w:sz="0" w:space="0" w:color="auto"/>
        <w:bottom w:val="none" w:sz="0" w:space="0" w:color="auto"/>
        <w:right w:val="none" w:sz="0" w:space="0" w:color="auto"/>
      </w:divBdr>
    </w:div>
    <w:div w:id="949818798">
      <w:bodyDiv w:val="1"/>
      <w:marLeft w:val="0"/>
      <w:marRight w:val="0"/>
      <w:marTop w:val="0"/>
      <w:marBottom w:val="0"/>
      <w:divBdr>
        <w:top w:val="none" w:sz="0" w:space="0" w:color="auto"/>
        <w:left w:val="none" w:sz="0" w:space="0" w:color="auto"/>
        <w:bottom w:val="none" w:sz="0" w:space="0" w:color="auto"/>
        <w:right w:val="none" w:sz="0" w:space="0" w:color="auto"/>
      </w:divBdr>
    </w:div>
    <w:div w:id="1076896575">
      <w:bodyDiv w:val="1"/>
      <w:marLeft w:val="0"/>
      <w:marRight w:val="0"/>
      <w:marTop w:val="0"/>
      <w:marBottom w:val="0"/>
      <w:divBdr>
        <w:top w:val="none" w:sz="0" w:space="0" w:color="auto"/>
        <w:left w:val="none" w:sz="0" w:space="0" w:color="auto"/>
        <w:bottom w:val="none" w:sz="0" w:space="0" w:color="auto"/>
        <w:right w:val="none" w:sz="0" w:space="0" w:color="auto"/>
      </w:divBdr>
    </w:div>
    <w:div w:id="1165825989">
      <w:bodyDiv w:val="1"/>
      <w:marLeft w:val="0"/>
      <w:marRight w:val="0"/>
      <w:marTop w:val="0"/>
      <w:marBottom w:val="0"/>
      <w:divBdr>
        <w:top w:val="none" w:sz="0" w:space="0" w:color="auto"/>
        <w:left w:val="none" w:sz="0" w:space="0" w:color="auto"/>
        <w:bottom w:val="none" w:sz="0" w:space="0" w:color="auto"/>
        <w:right w:val="none" w:sz="0" w:space="0" w:color="auto"/>
      </w:divBdr>
    </w:div>
    <w:div w:id="1203639013">
      <w:bodyDiv w:val="1"/>
      <w:marLeft w:val="0"/>
      <w:marRight w:val="0"/>
      <w:marTop w:val="0"/>
      <w:marBottom w:val="0"/>
      <w:divBdr>
        <w:top w:val="none" w:sz="0" w:space="0" w:color="auto"/>
        <w:left w:val="none" w:sz="0" w:space="0" w:color="auto"/>
        <w:bottom w:val="none" w:sz="0" w:space="0" w:color="auto"/>
        <w:right w:val="none" w:sz="0" w:space="0" w:color="auto"/>
      </w:divBdr>
    </w:div>
    <w:div w:id="1241715949">
      <w:bodyDiv w:val="1"/>
      <w:marLeft w:val="0"/>
      <w:marRight w:val="0"/>
      <w:marTop w:val="0"/>
      <w:marBottom w:val="0"/>
      <w:divBdr>
        <w:top w:val="none" w:sz="0" w:space="0" w:color="auto"/>
        <w:left w:val="none" w:sz="0" w:space="0" w:color="auto"/>
        <w:bottom w:val="none" w:sz="0" w:space="0" w:color="auto"/>
        <w:right w:val="none" w:sz="0" w:space="0" w:color="auto"/>
      </w:divBdr>
    </w:div>
    <w:div w:id="1302929227">
      <w:bodyDiv w:val="1"/>
      <w:marLeft w:val="0"/>
      <w:marRight w:val="0"/>
      <w:marTop w:val="0"/>
      <w:marBottom w:val="0"/>
      <w:divBdr>
        <w:top w:val="none" w:sz="0" w:space="0" w:color="auto"/>
        <w:left w:val="none" w:sz="0" w:space="0" w:color="auto"/>
        <w:bottom w:val="none" w:sz="0" w:space="0" w:color="auto"/>
        <w:right w:val="none" w:sz="0" w:space="0" w:color="auto"/>
      </w:divBdr>
    </w:div>
    <w:div w:id="1334187153">
      <w:bodyDiv w:val="1"/>
      <w:marLeft w:val="0"/>
      <w:marRight w:val="0"/>
      <w:marTop w:val="0"/>
      <w:marBottom w:val="0"/>
      <w:divBdr>
        <w:top w:val="none" w:sz="0" w:space="0" w:color="auto"/>
        <w:left w:val="none" w:sz="0" w:space="0" w:color="auto"/>
        <w:bottom w:val="none" w:sz="0" w:space="0" w:color="auto"/>
        <w:right w:val="none" w:sz="0" w:space="0" w:color="auto"/>
      </w:divBdr>
    </w:div>
    <w:div w:id="1391615295">
      <w:bodyDiv w:val="1"/>
      <w:marLeft w:val="0"/>
      <w:marRight w:val="0"/>
      <w:marTop w:val="0"/>
      <w:marBottom w:val="0"/>
      <w:divBdr>
        <w:top w:val="none" w:sz="0" w:space="0" w:color="auto"/>
        <w:left w:val="none" w:sz="0" w:space="0" w:color="auto"/>
        <w:bottom w:val="none" w:sz="0" w:space="0" w:color="auto"/>
        <w:right w:val="none" w:sz="0" w:space="0" w:color="auto"/>
      </w:divBdr>
    </w:div>
    <w:div w:id="1545025158">
      <w:bodyDiv w:val="1"/>
      <w:marLeft w:val="0"/>
      <w:marRight w:val="0"/>
      <w:marTop w:val="0"/>
      <w:marBottom w:val="0"/>
      <w:divBdr>
        <w:top w:val="none" w:sz="0" w:space="0" w:color="auto"/>
        <w:left w:val="none" w:sz="0" w:space="0" w:color="auto"/>
        <w:bottom w:val="none" w:sz="0" w:space="0" w:color="auto"/>
        <w:right w:val="none" w:sz="0" w:space="0" w:color="auto"/>
      </w:divBdr>
    </w:div>
    <w:div w:id="1748648691">
      <w:bodyDiv w:val="1"/>
      <w:marLeft w:val="0"/>
      <w:marRight w:val="0"/>
      <w:marTop w:val="0"/>
      <w:marBottom w:val="0"/>
      <w:divBdr>
        <w:top w:val="none" w:sz="0" w:space="0" w:color="auto"/>
        <w:left w:val="none" w:sz="0" w:space="0" w:color="auto"/>
        <w:bottom w:val="none" w:sz="0" w:space="0" w:color="auto"/>
        <w:right w:val="none" w:sz="0" w:space="0" w:color="auto"/>
      </w:divBdr>
    </w:div>
    <w:div w:id="1750540248">
      <w:bodyDiv w:val="1"/>
      <w:marLeft w:val="0"/>
      <w:marRight w:val="0"/>
      <w:marTop w:val="0"/>
      <w:marBottom w:val="0"/>
      <w:divBdr>
        <w:top w:val="none" w:sz="0" w:space="0" w:color="auto"/>
        <w:left w:val="none" w:sz="0" w:space="0" w:color="auto"/>
        <w:bottom w:val="none" w:sz="0" w:space="0" w:color="auto"/>
        <w:right w:val="none" w:sz="0" w:space="0" w:color="auto"/>
      </w:divBdr>
    </w:div>
    <w:div w:id="1840078562">
      <w:bodyDiv w:val="1"/>
      <w:marLeft w:val="0"/>
      <w:marRight w:val="0"/>
      <w:marTop w:val="0"/>
      <w:marBottom w:val="0"/>
      <w:divBdr>
        <w:top w:val="none" w:sz="0" w:space="0" w:color="auto"/>
        <w:left w:val="none" w:sz="0" w:space="0" w:color="auto"/>
        <w:bottom w:val="none" w:sz="0" w:space="0" w:color="auto"/>
        <w:right w:val="none" w:sz="0" w:space="0" w:color="auto"/>
      </w:divBdr>
    </w:div>
    <w:div w:id="1936933145">
      <w:bodyDiv w:val="1"/>
      <w:marLeft w:val="0"/>
      <w:marRight w:val="0"/>
      <w:marTop w:val="0"/>
      <w:marBottom w:val="0"/>
      <w:divBdr>
        <w:top w:val="none" w:sz="0" w:space="0" w:color="auto"/>
        <w:left w:val="none" w:sz="0" w:space="0" w:color="auto"/>
        <w:bottom w:val="none" w:sz="0" w:space="0" w:color="auto"/>
        <w:right w:val="none" w:sz="0" w:space="0" w:color="auto"/>
      </w:divBdr>
    </w:div>
    <w:div w:id="2037928358">
      <w:bodyDiv w:val="1"/>
      <w:marLeft w:val="0"/>
      <w:marRight w:val="0"/>
      <w:marTop w:val="0"/>
      <w:marBottom w:val="0"/>
      <w:divBdr>
        <w:top w:val="none" w:sz="0" w:space="0" w:color="auto"/>
        <w:left w:val="none" w:sz="0" w:space="0" w:color="auto"/>
        <w:bottom w:val="none" w:sz="0" w:space="0" w:color="auto"/>
        <w:right w:val="none" w:sz="0" w:space="0" w:color="auto"/>
      </w:divBdr>
    </w:div>
    <w:div w:id="21085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D4C8-741D-42D0-9963-45137C15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3602</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23719</CharactersWithSpaces>
  <SharedDoc>false</SharedDoc>
  <HLinks>
    <vt:vector size="6" baseType="variant">
      <vt:variant>
        <vt:i4>5963860</vt:i4>
      </vt:variant>
      <vt:variant>
        <vt:i4>0</vt:i4>
      </vt:variant>
      <vt:variant>
        <vt:i4>0</vt:i4>
      </vt:variant>
      <vt:variant>
        <vt:i4>5</vt:i4>
      </vt:variant>
      <vt:variant>
        <vt:lpwstr>https://www.dol.gov/sites/dolgov/files/EBSA/laws-and-regulations/rules-and-regulations/technical-appendices/labor-cost-inputs-used-in-ebsa-opr-ria-and-pra-burden-calculations-june-2019.pdf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Butikofer, James - EBSA</cp:lastModifiedBy>
  <cp:revision>2</cp:revision>
  <cp:lastPrinted>2016-07-14T15:57:00Z</cp:lastPrinted>
  <dcterms:created xsi:type="dcterms:W3CDTF">2020-01-23T19:46:00Z</dcterms:created>
  <dcterms:modified xsi:type="dcterms:W3CDTF">2020-01-23T19:46:00Z</dcterms:modified>
</cp:coreProperties>
</file>