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F615B" w:rsidR="008E440D" w:rsidP="004E77BF" w:rsidRDefault="008E440D" w14:paraId="0ECBD0B0" w14:textId="4A320F45">
      <w:pPr>
        <w:rPr>
          <w:rFonts w:ascii="Arial" w:hAnsi="Arial" w:cs="Arial"/>
          <w:b/>
          <w:szCs w:val="24"/>
        </w:rPr>
      </w:pPr>
      <w:r w:rsidRPr="002F615B">
        <w:rPr>
          <w:rFonts w:ascii="Arial" w:hAnsi="Arial" w:cs="Arial"/>
          <w:b/>
          <w:szCs w:val="24"/>
        </w:rPr>
        <w:t xml:space="preserve">PERFORMANCE MEASURES FOR THE TRAUMATIC BRAIN INJURY STATE PARTNERSHIP GRANT PROGRAM </w:t>
      </w:r>
    </w:p>
    <w:p w:rsidRPr="002F615B" w:rsidR="00376379" w:rsidP="004E77BF" w:rsidRDefault="00376379" w14:paraId="3C11A7AF" w14:textId="77777777">
      <w:pPr>
        <w:rPr>
          <w:rFonts w:ascii="Arial" w:hAnsi="Arial" w:cs="Arial"/>
          <w:b/>
          <w:szCs w:val="24"/>
        </w:rPr>
      </w:pPr>
    </w:p>
    <w:p w:rsidRPr="002F615B" w:rsidR="005B16FE" w:rsidP="004E77BF" w:rsidRDefault="00C64850" w14:paraId="0C5AC3D0" w14:textId="77777777">
      <w:pPr>
        <w:rPr>
          <w:rFonts w:ascii="Arial" w:hAnsi="Arial" w:cs="Arial"/>
          <w:b/>
          <w:szCs w:val="24"/>
        </w:rPr>
      </w:pPr>
      <w:r w:rsidRPr="002F615B">
        <w:rPr>
          <w:rFonts w:ascii="Arial" w:hAnsi="Arial" w:cs="Arial"/>
          <w:b/>
          <w:szCs w:val="24"/>
        </w:rPr>
        <w:t xml:space="preserve">Supporting Statement for Paperwork Reduction Act </w:t>
      </w:r>
    </w:p>
    <w:p w:rsidRPr="002F615B" w:rsidR="00D85F90" w:rsidP="004E77BF" w:rsidRDefault="00C64850" w14:paraId="1116B0DF" w14:textId="77777777">
      <w:pPr>
        <w:rPr>
          <w:rFonts w:ascii="Arial" w:hAnsi="Arial" w:cs="Arial"/>
          <w:b/>
          <w:szCs w:val="24"/>
        </w:rPr>
      </w:pPr>
      <w:r w:rsidRPr="002F615B">
        <w:rPr>
          <w:rFonts w:ascii="Arial" w:hAnsi="Arial" w:cs="Arial"/>
          <w:b/>
          <w:szCs w:val="24"/>
        </w:rPr>
        <w:t>Information Collection Request</w:t>
      </w:r>
    </w:p>
    <w:p w:rsidRPr="002F615B" w:rsidR="00C64850" w:rsidP="004E77BF" w:rsidRDefault="00C64850" w14:paraId="4F8A5245" w14:textId="77777777">
      <w:pPr>
        <w:rPr>
          <w:rFonts w:ascii="Arial" w:hAnsi="Arial" w:cs="Arial"/>
          <w:b/>
          <w:szCs w:val="24"/>
        </w:rPr>
      </w:pPr>
    </w:p>
    <w:p w:rsidRPr="002F615B" w:rsidR="00EF1A48" w:rsidP="004E77BF" w:rsidRDefault="00EF1A48" w14:paraId="2402E667" w14:textId="77777777">
      <w:pPr>
        <w:rPr>
          <w:rFonts w:ascii="Arial" w:hAnsi="Arial" w:cs="Arial"/>
        </w:rPr>
      </w:pPr>
    </w:p>
    <w:p w:rsidRPr="002F615B" w:rsidR="003C4ED0" w:rsidP="004E77BF" w:rsidRDefault="003F0D36" w14:paraId="1E4DCBB8" w14:textId="77777777">
      <w:pPr>
        <w:pStyle w:val="Heading1"/>
        <w:rPr>
          <w:rFonts w:ascii="Arial" w:hAnsi="Arial" w:cs="Arial"/>
        </w:rPr>
      </w:pPr>
      <w:r w:rsidRPr="002F615B">
        <w:rPr>
          <w:rFonts w:ascii="Arial" w:hAnsi="Arial" w:cs="Arial"/>
        </w:rPr>
        <w:t>JUSTIFICATION</w:t>
      </w:r>
    </w:p>
    <w:p w:rsidRPr="002F615B" w:rsidR="003C4ED0" w:rsidP="004E77BF" w:rsidRDefault="003C4ED0" w14:paraId="298D2491" w14:textId="77777777">
      <w:pPr>
        <w:pStyle w:val="Footer"/>
        <w:widowControl/>
        <w:tabs>
          <w:tab w:val="clear" w:pos="4320"/>
          <w:tab w:val="clear" w:pos="8640"/>
        </w:tabs>
        <w:rPr>
          <w:rFonts w:cs="Arial"/>
          <w:snapToGrid/>
        </w:rPr>
      </w:pPr>
    </w:p>
    <w:p w:rsidRPr="00CD0A09" w:rsidR="003C4ED0" w:rsidP="00CD0A09" w:rsidRDefault="00B155E2" w14:paraId="26C09689" w14:textId="54AC3594">
      <w:pPr>
        <w:pStyle w:val="ListParagraph"/>
        <w:numPr>
          <w:ilvl w:val="0"/>
          <w:numId w:val="26"/>
        </w:numPr>
        <w:ind w:left="360"/>
        <w:rPr>
          <w:rFonts w:ascii="Arial" w:hAnsi="Arial" w:cs="Arial"/>
          <w:b/>
        </w:rPr>
      </w:pPr>
      <w:r w:rsidRPr="00CD0A09">
        <w:rPr>
          <w:rFonts w:ascii="Arial" w:hAnsi="Arial" w:cs="Arial"/>
          <w:b/>
        </w:rPr>
        <w:t>Circumstances Making the Collection of Information Necessary</w:t>
      </w:r>
      <w:r w:rsidRPr="00CD0A09" w:rsidR="00B80592">
        <w:rPr>
          <w:rFonts w:ascii="Arial" w:hAnsi="Arial" w:cs="Arial"/>
          <w:b/>
        </w:rPr>
        <w:t xml:space="preserve"> </w:t>
      </w:r>
    </w:p>
    <w:p w:rsidRPr="002F615B" w:rsidR="00EC7C46" w:rsidP="004E77BF" w:rsidRDefault="00EC7C46" w14:paraId="455BC0AA" w14:textId="77777777">
      <w:pPr>
        <w:ind w:left="360"/>
        <w:rPr>
          <w:rFonts w:ascii="Arial" w:hAnsi="Arial" w:cs="Arial"/>
          <w:sz w:val="28"/>
          <w:szCs w:val="28"/>
        </w:rPr>
      </w:pPr>
    </w:p>
    <w:p w:rsidRPr="002F615B" w:rsidR="00EC7C46" w:rsidP="004E77BF" w:rsidRDefault="00DD12B1" w14:paraId="6BFB0AC1" w14:textId="6FAE6D14">
      <w:pPr>
        <w:rPr>
          <w:rFonts w:ascii="Arial" w:hAnsi="Arial" w:cs="Arial"/>
          <w:szCs w:val="24"/>
        </w:rPr>
      </w:pPr>
      <w:r w:rsidRPr="002F615B">
        <w:rPr>
          <w:rFonts w:ascii="Arial" w:hAnsi="Arial" w:cs="Arial"/>
          <w:szCs w:val="22"/>
        </w:rPr>
        <w:t xml:space="preserve">The Administration for Community Living (ACL) is requesting approval from the Office of Management and Budget (OMB) for data collection associated with </w:t>
      </w:r>
      <w:r w:rsidRPr="002F615B" w:rsidR="00EF68AA">
        <w:rPr>
          <w:rFonts w:ascii="Arial" w:hAnsi="Arial" w:cs="Arial"/>
          <w:szCs w:val="22"/>
        </w:rPr>
        <w:t xml:space="preserve">the </w:t>
      </w:r>
      <w:r w:rsidRPr="002F615B">
        <w:rPr>
          <w:rFonts w:ascii="Arial" w:hAnsi="Arial" w:cs="Arial"/>
          <w:szCs w:val="22"/>
        </w:rPr>
        <w:t xml:space="preserve">management of its </w:t>
      </w:r>
      <w:r w:rsidRPr="002F615B" w:rsidR="004A77FA">
        <w:rPr>
          <w:rFonts w:ascii="Arial" w:hAnsi="Arial" w:cs="Arial"/>
          <w:szCs w:val="22"/>
        </w:rPr>
        <w:t>Traumatic</w:t>
      </w:r>
      <w:r w:rsidRPr="002F615B">
        <w:rPr>
          <w:rFonts w:ascii="Arial" w:hAnsi="Arial" w:cs="Arial"/>
          <w:szCs w:val="22"/>
        </w:rPr>
        <w:t xml:space="preserve"> Brain Injury </w:t>
      </w:r>
      <w:r w:rsidRPr="002F615B" w:rsidR="00417B79">
        <w:rPr>
          <w:rFonts w:ascii="Arial" w:hAnsi="Arial" w:cs="Arial"/>
          <w:szCs w:val="22"/>
        </w:rPr>
        <w:t xml:space="preserve">State Partnership </w:t>
      </w:r>
      <w:r w:rsidRPr="002F615B" w:rsidR="00A643B0">
        <w:rPr>
          <w:rFonts w:ascii="Arial" w:hAnsi="Arial" w:cs="Arial"/>
          <w:szCs w:val="22"/>
        </w:rPr>
        <w:t>Program</w:t>
      </w:r>
      <w:r w:rsidRPr="002F615B" w:rsidR="00D37CA8">
        <w:rPr>
          <w:rFonts w:ascii="Arial" w:hAnsi="Arial" w:cs="Arial"/>
          <w:szCs w:val="22"/>
        </w:rPr>
        <w:t xml:space="preserve">. </w:t>
      </w:r>
      <w:r w:rsidRPr="002F615B" w:rsidR="00EC7C46">
        <w:rPr>
          <w:rFonts w:ascii="Arial" w:hAnsi="Arial" w:cs="Arial"/>
          <w:szCs w:val="24"/>
        </w:rPr>
        <w:t xml:space="preserve">The </w:t>
      </w:r>
      <w:r w:rsidR="00CC2FA6">
        <w:rPr>
          <w:rFonts w:ascii="Arial" w:hAnsi="Arial" w:cs="Arial"/>
          <w:szCs w:val="24"/>
        </w:rPr>
        <w:t>purpose</w:t>
      </w:r>
      <w:r w:rsidRPr="002F615B" w:rsidR="00CC2FA6">
        <w:rPr>
          <w:rFonts w:ascii="Arial" w:hAnsi="Arial" w:cs="Arial"/>
          <w:szCs w:val="24"/>
        </w:rPr>
        <w:t xml:space="preserve"> </w:t>
      </w:r>
      <w:r w:rsidRPr="002F615B" w:rsidR="00EC7C46">
        <w:rPr>
          <w:rFonts w:ascii="Arial" w:hAnsi="Arial" w:cs="Arial"/>
          <w:szCs w:val="24"/>
        </w:rPr>
        <w:t xml:space="preserve">of the </w:t>
      </w:r>
      <w:r w:rsidRPr="002F615B" w:rsidR="00417B79">
        <w:rPr>
          <w:rFonts w:ascii="Arial" w:hAnsi="Arial" w:cs="Arial"/>
          <w:szCs w:val="24"/>
        </w:rPr>
        <w:t xml:space="preserve">federal </w:t>
      </w:r>
      <w:r w:rsidRPr="002F615B" w:rsidR="00EC7C46">
        <w:rPr>
          <w:rFonts w:ascii="Arial" w:hAnsi="Arial" w:cs="Arial"/>
          <w:szCs w:val="24"/>
        </w:rPr>
        <w:t xml:space="preserve">Traumatic Brain Injury (TBI) </w:t>
      </w:r>
      <w:r w:rsidRPr="002F615B" w:rsidR="00A643B0">
        <w:rPr>
          <w:rFonts w:ascii="Arial" w:hAnsi="Arial" w:cs="Arial"/>
          <w:szCs w:val="24"/>
        </w:rPr>
        <w:t xml:space="preserve">State Partnership </w:t>
      </w:r>
      <w:r w:rsidRPr="002F615B" w:rsidR="00EC7C46">
        <w:rPr>
          <w:rFonts w:ascii="Arial" w:hAnsi="Arial" w:cs="Arial"/>
          <w:szCs w:val="24"/>
        </w:rPr>
        <w:t xml:space="preserve">Program is to </w:t>
      </w:r>
      <w:r w:rsidRPr="00CC2FA6" w:rsidR="00CC2FA6">
        <w:rPr>
          <w:rFonts w:ascii="Arial" w:hAnsi="Arial" w:cs="Arial"/>
          <w:szCs w:val="24"/>
        </w:rPr>
        <w:t xml:space="preserve">create and strengthen a system of services and supports that maximizes the independence, well-being, and health of people with TBIs across the lifespan and all other demographics, their family members, and support networks. </w:t>
      </w:r>
      <w:r w:rsidRPr="002F615B" w:rsidR="00EC7C46">
        <w:rPr>
          <w:rFonts w:ascii="Arial" w:hAnsi="Arial" w:cs="Arial"/>
          <w:szCs w:val="24"/>
        </w:rPr>
        <w:t xml:space="preserve">The TBI State Partnership Program funds the development and implementation of statewide systems that ensure access to TBI related services, including transitional services, rehabilitation, education and employment, and long-term community support. </w:t>
      </w:r>
      <w:r w:rsidRPr="002F615B" w:rsidR="004F4EE5">
        <w:rPr>
          <w:rFonts w:ascii="Arial" w:hAnsi="Arial" w:cs="Arial"/>
          <w:szCs w:val="24"/>
        </w:rPr>
        <w:t xml:space="preserve">To best monitor, guide, and support TBI State Partnership Program grantees, ACL needs regular information about the grantees’ activities and outcomes. The simplest, </w:t>
      </w:r>
      <w:r w:rsidRPr="002F615B" w:rsidR="00965C42">
        <w:rPr>
          <w:rFonts w:ascii="Arial" w:hAnsi="Arial" w:cs="Arial"/>
          <w:szCs w:val="24"/>
        </w:rPr>
        <w:t xml:space="preserve">least </w:t>
      </w:r>
      <w:r w:rsidRPr="002F615B" w:rsidR="00EF68AA">
        <w:rPr>
          <w:rFonts w:ascii="Arial" w:hAnsi="Arial" w:cs="Arial"/>
          <w:szCs w:val="24"/>
        </w:rPr>
        <w:t>burdensome</w:t>
      </w:r>
      <w:r w:rsidRPr="002F615B" w:rsidR="00417B79">
        <w:rPr>
          <w:rFonts w:ascii="Arial" w:hAnsi="Arial" w:cs="Arial"/>
          <w:szCs w:val="24"/>
        </w:rPr>
        <w:t>,</w:t>
      </w:r>
      <w:r w:rsidRPr="002F615B" w:rsidR="00965C42">
        <w:rPr>
          <w:rFonts w:ascii="Arial" w:hAnsi="Arial" w:cs="Arial"/>
          <w:szCs w:val="24"/>
        </w:rPr>
        <w:t xml:space="preserve"> and most useful </w:t>
      </w:r>
      <w:r w:rsidRPr="002F615B" w:rsidR="004F4EE5">
        <w:rPr>
          <w:rFonts w:ascii="Arial" w:hAnsi="Arial" w:cs="Arial"/>
          <w:szCs w:val="24"/>
        </w:rPr>
        <w:t xml:space="preserve">way to accomplish this goal is to require grantees to </w:t>
      </w:r>
      <w:r w:rsidRPr="002F615B" w:rsidR="00023D7B">
        <w:rPr>
          <w:rFonts w:ascii="Arial" w:hAnsi="Arial" w:cs="Arial"/>
          <w:szCs w:val="24"/>
        </w:rPr>
        <w:t xml:space="preserve">submit information as part of their </w:t>
      </w:r>
      <w:r w:rsidRPr="002F615B" w:rsidR="00FF4F4C">
        <w:rPr>
          <w:rFonts w:ascii="Arial" w:hAnsi="Arial" w:cs="Arial"/>
          <w:szCs w:val="24"/>
        </w:rPr>
        <w:t xml:space="preserve">required </w:t>
      </w:r>
      <w:r w:rsidRPr="002F615B" w:rsidR="00417B79">
        <w:rPr>
          <w:rFonts w:ascii="Arial" w:hAnsi="Arial" w:cs="Arial"/>
          <w:szCs w:val="24"/>
        </w:rPr>
        <w:t>semi</w:t>
      </w:r>
      <w:r w:rsidRPr="002F615B" w:rsidR="00023D7B">
        <w:rPr>
          <w:rFonts w:ascii="Arial" w:hAnsi="Arial" w:cs="Arial"/>
          <w:szCs w:val="24"/>
        </w:rPr>
        <w:t xml:space="preserve">annual reports via the proposed electronic data submission </w:t>
      </w:r>
      <w:r w:rsidRPr="00733A00" w:rsidR="00023D7B">
        <w:rPr>
          <w:rFonts w:ascii="Arial" w:hAnsi="Arial" w:cs="Arial"/>
          <w:szCs w:val="24"/>
        </w:rPr>
        <w:t xml:space="preserve">instrument </w:t>
      </w:r>
      <w:r w:rsidRPr="00733A00" w:rsidR="00965C42">
        <w:rPr>
          <w:rFonts w:ascii="Arial" w:hAnsi="Arial" w:cs="Arial"/>
          <w:szCs w:val="24"/>
        </w:rPr>
        <w:t>(</w:t>
      </w:r>
      <w:r w:rsidRPr="00733A00" w:rsidR="00023D7B">
        <w:rPr>
          <w:rFonts w:ascii="Arial" w:hAnsi="Arial" w:cs="Arial"/>
          <w:szCs w:val="24"/>
        </w:rPr>
        <w:t xml:space="preserve">Appendix </w:t>
      </w:r>
      <w:r w:rsidRPr="00733A00" w:rsidR="009130B3">
        <w:rPr>
          <w:rFonts w:ascii="Arial" w:hAnsi="Arial" w:cs="Arial"/>
          <w:szCs w:val="24"/>
        </w:rPr>
        <w:t>A</w:t>
      </w:r>
      <w:r w:rsidRPr="00733A00" w:rsidR="00023D7B">
        <w:rPr>
          <w:rFonts w:ascii="Arial" w:hAnsi="Arial" w:cs="Arial"/>
          <w:szCs w:val="24"/>
        </w:rPr>
        <w:t>).</w:t>
      </w:r>
      <w:r w:rsidRPr="002F615B" w:rsidR="00023D7B">
        <w:rPr>
          <w:rFonts w:ascii="Arial" w:hAnsi="Arial" w:cs="Arial"/>
          <w:szCs w:val="24"/>
        </w:rPr>
        <w:t xml:space="preserve"> </w:t>
      </w:r>
    </w:p>
    <w:p w:rsidRPr="002F615B" w:rsidR="00EC7C46" w:rsidP="004E77BF" w:rsidRDefault="00EC7C46" w14:paraId="18D87584" w14:textId="77777777">
      <w:pPr>
        <w:rPr>
          <w:rFonts w:ascii="Arial" w:hAnsi="Arial" w:cs="Arial"/>
          <w:szCs w:val="24"/>
        </w:rPr>
      </w:pPr>
    </w:p>
    <w:p w:rsidRPr="002F615B" w:rsidR="00EC7C46" w:rsidP="00CC2FA6" w:rsidRDefault="00EC7C46" w14:paraId="6E73A524" w14:textId="666D73AD">
      <w:pPr>
        <w:pStyle w:val="Default"/>
        <w:rPr>
          <w:rFonts w:ascii="Arial" w:hAnsi="Arial" w:cs="Arial"/>
        </w:rPr>
      </w:pPr>
      <w:r w:rsidRPr="002F615B">
        <w:rPr>
          <w:rFonts w:ascii="Arial" w:hAnsi="Arial" w:cs="Arial"/>
        </w:rPr>
        <w:t>In 1996, the Public Health Service Act was amended “to provide for the conduct of expanded studies and the establishment of innovative programs with respect to traumatic brain injury, and for other purposes</w:t>
      </w:r>
      <w:r w:rsidRPr="002F615B" w:rsidR="006D705F">
        <w:rPr>
          <w:rFonts w:ascii="Arial" w:hAnsi="Arial" w:cs="Arial"/>
        </w:rPr>
        <w:t>”</w:t>
      </w:r>
      <w:r w:rsidRPr="002F615B">
        <w:rPr>
          <w:rFonts w:ascii="Arial" w:hAnsi="Arial" w:cs="Arial"/>
        </w:rPr>
        <w:t xml:space="preserve"> (Public Law 104–166). </w:t>
      </w:r>
      <w:r w:rsidRPr="00CC2FA6" w:rsidR="00CC2FA6">
        <w:rPr>
          <w:rFonts w:ascii="Arial" w:hAnsi="Arial" w:cs="Arial"/>
        </w:rPr>
        <w:t xml:space="preserve">This legislation allowed for the implementation of “grants to States for the purpose of carrying out demonstration projects to improve access to health and other services regarding traumatic brain injury.” The TBI Reauthorization Act of 2014 (P.L. 113-196) allowed the Department of Health and Human Services Secretary to review oversight of the </w:t>
      </w:r>
      <w:r w:rsidR="00CC2FA6">
        <w:rPr>
          <w:rFonts w:ascii="Arial" w:hAnsi="Arial" w:cs="Arial"/>
        </w:rPr>
        <w:t xml:space="preserve">federal TBI programs (TBI State </w:t>
      </w:r>
      <w:r w:rsidRPr="00CC2FA6" w:rsidR="00CC2FA6">
        <w:rPr>
          <w:rFonts w:ascii="Arial" w:hAnsi="Arial" w:cs="Arial"/>
        </w:rPr>
        <w:t xml:space="preserve">Partnership Grant program and the TBI Protection and Advocacy program) and reconsider which operating division should lead them. With avid support from TBI stakeholders, the Secretary found that the goals of the federal TBI programs closely align with ACL's mission to advance policy and implement programs that support the rights of older Americans and people with disabilities to live in their communities. As a result, on Oct. 1, 2015, the federal TBI programs moved from the Health Resources and Services Administration to ACL. </w:t>
      </w:r>
      <w:r w:rsidRPr="002F615B">
        <w:rPr>
          <w:rFonts w:ascii="Arial" w:hAnsi="Arial" w:cs="Arial"/>
        </w:rPr>
        <w:t xml:space="preserve">These </w:t>
      </w:r>
      <w:r w:rsidR="003E1DA5">
        <w:rPr>
          <w:rFonts w:ascii="Arial" w:hAnsi="Arial" w:cs="Arial"/>
        </w:rPr>
        <w:t>programs</w:t>
      </w:r>
      <w:r w:rsidRPr="002F615B">
        <w:rPr>
          <w:rFonts w:ascii="Arial" w:hAnsi="Arial" w:cs="Arial"/>
        </w:rPr>
        <w:t xml:space="preserve"> were reauthorized </w:t>
      </w:r>
      <w:r w:rsidR="00CC2FA6">
        <w:rPr>
          <w:rFonts w:ascii="Arial" w:hAnsi="Arial" w:cs="Arial"/>
        </w:rPr>
        <w:t xml:space="preserve">again </w:t>
      </w:r>
      <w:r w:rsidRPr="002F615B">
        <w:rPr>
          <w:rFonts w:ascii="Arial" w:hAnsi="Arial" w:cs="Arial"/>
        </w:rPr>
        <w:t xml:space="preserve">by </w:t>
      </w:r>
      <w:r w:rsidRPr="002F615B" w:rsidR="00A643B0">
        <w:rPr>
          <w:rFonts w:ascii="Arial" w:hAnsi="Arial" w:cs="Arial"/>
        </w:rPr>
        <w:t>the Traumatic Brain Injury Reauthorization Act of 2018 (P.L. 115-377)</w:t>
      </w:r>
      <w:r w:rsidRPr="002F615B">
        <w:rPr>
          <w:rFonts w:ascii="Arial" w:hAnsi="Arial" w:cs="Arial"/>
        </w:rPr>
        <w:t>.</w:t>
      </w:r>
    </w:p>
    <w:p w:rsidRPr="002F615B" w:rsidR="00EC7C46" w:rsidP="004E77BF" w:rsidRDefault="00EC7C46" w14:paraId="65933D67" w14:textId="77777777">
      <w:pPr>
        <w:rPr>
          <w:rFonts w:ascii="Arial" w:hAnsi="Arial" w:cs="Arial"/>
          <w:szCs w:val="24"/>
        </w:rPr>
      </w:pPr>
    </w:p>
    <w:p w:rsidRPr="002F615B" w:rsidR="00B11561" w:rsidP="004E77BF" w:rsidRDefault="00E02224" w14:paraId="7569D6DD" w14:textId="0F578E07">
      <w:pPr>
        <w:rPr>
          <w:rFonts w:ascii="Arial" w:hAnsi="Arial" w:cs="Arial"/>
          <w:szCs w:val="24"/>
        </w:rPr>
      </w:pPr>
      <w:r w:rsidRPr="002F615B">
        <w:rPr>
          <w:rFonts w:ascii="Arial" w:hAnsi="Arial" w:cs="Arial"/>
          <w:szCs w:val="24"/>
        </w:rPr>
        <w:t xml:space="preserve">The proposed performance measures are consistent with </w:t>
      </w:r>
      <w:r w:rsidR="003E1DA5">
        <w:rPr>
          <w:rFonts w:ascii="Arial" w:hAnsi="Arial" w:cs="Arial"/>
          <w:szCs w:val="24"/>
        </w:rPr>
        <w:t xml:space="preserve">both </w:t>
      </w:r>
      <w:r w:rsidRPr="002F615B">
        <w:rPr>
          <w:rFonts w:ascii="Arial" w:hAnsi="Arial" w:cs="Arial"/>
          <w:szCs w:val="24"/>
        </w:rPr>
        <w:t xml:space="preserve">the TBI </w:t>
      </w:r>
      <w:r w:rsidRPr="002F615B">
        <w:rPr>
          <w:rFonts w:ascii="Arial" w:hAnsi="Arial" w:cs="Arial"/>
        </w:rPr>
        <w:t xml:space="preserve">State </w:t>
      </w:r>
      <w:r w:rsidRPr="002F615B" w:rsidR="0043472B">
        <w:rPr>
          <w:rFonts w:ascii="Arial" w:hAnsi="Arial" w:cs="Arial"/>
        </w:rPr>
        <w:t xml:space="preserve">Partnership </w:t>
      </w:r>
      <w:r w:rsidRPr="002F615B">
        <w:rPr>
          <w:rFonts w:ascii="Arial" w:hAnsi="Arial" w:cs="Arial"/>
          <w:szCs w:val="24"/>
        </w:rPr>
        <w:t xml:space="preserve">Program’s purpose and </w:t>
      </w:r>
      <w:r w:rsidR="003E1DA5">
        <w:rPr>
          <w:rFonts w:ascii="Arial" w:hAnsi="Arial" w:cs="Arial"/>
          <w:szCs w:val="24"/>
        </w:rPr>
        <w:t xml:space="preserve">also </w:t>
      </w:r>
      <w:r w:rsidRPr="002F615B">
        <w:rPr>
          <w:rFonts w:ascii="Arial" w:hAnsi="Arial" w:cs="Arial"/>
          <w:szCs w:val="24"/>
        </w:rPr>
        <w:t>ACL’s mission.</w:t>
      </w:r>
    </w:p>
    <w:p w:rsidRPr="002F615B" w:rsidR="00B11561" w:rsidP="004E77BF" w:rsidRDefault="00B11561" w14:paraId="7864D9A3" w14:textId="77777777">
      <w:pPr>
        <w:rPr>
          <w:rFonts w:ascii="Arial" w:hAnsi="Arial" w:cs="Arial"/>
          <w:szCs w:val="24"/>
        </w:rPr>
      </w:pPr>
    </w:p>
    <w:p w:rsidRPr="002F615B" w:rsidR="000E7022" w:rsidP="004E77BF" w:rsidRDefault="0043472B" w14:paraId="52C742CB" w14:textId="4E01677D">
      <w:pPr>
        <w:rPr>
          <w:rFonts w:ascii="Arial" w:hAnsi="Arial" w:cs="Arial"/>
          <w:szCs w:val="22"/>
        </w:rPr>
      </w:pPr>
      <w:r w:rsidRPr="002F615B">
        <w:rPr>
          <w:rFonts w:ascii="Arial" w:hAnsi="Arial" w:cs="Arial"/>
          <w:szCs w:val="24"/>
        </w:rPr>
        <w:t>The 2010 Government Performance Results Modernization Act</w:t>
      </w:r>
      <w:r w:rsidRPr="002F615B" w:rsidR="000E7022">
        <w:rPr>
          <w:rStyle w:val="FootnoteReference"/>
          <w:rFonts w:ascii="Arial" w:hAnsi="Arial" w:cs="Arial"/>
          <w:szCs w:val="22"/>
        </w:rPr>
        <w:footnoteReference w:id="1"/>
      </w:r>
      <w:r w:rsidRPr="002F615B" w:rsidR="000E7022">
        <w:rPr>
          <w:rFonts w:ascii="Arial" w:hAnsi="Arial" w:cs="Arial"/>
          <w:szCs w:val="22"/>
        </w:rPr>
        <w:t xml:space="preserve"> requires federal agencies to develop annual and long-term performance outcome measures and to report on these measures annually. ACL </w:t>
      </w:r>
      <w:r w:rsidRPr="002F615B">
        <w:rPr>
          <w:rFonts w:ascii="Arial" w:hAnsi="Arial" w:cs="Arial"/>
          <w:szCs w:val="22"/>
        </w:rPr>
        <w:t xml:space="preserve">sees </w:t>
      </w:r>
      <w:r w:rsidRPr="002F615B" w:rsidR="0019589B">
        <w:rPr>
          <w:rFonts w:ascii="Arial" w:hAnsi="Arial" w:cs="Arial"/>
          <w:szCs w:val="22"/>
        </w:rPr>
        <w:t>t</w:t>
      </w:r>
      <w:r w:rsidRPr="002F615B">
        <w:rPr>
          <w:rFonts w:ascii="Arial" w:hAnsi="Arial" w:cs="Arial"/>
          <w:szCs w:val="22"/>
        </w:rPr>
        <w:t xml:space="preserve">he </w:t>
      </w:r>
      <w:r w:rsidRPr="002F615B" w:rsidR="0019589B">
        <w:rPr>
          <w:rFonts w:ascii="Arial" w:hAnsi="Arial" w:cs="Arial"/>
          <w:szCs w:val="22"/>
        </w:rPr>
        <w:t xml:space="preserve">GPRA </w:t>
      </w:r>
      <w:r w:rsidRPr="002F615B">
        <w:rPr>
          <w:rFonts w:ascii="Arial" w:hAnsi="Arial" w:cs="Arial"/>
          <w:szCs w:val="22"/>
        </w:rPr>
        <w:t>Modernization Act</w:t>
      </w:r>
      <w:r w:rsidRPr="002F615B" w:rsidR="0019589B">
        <w:rPr>
          <w:rFonts w:ascii="Arial" w:hAnsi="Arial" w:cs="Arial"/>
          <w:szCs w:val="22"/>
        </w:rPr>
        <w:t xml:space="preserve"> </w:t>
      </w:r>
      <w:r w:rsidRPr="002F615B" w:rsidR="000E7022">
        <w:rPr>
          <w:rFonts w:ascii="Arial" w:hAnsi="Arial" w:cs="Arial"/>
          <w:szCs w:val="22"/>
        </w:rPr>
        <w:t xml:space="preserve">as an opportunity to document </w:t>
      </w:r>
      <w:r w:rsidR="00733A00">
        <w:rPr>
          <w:rFonts w:ascii="Arial" w:hAnsi="Arial" w:cs="Arial"/>
          <w:szCs w:val="22"/>
        </w:rPr>
        <w:t xml:space="preserve">annually </w:t>
      </w:r>
      <w:r w:rsidRPr="002F615B" w:rsidR="000E7022">
        <w:rPr>
          <w:rFonts w:ascii="Arial" w:hAnsi="Arial" w:cs="Arial"/>
          <w:szCs w:val="22"/>
        </w:rPr>
        <w:t xml:space="preserve">the results that are produced through the programs it administers under the authority for the TBI State </w:t>
      </w:r>
      <w:r w:rsidRPr="002F615B" w:rsidR="0019589B">
        <w:rPr>
          <w:rFonts w:ascii="Arial" w:hAnsi="Arial" w:cs="Arial"/>
          <w:szCs w:val="22"/>
        </w:rPr>
        <w:t xml:space="preserve">Partnership </w:t>
      </w:r>
      <w:r w:rsidRPr="002F615B" w:rsidR="000E7022">
        <w:rPr>
          <w:rFonts w:ascii="Arial" w:hAnsi="Arial" w:cs="Arial"/>
          <w:szCs w:val="22"/>
        </w:rPr>
        <w:t xml:space="preserve">Program. It is the intent and commitment of ACL, in concert with grantees, to use the performance measurement tools of GPRAMA to continuously improve its programs and services. </w:t>
      </w:r>
    </w:p>
    <w:p w:rsidRPr="002F615B" w:rsidR="000E7022" w:rsidP="004E77BF" w:rsidRDefault="000E7022" w14:paraId="415A3E03" w14:textId="77777777">
      <w:pPr>
        <w:rPr>
          <w:rFonts w:ascii="Arial" w:hAnsi="Arial" w:cs="Arial"/>
          <w:szCs w:val="22"/>
        </w:rPr>
      </w:pPr>
    </w:p>
    <w:p w:rsidRPr="00CD0A09" w:rsidR="004922E1" w:rsidP="00CD0A09" w:rsidRDefault="00F00BFE" w14:paraId="0463941A" w14:textId="32E28CA1">
      <w:pPr>
        <w:pStyle w:val="ListParagraph"/>
        <w:numPr>
          <w:ilvl w:val="0"/>
          <w:numId w:val="26"/>
        </w:numPr>
        <w:ind w:left="360"/>
        <w:rPr>
          <w:rFonts w:ascii="Arial" w:hAnsi="Arial" w:cs="Arial"/>
          <w:b/>
        </w:rPr>
      </w:pPr>
      <w:r w:rsidRPr="00CD0A09">
        <w:rPr>
          <w:rFonts w:ascii="Arial" w:hAnsi="Arial" w:cs="Arial"/>
          <w:b/>
        </w:rPr>
        <w:t>Purpose and Use of the Information Collection</w:t>
      </w:r>
      <w:r w:rsidRPr="00CD0A09" w:rsidR="00B80592">
        <w:rPr>
          <w:rFonts w:ascii="Arial" w:hAnsi="Arial" w:cs="Arial"/>
          <w:b/>
        </w:rPr>
        <w:t xml:space="preserve"> </w:t>
      </w:r>
    </w:p>
    <w:p w:rsidRPr="002F615B" w:rsidR="00EF68AA" w:rsidP="004E77BF" w:rsidRDefault="00EF68AA" w14:paraId="1AA48CEA" w14:textId="77777777">
      <w:pPr>
        <w:ind w:left="360"/>
        <w:rPr>
          <w:rFonts w:ascii="Arial" w:hAnsi="Arial" w:cs="Arial"/>
          <w:b/>
          <w:sz w:val="28"/>
        </w:rPr>
      </w:pPr>
    </w:p>
    <w:p w:rsidRPr="002F615B" w:rsidR="002E1D80" w:rsidP="004E77BF" w:rsidRDefault="00E02224" w14:paraId="495D19DB" w14:textId="78BCEA6A">
      <w:pPr>
        <w:rPr>
          <w:rFonts w:ascii="Arial" w:hAnsi="Arial" w:cs="Arial"/>
        </w:rPr>
      </w:pPr>
      <w:r w:rsidRPr="002F615B">
        <w:rPr>
          <w:rFonts w:ascii="Arial" w:hAnsi="Arial" w:cs="Arial"/>
          <w:szCs w:val="24"/>
        </w:rPr>
        <w:t xml:space="preserve">Through </w:t>
      </w:r>
      <w:r w:rsidRPr="002F615B" w:rsidR="0019589B">
        <w:rPr>
          <w:rFonts w:ascii="Arial" w:hAnsi="Arial" w:cs="Arial"/>
          <w:szCs w:val="24"/>
        </w:rPr>
        <w:t>regular</w:t>
      </w:r>
      <w:r w:rsidRPr="002F615B">
        <w:rPr>
          <w:rFonts w:ascii="Arial" w:hAnsi="Arial" w:cs="Arial"/>
          <w:szCs w:val="24"/>
        </w:rPr>
        <w:t xml:space="preserve"> performance reports, </w:t>
      </w:r>
      <w:r w:rsidRPr="002F615B" w:rsidR="00417B79">
        <w:rPr>
          <w:rFonts w:ascii="Arial" w:hAnsi="Arial" w:cs="Arial"/>
          <w:szCs w:val="24"/>
        </w:rPr>
        <w:t xml:space="preserve">federal </w:t>
      </w:r>
      <w:r w:rsidRPr="002F615B">
        <w:rPr>
          <w:rFonts w:ascii="Arial" w:hAnsi="Arial" w:cs="Arial"/>
          <w:szCs w:val="24"/>
        </w:rPr>
        <w:t>agencies provide detailed information on their progress in meeting program performance objectives. Congress and OMB use pe</w:t>
      </w:r>
      <w:r w:rsidR="00F730D6">
        <w:rPr>
          <w:rFonts w:ascii="Arial" w:hAnsi="Arial" w:cs="Arial"/>
          <w:szCs w:val="24"/>
        </w:rPr>
        <w:t>rformance information to inform</w:t>
      </w:r>
      <w:r w:rsidRPr="002F615B">
        <w:rPr>
          <w:rFonts w:ascii="Arial" w:hAnsi="Arial" w:cs="Arial"/>
          <w:szCs w:val="24"/>
        </w:rPr>
        <w:t xml:space="preserve"> budget decisions. Many state and local governments are requiring similar systems of accountability to document results and justify funding. Performance measures allow ACL to monitor and assess grantees’ progress </w:t>
      </w:r>
      <w:r w:rsidR="00F730D6">
        <w:rPr>
          <w:rFonts w:ascii="Arial" w:hAnsi="Arial" w:cs="Arial"/>
          <w:szCs w:val="24"/>
        </w:rPr>
        <w:t>and to ensure</w:t>
      </w:r>
      <w:r w:rsidRPr="002F615B" w:rsidR="002E1D80">
        <w:rPr>
          <w:rFonts w:ascii="Arial" w:hAnsi="Arial" w:cs="Arial"/>
        </w:rPr>
        <w:t xml:space="preserve"> grantees are </w:t>
      </w:r>
      <w:r w:rsidRPr="002F615B" w:rsidR="0019589B">
        <w:rPr>
          <w:rFonts w:ascii="Arial" w:hAnsi="Arial" w:cs="Arial"/>
        </w:rPr>
        <w:t>making progress toward</w:t>
      </w:r>
      <w:r w:rsidRPr="002F615B" w:rsidR="005703AC">
        <w:rPr>
          <w:rFonts w:ascii="Arial" w:hAnsi="Arial" w:cs="Arial"/>
        </w:rPr>
        <w:t xml:space="preserve"> the</w:t>
      </w:r>
      <w:r w:rsidR="00F730D6">
        <w:rPr>
          <w:rFonts w:ascii="Arial" w:hAnsi="Arial" w:cs="Arial"/>
        </w:rPr>
        <w:t>se</w:t>
      </w:r>
      <w:r w:rsidRPr="002F615B" w:rsidR="005703AC">
        <w:rPr>
          <w:rFonts w:ascii="Arial" w:hAnsi="Arial" w:cs="Arial"/>
        </w:rPr>
        <w:t xml:space="preserve"> </w:t>
      </w:r>
      <w:r w:rsidRPr="002F615B" w:rsidR="00CA38CB">
        <w:rPr>
          <w:rFonts w:ascii="Arial" w:hAnsi="Arial" w:cs="Arial"/>
        </w:rPr>
        <w:t xml:space="preserve">agency and the </w:t>
      </w:r>
      <w:r w:rsidRPr="002F615B" w:rsidR="0084121E">
        <w:rPr>
          <w:rFonts w:ascii="Arial" w:hAnsi="Arial" w:cs="Arial"/>
        </w:rPr>
        <w:t xml:space="preserve">grant </w:t>
      </w:r>
      <w:r w:rsidR="00F730D6">
        <w:rPr>
          <w:rFonts w:ascii="Arial" w:hAnsi="Arial" w:cs="Arial"/>
        </w:rPr>
        <w:t>program goals:</w:t>
      </w:r>
    </w:p>
    <w:p w:rsidRPr="002F615B" w:rsidR="00CA38CB" w:rsidP="004E77BF" w:rsidRDefault="00CA38CB" w14:paraId="3CEDEE62" w14:textId="024A03A7">
      <w:pPr>
        <w:pStyle w:val="ListParagraph"/>
        <w:numPr>
          <w:ilvl w:val="0"/>
          <w:numId w:val="20"/>
        </w:numPr>
        <w:rPr>
          <w:rFonts w:ascii="Arial" w:hAnsi="Arial" w:cs="Arial"/>
          <w:szCs w:val="24"/>
        </w:rPr>
      </w:pPr>
      <w:r w:rsidRPr="002F615B">
        <w:rPr>
          <w:rFonts w:ascii="Arial" w:hAnsi="Arial" w:cs="Arial"/>
          <w:b/>
          <w:bCs/>
          <w:iCs/>
          <w:szCs w:val="24"/>
        </w:rPr>
        <w:t>Research-based Practices</w:t>
      </w:r>
      <w:r w:rsidRPr="002F615B">
        <w:rPr>
          <w:rFonts w:ascii="Arial" w:hAnsi="Arial" w:cs="Arial"/>
          <w:szCs w:val="24"/>
        </w:rPr>
        <w:t>: Use existing research-based knowledge, state-of-the-art systems development approaches</w:t>
      </w:r>
      <w:r w:rsidRPr="002F615B" w:rsidR="0019589B">
        <w:rPr>
          <w:rFonts w:ascii="Arial" w:hAnsi="Arial" w:cs="Arial"/>
          <w:szCs w:val="24"/>
        </w:rPr>
        <w:t>,</w:t>
      </w:r>
      <w:r w:rsidRPr="002F615B">
        <w:rPr>
          <w:rFonts w:ascii="Arial" w:hAnsi="Arial" w:cs="Arial"/>
          <w:szCs w:val="24"/>
        </w:rPr>
        <w:t xml:space="preserve"> and the experience of previous TBI grantees in meeting program goals.</w:t>
      </w:r>
    </w:p>
    <w:p w:rsidRPr="002F615B" w:rsidR="002E1D80" w:rsidP="004E77BF" w:rsidRDefault="004E77BF" w14:paraId="1DCC0EC6" w14:textId="62897056">
      <w:pPr>
        <w:pStyle w:val="ListParagraph"/>
        <w:numPr>
          <w:ilvl w:val="0"/>
          <w:numId w:val="21"/>
        </w:numPr>
        <w:spacing w:after="160" w:line="259" w:lineRule="auto"/>
        <w:rPr>
          <w:rFonts w:ascii="Arial" w:hAnsi="Arial" w:cs="Arial"/>
          <w:b/>
          <w:szCs w:val="24"/>
        </w:rPr>
      </w:pPr>
      <w:r>
        <w:rPr>
          <w:rFonts w:ascii="Arial" w:hAnsi="Arial" w:cs="Arial"/>
          <w:b/>
          <w:szCs w:val="24"/>
        </w:rPr>
        <w:t xml:space="preserve">Funding: </w:t>
      </w:r>
      <w:r w:rsidRPr="002F615B" w:rsidR="002E1D80">
        <w:rPr>
          <w:rFonts w:ascii="Arial" w:hAnsi="Arial" w:cs="Arial"/>
          <w:bCs/>
          <w:iCs/>
          <w:szCs w:val="24"/>
        </w:rPr>
        <w:t>Implement management and workforce practices that support the integrity and efficient operations of programs serving people with disabilities and older adults and ensure stewardship of taxpayers’ dollars.</w:t>
      </w:r>
    </w:p>
    <w:p w:rsidRPr="002F615B" w:rsidR="002E1D80" w:rsidP="004E77BF" w:rsidRDefault="002E1D80" w14:paraId="385F8BE2" w14:textId="5821FE29">
      <w:pPr>
        <w:pStyle w:val="ListParagraph"/>
        <w:numPr>
          <w:ilvl w:val="0"/>
          <w:numId w:val="21"/>
        </w:numPr>
        <w:spacing w:after="160" w:line="259" w:lineRule="auto"/>
        <w:rPr>
          <w:rFonts w:ascii="Arial" w:hAnsi="Arial" w:cs="Arial"/>
        </w:rPr>
      </w:pPr>
      <w:r w:rsidRPr="002F615B">
        <w:rPr>
          <w:rFonts w:ascii="Arial" w:hAnsi="Arial" w:cs="Arial"/>
          <w:b/>
        </w:rPr>
        <w:t>Health &amp; Well</w:t>
      </w:r>
      <w:r w:rsidRPr="002F615B" w:rsidR="0019589B">
        <w:rPr>
          <w:rFonts w:ascii="Arial" w:hAnsi="Arial" w:cs="Arial"/>
          <w:b/>
        </w:rPr>
        <w:t>-</w:t>
      </w:r>
      <w:r w:rsidRPr="002F615B">
        <w:rPr>
          <w:rFonts w:ascii="Arial" w:hAnsi="Arial" w:cs="Arial"/>
          <w:b/>
        </w:rPr>
        <w:t xml:space="preserve">being: </w:t>
      </w:r>
      <w:r w:rsidRPr="002F615B" w:rsidR="00D37CA8">
        <w:rPr>
          <w:rFonts w:ascii="Arial" w:hAnsi="Arial" w:cs="Arial"/>
        </w:rPr>
        <w:t>Advance the health, safety, and w</w:t>
      </w:r>
      <w:r w:rsidRPr="002F615B">
        <w:rPr>
          <w:rFonts w:ascii="Arial" w:hAnsi="Arial" w:cs="Arial"/>
        </w:rPr>
        <w:t>ell-</w:t>
      </w:r>
      <w:r w:rsidRPr="002F615B" w:rsidR="0019589B">
        <w:rPr>
          <w:rFonts w:ascii="Arial" w:hAnsi="Arial" w:cs="Arial"/>
        </w:rPr>
        <w:t>b</w:t>
      </w:r>
      <w:r w:rsidRPr="002F615B" w:rsidR="00D37CA8">
        <w:rPr>
          <w:rFonts w:ascii="Arial" w:hAnsi="Arial" w:cs="Arial"/>
        </w:rPr>
        <w:t>eing of all Americans including people with disabilities and older adults.</w:t>
      </w:r>
    </w:p>
    <w:p w:rsidRPr="002F615B" w:rsidR="002E1D80" w:rsidP="004E77BF" w:rsidRDefault="002E1D80" w14:paraId="448641A8" w14:textId="35ACA011">
      <w:pPr>
        <w:pStyle w:val="ListParagraph"/>
        <w:numPr>
          <w:ilvl w:val="0"/>
          <w:numId w:val="21"/>
        </w:numPr>
        <w:spacing w:after="160" w:line="259" w:lineRule="auto"/>
        <w:rPr>
          <w:rFonts w:ascii="Arial" w:hAnsi="Arial" w:cs="Arial"/>
          <w:szCs w:val="24"/>
        </w:rPr>
      </w:pPr>
      <w:r w:rsidRPr="002F615B">
        <w:rPr>
          <w:rFonts w:ascii="Arial" w:hAnsi="Arial" w:cs="Arial"/>
          <w:b/>
          <w:szCs w:val="24"/>
        </w:rPr>
        <w:t>Interagency Collaboration:</w:t>
      </w:r>
      <w:r w:rsidRPr="002F615B">
        <w:rPr>
          <w:rFonts w:ascii="Arial" w:hAnsi="Arial" w:cs="Arial"/>
          <w:szCs w:val="24"/>
        </w:rPr>
        <w:t xml:space="preserve"> Coordinate between relevant </w:t>
      </w:r>
      <w:r w:rsidRPr="002F615B" w:rsidR="00417B79">
        <w:rPr>
          <w:rFonts w:ascii="Arial" w:hAnsi="Arial" w:cs="Arial"/>
          <w:szCs w:val="24"/>
        </w:rPr>
        <w:t xml:space="preserve">federal </w:t>
      </w:r>
      <w:r w:rsidRPr="002F615B">
        <w:rPr>
          <w:rFonts w:ascii="Arial" w:hAnsi="Arial" w:cs="Arial"/>
          <w:szCs w:val="24"/>
        </w:rPr>
        <w:t>agencies and programs to identify, strengthen, and enhance cross-agency collaborations that focus on serving individuals with disabilities and their families.</w:t>
      </w:r>
    </w:p>
    <w:p w:rsidRPr="002F615B" w:rsidR="002E1D80" w:rsidP="004E77BF" w:rsidRDefault="002E1D80" w14:paraId="6D919ABA" w14:textId="2FBDD5C4">
      <w:pPr>
        <w:pStyle w:val="ListParagraph"/>
        <w:numPr>
          <w:ilvl w:val="0"/>
          <w:numId w:val="21"/>
        </w:numPr>
        <w:spacing w:after="160" w:line="259" w:lineRule="auto"/>
        <w:rPr>
          <w:rFonts w:ascii="Arial" w:hAnsi="Arial" w:cs="Arial"/>
          <w:b/>
          <w:szCs w:val="24"/>
        </w:rPr>
      </w:pPr>
      <w:r w:rsidRPr="002F615B">
        <w:rPr>
          <w:rFonts w:ascii="Arial" w:hAnsi="Arial" w:cs="Arial"/>
          <w:b/>
          <w:szCs w:val="24"/>
        </w:rPr>
        <w:t xml:space="preserve">Access to </w:t>
      </w:r>
      <w:r w:rsidRPr="002F615B" w:rsidR="0019589B">
        <w:rPr>
          <w:rFonts w:ascii="Arial" w:hAnsi="Arial" w:cs="Arial"/>
          <w:b/>
          <w:szCs w:val="24"/>
        </w:rPr>
        <w:t>S</w:t>
      </w:r>
      <w:r w:rsidRPr="002F615B">
        <w:rPr>
          <w:rFonts w:ascii="Arial" w:hAnsi="Arial" w:cs="Arial"/>
          <w:b/>
          <w:szCs w:val="24"/>
        </w:rPr>
        <w:t xml:space="preserve">ervices and </w:t>
      </w:r>
      <w:r w:rsidRPr="002F615B" w:rsidR="0019589B">
        <w:rPr>
          <w:rFonts w:ascii="Arial" w:hAnsi="Arial" w:cs="Arial"/>
          <w:b/>
          <w:szCs w:val="24"/>
        </w:rPr>
        <w:t>S</w:t>
      </w:r>
      <w:r w:rsidRPr="002F615B">
        <w:rPr>
          <w:rFonts w:ascii="Arial" w:hAnsi="Arial" w:cs="Arial"/>
          <w:b/>
          <w:szCs w:val="24"/>
        </w:rPr>
        <w:t>upports</w:t>
      </w:r>
      <w:r w:rsidRPr="002F615B">
        <w:rPr>
          <w:rFonts w:ascii="Arial" w:hAnsi="Arial" w:cs="Arial"/>
          <w:szCs w:val="24"/>
        </w:rPr>
        <w:t xml:space="preserve">: Empower individuals </w:t>
      </w:r>
      <w:r w:rsidRPr="002F615B" w:rsidR="00CA38CB">
        <w:rPr>
          <w:rFonts w:ascii="Arial" w:hAnsi="Arial" w:cs="Arial"/>
          <w:szCs w:val="24"/>
        </w:rPr>
        <w:t xml:space="preserve">with TBI </w:t>
      </w:r>
      <w:r w:rsidRPr="002F615B">
        <w:rPr>
          <w:rFonts w:ascii="Arial" w:hAnsi="Arial" w:cs="Arial"/>
          <w:szCs w:val="24"/>
        </w:rPr>
        <w:t>and their families to access home and community-based services and supports that ensure opportunity for full and meaningful community participation.</w:t>
      </w:r>
    </w:p>
    <w:p w:rsidRPr="002F615B" w:rsidR="002E1D80" w:rsidP="004E77BF" w:rsidRDefault="002E1D80" w14:paraId="05E9C377" w14:textId="4A64A75C">
      <w:pPr>
        <w:pStyle w:val="ListParagraph"/>
        <w:numPr>
          <w:ilvl w:val="0"/>
          <w:numId w:val="21"/>
        </w:numPr>
        <w:spacing w:after="160" w:line="259" w:lineRule="auto"/>
        <w:rPr>
          <w:rFonts w:ascii="Arial" w:hAnsi="Arial" w:cs="Arial"/>
        </w:rPr>
      </w:pPr>
      <w:r w:rsidRPr="002F615B">
        <w:rPr>
          <w:rFonts w:ascii="Arial" w:hAnsi="Arial" w:cs="Arial"/>
          <w:b/>
        </w:rPr>
        <w:t xml:space="preserve">Social Integration: </w:t>
      </w:r>
      <w:r w:rsidRPr="002F615B">
        <w:rPr>
          <w:rFonts w:ascii="Arial" w:hAnsi="Arial" w:cs="Arial"/>
        </w:rPr>
        <w:t>Maximize the integration and full inclusion</w:t>
      </w:r>
      <w:r w:rsidRPr="002F615B" w:rsidR="00A1173B">
        <w:rPr>
          <w:rFonts w:ascii="Arial" w:hAnsi="Arial" w:cs="Arial"/>
        </w:rPr>
        <w:t>, including employment,</w:t>
      </w:r>
      <w:r w:rsidRPr="002F615B">
        <w:rPr>
          <w:rFonts w:ascii="Arial" w:hAnsi="Arial" w:cs="Arial"/>
        </w:rPr>
        <w:t xml:space="preserve"> of </w:t>
      </w:r>
      <w:r w:rsidRPr="002F615B" w:rsidR="00D37CA8">
        <w:rPr>
          <w:rFonts w:ascii="Arial" w:hAnsi="Arial" w:cs="Arial"/>
        </w:rPr>
        <w:t xml:space="preserve">older adult </w:t>
      </w:r>
      <w:r w:rsidRPr="002F615B">
        <w:rPr>
          <w:rFonts w:ascii="Arial" w:hAnsi="Arial" w:cs="Arial"/>
        </w:rPr>
        <w:t>individ</w:t>
      </w:r>
      <w:r w:rsidRPr="002F615B" w:rsidR="00D37CA8">
        <w:rPr>
          <w:rFonts w:ascii="Arial" w:hAnsi="Arial" w:cs="Arial"/>
        </w:rPr>
        <w:t xml:space="preserve">uals with disabilities into </w:t>
      </w:r>
      <w:r w:rsidRPr="002F615B">
        <w:rPr>
          <w:rFonts w:ascii="Arial" w:hAnsi="Arial" w:cs="Arial"/>
        </w:rPr>
        <w:t>society.</w:t>
      </w:r>
    </w:p>
    <w:p w:rsidRPr="002F615B" w:rsidR="002E1D80" w:rsidP="004E77BF" w:rsidRDefault="002E1D80" w14:paraId="73FC634D" w14:textId="681B2E01">
      <w:pPr>
        <w:pStyle w:val="ListParagraph"/>
        <w:numPr>
          <w:ilvl w:val="0"/>
          <w:numId w:val="21"/>
        </w:numPr>
        <w:spacing w:after="160" w:line="259" w:lineRule="auto"/>
        <w:rPr>
          <w:rFonts w:ascii="Arial" w:hAnsi="Arial" w:cs="Arial"/>
        </w:rPr>
      </w:pPr>
      <w:r w:rsidRPr="002F615B">
        <w:rPr>
          <w:rFonts w:ascii="Arial" w:hAnsi="Arial" w:cs="Arial"/>
          <w:b/>
        </w:rPr>
        <w:t xml:space="preserve">Advocacy/Public Awareness: </w:t>
      </w:r>
      <w:r w:rsidRPr="002F615B">
        <w:rPr>
          <w:rFonts w:ascii="Arial" w:hAnsi="Arial" w:cs="Arial"/>
        </w:rPr>
        <w:t>Ensur</w:t>
      </w:r>
      <w:r w:rsidRPr="002F615B" w:rsidR="0019589B">
        <w:rPr>
          <w:rFonts w:ascii="Arial" w:hAnsi="Arial" w:cs="Arial"/>
        </w:rPr>
        <w:t>e</w:t>
      </w:r>
      <w:r w:rsidRPr="002F615B">
        <w:rPr>
          <w:rFonts w:ascii="Arial" w:hAnsi="Arial" w:cs="Arial"/>
        </w:rPr>
        <w:t xml:space="preserve"> individuals and their </w:t>
      </w:r>
      <w:r w:rsidRPr="002F615B" w:rsidR="00D37CA8">
        <w:rPr>
          <w:rFonts w:ascii="Arial" w:hAnsi="Arial" w:cs="Arial"/>
        </w:rPr>
        <w:t>support systems</w:t>
      </w:r>
      <w:r w:rsidRPr="002F615B">
        <w:rPr>
          <w:rFonts w:ascii="Arial" w:hAnsi="Arial" w:cs="Arial"/>
        </w:rPr>
        <w:t xml:space="preserve"> engage and participate in their communities, make informed decisions, and exercise self-determination and control about their independence, well-being, and health.</w:t>
      </w:r>
    </w:p>
    <w:p w:rsidRPr="002F615B" w:rsidR="002E1D80" w:rsidP="004E77BF" w:rsidRDefault="002E1D80" w14:paraId="347A6E38" w14:textId="46881EF3">
      <w:pPr>
        <w:pStyle w:val="ListParagraph"/>
        <w:numPr>
          <w:ilvl w:val="0"/>
          <w:numId w:val="21"/>
        </w:numPr>
        <w:spacing w:after="160" w:line="259" w:lineRule="auto"/>
        <w:rPr>
          <w:rFonts w:ascii="Arial" w:hAnsi="Arial" w:cs="Arial"/>
        </w:rPr>
      </w:pPr>
      <w:r w:rsidRPr="002F615B">
        <w:rPr>
          <w:rFonts w:ascii="Arial" w:hAnsi="Arial" w:cs="Arial"/>
          <w:b/>
        </w:rPr>
        <w:t>Consumer Satisfaction:</w:t>
      </w:r>
      <w:r w:rsidRPr="002F615B">
        <w:rPr>
          <w:rFonts w:ascii="Arial" w:hAnsi="Arial" w:cs="Arial"/>
        </w:rPr>
        <w:t xml:space="preserve"> Ensure individuals and their caregivers feel services are accessible, of a high quality</w:t>
      </w:r>
      <w:r w:rsidRPr="002F615B" w:rsidR="004B1462">
        <w:rPr>
          <w:rFonts w:ascii="Arial" w:hAnsi="Arial" w:cs="Arial"/>
        </w:rPr>
        <w:t>,</w:t>
      </w:r>
      <w:r w:rsidRPr="002F615B">
        <w:rPr>
          <w:rFonts w:ascii="Arial" w:hAnsi="Arial" w:cs="Arial"/>
        </w:rPr>
        <w:t xml:space="preserve"> and essential to assist them with remaining in the community or preventing unnecessary institutionalization.</w:t>
      </w:r>
    </w:p>
    <w:p w:rsidR="00CD0A09" w:rsidP="00CD0A09" w:rsidRDefault="002E1D80" w14:paraId="4FD72AE8" w14:textId="77777777">
      <w:pPr>
        <w:pStyle w:val="ListParagraph"/>
        <w:numPr>
          <w:ilvl w:val="0"/>
          <w:numId w:val="21"/>
        </w:numPr>
        <w:tabs>
          <w:tab w:val="left" w:pos="360"/>
        </w:tabs>
        <w:rPr>
          <w:rFonts w:ascii="Arial" w:hAnsi="Arial" w:eastAsia="Calibri" w:cs="Arial"/>
          <w:szCs w:val="24"/>
        </w:rPr>
      </w:pPr>
      <w:r w:rsidRPr="002F615B">
        <w:rPr>
          <w:rFonts w:ascii="Arial" w:hAnsi="Arial" w:eastAsia="Calibri" w:cs="Arial"/>
          <w:b/>
          <w:szCs w:val="24"/>
        </w:rPr>
        <w:lastRenderedPageBreak/>
        <w:t>Services</w:t>
      </w:r>
      <w:r w:rsidRPr="002F615B">
        <w:rPr>
          <w:rFonts w:ascii="Arial" w:hAnsi="Arial" w:eastAsia="Calibri" w:cs="Arial"/>
          <w:szCs w:val="24"/>
        </w:rPr>
        <w:t>:</w:t>
      </w:r>
      <w:r w:rsidRPr="002F615B">
        <w:rPr>
          <w:rFonts w:ascii="Arial" w:hAnsi="Arial" w:cs="Arial"/>
        </w:rPr>
        <w:t xml:space="preserve"> </w:t>
      </w:r>
      <w:r w:rsidRPr="002F615B">
        <w:rPr>
          <w:rFonts w:ascii="Arial" w:hAnsi="Arial" w:eastAsia="Calibri" w:cs="Arial"/>
          <w:szCs w:val="24"/>
        </w:rPr>
        <w:t>Assist states to develop high quality, person-centered, and integrated systems that seamlessly address the health and long-term services and supports needs of people with disabilities and older adults</w:t>
      </w:r>
      <w:r w:rsidRPr="002F615B" w:rsidR="004B1462">
        <w:rPr>
          <w:rFonts w:ascii="Arial" w:hAnsi="Arial" w:eastAsia="Calibri" w:cs="Arial"/>
          <w:szCs w:val="24"/>
        </w:rPr>
        <w:t>.</w:t>
      </w:r>
    </w:p>
    <w:p w:rsidRPr="00CD0A09" w:rsidR="00CD0A09" w:rsidP="00CD0A09" w:rsidRDefault="00CD0A09" w14:paraId="27ADF69C" w14:textId="77777777">
      <w:pPr>
        <w:pStyle w:val="ListParagraph"/>
        <w:tabs>
          <w:tab w:val="left" w:pos="360"/>
        </w:tabs>
        <w:rPr>
          <w:rFonts w:ascii="Arial" w:hAnsi="Arial" w:eastAsia="Calibri" w:cs="Arial"/>
          <w:szCs w:val="24"/>
        </w:rPr>
      </w:pPr>
    </w:p>
    <w:p w:rsidRPr="00CD0A09" w:rsidR="00CD0A09" w:rsidP="00CD0A09" w:rsidRDefault="00CD0A09" w14:paraId="17369F66" w14:textId="77777777">
      <w:pPr>
        <w:pStyle w:val="ListParagraph"/>
        <w:tabs>
          <w:tab w:val="left" w:pos="360"/>
        </w:tabs>
        <w:rPr>
          <w:rFonts w:ascii="Arial" w:hAnsi="Arial" w:eastAsia="Calibri" w:cs="Arial"/>
          <w:szCs w:val="24"/>
        </w:rPr>
      </w:pPr>
    </w:p>
    <w:p w:rsidRPr="00CD0A09" w:rsidR="00140A03" w:rsidP="00CD0A09" w:rsidRDefault="00140A03" w14:paraId="3014A77D" w14:textId="16EEEBC1">
      <w:pPr>
        <w:pStyle w:val="ListParagraph"/>
        <w:numPr>
          <w:ilvl w:val="0"/>
          <w:numId w:val="26"/>
        </w:numPr>
        <w:tabs>
          <w:tab w:val="left" w:pos="360"/>
        </w:tabs>
        <w:rPr>
          <w:rFonts w:ascii="Arial" w:hAnsi="Arial" w:eastAsia="Calibri" w:cs="Arial"/>
          <w:szCs w:val="24"/>
        </w:rPr>
      </w:pPr>
      <w:r w:rsidRPr="00CD0A09">
        <w:rPr>
          <w:rFonts w:ascii="Arial" w:hAnsi="Arial" w:cs="Arial"/>
          <w:b/>
        </w:rPr>
        <w:t xml:space="preserve">Use of Improved Information Technology and Burden Reduction </w:t>
      </w:r>
    </w:p>
    <w:p w:rsidRPr="002F615B" w:rsidR="00996BD5" w:rsidP="004E77BF" w:rsidRDefault="00996BD5" w14:paraId="23AB1130" w14:textId="77777777">
      <w:pPr>
        <w:pStyle w:val="BodyText"/>
        <w:spacing w:line="240" w:lineRule="auto"/>
        <w:ind w:left="720"/>
        <w:rPr>
          <w:rFonts w:ascii="Arial" w:hAnsi="Arial" w:cs="Arial"/>
          <w:sz w:val="28"/>
        </w:rPr>
      </w:pPr>
    </w:p>
    <w:p w:rsidR="00CD0A09" w:rsidP="00CD0A09" w:rsidRDefault="00DD12B1" w14:paraId="7D13A49B" w14:textId="77777777">
      <w:pPr>
        <w:ind w:left="360"/>
        <w:rPr>
          <w:rFonts w:ascii="Arial" w:hAnsi="Arial" w:cs="Arial"/>
        </w:rPr>
      </w:pPr>
      <w:r w:rsidRPr="002F615B">
        <w:rPr>
          <w:rFonts w:ascii="Arial" w:hAnsi="Arial" w:cs="Arial"/>
        </w:rPr>
        <w:t xml:space="preserve">ACL </w:t>
      </w:r>
      <w:r w:rsidRPr="002F615B" w:rsidR="00FF4F4C">
        <w:rPr>
          <w:rFonts w:ascii="Arial" w:hAnsi="Arial" w:cs="Arial"/>
        </w:rPr>
        <w:t xml:space="preserve">plans to collect this </w:t>
      </w:r>
      <w:r w:rsidRPr="002F615B">
        <w:rPr>
          <w:rFonts w:ascii="Arial" w:hAnsi="Arial" w:cs="Arial"/>
        </w:rPr>
        <w:t xml:space="preserve">information using a web-based data collection system. Skip patterns and data validation checks will be programmed into the system </w:t>
      </w:r>
      <w:r w:rsidR="00F730D6">
        <w:rPr>
          <w:rFonts w:ascii="Arial" w:hAnsi="Arial" w:cs="Arial"/>
        </w:rPr>
        <w:t>so ACL</w:t>
      </w:r>
      <w:r w:rsidRPr="002F615B">
        <w:rPr>
          <w:rFonts w:ascii="Arial" w:hAnsi="Arial" w:cs="Arial"/>
        </w:rPr>
        <w:t xml:space="preserve"> grantees</w:t>
      </w:r>
      <w:r w:rsidR="00F730D6">
        <w:rPr>
          <w:rFonts w:ascii="Arial" w:hAnsi="Arial" w:cs="Arial"/>
        </w:rPr>
        <w:t xml:space="preserve"> are only responsible for answering those questions relevant to their program and do not have to reenter unchanged data</w:t>
      </w:r>
      <w:r w:rsidRPr="002F615B">
        <w:rPr>
          <w:rFonts w:ascii="Arial" w:hAnsi="Arial" w:cs="Arial"/>
        </w:rPr>
        <w:t xml:space="preserve">. In addition, </w:t>
      </w:r>
      <w:r w:rsidRPr="002F615B" w:rsidR="00FF4F4C">
        <w:rPr>
          <w:rFonts w:ascii="Arial" w:hAnsi="Arial" w:cs="Arial"/>
        </w:rPr>
        <w:t>the</w:t>
      </w:r>
      <w:r w:rsidRPr="002F615B">
        <w:rPr>
          <w:rFonts w:ascii="Arial" w:hAnsi="Arial" w:cs="Arial"/>
        </w:rPr>
        <w:t xml:space="preserve"> data entry portal will include </w:t>
      </w:r>
      <w:r w:rsidRPr="002F615B" w:rsidR="00FF4F4C">
        <w:rPr>
          <w:rFonts w:ascii="Arial" w:hAnsi="Arial" w:cs="Arial"/>
        </w:rPr>
        <w:t>guidance, definitions of terms</w:t>
      </w:r>
      <w:r w:rsidRPr="002F615B" w:rsidR="00D37CA8">
        <w:rPr>
          <w:rFonts w:ascii="Arial" w:hAnsi="Arial" w:cs="Arial"/>
        </w:rPr>
        <w:t>,</w:t>
      </w:r>
      <w:r w:rsidRPr="002F615B">
        <w:rPr>
          <w:rFonts w:ascii="Arial" w:hAnsi="Arial" w:cs="Arial"/>
        </w:rPr>
        <w:t xml:space="preserve"> and other information to support data collection and submission. The portal will be available at all times, with the exception of when </w:t>
      </w:r>
      <w:r w:rsidRPr="002F615B" w:rsidR="008E6961">
        <w:rPr>
          <w:rFonts w:ascii="Arial" w:hAnsi="Arial" w:cs="Arial"/>
        </w:rPr>
        <w:t>maintenance</w:t>
      </w:r>
      <w:r w:rsidRPr="002F615B">
        <w:rPr>
          <w:rFonts w:ascii="Arial" w:hAnsi="Arial" w:cs="Arial"/>
        </w:rPr>
        <w:t xml:space="preserve"> is required, so that grantees can submit </w:t>
      </w:r>
      <w:r w:rsidRPr="002F615B" w:rsidR="008E6961">
        <w:rPr>
          <w:rFonts w:ascii="Arial" w:hAnsi="Arial" w:cs="Arial"/>
        </w:rPr>
        <w:t>t</w:t>
      </w:r>
      <w:r w:rsidRPr="002F615B">
        <w:rPr>
          <w:rFonts w:ascii="Arial" w:hAnsi="Arial" w:cs="Arial"/>
        </w:rPr>
        <w:t xml:space="preserve">heir data at their </w:t>
      </w:r>
      <w:r w:rsidRPr="002F615B" w:rsidR="00AB7936">
        <w:rPr>
          <w:rFonts w:ascii="Arial" w:hAnsi="Arial" w:cs="Arial"/>
        </w:rPr>
        <w:t>convenience</w:t>
      </w:r>
      <w:r w:rsidR="00F730D6">
        <w:rPr>
          <w:rFonts w:ascii="Arial" w:hAnsi="Arial" w:cs="Arial"/>
        </w:rPr>
        <w:t xml:space="preserve"> in advance of the semi-annual reports. </w:t>
      </w:r>
    </w:p>
    <w:p w:rsidR="00CD0A09" w:rsidP="00CD0A09" w:rsidRDefault="00CD0A09" w14:paraId="7ADEB8EA" w14:textId="77777777">
      <w:pPr>
        <w:ind w:left="360"/>
        <w:rPr>
          <w:rFonts w:ascii="Arial" w:hAnsi="Arial" w:cs="Arial"/>
        </w:rPr>
      </w:pPr>
    </w:p>
    <w:p w:rsidRPr="00CD0A09" w:rsidR="00960B39" w:rsidP="00CD0A09" w:rsidRDefault="009E1F12" w14:paraId="13309FB2" w14:textId="43FD99C2">
      <w:pPr>
        <w:pStyle w:val="ListParagraph"/>
        <w:numPr>
          <w:ilvl w:val="0"/>
          <w:numId w:val="26"/>
        </w:numPr>
        <w:rPr>
          <w:rFonts w:ascii="Arial" w:hAnsi="Arial" w:cs="Arial"/>
        </w:rPr>
      </w:pPr>
      <w:r w:rsidRPr="00CD0A09">
        <w:rPr>
          <w:rFonts w:ascii="Arial" w:hAnsi="Arial" w:cs="Arial"/>
          <w:b/>
        </w:rPr>
        <w:t>Efforts to Identify Duplication and Use of Similar Information</w:t>
      </w:r>
    </w:p>
    <w:p w:rsidRPr="002F615B" w:rsidR="00FC7674" w:rsidP="004E77BF" w:rsidRDefault="00FC7674" w14:paraId="059A58D5" w14:textId="77777777">
      <w:pPr>
        <w:pStyle w:val="ListParagraph"/>
        <w:rPr>
          <w:rFonts w:ascii="Arial" w:hAnsi="Arial" w:cs="Arial"/>
          <w:sz w:val="28"/>
        </w:rPr>
      </w:pPr>
    </w:p>
    <w:p w:rsidR="00CD0A09" w:rsidP="00CD0A09" w:rsidRDefault="00673392" w14:paraId="733DD347" w14:textId="77777777">
      <w:pPr>
        <w:pStyle w:val="BodyText"/>
        <w:spacing w:line="240" w:lineRule="auto"/>
        <w:ind w:left="360"/>
        <w:rPr>
          <w:rFonts w:ascii="Arial" w:hAnsi="Arial" w:cs="Arial"/>
          <w:sz w:val="24"/>
        </w:rPr>
      </w:pPr>
      <w:r w:rsidRPr="002F615B">
        <w:rPr>
          <w:rFonts w:ascii="Arial" w:hAnsi="Arial" w:cs="Arial"/>
          <w:sz w:val="24"/>
        </w:rPr>
        <w:t xml:space="preserve">There is no other governmental or </w:t>
      </w:r>
      <w:r w:rsidRPr="002F615B" w:rsidR="00166BEF">
        <w:rPr>
          <w:rFonts w:ascii="Arial" w:hAnsi="Arial" w:cs="Arial"/>
          <w:sz w:val="24"/>
        </w:rPr>
        <w:t>non</w:t>
      </w:r>
      <w:r w:rsidRPr="002F615B">
        <w:rPr>
          <w:rFonts w:ascii="Arial" w:hAnsi="Arial" w:cs="Arial"/>
          <w:sz w:val="24"/>
        </w:rPr>
        <w:t xml:space="preserve">governmental </w:t>
      </w:r>
      <w:r w:rsidRPr="002F615B" w:rsidR="001D17E2">
        <w:rPr>
          <w:rFonts w:ascii="Arial" w:hAnsi="Arial" w:cs="Arial"/>
          <w:sz w:val="24"/>
        </w:rPr>
        <w:t xml:space="preserve">ongoing program </w:t>
      </w:r>
      <w:r w:rsidRPr="002F615B">
        <w:rPr>
          <w:rFonts w:ascii="Arial" w:hAnsi="Arial" w:cs="Arial"/>
          <w:sz w:val="24"/>
        </w:rPr>
        <w:t xml:space="preserve">to collect systematic data on the </w:t>
      </w:r>
      <w:r w:rsidRPr="002F615B" w:rsidR="005703AC">
        <w:rPr>
          <w:rFonts w:ascii="Arial" w:hAnsi="Arial" w:cs="Arial"/>
          <w:sz w:val="24"/>
        </w:rPr>
        <w:t xml:space="preserve">performance of TBI State </w:t>
      </w:r>
      <w:r w:rsidRPr="002F615B" w:rsidR="004B1462">
        <w:rPr>
          <w:rFonts w:ascii="Arial" w:hAnsi="Arial" w:cs="Arial"/>
          <w:sz w:val="24"/>
        </w:rPr>
        <w:t xml:space="preserve">Partnership </w:t>
      </w:r>
      <w:r w:rsidRPr="002F615B" w:rsidR="005703AC">
        <w:rPr>
          <w:rFonts w:ascii="Arial" w:hAnsi="Arial" w:cs="Arial"/>
          <w:sz w:val="24"/>
        </w:rPr>
        <w:t>Program grantees over the course of their funding cycles.</w:t>
      </w:r>
    </w:p>
    <w:p w:rsidRPr="00CD0A09" w:rsidR="003C4ED0" w:rsidP="00CD0A09" w:rsidRDefault="003C4ED0" w14:paraId="7665909A" w14:textId="4C0AC556">
      <w:pPr>
        <w:pStyle w:val="BodyText"/>
        <w:numPr>
          <w:ilvl w:val="0"/>
          <w:numId w:val="26"/>
        </w:numPr>
        <w:spacing w:line="240" w:lineRule="auto"/>
        <w:rPr>
          <w:rFonts w:ascii="Arial" w:hAnsi="Arial" w:cs="Arial"/>
          <w:sz w:val="24"/>
        </w:rPr>
      </w:pPr>
      <w:r w:rsidRPr="002F615B">
        <w:rPr>
          <w:rFonts w:ascii="Arial" w:hAnsi="Arial" w:cs="Arial"/>
          <w:b/>
          <w:sz w:val="24"/>
        </w:rPr>
        <w:t xml:space="preserve">Impact </w:t>
      </w:r>
      <w:r w:rsidRPr="002F615B" w:rsidR="00FF14B6">
        <w:rPr>
          <w:rFonts w:ascii="Arial" w:hAnsi="Arial" w:cs="Arial"/>
          <w:b/>
          <w:sz w:val="24"/>
        </w:rPr>
        <w:t>u</w:t>
      </w:r>
      <w:r w:rsidRPr="002F615B">
        <w:rPr>
          <w:rFonts w:ascii="Arial" w:hAnsi="Arial" w:cs="Arial"/>
          <w:b/>
          <w:sz w:val="24"/>
        </w:rPr>
        <w:t xml:space="preserve">pon Small Businesses </w:t>
      </w:r>
      <w:r w:rsidRPr="002F615B" w:rsidR="00A95F05">
        <w:rPr>
          <w:rFonts w:ascii="Arial" w:hAnsi="Arial" w:cs="Arial"/>
          <w:b/>
          <w:sz w:val="24"/>
        </w:rPr>
        <w:t>or</w:t>
      </w:r>
      <w:r w:rsidRPr="002F615B">
        <w:rPr>
          <w:rFonts w:ascii="Arial" w:hAnsi="Arial" w:cs="Arial"/>
          <w:b/>
          <w:sz w:val="24"/>
        </w:rPr>
        <w:t xml:space="preserve"> Other Small Entities</w:t>
      </w:r>
    </w:p>
    <w:p w:rsidRPr="002F615B" w:rsidR="00FC7674" w:rsidP="004E77BF" w:rsidRDefault="00FC7674" w14:paraId="0D4E967C" w14:textId="77777777">
      <w:pPr>
        <w:pStyle w:val="BodyText"/>
        <w:spacing w:line="240" w:lineRule="auto"/>
        <w:ind w:left="720"/>
        <w:rPr>
          <w:rFonts w:ascii="Arial" w:hAnsi="Arial" w:cs="Arial"/>
          <w:b/>
          <w:sz w:val="28"/>
        </w:rPr>
      </w:pPr>
    </w:p>
    <w:p w:rsidR="00CD0A09" w:rsidP="00CD0A09" w:rsidRDefault="003C4ED0" w14:paraId="086932E7" w14:textId="77777777">
      <w:pPr>
        <w:pStyle w:val="BodyText"/>
        <w:spacing w:line="240" w:lineRule="auto"/>
        <w:ind w:left="360"/>
        <w:rPr>
          <w:rFonts w:ascii="Arial" w:hAnsi="Arial" w:cs="Arial"/>
          <w:sz w:val="24"/>
        </w:rPr>
      </w:pPr>
      <w:r w:rsidRPr="002F615B">
        <w:rPr>
          <w:rFonts w:ascii="Arial" w:hAnsi="Arial" w:cs="Arial"/>
          <w:sz w:val="24"/>
        </w:rPr>
        <w:t xml:space="preserve">The proposed data collection does not involve small businesses or other small entities. Data will be submitted only by </w:t>
      </w:r>
      <w:r w:rsidRPr="002F615B" w:rsidR="000E2FB3">
        <w:rPr>
          <w:rFonts w:ascii="Arial" w:hAnsi="Arial" w:cs="Arial"/>
          <w:sz w:val="24"/>
        </w:rPr>
        <w:t>state</w:t>
      </w:r>
      <w:r w:rsidRPr="002F615B" w:rsidR="005703AC">
        <w:rPr>
          <w:rFonts w:ascii="Arial" w:hAnsi="Arial" w:cs="Arial"/>
          <w:sz w:val="24"/>
        </w:rPr>
        <w:t>-level</w:t>
      </w:r>
      <w:r w:rsidRPr="002F615B">
        <w:rPr>
          <w:rFonts w:ascii="Arial" w:hAnsi="Arial" w:cs="Arial"/>
          <w:sz w:val="24"/>
        </w:rPr>
        <w:t xml:space="preserve"> </w:t>
      </w:r>
      <w:r w:rsidRPr="002F615B" w:rsidR="005703AC">
        <w:rPr>
          <w:rFonts w:ascii="Arial" w:hAnsi="Arial" w:cs="Arial"/>
          <w:sz w:val="24"/>
        </w:rPr>
        <w:t>TBI grantee organizations</w:t>
      </w:r>
      <w:r w:rsidRPr="002F615B">
        <w:rPr>
          <w:rFonts w:ascii="Arial" w:hAnsi="Arial" w:cs="Arial"/>
          <w:sz w:val="24"/>
        </w:rPr>
        <w:t>.</w:t>
      </w:r>
    </w:p>
    <w:p w:rsidR="00CD0A09" w:rsidP="00CD0A09" w:rsidRDefault="00CD0A09" w14:paraId="50D2D6C6" w14:textId="77777777">
      <w:pPr>
        <w:pStyle w:val="BodyText"/>
        <w:spacing w:line="240" w:lineRule="auto"/>
        <w:ind w:left="360"/>
        <w:rPr>
          <w:rFonts w:ascii="Arial" w:hAnsi="Arial" w:cs="Arial"/>
          <w:sz w:val="24"/>
        </w:rPr>
      </w:pPr>
    </w:p>
    <w:p w:rsidRPr="002F615B" w:rsidR="00870B38" w:rsidP="00CD0A09" w:rsidRDefault="003C4ED0" w14:paraId="264DE1BE" w14:textId="28A0A4AB">
      <w:pPr>
        <w:pStyle w:val="BodyText"/>
        <w:numPr>
          <w:ilvl w:val="0"/>
          <w:numId w:val="26"/>
        </w:numPr>
        <w:spacing w:line="240" w:lineRule="auto"/>
        <w:rPr>
          <w:rFonts w:ascii="Arial" w:hAnsi="Arial" w:cs="Arial"/>
          <w:b/>
          <w:sz w:val="24"/>
        </w:rPr>
      </w:pPr>
      <w:r w:rsidRPr="002F615B">
        <w:rPr>
          <w:rFonts w:ascii="Arial" w:hAnsi="Arial" w:cs="Arial"/>
          <w:b/>
          <w:sz w:val="24"/>
        </w:rPr>
        <w:t xml:space="preserve">Consequences </w:t>
      </w:r>
      <w:r w:rsidRPr="002F615B" w:rsidR="00A95F05">
        <w:rPr>
          <w:rFonts w:ascii="Arial" w:hAnsi="Arial" w:cs="Arial"/>
          <w:b/>
          <w:sz w:val="24"/>
        </w:rPr>
        <w:t>of Collecting the Information Less Frequently</w:t>
      </w:r>
    </w:p>
    <w:p w:rsidRPr="002F615B" w:rsidR="00FC7674" w:rsidP="004E77BF" w:rsidRDefault="00FC7674" w14:paraId="1AEFC1E1" w14:textId="77777777">
      <w:pPr>
        <w:pStyle w:val="BodyText"/>
        <w:spacing w:line="240" w:lineRule="auto"/>
        <w:ind w:left="720"/>
        <w:rPr>
          <w:rFonts w:ascii="Arial" w:hAnsi="Arial" w:cs="Arial"/>
          <w:b/>
          <w:sz w:val="28"/>
        </w:rPr>
      </w:pPr>
    </w:p>
    <w:p w:rsidRPr="002F615B" w:rsidR="003C4ED0" w:rsidP="004E77BF" w:rsidRDefault="00417B79" w14:paraId="14D9F8F0" w14:textId="77ED2A5C">
      <w:pPr>
        <w:pStyle w:val="BodyText"/>
        <w:spacing w:after="240" w:line="240" w:lineRule="auto"/>
        <w:ind w:left="360"/>
        <w:rPr>
          <w:rFonts w:ascii="Arial" w:hAnsi="Arial" w:cs="Arial"/>
          <w:sz w:val="24"/>
        </w:rPr>
      </w:pPr>
      <w:r w:rsidRPr="002F615B">
        <w:rPr>
          <w:rFonts w:ascii="Arial" w:hAnsi="Arial" w:cs="Arial"/>
          <w:sz w:val="24"/>
        </w:rPr>
        <w:t>Semia</w:t>
      </w:r>
      <w:r w:rsidRPr="002F615B" w:rsidR="003C4ED0">
        <w:rPr>
          <w:rFonts w:ascii="Arial" w:hAnsi="Arial" w:cs="Arial"/>
          <w:sz w:val="24"/>
        </w:rPr>
        <w:t xml:space="preserve">nnual data collection is the minimal frequency that </w:t>
      </w:r>
      <w:r w:rsidRPr="002F615B" w:rsidR="00960B39">
        <w:rPr>
          <w:rFonts w:ascii="Arial" w:hAnsi="Arial" w:cs="Arial"/>
          <w:sz w:val="24"/>
        </w:rPr>
        <w:t>permit</w:t>
      </w:r>
      <w:r w:rsidRPr="002F615B" w:rsidR="002B64B4">
        <w:rPr>
          <w:rFonts w:ascii="Arial" w:hAnsi="Arial" w:cs="Arial"/>
          <w:sz w:val="24"/>
        </w:rPr>
        <w:t>s</w:t>
      </w:r>
      <w:r w:rsidRPr="002F615B" w:rsidR="00960B39">
        <w:rPr>
          <w:rFonts w:ascii="Arial" w:hAnsi="Arial" w:cs="Arial"/>
          <w:sz w:val="24"/>
        </w:rPr>
        <w:t xml:space="preserve"> meaningful program and</w:t>
      </w:r>
      <w:r w:rsidRPr="002F615B" w:rsidR="00870B38">
        <w:rPr>
          <w:rFonts w:ascii="Arial" w:hAnsi="Arial" w:cs="Arial"/>
          <w:sz w:val="24"/>
        </w:rPr>
        <w:t xml:space="preserve"> policy</w:t>
      </w:r>
      <w:r w:rsidRPr="002F615B" w:rsidR="003C4ED0">
        <w:rPr>
          <w:rFonts w:ascii="Arial" w:hAnsi="Arial" w:cs="Arial"/>
          <w:sz w:val="24"/>
        </w:rPr>
        <w:t xml:space="preserve"> activities. Administrative and le</w:t>
      </w:r>
      <w:r w:rsidRPr="002F615B" w:rsidR="00870B38">
        <w:rPr>
          <w:rFonts w:ascii="Arial" w:hAnsi="Arial" w:cs="Arial"/>
          <w:sz w:val="24"/>
        </w:rPr>
        <w:t xml:space="preserve">gislative </w:t>
      </w:r>
      <w:r w:rsidRPr="002F615B" w:rsidR="005703AC">
        <w:rPr>
          <w:rFonts w:ascii="Arial" w:hAnsi="Arial" w:cs="Arial"/>
          <w:sz w:val="24"/>
        </w:rPr>
        <w:t>decisions</w:t>
      </w:r>
      <w:r w:rsidRPr="002F615B" w:rsidR="00870B38">
        <w:rPr>
          <w:rFonts w:ascii="Arial" w:hAnsi="Arial" w:cs="Arial"/>
          <w:sz w:val="24"/>
        </w:rPr>
        <w:t xml:space="preserve"> regarding </w:t>
      </w:r>
      <w:r w:rsidRPr="002F615B" w:rsidR="005703AC">
        <w:rPr>
          <w:rFonts w:ascii="Arial" w:hAnsi="Arial" w:cs="Arial"/>
          <w:sz w:val="24"/>
        </w:rPr>
        <w:t xml:space="preserve">TBI programs </w:t>
      </w:r>
      <w:r w:rsidRPr="002F615B" w:rsidR="003C4ED0">
        <w:rPr>
          <w:rFonts w:ascii="Arial" w:hAnsi="Arial" w:cs="Arial"/>
          <w:sz w:val="24"/>
        </w:rPr>
        <w:t xml:space="preserve">require the </w:t>
      </w:r>
      <w:r w:rsidRPr="002F615B">
        <w:rPr>
          <w:rFonts w:ascii="Arial" w:hAnsi="Arial" w:cs="Arial"/>
          <w:sz w:val="24"/>
        </w:rPr>
        <w:t>semi</w:t>
      </w:r>
      <w:r w:rsidRPr="002F615B" w:rsidR="003C4ED0">
        <w:rPr>
          <w:rFonts w:ascii="Arial" w:hAnsi="Arial" w:cs="Arial"/>
          <w:sz w:val="24"/>
        </w:rPr>
        <w:t>annual col</w:t>
      </w:r>
      <w:r w:rsidRPr="002F615B" w:rsidR="00960B39">
        <w:rPr>
          <w:rFonts w:ascii="Arial" w:hAnsi="Arial" w:cs="Arial"/>
          <w:sz w:val="24"/>
        </w:rPr>
        <w:t>lection of data</w:t>
      </w:r>
      <w:r w:rsidRPr="002F615B" w:rsidR="00870B38">
        <w:rPr>
          <w:rFonts w:ascii="Arial" w:hAnsi="Arial" w:cs="Arial"/>
          <w:sz w:val="24"/>
        </w:rPr>
        <w:t>.</w:t>
      </w:r>
      <w:r w:rsidRPr="002F615B" w:rsidR="00E6198B">
        <w:rPr>
          <w:rFonts w:ascii="Arial" w:hAnsi="Arial" w:cs="Arial"/>
          <w:sz w:val="24"/>
        </w:rPr>
        <w:t xml:space="preserve"> </w:t>
      </w:r>
      <w:r w:rsidRPr="002F615B">
        <w:rPr>
          <w:rFonts w:ascii="Arial" w:hAnsi="Arial" w:cs="Arial"/>
          <w:sz w:val="24"/>
        </w:rPr>
        <w:t>Semia</w:t>
      </w:r>
      <w:r w:rsidRPr="002F615B" w:rsidR="003C4ED0">
        <w:rPr>
          <w:rFonts w:ascii="Arial" w:hAnsi="Arial" w:cs="Arial"/>
          <w:sz w:val="24"/>
        </w:rPr>
        <w:t xml:space="preserve">nnual data collection </w:t>
      </w:r>
      <w:r w:rsidRPr="002F615B" w:rsidR="0023074C">
        <w:rPr>
          <w:rFonts w:ascii="Arial" w:hAnsi="Arial" w:cs="Arial"/>
          <w:sz w:val="24"/>
        </w:rPr>
        <w:t xml:space="preserve">is supported by the state </w:t>
      </w:r>
      <w:r w:rsidRPr="002F615B" w:rsidR="0066468C">
        <w:rPr>
          <w:rFonts w:ascii="Arial" w:hAnsi="Arial" w:cs="Arial"/>
          <w:sz w:val="24"/>
        </w:rPr>
        <w:t>grantees</w:t>
      </w:r>
      <w:r w:rsidRPr="002F615B" w:rsidR="0023074C">
        <w:rPr>
          <w:rFonts w:ascii="Arial" w:hAnsi="Arial" w:cs="Arial"/>
          <w:sz w:val="24"/>
        </w:rPr>
        <w:t xml:space="preserve"> </w:t>
      </w:r>
      <w:r w:rsidRPr="002F615B" w:rsidR="003C4ED0">
        <w:rPr>
          <w:rFonts w:ascii="Arial" w:hAnsi="Arial" w:cs="Arial"/>
          <w:sz w:val="24"/>
        </w:rPr>
        <w:t>for the following reasons</w:t>
      </w:r>
      <w:r w:rsidRPr="002F615B" w:rsidR="002B64B4">
        <w:rPr>
          <w:rFonts w:ascii="Arial" w:hAnsi="Arial" w:cs="Arial"/>
          <w:sz w:val="24"/>
        </w:rPr>
        <w:t>:</w:t>
      </w:r>
      <w:r w:rsidRPr="002F615B" w:rsidR="003C4ED0">
        <w:rPr>
          <w:rFonts w:ascii="Arial" w:hAnsi="Arial" w:cs="Arial"/>
          <w:sz w:val="24"/>
        </w:rPr>
        <w:t xml:space="preserve"> </w:t>
      </w:r>
    </w:p>
    <w:p w:rsidRPr="002F615B" w:rsidR="005B740F" w:rsidP="004E77BF" w:rsidRDefault="003C4ED0" w14:paraId="092FCA89" w14:textId="194BA552">
      <w:pPr>
        <w:pStyle w:val="BodyText"/>
        <w:numPr>
          <w:ilvl w:val="0"/>
          <w:numId w:val="2"/>
        </w:numPr>
        <w:spacing w:line="240" w:lineRule="auto"/>
        <w:rPr>
          <w:rFonts w:ascii="Arial" w:hAnsi="Arial" w:cs="Arial"/>
          <w:sz w:val="24"/>
        </w:rPr>
      </w:pPr>
      <w:r w:rsidRPr="002F615B">
        <w:rPr>
          <w:rFonts w:ascii="Arial" w:hAnsi="Arial" w:cs="Arial"/>
          <w:sz w:val="24"/>
        </w:rPr>
        <w:t xml:space="preserve">Once the </w:t>
      </w:r>
      <w:r w:rsidRPr="002F615B" w:rsidR="000E2FB3">
        <w:rPr>
          <w:rFonts w:ascii="Arial" w:hAnsi="Arial" w:cs="Arial"/>
          <w:sz w:val="24"/>
        </w:rPr>
        <w:t>state</w:t>
      </w:r>
      <w:r w:rsidRPr="002F615B">
        <w:rPr>
          <w:rFonts w:ascii="Arial" w:hAnsi="Arial" w:cs="Arial"/>
          <w:sz w:val="24"/>
        </w:rPr>
        <w:t xml:space="preserve"> </w:t>
      </w:r>
      <w:r w:rsidRPr="002F615B" w:rsidR="00D37CA8">
        <w:rPr>
          <w:rFonts w:ascii="Arial" w:hAnsi="Arial" w:cs="Arial"/>
          <w:sz w:val="24"/>
        </w:rPr>
        <w:t>grantees receive training</w:t>
      </w:r>
      <w:r w:rsidRPr="002F615B">
        <w:rPr>
          <w:rFonts w:ascii="Arial" w:hAnsi="Arial" w:cs="Arial"/>
          <w:sz w:val="24"/>
        </w:rPr>
        <w:t xml:space="preserve"> to submit the </w:t>
      </w:r>
      <w:r w:rsidRPr="002F615B" w:rsidR="0066227F">
        <w:rPr>
          <w:rFonts w:ascii="Arial" w:hAnsi="Arial" w:cs="Arial"/>
          <w:sz w:val="24"/>
        </w:rPr>
        <w:t>performance measures</w:t>
      </w:r>
      <w:r w:rsidRPr="002F615B" w:rsidR="0023074C">
        <w:rPr>
          <w:rFonts w:ascii="Arial" w:hAnsi="Arial" w:cs="Arial"/>
          <w:sz w:val="24"/>
        </w:rPr>
        <w:t xml:space="preserve"> data</w:t>
      </w:r>
      <w:r w:rsidRPr="002F615B">
        <w:rPr>
          <w:rFonts w:ascii="Arial" w:hAnsi="Arial" w:cs="Arial"/>
          <w:sz w:val="24"/>
        </w:rPr>
        <w:t xml:space="preserve">, </w:t>
      </w:r>
      <w:r w:rsidRPr="002F615B" w:rsidR="00417B79">
        <w:rPr>
          <w:rFonts w:ascii="Arial" w:hAnsi="Arial" w:cs="Arial"/>
          <w:sz w:val="24"/>
        </w:rPr>
        <w:t>semi</w:t>
      </w:r>
      <w:r w:rsidRPr="002F615B">
        <w:rPr>
          <w:rFonts w:ascii="Arial" w:hAnsi="Arial" w:cs="Arial"/>
          <w:sz w:val="24"/>
        </w:rPr>
        <w:t xml:space="preserve">annual </w:t>
      </w:r>
      <w:r w:rsidRPr="002F615B" w:rsidR="007B05A2">
        <w:rPr>
          <w:rFonts w:ascii="Arial" w:hAnsi="Arial" w:cs="Arial"/>
          <w:sz w:val="24"/>
        </w:rPr>
        <w:t>reporting</w:t>
      </w:r>
      <w:r w:rsidRPr="002F615B">
        <w:rPr>
          <w:rFonts w:ascii="Arial" w:hAnsi="Arial" w:cs="Arial"/>
          <w:sz w:val="24"/>
        </w:rPr>
        <w:t xml:space="preserve"> is a minimal burden.</w:t>
      </w:r>
    </w:p>
    <w:p w:rsidRPr="002F615B" w:rsidR="003C4ED0" w:rsidP="004E77BF" w:rsidRDefault="00417B79" w14:paraId="097997DB" w14:textId="335CB012">
      <w:pPr>
        <w:pStyle w:val="BodyText"/>
        <w:numPr>
          <w:ilvl w:val="0"/>
          <w:numId w:val="3"/>
        </w:numPr>
        <w:tabs>
          <w:tab w:val="clear" w:pos="1080"/>
        </w:tabs>
        <w:spacing w:line="240" w:lineRule="auto"/>
        <w:rPr>
          <w:rFonts w:ascii="Arial" w:hAnsi="Arial" w:cs="Arial"/>
          <w:sz w:val="24"/>
        </w:rPr>
      </w:pPr>
      <w:r w:rsidRPr="002F615B">
        <w:rPr>
          <w:rFonts w:ascii="Arial" w:hAnsi="Arial" w:cs="Arial"/>
          <w:sz w:val="24"/>
        </w:rPr>
        <w:t>Semia</w:t>
      </w:r>
      <w:r w:rsidRPr="002F615B" w:rsidR="003C4ED0">
        <w:rPr>
          <w:rFonts w:ascii="Arial" w:hAnsi="Arial" w:cs="Arial"/>
          <w:sz w:val="24"/>
        </w:rPr>
        <w:t xml:space="preserve">nnual data collection enables </w:t>
      </w:r>
      <w:r w:rsidRPr="002F615B" w:rsidR="007B05A2">
        <w:rPr>
          <w:rFonts w:ascii="Arial" w:hAnsi="Arial" w:cs="Arial"/>
          <w:sz w:val="24"/>
        </w:rPr>
        <w:t>grantee states</w:t>
      </w:r>
      <w:r w:rsidRPr="002F615B" w:rsidR="003C4ED0">
        <w:rPr>
          <w:rFonts w:ascii="Arial" w:hAnsi="Arial" w:cs="Arial"/>
          <w:sz w:val="24"/>
        </w:rPr>
        <w:t xml:space="preserve"> to maintain the interest, </w:t>
      </w:r>
      <w:r w:rsidRPr="002F615B" w:rsidR="00072B90">
        <w:rPr>
          <w:rFonts w:ascii="Arial" w:hAnsi="Arial" w:cs="Arial"/>
          <w:sz w:val="24"/>
        </w:rPr>
        <w:t>commitment</w:t>
      </w:r>
      <w:r w:rsidRPr="002F615B" w:rsidR="003C4ED0">
        <w:rPr>
          <w:rFonts w:ascii="Arial" w:hAnsi="Arial" w:cs="Arial"/>
          <w:sz w:val="24"/>
        </w:rPr>
        <w:t xml:space="preserve">, and expertise necessary for participation. </w:t>
      </w:r>
      <w:r w:rsidRPr="002F615B" w:rsidR="0066227F">
        <w:rPr>
          <w:rFonts w:ascii="Arial" w:hAnsi="Arial" w:cs="Arial"/>
          <w:sz w:val="24"/>
        </w:rPr>
        <w:t>The selected performance measures will help the grantees to maximize their success and make needed adjustments over the course of their funding cycles</w:t>
      </w:r>
      <w:r w:rsidRPr="002F615B" w:rsidR="00D37CA8">
        <w:rPr>
          <w:rFonts w:ascii="Arial" w:hAnsi="Arial" w:cs="Arial"/>
          <w:sz w:val="24"/>
        </w:rPr>
        <w:t>,</w:t>
      </w:r>
      <w:r w:rsidRPr="002F615B" w:rsidR="0066227F">
        <w:rPr>
          <w:rFonts w:ascii="Arial" w:hAnsi="Arial" w:cs="Arial"/>
          <w:sz w:val="24"/>
        </w:rPr>
        <w:t xml:space="preserve"> and after federal funding ends. </w:t>
      </w:r>
      <w:r w:rsidRPr="002F615B" w:rsidR="003C4ED0">
        <w:rPr>
          <w:rFonts w:ascii="Arial" w:hAnsi="Arial" w:cs="Arial"/>
          <w:sz w:val="24"/>
        </w:rPr>
        <w:t>Less frequent collection may result in increased burden due to the need to retrain staff.</w:t>
      </w:r>
    </w:p>
    <w:p w:rsidR="00CD0A09" w:rsidP="00CD0A09" w:rsidRDefault="00CD0A09" w14:paraId="0A768D2E" w14:textId="77777777">
      <w:pPr>
        <w:pStyle w:val="BodyText"/>
        <w:spacing w:line="240" w:lineRule="auto"/>
        <w:rPr>
          <w:rFonts w:ascii="Arial" w:hAnsi="Arial" w:cs="Arial"/>
          <w:b/>
          <w:sz w:val="28"/>
        </w:rPr>
      </w:pPr>
    </w:p>
    <w:p w:rsidRPr="002F615B" w:rsidR="003C4ED0" w:rsidP="00CD0A09" w:rsidRDefault="009E1F12" w14:paraId="189BBE37" w14:textId="33930FF4">
      <w:pPr>
        <w:pStyle w:val="BodyText"/>
        <w:numPr>
          <w:ilvl w:val="0"/>
          <w:numId w:val="26"/>
        </w:numPr>
        <w:spacing w:line="240" w:lineRule="auto"/>
        <w:rPr>
          <w:rFonts w:ascii="Arial" w:hAnsi="Arial" w:cs="Arial"/>
          <w:b/>
          <w:sz w:val="24"/>
        </w:rPr>
      </w:pPr>
      <w:r w:rsidRPr="002F615B">
        <w:rPr>
          <w:rFonts w:ascii="Arial" w:hAnsi="Arial" w:cs="Arial"/>
          <w:b/>
          <w:sz w:val="24"/>
        </w:rPr>
        <w:t>Special Circumstances Relating to the Guidelines of 5 CFR 1320.5</w:t>
      </w:r>
    </w:p>
    <w:p w:rsidRPr="002F615B" w:rsidR="00FC7674" w:rsidP="004E77BF" w:rsidRDefault="00FC7674" w14:paraId="7AED9C5E" w14:textId="77777777">
      <w:pPr>
        <w:pStyle w:val="BodyText"/>
        <w:spacing w:line="240" w:lineRule="auto"/>
        <w:ind w:left="720"/>
        <w:rPr>
          <w:rFonts w:ascii="Arial" w:hAnsi="Arial" w:cs="Arial"/>
          <w:sz w:val="28"/>
        </w:rPr>
      </w:pPr>
    </w:p>
    <w:p w:rsidRPr="002F615B" w:rsidR="00AB7936" w:rsidP="004E77BF" w:rsidRDefault="00AB7936" w14:paraId="29DCF73C" w14:textId="77777777">
      <w:pPr>
        <w:pStyle w:val="BodyText"/>
        <w:spacing w:line="240" w:lineRule="auto"/>
        <w:ind w:left="360"/>
        <w:rPr>
          <w:rFonts w:ascii="Arial" w:hAnsi="Arial" w:cs="Arial"/>
          <w:sz w:val="24"/>
          <w:szCs w:val="24"/>
        </w:rPr>
      </w:pPr>
      <w:r w:rsidRPr="002F615B">
        <w:rPr>
          <w:rFonts w:ascii="Arial" w:hAnsi="Arial" w:cs="Arial"/>
          <w:sz w:val="24"/>
          <w:szCs w:val="24"/>
        </w:rPr>
        <w:t xml:space="preserve">This data collection request is fully consistent with the guidelines in 5 CFR </w:t>
      </w:r>
      <w:r w:rsidRPr="002F615B">
        <w:rPr>
          <w:rFonts w:ascii="Arial" w:hAnsi="Arial" w:cs="Arial"/>
          <w:sz w:val="24"/>
          <w:szCs w:val="24"/>
        </w:rPr>
        <w:lastRenderedPageBreak/>
        <w:t>1320.8(d). There are no special circumstances required for the collection of information in this data collection.</w:t>
      </w:r>
    </w:p>
    <w:p w:rsidRPr="002F615B" w:rsidR="008E6961" w:rsidP="004E77BF" w:rsidRDefault="008E6961" w14:paraId="1D057591" w14:textId="77777777">
      <w:pPr>
        <w:pStyle w:val="BodyText"/>
        <w:spacing w:line="240" w:lineRule="auto"/>
        <w:ind w:left="360"/>
        <w:rPr>
          <w:rFonts w:ascii="Arial" w:hAnsi="Arial" w:cs="Arial"/>
          <w:sz w:val="24"/>
          <w:szCs w:val="24"/>
        </w:rPr>
      </w:pPr>
    </w:p>
    <w:p w:rsidRPr="002F615B" w:rsidR="003C4ED0" w:rsidP="004E77BF" w:rsidRDefault="003C4ED0" w14:paraId="305B8847" w14:textId="176B84DE">
      <w:pPr>
        <w:pStyle w:val="BodyText"/>
        <w:numPr>
          <w:ilvl w:val="0"/>
          <w:numId w:val="4"/>
        </w:numPr>
        <w:tabs>
          <w:tab w:val="clear" w:pos="1080"/>
        </w:tabs>
        <w:spacing w:line="240" w:lineRule="auto"/>
        <w:rPr>
          <w:rFonts w:ascii="Arial" w:hAnsi="Arial" w:cs="Arial"/>
          <w:sz w:val="24"/>
        </w:rPr>
      </w:pPr>
      <w:r w:rsidRPr="002F615B">
        <w:rPr>
          <w:rFonts w:ascii="Arial" w:hAnsi="Arial" w:cs="Arial"/>
          <w:i/>
          <w:sz w:val="24"/>
        </w:rPr>
        <w:t xml:space="preserve">Report </w:t>
      </w:r>
      <w:r w:rsidRPr="002F615B" w:rsidR="000910BD">
        <w:rPr>
          <w:rFonts w:ascii="Arial" w:hAnsi="Arial" w:cs="Arial"/>
          <w:i/>
          <w:sz w:val="24"/>
        </w:rPr>
        <w:t xml:space="preserve">Information </w:t>
      </w:r>
      <w:r w:rsidRPr="002F615B">
        <w:rPr>
          <w:rFonts w:ascii="Arial" w:hAnsi="Arial" w:cs="Arial"/>
          <w:i/>
          <w:sz w:val="24"/>
        </w:rPr>
        <w:t xml:space="preserve">More Often than </w:t>
      </w:r>
      <w:r w:rsidRPr="002F615B" w:rsidR="008D2F85">
        <w:rPr>
          <w:rFonts w:ascii="Arial" w:hAnsi="Arial" w:cs="Arial"/>
          <w:i/>
          <w:sz w:val="24"/>
        </w:rPr>
        <w:t>Quarterly</w:t>
      </w:r>
      <w:r w:rsidRPr="002F615B" w:rsidR="0043417B">
        <w:rPr>
          <w:rFonts w:ascii="Arial" w:hAnsi="Arial" w:cs="Arial"/>
          <w:sz w:val="24"/>
        </w:rPr>
        <w:t xml:space="preserve">. </w:t>
      </w:r>
      <w:r w:rsidRPr="002F615B">
        <w:rPr>
          <w:rFonts w:ascii="Arial" w:hAnsi="Arial" w:cs="Arial"/>
          <w:sz w:val="24"/>
        </w:rPr>
        <w:t xml:space="preserve">There are no circumstances that could result in the data needing to be collected more frequently than quarterly. The proposed schedule of data submission is </w:t>
      </w:r>
      <w:r w:rsidRPr="002F615B" w:rsidR="004B1462">
        <w:rPr>
          <w:rFonts w:ascii="Arial" w:hAnsi="Arial" w:cs="Arial"/>
          <w:sz w:val="24"/>
        </w:rPr>
        <w:t xml:space="preserve">twice </w:t>
      </w:r>
      <w:r w:rsidRPr="002F615B" w:rsidR="00D37CA8">
        <w:rPr>
          <w:rFonts w:ascii="Arial" w:hAnsi="Arial" w:cs="Arial"/>
          <w:sz w:val="24"/>
        </w:rPr>
        <w:t>per</w:t>
      </w:r>
      <w:r w:rsidRPr="002F615B">
        <w:rPr>
          <w:rFonts w:ascii="Arial" w:hAnsi="Arial" w:cs="Arial"/>
          <w:sz w:val="24"/>
        </w:rPr>
        <w:t xml:space="preserve"> year.</w:t>
      </w:r>
    </w:p>
    <w:p w:rsidRPr="002F615B" w:rsidR="003C4ED0" w:rsidP="004E77BF" w:rsidRDefault="003C4ED0" w14:paraId="4287E22F" w14:textId="5661E8FD">
      <w:pPr>
        <w:pStyle w:val="BodyText"/>
        <w:numPr>
          <w:ilvl w:val="0"/>
          <w:numId w:val="4"/>
        </w:numPr>
        <w:tabs>
          <w:tab w:val="clear" w:pos="1080"/>
        </w:tabs>
        <w:spacing w:line="240" w:lineRule="auto"/>
        <w:rPr>
          <w:rFonts w:ascii="Arial" w:hAnsi="Arial" w:cs="Arial"/>
          <w:sz w:val="24"/>
        </w:rPr>
      </w:pPr>
      <w:r w:rsidRPr="002F615B">
        <w:rPr>
          <w:rFonts w:ascii="Arial" w:hAnsi="Arial" w:cs="Arial"/>
          <w:i/>
          <w:sz w:val="24"/>
        </w:rPr>
        <w:t>Requiring Response in Less than 30 Days</w:t>
      </w:r>
      <w:r w:rsidRPr="002F615B">
        <w:rPr>
          <w:rFonts w:ascii="Arial" w:hAnsi="Arial" w:cs="Arial"/>
          <w:sz w:val="24"/>
        </w:rPr>
        <w:t xml:space="preserve">. There are no circumstances that could result in a </w:t>
      </w:r>
      <w:r w:rsidRPr="002F615B" w:rsidR="000E2FB3">
        <w:rPr>
          <w:rFonts w:ascii="Arial" w:hAnsi="Arial" w:cs="Arial"/>
          <w:sz w:val="24"/>
        </w:rPr>
        <w:t>state</w:t>
      </w:r>
      <w:r w:rsidRPr="002F615B">
        <w:rPr>
          <w:rFonts w:ascii="Arial" w:hAnsi="Arial" w:cs="Arial"/>
          <w:sz w:val="24"/>
        </w:rPr>
        <w:t xml:space="preserve"> needing to respond in less than 30</w:t>
      </w:r>
      <w:r w:rsidRPr="002F615B" w:rsidR="006C7B25">
        <w:rPr>
          <w:rFonts w:ascii="Arial" w:hAnsi="Arial" w:cs="Arial"/>
          <w:sz w:val="24"/>
        </w:rPr>
        <w:t xml:space="preserve"> </w:t>
      </w:r>
      <w:r w:rsidRPr="002F615B">
        <w:rPr>
          <w:rFonts w:ascii="Arial" w:hAnsi="Arial" w:cs="Arial"/>
          <w:sz w:val="24"/>
        </w:rPr>
        <w:t xml:space="preserve">days. </w:t>
      </w:r>
      <w:r w:rsidRPr="002F615B" w:rsidR="00FF6339">
        <w:rPr>
          <w:rFonts w:ascii="Arial" w:hAnsi="Arial" w:cs="Arial"/>
          <w:sz w:val="24"/>
        </w:rPr>
        <w:t>States</w:t>
      </w:r>
      <w:r w:rsidRPr="002F615B">
        <w:rPr>
          <w:rFonts w:ascii="Arial" w:hAnsi="Arial" w:cs="Arial"/>
          <w:sz w:val="24"/>
        </w:rPr>
        <w:t xml:space="preserve"> </w:t>
      </w:r>
      <w:r w:rsidRPr="002F615B" w:rsidR="0052305B">
        <w:rPr>
          <w:rFonts w:ascii="Arial" w:hAnsi="Arial" w:cs="Arial"/>
          <w:sz w:val="24"/>
        </w:rPr>
        <w:t xml:space="preserve">will </w:t>
      </w:r>
      <w:r w:rsidRPr="002F615B" w:rsidR="008D2F85">
        <w:rPr>
          <w:rFonts w:ascii="Arial" w:hAnsi="Arial" w:cs="Arial"/>
          <w:sz w:val="24"/>
        </w:rPr>
        <w:t xml:space="preserve">be </w:t>
      </w:r>
      <w:r w:rsidRPr="002F615B" w:rsidR="0052305B">
        <w:rPr>
          <w:rFonts w:ascii="Arial" w:hAnsi="Arial" w:cs="Arial"/>
          <w:sz w:val="24"/>
        </w:rPr>
        <w:t>formally notified</w:t>
      </w:r>
      <w:r w:rsidRPr="002F615B" w:rsidR="008D2F85">
        <w:rPr>
          <w:rFonts w:ascii="Arial" w:hAnsi="Arial" w:cs="Arial"/>
          <w:sz w:val="24"/>
        </w:rPr>
        <w:t xml:space="preserve"> of their reporting responsibilities when their grant cycle begins; therefore, grantees will have </w:t>
      </w:r>
      <w:r w:rsidRPr="002F615B" w:rsidR="004B1462">
        <w:rPr>
          <w:rFonts w:ascii="Arial" w:hAnsi="Arial" w:cs="Arial"/>
          <w:sz w:val="24"/>
        </w:rPr>
        <w:t>more than 6 months</w:t>
      </w:r>
      <w:r w:rsidRPr="002F615B" w:rsidR="008D2F85">
        <w:rPr>
          <w:rFonts w:ascii="Arial" w:hAnsi="Arial" w:cs="Arial"/>
          <w:sz w:val="24"/>
        </w:rPr>
        <w:t xml:space="preserve"> to respond</w:t>
      </w:r>
      <w:r w:rsidRPr="002F615B" w:rsidR="0052305B">
        <w:rPr>
          <w:rFonts w:ascii="Arial" w:hAnsi="Arial" w:cs="Arial"/>
          <w:sz w:val="24"/>
        </w:rPr>
        <w:t>.</w:t>
      </w:r>
      <w:r w:rsidRPr="002F615B" w:rsidR="00EC13E3">
        <w:rPr>
          <w:rFonts w:ascii="Arial" w:hAnsi="Arial" w:cs="Arial"/>
          <w:sz w:val="24"/>
        </w:rPr>
        <w:t xml:space="preserve"> </w:t>
      </w:r>
    </w:p>
    <w:p w:rsidRPr="002F615B" w:rsidR="005A3300" w:rsidP="004E77BF" w:rsidRDefault="003C4ED0" w14:paraId="71FD0F78" w14:textId="4003617F">
      <w:pPr>
        <w:pStyle w:val="BodyText"/>
        <w:numPr>
          <w:ilvl w:val="0"/>
          <w:numId w:val="4"/>
        </w:numPr>
        <w:tabs>
          <w:tab w:val="clear" w:pos="1080"/>
        </w:tabs>
        <w:spacing w:line="240" w:lineRule="auto"/>
        <w:rPr>
          <w:rFonts w:ascii="Arial" w:hAnsi="Arial" w:cs="Arial"/>
        </w:rPr>
      </w:pPr>
      <w:r w:rsidRPr="002F615B">
        <w:rPr>
          <w:rFonts w:ascii="Arial" w:hAnsi="Arial" w:cs="Arial"/>
          <w:i/>
          <w:sz w:val="24"/>
        </w:rPr>
        <w:t xml:space="preserve">Requiring Respondents to Submit More </w:t>
      </w:r>
      <w:r w:rsidRPr="002F615B" w:rsidR="00FF14B6">
        <w:rPr>
          <w:rFonts w:ascii="Arial" w:hAnsi="Arial" w:cs="Arial"/>
          <w:i/>
          <w:sz w:val="24"/>
        </w:rPr>
        <w:t>t</w:t>
      </w:r>
      <w:r w:rsidRPr="002F615B">
        <w:rPr>
          <w:rFonts w:ascii="Arial" w:hAnsi="Arial" w:cs="Arial"/>
          <w:i/>
          <w:sz w:val="24"/>
        </w:rPr>
        <w:t>han One Original and Two Copies.</w:t>
      </w:r>
      <w:r w:rsidRPr="002F615B">
        <w:rPr>
          <w:rFonts w:ascii="Arial" w:hAnsi="Arial" w:cs="Arial"/>
          <w:sz w:val="24"/>
        </w:rPr>
        <w:t xml:space="preserve"> </w:t>
      </w:r>
      <w:r w:rsidRPr="002F615B" w:rsidR="00A1173B">
        <w:rPr>
          <w:rFonts w:ascii="Arial" w:hAnsi="Arial" w:cs="Arial"/>
          <w:sz w:val="24"/>
          <w:szCs w:val="24"/>
        </w:rPr>
        <w:t xml:space="preserve">ACL plans to </w:t>
      </w:r>
      <w:r w:rsidRPr="002F615B" w:rsidR="008012CC">
        <w:rPr>
          <w:rFonts w:ascii="Arial" w:hAnsi="Arial" w:cs="Arial"/>
          <w:sz w:val="24"/>
          <w:szCs w:val="24"/>
        </w:rPr>
        <w:t xml:space="preserve">have grantees submit the </w:t>
      </w:r>
      <w:r w:rsidRPr="002F615B" w:rsidR="008012CC">
        <w:rPr>
          <w:rFonts w:ascii="Arial" w:hAnsi="Arial" w:cs="Arial"/>
          <w:sz w:val="24"/>
        </w:rPr>
        <w:t xml:space="preserve">Semiannual </w:t>
      </w:r>
      <w:r w:rsidRPr="002F615B" w:rsidR="008012CC">
        <w:rPr>
          <w:rFonts w:ascii="Arial" w:hAnsi="Arial" w:cs="Arial"/>
          <w:sz w:val="24"/>
          <w:szCs w:val="24"/>
        </w:rPr>
        <w:t>Performance Measures Report u</w:t>
      </w:r>
      <w:r w:rsidRPr="002F615B" w:rsidR="00A1173B">
        <w:rPr>
          <w:rFonts w:ascii="Arial" w:hAnsi="Arial" w:cs="Arial"/>
          <w:sz w:val="24"/>
          <w:szCs w:val="24"/>
        </w:rPr>
        <w:t>sing a web-based data collection system.</w:t>
      </w:r>
      <w:r w:rsidRPr="002F615B" w:rsidR="005A3300">
        <w:rPr>
          <w:rFonts w:ascii="Arial" w:hAnsi="Arial" w:cs="Arial"/>
        </w:rPr>
        <w:t xml:space="preserve"> </w:t>
      </w:r>
    </w:p>
    <w:p w:rsidRPr="002F615B" w:rsidR="003C4ED0" w:rsidP="004E77BF" w:rsidRDefault="003C4ED0" w14:paraId="14476C1A" w14:textId="77777777">
      <w:pPr>
        <w:pStyle w:val="BodyText"/>
        <w:numPr>
          <w:ilvl w:val="0"/>
          <w:numId w:val="4"/>
        </w:numPr>
        <w:tabs>
          <w:tab w:val="clear" w:pos="1080"/>
        </w:tabs>
        <w:spacing w:line="240" w:lineRule="auto"/>
        <w:rPr>
          <w:rFonts w:ascii="Arial" w:hAnsi="Arial" w:cs="Arial"/>
          <w:sz w:val="24"/>
        </w:rPr>
      </w:pPr>
      <w:r w:rsidRPr="002F615B">
        <w:rPr>
          <w:rFonts w:ascii="Arial" w:hAnsi="Arial" w:cs="Arial"/>
          <w:i/>
          <w:sz w:val="24"/>
        </w:rPr>
        <w:t>Requiring Respondents to Maintain Records for More than 3 Years.</w:t>
      </w:r>
      <w:r w:rsidRPr="002F615B">
        <w:rPr>
          <w:rFonts w:ascii="Arial" w:hAnsi="Arial" w:cs="Arial"/>
          <w:sz w:val="24"/>
        </w:rPr>
        <w:t xml:space="preserve"> Only data for a given </w:t>
      </w:r>
      <w:r w:rsidRPr="002F615B" w:rsidR="008D2F85">
        <w:rPr>
          <w:rFonts w:ascii="Arial" w:hAnsi="Arial" w:cs="Arial"/>
          <w:sz w:val="24"/>
        </w:rPr>
        <w:t>funding</w:t>
      </w:r>
      <w:r w:rsidRPr="002F615B">
        <w:rPr>
          <w:rFonts w:ascii="Arial" w:hAnsi="Arial" w:cs="Arial"/>
          <w:sz w:val="24"/>
        </w:rPr>
        <w:t xml:space="preserve"> year are required. </w:t>
      </w:r>
      <w:r w:rsidRPr="002F615B" w:rsidR="00D354E9">
        <w:rPr>
          <w:rFonts w:ascii="Arial" w:hAnsi="Arial" w:cs="Arial"/>
          <w:sz w:val="24"/>
        </w:rPr>
        <w:t>Because</w:t>
      </w:r>
      <w:r w:rsidRPr="002F615B">
        <w:rPr>
          <w:rFonts w:ascii="Arial" w:hAnsi="Arial" w:cs="Arial"/>
          <w:sz w:val="24"/>
        </w:rPr>
        <w:t xml:space="preserve"> </w:t>
      </w:r>
      <w:r w:rsidRPr="002F615B" w:rsidR="000E2FB3">
        <w:rPr>
          <w:rFonts w:ascii="Arial" w:hAnsi="Arial" w:cs="Arial"/>
          <w:sz w:val="24"/>
        </w:rPr>
        <w:t>state</w:t>
      </w:r>
      <w:r w:rsidRPr="002F615B">
        <w:rPr>
          <w:rFonts w:ascii="Arial" w:hAnsi="Arial" w:cs="Arial"/>
          <w:sz w:val="24"/>
        </w:rPr>
        <w:t xml:space="preserve">s </w:t>
      </w:r>
      <w:r w:rsidRPr="002F615B" w:rsidR="000910BD">
        <w:rPr>
          <w:rFonts w:ascii="Arial" w:hAnsi="Arial" w:cs="Arial"/>
          <w:sz w:val="24"/>
        </w:rPr>
        <w:t xml:space="preserve">extract data from </w:t>
      </w:r>
      <w:r w:rsidRPr="002F615B">
        <w:rPr>
          <w:rFonts w:ascii="Arial" w:hAnsi="Arial" w:cs="Arial"/>
          <w:sz w:val="24"/>
        </w:rPr>
        <w:t xml:space="preserve">their administrative databases, their source data </w:t>
      </w:r>
      <w:r w:rsidRPr="002F615B" w:rsidR="000910BD">
        <w:rPr>
          <w:rFonts w:ascii="Arial" w:hAnsi="Arial" w:cs="Arial"/>
          <w:sz w:val="24"/>
        </w:rPr>
        <w:t>are</w:t>
      </w:r>
      <w:r w:rsidRPr="002F615B">
        <w:rPr>
          <w:rFonts w:ascii="Arial" w:hAnsi="Arial" w:cs="Arial"/>
          <w:sz w:val="24"/>
        </w:rPr>
        <w:t xml:space="preserve"> maintained for </w:t>
      </w:r>
      <w:r w:rsidRPr="002F615B" w:rsidR="000E2FB3">
        <w:rPr>
          <w:rFonts w:ascii="Arial" w:hAnsi="Arial" w:cs="Arial"/>
          <w:sz w:val="24"/>
        </w:rPr>
        <w:t>state</w:t>
      </w:r>
      <w:r w:rsidRPr="002F615B">
        <w:rPr>
          <w:rFonts w:ascii="Arial" w:hAnsi="Arial" w:cs="Arial"/>
          <w:sz w:val="24"/>
        </w:rPr>
        <w:t xml:space="preserve"> purposes. </w:t>
      </w:r>
      <w:r w:rsidRPr="002F615B" w:rsidR="001217C0">
        <w:rPr>
          <w:rFonts w:ascii="Arial" w:hAnsi="Arial" w:cs="Arial"/>
          <w:sz w:val="24"/>
        </w:rPr>
        <w:t>ACL</w:t>
      </w:r>
      <w:r w:rsidRPr="002F615B" w:rsidR="0052305B">
        <w:rPr>
          <w:rFonts w:ascii="Arial" w:hAnsi="Arial" w:cs="Arial"/>
          <w:sz w:val="24"/>
        </w:rPr>
        <w:t xml:space="preserve"> will archive </w:t>
      </w:r>
      <w:r w:rsidRPr="002F615B">
        <w:rPr>
          <w:rFonts w:ascii="Arial" w:hAnsi="Arial" w:cs="Arial"/>
          <w:sz w:val="24"/>
        </w:rPr>
        <w:t xml:space="preserve">each </w:t>
      </w:r>
      <w:r w:rsidRPr="002F615B" w:rsidR="000E2FB3">
        <w:rPr>
          <w:rFonts w:ascii="Arial" w:hAnsi="Arial" w:cs="Arial"/>
          <w:sz w:val="24"/>
        </w:rPr>
        <w:t>state</w:t>
      </w:r>
      <w:r w:rsidRPr="002F615B">
        <w:rPr>
          <w:rFonts w:ascii="Arial" w:hAnsi="Arial" w:cs="Arial"/>
          <w:sz w:val="24"/>
        </w:rPr>
        <w:t xml:space="preserve">’s submission and </w:t>
      </w:r>
      <w:r w:rsidRPr="002F615B" w:rsidR="0052305B">
        <w:rPr>
          <w:rFonts w:ascii="Arial" w:hAnsi="Arial" w:cs="Arial"/>
          <w:sz w:val="24"/>
        </w:rPr>
        <w:t>will</w:t>
      </w:r>
      <w:r w:rsidRPr="002F615B">
        <w:rPr>
          <w:rFonts w:ascii="Arial" w:hAnsi="Arial" w:cs="Arial"/>
          <w:sz w:val="24"/>
        </w:rPr>
        <w:t xml:space="preserve"> provide the </w:t>
      </w:r>
      <w:r w:rsidRPr="002F615B" w:rsidR="000E2FB3">
        <w:rPr>
          <w:rFonts w:ascii="Arial" w:hAnsi="Arial" w:cs="Arial"/>
          <w:sz w:val="24"/>
        </w:rPr>
        <w:t>state</w:t>
      </w:r>
      <w:r w:rsidRPr="002F615B">
        <w:rPr>
          <w:rFonts w:ascii="Arial" w:hAnsi="Arial" w:cs="Arial"/>
          <w:sz w:val="24"/>
        </w:rPr>
        <w:t xml:space="preserve"> with </w:t>
      </w:r>
      <w:r w:rsidRPr="002F615B" w:rsidR="00FF14B6">
        <w:rPr>
          <w:rFonts w:ascii="Arial" w:hAnsi="Arial" w:cs="Arial"/>
          <w:sz w:val="24"/>
        </w:rPr>
        <w:t xml:space="preserve">prior </w:t>
      </w:r>
      <w:r w:rsidRPr="002F615B">
        <w:rPr>
          <w:rFonts w:ascii="Arial" w:hAnsi="Arial" w:cs="Arial"/>
          <w:sz w:val="24"/>
        </w:rPr>
        <w:t>data submission</w:t>
      </w:r>
      <w:r w:rsidRPr="002F615B" w:rsidR="00133F7F">
        <w:rPr>
          <w:rFonts w:ascii="Arial" w:hAnsi="Arial" w:cs="Arial"/>
          <w:sz w:val="24"/>
        </w:rPr>
        <w:t>s</w:t>
      </w:r>
      <w:r w:rsidRPr="002F615B">
        <w:rPr>
          <w:rFonts w:ascii="Arial" w:hAnsi="Arial" w:cs="Arial"/>
          <w:sz w:val="24"/>
        </w:rPr>
        <w:t xml:space="preserve">, </w:t>
      </w:r>
      <w:r w:rsidRPr="002F615B" w:rsidR="00133F7F">
        <w:rPr>
          <w:rFonts w:ascii="Arial" w:hAnsi="Arial" w:cs="Arial"/>
          <w:sz w:val="24"/>
        </w:rPr>
        <w:t>as</w:t>
      </w:r>
      <w:r w:rsidRPr="002F615B">
        <w:rPr>
          <w:rFonts w:ascii="Arial" w:hAnsi="Arial" w:cs="Arial"/>
          <w:sz w:val="24"/>
        </w:rPr>
        <w:t xml:space="preserve"> needed.</w:t>
      </w:r>
      <w:r w:rsidRPr="002F615B" w:rsidR="000910BD">
        <w:rPr>
          <w:rFonts w:ascii="Arial" w:hAnsi="Arial" w:cs="Arial"/>
          <w:sz w:val="24"/>
        </w:rPr>
        <w:t xml:space="preserve"> </w:t>
      </w:r>
      <w:r w:rsidRPr="002F615B" w:rsidR="00FC2675">
        <w:rPr>
          <w:rFonts w:ascii="Arial" w:hAnsi="Arial" w:cs="Arial"/>
          <w:sz w:val="24"/>
        </w:rPr>
        <w:t>States</w:t>
      </w:r>
      <w:r w:rsidRPr="002F615B" w:rsidR="000910BD">
        <w:rPr>
          <w:rFonts w:ascii="Arial" w:hAnsi="Arial" w:cs="Arial"/>
          <w:sz w:val="24"/>
        </w:rPr>
        <w:t xml:space="preserve"> </w:t>
      </w:r>
      <w:r w:rsidRPr="002F615B" w:rsidR="00133F7F">
        <w:rPr>
          <w:rFonts w:ascii="Arial" w:hAnsi="Arial" w:cs="Arial"/>
          <w:sz w:val="24"/>
        </w:rPr>
        <w:t xml:space="preserve">will not </w:t>
      </w:r>
      <w:r w:rsidRPr="002F615B" w:rsidR="000910BD">
        <w:rPr>
          <w:rFonts w:ascii="Arial" w:hAnsi="Arial" w:cs="Arial"/>
          <w:sz w:val="24"/>
        </w:rPr>
        <w:t xml:space="preserve">need to retain their submissions. </w:t>
      </w:r>
    </w:p>
    <w:p w:rsidRPr="002F615B" w:rsidR="003C4ED0" w:rsidP="004E77BF" w:rsidRDefault="003C4ED0" w14:paraId="130ADE84" w14:textId="77777777">
      <w:pPr>
        <w:pStyle w:val="BodyText"/>
        <w:numPr>
          <w:ilvl w:val="0"/>
          <w:numId w:val="4"/>
        </w:numPr>
        <w:tabs>
          <w:tab w:val="clear" w:pos="1080"/>
        </w:tabs>
        <w:spacing w:line="240" w:lineRule="auto"/>
        <w:rPr>
          <w:rFonts w:ascii="Arial" w:hAnsi="Arial" w:cs="Arial"/>
          <w:sz w:val="24"/>
        </w:rPr>
      </w:pPr>
      <w:r w:rsidRPr="002F615B">
        <w:rPr>
          <w:rFonts w:ascii="Arial" w:hAnsi="Arial" w:cs="Arial"/>
          <w:i/>
          <w:sz w:val="24"/>
        </w:rPr>
        <w:t>In Connection with a Statistical Survey.</w:t>
      </w:r>
      <w:r w:rsidRPr="002F615B">
        <w:rPr>
          <w:rFonts w:ascii="Arial" w:hAnsi="Arial" w:cs="Arial"/>
          <w:sz w:val="24"/>
        </w:rPr>
        <w:t xml:space="preserve"> These data are not collected as part of a statistical survey.</w:t>
      </w:r>
    </w:p>
    <w:p w:rsidRPr="002F615B" w:rsidR="003C4ED0" w:rsidP="004E77BF" w:rsidRDefault="003C4ED0" w14:paraId="230722DB" w14:textId="77777777">
      <w:pPr>
        <w:pStyle w:val="BodyText"/>
        <w:numPr>
          <w:ilvl w:val="0"/>
          <w:numId w:val="4"/>
        </w:numPr>
        <w:tabs>
          <w:tab w:val="clear" w:pos="1080"/>
        </w:tabs>
        <w:spacing w:line="240" w:lineRule="auto"/>
        <w:rPr>
          <w:rFonts w:ascii="Arial" w:hAnsi="Arial" w:cs="Arial"/>
          <w:sz w:val="24"/>
        </w:rPr>
      </w:pPr>
      <w:r w:rsidRPr="002F615B">
        <w:rPr>
          <w:rFonts w:ascii="Arial" w:hAnsi="Arial" w:cs="Arial"/>
          <w:i/>
          <w:sz w:val="24"/>
        </w:rPr>
        <w:t xml:space="preserve">Use of a Statistical Data Classification </w:t>
      </w:r>
      <w:r w:rsidRPr="002F615B" w:rsidR="00FF14B6">
        <w:rPr>
          <w:rFonts w:ascii="Arial" w:hAnsi="Arial" w:cs="Arial"/>
          <w:i/>
          <w:sz w:val="24"/>
        </w:rPr>
        <w:t>t</w:t>
      </w:r>
      <w:r w:rsidRPr="002F615B">
        <w:rPr>
          <w:rFonts w:ascii="Arial" w:hAnsi="Arial" w:cs="Arial"/>
          <w:i/>
          <w:sz w:val="24"/>
        </w:rPr>
        <w:t>hat Has Not Been Approved by OMB.</w:t>
      </w:r>
      <w:r w:rsidRPr="002F615B">
        <w:rPr>
          <w:rFonts w:ascii="Arial" w:hAnsi="Arial" w:cs="Arial"/>
          <w:sz w:val="24"/>
        </w:rPr>
        <w:t xml:space="preserve"> This data collection does not require the use of statistical data collection.</w:t>
      </w:r>
    </w:p>
    <w:p w:rsidRPr="002F615B" w:rsidR="00133F7F" w:rsidP="004E77BF" w:rsidRDefault="003C4ED0" w14:paraId="63D0E82C" w14:textId="7FE55939">
      <w:pPr>
        <w:pStyle w:val="BodyText"/>
        <w:numPr>
          <w:ilvl w:val="0"/>
          <w:numId w:val="4"/>
        </w:numPr>
        <w:tabs>
          <w:tab w:val="clear" w:pos="1080"/>
        </w:tabs>
        <w:spacing w:line="240" w:lineRule="auto"/>
        <w:rPr>
          <w:rFonts w:ascii="Arial" w:hAnsi="Arial" w:cs="Arial"/>
          <w:sz w:val="24"/>
        </w:rPr>
      </w:pPr>
      <w:r w:rsidRPr="002F615B">
        <w:rPr>
          <w:rFonts w:ascii="Arial" w:hAnsi="Arial" w:cs="Arial"/>
          <w:i/>
          <w:sz w:val="24"/>
        </w:rPr>
        <w:t>Pledge of Confidentiality.</w:t>
      </w:r>
      <w:r w:rsidRPr="002F615B">
        <w:rPr>
          <w:rFonts w:ascii="Arial" w:hAnsi="Arial" w:cs="Arial"/>
          <w:sz w:val="24"/>
        </w:rPr>
        <w:t xml:space="preserve"> No actual case or individual identifiers </w:t>
      </w:r>
      <w:r w:rsidRPr="002F615B" w:rsidR="00133F7F">
        <w:rPr>
          <w:rFonts w:ascii="Arial" w:hAnsi="Arial" w:cs="Arial"/>
          <w:sz w:val="24"/>
        </w:rPr>
        <w:t>will be</w:t>
      </w:r>
      <w:r w:rsidRPr="002F615B">
        <w:rPr>
          <w:rFonts w:ascii="Arial" w:hAnsi="Arial" w:cs="Arial"/>
          <w:sz w:val="24"/>
        </w:rPr>
        <w:t xml:space="preserve"> submitted. No </w:t>
      </w:r>
      <w:r w:rsidRPr="002F615B" w:rsidR="000910BD">
        <w:rPr>
          <w:rFonts w:ascii="Arial" w:hAnsi="Arial" w:cs="Arial"/>
          <w:sz w:val="24"/>
        </w:rPr>
        <w:t>identifying d</w:t>
      </w:r>
      <w:r w:rsidRPr="002F615B">
        <w:rPr>
          <w:rFonts w:ascii="Arial" w:hAnsi="Arial" w:cs="Arial"/>
          <w:sz w:val="24"/>
        </w:rPr>
        <w:t>ata</w:t>
      </w:r>
      <w:r w:rsidRPr="002F615B" w:rsidR="004B1462">
        <w:rPr>
          <w:rFonts w:ascii="Arial" w:hAnsi="Arial" w:cs="Arial"/>
          <w:sz w:val="24"/>
        </w:rPr>
        <w:t xml:space="preserve"> (</w:t>
      </w:r>
      <w:r w:rsidRPr="002F615B" w:rsidR="004B1462">
        <w:rPr>
          <w:rFonts w:ascii="Arial" w:hAnsi="Arial" w:cs="Arial"/>
          <w:i/>
          <w:sz w:val="24"/>
        </w:rPr>
        <w:t>e.g.</w:t>
      </w:r>
      <w:r w:rsidRPr="002F615B" w:rsidR="004B1462">
        <w:rPr>
          <w:rFonts w:ascii="Arial" w:hAnsi="Arial" w:cs="Arial"/>
          <w:sz w:val="24"/>
        </w:rPr>
        <w:t xml:space="preserve">, </w:t>
      </w:r>
      <w:r w:rsidRPr="002F615B">
        <w:rPr>
          <w:rFonts w:ascii="Arial" w:hAnsi="Arial" w:cs="Arial"/>
          <w:sz w:val="24"/>
        </w:rPr>
        <w:t>nam</w:t>
      </w:r>
      <w:r w:rsidRPr="002F615B" w:rsidR="001430EC">
        <w:rPr>
          <w:rFonts w:ascii="Arial" w:hAnsi="Arial" w:cs="Arial"/>
          <w:sz w:val="24"/>
        </w:rPr>
        <w:t>e, address, Social Security n</w:t>
      </w:r>
      <w:r w:rsidRPr="002F615B">
        <w:rPr>
          <w:rFonts w:ascii="Arial" w:hAnsi="Arial" w:cs="Arial"/>
          <w:sz w:val="24"/>
        </w:rPr>
        <w:t>umbe</w:t>
      </w:r>
      <w:r w:rsidRPr="002F615B" w:rsidR="001430EC">
        <w:rPr>
          <w:rFonts w:ascii="Arial" w:hAnsi="Arial" w:cs="Arial"/>
          <w:sz w:val="24"/>
        </w:rPr>
        <w:t>r</w:t>
      </w:r>
      <w:r w:rsidRPr="002F615B" w:rsidR="004B1462">
        <w:rPr>
          <w:rFonts w:ascii="Arial" w:hAnsi="Arial" w:cs="Arial"/>
          <w:sz w:val="24"/>
        </w:rPr>
        <w:t>)</w:t>
      </w:r>
      <w:r w:rsidRPr="002F615B" w:rsidR="001430EC">
        <w:rPr>
          <w:rFonts w:ascii="Arial" w:hAnsi="Arial" w:cs="Arial"/>
          <w:sz w:val="24"/>
        </w:rPr>
        <w:t xml:space="preserve"> </w:t>
      </w:r>
      <w:r w:rsidRPr="002F615B" w:rsidR="00133F7F">
        <w:rPr>
          <w:rFonts w:ascii="Arial" w:hAnsi="Arial" w:cs="Arial"/>
          <w:sz w:val="24"/>
        </w:rPr>
        <w:t xml:space="preserve">will be </w:t>
      </w:r>
      <w:r w:rsidRPr="002F615B" w:rsidR="001430EC">
        <w:rPr>
          <w:rFonts w:ascii="Arial" w:hAnsi="Arial" w:cs="Arial"/>
          <w:sz w:val="24"/>
        </w:rPr>
        <w:t xml:space="preserve">collected. </w:t>
      </w:r>
    </w:p>
    <w:p w:rsidRPr="002F615B" w:rsidR="003C4ED0" w:rsidP="004E77BF" w:rsidRDefault="003C4ED0" w14:paraId="6067DE29" w14:textId="1C9CD9EB">
      <w:pPr>
        <w:pStyle w:val="BodyText"/>
        <w:numPr>
          <w:ilvl w:val="0"/>
          <w:numId w:val="4"/>
        </w:numPr>
        <w:tabs>
          <w:tab w:val="clear" w:pos="1080"/>
        </w:tabs>
        <w:spacing w:line="240" w:lineRule="auto"/>
        <w:rPr>
          <w:rFonts w:ascii="Arial" w:hAnsi="Arial" w:cs="Arial"/>
          <w:sz w:val="24"/>
        </w:rPr>
      </w:pPr>
      <w:r w:rsidRPr="002F615B">
        <w:rPr>
          <w:rFonts w:ascii="Arial" w:hAnsi="Arial" w:cs="Arial"/>
          <w:i/>
          <w:sz w:val="24"/>
        </w:rPr>
        <w:t>Requiring Respondents to Submit Trade Secrets or Other Confidential Information.</w:t>
      </w:r>
      <w:r w:rsidRPr="002F615B">
        <w:rPr>
          <w:rFonts w:ascii="Arial" w:hAnsi="Arial" w:cs="Arial"/>
          <w:sz w:val="24"/>
        </w:rPr>
        <w:t xml:space="preserve"> The </w:t>
      </w:r>
      <w:r w:rsidRPr="002F615B" w:rsidR="00614DD6">
        <w:rPr>
          <w:rFonts w:ascii="Arial" w:hAnsi="Arial" w:cs="Arial"/>
          <w:sz w:val="24"/>
        </w:rPr>
        <w:t>Semia</w:t>
      </w:r>
      <w:r w:rsidRPr="002F615B" w:rsidR="001217C0">
        <w:rPr>
          <w:rFonts w:ascii="Arial" w:hAnsi="Arial" w:cs="Arial"/>
          <w:sz w:val="24"/>
        </w:rPr>
        <w:t xml:space="preserve">nnual Performance Measures Report </w:t>
      </w:r>
      <w:r w:rsidRPr="002F615B" w:rsidR="00133F7F">
        <w:rPr>
          <w:rFonts w:ascii="Arial" w:hAnsi="Arial" w:cs="Arial"/>
          <w:sz w:val="24"/>
        </w:rPr>
        <w:t>will not c</w:t>
      </w:r>
      <w:r w:rsidRPr="002F615B">
        <w:rPr>
          <w:rFonts w:ascii="Arial" w:hAnsi="Arial" w:cs="Arial"/>
          <w:sz w:val="24"/>
        </w:rPr>
        <w:t xml:space="preserve">ollect any data related to trade secrets. No identifying data on any individual </w:t>
      </w:r>
      <w:r w:rsidRPr="002F615B" w:rsidR="00133F7F">
        <w:rPr>
          <w:rFonts w:ascii="Arial" w:hAnsi="Arial" w:cs="Arial"/>
          <w:sz w:val="24"/>
        </w:rPr>
        <w:t>will be</w:t>
      </w:r>
      <w:r w:rsidRPr="002F615B">
        <w:rPr>
          <w:rFonts w:ascii="Arial" w:hAnsi="Arial" w:cs="Arial"/>
          <w:sz w:val="24"/>
        </w:rPr>
        <w:t xml:space="preserve"> collected. </w:t>
      </w:r>
    </w:p>
    <w:p w:rsidRPr="002F615B" w:rsidR="00C06990" w:rsidP="004E77BF" w:rsidRDefault="00C06990" w14:paraId="0BC2C69B" w14:textId="77777777">
      <w:pPr>
        <w:pStyle w:val="Heading3"/>
        <w:spacing w:before="0" w:after="0"/>
        <w:ind w:left="360"/>
        <w:rPr>
          <w:b w:val="0"/>
          <w:sz w:val="24"/>
          <w:szCs w:val="24"/>
        </w:rPr>
      </w:pPr>
    </w:p>
    <w:p w:rsidRPr="002F615B" w:rsidR="00484861" w:rsidP="004E77BF" w:rsidRDefault="00D4096D" w14:paraId="4A49D783" w14:textId="4860C9BD">
      <w:pPr>
        <w:pStyle w:val="Heading3"/>
        <w:spacing w:before="0" w:after="0"/>
        <w:ind w:left="360"/>
        <w:rPr>
          <w:b w:val="0"/>
          <w:sz w:val="24"/>
          <w:szCs w:val="24"/>
        </w:rPr>
      </w:pPr>
      <w:r w:rsidRPr="002F615B">
        <w:rPr>
          <w:b w:val="0"/>
          <w:sz w:val="24"/>
          <w:szCs w:val="24"/>
        </w:rPr>
        <w:t>A Privacy Act “system of records” is defined as “a group of any records under the control of any agency from which information is retrieved by the name of the individual or by some identifying number, symbol, or other identifying particular assigned to the individual</w:t>
      </w:r>
      <w:r w:rsidRPr="002F615B" w:rsidR="00F63B88">
        <w:rPr>
          <w:b w:val="0"/>
          <w:sz w:val="24"/>
          <w:szCs w:val="24"/>
        </w:rPr>
        <w:t>” (The Privacy Act of 1974,</w:t>
      </w:r>
      <w:r w:rsidRPr="002F615B" w:rsidR="00A90DD1">
        <w:rPr>
          <w:b w:val="0"/>
          <w:sz w:val="24"/>
          <w:szCs w:val="24"/>
        </w:rPr>
        <w:t xml:space="preserve"> </w:t>
      </w:r>
      <w:r w:rsidRPr="002F615B" w:rsidR="00F63B88">
        <w:rPr>
          <w:b w:val="0"/>
          <w:sz w:val="24"/>
          <w:szCs w:val="24"/>
        </w:rPr>
        <w:t>5 U.S.C. § 552a).</w:t>
      </w:r>
      <w:r w:rsidRPr="002F615B" w:rsidR="00374D98">
        <w:rPr>
          <w:b w:val="0"/>
          <w:sz w:val="24"/>
          <w:szCs w:val="24"/>
        </w:rPr>
        <w:t xml:space="preserve"> </w:t>
      </w:r>
      <w:r w:rsidRPr="002F615B" w:rsidR="001217C0">
        <w:rPr>
          <w:b w:val="0"/>
          <w:sz w:val="24"/>
          <w:szCs w:val="24"/>
        </w:rPr>
        <w:t xml:space="preserve">The TBI </w:t>
      </w:r>
      <w:r w:rsidRPr="002F615B" w:rsidR="00614DD6">
        <w:rPr>
          <w:b w:val="0"/>
          <w:sz w:val="24"/>
        </w:rPr>
        <w:t>Semia</w:t>
      </w:r>
      <w:r w:rsidRPr="002F615B" w:rsidR="001217C0">
        <w:rPr>
          <w:b w:val="0"/>
          <w:sz w:val="24"/>
        </w:rPr>
        <w:t>nnual Performance Measures Report</w:t>
      </w:r>
      <w:r w:rsidRPr="002F615B">
        <w:rPr>
          <w:b w:val="0"/>
          <w:sz w:val="24"/>
          <w:szCs w:val="24"/>
        </w:rPr>
        <w:t xml:space="preserve"> does not fall under Privacy Act system of records requirements. No identifiable data </w:t>
      </w:r>
      <w:r w:rsidRPr="002F615B" w:rsidR="00133F7F">
        <w:rPr>
          <w:b w:val="0"/>
          <w:sz w:val="24"/>
          <w:szCs w:val="24"/>
        </w:rPr>
        <w:t xml:space="preserve">will be </w:t>
      </w:r>
      <w:r w:rsidRPr="002F615B">
        <w:rPr>
          <w:b w:val="0"/>
          <w:sz w:val="24"/>
          <w:szCs w:val="24"/>
        </w:rPr>
        <w:t>collected or maintained.</w:t>
      </w:r>
    </w:p>
    <w:p w:rsidRPr="002F615B" w:rsidR="00C06990" w:rsidP="004E77BF" w:rsidRDefault="00C06990" w14:paraId="0DDDA711" w14:textId="587F7105">
      <w:pPr>
        <w:rPr>
          <w:rFonts w:ascii="Arial" w:hAnsi="Arial" w:cs="Arial"/>
          <w:sz w:val="28"/>
        </w:rPr>
      </w:pPr>
    </w:p>
    <w:p w:rsidRPr="002F615B" w:rsidR="00FC2675" w:rsidP="00CD0A09" w:rsidRDefault="009E1F12" w14:paraId="0B5EEEED" w14:textId="0A35EC39">
      <w:pPr>
        <w:pStyle w:val="Heading3"/>
        <w:numPr>
          <w:ilvl w:val="0"/>
          <w:numId w:val="26"/>
        </w:numPr>
        <w:spacing w:before="0" w:after="0"/>
        <w:rPr>
          <w:sz w:val="24"/>
        </w:rPr>
      </w:pPr>
      <w:r w:rsidRPr="002F615B">
        <w:rPr>
          <w:sz w:val="24"/>
        </w:rPr>
        <w:t>Comments in Response to the Federal Register Notice and Efforts to Consult Outside the Agency</w:t>
      </w:r>
      <w:r w:rsidRPr="002F615B" w:rsidR="00072B90">
        <w:rPr>
          <w:sz w:val="24"/>
        </w:rPr>
        <w:t xml:space="preserve"> </w:t>
      </w:r>
    </w:p>
    <w:p w:rsidRPr="002F615B" w:rsidR="0092785B" w:rsidP="004E77BF" w:rsidRDefault="0092785B" w14:paraId="3CAA0DA9" w14:textId="77777777">
      <w:pPr>
        <w:pStyle w:val="Heading3"/>
        <w:spacing w:before="0" w:after="0"/>
        <w:ind w:left="360"/>
        <w:rPr>
          <w:b w:val="0"/>
          <w:sz w:val="24"/>
          <w:szCs w:val="24"/>
        </w:rPr>
      </w:pPr>
    </w:p>
    <w:p w:rsidRPr="00333ACE" w:rsidR="00333ACE" w:rsidP="00333ACE" w:rsidRDefault="00333ACE" w14:paraId="573D513A" w14:textId="110FD685">
      <w:pPr>
        <w:pStyle w:val="Heading3"/>
        <w:ind w:left="360"/>
        <w:rPr>
          <w:b w:val="0"/>
          <w:sz w:val="24"/>
          <w:szCs w:val="24"/>
        </w:rPr>
      </w:pPr>
      <w:r>
        <w:rPr>
          <w:b w:val="0"/>
          <w:sz w:val="24"/>
          <w:szCs w:val="24"/>
        </w:rPr>
        <w:t xml:space="preserve">ACL </w:t>
      </w:r>
      <w:r w:rsidRPr="00333ACE">
        <w:rPr>
          <w:b w:val="0"/>
          <w:sz w:val="24"/>
          <w:szCs w:val="24"/>
        </w:rPr>
        <w:t xml:space="preserve">published a 60-day Federal Register Notice from 11/13/2017-01/12/2018 (Vol. 82, No.217 pp. 52305-52306).  ACL received a large volume of substantive stakeholder comments, causing revisions to the IC based on those public comments.  The period in publication between the 60-day FRN and 30-day FRN, </w:t>
      </w:r>
      <w:r w:rsidRPr="00333ACE">
        <w:rPr>
          <w:b w:val="0"/>
          <w:sz w:val="24"/>
          <w:szCs w:val="24"/>
        </w:rPr>
        <w:lastRenderedPageBreak/>
        <w:t xml:space="preserve">allowed ACL to thoughtfully review and apply the significant number of substantive public comments to the proposed new TBI IC. </w:t>
      </w:r>
    </w:p>
    <w:p w:rsidR="00333ACE" w:rsidP="004E77BF" w:rsidRDefault="00333ACE" w14:paraId="541AE8A2" w14:textId="77777777">
      <w:pPr>
        <w:pStyle w:val="Heading3"/>
        <w:spacing w:before="0" w:after="0"/>
        <w:ind w:left="360"/>
        <w:rPr>
          <w:b w:val="0"/>
          <w:sz w:val="24"/>
          <w:szCs w:val="24"/>
        </w:rPr>
      </w:pPr>
    </w:p>
    <w:p w:rsidRPr="002F615B" w:rsidR="00AD49C9" w:rsidP="004E77BF" w:rsidRDefault="00846F12" w14:paraId="746BB90B" w14:textId="159846CC">
      <w:pPr>
        <w:pStyle w:val="Heading3"/>
        <w:spacing w:before="0" w:after="0"/>
        <w:ind w:left="360"/>
        <w:rPr>
          <w:b w:val="0"/>
          <w:sz w:val="24"/>
          <w:szCs w:val="24"/>
        </w:rPr>
      </w:pPr>
      <w:r>
        <w:rPr>
          <w:b w:val="0"/>
          <w:sz w:val="24"/>
          <w:szCs w:val="24"/>
        </w:rPr>
        <w:t>In response to the original federal register notice in 2018, t</w:t>
      </w:r>
      <w:r w:rsidR="004E77BF">
        <w:rPr>
          <w:b w:val="0"/>
          <w:sz w:val="24"/>
          <w:szCs w:val="24"/>
        </w:rPr>
        <w:t>wenty-</w:t>
      </w:r>
      <w:r w:rsidRPr="002F615B" w:rsidR="00AD49C9">
        <w:rPr>
          <w:b w:val="0"/>
          <w:sz w:val="24"/>
          <w:szCs w:val="24"/>
        </w:rPr>
        <w:t xml:space="preserve">three (23) individuals provided written comments in response to the federal register notice containing the </w:t>
      </w:r>
      <w:r w:rsidRPr="002F615B" w:rsidR="00FF4F4C">
        <w:rPr>
          <w:b w:val="0"/>
          <w:sz w:val="24"/>
          <w:szCs w:val="24"/>
        </w:rPr>
        <w:t xml:space="preserve">original </w:t>
      </w:r>
      <w:r w:rsidRPr="002F615B" w:rsidR="00AD49C9">
        <w:rPr>
          <w:b w:val="0"/>
          <w:sz w:val="24"/>
          <w:szCs w:val="24"/>
        </w:rPr>
        <w:t>proposed TBI Performance Measures, presented in the form of a reporting instrument for future TBI grantees. Commenters provided feedback on specific reporting instrument questions as well as general suggestions and recommendations for ACL about what grantees should report.</w:t>
      </w:r>
    </w:p>
    <w:p w:rsidRPr="002F615B" w:rsidR="00AD49C9" w:rsidP="004E77BF" w:rsidRDefault="00AD49C9" w14:paraId="63A6C505" w14:textId="77777777">
      <w:pPr>
        <w:pStyle w:val="Heading3"/>
        <w:numPr>
          <w:ilvl w:val="0"/>
          <w:numId w:val="24"/>
        </w:numPr>
        <w:spacing w:before="0" w:after="0"/>
        <w:rPr>
          <w:b w:val="0"/>
          <w:sz w:val="24"/>
          <w:szCs w:val="24"/>
        </w:rPr>
      </w:pPr>
      <w:r w:rsidRPr="002F615B">
        <w:rPr>
          <w:b w:val="0"/>
          <w:sz w:val="24"/>
          <w:szCs w:val="24"/>
        </w:rPr>
        <w:t xml:space="preserve">268 separate comments were made about one or more specific survey questions. </w:t>
      </w:r>
    </w:p>
    <w:p w:rsidRPr="002F615B" w:rsidR="00AD49C9" w:rsidP="004E77BF" w:rsidRDefault="00AD49C9" w14:paraId="0FE12B8F" w14:textId="420B9738">
      <w:pPr>
        <w:pStyle w:val="Heading3"/>
        <w:numPr>
          <w:ilvl w:val="0"/>
          <w:numId w:val="24"/>
        </w:numPr>
        <w:spacing w:before="0" w:after="0"/>
        <w:rPr>
          <w:b w:val="0"/>
          <w:sz w:val="24"/>
          <w:szCs w:val="24"/>
        </w:rPr>
      </w:pPr>
      <w:r w:rsidRPr="002F615B">
        <w:rPr>
          <w:b w:val="0"/>
          <w:sz w:val="24"/>
          <w:szCs w:val="24"/>
        </w:rPr>
        <w:t xml:space="preserve">102 separate comments asked for a definition, further </w:t>
      </w:r>
      <w:r w:rsidRPr="002F615B" w:rsidR="004E77BF">
        <w:rPr>
          <w:b w:val="0"/>
          <w:sz w:val="24"/>
          <w:szCs w:val="24"/>
        </w:rPr>
        <w:t>guidance,</w:t>
      </w:r>
      <w:r w:rsidRPr="002F615B">
        <w:rPr>
          <w:b w:val="0"/>
          <w:sz w:val="24"/>
          <w:szCs w:val="24"/>
        </w:rPr>
        <w:t xml:space="preserve"> or clarification with regard to terminology used. </w:t>
      </w:r>
    </w:p>
    <w:p w:rsidRPr="002F615B" w:rsidR="00FF4F4C" w:rsidP="004E77BF" w:rsidRDefault="00AD49C9" w14:paraId="26D01091" w14:textId="77777777">
      <w:pPr>
        <w:pStyle w:val="Heading3"/>
        <w:numPr>
          <w:ilvl w:val="0"/>
          <w:numId w:val="24"/>
        </w:numPr>
        <w:spacing w:before="0" w:after="0"/>
        <w:rPr>
          <w:b w:val="0"/>
          <w:sz w:val="24"/>
          <w:szCs w:val="24"/>
        </w:rPr>
      </w:pPr>
      <w:r w:rsidRPr="002F615B">
        <w:rPr>
          <w:b w:val="0"/>
          <w:sz w:val="24"/>
          <w:szCs w:val="24"/>
        </w:rPr>
        <w:t>81 comments made a general recommendation, not specific to a particular question</w:t>
      </w:r>
    </w:p>
    <w:p w:rsidRPr="002F615B" w:rsidR="00AD49C9" w:rsidP="004E77BF" w:rsidRDefault="00AD49C9" w14:paraId="4C50BF27" w14:textId="1ADB2FE6">
      <w:pPr>
        <w:pStyle w:val="Heading3"/>
        <w:spacing w:before="0" w:after="0"/>
        <w:ind w:left="1080"/>
        <w:rPr>
          <w:b w:val="0"/>
          <w:sz w:val="24"/>
          <w:szCs w:val="24"/>
        </w:rPr>
      </w:pPr>
    </w:p>
    <w:p w:rsidR="00846F12" w:rsidP="00846F12" w:rsidRDefault="00D123B4" w14:paraId="54DA0324" w14:textId="4ABFD5BF">
      <w:pPr>
        <w:pStyle w:val="Heading3"/>
        <w:spacing w:before="0" w:after="0"/>
        <w:ind w:left="360"/>
        <w:rPr>
          <w:b w:val="0"/>
          <w:sz w:val="24"/>
          <w:szCs w:val="24"/>
        </w:rPr>
      </w:pPr>
      <w:r w:rsidRPr="002F615B">
        <w:rPr>
          <w:b w:val="0"/>
          <w:sz w:val="24"/>
          <w:szCs w:val="24"/>
        </w:rPr>
        <w:t xml:space="preserve">ACL also received feedback </w:t>
      </w:r>
      <w:r w:rsidR="00846F12">
        <w:rPr>
          <w:b w:val="0"/>
          <w:sz w:val="24"/>
          <w:szCs w:val="24"/>
        </w:rPr>
        <w:t xml:space="preserve">in 2018 </w:t>
      </w:r>
      <w:r w:rsidRPr="002F615B">
        <w:rPr>
          <w:b w:val="0"/>
          <w:sz w:val="24"/>
          <w:szCs w:val="24"/>
        </w:rPr>
        <w:t>through multiple face-to-face interactions with a majority of the current TBI grantees regarding the proposed measures.</w:t>
      </w:r>
    </w:p>
    <w:p w:rsidR="00846F12" w:rsidP="00846F12" w:rsidRDefault="00846F12" w14:paraId="0F6F2EBE" w14:textId="77777777">
      <w:pPr>
        <w:pStyle w:val="Heading3"/>
        <w:spacing w:before="0" w:after="0"/>
        <w:ind w:left="360"/>
        <w:rPr>
          <w:b w:val="0"/>
          <w:sz w:val="24"/>
          <w:szCs w:val="24"/>
        </w:rPr>
      </w:pPr>
    </w:p>
    <w:p w:rsidR="00333ACE" w:rsidP="00333ACE" w:rsidRDefault="00846F12" w14:paraId="5757190F" w14:textId="759360A2">
      <w:pPr>
        <w:pStyle w:val="Heading3"/>
        <w:spacing w:before="0" w:after="0"/>
        <w:ind w:left="360"/>
        <w:rPr>
          <w:b w:val="0"/>
          <w:sz w:val="24"/>
          <w:szCs w:val="24"/>
        </w:rPr>
      </w:pPr>
      <w:r>
        <w:rPr>
          <w:b w:val="0"/>
          <w:sz w:val="24"/>
          <w:szCs w:val="24"/>
        </w:rPr>
        <w:t xml:space="preserve">ACL revised the instrument in 2019, </w:t>
      </w:r>
      <w:r w:rsidR="00333ACE">
        <w:rPr>
          <w:b w:val="0"/>
          <w:sz w:val="24"/>
          <w:szCs w:val="24"/>
        </w:rPr>
        <w:t>i</w:t>
      </w:r>
      <w:r w:rsidRPr="00333ACE" w:rsidR="00333ACE">
        <w:rPr>
          <w:b w:val="0"/>
          <w:sz w:val="24"/>
          <w:szCs w:val="24"/>
        </w:rPr>
        <w:t xml:space="preserve">n order to remain compliant with PRA 5 CFR 1320.8(d), ACL published an abbreviated public comment period prior to publishing </w:t>
      </w:r>
      <w:r w:rsidR="00333ACE">
        <w:rPr>
          <w:b w:val="0"/>
          <w:sz w:val="24"/>
          <w:szCs w:val="24"/>
        </w:rPr>
        <w:t xml:space="preserve">the 30-day FRN and submitting to OMB. ACL solicited comments during the </w:t>
      </w:r>
      <w:r w:rsidRPr="00333ACE" w:rsidR="00333ACE">
        <w:rPr>
          <w:b w:val="0"/>
          <w:sz w:val="24"/>
          <w:szCs w:val="24"/>
        </w:rPr>
        <w:t>abbreviated public comment period regarding: (1) the accuracy of ACL's revised estimate of the burden for the proposed collection of information performance reporting data elements and (2) whether the proposed revisions to the collection of information enhance the quality, utility, and clarity of the information to be collected.</w:t>
      </w:r>
    </w:p>
    <w:p w:rsidRPr="00333ACE" w:rsidR="00333ACE" w:rsidP="00333ACE" w:rsidRDefault="00333ACE" w14:paraId="603B9EDA" w14:textId="36E5F40B">
      <w:pPr>
        <w:pStyle w:val="Heading3"/>
        <w:ind w:left="360"/>
        <w:rPr>
          <w:b w:val="0"/>
          <w:sz w:val="24"/>
          <w:szCs w:val="24"/>
        </w:rPr>
      </w:pPr>
      <w:r w:rsidRPr="00333ACE">
        <w:rPr>
          <w:b w:val="0"/>
          <w:sz w:val="24"/>
          <w:szCs w:val="24"/>
        </w:rPr>
        <w:t xml:space="preserve"> </w:t>
      </w:r>
    </w:p>
    <w:p w:rsidRPr="00846F12" w:rsidR="00846F12" w:rsidP="00846F12" w:rsidRDefault="00333ACE" w14:paraId="3C77EC95" w14:textId="5B1DD678">
      <w:pPr>
        <w:pStyle w:val="Heading3"/>
        <w:spacing w:before="0" w:after="0"/>
        <w:ind w:left="360"/>
        <w:rPr>
          <w:b w:val="0"/>
          <w:sz w:val="24"/>
          <w:szCs w:val="24"/>
        </w:rPr>
      </w:pPr>
      <w:r>
        <w:rPr>
          <w:b w:val="0"/>
          <w:sz w:val="24"/>
          <w:szCs w:val="24"/>
        </w:rPr>
        <w:t xml:space="preserve">During the abbreviated </w:t>
      </w:r>
      <w:r w:rsidR="00846F12">
        <w:rPr>
          <w:b w:val="0"/>
          <w:sz w:val="24"/>
          <w:szCs w:val="24"/>
        </w:rPr>
        <w:t xml:space="preserve">public comment </w:t>
      </w:r>
      <w:r>
        <w:rPr>
          <w:b w:val="0"/>
          <w:sz w:val="24"/>
          <w:szCs w:val="24"/>
        </w:rPr>
        <w:t xml:space="preserve">period published in the 83 FR 53738 </w:t>
      </w:r>
      <w:r w:rsidR="00846F12">
        <w:rPr>
          <w:b w:val="0"/>
          <w:sz w:val="24"/>
          <w:szCs w:val="24"/>
        </w:rPr>
        <w:t xml:space="preserve"> received 14 additional comments. These comments have been addressed largely through the addition of definitions and guidance. The tool has been simplified, some questions have been eliminated or simplified because of concern about the burden, and three open-ended narrative questions added. </w:t>
      </w:r>
    </w:p>
    <w:p w:rsidRPr="00846F12" w:rsidR="00846F12" w:rsidP="00846F12" w:rsidRDefault="00846F12" w14:paraId="5D5923D1" w14:textId="77777777"/>
    <w:p w:rsidRPr="002F615B" w:rsidR="00AD49C9" w:rsidP="004E77BF" w:rsidRDefault="00AD49C9" w14:paraId="3EF21351" w14:textId="35881E36">
      <w:pPr>
        <w:pStyle w:val="Heading3"/>
        <w:spacing w:before="0" w:after="0"/>
        <w:ind w:left="360"/>
        <w:rPr>
          <w:b w:val="0"/>
          <w:sz w:val="24"/>
          <w:szCs w:val="24"/>
        </w:rPr>
      </w:pPr>
      <w:r w:rsidRPr="002F615B">
        <w:rPr>
          <w:b w:val="0"/>
          <w:sz w:val="24"/>
          <w:szCs w:val="24"/>
        </w:rPr>
        <w:t xml:space="preserve">The most prevalent comments and themes emerging from the </w:t>
      </w:r>
      <w:r w:rsidR="00846F12">
        <w:rPr>
          <w:b w:val="0"/>
          <w:sz w:val="24"/>
          <w:szCs w:val="24"/>
        </w:rPr>
        <w:t>public comments</w:t>
      </w:r>
      <w:r w:rsidR="001B5EC9">
        <w:rPr>
          <w:b w:val="0"/>
          <w:sz w:val="24"/>
          <w:szCs w:val="24"/>
        </w:rPr>
        <w:t xml:space="preserve"> </w:t>
      </w:r>
      <w:r w:rsidRPr="002F615B">
        <w:rPr>
          <w:b w:val="0"/>
          <w:sz w:val="24"/>
          <w:szCs w:val="24"/>
        </w:rPr>
        <w:t>are summarized below:</w:t>
      </w:r>
    </w:p>
    <w:p w:rsidRPr="002F615B" w:rsidR="00AD49C9" w:rsidP="004E77BF" w:rsidRDefault="00AD49C9" w14:paraId="358BA5A7" w14:textId="77777777">
      <w:pPr>
        <w:rPr>
          <w:rFonts w:ascii="Arial" w:hAnsi="Arial" w:eastAsia="Calibri" w:cs="Arial"/>
        </w:rPr>
      </w:pPr>
    </w:p>
    <w:p w:rsidRPr="002F615B" w:rsidR="00AD49C9" w:rsidP="004E77BF" w:rsidRDefault="00AD49C9" w14:paraId="771EF569" w14:textId="5DBCDD38">
      <w:pPr>
        <w:spacing w:after="160" w:line="259" w:lineRule="auto"/>
        <w:ind w:left="360"/>
        <w:rPr>
          <w:rFonts w:ascii="Arial" w:hAnsi="Arial" w:eastAsia="Calibri" w:cs="Arial"/>
          <w:szCs w:val="22"/>
        </w:rPr>
      </w:pPr>
      <w:r w:rsidRPr="002F615B">
        <w:rPr>
          <w:rFonts w:ascii="Arial" w:hAnsi="Arial" w:eastAsia="Calibri" w:cs="Arial"/>
          <w:b/>
          <w:i/>
          <w:szCs w:val="22"/>
        </w:rPr>
        <w:t>Intended scope of the questions:</w:t>
      </w:r>
      <w:r w:rsidRPr="002F615B">
        <w:rPr>
          <w:rFonts w:ascii="Arial" w:hAnsi="Arial" w:eastAsia="Calibri" w:cs="Arial"/>
          <w:szCs w:val="22"/>
        </w:rPr>
        <w:t xml:space="preserve"> The suggestion that </w:t>
      </w:r>
      <w:r w:rsidRPr="002F615B" w:rsidR="00D37CA8">
        <w:rPr>
          <w:rFonts w:ascii="Arial" w:hAnsi="Arial" w:eastAsia="Calibri" w:cs="Arial"/>
          <w:szCs w:val="22"/>
        </w:rPr>
        <w:t>occurred most</w:t>
      </w:r>
      <w:r w:rsidRPr="002F615B">
        <w:rPr>
          <w:rFonts w:ascii="Arial" w:hAnsi="Arial" w:eastAsia="Calibri" w:cs="Arial"/>
          <w:szCs w:val="22"/>
        </w:rPr>
        <w:t xml:space="preserve"> across all commenters was for ACL to better defi</w:t>
      </w:r>
      <w:r w:rsidRPr="002F615B" w:rsidR="00D37CA8">
        <w:rPr>
          <w:rFonts w:ascii="Arial" w:hAnsi="Arial" w:eastAsia="Calibri" w:cs="Arial"/>
          <w:szCs w:val="22"/>
        </w:rPr>
        <w:t xml:space="preserve">ne the scope of the questions. </w:t>
      </w:r>
      <w:r w:rsidRPr="002F615B">
        <w:rPr>
          <w:rFonts w:ascii="Arial" w:hAnsi="Arial" w:eastAsia="Calibri" w:cs="Arial"/>
          <w:szCs w:val="22"/>
        </w:rPr>
        <w:t xml:space="preserve">Many commenters asked whether ACL expected grantees to limit their reporting to their own grant activities, the staff they train with the grant </w:t>
      </w:r>
      <w:r w:rsidRPr="002F615B" w:rsidR="004E77BF">
        <w:rPr>
          <w:rFonts w:ascii="Arial" w:hAnsi="Arial" w:eastAsia="Calibri" w:cs="Arial"/>
          <w:szCs w:val="22"/>
        </w:rPr>
        <w:t>funds</w:t>
      </w:r>
      <w:r w:rsidR="004E77BF">
        <w:rPr>
          <w:rFonts w:ascii="Arial" w:hAnsi="Arial" w:eastAsia="Calibri" w:cs="Arial"/>
          <w:szCs w:val="22"/>
        </w:rPr>
        <w:t>,</w:t>
      </w:r>
      <w:r w:rsidRPr="002F615B">
        <w:rPr>
          <w:rFonts w:ascii="Arial" w:hAnsi="Arial" w:eastAsia="Calibri" w:cs="Arial"/>
          <w:szCs w:val="22"/>
        </w:rPr>
        <w:t xml:space="preserve"> and the people with TBI they interact with using grant funds or if they would be expected to report about activities going on in the state </w:t>
      </w:r>
      <w:r w:rsidRPr="002F615B" w:rsidR="00D37CA8">
        <w:rPr>
          <w:rFonts w:ascii="Arial" w:hAnsi="Arial" w:eastAsia="Calibri" w:cs="Arial"/>
          <w:szCs w:val="22"/>
        </w:rPr>
        <w:t xml:space="preserve">beyond their grant activities. </w:t>
      </w:r>
      <w:r w:rsidRPr="002F615B">
        <w:rPr>
          <w:rFonts w:ascii="Arial" w:hAnsi="Arial" w:eastAsia="Calibri" w:cs="Arial"/>
          <w:szCs w:val="22"/>
        </w:rPr>
        <w:t>Commenters raised the issue of intended scope in general and specifically about almost all th</w:t>
      </w:r>
      <w:r w:rsidRPr="002F615B" w:rsidR="00D37CA8">
        <w:rPr>
          <w:rFonts w:ascii="Arial" w:hAnsi="Arial" w:eastAsia="Calibri" w:cs="Arial"/>
          <w:szCs w:val="22"/>
        </w:rPr>
        <w:t xml:space="preserve">e questions in the instrument. </w:t>
      </w:r>
      <w:r w:rsidRPr="002F615B">
        <w:rPr>
          <w:rFonts w:ascii="Arial" w:hAnsi="Arial" w:eastAsia="Calibri" w:cs="Arial"/>
          <w:szCs w:val="22"/>
        </w:rPr>
        <w:t xml:space="preserve">Several </w:t>
      </w:r>
      <w:r w:rsidRPr="002F615B" w:rsidR="00D37CA8">
        <w:rPr>
          <w:rFonts w:ascii="Arial" w:hAnsi="Arial" w:eastAsia="Calibri" w:cs="Arial"/>
          <w:szCs w:val="22"/>
        </w:rPr>
        <w:t xml:space="preserve">commenters </w:t>
      </w:r>
      <w:r w:rsidRPr="002F615B">
        <w:rPr>
          <w:rFonts w:ascii="Arial" w:hAnsi="Arial" w:eastAsia="Calibri" w:cs="Arial"/>
          <w:szCs w:val="22"/>
        </w:rPr>
        <w:t xml:space="preserve">noted that the grants were awarded to different </w:t>
      </w:r>
      <w:r w:rsidRPr="002F615B">
        <w:rPr>
          <w:rFonts w:ascii="Arial" w:hAnsi="Arial" w:eastAsia="Calibri" w:cs="Arial"/>
          <w:szCs w:val="22"/>
        </w:rPr>
        <w:lastRenderedPageBreak/>
        <w:t>types of state agencies in different states a</w:t>
      </w:r>
      <w:r w:rsidR="004E77BF">
        <w:rPr>
          <w:rFonts w:ascii="Arial" w:hAnsi="Arial" w:eastAsia="Calibri" w:cs="Arial"/>
          <w:szCs w:val="22"/>
        </w:rPr>
        <w:t xml:space="preserve"> </w:t>
      </w:r>
      <w:r w:rsidRPr="002F615B">
        <w:rPr>
          <w:rFonts w:ascii="Arial" w:hAnsi="Arial" w:eastAsia="Calibri" w:cs="Arial"/>
          <w:szCs w:val="22"/>
        </w:rPr>
        <w:t>nd the reporting instrument did not make clear what ACL meant by the term “TBI System,” which could be interpreted to mean different things such as: the Medicaid system, the criminal justice system, the educational system, the vocational rehabilitation system, the broader medical system, or all of these together. Many indicated that grantees would have limited or no access to data about activities or people supported outside the grant activities being conducted by their own partnering organizations.</w:t>
      </w:r>
      <w:r w:rsidR="004E77BF">
        <w:rPr>
          <w:rFonts w:ascii="Arial" w:hAnsi="Arial" w:eastAsia="Calibri" w:cs="Arial"/>
          <w:szCs w:val="22"/>
        </w:rPr>
        <w:br/>
      </w:r>
      <w:r w:rsidR="004E77BF">
        <w:rPr>
          <w:rFonts w:ascii="Arial" w:hAnsi="Arial" w:eastAsia="Calibri" w:cs="Arial"/>
          <w:szCs w:val="22"/>
        </w:rPr>
        <w:br/>
      </w:r>
      <w:r w:rsidRPr="002F615B">
        <w:rPr>
          <w:rFonts w:ascii="Arial" w:hAnsi="Arial" w:eastAsia="Calibri" w:cs="Arial"/>
          <w:b/>
          <w:i/>
          <w:szCs w:val="22"/>
        </w:rPr>
        <w:t>Response and Changes to Instrument:</w:t>
      </w:r>
      <w:r w:rsidRPr="002F615B">
        <w:rPr>
          <w:rFonts w:ascii="Arial" w:hAnsi="Arial" w:eastAsia="Calibri" w:cs="Arial"/>
          <w:b/>
          <w:szCs w:val="22"/>
        </w:rPr>
        <w:t xml:space="preserve"> </w:t>
      </w:r>
      <w:r w:rsidRPr="002F615B">
        <w:rPr>
          <w:rFonts w:ascii="Arial" w:hAnsi="Arial" w:eastAsia="Calibri" w:cs="Arial"/>
          <w:szCs w:val="22"/>
        </w:rPr>
        <w:t>ACL intends for TBI grantees to report only about their own grant activities, the staff they train using grant funds, the partners they work wit</w:t>
      </w:r>
      <w:r w:rsidR="001B5EC9">
        <w:rPr>
          <w:rFonts w:ascii="Arial" w:hAnsi="Arial" w:eastAsia="Calibri" w:cs="Arial"/>
          <w:szCs w:val="22"/>
        </w:rPr>
        <w:t xml:space="preserve">h, and the people affected by </w:t>
      </w:r>
      <w:r w:rsidRPr="002F615B">
        <w:rPr>
          <w:rFonts w:ascii="Arial" w:hAnsi="Arial" w:eastAsia="Calibri" w:cs="Arial"/>
          <w:szCs w:val="22"/>
        </w:rPr>
        <w:t xml:space="preserve">TBI they interact with using grant funds. Additional guidance and definitions </w:t>
      </w:r>
      <w:r w:rsidRPr="002F615B" w:rsidR="00FF4F4C">
        <w:rPr>
          <w:rFonts w:ascii="Arial" w:hAnsi="Arial" w:eastAsia="Calibri" w:cs="Arial"/>
          <w:szCs w:val="22"/>
        </w:rPr>
        <w:t xml:space="preserve">will be added </w:t>
      </w:r>
      <w:r w:rsidRPr="002F615B">
        <w:rPr>
          <w:rFonts w:ascii="Arial" w:hAnsi="Arial" w:eastAsia="Calibri" w:cs="Arial"/>
          <w:szCs w:val="22"/>
        </w:rPr>
        <w:t>to the</w:t>
      </w:r>
      <w:r w:rsidRPr="002F615B" w:rsidR="0092785B">
        <w:rPr>
          <w:rFonts w:ascii="Arial" w:hAnsi="Arial" w:eastAsia="Calibri" w:cs="Arial"/>
          <w:szCs w:val="22"/>
        </w:rPr>
        <w:t xml:space="preserve"> online version of the</w:t>
      </w:r>
      <w:r w:rsidRPr="002F615B">
        <w:rPr>
          <w:rFonts w:ascii="Arial" w:hAnsi="Arial" w:eastAsia="Calibri" w:cs="Arial"/>
          <w:szCs w:val="22"/>
        </w:rPr>
        <w:t xml:space="preserve"> instrument to clarify this intent and provide more guidance for grantees o</w:t>
      </w:r>
      <w:r w:rsidRPr="002F615B" w:rsidR="00FF4F4C">
        <w:rPr>
          <w:rFonts w:ascii="Arial" w:hAnsi="Arial" w:eastAsia="Calibri" w:cs="Arial"/>
          <w:szCs w:val="22"/>
        </w:rPr>
        <w:t xml:space="preserve">perating in different systems. </w:t>
      </w:r>
      <w:r w:rsidRPr="002F615B">
        <w:rPr>
          <w:rFonts w:ascii="Arial" w:hAnsi="Arial" w:eastAsia="Calibri" w:cs="Arial"/>
          <w:szCs w:val="22"/>
        </w:rPr>
        <w:t>For example:</w:t>
      </w:r>
    </w:p>
    <w:p w:rsidRPr="002F615B" w:rsidR="00AD49C9" w:rsidP="004E77BF" w:rsidRDefault="00AD49C9" w14:paraId="79B9B481" w14:textId="2B12F857">
      <w:pPr>
        <w:numPr>
          <w:ilvl w:val="0"/>
          <w:numId w:val="23"/>
        </w:numPr>
        <w:spacing w:after="160" w:line="259" w:lineRule="auto"/>
        <w:ind w:left="1620" w:hanging="270"/>
        <w:contextualSpacing/>
        <w:rPr>
          <w:rFonts w:ascii="Arial" w:hAnsi="Arial" w:eastAsia="Calibri" w:cs="Arial"/>
          <w:szCs w:val="22"/>
        </w:rPr>
      </w:pPr>
      <w:r w:rsidRPr="002F615B">
        <w:rPr>
          <w:rFonts w:ascii="Arial" w:hAnsi="Arial" w:eastAsia="Calibri" w:cs="Arial"/>
          <w:szCs w:val="22"/>
        </w:rPr>
        <w:t>If a grantee is using g</w:t>
      </w:r>
      <w:r w:rsidR="001B5EC9">
        <w:rPr>
          <w:rFonts w:ascii="Arial" w:hAnsi="Arial" w:eastAsia="Calibri" w:cs="Arial"/>
          <w:szCs w:val="22"/>
        </w:rPr>
        <w:t xml:space="preserve">rant funds to serve </w:t>
      </w:r>
      <w:r w:rsidRPr="002F615B">
        <w:rPr>
          <w:rFonts w:ascii="Arial" w:hAnsi="Arial" w:eastAsia="Calibri" w:cs="Arial"/>
          <w:szCs w:val="22"/>
        </w:rPr>
        <w:t xml:space="preserve">people with TBI within the criminal justice system statewide, the scope of their reporting </w:t>
      </w:r>
      <w:r w:rsidRPr="002F615B" w:rsidR="00FF4F4C">
        <w:rPr>
          <w:rFonts w:ascii="Arial" w:hAnsi="Arial" w:eastAsia="Calibri" w:cs="Arial"/>
          <w:szCs w:val="22"/>
        </w:rPr>
        <w:t xml:space="preserve">will be limited to </w:t>
      </w:r>
      <w:r w:rsidRPr="002F615B">
        <w:rPr>
          <w:rFonts w:ascii="Arial" w:hAnsi="Arial" w:eastAsia="Calibri" w:cs="Arial"/>
          <w:szCs w:val="22"/>
        </w:rPr>
        <w:t xml:space="preserve">the statewide criminal justice system.  </w:t>
      </w:r>
    </w:p>
    <w:p w:rsidRPr="002F615B" w:rsidR="00AD49C9" w:rsidP="004E77BF" w:rsidRDefault="00AD49C9" w14:paraId="644EA056" w14:textId="3DC40735">
      <w:pPr>
        <w:numPr>
          <w:ilvl w:val="0"/>
          <w:numId w:val="23"/>
        </w:numPr>
        <w:spacing w:after="160" w:line="259" w:lineRule="auto"/>
        <w:ind w:left="1620" w:hanging="270"/>
        <w:contextualSpacing/>
        <w:rPr>
          <w:rFonts w:ascii="Arial" w:hAnsi="Arial" w:eastAsia="Calibri" w:cs="Arial"/>
          <w:szCs w:val="22"/>
        </w:rPr>
      </w:pPr>
      <w:r w:rsidRPr="002F615B">
        <w:rPr>
          <w:rFonts w:ascii="Arial" w:hAnsi="Arial" w:eastAsia="Calibri" w:cs="Arial"/>
          <w:szCs w:val="22"/>
        </w:rPr>
        <w:t xml:space="preserve">If a grantee is using their grant funds to assist people interacting with the vocational rehabilitation system in one region of the state, the scope of their reporting </w:t>
      </w:r>
      <w:r w:rsidRPr="002F615B" w:rsidR="00FF4F4C">
        <w:rPr>
          <w:rFonts w:ascii="Arial" w:hAnsi="Arial" w:eastAsia="Calibri" w:cs="Arial"/>
          <w:szCs w:val="22"/>
        </w:rPr>
        <w:t>will</w:t>
      </w:r>
      <w:r w:rsidRPr="002F615B">
        <w:rPr>
          <w:rFonts w:ascii="Arial" w:hAnsi="Arial" w:eastAsia="Calibri" w:cs="Arial"/>
          <w:szCs w:val="22"/>
        </w:rPr>
        <w:t xml:space="preserve"> be </w:t>
      </w:r>
      <w:r w:rsidRPr="002F615B" w:rsidR="00FF4F4C">
        <w:rPr>
          <w:rFonts w:ascii="Arial" w:hAnsi="Arial" w:eastAsia="Calibri" w:cs="Arial"/>
          <w:szCs w:val="22"/>
        </w:rPr>
        <w:t xml:space="preserve">limited to </w:t>
      </w:r>
      <w:r w:rsidRPr="002F615B">
        <w:rPr>
          <w:rFonts w:ascii="Arial" w:hAnsi="Arial" w:eastAsia="Calibri" w:cs="Arial"/>
          <w:szCs w:val="22"/>
        </w:rPr>
        <w:t xml:space="preserve">that region’s vocational rehabilitation system.  </w:t>
      </w:r>
    </w:p>
    <w:p w:rsidRPr="002F615B" w:rsidR="00AD49C9" w:rsidP="004E77BF" w:rsidRDefault="00AD49C9" w14:paraId="3769FD9A" w14:textId="4546DE24">
      <w:pPr>
        <w:numPr>
          <w:ilvl w:val="0"/>
          <w:numId w:val="23"/>
        </w:numPr>
        <w:spacing w:after="160" w:line="259" w:lineRule="auto"/>
        <w:ind w:left="1620" w:hanging="270"/>
        <w:contextualSpacing/>
        <w:rPr>
          <w:rFonts w:ascii="Arial" w:hAnsi="Arial" w:eastAsia="Calibri" w:cs="Arial"/>
          <w:szCs w:val="22"/>
        </w:rPr>
      </w:pPr>
      <w:r w:rsidRPr="002F615B">
        <w:rPr>
          <w:rFonts w:ascii="Arial" w:hAnsi="Arial" w:eastAsia="Calibri" w:cs="Arial"/>
          <w:szCs w:val="22"/>
        </w:rPr>
        <w:t xml:space="preserve">If grant funds are going to several partnering organizations to work with people with TBI, the scope of that grantee’s reporting </w:t>
      </w:r>
      <w:r w:rsidRPr="002F615B" w:rsidR="00FF4F4C">
        <w:rPr>
          <w:rFonts w:ascii="Arial" w:hAnsi="Arial" w:eastAsia="Calibri" w:cs="Arial"/>
          <w:szCs w:val="22"/>
        </w:rPr>
        <w:t xml:space="preserve">will include </w:t>
      </w:r>
      <w:r w:rsidRPr="002F615B">
        <w:rPr>
          <w:rFonts w:ascii="Arial" w:hAnsi="Arial" w:eastAsia="Calibri" w:cs="Arial"/>
          <w:szCs w:val="22"/>
        </w:rPr>
        <w:t>the grant-funded activities of all of those partnering organizations (to the extent possible).</w:t>
      </w:r>
    </w:p>
    <w:p w:rsidRPr="002F615B" w:rsidR="00AD49C9" w:rsidP="004E77BF" w:rsidRDefault="00FF4F4C" w14:paraId="7832C82C" w14:textId="7FD4121C">
      <w:pPr>
        <w:spacing w:before="240" w:after="160"/>
        <w:ind w:left="720"/>
        <w:rPr>
          <w:rFonts w:ascii="Arial" w:hAnsi="Arial" w:eastAsia="Calibri" w:cs="Arial"/>
          <w:szCs w:val="22"/>
        </w:rPr>
      </w:pPr>
      <w:r w:rsidRPr="002F615B">
        <w:rPr>
          <w:rFonts w:ascii="Arial" w:hAnsi="Arial" w:eastAsia="Calibri" w:cs="Arial"/>
          <w:szCs w:val="22"/>
        </w:rPr>
        <w:t xml:space="preserve">In addition, ACL </w:t>
      </w:r>
      <w:r w:rsidRPr="002F615B" w:rsidR="00AD49C9">
        <w:rPr>
          <w:rFonts w:ascii="Arial" w:hAnsi="Arial" w:eastAsia="Calibri" w:cs="Arial"/>
          <w:szCs w:val="22"/>
        </w:rPr>
        <w:t xml:space="preserve">added some new structured and open-ended questions </w:t>
      </w:r>
      <w:r w:rsidR="001B5EC9">
        <w:rPr>
          <w:rFonts w:ascii="Arial" w:hAnsi="Arial" w:eastAsia="Calibri" w:cs="Arial"/>
          <w:szCs w:val="22"/>
        </w:rPr>
        <w:t xml:space="preserve">to </w:t>
      </w:r>
      <w:r w:rsidRPr="002F615B" w:rsidR="00AD49C9">
        <w:rPr>
          <w:rFonts w:ascii="Arial" w:hAnsi="Arial" w:eastAsia="Calibri" w:cs="Arial"/>
          <w:szCs w:val="22"/>
        </w:rPr>
        <w:t xml:space="preserve">the instrument to allow grantees to identify their main areas of focus and describe report full or partial data from across their partners depending on what they can access.  </w:t>
      </w:r>
    </w:p>
    <w:p w:rsidRPr="00A52C92" w:rsidR="00AD49C9" w:rsidP="00A52C92" w:rsidRDefault="00AD49C9" w14:paraId="57853DDB" w14:textId="02C0E5CC">
      <w:pPr>
        <w:spacing w:after="160" w:line="259" w:lineRule="auto"/>
        <w:ind w:left="360"/>
        <w:rPr>
          <w:rFonts w:ascii="Arial" w:hAnsi="Arial" w:eastAsia="Calibri" w:cs="Arial"/>
          <w:szCs w:val="22"/>
        </w:rPr>
      </w:pPr>
      <w:r w:rsidRPr="002F615B">
        <w:rPr>
          <w:rFonts w:ascii="Arial" w:hAnsi="Arial" w:eastAsia="Calibri" w:cs="Arial"/>
          <w:b/>
          <w:i/>
          <w:szCs w:val="22"/>
        </w:rPr>
        <w:t>Purpose of performance measures and accounting for state and grantee differences:</w:t>
      </w:r>
      <w:r w:rsidRPr="002F615B">
        <w:rPr>
          <w:rFonts w:ascii="Arial" w:hAnsi="Arial" w:eastAsia="Calibri" w:cs="Arial"/>
          <w:b/>
          <w:szCs w:val="22"/>
        </w:rPr>
        <w:t xml:space="preserve"> </w:t>
      </w:r>
      <w:r w:rsidRPr="002F615B">
        <w:rPr>
          <w:rFonts w:ascii="Arial" w:hAnsi="Arial" w:eastAsia="Calibri" w:cs="Arial"/>
          <w:szCs w:val="22"/>
        </w:rPr>
        <w:t>Several commenters indicated they thought the instrument did not adequately account for the differences in how state systems are structured and the different focu</w:t>
      </w:r>
      <w:r w:rsidRPr="002F615B" w:rsidR="00733138">
        <w:rPr>
          <w:rFonts w:ascii="Arial" w:hAnsi="Arial" w:eastAsia="Calibri" w:cs="Arial"/>
          <w:szCs w:val="22"/>
        </w:rPr>
        <w:t xml:space="preserve">s areas of different grantees. </w:t>
      </w:r>
      <w:r w:rsidRPr="002F615B">
        <w:rPr>
          <w:rFonts w:ascii="Arial" w:hAnsi="Arial" w:eastAsia="Calibri" w:cs="Arial"/>
          <w:szCs w:val="22"/>
        </w:rPr>
        <w:t>Several commenters expressed concern that individual grantees would be negatively evaluated</w:t>
      </w:r>
      <w:r w:rsidRPr="002F615B" w:rsidR="001B5EC9">
        <w:rPr>
          <w:rFonts w:ascii="Arial" w:hAnsi="Arial" w:eastAsia="Calibri" w:cs="Arial"/>
          <w:szCs w:val="22"/>
        </w:rPr>
        <w:t xml:space="preserve">. Specific questions were edited to allow for grantees </w:t>
      </w:r>
      <w:r w:rsidR="00DB365A">
        <w:rPr>
          <w:rFonts w:ascii="Arial" w:hAnsi="Arial" w:eastAsia="Calibri" w:cs="Arial"/>
          <w:szCs w:val="22"/>
        </w:rPr>
        <w:t>that are n</w:t>
      </w:r>
      <w:r w:rsidRPr="002F615B" w:rsidR="001B5EC9">
        <w:rPr>
          <w:rFonts w:ascii="Arial" w:hAnsi="Arial" w:eastAsia="Calibri" w:cs="Arial"/>
          <w:szCs w:val="22"/>
        </w:rPr>
        <w:t>o</w:t>
      </w:r>
      <w:r w:rsidR="00DB365A">
        <w:rPr>
          <w:rFonts w:ascii="Arial" w:hAnsi="Arial" w:eastAsia="Calibri" w:cs="Arial"/>
          <w:szCs w:val="22"/>
        </w:rPr>
        <w:t>t</w:t>
      </w:r>
      <w:r w:rsidRPr="002F615B" w:rsidR="001B5EC9">
        <w:rPr>
          <w:rFonts w:ascii="Arial" w:hAnsi="Arial" w:eastAsia="Calibri" w:cs="Arial"/>
          <w:szCs w:val="22"/>
        </w:rPr>
        <w:t xml:space="preserve"> </w:t>
      </w:r>
      <w:r w:rsidR="00DB365A">
        <w:rPr>
          <w:rFonts w:ascii="Arial" w:hAnsi="Arial" w:eastAsia="Calibri" w:cs="Arial"/>
          <w:szCs w:val="22"/>
        </w:rPr>
        <w:t xml:space="preserve">able to </w:t>
      </w:r>
      <w:r w:rsidRPr="002F615B">
        <w:rPr>
          <w:rFonts w:ascii="Arial" w:hAnsi="Arial" w:eastAsia="Calibri" w:cs="Arial"/>
          <w:szCs w:val="22"/>
        </w:rPr>
        <w:t>provide data about activities and people outside of the scope of their grants or are otherwise not able</w:t>
      </w:r>
      <w:r w:rsidR="00F730D6">
        <w:rPr>
          <w:rFonts w:ascii="Arial" w:hAnsi="Arial" w:eastAsia="Calibri" w:cs="Arial"/>
          <w:szCs w:val="22"/>
        </w:rPr>
        <w:t xml:space="preserve"> to respond to every question. </w:t>
      </w:r>
      <w:r w:rsidR="00A52C92">
        <w:rPr>
          <w:rFonts w:ascii="Arial" w:hAnsi="Arial" w:eastAsia="Calibri" w:cs="Arial"/>
          <w:szCs w:val="22"/>
        </w:rPr>
        <w:br/>
      </w:r>
      <w:r w:rsidR="00A52C92">
        <w:rPr>
          <w:rFonts w:ascii="Arial" w:hAnsi="Arial" w:eastAsia="Calibri" w:cs="Arial"/>
          <w:szCs w:val="22"/>
        </w:rPr>
        <w:br/>
      </w:r>
      <w:r w:rsidRPr="002F615B">
        <w:rPr>
          <w:rFonts w:ascii="Arial" w:hAnsi="Arial" w:eastAsia="Calibri" w:cs="Arial"/>
          <w:b/>
          <w:i/>
          <w:szCs w:val="22"/>
        </w:rPr>
        <w:t>Response and Changes to Instrument:</w:t>
      </w:r>
      <w:r w:rsidRPr="002F615B">
        <w:rPr>
          <w:rFonts w:ascii="Arial" w:hAnsi="Arial" w:eastAsia="Calibri" w:cs="Arial"/>
          <w:szCs w:val="22"/>
        </w:rPr>
        <w:t xml:space="preserve"> ACL does not intend to use this </w:t>
      </w:r>
      <w:r w:rsidR="00F730D6">
        <w:rPr>
          <w:rFonts w:ascii="Arial" w:hAnsi="Arial" w:eastAsia="Calibri" w:cs="Arial"/>
          <w:szCs w:val="22"/>
        </w:rPr>
        <w:t>reporting instrument to score</w:t>
      </w:r>
      <w:r w:rsidRPr="002F615B">
        <w:rPr>
          <w:rFonts w:ascii="Arial" w:hAnsi="Arial" w:eastAsia="Calibri" w:cs="Arial"/>
          <w:szCs w:val="22"/>
        </w:rPr>
        <w:t xml:space="preserve"> grantees’ individual performance or to compare grantees’</w:t>
      </w:r>
      <w:r w:rsidRPr="002F615B" w:rsidR="00733138">
        <w:rPr>
          <w:rFonts w:ascii="Arial" w:hAnsi="Arial" w:eastAsia="Calibri" w:cs="Arial"/>
          <w:szCs w:val="22"/>
        </w:rPr>
        <w:t xml:space="preserve"> performance with one another. </w:t>
      </w:r>
      <w:r w:rsidRPr="002F615B">
        <w:rPr>
          <w:rFonts w:ascii="Arial" w:hAnsi="Arial" w:eastAsia="Calibri" w:cs="Arial"/>
          <w:szCs w:val="22"/>
        </w:rPr>
        <w:t xml:space="preserve">ACL’s intent is to gather a standard set of information from </w:t>
      </w:r>
      <w:r w:rsidR="00F51C9B">
        <w:rPr>
          <w:rFonts w:ascii="Arial" w:hAnsi="Arial" w:eastAsia="Calibri" w:cs="Arial"/>
          <w:szCs w:val="22"/>
        </w:rPr>
        <w:t>all grantee</w:t>
      </w:r>
      <w:r w:rsidRPr="002F615B">
        <w:rPr>
          <w:rFonts w:ascii="Arial" w:hAnsi="Arial" w:eastAsia="Calibri" w:cs="Arial"/>
          <w:szCs w:val="22"/>
        </w:rPr>
        <w:t xml:space="preserve"> states, so that it can be aggregated to provide a better picture of the </w:t>
      </w:r>
      <w:r w:rsidRPr="002F615B">
        <w:rPr>
          <w:rFonts w:ascii="Arial" w:hAnsi="Arial" w:eastAsia="Calibri" w:cs="Arial"/>
          <w:szCs w:val="22"/>
        </w:rPr>
        <w:lastRenderedPageBreak/>
        <w:t>national impact of the grant program. However, ACL understands that states are working within different systems and focusing on different activities and that states’ current capacity to c</w:t>
      </w:r>
      <w:r w:rsidRPr="002F615B" w:rsidR="00733138">
        <w:rPr>
          <w:rFonts w:ascii="Arial" w:hAnsi="Arial" w:eastAsia="Calibri" w:cs="Arial"/>
          <w:szCs w:val="22"/>
        </w:rPr>
        <w:t xml:space="preserve">ollect and report data varies. </w:t>
      </w:r>
      <w:r w:rsidRPr="002F615B">
        <w:rPr>
          <w:rFonts w:ascii="Arial" w:hAnsi="Arial" w:eastAsia="Calibri" w:cs="Arial"/>
          <w:szCs w:val="22"/>
        </w:rPr>
        <w:t>ACL anticipates that some grantees will not be able to respond to every question on the instrument an</w:t>
      </w:r>
      <w:r w:rsidR="00DB365A">
        <w:rPr>
          <w:rFonts w:ascii="Arial" w:hAnsi="Arial" w:eastAsia="Calibri" w:cs="Arial"/>
          <w:szCs w:val="22"/>
        </w:rPr>
        <w:t>d</w:t>
      </w:r>
      <w:r w:rsidR="00F51C9B">
        <w:rPr>
          <w:rFonts w:ascii="Arial" w:hAnsi="Arial" w:eastAsia="Calibri" w:cs="Arial"/>
          <w:szCs w:val="22"/>
        </w:rPr>
        <w:t xml:space="preserve"> this will not negatively affect those grantees</w:t>
      </w:r>
      <w:r w:rsidR="00DB365A">
        <w:rPr>
          <w:rFonts w:ascii="Arial" w:hAnsi="Arial" w:eastAsia="Calibri" w:cs="Arial"/>
          <w:szCs w:val="22"/>
        </w:rPr>
        <w:t xml:space="preserve">. </w:t>
      </w:r>
      <w:r w:rsidRPr="002F615B">
        <w:rPr>
          <w:rFonts w:ascii="Arial" w:hAnsi="Arial" w:eastAsia="Calibri" w:cs="Arial"/>
          <w:szCs w:val="22"/>
        </w:rPr>
        <w:t>ACL hopes that every question will be applicable and feasible to answer for at least a subset of grantees, therefore providing a more complete (although not perfect) picture of grant activities than is currently available.</w:t>
      </w:r>
      <w:r w:rsidR="00A52C92">
        <w:rPr>
          <w:rFonts w:ascii="Arial" w:hAnsi="Arial" w:eastAsia="Calibri" w:cs="Arial"/>
          <w:szCs w:val="22"/>
        </w:rPr>
        <w:br/>
      </w:r>
      <w:r w:rsidR="00A52C92">
        <w:rPr>
          <w:rFonts w:ascii="Arial" w:hAnsi="Arial" w:eastAsia="Calibri" w:cs="Arial"/>
          <w:szCs w:val="22"/>
        </w:rPr>
        <w:br/>
      </w:r>
      <w:r w:rsidRPr="002F615B">
        <w:rPr>
          <w:rFonts w:ascii="Arial" w:hAnsi="Arial" w:eastAsia="Calibri" w:cs="Arial"/>
          <w:szCs w:val="22"/>
        </w:rPr>
        <w:t>ACL revised the instrument questions to account more for state and grantee differences. For example, new structured and open-ended questions have been added at the beginning of the instrument to allow grantees to identify their main areas of focus and describe where the data they report are coming from so that ACL c</w:t>
      </w:r>
      <w:r w:rsidRPr="002F615B" w:rsidR="00733138">
        <w:rPr>
          <w:rFonts w:ascii="Arial" w:hAnsi="Arial" w:eastAsia="Calibri" w:cs="Arial"/>
          <w:szCs w:val="22"/>
        </w:rPr>
        <w:t xml:space="preserve">an interpret it appropriately. </w:t>
      </w:r>
      <w:r w:rsidRPr="002F615B" w:rsidR="00FF4F4C">
        <w:rPr>
          <w:rFonts w:ascii="Arial" w:hAnsi="Arial" w:eastAsia="Calibri" w:cs="Arial"/>
          <w:szCs w:val="22"/>
        </w:rPr>
        <w:t xml:space="preserve">Using skip patterns programmed into the online tool, additional questions related to these areas of focus will only appear to grantees who indicate they are working in those areas. </w:t>
      </w:r>
      <w:r w:rsidRPr="002F615B">
        <w:rPr>
          <w:rFonts w:ascii="Arial" w:hAnsi="Arial" w:eastAsia="Calibri" w:cs="Arial"/>
          <w:szCs w:val="22"/>
        </w:rPr>
        <w:t>ACL will program the instrument into the online system so that some grantees may be directed to answer or not to answer some questions depending on how they answer initial questions about their grant activities and scope</w:t>
      </w:r>
      <w:r w:rsidRPr="002F615B" w:rsidR="00733138">
        <w:rPr>
          <w:rFonts w:ascii="Arial" w:hAnsi="Arial" w:eastAsia="Calibri" w:cs="Arial"/>
          <w:szCs w:val="22"/>
        </w:rPr>
        <w:t xml:space="preserve">. </w:t>
      </w:r>
      <w:r w:rsidRPr="002F615B">
        <w:rPr>
          <w:rFonts w:ascii="Arial" w:hAnsi="Arial" w:eastAsia="Calibri" w:cs="Arial"/>
          <w:szCs w:val="22"/>
        </w:rPr>
        <w:t>Finally, an additional field</w:t>
      </w:r>
      <w:r w:rsidR="00DB365A">
        <w:rPr>
          <w:rFonts w:ascii="Arial" w:hAnsi="Arial" w:eastAsia="Calibri" w:cs="Arial"/>
          <w:szCs w:val="22"/>
        </w:rPr>
        <w:t xml:space="preserve"> has </w:t>
      </w:r>
      <w:r w:rsidRPr="002F615B">
        <w:rPr>
          <w:rFonts w:ascii="Arial" w:hAnsi="Arial" w:eastAsia="Calibri" w:cs="Arial"/>
          <w:szCs w:val="22"/>
        </w:rPr>
        <w:t>been added to most questions to allow grantees who do not respond or who can only respond partially to provide some descriptive notes about the data they submit.</w:t>
      </w:r>
    </w:p>
    <w:p w:rsidRPr="002F615B" w:rsidR="00AD49C9" w:rsidP="004E77BF" w:rsidRDefault="00AD49C9" w14:paraId="2DA2E4E2" w14:textId="683F1321">
      <w:pPr>
        <w:spacing w:after="160" w:line="259" w:lineRule="auto"/>
        <w:ind w:left="360"/>
        <w:rPr>
          <w:rFonts w:ascii="Arial" w:hAnsi="Arial" w:eastAsia="Calibri" w:cs="Arial"/>
          <w:szCs w:val="22"/>
        </w:rPr>
      </w:pPr>
      <w:r w:rsidRPr="002F615B">
        <w:rPr>
          <w:rFonts w:ascii="Arial" w:hAnsi="Arial" w:eastAsia="Calibri" w:cs="Arial"/>
          <w:b/>
          <w:i/>
          <w:szCs w:val="22"/>
        </w:rPr>
        <w:t>Estimating prevalence and unmet need:</w:t>
      </w:r>
      <w:r w:rsidRPr="002F615B">
        <w:rPr>
          <w:rFonts w:ascii="Arial" w:hAnsi="Arial" w:eastAsia="Calibri" w:cs="Arial"/>
          <w:b/>
          <w:szCs w:val="22"/>
        </w:rPr>
        <w:t xml:space="preserve"> </w:t>
      </w:r>
      <w:r w:rsidRPr="002F615B">
        <w:rPr>
          <w:rFonts w:ascii="Arial" w:hAnsi="Arial" w:eastAsia="Calibri" w:cs="Arial"/>
          <w:szCs w:val="22"/>
        </w:rPr>
        <w:t xml:space="preserve">Several commenters noted that reporting the prevalence of TBI and estimating the needs of people living with a TBI and their families </w:t>
      </w:r>
      <w:r w:rsidRPr="002F615B" w:rsidR="004E77BF">
        <w:rPr>
          <w:rFonts w:ascii="Arial" w:hAnsi="Arial" w:eastAsia="Calibri" w:cs="Arial"/>
          <w:szCs w:val="22"/>
        </w:rPr>
        <w:t>would</w:t>
      </w:r>
      <w:r w:rsidRPr="002F615B">
        <w:rPr>
          <w:rFonts w:ascii="Arial" w:hAnsi="Arial" w:eastAsia="Calibri" w:cs="Arial"/>
          <w:szCs w:val="22"/>
        </w:rPr>
        <w:t xml:space="preserve"> be very challenging for many grantees. Some noted that many states do not have registries or good/recent epidemiology data. Others indicated grantees would have no way of estimating the number of people who might need supports but are not accessing them. Several suggested that grantees might be able to respond to these questions if additional funding and/or technical assistance to carry out further study are provided.</w:t>
      </w:r>
    </w:p>
    <w:p w:rsidRPr="002F615B" w:rsidR="00AD49C9" w:rsidP="00A52C92" w:rsidRDefault="00AD49C9" w14:paraId="1C199EE8" w14:textId="1AE8C926">
      <w:pPr>
        <w:spacing w:after="160" w:line="259" w:lineRule="auto"/>
        <w:ind w:left="360"/>
        <w:rPr>
          <w:rFonts w:ascii="Arial" w:hAnsi="Arial" w:eastAsia="Calibri" w:cs="Arial"/>
          <w:sz w:val="32"/>
          <w:szCs w:val="22"/>
        </w:rPr>
      </w:pPr>
      <w:r w:rsidRPr="002F615B">
        <w:rPr>
          <w:rFonts w:ascii="Arial" w:hAnsi="Arial" w:eastAsia="Calibri" w:cs="Arial"/>
          <w:b/>
          <w:i/>
          <w:szCs w:val="22"/>
        </w:rPr>
        <w:t>Response</w:t>
      </w:r>
      <w:r w:rsidRPr="002F615B" w:rsidR="0092785B">
        <w:rPr>
          <w:rFonts w:ascii="Arial" w:hAnsi="Arial" w:eastAsia="Calibri" w:cs="Arial"/>
          <w:b/>
          <w:i/>
          <w:szCs w:val="22"/>
        </w:rPr>
        <w:t xml:space="preserve"> and Changes to Instrument</w:t>
      </w:r>
      <w:r w:rsidRPr="002F615B">
        <w:rPr>
          <w:rFonts w:ascii="Arial" w:hAnsi="Arial" w:eastAsia="Calibri" w:cs="Arial"/>
          <w:b/>
          <w:i/>
          <w:szCs w:val="22"/>
        </w:rPr>
        <w:t>:</w:t>
      </w:r>
      <w:r w:rsidRPr="002F615B">
        <w:rPr>
          <w:rFonts w:ascii="Arial" w:hAnsi="Arial" w:eastAsia="Calibri" w:cs="Arial"/>
          <w:szCs w:val="22"/>
        </w:rPr>
        <w:t xml:space="preserve"> </w:t>
      </w:r>
      <w:r w:rsidRPr="002F615B" w:rsidR="00FF4F4C">
        <w:rPr>
          <w:rFonts w:ascii="Arial" w:hAnsi="Arial" w:eastAsia="Calibri" w:cs="Arial"/>
          <w:szCs w:val="22"/>
        </w:rPr>
        <w:t xml:space="preserve">These questions </w:t>
      </w:r>
      <w:r w:rsidRPr="002F615B" w:rsidR="0092785B">
        <w:rPr>
          <w:rFonts w:ascii="Arial" w:hAnsi="Arial" w:eastAsia="Calibri" w:cs="Arial"/>
          <w:szCs w:val="22"/>
        </w:rPr>
        <w:t xml:space="preserve">have been eliminated from the </w:t>
      </w:r>
      <w:r w:rsidRPr="002F615B" w:rsidR="00FF4F4C">
        <w:rPr>
          <w:rFonts w:ascii="Arial" w:hAnsi="Arial" w:eastAsia="Calibri" w:cs="Arial"/>
          <w:szCs w:val="22"/>
        </w:rPr>
        <w:t xml:space="preserve">proposed </w:t>
      </w:r>
      <w:r w:rsidRPr="002F615B" w:rsidR="0092785B">
        <w:rPr>
          <w:rFonts w:ascii="Arial" w:hAnsi="Arial" w:eastAsia="Calibri" w:cs="Arial"/>
          <w:szCs w:val="22"/>
        </w:rPr>
        <w:t>instrument.</w:t>
      </w:r>
    </w:p>
    <w:p w:rsidR="00333ACE" w:rsidP="00A52C92" w:rsidRDefault="00AD49C9" w14:paraId="3954CF31" w14:textId="77777777">
      <w:pPr>
        <w:spacing w:after="160" w:line="259" w:lineRule="auto"/>
        <w:ind w:left="360"/>
        <w:rPr>
          <w:rFonts w:ascii="Arial" w:hAnsi="Arial" w:eastAsia="Calibri" w:cs="Arial"/>
          <w:b/>
          <w:i/>
          <w:szCs w:val="22"/>
        </w:rPr>
      </w:pPr>
      <w:r w:rsidRPr="002F615B">
        <w:rPr>
          <w:rFonts w:ascii="Arial" w:hAnsi="Arial" w:eastAsia="Calibri" w:cs="Arial"/>
          <w:b/>
          <w:i/>
          <w:szCs w:val="22"/>
        </w:rPr>
        <w:t>Defining services and supports:</w:t>
      </w:r>
      <w:r w:rsidRPr="002F615B">
        <w:rPr>
          <w:rFonts w:ascii="Arial" w:hAnsi="Arial" w:eastAsia="Calibri" w:cs="Arial"/>
          <w:b/>
          <w:szCs w:val="22"/>
        </w:rPr>
        <w:t xml:space="preserve"> </w:t>
      </w:r>
      <w:r w:rsidRPr="002F615B">
        <w:rPr>
          <w:rFonts w:ascii="Arial" w:hAnsi="Arial" w:eastAsia="Calibri" w:cs="Arial"/>
          <w:szCs w:val="22"/>
        </w:rPr>
        <w:t>Several commenters expressed concern that the instrument asked questions about “services and supports” and wondere</w:t>
      </w:r>
      <w:r w:rsidRPr="002F615B" w:rsidR="00733138">
        <w:rPr>
          <w:rFonts w:ascii="Arial" w:hAnsi="Arial" w:eastAsia="Calibri" w:cs="Arial"/>
          <w:szCs w:val="22"/>
        </w:rPr>
        <w:t xml:space="preserve">d what ACL means by that term. </w:t>
      </w:r>
      <w:r w:rsidRPr="002F615B">
        <w:rPr>
          <w:rFonts w:ascii="Arial" w:hAnsi="Arial" w:eastAsia="Calibri" w:cs="Arial"/>
          <w:szCs w:val="22"/>
        </w:rPr>
        <w:t>Noting that grantees are currently focusing on system change work and are not allowed to use grant funds to provide direct in-home hands-on services and supports, some asked whether the funding announcement for new grants will include a different set of objectives and scope than they have in the past. Finally, several commenters interpreted the term to mean Medicaid home and community-based services and noted that not all stat</w:t>
      </w:r>
      <w:r w:rsidRPr="002F615B" w:rsidR="00733138">
        <w:rPr>
          <w:rFonts w:ascii="Arial" w:hAnsi="Arial" w:eastAsia="Calibri" w:cs="Arial"/>
          <w:szCs w:val="22"/>
        </w:rPr>
        <w:t xml:space="preserve">es have a TBI Medicaid waiver. </w:t>
      </w:r>
      <w:r w:rsidRPr="002F615B">
        <w:rPr>
          <w:rFonts w:ascii="Arial" w:hAnsi="Arial" w:eastAsia="Calibri" w:cs="Arial"/>
          <w:szCs w:val="22"/>
        </w:rPr>
        <w:t xml:space="preserve">Those that do not are not likely to be able to access information about participants in other Medicaid waivers who are living with a TBI, so they would not be able to report </w:t>
      </w:r>
      <w:r w:rsidRPr="002F615B">
        <w:rPr>
          <w:rFonts w:ascii="Arial" w:hAnsi="Arial" w:eastAsia="Calibri" w:cs="Arial"/>
          <w:szCs w:val="22"/>
        </w:rPr>
        <w:lastRenderedPageBreak/>
        <w:t>about people with TBI receiving Medicaid services and supports.</w:t>
      </w:r>
      <w:r w:rsidR="00A52C92">
        <w:rPr>
          <w:rFonts w:ascii="Arial" w:hAnsi="Arial" w:eastAsia="Calibri" w:cs="Arial"/>
          <w:b/>
          <w:sz w:val="32"/>
          <w:szCs w:val="22"/>
        </w:rPr>
        <w:br/>
      </w:r>
      <w:r w:rsidRPr="002F615B">
        <w:rPr>
          <w:rFonts w:ascii="Arial" w:hAnsi="Arial" w:eastAsia="Calibri" w:cs="Arial"/>
          <w:b/>
          <w:i/>
          <w:szCs w:val="22"/>
        </w:rPr>
        <w:t>Response</w:t>
      </w:r>
      <w:r w:rsidRPr="002F615B" w:rsidR="0092785B">
        <w:rPr>
          <w:rFonts w:ascii="Arial" w:hAnsi="Arial" w:eastAsia="Calibri" w:cs="Arial"/>
          <w:b/>
          <w:i/>
          <w:szCs w:val="22"/>
        </w:rPr>
        <w:t xml:space="preserve"> and Changes to Instrument</w:t>
      </w:r>
      <w:r w:rsidRPr="002F615B">
        <w:rPr>
          <w:rFonts w:ascii="Arial" w:hAnsi="Arial" w:eastAsia="Calibri" w:cs="Arial"/>
          <w:b/>
          <w:i/>
          <w:szCs w:val="22"/>
        </w:rPr>
        <w:t>:</w:t>
      </w:r>
      <w:r w:rsidRPr="002F615B">
        <w:rPr>
          <w:rFonts w:ascii="Arial" w:hAnsi="Arial" w:eastAsia="Calibri" w:cs="Arial"/>
          <w:szCs w:val="22"/>
        </w:rPr>
        <w:t xml:space="preserve"> ACL does not intend for grantees to use grant funds to provide direct in-home hands-on services and supports, such as those provided through Medicaid HCBS programs. </w:t>
      </w:r>
      <w:r w:rsidRPr="002F615B" w:rsidR="0092785B">
        <w:rPr>
          <w:rFonts w:ascii="Arial" w:hAnsi="Arial" w:eastAsia="Calibri" w:cs="Arial"/>
          <w:szCs w:val="22"/>
        </w:rPr>
        <w:t xml:space="preserve">The instrument’s questions were revised </w:t>
      </w:r>
      <w:r w:rsidRPr="002F615B">
        <w:rPr>
          <w:rFonts w:ascii="Arial" w:hAnsi="Arial" w:eastAsia="Calibri" w:cs="Arial"/>
          <w:szCs w:val="22"/>
        </w:rPr>
        <w:t>to ask more clearly about the specific types of ways grantees may be assisting or supporting people with TBI and their families, such as with information and referral, screening, resource facilitation, service coordination/case management, outreach and education, building stronger partnerships</w:t>
      </w:r>
      <w:r w:rsidR="00A52C92">
        <w:rPr>
          <w:rFonts w:ascii="Arial" w:hAnsi="Arial" w:eastAsia="Calibri" w:cs="Arial"/>
          <w:szCs w:val="22"/>
        </w:rPr>
        <w:t xml:space="preserve">, and other systems change work. </w:t>
      </w:r>
      <w:r w:rsidR="00A52C92">
        <w:rPr>
          <w:rFonts w:ascii="Arial" w:hAnsi="Arial" w:eastAsia="Calibri" w:cs="Arial"/>
          <w:b/>
          <w:sz w:val="32"/>
          <w:szCs w:val="22"/>
        </w:rPr>
        <w:br/>
      </w:r>
      <w:r w:rsidR="00A52C92">
        <w:rPr>
          <w:rFonts w:ascii="Arial" w:hAnsi="Arial" w:eastAsia="Calibri" w:cs="Arial"/>
          <w:b/>
          <w:sz w:val="32"/>
          <w:szCs w:val="22"/>
        </w:rPr>
        <w:br/>
      </w:r>
      <w:r w:rsidRPr="002F615B" w:rsidR="00FF4F4C">
        <w:rPr>
          <w:rFonts w:ascii="Arial" w:hAnsi="Arial" w:eastAsia="Calibri" w:cs="Arial"/>
          <w:szCs w:val="22"/>
        </w:rPr>
        <w:t xml:space="preserve">The remaining </w:t>
      </w:r>
      <w:r w:rsidRPr="002F615B">
        <w:rPr>
          <w:rFonts w:ascii="Arial" w:hAnsi="Arial" w:eastAsia="Calibri" w:cs="Arial"/>
          <w:szCs w:val="22"/>
        </w:rPr>
        <w:t>questions about utilization of home and community-based services and supports are intended to capture information about the extent to which people with TBI who are eligible for these types of services are accessing them, wh</w:t>
      </w:r>
      <w:r w:rsidRPr="002F615B" w:rsidR="00733138">
        <w:rPr>
          <w:rFonts w:ascii="Arial" w:hAnsi="Arial" w:eastAsia="Calibri" w:cs="Arial"/>
          <w:szCs w:val="22"/>
        </w:rPr>
        <w:t>ich may be an indicator of long-</w:t>
      </w:r>
      <w:r w:rsidRPr="002F615B">
        <w:rPr>
          <w:rFonts w:ascii="Arial" w:hAnsi="Arial" w:eastAsia="Calibri" w:cs="Arial"/>
          <w:szCs w:val="22"/>
        </w:rPr>
        <w:t xml:space="preserve">term systems change that grantees are working towards. These questions </w:t>
      </w:r>
      <w:r w:rsidRPr="002F615B" w:rsidR="0092785B">
        <w:rPr>
          <w:rFonts w:ascii="Arial" w:hAnsi="Arial" w:eastAsia="Calibri" w:cs="Arial"/>
          <w:szCs w:val="22"/>
        </w:rPr>
        <w:t>will only</w:t>
      </w:r>
      <w:r w:rsidRPr="002F615B">
        <w:rPr>
          <w:rFonts w:ascii="Arial" w:hAnsi="Arial" w:eastAsia="Calibri" w:cs="Arial"/>
          <w:szCs w:val="22"/>
        </w:rPr>
        <w:t xml:space="preserve"> be applicable to grantees specifically working to increase access to and utilization of home and community-based services in their states.</w:t>
      </w:r>
      <w:r w:rsidR="00A52C92">
        <w:rPr>
          <w:rFonts w:ascii="Arial" w:hAnsi="Arial" w:eastAsia="Calibri" w:cs="Arial"/>
          <w:b/>
          <w:sz w:val="32"/>
          <w:szCs w:val="22"/>
        </w:rPr>
        <w:br/>
      </w:r>
      <w:r w:rsidR="00A52C92">
        <w:rPr>
          <w:rFonts w:ascii="Arial" w:hAnsi="Arial" w:eastAsia="Calibri" w:cs="Arial"/>
          <w:b/>
          <w:sz w:val="32"/>
          <w:szCs w:val="22"/>
        </w:rPr>
        <w:br/>
      </w:r>
    </w:p>
    <w:p w:rsidR="00AD49C9" w:rsidP="00A52C92" w:rsidRDefault="00AD49C9" w14:paraId="624FAEDB" w14:textId="2B2A2FF4">
      <w:pPr>
        <w:spacing w:after="160" w:line="259" w:lineRule="auto"/>
        <w:ind w:left="360"/>
        <w:rPr>
          <w:rFonts w:ascii="Arial" w:hAnsi="Arial" w:eastAsia="Calibri" w:cs="Arial"/>
          <w:szCs w:val="22"/>
        </w:rPr>
      </w:pPr>
      <w:r w:rsidRPr="002F615B">
        <w:rPr>
          <w:rFonts w:ascii="Arial" w:hAnsi="Arial" w:eastAsia="Calibri" w:cs="Arial"/>
          <w:b/>
          <w:i/>
          <w:szCs w:val="22"/>
        </w:rPr>
        <w:t>Medically oriented questions:</w:t>
      </w:r>
      <w:r w:rsidRPr="002F615B">
        <w:rPr>
          <w:rFonts w:ascii="Arial" w:hAnsi="Arial" w:eastAsia="Calibri" w:cs="Arial"/>
          <w:szCs w:val="22"/>
        </w:rPr>
        <w:t xml:space="preserve"> Several commenters expressed confusion about the instrument including questions they interpreted to be medically oriented, such as questions about technological t</w:t>
      </w:r>
      <w:r w:rsidRPr="002F615B" w:rsidR="00733138">
        <w:rPr>
          <w:rFonts w:ascii="Arial" w:hAnsi="Arial" w:eastAsia="Calibri" w:cs="Arial"/>
          <w:szCs w:val="22"/>
        </w:rPr>
        <w:t xml:space="preserve">ools, diagnosis, and treatment. </w:t>
      </w:r>
      <w:r w:rsidRPr="002F615B">
        <w:rPr>
          <w:rFonts w:ascii="Arial" w:hAnsi="Arial" w:eastAsia="Calibri" w:cs="Arial"/>
          <w:szCs w:val="22"/>
        </w:rPr>
        <w:t xml:space="preserve">They noted that grant activities </w:t>
      </w:r>
      <w:r w:rsidRPr="002F615B" w:rsidR="004E77BF">
        <w:rPr>
          <w:rFonts w:ascii="Arial" w:hAnsi="Arial" w:eastAsia="Calibri" w:cs="Arial"/>
          <w:szCs w:val="22"/>
        </w:rPr>
        <w:t>might</w:t>
      </w:r>
      <w:r w:rsidRPr="002F615B">
        <w:rPr>
          <w:rFonts w:ascii="Arial" w:hAnsi="Arial" w:eastAsia="Calibri" w:cs="Arial"/>
          <w:szCs w:val="22"/>
        </w:rPr>
        <w:t xml:space="preserve"> include screening people to identify a history of TBI and/or to better support people with TBI to live more fully in the community – but not diagnosis or medical treatment. They noted these questions would not be applicable to many grantees nor would grantees have access to data about diagnoses and treatment.  </w:t>
      </w:r>
      <w:r w:rsidR="00A52C92">
        <w:rPr>
          <w:rFonts w:ascii="Arial" w:hAnsi="Arial" w:eastAsia="Calibri" w:cs="Arial"/>
          <w:b/>
          <w:sz w:val="32"/>
          <w:szCs w:val="22"/>
        </w:rPr>
        <w:br/>
      </w:r>
      <w:r w:rsidR="00A52C92">
        <w:rPr>
          <w:rFonts w:ascii="Arial" w:hAnsi="Arial" w:eastAsia="Calibri" w:cs="Arial"/>
          <w:b/>
          <w:i/>
          <w:szCs w:val="22"/>
        </w:rPr>
        <w:br/>
      </w:r>
      <w:r w:rsidRPr="002F615B">
        <w:rPr>
          <w:rFonts w:ascii="Arial" w:hAnsi="Arial" w:eastAsia="Calibri" w:cs="Arial"/>
          <w:b/>
          <w:i/>
          <w:szCs w:val="22"/>
        </w:rPr>
        <w:t>Response</w:t>
      </w:r>
      <w:r w:rsidRPr="002F615B" w:rsidR="0092785B">
        <w:rPr>
          <w:rFonts w:ascii="Arial" w:hAnsi="Arial" w:eastAsia="Calibri" w:cs="Arial"/>
          <w:b/>
          <w:i/>
          <w:szCs w:val="22"/>
        </w:rPr>
        <w:t xml:space="preserve"> and Changes to Instrument</w:t>
      </w:r>
      <w:r w:rsidRPr="002F615B">
        <w:rPr>
          <w:rFonts w:ascii="Arial" w:hAnsi="Arial" w:eastAsia="Calibri" w:cs="Arial"/>
          <w:b/>
          <w:i/>
          <w:szCs w:val="22"/>
        </w:rPr>
        <w:t>:</w:t>
      </w:r>
      <w:r w:rsidRPr="002F615B">
        <w:rPr>
          <w:rFonts w:ascii="Arial" w:hAnsi="Arial" w:eastAsia="Calibri" w:cs="Arial"/>
          <w:i/>
          <w:szCs w:val="22"/>
        </w:rPr>
        <w:t xml:space="preserve"> </w:t>
      </w:r>
      <w:r w:rsidRPr="002F615B">
        <w:rPr>
          <w:rFonts w:ascii="Arial" w:hAnsi="Arial" w:eastAsia="Calibri" w:cs="Arial"/>
          <w:szCs w:val="22"/>
        </w:rPr>
        <w:t xml:space="preserve">The instrument questions </w:t>
      </w:r>
      <w:r w:rsidRPr="002F615B" w:rsidR="0092785B">
        <w:rPr>
          <w:rFonts w:ascii="Arial" w:hAnsi="Arial" w:eastAsia="Calibri" w:cs="Arial"/>
          <w:szCs w:val="22"/>
        </w:rPr>
        <w:t xml:space="preserve">have been </w:t>
      </w:r>
      <w:r w:rsidRPr="002F615B">
        <w:rPr>
          <w:rFonts w:ascii="Arial" w:hAnsi="Arial" w:eastAsia="Calibri" w:cs="Arial"/>
          <w:szCs w:val="22"/>
        </w:rPr>
        <w:t xml:space="preserve">revised to ask more clearly about the specific ways grantees may be assisting people with TBI and their families, such as by screening for a lifetime history of TBI and facilitating access to community-based services. Questions about diagnosis and treatment </w:t>
      </w:r>
      <w:r w:rsidR="00B95BD3">
        <w:rPr>
          <w:rFonts w:ascii="Arial" w:hAnsi="Arial" w:eastAsia="Calibri" w:cs="Arial"/>
          <w:szCs w:val="22"/>
        </w:rPr>
        <w:t>are</w:t>
      </w:r>
      <w:r w:rsidRPr="002F615B" w:rsidR="0092785B">
        <w:rPr>
          <w:rFonts w:ascii="Arial" w:hAnsi="Arial" w:eastAsia="Calibri" w:cs="Arial"/>
          <w:szCs w:val="22"/>
        </w:rPr>
        <w:t xml:space="preserve"> </w:t>
      </w:r>
      <w:r w:rsidRPr="002F615B">
        <w:rPr>
          <w:rFonts w:ascii="Arial" w:hAnsi="Arial" w:eastAsia="Calibri" w:cs="Arial"/>
          <w:szCs w:val="22"/>
        </w:rPr>
        <w:t xml:space="preserve">removed. </w:t>
      </w:r>
    </w:p>
    <w:p w:rsidRPr="00450692" w:rsidR="00450692" w:rsidP="00A52C92" w:rsidRDefault="00450692" w14:paraId="40703EFC" w14:textId="2A0A50E1">
      <w:pPr>
        <w:spacing w:after="160" w:line="259" w:lineRule="auto"/>
        <w:ind w:left="360"/>
        <w:rPr>
          <w:rFonts w:ascii="Arial" w:hAnsi="Arial" w:eastAsia="Calibri" w:cs="Arial"/>
          <w:sz w:val="32"/>
          <w:szCs w:val="22"/>
        </w:rPr>
      </w:pPr>
      <w:r>
        <w:rPr>
          <w:rFonts w:ascii="Arial" w:hAnsi="Arial" w:eastAsia="Calibri" w:cs="Arial"/>
          <w:szCs w:val="22"/>
        </w:rPr>
        <w:t xml:space="preserve">A 30-day Federal Register Notice published in the FR </w:t>
      </w:r>
      <w:r w:rsidR="00B95BD3">
        <w:rPr>
          <w:rFonts w:ascii="Arial" w:hAnsi="Arial" w:eastAsia="Calibri" w:cs="Arial"/>
          <w:szCs w:val="22"/>
        </w:rPr>
        <w:t xml:space="preserve">85 6198 on February 4, 2020. </w:t>
      </w:r>
      <w:bookmarkStart w:name="_GoBack" w:id="0"/>
      <w:bookmarkEnd w:id="0"/>
    </w:p>
    <w:p w:rsidRPr="002F615B" w:rsidR="0052305B" w:rsidP="004E77BF" w:rsidRDefault="0052305B" w14:paraId="39DEA8C3" w14:textId="1BF237BD">
      <w:pPr>
        <w:pStyle w:val="BodyText"/>
        <w:spacing w:line="240" w:lineRule="auto"/>
        <w:ind w:left="360"/>
        <w:rPr>
          <w:rFonts w:ascii="Arial" w:hAnsi="Arial" w:cs="Arial"/>
          <w:sz w:val="24"/>
        </w:rPr>
      </w:pPr>
    </w:p>
    <w:p w:rsidRPr="002F615B" w:rsidR="003C4ED0" w:rsidP="00CD0A09" w:rsidRDefault="009E1F12" w14:paraId="2DFD246C" w14:textId="3DB75CC0">
      <w:pPr>
        <w:pStyle w:val="BodyText"/>
        <w:numPr>
          <w:ilvl w:val="0"/>
          <w:numId w:val="26"/>
        </w:numPr>
        <w:spacing w:line="240" w:lineRule="auto"/>
        <w:rPr>
          <w:rFonts w:ascii="Arial" w:hAnsi="Arial" w:cs="Arial"/>
          <w:b/>
          <w:snapToGrid/>
          <w:sz w:val="24"/>
        </w:rPr>
      </w:pPr>
      <w:r w:rsidRPr="002F615B">
        <w:rPr>
          <w:rFonts w:ascii="Arial" w:hAnsi="Arial" w:cs="Arial"/>
          <w:b/>
          <w:snapToGrid/>
          <w:sz w:val="24"/>
        </w:rPr>
        <w:t>Explanation of Any Payment or Gift to Respondents</w:t>
      </w:r>
    </w:p>
    <w:p w:rsidRPr="002F615B" w:rsidR="00FC7674" w:rsidP="004E77BF" w:rsidRDefault="00FC7674" w14:paraId="1FC40317" w14:textId="77777777">
      <w:pPr>
        <w:pStyle w:val="BodyText"/>
        <w:spacing w:line="240" w:lineRule="auto"/>
        <w:ind w:left="360"/>
        <w:rPr>
          <w:rFonts w:ascii="Arial" w:hAnsi="Arial" w:cs="Arial"/>
          <w:b/>
          <w:sz w:val="28"/>
        </w:rPr>
      </w:pPr>
    </w:p>
    <w:p w:rsidR="00CD0A09" w:rsidP="00A52C92" w:rsidRDefault="003C4ED0" w14:paraId="2DD2E110" w14:textId="77777777">
      <w:pPr>
        <w:pStyle w:val="BodyText"/>
        <w:spacing w:line="240" w:lineRule="auto"/>
        <w:ind w:left="720"/>
        <w:rPr>
          <w:rFonts w:ascii="Arial" w:hAnsi="Arial" w:cs="Arial"/>
          <w:sz w:val="24"/>
        </w:rPr>
      </w:pPr>
      <w:r w:rsidRPr="002F615B">
        <w:rPr>
          <w:rFonts w:ascii="Arial" w:hAnsi="Arial" w:cs="Arial"/>
          <w:sz w:val="24"/>
        </w:rPr>
        <w:t>No payment to respondents is required as part of this data collection</w:t>
      </w:r>
      <w:r w:rsidRPr="002F615B" w:rsidR="00D4096D">
        <w:rPr>
          <w:rFonts w:ascii="Arial" w:hAnsi="Arial" w:cs="Arial"/>
          <w:sz w:val="24"/>
        </w:rPr>
        <w:t>.</w:t>
      </w:r>
    </w:p>
    <w:p w:rsidR="00CD0A09" w:rsidP="00A52C92" w:rsidRDefault="00CD0A09" w14:paraId="3699E4F9" w14:textId="77777777">
      <w:pPr>
        <w:pStyle w:val="BodyText"/>
        <w:spacing w:line="240" w:lineRule="auto"/>
        <w:ind w:left="720"/>
        <w:rPr>
          <w:rFonts w:ascii="Arial" w:hAnsi="Arial" w:cs="Arial"/>
          <w:sz w:val="24"/>
        </w:rPr>
      </w:pPr>
    </w:p>
    <w:p w:rsidRPr="00A52C92" w:rsidR="003C4ED0" w:rsidP="00CD0A09" w:rsidRDefault="009E1F12" w14:paraId="4B216B5C" w14:textId="3A8F3342">
      <w:pPr>
        <w:pStyle w:val="BodyText"/>
        <w:numPr>
          <w:ilvl w:val="0"/>
          <w:numId w:val="26"/>
        </w:numPr>
        <w:spacing w:line="240" w:lineRule="auto"/>
        <w:rPr>
          <w:rFonts w:ascii="Arial" w:hAnsi="Arial" w:cs="Arial"/>
          <w:sz w:val="24"/>
        </w:rPr>
      </w:pPr>
      <w:r w:rsidRPr="002F615B">
        <w:rPr>
          <w:rFonts w:ascii="Arial" w:hAnsi="Arial" w:cs="Arial"/>
          <w:b/>
          <w:snapToGrid/>
          <w:sz w:val="24"/>
        </w:rPr>
        <w:t>Assurance of Confidentiality Provided to Respondents</w:t>
      </w:r>
    </w:p>
    <w:p w:rsidRPr="002F615B" w:rsidR="00FC7674" w:rsidP="004E77BF" w:rsidRDefault="00FC7674" w14:paraId="3E6E11F5" w14:textId="55115E09">
      <w:pPr>
        <w:pStyle w:val="BodyText"/>
        <w:spacing w:line="240" w:lineRule="auto"/>
        <w:ind w:left="720"/>
        <w:rPr>
          <w:rFonts w:ascii="Arial" w:hAnsi="Arial" w:cs="Arial"/>
          <w:b/>
          <w:sz w:val="28"/>
        </w:rPr>
      </w:pPr>
    </w:p>
    <w:p w:rsidR="00A52C92" w:rsidP="00A52C92" w:rsidRDefault="000B2FCA" w14:paraId="589A6989" w14:textId="77777777">
      <w:pPr>
        <w:pStyle w:val="BodyText"/>
        <w:spacing w:line="240" w:lineRule="auto"/>
        <w:ind w:left="360" w:firstLine="360"/>
        <w:rPr>
          <w:rFonts w:ascii="Arial" w:hAnsi="Arial" w:cs="Arial"/>
          <w:sz w:val="24"/>
        </w:rPr>
      </w:pPr>
      <w:r w:rsidRPr="002F615B">
        <w:rPr>
          <w:rFonts w:ascii="Arial" w:hAnsi="Arial" w:cs="Arial"/>
          <w:sz w:val="24"/>
        </w:rPr>
        <w:t>As</w:t>
      </w:r>
      <w:r w:rsidRPr="002F615B" w:rsidR="003C4ED0">
        <w:rPr>
          <w:rFonts w:ascii="Arial" w:hAnsi="Arial" w:cs="Arial"/>
          <w:sz w:val="24"/>
        </w:rPr>
        <w:t xml:space="preserve"> no individual</w:t>
      </w:r>
      <w:r w:rsidRPr="002F615B" w:rsidR="0084121E">
        <w:rPr>
          <w:rFonts w:ascii="Arial" w:hAnsi="Arial" w:cs="Arial"/>
          <w:sz w:val="24"/>
        </w:rPr>
        <w:t>s are</w:t>
      </w:r>
      <w:r w:rsidRPr="002F615B" w:rsidR="003C4ED0">
        <w:rPr>
          <w:rFonts w:ascii="Arial" w:hAnsi="Arial" w:cs="Arial"/>
          <w:sz w:val="24"/>
        </w:rPr>
        <w:t xml:space="preserve"> identified in the data collection process </w:t>
      </w:r>
      <w:r w:rsidRPr="002F615B" w:rsidR="0084121E">
        <w:rPr>
          <w:rFonts w:ascii="Arial" w:hAnsi="Arial" w:cs="Arial"/>
          <w:sz w:val="24"/>
        </w:rPr>
        <w:t xml:space="preserve">and all data are group-level, </w:t>
      </w:r>
      <w:r w:rsidRPr="002F615B" w:rsidR="003C4ED0">
        <w:rPr>
          <w:rFonts w:ascii="Arial" w:hAnsi="Arial" w:cs="Arial"/>
          <w:sz w:val="24"/>
        </w:rPr>
        <w:t xml:space="preserve">no assurance of confidentiality </w:t>
      </w:r>
      <w:r w:rsidRPr="002F615B" w:rsidR="00133F7F">
        <w:rPr>
          <w:rFonts w:ascii="Arial" w:hAnsi="Arial" w:cs="Arial"/>
          <w:sz w:val="24"/>
        </w:rPr>
        <w:t>will be needed.</w:t>
      </w:r>
    </w:p>
    <w:p w:rsidR="00A52C92" w:rsidP="00A52C92" w:rsidRDefault="00A52C92" w14:paraId="437CFEAC" w14:textId="77777777">
      <w:pPr>
        <w:pStyle w:val="BodyText"/>
        <w:spacing w:line="240" w:lineRule="auto"/>
        <w:ind w:left="360" w:firstLine="360"/>
        <w:rPr>
          <w:rFonts w:ascii="Arial" w:hAnsi="Arial" w:cs="Arial"/>
          <w:sz w:val="24"/>
        </w:rPr>
      </w:pPr>
    </w:p>
    <w:p w:rsidRPr="00A52C92" w:rsidR="00E75601" w:rsidP="00CD0A09" w:rsidRDefault="009E1F12" w14:paraId="54279751" w14:textId="2DA655F5">
      <w:pPr>
        <w:pStyle w:val="BodyText"/>
        <w:numPr>
          <w:ilvl w:val="0"/>
          <w:numId w:val="26"/>
        </w:numPr>
        <w:spacing w:line="240" w:lineRule="auto"/>
        <w:rPr>
          <w:rFonts w:ascii="Arial" w:hAnsi="Arial" w:cs="Arial"/>
          <w:sz w:val="24"/>
        </w:rPr>
      </w:pPr>
      <w:r w:rsidRPr="002F615B">
        <w:rPr>
          <w:rFonts w:ascii="Arial" w:hAnsi="Arial" w:cs="Arial"/>
          <w:b/>
          <w:snapToGrid/>
          <w:sz w:val="24"/>
        </w:rPr>
        <w:t>Justification for Sensitive Questions</w:t>
      </w:r>
    </w:p>
    <w:p w:rsidRPr="002F615B" w:rsidR="00FC7674" w:rsidP="004E77BF" w:rsidRDefault="00FC7674" w14:paraId="1FB3C689" w14:textId="77777777">
      <w:pPr>
        <w:pStyle w:val="BodyText"/>
        <w:spacing w:line="240" w:lineRule="auto"/>
        <w:ind w:left="720"/>
        <w:rPr>
          <w:rFonts w:ascii="Arial" w:hAnsi="Arial" w:cs="Arial"/>
          <w:b/>
          <w:sz w:val="28"/>
        </w:rPr>
      </w:pPr>
    </w:p>
    <w:p w:rsidRPr="002F615B" w:rsidR="005A3300" w:rsidP="004E77BF" w:rsidRDefault="003C4ED0" w14:paraId="0DE4DFB0" w14:textId="77777777">
      <w:pPr>
        <w:pStyle w:val="BodyText"/>
        <w:spacing w:line="240" w:lineRule="auto"/>
        <w:ind w:left="360"/>
        <w:rPr>
          <w:rFonts w:ascii="Arial" w:hAnsi="Arial" w:cs="Arial"/>
          <w:sz w:val="24"/>
        </w:rPr>
      </w:pPr>
      <w:r w:rsidRPr="002F615B">
        <w:rPr>
          <w:rFonts w:ascii="Arial" w:hAnsi="Arial" w:cs="Arial"/>
          <w:sz w:val="24"/>
        </w:rPr>
        <w:t xml:space="preserve">The data collection instruments </w:t>
      </w:r>
      <w:r w:rsidRPr="002F615B" w:rsidR="00133F7F">
        <w:rPr>
          <w:rFonts w:ascii="Arial" w:hAnsi="Arial" w:cs="Arial"/>
          <w:sz w:val="24"/>
        </w:rPr>
        <w:t xml:space="preserve">will not </w:t>
      </w:r>
      <w:r w:rsidRPr="002F615B">
        <w:rPr>
          <w:rFonts w:ascii="Arial" w:hAnsi="Arial" w:cs="Arial"/>
          <w:sz w:val="24"/>
        </w:rPr>
        <w:t>collect any data of a sensitive nature</w:t>
      </w:r>
      <w:r w:rsidRPr="002F615B" w:rsidR="006F4A21">
        <w:rPr>
          <w:rFonts w:ascii="Arial" w:hAnsi="Arial" w:cs="Arial"/>
          <w:sz w:val="24"/>
        </w:rPr>
        <w:t>.</w:t>
      </w:r>
    </w:p>
    <w:p w:rsidRPr="002F615B" w:rsidR="005A3300" w:rsidP="004E77BF" w:rsidRDefault="005A3300" w14:paraId="20660D93" w14:textId="49A23308">
      <w:pPr>
        <w:rPr>
          <w:rFonts w:ascii="Arial" w:hAnsi="Arial" w:cs="Arial"/>
          <w:sz w:val="28"/>
        </w:rPr>
      </w:pPr>
    </w:p>
    <w:p w:rsidRPr="002F615B" w:rsidR="00CF1937" w:rsidP="004E77BF" w:rsidRDefault="00C97A70" w14:paraId="06238172" w14:textId="35CE5F4C">
      <w:pPr>
        <w:ind w:left="360"/>
        <w:rPr>
          <w:rFonts w:ascii="Arial" w:hAnsi="Arial" w:cs="Arial"/>
          <w:b/>
        </w:rPr>
      </w:pPr>
      <w:r w:rsidRPr="002F615B">
        <w:rPr>
          <w:rFonts w:ascii="Arial" w:hAnsi="Arial" w:cs="Arial"/>
          <w:b/>
        </w:rPr>
        <w:t>12.</w:t>
      </w:r>
      <w:r w:rsidRPr="002F615B" w:rsidR="00A90DD1">
        <w:rPr>
          <w:rFonts w:ascii="Arial" w:hAnsi="Arial" w:cs="Arial"/>
          <w:b/>
        </w:rPr>
        <w:t xml:space="preserve"> </w:t>
      </w:r>
      <w:r w:rsidRPr="002F615B" w:rsidR="009E1F12">
        <w:rPr>
          <w:rFonts w:ascii="Arial" w:hAnsi="Arial" w:cs="Arial"/>
          <w:b/>
        </w:rPr>
        <w:t>Estimates of Annualized Burden Hours and Costs</w:t>
      </w:r>
    </w:p>
    <w:p w:rsidRPr="002F615B" w:rsidR="00FC7674" w:rsidP="004E77BF" w:rsidRDefault="00FC7674" w14:paraId="4ED44A23" w14:textId="77777777">
      <w:pPr>
        <w:ind w:left="360"/>
        <w:rPr>
          <w:rFonts w:ascii="Arial" w:hAnsi="Arial" w:cs="Arial"/>
          <w:b/>
          <w:sz w:val="28"/>
        </w:rPr>
      </w:pPr>
    </w:p>
    <w:p w:rsidRPr="002F615B" w:rsidR="00133F7F" w:rsidP="004E77BF" w:rsidRDefault="00CF1937" w14:paraId="1B299901" w14:textId="77777777">
      <w:pPr>
        <w:pStyle w:val="BodyText"/>
        <w:spacing w:after="120" w:line="240" w:lineRule="auto"/>
        <w:ind w:firstLine="360"/>
        <w:rPr>
          <w:rFonts w:ascii="Arial" w:hAnsi="Arial" w:cs="Arial"/>
          <w:sz w:val="24"/>
        </w:rPr>
      </w:pPr>
      <w:r w:rsidRPr="002F615B">
        <w:rPr>
          <w:rFonts w:ascii="Arial" w:hAnsi="Arial" w:cs="Arial"/>
          <w:sz w:val="24"/>
        </w:rPr>
        <w:t>The annua</w:t>
      </w:r>
      <w:r w:rsidRPr="002F615B" w:rsidR="00F51139">
        <w:rPr>
          <w:rFonts w:ascii="Arial" w:hAnsi="Arial" w:cs="Arial"/>
          <w:sz w:val="24"/>
        </w:rPr>
        <w:t>l burden estimate</w:t>
      </w:r>
      <w:r w:rsidRPr="002F615B" w:rsidR="00133F7F">
        <w:rPr>
          <w:rFonts w:ascii="Arial" w:hAnsi="Arial" w:cs="Arial"/>
          <w:sz w:val="24"/>
        </w:rPr>
        <w:t xml:space="preserve">s are </w:t>
      </w:r>
      <w:r w:rsidRPr="002F615B" w:rsidR="004E0EBF">
        <w:rPr>
          <w:rFonts w:ascii="Arial" w:hAnsi="Arial" w:cs="Arial"/>
          <w:sz w:val="24"/>
        </w:rPr>
        <w:t xml:space="preserve">shown below. </w:t>
      </w:r>
    </w:p>
    <w:tbl>
      <w:tblPr>
        <w:tblStyle w:val="LightGrid"/>
        <w:tblW w:w="9881" w:type="dxa"/>
        <w:tblInd w:w="468" w:type="dxa"/>
        <w:tblLayout w:type="fixed"/>
        <w:tblLook w:val="0600" w:firstRow="0" w:lastRow="0" w:firstColumn="0" w:lastColumn="0" w:noHBand="1" w:noVBand="1"/>
      </w:tblPr>
      <w:tblGrid>
        <w:gridCol w:w="1731"/>
        <w:gridCol w:w="1599"/>
        <w:gridCol w:w="2520"/>
        <w:gridCol w:w="2250"/>
        <w:gridCol w:w="1781"/>
      </w:tblGrid>
      <w:tr w:rsidRPr="002F615B" w:rsidR="00484861" w:rsidTr="00F27E43" w14:paraId="573060F2" w14:textId="77777777">
        <w:trPr>
          <w:trHeight w:val="839"/>
        </w:trPr>
        <w:tc>
          <w:tcPr>
            <w:tcW w:w="1731" w:type="dxa"/>
            <w:vAlign w:val="bottom"/>
          </w:tcPr>
          <w:p w:rsidRPr="002F615B" w:rsidR="00484861" w:rsidP="004E77BF" w:rsidRDefault="00484861" w14:paraId="25DF83BF" w14:textId="77777777">
            <w:pPr>
              <w:tabs>
                <w:tab w:val="left" w:pos="-720"/>
              </w:tabs>
              <w:suppressAutoHyphens/>
              <w:spacing w:line="480" w:lineRule="auto"/>
              <w:rPr>
                <w:rFonts w:ascii="Arial" w:hAnsi="Arial" w:cs="Arial"/>
                <w:szCs w:val="24"/>
              </w:rPr>
            </w:pPr>
            <w:r w:rsidRPr="002F615B">
              <w:rPr>
                <w:rFonts w:ascii="Arial" w:hAnsi="Arial" w:cs="Arial"/>
                <w:szCs w:val="24"/>
              </w:rPr>
              <w:t>Instrument</w:t>
            </w:r>
          </w:p>
        </w:tc>
        <w:tc>
          <w:tcPr>
            <w:tcW w:w="1599" w:type="dxa"/>
            <w:vAlign w:val="bottom"/>
          </w:tcPr>
          <w:p w:rsidRPr="002F615B" w:rsidR="00484861" w:rsidP="004E77BF" w:rsidRDefault="00484861" w14:paraId="0ACDFBB3" w14:textId="0684E8DB">
            <w:pPr>
              <w:tabs>
                <w:tab w:val="left" w:pos="-720"/>
              </w:tabs>
              <w:suppressAutoHyphens/>
              <w:rPr>
                <w:rFonts w:ascii="Arial" w:hAnsi="Arial" w:cs="Arial"/>
                <w:szCs w:val="24"/>
              </w:rPr>
            </w:pPr>
            <w:r w:rsidRPr="002F615B">
              <w:rPr>
                <w:rFonts w:ascii="Arial" w:hAnsi="Arial" w:cs="Arial"/>
                <w:szCs w:val="24"/>
              </w:rPr>
              <w:t>Number of Respndents</w:t>
            </w:r>
          </w:p>
        </w:tc>
        <w:tc>
          <w:tcPr>
            <w:tcW w:w="2520" w:type="dxa"/>
            <w:vAlign w:val="bottom"/>
          </w:tcPr>
          <w:p w:rsidRPr="002F615B" w:rsidR="00F27E43" w:rsidP="004E77BF" w:rsidRDefault="00484861" w14:paraId="48F456D8" w14:textId="5170348D">
            <w:pPr>
              <w:tabs>
                <w:tab w:val="left" w:pos="-720"/>
              </w:tabs>
              <w:suppressAutoHyphens/>
              <w:rPr>
                <w:rFonts w:ascii="Arial" w:hAnsi="Arial" w:cs="Arial"/>
                <w:szCs w:val="24"/>
              </w:rPr>
            </w:pPr>
            <w:r w:rsidRPr="002F615B">
              <w:rPr>
                <w:rFonts w:ascii="Arial" w:hAnsi="Arial" w:cs="Arial"/>
                <w:szCs w:val="24"/>
              </w:rPr>
              <w:t>Number of Responses</w:t>
            </w:r>
          </w:p>
          <w:p w:rsidRPr="002F615B" w:rsidR="00484861" w:rsidP="004E77BF" w:rsidRDefault="00F27E43" w14:paraId="1B3DB62E" w14:textId="653182FD">
            <w:pPr>
              <w:tabs>
                <w:tab w:val="left" w:pos="-720"/>
              </w:tabs>
              <w:suppressAutoHyphens/>
              <w:rPr>
                <w:rFonts w:ascii="Arial" w:hAnsi="Arial" w:cs="Arial"/>
                <w:szCs w:val="24"/>
              </w:rPr>
            </w:pPr>
            <w:r w:rsidRPr="002F615B">
              <w:rPr>
                <w:rFonts w:ascii="Arial" w:hAnsi="Arial" w:cs="Arial"/>
                <w:szCs w:val="24"/>
              </w:rPr>
              <w:t>(per r</w:t>
            </w:r>
            <w:r w:rsidRPr="002F615B" w:rsidR="00484861">
              <w:rPr>
                <w:rFonts w:ascii="Arial" w:hAnsi="Arial" w:cs="Arial"/>
                <w:szCs w:val="24"/>
              </w:rPr>
              <w:t>espondent</w:t>
            </w:r>
            <w:r w:rsidRPr="002F615B">
              <w:rPr>
                <w:rFonts w:ascii="Arial" w:hAnsi="Arial" w:cs="Arial"/>
                <w:szCs w:val="24"/>
              </w:rPr>
              <w:t>)</w:t>
            </w:r>
          </w:p>
        </w:tc>
        <w:tc>
          <w:tcPr>
            <w:tcW w:w="2250" w:type="dxa"/>
            <w:vAlign w:val="bottom"/>
          </w:tcPr>
          <w:p w:rsidRPr="002F615B" w:rsidR="00F27E43" w:rsidP="004E77BF" w:rsidRDefault="00484861" w14:paraId="31C3AA60" w14:textId="589CEA60">
            <w:pPr>
              <w:tabs>
                <w:tab w:val="left" w:pos="-720"/>
              </w:tabs>
              <w:suppressAutoHyphens/>
              <w:rPr>
                <w:rFonts w:ascii="Arial" w:hAnsi="Arial" w:cs="Arial"/>
                <w:szCs w:val="24"/>
              </w:rPr>
            </w:pPr>
            <w:r w:rsidRPr="002F615B">
              <w:rPr>
                <w:rFonts w:ascii="Arial" w:hAnsi="Arial" w:cs="Arial"/>
                <w:szCs w:val="24"/>
              </w:rPr>
              <w:t>Average</w:t>
            </w:r>
          </w:p>
          <w:p w:rsidRPr="002F615B" w:rsidR="00F27E43" w:rsidP="004E77BF" w:rsidRDefault="00484861" w14:paraId="595A23B5" w14:textId="77777777">
            <w:pPr>
              <w:tabs>
                <w:tab w:val="left" w:pos="-720"/>
              </w:tabs>
              <w:suppressAutoHyphens/>
              <w:rPr>
                <w:rFonts w:ascii="Arial" w:hAnsi="Arial" w:cs="Arial"/>
                <w:szCs w:val="24"/>
              </w:rPr>
            </w:pPr>
            <w:r w:rsidRPr="002F615B">
              <w:rPr>
                <w:rFonts w:ascii="Arial" w:hAnsi="Arial" w:cs="Arial"/>
                <w:szCs w:val="24"/>
              </w:rPr>
              <w:t>Burden Hours</w:t>
            </w:r>
          </w:p>
          <w:p w:rsidRPr="002F615B" w:rsidR="00484861" w:rsidP="004E77BF" w:rsidRDefault="00F27E43" w14:paraId="2982C65F" w14:textId="16D846F5">
            <w:pPr>
              <w:tabs>
                <w:tab w:val="left" w:pos="-720"/>
              </w:tabs>
              <w:suppressAutoHyphens/>
              <w:rPr>
                <w:rFonts w:ascii="Arial" w:hAnsi="Arial" w:cs="Arial"/>
                <w:szCs w:val="24"/>
              </w:rPr>
            </w:pPr>
            <w:r w:rsidRPr="002F615B">
              <w:rPr>
                <w:rFonts w:ascii="Arial" w:hAnsi="Arial" w:cs="Arial"/>
                <w:szCs w:val="24"/>
              </w:rPr>
              <w:t>(per r</w:t>
            </w:r>
            <w:r w:rsidRPr="002F615B" w:rsidR="00484861">
              <w:rPr>
                <w:rFonts w:ascii="Arial" w:hAnsi="Arial" w:cs="Arial"/>
                <w:szCs w:val="24"/>
              </w:rPr>
              <w:t>esponse</w:t>
            </w:r>
            <w:r w:rsidRPr="002F615B">
              <w:rPr>
                <w:rFonts w:ascii="Arial" w:hAnsi="Arial" w:cs="Arial"/>
                <w:szCs w:val="24"/>
              </w:rPr>
              <w:t>)</w:t>
            </w:r>
          </w:p>
        </w:tc>
        <w:tc>
          <w:tcPr>
            <w:tcW w:w="1781" w:type="dxa"/>
            <w:vAlign w:val="bottom"/>
          </w:tcPr>
          <w:p w:rsidRPr="002F615B" w:rsidR="00F27E43" w:rsidP="004E77BF" w:rsidRDefault="00484861" w14:paraId="36D3A879" w14:textId="0226F5EE">
            <w:pPr>
              <w:tabs>
                <w:tab w:val="left" w:pos="-720"/>
              </w:tabs>
              <w:suppressAutoHyphens/>
              <w:rPr>
                <w:rFonts w:ascii="Arial" w:hAnsi="Arial" w:cs="Arial"/>
                <w:szCs w:val="24"/>
              </w:rPr>
            </w:pPr>
            <w:r w:rsidRPr="002F615B">
              <w:rPr>
                <w:rFonts w:ascii="Arial" w:hAnsi="Arial" w:cs="Arial"/>
                <w:szCs w:val="24"/>
              </w:rPr>
              <w:t>Total</w:t>
            </w:r>
          </w:p>
          <w:p w:rsidRPr="002F615B" w:rsidR="00484861" w:rsidP="004E77BF" w:rsidRDefault="00484861" w14:paraId="1901052D" w14:textId="70F2E838">
            <w:pPr>
              <w:tabs>
                <w:tab w:val="left" w:pos="-720"/>
              </w:tabs>
              <w:suppressAutoHyphens/>
              <w:rPr>
                <w:rFonts w:ascii="Arial" w:hAnsi="Arial" w:cs="Arial"/>
                <w:szCs w:val="24"/>
              </w:rPr>
            </w:pPr>
            <w:r w:rsidRPr="002F615B">
              <w:rPr>
                <w:rFonts w:ascii="Arial" w:hAnsi="Arial" w:cs="Arial"/>
                <w:szCs w:val="24"/>
              </w:rPr>
              <w:t>Burden Hours</w:t>
            </w:r>
          </w:p>
        </w:tc>
      </w:tr>
      <w:tr w:rsidRPr="002F615B" w:rsidR="00484861" w:rsidTr="00960861" w14:paraId="0B560D26" w14:textId="77777777">
        <w:trPr>
          <w:trHeight w:val="730"/>
        </w:trPr>
        <w:tc>
          <w:tcPr>
            <w:tcW w:w="1731" w:type="dxa"/>
            <w:vAlign w:val="center"/>
          </w:tcPr>
          <w:p w:rsidRPr="002F615B" w:rsidR="00484861" w:rsidP="004E77BF" w:rsidRDefault="00614DD6" w14:paraId="7603F655" w14:textId="53A3FCD2">
            <w:pPr>
              <w:tabs>
                <w:tab w:val="left" w:pos="-720"/>
              </w:tabs>
              <w:suppressAutoHyphens/>
              <w:rPr>
                <w:rFonts w:ascii="Arial" w:hAnsi="Arial" w:cs="Arial"/>
                <w:szCs w:val="24"/>
              </w:rPr>
            </w:pPr>
            <w:r w:rsidRPr="002F615B">
              <w:rPr>
                <w:rFonts w:ascii="Arial" w:hAnsi="Arial" w:cs="Arial"/>
                <w:szCs w:val="24"/>
              </w:rPr>
              <w:t>Semia</w:t>
            </w:r>
            <w:r w:rsidRPr="002F615B" w:rsidR="001217C0">
              <w:rPr>
                <w:rFonts w:ascii="Arial" w:hAnsi="Arial" w:cs="Arial"/>
                <w:szCs w:val="24"/>
              </w:rPr>
              <w:t>nnual Performance Measures Report</w:t>
            </w:r>
          </w:p>
        </w:tc>
        <w:tc>
          <w:tcPr>
            <w:tcW w:w="1599" w:type="dxa"/>
            <w:vAlign w:val="center"/>
          </w:tcPr>
          <w:p w:rsidRPr="002F615B" w:rsidR="00484861" w:rsidP="00846F12" w:rsidRDefault="008012CC" w14:paraId="110E1397" w14:textId="73C31916">
            <w:pPr>
              <w:tabs>
                <w:tab w:val="left" w:pos="-720"/>
              </w:tabs>
              <w:suppressAutoHyphens/>
              <w:jc w:val="center"/>
              <w:rPr>
                <w:rFonts w:ascii="Arial" w:hAnsi="Arial" w:cs="Arial"/>
                <w:szCs w:val="24"/>
              </w:rPr>
            </w:pPr>
            <w:r w:rsidRPr="002F615B">
              <w:rPr>
                <w:rFonts w:ascii="Arial" w:hAnsi="Arial" w:cs="Arial"/>
                <w:szCs w:val="24"/>
              </w:rPr>
              <w:t>2</w:t>
            </w:r>
            <w:r w:rsidR="002F615B">
              <w:rPr>
                <w:rFonts w:ascii="Arial" w:hAnsi="Arial" w:cs="Arial"/>
                <w:szCs w:val="24"/>
              </w:rPr>
              <w:t>7</w:t>
            </w:r>
          </w:p>
        </w:tc>
        <w:tc>
          <w:tcPr>
            <w:tcW w:w="2520" w:type="dxa"/>
            <w:vAlign w:val="center"/>
          </w:tcPr>
          <w:p w:rsidRPr="002F615B" w:rsidR="00484861" w:rsidP="00846F12" w:rsidRDefault="00846F12" w14:paraId="6412534E" w14:textId="6DBEA970">
            <w:pPr>
              <w:tabs>
                <w:tab w:val="left" w:pos="-720"/>
              </w:tabs>
              <w:suppressAutoHyphens/>
              <w:jc w:val="center"/>
              <w:rPr>
                <w:rFonts w:ascii="Arial" w:hAnsi="Arial" w:cs="Arial"/>
                <w:szCs w:val="24"/>
              </w:rPr>
            </w:pPr>
            <w:r>
              <w:rPr>
                <w:rFonts w:ascii="Arial" w:hAnsi="Arial" w:cs="Arial"/>
                <w:szCs w:val="24"/>
              </w:rPr>
              <w:t>2</w:t>
            </w:r>
          </w:p>
        </w:tc>
        <w:tc>
          <w:tcPr>
            <w:tcW w:w="2250" w:type="dxa"/>
            <w:vAlign w:val="center"/>
          </w:tcPr>
          <w:p w:rsidRPr="002F615B" w:rsidR="00484861" w:rsidP="00846F12" w:rsidRDefault="001A6B92" w14:paraId="2E12D42B" w14:textId="1086B235">
            <w:pPr>
              <w:tabs>
                <w:tab w:val="left" w:pos="-720"/>
              </w:tabs>
              <w:suppressAutoHyphens/>
              <w:jc w:val="center"/>
              <w:rPr>
                <w:rFonts w:ascii="Arial" w:hAnsi="Arial" w:cs="Arial"/>
                <w:szCs w:val="24"/>
              </w:rPr>
            </w:pPr>
            <w:r w:rsidRPr="002F615B">
              <w:rPr>
                <w:rFonts w:ascii="Arial" w:hAnsi="Arial" w:cs="Arial"/>
                <w:szCs w:val="24"/>
              </w:rPr>
              <w:t>8</w:t>
            </w:r>
          </w:p>
        </w:tc>
        <w:tc>
          <w:tcPr>
            <w:tcW w:w="1781" w:type="dxa"/>
            <w:vAlign w:val="center"/>
          </w:tcPr>
          <w:p w:rsidRPr="002F615B" w:rsidR="00484861" w:rsidP="00846F12" w:rsidRDefault="008012CC" w14:paraId="236240A0" w14:textId="0B60674C">
            <w:pPr>
              <w:tabs>
                <w:tab w:val="left" w:pos="-720"/>
              </w:tabs>
              <w:suppressAutoHyphens/>
              <w:jc w:val="center"/>
              <w:rPr>
                <w:rFonts w:ascii="Arial" w:hAnsi="Arial" w:cs="Arial"/>
                <w:szCs w:val="24"/>
              </w:rPr>
            </w:pPr>
            <w:r w:rsidRPr="002F615B">
              <w:rPr>
                <w:rFonts w:ascii="Arial" w:hAnsi="Arial" w:cs="Arial"/>
                <w:szCs w:val="24"/>
              </w:rPr>
              <w:t>4</w:t>
            </w:r>
            <w:r w:rsidR="002F615B">
              <w:rPr>
                <w:rFonts w:ascii="Arial" w:hAnsi="Arial" w:cs="Arial"/>
                <w:szCs w:val="24"/>
              </w:rPr>
              <w:t>32</w:t>
            </w:r>
          </w:p>
        </w:tc>
      </w:tr>
      <w:tr w:rsidRPr="002F615B" w:rsidR="00F27E43" w:rsidTr="00F27E43" w14:paraId="4ADC2D83" w14:textId="77777777">
        <w:trPr>
          <w:trHeight w:val="468"/>
        </w:trPr>
        <w:tc>
          <w:tcPr>
            <w:tcW w:w="8100" w:type="dxa"/>
            <w:gridSpan w:val="4"/>
            <w:vAlign w:val="center"/>
          </w:tcPr>
          <w:p w:rsidRPr="002F615B" w:rsidR="00F27E43" w:rsidP="004E77BF" w:rsidRDefault="00F27E43" w14:paraId="4E68F0C2" w14:textId="557BA83F">
            <w:pPr>
              <w:tabs>
                <w:tab w:val="left" w:pos="-720"/>
              </w:tabs>
              <w:suppressAutoHyphens/>
              <w:rPr>
                <w:rFonts w:ascii="Arial" w:hAnsi="Arial" w:cs="Arial"/>
              </w:rPr>
            </w:pPr>
            <w:r w:rsidRPr="002F615B">
              <w:rPr>
                <w:rFonts w:ascii="Arial" w:hAnsi="Arial" w:cs="Arial"/>
              </w:rPr>
              <w:t>Estimated Total Annual Burden Hours:</w:t>
            </w:r>
          </w:p>
        </w:tc>
        <w:tc>
          <w:tcPr>
            <w:tcW w:w="1781" w:type="dxa"/>
            <w:vAlign w:val="center"/>
          </w:tcPr>
          <w:p w:rsidRPr="00846F12" w:rsidR="00F27E43" w:rsidP="00846F12" w:rsidRDefault="008012CC" w14:paraId="2AE91520" w14:textId="7E2CAD9A">
            <w:pPr>
              <w:tabs>
                <w:tab w:val="left" w:pos="-720"/>
              </w:tabs>
              <w:suppressAutoHyphens/>
              <w:jc w:val="center"/>
              <w:rPr>
                <w:rFonts w:ascii="Arial" w:hAnsi="Arial" w:cs="Arial"/>
                <w:b/>
                <w:szCs w:val="24"/>
              </w:rPr>
            </w:pPr>
            <w:r w:rsidRPr="00846F12">
              <w:rPr>
                <w:rFonts w:ascii="Arial" w:hAnsi="Arial" w:cs="Arial"/>
                <w:b/>
                <w:szCs w:val="24"/>
              </w:rPr>
              <w:t>4</w:t>
            </w:r>
            <w:r w:rsidRPr="00846F12" w:rsidR="002F615B">
              <w:rPr>
                <w:rFonts w:ascii="Arial" w:hAnsi="Arial" w:cs="Arial"/>
                <w:b/>
                <w:szCs w:val="24"/>
              </w:rPr>
              <w:t>32</w:t>
            </w:r>
          </w:p>
        </w:tc>
      </w:tr>
    </w:tbl>
    <w:p w:rsidRPr="002F615B" w:rsidR="00C12C28" w:rsidP="004E77BF" w:rsidRDefault="00C12C28" w14:paraId="7BCADFF7" w14:textId="77777777">
      <w:pPr>
        <w:pStyle w:val="BodyText"/>
        <w:spacing w:line="240" w:lineRule="auto"/>
        <w:rPr>
          <w:rFonts w:ascii="Arial" w:hAnsi="Arial" w:cs="Arial"/>
          <w:sz w:val="24"/>
          <w:highlight w:val="yellow"/>
        </w:rPr>
      </w:pPr>
    </w:p>
    <w:p w:rsidRPr="002F615B" w:rsidR="005F04CE" w:rsidP="004E77BF" w:rsidRDefault="005F04CE" w14:paraId="250195FA" w14:textId="77777777">
      <w:pPr>
        <w:pStyle w:val="BodyText"/>
        <w:spacing w:line="240" w:lineRule="auto"/>
        <w:ind w:left="360" w:firstLine="360"/>
        <w:rPr>
          <w:rFonts w:ascii="Arial" w:hAnsi="Arial" w:cs="Arial"/>
          <w:sz w:val="24"/>
        </w:rPr>
      </w:pPr>
    </w:p>
    <w:p w:rsidRPr="002F615B" w:rsidR="00822C74" w:rsidP="004E77BF" w:rsidRDefault="00822C74" w14:paraId="30FEFDB8" w14:textId="2303CA01">
      <w:pPr>
        <w:pStyle w:val="BodyText"/>
        <w:spacing w:line="240" w:lineRule="auto"/>
        <w:ind w:left="360"/>
        <w:rPr>
          <w:rFonts w:ascii="Arial" w:hAnsi="Arial" w:cs="Arial"/>
          <w:sz w:val="24"/>
        </w:rPr>
      </w:pPr>
      <w:r w:rsidRPr="002F615B">
        <w:rPr>
          <w:rFonts w:ascii="Arial" w:hAnsi="Arial" w:cs="Arial"/>
          <w:sz w:val="24"/>
        </w:rPr>
        <w:t>S</w:t>
      </w:r>
      <w:r w:rsidRPr="002F615B" w:rsidR="000E2FB3">
        <w:rPr>
          <w:rFonts w:ascii="Arial" w:hAnsi="Arial" w:cs="Arial"/>
          <w:sz w:val="24"/>
        </w:rPr>
        <w:t>tate</w:t>
      </w:r>
      <w:r w:rsidRPr="002F615B" w:rsidR="00B308F9">
        <w:rPr>
          <w:rFonts w:ascii="Arial" w:hAnsi="Arial" w:cs="Arial"/>
          <w:sz w:val="24"/>
        </w:rPr>
        <w:t>s</w:t>
      </w:r>
      <w:r w:rsidRPr="002F615B">
        <w:rPr>
          <w:rFonts w:ascii="Arial" w:hAnsi="Arial" w:cs="Arial"/>
          <w:sz w:val="24"/>
        </w:rPr>
        <w:t xml:space="preserve"> </w:t>
      </w:r>
      <w:r w:rsidRPr="002F615B" w:rsidR="001217C0">
        <w:rPr>
          <w:rFonts w:ascii="Arial" w:hAnsi="Arial" w:cs="Arial"/>
          <w:sz w:val="24"/>
        </w:rPr>
        <w:t xml:space="preserve">will likely </w:t>
      </w:r>
      <w:r w:rsidRPr="002F615B">
        <w:rPr>
          <w:rFonts w:ascii="Arial" w:hAnsi="Arial" w:cs="Arial"/>
          <w:sz w:val="24"/>
        </w:rPr>
        <w:t xml:space="preserve">expend </w:t>
      </w:r>
      <w:r w:rsidRPr="002F615B" w:rsidR="00B308F9">
        <w:rPr>
          <w:rFonts w:ascii="Arial" w:hAnsi="Arial" w:cs="Arial"/>
          <w:sz w:val="24"/>
        </w:rPr>
        <w:t>varying amounts of time completing dat</w:t>
      </w:r>
      <w:r w:rsidRPr="002F615B" w:rsidR="002C37D9">
        <w:rPr>
          <w:rFonts w:ascii="Arial" w:hAnsi="Arial" w:cs="Arial"/>
          <w:sz w:val="24"/>
        </w:rPr>
        <w:t xml:space="preserve">a submissions. The estimate </w:t>
      </w:r>
      <w:r w:rsidRPr="002F615B" w:rsidR="003B31C6">
        <w:rPr>
          <w:rFonts w:ascii="Arial" w:hAnsi="Arial" w:cs="Arial"/>
          <w:sz w:val="24"/>
        </w:rPr>
        <w:t xml:space="preserve">above </w:t>
      </w:r>
      <w:r w:rsidRPr="002F615B" w:rsidR="002C37D9">
        <w:rPr>
          <w:rFonts w:ascii="Arial" w:hAnsi="Arial" w:cs="Arial"/>
          <w:sz w:val="24"/>
        </w:rPr>
        <w:t>is</w:t>
      </w:r>
      <w:r w:rsidRPr="002F615B" w:rsidR="00B308F9">
        <w:rPr>
          <w:rFonts w:ascii="Arial" w:hAnsi="Arial" w:cs="Arial"/>
          <w:sz w:val="24"/>
        </w:rPr>
        <w:t xml:space="preserve"> based upon </w:t>
      </w:r>
      <w:r w:rsidRPr="002F615B" w:rsidR="000E2FB3">
        <w:rPr>
          <w:rFonts w:ascii="Arial" w:hAnsi="Arial" w:cs="Arial"/>
          <w:sz w:val="24"/>
        </w:rPr>
        <w:t>state</w:t>
      </w:r>
      <w:r w:rsidRPr="002F615B" w:rsidR="00B308F9">
        <w:rPr>
          <w:rFonts w:ascii="Arial" w:hAnsi="Arial" w:cs="Arial"/>
          <w:sz w:val="24"/>
        </w:rPr>
        <w:t xml:space="preserve">s </w:t>
      </w:r>
      <w:r w:rsidRPr="002F615B" w:rsidR="00AC2821">
        <w:rPr>
          <w:rFonts w:ascii="Arial" w:hAnsi="Arial" w:cs="Arial"/>
          <w:sz w:val="24"/>
        </w:rPr>
        <w:t>that</w:t>
      </w:r>
      <w:r w:rsidRPr="002F615B" w:rsidR="00B308F9">
        <w:rPr>
          <w:rFonts w:ascii="Arial" w:hAnsi="Arial" w:cs="Arial"/>
          <w:sz w:val="24"/>
        </w:rPr>
        <w:t xml:space="preserve"> invest consid</w:t>
      </w:r>
      <w:r w:rsidRPr="002F615B">
        <w:rPr>
          <w:rFonts w:ascii="Arial" w:hAnsi="Arial" w:cs="Arial"/>
          <w:sz w:val="24"/>
        </w:rPr>
        <w:t>erable attention to submitting</w:t>
      </w:r>
      <w:r w:rsidRPr="002F615B" w:rsidR="00B308F9">
        <w:rPr>
          <w:rFonts w:ascii="Arial" w:hAnsi="Arial" w:cs="Arial"/>
          <w:sz w:val="24"/>
        </w:rPr>
        <w:t xml:space="preserve"> comprehensive</w:t>
      </w:r>
      <w:r w:rsidRPr="002F615B" w:rsidR="001217C0">
        <w:rPr>
          <w:rFonts w:ascii="Arial" w:hAnsi="Arial" w:cs="Arial"/>
          <w:sz w:val="24"/>
        </w:rPr>
        <w:t>, accurate</w:t>
      </w:r>
      <w:r w:rsidRPr="002F615B" w:rsidR="00B308F9">
        <w:rPr>
          <w:rFonts w:ascii="Arial" w:hAnsi="Arial" w:cs="Arial"/>
          <w:sz w:val="24"/>
        </w:rPr>
        <w:t xml:space="preserve"> </w:t>
      </w:r>
      <w:r w:rsidRPr="002F615B">
        <w:rPr>
          <w:rFonts w:ascii="Arial" w:hAnsi="Arial" w:cs="Arial"/>
          <w:sz w:val="24"/>
        </w:rPr>
        <w:t xml:space="preserve">data. </w:t>
      </w:r>
    </w:p>
    <w:p w:rsidRPr="002F615B" w:rsidR="00822C74" w:rsidP="004E77BF" w:rsidRDefault="00822C74" w14:paraId="41584067" w14:textId="77777777">
      <w:pPr>
        <w:pStyle w:val="BodyText"/>
        <w:spacing w:line="240" w:lineRule="auto"/>
        <w:ind w:left="360"/>
        <w:rPr>
          <w:rFonts w:ascii="Arial" w:hAnsi="Arial" w:cs="Arial"/>
          <w:sz w:val="24"/>
        </w:rPr>
      </w:pPr>
    </w:p>
    <w:p w:rsidRPr="002F615B" w:rsidR="00822C74" w:rsidP="004E77BF" w:rsidRDefault="00F51139" w14:paraId="71AB90F9" w14:textId="762E73FF">
      <w:pPr>
        <w:pStyle w:val="BodyText"/>
        <w:spacing w:line="240" w:lineRule="auto"/>
        <w:ind w:left="360"/>
        <w:rPr>
          <w:rFonts w:ascii="Arial" w:hAnsi="Arial" w:cs="Arial"/>
          <w:sz w:val="24"/>
        </w:rPr>
      </w:pPr>
      <w:r w:rsidRPr="002F615B">
        <w:rPr>
          <w:rFonts w:ascii="Arial" w:hAnsi="Arial" w:cs="Arial"/>
          <w:sz w:val="24"/>
        </w:rPr>
        <w:t xml:space="preserve">The estimate </w:t>
      </w:r>
      <w:r w:rsidRPr="002F615B" w:rsidR="00822C74">
        <w:rPr>
          <w:rFonts w:ascii="Arial" w:hAnsi="Arial" w:cs="Arial"/>
          <w:sz w:val="24"/>
        </w:rPr>
        <w:t>of future level</w:t>
      </w:r>
      <w:r w:rsidRPr="002F615B" w:rsidR="003B31C6">
        <w:rPr>
          <w:rFonts w:ascii="Arial" w:hAnsi="Arial" w:cs="Arial"/>
          <w:sz w:val="24"/>
        </w:rPr>
        <w:t>s</w:t>
      </w:r>
      <w:r w:rsidRPr="002F615B" w:rsidR="00822C74">
        <w:rPr>
          <w:rFonts w:ascii="Arial" w:hAnsi="Arial" w:cs="Arial"/>
          <w:sz w:val="24"/>
        </w:rPr>
        <w:t xml:space="preserve"> of effort assume</w:t>
      </w:r>
      <w:r w:rsidRPr="002F615B" w:rsidR="005A3300">
        <w:rPr>
          <w:rFonts w:ascii="Arial" w:hAnsi="Arial" w:cs="Arial"/>
          <w:sz w:val="24"/>
        </w:rPr>
        <w:t>s</w:t>
      </w:r>
      <w:r w:rsidRPr="002F615B" w:rsidR="00822C74">
        <w:rPr>
          <w:rFonts w:ascii="Arial" w:hAnsi="Arial" w:cs="Arial"/>
          <w:sz w:val="24"/>
        </w:rPr>
        <w:t xml:space="preserve"> the following:</w:t>
      </w:r>
    </w:p>
    <w:p w:rsidRPr="002F615B" w:rsidR="005A3300" w:rsidP="004E77BF" w:rsidRDefault="001217C0" w14:paraId="5DE58D54" w14:textId="2BB4544B">
      <w:pPr>
        <w:pStyle w:val="BodyText"/>
        <w:numPr>
          <w:ilvl w:val="0"/>
          <w:numId w:val="12"/>
        </w:numPr>
        <w:spacing w:line="240" w:lineRule="auto"/>
        <w:rPr>
          <w:rFonts w:ascii="Arial" w:hAnsi="Arial" w:cs="Arial"/>
          <w:sz w:val="24"/>
        </w:rPr>
      </w:pPr>
      <w:r w:rsidRPr="002F615B">
        <w:rPr>
          <w:rFonts w:ascii="Arial" w:hAnsi="Arial" w:cs="Arial"/>
          <w:sz w:val="24"/>
        </w:rPr>
        <w:t xml:space="preserve">The </w:t>
      </w:r>
      <w:r w:rsidRPr="002F615B" w:rsidR="002C37D9">
        <w:rPr>
          <w:rFonts w:ascii="Arial" w:hAnsi="Arial" w:cs="Arial"/>
          <w:sz w:val="24"/>
        </w:rPr>
        <w:t xml:space="preserve">length of the </w:t>
      </w:r>
      <w:r w:rsidRPr="002F615B">
        <w:rPr>
          <w:rFonts w:ascii="Arial" w:hAnsi="Arial" w:cs="Arial"/>
          <w:sz w:val="24"/>
        </w:rPr>
        <w:t xml:space="preserve">grant funding is </w:t>
      </w:r>
      <w:r w:rsidRPr="002F615B" w:rsidR="002C37D9">
        <w:rPr>
          <w:rFonts w:ascii="Arial" w:hAnsi="Arial" w:cs="Arial"/>
          <w:sz w:val="24"/>
        </w:rPr>
        <w:t>three years</w:t>
      </w:r>
      <w:r w:rsidR="00C247CF">
        <w:rPr>
          <w:rFonts w:ascii="Arial" w:hAnsi="Arial" w:cs="Arial"/>
          <w:sz w:val="24"/>
        </w:rPr>
        <w:t>, except for the three grants awarded in FY19 that will only have funding for two years</w:t>
      </w:r>
      <w:r w:rsidRPr="002F615B" w:rsidR="002C37D9">
        <w:rPr>
          <w:rFonts w:ascii="Arial" w:hAnsi="Arial" w:cs="Arial"/>
          <w:sz w:val="24"/>
        </w:rPr>
        <w:t xml:space="preserve">. </w:t>
      </w:r>
    </w:p>
    <w:p w:rsidRPr="002F615B" w:rsidR="008012CC" w:rsidP="004E77BF" w:rsidRDefault="008012CC" w14:paraId="39BD02D0" w14:textId="040E1871">
      <w:pPr>
        <w:pStyle w:val="BodyText"/>
        <w:numPr>
          <w:ilvl w:val="0"/>
          <w:numId w:val="12"/>
        </w:numPr>
        <w:spacing w:line="240" w:lineRule="auto"/>
        <w:rPr>
          <w:rFonts w:ascii="Arial" w:hAnsi="Arial" w:cs="Arial"/>
          <w:sz w:val="24"/>
        </w:rPr>
      </w:pPr>
      <w:r w:rsidRPr="002F615B">
        <w:rPr>
          <w:rFonts w:ascii="Arial" w:hAnsi="Arial" w:cs="Arial"/>
          <w:sz w:val="24"/>
        </w:rPr>
        <w:t xml:space="preserve">The annual burden may decrease after the first entry of data into the system by the grantees. Once the data for the first report has been entered, subsequent reports will only require updated data and, therefore, less effort. </w:t>
      </w:r>
    </w:p>
    <w:p w:rsidRPr="002F615B" w:rsidR="00822C74" w:rsidP="004E77BF" w:rsidRDefault="002C37D9" w14:paraId="4A6BA682" w14:textId="02B375DB">
      <w:pPr>
        <w:pStyle w:val="BodyText"/>
        <w:numPr>
          <w:ilvl w:val="0"/>
          <w:numId w:val="12"/>
        </w:numPr>
        <w:spacing w:line="240" w:lineRule="auto"/>
        <w:rPr>
          <w:rFonts w:ascii="Arial" w:hAnsi="Arial" w:cs="Arial"/>
          <w:sz w:val="24"/>
        </w:rPr>
      </w:pPr>
      <w:r w:rsidRPr="002F615B">
        <w:rPr>
          <w:rFonts w:ascii="Arial" w:hAnsi="Arial" w:cs="Arial"/>
          <w:sz w:val="24"/>
        </w:rPr>
        <w:t xml:space="preserve">The annual burden may decrease if the same individuals compile the required data, </w:t>
      </w:r>
      <w:r w:rsidRPr="002F615B" w:rsidR="004B1462">
        <w:rPr>
          <w:rFonts w:ascii="Arial" w:hAnsi="Arial" w:cs="Arial"/>
          <w:sz w:val="24"/>
        </w:rPr>
        <w:t xml:space="preserve">because </w:t>
      </w:r>
      <w:r w:rsidRPr="002F615B">
        <w:rPr>
          <w:rFonts w:ascii="Arial" w:hAnsi="Arial" w:cs="Arial"/>
          <w:sz w:val="24"/>
        </w:rPr>
        <w:t>they will become more adept at finding the information and submitting the report.</w:t>
      </w:r>
    </w:p>
    <w:p w:rsidRPr="002F615B" w:rsidR="004F0FE4" w:rsidP="004E77BF" w:rsidRDefault="004F0FE4" w14:paraId="1EDF9EA6" w14:textId="77777777">
      <w:pPr>
        <w:pStyle w:val="BodyText"/>
        <w:spacing w:line="240" w:lineRule="auto"/>
        <w:rPr>
          <w:rFonts w:ascii="Arial" w:hAnsi="Arial" w:cs="Arial"/>
          <w:sz w:val="24"/>
        </w:rPr>
      </w:pPr>
    </w:p>
    <w:p w:rsidRPr="002F615B" w:rsidR="004F0FE4" w:rsidP="004E77BF" w:rsidRDefault="00476520" w14:paraId="03D5FC7B" w14:textId="7FFA3681">
      <w:pPr>
        <w:pStyle w:val="BodyText"/>
        <w:spacing w:line="240" w:lineRule="auto"/>
        <w:ind w:left="360"/>
        <w:rPr>
          <w:rFonts w:ascii="Arial" w:hAnsi="Arial" w:cs="Arial"/>
          <w:sz w:val="24"/>
        </w:rPr>
      </w:pPr>
      <w:r w:rsidRPr="002F615B">
        <w:rPr>
          <w:rFonts w:ascii="Arial" w:hAnsi="Arial" w:cs="Arial"/>
          <w:sz w:val="24"/>
        </w:rPr>
        <w:t xml:space="preserve">The </w:t>
      </w:r>
      <w:r w:rsidRPr="002F615B" w:rsidR="00822C74">
        <w:rPr>
          <w:rFonts w:ascii="Arial" w:hAnsi="Arial" w:cs="Arial"/>
          <w:sz w:val="24"/>
        </w:rPr>
        <w:t xml:space="preserve">estimated </w:t>
      </w:r>
      <w:r w:rsidRPr="002F615B" w:rsidR="0032072A">
        <w:rPr>
          <w:rFonts w:ascii="Arial" w:hAnsi="Arial" w:cs="Arial"/>
          <w:sz w:val="24"/>
        </w:rPr>
        <w:t xml:space="preserve">Performance Measures Report </w:t>
      </w:r>
      <w:r w:rsidRPr="002F615B">
        <w:rPr>
          <w:rFonts w:ascii="Arial" w:hAnsi="Arial" w:cs="Arial"/>
          <w:sz w:val="24"/>
        </w:rPr>
        <w:t>annual burden is based upon</w:t>
      </w:r>
      <w:r w:rsidRPr="002F615B" w:rsidR="00DA4174">
        <w:rPr>
          <w:rFonts w:ascii="Arial" w:hAnsi="Arial" w:cs="Arial"/>
          <w:sz w:val="24"/>
        </w:rPr>
        <w:t xml:space="preserve"> an average hourly salary of $4</w:t>
      </w:r>
      <w:r w:rsidRPr="002F615B" w:rsidR="008A36BC">
        <w:rPr>
          <w:rFonts w:ascii="Arial" w:hAnsi="Arial" w:cs="Arial"/>
          <w:sz w:val="24"/>
        </w:rPr>
        <w:t>6</w:t>
      </w:r>
      <w:r w:rsidRPr="002F615B">
        <w:rPr>
          <w:rFonts w:ascii="Arial" w:hAnsi="Arial" w:cs="Arial"/>
          <w:sz w:val="24"/>
        </w:rPr>
        <w:t xml:space="preserve">.00 for </w:t>
      </w:r>
      <w:r w:rsidRPr="002F615B" w:rsidR="000E2FB3">
        <w:rPr>
          <w:rFonts w:ascii="Arial" w:hAnsi="Arial" w:cs="Arial"/>
          <w:sz w:val="24"/>
        </w:rPr>
        <w:t>state</w:t>
      </w:r>
      <w:r w:rsidRPr="002F615B">
        <w:rPr>
          <w:rFonts w:ascii="Arial" w:hAnsi="Arial" w:cs="Arial"/>
          <w:sz w:val="24"/>
        </w:rPr>
        <w:t xml:space="preserve"> programmatic </w:t>
      </w:r>
      <w:r w:rsidRPr="002F615B" w:rsidR="00DA4174">
        <w:rPr>
          <w:rFonts w:ascii="Arial" w:hAnsi="Arial" w:cs="Arial"/>
          <w:sz w:val="24"/>
        </w:rPr>
        <w:t>staff</w:t>
      </w:r>
      <w:r w:rsidRPr="002F615B">
        <w:rPr>
          <w:rFonts w:ascii="Arial" w:hAnsi="Arial" w:cs="Arial"/>
          <w:sz w:val="24"/>
        </w:rPr>
        <w:t xml:space="preserve">. Across all respondents, </w:t>
      </w:r>
      <w:r w:rsidRPr="002F615B" w:rsidR="00AA21F8">
        <w:rPr>
          <w:rFonts w:ascii="Arial" w:hAnsi="Arial" w:cs="Arial"/>
          <w:sz w:val="24"/>
        </w:rPr>
        <w:t xml:space="preserve">assuming a group of </w:t>
      </w:r>
      <w:r w:rsidRPr="002F615B" w:rsidR="001D1161">
        <w:rPr>
          <w:rFonts w:ascii="Arial" w:hAnsi="Arial" w:cs="Arial"/>
          <w:sz w:val="24"/>
        </w:rPr>
        <w:t>2</w:t>
      </w:r>
      <w:r w:rsidR="002F615B">
        <w:rPr>
          <w:rFonts w:ascii="Arial" w:hAnsi="Arial" w:cs="Arial"/>
          <w:sz w:val="24"/>
        </w:rPr>
        <w:t>7</w:t>
      </w:r>
      <w:r w:rsidRPr="002F615B" w:rsidR="001D1161">
        <w:rPr>
          <w:rFonts w:ascii="Arial" w:hAnsi="Arial" w:cs="Arial"/>
          <w:sz w:val="24"/>
        </w:rPr>
        <w:t xml:space="preserve"> </w:t>
      </w:r>
      <w:r w:rsidRPr="002F615B" w:rsidR="00AA21F8">
        <w:rPr>
          <w:rFonts w:ascii="Arial" w:hAnsi="Arial" w:cs="Arial"/>
          <w:sz w:val="24"/>
        </w:rPr>
        <w:t xml:space="preserve">grantees, </w:t>
      </w:r>
      <w:r w:rsidRPr="002F615B">
        <w:rPr>
          <w:rFonts w:ascii="Arial" w:hAnsi="Arial" w:cs="Arial"/>
          <w:sz w:val="24"/>
        </w:rPr>
        <w:t xml:space="preserve">the programmatic staff </w:t>
      </w:r>
      <w:r w:rsidRPr="002F615B" w:rsidR="008A36BC">
        <w:rPr>
          <w:rFonts w:ascii="Arial" w:hAnsi="Arial" w:cs="Arial"/>
          <w:sz w:val="24"/>
        </w:rPr>
        <w:t xml:space="preserve">total average annual </w:t>
      </w:r>
      <w:r w:rsidRPr="002F615B">
        <w:rPr>
          <w:rFonts w:ascii="Arial" w:hAnsi="Arial" w:cs="Arial"/>
          <w:sz w:val="24"/>
        </w:rPr>
        <w:t xml:space="preserve">burden </w:t>
      </w:r>
      <w:r w:rsidRPr="002F615B" w:rsidR="001821FE">
        <w:rPr>
          <w:rFonts w:ascii="Arial" w:hAnsi="Arial" w:cs="Arial"/>
          <w:sz w:val="24"/>
        </w:rPr>
        <w:t xml:space="preserve">is estimated at </w:t>
      </w:r>
      <w:r w:rsidRPr="002F615B" w:rsidR="001D1161">
        <w:rPr>
          <w:rFonts w:ascii="Arial" w:hAnsi="Arial" w:cs="Arial"/>
          <w:sz w:val="24"/>
        </w:rPr>
        <w:t>4</w:t>
      </w:r>
      <w:r w:rsidR="002F615B">
        <w:rPr>
          <w:rFonts w:ascii="Arial" w:hAnsi="Arial" w:cs="Arial"/>
          <w:sz w:val="24"/>
        </w:rPr>
        <w:t>32</w:t>
      </w:r>
      <w:r w:rsidRPr="002F615B" w:rsidR="001D1161">
        <w:rPr>
          <w:rFonts w:ascii="Arial" w:hAnsi="Arial" w:cs="Arial"/>
          <w:sz w:val="24"/>
        </w:rPr>
        <w:t xml:space="preserve"> </w:t>
      </w:r>
      <w:r w:rsidRPr="002F615B" w:rsidR="00736E93">
        <w:rPr>
          <w:rFonts w:ascii="Arial" w:hAnsi="Arial" w:cs="Arial"/>
          <w:sz w:val="24"/>
        </w:rPr>
        <w:t xml:space="preserve">hours </w:t>
      </w:r>
      <w:r w:rsidRPr="002F615B" w:rsidR="00113736">
        <w:rPr>
          <w:rFonts w:ascii="Arial" w:hAnsi="Arial" w:cs="Arial"/>
          <w:sz w:val="24"/>
        </w:rPr>
        <w:t>at $</w:t>
      </w:r>
      <w:r w:rsidRPr="002F615B" w:rsidR="008A36BC">
        <w:rPr>
          <w:rFonts w:ascii="Arial" w:hAnsi="Arial" w:cs="Arial"/>
          <w:sz w:val="24"/>
        </w:rPr>
        <w:t xml:space="preserve">46 </w:t>
      </w:r>
      <w:r w:rsidRPr="002F615B" w:rsidR="001821FE">
        <w:rPr>
          <w:rFonts w:ascii="Arial" w:hAnsi="Arial" w:cs="Arial"/>
          <w:sz w:val="24"/>
        </w:rPr>
        <w:t>per hour for a total of $</w:t>
      </w:r>
      <w:r w:rsidRPr="002F615B" w:rsidR="001D1161">
        <w:rPr>
          <w:rFonts w:ascii="Arial" w:hAnsi="Arial" w:cs="Arial"/>
          <w:sz w:val="24"/>
        </w:rPr>
        <w:t>19,</w:t>
      </w:r>
      <w:r w:rsidR="002F615B">
        <w:rPr>
          <w:rFonts w:ascii="Arial" w:hAnsi="Arial" w:cs="Arial"/>
          <w:sz w:val="24"/>
        </w:rPr>
        <w:t>872.</w:t>
      </w:r>
    </w:p>
    <w:p w:rsidRPr="002F615B" w:rsidR="00AB7936" w:rsidP="004E77BF" w:rsidRDefault="00AB7936" w14:paraId="4343BAAC" w14:textId="445070AA">
      <w:pPr>
        <w:pStyle w:val="BodyText"/>
        <w:spacing w:line="240" w:lineRule="auto"/>
        <w:ind w:left="360"/>
        <w:rPr>
          <w:rFonts w:ascii="Arial" w:hAnsi="Arial" w:cs="Arial"/>
          <w:sz w:val="28"/>
        </w:rPr>
      </w:pPr>
    </w:p>
    <w:p w:rsidRPr="002F615B" w:rsidR="00CF1937" w:rsidP="004E77BF" w:rsidRDefault="00C97A70" w14:paraId="2522FC44" w14:textId="77777777">
      <w:pPr>
        <w:pStyle w:val="BodyText"/>
        <w:spacing w:line="240" w:lineRule="auto"/>
        <w:ind w:left="720" w:hanging="360"/>
        <w:rPr>
          <w:rFonts w:ascii="Arial" w:hAnsi="Arial" w:cs="Arial"/>
          <w:b/>
          <w:sz w:val="24"/>
        </w:rPr>
      </w:pPr>
      <w:r w:rsidRPr="002F615B">
        <w:rPr>
          <w:rFonts w:ascii="Arial" w:hAnsi="Arial" w:cs="Arial"/>
          <w:b/>
          <w:sz w:val="24"/>
        </w:rPr>
        <w:t>13.</w:t>
      </w:r>
      <w:r w:rsidRPr="002F615B" w:rsidR="00A90DD1">
        <w:rPr>
          <w:rFonts w:ascii="Arial" w:hAnsi="Arial" w:cs="Arial"/>
          <w:b/>
          <w:sz w:val="24"/>
        </w:rPr>
        <w:t xml:space="preserve"> </w:t>
      </w:r>
      <w:r w:rsidRPr="002F615B">
        <w:rPr>
          <w:rFonts w:ascii="Arial" w:hAnsi="Arial" w:cs="Arial"/>
          <w:b/>
          <w:sz w:val="24"/>
        </w:rPr>
        <w:t>Estimates of Other Total Annual Cost Burden to Respondents and Record Keepers</w:t>
      </w:r>
    </w:p>
    <w:p w:rsidRPr="002F615B" w:rsidR="000D0E74" w:rsidP="004E77BF" w:rsidRDefault="000D0E74" w14:paraId="328C6296" w14:textId="77777777">
      <w:pPr>
        <w:pStyle w:val="BodyText"/>
        <w:spacing w:line="240" w:lineRule="auto"/>
        <w:ind w:left="720" w:hanging="360"/>
        <w:rPr>
          <w:rFonts w:ascii="Arial" w:hAnsi="Arial" w:cs="Arial"/>
          <w:b/>
          <w:sz w:val="28"/>
        </w:rPr>
      </w:pPr>
    </w:p>
    <w:p w:rsidRPr="002F615B" w:rsidR="00CF1937" w:rsidP="004E77BF" w:rsidRDefault="00AF29B5" w14:paraId="4A347BCB" w14:textId="169E4A55">
      <w:pPr>
        <w:pStyle w:val="BodyText"/>
        <w:spacing w:line="240" w:lineRule="auto"/>
        <w:ind w:left="360"/>
        <w:rPr>
          <w:rFonts w:ascii="Arial" w:hAnsi="Arial" w:cs="Arial"/>
          <w:sz w:val="24"/>
        </w:rPr>
      </w:pPr>
      <w:r w:rsidRPr="002F615B">
        <w:rPr>
          <w:rFonts w:ascii="Arial" w:hAnsi="Arial" w:cs="Arial"/>
          <w:sz w:val="24"/>
        </w:rPr>
        <w:t>Because</w:t>
      </w:r>
      <w:r w:rsidRPr="002F615B" w:rsidR="00CF1937">
        <w:rPr>
          <w:rFonts w:ascii="Arial" w:hAnsi="Arial" w:cs="Arial"/>
          <w:sz w:val="24"/>
        </w:rPr>
        <w:t xml:space="preserve"> the </w:t>
      </w:r>
      <w:r w:rsidRPr="002F615B" w:rsidR="00614DD6">
        <w:rPr>
          <w:rFonts w:ascii="Arial" w:hAnsi="Arial" w:cs="Arial"/>
          <w:sz w:val="24"/>
        </w:rPr>
        <w:t>Semia</w:t>
      </w:r>
      <w:r w:rsidRPr="002F615B" w:rsidR="002C37D9">
        <w:rPr>
          <w:rFonts w:ascii="Arial" w:hAnsi="Arial" w:cs="Arial"/>
          <w:sz w:val="24"/>
        </w:rPr>
        <w:t>nnual Performance Measures Report</w:t>
      </w:r>
      <w:r w:rsidRPr="002F615B" w:rsidR="00CF1937">
        <w:rPr>
          <w:rFonts w:ascii="Arial" w:hAnsi="Arial" w:cs="Arial"/>
          <w:sz w:val="24"/>
        </w:rPr>
        <w:t xml:space="preserve"> data collection effort depend</w:t>
      </w:r>
      <w:r w:rsidRPr="002F615B" w:rsidR="0081574A">
        <w:rPr>
          <w:rFonts w:ascii="Arial" w:hAnsi="Arial" w:cs="Arial"/>
          <w:sz w:val="24"/>
        </w:rPr>
        <w:t xml:space="preserve">s upon the </w:t>
      </w:r>
      <w:r w:rsidRPr="002F615B" w:rsidR="003F3653">
        <w:rPr>
          <w:rFonts w:ascii="Arial" w:hAnsi="Arial" w:cs="Arial"/>
          <w:sz w:val="24"/>
        </w:rPr>
        <w:t xml:space="preserve">existing </w:t>
      </w:r>
      <w:r w:rsidRPr="002F615B" w:rsidR="000E2FB3">
        <w:rPr>
          <w:rFonts w:ascii="Arial" w:hAnsi="Arial" w:cs="Arial"/>
          <w:sz w:val="24"/>
        </w:rPr>
        <w:t>state</w:t>
      </w:r>
      <w:r w:rsidRPr="002F615B" w:rsidR="0081574A">
        <w:rPr>
          <w:rFonts w:ascii="Arial" w:hAnsi="Arial" w:cs="Arial"/>
          <w:sz w:val="24"/>
        </w:rPr>
        <w:t xml:space="preserve"> </w:t>
      </w:r>
      <w:r w:rsidRPr="002F615B" w:rsidR="00AB510B">
        <w:rPr>
          <w:rFonts w:ascii="Arial" w:hAnsi="Arial" w:cs="Arial"/>
          <w:sz w:val="24"/>
        </w:rPr>
        <w:t xml:space="preserve">grantee </w:t>
      </w:r>
      <w:r w:rsidRPr="002F615B" w:rsidR="0081574A">
        <w:rPr>
          <w:rFonts w:ascii="Arial" w:hAnsi="Arial" w:cs="Arial"/>
          <w:sz w:val="24"/>
        </w:rPr>
        <w:t xml:space="preserve">administrative </w:t>
      </w:r>
      <w:r w:rsidRPr="002F615B" w:rsidR="00CF1937">
        <w:rPr>
          <w:rFonts w:ascii="Arial" w:hAnsi="Arial" w:cs="Arial"/>
          <w:sz w:val="24"/>
        </w:rPr>
        <w:t xml:space="preserve">information systems, </w:t>
      </w:r>
      <w:r w:rsidRPr="002F615B" w:rsidR="000E2FB3">
        <w:rPr>
          <w:rFonts w:ascii="Arial" w:hAnsi="Arial" w:cs="Arial"/>
          <w:sz w:val="24"/>
        </w:rPr>
        <w:t>state</w:t>
      </w:r>
      <w:r w:rsidRPr="002F615B" w:rsidR="00CF1937">
        <w:rPr>
          <w:rFonts w:ascii="Arial" w:hAnsi="Arial" w:cs="Arial"/>
          <w:sz w:val="24"/>
        </w:rPr>
        <w:t xml:space="preserve">s </w:t>
      </w:r>
      <w:r w:rsidRPr="002F615B" w:rsidR="004F0FE4">
        <w:rPr>
          <w:rFonts w:ascii="Arial" w:hAnsi="Arial" w:cs="Arial"/>
          <w:sz w:val="24"/>
        </w:rPr>
        <w:t xml:space="preserve">will not </w:t>
      </w:r>
      <w:r w:rsidRPr="002F615B" w:rsidR="00CF1937">
        <w:rPr>
          <w:rFonts w:ascii="Arial" w:hAnsi="Arial" w:cs="Arial"/>
          <w:sz w:val="24"/>
        </w:rPr>
        <w:t>incur</w:t>
      </w:r>
      <w:r w:rsidRPr="002F615B" w:rsidR="006D40A6">
        <w:rPr>
          <w:rFonts w:ascii="Arial" w:hAnsi="Arial" w:cs="Arial"/>
          <w:sz w:val="24"/>
        </w:rPr>
        <w:t xml:space="preserve"> </w:t>
      </w:r>
      <w:r w:rsidRPr="002F615B" w:rsidR="00CF1937">
        <w:rPr>
          <w:rFonts w:ascii="Arial" w:hAnsi="Arial" w:cs="Arial"/>
          <w:sz w:val="24"/>
        </w:rPr>
        <w:t xml:space="preserve">special </w:t>
      </w:r>
      <w:r w:rsidRPr="002F615B" w:rsidR="0070450C">
        <w:rPr>
          <w:rFonts w:ascii="Arial" w:hAnsi="Arial" w:cs="Arial"/>
          <w:sz w:val="24"/>
        </w:rPr>
        <w:t>data collection costs. Most of</w:t>
      </w:r>
      <w:r w:rsidRPr="002F615B" w:rsidR="0081574A">
        <w:rPr>
          <w:rFonts w:ascii="Arial" w:hAnsi="Arial" w:cs="Arial"/>
          <w:sz w:val="24"/>
        </w:rPr>
        <w:t xml:space="preserve"> </w:t>
      </w:r>
      <w:r w:rsidRPr="002F615B" w:rsidR="00CF1937">
        <w:rPr>
          <w:rFonts w:ascii="Arial" w:hAnsi="Arial" w:cs="Arial"/>
          <w:sz w:val="24"/>
        </w:rPr>
        <w:t xml:space="preserve">the data collected are standard data used by the </w:t>
      </w:r>
      <w:r w:rsidRPr="002F615B" w:rsidR="00AB510B">
        <w:rPr>
          <w:rFonts w:ascii="Arial" w:hAnsi="Arial" w:cs="Arial"/>
          <w:sz w:val="24"/>
        </w:rPr>
        <w:t xml:space="preserve">grantee </w:t>
      </w:r>
      <w:r w:rsidRPr="002F615B" w:rsidR="00CF1937">
        <w:rPr>
          <w:rFonts w:ascii="Arial" w:hAnsi="Arial" w:cs="Arial"/>
          <w:sz w:val="24"/>
        </w:rPr>
        <w:t>agency. Ope</w:t>
      </w:r>
      <w:r w:rsidRPr="002F615B" w:rsidR="0070450C">
        <w:rPr>
          <w:rFonts w:ascii="Arial" w:hAnsi="Arial" w:cs="Arial"/>
          <w:sz w:val="24"/>
        </w:rPr>
        <w:t>rating costs of the information</w:t>
      </w:r>
      <w:r w:rsidRPr="002F615B" w:rsidR="0081574A">
        <w:rPr>
          <w:rFonts w:ascii="Arial" w:hAnsi="Arial" w:cs="Arial"/>
          <w:sz w:val="24"/>
        </w:rPr>
        <w:t xml:space="preserve"> </w:t>
      </w:r>
      <w:r w:rsidRPr="002F615B" w:rsidR="00CF1937">
        <w:rPr>
          <w:rFonts w:ascii="Arial" w:hAnsi="Arial" w:cs="Arial"/>
          <w:sz w:val="24"/>
        </w:rPr>
        <w:t xml:space="preserve">systems are </w:t>
      </w:r>
      <w:r w:rsidRPr="002F615B" w:rsidR="00CF1937">
        <w:rPr>
          <w:rFonts w:ascii="Arial" w:hAnsi="Arial" w:cs="Arial"/>
          <w:sz w:val="24"/>
        </w:rPr>
        <w:lastRenderedPageBreak/>
        <w:t xml:space="preserve">part of </w:t>
      </w:r>
      <w:r w:rsidRPr="002F615B" w:rsidR="000E2FB3">
        <w:rPr>
          <w:rFonts w:ascii="Arial" w:hAnsi="Arial" w:cs="Arial"/>
          <w:sz w:val="24"/>
        </w:rPr>
        <w:t>state</w:t>
      </w:r>
      <w:r w:rsidRPr="002F615B" w:rsidR="00CF1937">
        <w:rPr>
          <w:rFonts w:ascii="Arial" w:hAnsi="Arial" w:cs="Arial"/>
          <w:sz w:val="24"/>
        </w:rPr>
        <w:t xml:space="preserve"> agency operations and are not maint</w:t>
      </w:r>
      <w:r w:rsidRPr="002F615B" w:rsidR="0070450C">
        <w:rPr>
          <w:rFonts w:ascii="Arial" w:hAnsi="Arial" w:cs="Arial"/>
          <w:sz w:val="24"/>
        </w:rPr>
        <w:t>ained solely for the purpose of</w:t>
      </w:r>
      <w:r w:rsidRPr="002F615B" w:rsidR="0081574A">
        <w:rPr>
          <w:rFonts w:ascii="Arial" w:hAnsi="Arial" w:cs="Arial"/>
          <w:sz w:val="24"/>
        </w:rPr>
        <w:t xml:space="preserve"> </w:t>
      </w:r>
      <w:r w:rsidRPr="002F615B" w:rsidR="00CF1937">
        <w:rPr>
          <w:rFonts w:ascii="Arial" w:hAnsi="Arial" w:cs="Arial"/>
          <w:sz w:val="24"/>
        </w:rPr>
        <w:t xml:space="preserve">submitting </w:t>
      </w:r>
      <w:r w:rsidRPr="002F615B" w:rsidR="00AB510B">
        <w:rPr>
          <w:rFonts w:ascii="Arial" w:hAnsi="Arial" w:cs="Arial"/>
          <w:sz w:val="24"/>
        </w:rPr>
        <w:t xml:space="preserve">the </w:t>
      </w:r>
      <w:r w:rsidRPr="002F615B" w:rsidR="00614DD6">
        <w:rPr>
          <w:rFonts w:ascii="Arial" w:hAnsi="Arial" w:cs="Arial"/>
          <w:sz w:val="24"/>
        </w:rPr>
        <w:t>Semia</w:t>
      </w:r>
      <w:r w:rsidRPr="002F615B" w:rsidR="00AB510B">
        <w:rPr>
          <w:rFonts w:ascii="Arial" w:hAnsi="Arial" w:cs="Arial"/>
          <w:sz w:val="24"/>
        </w:rPr>
        <w:t>nnual Performance Measures Report</w:t>
      </w:r>
      <w:r w:rsidRPr="002F615B" w:rsidR="00CF1937">
        <w:rPr>
          <w:rFonts w:ascii="Arial" w:hAnsi="Arial" w:cs="Arial"/>
          <w:sz w:val="24"/>
        </w:rPr>
        <w:t xml:space="preserve">. </w:t>
      </w:r>
    </w:p>
    <w:p w:rsidRPr="002F615B" w:rsidR="00CF1937" w:rsidP="004E77BF" w:rsidRDefault="00CF1937" w14:paraId="5A7DF256" w14:textId="19CA2679">
      <w:pPr>
        <w:pStyle w:val="BodyText"/>
        <w:spacing w:line="240" w:lineRule="auto"/>
        <w:ind w:left="720"/>
        <w:rPr>
          <w:rFonts w:ascii="Arial" w:hAnsi="Arial" w:cs="Arial"/>
          <w:sz w:val="28"/>
        </w:rPr>
      </w:pPr>
    </w:p>
    <w:p w:rsidRPr="002F615B" w:rsidR="00CF1937" w:rsidP="004E77BF" w:rsidRDefault="00CF1937" w14:paraId="2CC6B40C" w14:textId="77777777">
      <w:pPr>
        <w:pStyle w:val="BodyText"/>
        <w:spacing w:line="240" w:lineRule="auto"/>
        <w:ind w:left="720" w:hanging="360"/>
        <w:rPr>
          <w:rFonts w:ascii="Arial" w:hAnsi="Arial" w:cs="Arial"/>
          <w:b/>
          <w:sz w:val="24"/>
        </w:rPr>
      </w:pPr>
      <w:r w:rsidRPr="002F615B">
        <w:rPr>
          <w:rFonts w:ascii="Arial" w:hAnsi="Arial" w:cs="Arial"/>
          <w:b/>
          <w:sz w:val="24"/>
        </w:rPr>
        <w:t>14.</w:t>
      </w:r>
      <w:r w:rsidRPr="002F615B" w:rsidR="00A90DD1">
        <w:rPr>
          <w:rFonts w:ascii="Arial" w:hAnsi="Arial" w:cs="Arial"/>
          <w:b/>
          <w:sz w:val="24"/>
        </w:rPr>
        <w:t xml:space="preserve"> </w:t>
      </w:r>
      <w:r w:rsidRPr="002F615B">
        <w:rPr>
          <w:rFonts w:ascii="Arial" w:hAnsi="Arial" w:cs="Arial"/>
          <w:b/>
          <w:sz w:val="24"/>
        </w:rPr>
        <w:t>Annual</w:t>
      </w:r>
      <w:r w:rsidRPr="002F615B" w:rsidR="00C97A70">
        <w:rPr>
          <w:rFonts w:ascii="Arial" w:hAnsi="Arial" w:cs="Arial"/>
          <w:b/>
          <w:sz w:val="24"/>
        </w:rPr>
        <w:t>ized</w:t>
      </w:r>
      <w:r w:rsidRPr="002F615B">
        <w:rPr>
          <w:rFonts w:ascii="Arial" w:hAnsi="Arial" w:cs="Arial"/>
          <w:b/>
          <w:sz w:val="24"/>
        </w:rPr>
        <w:t xml:space="preserve"> Cost to the Federal Government</w:t>
      </w:r>
    </w:p>
    <w:p w:rsidRPr="002F615B" w:rsidR="00A95C79" w:rsidP="004E77BF" w:rsidRDefault="00A95C79" w14:paraId="6D848753" w14:textId="77777777">
      <w:pPr>
        <w:pStyle w:val="BodyText"/>
        <w:spacing w:line="240" w:lineRule="auto"/>
        <w:ind w:left="720" w:hanging="360"/>
        <w:rPr>
          <w:rFonts w:ascii="Arial" w:hAnsi="Arial" w:cs="Arial"/>
          <w:b/>
          <w:sz w:val="28"/>
        </w:rPr>
      </w:pPr>
    </w:p>
    <w:p w:rsidRPr="002F615B" w:rsidR="00CF1937" w:rsidP="004E77BF" w:rsidRDefault="00CF1937" w14:paraId="5DF5EBED" w14:textId="0FB6F52A">
      <w:pPr>
        <w:pStyle w:val="BodyText"/>
        <w:spacing w:line="240" w:lineRule="auto"/>
        <w:ind w:left="360"/>
        <w:rPr>
          <w:rFonts w:ascii="Arial" w:hAnsi="Arial" w:cs="Arial"/>
          <w:sz w:val="24"/>
        </w:rPr>
      </w:pPr>
      <w:r w:rsidRPr="002F615B">
        <w:rPr>
          <w:rFonts w:ascii="Arial" w:hAnsi="Arial" w:cs="Arial"/>
          <w:sz w:val="24"/>
        </w:rPr>
        <w:t>The annual cost to the</w:t>
      </w:r>
      <w:r w:rsidRPr="002F615B" w:rsidR="00417B79">
        <w:rPr>
          <w:rFonts w:ascii="Arial" w:hAnsi="Arial" w:cs="Arial"/>
          <w:sz w:val="24"/>
        </w:rPr>
        <w:t xml:space="preserve"> federal government </w:t>
      </w:r>
      <w:r w:rsidRPr="002F615B">
        <w:rPr>
          <w:rFonts w:ascii="Arial" w:hAnsi="Arial" w:cs="Arial"/>
          <w:sz w:val="24"/>
        </w:rPr>
        <w:t>is shown in the following table.</w:t>
      </w:r>
      <w:r w:rsidRPr="002F615B" w:rsidR="003F3653">
        <w:rPr>
          <w:rFonts w:ascii="Arial" w:hAnsi="Arial" w:cs="Arial"/>
          <w:sz w:val="24"/>
        </w:rPr>
        <w:t xml:space="preserve"> </w:t>
      </w:r>
    </w:p>
    <w:p w:rsidRPr="002F615B" w:rsidR="00CF1937" w:rsidP="004E77BF" w:rsidRDefault="00CF1937" w14:paraId="3E68CC72" w14:textId="77777777">
      <w:pPr>
        <w:pStyle w:val="BodyText"/>
        <w:spacing w:line="240" w:lineRule="auto"/>
        <w:rPr>
          <w:rFonts w:ascii="Arial" w:hAnsi="Arial" w:cs="Arial"/>
          <w:sz w:val="24"/>
        </w:rPr>
      </w:pPr>
    </w:p>
    <w:tbl>
      <w:tblPr>
        <w:tblStyle w:val="LightGrid"/>
        <w:tblW w:w="7361" w:type="dxa"/>
        <w:tblInd w:w="468" w:type="dxa"/>
        <w:tblLayout w:type="fixed"/>
        <w:tblLook w:val="06E0" w:firstRow="1" w:lastRow="1" w:firstColumn="1" w:lastColumn="0" w:noHBand="1" w:noVBand="1"/>
      </w:tblPr>
      <w:tblGrid>
        <w:gridCol w:w="1888"/>
        <w:gridCol w:w="1346"/>
        <w:gridCol w:w="1346"/>
        <w:gridCol w:w="1346"/>
        <w:gridCol w:w="1435"/>
      </w:tblGrid>
      <w:tr w:rsidRPr="002F615B" w:rsidR="00CF1937" w:rsidTr="00A1573B" w14:paraId="3A4E458C" w14:textId="77777777">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888" w:type="dxa"/>
          </w:tcPr>
          <w:p w:rsidRPr="002F615B" w:rsidR="00CF1937" w:rsidP="004E77BF" w:rsidRDefault="00CF1937" w14:paraId="55781A17" w14:textId="77777777">
            <w:pPr>
              <w:pStyle w:val="BodyText"/>
              <w:spacing w:line="240" w:lineRule="auto"/>
              <w:rPr>
                <w:rFonts w:ascii="Arial" w:hAnsi="Arial" w:cs="Arial"/>
                <w:b w:val="0"/>
                <w:sz w:val="24"/>
                <w:szCs w:val="24"/>
              </w:rPr>
            </w:pPr>
            <w:r w:rsidRPr="002F615B">
              <w:rPr>
                <w:rFonts w:ascii="Arial" w:hAnsi="Arial" w:cs="Arial"/>
                <w:b w:val="0"/>
                <w:sz w:val="24"/>
                <w:szCs w:val="24"/>
              </w:rPr>
              <w:t>AGENCY</w:t>
            </w:r>
          </w:p>
        </w:tc>
        <w:tc>
          <w:tcPr>
            <w:tcW w:w="1346" w:type="dxa"/>
          </w:tcPr>
          <w:p w:rsidRPr="002F615B" w:rsidR="00CF1937" w:rsidP="004E77BF" w:rsidRDefault="00CF1937" w14:paraId="7B8DB4AD" w14:textId="77777777">
            <w:pPr>
              <w:pStyle w:val="BodyText"/>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F615B">
              <w:rPr>
                <w:rFonts w:ascii="Arial" w:hAnsi="Arial" w:cs="Arial"/>
                <w:b w:val="0"/>
                <w:sz w:val="24"/>
                <w:szCs w:val="24"/>
              </w:rPr>
              <w:t>YEAR 1</w:t>
            </w:r>
          </w:p>
        </w:tc>
        <w:tc>
          <w:tcPr>
            <w:tcW w:w="1346" w:type="dxa"/>
          </w:tcPr>
          <w:p w:rsidRPr="002F615B" w:rsidR="00CF1937" w:rsidP="004E77BF" w:rsidRDefault="00CF1937" w14:paraId="06594644" w14:textId="77777777">
            <w:pPr>
              <w:pStyle w:val="BodyText"/>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F615B">
              <w:rPr>
                <w:rFonts w:ascii="Arial" w:hAnsi="Arial" w:cs="Arial"/>
                <w:b w:val="0"/>
                <w:sz w:val="24"/>
                <w:szCs w:val="24"/>
              </w:rPr>
              <w:t>YEAR 2</w:t>
            </w:r>
          </w:p>
        </w:tc>
        <w:tc>
          <w:tcPr>
            <w:tcW w:w="1346" w:type="dxa"/>
          </w:tcPr>
          <w:p w:rsidRPr="002F615B" w:rsidR="00CF1937" w:rsidP="004E77BF" w:rsidRDefault="00CF1937" w14:paraId="29E94418" w14:textId="77777777">
            <w:pPr>
              <w:pStyle w:val="BodyText"/>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F615B">
              <w:rPr>
                <w:rFonts w:ascii="Arial" w:hAnsi="Arial" w:cs="Arial"/>
                <w:b w:val="0"/>
                <w:sz w:val="24"/>
                <w:szCs w:val="24"/>
              </w:rPr>
              <w:t>YEAR 3</w:t>
            </w:r>
          </w:p>
        </w:tc>
        <w:tc>
          <w:tcPr>
            <w:tcW w:w="1435" w:type="dxa"/>
          </w:tcPr>
          <w:p w:rsidRPr="002F615B" w:rsidR="00CF1937" w:rsidP="004E77BF" w:rsidRDefault="00CF1937" w14:paraId="74E618B1" w14:textId="77777777">
            <w:pPr>
              <w:pStyle w:val="BodyText"/>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F615B">
              <w:rPr>
                <w:rFonts w:ascii="Arial" w:hAnsi="Arial" w:cs="Arial"/>
                <w:b w:val="0"/>
                <w:sz w:val="24"/>
                <w:szCs w:val="24"/>
              </w:rPr>
              <w:t>AVERAGE</w:t>
            </w:r>
          </w:p>
        </w:tc>
      </w:tr>
      <w:tr w:rsidRPr="002F615B" w:rsidR="007456FD" w:rsidTr="00A1573B" w14:paraId="2F49C445" w14:textId="77777777">
        <w:trPr>
          <w:trHeight w:val="260"/>
        </w:trPr>
        <w:tc>
          <w:tcPr>
            <w:cnfStyle w:val="001000000000" w:firstRow="0" w:lastRow="0" w:firstColumn="1" w:lastColumn="0" w:oddVBand="0" w:evenVBand="0" w:oddHBand="0" w:evenHBand="0" w:firstRowFirstColumn="0" w:firstRowLastColumn="0" w:lastRowFirstColumn="0" w:lastRowLastColumn="0"/>
            <w:tcW w:w="1888" w:type="dxa"/>
          </w:tcPr>
          <w:p w:rsidRPr="002F615B" w:rsidR="007456FD" w:rsidP="004E77BF" w:rsidRDefault="003F3653" w14:paraId="67CEE074" w14:textId="77777777">
            <w:pPr>
              <w:pStyle w:val="BodyText"/>
              <w:spacing w:line="240" w:lineRule="auto"/>
              <w:rPr>
                <w:rFonts w:ascii="Arial" w:hAnsi="Arial" w:cs="Arial"/>
                <w:b w:val="0"/>
                <w:sz w:val="24"/>
                <w:szCs w:val="24"/>
              </w:rPr>
            </w:pPr>
            <w:r w:rsidRPr="002F615B">
              <w:rPr>
                <w:rFonts w:ascii="Arial" w:hAnsi="Arial" w:cs="Arial"/>
                <w:b w:val="0"/>
                <w:sz w:val="24"/>
                <w:szCs w:val="24"/>
              </w:rPr>
              <w:t>ACL</w:t>
            </w:r>
          </w:p>
        </w:tc>
        <w:tc>
          <w:tcPr>
            <w:tcW w:w="1346" w:type="dxa"/>
            <w:vAlign w:val="center"/>
          </w:tcPr>
          <w:p w:rsidRPr="002F615B" w:rsidR="007456FD" w:rsidP="004E77BF" w:rsidRDefault="006653E8" w14:paraId="06859EC1" w14:textId="78E8013B">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F615B">
              <w:rPr>
                <w:rFonts w:ascii="Arial" w:hAnsi="Arial" w:cs="Arial"/>
                <w:szCs w:val="24"/>
              </w:rPr>
              <w:t>$</w:t>
            </w:r>
            <w:r w:rsidRPr="002F615B" w:rsidR="004B1462">
              <w:rPr>
                <w:rFonts w:ascii="Arial" w:hAnsi="Arial" w:cs="Arial"/>
                <w:szCs w:val="24"/>
              </w:rPr>
              <w:t>7,108</w:t>
            </w:r>
          </w:p>
        </w:tc>
        <w:tc>
          <w:tcPr>
            <w:tcW w:w="1346" w:type="dxa"/>
            <w:vAlign w:val="center"/>
          </w:tcPr>
          <w:p w:rsidRPr="002F615B" w:rsidR="007456FD" w:rsidP="004E77BF" w:rsidRDefault="006653E8" w14:paraId="4F281912" w14:textId="77841E6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F615B">
              <w:rPr>
                <w:rFonts w:ascii="Arial" w:hAnsi="Arial" w:cs="Arial"/>
                <w:szCs w:val="24"/>
              </w:rPr>
              <w:t>$</w:t>
            </w:r>
            <w:r w:rsidRPr="002F615B" w:rsidR="004B1462">
              <w:rPr>
                <w:rFonts w:ascii="Arial" w:hAnsi="Arial" w:cs="Arial"/>
                <w:szCs w:val="24"/>
              </w:rPr>
              <w:t>7,108</w:t>
            </w:r>
          </w:p>
        </w:tc>
        <w:tc>
          <w:tcPr>
            <w:tcW w:w="1346" w:type="dxa"/>
            <w:vAlign w:val="center"/>
          </w:tcPr>
          <w:p w:rsidRPr="002F615B" w:rsidR="007456FD" w:rsidP="004E77BF" w:rsidRDefault="006653E8" w14:paraId="5056A1E7" w14:textId="228E694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F615B">
              <w:rPr>
                <w:rFonts w:ascii="Arial" w:hAnsi="Arial" w:cs="Arial"/>
                <w:szCs w:val="24"/>
              </w:rPr>
              <w:t>$</w:t>
            </w:r>
            <w:r w:rsidRPr="002F615B" w:rsidR="004B1462">
              <w:rPr>
                <w:rFonts w:ascii="Arial" w:hAnsi="Arial" w:cs="Arial"/>
                <w:szCs w:val="24"/>
              </w:rPr>
              <w:t>7,108</w:t>
            </w:r>
          </w:p>
        </w:tc>
        <w:tc>
          <w:tcPr>
            <w:tcW w:w="1435" w:type="dxa"/>
            <w:vAlign w:val="center"/>
          </w:tcPr>
          <w:p w:rsidRPr="002F615B" w:rsidR="007456FD" w:rsidP="004E77BF" w:rsidRDefault="006653E8" w14:paraId="268DF702" w14:textId="4C6A5E67">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F615B">
              <w:rPr>
                <w:rFonts w:ascii="Arial" w:hAnsi="Arial" w:cs="Arial"/>
                <w:szCs w:val="24"/>
              </w:rPr>
              <w:t>$</w:t>
            </w:r>
            <w:r w:rsidRPr="002F615B" w:rsidR="004B1462">
              <w:rPr>
                <w:rFonts w:ascii="Arial" w:hAnsi="Arial" w:cs="Arial"/>
                <w:szCs w:val="24"/>
              </w:rPr>
              <w:t>7,108</w:t>
            </w:r>
          </w:p>
        </w:tc>
      </w:tr>
      <w:tr w:rsidRPr="002F615B" w:rsidR="006653E8" w:rsidTr="00A1573B" w14:paraId="10F36304" w14:textId="77777777">
        <w:trPr>
          <w:trHeight w:val="251"/>
        </w:trPr>
        <w:tc>
          <w:tcPr>
            <w:cnfStyle w:val="001000000000" w:firstRow="0" w:lastRow="0" w:firstColumn="1" w:lastColumn="0" w:oddVBand="0" w:evenVBand="0" w:oddHBand="0" w:evenHBand="0" w:firstRowFirstColumn="0" w:firstRowLastColumn="0" w:lastRowFirstColumn="0" w:lastRowLastColumn="0"/>
            <w:tcW w:w="1888" w:type="dxa"/>
          </w:tcPr>
          <w:p w:rsidRPr="002F615B" w:rsidR="006653E8" w:rsidP="004E77BF" w:rsidRDefault="006653E8" w14:paraId="3BFB5BEA" w14:textId="77777777">
            <w:pPr>
              <w:pStyle w:val="BodyText"/>
              <w:spacing w:line="240" w:lineRule="auto"/>
              <w:rPr>
                <w:rFonts w:ascii="Arial" w:hAnsi="Arial" w:cs="Arial"/>
                <w:b w:val="0"/>
                <w:sz w:val="24"/>
                <w:szCs w:val="24"/>
              </w:rPr>
            </w:pPr>
            <w:r w:rsidRPr="002F615B">
              <w:rPr>
                <w:rFonts w:ascii="Arial" w:hAnsi="Arial" w:cs="Arial"/>
                <w:b w:val="0"/>
                <w:sz w:val="24"/>
                <w:szCs w:val="24"/>
              </w:rPr>
              <w:t>Contractor Staff</w:t>
            </w:r>
          </w:p>
        </w:tc>
        <w:tc>
          <w:tcPr>
            <w:tcW w:w="1346" w:type="dxa"/>
            <w:vAlign w:val="center"/>
          </w:tcPr>
          <w:p w:rsidRPr="002F615B" w:rsidR="006653E8" w:rsidP="004E77BF" w:rsidRDefault="006653E8" w14:paraId="3501F979" w14:textId="082DCBE5">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F615B">
              <w:rPr>
                <w:rFonts w:ascii="Arial" w:hAnsi="Arial" w:cs="Arial"/>
                <w:szCs w:val="24"/>
              </w:rPr>
              <w:t>$</w:t>
            </w:r>
            <w:r w:rsidRPr="002F615B" w:rsidR="001A6B92">
              <w:rPr>
                <w:rFonts w:ascii="Arial" w:hAnsi="Arial" w:cs="Arial"/>
                <w:szCs w:val="24"/>
              </w:rPr>
              <w:t>150</w:t>
            </w:r>
            <w:r w:rsidRPr="002F615B" w:rsidR="0092785B">
              <w:rPr>
                <w:rFonts w:ascii="Arial" w:hAnsi="Arial" w:cs="Arial"/>
                <w:szCs w:val="24"/>
              </w:rPr>
              <w:t>,000</w:t>
            </w:r>
          </w:p>
        </w:tc>
        <w:tc>
          <w:tcPr>
            <w:tcW w:w="1346" w:type="dxa"/>
            <w:vAlign w:val="center"/>
          </w:tcPr>
          <w:p w:rsidRPr="002F615B" w:rsidR="006653E8" w:rsidP="004E77BF" w:rsidRDefault="001A6B92" w14:paraId="27CC6C27" w14:textId="7834B635">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F615B">
              <w:rPr>
                <w:rFonts w:ascii="Arial" w:hAnsi="Arial" w:cs="Arial"/>
                <w:szCs w:val="24"/>
              </w:rPr>
              <w:t>$150,000</w:t>
            </w:r>
          </w:p>
        </w:tc>
        <w:tc>
          <w:tcPr>
            <w:tcW w:w="1346" w:type="dxa"/>
            <w:vAlign w:val="center"/>
          </w:tcPr>
          <w:p w:rsidRPr="002F615B" w:rsidR="006653E8" w:rsidP="004E77BF" w:rsidRDefault="001A6B92" w14:paraId="685DDBCC" w14:textId="232F8E07">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F615B">
              <w:rPr>
                <w:rFonts w:ascii="Arial" w:hAnsi="Arial" w:cs="Arial"/>
                <w:szCs w:val="24"/>
              </w:rPr>
              <w:t>$150,000</w:t>
            </w:r>
          </w:p>
        </w:tc>
        <w:tc>
          <w:tcPr>
            <w:tcW w:w="1435" w:type="dxa"/>
            <w:vAlign w:val="center"/>
          </w:tcPr>
          <w:p w:rsidRPr="002F615B" w:rsidR="006653E8" w:rsidP="004E77BF" w:rsidRDefault="001A6B92" w14:paraId="73C613D2" w14:textId="2C67799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F615B">
              <w:rPr>
                <w:rFonts w:ascii="Arial" w:hAnsi="Arial" w:cs="Arial"/>
                <w:szCs w:val="24"/>
              </w:rPr>
              <w:t>$150,000</w:t>
            </w:r>
          </w:p>
        </w:tc>
      </w:tr>
      <w:tr w:rsidRPr="002F615B" w:rsidR="006653E8" w:rsidTr="00A1573B" w14:paraId="3F3F889F" w14:textId="77777777">
        <w:trPr>
          <w:cnfStyle w:val="010000000000" w:firstRow="0" w:lastRow="1"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888" w:type="dxa"/>
          </w:tcPr>
          <w:p w:rsidRPr="002F615B" w:rsidR="006653E8" w:rsidP="004E77BF" w:rsidRDefault="006653E8" w14:paraId="642A5084" w14:textId="77777777">
            <w:pPr>
              <w:pStyle w:val="BodyText"/>
              <w:spacing w:line="240" w:lineRule="auto"/>
              <w:rPr>
                <w:rFonts w:ascii="Arial" w:hAnsi="Arial" w:cs="Arial"/>
                <w:b w:val="0"/>
                <w:sz w:val="24"/>
                <w:szCs w:val="24"/>
              </w:rPr>
            </w:pPr>
            <w:r w:rsidRPr="002F615B">
              <w:rPr>
                <w:rFonts w:ascii="Arial" w:hAnsi="Arial" w:cs="Arial"/>
                <w:b w:val="0"/>
                <w:sz w:val="24"/>
                <w:szCs w:val="24"/>
              </w:rPr>
              <w:t>Total</w:t>
            </w:r>
          </w:p>
        </w:tc>
        <w:tc>
          <w:tcPr>
            <w:tcW w:w="1346" w:type="dxa"/>
            <w:vAlign w:val="center"/>
          </w:tcPr>
          <w:p w:rsidRPr="002F615B" w:rsidR="006653E8" w:rsidP="004E77BF" w:rsidRDefault="006653E8" w14:paraId="465FBD68" w14:textId="04E822C8">
            <w:pPr>
              <w:cnfStyle w:val="010000000000" w:firstRow="0" w:lastRow="1" w:firstColumn="0" w:lastColumn="0" w:oddVBand="0" w:evenVBand="0" w:oddHBand="0" w:evenHBand="0" w:firstRowFirstColumn="0" w:firstRowLastColumn="0" w:lastRowFirstColumn="0" w:lastRowLastColumn="0"/>
              <w:rPr>
                <w:rFonts w:ascii="Arial" w:hAnsi="Arial" w:cs="Arial"/>
                <w:b w:val="0"/>
                <w:szCs w:val="24"/>
              </w:rPr>
            </w:pPr>
            <w:r w:rsidRPr="002F615B">
              <w:rPr>
                <w:rFonts w:ascii="Arial" w:hAnsi="Arial" w:cs="Arial"/>
                <w:b w:val="0"/>
                <w:szCs w:val="24"/>
              </w:rPr>
              <w:t>$</w:t>
            </w:r>
            <w:r w:rsidRPr="002F615B" w:rsidR="001A6B92">
              <w:rPr>
                <w:rFonts w:ascii="Arial" w:hAnsi="Arial" w:cs="Arial"/>
                <w:b w:val="0"/>
                <w:szCs w:val="24"/>
              </w:rPr>
              <w:t>15</w:t>
            </w:r>
            <w:r w:rsidRPr="002F615B" w:rsidR="004B1462">
              <w:rPr>
                <w:rFonts w:ascii="Arial" w:hAnsi="Arial" w:cs="Arial"/>
                <w:b w:val="0"/>
                <w:szCs w:val="24"/>
              </w:rPr>
              <w:t>7,108</w:t>
            </w:r>
          </w:p>
        </w:tc>
        <w:tc>
          <w:tcPr>
            <w:tcW w:w="1346" w:type="dxa"/>
            <w:vAlign w:val="center"/>
          </w:tcPr>
          <w:p w:rsidRPr="002F615B" w:rsidR="006653E8" w:rsidP="004E77BF" w:rsidRDefault="001A6B92" w14:paraId="61F2165F" w14:textId="2949D6F3">
            <w:pPr>
              <w:cnfStyle w:val="010000000000" w:firstRow="0" w:lastRow="1" w:firstColumn="0" w:lastColumn="0" w:oddVBand="0" w:evenVBand="0" w:oddHBand="0" w:evenHBand="0" w:firstRowFirstColumn="0" w:firstRowLastColumn="0" w:lastRowFirstColumn="0" w:lastRowLastColumn="0"/>
              <w:rPr>
                <w:rFonts w:ascii="Arial" w:hAnsi="Arial" w:cs="Arial"/>
                <w:b w:val="0"/>
                <w:szCs w:val="24"/>
              </w:rPr>
            </w:pPr>
            <w:r w:rsidRPr="002F615B">
              <w:rPr>
                <w:rFonts w:ascii="Arial" w:hAnsi="Arial" w:cs="Arial"/>
                <w:b w:val="0"/>
                <w:szCs w:val="24"/>
              </w:rPr>
              <w:t>$157,108</w:t>
            </w:r>
          </w:p>
        </w:tc>
        <w:tc>
          <w:tcPr>
            <w:tcW w:w="1346" w:type="dxa"/>
            <w:vAlign w:val="center"/>
          </w:tcPr>
          <w:p w:rsidRPr="002F615B" w:rsidR="006653E8" w:rsidP="004E77BF" w:rsidRDefault="001A6B92" w14:paraId="1F512151" w14:textId="61D5922C">
            <w:pPr>
              <w:cnfStyle w:val="010000000000" w:firstRow="0" w:lastRow="1" w:firstColumn="0" w:lastColumn="0" w:oddVBand="0" w:evenVBand="0" w:oddHBand="0" w:evenHBand="0" w:firstRowFirstColumn="0" w:firstRowLastColumn="0" w:lastRowFirstColumn="0" w:lastRowLastColumn="0"/>
              <w:rPr>
                <w:rFonts w:ascii="Arial" w:hAnsi="Arial" w:cs="Arial"/>
                <w:b w:val="0"/>
                <w:szCs w:val="24"/>
              </w:rPr>
            </w:pPr>
            <w:r w:rsidRPr="002F615B">
              <w:rPr>
                <w:rFonts w:ascii="Arial" w:hAnsi="Arial" w:cs="Arial"/>
                <w:b w:val="0"/>
                <w:szCs w:val="24"/>
              </w:rPr>
              <w:t>$157,108</w:t>
            </w:r>
          </w:p>
        </w:tc>
        <w:tc>
          <w:tcPr>
            <w:tcW w:w="1435" w:type="dxa"/>
            <w:vAlign w:val="center"/>
          </w:tcPr>
          <w:p w:rsidRPr="002F615B" w:rsidR="006653E8" w:rsidP="004E77BF" w:rsidRDefault="001A6B92" w14:paraId="0677DBFF" w14:textId="442509A7">
            <w:pPr>
              <w:cnfStyle w:val="010000000000" w:firstRow="0" w:lastRow="1" w:firstColumn="0" w:lastColumn="0" w:oddVBand="0" w:evenVBand="0" w:oddHBand="0" w:evenHBand="0" w:firstRowFirstColumn="0" w:firstRowLastColumn="0" w:lastRowFirstColumn="0" w:lastRowLastColumn="0"/>
              <w:rPr>
                <w:rFonts w:ascii="Arial" w:hAnsi="Arial" w:cs="Arial"/>
                <w:b w:val="0"/>
                <w:szCs w:val="24"/>
              </w:rPr>
            </w:pPr>
            <w:r w:rsidRPr="002F615B">
              <w:rPr>
                <w:rFonts w:ascii="Arial" w:hAnsi="Arial" w:cs="Arial"/>
                <w:b w:val="0"/>
                <w:szCs w:val="24"/>
              </w:rPr>
              <w:t>$157,108</w:t>
            </w:r>
          </w:p>
        </w:tc>
      </w:tr>
    </w:tbl>
    <w:p w:rsidRPr="002F615B" w:rsidR="00EC13E3" w:rsidP="004E77BF" w:rsidRDefault="00EC13E3" w14:paraId="03692471" w14:textId="77777777">
      <w:pPr>
        <w:pStyle w:val="BodyText"/>
        <w:spacing w:line="240" w:lineRule="auto"/>
        <w:ind w:left="360"/>
        <w:rPr>
          <w:rFonts w:ascii="Arial" w:hAnsi="Arial" w:cs="Arial"/>
          <w:sz w:val="24"/>
        </w:rPr>
      </w:pPr>
    </w:p>
    <w:p w:rsidRPr="002F615B" w:rsidR="00AB7936" w:rsidP="004E77BF" w:rsidRDefault="00CF1937" w14:paraId="73A7AD02" w14:textId="77777777">
      <w:pPr>
        <w:pStyle w:val="BodyText"/>
        <w:spacing w:after="240" w:line="240" w:lineRule="auto"/>
        <w:ind w:left="360"/>
        <w:rPr>
          <w:rFonts w:ascii="Arial" w:hAnsi="Arial" w:cs="Arial"/>
          <w:sz w:val="24"/>
        </w:rPr>
      </w:pPr>
      <w:r w:rsidRPr="002F615B">
        <w:rPr>
          <w:rFonts w:ascii="Arial" w:hAnsi="Arial" w:cs="Arial"/>
          <w:sz w:val="24"/>
        </w:rPr>
        <w:t>The above costs are based upon</w:t>
      </w:r>
      <w:r w:rsidRPr="002F615B" w:rsidR="00AB7936">
        <w:rPr>
          <w:rFonts w:ascii="Arial" w:hAnsi="Arial" w:cs="Arial"/>
          <w:sz w:val="24"/>
        </w:rPr>
        <w:t>:</w:t>
      </w:r>
    </w:p>
    <w:p w:rsidRPr="002F615B" w:rsidR="00AB7936" w:rsidP="004E77BF" w:rsidRDefault="00AB7936" w14:paraId="02A51B25" w14:textId="5A2C24CE">
      <w:pPr>
        <w:pStyle w:val="BodyText"/>
        <w:numPr>
          <w:ilvl w:val="0"/>
          <w:numId w:val="22"/>
        </w:numPr>
        <w:spacing w:line="240" w:lineRule="auto"/>
        <w:rPr>
          <w:rFonts w:ascii="Arial" w:hAnsi="Arial" w:cs="Arial"/>
          <w:sz w:val="24"/>
        </w:rPr>
      </w:pPr>
      <w:r w:rsidRPr="002F615B">
        <w:rPr>
          <w:rFonts w:ascii="Arial" w:hAnsi="Arial" w:cs="Arial"/>
          <w:sz w:val="24"/>
        </w:rPr>
        <w:t>ACL staff oversight of 5% time for a GS 12</w:t>
      </w:r>
      <w:r w:rsidR="004E77BF">
        <w:rPr>
          <w:rFonts w:ascii="Arial" w:hAnsi="Arial" w:cs="Arial"/>
          <w:sz w:val="24"/>
        </w:rPr>
        <w:t xml:space="preserve"> and</w:t>
      </w:r>
    </w:p>
    <w:p w:rsidRPr="002F615B" w:rsidR="00CF1937" w:rsidP="004E77BF" w:rsidRDefault="00AB7936" w14:paraId="130EFFD5" w14:textId="5CDFA9EF">
      <w:pPr>
        <w:pStyle w:val="BodyText"/>
        <w:numPr>
          <w:ilvl w:val="0"/>
          <w:numId w:val="22"/>
        </w:numPr>
        <w:spacing w:line="240" w:lineRule="auto"/>
        <w:rPr>
          <w:rFonts w:ascii="Arial" w:hAnsi="Arial" w:cs="Arial"/>
          <w:sz w:val="24"/>
        </w:rPr>
      </w:pPr>
      <w:r w:rsidRPr="002F615B">
        <w:rPr>
          <w:rFonts w:ascii="Arial" w:hAnsi="Arial" w:cs="Arial"/>
          <w:sz w:val="24"/>
        </w:rPr>
        <w:t>T</w:t>
      </w:r>
      <w:r w:rsidRPr="002F615B" w:rsidR="00CF1937">
        <w:rPr>
          <w:rFonts w:ascii="Arial" w:hAnsi="Arial" w:cs="Arial"/>
          <w:sz w:val="24"/>
        </w:rPr>
        <w:t xml:space="preserve">he use of contractor staff to </w:t>
      </w:r>
      <w:r w:rsidRPr="002F615B" w:rsidR="00AB510B">
        <w:rPr>
          <w:rFonts w:ascii="Arial" w:hAnsi="Arial" w:cs="Arial"/>
          <w:sz w:val="24"/>
        </w:rPr>
        <w:t xml:space="preserve">compile, </w:t>
      </w:r>
      <w:r w:rsidRPr="002F615B" w:rsidR="00CF1937">
        <w:rPr>
          <w:rFonts w:ascii="Arial" w:hAnsi="Arial" w:cs="Arial"/>
          <w:sz w:val="24"/>
        </w:rPr>
        <w:t xml:space="preserve">process, and analyze the </w:t>
      </w:r>
      <w:r w:rsidRPr="002F615B" w:rsidR="00614DD6">
        <w:rPr>
          <w:rFonts w:ascii="Arial" w:hAnsi="Arial" w:cs="Arial"/>
          <w:sz w:val="24"/>
        </w:rPr>
        <w:t>Semia</w:t>
      </w:r>
      <w:r w:rsidRPr="002F615B" w:rsidR="00AB510B">
        <w:rPr>
          <w:rFonts w:ascii="Arial" w:hAnsi="Arial" w:cs="Arial"/>
          <w:sz w:val="24"/>
        </w:rPr>
        <w:t>nnual Performance Measures Report</w:t>
      </w:r>
      <w:r w:rsidRPr="002F615B" w:rsidR="003F3653">
        <w:rPr>
          <w:rFonts w:ascii="Arial" w:hAnsi="Arial" w:cs="Arial"/>
          <w:sz w:val="24"/>
        </w:rPr>
        <w:t>.</w:t>
      </w:r>
      <w:r w:rsidRPr="002F615B" w:rsidR="00CF1937">
        <w:rPr>
          <w:rFonts w:ascii="Arial" w:hAnsi="Arial" w:cs="Arial"/>
          <w:sz w:val="24"/>
        </w:rPr>
        <w:t xml:space="preserve"> </w:t>
      </w:r>
      <w:r w:rsidRPr="002F615B" w:rsidR="00E02979">
        <w:rPr>
          <w:rFonts w:ascii="Arial" w:hAnsi="Arial" w:cs="Arial"/>
          <w:sz w:val="24"/>
        </w:rPr>
        <w:t xml:space="preserve">Contractor staff </w:t>
      </w:r>
      <w:r w:rsidRPr="002F615B" w:rsidR="00AB510B">
        <w:rPr>
          <w:rFonts w:ascii="Arial" w:hAnsi="Arial" w:cs="Arial"/>
          <w:sz w:val="24"/>
        </w:rPr>
        <w:t xml:space="preserve">may </w:t>
      </w:r>
      <w:r w:rsidRPr="002F615B" w:rsidR="002B18ED">
        <w:rPr>
          <w:rFonts w:ascii="Arial" w:hAnsi="Arial" w:cs="Arial"/>
          <w:sz w:val="24"/>
        </w:rPr>
        <w:t xml:space="preserve">also </w:t>
      </w:r>
      <w:r w:rsidRPr="002F615B" w:rsidR="00E02979">
        <w:rPr>
          <w:rFonts w:ascii="Arial" w:hAnsi="Arial" w:cs="Arial"/>
          <w:sz w:val="24"/>
        </w:rPr>
        <w:t xml:space="preserve">provide </w:t>
      </w:r>
      <w:r w:rsidRPr="002F615B" w:rsidR="00C06990">
        <w:rPr>
          <w:rFonts w:ascii="Arial" w:hAnsi="Arial" w:cs="Arial"/>
          <w:sz w:val="24"/>
        </w:rPr>
        <w:t>TA</w:t>
      </w:r>
      <w:r w:rsidRPr="002F615B" w:rsidR="00E02979">
        <w:rPr>
          <w:rFonts w:ascii="Arial" w:hAnsi="Arial" w:cs="Arial"/>
          <w:sz w:val="24"/>
        </w:rPr>
        <w:t xml:space="preserve"> </w:t>
      </w:r>
      <w:r w:rsidRPr="002F615B" w:rsidR="002B18ED">
        <w:rPr>
          <w:rFonts w:ascii="Arial" w:hAnsi="Arial" w:cs="Arial"/>
          <w:sz w:val="24"/>
        </w:rPr>
        <w:t xml:space="preserve">to states </w:t>
      </w:r>
      <w:r w:rsidRPr="002F615B" w:rsidR="003F3653">
        <w:rPr>
          <w:rFonts w:ascii="Arial" w:hAnsi="Arial" w:cs="Arial"/>
          <w:sz w:val="24"/>
        </w:rPr>
        <w:t xml:space="preserve">to help them submit quality data </w:t>
      </w:r>
      <w:r w:rsidRPr="002F615B" w:rsidR="00AB510B">
        <w:rPr>
          <w:rFonts w:ascii="Arial" w:hAnsi="Arial" w:cs="Arial"/>
          <w:sz w:val="24"/>
        </w:rPr>
        <w:t xml:space="preserve">in the </w:t>
      </w:r>
      <w:r w:rsidRPr="002F615B" w:rsidR="00614DD6">
        <w:rPr>
          <w:rFonts w:ascii="Arial" w:hAnsi="Arial" w:cs="Arial"/>
          <w:sz w:val="24"/>
        </w:rPr>
        <w:t>Semia</w:t>
      </w:r>
      <w:r w:rsidRPr="002F615B" w:rsidR="00AB510B">
        <w:rPr>
          <w:rFonts w:ascii="Arial" w:hAnsi="Arial" w:cs="Arial"/>
          <w:sz w:val="24"/>
        </w:rPr>
        <w:t>nnual Performance Measures Report</w:t>
      </w:r>
      <w:r w:rsidRPr="002F615B" w:rsidR="003F3653">
        <w:rPr>
          <w:rFonts w:ascii="Arial" w:hAnsi="Arial" w:cs="Arial"/>
          <w:sz w:val="24"/>
        </w:rPr>
        <w:t xml:space="preserve">. </w:t>
      </w:r>
      <w:r w:rsidRPr="002F615B" w:rsidR="00CF1937">
        <w:rPr>
          <w:rFonts w:ascii="Arial" w:hAnsi="Arial" w:cs="Arial"/>
          <w:sz w:val="24"/>
        </w:rPr>
        <w:t xml:space="preserve">Federal staff direct and monitor </w:t>
      </w:r>
      <w:r w:rsidRPr="002F615B" w:rsidR="002F59F7">
        <w:rPr>
          <w:rFonts w:ascii="Arial" w:hAnsi="Arial" w:cs="Arial"/>
          <w:sz w:val="24"/>
        </w:rPr>
        <w:t>all</w:t>
      </w:r>
      <w:r w:rsidRPr="002F615B" w:rsidR="00CF1937">
        <w:rPr>
          <w:rFonts w:ascii="Arial" w:hAnsi="Arial" w:cs="Arial"/>
          <w:sz w:val="24"/>
        </w:rPr>
        <w:t xml:space="preserve"> effort</w:t>
      </w:r>
      <w:r w:rsidRPr="002F615B" w:rsidR="002F59F7">
        <w:rPr>
          <w:rFonts w:ascii="Arial" w:hAnsi="Arial" w:cs="Arial"/>
          <w:sz w:val="24"/>
        </w:rPr>
        <w:t>s</w:t>
      </w:r>
      <w:r w:rsidRPr="002F615B" w:rsidR="00CF1937">
        <w:rPr>
          <w:rFonts w:ascii="Arial" w:hAnsi="Arial" w:cs="Arial"/>
          <w:sz w:val="24"/>
        </w:rPr>
        <w:t xml:space="preserve">. </w:t>
      </w:r>
      <w:r w:rsidRPr="002F615B" w:rsidR="006653E8">
        <w:rPr>
          <w:rFonts w:ascii="Arial" w:hAnsi="Arial" w:cs="Arial"/>
          <w:sz w:val="24"/>
        </w:rPr>
        <w:t>Contractor costs are based on a review of existing contracts for similar services.</w:t>
      </w:r>
    </w:p>
    <w:p w:rsidRPr="002F615B" w:rsidR="008D599B" w:rsidP="004E77BF" w:rsidRDefault="008D599B" w14:paraId="41795A5C" w14:textId="77777777">
      <w:pPr>
        <w:pStyle w:val="BodyText"/>
        <w:spacing w:line="240" w:lineRule="auto"/>
        <w:ind w:left="720"/>
        <w:rPr>
          <w:rFonts w:ascii="Arial" w:hAnsi="Arial" w:cs="Arial"/>
          <w:b/>
          <w:sz w:val="28"/>
        </w:rPr>
      </w:pPr>
    </w:p>
    <w:p w:rsidRPr="002F615B" w:rsidR="00CF1937" w:rsidP="004E77BF" w:rsidRDefault="00C97A70" w14:paraId="678C4CF1" w14:textId="77777777">
      <w:pPr>
        <w:pStyle w:val="BodyText"/>
        <w:numPr>
          <w:ilvl w:val="0"/>
          <w:numId w:val="6"/>
        </w:numPr>
        <w:tabs>
          <w:tab w:val="clear" w:pos="1140"/>
        </w:tabs>
        <w:spacing w:line="240" w:lineRule="auto"/>
        <w:ind w:left="720" w:hanging="360"/>
        <w:rPr>
          <w:rFonts w:ascii="Arial" w:hAnsi="Arial" w:cs="Arial"/>
          <w:b/>
          <w:sz w:val="24"/>
        </w:rPr>
      </w:pPr>
      <w:r w:rsidRPr="002F615B">
        <w:rPr>
          <w:rFonts w:ascii="Arial" w:hAnsi="Arial" w:cs="Arial"/>
          <w:b/>
          <w:sz w:val="24"/>
        </w:rPr>
        <w:t>Explanation for Program Changes or Adjustments</w:t>
      </w:r>
      <w:r w:rsidRPr="002F615B" w:rsidR="00E17C2D">
        <w:rPr>
          <w:rFonts w:ascii="Arial" w:hAnsi="Arial" w:cs="Arial"/>
          <w:b/>
          <w:sz w:val="24"/>
        </w:rPr>
        <w:t xml:space="preserve"> </w:t>
      </w:r>
    </w:p>
    <w:p w:rsidRPr="002F615B" w:rsidR="00577067" w:rsidP="004E77BF" w:rsidRDefault="00577067" w14:paraId="6DCECAC0" w14:textId="77777777">
      <w:pPr>
        <w:pStyle w:val="BodyText"/>
        <w:spacing w:line="240" w:lineRule="auto"/>
        <w:ind w:left="720"/>
        <w:rPr>
          <w:rFonts w:ascii="Arial" w:hAnsi="Arial" w:cs="Arial"/>
          <w:b/>
          <w:sz w:val="28"/>
        </w:rPr>
      </w:pPr>
    </w:p>
    <w:p w:rsidRPr="002F615B" w:rsidR="008E6961" w:rsidP="004E77BF" w:rsidRDefault="005114A7" w14:paraId="0C70AB5F" w14:textId="428DFF04">
      <w:pPr>
        <w:pStyle w:val="BodyText"/>
        <w:spacing w:line="240" w:lineRule="auto"/>
        <w:ind w:left="360"/>
        <w:rPr>
          <w:rFonts w:ascii="Arial" w:hAnsi="Arial" w:cs="Arial"/>
          <w:sz w:val="24"/>
        </w:rPr>
      </w:pPr>
      <w:r w:rsidRPr="002F615B">
        <w:rPr>
          <w:rFonts w:ascii="Arial" w:hAnsi="Arial" w:cs="Arial"/>
          <w:sz w:val="24"/>
          <w:szCs w:val="24"/>
        </w:rPr>
        <w:t xml:space="preserve">The burden estimates presented here represent a significant reduction in estimated burden compared to the initial </w:t>
      </w:r>
      <w:r w:rsidR="00333ACE">
        <w:rPr>
          <w:rFonts w:ascii="Arial" w:hAnsi="Arial" w:cs="Arial"/>
          <w:sz w:val="24"/>
          <w:szCs w:val="24"/>
        </w:rPr>
        <w:t>proposed IC</w:t>
      </w:r>
      <w:r w:rsidRPr="002F615B">
        <w:rPr>
          <w:rFonts w:ascii="Arial" w:hAnsi="Arial" w:cs="Arial"/>
          <w:sz w:val="24"/>
          <w:szCs w:val="24"/>
        </w:rPr>
        <w:t xml:space="preserve"> in January 2018.</w:t>
      </w:r>
      <w:r w:rsidRPr="002F615B" w:rsidR="006653E8">
        <w:rPr>
          <w:rFonts w:ascii="Arial" w:hAnsi="Arial" w:cs="Arial"/>
          <w:sz w:val="24"/>
          <w:szCs w:val="24"/>
        </w:rPr>
        <w:t xml:space="preserve"> </w:t>
      </w:r>
      <w:r w:rsidRPr="002F615B">
        <w:rPr>
          <w:rFonts w:ascii="Arial" w:hAnsi="Arial" w:cs="Arial"/>
          <w:sz w:val="24"/>
          <w:szCs w:val="24"/>
        </w:rPr>
        <w:t xml:space="preserve">At that time, ACL estimated there would could be as many as 45 grantees and each report would require 16 hours of grantee time to complete or 32 hours per year total. </w:t>
      </w:r>
      <w:r w:rsidRPr="002F615B" w:rsidR="006653E8">
        <w:rPr>
          <w:rFonts w:ascii="Arial" w:hAnsi="Arial" w:cs="Arial"/>
          <w:sz w:val="24"/>
          <w:szCs w:val="24"/>
        </w:rPr>
        <w:t xml:space="preserve">This submission to OMB </w:t>
      </w:r>
      <w:r w:rsidRPr="002F615B">
        <w:rPr>
          <w:rFonts w:ascii="Arial" w:hAnsi="Arial" w:cs="Arial"/>
          <w:sz w:val="24"/>
          <w:szCs w:val="24"/>
        </w:rPr>
        <w:t>includes our revised burden estimates based on how the proposed instrument has been shortened in length, narrowed in scope, and simplified in terms of the data requested. The specific changes to the data collection instrument that produce these reductions in burden are described under Question 8 above.</w:t>
      </w:r>
      <w:r w:rsidR="00CD0A09">
        <w:rPr>
          <w:rFonts w:ascii="Arial" w:hAnsi="Arial" w:cs="Arial"/>
          <w:sz w:val="24"/>
          <w:szCs w:val="24"/>
        </w:rPr>
        <w:t xml:space="preserve"> This is a new information collection with a program change increase of 432 annual burden hours. </w:t>
      </w:r>
    </w:p>
    <w:p w:rsidRPr="002F615B" w:rsidR="0077654C" w:rsidP="004E77BF" w:rsidRDefault="0077654C" w14:paraId="20CDB3FC" w14:textId="77777777">
      <w:pPr>
        <w:pStyle w:val="BodyText"/>
        <w:spacing w:line="240" w:lineRule="auto"/>
        <w:ind w:left="360"/>
        <w:rPr>
          <w:rFonts w:ascii="Arial" w:hAnsi="Arial" w:cs="Arial"/>
          <w:sz w:val="28"/>
        </w:rPr>
      </w:pPr>
    </w:p>
    <w:p w:rsidRPr="002F615B" w:rsidR="003C4ED0" w:rsidP="004E77BF" w:rsidRDefault="003C4ED0" w14:paraId="52567D70" w14:textId="043B6F67">
      <w:pPr>
        <w:pStyle w:val="BodyText"/>
        <w:numPr>
          <w:ilvl w:val="0"/>
          <w:numId w:val="6"/>
        </w:numPr>
        <w:tabs>
          <w:tab w:val="clear" w:pos="1140"/>
          <w:tab w:val="num" w:pos="720"/>
        </w:tabs>
        <w:spacing w:line="240" w:lineRule="auto"/>
        <w:ind w:left="720" w:hanging="360"/>
        <w:rPr>
          <w:rFonts w:ascii="Arial" w:hAnsi="Arial" w:cs="Arial"/>
          <w:b/>
          <w:sz w:val="24"/>
        </w:rPr>
      </w:pPr>
      <w:r w:rsidRPr="002F615B">
        <w:rPr>
          <w:rFonts w:ascii="Arial" w:hAnsi="Arial" w:cs="Arial"/>
          <w:b/>
          <w:sz w:val="24"/>
        </w:rPr>
        <w:t>Plans for Ta</w:t>
      </w:r>
      <w:r w:rsidRPr="002F615B" w:rsidR="00C97A70">
        <w:rPr>
          <w:rFonts w:ascii="Arial" w:hAnsi="Arial" w:cs="Arial"/>
          <w:b/>
          <w:sz w:val="24"/>
        </w:rPr>
        <w:t xml:space="preserve">bulation and </w:t>
      </w:r>
      <w:r w:rsidRPr="002F615B">
        <w:rPr>
          <w:rFonts w:ascii="Arial" w:hAnsi="Arial" w:cs="Arial"/>
          <w:b/>
          <w:sz w:val="24"/>
        </w:rPr>
        <w:t xml:space="preserve">Publication and </w:t>
      </w:r>
      <w:r w:rsidRPr="002F615B" w:rsidR="00C97A70">
        <w:rPr>
          <w:rFonts w:ascii="Arial" w:hAnsi="Arial" w:cs="Arial"/>
          <w:b/>
          <w:sz w:val="24"/>
        </w:rPr>
        <w:t xml:space="preserve">Project </w:t>
      </w:r>
      <w:r w:rsidRPr="002F615B">
        <w:rPr>
          <w:rFonts w:ascii="Arial" w:hAnsi="Arial" w:cs="Arial"/>
          <w:b/>
          <w:sz w:val="24"/>
        </w:rPr>
        <w:t>Time Schedule</w:t>
      </w:r>
    </w:p>
    <w:p w:rsidRPr="002F615B" w:rsidR="00577067" w:rsidP="004E77BF" w:rsidRDefault="00577067" w14:paraId="3145172B" w14:textId="77777777">
      <w:pPr>
        <w:pStyle w:val="BodyText"/>
        <w:spacing w:line="240" w:lineRule="auto"/>
        <w:ind w:left="1140"/>
        <w:rPr>
          <w:rFonts w:ascii="Arial" w:hAnsi="Arial" w:cs="Arial"/>
          <w:b/>
          <w:sz w:val="28"/>
        </w:rPr>
      </w:pPr>
    </w:p>
    <w:p w:rsidRPr="002F615B" w:rsidR="00A80B42" w:rsidP="004E77BF" w:rsidRDefault="003C4ED0" w14:paraId="5B17156A" w14:textId="6B9CAC19">
      <w:pPr>
        <w:pStyle w:val="BodyText"/>
        <w:spacing w:line="240" w:lineRule="auto"/>
        <w:ind w:left="360"/>
        <w:rPr>
          <w:rFonts w:ascii="Arial" w:hAnsi="Arial" w:cs="Arial"/>
          <w:sz w:val="24"/>
        </w:rPr>
      </w:pPr>
      <w:r w:rsidRPr="002F615B">
        <w:rPr>
          <w:rFonts w:ascii="Arial" w:hAnsi="Arial" w:cs="Arial"/>
          <w:sz w:val="24"/>
        </w:rPr>
        <w:t xml:space="preserve">The </w:t>
      </w:r>
      <w:r w:rsidRPr="002F615B" w:rsidR="000B01BD">
        <w:rPr>
          <w:rFonts w:ascii="Arial" w:hAnsi="Arial" w:cs="Arial"/>
          <w:sz w:val="24"/>
        </w:rPr>
        <w:t xml:space="preserve">highlights of the </w:t>
      </w:r>
      <w:r w:rsidRPr="002F615B" w:rsidR="00614DD6">
        <w:rPr>
          <w:rFonts w:ascii="Arial" w:hAnsi="Arial" w:cs="Arial"/>
          <w:sz w:val="24"/>
        </w:rPr>
        <w:t>semi</w:t>
      </w:r>
      <w:r w:rsidRPr="002F615B">
        <w:rPr>
          <w:rFonts w:ascii="Arial" w:hAnsi="Arial" w:cs="Arial"/>
          <w:sz w:val="24"/>
        </w:rPr>
        <w:t xml:space="preserve">annual data collection schedule </w:t>
      </w:r>
      <w:r w:rsidRPr="002F615B" w:rsidR="000B01BD">
        <w:rPr>
          <w:rFonts w:ascii="Arial" w:hAnsi="Arial" w:cs="Arial"/>
          <w:sz w:val="24"/>
        </w:rPr>
        <w:t>are</w:t>
      </w:r>
      <w:r w:rsidRPr="002F615B" w:rsidR="00B67360">
        <w:rPr>
          <w:rFonts w:ascii="Arial" w:hAnsi="Arial" w:cs="Arial"/>
          <w:sz w:val="24"/>
        </w:rPr>
        <w:t xml:space="preserve"> as follows: </w:t>
      </w:r>
    </w:p>
    <w:p w:rsidRPr="002F615B" w:rsidR="000E167B" w:rsidP="004E77BF" w:rsidRDefault="000E167B" w14:paraId="4A023137" w14:textId="77777777">
      <w:pPr>
        <w:pStyle w:val="BodyText"/>
        <w:numPr>
          <w:ilvl w:val="0"/>
          <w:numId w:val="8"/>
        </w:numPr>
        <w:spacing w:line="240" w:lineRule="auto"/>
        <w:rPr>
          <w:rFonts w:ascii="Arial" w:hAnsi="Arial" w:cs="Arial"/>
          <w:sz w:val="24"/>
        </w:rPr>
      </w:pPr>
      <w:r w:rsidRPr="002F615B">
        <w:rPr>
          <w:rFonts w:ascii="Arial" w:hAnsi="Arial" w:cs="Arial"/>
          <w:sz w:val="24"/>
        </w:rPr>
        <w:t>June 1 – Funds are awarded to grantees</w:t>
      </w:r>
    </w:p>
    <w:p w:rsidRPr="002F615B" w:rsidR="000E167B" w:rsidP="004E77BF" w:rsidRDefault="000E167B" w14:paraId="3A823DAC" w14:textId="291C2723">
      <w:pPr>
        <w:pStyle w:val="BodyText"/>
        <w:numPr>
          <w:ilvl w:val="0"/>
          <w:numId w:val="8"/>
        </w:numPr>
        <w:spacing w:line="240" w:lineRule="auto"/>
        <w:rPr>
          <w:rFonts w:ascii="Arial" w:hAnsi="Arial" w:cs="Arial"/>
          <w:sz w:val="24"/>
        </w:rPr>
      </w:pPr>
      <w:r w:rsidRPr="002F615B">
        <w:rPr>
          <w:rFonts w:ascii="Arial" w:hAnsi="Arial" w:cs="Arial"/>
          <w:sz w:val="24"/>
        </w:rPr>
        <w:t xml:space="preserve">December 1 – Semiannual grant period closes </w:t>
      </w:r>
    </w:p>
    <w:p w:rsidRPr="002F615B" w:rsidR="000E167B" w:rsidP="004E77BF" w:rsidRDefault="000E167B" w14:paraId="002F8808" w14:textId="77777777">
      <w:pPr>
        <w:pStyle w:val="BodyText"/>
        <w:numPr>
          <w:ilvl w:val="0"/>
          <w:numId w:val="8"/>
        </w:numPr>
        <w:spacing w:line="240" w:lineRule="auto"/>
        <w:rPr>
          <w:rFonts w:ascii="Arial" w:hAnsi="Arial" w:cs="Arial"/>
          <w:sz w:val="24"/>
        </w:rPr>
      </w:pPr>
      <w:r w:rsidRPr="002F615B">
        <w:rPr>
          <w:rFonts w:ascii="Arial" w:hAnsi="Arial" w:cs="Arial"/>
          <w:sz w:val="24"/>
        </w:rPr>
        <w:t>December 31</w:t>
      </w:r>
      <w:r w:rsidRPr="002F615B">
        <w:rPr>
          <w:rFonts w:ascii="Arial" w:hAnsi="Arial" w:cs="Arial"/>
          <w:sz w:val="24"/>
          <w:highlight w:val="yellow"/>
        </w:rPr>
        <w:softHyphen/>
      </w:r>
      <w:r w:rsidRPr="002F615B">
        <w:rPr>
          <w:rFonts w:ascii="Arial" w:hAnsi="Arial" w:cs="Arial"/>
          <w:sz w:val="24"/>
        </w:rPr>
        <w:t xml:space="preserve"> – Semiannual Performance Measures Reports are due</w:t>
      </w:r>
    </w:p>
    <w:p w:rsidRPr="002F615B" w:rsidR="000E167B" w:rsidP="004E77BF" w:rsidRDefault="000E167B" w14:paraId="3C4BF0E9" w14:textId="7B282ECE">
      <w:pPr>
        <w:pStyle w:val="BodyText"/>
        <w:numPr>
          <w:ilvl w:val="0"/>
          <w:numId w:val="8"/>
        </w:numPr>
        <w:spacing w:line="240" w:lineRule="auto"/>
        <w:rPr>
          <w:rFonts w:ascii="Arial" w:hAnsi="Arial" w:cs="Arial"/>
          <w:sz w:val="24"/>
        </w:rPr>
      </w:pPr>
      <w:r w:rsidRPr="002F615B">
        <w:rPr>
          <w:rFonts w:ascii="Arial" w:hAnsi="Arial" w:cs="Arial"/>
          <w:sz w:val="24"/>
        </w:rPr>
        <w:t>January 1-February 28 – Data extraction, compilation, and analyses</w:t>
      </w:r>
    </w:p>
    <w:p w:rsidRPr="002F615B" w:rsidR="000E167B" w:rsidP="004E77BF" w:rsidRDefault="000E167B" w14:paraId="315B9923" w14:textId="77777777">
      <w:pPr>
        <w:pStyle w:val="BodyText"/>
        <w:numPr>
          <w:ilvl w:val="0"/>
          <w:numId w:val="8"/>
        </w:numPr>
        <w:spacing w:line="240" w:lineRule="auto"/>
        <w:rPr>
          <w:rFonts w:ascii="Arial" w:hAnsi="Arial" w:cs="Arial"/>
          <w:sz w:val="24"/>
        </w:rPr>
      </w:pPr>
      <w:r w:rsidRPr="002F615B">
        <w:rPr>
          <w:rFonts w:ascii="Arial" w:hAnsi="Arial" w:cs="Arial"/>
          <w:sz w:val="24"/>
        </w:rPr>
        <w:t>May 30 – Annual grant period closes</w:t>
      </w:r>
    </w:p>
    <w:p w:rsidRPr="002F615B" w:rsidR="000E167B" w:rsidP="004E77BF" w:rsidRDefault="000E167B" w14:paraId="381639F7" w14:textId="68F75371">
      <w:pPr>
        <w:pStyle w:val="BodyText"/>
        <w:numPr>
          <w:ilvl w:val="0"/>
          <w:numId w:val="8"/>
        </w:numPr>
        <w:spacing w:line="240" w:lineRule="auto"/>
        <w:rPr>
          <w:rFonts w:ascii="Arial" w:hAnsi="Arial" w:cs="Arial"/>
          <w:sz w:val="24"/>
        </w:rPr>
      </w:pPr>
      <w:r w:rsidRPr="002F615B">
        <w:rPr>
          <w:rFonts w:ascii="Arial" w:hAnsi="Arial" w:cs="Arial"/>
          <w:sz w:val="24"/>
        </w:rPr>
        <w:t>June 30 – Semiannual Performance Measures Reports are due</w:t>
      </w:r>
    </w:p>
    <w:p w:rsidRPr="002F615B" w:rsidR="000E167B" w:rsidP="004E77BF" w:rsidRDefault="000E167B" w14:paraId="1803E866" w14:textId="750821FA">
      <w:pPr>
        <w:pStyle w:val="BodyText"/>
        <w:numPr>
          <w:ilvl w:val="0"/>
          <w:numId w:val="8"/>
        </w:numPr>
        <w:spacing w:line="240" w:lineRule="auto"/>
        <w:rPr>
          <w:rFonts w:ascii="Arial" w:hAnsi="Arial" w:cs="Arial"/>
          <w:sz w:val="24"/>
        </w:rPr>
      </w:pPr>
      <w:r w:rsidRPr="002F615B">
        <w:rPr>
          <w:rFonts w:ascii="Arial" w:hAnsi="Arial" w:cs="Arial"/>
          <w:sz w:val="24"/>
        </w:rPr>
        <w:t>July 1-August 30 - Data extraction, compilation, and analyses</w:t>
      </w:r>
    </w:p>
    <w:p w:rsidRPr="002F615B" w:rsidR="00EC13E3" w:rsidP="004E77BF" w:rsidRDefault="00EC13E3" w14:paraId="0B1715A0" w14:textId="48AA046C">
      <w:pPr>
        <w:pStyle w:val="BodyText"/>
        <w:spacing w:line="240" w:lineRule="auto"/>
        <w:ind w:left="720" w:hanging="360"/>
        <w:rPr>
          <w:rFonts w:ascii="Arial" w:hAnsi="Arial" w:cs="Arial"/>
          <w:b/>
          <w:sz w:val="28"/>
        </w:rPr>
      </w:pPr>
    </w:p>
    <w:p w:rsidRPr="002F615B" w:rsidR="003C4ED0" w:rsidP="004E77BF" w:rsidRDefault="00C97A70" w14:paraId="0FA544A3" w14:textId="1235385B">
      <w:pPr>
        <w:pStyle w:val="BodyText"/>
        <w:numPr>
          <w:ilvl w:val="0"/>
          <w:numId w:val="6"/>
        </w:numPr>
        <w:tabs>
          <w:tab w:val="clear" w:pos="1140"/>
          <w:tab w:val="num" w:pos="720"/>
        </w:tabs>
        <w:spacing w:line="240" w:lineRule="auto"/>
        <w:ind w:left="720" w:hanging="360"/>
        <w:rPr>
          <w:rFonts w:ascii="Arial" w:hAnsi="Arial" w:cs="Arial"/>
          <w:b/>
          <w:sz w:val="24"/>
        </w:rPr>
      </w:pPr>
      <w:r w:rsidRPr="002F615B">
        <w:rPr>
          <w:rFonts w:ascii="Arial" w:hAnsi="Arial" w:cs="Arial"/>
          <w:b/>
          <w:sz w:val="24"/>
        </w:rPr>
        <w:t>Reason(s) Display of OMB</w:t>
      </w:r>
      <w:r w:rsidRPr="002F615B" w:rsidR="003C4ED0">
        <w:rPr>
          <w:rFonts w:ascii="Arial" w:hAnsi="Arial" w:cs="Arial"/>
          <w:b/>
          <w:sz w:val="24"/>
        </w:rPr>
        <w:t xml:space="preserve"> Expiration Date</w:t>
      </w:r>
      <w:r w:rsidRPr="002F615B">
        <w:rPr>
          <w:rFonts w:ascii="Arial" w:hAnsi="Arial" w:cs="Arial"/>
          <w:b/>
          <w:sz w:val="24"/>
        </w:rPr>
        <w:t xml:space="preserve"> is Inappropriate</w:t>
      </w:r>
    </w:p>
    <w:p w:rsidRPr="002F615B" w:rsidR="00D77CA8" w:rsidP="004E77BF" w:rsidRDefault="00D77CA8" w14:paraId="1E893EA6" w14:textId="77777777">
      <w:pPr>
        <w:pStyle w:val="BodyText"/>
        <w:spacing w:line="240" w:lineRule="auto"/>
        <w:ind w:left="1140"/>
        <w:rPr>
          <w:rFonts w:ascii="Arial" w:hAnsi="Arial" w:cs="Arial"/>
          <w:b/>
          <w:sz w:val="28"/>
        </w:rPr>
      </w:pPr>
    </w:p>
    <w:p w:rsidR="00CD0A09" w:rsidP="004E77BF" w:rsidRDefault="003C4ED0" w14:paraId="6E78FA11" w14:textId="77777777">
      <w:pPr>
        <w:pStyle w:val="BodyText"/>
        <w:spacing w:line="240" w:lineRule="auto"/>
        <w:ind w:left="720" w:hanging="360"/>
        <w:rPr>
          <w:rFonts w:ascii="Arial" w:hAnsi="Arial" w:cs="Arial"/>
          <w:sz w:val="24"/>
        </w:rPr>
      </w:pPr>
      <w:r w:rsidRPr="002F615B">
        <w:rPr>
          <w:rFonts w:ascii="Arial" w:hAnsi="Arial" w:cs="Arial"/>
          <w:sz w:val="24"/>
        </w:rPr>
        <w:t>The expiration dates will be displayed on the d</w:t>
      </w:r>
      <w:r w:rsidR="00CD0A09">
        <w:rPr>
          <w:rFonts w:ascii="Arial" w:hAnsi="Arial" w:cs="Arial"/>
          <w:sz w:val="24"/>
        </w:rPr>
        <w:t xml:space="preserve">ata collection instructions and </w:t>
      </w:r>
    </w:p>
    <w:p w:rsidRPr="002F615B" w:rsidR="003C4ED0" w:rsidP="004E77BF" w:rsidRDefault="003C4ED0" w14:paraId="5246ECD1" w14:textId="70CFC9AE">
      <w:pPr>
        <w:pStyle w:val="BodyText"/>
        <w:spacing w:line="240" w:lineRule="auto"/>
        <w:ind w:left="720" w:hanging="360"/>
        <w:rPr>
          <w:rFonts w:ascii="Arial" w:hAnsi="Arial" w:cs="Arial"/>
          <w:sz w:val="24"/>
        </w:rPr>
      </w:pPr>
      <w:r w:rsidRPr="002F615B">
        <w:rPr>
          <w:rFonts w:ascii="Arial" w:hAnsi="Arial" w:cs="Arial"/>
          <w:sz w:val="24"/>
        </w:rPr>
        <w:t>instruments.</w:t>
      </w:r>
    </w:p>
    <w:p w:rsidRPr="002F615B" w:rsidR="003C4ED0" w:rsidP="004E77BF" w:rsidRDefault="003C4ED0" w14:paraId="05F7F255" w14:textId="49D9795E">
      <w:pPr>
        <w:pStyle w:val="BodyText"/>
        <w:spacing w:line="240" w:lineRule="auto"/>
        <w:rPr>
          <w:rFonts w:ascii="Arial" w:hAnsi="Arial" w:cs="Arial"/>
          <w:sz w:val="28"/>
        </w:rPr>
      </w:pPr>
    </w:p>
    <w:p w:rsidRPr="002F615B" w:rsidR="003C4ED0" w:rsidP="004E77BF" w:rsidRDefault="00C97A70" w14:paraId="141869A5" w14:textId="39FF364C">
      <w:pPr>
        <w:pStyle w:val="BodyText"/>
        <w:numPr>
          <w:ilvl w:val="0"/>
          <w:numId w:val="6"/>
        </w:numPr>
        <w:tabs>
          <w:tab w:val="clear" w:pos="1140"/>
          <w:tab w:val="num" w:pos="720"/>
        </w:tabs>
        <w:spacing w:line="240" w:lineRule="auto"/>
        <w:ind w:left="720" w:hanging="360"/>
        <w:rPr>
          <w:rFonts w:ascii="Arial" w:hAnsi="Arial" w:cs="Arial"/>
          <w:b/>
          <w:sz w:val="24"/>
        </w:rPr>
      </w:pPr>
      <w:r w:rsidRPr="002F615B">
        <w:rPr>
          <w:rFonts w:ascii="Arial" w:hAnsi="Arial" w:cs="Arial"/>
          <w:b/>
          <w:sz w:val="24"/>
        </w:rPr>
        <w:t>Exceptions to Certification for</w:t>
      </w:r>
      <w:r w:rsidRPr="002F615B" w:rsidR="003C4ED0">
        <w:rPr>
          <w:rFonts w:ascii="Arial" w:hAnsi="Arial" w:cs="Arial"/>
          <w:b/>
          <w:sz w:val="24"/>
        </w:rPr>
        <w:t xml:space="preserve"> Paperwork Reduction Act</w:t>
      </w:r>
      <w:r w:rsidRPr="002F615B">
        <w:rPr>
          <w:rFonts w:ascii="Arial" w:hAnsi="Arial" w:cs="Arial"/>
          <w:b/>
          <w:sz w:val="24"/>
        </w:rPr>
        <w:t xml:space="preserve"> Submissions</w:t>
      </w:r>
    </w:p>
    <w:p w:rsidRPr="002F615B" w:rsidR="00D77CA8" w:rsidP="004E77BF" w:rsidRDefault="00D77CA8" w14:paraId="1EBFAA91" w14:textId="77777777">
      <w:pPr>
        <w:pStyle w:val="BodyText"/>
        <w:spacing w:line="240" w:lineRule="auto"/>
        <w:ind w:left="1140"/>
        <w:rPr>
          <w:rFonts w:ascii="Arial" w:hAnsi="Arial" w:cs="Arial"/>
          <w:sz w:val="28"/>
        </w:rPr>
      </w:pPr>
    </w:p>
    <w:p w:rsidRPr="002F615B" w:rsidR="004F0FE4" w:rsidP="004E77BF" w:rsidRDefault="003C4ED0" w14:paraId="773CD131" w14:textId="6EE923AB">
      <w:pPr>
        <w:pStyle w:val="BodyText"/>
        <w:spacing w:line="240" w:lineRule="auto"/>
        <w:ind w:left="360"/>
        <w:rPr>
          <w:rFonts w:ascii="Arial" w:hAnsi="Arial" w:cs="Arial"/>
          <w:sz w:val="24"/>
        </w:rPr>
      </w:pPr>
      <w:r w:rsidRPr="002F615B">
        <w:rPr>
          <w:rFonts w:ascii="Arial" w:hAnsi="Arial" w:cs="Arial"/>
          <w:sz w:val="24"/>
        </w:rPr>
        <w:t>No exceptions to the above certification are being sough</w:t>
      </w:r>
      <w:r w:rsidRPr="002F615B" w:rsidR="0077654C">
        <w:rPr>
          <w:rFonts w:ascii="Arial" w:hAnsi="Arial" w:cs="Arial"/>
          <w:sz w:val="24"/>
        </w:rPr>
        <w:t>t.</w:t>
      </w:r>
      <w:r w:rsidRPr="002F615B" w:rsidR="00EF68AA">
        <w:rPr>
          <w:rFonts w:ascii="Arial" w:hAnsi="Arial" w:cs="Arial"/>
          <w:sz w:val="24"/>
        </w:rPr>
        <w:t xml:space="preserve"> </w:t>
      </w:r>
    </w:p>
    <w:p w:rsidRPr="002F615B" w:rsidR="003C4ED0" w:rsidP="004E77BF" w:rsidRDefault="003C4ED0" w14:paraId="73324C32" w14:textId="77777777">
      <w:pPr>
        <w:pStyle w:val="BodyText"/>
        <w:spacing w:line="240" w:lineRule="auto"/>
        <w:rPr>
          <w:rFonts w:ascii="Arial" w:hAnsi="Arial" w:cs="Arial"/>
          <w:sz w:val="28"/>
        </w:rPr>
      </w:pPr>
    </w:p>
    <w:sectPr w:rsidRPr="002F615B" w:rsidR="003C4ED0" w:rsidSect="004371CA">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5C05D" w14:textId="77777777" w:rsidR="00330A03" w:rsidRDefault="00330A03">
      <w:r>
        <w:separator/>
      </w:r>
    </w:p>
  </w:endnote>
  <w:endnote w:type="continuationSeparator" w:id="0">
    <w:p w14:paraId="61C7AFD5" w14:textId="77777777" w:rsidR="00330A03" w:rsidRDefault="0033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7E50A" w14:textId="77777777" w:rsidR="00586FE2" w:rsidRDefault="00586FE2">
    <w:pPr>
      <w:pStyle w:val="Footer"/>
      <w:framePr w:wrap="around" w:vAnchor="text" w:hAnchor="margin" w:xAlign="center" w:y="1"/>
      <w:rPr>
        <w:rStyle w:val="PageNumber"/>
        <w:rFonts w:ascii="Times New Roman" w:hAnsi="Times New Roman"/>
        <w:snapToGrid/>
      </w:rPr>
    </w:pPr>
    <w:r>
      <w:rPr>
        <w:rStyle w:val="PageNumber"/>
      </w:rPr>
      <w:fldChar w:fldCharType="begin"/>
    </w:r>
    <w:r>
      <w:rPr>
        <w:rStyle w:val="PageNumber"/>
      </w:rPr>
      <w:instrText xml:space="preserve">PAGE  </w:instrText>
    </w:r>
    <w:r>
      <w:rPr>
        <w:rStyle w:val="PageNumber"/>
      </w:rPr>
      <w:fldChar w:fldCharType="separate"/>
    </w:r>
    <w:r w:rsidR="0092785B">
      <w:rPr>
        <w:rStyle w:val="PageNumber"/>
        <w:noProof/>
      </w:rPr>
      <w:t>8</w:t>
    </w:r>
    <w:r>
      <w:rPr>
        <w:rStyle w:val="PageNumber"/>
      </w:rPr>
      <w:fldChar w:fldCharType="end"/>
    </w:r>
  </w:p>
  <w:p w14:paraId="7FFA7531" w14:textId="77777777" w:rsidR="00586FE2" w:rsidRDefault="00586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95E1E" w14:textId="496B9CFF" w:rsidR="00586FE2" w:rsidRPr="007B36A6" w:rsidRDefault="00586FE2">
    <w:pPr>
      <w:pStyle w:val="Footer"/>
      <w:framePr w:wrap="around" w:vAnchor="text" w:hAnchor="page" w:x="6049" w:y="81"/>
      <w:rPr>
        <w:rStyle w:val="PageNumber"/>
        <w:rFonts w:ascii="Times New Roman" w:hAnsi="Times New Roman"/>
        <w:snapToGrid/>
        <w:sz w:val="22"/>
      </w:rPr>
    </w:pPr>
    <w:r w:rsidRPr="007B36A6">
      <w:rPr>
        <w:rStyle w:val="PageNumber"/>
        <w:rFonts w:ascii="Times New Roman" w:hAnsi="Times New Roman"/>
        <w:sz w:val="22"/>
      </w:rPr>
      <w:fldChar w:fldCharType="begin"/>
    </w:r>
    <w:r w:rsidRPr="007B36A6">
      <w:rPr>
        <w:rStyle w:val="PageNumber"/>
        <w:rFonts w:ascii="Times New Roman" w:hAnsi="Times New Roman"/>
        <w:sz w:val="22"/>
      </w:rPr>
      <w:instrText xml:space="preserve">PAGE  </w:instrText>
    </w:r>
    <w:r w:rsidRPr="007B36A6">
      <w:rPr>
        <w:rStyle w:val="PageNumber"/>
        <w:rFonts w:ascii="Times New Roman" w:hAnsi="Times New Roman"/>
        <w:sz w:val="22"/>
      </w:rPr>
      <w:fldChar w:fldCharType="separate"/>
    </w:r>
    <w:r w:rsidR="00B95BD3">
      <w:rPr>
        <w:rStyle w:val="PageNumber"/>
        <w:rFonts w:ascii="Times New Roman" w:hAnsi="Times New Roman"/>
        <w:noProof/>
        <w:sz w:val="22"/>
      </w:rPr>
      <w:t>8</w:t>
    </w:r>
    <w:r w:rsidRPr="007B36A6">
      <w:rPr>
        <w:rStyle w:val="PageNumber"/>
        <w:rFonts w:ascii="Times New Roman" w:hAnsi="Times New Roman"/>
        <w:sz w:val="22"/>
      </w:rPr>
      <w:fldChar w:fldCharType="end"/>
    </w:r>
  </w:p>
  <w:p w14:paraId="568C6C87" w14:textId="77777777" w:rsidR="00586FE2" w:rsidRDefault="00586FE2">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9AD33" w14:textId="77777777" w:rsidR="00330A03" w:rsidRDefault="00330A03">
      <w:r>
        <w:separator/>
      </w:r>
    </w:p>
  </w:footnote>
  <w:footnote w:type="continuationSeparator" w:id="0">
    <w:p w14:paraId="794F1B6D" w14:textId="77777777" w:rsidR="00330A03" w:rsidRDefault="00330A03">
      <w:r>
        <w:continuationSeparator/>
      </w:r>
    </w:p>
  </w:footnote>
  <w:footnote w:id="1">
    <w:p w14:paraId="3E09D1E1" w14:textId="249A0587" w:rsidR="000E7022" w:rsidRPr="00B418E1" w:rsidRDefault="000E7022" w:rsidP="003D396A">
      <w:pPr>
        <w:pStyle w:val="FootnoteText"/>
        <w:tabs>
          <w:tab w:val="left" w:pos="8175"/>
        </w:tabs>
        <w:rPr>
          <w:color w:val="FF0000"/>
          <w:sz w:val="22"/>
          <w:szCs w:val="22"/>
          <w:highlight w:val="yellow"/>
        </w:rPr>
      </w:pPr>
      <w:r w:rsidRPr="00320E35">
        <w:rPr>
          <w:rStyle w:val="FootnoteReference"/>
        </w:rPr>
        <w:footnoteRef/>
      </w:r>
      <w:r w:rsidRPr="00320E35">
        <w:t xml:space="preserve"> </w:t>
      </w:r>
      <w:hyperlink r:id="rId1" w:history="1">
        <w:r w:rsidRPr="00253509">
          <w:rPr>
            <w:rStyle w:val="Hyperlink"/>
            <w:szCs w:val="16"/>
          </w:rPr>
          <w:t>http://www.gao.gov/key_issues/managing_for_results_in_government/issue_summary</w:t>
        </w:r>
      </w:hyperlink>
      <w:r w:rsidR="0043472B">
        <w:rPr>
          <w:rStyle w:val="Hyperlink"/>
          <w:szCs w:val="16"/>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B3740"/>
    <w:multiLevelType w:val="hybridMultilevel"/>
    <w:tmpl w:val="9C2243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E80C24"/>
    <w:multiLevelType w:val="hybridMultilevel"/>
    <w:tmpl w:val="D56C1340"/>
    <w:lvl w:ilvl="0" w:tplc="4CCA41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E7556"/>
    <w:multiLevelType w:val="hybridMultilevel"/>
    <w:tmpl w:val="4C5259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0036CA"/>
    <w:multiLevelType w:val="hybridMultilevel"/>
    <w:tmpl w:val="4E74201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61140D5"/>
    <w:multiLevelType w:val="hybridMultilevel"/>
    <w:tmpl w:val="93943D7C"/>
    <w:lvl w:ilvl="0" w:tplc="0D802E1E">
      <w:start w:val="1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2359D2"/>
    <w:multiLevelType w:val="hybridMultilevel"/>
    <w:tmpl w:val="14B6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F360C"/>
    <w:multiLevelType w:val="hybridMultilevel"/>
    <w:tmpl w:val="00DA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51C09"/>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306F59B8"/>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9" w15:restartNumberingAfterBreak="0">
    <w:nsid w:val="33AB6F5A"/>
    <w:multiLevelType w:val="hybridMultilevel"/>
    <w:tmpl w:val="5BCE4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AE3661"/>
    <w:multiLevelType w:val="hybridMultilevel"/>
    <w:tmpl w:val="FC06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F46F8"/>
    <w:multiLevelType w:val="hybridMultilevel"/>
    <w:tmpl w:val="B51EDCB8"/>
    <w:lvl w:ilvl="0" w:tplc="9846292A">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D1383"/>
    <w:multiLevelType w:val="hybridMultilevel"/>
    <w:tmpl w:val="6EA64F10"/>
    <w:lvl w:ilvl="0" w:tplc="0409000F">
      <w:start w:val="1"/>
      <w:numFmt w:val="decimal"/>
      <w:lvlText w:val="%1."/>
      <w:lvlJc w:val="left"/>
      <w:pPr>
        <w:ind w:left="1135"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3" w15:restartNumberingAfterBreak="0">
    <w:nsid w:val="4C162545"/>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14" w15:restartNumberingAfterBreak="0">
    <w:nsid w:val="50006362"/>
    <w:multiLevelType w:val="hybridMultilevel"/>
    <w:tmpl w:val="E90C1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4640B1"/>
    <w:multiLevelType w:val="hybridMultilevel"/>
    <w:tmpl w:val="E5A0C5CE"/>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6" w15:restartNumberingAfterBreak="0">
    <w:nsid w:val="608178BB"/>
    <w:multiLevelType w:val="hybridMultilevel"/>
    <w:tmpl w:val="5706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424AC"/>
    <w:multiLevelType w:val="hybridMultilevel"/>
    <w:tmpl w:val="429271B0"/>
    <w:lvl w:ilvl="0" w:tplc="F06E3A08">
      <w:start w:val="10"/>
      <w:numFmt w:val="decimal"/>
      <w:lvlText w:val="%1."/>
      <w:lvlJc w:val="left"/>
      <w:pPr>
        <w:tabs>
          <w:tab w:val="num" w:pos="3600"/>
        </w:tabs>
        <w:ind w:left="3600" w:hanging="360"/>
      </w:pPr>
      <w:rPr>
        <w:rFonts w:hint="default"/>
        <w:b/>
      </w:rPr>
    </w:lvl>
    <w:lvl w:ilvl="1" w:tplc="04090019">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8" w15:restartNumberingAfterBreak="0">
    <w:nsid w:val="621B6154"/>
    <w:multiLevelType w:val="hybridMultilevel"/>
    <w:tmpl w:val="CD0E2270"/>
    <w:lvl w:ilvl="0" w:tplc="21B68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0D2089"/>
    <w:multiLevelType w:val="hybridMultilevel"/>
    <w:tmpl w:val="24CACCC6"/>
    <w:lvl w:ilvl="0" w:tplc="36E8C466">
      <w:start w:val="15"/>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4765F05"/>
    <w:multiLevelType w:val="singleLevel"/>
    <w:tmpl w:val="A8429CB6"/>
    <w:lvl w:ilvl="0">
      <w:start w:val="1"/>
      <w:numFmt w:val="upperLetter"/>
      <w:pStyle w:val="Heading1"/>
      <w:lvlText w:val="%1."/>
      <w:lvlJc w:val="left"/>
      <w:pPr>
        <w:tabs>
          <w:tab w:val="num" w:pos="360"/>
        </w:tabs>
        <w:ind w:left="360" w:hanging="360"/>
      </w:pPr>
      <w:rPr>
        <w:rFonts w:hint="default"/>
      </w:rPr>
    </w:lvl>
  </w:abstractNum>
  <w:abstractNum w:abstractNumId="21" w15:restartNumberingAfterBreak="0">
    <w:nsid w:val="66DA0CAD"/>
    <w:multiLevelType w:val="hybridMultilevel"/>
    <w:tmpl w:val="C21C2B7E"/>
    <w:lvl w:ilvl="0" w:tplc="F508C506">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91278A"/>
    <w:multiLevelType w:val="hybridMultilevel"/>
    <w:tmpl w:val="D4D0A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D8F5534"/>
    <w:multiLevelType w:val="hybridMultilevel"/>
    <w:tmpl w:val="A1327046"/>
    <w:lvl w:ilvl="0" w:tplc="929C0C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40033"/>
    <w:multiLevelType w:val="hybridMultilevel"/>
    <w:tmpl w:val="30602CEC"/>
    <w:lvl w:ilvl="0" w:tplc="53B6CDB4">
      <w:start w:val="8"/>
      <w:numFmt w:val="decimal"/>
      <w:lvlText w:val="%1."/>
      <w:lvlJc w:val="left"/>
      <w:pPr>
        <w:ind w:left="1080" w:hanging="360"/>
      </w:pPr>
      <w:rPr>
        <w:rFonts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DC4D4D"/>
    <w:multiLevelType w:val="hybridMultilevel"/>
    <w:tmpl w:val="72BAD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7"/>
  </w:num>
  <w:num w:numId="3">
    <w:abstractNumId w:val="13"/>
  </w:num>
  <w:num w:numId="4">
    <w:abstractNumId w:val="8"/>
  </w:num>
  <w:num w:numId="5">
    <w:abstractNumId w:val="17"/>
  </w:num>
  <w:num w:numId="6">
    <w:abstractNumId w:val="19"/>
  </w:num>
  <w:num w:numId="7">
    <w:abstractNumId w:val="18"/>
  </w:num>
  <w:num w:numId="8">
    <w:abstractNumId w:val="14"/>
  </w:num>
  <w:num w:numId="9">
    <w:abstractNumId w:val="1"/>
  </w:num>
  <w:num w:numId="10">
    <w:abstractNumId w:val="25"/>
  </w:num>
  <w:num w:numId="11">
    <w:abstractNumId w:val="3"/>
  </w:num>
  <w:num w:numId="12">
    <w:abstractNumId w:val="0"/>
  </w:num>
  <w:num w:numId="13">
    <w:abstractNumId w:val="21"/>
  </w:num>
  <w:num w:numId="14">
    <w:abstractNumId w:val="24"/>
  </w:num>
  <w:num w:numId="15">
    <w:abstractNumId w:val="16"/>
  </w:num>
  <w:num w:numId="16">
    <w:abstractNumId w:val="11"/>
  </w:num>
  <w:num w:numId="17">
    <w:abstractNumId w:val="2"/>
  </w:num>
  <w:num w:numId="18">
    <w:abstractNumId w:val="6"/>
  </w:num>
  <w:num w:numId="19">
    <w:abstractNumId w:val="10"/>
  </w:num>
  <w:num w:numId="20">
    <w:abstractNumId w:val="5"/>
  </w:num>
  <w:num w:numId="21">
    <w:abstractNumId w:val="22"/>
  </w:num>
  <w:num w:numId="22">
    <w:abstractNumId w:val="12"/>
  </w:num>
  <w:num w:numId="23">
    <w:abstractNumId w:val="15"/>
  </w:num>
  <w:num w:numId="24">
    <w:abstractNumId w:val="9"/>
  </w:num>
  <w:num w:numId="25">
    <w:abstractNumId w:val="4"/>
  </w:num>
  <w:num w:numId="26">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rZ2dvZ/XRnsr0zye9t708OZtvZwd797Qeze+f3dqaze9ks/2j00eu8aYpqiVd2f8n/EwAA///T7URtQwAAAA=="/>
  </w:docVars>
  <w:rsids>
    <w:rsidRoot w:val="00A25FC3"/>
    <w:rsid w:val="00007762"/>
    <w:rsid w:val="000119AD"/>
    <w:rsid w:val="00015DF6"/>
    <w:rsid w:val="000224A3"/>
    <w:rsid w:val="00023D7B"/>
    <w:rsid w:val="0002509B"/>
    <w:rsid w:val="00027C9D"/>
    <w:rsid w:val="000319DC"/>
    <w:rsid w:val="00045A16"/>
    <w:rsid w:val="00046FFC"/>
    <w:rsid w:val="0005538D"/>
    <w:rsid w:val="00056C10"/>
    <w:rsid w:val="000610FA"/>
    <w:rsid w:val="00063074"/>
    <w:rsid w:val="000674D8"/>
    <w:rsid w:val="00072B90"/>
    <w:rsid w:val="00082F48"/>
    <w:rsid w:val="00084CFC"/>
    <w:rsid w:val="00087664"/>
    <w:rsid w:val="000910BD"/>
    <w:rsid w:val="000916CB"/>
    <w:rsid w:val="000A0007"/>
    <w:rsid w:val="000A4846"/>
    <w:rsid w:val="000A7786"/>
    <w:rsid w:val="000B01BD"/>
    <w:rsid w:val="000B1C91"/>
    <w:rsid w:val="000B2FCA"/>
    <w:rsid w:val="000B63CD"/>
    <w:rsid w:val="000B64B8"/>
    <w:rsid w:val="000B6CE8"/>
    <w:rsid w:val="000C09FF"/>
    <w:rsid w:val="000C168C"/>
    <w:rsid w:val="000C6DF4"/>
    <w:rsid w:val="000D0E74"/>
    <w:rsid w:val="000D46CD"/>
    <w:rsid w:val="000E167B"/>
    <w:rsid w:val="000E2FB3"/>
    <w:rsid w:val="000E35DC"/>
    <w:rsid w:val="000E6CAB"/>
    <w:rsid w:val="000E7022"/>
    <w:rsid w:val="000F00FC"/>
    <w:rsid w:val="000F67AC"/>
    <w:rsid w:val="000F7373"/>
    <w:rsid w:val="00107F4E"/>
    <w:rsid w:val="00113736"/>
    <w:rsid w:val="001217C0"/>
    <w:rsid w:val="00127CDE"/>
    <w:rsid w:val="0013252D"/>
    <w:rsid w:val="00133F7F"/>
    <w:rsid w:val="00134604"/>
    <w:rsid w:val="00134CD0"/>
    <w:rsid w:val="00140007"/>
    <w:rsid w:val="00140A03"/>
    <w:rsid w:val="0014269D"/>
    <w:rsid w:val="001430EC"/>
    <w:rsid w:val="00156515"/>
    <w:rsid w:val="001600A1"/>
    <w:rsid w:val="00160F50"/>
    <w:rsid w:val="00162F98"/>
    <w:rsid w:val="001656ED"/>
    <w:rsid w:val="00166BEF"/>
    <w:rsid w:val="00167669"/>
    <w:rsid w:val="001732CC"/>
    <w:rsid w:val="00177D19"/>
    <w:rsid w:val="00180E1C"/>
    <w:rsid w:val="001821FE"/>
    <w:rsid w:val="0019589B"/>
    <w:rsid w:val="001A2507"/>
    <w:rsid w:val="001A2BA9"/>
    <w:rsid w:val="001A3979"/>
    <w:rsid w:val="001A6B92"/>
    <w:rsid w:val="001A71F4"/>
    <w:rsid w:val="001B1D96"/>
    <w:rsid w:val="001B1E81"/>
    <w:rsid w:val="001B5EC9"/>
    <w:rsid w:val="001B6705"/>
    <w:rsid w:val="001C0CBE"/>
    <w:rsid w:val="001C2223"/>
    <w:rsid w:val="001D09DC"/>
    <w:rsid w:val="001D1161"/>
    <w:rsid w:val="001D17E2"/>
    <w:rsid w:val="001D1E2E"/>
    <w:rsid w:val="001D28F0"/>
    <w:rsid w:val="001D6781"/>
    <w:rsid w:val="001D6B5E"/>
    <w:rsid w:val="001D7B55"/>
    <w:rsid w:val="001E4D4B"/>
    <w:rsid w:val="001F4AE4"/>
    <w:rsid w:val="001F607A"/>
    <w:rsid w:val="00211C82"/>
    <w:rsid w:val="0021732E"/>
    <w:rsid w:val="00223F30"/>
    <w:rsid w:val="0023074C"/>
    <w:rsid w:val="00234757"/>
    <w:rsid w:val="00235498"/>
    <w:rsid w:val="002363E3"/>
    <w:rsid w:val="002511DE"/>
    <w:rsid w:val="002520F5"/>
    <w:rsid w:val="00252744"/>
    <w:rsid w:val="0025283B"/>
    <w:rsid w:val="002545E4"/>
    <w:rsid w:val="00261E1C"/>
    <w:rsid w:val="00263B40"/>
    <w:rsid w:val="0027250F"/>
    <w:rsid w:val="002737A9"/>
    <w:rsid w:val="002749D7"/>
    <w:rsid w:val="00295D75"/>
    <w:rsid w:val="002A6933"/>
    <w:rsid w:val="002A6F01"/>
    <w:rsid w:val="002B18ED"/>
    <w:rsid w:val="002B64B4"/>
    <w:rsid w:val="002C3547"/>
    <w:rsid w:val="002C37D9"/>
    <w:rsid w:val="002D23F7"/>
    <w:rsid w:val="002D28B0"/>
    <w:rsid w:val="002D3981"/>
    <w:rsid w:val="002E0E71"/>
    <w:rsid w:val="002E1D80"/>
    <w:rsid w:val="002F59F7"/>
    <w:rsid w:val="002F615B"/>
    <w:rsid w:val="00305A50"/>
    <w:rsid w:val="00307E46"/>
    <w:rsid w:val="00311618"/>
    <w:rsid w:val="0032072A"/>
    <w:rsid w:val="003300E4"/>
    <w:rsid w:val="00330A03"/>
    <w:rsid w:val="003329AB"/>
    <w:rsid w:val="003333A8"/>
    <w:rsid w:val="00333ACE"/>
    <w:rsid w:val="00335B1E"/>
    <w:rsid w:val="00341860"/>
    <w:rsid w:val="00343891"/>
    <w:rsid w:val="00344704"/>
    <w:rsid w:val="0035484E"/>
    <w:rsid w:val="00364948"/>
    <w:rsid w:val="00374D98"/>
    <w:rsid w:val="00375A52"/>
    <w:rsid w:val="00376379"/>
    <w:rsid w:val="00376980"/>
    <w:rsid w:val="00383359"/>
    <w:rsid w:val="00387893"/>
    <w:rsid w:val="003911FE"/>
    <w:rsid w:val="00394A3E"/>
    <w:rsid w:val="003972AF"/>
    <w:rsid w:val="003A08CB"/>
    <w:rsid w:val="003B2A16"/>
    <w:rsid w:val="003B31C6"/>
    <w:rsid w:val="003C0344"/>
    <w:rsid w:val="003C4ED0"/>
    <w:rsid w:val="003C5066"/>
    <w:rsid w:val="003C632F"/>
    <w:rsid w:val="003D276E"/>
    <w:rsid w:val="003D396A"/>
    <w:rsid w:val="003D4C0D"/>
    <w:rsid w:val="003D7645"/>
    <w:rsid w:val="003E1DA5"/>
    <w:rsid w:val="003F0CD2"/>
    <w:rsid w:val="003F0D36"/>
    <w:rsid w:val="003F205D"/>
    <w:rsid w:val="003F26F4"/>
    <w:rsid w:val="003F3653"/>
    <w:rsid w:val="00402D56"/>
    <w:rsid w:val="00402E64"/>
    <w:rsid w:val="00410CC1"/>
    <w:rsid w:val="004112DF"/>
    <w:rsid w:val="00417B79"/>
    <w:rsid w:val="00420F78"/>
    <w:rsid w:val="0042607C"/>
    <w:rsid w:val="004310C0"/>
    <w:rsid w:val="004315A8"/>
    <w:rsid w:val="0043417B"/>
    <w:rsid w:val="0043472B"/>
    <w:rsid w:val="004371CA"/>
    <w:rsid w:val="00440603"/>
    <w:rsid w:val="00444935"/>
    <w:rsid w:val="00450692"/>
    <w:rsid w:val="0045206A"/>
    <w:rsid w:val="004602F4"/>
    <w:rsid w:val="00461E29"/>
    <w:rsid w:val="00465156"/>
    <w:rsid w:val="00471391"/>
    <w:rsid w:val="00473921"/>
    <w:rsid w:val="00474981"/>
    <w:rsid w:val="00476520"/>
    <w:rsid w:val="00476C04"/>
    <w:rsid w:val="00484861"/>
    <w:rsid w:val="00486A61"/>
    <w:rsid w:val="004922E1"/>
    <w:rsid w:val="0049415F"/>
    <w:rsid w:val="004A16E2"/>
    <w:rsid w:val="004A3079"/>
    <w:rsid w:val="004A77FA"/>
    <w:rsid w:val="004B013F"/>
    <w:rsid w:val="004B1462"/>
    <w:rsid w:val="004B6012"/>
    <w:rsid w:val="004B740C"/>
    <w:rsid w:val="004C2E6F"/>
    <w:rsid w:val="004C3172"/>
    <w:rsid w:val="004C5871"/>
    <w:rsid w:val="004D3776"/>
    <w:rsid w:val="004E0A9E"/>
    <w:rsid w:val="004E0EBF"/>
    <w:rsid w:val="004E16BE"/>
    <w:rsid w:val="004E57A1"/>
    <w:rsid w:val="004E77A7"/>
    <w:rsid w:val="004E77BF"/>
    <w:rsid w:val="004F0544"/>
    <w:rsid w:val="004F0FE4"/>
    <w:rsid w:val="004F30D9"/>
    <w:rsid w:val="004F4E19"/>
    <w:rsid w:val="004F4EE5"/>
    <w:rsid w:val="004F64BA"/>
    <w:rsid w:val="004F6F7E"/>
    <w:rsid w:val="00500502"/>
    <w:rsid w:val="00503F7F"/>
    <w:rsid w:val="005049EB"/>
    <w:rsid w:val="005109F9"/>
    <w:rsid w:val="005114A7"/>
    <w:rsid w:val="0052305B"/>
    <w:rsid w:val="00524034"/>
    <w:rsid w:val="00525576"/>
    <w:rsid w:val="005256FD"/>
    <w:rsid w:val="005352BA"/>
    <w:rsid w:val="005356AA"/>
    <w:rsid w:val="005371FF"/>
    <w:rsid w:val="00537B53"/>
    <w:rsid w:val="0054134B"/>
    <w:rsid w:val="00541CCE"/>
    <w:rsid w:val="005470C9"/>
    <w:rsid w:val="005517C7"/>
    <w:rsid w:val="005533D5"/>
    <w:rsid w:val="0055402F"/>
    <w:rsid w:val="00564CDC"/>
    <w:rsid w:val="00565D25"/>
    <w:rsid w:val="00566C00"/>
    <w:rsid w:val="005703AC"/>
    <w:rsid w:val="00574142"/>
    <w:rsid w:val="00577067"/>
    <w:rsid w:val="005771A8"/>
    <w:rsid w:val="00577979"/>
    <w:rsid w:val="00580276"/>
    <w:rsid w:val="00586FE2"/>
    <w:rsid w:val="00590153"/>
    <w:rsid w:val="00591D78"/>
    <w:rsid w:val="00592E66"/>
    <w:rsid w:val="005A3300"/>
    <w:rsid w:val="005B16FE"/>
    <w:rsid w:val="005B6AC8"/>
    <w:rsid w:val="005B740F"/>
    <w:rsid w:val="005C236F"/>
    <w:rsid w:val="005C4C05"/>
    <w:rsid w:val="005C7CD3"/>
    <w:rsid w:val="005D5D92"/>
    <w:rsid w:val="005F04CE"/>
    <w:rsid w:val="005F3386"/>
    <w:rsid w:val="005F345B"/>
    <w:rsid w:val="005F4410"/>
    <w:rsid w:val="00600269"/>
    <w:rsid w:val="00602758"/>
    <w:rsid w:val="00603D6B"/>
    <w:rsid w:val="006060BB"/>
    <w:rsid w:val="00611495"/>
    <w:rsid w:val="0061338A"/>
    <w:rsid w:val="00614DD6"/>
    <w:rsid w:val="00616B1A"/>
    <w:rsid w:val="00622A73"/>
    <w:rsid w:val="00630C6B"/>
    <w:rsid w:val="00632E76"/>
    <w:rsid w:val="006346A1"/>
    <w:rsid w:val="00634B2A"/>
    <w:rsid w:val="00660160"/>
    <w:rsid w:val="006601C7"/>
    <w:rsid w:val="00661A92"/>
    <w:rsid w:val="00661C24"/>
    <w:rsid w:val="0066227F"/>
    <w:rsid w:val="0066468C"/>
    <w:rsid w:val="006653E8"/>
    <w:rsid w:val="0067064F"/>
    <w:rsid w:val="00673392"/>
    <w:rsid w:val="00683FC7"/>
    <w:rsid w:val="00684B03"/>
    <w:rsid w:val="006913FC"/>
    <w:rsid w:val="0069610B"/>
    <w:rsid w:val="006A2E1D"/>
    <w:rsid w:val="006A4799"/>
    <w:rsid w:val="006A7D5F"/>
    <w:rsid w:val="006B68EE"/>
    <w:rsid w:val="006C59DA"/>
    <w:rsid w:val="006C6797"/>
    <w:rsid w:val="006C7B25"/>
    <w:rsid w:val="006D1516"/>
    <w:rsid w:val="006D2226"/>
    <w:rsid w:val="006D40A6"/>
    <w:rsid w:val="006D61B9"/>
    <w:rsid w:val="006D64CA"/>
    <w:rsid w:val="006D705F"/>
    <w:rsid w:val="006E3AC6"/>
    <w:rsid w:val="006E3D1E"/>
    <w:rsid w:val="006F07AD"/>
    <w:rsid w:val="006F4A21"/>
    <w:rsid w:val="00701F00"/>
    <w:rsid w:val="00703513"/>
    <w:rsid w:val="00703FF2"/>
    <w:rsid w:val="0070450C"/>
    <w:rsid w:val="007045F7"/>
    <w:rsid w:val="00714B3D"/>
    <w:rsid w:val="00716B0B"/>
    <w:rsid w:val="00720D2F"/>
    <w:rsid w:val="00733138"/>
    <w:rsid w:val="00733A00"/>
    <w:rsid w:val="0073432E"/>
    <w:rsid w:val="00736E93"/>
    <w:rsid w:val="00742AC3"/>
    <w:rsid w:val="007456FD"/>
    <w:rsid w:val="00751FD2"/>
    <w:rsid w:val="00756F1B"/>
    <w:rsid w:val="00767CCB"/>
    <w:rsid w:val="00773D42"/>
    <w:rsid w:val="0077654C"/>
    <w:rsid w:val="007812D4"/>
    <w:rsid w:val="007832C8"/>
    <w:rsid w:val="00783F2F"/>
    <w:rsid w:val="0078458F"/>
    <w:rsid w:val="0078496C"/>
    <w:rsid w:val="007851AE"/>
    <w:rsid w:val="00790AD0"/>
    <w:rsid w:val="00795090"/>
    <w:rsid w:val="007A2154"/>
    <w:rsid w:val="007A346B"/>
    <w:rsid w:val="007A79A1"/>
    <w:rsid w:val="007B05A2"/>
    <w:rsid w:val="007B0F2A"/>
    <w:rsid w:val="007B36A6"/>
    <w:rsid w:val="007B3706"/>
    <w:rsid w:val="007C0B8E"/>
    <w:rsid w:val="007C297D"/>
    <w:rsid w:val="007C66EC"/>
    <w:rsid w:val="007C796B"/>
    <w:rsid w:val="007D0D0B"/>
    <w:rsid w:val="007D195B"/>
    <w:rsid w:val="007D3BA0"/>
    <w:rsid w:val="007E488C"/>
    <w:rsid w:val="007E5CEF"/>
    <w:rsid w:val="007F4163"/>
    <w:rsid w:val="007F59A2"/>
    <w:rsid w:val="007F7F2E"/>
    <w:rsid w:val="008012CC"/>
    <w:rsid w:val="00806325"/>
    <w:rsid w:val="0081574A"/>
    <w:rsid w:val="00816D17"/>
    <w:rsid w:val="0082108E"/>
    <w:rsid w:val="00822C74"/>
    <w:rsid w:val="0082613C"/>
    <w:rsid w:val="00834FCC"/>
    <w:rsid w:val="0084121E"/>
    <w:rsid w:val="008455E7"/>
    <w:rsid w:val="00846F12"/>
    <w:rsid w:val="00850D6B"/>
    <w:rsid w:val="00852AF6"/>
    <w:rsid w:val="008603D2"/>
    <w:rsid w:val="00866752"/>
    <w:rsid w:val="00870B38"/>
    <w:rsid w:val="008748F3"/>
    <w:rsid w:val="00874EBE"/>
    <w:rsid w:val="0087721E"/>
    <w:rsid w:val="00882FD1"/>
    <w:rsid w:val="008830E6"/>
    <w:rsid w:val="00884197"/>
    <w:rsid w:val="00886970"/>
    <w:rsid w:val="008914A8"/>
    <w:rsid w:val="00893873"/>
    <w:rsid w:val="00894A52"/>
    <w:rsid w:val="00897A5B"/>
    <w:rsid w:val="008A1796"/>
    <w:rsid w:val="008A1FA8"/>
    <w:rsid w:val="008A36BC"/>
    <w:rsid w:val="008A59F6"/>
    <w:rsid w:val="008B016A"/>
    <w:rsid w:val="008D0DEC"/>
    <w:rsid w:val="008D2F85"/>
    <w:rsid w:val="008D599B"/>
    <w:rsid w:val="008E2F8D"/>
    <w:rsid w:val="008E3B98"/>
    <w:rsid w:val="008E440D"/>
    <w:rsid w:val="008E6961"/>
    <w:rsid w:val="008F414A"/>
    <w:rsid w:val="009013DE"/>
    <w:rsid w:val="00902CD8"/>
    <w:rsid w:val="009042C4"/>
    <w:rsid w:val="009042FA"/>
    <w:rsid w:val="00910FF1"/>
    <w:rsid w:val="00912679"/>
    <w:rsid w:val="009130B3"/>
    <w:rsid w:val="00914CFC"/>
    <w:rsid w:val="00920CB6"/>
    <w:rsid w:val="00926D1A"/>
    <w:rsid w:val="0092785B"/>
    <w:rsid w:val="00933481"/>
    <w:rsid w:val="00934DA0"/>
    <w:rsid w:val="00940633"/>
    <w:rsid w:val="009444F9"/>
    <w:rsid w:val="0094600D"/>
    <w:rsid w:val="0095043D"/>
    <w:rsid w:val="00960861"/>
    <w:rsid w:val="00960B39"/>
    <w:rsid w:val="00965C42"/>
    <w:rsid w:val="009669A6"/>
    <w:rsid w:val="00967840"/>
    <w:rsid w:val="00970A1D"/>
    <w:rsid w:val="00976C4E"/>
    <w:rsid w:val="0098071C"/>
    <w:rsid w:val="009838DC"/>
    <w:rsid w:val="009868F3"/>
    <w:rsid w:val="00990883"/>
    <w:rsid w:val="009916C2"/>
    <w:rsid w:val="00994B28"/>
    <w:rsid w:val="00996BD5"/>
    <w:rsid w:val="00997462"/>
    <w:rsid w:val="009A6504"/>
    <w:rsid w:val="009B2329"/>
    <w:rsid w:val="009B2FF1"/>
    <w:rsid w:val="009C16BF"/>
    <w:rsid w:val="009C379E"/>
    <w:rsid w:val="009C4736"/>
    <w:rsid w:val="009D2B53"/>
    <w:rsid w:val="009D7714"/>
    <w:rsid w:val="009E1F10"/>
    <w:rsid w:val="009E1F12"/>
    <w:rsid w:val="009F11FF"/>
    <w:rsid w:val="009F68B8"/>
    <w:rsid w:val="00A002AE"/>
    <w:rsid w:val="00A1173B"/>
    <w:rsid w:val="00A11802"/>
    <w:rsid w:val="00A11FA2"/>
    <w:rsid w:val="00A1573B"/>
    <w:rsid w:val="00A22DDB"/>
    <w:rsid w:val="00A240C0"/>
    <w:rsid w:val="00A25FC3"/>
    <w:rsid w:val="00A27E5A"/>
    <w:rsid w:val="00A27F22"/>
    <w:rsid w:val="00A30017"/>
    <w:rsid w:val="00A31262"/>
    <w:rsid w:val="00A37F5D"/>
    <w:rsid w:val="00A41FD4"/>
    <w:rsid w:val="00A52C92"/>
    <w:rsid w:val="00A53AA1"/>
    <w:rsid w:val="00A54C6F"/>
    <w:rsid w:val="00A55E68"/>
    <w:rsid w:val="00A62C82"/>
    <w:rsid w:val="00A643B0"/>
    <w:rsid w:val="00A64F27"/>
    <w:rsid w:val="00A6736E"/>
    <w:rsid w:val="00A72211"/>
    <w:rsid w:val="00A73855"/>
    <w:rsid w:val="00A77AB7"/>
    <w:rsid w:val="00A80B42"/>
    <w:rsid w:val="00A812EB"/>
    <w:rsid w:val="00A84F82"/>
    <w:rsid w:val="00A87B17"/>
    <w:rsid w:val="00A902EB"/>
    <w:rsid w:val="00A90DD1"/>
    <w:rsid w:val="00A95C79"/>
    <w:rsid w:val="00A95F05"/>
    <w:rsid w:val="00AA21F8"/>
    <w:rsid w:val="00AA3CB2"/>
    <w:rsid w:val="00AA65B5"/>
    <w:rsid w:val="00AA7771"/>
    <w:rsid w:val="00AB087B"/>
    <w:rsid w:val="00AB510B"/>
    <w:rsid w:val="00AB5293"/>
    <w:rsid w:val="00AB7936"/>
    <w:rsid w:val="00AC260D"/>
    <w:rsid w:val="00AC2821"/>
    <w:rsid w:val="00AC3A3C"/>
    <w:rsid w:val="00AC67EB"/>
    <w:rsid w:val="00AD0F5C"/>
    <w:rsid w:val="00AD1741"/>
    <w:rsid w:val="00AD49C9"/>
    <w:rsid w:val="00AE649D"/>
    <w:rsid w:val="00AE7D67"/>
    <w:rsid w:val="00AF29B5"/>
    <w:rsid w:val="00AF4893"/>
    <w:rsid w:val="00B002BE"/>
    <w:rsid w:val="00B02FC4"/>
    <w:rsid w:val="00B07E0A"/>
    <w:rsid w:val="00B11561"/>
    <w:rsid w:val="00B119F1"/>
    <w:rsid w:val="00B13927"/>
    <w:rsid w:val="00B14563"/>
    <w:rsid w:val="00B155E2"/>
    <w:rsid w:val="00B162E3"/>
    <w:rsid w:val="00B16F55"/>
    <w:rsid w:val="00B21AB5"/>
    <w:rsid w:val="00B24B36"/>
    <w:rsid w:val="00B25D2D"/>
    <w:rsid w:val="00B276BE"/>
    <w:rsid w:val="00B308F9"/>
    <w:rsid w:val="00B352B3"/>
    <w:rsid w:val="00B37B47"/>
    <w:rsid w:val="00B4241F"/>
    <w:rsid w:val="00B43327"/>
    <w:rsid w:val="00B63061"/>
    <w:rsid w:val="00B64BBD"/>
    <w:rsid w:val="00B67188"/>
    <w:rsid w:val="00B67360"/>
    <w:rsid w:val="00B71A6A"/>
    <w:rsid w:val="00B71BE3"/>
    <w:rsid w:val="00B72704"/>
    <w:rsid w:val="00B752F1"/>
    <w:rsid w:val="00B75F21"/>
    <w:rsid w:val="00B80592"/>
    <w:rsid w:val="00B826DA"/>
    <w:rsid w:val="00B834BB"/>
    <w:rsid w:val="00B876A2"/>
    <w:rsid w:val="00B90808"/>
    <w:rsid w:val="00B933CA"/>
    <w:rsid w:val="00B95BD3"/>
    <w:rsid w:val="00BA46D1"/>
    <w:rsid w:val="00BA4D15"/>
    <w:rsid w:val="00BA6E3F"/>
    <w:rsid w:val="00BB2262"/>
    <w:rsid w:val="00BB5016"/>
    <w:rsid w:val="00BB5EFD"/>
    <w:rsid w:val="00BB6DFC"/>
    <w:rsid w:val="00BB7618"/>
    <w:rsid w:val="00BC0A61"/>
    <w:rsid w:val="00BC72D6"/>
    <w:rsid w:val="00BD3D30"/>
    <w:rsid w:val="00BE3B41"/>
    <w:rsid w:val="00BE4FD2"/>
    <w:rsid w:val="00BE53CB"/>
    <w:rsid w:val="00BF343D"/>
    <w:rsid w:val="00C00986"/>
    <w:rsid w:val="00C017C1"/>
    <w:rsid w:val="00C02B78"/>
    <w:rsid w:val="00C06990"/>
    <w:rsid w:val="00C11B38"/>
    <w:rsid w:val="00C129F2"/>
    <w:rsid w:val="00C12C28"/>
    <w:rsid w:val="00C138ED"/>
    <w:rsid w:val="00C16466"/>
    <w:rsid w:val="00C247CF"/>
    <w:rsid w:val="00C267CC"/>
    <w:rsid w:val="00C335AA"/>
    <w:rsid w:val="00C33C3D"/>
    <w:rsid w:val="00C62B8D"/>
    <w:rsid w:val="00C64850"/>
    <w:rsid w:val="00C70D44"/>
    <w:rsid w:val="00C73E92"/>
    <w:rsid w:val="00C753D9"/>
    <w:rsid w:val="00C77DA8"/>
    <w:rsid w:val="00C812B7"/>
    <w:rsid w:val="00C81414"/>
    <w:rsid w:val="00C82EF7"/>
    <w:rsid w:val="00C8353C"/>
    <w:rsid w:val="00C84605"/>
    <w:rsid w:val="00C84721"/>
    <w:rsid w:val="00C90C64"/>
    <w:rsid w:val="00C94175"/>
    <w:rsid w:val="00C95C6A"/>
    <w:rsid w:val="00C967F1"/>
    <w:rsid w:val="00C97A70"/>
    <w:rsid w:val="00CA0F4D"/>
    <w:rsid w:val="00CA38CB"/>
    <w:rsid w:val="00CA5991"/>
    <w:rsid w:val="00CB39E3"/>
    <w:rsid w:val="00CC2FA6"/>
    <w:rsid w:val="00CC39FB"/>
    <w:rsid w:val="00CC6734"/>
    <w:rsid w:val="00CC7983"/>
    <w:rsid w:val="00CD0A09"/>
    <w:rsid w:val="00CE30A8"/>
    <w:rsid w:val="00CF1937"/>
    <w:rsid w:val="00CF2CD1"/>
    <w:rsid w:val="00CF531E"/>
    <w:rsid w:val="00CF5A26"/>
    <w:rsid w:val="00D001BF"/>
    <w:rsid w:val="00D00FC9"/>
    <w:rsid w:val="00D075BA"/>
    <w:rsid w:val="00D115DE"/>
    <w:rsid w:val="00D123B4"/>
    <w:rsid w:val="00D217A7"/>
    <w:rsid w:val="00D236CC"/>
    <w:rsid w:val="00D25439"/>
    <w:rsid w:val="00D25FC7"/>
    <w:rsid w:val="00D354E9"/>
    <w:rsid w:val="00D355C3"/>
    <w:rsid w:val="00D37CA8"/>
    <w:rsid w:val="00D4096D"/>
    <w:rsid w:val="00D42915"/>
    <w:rsid w:val="00D42BDA"/>
    <w:rsid w:val="00D52393"/>
    <w:rsid w:val="00D52C8F"/>
    <w:rsid w:val="00D53E3E"/>
    <w:rsid w:val="00D67411"/>
    <w:rsid w:val="00D74A90"/>
    <w:rsid w:val="00D77CA8"/>
    <w:rsid w:val="00D856E8"/>
    <w:rsid w:val="00D85F90"/>
    <w:rsid w:val="00D97C4C"/>
    <w:rsid w:val="00DA0DF6"/>
    <w:rsid w:val="00DA4174"/>
    <w:rsid w:val="00DB1A94"/>
    <w:rsid w:val="00DB365A"/>
    <w:rsid w:val="00DC2297"/>
    <w:rsid w:val="00DC2C0D"/>
    <w:rsid w:val="00DC51E7"/>
    <w:rsid w:val="00DC69FF"/>
    <w:rsid w:val="00DD12B1"/>
    <w:rsid w:val="00DD620A"/>
    <w:rsid w:val="00DE13A4"/>
    <w:rsid w:val="00DE2272"/>
    <w:rsid w:val="00DE3456"/>
    <w:rsid w:val="00DF242B"/>
    <w:rsid w:val="00DF5C6F"/>
    <w:rsid w:val="00E02224"/>
    <w:rsid w:val="00E02968"/>
    <w:rsid w:val="00E02979"/>
    <w:rsid w:val="00E149FE"/>
    <w:rsid w:val="00E17C2D"/>
    <w:rsid w:val="00E256E5"/>
    <w:rsid w:val="00E27925"/>
    <w:rsid w:val="00E27CD5"/>
    <w:rsid w:val="00E37AAC"/>
    <w:rsid w:val="00E42443"/>
    <w:rsid w:val="00E4616B"/>
    <w:rsid w:val="00E465B3"/>
    <w:rsid w:val="00E4763B"/>
    <w:rsid w:val="00E50218"/>
    <w:rsid w:val="00E52F6F"/>
    <w:rsid w:val="00E6198B"/>
    <w:rsid w:val="00E707B2"/>
    <w:rsid w:val="00E75601"/>
    <w:rsid w:val="00E81346"/>
    <w:rsid w:val="00E84A26"/>
    <w:rsid w:val="00E8577C"/>
    <w:rsid w:val="00E94A5A"/>
    <w:rsid w:val="00EA419C"/>
    <w:rsid w:val="00EB61BB"/>
    <w:rsid w:val="00EC1327"/>
    <w:rsid w:val="00EC13E3"/>
    <w:rsid w:val="00EC7C46"/>
    <w:rsid w:val="00ED177F"/>
    <w:rsid w:val="00ED6155"/>
    <w:rsid w:val="00EE2ADD"/>
    <w:rsid w:val="00EE3090"/>
    <w:rsid w:val="00EF1A48"/>
    <w:rsid w:val="00EF4A56"/>
    <w:rsid w:val="00EF582A"/>
    <w:rsid w:val="00EF68AA"/>
    <w:rsid w:val="00F0074E"/>
    <w:rsid w:val="00F00BFE"/>
    <w:rsid w:val="00F029FE"/>
    <w:rsid w:val="00F03058"/>
    <w:rsid w:val="00F030D1"/>
    <w:rsid w:val="00F07E06"/>
    <w:rsid w:val="00F1288F"/>
    <w:rsid w:val="00F16194"/>
    <w:rsid w:val="00F179DF"/>
    <w:rsid w:val="00F17A49"/>
    <w:rsid w:val="00F259EC"/>
    <w:rsid w:val="00F25BE2"/>
    <w:rsid w:val="00F27E43"/>
    <w:rsid w:val="00F3029E"/>
    <w:rsid w:val="00F3293C"/>
    <w:rsid w:val="00F401BF"/>
    <w:rsid w:val="00F432E3"/>
    <w:rsid w:val="00F45D39"/>
    <w:rsid w:val="00F469DF"/>
    <w:rsid w:val="00F46E73"/>
    <w:rsid w:val="00F504D2"/>
    <w:rsid w:val="00F50E5A"/>
    <w:rsid w:val="00F51139"/>
    <w:rsid w:val="00F51C9B"/>
    <w:rsid w:val="00F568DC"/>
    <w:rsid w:val="00F574CF"/>
    <w:rsid w:val="00F60072"/>
    <w:rsid w:val="00F620BF"/>
    <w:rsid w:val="00F631A3"/>
    <w:rsid w:val="00F63B88"/>
    <w:rsid w:val="00F653CD"/>
    <w:rsid w:val="00F730D6"/>
    <w:rsid w:val="00F73FF1"/>
    <w:rsid w:val="00F770EA"/>
    <w:rsid w:val="00F81B29"/>
    <w:rsid w:val="00F82956"/>
    <w:rsid w:val="00F83102"/>
    <w:rsid w:val="00F90B4B"/>
    <w:rsid w:val="00F92B8A"/>
    <w:rsid w:val="00F94845"/>
    <w:rsid w:val="00F953D9"/>
    <w:rsid w:val="00FB46B0"/>
    <w:rsid w:val="00FB5746"/>
    <w:rsid w:val="00FB6A30"/>
    <w:rsid w:val="00FB6BAF"/>
    <w:rsid w:val="00FC061F"/>
    <w:rsid w:val="00FC2675"/>
    <w:rsid w:val="00FC2BDB"/>
    <w:rsid w:val="00FC4719"/>
    <w:rsid w:val="00FC5348"/>
    <w:rsid w:val="00FC7674"/>
    <w:rsid w:val="00FC7E53"/>
    <w:rsid w:val="00FD1330"/>
    <w:rsid w:val="00FD47BE"/>
    <w:rsid w:val="00FE4FF9"/>
    <w:rsid w:val="00FE515A"/>
    <w:rsid w:val="00FF14B6"/>
    <w:rsid w:val="00FF2C5B"/>
    <w:rsid w:val="00FF4F41"/>
    <w:rsid w:val="00FF4F4C"/>
    <w:rsid w:val="00FF6339"/>
    <w:rsid w:val="00FF6B61"/>
    <w:rsid w:val="00FF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EB046"/>
  <w15:docId w15:val="{CD8390DA-D4E7-4CA4-82A1-256A260B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FD2"/>
    <w:rPr>
      <w:sz w:val="24"/>
    </w:rPr>
  </w:style>
  <w:style w:type="paragraph" w:styleId="Heading1">
    <w:name w:val="heading 1"/>
    <w:basedOn w:val="Normal"/>
    <w:next w:val="Normal"/>
    <w:qFormat/>
    <w:rsid w:val="00751FD2"/>
    <w:pPr>
      <w:keepNext/>
      <w:numPr>
        <w:numId w:val="1"/>
      </w:numPr>
      <w:outlineLvl w:val="0"/>
    </w:pPr>
    <w:rPr>
      <w:b/>
    </w:rPr>
  </w:style>
  <w:style w:type="paragraph" w:styleId="Heading3">
    <w:name w:val="heading 3"/>
    <w:basedOn w:val="Normal"/>
    <w:next w:val="Normal"/>
    <w:qFormat/>
    <w:rsid w:val="00F63B88"/>
    <w:pPr>
      <w:keepNext/>
      <w:spacing w:before="240" w:after="60"/>
      <w:outlineLvl w:val="2"/>
    </w:pPr>
    <w:rPr>
      <w:rFonts w:ascii="Arial" w:hAnsi="Arial" w:cs="Arial"/>
      <w:b/>
      <w:bCs/>
      <w:sz w:val="26"/>
      <w:szCs w:val="26"/>
    </w:rPr>
  </w:style>
  <w:style w:type="paragraph" w:styleId="Heading4">
    <w:name w:val="heading 4"/>
    <w:basedOn w:val="Normal"/>
    <w:next w:val="Normal"/>
    <w:qFormat/>
    <w:rsid w:val="00F63B8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51FD2"/>
    <w:pPr>
      <w:jc w:val="center"/>
    </w:pPr>
    <w:rPr>
      <w:rFonts w:ascii="Arial" w:hAnsi="Arial"/>
      <w:b/>
      <w:snapToGrid w:val="0"/>
      <w:sz w:val="20"/>
    </w:rPr>
  </w:style>
  <w:style w:type="paragraph" w:styleId="Footer">
    <w:name w:val="footer"/>
    <w:basedOn w:val="Normal"/>
    <w:rsid w:val="00751FD2"/>
    <w:pPr>
      <w:widowControl w:val="0"/>
      <w:tabs>
        <w:tab w:val="center" w:pos="4320"/>
        <w:tab w:val="right" w:pos="8640"/>
      </w:tabs>
    </w:pPr>
    <w:rPr>
      <w:rFonts w:ascii="Arial" w:hAnsi="Arial"/>
      <w:snapToGrid w:val="0"/>
    </w:rPr>
  </w:style>
  <w:style w:type="paragraph" w:styleId="BodyText">
    <w:name w:val="Body Text"/>
    <w:basedOn w:val="Normal"/>
    <w:rsid w:val="00751FD2"/>
    <w:pPr>
      <w:widowControl w:val="0"/>
      <w:suppressAutoHyphens/>
      <w:spacing w:line="480" w:lineRule="auto"/>
    </w:pPr>
    <w:rPr>
      <w:rFonts w:ascii="Courier New" w:hAnsi="Courier New"/>
      <w:snapToGrid w:val="0"/>
      <w:sz w:val="20"/>
    </w:rPr>
  </w:style>
  <w:style w:type="character" w:styleId="PageNumber">
    <w:name w:val="page number"/>
    <w:basedOn w:val="DefaultParagraphFont"/>
    <w:rsid w:val="00751FD2"/>
  </w:style>
  <w:style w:type="paragraph" w:styleId="BodyText2">
    <w:name w:val="Body Text 2"/>
    <w:basedOn w:val="Normal"/>
    <w:rsid w:val="00751FD2"/>
    <w:pPr>
      <w:jc w:val="center"/>
    </w:pPr>
    <w:rPr>
      <w:b/>
      <w:sz w:val="28"/>
    </w:rPr>
  </w:style>
  <w:style w:type="paragraph" w:styleId="Header">
    <w:name w:val="header"/>
    <w:basedOn w:val="Normal"/>
    <w:rsid w:val="00751FD2"/>
    <w:pPr>
      <w:tabs>
        <w:tab w:val="center" w:pos="4320"/>
        <w:tab w:val="right" w:pos="8640"/>
      </w:tabs>
    </w:pPr>
  </w:style>
  <w:style w:type="character" w:styleId="Hyperlink">
    <w:name w:val="Hyperlink"/>
    <w:basedOn w:val="DefaultParagraphFont"/>
    <w:rsid w:val="00751FD2"/>
    <w:rPr>
      <w:color w:val="0000FF"/>
      <w:u w:val="single"/>
    </w:rPr>
  </w:style>
  <w:style w:type="paragraph" w:styleId="NormalWeb">
    <w:name w:val="Normal (Web)"/>
    <w:basedOn w:val="Normal"/>
    <w:uiPriority w:val="99"/>
    <w:rsid w:val="00D4096D"/>
    <w:pPr>
      <w:spacing w:before="100" w:beforeAutospacing="1" w:after="100" w:afterAutospacing="1"/>
    </w:pPr>
    <w:rPr>
      <w:rFonts w:ascii="Verdana" w:hAnsi="Verdana"/>
      <w:color w:val="000000"/>
      <w:sz w:val="18"/>
      <w:szCs w:val="18"/>
    </w:rPr>
  </w:style>
  <w:style w:type="character" w:styleId="FollowedHyperlink">
    <w:name w:val="FollowedHyperlink"/>
    <w:basedOn w:val="DefaultParagraphFont"/>
    <w:rsid w:val="001656ED"/>
    <w:rPr>
      <w:color w:val="800080"/>
      <w:u w:val="single"/>
    </w:rPr>
  </w:style>
  <w:style w:type="paragraph" w:styleId="BalloonText">
    <w:name w:val="Balloon Text"/>
    <w:basedOn w:val="Normal"/>
    <w:link w:val="BalloonTextChar"/>
    <w:rsid w:val="002363E3"/>
    <w:rPr>
      <w:rFonts w:ascii="Lucida Grande" w:hAnsi="Lucida Grande"/>
      <w:sz w:val="18"/>
      <w:szCs w:val="18"/>
    </w:rPr>
  </w:style>
  <w:style w:type="character" w:customStyle="1" w:styleId="BalloonTextChar">
    <w:name w:val="Balloon Text Char"/>
    <w:basedOn w:val="DefaultParagraphFont"/>
    <w:link w:val="BalloonText"/>
    <w:rsid w:val="002363E3"/>
    <w:rPr>
      <w:rFonts w:ascii="Lucida Grande" w:hAnsi="Lucida Grande"/>
      <w:sz w:val="18"/>
      <w:szCs w:val="18"/>
    </w:rPr>
  </w:style>
  <w:style w:type="paragraph" w:customStyle="1" w:styleId="Default">
    <w:name w:val="Default"/>
    <w:rsid w:val="00B162E3"/>
    <w:pPr>
      <w:autoSpaceDE w:val="0"/>
      <w:autoSpaceDN w:val="0"/>
      <w:adjustRightInd w:val="0"/>
    </w:pPr>
    <w:rPr>
      <w:rFonts w:eastAsiaTheme="minorHAnsi"/>
      <w:color w:val="000000"/>
      <w:sz w:val="24"/>
      <w:szCs w:val="24"/>
    </w:rPr>
  </w:style>
  <w:style w:type="paragraph" w:styleId="ListParagraph">
    <w:name w:val="List Paragraph"/>
    <w:basedOn w:val="Normal"/>
    <w:link w:val="ListParagraphChar"/>
    <w:uiPriority w:val="34"/>
    <w:qFormat/>
    <w:rsid w:val="00DD620A"/>
    <w:pPr>
      <w:ind w:left="720"/>
      <w:contextualSpacing/>
    </w:pPr>
  </w:style>
  <w:style w:type="character" w:customStyle="1" w:styleId="ListParagraphChar">
    <w:name w:val="List Paragraph Char"/>
    <w:link w:val="ListParagraph"/>
    <w:uiPriority w:val="34"/>
    <w:locked/>
    <w:rsid w:val="00B25D2D"/>
    <w:rPr>
      <w:sz w:val="24"/>
    </w:rPr>
  </w:style>
  <w:style w:type="character" w:customStyle="1" w:styleId="tgc">
    <w:name w:val="_tgc"/>
    <w:basedOn w:val="DefaultParagraphFont"/>
    <w:rsid w:val="00FD1330"/>
  </w:style>
  <w:style w:type="character" w:customStyle="1" w:styleId="d8e">
    <w:name w:val="_d8e"/>
    <w:basedOn w:val="DefaultParagraphFont"/>
    <w:rsid w:val="00FD1330"/>
  </w:style>
  <w:style w:type="paragraph" w:styleId="FootnoteText">
    <w:name w:val="footnote text"/>
    <w:aliases w:val="F1"/>
    <w:basedOn w:val="Normal"/>
    <w:link w:val="FootnoteTextChar"/>
    <w:semiHidden/>
    <w:unhideWhenUsed/>
    <w:rsid w:val="00590153"/>
    <w:rPr>
      <w:sz w:val="20"/>
    </w:rPr>
  </w:style>
  <w:style w:type="character" w:customStyle="1" w:styleId="FootnoteTextChar">
    <w:name w:val="Footnote Text Char"/>
    <w:aliases w:val="F1 Char"/>
    <w:basedOn w:val="DefaultParagraphFont"/>
    <w:link w:val="FootnoteText"/>
    <w:semiHidden/>
    <w:rsid w:val="00590153"/>
  </w:style>
  <w:style w:type="character" w:styleId="FootnoteReference">
    <w:name w:val="footnote reference"/>
    <w:basedOn w:val="DefaultParagraphFont"/>
    <w:semiHidden/>
    <w:unhideWhenUsed/>
    <w:rsid w:val="00590153"/>
    <w:rPr>
      <w:vertAlign w:val="superscript"/>
    </w:rPr>
  </w:style>
  <w:style w:type="paragraph" w:customStyle="1" w:styleId="SL-FlLftSgl">
    <w:name w:val="SL-Fl Lft Sgl"/>
    <w:basedOn w:val="Normal"/>
    <w:rsid w:val="007F4163"/>
    <w:pPr>
      <w:spacing w:line="240" w:lineRule="atLeast"/>
      <w:jc w:val="both"/>
    </w:pPr>
    <w:rPr>
      <w:rFonts w:eastAsiaTheme="minorHAnsi"/>
      <w:sz w:val="22"/>
      <w:szCs w:val="22"/>
    </w:rPr>
  </w:style>
  <w:style w:type="character" w:styleId="CommentReference">
    <w:name w:val="annotation reference"/>
    <w:basedOn w:val="DefaultParagraphFont"/>
    <w:semiHidden/>
    <w:unhideWhenUsed/>
    <w:rsid w:val="00BB5016"/>
    <w:rPr>
      <w:sz w:val="16"/>
      <w:szCs w:val="16"/>
    </w:rPr>
  </w:style>
  <w:style w:type="paragraph" w:styleId="CommentText">
    <w:name w:val="annotation text"/>
    <w:basedOn w:val="Normal"/>
    <w:link w:val="CommentTextChar"/>
    <w:semiHidden/>
    <w:unhideWhenUsed/>
    <w:rsid w:val="00BB5016"/>
    <w:rPr>
      <w:sz w:val="20"/>
    </w:rPr>
  </w:style>
  <w:style w:type="character" w:customStyle="1" w:styleId="CommentTextChar">
    <w:name w:val="Comment Text Char"/>
    <w:basedOn w:val="DefaultParagraphFont"/>
    <w:link w:val="CommentText"/>
    <w:semiHidden/>
    <w:rsid w:val="00BB5016"/>
  </w:style>
  <w:style w:type="paragraph" w:styleId="CommentSubject">
    <w:name w:val="annotation subject"/>
    <w:basedOn w:val="CommentText"/>
    <w:next w:val="CommentText"/>
    <w:link w:val="CommentSubjectChar"/>
    <w:semiHidden/>
    <w:unhideWhenUsed/>
    <w:rsid w:val="00BB5016"/>
    <w:rPr>
      <w:b/>
      <w:bCs/>
    </w:rPr>
  </w:style>
  <w:style w:type="character" w:customStyle="1" w:styleId="CommentSubjectChar">
    <w:name w:val="Comment Subject Char"/>
    <w:basedOn w:val="CommentTextChar"/>
    <w:link w:val="CommentSubject"/>
    <w:semiHidden/>
    <w:rsid w:val="00BB5016"/>
    <w:rPr>
      <w:b/>
      <w:bCs/>
    </w:rPr>
  </w:style>
  <w:style w:type="table" w:styleId="LightGrid">
    <w:name w:val="Light Grid"/>
    <w:basedOn w:val="TableNormal"/>
    <w:uiPriority w:val="62"/>
    <w:rsid w:val="001D1E2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9130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36311">
      <w:bodyDiv w:val="1"/>
      <w:marLeft w:val="0"/>
      <w:marRight w:val="0"/>
      <w:marTop w:val="0"/>
      <w:marBottom w:val="0"/>
      <w:divBdr>
        <w:top w:val="none" w:sz="0" w:space="0" w:color="auto"/>
        <w:left w:val="none" w:sz="0" w:space="0" w:color="auto"/>
        <w:bottom w:val="none" w:sz="0" w:space="0" w:color="auto"/>
        <w:right w:val="none" w:sz="0" w:space="0" w:color="auto"/>
      </w:divBdr>
    </w:div>
    <w:div w:id="312560882">
      <w:bodyDiv w:val="1"/>
      <w:marLeft w:val="0"/>
      <w:marRight w:val="0"/>
      <w:marTop w:val="0"/>
      <w:marBottom w:val="0"/>
      <w:divBdr>
        <w:top w:val="none" w:sz="0" w:space="0" w:color="auto"/>
        <w:left w:val="none" w:sz="0" w:space="0" w:color="auto"/>
        <w:bottom w:val="none" w:sz="0" w:space="0" w:color="auto"/>
        <w:right w:val="none" w:sz="0" w:space="0" w:color="auto"/>
      </w:divBdr>
    </w:div>
    <w:div w:id="563950752">
      <w:bodyDiv w:val="1"/>
      <w:marLeft w:val="0"/>
      <w:marRight w:val="0"/>
      <w:marTop w:val="0"/>
      <w:marBottom w:val="0"/>
      <w:divBdr>
        <w:top w:val="none" w:sz="0" w:space="0" w:color="auto"/>
        <w:left w:val="none" w:sz="0" w:space="0" w:color="auto"/>
        <w:bottom w:val="none" w:sz="0" w:space="0" w:color="auto"/>
        <w:right w:val="none" w:sz="0" w:space="0" w:color="auto"/>
      </w:divBdr>
    </w:div>
    <w:div w:id="632178934">
      <w:bodyDiv w:val="1"/>
      <w:marLeft w:val="0"/>
      <w:marRight w:val="0"/>
      <w:marTop w:val="0"/>
      <w:marBottom w:val="0"/>
      <w:divBdr>
        <w:top w:val="none" w:sz="0" w:space="0" w:color="auto"/>
        <w:left w:val="none" w:sz="0" w:space="0" w:color="auto"/>
        <w:bottom w:val="none" w:sz="0" w:space="0" w:color="auto"/>
        <w:right w:val="none" w:sz="0" w:space="0" w:color="auto"/>
      </w:divBdr>
    </w:div>
    <w:div w:id="1257833523">
      <w:bodyDiv w:val="1"/>
      <w:marLeft w:val="0"/>
      <w:marRight w:val="0"/>
      <w:marTop w:val="0"/>
      <w:marBottom w:val="0"/>
      <w:divBdr>
        <w:top w:val="none" w:sz="0" w:space="0" w:color="auto"/>
        <w:left w:val="none" w:sz="0" w:space="0" w:color="auto"/>
        <w:bottom w:val="none" w:sz="0" w:space="0" w:color="auto"/>
        <w:right w:val="none" w:sz="0" w:space="0" w:color="auto"/>
      </w:divBdr>
    </w:div>
    <w:div w:id="1531066962">
      <w:bodyDiv w:val="1"/>
      <w:marLeft w:val="0"/>
      <w:marRight w:val="0"/>
      <w:marTop w:val="0"/>
      <w:marBottom w:val="0"/>
      <w:divBdr>
        <w:top w:val="none" w:sz="0" w:space="0" w:color="auto"/>
        <w:left w:val="none" w:sz="0" w:space="0" w:color="auto"/>
        <w:bottom w:val="none" w:sz="0" w:space="0" w:color="auto"/>
        <w:right w:val="none" w:sz="0" w:space="0" w:color="auto"/>
      </w:divBdr>
      <w:divsChild>
        <w:div w:id="1812794768">
          <w:marLeft w:val="0"/>
          <w:marRight w:val="0"/>
          <w:marTop w:val="0"/>
          <w:marBottom w:val="0"/>
          <w:divBdr>
            <w:top w:val="none" w:sz="0" w:space="0" w:color="auto"/>
            <w:left w:val="none" w:sz="0" w:space="0" w:color="auto"/>
            <w:bottom w:val="none" w:sz="0" w:space="0" w:color="auto"/>
            <w:right w:val="none" w:sz="0" w:space="0" w:color="auto"/>
          </w:divBdr>
          <w:divsChild>
            <w:div w:id="490951161">
              <w:marLeft w:val="0"/>
              <w:marRight w:val="0"/>
              <w:marTop w:val="0"/>
              <w:marBottom w:val="0"/>
              <w:divBdr>
                <w:top w:val="none" w:sz="0" w:space="0" w:color="auto"/>
                <w:left w:val="none" w:sz="0" w:space="0" w:color="auto"/>
                <w:bottom w:val="none" w:sz="0" w:space="0" w:color="auto"/>
                <w:right w:val="none" w:sz="0" w:space="0" w:color="auto"/>
              </w:divBdr>
              <w:divsChild>
                <w:div w:id="1678190575">
                  <w:marLeft w:val="0"/>
                  <w:marRight w:val="0"/>
                  <w:marTop w:val="0"/>
                  <w:marBottom w:val="0"/>
                  <w:divBdr>
                    <w:top w:val="none" w:sz="0" w:space="0" w:color="auto"/>
                    <w:left w:val="none" w:sz="0" w:space="0" w:color="auto"/>
                    <w:bottom w:val="none" w:sz="0" w:space="0" w:color="auto"/>
                    <w:right w:val="none" w:sz="0" w:space="0" w:color="auto"/>
                  </w:divBdr>
                  <w:divsChild>
                    <w:div w:id="99377201">
                      <w:marLeft w:val="0"/>
                      <w:marRight w:val="0"/>
                      <w:marTop w:val="0"/>
                      <w:marBottom w:val="0"/>
                      <w:divBdr>
                        <w:top w:val="none" w:sz="0" w:space="0" w:color="auto"/>
                        <w:left w:val="none" w:sz="0" w:space="0" w:color="auto"/>
                        <w:bottom w:val="none" w:sz="0" w:space="0" w:color="auto"/>
                        <w:right w:val="none" w:sz="0" w:space="0" w:color="auto"/>
                      </w:divBdr>
                      <w:divsChild>
                        <w:div w:id="2043171215">
                          <w:marLeft w:val="0"/>
                          <w:marRight w:val="0"/>
                          <w:marTop w:val="0"/>
                          <w:marBottom w:val="0"/>
                          <w:divBdr>
                            <w:top w:val="none" w:sz="0" w:space="0" w:color="auto"/>
                            <w:left w:val="none" w:sz="0" w:space="0" w:color="auto"/>
                            <w:bottom w:val="none" w:sz="0" w:space="0" w:color="auto"/>
                            <w:right w:val="none" w:sz="0" w:space="0" w:color="auto"/>
                          </w:divBdr>
                          <w:divsChild>
                            <w:div w:id="1583830705">
                              <w:marLeft w:val="0"/>
                              <w:marRight w:val="0"/>
                              <w:marTop w:val="0"/>
                              <w:marBottom w:val="150"/>
                              <w:divBdr>
                                <w:top w:val="none" w:sz="0" w:space="0" w:color="auto"/>
                                <w:left w:val="none" w:sz="0" w:space="0" w:color="auto"/>
                                <w:bottom w:val="none" w:sz="0" w:space="0" w:color="auto"/>
                                <w:right w:val="none" w:sz="0" w:space="0" w:color="auto"/>
                              </w:divBdr>
                              <w:divsChild>
                                <w:div w:id="842355891">
                                  <w:marLeft w:val="0"/>
                                  <w:marRight w:val="0"/>
                                  <w:marTop w:val="0"/>
                                  <w:marBottom w:val="0"/>
                                  <w:divBdr>
                                    <w:top w:val="none" w:sz="0" w:space="0" w:color="auto"/>
                                    <w:left w:val="none" w:sz="0" w:space="0" w:color="auto"/>
                                    <w:bottom w:val="none" w:sz="0" w:space="0" w:color="auto"/>
                                    <w:right w:val="none" w:sz="0" w:space="0" w:color="auto"/>
                                  </w:divBdr>
                                  <w:divsChild>
                                    <w:div w:id="691883405">
                                      <w:marLeft w:val="0"/>
                                      <w:marRight w:val="0"/>
                                      <w:marTop w:val="0"/>
                                      <w:marBottom w:val="0"/>
                                      <w:divBdr>
                                        <w:top w:val="none" w:sz="0" w:space="0" w:color="auto"/>
                                        <w:left w:val="none" w:sz="0" w:space="0" w:color="auto"/>
                                        <w:bottom w:val="none" w:sz="0" w:space="0" w:color="auto"/>
                                        <w:right w:val="none" w:sz="0" w:space="0" w:color="auto"/>
                                      </w:divBdr>
                                      <w:divsChild>
                                        <w:div w:id="1257903541">
                                          <w:marLeft w:val="0"/>
                                          <w:marRight w:val="0"/>
                                          <w:marTop w:val="0"/>
                                          <w:marBottom w:val="0"/>
                                          <w:divBdr>
                                            <w:top w:val="none" w:sz="0" w:space="0" w:color="auto"/>
                                            <w:left w:val="none" w:sz="0" w:space="0" w:color="auto"/>
                                            <w:bottom w:val="none" w:sz="0" w:space="0" w:color="auto"/>
                                            <w:right w:val="none" w:sz="0" w:space="0" w:color="auto"/>
                                          </w:divBdr>
                                        </w:div>
                                        <w:div w:id="1630474285">
                                          <w:marLeft w:val="0"/>
                                          <w:marRight w:val="0"/>
                                          <w:marTop w:val="0"/>
                                          <w:marBottom w:val="0"/>
                                          <w:divBdr>
                                            <w:top w:val="none" w:sz="0" w:space="0" w:color="auto"/>
                                            <w:left w:val="none" w:sz="0" w:space="0" w:color="auto"/>
                                            <w:bottom w:val="none" w:sz="0" w:space="0" w:color="auto"/>
                                            <w:right w:val="none" w:sz="0" w:space="0" w:color="auto"/>
                                          </w:divBdr>
                                        </w:div>
                                        <w:div w:id="151944359">
                                          <w:marLeft w:val="0"/>
                                          <w:marRight w:val="0"/>
                                          <w:marTop w:val="0"/>
                                          <w:marBottom w:val="0"/>
                                          <w:divBdr>
                                            <w:top w:val="none" w:sz="0" w:space="0" w:color="auto"/>
                                            <w:left w:val="none" w:sz="0" w:space="0" w:color="auto"/>
                                            <w:bottom w:val="none" w:sz="0" w:space="0" w:color="auto"/>
                                            <w:right w:val="none" w:sz="0" w:space="0" w:color="auto"/>
                                          </w:divBdr>
                                          <w:divsChild>
                                            <w:div w:id="1221867697">
                                              <w:marLeft w:val="0"/>
                                              <w:marRight w:val="0"/>
                                              <w:marTop w:val="0"/>
                                              <w:marBottom w:val="0"/>
                                              <w:divBdr>
                                                <w:top w:val="none" w:sz="0" w:space="0" w:color="auto"/>
                                                <w:left w:val="none" w:sz="0" w:space="0" w:color="auto"/>
                                                <w:bottom w:val="none" w:sz="0" w:space="0" w:color="auto"/>
                                                <w:right w:val="none" w:sz="0" w:space="0" w:color="auto"/>
                                              </w:divBdr>
                                              <w:divsChild>
                                                <w:div w:id="302276732">
                                                  <w:marLeft w:val="0"/>
                                                  <w:marRight w:val="0"/>
                                                  <w:marTop w:val="0"/>
                                                  <w:marBottom w:val="0"/>
                                                  <w:divBdr>
                                                    <w:top w:val="none" w:sz="0" w:space="0" w:color="auto"/>
                                                    <w:left w:val="none" w:sz="0" w:space="0" w:color="auto"/>
                                                    <w:bottom w:val="none" w:sz="0" w:space="0" w:color="auto"/>
                                                    <w:right w:val="none" w:sz="0" w:space="0" w:color="auto"/>
                                                  </w:divBdr>
                                                </w:div>
                                                <w:div w:id="3614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9687">
                                          <w:marLeft w:val="0"/>
                                          <w:marRight w:val="0"/>
                                          <w:marTop w:val="0"/>
                                          <w:marBottom w:val="0"/>
                                          <w:divBdr>
                                            <w:top w:val="none" w:sz="0" w:space="0" w:color="auto"/>
                                            <w:left w:val="none" w:sz="0" w:space="0" w:color="auto"/>
                                            <w:bottom w:val="none" w:sz="0" w:space="0" w:color="auto"/>
                                            <w:right w:val="none" w:sz="0" w:space="0" w:color="auto"/>
                                          </w:divBdr>
                                        </w:div>
                                        <w:div w:id="170490366">
                                          <w:marLeft w:val="0"/>
                                          <w:marRight w:val="0"/>
                                          <w:marTop w:val="0"/>
                                          <w:marBottom w:val="0"/>
                                          <w:divBdr>
                                            <w:top w:val="none" w:sz="0" w:space="0" w:color="auto"/>
                                            <w:left w:val="none" w:sz="0" w:space="0" w:color="auto"/>
                                            <w:bottom w:val="none" w:sz="0" w:space="0" w:color="auto"/>
                                            <w:right w:val="none" w:sz="0" w:space="0" w:color="auto"/>
                                          </w:divBdr>
                                        </w:div>
                                        <w:div w:id="375928550">
                                          <w:marLeft w:val="0"/>
                                          <w:marRight w:val="0"/>
                                          <w:marTop w:val="0"/>
                                          <w:marBottom w:val="0"/>
                                          <w:divBdr>
                                            <w:top w:val="none" w:sz="0" w:space="0" w:color="auto"/>
                                            <w:left w:val="none" w:sz="0" w:space="0" w:color="auto"/>
                                            <w:bottom w:val="none" w:sz="0" w:space="0" w:color="auto"/>
                                            <w:right w:val="none" w:sz="0" w:space="0" w:color="auto"/>
                                          </w:divBdr>
                                        </w:div>
                                        <w:div w:id="365640533">
                                          <w:marLeft w:val="0"/>
                                          <w:marRight w:val="0"/>
                                          <w:marTop w:val="0"/>
                                          <w:marBottom w:val="0"/>
                                          <w:divBdr>
                                            <w:top w:val="none" w:sz="0" w:space="0" w:color="auto"/>
                                            <w:left w:val="none" w:sz="0" w:space="0" w:color="auto"/>
                                            <w:bottom w:val="none" w:sz="0" w:space="0" w:color="auto"/>
                                            <w:right w:val="none" w:sz="0" w:space="0" w:color="auto"/>
                                          </w:divBdr>
                                        </w:div>
                                        <w:div w:id="196700151">
                                          <w:marLeft w:val="0"/>
                                          <w:marRight w:val="0"/>
                                          <w:marTop w:val="0"/>
                                          <w:marBottom w:val="0"/>
                                          <w:divBdr>
                                            <w:top w:val="none" w:sz="0" w:space="0" w:color="auto"/>
                                            <w:left w:val="none" w:sz="0" w:space="0" w:color="auto"/>
                                            <w:bottom w:val="none" w:sz="0" w:space="0" w:color="auto"/>
                                            <w:right w:val="none" w:sz="0" w:space="0" w:color="auto"/>
                                          </w:divBdr>
                                        </w:div>
                                        <w:div w:id="35858124">
                                          <w:marLeft w:val="0"/>
                                          <w:marRight w:val="0"/>
                                          <w:marTop w:val="0"/>
                                          <w:marBottom w:val="0"/>
                                          <w:divBdr>
                                            <w:top w:val="none" w:sz="0" w:space="0" w:color="auto"/>
                                            <w:left w:val="none" w:sz="0" w:space="0" w:color="auto"/>
                                            <w:bottom w:val="none" w:sz="0" w:space="0" w:color="auto"/>
                                            <w:right w:val="none" w:sz="0" w:space="0" w:color="auto"/>
                                          </w:divBdr>
                                        </w:div>
                                        <w:div w:id="303588482">
                                          <w:marLeft w:val="0"/>
                                          <w:marRight w:val="0"/>
                                          <w:marTop w:val="0"/>
                                          <w:marBottom w:val="0"/>
                                          <w:divBdr>
                                            <w:top w:val="none" w:sz="0" w:space="0" w:color="auto"/>
                                            <w:left w:val="none" w:sz="0" w:space="0" w:color="auto"/>
                                            <w:bottom w:val="none" w:sz="0" w:space="0" w:color="auto"/>
                                            <w:right w:val="none" w:sz="0" w:space="0" w:color="auto"/>
                                          </w:divBdr>
                                        </w:div>
                                        <w:div w:id="925723088">
                                          <w:marLeft w:val="0"/>
                                          <w:marRight w:val="0"/>
                                          <w:marTop w:val="0"/>
                                          <w:marBottom w:val="0"/>
                                          <w:divBdr>
                                            <w:top w:val="none" w:sz="0" w:space="0" w:color="auto"/>
                                            <w:left w:val="none" w:sz="0" w:space="0" w:color="auto"/>
                                            <w:bottom w:val="none" w:sz="0" w:space="0" w:color="auto"/>
                                            <w:right w:val="none" w:sz="0" w:space="0" w:color="auto"/>
                                          </w:divBdr>
                                        </w:div>
                                        <w:div w:id="7188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969577">
      <w:bodyDiv w:val="1"/>
      <w:marLeft w:val="0"/>
      <w:marRight w:val="0"/>
      <w:marTop w:val="0"/>
      <w:marBottom w:val="0"/>
      <w:divBdr>
        <w:top w:val="none" w:sz="0" w:space="0" w:color="auto"/>
        <w:left w:val="none" w:sz="0" w:space="0" w:color="auto"/>
        <w:bottom w:val="none" w:sz="0" w:space="0" w:color="auto"/>
        <w:right w:val="none" w:sz="0" w:space="0" w:color="auto"/>
      </w:divBdr>
    </w:div>
    <w:div w:id="1709141569">
      <w:bodyDiv w:val="1"/>
      <w:marLeft w:val="0"/>
      <w:marRight w:val="0"/>
      <w:marTop w:val="0"/>
      <w:marBottom w:val="0"/>
      <w:divBdr>
        <w:top w:val="none" w:sz="0" w:space="0" w:color="auto"/>
        <w:left w:val="none" w:sz="0" w:space="0" w:color="auto"/>
        <w:bottom w:val="none" w:sz="0" w:space="0" w:color="auto"/>
        <w:right w:val="none" w:sz="0" w:space="0" w:color="auto"/>
      </w:divBdr>
    </w:div>
    <w:div w:id="17940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gao.gov/key_issues/managing_for_results_in_government/issue_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30BCA-B243-4FD8-882A-DAAA2A757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3894</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Ying-Ying T. Yuan</dc:creator>
  <cp:lastModifiedBy>Washington, Tomakie (ACL)</cp:lastModifiedBy>
  <cp:revision>4</cp:revision>
  <cp:lastPrinted>2015-08-01T19:52:00Z</cp:lastPrinted>
  <dcterms:created xsi:type="dcterms:W3CDTF">2020-01-10T20:50:00Z</dcterms:created>
  <dcterms:modified xsi:type="dcterms:W3CDTF">2020-02-04T21:00:00Z</dcterms:modified>
</cp:coreProperties>
</file>