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1BA7" w:rsidR="00352CEE" w:rsidP="00A12917" w:rsidRDefault="00352CEE" w14:paraId="214C4331" w14:textId="77777777">
      <w:pPr>
        <w:rPr>
          <w:rFonts w:cs="Times New Roman"/>
        </w:rPr>
      </w:pPr>
      <w:bookmarkStart w:name="_Toc473880015" w:id="0"/>
    </w:p>
    <w:p w:rsidRPr="00421BA7" w:rsidR="00352CEE" w:rsidP="00A12917" w:rsidRDefault="00352CEE" w14:paraId="214C4332" w14:textId="77777777">
      <w:pPr>
        <w:rPr>
          <w:rFonts w:cs="Times New Roman"/>
        </w:rPr>
      </w:pPr>
    </w:p>
    <w:p w:rsidRPr="001F305A" w:rsidR="007340B1" w:rsidP="007340B1" w:rsidRDefault="007340B1" w14:paraId="2856E4EC" w14:textId="77777777">
      <w:pPr>
        <w:spacing w:line="360" w:lineRule="auto"/>
        <w:jc w:val="center"/>
        <w:rPr>
          <w:b/>
          <w:sz w:val="40"/>
          <w:szCs w:val="40"/>
        </w:rPr>
      </w:pPr>
      <w:bookmarkStart w:name="_Hlk30315048" w:id="1"/>
      <w:bookmarkEnd w:id="0"/>
      <w:r w:rsidRPr="001F305A">
        <w:rPr>
          <w:b/>
          <w:color w:val="000000"/>
          <w:sz w:val="40"/>
          <w:szCs w:val="40"/>
        </w:rPr>
        <w:t>Adding 2019</w:t>
      </w:r>
      <w:r>
        <w:rPr>
          <w:b/>
          <w:color w:val="000000"/>
          <w:sz w:val="40"/>
          <w:szCs w:val="40"/>
        </w:rPr>
        <w:t xml:space="preserve"> </w:t>
      </w:r>
      <w:r w:rsidRPr="001F305A">
        <w:rPr>
          <w:b/>
          <w:color w:val="000000"/>
          <w:sz w:val="40"/>
          <w:szCs w:val="40"/>
        </w:rPr>
        <w:t xml:space="preserve">– Novel Coronavirus (2019-nCoV) to the National Notifiable Diseases Surveillance System </w:t>
      </w:r>
    </w:p>
    <w:p w:rsidRPr="00330B92" w:rsidR="007340B1" w:rsidP="007340B1" w:rsidRDefault="007340B1" w14:paraId="2898F7DE" w14:textId="77777777">
      <w:pPr>
        <w:spacing w:line="360" w:lineRule="auto"/>
        <w:jc w:val="center"/>
        <w:rPr>
          <w:rFonts w:eastAsia="Calibri"/>
          <w:sz w:val="32"/>
          <w:szCs w:val="32"/>
        </w:rPr>
      </w:pPr>
      <w:r w:rsidRPr="00330B92">
        <w:rPr>
          <w:rFonts w:eastAsia="Calibri"/>
          <w:sz w:val="32"/>
          <w:szCs w:val="32"/>
        </w:rPr>
        <w:t>Request for OMB approval of a Revised Information Collection for OMB Control Number 0920-0728</w:t>
      </w:r>
    </w:p>
    <w:p w:rsidRPr="001F305A" w:rsidR="007340B1" w:rsidP="007340B1" w:rsidRDefault="007340B1" w14:paraId="0F69DA17" w14:textId="77777777">
      <w:pPr>
        <w:rPr>
          <w:rFonts w:eastAsia="Calibri"/>
          <w:sz w:val="40"/>
          <w:szCs w:val="40"/>
        </w:rPr>
      </w:pPr>
    </w:p>
    <w:p w:rsidRPr="0039324B" w:rsidR="007340B1" w:rsidP="007340B1" w:rsidRDefault="007340B1" w14:paraId="6AE0610C" w14:textId="77777777">
      <w:pPr>
        <w:jc w:val="center"/>
        <w:rPr>
          <w:b/>
        </w:rPr>
      </w:pPr>
      <w:r w:rsidRPr="0039324B">
        <w:rPr>
          <w:b/>
        </w:rPr>
        <w:t>January 1</w:t>
      </w:r>
      <w:r>
        <w:rPr>
          <w:b/>
        </w:rPr>
        <w:t>8</w:t>
      </w:r>
      <w:r w:rsidRPr="0039324B">
        <w:rPr>
          <w:b/>
        </w:rPr>
        <w:t>, 2020</w:t>
      </w:r>
    </w:p>
    <w:p w:rsidR="007340B1" w:rsidP="007340B1" w:rsidRDefault="007340B1" w14:paraId="3CF7E825" w14:textId="77777777">
      <w:pPr>
        <w:spacing w:line="360" w:lineRule="auto"/>
        <w:jc w:val="center"/>
        <w:rPr>
          <w:rFonts w:eastAsia="Calibri"/>
          <w:b/>
          <w:sz w:val="40"/>
          <w:szCs w:val="40"/>
        </w:rPr>
      </w:pPr>
    </w:p>
    <w:p w:rsidRPr="007340B1" w:rsidR="007340B1" w:rsidP="007340B1" w:rsidRDefault="007340B1" w14:paraId="2769C393" w14:textId="39E07554">
      <w:pPr>
        <w:spacing w:line="360" w:lineRule="auto"/>
        <w:jc w:val="center"/>
        <w:rPr>
          <w:rFonts w:eastAsia="Calibri"/>
          <w:b/>
          <w:sz w:val="40"/>
          <w:szCs w:val="40"/>
        </w:rPr>
      </w:pPr>
      <w:r w:rsidRPr="007340B1">
        <w:rPr>
          <w:rFonts w:eastAsia="Calibri"/>
          <w:b/>
          <w:sz w:val="40"/>
          <w:szCs w:val="40"/>
        </w:rPr>
        <w:t xml:space="preserve">Supporting Statement Section </w:t>
      </w:r>
      <w:r>
        <w:rPr>
          <w:rFonts w:eastAsia="Calibri"/>
          <w:b/>
          <w:sz w:val="40"/>
          <w:szCs w:val="40"/>
        </w:rPr>
        <w:t>B</w:t>
      </w:r>
    </w:p>
    <w:bookmarkEnd w:id="1"/>
    <w:p w:rsidRPr="00421BA7" w:rsidR="00352CEE" w:rsidP="00352CEE" w:rsidRDefault="00352CEE" w14:paraId="214C4341" w14:textId="77777777">
      <w:pPr>
        <w:spacing w:after="0" w:line="240" w:lineRule="auto"/>
        <w:rPr>
          <w:rFonts w:cs="Times New Roman"/>
          <w:b/>
        </w:rPr>
      </w:pPr>
    </w:p>
    <w:p w:rsidRPr="00421BA7" w:rsidR="00352CEE" w:rsidP="00A12917" w:rsidRDefault="00352CEE" w14:paraId="214C4342" w14:textId="77777777">
      <w:pPr>
        <w:pStyle w:val="NoSpacing"/>
        <w:rPr>
          <w:rFonts w:cs="Times New Roman"/>
        </w:rPr>
      </w:pPr>
    </w:p>
    <w:p w:rsidRPr="00421BA7" w:rsidR="00352CEE" w:rsidP="00A12917" w:rsidRDefault="00352CEE" w14:paraId="214C4343" w14:textId="77777777">
      <w:pPr>
        <w:pStyle w:val="NoSpacing"/>
        <w:rPr>
          <w:rFonts w:cs="Times New Roman"/>
        </w:rPr>
      </w:pPr>
    </w:p>
    <w:p w:rsidRPr="00421BA7" w:rsidR="00352CEE" w:rsidP="00A12917" w:rsidRDefault="00352CEE" w14:paraId="214C4344" w14:textId="77777777">
      <w:pPr>
        <w:pStyle w:val="NoSpacing"/>
        <w:rPr>
          <w:rFonts w:cs="Times New Roman"/>
        </w:rPr>
      </w:pPr>
    </w:p>
    <w:p w:rsidRPr="00421BA7" w:rsidR="00352CEE" w:rsidP="00A12917" w:rsidRDefault="00352CEE" w14:paraId="214C4345" w14:textId="77777777">
      <w:pPr>
        <w:pStyle w:val="NoSpacing"/>
        <w:rPr>
          <w:rFonts w:cs="Times New Roman"/>
        </w:rPr>
      </w:pPr>
    </w:p>
    <w:p w:rsidRPr="00421BA7" w:rsidR="00352CEE" w:rsidP="00A12917" w:rsidRDefault="00352CEE" w14:paraId="214C4346" w14:textId="77777777">
      <w:pPr>
        <w:pStyle w:val="NoSpacing"/>
        <w:rPr>
          <w:rFonts w:cs="Times New Roman"/>
        </w:rPr>
      </w:pPr>
    </w:p>
    <w:p w:rsidRPr="00421BA7" w:rsidR="00352CEE" w:rsidP="00A12917" w:rsidRDefault="00352CEE" w14:paraId="214C4347" w14:textId="77777777">
      <w:pPr>
        <w:pStyle w:val="NoSpacing"/>
        <w:rPr>
          <w:rFonts w:cs="Times New Roman"/>
        </w:rPr>
      </w:pPr>
    </w:p>
    <w:p w:rsidRPr="00421BA7" w:rsidR="00352CEE" w:rsidP="00A12917" w:rsidRDefault="00352CEE" w14:paraId="214C4348" w14:textId="77777777">
      <w:pPr>
        <w:pStyle w:val="NoSpacing"/>
        <w:rPr>
          <w:rFonts w:cs="Times New Roman"/>
        </w:rPr>
      </w:pPr>
    </w:p>
    <w:p w:rsidRPr="00421BA7" w:rsidR="00352CEE" w:rsidP="00A12917" w:rsidRDefault="00352CEE" w14:paraId="214C4349" w14:textId="77777777">
      <w:pPr>
        <w:pStyle w:val="NoSpacing"/>
        <w:rPr>
          <w:rFonts w:cs="Times New Roman"/>
        </w:rPr>
      </w:pPr>
    </w:p>
    <w:p w:rsidRPr="00421BA7" w:rsidR="00352CEE" w:rsidP="00A12917" w:rsidRDefault="00352CEE" w14:paraId="214C434A" w14:textId="77777777">
      <w:pPr>
        <w:pStyle w:val="NoSpacing"/>
        <w:rPr>
          <w:rFonts w:cs="Times New Roman"/>
        </w:rPr>
      </w:pPr>
    </w:p>
    <w:p w:rsidRPr="00421BA7" w:rsidR="00352CEE" w:rsidP="00A12917" w:rsidRDefault="00352CEE" w14:paraId="214C434B" w14:textId="77777777">
      <w:pPr>
        <w:pStyle w:val="NoSpacing"/>
        <w:rPr>
          <w:rFonts w:cs="Times New Roman"/>
        </w:rPr>
      </w:pPr>
    </w:p>
    <w:p w:rsidRPr="00421BA7" w:rsidR="00352CEE" w:rsidP="00A12917" w:rsidRDefault="00352CEE" w14:paraId="214C434C" w14:textId="77777777">
      <w:pPr>
        <w:pStyle w:val="NoSpacing"/>
        <w:rPr>
          <w:rFonts w:cs="Times New Roman"/>
        </w:rPr>
      </w:pPr>
    </w:p>
    <w:p w:rsidRPr="00421BA7" w:rsidR="00352CEE" w:rsidP="00A12917" w:rsidRDefault="00352CEE" w14:paraId="214C434E" w14:textId="77777777">
      <w:pPr>
        <w:pStyle w:val="NoSpacing"/>
        <w:rPr>
          <w:rFonts w:cs="Times New Roman"/>
        </w:rPr>
      </w:pPr>
    </w:p>
    <w:p w:rsidRPr="00421BA7" w:rsidR="00352CEE" w:rsidP="00352CEE" w:rsidRDefault="00352CEE" w14:paraId="214C4353" w14:textId="77777777">
      <w:pPr>
        <w:spacing w:after="0" w:line="240" w:lineRule="auto"/>
        <w:rPr>
          <w:rFonts w:cs="Times New Roman"/>
          <w:b/>
        </w:rPr>
      </w:pPr>
    </w:p>
    <w:p w:rsidRPr="00EE7855" w:rsidR="00EE7855" w:rsidP="00EE7855" w:rsidRDefault="00EE7855" w14:paraId="77B7204C" w14:textId="77777777">
      <w:pPr>
        <w:pStyle w:val="Subtitle"/>
        <w:rPr>
          <w:rFonts w:cs="Times New Roman"/>
          <w:b/>
        </w:rPr>
      </w:pPr>
      <w:r w:rsidRPr="00EE7855">
        <w:rPr>
          <w:rFonts w:cs="Times New Roman"/>
          <w:b/>
        </w:rPr>
        <w:t xml:space="preserve">Contact: </w:t>
      </w:r>
    </w:p>
    <w:p w:rsidRPr="00EE7855" w:rsidR="00EE7855" w:rsidP="00EE7855" w:rsidRDefault="00EE7855" w14:paraId="475F0802" w14:textId="77777777">
      <w:pPr>
        <w:pStyle w:val="Subtitle"/>
        <w:rPr>
          <w:rFonts w:cs="Times New Roman"/>
        </w:rPr>
      </w:pPr>
      <w:r w:rsidRPr="00EE7855">
        <w:rPr>
          <w:rFonts w:cs="Times New Roman"/>
        </w:rPr>
        <w:t>Sam Posner</w:t>
      </w:r>
    </w:p>
    <w:p w:rsidRPr="00EE7855" w:rsidR="00EE7855" w:rsidP="00EE7855" w:rsidRDefault="00EE7855" w14:paraId="23C30D12" w14:textId="77777777">
      <w:pPr>
        <w:pStyle w:val="Subtitle"/>
        <w:rPr>
          <w:rFonts w:cs="Times New Roman"/>
        </w:rPr>
      </w:pPr>
      <w:r w:rsidRPr="00EE7855">
        <w:rPr>
          <w:rFonts w:cs="Times New Roman"/>
        </w:rPr>
        <w:t>National Center for Immunization and Respiratory Diseases</w:t>
      </w:r>
    </w:p>
    <w:p w:rsidRPr="00EE7855" w:rsidR="00EE7855" w:rsidP="00EE7855" w:rsidRDefault="00EE7855" w14:paraId="0CD924F0" w14:textId="77777777">
      <w:pPr>
        <w:pStyle w:val="Subtitle"/>
        <w:rPr>
          <w:rFonts w:cs="Times New Roman"/>
        </w:rPr>
      </w:pPr>
      <w:r w:rsidRPr="00EE7855">
        <w:rPr>
          <w:rFonts w:cs="Times New Roman"/>
        </w:rPr>
        <w:t xml:space="preserve">Centers for Disease Control and Prevention </w:t>
      </w:r>
    </w:p>
    <w:p w:rsidRPr="00EE7855" w:rsidR="00EE7855" w:rsidP="00EE7855" w:rsidRDefault="00EE7855" w14:paraId="016AC3EA" w14:textId="77777777">
      <w:pPr>
        <w:pStyle w:val="Subtitle"/>
        <w:rPr>
          <w:rFonts w:cs="Times New Roman"/>
        </w:rPr>
      </w:pPr>
      <w:r w:rsidRPr="00EE7855">
        <w:rPr>
          <w:rFonts w:cs="Times New Roman"/>
        </w:rPr>
        <w:t xml:space="preserve">1600 Clifton Road, NE </w:t>
      </w:r>
    </w:p>
    <w:p w:rsidRPr="00EE7855" w:rsidR="00EE7855" w:rsidP="00EE7855" w:rsidRDefault="00EE7855" w14:paraId="77EA8860" w14:textId="77777777">
      <w:pPr>
        <w:pStyle w:val="Subtitle"/>
        <w:rPr>
          <w:rFonts w:cs="Times New Roman"/>
        </w:rPr>
      </w:pPr>
      <w:r w:rsidRPr="00EE7855">
        <w:rPr>
          <w:rFonts w:cs="Times New Roman"/>
        </w:rPr>
        <w:t xml:space="preserve">Atlanta, Georgia 30333 </w:t>
      </w:r>
    </w:p>
    <w:p w:rsidRPr="00EE7855" w:rsidR="00EE7855" w:rsidP="00EE7855" w:rsidRDefault="00EE7855" w14:paraId="7B7EB6B2" w14:textId="77777777">
      <w:pPr>
        <w:pStyle w:val="Subtitle"/>
        <w:rPr>
          <w:rFonts w:cs="Times New Roman"/>
        </w:rPr>
      </w:pPr>
      <w:r w:rsidRPr="00EE7855">
        <w:rPr>
          <w:rFonts w:cs="Times New Roman"/>
        </w:rPr>
        <w:t xml:space="preserve">Phone: (404) 488-6398 </w:t>
      </w:r>
    </w:p>
    <w:p w:rsidRPr="00421BA7" w:rsidR="00352CEE" w:rsidP="00EE7855" w:rsidRDefault="00EE7855" w14:paraId="214C435B" w14:textId="4733BEBA">
      <w:pPr>
        <w:pStyle w:val="Subtitle"/>
        <w:rPr>
          <w:rFonts w:cs="Times New Roman"/>
        </w:rPr>
      </w:pPr>
      <w:r w:rsidRPr="00EE7855">
        <w:rPr>
          <w:rFonts w:cs="Times New Roman"/>
        </w:rPr>
        <w:t>Email: shp5@cdc.gov</w:t>
      </w:r>
      <w:r w:rsidRPr="00EE7855">
        <w:rPr>
          <w:rFonts w:cs="Times New Roman"/>
          <w:b/>
        </w:rPr>
        <w:t xml:space="preserve">  </w:t>
      </w:r>
      <w:r w:rsidRPr="00421BA7" w:rsidR="00352CEE">
        <w:rPr>
          <w:rFonts w:cs="Times New Roman"/>
        </w:rPr>
        <w:br w:type="page"/>
      </w:r>
    </w:p>
    <w:sdt>
      <w:sdtPr>
        <w:rPr>
          <w:rFonts w:cs="Times New Roman"/>
          <w:b/>
          <w:sz w:val="28"/>
          <w:szCs w:val="28"/>
        </w:rPr>
        <w:id w:val="1564836290"/>
        <w:docPartObj>
          <w:docPartGallery w:val="Table of Contents"/>
          <w:docPartUnique/>
        </w:docPartObj>
      </w:sdtPr>
      <w:sdtEndPr>
        <w:rPr>
          <w:b w:val="0"/>
          <w:bCs/>
          <w:noProof/>
          <w:sz w:val="24"/>
          <w:szCs w:val="22"/>
        </w:rPr>
      </w:sdtEndPr>
      <w:sdtContent>
        <w:p w:rsidRPr="001F305A" w:rsidR="00C64C76" w:rsidP="00C64C76" w:rsidRDefault="00C64C76" w14:paraId="39043B58" w14:textId="77777777">
          <w:pPr>
            <w:jc w:val="center"/>
            <w:rPr>
              <w:rFonts w:eastAsia="Calibri"/>
              <w:b/>
              <w:color w:val="000000"/>
            </w:rPr>
          </w:pPr>
          <w:r w:rsidRPr="001F305A">
            <w:rPr>
              <w:rFonts w:eastAsia="Calibri"/>
              <w:b/>
              <w:color w:val="000000"/>
            </w:rPr>
            <w:t>Adding 2019-nCoV to the National Notifiable Diseases Surveillance System</w:t>
          </w:r>
        </w:p>
        <w:p w:rsidR="00352CEE" w:rsidP="00352CEE" w:rsidRDefault="00352CEE" w14:paraId="214C435C" w14:textId="2C570895">
          <w:pPr>
            <w:pStyle w:val="Heading4"/>
            <w:rPr>
              <w:rFonts w:cs="Times New Roman"/>
              <w:sz w:val="28"/>
              <w:szCs w:val="28"/>
            </w:rPr>
          </w:pPr>
          <w:r w:rsidRPr="00421BA7">
            <w:rPr>
              <w:rFonts w:cs="Times New Roman"/>
              <w:sz w:val="28"/>
              <w:szCs w:val="28"/>
            </w:rPr>
            <w:t>Table of Contents</w:t>
          </w:r>
        </w:p>
        <w:p w:rsidRPr="008E7E4E" w:rsidR="008E7E4E" w:rsidP="008E7E4E" w:rsidRDefault="008E7E4E" w14:paraId="27BACCCF" w14:textId="77777777"/>
        <w:p w:rsidR="00E26CDA" w:rsidRDefault="00352CEE" w14:paraId="60423152" w14:textId="204ADE79">
          <w:pPr>
            <w:pStyle w:val="TOC1"/>
            <w:tabs>
              <w:tab w:val="left" w:pos="480"/>
              <w:tab w:val="right" w:leader="dot" w:pos="10070"/>
            </w:tabs>
            <w:rPr>
              <w:rFonts w:asciiTheme="minorHAnsi" w:hAnsiTheme="minorHAnsi" w:eastAsiaTheme="minorEastAsia"/>
              <w:noProof/>
              <w:sz w:val="22"/>
            </w:rPr>
          </w:pPr>
          <w:r w:rsidRPr="00421BA7">
            <w:rPr>
              <w:rFonts w:cs="Times New Roman"/>
            </w:rPr>
            <w:fldChar w:fldCharType="begin"/>
          </w:r>
          <w:r w:rsidRPr="00421BA7">
            <w:rPr>
              <w:rFonts w:cs="Times New Roman"/>
            </w:rPr>
            <w:instrText xml:space="preserve"> TOC \o "1-3" \h \z \u </w:instrText>
          </w:r>
          <w:r w:rsidRPr="00421BA7">
            <w:rPr>
              <w:rFonts w:cs="Times New Roman"/>
            </w:rPr>
            <w:fldChar w:fldCharType="separate"/>
          </w:r>
          <w:hyperlink w:history="1" w:anchor="_Toc30315146">
            <w:r w:rsidRPr="00237180" w:rsidR="00E26CDA">
              <w:rPr>
                <w:rStyle w:val="Hyperlink"/>
                <w:rFonts w:cs="Times New Roman"/>
                <w:noProof/>
              </w:rPr>
              <w:t>1.</w:t>
            </w:r>
            <w:r w:rsidR="00E26CDA">
              <w:rPr>
                <w:rFonts w:asciiTheme="minorHAnsi" w:hAnsiTheme="minorHAnsi" w:eastAsiaTheme="minorEastAsia"/>
                <w:noProof/>
                <w:sz w:val="22"/>
              </w:rPr>
              <w:tab/>
            </w:r>
            <w:r w:rsidRPr="00237180" w:rsidR="00E26CDA">
              <w:rPr>
                <w:rStyle w:val="Hyperlink"/>
                <w:rFonts w:cs="Times New Roman"/>
                <w:noProof/>
              </w:rPr>
              <w:t>Respondent Universe and Sampling Methods</w:t>
            </w:r>
            <w:r w:rsidR="00E26CDA">
              <w:rPr>
                <w:noProof/>
                <w:webHidden/>
              </w:rPr>
              <w:tab/>
            </w:r>
            <w:r w:rsidR="00E26CDA">
              <w:rPr>
                <w:noProof/>
                <w:webHidden/>
              </w:rPr>
              <w:fldChar w:fldCharType="begin"/>
            </w:r>
            <w:r w:rsidR="00E26CDA">
              <w:rPr>
                <w:noProof/>
                <w:webHidden/>
              </w:rPr>
              <w:instrText xml:space="preserve"> PAGEREF _Toc30315146 \h </w:instrText>
            </w:r>
            <w:r w:rsidR="00E26CDA">
              <w:rPr>
                <w:noProof/>
                <w:webHidden/>
              </w:rPr>
            </w:r>
            <w:r w:rsidR="00E26CDA">
              <w:rPr>
                <w:noProof/>
                <w:webHidden/>
              </w:rPr>
              <w:fldChar w:fldCharType="separate"/>
            </w:r>
            <w:r w:rsidR="00E26CDA">
              <w:rPr>
                <w:noProof/>
                <w:webHidden/>
              </w:rPr>
              <w:t>3</w:t>
            </w:r>
            <w:r w:rsidR="00E26CDA">
              <w:rPr>
                <w:noProof/>
                <w:webHidden/>
              </w:rPr>
              <w:fldChar w:fldCharType="end"/>
            </w:r>
          </w:hyperlink>
        </w:p>
        <w:p w:rsidR="00E26CDA" w:rsidRDefault="00E26CDA" w14:paraId="666B0C80" w14:textId="676103C1">
          <w:pPr>
            <w:pStyle w:val="TOC1"/>
            <w:tabs>
              <w:tab w:val="left" w:pos="480"/>
              <w:tab w:val="right" w:leader="dot" w:pos="10070"/>
            </w:tabs>
            <w:rPr>
              <w:rFonts w:asciiTheme="minorHAnsi" w:hAnsiTheme="minorHAnsi" w:eastAsiaTheme="minorEastAsia"/>
              <w:noProof/>
              <w:sz w:val="22"/>
            </w:rPr>
          </w:pPr>
          <w:hyperlink w:history="1" w:anchor="_Toc30315147">
            <w:r w:rsidRPr="00237180">
              <w:rPr>
                <w:rStyle w:val="Hyperlink"/>
                <w:rFonts w:cs="Times New Roman"/>
                <w:noProof/>
              </w:rPr>
              <w:t>2.</w:t>
            </w:r>
            <w:r>
              <w:rPr>
                <w:rFonts w:asciiTheme="minorHAnsi" w:hAnsiTheme="minorHAnsi" w:eastAsiaTheme="minorEastAsia"/>
                <w:noProof/>
                <w:sz w:val="22"/>
              </w:rPr>
              <w:tab/>
            </w:r>
            <w:r w:rsidRPr="00237180">
              <w:rPr>
                <w:rStyle w:val="Hyperlink"/>
                <w:rFonts w:cs="Times New Roman"/>
                <w:noProof/>
              </w:rPr>
              <w:t>Procedures for the Collection of Information</w:t>
            </w:r>
            <w:r>
              <w:rPr>
                <w:noProof/>
                <w:webHidden/>
              </w:rPr>
              <w:tab/>
            </w:r>
            <w:r>
              <w:rPr>
                <w:noProof/>
                <w:webHidden/>
              </w:rPr>
              <w:fldChar w:fldCharType="begin"/>
            </w:r>
            <w:r>
              <w:rPr>
                <w:noProof/>
                <w:webHidden/>
              </w:rPr>
              <w:instrText xml:space="preserve"> PAGEREF _Toc30315147 \h </w:instrText>
            </w:r>
            <w:r>
              <w:rPr>
                <w:noProof/>
                <w:webHidden/>
              </w:rPr>
            </w:r>
            <w:r>
              <w:rPr>
                <w:noProof/>
                <w:webHidden/>
              </w:rPr>
              <w:fldChar w:fldCharType="separate"/>
            </w:r>
            <w:r>
              <w:rPr>
                <w:noProof/>
                <w:webHidden/>
              </w:rPr>
              <w:t>3</w:t>
            </w:r>
            <w:r>
              <w:rPr>
                <w:noProof/>
                <w:webHidden/>
              </w:rPr>
              <w:fldChar w:fldCharType="end"/>
            </w:r>
          </w:hyperlink>
        </w:p>
        <w:p w:rsidR="00E26CDA" w:rsidRDefault="00E26CDA" w14:paraId="33CB720D" w14:textId="46CCC64A">
          <w:pPr>
            <w:pStyle w:val="TOC1"/>
            <w:tabs>
              <w:tab w:val="left" w:pos="480"/>
              <w:tab w:val="right" w:leader="dot" w:pos="10070"/>
            </w:tabs>
            <w:rPr>
              <w:rFonts w:asciiTheme="minorHAnsi" w:hAnsiTheme="minorHAnsi" w:eastAsiaTheme="minorEastAsia"/>
              <w:noProof/>
              <w:sz w:val="22"/>
            </w:rPr>
          </w:pPr>
          <w:hyperlink w:history="1" w:anchor="_Toc30315148">
            <w:r w:rsidRPr="00237180">
              <w:rPr>
                <w:rStyle w:val="Hyperlink"/>
                <w:rFonts w:cs="Times New Roman"/>
                <w:noProof/>
              </w:rPr>
              <w:t>3.</w:t>
            </w:r>
            <w:r>
              <w:rPr>
                <w:rFonts w:asciiTheme="minorHAnsi" w:hAnsiTheme="minorHAnsi" w:eastAsiaTheme="minorEastAsia"/>
                <w:noProof/>
                <w:sz w:val="22"/>
              </w:rPr>
              <w:tab/>
            </w:r>
            <w:r w:rsidRPr="00237180">
              <w:rPr>
                <w:rStyle w:val="Hyperlink"/>
                <w:rFonts w:cs="Times New Roman"/>
                <w:noProof/>
              </w:rPr>
              <w:t>Methods to Maximize Response Rates and Deal with No Response</w:t>
            </w:r>
            <w:r>
              <w:rPr>
                <w:noProof/>
                <w:webHidden/>
              </w:rPr>
              <w:tab/>
            </w:r>
            <w:r>
              <w:rPr>
                <w:noProof/>
                <w:webHidden/>
              </w:rPr>
              <w:fldChar w:fldCharType="begin"/>
            </w:r>
            <w:r>
              <w:rPr>
                <w:noProof/>
                <w:webHidden/>
              </w:rPr>
              <w:instrText xml:space="preserve"> PAGEREF _Toc30315148 \h </w:instrText>
            </w:r>
            <w:r>
              <w:rPr>
                <w:noProof/>
                <w:webHidden/>
              </w:rPr>
            </w:r>
            <w:r>
              <w:rPr>
                <w:noProof/>
                <w:webHidden/>
              </w:rPr>
              <w:fldChar w:fldCharType="separate"/>
            </w:r>
            <w:r>
              <w:rPr>
                <w:noProof/>
                <w:webHidden/>
              </w:rPr>
              <w:t>3</w:t>
            </w:r>
            <w:r>
              <w:rPr>
                <w:noProof/>
                <w:webHidden/>
              </w:rPr>
              <w:fldChar w:fldCharType="end"/>
            </w:r>
          </w:hyperlink>
        </w:p>
        <w:p w:rsidR="00E26CDA" w:rsidRDefault="00E26CDA" w14:paraId="1EE3379D" w14:textId="63907A9C">
          <w:pPr>
            <w:pStyle w:val="TOC1"/>
            <w:tabs>
              <w:tab w:val="left" w:pos="480"/>
              <w:tab w:val="right" w:leader="dot" w:pos="10070"/>
            </w:tabs>
            <w:rPr>
              <w:rFonts w:asciiTheme="minorHAnsi" w:hAnsiTheme="minorHAnsi" w:eastAsiaTheme="minorEastAsia"/>
              <w:noProof/>
              <w:sz w:val="22"/>
            </w:rPr>
          </w:pPr>
          <w:hyperlink w:history="1" w:anchor="_Toc30315149">
            <w:r w:rsidRPr="00237180">
              <w:rPr>
                <w:rStyle w:val="Hyperlink"/>
                <w:noProof/>
              </w:rPr>
              <w:t>4.</w:t>
            </w:r>
            <w:r>
              <w:rPr>
                <w:rFonts w:asciiTheme="minorHAnsi" w:hAnsiTheme="minorHAnsi" w:eastAsiaTheme="minorEastAsia"/>
                <w:noProof/>
                <w:sz w:val="22"/>
              </w:rPr>
              <w:tab/>
            </w:r>
            <w:r w:rsidRPr="00237180">
              <w:rPr>
                <w:rStyle w:val="Hyperlink"/>
                <w:noProof/>
              </w:rPr>
              <w:t>Tests of Procedures or Methods to be Undertaken</w:t>
            </w:r>
            <w:r>
              <w:rPr>
                <w:noProof/>
                <w:webHidden/>
              </w:rPr>
              <w:tab/>
            </w:r>
            <w:r>
              <w:rPr>
                <w:noProof/>
                <w:webHidden/>
              </w:rPr>
              <w:fldChar w:fldCharType="begin"/>
            </w:r>
            <w:r>
              <w:rPr>
                <w:noProof/>
                <w:webHidden/>
              </w:rPr>
              <w:instrText xml:space="preserve"> PAGEREF _Toc30315149 \h </w:instrText>
            </w:r>
            <w:r>
              <w:rPr>
                <w:noProof/>
                <w:webHidden/>
              </w:rPr>
            </w:r>
            <w:r>
              <w:rPr>
                <w:noProof/>
                <w:webHidden/>
              </w:rPr>
              <w:fldChar w:fldCharType="separate"/>
            </w:r>
            <w:r>
              <w:rPr>
                <w:noProof/>
                <w:webHidden/>
              </w:rPr>
              <w:t>3</w:t>
            </w:r>
            <w:r>
              <w:rPr>
                <w:noProof/>
                <w:webHidden/>
              </w:rPr>
              <w:fldChar w:fldCharType="end"/>
            </w:r>
          </w:hyperlink>
        </w:p>
        <w:p w:rsidR="00E26CDA" w:rsidRDefault="00E26CDA" w14:paraId="0DD9422D" w14:textId="66BFABAD">
          <w:pPr>
            <w:pStyle w:val="TOC1"/>
            <w:tabs>
              <w:tab w:val="left" w:pos="480"/>
              <w:tab w:val="right" w:leader="dot" w:pos="10070"/>
            </w:tabs>
            <w:rPr>
              <w:rFonts w:asciiTheme="minorHAnsi" w:hAnsiTheme="minorHAnsi" w:eastAsiaTheme="minorEastAsia"/>
              <w:noProof/>
              <w:sz w:val="22"/>
            </w:rPr>
          </w:pPr>
          <w:hyperlink w:history="1" w:anchor="_Toc30315150">
            <w:r w:rsidRPr="00237180">
              <w:rPr>
                <w:rStyle w:val="Hyperlink"/>
                <w:rFonts w:cs="Times New Roman"/>
                <w:noProof/>
              </w:rPr>
              <w:t>5.</w:t>
            </w:r>
            <w:r>
              <w:rPr>
                <w:rFonts w:asciiTheme="minorHAnsi" w:hAnsiTheme="minorHAnsi" w:eastAsiaTheme="minorEastAsia"/>
                <w:noProof/>
                <w:sz w:val="22"/>
              </w:rPr>
              <w:tab/>
            </w:r>
            <w:r w:rsidRPr="00237180">
              <w:rPr>
                <w:rStyle w:val="Hyperlink"/>
                <w:rFonts w:cs="Times New Roman"/>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_Toc30315150 \h </w:instrText>
            </w:r>
            <w:r>
              <w:rPr>
                <w:noProof/>
                <w:webHidden/>
              </w:rPr>
            </w:r>
            <w:r>
              <w:rPr>
                <w:noProof/>
                <w:webHidden/>
              </w:rPr>
              <w:fldChar w:fldCharType="separate"/>
            </w:r>
            <w:r>
              <w:rPr>
                <w:noProof/>
                <w:webHidden/>
              </w:rPr>
              <w:t>4</w:t>
            </w:r>
            <w:r>
              <w:rPr>
                <w:noProof/>
                <w:webHidden/>
              </w:rPr>
              <w:fldChar w:fldCharType="end"/>
            </w:r>
          </w:hyperlink>
        </w:p>
        <w:p w:rsidR="00944D9E" w:rsidP="00A12917" w:rsidRDefault="00352CEE" w14:paraId="383B4AD2" w14:textId="1E7A98BC">
          <w:pPr>
            <w:rPr>
              <w:rFonts w:cs="Times New Roman"/>
              <w:bCs/>
              <w:noProof/>
            </w:rPr>
          </w:pPr>
          <w:r w:rsidRPr="00421BA7">
            <w:rPr>
              <w:rFonts w:cs="Times New Roman"/>
              <w:b/>
              <w:bCs/>
              <w:noProof/>
            </w:rPr>
            <w:fldChar w:fldCharType="end"/>
          </w:r>
        </w:p>
      </w:sdtContent>
    </w:sdt>
    <w:p w:rsidR="00944D9E" w:rsidRDefault="00944D9E" w14:paraId="642D2530" w14:textId="77777777">
      <w:pPr>
        <w:rPr>
          <w:rFonts w:cs="Times New Roman"/>
          <w:bCs/>
          <w:noProof/>
        </w:rPr>
      </w:pPr>
      <w:r>
        <w:rPr>
          <w:rFonts w:cs="Times New Roman"/>
          <w:bCs/>
          <w:noProof/>
        </w:rPr>
        <w:br w:type="page"/>
      </w:r>
      <w:bookmarkStart w:name="_GoBack" w:id="2"/>
      <w:bookmarkEnd w:id="2"/>
    </w:p>
    <w:p w:rsidRPr="00421BA7" w:rsidR="00352CEE" w:rsidP="00352CEE" w:rsidRDefault="00352CEE" w14:paraId="214C4364" w14:textId="332F5EDA">
      <w:pPr>
        <w:pStyle w:val="Heading1"/>
        <w:rPr>
          <w:rFonts w:cs="Times New Roman"/>
        </w:rPr>
      </w:pPr>
      <w:bookmarkStart w:name="_Toc30315146" w:id="3"/>
      <w:r w:rsidRPr="00421BA7">
        <w:rPr>
          <w:rFonts w:cs="Times New Roman"/>
        </w:rPr>
        <w:lastRenderedPageBreak/>
        <w:t>Respondent Universe and Sampling Methods</w:t>
      </w:r>
      <w:bookmarkEnd w:id="3"/>
    </w:p>
    <w:p w:rsidR="008E7E4E" w:rsidP="00240A82" w:rsidRDefault="008E7E4E" w14:paraId="1FDA66A6" w14:textId="77777777">
      <w:pPr>
        <w:rPr>
          <w:rFonts w:cs="Times New Roman"/>
        </w:rPr>
      </w:pPr>
      <w:r w:rsidRPr="008E7E4E">
        <w:rPr>
          <w:rFonts w:cs="Times New Roman"/>
        </w:rPr>
        <w:t>The respondent universe consists of 60 jurisdictions that voluntarily submit case notifications for nationally notifiable conditions to CDC: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No statistical sampling methods are used. The anticipated response rate is 100 percent. The previous actual response rate was 100 percent. All participate.</w:t>
      </w:r>
    </w:p>
    <w:p w:rsidRPr="00421BA7" w:rsidR="00352CEE" w:rsidP="00352CEE" w:rsidRDefault="00352CEE" w14:paraId="214C4366" w14:textId="42CE9CBD">
      <w:pPr>
        <w:pStyle w:val="Heading1"/>
        <w:rPr>
          <w:rFonts w:cs="Times New Roman"/>
        </w:rPr>
      </w:pPr>
      <w:bookmarkStart w:name="_Toc30315147" w:id="4"/>
      <w:r w:rsidRPr="00421BA7">
        <w:rPr>
          <w:rFonts w:cs="Times New Roman"/>
        </w:rPr>
        <w:t>Procedures for the Collection of Information</w:t>
      </w:r>
      <w:bookmarkEnd w:id="4"/>
    </w:p>
    <w:p w:rsidR="008E7E4E" w:rsidP="008E7E4E" w:rsidRDefault="004F5597" w14:paraId="3A3DCB94" w14:textId="77777777">
      <w:pPr>
        <w:rPr>
          <w:b/>
        </w:rPr>
      </w:pPr>
      <w:r w:rsidRPr="00421BA7">
        <w:t xml:space="preserve">Information </w:t>
      </w:r>
      <w:r w:rsidR="00C12048">
        <w:t>is obtained by state and local public health officials</w:t>
      </w:r>
      <w:r w:rsidRPr="00421BA7" w:rsidR="00C12048">
        <w:t xml:space="preserve"> </w:t>
      </w:r>
      <w:r w:rsidR="00C12048">
        <w:t>for</w:t>
      </w:r>
      <w:r w:rsidRPr="00421BA7" w:rsidR="00C12048">
        <w:t xml:space="preserve"> </w:t>
      </w:r>
      <w:r w:rsidRPr="00421BA7">
        <w:t xml:space="preserve">individuals who </w:t>
      </w:r>
      <w:r w:rsidRPr="00421BA7" w:rsidR="00F118F9">
        <w:t xml:space="preserve">have </w:t>
      </w:r>
      <w:proofErr w:type="spellStart"/>
      <w:r w:rsidRPr="00421BA7" w:rsidR="00F118F9">
        <w:t>nCoV</w:t>
      </w:r>
      <w:proofErr w:type="spellEnd"/>
      <w:r w:rsidRPr="00421BA7" w:rsidR="00F118F9">
        <w:t xml:space="preserve"> and </w:t>
      </w:r>
      <w:r w:rsidR="00C12048">
        <w:t xml:space="preserve">for </w:t>
      </w:r>
      <w:r w:rsidRPr="00421BA7" w:rsidR="00F118F9">
        <w:t xml:space="preserve">PUI </w:t>
      </w:r>
      <w:r w:rsidR="00467ADC">
        <w:t xml:space="preserve">and </w:t>
      </w:r>
      <w:r w:rsidRPr="00421BA7">
        <w:t xml:space="preserve">will be collected </w:t>
      </w:r>
      <w:r w:rsidRPr="00421BA7" w:rsidR="00F118F9">
        <w:t>through the National Notification Disease Surveillance System (NNDSS)</w:t>
      </w:r>
      <w:r w:rsidRPr="00421BA7">
        <w:t>.</w:t>
      </w:r>
      <w:r w:rsidR="00467ADC">
        <w:t xml:space="preserve"> </w:t>
      </w:r>
    </w:p>
    <w:p w:rsidRPr="008E7E4E" w:rsidR="008E7E4E" w:rsidP="008E7E4E" w:rsidRDefault="008E7E4E" w14:paraId="181778EE" w14:textId="77777777">
      <w:r w:rsidRPr="008E7E4E">
        <w:t xml:space="preserve">No statistical sampling methods are used. Public health departments review, process and analyze reportable conditions data and voluntarily submit case notification data on nationally notifiable conditions to CDC. The Council of State and Territorial Epidemiologists (CSTE), local, state, and territorial health departments and CDC work jointly to decide which conditions are nationally notifiable and added to the National Notifiable Diseases Surveillance System (NNDSS).   </w:t>
      </w:r>
    </w:p>
    <w:p w:rsidRPr="008E7E4E" w:rsidR="004F5597" w:rsidP="008E7E4E" w:rsidRDefault="008E7E4E" w14:paraId="14A3783A" w14:textId="70EBDA78">
      <w:r w:rsidRPr="008E7E4E">
        <w:t>Approximately 90% of case notifications are sent to CDC by automated electronic Health Level 7 (HL7) or National Electronic Telecommunications System for Surveillance (NETSS) messaging. Some case notifications messages are sent to CDC by non-automated mechanisms including fax, email, secure file upload, and data entry to a secure website. These different mechanisms used to send case notifications to CDC vary by the jurisdiction and disease or condition. All 50 states, all cities (New York City and Washington, D.C.) and one territory (Puerto Rico) submit STD case notifications (STD case notifications account for approximately 87% of all case notifications received by CDC) by automated electronic messaging. Most territories and all freely associated states send STD case notifications counts by non-automated methods including fax (only quarterly aggregate data are sent by fax), email and, secure file upload, and data entry to a secure website. States and cities submit arboviral disease case notifications by automated electronic messaging (15), non-automated secure file upload (8) and non-automated data entry to a secure website (29). All states and cities send case notification data by automated electronic messaging for all other diseases and conditions covered by this ICR.</w:t>
      </w:r>
    </w:p>
    <w:p w:rsidRPr="00421BA7" w:rsidR="00352CEE" w:rsidP="00352CEE" w:rsidRDefault="00352CEE" w14:paraId="214C4368" w14:textId="3AE1BF12">
      <w:pPr>
        <w:pStyle w:val="Heading1"/>
        <w:rPr>
          <w:rFonts w:cs="Times New Roman"/>
        </w:rPr>
      </w:pPr>
      <w:bookmarkStart w:name="_Toc30315148" w:id="5"/>
      <w:r w:rsidRPr="00421BA7">
        <w:rPr>
          <w:rFonts w:cs="Times New Roman"/>
        </w:rPr>
        <w:t xml:space="preserve">Methods to </w:t>
      </w:r>
      <w:r w:rsidR="00EE7855">
        <w:rPr>
          <w:rFonts w:cs="Times New Roman"/>
        </w:rPr>
        <w:t>M</w:t>
      </w:r>
      <w:r w:rsidRPr="00421BA7">
        <w:rPr>
          <w:rFonts w:cs="Times New Roman"/>
        </w:rPr>
        <w:t>aximize Response Rates and Deal with No Response</w:t>
      </w:r>
      <w:bookmarkEnd w:id="5"/>
    </w:p>
    <w:p w:rsidRPr="008E7E4E" w:rsidR="008E7E4E" w:rsidP="008E7E4E" w:rsidRDefault="008E7E4E" w14:paraId="35F45303" w14:textId="77777777">
      <w:r w:rsidRPr="008E7E4E">
        <w:t xml:space="preserve">Methods are not necessary to maximize response rates and deal with no response. Jurisdictions voluntarily submit notifications to CDC. The response rate is 100 percent. </w:t>
      </w:r>
    </w:p>
    <w:p w:rsidRPr="00421BA7" w:rsidR="00352CEE" w:rsidP="008E7E4E" w:rsidRDefault="00352CEE" w14:paraId="214C436A" w14:textId="355E2A9B">
      <w:pPr>
        <w:pStyle w:val="Heading1"/>
      </w:pPr>
      <w:bookmarkStart w:name="_Toc30315149" w:id="6"/>
      <w:r w:rsidRPr="00421BA7">
        <w:t xml:space="preserve">Tests </w:t>
      </w:r>
      <w:r w:rsidRPr="00421BA7" w:rsidR="00DE48C7">
        <w:t xml:space="preserve">of Procedures or Methods to be </w:t>
      </w:r>
      <w:r w:rsidR="00EE7855">
        <w:t>U</w:t>
      </w:r>
      <w:r w:rsidRPr="00421BA7">
        <w:t>ndertaken</w:t>
      </w:r>
      <w:bookmarkEnd w:id="6"/>
    </w:p>
    <w:p w:rsidRPr="00421BA7" w:rsidR="00240A82" w:rsidP="008E7E4E" w:rsidRDefault="00CA0576" w14:paraId="3C07FEC4" w14:textId="2160D882">
      <w:pPr>
        <w:rPr>
          <w:b/>
        </w:rPr>
      </w:pPr>
      <w:r w:rsidRPr="00421BA7">
        <w:t>CDC laboratories currently have the capacity to detect 2019-nCoV by sequencing the virus from clinical specimens and comparing the sequences against the publicly posted genetic sequence. CDC also is using the genetic sequence data provided by China to begin work on a test to detect this virus more easily.</w:t>
      </w:r>
    </w:p>
    <w:p w:rsidRPr="00421BA7" w:rsidR="00352CEE" w:rsidP="00352CEE" w:rsidRDefault="00352CEE" w14:paraId="214C436D" w14:textId="37F098F7">
      <w:pPr>
        <w:pStyle w:val="Heading1"/>
        <w:rPr>
          <w:rFonts w:cs="Times New Roman"/>
        </w:rPr>
      </w:pPr>
      <w:bookmarkStart w:name="_Toc30315150" w:id="7"/>
      <w:r w:rsidRPr="00421BA7">
        <w:rPr>
          <w:rFonts w:cs="Times New Roman"/>
        </w:rPr>
        <w:lastRenderedPageBreak/>
        <w:t>Individuals Consulted on Statistical Aspects and Individuals Collecting and/or Analyzing Data</w:t>
      </w:r>
      <w:bookmarkEnd w:id="7"/>
    </w:p>
    <w:p w:rsidR="00467ADC" w:rsidP="00467ADC" w:rsidRDefault="008E7E4E" w14:paraId="785EFEC3" w14:textId="5E77552D">
      <w:pPr>
        <w:spacing w:after="0" w:line="240" w:lineRule="auto"/>
        <w:rPr>
          <w:rFonts w:eastAsia="Times New Roman" w:cs="Times New Roman"/>
          <w:b/>
          <w:szCs w:val="24"/>
        </w:rPr>
      </w:pPr>
      <w:r w:rsidRPr="008E7E4E">
        <w:t xml:space="preserve">There are no individuals consulted on statistical aspects of the data collection design as no sampling is used. The CDC’s CSELS, </w:t>
      </w:r>
      <w:r>
        <w:t>DD</w:t>
      </w:r>
      <w:r w:rsidRPr="008E7E4E">
        <w:t>ID, and CGH</w:t>
      </w:r>
      <w:r>
        <w:t>/</w:t>
      </w:r>
      <w:r w:rsidRPr="008E7E4E">
        <w:t>CDC collects and analyzes the information.</w:t>
      </w:r>
    </w:p>
    <w:p w:rsidR="00467ADC" w:rsidP="00467ADC" w:rsidRDefault="00467ADC" w14:paraId="6447171F" w14:textId="77777777">
      <w:pPr>
        <w:spacing w:after="0" w:line="240" w:lineRule="auto"/>
        <w:rPr>
          <w:rFonts w:eastAsia="Times New Roman" w:cs="Times New Roman"/>
          <w:b/>
          <w:szCs w:val="24"/>
        </w:rPr>
      </w:pPr>
    </w:p>
    <w:p w:rsidRPr="00E859A2" w:rsidR="00351787" w:rsidP="00351787" w:rsidRDefault="00351787" w14:paraId="50BEB2A5" w14:textId="77777777">
      <w:pPr>
        <w:tabs>
          <w:tab w:val="left" w:pos="1"/>
          <w:tab w:val="left" w:pos="1584"/>
          <w:tab w:val="left" w:pos="3888"/>
          <w:tab w:val="left" w:pos="5472"/>
          <w:tab w:val="left" w:pos="7200"/>
        </w:tabs>
        <w:spacing w:line="360" w:lineRule="auto"/>
        <w:rPr>
          <w:b/>
          <w:color w:val="000000"/>
        </w:rPr>
      </w:pPr>
      <w:bookmarkStart w:name="_Hlk30189441" w:id="8"/>
      <w:r w:rsidRPr="00E859A2">
        <w:rPr>
          <w:b/>
          <w:color w:val="000000"/>
        </w:rPr>
        <w:t>Attachments</w:t>
      </w:r>
    </w:p>
    <w:p w:rsidRPr="00E859A2" w:rsidR="00351787" w:rsidP="00351787" w:rsidRDefault="00351787" w14:paraId="3ED83E9B" w14:textId="77777777">
      <w:pPr>
        <w:pStyle w:val="ListParagraph"/>
        <w:numPr>
          <w:ilvl w:val="0"/>
          <w:numId w:val="4"/>
        </w:numPr>
        <w:tabs>
          <w:tab w:val="left" w:pos="1"/>
          <w:tab w:val="left" w:pos="1584"/>
          <w:tab w:val="left" w:pos="3888"/>
          <w:tab w:val="left" w:pos="5472"/>
          <w:tab w:val="left" w:pos="7200"/>
        </w:tabs>
        <w:spacing w:after="0" w:line="360" w:lineRule="auto"/>
        <w:contextualSpacing w:val="0"/>
        <w:rPr>
          <w:color w:val="000000"/>
        </w:rPr>
      </w:pPr>
      <w:r w:rsidRPr="00E859A2">
        <w:rPr>
          <w:color w:val="000000"/>
        </w:rPr>
        <w:t>Authorizing Legislation</w:t>
      </w:r>
    </w:p>
    <w:p w:rsidRPr="00E859A2" w:rsidR="00351787" w:rsidP="00351787" w:rsidRDefault="00351787" w14:paraId="08E691E9" w14:textId="77777777">
      <w:pPr>
        <w:pStyle w:val="ListParagraph"/>
        <w:numPr>
          <w:ilvl w:val="0"/>
          <w:numId w:val="4"/>
        </w:numPr>
        <w:tabs>
          <w:tab w:val="left" w:pos="1"/>
          <w:tab w:val="left" w:pos="1584"/>
          <w:tab w:val="left" w:pos="3888"/>
          <w:tab w:val="left" w:pos="5472"/>
          <w:tab w:val="left" w:pos="7200"/>
        </w:tabs>
        <w:spacing w:after="0" w:line="360" w:lineRule="auto"/>
        <w:contextualSpacing w:val="0"/>
        <w:rPr>
          <w:color w:val="000000"/>
        </w:rPr>
      </w:pPr>
      <w:r w:rsidRPr="00E859A2">
        <w:rPr>
          <w:color w:val="000000"/>
        </w:rPr>
        <w:t>60-day FRN</w:t>
      </w:r>
    </w:p>
    <w:p w:rsidRPr="00E859A2" w:rsidR="00351787" w:rsidP="00351787" w:rsidRDefault="00351787" w14:paraId="107843B5" w14:textId="77777777">
      <w:pPr>
        <w:pStyle w:val="ListParagraph"/>
        <w:numPr>
          <w:ilvl w:val="0"/>
          <w:numId w:val="4"/>
        </w:numPr>
        <w:tabs>
          <w:tab w:val="left" w:pos="1"/>
          <w:tab w:val="left" w:pos="1584"/>
          <w:tab w:val="left" w:pos="3888"/>
          <w:tab w:val="left" w:pos="5472"/>
          <w:tab w:val="left" w:pos="7200"/>
        </w:tabs>
        <w:spacing w:after="0" w:line="360" w:lineRule="auto"/>
        <w:contextualSpacing w:val="0"/>
        <w:rPr>
          <w:color w:val="000000"/>
        </w:rPr>
      </w:pPr>
      <w:r w:rsidRPr="00E859A2">
        <w:rPr>
          <w:color w:val="000000"/>
        </w:rPr>
        <w:t>Human Subjects Determination</w:t>
      </w:r>
    </w:p>
    <w:p w:rsidR="00351787" w:rsidP="00351787" w:rsidRDefault="00351787" w14:paraId="70CA22BC" w14:textId="77777777">
      <w:pPr>
        <w:pStyle w:val="ListParagraph"/>
        <w:numPr>
          <w:ilvl w:val="0"/>
          <w:numId w:val="4"/>
        </w:numPr>
        <w:tabs>
          <w:tab w:val="left" w:pos="1"/>
          <w:tab w:val="left" w:pos="1584"/>
          <w:tab w:val="left" w:pos="3888"/>
          <w:tab w:val="left" w:pos="5472"/>
          <w:tab w:val="left" w:pos="7200"/>
        </w:tabs>
        <w:spacing w:after="0" w:line="360" w:lineRule="auto"/>
        <w:contextualSpacing w:val="0"/>
        <w:rPr>
          <w:color w:val="000000"/>
        </w:rPr>
      </w:pPr>
      <w:r>
        <w:rPr>
          <w:color w:val="000000"/>
        </w:rPr>
        <w:t>Core Data Elements</w:t>
      </w:r>
    </w:p>
    <w:p w:rsidRPr="00E859A2" w:rsidR="00351787" w:rsidP="00351787" w:rsidRDefault="00351787" w14:paraId="15A3780A" w14:textId="77777777">
      <w:pPr>
        <w:pStyle w:val="ListParagraph"/>
        <w:numPr>
          <w:ilvl w:val="0"/>
          <w:numId w:val="4"/>
        </w:numPr>
        <w:tabs>
          <w:tab w:val="left" w:pos="1"/>
          <w:tab w:val="left" w:pos="1584"/>
          <w:tab w:val="left" w:pos="3888"/>
          <w:tab w:val="left" w:pos="5472"/>
          <w:tab w:val="left" w:pos="7200"/>
        </w:tabs>
        <w:spacing w:after="0" w:line="360" w:lineRule="auto"/>
        <w:contextualSpacing w:val="0"/>
        <w:rPr>
          <w:color w:val="000000"/>
        </w:rPr>
      </w:pPr>
      <w:r>
        <w:rPr>
          <w:color w:val="000000"/>
        </w:rPr>
        <w:t>PRA Burden Statement Screenshot</w:t>
      </w:r>
    </w:p>
    <w:bookmarkEnd w:id="8"/>
    <w:p w:rsidRPr="00421BA7" w:rsidR="00467ADC" w:rsidP="008E7E4E" w:rsidRDefault="00467ADC" w14:paraId="6779D6D9" w14:textId="77777777">
      <w:pPr>
        <w:spacing w:after="0" w:line="240" w:lineRule="auto"/>
        <w:ind w:left="720"/>
        <w:rPr>
          <w:rFonts w:eastAsia="Times New Roman" w:cs="Times New Roman"/>
          <w:szCs w:val="24"/>
        </w:rPr>
      </w:pPr>
    </w:p>
    <w:sectPr w:rsidRPr="00421BA7" w:rsidR="00467ADC"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AE6C" w14:textId="77777777" w:rsidR="00BE1E97" w:rsidRDefault="00BE1E97" w:rsidP="008B5D54">
      <w:pPr>
        <w:spacing w:after="0" w:line="240" w:lineRule="auto"/>
      </w:pPr>
      <w:r>
        <w:separator/>
      </w:r>
    </w:p>
  </w:endnote>
  <w:endnote w:type="continuationSeparator" w:id="0">
    <w:p w14:paraId="41F9DA40" w14:textId="77777777" w:rsidR="00BE1E97" w:rsidRDefault="00BE1E9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BBC5" w14:textId="77777777" w:rsidR="00C12048" w:rsidRDefault="00C12048" w:rsidP="00EE7855">
    <w:pPr>
      <w:pStyle w:val="Footer"/>
      <w:jc w:val="right"/>
    </w:pPr>
    <w:r w:rsidRPr="00310F19">
      <w:t xml:space="preserve">Adding 2019-nCoV to the </w:t>
    </w:r>
    <w:r>
      <w:t>NNDSS</w:t>
    </w:r>
  </w:p>
  <w:sdt>
    <w:sdtPr>
      <w:id w:val="1878653779"/>
      <w:docPartObj>
        <w:docPartGallery w:val="Page Numbers (Bottom of Page)"/>
        <w:docPartUnique/>
      </w:docPartObj>
    </w:sdtPr>
    <w:sdtEndPr>
      <w:rPr>
        <w:noProof/>
      </w:rPr>
    </w:sdtEndPr>
    <w:sdtContent>
      <w:p w14:paraId="19E53DD9" w14:textId="77777777" w:rsidR="00C12048" w:rsidRDefault="00C12048" w:rsidP="00EE7855">
        <w:pPr>
          <w:pStyle w:val="Footer"/>
          <w:jc w:val="right"/>
        </w:pPr>
        <w:r>
          <w:fldChar w:fldCharType="begin"/>
        </w:r>
        <w:r>
          <w:instrText xml:space="preserve"> PAGE   \* MERGEFORMAT </w:instrText>
        </w:r>
        <w:r>
          <w:fldChar w:fldCharType="separate"/>
        </w:r>
        <w:r>
          <w:t>1</w:t>
        </w:r>
        <w:r>
          <w:rPr>
            <w:noProof/>
          </w:rPr>
          <w:fldChar w:fldCharType="end"/>
        </w:r>
      </w:p>
    </w:sdtContent>
  </w:sdt>
  <w:p w14:paraId="60E311C6" w14:textId="77777777" w:rsidR="00C12048" w:rsidRDefault="00C1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EBB5" w14:textId="77777777" w:rsidR="00BE1E97" w:rsidRDefault="00BE1E97" w:rsidP="008B5D54">
      <w:pPr>
        <w:spacing w:after="0" w:line="240" w:lineRule="auto"/>
      </w:pPr>
      <w:r>
        <w:separator/>
      </w:r>
    </w:p>
  </w:footnote>
  <w:footnote w:type="continuationSeparator" w:id="0">
    <w:p w14:paraId="4DDE6A7F" w14:textId="77777777" w:rsidR="00BE1E97" w:rsidRDefault="00BE1E97"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C76F05"/>
    <w:multiLevelType w:val="hybridMultilevel"/>
    <w:tmpl w:val="E9A0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6222"/>
    <w:rsid w:val="00033CC8"/>
    <w:rsid w:val="000965C3"/>
    <w:rsid w:val="000E0D3E"/>
    <w:rsid w:val="001A11DE"/>
    <w:rsid w:val="001A7D2B"/>
    <w:rsid w:val="00230682"/>
    <w:rsid w:val="00240A82"/>
    <w:rsid w:val="00247D16"/>
    <w:rsid w:val="00257DE3"/>
    <w:rsid w:val="002A5F27"/>
    <w:rsid w:val="002D505B"/>
    <w:rsid w:val="002D7E48"/>
    <w:rsid w:val="002E327C"/>
    <w:rsid w:val="002F2F75"/>
    <w:rsid w:val="00316E43"/>
    <w:rsid w:val="00351787"/>
    <w:rsid w:val="00352CEE"/>
    <w:rsid w:val="00370B82"/>
    <w:rsid w:val="003C7D1B"/>
    <w:rsid w:val="003D3840"/>
    <w:rsid w:val="00421BA7"/>
    <w:rsid w:val="0043354B"/>
    <w:rsid w:val="00467ADC"/>
    <w:rsid w:val="004D0CD2"/>
    <w:rsid w:val="004E1C3E"/>
    <w:rsid w:val="004F5597"/>
    <w:rsid w:val="0058606F"/>
    <w:rsid w:val="005C4D59"/>
    <w:rsid w:val="005D34E8"/>
    <w:rsid w:val="005D4515"/>
    <w:rsid w:val="006C6578"/>
    <w:rsid w:val="006E33F2"/>
    <w:rsid w:val="006F12C6"/>
    <w:rsid w:val="007340B1"/>
    <w:rsid w:val="007422E0"/>
    <w:rsid w:val="00760855"/>
    <w:rsid w:val="007B5B64"/>
    <w:rsid w:val="007C564A"/>
    <w:rsid w:val="007D7409"/>
    <w:rsid w:val="007E07CC"/>
    <w:rsid w:val="007E6753"/>
    <w:rsid w:val="00826FB5"/>
    <w:rsid w:val="00844DC4"/>
    <w:rsid w:val="008B58CE"/>
    <w:rsid w:val="008B5D54"/>
    <w:rsid w:val="008D6378"/>
    <w:rsid w:val="008E419D"/>
    <w:rsid w:val="008E7E4E"/>
    <w:rsid w:val="009050E9"/>
    <w:rsid w:val="00944D9E"/>
    <w:rsid w:val="00964871"/>
    <w:rsid w:val="009753E4"/>
    <w:rsid w:val="00985CCD"/>
    <w:rsid w:val="00997D0E"/>
    <w:rsid w:val="009A2A5C"/>
    <w:rsid w:val="009E4446"/>
    <w:rsid w:val="00A12917"/>
    <w:rsid w:val="00A3157F"/>
    <w:rsid w:val="00B33FE6"/>
    <w:rsid w:val="00B524F6"/>
    <w:rsid w:val="00B55735"/>
    <w:rsid w:val="00B608AC"/>
    <w:rsid w:val="00B847E9"/>
    <w:rsid w:val="00BC49A0"/>
    <w:rsid w:val="00BD4C94"/>
    <w:rsid w:val="00BE1E97"/>
    <w:rsid w:val="00BE51FC"/>
    <w:rsid w:val="00BF639B"/>
    <w:rsid w:val="00C12048"/>
    <w:rsid w:val="00C64C76"/>
    <w:rsid w:val="00CA0576"/>
    <w:rsid w:val="00CC0074"/>
    <w:rsid w:val="00D12CB1"/>
    <w:rsid w:val="00D14ECA"/>
    <w:rsid w:val="00D1743B"/>
    <w:rsid w:val="00D84740"/>
    <w:rsid w:val="00DB4F7D"/>
    <w:rsid w:val="00DC57CC"/>
    <w:rsid w:val="00DD5348"/>
    <w:rsid w:val="00DE48C7"/>
    <w:rsid w:val="00E15DAC"/>
    <w:rsid w:val="00E26CDA"/>
    <w:rsid w:val="00E52E59"/>
    <w:rsid w:val="00E7526A"/>
    <w:rsid w:val="00ED0F1D"/>
    <w:rsid w:val="00EE7855"/>
    <w:rsid w:val="00F118F9"/>
    <w:rsid w:val="00F22EBB"/>
    <w:rsid w:val="00F56ED8"/>
    <w:rsid w:val="00F9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docId w15:val="{BE2493C9-DCB0-4282-BAC2-A4A31A9D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40A82"/>
    <w:rPr>
      <w:sz w:val="16"/>
      <w:szCs w:val="16"/>
    </w:rPr>
  </w:style>
  <w:style w:type="paragraph" w:styleId="CommentText">
    <w:name w:val="annotation text"/>
    <w:basedOn w:val="Normal"/>
    <w:link w:val="CommentTextChar"/>
    <w:uiPriority w:val="99"/>
    <w:semiHidden/>
    <w:unhideWhenUsed/>
    <w:rsid w:val="00240A82"/>
    <w:pPr>
      <w:spacing w:line="240" w:lineRule="auto"/>
    </w:pPr>
    <w:rPr>
      <w:sz w:val="20"/>
      <w:szCs w:val="20"/>
    </w:rPr>
  </w:style>
  <w:style w:type="character" w:customStyle="1" w:styleId="CommentTextChar">
    <w:name w:val="Comment Text Char"/>
    <w:basedOn w:val="DefaultParagraphFont"/>
    <w:link w:val="CommentText"/>
    <w:uiPriority w:val="99"/>
    <w:semiHidden/>
    <w:rsid w:val="00240A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0A82"/>
    <w:rPr>
      <w:b/>
      <w:bCs/>
    </w:rPr>
  </w:style>
  <w:style w:type="character" w:customStyle="1" w:styleId="CommentSubjectChar">
    <w:name w:val="Comment Subject Char"/>
    <w:basedOn w:val="CommentTextChar"/>
    <w:link w:val="CommentSubject"/>
    <w:uiPriority w:val="99"/>
    <w:semiHidden/>
    <w:rsid w:val="00240A82"/>
    <w:rPr>
      <w:rFonts w:ascii="Times New Roman" w:hAnsi="Times New Roman"/>
      <w:b/>
      <w:bCs/>
      <w:sz w:val="20"/>
      <w:szCs w:val="20"/>
    </w:rPr>
  </w:style>
  <w:style w:type="paragraph" w:styleId="BalloonText">
    <w:name w:val="Balloon Text"/>
    <w:basedOn w:val="Normal"/>
    <w:link w:val="BalloonTextChar"/>
    <w:uiPriority w:val="99"/>
    <w:semiHidden/>
    <w:unhideWhenUsed/>
    <w:rsid w:val="0024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B1679467-9467-416A-B762-4EE73BE9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Aleshire, Noah (CDC/DDID/NCIRD/OD)</cp:lastModifiedBy>
  <cp:revision>8</cp:revision>
  <dcterms:created xsi:type="dcterms:W3CDTF">2020-01-18T14:21:00Z</dcterms:created>
  <dcterms:modified xsi:type="dcterms:W3CDTF">2020-01-19T13:32:00Z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