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53E4" w:rsidP="00B51AA5" w:rsidRDefault="000653E4" w14:paraId="1E246883" w14:textId="29B38A05">
      <w:pPr>
        <w:pStyle w:val="Title"/>
      </w:pPr>
      <w:r>
        <w:t>Emergency Shortages Data Collection</w:t>
      </w:r>
    </w:p>
    <w:p w:rsidRPr="00B51AA5" w:rsidR="00892703" w:rsidRDefault="00892703" w14:paraId="6B8B0A3C" w14:textId="77777777">
      <w:pPr>
        <w:widowControl w:val="0"/>
        <w:tabs>
          <w:tab w:val="center" w:pos="4680"/>
        </w:tabs>
        <w:jc w:val="center"/>
        <w:rPr>
          <w:rFonts w:ascii="Times New Roman" w:hAnsi="Times New Roman"/>
          <w:b/>
          <w:szCs w:val="24"/>
        </w:rPr>
      </w:pPr>
      <w:r w:rsidRPr="00072FB2">
        <w:rPr>
          <w:rFonts w:ascii="Times New Roman" w:hAnsi="Times New Roman"/>
          <w:b/>
          <w:szCs w:val="24"/>
        </w:rPr>
        <w:t>OMB No. 0910-0491</w:t>
      </w:r>
    </w:p>
    <w:p w:rsidRPr="00DF5584" w:rsidR="00892703" w:rsidRDefault="00B51AA5" w14:paraId="50149D4D" w14:textId="77777777">
      <w:pPr>
        <w:widowControl w:val="0"/>
        <w:tabs>
          <w:tab w:val="center" w:pos="4680"/>
        </w:tabs>
        <w:jc w:val="center"/>
        <w:rPr>
          <w:rFonts w:ascii="Times New Roman" w:hAnsi="Times New Roman"/>
          <w:b/>
          <w:szCs w:val="24"/>
        </w:rPr>
      </w:pPr>
      <w:r w:rsidRPr="00DF5584">
        <w:rPr>
          <w:rFonts w:ascii="Times New Roman" w:hAnsi="Times New Roman"/>
          <w:b/>
          <w:szCs w:val="24"/>
        </w:rPr>
        <w:t>SUPPORTING STATEMENT</w:t>
      </w:r>
    </w:p>
    <w:p w:rsidRPr="00072FB2" w:rsidR="00892703" w:rsidRDefault="00892703" w14:paraId="41E37667" w14:textId="77777777">
      <w:pPr>
        <w:widowControl w:val="0"/>
        <w:rPr>
          <w:rFonts w:ascii="Times New Roman" w:hAnsi="Times New Roman"/>
          <w:szCs w:val="24"/>
        </w:rPr>
      </w:pPr>
    </w:p>
    <w:p w:rsidRPr="00B51AA5" w:rsidR="00892703" w:rsidP="00B51AA5" w:rsidRDefault="00B51AA5" w14:paraId="4E4228AE" w14:textId="77777777">
      <w:pPr>
        <w:widowControl w:val="0"/>
        <w:rPr>
          <w:rFonts w:ascii="Times New Roman" w:hAnsi="Times New Roman"/>
          <w:szCs w:val="24"/>
        </w:rPr>
      </w:pPr>
      <w:r>
        <w:rPr>
          <w:rFonts w:ascii="Times New Roman" w:hAnsi="Times New Roman"/>
          <w:b/>
          <w:szCs w:val="24"/>
        </w:rPr>
        <w:t>Terms of Clearance:</w:t>
      </w:r>
      <w:r>
        <w:rPr>
          <w:rFonts w:ascii="Times New Roman" w:hAnsi="Times New Roman"/>
          <w:szCs w:val="24"/>
        </w:rPr>
        <w:t xml:space="preserve"> None.</w:t>
      </w:r>
    </w:p>
    <w:p w:rsidRPr="00072FB2" w:rsidR="00B51AA5" w:rsidRDefault="00B51AA5" w14:paraId="5B1F7E31" w14:textId="77777777">
      <w:pPr>
        <w:widowControl w:val="0"/>
        <w:tabs>
          <w:tab w:val="left" w:pos="540"/>
        </w:tabs>
        <w:ind w:left="540"/>
        <w:rPr>
          <w:rFonts w:ascii="Times New Roman" w:hAnsi="Times New Roman"/>
          <w:szCs w:val="24"/>
        </w:rPr>
      </w:pPr>
    </w:p>
    <w:p w:rsidRPr="00072FB2" w:rsidR="00892703" w:rsidRDefault="00892703" w14:paraId="6238F59D" w14:textId="77777777">
      <w:pPr>
        <w:widowControl w:val="0"/>
        <w:tabs>
          <w:tab w:val="left" w:pos="-1440"/>
          <w:tab w:val="left" w:pos="540"/>
        </w:tabs>
        <w:ind w:left="540" w:hanging="540"/>
        <w:rPr>
          <w:rFonts w:ascii="Times New Roman" w:hAnsi="Times New Roman"/>
          <w:b/>
          <w:szCs w:val="24"/>
          <w:u w:val="single"/>
        </w:rPr>
      </w:pPr>
      <w:r w:rsidRPr="00072FB2">
        <w:rPr>
          <w:rFonts w:ascii="Times New Roman" w:hAnsi="Times New Roman"/>
          <w:b/>
          <w:szCs w:val="24"/>
        </w:rPr>
        <w:t>A.</w:t>
      </w:r>
      <w:r w:rsidRPr="00072FB2">
        <w:rPr>
          <w:rFonts w:ascii="Times New Roman" w:hAnsi="Times New Roman"/>
          <w:b/>
          <w:szCs w:val="24"/>
        </w:rPr>
        <w:tab/>
      </w:r>
      <w:r w:rsidRPr="00072FB2">
        <w:rPr>
          <w:rFonts w:ascii="Times New Roman" w:hAnsi="Times New Roman"/>
          <w:b/>
          <w:szCs w:val="24"/>
          <w:u w:val="single"/>
        </w:rPr>
        <w:t>JUSTIFICATION</w:t>
      </w:r>
      <w:r w:rsidRPr="00072FB2" w:rsidR="002B6A81">
        <w:rPr>
          <w:rFonts w:ascii="Times New Roman" w:hAnsi="Times New Roman"/>
          <w:b/>
          <w:szCs w:val="24"/>
          <w:u w:val="single"/>
        </w:rPr>
        <w:t xml:space="preserve"> </w:t>
      </w:r>
    </w:p>
    <w:p w:rsidRPr="00072FB2" w:rsidR="00892703" w:rsidRDefault="00892703" w14:paraId="3E3383BE" w14:textId="77777777">
      <w:pPr>
        <w:rPr>
          <w:rFonts w:ascii="Times New Roman" w:hAnsi="Times New Roman"/>
          <w:snapToGrid w:val="0"/>
          <w:szCs w:val="24"/>
        </w:rPr>
      </w:pPr>
    </w:p>
    <w:p w:rsidRPr="002776DE" w:rsidR="002776DE" w:rsidP="002776DE" w:rsidRDefault="00892703" w14:paraId="62269CC8" w14:textId="60B85828">
      <w:pPr>
        <w:ind w:left="540"/>
        <w:rPr>
          <w:rFonts w:ascii="Times New Roman" w:hAnsi="Times New Roman"/>
          <w:snapToGrid w:val="0"/>
          <w:szCs w:val="24"/>
        </w:rPr>
      </w:pPr>
      <w:r w:rsidRPr="00072FB2">
        <w:rPr>
          <w:rFonts w:ascii="Times New Roman" w:hAnsi="Times New Roman"/>
          <w:snapToGrid w:val="0"/>
          <w:szCs w:val="24"/>
        </w:rPr>
        <w:t xml:space="preserve">The Food </w:t>
      </w:r>
      <w:r w:rsidRPr="00072FB2" w:rsidR="006A23FC">
        <w:rPr>
          <w:rFonts w:ascii="Times New Roman" w:hAnsi="Times New Roman"/>
          <w:snapToGrid w:val="0"/>
          <w:szCs w:val="24"/>
        </w:rPr>
        <w:t>a</w:t>
      </w:r>
      <w:r w:rsidRPr="00072FB2">
        <w:rPr>
          <w:rFonts w:ascii="Times New Roman" w:hAnsi="Times New Roman"/>
          <w:snapToGrid w:val="0"/>
          <w:szCs w:val="24"/>
        </w:rPr>
        <w:t xml:space="preserve">nd Drug Administration (FDA) is requesting an approval of the information collection requirements for </w:t>
      </w:r>
      <w:r w:rsidR="00FA54B2">
        <w:rPr>
          <w:rFonts w:ascii="Times New Roman" w:hAnsi="Times New Roman"/>
          <w:snapToGrid w:val="0"/>
          <w:szCs w:val="24"/>
        </w:rPr>
        <w:t>a</w:t>
      </w:r>
      <w:r w:rsidRPr="00072FB2" w:rsidR="00FA54B2">
        <w:rPr>
          <w:rFonts w:ascii="Times New Roman" w:hAnsi="Times New Roman"/>
          <w:snapToGrid w:val="0"/>
          <w:szCs w:val="24"/>
        </w:rPr>
        <w:t xml:space="preserve"> </w:t>
      </w:r>
      <w:r w:rsidRPr="00072FB2" w:rsidR="006A23FC">
        <w:rPr>
          <w:rFonts w:ascii="Times New Roman" w:hAnsi="Times New Roman"/>
          <w:snapToGrid w:val="0"/>
          <w:szCs w:val="24"/>
        </w:rPr>
        <w:t>Shortages Data Collection</w:t>
      </w:r>
      <w:r w:rsidR="007A5E74">
        <w:rPr>
          <w:rFonts w:ascii="Times New Roman" w:hAnsi="Times New Roman"/>
          <w:snapToGrid w:val="0"/>
          <w:szCs w:val="24"/>
        </w:rPr>
        <w:t xml:space="preserve"> System</w:t>
      </w:r>
      <w:r w:rsidR="00834322">
        <w:rPr>
          <w:rFonts w:ascii="Times New Roman" w:hAnsi="Times New Roman"/>
          <w:snapToGrid w:val="0"/>
          <w:szCs w:val="24"/>
        </w:rPr>
        <w:t>.</w:t>
      </w:r>
      <w:r w:rsidR="00BD786A">
        <w:rPr>
          <w:rFonts w:ascii="Times New Roman" w:hAnsi="Times New Roman"/>
          <w:snapToGrid w:val="0"/>
          <w:szCs w:val="24"/>
        </w:rPr>
        <w:t xml:space="preserve"> </w:t>
      </w:r>
      <w:r w:rsidR="00834322">
        <w:rPr>
          <w:rFonts w:ascii="Times New Roman" w:hAnsi="Times New Roman"/>
          <w:snapToGrid w:val="0"/>
          <w:szCs w:val="24"/>
        </w:rPr>
        <w:t>T</w:t>
      </w:r>
      <w:r w:rsidRPr="002776DE" w:rsidR="002776DE">
        <w:rPr>
          <w:rFonts w:ascii="Times New Roman" w:hAnsi="Times New Roman"/>
          <w:snapToGrid w:val="0"/>
          <w:szCs w:val="24"/>
        </w:rPr>
        <w:t xml:space="preserve">his reinstatement request was initiated in response to an ICR that expired on </w:t>
      </w:r>
      <w:r w:rsidRPr="002776DE" w:rsidR="002776DE">
        <w:rPr>
          <w:rFonts w:ascii="Times New Roman" w:hAnsi="Times New Roman"/>
          <w:color w:val="000000"/>
          <w:szCs w:val="24"/>
        </w:rPr>
        <w:t>08/31/2015.</w:t>
      </w:r>
    </w:p>
    <w:p w:rsidRPr="00072FB2" w:rsidR="00892703" w:rsidRDefault="00892703" w14:paraId="35E1BC54" w14:textId="77777777">
      <w:pPr>
        <w:ind w:left="540"/>
        <w:rPr>
          <w:rFonts w:ascii="Times New Roman" w:hAnsi="Times New Roman"/>
          <w:snapToGrid w:val="0"/>
          <w:szCs w:val="24"/>
        </w:rPr>
      </w:pPr>
    </w:p>
    <w:p w:rsidRPr="00072FB2" w:rsidR="00892703" w:rsidRDefault="00892703" w14:paraId="3002C0A0" w14:textId="77777777">
      <w:pPr>
        <w:widowControl w:val="0"/>
        <w:numPr>
          <w:ilvl w:val="0"/>
          <w:numId w:val="1"/>
        </w:numPr>
        <w:tabs>
          <w:tab w:val="left" w:pos="-1440"/>
        </w:tabs>
        <w:rPr>
          <w:rFonts w:ascii="Times New Roman" w:hAnsi="Times New Roman"/>
          <w:b/>
          <w:szCs w:val="24"/>
          <w:u w:val="single"/>
        </w:rPr>
      </w:pPr>
      <w:r w:rsidRPr="00072FB2">
        <w:rPr>
          <w:rFonts w:ascii="Times New Roman" w:hAnsi="Times New Roman"/>
          <w:b/>
          <w:szCs w:val="24"/>
          <w:u w:val="single"/>
        </w:rPr>
        <w:t>Circumstances Making the Collection of Information Necessary</w:t>
      </w:r>
    </w:p>
    <w:p w:rsidRPr="00072FB2" w:rsidR="00892703" w:rsidRDefault="00892703" w14:paraId="74A4995B" w14:textId="77777777">
      <w:pPr>
        <w:rPr>
          <w:rFonts w:ascii="Times New Roman" w:hAnsi="Times New Roman"/>
          <w:snapToGrid w:val="0"/>
          <w:szCs w:val="24"/>
        </w:rPr>
      </w:pPr>
    </w:p>
    <w:p w:rsidRPr="00A42BBF" w:rsidR="00072FB2" w:rsidP="00A42BBF" w:rsidRDefault="00072FB2" w14:paraId="699C3317" w14:textId="6E5E165D">
      <w:pPr>
        <w:pStyle w:val="HTMLPreformatted"/>
        <w:ind w:left="540"/>
        <w:rPr>
          <w:rFonts w:asciiTheme="minorHAnsi" w:hAnsiTheme="minorHAnsi"/>
          <w:sz w:val="24"/>
          <w:szCs w:val="24"/>
        </w:rPr>
      </w:pPr>
      <w:r w:rsidRPr="0097758E">
        <w:rPr>
          <w:rFonts w:ascii="Times New Roman" w:hAnsi="Times New Roman"/>
          <w:sz w:val="24"/>
        </w:rPr>
        <w:t xml:space="preserve">Under section </w:t>
      </w:r>
      <w:r w:rsidR="005F1ECB">
        <w:rPr>
          <w:rFonts w:ascii="Times New Roman" w:hAnsi="Times New Roman"/>
          <w:sz w:val="24"/>
        </w:rPr>
        <w:t>10</w:t>
      </w:r>
      <w:r w:rsidRPr="0097758E">
        <w:rPr>
          <w:rFonts w:ascii="Times New Roman" w:hAnsi="Times New Roman"/>
          <w:sz w:val="24"/>
        </w:rPr>
        <w:t>03(d)(2) of the Federal Food, Drug, and Cosmetic Act (the</w:t>
      </w:r>
      <w:r w:rsidR="00F34DBC">
        <w:rPr>
          <w:rFonts w:ascii="Times New Roman" w:hAnsi="Times New Roman"/>
          <w:sz w:val="24"/>
        </w:rPr>
        <w:t xml:space="preserve"> FD&amp;C</w:t>
      </w:r>
      <w:r w:rsidRPr="0097758E">
        <w:rPr>
          <w:rFonts w:ascii="Times New Roman" w:hAnsi="Times New Roman"/>
          <w:sz w:val="24"/>
        </w:rPr>
        <w:t xml:space="preserve"> </w:t>
      </w:r>
      <w:r w:rsidR="00F34DBC">
        <w:rPr>
          <w:rFonts w:ascii="Times New Roman" w:hAnsi="Times New Roman"/>
          <w:sz w:val="24"/>
        </w:rPr>
        <w:t>A</w:t>
      </w:r>
      <w:r w:rsidRPr="0097758E">
        <w:rPr>
          <w:rFonts w:ascii="Times New Roman" w:hAnsi="Times New Roman"/>
          <w:sz w:val="24"/>
        </w:rPr>
        <w:t xml:space="preserve">ct) (21 U.S.C. 393(d)(2)), the FDA Commissioner is authorized to implement general powers </w:t>
      </w:r>
      <w:r w:rsidRPr="00A42BBF">
        <w:rPr>
          <w:rFonts w:ascii="Times New Roman" w:hAnsi="Times New Roman" w:cs="Times New Roman"/>
          <w:sz w:val="24"/>
        </w:rPr>
        <w:t>(including conducting research) to carry out effectively the mission of FDA</w:t>
      </w:r>
      <w:r w:rsidRPr="00A42BBF" w:rsidR="00AD7F0F">
        <w:rPr>
          <w:rFonts w:ascii="Times New Roman" w:hAnsi="Times New Roman" w:cs="Times New Roman"/>
          <w:sz w:val="24"/>
        </w:rPr>
        <w:t xml:space="preserve"> </w:t>
      </w:r>
      <w:r w:rsidRPr="00A42BBF" w:rsidR="00AD7F0F">
        <w:rPr>
          <w:rFonts w:ascii="Times New Roman" w:hAnsi="Times New Roman" w:cs="Times New Roman"/>
          <w:sz w:val="24"/>
          <w:szCs w:val="24"/>
        </w:rPr>
        <w:t>(</w:t>
      </w:r>
      <w:hyperlink w:history="1" r:id="rId8">
        <w:r w:rsidRPr="00A42BBF" w:rsidR="00473C6A">
          <w:rPr>
            <w:rStyle w:val="Hyperlink"/>
            <w:rFonts w:ascii="Times New Roman" w:hAnsi="Times New Roman" w:cs="Times New Roman"/>
            <w:sz w:val="24"/>
            <w:szCs w:val="24"/>
          </w:rPr>
          <w:t>https://legcounsel.house.gov/Comps/Federal%20Food,%20Drug,%20And%20Cosmetic%20Act.pdf</w:t>
        </w:r>
      </w:hyperlink>
      <w:r w:rsidRPr="00A42BBF" w:rsidR="00473C6A">
        <w:rPr>
          <w:rFonts w:asciiTheme="minorHAnsi" w:hAnsiTheme="minorHAnsi"/>
          <w:sz w:val="24"/>
          <w:szCs w:val="24"/>
        </w:rPr>
        <w:t xml:space="preserve"> </w:t>
      </w:r>
      <w:r w:rsidRPr="00A42BBF" w:rsidR="00AD7F0F">
        <w:rPr>
          <w:rFonts w:asciiTheme="minorHAnsi" w:hAnsiTheme="minorHAnsi"/>
          <w:sz w:val="24"/>
          <w:szCs w:val="24"/>
        </w:rPr>
        <w:t>)</w:t>
      </w:r>
      <w:r w:rsidRPr="00A42BBF">
        <w:rPr>
          <w:rFonts w:asciiTheme="minorHAnsi" w:hAnsiTheme="minorHAnsi"/>
          <w:sz w:val="24"/>
          <w:szCs w:val="24"/>
        </w:rPr>
        <w:t>.</w:t>
      </w:r>
    </w:p>
    <w:p w:rsidR="00C32BE5" w:rsidP="00867E17" w:rsidRDefault="00C32BE5" w14:paraId="419CD90D" w14:textId="7C10C5E2">
      <w:pPr>
        <w:pStyle w:val="HTMLPreformatted"/>
        <w:ind w:left="540"/>
        <w:rPr>
          <w:rFonts w:ascii="Times New Roman" w:hAnsi="Times New Roman"/>
          <w:sz w:val="24"/>
        </w:rPr>
      </w:pPr>
    </w:p>
    <w:p w:rsidRPr="00D21CB6" w:rsidR="00072FB2" w:rsidP="00867E17" w:rsidRDefault="00072FB2" w14:paraId="2860DD16" w14:textId="23B69396">
      <w:pPr>
        <w:pStyle w:val="HTMLPreformatted"/>
        <w:ind w:left="540"/>
        <w:rPr>
          <w:rFonts w:ascii="Times New Roman" w:hAnsi="Times New Roman" w:cs="Times New Roman"/>
          <w:sz w:val="24"/>
          <w:szCs w:val="24"/>
        </w:rPr>
      </w:pPr>
      <w:r w:rsidRPr="00D21CB6">
        <w:rPr>
          <w:rFonts w:ascii="Times New Roman" w:hAnsi="Times New Roman" w:cs="Times New Roman"/>
          <w:sz w:val="24"/>
          <w:szCs w:val="24"/>
        </w:rPr>
        <w:t>Subsequent to the events of September 11, 2001, and as part of broader counter-terrorism and emergency preparedness activities, FDA's Center for Devices and Radiological Health (CDRH) began developing operational plans and interventions that would enable the Center to anticipate and respond to medical device shortages that might arise in the context of emergencies</w:t>
      </w:r>
      <w:r w:rsidR="009B4142">
        <w:rPr>
          <w:rStyle w:val="FootnoteReference"/>
          <w:rFonts w:ascii="Times New Roman" w:hAnsi="Times New Roman" w:cs="Times New Roman"/>
          <w:sz w:val="24"/>
          <w:szCs w:val="24"/>
        </w:rPr>
        <w:footnoteReference w:id="1"/>
      </w:r>
      <w:r w:rsidRPr="00D21CB6">
        <w:rPr>
          <w:rFonts w:ascii="Times New Roman" w:hAnsi="Times New Roman" w:cs="Times New Roman"/>
          <w:sz w:val="24"/>
          <w:szCs w:val="24"/>
        </w:rPr>
        <w:t xml:space="preserve"> or regulatory actions.  </w:t>
      </w:r>
      <w:proofErr w:type="gramStart"/>
      <w:r w:rsidRPr="00D21CB6">
        <w:rPr>
          <w:rFonts w:ascii="Times New Roman" w:hAnsi="Times New Roman" w:cs="Times New Roman"/>
          <w:sz w:val="24"/>
          <w:szCs w:val="24"/>
        </w:rPr>
        <w:t>In particular, CDRH</w:t>
      </w:r>
      <w:proofErr w:type="gramEnd"/>
      <w:r w:rsidRPr="00D21CB6">
        <w:rPr>
          <w:rFonts w:ascii="Times New Roman" w:hAnsi="Times New Roman" w:cs="Times New Roman"/>
          <w:sz w:val="24"/>
          <w:szCs w:val="24"/>
        </w:rPr>
        <w:t xml:space="preserve"> </w:t>
      </w:r>
      <w:r w:rsidR="000D5671">
        <w:rPr>
          <w:rFonts w:ascii="Times New Roman" w:hAnsi="Times New Roman" w:cs="Times New Roman"/>
          <w:sz w:val="24"/>
          <w:szCs w:val="24"/>
        </w:rPr>
        <w:t xml:space="preserve">has </w:t>
      </w:r>
      <w:r w:rsidRPr="00AF154A" w:rsidR="00F74A2E">
        <w:rPr>
          <w:rFonts w:ascii="Times New Roman" w:hAnsi="Times New Roman" w:cs="Times New Roman"/>
          <w:sz w:val="24"/>
          <w:szCs w:val="24"/>
          <w:lang w:val="en"/>
        </w:rPr>
        <w:t>identified</w:t>
      </w:r>
      <w:r w:rsidRPr="00AF154A">
        <w:rPr>
          <w:rFonts w:ascii="Times New Roman" w:hAnsi="Times New Roman" w:cs="Times New Roman"/>
          <w:sz w:val="24"/>
          <w:szCs w:val="24"/>
          <w:lang w:val="en"/>
        </w:rPr>
        <w:t xml:space="preserve"> the need to acquire and maintain </w:t>
      </w:r>
      <w:r w:rsidRPr="00AF154A">
        <w:rPr>
          <w:rFonts w:ascii="Times New Roman" w:hAnsi="Times New Roman" w:cs="Times New Roman"/>
          <w:sz w:val="24"/>
          <w:szCs w:val="24"/>
        </w:rPr>
        <w:t>detailed data on domestic inventory, manufacturing capabilities, distribution plans</w:t>
      </w:r>
      <w:r w:rsidR="00FA54B2">
        <w:rPr>
          <w:rFonts w:ascii="Times New Roman" w:hAnsi="Times New Roman" w:cs="Times New Roman"/>
          <w:sz w:val="24"/>
          <w:szCs w:val="24"/>
        </w:rPr>
        <w:t>, mitigation plans,</w:t>
      </w:r>
      <w:r w:rsidRPr="00AF154A">
        <w:rPr>
          <w:rFonts w:ascii="Times New Roman" w:hAnsi="Times New Roman" w:cs="Times New Roman"/>
          <w:sz w:val="24"/>
          <w:szCs w:val="24"/>
        </w:rPr>
        <w:t xml:space="preserve"> and raw material </w:t>
      </w:r>
      <w:r w:rsidR="00FA54B2">
        <w:rPr>
          <w:rFonts w:ascii="Times New Roman" w:hAnsi="Times New Roman" w:cs="Times New Roman"/>
          <w:sz w:val="24"/>
          <w:szCs w:val="24"/>
        </w:rPr>
        <w:t xml:space="preserve">or other supply </w:t>
      </w:r>
      <w:r w:rsidRPr="00AF154A">
        <w:rPr>
          <w:rFonts w:ascii="Times New Roman" w:hAnsi="Times New Roman" w:cs="Times New Roman"/>
          <w:sz w:val="24"/>
          <w:szCs w:val="24"/>
        </w:rPr>
        <w:t xml:space="preserve">constraints for </w:t>
      </w:r>
      <w:r w:rsidR="004B3C62">
        <w:rPr>
          <w:rFonts w:ascii="Times New Roman" w:hAnsi="Times New Roman" w:cs="Times New Roman"/>
          <w:sz w:val="24"/>
          <w:szCs w:val="24"/>
        </w:rPr>
        <w:t xml:space="preserve">essential medical </w:t>
      </w:r>
      <w:r w:rsidRPr="00AF154A">
        <w:rPr>
          <w:rFonts w:ascii="Times New Roman" w:hAnsi="Times New Roman" w:cs="Times New Roman"/>
          <w:sz w:val="24"/>
          <w:szCs w:val="24"/>
        </w:rPr>
        <w:t>devices that would be vulnerable to shortages in</w:t>
      </w:r>
      <w:r w:rsidR="009B4142">
        <w:rPr>
          <w:rFonts w:ascii="Times New Roman" w:hAnsi="Times New Roman" w:cs="Times New Roman"/>
          <w:sz w:val="24"/>
          <w:szCs w:val="24"/>
        </w:rPr>
        <w:t xml:space="preserve"> an </w:t>
      </w:r>
      <w:r w:rsidR="000D5671">
        <w:rPr>
          <w:rFonts w:ascii="Times New Roman" w:hAnsi="Times New Roman" w:cs="Times New Roman"/>
          <w:sz w:val="24"/>
          <w:szCs w:val="24"/>
        </w:rPr>
        <w:t>emergency</w:t>
      </w:r>
      <w:r w:rsidRPr="00AF154A">
        <w:rPr>
          <w:rFonts w:ascii="Times New Roman" w:hAnsi="Times New Roman" w:cs="Times New Roman"/>
          <w:sz w:val="24"/>
          <w:szCs w:val="24"/>
        </w:rPr>
        <w:t xml:space="preserve"> or following specific regulatory actions.</w:t>
      </w:r>
      <w:r w:rsidR="004B3C62">
        <w:rPr>
          <w:rFonts w:ascii="Times New Roman" w:hAnsi="Times New Roman" w:cs="Times New Roman"/>
          <w:sz w:val="24"/>
          <w:szCs w:val="24"/>
        </w:rPr>
        <w:t xml:space="preserve"> </w:t>
      </w:r>
      <w:r w:rsidRPr="00AF154A">
        <w:rPr>
          <w:rFonts w:ascii="Times New Roman" w:hAnsi="Times New Roman" w:cs="Times New Roman"/>
          <w:sz w:val="24"/>
          <w:szCs w:val="24"/>
        </w:rPr>
        <w:t>Such data could support prospective ris</w:t>
      </w:r>
      <w:r w:rsidRPr="00D21CB6">
        <w:rPr>
          <w:rFonts w:ascii="Times New Roman" w:hAnsi="Times New Roman" w:cs="Times New Roman"/>
          <w:sz w:val="24"/>
          <w:szCs w:val="24"/>
        </w:rPr>
        <w:t xml:space="preserve">k assessment, help inform risk mitigation strategies, support real-time </w:t>
      </w:r>
      <w:r w:rsidRPr="00D21CB6" w:rsidR="00F74A2E">
        <w:rPr>
          <w:rFonts w:ascii="Times New Roman" w:hAnsi="Times New Roman" w:cs="Times New Roman"/>
          <w:sz w:val="24"/>
          <w:szCs w:val="24"/>
        </w:rPr>
        <w:t>decision</w:t>
      </w:r>
      <w:r w:rsidR="000D5671">
        <w:rPr>
          <w:rFonts w:ascii="Times New Roman" w:hAnsi="Times New Roman" w:cs="Times New Roman"/>
          <w:sz w:val="24"/>
          <w:szCs w:val="24"/>
        </w:rPr>
        <w:t xml:space="preserve"> </w:t>
      </w:r>
      <w:r w:rsidRPr="00D21CB6" w:rsidR="00F74A2E">
        <w:rPr>
          <w:rFonts w:ascii="Times New Roman" w:hAnsi="Times New Roman" w:cs="Times New Roman"/>
          <w:sz w:val="24"/>
          <w:szCs w:val="24"/>
        </w:rPr>
        <w:t>making</w:t>
      </w:r>
      <w:r w:rsidRPr="00D21CB6">
        <w:rPr>
          <w:rFonts w:ascii="Times New Roman" w:hAnsi="Times New Roman" w:cs="Times New Roman"/>
          <w:sz w:val="24"/>
          <w:szCs w:val="24"/>
        </w:rPr>
        <w:t xml:space="preserve"> by</w:t>
      </w:r>
      <w:r w:rsidR="00FD64EF">
        <w:rPr>
          <w:rFonts w:ascii="Times New Roman" w:hAnsi="Times New Roman" w:cs="Times New Roman"/>
          <w:sz w:val="24"/>
          <w:szCs w:val="24"/>
        </w:rPr>
        <w:t xml:space="preserve"> the</w:t>
      </w:r>
      <w:r w:rsidRPr="00D21CB6">
        <w:rPr>
          <w:rFonts w:ascii="Times New Roman" w:hAnsi="Times New Roman" w:cs="Times New Roman"/>
          <w:sz w:val="24"/>
          <w:szCs w:val="24"/>
        </w:rPr>
        <w:t xml:space="preserve"> U</w:t>
      </w:r>
      <w:r w:rsidR="00FD64EF">
        <w:rPr>
          <w:rFonts w:ascii="Times New Roman" w:hAnsi="Times New Roman" w:cs="Times New Roman"/>
          <w:sz w:val="24"/>
          <w:szCs w:val="24"/>
        </w:rPr>
        <w:t>.</w:t>
      </w:r>
      <w:r w:rsidRPr="00D21CB6">
        <w:rPr>
          <w:rFonts w:ascii="Times New Roman" w:hAnsi="Times New Roman" w:cs="Times New Roman"/>
          <w:sz w:val="24"/>
          <w:szCs w:val="24"/>
        </w:rPr>
        <w:t>S</w:t>
      </w:r>
      <w:r w:rsidR="00FD64EF">
        <w:rPr>
          <w:rFonts w:ascii="Times New Roman" w:hAnsi="Times New Roman" w:cs="Times New Roman"/>
          <w:sz w:val="24"/>
          <w:szCs w:val="24"/>
        </w:rPr>
        <w:t>.</w:t>
      </w:r>
      <w:r w:rsidRPr="00D21CB6">
        <w:rPr>
          <w:rFonts w:ascii="Times New Roman" w:hAnsi="Times New Roman" w:cs="Times New Roman"/>
          <w:sz w:val="24"/>
          <w:szCs w:val="24"/>
        </w:rPr>
        <w:t xml:space="preserve"> Department of Health and Human Services (HHS) during actual emergencies or emergency preparedness exercises</w:t>
      </w:r>
      <w:r w:rsidR="004B3C62">
        <w:rPr>
          <w:rFonts w:ascii="Times New Roman" w:hAnsi="Times New Roman" w:cs="Times New Roman"/>
          <w:sz w:val="24"/>
          <w:szCs w:val="24"/>
        </w:rPr>
        <w:t>, and mitigate or prevent harm to the public health</w:t>
      </w:r>
      <w:r w:rsidRPr="00D21CB6">
        <w:rPr>
          <w:rFonts w:ascii="Times New Roman" w:hAnsi="Times New Roman" w:cs="Times New Roman"/>
          <w:sz w:val="24"/>
          <w:szCs w:val="24"/>
        </w:rPr>
        <w:t xml:space="preserve">.   </w:t>
      </w:r>
    </w:p>
    <w:p w:rsidR="00C32BE5" w:rsidRDefault="00C32BE5" w14:paraId="5C65C185" w14:textId="381675D9">
      <w:pPr>
        <w:pStyle w:val="HTMLPreformatted"/>
        <w:ind w:left="540"/>
        <w:rPr>
          <w:rFonts w:ascii="Times New Roman" w:hAnsi="Times New Roman"/>
          <w:sz w:val="24"/>
        </w:rPr>
      </w:pPr>
    </w:p>
    <w:p w:rsidR="004B3C62" w:rsidRDefault="004B3C62" w14:paraId="33284992" w14:textId="41966973">
      <w:pPr>
        <w:pStyle w:val="HTMLPreformatted"/>
        <w:ind w:left="540"/>
        <w:rPr>
          <w:rFonts w:ascii="Times New Roman" w:hAnsi="Times New Roman"/>
          <w:sz w:val="24"/>
        </w:rPr>
      </w:pPr>
      <w:r>
        <w:rPr>
          <w:rFonts w:ascii="Times New Roman" w:hAnsi="Times New Roman"/>
          <w:sz w:val="24"/>
        </w:rPr>
        <w:t>CDRH will collect these data from manufacturers on a regular basis, and a</w:t>
      </w:r>
      <w:r w:rsidR="00A07439">
        <w:rPr>
          <w:rFonts w:ascii="Times New Roman" w:hAnsi="Times New Roman"/>
          <w:sz w:val="24"/>
        </w:rPr>
        <w:t xml:space="preserve">ccess to the collected data </w:t>
      </w:r>
      <w:r w:rsidR="001D617E">
        <w:rPr>
          <w:rFonts w:ascii="Times New Roman" w:hAnsi="Times New Roman"/>
          <w:sz w:val="24"/>
        </w:rPr>
        <w:t>will be</w:t>
      </w:r>
      <w:r w:rsidR="00A07439">
        <w:rPr>
          <w:rFonts w:ascii="Times New Roman" w:hAnsi="Times New Roman"/>
          <w:sz w:val="24"/>
        </w:rPr>
        <w:t xml:space="preserve"> limited to staff engaged in the public health response </w:t>
      </w:r>
      <w:r>
        <w:rPr>
          <w:rFonts w:ascii="Times New Roman" w:hAnsi="Times New Roman"/>
          <w:sz w:val="24"/>
        </w:rPr>
        <w:t xml:space="preserve">to a shortage and who </w:t>
      </w:r>
      <w:r w:rsidR="00A07439">
        <w:rPr>
          <w:rFonts w:ascii="Times New Roman" w:hAnsi="Times New Roman"/>
          <w:sz w:val="24"/>
        </w:rPr>
        <w:t xml:space="preserve">have a need to know. </w:t>
      </w:r>
      <w:r>
        <w:rPr>
          <w:rFonts w:ascii="Times New Roman" w:hAnsi="Times New Roman"/>
          <w:sz w:val="24"/>
        </w:rPr>
        <w:t>The scope of the collection will also be limited only to essential medical devices</w:t>
      </w:r>
      <w:r w:rsidR="002129A8">
        <w:rPr>
          <w:rFonts w:ascii="Times New Roman" w:hAnsi="Times New Roman"/>
          <w:sz w:val="24"/>
        </w:rPr>
        <w:t xml:space="preserve">. The following are examples of </w:t>
      </w:r>
      <w:r w:rsidR="00C429A8">
        <w:rPr>
          <w:rFonts w:ascii="Times New Roman" w:hAnsi="Times New Roman"/>
          <w:sz w:val="24"/>
        </w:rPr>
        <w:t xml:space="preserve">factors </w:t>
      </w:r>
      <w:r w:rsidR="00FA54B2">
        <w:rPr>
          <w:rFonts w:ascii="Times New Roman" w:hAnsi="Times New Roman"/>
          <w:sz w:val="24"/>
        </w:rPr>
        <w:t>CDRH</w:t>
      </w:r>
      <w:r w:rsidR="00C429A8">
        <w:rPr>
          <w:rFonts w:ascii="Times New Roman" w:hAnsi="Times New Roman"/>
          <w:sz w:val="24"/>
        </w:rPr>
        <w:t xml:space="preserve"> consider</w:t>
      </w:r>
      <w:r w:rsidR="00FA54B2">
        <w:rPr>
          <w:rFonts w:ascii="Times New Roman" w:hAnsi="Times New Roman"/>
          <w:sz w:val="24"/>
        </w:rPr>
        <w:t>s</w:t>
      </w:r>
      <w:r w:rsidR="00C429A8">
        <w:rPr>
          <w:rFonts w:ascii="Times New Roman" w:hAnsi="Times New Roman"/>
          <w:sz w:val="24"/>
        </w:rPr>
        <w:t xml:space="preserve"> </w:t>
      </w:r>
      <w:proofErr w:type="gramStart"/>
      <w:r w:rsidR="00FA54B2">
        <w:rPr>
          <w:rFonts w:ascii="Times New Roman" w:hAnsi="Times New Roman"/>
          <w:sz w:val="24"/>
        </w:rPr>
        <w:t>to</w:t>
      </w:r>
      <w:r w:rsidR="00C429A8">
        <w:rPr>
          <w:rFonts w:ascii="Times New Roman" w:hAnsi="Times New Roman"/>
          <w:sz w:val="24"/>
        </w:rPr>
        <w:t xml:space="preserve"> determine</w:t>
      </w:r>
      <w:proofErr w:type="gramEnd"/>
      <w:r w:rsidR="00C429A8">
        <w:rPr>
          <w:rFonts w:ascii="Times New Roman" w:hAnsi="Times New Roman"/>
          <w:sz w:val="24"/>
        </w:rPr>
        <w:t xml:space="preserve"> </w:t>
      </w:r>
      <w:r w:rsidR="002129A8">
        <w:rPr>
          <w:rFonts w:ascii="Times New Roman" w:hAnsi="Times New Roman"/>
          <w:sz w:val="24"/>
        </w:rPr>
        <w:t>essential medical devices:</w:t>
      </w:r>
      <w:r>
        <w:rPr>
          <w:rFonts w:ascii="Times New Roman" w:hAnsi="Times New Roman"/>
          <w:sz w:val="24"/>
        </w:rPr>
        <w:t xml:space="preserve"> </w:t>
      </w:r>
    </w:p>
    <w:p w:rsidRPr="00C429A8" w:rsidR="002129A8" w:rsidP="00A42BBF" w:rsidRDefault="004B3C62" w14:paraId="7E5F22CD" w14:textId="20FA7047">
      <w:pPr>
        <w:pStyle w:val="HTMLPreformatted"/>
        <w:numPr>
          <w:ilvl w:val="0"/>
          <w:numId w:val="13"/>
        </w:numPr>
        <w:rPr>
          <w:rFonts w:ascii="Times New Roman" w:hAnsi="Times New Roman"/>
          <w:sz w:val="24"/>
        </w:rPr>
      </w:pPr>
      <w:r w:rsidRPr="00D17CD3">
        <w:rPr>
          <w:rFonts w:ascii="Times New Roman" w:hAnsi="Times New Roman"/>
          <w:sz w:val="24"/>
        </w:rPr>
        <w:t xml:space="preserve">Devices that </w:t>
      </w:r>
      <w:r w:rsidRPr="00D17CD3" w:rsidR="00710B1C">
        <w:rPr>
          <w:rFonts w:ascii="Times New Roman" w:hAnsi="Times New Roman"/>
          <w:sz w:val="24"/>
        </w:rPr>
        <w:t xml:space="preserve">are </w:t>
      </w:r>
      <w:r w:rsidRPr="00D17CD3" w:rsidR="002129A8">
        <w:rPr>
          <w:rFonts w:ascii="Times New Roman" w:hAnsi="Times New Roman"/>
          <w:sz w:val="24"/>
        </w:rPr>
        <w:t>used to diagnose, treat, or prevent a serious disease or medical condition;</w:t>
      </w:r>
    </w:p>
    <w:p w:rsidRPr="00C429A8" w:rsidR="002129A8" w:rsidP="00A42BBF" w:rsidRDefault="002129A8" w14:paraId="0AE3815A" w14:textId="4E5DE4B1">
      <w:pPr>
        <w:pStyle w:val="HTMLPreformatted"/>
        <w:numPr>
          <w:ilvl w:val="0"/>
          <w:numId w:val="13"/>
        </w:numPr>
        <w:rPr>
          <w:rFonts w:ascii="Times New Roman" w:hAnsi="Times New Roman"/>
          <w:sz w:val="24"/>
        </w:rPr>
      </w:pPr>
      <w:r w:rsidRPr="00C429A8">
        <w:rPr>
          <w:rFonts w:ascii="Times New Roman" w:hAnsi="Times New Roman"/>
          <w:sz w:val="24"/>
        </w:rPr>
        <w:lastRenderedPageBreak/>
        <w:t xml:space="preserve">Devices for which no </w:t>
      </w:r>
      <w:r w:rsidRPr="00C429A8" w:rsidR="00710B1C">
        <w:rPr>
          <w:rFonts w:ascii="Times New Roman" w:hAnsi="Times New Roman"/>
          <w:sz w:val="24"/>
        </w:rPr>
        <w:t xml:space="preserve">satisfactory </w:t>
      </w:r>
      <w:r w:rsidRPr="00C429A8">
        <w:rPr>
          <w:rFonts w:ascii="Times New Roman" w:hAnsi="Times New Roman"/>
          <w:sz w:val="24"/>
        </w:rPr>
        <w:t>alternative devices, drugs, or therapies are available;</w:t>
      </w:r>
    </w:p>
    <w:p w:rsidRPr="00C64002" w:rsidR="00C429A8" w:rsidP="00C429A8" w:rsidRDefault="00C429A8" w14:paraId="4610B639" w14:textId="77777777">
      <w:pPr>
        <w:pStyle w:val="HTMLPreformatted"/>
        <w:numPr>
          <w:ilvl w:val="0"/>
          <w:numId w:val="13"/>
        </w:numPr>
        <w:rPr>
          <w:rFonts w:ascii="Times New Roman" w:hAnsi="Times New Roman"/>
          <w:sz w:val="24"/>
        </w:rPr>
      </w:pPr>
      <w:r w:rsidRPr="00C64002">
        <w:rPr>
          <w:rFonts w:ascii="Times New Roman" w:hAnsi="Times New Roman"/>
          <w:sz w:val="24"/>
        </w:rPr>
        <w:t>Devices used as a tool (e.g. core medical equipment) for life-sustaining conditions or patient care;</w:t>
      </w:r>
    </w:p>
    <w:p w:rsidRPr="00C64002" w:rsidR="00C429A8" w:rsidP="00C429A8" w:rsidRDefault="00C429A8" w14:paraId="0A2B8B52" w14:textId="77777777">
      <w:pPr>
        <w:pStyle w:val="ListParagraph"/>
        <w:numPr>
          <w:ilvl w:val="0"/>
          <w:numId w:val="13"/>
        </w:numPr>
        <w:rPr>
          <w:rFonts w:ascii="Times New Roman" w:hAnsi="Times New Roman" w:cs="Courier New"/>
        </w:rPr>
      </w:pPr>
      <w:r w:rsidRPr="00C64002">
        <w:rPr>
          <w:rFonts w:ascii="Times New Roman" w:hAnsi="Times New Roman" w:cs="Courier New"/>
        </w:rPr>
        <w:t>Devices commonly used with vulnerable patient populations (e.g. pediatrics);</w:t>
      </w:r>
    </w:p>
    <w:p w:rsidRPr="00C429A8" w:rsidR="00C429A8" w:rsidP="00C429A8" w:rsidRDefault="00C429A8" w14:paraId="031B36C4" w14:textId="2F1DBF4F">
      <w:pPr>
        <w:pStyle w:val="HTMLPreformatted"/>
        <w:numPr>
          <w:ilvl w:val="0"/>
          <w:numId w:val="13"/>
        </w:numPr>
        <w:rPr>
          <w:rFonts w:ascii="Times New Roman" w:hAnsi="Times New Roman"/>
          <w:sz w:val="24"/>
        </w:rPr>
      </w:pPr>
      <w:r w:rsidRPr="00C64002">
        <w:rPr>
          <w:rFonts w:ascii="Times New Roman" w:hAnsi="Times New Roman"/>
          <w:sz w:val="24"/>
        </w:rPr>
        <w:t>Devices that are part of a system and if it</w:t>
      </w:r>
      <w:r w:rsidR="00FA54B2">
        <w:rPr>
          <w:rFonts w:ascii="Times New Roman" w:hAnsi="Times New Roman"/>
          <w:sz w:val="24"/>
        </w:rPr>
        <w:t>/they</w:t>
      </w:r>
      <w:r w:rsidRPr="00C64002">
        <w:rPr>
          <w:rFonts w:ascii="Times New Roman" w:hAnsi="Times New Roman"/>
          <w:sz w:val="24"/>
        </w:rPr>
        <w:t xml:space="preserve"> </w:t>
      </w:r>
      <w:r w:rsidR="00FA54B2">
        <w:rPr>
          <w:rFonts w:ascii="Times New Roman" w:hAnsi="Times New Roman"/>
          <w:sz w:val="24"/>
        </w:rPr>
        <w:t>were</w:t>
      </w:r>
      <w:r w:rsidRPr="00C64002">
        <w:rPr>
          <w:rFonts w:ascii="Times New Roman" w:hAnsi="Times New Roman"/>
          <w:sz w:val="24"/>
        </w:rPr>
        <w:t xml:space="preserve"> not available, healthcare facilities </w:t>
      </w:r>
      <w:r w:rsidR="00FA54B2">
        <w:rPr>
          <w:rFonts w:ascii="Times New Roman" w:hAnsi="Times New Roman"/>
          <w:sz w:val="24"/>
        </w:rPr>
        <w:t xml:space="preserve">would be required </w:t>
      </w:r>
      <w:r w:rsidRPr="00C64002">
        <w:rPr>
          <w:rFonts w:ascii="Times New Roman" w:hAnsi="Times New Roman"/>
          <w:sz w:val="24"/>
        </w:rPr>
        <w:t>to switch to a completely different system;</w:t>
      </w:r>
    </w:p>
    <w:p w:rsidR="002129A8" w:rsidP="00A42BBF" w:rsidRDefault="002129A8" w14:paraId="7C3AE6F4" w14:textId="49F4FA98">
      <w:pPr>
        <w:pStyle w:val="HTMLPreformatted"/>
        <w:numPr>
          <w:ilvl w:val="0"/>
          <w:numId w:val="13"/>
        </w:numPr>
        <w:rPr>
          <w:rFonts w:ascii="Times New Roman" w:hAnsi="Times New Roman"/>
          <w:sz w:val="24"/>
        </w:rPr>
      </w:pPr>
      <w:r>
        <w:rPr>
          <w:rFonts w:ascii="Times New Roman" w:hAnsi="Times New Roman"/>
          <w:sz w:val="24"/>
        </w:rPr>
        <w:t>Devices where the manufacturer is the sole manufacturer; and/or</w:t>
      </w:r>
    </w:p>
    <w:p w:rsidR="00FA54B2" w:rsidP="00A42BBF" w:rsidRDefault="00FA54B2" w14:paraId="563E6B44" w14:textId="26B65034">
      <w:pPr>
        <w:pStyle w:val="HTMLPreformatted"/>
        <w:numPr>
          <w:ilvl w:val="0"/>
          <w:numId w:val="13"/>
        </w:numPr>
        <w:rPr>
          <w:rFonts w:ascii="Times New Roman" w:hAnsi="Times New Roman"/>
          <w:sz w:val="24"/>
        </w:rPr>
      </w:pPr>
      <w:r>
        <w:rPr>
          <w:rFonts w:ascii="Times New Roman" w:hAnsi="Times New Roman"/>
          <w:sz w:val="24"/>
        </w:rPr>
        <w:t>Devices are used on pediatric and/or maternal patient populations.</w:t>
      </w:r>
    </w:p>
    <w:p w:rsidR="004F7696" w:rsidP="00A42BBF" w:rsidRDefault="004F7696" w14:paraId="337B3767" w14:textId="2986A1F8">
      <w:pPr>
        <w:pStyle w:val="HTMLPreformatted"/>
        <w:ind w:left="540"/>
        <w:rPr>
          <w:rFonts w:ascii="Times New Roman" w:hAnsi="Times New Roman"/>
          <w:sz w:val="24"/>
        </w:rPr>
      </w:pPr>
    </w:p>
    <w:p w:rsidR="004F7696" w:rsidP="00A42BBF" w:rsidRDefault="004F7696" w14:paraId="2D006CEE" w14:textId="0F152180">
      <w:pPr>
        <w:pStyle w:val="HTMLPreformatted"/>
        <w:ind w:left="540"/>
        <w:rPr>
          <w:rFonts w:ascii="Times New Roman" w:hAnsi="Times New Roman"/>
          <w:sz w:val="24"/>
        </w:rPr>
      </w:pPr>
      <w:r w:rsidRPr="004F7696">
        <w:rPr>
          <w:rFonts w:ascii="Times New Roman" w:hAnsi="Times New Roman"/>
          <w:sz w:val="24"/>
        </w:rPr>
        <w:t>The data collection process will consist of telephone call</w:t>
      </w:r>
      <w:r w:rsidR="00D93DBD">
        <w:rPr>
          <w:rFonts w:ascii="Times New Roman" w:hAnsi="Times New Roman"/>
          <w:sz w:val="24"/>
        </w:rPr>
        <w:t>s/emails</w:t>
      </w:r>
      <w:r w:rsidRPr="004F7696">
        <w:rPr>
          <w:rFonts w:ascii="Times New Roman" w:hAnsi="Times New Roman"/>
          <w:sz w:val="24"/>
        </w:rPr>
        <w:t xml:space="preserve"> to firms who have been identified as producing an essential medical device. In this initial </w:t>
      </w:r>
      <w:r w:rsidR="00D93DBD">
        <w:rPr>
          <w:rFonts w:ascii="Times New Roman" w:hAnsi="Times New Roman"/>
          <w:sz w:val="24"/>
        </w:rPr>
        <w:t>outreach</w:t>
      </w:r>
      <w:r w:rsidRPr="004F7696">
        <w:rPr>
          <w:rFonts w:ascii="Times New Roman" w:hAnsi="Times New Roman"/>
          <w:sz w:val="24"/>
        </w:rPr>
        <w:t>, the intent and goals of the data collection effort will be described, and the specific data request made. Data will be collected</w:t>
      </w:r>
      <w:r w:rsidR="0032361C">
        <w:rPr>
          <w:rFonts w:ascii="Times New Roman" w:hAnsi="Times New Roman"/>
          <w:sz w:val="24"/>
        </w:rPr>
        <w:t xml:space="preserve"> using least burdensome methods</w:t>
      </w:r>
      <w:r w:rsidR="00D93DBD">
        <w:rPr>
          <w:rFonts w:ascii="Times New Roman" w:hAnsi="Times New Roman"/>
          <w:sz w:val="24"/>
        </w:rPr>
        <w:t xml:space="preserve"> (paper or phone-based survey)</w:t>
      </w:r>
      <w:r w:rsidR="00FA54B2">
        <w:rPr>
          <w:rFonts w:ascii="Times New Roman" w:hAnsi="Times New Roman"/>
          <w:sz w:val="24"/>
        </w:rPr>
        <w:t xml:space="preserve"> and</w:t>
      </w:r>
      <w:r w:rsidRPr="004F7696">
        <w:rPr>
          <w:rFonts w:ascii="Times New Roman" w:hAnsi="Times New Roman"/>
          <w:sz w:val="24"/>
        </w:rPr>
        <w:t xml:space="preserve"> in a structured manner to answer specific questions</w:t>
      </w:r>
      <w:r w:rsidR="00FA54B2">
        <w:rPr>
          <w:rFonts w:ascii="Times New Roman" w:hAnsi="Times New Roman"/>
          <w:sz w:val="24"/>
        </w:rPr>
        <w:t xml:space="preserve"> about </w:t>
      </w:r>
      <w:r w:rsidRPr="00AF154A" w:rsidR="00FA54B2">
        <w:rPr>
          <w:rFonts w:ascii="Times New Roman" w:hAnsi="Times New Roman" w:cs="Times New Roman"/>
          <w:sz w:val="24"/>
          <w:szCs w:val="24"/>
        </w:rPr>
        <w:t>domestic inventory, manufacturing capabilities, distribution plans</w:t>
      </w:r>
      <w:r w:rsidR="00FA54B2">
        <w:rPr>
          <w:rFonts w:ascii="Times New Roman" w:hAnsi="Times New Roman" w:cs="Times New Roman"/>
          <w:sz w:val="24"/>
          <w:szCs w:val="24"/>
        </w:rPr>
        <w:t>, mitigation plans,</w:t>
      </w:r>
      <w:r w:rsidRPr="00AF154A" w:rsidR="00FA54B2">
        <w:rPr>
          <w:rFonts w:ascii="Times New Roman" w:hAnsi="Times New Roman" w:cs="Times New Roman"/>
          <w:sz w:val="24"/>
          <w:szCs w:val="24"/>
        </w:rPr>
        <w:t xml:space="preserve"> and raw material </w:t>
      </w:r>
      <w:r w:rsidR="00FA54B2">
        <w:rPr>
          <w:rFonts w:ascii="Times New Roman" w:hAnsi="Times New Roman" w:cs="Times New Roman"/>
          <w:sz w:val="24"/>
          <w:szCs w:val="24"/>
        </w:rPr>
        <w:t xml:space="preserve">or other supply </w:t>
      </w:r>
      <w:r w:rsidRPr="00AF154A" w:rsidR="00FA54B2">
        <w:rPr>
          <w:rFonts w:ascii="Times New Roman" w:hAnsi="Times New Roman" w:cs="Times New Roman"/>
          <w:sz w:val="24"/>
          <w:szCs w:val="24"/>
        </w:rPr>
        <w:t>constraints</w:t>
      </w:r>
      <w:r w:rsidRPr="004F7696">
        <w:rPr>
          <w:rFonts w:ascii="Times New Roman" w:hAnsi="Times New Roman"/>
          <w:sz w:val="24"/>
        </w:rPr>
        <w:t xml:space="preserve">. After the initial outreach, </w:t>
      </w:r>
      <w:r w:rsidR="0032361C">
        <w:rPr>
          <w:rFonts w:ascii="Times New Roman" w:hAnsi="Times New Roman"/>
          <w:sz w:val="24"/>
        </w:rPr>
        <w:t>we will request updates to the information on a quarterly basis</w:t>
      </w:r>
      <w:r w:rsidRPr="004F7696">
        <w:rPr>
          <w:rFonts w:ascii="Times New Roman" w:hAnsi="Times New Roman"/>
          <w:sz w:val="24"/>
        </w:rPr>
        <w:t xml:space="preserve"> to keep the data current and accurate. Additional</w:t>
      </w:r>
      <w:r w:rsidR="00FA54B2">
        <w:rPr>
          <w:rFonts w:ascii="Times New Roman" w:hAnsi="Times New Roman"/>
          <w:sz w:val="24"/>
        </w:rPr>
        <w:t xml:space="preserve"> ad hoc</w:t>
      </w:r>
      <w:r w:rsidRPr="004F7696">
        <w:rPr>
          <w:rFonts w:ascii="Times New Roman" w:hAnsi="Times New Roman"/>
          <w:sz w:val="24"/>
        </w:rPr>
        <w:t xml:space="preserve"> follow-up correspondence may occasionally be </w:t>
      </w:r>
      <w:r w:rsidR="0032361C">
        <w:rPr>
          <w:rFonts w:ascii="Times New Roman" w:hAnsi="Times New Roman"/>
          <w:sz w:val="24"/>
        </w:rPr>
        <w:t>needed</w:t>
      </w:r>
      <w:r w:rsidRPr="004F7696">
        <w:rPr>
          <w:rFonts w:ascii="Times New Roman" w:hAnsi="Times New Roman"/>
          <w:sz w:val="24"/>
        </w:rPr>
        <w:t xml:space="preserve"> to verify/validate data, confirm receipt</w:t>
      </w:r>
      <w:r w:rsidR="00174BD7">
        <w:rPr>
          <w:rFonts w:ascii="Times New Roman" w:hAnsi="Times New Roman"/>
          <w:sz w:val="24"/>
        </w:rPr>
        <w:t xml:space="preserve"> of follow-up correspondence(s)</w:t>
      </w:r>
      <w:r w:rsidRPr="004F7696">
        <w:rPr>
          <w:rFonts w:ascii="Times New Roman" w:hAnsi="Times New Roman"/>
          <w:sz w:val="24"/>
        </w:rPr>
        <w:t>, and/or request additional details to further inform FDA’s public health response.</w:t>
      </w:r>
    </w:p>
    <w:p w:rsidRPr="00072FB2" w:rsidR="00F77757" w:rsidP="00A42BBF" w:rsidRDefault="00072FB2" w14:paraId="6CCEB1F1" w14:textId="19BE4574">
      <w:pPr>
        <w:pStyle w:val="HTMLPreformatted"/>
        <w:ind w:left="540"/>
        <w:rPr>
          <w:sz w:val="24"/>
        </w:rPr>
      </w:pPr>
      <w:r>
        <w:rPr>
          <w:rFonts w:ascii="Times New Roman" w:hAnsi="Times New Roman"/>
          <w:sz w:val="24"/>
        </w:rPr>
        <w:tab/>
      </w:r>
      <w:r w:rsidRPr="0097758E">
        <w:rPr>
          <w:rFonts w:ascii="Times New Roman" w:hAnsi="Times New Roman"/>
          <w:sz w:val="24"/>
        </w:rPr>
        <w:t xml:space="preserve"> </w:t>
      </w:r>
    </w:p>
    <w:p w:rsidRPr="00072FB2" w:rsidR="00892703" w:rsidRDefault="00892703" w14:paraId="508D5C84" w14:textId="77777777">
      <w:pPr>
        <w:widowControl w:val="0"/>
        <w:tabs>
          <w:tab w:val="left" w:pos="-1440"/>
          <w:tab w:val="left" w:pos="540"/>
        </w:tabs>
        <w:ind w:left="540" w:hanging="540"/>
        <w:rPr>
          <w:rFonts w:ascii="Times New Roman" w:hAnsi="Times New Roman"/>
          <w:b/>
          <w:szCs w:val="24"/>
        </w:rPr>
      </w:pPr>
      <w:r w:rsidRPr="00072FB2">
        <w:rPr>
          <w:rFonts w:ascii="Times New Roman" w:hAnsi="Times New Roman"/>
          <w:b/>
          <w:szCs w:val="24"/>
        </w:rPr>
        <w:t>2.</w:t>
      </w:r>
      <w:r w:rsidRPr="00072FB2">
        <w:rPr>
          <w:rFonts w:ascii="Times New Roman" w:hAnsi="Times New Roman"/>
          <w:b/>
          <w:szCs w:val="24"/>
        </w:rPr>
        <w:tab/>
      </w:r>
      <w:r w:rsidRPr="00072FB2">
        <w:rPr>
          <w:rFonts w:ascii="Times New Roman" w:hAnsi="Times New Roman"/>
          <w:b/>
          <w:szCs w:val="24"/>
          <w:u w:val="single"/>
        </w:rPr>
        <w:t>Purpose and Use of the Information</w:t>
      </w:r>
      <w:r w:rsidR="00C04E1B">
        <w:rPr>
          <w:rFonts w:ascii="Times New Roman" w:hAnsi="Times New Roman"/>
          <w:b/>
          <w:szCs w:val="24"/>
          <w:u w:val="single"/>
        </w:rPr>
        <w:t xml:space="preserve"> Collection</w:t>
      </w:r>
    </w:p>
    <w:p w:rsidRPr="00072FB2" w:rsidR="00892703" w:rsidRDefault="00892703" w14:paraId="5A23186E" w14:textId="77777777">
      <w:pPr>
        <w:ind w:left="540"/>
        <w:rPr>
          <w:rFonts w:ascii="Times New Roman" w:hAnsi="Times New Roman"/>
          <w:snapToGrid w:val="0"/>
          <w:szCs w:val="24"/>
        </w:rPr>
      </w:pPr>
    </w:p>
    <w:p w:rsidRPr="002129A8" w:rsidR="004B3C62" w:rsidP="00A42BBF" w:rsidRDefault="00892703" w14:paraId="0AB156D7" w14:textId="3A0ECBB1">
      <w:pPr>
        <w:pStyle w:val="BodyTextIndent"/>
        <w:spacing w:after="120"/>
      </w:pPr>
      <w:r w:rsidRPr="00072FB2">
        <w:rPr>
          <w:szCs w:val="24"/>
        </w:rPr>
        <w:t xml:space="preserve">This </w:t>
      </w:r>
      <w:r w:rsidRPr="00072FB2" w:rsidR="004B3C62">
        <w:rPr>
          <w:szCs w:val="24"/>
        </w:rPr>
        <w:t xml:space="preserve">information </w:t>
      </w:r>
      <w:r w:rsidRPr="00072FB2">
        <w:rPr>
          <w:szCs w:val="24"/>
        </w:rPr>
        <w:t xml:space="preserve">collection allows the Agency </w:t>
      </w:r>
      <w:r w:rsidR="00D17CD3">
        <w:rPr>
          <w:szCs w:val="24"/>
        </w:rPr>
        <w:t xml:space="preserve">not only </w:t>
      </w:r>
      <w:r w:rsidRPr="00072FB2">
        <w:rPr>
          <w:szCs w:val="24"/>
        </w:rPr>
        <w:t xml:space="preserve">to respond quickly to medical device shortages that might arise </w:t>
      </w:r>
      <w:r w:rsidR="00F33DFD">
        <w:rPr>
          <w:szCs w:val="24"/>
        </w:rPr>
        <w:t xml:space="preserve">from regulatory action or </w:t>
      </w:r>
      <w:r w:rsidRPr="00072FB2">
        <w:rPr>
          <w:szCs w:val="24"/>
        </w:rPr>
        <w:t>in the aftermath of</w:t>
      </w:r>
      <w:r w:rsidR="00246526">
        <w:rPr>
          <w:szCs w:val="24"/>
        </w:rPr>
        <w:t xml:space="preserve"> an emergency, </w:t>
      </w:r>
      <w:r w:rsidR="00D17CD3">
        <w:rPr>
          <w:szCs w:val="24"/>
        </w:rPr>
        <w:t xml:space="preserve">such as a </w:t>
      </w:r>
      <w:r w:rsidRPr="00072FB2" w:rsidR="00B63E9B">
        <w:rPr>
          <w:szCs w:val="24"/>
        </w:rPr>
        <w:t>natural disaster</w:t>
      </w:r>
      <w:r w:rsidR="00D17CD3">
        <w:rPr>
          <w:szCs w:val="24"/>
        </w:rPr>
        <w:t xml:space="preserve">, but also to </w:t>
      </w:r>
      <w:r w:rsidRPr="00164227" w:rsidR="00D17CD3">
        <w:rPr>
          <w:rStyle w:val="BodyTextChar"/>
          <w:rFonts w:cstheme="minorHAnsi"/>
          <w:szCs w:val="24"/>
        </w:rPr>
        <w:t xml:space="preserve">successfully anticipate, </w:t>
      </w:r>
      <w:r w:rsidR="00FA54B2">
        <w:rPr>
          <w:rStyle w:val="BodyTextChar"/>
          <w:rFonts w:cstheme="minorHAnsi"/>
          <w:szCs w:val="24"/>
        </w:rPr>
        <w:t xml:space="preserve">and </w:t>
      </w:r>
      <w:r w:rsidRPr="00164227" w:rsidR="00D17CD3">
        <w:rPr>
          <w:rStyle w:val="BodyTextChar"/>
          <w:rFonts w:cstheme="minorHAnsi"/>
          <w:szCs w:val="24"/>
        </w:rPr>
        <w:t>prevent</w:t>
      </w:r>
      <w:r w:rsidR="00FA54B2">
        <w:rPr>
          <w:rStyle w:val="BodyTextChar"/>
          <w:rFonts w:cstheme="minorHAnsi"/>
          <w:szCs w:val="24"/>
        </w:rPr>
        <w:t xml:space="preserve"> medical device shortages</w:t>
      </w:r>
      <w:r w:rsidRPr="00164227" w:rsidR="00D17CD3">
        <w:rPr>
          <w:rStyle w:val="BodyTextChar"/>
          <w:rFonts w:cstheme="minorHAnsi"/>
          <w:szCs w:val="24"/>
        </w:rPr>
        <w:t xml:space="preserve">, and/or mitigate </w:t>
      </w:r>
      <w:r w:rsidR="00FA54B2">
        <w:rPr>
          <w:rStyle w:val="BodyTextChar"/>
          <w:rFonts w:cstheme="minorHAnsi"/>
          <w:szCs w:val="24"/>
        </w:rPr>
        <w:t xml:space="preserve">actual </w:t>
      </w:r>
      <w:r w:rsidRPr="00164227" w:rsidR="00D17CD3">
        <w:rPr>
          <w:rStyle w:val="BodyTextChar"/>
          <w:rFonts w:cstheme="minorHAnsi"/>
          <w:szCs w:val="24"/>
        </w:rPr>
        <w:t xml:space="preserve">medical device shortages, </w:t>
      </w:r>
      <w:r w:rsidRPr="00164227" w:rsidR="00D17CD3">
        <w:rPr>
          <w:rFonts w:cstheme="minorHAnsi"/>
          <w:szCs w:val="24"/>
        </w:rPr>
        <w:t xml:space="preserve">in a much more </w:t>
      </w:r>
      <w:r w:rsidRPr="00164227" w:rsidR="00D17CD3">
        <w:rPr>
          <w:rFonts w:cstheme="minorHAnsi"/>
          <w:i/>
          <w:szCs w:val="24"/>
        </w:rPr>
        <w:t xml:space="preserve">proactive </w:t>
      </w:r>
      <w:r w:rsidRPr="00164227" w:rsidR="00D17CD3">
        <w:rPr>
          <w:rFonts w:cstheme="minorHAnsi"/>
          <w:szCs w:val="24"/>
        </w:rPr>
        <w:t>manner</w:t>
      </w:r>
      <w:r w:rsidR="00D17CD3">
        <w:rPr>
          <w:rFonts w:cstheme="minorHAnsi"/>
          <w:szCs w:val="24"/>
        </w:rPr>
        <w:t>.</w:t>
      </w:r>
      <w:r w:rsidR="0005004C">
        <w:rPr>
          <w:szCs w:val="24"/>
        </w:rPr>
        <w:t xml:space="preserve"> The information will be used to populate and maintain a </w:t>
      </w:r>
      <w:r w:rsidR="00D93DBD">
        <w:rPr>
          <w:szCs w:val="24"/>
        </w:rPr>
        <w:t xml:space="preserve">data collection and management system internal to CDRH </w:t>
      </w:r>
      <w:r w:rsidR="004B3C62">
        <w:rPr>
          <w:szCs w:val="24"/>
        </w:rPr>
        <w:t>that can be accessed immediately and used to inform HHS’s decisions regarding shortage management.</w:t>
      </w:r>
      <w:r w:rsidR="0032361C">
        <w:rPr>
          <w:szCs w:val="24"/>
        </w:rPr>
        <w:t xml:space="preserve"> </w:t>
      </w:r>
      <w:r w:rsidR="00C32BE5">
        <w:t xml:space="preserve">Contributions to the database will be voluntary. Data will be collected using least burdensome methods. </w:t>
      </w:r>
    </w:p>
    <w:p w:rsidRPr="00072FB2" w:rsidR="00892703" w:rsidRDefault="00892703" w14:paraId="690CFCBC" w14:textId="77777777">
      <w:pPr>
        <w:ind w:left="540"/>
        <w:rPr>
          <w:rFonts w:ascii="Times New Roman" w:hAnsi="Times New Roman"/>
          <w:snapToGrid w:val="0"/>
          <w:szCs w:val="24"/>
        </w:rPr>
      </w:pPr>
    </w:p>
    <w:p w:rsidRPr="00072FB2" w:rsidR="00892703" w:rsidRDefault="00892703" w14:paraId="3248955C" w14:textId="77777777">
      <w:pPr>
        <w:widowControl w:val="0"/>
        <w:tabs>
          <w:tab w:val="left" w:pos="-1440"/>
          <w:tab w:val="left" w:pos="540"/>
        </w:tabs>
        <w:ind w:left="540" w:hanging="540"/>
        <w:rPr>
          <w:rFonts w:ascii="Times New Roman" w:hAnsi="Times New Roman"/>
          <w:b/>
          <w:szCs w:val="24"/>
        </w:rPr>
      </w:pPr>
      <w:r w:rsidRPr="00072FB2">
        <w:rPr>
          <w:rFonts w:ascii="Times New Roman" w:hAnsi="Times New Roman"/>
          <w:b/>
          <w:szCs w:val="24"/>
        </w:rPr>
        <w:t>3.</w:t>
      </w:r>
      <w:r w:rsidRPr="00072FB2">
        <w:rPr>
          <w:rFonts w:ascii="Times New Roman" w:hAnsi="Times New Roman"/>
          <w:b/>
          <w:szCs w:val="24"/>
        </w:rPr>
        <w:tab/>
      </w:r>
      <w:r w:rsidRPr="00072FB2">
        <w:rPr>
          <w:rFonts w:ascii="Times New Roman" w:hAnsi="Times New Roman"/>
          <w:b/>
          <w:szCs w:val="24"/>
          <w:u w:val="single"/>
        </w:rPr>
        <w:t xml:space="preserve">Use of </w:t>
      </w:r>
      <w:r w:rsidR="00C04E1B">
        <w:rPr>
          <w:rFonts w:ascii="Times New Roman" w:hAnsi="Times New Roman"/>
          <w:b/>
          <w:szCs w:val="24"/>
          <w:u w:val="single"/>
        </w:rPr>
        <w:t xml:space="preserve">Improved </w:t>
      </w:r>
      <w:r w:rsidRPr="00072FB2">
        <w:rPr>
          <w:rFonts w:ascii="Times New Roman" w:hAnsi="Times New Roman"/>
          <w:b/>
          <w:szCs w:val="24"/>
          <w:u w:val="single"/>
        </w:rPr>
        <w:t>Information Technology and Burden Reduction</w:t>
      </w:r>
    </w:p>
    <w:p w:rsidRPr="00072FB2" w:rsidR="00892703" w:rsidRDefault="00892703" w14:paraId="2596B4D4" w14:textId="77777777">
      <w:pPr>
        <w:rPr>
          <w:rFonts w:ascii="Times New Roman" w:hAnsi="Times New Roman"/>
          <w:snapToGrid w:val="0"/>
          <w:szCs w:val="24"/>
        </w:rPr>
      </w:pPr>
    </w:p>
    <w:p w:rsidR="00742E55" w:rsidRDefault="00C32BE5" w14:paraId="195C6CFC" w14:textId="64A90DAE">
      <w:pPr>
        <w:pStyle w:val="BodyTextIndent"/>
        <w:rPr>
          <w:szCs w:val="24"/>
        </w:rPr>
      </w:pPr>
      <w:r>
        <w:rPr>
          <w:szCs w:val="24"/>
        </w:rPr>
        <w:t>Essential device</w:t>
      </w:r>
      <w:r w:rsidRPr="00742E55" w:rsidR="00742E55">
        <w:rPr>
          <w:szCs w:val="24"/>
        </w:rPr>
        <w:t xml:space="preserve"> manufacturers will be contacted </w:t>
      </w:r>
      <w:r>
        <w:rPr>
          <w:szCs w:val="24"/>
        </w:rPr>
        <w:t xml:space="preserve">initially </w:t>
      </w:r>
      <w:r w:rsidRPr="00742E55" w:rsidR="00742E55">
        <w:rPr>
          <w:szCs w:val="24"/>
        </w:rPr>
        <w:t>via telephone</w:t>
      </w:r>
      <w:r w:rsidR="00D17CD3">
        <w:rPr>
          <w:szCs w:val="24"/>
        </w:rPr>
        <w:t>/email</w:t>
      </w:r>
      <w:r w:rsidRPr="00742E55" w:rsidR="00742E55">
        <w:rPr>
          <w:szCs w:val="24"/>
        </w:rPr>
        <w:t xml:space="preserve"> and asked </w:t>
      </w:r>
      <w:r>
        <w:rPr>
          <w:szCs w:val="24"/>
        </w:rPr>
        <w:t xml:space="preserve">to identify </w:t>
      </w:r>
      <w:r w:rsidRPr="00742E55" w:rsidR="00742E55">
        <w:rPr>
          <w:szCs w:val="24"/>
        </w:rPr>
        <w:t xml:space="preserve">appropriate points of contact </w:t>
      </w:r>
      <w:r>
        <w:rPr>
          <w:szCs w:val="24"/>
        </w:rPr>
        <w:t xml:space="preserve">to be used </w:t>
      </w:r>
      <w:r w:rsidRPr="00742E55" w:rsidR="00742E55">
        <w:rPr>
          <w:szCs w:val="24"/>
        </w:rPr>
        <w:t xml:space="preserve">during an emergency, </w:t>
      </w:r>
      <w:r>
        <w:rPr>
          <w:szCs w:val="24"/>
        </w:rPr>
        <w:t xml:space="preserve">the </w:t>
      </w:r>
      <w:r w:rsidRPr="00742E55" w:rsidR="00742E55">
        <w:rPr>
          <w:szCs w:val="24"/>
        </w:rPr>
        <w:t xml:space="preserve">manufacturing locations for the </w:t>
      </w:r>
      <w:r>
        <w:rPr>
          <w:szCs w:val="24"/>
        </w:rPr>
        <w:t xml:space="preserve">essential </w:t>
      </w:r>
      <w:r w:rsidRPr="00742E55" w:rsidR="00742E55">
        <w:rPr>
          <w:szCs w:val="24"/>
        </w:rPr>
        <w:t xml:space="preserve">devices </w:t>
      </w:r>
      <w:r w:rsidR="007C7110">
        <w:rPr>
          <w:szCs w:val="24"/>
        </w:rPr>
        <w:t xml:space="preserve">they manufacture </w:t>
      </w:r>
      <w:r>
        <w:rPr>
          <w:szCs w:val="24"/>
        </w:rPr>
        <w:t xml:space="preserve">the firm’s routine and surge </w:t>
      </w:r>
      <w:r w:rsidRPr="00742E55" w:rsidR="00742E55">
        <w:rPr>
          <w:szCs w:val="24"/>
        </w:rPr>
        <w:t xml:space="preserve">production capacity, </w:t>
      </w:r>
      <w:r>
        <w:rPr>
          <w:szCs w:val="24"/>
        </w:rPr>
        <w:t xml:space="preserve">any </w:t>
      </w:r>
      <w:r w:rsidRPr="00742E55" w:rsidR="00742E55">
        <w:rPr>
          <w:szCs w:val="24"/>
        </w:rPr>
        <w:t>raw material</w:t>
      </w:r>
      <w:r w:rsidR="00FD7E8B">
        <w:rPr>
          <w:szCs w:val="24"/>
        </w:rPr>
        <w:t>, supplier,</w:t>
      </w:r>
      <w:r w:rsidRPr="00742E55" w:rsidR="00742E55">
        <w:rPr>
          <w:szCs w:val="24"/>
        </w:rPr>
        <w:t xml:space="preserve"> and subcomponent constraints, and </w:t>
      </w:r>
      <w:r>
        <w:rPr>
          <w:szCs w:val="24"/>
        </w:rPr>
        <w:t xml:space="preserve">any </w:t>
      </w:r>
      <w:r w:rsidRPr="00742E55" w:rsidR="00742E55">
        <w:rPr>
          <w:szCs w:val="24"/>
        </w:rPr>
        <w:t>other information as appropriate to aid the Center’s public health response</w:t>
      </w:r>
      <w:r w:rsidR="00742E55">
        <w:rPr>
          <w:szCs w:val="24"/>
        </w:rPr>
        <w:t>. In order to provide context for the outreach, CDRH staff will articulate that the</w:t>
      </w:r>
      <w:r w:rsidRPr="00742E55" w:rsidR="00742E55">
        <w:rPr>
          <w:szCs w:val="24"/>
        </w:rPr>
        <w:t xml:space="preserve"> data collection effort is intended to limit the potential for disruption in healthcare processes and/or threats to the public health </w:t>
      </w:r>
      <w:r w:rsidR="00162744">
        <w:rPr>
          <w:szCs w:val="24"/>
        </w:rPr>
        <w:t xml:space="preserve">resulting from regulatory action or </w:t>
      </w:r>
      <w:r w:rsidRPr="00742E55" w:rsidR="00742E55">
        <w:rPr>
          <w:szCs w:val="24"/>
        </w:rPr>
        <w:t>in the event of an emergency such as a natural or man-made disaster</w:t>
      </w:r>
      <w:r w:rsidR="00742E55">
        <w:rPr>
          <w:szCs w:val="24"/>
        </w:rPr>
        <w:t>.</w:t>
      </w:r>
      <w:r w:rsidR="00FD7E8B">
        <w:rPr>
          <w:szCs w:val="24"/>
        </w:rPr>
        <w:t xml:space="preserve"> CDRH will also emphasize that data collected will be considered confidential corporate information and not disclosed outside of CDRH.</w:t>
      </w:r>
    </w:p>
    <w:p w:rsidR="001F4CBA" w:rsidP="00A42BBF" w:rsidRDefault="001F4CBA" w14:paraId="6BC1CDBE" w14:textId="77777777">
      <w:pPr>
        <w:pStyle w:val="BodyTextIndent"/>
        <w:ind w:left="0"/>
        <w:rPr>
          <w:szCs w:val="24"/>
        </w:rPr>
      </w:pPr>
    </w:p>
    <w:p w:rsidRPr="00072FB2" w:rsidR="00892703" w:rsidRDefault="00892703" w14:paraId="04FED036" w14:textId="61D64219">
      <w:pPr>
        <w:pStyle w:val="BodyTextIndent"/>
        <w:rPr>
          <w:szCs w:val="24"/>
        </w:rPr>
      </w:pPr>
    </w:p>
    <w:p w:rsidRPr="00072FB2" w:rsidR="00892703" w:rsidRDefault="00892703" w14:paraId="3E866788" w14:textId="77777777">
      <w:pPr>
        <w:rPr>
          <w:rFonts w:ascii="Times New Roman" w:hAnsi="Times New Roman"/>
          <w:snapToGrid w:val="0"/>
          <w:szCs w:val="24"/>
        </w:rPr>
      </w:pPr>
    </w:p>
    <w:p w:rsidRPr="00072FB2" w:rsidR="00892703" w:rsidRDefault="00892703" w14:paraId="453EA3EC" w14:textId="77777777">
      <w:pPr>
        <w:widowControl w:val="0"/>
        <w:tabs>
          <w:tab w:val="left" w:pos="-1440"/>
          <w:tab w:val="left" w:pos="540"/>
        </w:tabs>
        <w:ind w:left="540" w:hanging="540"/>
        <w:rPr>
          <w:rFonts w:ascii="Times New Roman" w:hAnsi="Times New Roman"/>
          <w:b/>
          <w:szCs w:val="24"/>
        </w:rPr>
      </w:pPr>
      <w:r w:rsidRPr="00072FB2">
        <w:rPr>
          <w:rFonts w:ascii="Times New Roman" w:hAnsi="Times New Roman"/>
          <w:b/>
          <w:szCs w:val="24"/>
        </w:rPr>
        <w:t>4.</w:t>
      </w:r>
      <w:r w:rsidRPr="00072FB2">
        <w:rPr>
          <w:rFonts w:ascii="Times New Roman" w:hAnsi="Times New Roman"/>
          <w:b/>
          <w:szCs w:val="24"/>
        </w:rPr>
        <w:tab/>
      </w:r>
      <w:r w:rsidRPr="00072FB2">
        <w:rPr>
          <w:rFonts w:ascii="Times New Roman" w:hAnsi="Times New Roman"/>
          <w:b/>
          <w:szCs w:val="24"/>
          <w:u w:val="single"/>
        </w:rPr>
        <w:t>Efforts to Identify Duplication and Use of Similar Information</w:t>
      </w:r>
    </w:p>
    <w:p w:rsidRPr="00072FB2" w:rsidR="00892703" w:rsidRDefault="00892703" w14:paraId="0F237492" w14:textId="77777777">
      <w:pPr>
        <w:rPr>
          <w:rFonts w:ascii="Times New Roman" w:hAnsi="Times New Roman"/>
          <w:snapToGrid w:val="0"/>
          <w:szCs w:val="24"/>
        </w:rPr>
      </w:pPr>
    </w:p>
    <w:p w:rsidR="006B2E28" w:rsidP="00BF7170" w:rsidRDefault="00CE06A4" w14:paraId="5E3BC4BA" w14:textId="54469228">
      <w:pPr>
        <w:ind w:left="540"/>
        <w:rPr>
          <w:rFonts w:ascii="Times New Roman" w:hAnsi="Times New Roman"/>
          <w:snapToGrid w:val="0"/>
          <w:szCs w:val="24"/>
        </w:rPr>
      </w:pPr>
      <w:r>
        <w:rPr>
          <w:rFonts w:ascii="Times New Roman" w:hAnsi="Times New Roman"/>
          <w:snapToGrid w:val="0"/>
          <w:szCs w:val="24"/>
        </w:rPr>
        <w:t xml:space="preserve">Within the </w:t>
      </w:r>
      <w:r w:rsidRPr="00072FB2" w:rsidR="005705E5">
        <w:rPr>
          <w:rFonts w:ascii="Times New Roman" w:hAnsi="Times New Roman"/>
          <w:snapToGrid w:val="0"/>
          <w:szCs w:val="24"/>
        </w:rPr>
        <w:t>Federal</w:t>
      </w:r>
      <w:r w:rsidRPr="00072FB2" w:rsidR="001A4740">
        <w:rPr>
          <w:rFonts w:ascii="Times New Roman" w:hAnsi="Times New Roman"/>
          <w:snapToGrid w:val="0"/>
          <w:szCs w:val="24"/>
        </w:rPr>
        <w:t xml:space="preserve"> system,</w:t>
      </w:r>
      <w:r w:rsidRPr="00072FB2" w:rsidR="005705E5">
        <w:rPr>
          <w:rFonts w:ascii="Times New Roman" w:hAnsi="Times New Roman"/>
          <w:snapToGrid w:val="0"/>
          <w:szCs w:val="24"/>
        </w:rPr>
        <w:t xml:space="preserve"> the</w:t>
      </w:r>
      <w:r>
        <w:rPr>
          <w:rFonts w:ascii="Times New Roman" w:hAnsi="Times New Roman"/>
          <w:snapToGrid w:val="0"/>
          <w:szCs w:val="24"/>
        </w:rPr>
        <w:t>re are several other groups who conduct some type of data collection relat</w:t>
      </w:r>
      <w:r w:rsidR="00FB2D03">
        <w:rPr>
          <w:rFonts w:ascii="Times New Roman" w:hAnsi="Times New Roman"/>
          <w:snapToGrid w:val="0"/>
          <w:szCs w:val="24"/>
        </w:rPr>
        <w:t>e</w:t>
      </w:r>
      <w:r>
        <w:rPr>
          <w:rFonts w:ascii="Times New Roman" w:hAnsi="Times New Roman"/>
          <w:snapToGrid w:val="0"/>
          <w:szCs w:val="24"/>
        </w:rPr>
        <w:t xml:space="preserve">d to medical </w:t>
      </w:r>
      <w:r w:rsidR="00E94270">
        <w:rPr>
          <w:rFonts w:ascii="Times New Roman" w:hAnsi="Times New Roman"/>
          <w:snapToGrid w:val="0"/>
          <w:szCs w:val="24"/>
        </w:rPr>
        <w:t>products</w:t>
      </w:r>
      <w:r>
        <w:rPr>
          <w:rFonts w:ascii="Times New Roman" w:hAnsi="Times New Roman"/>
          <w:snapToGrid w:val="0"/>
          <w:szCs w:val="24"/>
        </w:rPr>
        <w:t xml:space="preserve">. </w:t>
      </w:r>
      <w:r w:rsidR="0039199B">
        <w:rPr>
          <w:rFonts w:ascii="Times New Roman" w:hAnsi="Times New Roman"/>
          <w:snapToGrid w:val="0"/>
          <w:szCs w:val="24"/>
        </w:rPr>
        <w:t>For example, t</w:t>
      </w:r>
      <w:r>
        <w:rPr>
          <w:rFonts w:ascii="Times New Roman" w:hAnsi="Times New Roman"/>
          <w:snapToGrid w:val="0"/>
          <w:szCs w:val="24"/>
        </w:rPr>
        <w:t>he</w:t>
      </w:r>
      <w:r w:rsidRPr="00072FB2" w:rsidR="005705E5">
        <w:rPr>
          <w:rFonts w:ascii="Times New Roman" w:hAnsi="Times New Roman"/>
          <w:snapToGrid w:val="0"/>
          <w:szCs w:val="24"/>
        </w:rPr>
        <w:t xml:space="preserve"> Strategic National Stockpile and the National Acquisition Center have their own data collection systems</w:t>
      </w:r>
      <w:r>
        <w:rPr>
          <w:rFonts w:ascii="Times New Roman" w:hAnsi="Times New Roman"/>
          <w:snapToGrid w:val="0"/>
          <w:szCs w:val="24"/>
        </w:rPr>
        <w:t xml:space="preserve"> </w:t>
      </w:r>
      <w:r w:rsidR="0039199B">
        <w:rPr>
          <w:rFonts w:ascii="Times New Roman" w:hAnsi="Times New Roman"/>
          <w:snapToGrid w:val="0"/>
          <w:szCs w:val="24"/>
        </w:rPr>
        <w:t>for</w:t>
      </w:r>
      <w:r>
        <w:rPr>
          <w:rFonts w:ascii="Times New Roman" w:hAnsi="Times New Roman"/>
          <w:snapToGrid w:val="0"/>
          <w:szCs w:val="24"/>
        </w:rPr>
        <w:t xml:space="preserve"> pre-procurement analysis.</w:t>
      </w:r>
      <w:r w:rsidR="00EA2747">
        <w:rPr>
          <w:rFonts w:ascii="Times New Roman" w:hAnsi="Times New Roman"/>
          <w:snapToGrid w:val="0"/>
          <w:szCs w:val="24"/>
        </w:rPr>
        <w:t xml:space="preserve"> </w:t>
      </w:r>
      <w:r w:rsidR="0039199B">
        <w:rPr>
          <w:rFonts w:ascii="Times New Roman" w:hAnsi="Times New Roman"/>
          <w:snapToGrid w:val="0"/>
          <w:szCs w:val="24"/>
        </w:rPr>
        <w:t>Also, t</w:t>
      </w:r>
      <w:r w:rsidR="00EA2747">
        <w:rPr>
          <w:rFonts w:ascii="Times New Roman" w:hAnsi="Times New Roman"/>
          <w:snapToGrid w:val="0"/>
          <w:szCs w:val="24"/>
        </w:rPr>
        <w:t>he Biomedical Advanced Research and Development Authority (</w:t>
      </w:r>
      <w:r>
        <w:rPr>
          <w:rFonts w:ascii="Times New Roman" w:hAnsi="Times New Roman"/>
          <w:snapToGrid w:val="0"/>
          <w:szCs w:val="24"/>
        </w:rPr>
        <w:t>BARDA</w:t>
      </w:r>
      <w:r w:rsidR="00EA2747">
        <w:rPr>
          <w:rFonts w:ascii="Times New Roman" w:hAnsi="Times New Roman"/>
          <w:snapToGrid w:val="0"/>
          <w:szCs w:val="24"/>
        </w:rPr>
        <w:t>)</w:t>
      </w:r>
      <w:r>
        <w:rPr>
          <w:rFonts w:ascii="Times New Roman" w:hAnsi="Times New Roman"/>
          <w:snapToGrid w:val="0"/>
          <w:szCs w:val="24"/>
        </w:rPr>
        <w:t xml:space="preserve"> conducts </w:t>
      </w:r>
      <w:r>
        <w:rPr>
          <w:rFonts w:ascii="Times New Roman" w:hAnsi="Times New Roman"/>
          <w:i/>
          <w:snapToGrid w:val="0"/>
          <w:szCs w:val="24"/>
        </w:rPr>
        <w:t xml:space="preserve">ad hoc </w:t>
      </w:r>
      <w:r>
        <w:rPr>
          <w:rFonts w:ascii="Times New Roman" w:hAnsi="Times New Roman"/>
          <w:snapToGrid w:val="0"/>
          <w:szCs w:val="24"/>
        </w:rPr>
        <w:t>inquiries to manufacturers of a limited number of medical devices and drugs, and there may be some overlap</w:t>
      </w:r>
      <w:r w:rsidR="0039199B">
        <w:rPr>
          <w:rFonts w:ascii="Times New Roman" w:hAnsi="Times New Roman"/>
          <w:snapToGrid w:val="0"/>
          <w:szCs w:val="24"/>
        </w:rPr>
        <w:t xml:space="preserve"> with these efforts</w:t>
      </w:r>
      <w:r>
        <w:rPr>
          <w:rFonts w:ascii="Times New Roman" w:hAnsi="Times New Roman"/>
          <w:snapToGrid w:val="0"/>
          <w:szCs w:val="24"/>
        </w:rPr>
        <w:t xml:space="preserve">. To limit the potential for duplication, </w:t>
      </w:r>
      <w:r w:rsidR="00AD2E87">
        <w:rPr>
          <w:rFonts w:ascii="Times New Roman" w:hAnsi="Times New Roman"/>
          <w:snapToGrid w:val="0"/>
          <w:szCs w:val="24"/>
        </w:rPr>
        <w:t xml:space="preserve">a CDRH staff member </w:t>
      </w:r>
      <w:r w:rsidR="0005004C">
        <w:rPr>
          <w:rFonts w:ascii="Times New Roman" w:hAnsi="Times New Roman"/>
          <w:snapToGrid w:val="0"/>
          <w:szCs w:val="24"/>
        </w:rPr>
        <w:t>will</w:t>
      </w:r>
      <w:r w:rsidR="00AD2E87">
        <w:rPr>
          <w:rFonts w:ascii="Times New Roman" w:hAnsi="Times New Roman"/>
          <w:snapToGrid w:val="0"/>
          <w:szCs w:val="24"/>
        </w:rPr>
        <w:t xml:space="preserve"> </w:t>
      </w:r>
      <w:r w:rsidR="00370883">
        <w:rPr>
          <w:rFonts w:ascii="Times New Roman" w:hAnsi="Times New Roman"/>
          <w:snapToGrid w:val="0"/>
          <w:szCs w:val="24"/>
        </w:rPr>
        <w:t>co</w:t>
      </w:r>
      <w:r w:rsidR="00EA2747">
        <w:rPr>
          <w:rFonts w:ascii="Times New Roman" w:hAnsi="Times New Roman"/>
          <w:snapToGrid w:val="0"/>
          <w:szCs w:val="24"/>
        </w:rPr>
        <w:t>or</w:t>
      </w:r>
      <w:r w:rsidR="00370883">
        <w:rPr>
          <w:rFonts w:ascii="Times New Roman" w:hAnsi="Times New Roman"/>
          <w:snapToGrid w:val="0"/>
          <w:szCs w:val="24"/>
        </w:rPr>
        <w:t xml:space="preserve">dinate with other </w:t>
      </w:r>
      <w:r w:rsidR="0039199B">
        <w:rPr>
          <w:rFonts w:ascii="Times New Roman" w:hAnsi="Times New Roman"/>
          <w:snapToGrid w:val="0"/>
          <w:szCs w:val="24"/>
        </w:rPr>
        <w:t xml:space="preserve">identified </w:t>
      </w:r>
      <w:r w:rsidR="00370883">
        <w:rPr>
          <w:rFonts w:ascii="Times New Roman" w:hAnsi="Times New Roman"/>
          <w:snapToGrid w:val="0"/>
          <w:szCs w:val="24"/>
        </w:rPr>
        <w:t>Federal entities</w:t>
      </w:r>
      <w:r w:rsidR="00AD2E87">
        <w:rPr>
          <w:rFonts w:ascii="Times New Roman" w:hAnsi="Times New Roman"/>
          <w:snapToGrid w:val="0"/>
          <w:szCs w:val="24"/>
        </w:rPr>
        <w:t xml:space="preserve"> as needed</w:t>
      </w:r>
      <w:r w:rsidR="00370883">
        <w:rPr>
          <w:rFonts w:ascii="Times New Roman" w:hAnsi="Times New Roman"/>
          <w:snapToGrid w:val="0"/>
          <w:szCs w:val="24"/>
        </w:rPr>
        <w:t xml:space="preserve"> either directly or through co-participation in working groups and committees.</w:t>
      </w:r>
      <w:r w:rsidRPr="00072FB2" w:rsidR="00D61922">
        <w:rPr>
          <w:rFonts w:ascii="Times New Roman" w:hAnsi="Times New Roman"/>
          <w:snapToGrid w:val="0"/>
          <w:szCs w:val="24"/>
        </w:rPr>
        <w:t xml:space="preserve"> </w:t>
      </w:r>
      <w:r w:rsidR="0005004C">
        <w:rPr>
          <w:rFonts w:ascii="Times New Roman" w:hAnsi="Times New Roman"/>
          <w:snapToGrid w:val="0"/>
          <w:szCs w:val="24"/>
        </w:rPr>
        <w:t>Where data are already available that meet CDRH’s needs, it will be obtained from these other groups and not from manufacturers.</w:t>
      </w:r>
    </w:p>
    <w:p w:rsidRPr="00072FB2" w:rsidR="00F64A7D" w:rsidP="00F64A7D" w:rsidRDefault="00F64A7D" w14:paraId="33E2073B" w14:textId="77777777">
      <w:pPr>
        <w:ind w:left="540" w:hanging="540"/>
        <w:rPr>
          <w:rFonts w:ascii="Times New Roman" w:hAnsi="Times New Roman"/>
          <w:snapToGrid w:val="0"/>
          <w:szCs w:val="24"/>
        </w:rPr>
      </w:pPr>
    </w:p>
    <w:p w:rsidRPr="00072FB2" w:rsidR="00892703" w:rsidRDefault="00892703" w14:paraId="013C2F9D" w14:textId="77777777">
      <w:pPr>
        <w:widowControl w:val="0"/>
        <w:tabs>
          <w:tab w:val="left" w:pos="-1440"/>
          <w:tab w:val="left" w:pos="540"/>
        </w:tabs>
        <w:ind w:left="720" w:hanging="720"/>
        <w:rPr>
          <w:rFonts w:ascii="Times New Roman" w:hAnsi="Times New Roman"/>
          <w:b/>
          <w:szCs w:val="24"/>
        </w:rPr>
      </w:pPr>
      <w:r w:rsidRPr="00072FB2">
        <w:rPr>
          <w:rFonts w:ascii="Times New Roman" w:hAnsi="Times New Roman"/>
          <w:b/>
          <w:szCs w:val="24"/>
        </w:rPr>
        <w:t>5.</w:t>
      </w:r>
      <w:r w:rsidRPr="00072FB2">
        <w:rPr>
          <w:rFonts w:ascii="Times New Roman" w:hAnsi="Times New Roman"/>
          <w:b/>
          <w:szCs w:val="24"/>
        </w:rPr>
        <w:tab/>
      </w:r>
      <w:r w:rsidRPr="00072FB2">
        <w:rPr>
          <w:rFonts w:ascii="Times New Roman" w:hAnsi="Times New Roman"/>
          <w:b/>
          <w:szCs w:val="24"/>
          <w:u w:val="single"/>
        </w:rPr>
        <w:t>Impact on Small Business</w:t>
      </w:r>
      <w:r w:rsidR="0035468B">
        <w:rPr>
          <w:rFonts w:ascii="Times New Roman" w:hAnsi="Times New Roman"/>
          <w:b/>
          <w:szCs w:val="24"/>
          <w:u w:val="single"/>
        </w:rPr>
        <w:t>es</w:t>
      </w:r>
      <w:r w:rsidRPr="00072FB2">
        <w:rPr>
          <w:rFonts w:ascii="Times New Roman" w:hAnsi="Times New Roman"/>
          <w:b/>
          <w:szCs w:val="24"/>
          <w:u w:val="single"/>
        </w:rPr>
        <w:t xml:space="preserve"> or Other Small Entities</w:t>
      </w:r>
    </w:p>
    <w:p w:rsidRPr="00072FB2" w:rsidR="00892703" w:rsidRDefault="00892703" w14:paraId="7CFB50F4" w14:textId="77777777">
      <w:pPr>
        <w:rPr>
          <w:rFonts w:ascii="Times New Roman" w:hAnsi="Times New Roman"/>
          <w:snapToGrid w:val="0"/>
          <w:szCs w:val="24"/>
        </w:rPr>
      </w:pPr>
    </w:p>
    <w:p w:rsidRPr="00072FB2" w:rsidR="00892703" w:rsidRDefault="005705E5" w14:paraId="505DA650" w14:textId="28251218">
      <w:pPr>
        <w:pStyle w:val="BodyTextIndent"/>
        <w:rPr>
          <w:szCs w:val="24"/>
        </w:rPr>
      </w:pPr>
      <w:r w:rsidRPr="00072FB2">
        <w:rPr>
          <w:szCs w:val="24"/>
        </w:rPr>
        <w:t>T</w:t>
      </w:r>
      <w:r w:rsidRPr="00072FB2" w:rsidR="00892703">
        <w:rPr>
          <w:szCs w:val="24"/>
        </w:rPr>
        <w:t>he</w:t>
      </w:r>
      <w:r w:rsidRPr="00072FB2" w:rsidR="006F2E82">
        <w:rPr>
          <w:szCs w:val="24"/>
        </w:rPr>
        <w:t xml:space="preserve"> data collect</w:t>
      </w:r>
      <w:r w:rsidR="000D7729">
        <w:rPr>
          <w:szCs w:val="24"/>
        </w:rPr>
        <w:t xml:space="preserve">ed </w:t>
      </w:r>
      <w:r w:rsidR="00CA7DD3">
        <w:rPr>
          <w:szCs w:val="24"/>
        </w:rPr>
        <w:t xml:space="preserve">is focused on manufacturers </w:t>
      </w:r>
      <w:r w:rsidR="000578D7">
        <w:rPr>
          <w:szCs w:val="24"/>
        </w:rPr>
        <w:t xml:space="preserve">whose devices </w:t>
      </w:r>
      <w:r w:rsidR="00CA7DD3">
        <w:rPr>
          <w:szCs w:val="24"/>
        </w:rPr>
        <w:t>meet the criteria</w:t>
      </w:r>
      <w:r w:rsidR="000578D7">
        <w:rPr>
          <w:szCs w:val="24"/>
        </w:rPr>
        <w:t xml:space="preserve"> for inclusion in the shortages database</w:t>
      </w:r>
      <w:r w:rsidR="0039199B">
        <w:rPr>
          <w:szCs w:val="24"/>
        </w:rPr>
        <w:t xml:space="preserve"> by virtue of their “essential” designation</w:t>
      </w:r>
      <w:r w:rsidR="00FD52DF">
        <w:rPr>
          <w:szCs w:val="24"/>
        </w:rPr>
        <w:t>, as described in section 1 of this document</w:t>
      </w:r>
      <w:r w:rsidR="000578D7">
        <w:rPr>
          <w:szCs w:val="24"/>
        </w:rPr>
        <w:t>. Sometimes this may impact small businesses. However, p</w:t>
      </w:r>
      <w:r w:rsidRPr="00072FB2" w:rsidR="000578D7">
        <w:rPr>
          <w:szCs w:val="24"/>
        </w:rPr>
        <w:t xml:space="preserve">articipation in the medical device shortage </w:t>
      </w:r>
      <w:r w:rsidR="00D845BB">
        <w:rPr>
          <w:szCs w:val="24"/>
        </w:rPr>
        <w:t>data collection process</w:t>
      </w:r>
      <w:r w:rsidRPr="00072FB2" w:rsidR="00D845BB">
        <w:rPr>
          <w:szCs w:val="24"/>
        </w:rPr>
        <w:t xml:space="preserve"> </w:t>
      </w:r>
      <w:r w:rsidRPr="00072FB2" w:rsidR="000578D7">
        <w:rPr>
          <w:szCs w:val="24"/>
        </w:rPr>
        <w:t>is voluntary</w:t>
      </w:r>
      <w:r w:rsidR="000578D7">
        <w:rPr>
          <w:szCs w:val="24"/>
        </w:rPr>
        <w:t>, and therefore firms may opt out if participation is felt to be too burdensome</w:t>
      </w:r>
      <w:r w:rsidRPr="00072FB2" w:rsidR="000578D7">
        <w:rPr>
          <w:szCs w:val="24"/>
        </w:rPr>
        <w:t xml:space="preserve">. </w:t>
      </w:r>
      <w:r w:rsidR="0039199B">
        <w:rPr>
          <w:szCs w:val="24"/>
        </w:rPr>
        <w:t xml:space="preserve">FDA will make every effort to reduce the burden of participation as much as possible, by using the procedures described </w:t>
      </w:r>
      <w:r w:rsidR="00FD52DF">
        <w:rPr>
          <w:szCs w:val="24"/>
        </w:rPr>
        <w:t>in this document</w:t>
      </w:r>
      <w:r w:rsidR="0039199B">
        <w:rPr>
          <w:szCs w:val="24"/>
        </w:rPr>
        <w:t>.</w:t>
      </w:r>
    </w:p>
    <w:p w:rsidRPr="00072FB2" w:rsidR="00892703" w:rsidRDefault="00892703" w14:paraId="33C2323D" w14:textId="77777777">
      <w:pPr>
        <w:ind w:left="540"/>
        <w:rPr>
          <w:rFonts w:ascii="Times New Roman" w:hAnsi="Times New Roman"/>
          <w:snapToGrid w:val="0"/>
          <w:szCs w:val="24"/>
        </w:rPr>
      </w:pPr>
    </w:p>
    <w:p w:rsidRPr="00072FB2" w:rsidR="00892703" w:rsidRDefault="00892703" w14:paraId="3C0E2C92" w14:textId="77777777">
      <w:pPr>
        <w:widowControl w:val="0"/>
        <w:tabs>
          <w:tab w:val="left" w:pos="-1440"/>
          <w:tab w:val="left" w:pos="540"/>
        </w:tabs>
        <w:ind w:left="540" w:hanging="540"/>
        <w:rPr>
          <w:rFonts w:ascii="Times New Roman" w:hAnsi="Times New Roman"/>
          <w:b/>
          <w:szCs w:val="24"/>
        </w:rPr>
      </w:pPr>
      <w:r w:rsidRPr="00072FB2">
        <w:rPr>
          <w:rFonts w:ascii="Times New Roman" w:hAnsi="Times New Roman"/>
          <w:b/>
          <w:szCs w:val="24"/>
        </w:rPr>
        <w:t>6.</w:t>
      </w:r>
      <w:r w:rsidRPr="00072FB2">
        <w:rPr>
          <w:rFonts w:ascii="Times New Roman" w:hAnsi="Times New Roman"/>
          <w:b/>
          <w:szCs w:val="24"/>
        </w:rPr>
        <w:tab/>
      </w:r>
      <w:r w:rsidRPr="00072FB2">
        <w:rPr>
          <w:rFonts w:ascii="Times New Roman" w:hAnsi="Times New Roman"/>
          <w:b/>
          <w:szCs w:val="24"/>
          <w:u w:val="single"/>
        </w:rPr>
        <w:t>Consequences of Collecting the Information Less Frequently</w:t>
      </w:r>
    </w:p>
    <w:p w:rsidRPr="00072FB2" w:rsidR="00892703" w:rsidRDefault="00892703" w14:paraId="06D0B1C9" w14:textId="77777777">
      <w:pPr>
        <w:rPr>
          <w:rFonts w:ascii="Times New Roman" w:hAnsi="Times New Roman"/>
          <w:snapToGrid w:val="0"/>
          <w:szCs w:val="24"/>
        </w:rPr>
      </w:pPr>
    </w:p>
    <w:p w:rsidR="000578D7" w:rsidRDefault="0039199B" w14:paraId="75AE3E9D" w14:textId="298B4243">
      <w:pPr>
        <w:pStyle w:val="BodyTextIndent"/>
        <w:rPr>
          <w:szCs w:val="24"/>
        </w:rPr>
      </w:pPr>
      <w:r>
        <w:rPr>
          <w:szCs w:val="24"/>
        </w:rPr>
        <w:t xml:space="preserve">As manufacturers are increasingly adopting just-in-time production methods, FDA expects that device production volumes will change rapidly in response to market demands. </w:t>
      </w:r>
      <w:r w:rsidRPr="00072FB2" w:rsidR="007F5D62">
        <w:rPr>
          <w:szCs w:val="24"/>
        </w:rPr>
        <w:t xml:space="preserve">Shortage information </w:t>
      </w:r>
      <w:r>
        <w:rPr>
          <w:szCs w:val="24"/>
        </w:rPr>
        <w:t xml:space="preserve">therefore must be as up-to-date as </w:t>
      </w:r>
      <w:proofErr w:type="gramStart"/>
      <w:r>
        <w:rPr>
          <w:szCs w:val="24"/>
        </w:rPr>
        <w:t>possible, and</w:t>
      </w:r>
      <w:proofErr w:type="gramEnd"/>
      <w:r>
        <w:rPr>
          <w:szCs w:val="24"/>
        </w:rPr>
        <w:t xml:space="preserve"> must accurately reflect the state of the market at the time a shortage appears or is likely to appear. These data will be </w:t>
      </w:r>
      <w:r w:rsidR="00CA7DD3">
        <w:rPr>
          <w:szCs w:val="24"/>
        </w:rPr>
        <w:t>leveraged for preparedness and response</w:t>
      </w:r>
      <w:r>
        <w:rPr>
          <w:szCs w:val="24"/>
        </w:rPr>
        <w:t>,</w:t>
      </w:r>
      <w:r w:rsidR="00CA7DD3">
        <w:rPr>
          <w:szCs w:val="24"/>
        </w:rPr>
        <w:t xml:space="preserve"> including </w:t>
      </w:r>
      <w:r w:rsidRPr="00CA7DD3" w:rsidR="00CA7DD3">
        <w:rPr>
          <w:szCs w:val="24"/>
        </w:rPr>
        <w:t>decision</w:t>
      </w:r>
      <w:r w:rsidR="00D845BB">
        <w:rPr>
          <w:szCs w:val="24"/>
        </w:rPr>
        <w:t xml:space="preserve"> </w:t>
      </w:r>
      <w:r w:rsidRPr="00CA7DD3" w:rsidR="00CA7DD3">
        <w:rPr>
          <w:szCs w:val="24"/>
        </w:rPr>
        <w:t>making and planning in the context of a disaster/emergency, an official emergency</w:t>
      </w:r>
      <w:r w:rsidR="00FD52DF">
        <w:rPr>
          <w:szCs w:val="24"/>
        </w:rPr>
        <w:t>-</w:t>
      </w:r>
      <w:r w:rsidRPr="00CA7DD3" w:rsidR="00CA7DD3">
        <w:rPr>
          <w:szCs w:val="24"/>
        </w:rPr>
        <w:t>preparedness exercise, or an actual or potential public health risk posed by non-disaster-related device shortag</w:t>
      </w:r>
      <w:r w:rsidR="00CA7DD3">
        <w:rPr>
          <w:szCs w:val="24"/>
        </w:rPr>
        <w:t>e.</w:t>
      </w:r>
      <w:r w:rsidR="000578D7">
        <w:rPr>
          <w:szCs w:val="24"/>
        </w:rPr>
        <w:t xml:space="preserve"> </w:t>
      </w:r>
    </w:p>
    <w:p w:rsidR="0039199B" w:rsidRDefault="0039199B" w14:paraId="447B2964" w14:textId="77777777">
      <w:pPr>
        <w:pStyle w:val="BodyTextIndent"/>
        <w:rPr>
          <w:szCs w:val="24"/>
        </w:rPr>
      </w:pPr>
    </w:p>
    <w:p w:rsidRPr="00072FB2" w:rsidR="00892703" w:rsidRDefault="00FD52DF" w14:paraId="0F413035" w14:textId="53764425">
      <w:pPr>
        <w:pStyle w:val="BodyTextIndent"/>
        <w:rPr>
          <w:szCs w:val="24"/>
        </w:rPr>
      </w:pPr>
      <w:r>
        <w:rPr>
          <w:szCs w:val="24"/>
        </w:rPr>
        <w:t xml:space="preserve">Therefore, to keep information current, </w:t>
      </w:r>
      <w:r w:rsidR="000578D7">
        <w:rPr>
          <w:szCs w:val="24"/>
        </w:rPr>
        <w:t xml:space="preserve">CDRH anticipates updating </w:t>
      </w:r>
      <w:r w:rsidR="0039199B">
        <w:rPr>
          <w:szCs w:val="24"/>
        </w:rPr>
        <w:t xml:space="preserve">the </w:t>
      </w:r>
      <w:r w:rsidR="000578D7">
        <w:rPr>
          <w:szCs w:val="24"/>
        </w:rPr>
        <w:t>data</w:t>
      </w:r>
      <w:r w:rsidR="0039199B">
        <w:rPr>
          <w:szCs w:val="24"/>
        </w:rPr>
        <w:t xml:space="preserve"> record</w:t>
      </w:r>
      <w:r w:rsidR="000578D7">
        <w:rPr>
          <w:szCs w:val="24"/>
        </w:rPr>
        <w:t>s quarter</w:t>
      </w:r>
      <w:r w:rsidR="0039199B">
        <w:rPr>
          <w:szCs w:val="24"/>
        </w:rPr>
        <w:t>ly</w:t>
      </w:r>
      <w:r w:rsidR="000578D7">
        <w:rPr>
          <w:szCs w:val="24"/>
        </w:rPr>
        <w:t xml:space="preserve"> (</w:t>
      </w:r>
      <w:r w:rsidR="0039199B">
        <w:rPr>
          <w:szCs w:val="24"/>
        </w:rPr>
        <w:t xml:space="preserve">every </w:t>
      </w:r>
      <w:r w:rsidR="000578D7">
        <w:rPr>
          <w:szCs w:val="24"/>
        </w:rPr>
        <w:t xml:space="preserve">3 months), or upon a significant change in a manufacturer’s ability to </w:t>
      </w:r>
      <w:r w:rsidR="0039199B">
        <w:rPr>
          <w:szCs w:val="24"/>
        </w:rPr>
        <w:t xml:space="preserve">produce and/or </w:t>
      </w:r>
      <w:r w:rsidR="000578D7">
        <w:rPr>
          <w:szCs w:val="24"/>
        </w:rPr>
        <w:t>market a</w:t>
      </w:r>
      <w:r w:rsidR="0039199B">
        <w:rPr>
          <w:szCs w:val="24"/>
        </w:rPr>
        <w:t xml:space="preserve">n essential </w:t>
      </w:r>
      <w:r w:rsidR="000578D7">
        <w:rPr>
          <w:szCs w:val="24"/>
        </w:rPr>
        <w:t xml:space="preserve">device. The consequences of collecting this information less frequently is that CDRH’s ability to make the correct decision or to disseminate the correct information </w:t>
      </w:r>
      <w:r w:rsidR="0039199B">
        <w:rPr>
          <w:szCs w:val="24"/>
        </w:rPr>
        <w:t xml:space="preserve">to the public </w:t>
      </w:r>
      <w:r w:rsidR="000578D7">
        <w:rPr>
          <w:szCs w:val="24"/>
        </w:rPr>
        <w:t xml:space="preserve">may be compromised, hampering its mission to protect the public health. </w:t>
      </w:r>
    </w:p>
    <w:p w:rsidRPr="00072FB2" w:rsidR="00892703" w:rsidRDefault="00892703" w14:paraId="52E31FF8" w14:textId="77777777">
      <w:pPr>
        <w:rPr>
          <w:rFonts w:ascii="Times New Roman" w:hAnsi="Times New Roman"/>
          <w:snapToGrid w:val="0"/>
          <w:szCs w:val="24"/>
        </w:rPr>
      </w:pPr>
    </w:p>
    <w:p w:rsidRPr="00072FB2" w:rsidR="00892703" w:rsidRDefault="00892703" w14:paraId="6E4E4834" w14:textId="77777777">
      <w:pPr>
        <w:widowControl w:val="0"/>
        <w:tabs>
          <w:tab w:val="left" w:pos="-1440"/>
          <w:tab w:val="left" w:pos="540"/>
        </w:tabs>
        <w:ind w:left="540" w:hanging="540"/>
        <w:rPr>
          <w:rFonts w:ascii="Times New Roman" w:hAnsi="Times New Roman"/>
          <w:b/>
          <w:szCs w:val="24"/>
        </w:rPr>
      </w:pPr>
      <w:r w:rsidRPr="00072FB2">
        <w:rPr>
          <w:rFonts w:ascii="Times New Roman" w:hAnsi="Times New Roman"/>
          <w:b/>
          <w:szCs w:val="24"/>
        </w:rPr>
        <w:t>7.</w:t>
      </w:r>
      <w:r w:rsidRPr="00072FB2">
        <w:rPr>
          <w:rFonts w:ascii="Times New Roman" w:hAnsi="Times New Roman"/>
          <w:b/>
          <w:szCs w:val="24"/>
        </w:rPr>
        <w:tab/>
      </w:r>
      <w:r w:rsidRPr="00072FB2">
        <w:rPr>
          <w:rFonts w:ascii="Times New Roman" w:hAnsi="Times New Roman"/>
          <w:b/>
          <w:szCs w:val="24"/>
          <w:u w:val="single"/>
        </w:rPr>
        <w:t>Special Circumstances Relating to the Guidelines of 5 CFR 1320.5</w:t>
      </w:r>
    </w:p>
    <w:p w:rsidRPr="00072FB2" w:rsidR="00892703" w:rsidRDefault="00892703" w14:paraId="4C34EE4C" w14:textId="77777777">
      <w:pPr>
        <w:rPr>
          <w:rFonts w:ascii="Times New Roman" w:hAnsi="Times New Roman"/>
          <w:snapToGrid w:val="0"/>
          <w:szCs w:val="24"/>
        </w:rPr>
      </w:pPr>
    </w:p>
    <w:p w:rsidRPr="00072FB2" w:rsidR="00892703" w:rsidRDefault="00DA6A76" w14:paraId="25A6B9BF" w14:textId="77777777">
      <w:pPr>
        <w:pStyle w:val="BodyTextIndent"/>
        <w:rPr>
          <w:szCs w:val="24"/>
        </w:rPr>
      </w:pPr>
      <w:r>
        <w:rPr>
          <w:szCs w:val="24"/>
        </w:rPr>
        <w:t>There are no special circumstances for this collection of information.</w:t>
      </w:r>
    </w:p>
    <w:p w:rsidRPr="00072FB2" w:rsidR="00892703" w:rsidRDefault="00892703" w14:paraId="08308997" w14:textId="77777777">
      <w:pPr>
        <w:rPr>
          <w:rFonts w:ascii="Times New Roman" w:hAnsi="Times New Roman"/>
          <w:snapToGrid w:val="0"/>
          <w:szCs w:val="24"/>
        </w:rPr>
      </w:pPr>
    </w:p>
    <w:p w:rsidRPr="00072FB2" w:rsidR="00892703" w:rsidRDefault="00892703" w14:paraId="491B17FB" w14:textId="77777777">
      <w:pPr>
        <w:widowControl w:val="0"/>
        <w:tabs>
          <w:tab w:val="left" w:pos="-1440"/>
          <w:tab w:val="left" w:pos="540"/>
        </w:tabs>
        <w:ind w:left="540" w:hanging="540"/>
        <w:rPr>
          <w:rFonts w:ascii="Times New Roman" w:hAnsi="Times New Roman"/>
          <w:b/>
          <w:szCs w:val="24"/>
        </w:rPr>
      </w:pPr>
      <w:r w:rsidRPr="00072FB2">
        <w:rPr>
          <w:rFonts w:ascii="Times New Roman" w:hAnsi="Times New Roman"/>
          <w:b/>
          <w:szCs w:val="24"/>
        </w:rPr>
        <w:t>8.</w:t>
      </w:r>
      <w:r w:rsidRPr="00072FB2">
        <w:rPr>
          <w:rFonts w:ascii="Times New Roman" w:hAnsi="Times New Roman"/>
          <w:b/>
          <w:szCs w:val="24"/>
        </w:rPr>
        <w:tab/>
      </w:r>
      <w:r w:rsidRPr="00072FB2">
        <w:rPr>
          <w:rFonts w:ascii="Times New Roman" w:hAnsi="Times New Roman"/>
          <w:b/>
          <w:szCs w:val="24"/>
          <w:u w:val="single"/>
        </w:rPr>
        <w:t>Comments in Response to the Federal Register Notice and Efforts to Consult Outside Agency</w:t>
      </w:r>
    </w:p>
    <w:p w:rsidRPr="00072FB2" w:rsidR="00892703" w:rsidRDefault="00892703" w14:paraId="2F73E5E1" w14:textId="77777777">
      <w:pPr>
        <w:rPr>
          <w:rFonts w:ascii="Times New Roman" w:hAnsi="Times New Roman"/>
          <w:snapToGrid w:val="0"/>
          <w:szCs w:val="24"/>
        </w:rPr>
      </w:pPr>
    </w:p>
    <w:p w:rsidR="00707CB5" w:rsidP="007C1DBD" w:rsidRDefault="00DA6A76" w14:paraId="0C46BF95" w14:textId="53A41E9D">
      <w:pPr>
        <w:tabs>
          <w:tab w:val="left" w:pos="-1440"/>
          <w:tab w:val="left" w:pos="-720"/>
          <w:tab w:val="left" w:pos="540"/>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ind w:left="540"/>
        <w:rPr>
          <w:rFonts w:ascii="Times New Roman" w:hAnsi="Times New Roman"/>
          <w:szCs w:val="24"/>
        </w:rPr>
      </w:pPr>
      <w:r>
        <w:rPr>
          <w:rFonts w:ascii="Times New Roman" w:hAnsi="Times New Roman"/>
          <w:szCs w:val="24"/>
        </w:rPr>
        <w:t xml:space="preserve">In accordance with 5 CFR 1320.8(d), FDA </w:t>
      </w:r>
      <w:r w:rsidRPr="00072FB2" w:rsidR="00892703">
        <w:rPr>
          <w:rFonts w:ascii="Times New Roman" w:hAnsi="Times New Roman"/>
          <w:szCs w:val="24"/>
        </w:rPr>
        <w:t>published</w:t>
      </w:r>
      <w:r>
        <w:rPr>
          <w:rFonts w:ascii="Times New Roman" w:hAnsi="Times New Roman"/>
          <w:szCs w:val="24"/>
        </w:rPr>
        <w:t xml:space="preserve"> a 60-day notice for public comment</w:t>
      </w:r>
      <w:r w:rsidRPr="00072FB2" w:rsidR="00892703">
        <w:rPr>
          <w:rFonts w:ascii="Times New Roman" w:hAnsi="Times New Roman"/>
          <w:szCs w:val="24"/>
        </w:rPr>
        <w:t xml:space="preserve"> in the Federal Register </w:t>
      </w:r>
      <w:r>
        <w:rPr>
          <w:rFonts w:ascii="Times New Roman" w:hAnsi="Times New Roman"/>
          <w:szCs w:val="24"/>
        </w:rPr>
        <w:t>of</w:t>
      </w:r>
      <w:r w:rsidR="00A76034">
        <w:rPr>
          <w:rFonts w:ascii="Times New Roman" w:hAnsi="Times New Roman"/>
          <w:szCs w:val="24"/>
        </w:rPr>
        <w:t xml:space="preserve"> December 28</w:t>
      </w:r>
      <w:r w:rsidR="006F52A6">
        <w:rPr>
          <w:rFonts w:ascii="Times New Roman" w:hAnsi="Times New Roman"/>
          <w:szCs w:val="24"/>
        </w:rPr>
        <w:t xml:space="preserve">, </w:t>
      </w:r>
      <w:r w:rsidR="00A76034">
        <w:rPr>
          <w:rFonts w:ascii="Times New Roman" w:hAnsi="Times New Roman"/>
          <w:szCs w:val="24"/>
        </w:rPr>
        <w:t xml:space="preserve">2018 </w:t>
      </w:r>
      <w:r w:rsidR="006F52A6">
        <w:rPr>
          <w:rFonts w:ascii="Times New Roman" w:hAnsi="Times New Roman"/>
          <w:szCs w:val="24"/>
        </w:rPr>
        <w:t>(</w:t>
      </w:r>
      <w:r w:rsidR="00A76034">
        <w:rPr>
          <w:rFonts w:ascii="Times New Roman" w:hAnsi="Times New Roman"/>
          <w:szCs w:val="24"/>
        </w:rPr>
        <w:t>83 FR 67298</w:t>
      </w:r>
      <w:r w:rsidR="006F52A6">
        <w:rPr>
          <w:rFonts w:ascii="Times New Roman" w:hAnsi="Times New Roman"/>
          <w:szCs w:val="24"/>
        </w:rPr>
        <w:t>)</w:t>
      </w:r>
      <w:r w:rsidRPr="00072FB2" w:rsidR="00892703">
        <w:rPr>
          <w:rFonts w:ascii="Times New Roman" w:hAnsi="Times New Roman"/>
          <w:szCs w:val="24"/>
        </w:rPr>
        <w:t>.  No comments were received.</w:t>
      </w:r>
      <w:r w:rsidR="007C1DBD">
        <w:rPr>
          <w:rFonts w:ascii="Times New Roman" w:hAnsi="Times New Roman"/>
          <w:szCs w:val="24"/>
        </w:rPr>
        <w:t xml:space="preserve">  </w:t>
      </w:r>
    </w:p>
    <w:p w:rsidR="00707CB5" w:rsidP="007C1DBD" w:rsidRDefault="00707CB5" w14:paraId="11307E9D" w14:textId="77777777">
      <w:pPr>
        <w:tabs>
          <w:tab w:val="left" w:pos="-1440"/>
          <w:tab w:val="left" w:pos="-720"/>
          <w:tab w:val="left" w:pos="540"/>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ind w:left="540"/>
        <w:rPr>
          <w:rFonts w:ascii="Times New Roman" w:hAnsi="Times New Roman"/>
          <w:szCs w:val="24"/>
        </w:rPr>
      </w:pPr>
    </w:p>
    <w:p w:rsidRPr="00072FB2" w:rsidR="007C1DBD" w:rsidP="007C1DBD" w:rsidRDefault="007C1DBD" w14:paraId="0C760B74" w14:textId="0DBBBA0A">
      <w:pPr>
        <w:tabs>
          <w:tab w:val="left" w:pos="-1440"/>
          <w:tab w:val="left" w:pos="-720"/>
          <w:tab w:val="left" w:pos="540"/>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ind w:left="540"/>
        <w:rPr>
          <w:rFonts w:ascii="Times New Roman" w:hAnsi="Times New Roman"/>
          <w:szCs w:val="24"/>
        </w:rPr>
      </w:pPr>
      <w:r>
        <w:rPr>
          <w:rFonts w:ascii="Times New Roman" w:hAnsi="Times New Roman"/>
          <w:szCs w:val="24"/>
        </w:rPr>
        <w:t>FDA routinely consults with the Centers for Disease Control</w:t>
      </w:r>
      <w:r w:rsidR="003C0CF8">
        <w:rPr>
          <w:rFonts w:ascii="Times New Roman" w:hAnsi="Times New Roman"/>
          <w:szCs w:val="24"/>
        </w:rPr>
        <w:t xml:space="preserve"> and Prevention’s (CDC’s)</w:t>
      </w:r>
      <w:r>
        <w:rPr>
          <w:rFonts w:ascii="Times New Roman" w:hAnsi="Times New Roman"/>
          <w:szCs w:val="24"/>
        </w:rPr>
        <w:t xml:space="preserve"> Strategic National Stockpile program regarding shortages issues.</w:t>
      </w:r>
      <w:r w:rsidR="0039199B">
        <w:rPr>
          <w:rFonts w:ascii="Times New Roman" w:hAnsi="Times New Roman"/>
          <w:szCs w:val="24"/>
        </w:rPr>
        <w:t xml:space="preserve"> Also, as described above CDRH intends to consult regularly with outside Agencies who possess information relevant to this database.</w:t>
      </w:r>
    </w:p>
    <w:p w:rsidRPr="00072FB2" w:rsidR="00892703" w:rsidRDefault="00892703" w14:paraId="27A22062" w14:textId="77777777">
      <w:pPr>
        <w:rPr>
          <w:rFonts w:ascii="Times New Roman" w:hAnsi="Times New Roman"/>
          <w:snapToGrid w:val="0"/>
          <w:szCs w:val="24"/>
        </w:rPr>
      </w:pPr>
      <w:bookmarkStart w:name="sec301" w:id="0"/>
      <w:bookmarkEnd w:id="0"/>
    </w:p>
    <w:p w:rsidRPr="00072FB2" w:rsidR="00892703" w:rsidP="00814B6A" w:rsidRDefault="00892703" w14:paraId="11C10EC5" w14:textId="77777777">
      <w:pPr>
        <w:keepNext/>
        <w:widowControl w:val="0"/>
        <w:tabs>
          <w:tab w:val="left" w:pos="540"/>
        </w:tabs>
        <w:rPr>
          <w:rFonts w:ascii="Times New Roman" w:hAnsi="Times New Roman"/>
          <w:b/>
          <w:szCs w:val="24"/>
        </w:rPr>
      </w:pPr>
      <w:r w:rsidRPr="00072FB2">
        <w:rPr>
          <w:rFonts w:ascii="Times New Roman" w:hAnsi="Times New Roman"/>
          <w:b/>
          <w:szCs w:val="24"/>
        </w:rPr>
        <w:t>9.</w:t>
      </w:r>
      <w:r w:rsidRPr="00072FB2">
        <w:rPr>
          <w:rFonts w:ascii="Times New Roman" w:hAnsi="Times New Roman"/>
          <w:b/>
          <w:szCs w:val="24"/>
        </w:rPr>
        <w:tab/>
      </w:r>
      <w:r w:rsidRPr="00072FB2">
        <w:rPr>
          <w:rFonts w:ascii="Times New Roman" w:hAnsi="Times New Roman"/>
          <w:b/>
          <w:szCs w:val="24"/>
          <w:u w:val="single"/>
        </w:rPr>
        <w:t>Explanation of Any Payment or Gift to Respondents</w:t>
      </w:r>
    </w:p>
    <w:p w:rsidRPr="00072FB2" w:rsidR="00892703" w:rsidP="00814B6A" w:rsidRDefault="00892703" w14:paraId="366053C3" w14:textId="77777777">
      <w:pPr>
        <w:keepNext/>
        <w:rPr>
          <w:rFonts w:ascii="Times New Roman" w:hAnsi="Times New Roman"/>
          <w:snapToGrid w:val="0"/>
          <w:szCs w:val="24"/>
        </w:rPr>
      </w:pPr>
    </w:p>
    <w:p w:rsidRPr="00072FB2" w:rsidR="00892703" w:rsidRDefault="00892703" w14:paraId="287A4286" w14:textId="77777777">
      <w:pPr>
        <w:pStyle w:val="BodyTextIndent"/>
        <w:rPr>
          <w:szCs w:val="24"/>
        </w:rPr>
      </w:pPr>
      <w:r w:rsidRPr="00072FB2">
        <w:rPr>
          <w:szCs w:val="24"/>
        </w:rPr>
        <w:t>No payment or gifts shall be provided to respondents under this regulation.</w:t>
      </w:r>
    </w:p>
    <w:p w:rsidRPr="00072FB2" w:rsidR="00892703" w:rsidRDefault="00892703" w14:paraId="7556CA9F" w14:textId="77777777">
      <w:pPr>
        <w:rPr>
          <w:rFonts w:ascii="Times New Roman" w:hAnsi="Times New Roman"/>
          <w:snapToGrid w:val="0"/>
          <w:szCs w:val="24"/>
        </w:rPr>
      </w:pPr>
    </w:p>
    <w:p w:rsidRPr="00072FB2" w:rsidR="00892703" w:rsidRDefault="00892703" w14:paraId="1DA81B97" w14:textId="77777777">
      <w:pPr>
        <w:widowControl w:val="0"/>
        <w:tabs>
          <w:tab w:val="left" w:pos="-1440"/>
          <w:tab w:val="left" w:pos="540"/>
        </w:tabs>
        <w:ind w:left="540" w:hanging="540"/>
        <w:rPr>
          <w:rFonts w:ascii="Times New Roman" w:hAnsi="Times New Roman"/>
          <w:b/>
          <w:szCs w:val="24"/>
        </w:rPr>
      </w:pPr>
      <w:r w:rsidRPr="00072FB2">
        <w:rPr>
          <w:rFonts w:ascii="Times New Roman" w:hAnsi="Times New Roman"/>
          <w:b/>
          <w:szCs w:val="24"/>
        </w:rPr>
        <w:t>10.</w:t>
      </w:r>
      <w:r w:rsidRPr="00072FB2">
        <w:rPr>
          <w:rFonts w:ascii="Times New Roman" w:hAnsi="Times New Roman"/>
          <w:b/>
          <w:szCs w:val="24"/>
        </w:rPr>
        <w:tab/>
      </w:r>
      <w:r w:rsidRPr="00072FB2">
        <w:rPr>
          <w:rFonts w:ascii="Times New Roman" w:hAnsi="Times New Roman"/>
          <w:b/>
          <w:szCs w:val="24"/>
          <w:u w:val="single"/>
        </w:rPr>
        <w:t>Assurance of Confidentiality Provided to Respondent</w:t>
      </w:r>
      <w:r w:rsidR="00657222">
        <w:rPr>
          <w:rFonts w:ascii="Times New Roman" w:hAnsi="Times New Roman"/>
          <w:b/>
          <w:szCs w:val="24"/>
          <w:u w:val="single"/>
        </w:rPr>
        <w:t>s</w:t>
      </w:r>
    </w:p>
    <w:p w:rsidRPr="00C227AF" w:rsidR="00892703" w:rsidRDefault="00892703" w14:paraId="55374400" w14:textId="77777777">
      <w:pPr>
        <w:rPr>
          <w:rFonts w:ascii="Times New Roman" w:hAnsi="Times New Roman"/>
          <w:snapToGrid w:val="0"/>
          <w:szCs w:val="24"/>
        </w:rPr>
      </w:pPr>
    </w:p>
    <w:p w:rsidRPr="001F64EC" w:rsidR="001F64EC" w:rsidP="001F64EC" w:rsidRDefault="001F64EC" w14:paraId="2E992B08" w14:textId="77777777">
      <w:pPr>
        <w:ind w:left="540"/>
        <w:rPr>
          <w:rFonts w:ascii="Times New Roman" w:hAnsi="Times New Roman"/>
          <w:snapToGrid w:val="0"/>
          <w:szCs w:val="24"/>
        </w:rPr>
      </w:pPr>
      <w:r w:rsidRPr="001F64EC">
        <w:rPr>
          <w:rFonts w:ascii="Times New Roman" w:hAnsi="Times New Roman"/>
          <w:snapToGrid w:val="0"/>
          <w:szCs w:val="24"/>
        </w:rPr>
        <w:t xml:space="preserve">This ICR collects personally identifiable information (PII) or information of a personal nature. PII collected is name, phone number, email address, fax number, and address. PII is collected in the context of the subject individuals’ professional capacity and the FDA-related work they perform for their employer (e.g., point of contact at a regulated entity).   </w:t>
      </w:r>
    </w:p>
    <w:p w:rsidRPr="001F64EC" w:rsidR="001F64EC" w:rsidP="001F64EC" w:rsidRDefault="001F64EC" w14:paraId="451491E5" w14:textId="77777777">
      <w:pPr>
        <w:ind w:left="540"/>
        <w:rPr>
          <w:rFonts w:ascii="Times New Roman" w:hAnsi="Times New Roman"/>
          <w:snapToGrid w:val="0"/>
          <w:szCs w:val="24"/>
        </w:rPr>
      </w:pPr>
    </w:p>
    <w:p w:rsidRPr="001F64EC" w:rsidR="001F64EC" w:rsidP="001F64EC" w:rsidRDefault="001F64EC" w14:paraId="412DDCAD" w14:textId="77777777">
      <w:pPr>
        <w:ind w:left="540"/>
        <w:rPr>
          <w:rFonts w:ascii="Times New Roman" w:hAnsi="Times New Roman"/>
          <w:snapToGrid w:val="0"/>
          <w:szCs w:val="24"/>
        </w:rPr>
      </w:pPr>
      <w:r w:rsidRPr="001F64EC">
        <w:rPr>
          <w:rFonts w:ascii="Times New Roman" w:hAnsi="Times New Roman"/>
          <w:snapToGrid w:val="0"/>
          <w:szCs w:val="24"/>
        </w:rPr>
        <w:t xml:space="preserve">FDA determined that although PII is collected the collection is not subject to the Privacy Act of 1974 and the </w:t>
      </w:r>
      <w:proofErr w:type="gramStart"/>
      <w:r w:rsidRPr="001F64EC">
        <w:rPr>
          <w:rFonts w:ascii="Times New Roman" w:hAnsi="Times New Roman"/>
          <w:snapToGrid w:val="0"/>
          <w:szCs w:val="24"/>
        </w:rPr>
        <w:t>particular notice</w:t>
      </w:r>
      <w:proofErr w:type="gramEnd"/>
      <w:r w:rsidRPr="001F64EC">
        <w:rPr>
          <w:rFonts w:ascii="Times New Roman" w:hAnsi="Times New Roman"/>
          <w:snapToGrid w:val="0"/>
          <w:szCs w:val="24"/>
        </w:rPr>
        <w:t xml:space="preserve"> and other requirements of the Act do not apply. Specifically, FDA does not use name or any other personal identifier to routinely retrieve records from the information collected.</w:t>
      </w:r>
    </w:p>
    <w:p w:rsidRPr="001F64EC" w:rsidR="001F64EC" w:rsidP="001F64EC" w:rsidRDefault="001F64EC" w14:paraId="1777B490" w14:textId="77777777">
      <w:pPr>
        <w:ind w:left="540"/>
        <w:rPr>
          <w:rFonts w:ascii="Times New Roman" w:hAnsi="Times New Roman"/>
          <w:snapToGrid w:val="0"/>
          <w:szCs w:val="24"/>
        </w:rPr>
      </w:pPr>
    </w:p>
    <w:p w:rsidRPr="001F64EC" w:rsidR="001F64EC" w:rsidP="001F64EC" w:rsidRDefault="001F64EC" w14:paraId="6656B860" w14:textId="77777777">
      <w:pPr>
        <w:ind w:left="540"/>
        <w:rPr>
          <w:rFonts w:ascii="Times New Roman" w:hAnsi="Times New Roman"/>
          <w:snapToGrid w:val="0"/>
          <w:szCs w:val="24"/>
        </w:rPr>
      </w:pPr>
      <w:r w:rsidRPr="001F64EC">
        <w:rPr>
          <w:rFonts w:ascii="Times New Roman" w:hAnsi="Times New Roman"/>
          <w:snapToGrid w:val="0"/>
          <w:szCs w:val="24"/>
        </w:rPr>
        <w:t>In preparing this Supporting Statement, FDA staff consulted with the FDA Privacy Office to ensure appropriate handling of information collected. FDA minimized the PII to be collected to protect the privacy of the individuals.</w:t>
      </w:r>
    </w:p>
    <w:p w:rsidRPr="001F64EC" w:rsidR="001F64EC" w:rsidP="001F64EC" w:rsidRDefault="001F64EC" w14:paraId="27EC2054" w14:textId="77777777">
      <w:pPr>
        <w:ind w:left="540"/>
        <w:rPr>
          <w:rFonts w:ascii="Times New Roman" w:hAnsi="Times New Roman"/>
          <w:snapToGrid w:val="0"/>
          <w:szCs w:val="24"/>
        </w:rPr>
      </w:pPr>
    </w:p>
    <w:p w:rsidRPr="001F64EC" w:rsidR="001F64EC" w:rsidP="001F64EC" w:rsidRDefault="001F64EC" w14:paraId="45A7089C" w14:textId="77777777">
      <w:pPr>
        <w:ind w:left="540"/>
        <w:rPr>
          <w:rFonts w:ascii="Times New Roman" w:hAnsi="Times New Roman"/>
          <w:snapToGrid w:val="0"/>
          <w:szCs w:val="24"/>
        </w:rPr>
      </w:pPr>
      <w:r w:rsidRPr="001F64EC">
        <w:rPr>
          <w:rFonts w:ascii="Times New Roman" w:hAnsi="Times New Roman"/>
          <w:snapToGrid w:val="0"/>
          <w:szCs w:val="24"/>
        </w:rPr>
        <w:t xml:space="preserve">Recognizing that some of the information collected may be commercially confidential, it will be subject to protections outlined in section 301(j) of the FD&amp;C Act (21 U.S.C. 331(j)), which, among other things, prohibits employees of the FDA from revealing trade secrets (http://www.fda.gov/opacom/laws/fdcact/fdcact3.htm). Before sharing information from this data collection with other federal agencies, verification of appropriate sharing agreements will be made.  Also, the information is subject to the exemption under the Freedom of Information Act (FOI) requirements with the applicable limitations on exemptions disclosure for Federal, State, and local governments. </w:t>
      </w:r>
    </w:p>
    <w:p w:rsidRPr="001F64EC" w:rsidR="001F64EC" w:rsidP="001F64EC" w:rsidRDefault="001F64EC" w14:paraId="34022A9B" w14:textId="77777777">
      <w:pPr>
        <w:ind w:left="540"/>
        <w:rPr>
          <w:rFonts w:ascii="Times New Roman" w:hAnsi="Times New Roman"/>
          <w:snapToGrid w:val="0"/>
          <w:szCs w:val="24"/>
        </w:rPr>
      </w:pPr>
    </w:p>
    <w:p w:rsidRPr="003B0A72" w:rsidR="003B0A72" w:rsidP="001F64EC" w:rsidRDefault="001F64EC" w14:paraId="1E2F0858" w14:textId="52293F4B">
      <w:pPr>
        <w:ind w:left="540"/>
        <w:rPr>
          <w:rFonts w:ascii="Times New Roman" w:hAnsi="Times New Roman"/>
          <w:szCs w:val="24"/>
        </w:rPr>
      </w:pPr>
      <w:r w:rsidRPr="001F64EC">
        <w:rPr>
          <w:rFonts w:ascii="Times New Roman" w:hAnsi="Times New Roman"/>
          <w:snapToGrid w:val="0"/>
          <w:szCs w:val="24"/>
        </w:rPr>
        <w:t>To further assure commercial confidentiality, data access is restricted to CDRH staff engaged in the public health response to a shortage with a need to know. This named group, typically fewer than 10 people, is permitted to use the data only for decision making and planning in the context of a shortage or potential shortage, an official emergency-</w:t>
      </w:r>
      <w:r w:rsidRPr="001F64EC">
        <w:rPr>
          <w:rFonts w:ascii="Times New Roman" w:hAnsi="Times New Roman"/>
          <w:snapToGrid w:val="0"/>
          <w:szCs w:val="24"/>
        </w:rPr>
        <w:lastRenderedPageBreak/>
        <w:t>preparedness exercise, or an actual or potential public health risk posed by non-disaster-related device shortage.</w:t>
      </w:r>
    </w:p>
    <w:p w:rsidRPr="00072FB2" w:rsidR="003B0A72" w:rsidP="003E3D7B" w:rsidRDefault="003B0A72" w14:paraId="64758A72" w14:textId="77777777">
      <w:pPr>
        <w:pStyle w:val="BodyTextIndent"/>
        <w:rPr>
          <w:szCs w:val="24"/>
        </w:rPr>
      </w:pPr>
    </w:p>
    <w:p w:rsidRPr="00072FB2" w:rsidR="00892703" w:rsidRDefault="00892703" w14:paraId="4CE2ECAA" w14:textId="77777777">
      <w:pPr>
        <w:widowControl w:val="0"/>
        <w:tabs>
          <w:tab w:val="left" w:pos="-1440"/>
          <w:tab w:val="left" w:pos="540"/>
        </w:tabs>
        <w:ind w:left="540" w:hanging="540"/>
        <w:rPr>
          <w:rFonts w:ascii="Times New Roman" w:hAnsi="Times New Roman"/>
          <w:b/>
          <w:szCs w:val="24"/>
        </w:rPr>
      </w:pPr>
      <w:r w:rsidRPr="00072FB2">
        <w:rPr>
          <w:rFonts w:ascii="Times New Roman" w:hAnsi="Times New Roman"/>
          <w:b/>
          <w:szCs w:val="24"/>
        </w:rPr>
        <w:t>11.</w:t>
      </w:r>
      <w:r w:rsidRPr="00072FB2">
        <w:rPr>
          <w:rFonts w:ascii="Times New Roman" w:hAnsi="Times New Roman"/>
          <w:b/>
          <w:szCs w:val="24"/>
        </w:rPr>
        <w:tab/>
      </w:r>
      <w:r w:rsidRPr="00072FB2">
        <w:rPr>
          <w:rFonts w:ascii="Times New Roman" w:hAnsi="Times New Roman"/>
          <w:b/>
          <w:szCs w:val="24"/>
          <w:u w:val="single"/>
        </w:rPr>
        <w:t>Justification for Sensitive Questions</w:t>
      </w:r>
    </w:p>
    <w:p w:rsidRPr="00072FB2" w:rsidR="00892703" w:rsidRDefault="00892703" w14:paraId="389E26FA" w14:textId="77777777">
      <w:pPr>
        <w:widowControl w:val="0"/>
        <w:rPr>
          <w:rFonts w:ascii="Times New Roman" w:hAnsi="Times New Roman"/>
          <w:szCs w:val="24"/>
        </w:rPr>
      </w:pPr>
    </w:p>
    <w:p w:rsidRPr="00072FB2" w:rsidR="00892703" w:rsidRDefault="00B006AA" w14:paraId="264A09E8" w14:textId="77777777">
      <w:pPr>
        <w:widowControl w:val="0"/>
        <w:ind w:left="540"/>
        <w:rPr>
          <w:rFonts w:ascii="Times New Roman" w:hAnsi="Times New Roman"/>
          <w:szCs w:val="24"/>
        </w:rPr>
      </w:pPr>
      <w:r w:rsidRPr="001A1F2E">
        <w:rPr>
          <w:rFonts w:ascii="Times New Roman" w:hAnsi="Times New Roman"/>
        </w:rPr>
        <w:t xml:space="preserve">This information collection does not include questions </w:t>
      </w:r>
      <w:r>
        <w:rPr>
          <w:rFonts w:ascii="Times New Roman" w:hAnsi="Times New Roman"/>
        </w:rPr>
        <w:t>about</w:t>
      </w:r>
      <w:r w:rsidRPr="001A1F2E">
        <w:rPr>
          <w:rFonts w:ascii="Times New Roman" w:hAnsi="Times New Roman"/>
        </w:rPr>
        <w:t xml:space="preserve"> sexual behavior, attitude, religious beliefs, or any other matters that are commonly considered </w:t>
      </w:r>
      <w:r>
        <w:rPr>
          <w:rFonts w:ascii="Times New Roman" w:hAnsi="Times New Roman"/>
        </w:rPr>
        <w:t>private or sensitive in nature.</w:t>
      </w:r>
    </w:p>
    <w:p w:rsidRPr="00072FB2" w:rsidR="00892703" w:rsidRDefault="00892703" w14:paraId="016ACEE5" w14:textId="77777777">
      <w:pPr>
        <w:widowControl w:val="0"/>
        <w:rPr>
          <w:rFonts w:ascii="Times New Roman" w:hAnsi="Times New Roman"/>
          <w:szCs w:val="24"/>
        </w:rPr>
      </w:pPr>
    </w:p>
    <w:p w:rsidRPr="00072FB2" w:rsidR="00892703" w:rsidRDefault="00892703" w14:paraId="798FD0D9" w14:textId="77777777">
      <w:pPr>
        <w:widowControl w:val="0"/>
        <w:tabs>
          <w:tab w:val="left" w:pos="-1440"/>
          <w:tab w:val="left" w:pos="540"/>
        </w:tabs>
        <w:ind w:left="540" w:hanging="540"/>
        <w:rPr>
          <w:rFonts w:ascii="Times New Roman" w:hAnsi="Times New Roman"/>
          <w:b/>
          <w:szCs w:val="24"/>
        </w:rPr>
      </w:pPr>
      <w:r w:rsidRPr="00072FB2">
        <w:rPr>
          <w:rFonts w:ascii="Times New Roman" w:hAnsi="Times New Roman"/>
          <w:b/>
          <w:szCs w:val="24"/>
        </w:rPr>
        <w:t>12.</w:t>
      </w:r>
      <w:r w:rsidRPr="00072FB2">
        <w:rPr>
          <w:rFonts w:ascii="Times New Roman" w:hAnsi="Times New Roman"/>
          <w:b/>
          <w:szCs w:val="24"/>
        </w:rPr>
        <w:tab/>
      </w:r>
      <w:r w:rsidRPr="00072FB2">
        <w:rPr>
          <w:rFonts w:ascii="Times New Roman" w:hAnsi="Times New Roman"/>
          <w:b/>
          <w:szCs w:val="24"/>
          <w:u w:val="single"/>
        </w:rPr>
        <w:t>Estimate</w:t>
      </w:r>
      <w:r w:rsidR="00B006AA">
        <w:rPr>
          <w:rFonts w:ascii="Times New Roman" w:hAnsi="Times New Roman"/>
          <w:b/>
          <w:szCs w:val="24"/>
          <w:u w:val="single"/>
        </w:rPr>
        <w:t>s</w:t>
      </w:r>
      <w:r w:rsidRPr="00072FB2">
        <w:rPr>
          <w:rFonts w:ascii="Times New Roman" w:hAnsi="Times New Roman"/>
          <w:b/>
          <w:szCs w:val="24"/>
          <w:u w:val="single"/>
        </w:rPr>
        <w:t xml:space="preserve"> of </w:t>
      </w:r>
      <w:r w:rsidR="00B006AA">
        <w:rPr>
          <w:rFonts w:ascii="Times New Roman" w:hAnsi="Times New Roman"/>
          <w:b/>
          <w:szCs w:val="24"/>
          <w:u w:val="single"/>
        </w:rPr>
        <w:t>Annualized</w:t>
      </w:r>
      <w:r w:rsidRPr="00072FB2" w:rsidR="00B006AA">
        <w:rPr>
          <w:rFonts w:ascii="Times New Roman" w:hAnsi="Times New Roman"/>
          <w:b/>
          <w:szCs w:val="24"/>
          <w:u w:val="single"/>
        </w:rPr>
        <w:t xml:space="preserve"> </w:t>
      </w:r>
      <w:r w:rsidRPr="00072FB2">
        <w:rPr>
          <w:rFonts w:ascii="Times New Roman" w:hAnsi="Times New Roman"/>
          <w:b/>
          <w:szCs w:val="24"/>
          <w:u w:val="single"/>
        </w:rPr>
        <w:t xml:space="preserve">Burden </w:t>
      </w:r>
      <w:r w:rsidR="00B006AA">
        <w:rPr>
          <w:rFonts w:ascii="Times New Roman" w:hAnsi="Times New Roman"/>
          <w:b/>
          <w:szCs w:val="24"/>
          <w:u w:val="single"/>
        </w:rPr>
        <w:t>Hours and</w:t>
      </w:r>
      <w:r w:rsidRPr="00072FB2">
        <w:rPr>
          <w:rFonts w:ascii="Times New Roman" w:hAnsi="Times New Roman"/>
          <w:b/>
          <w:szCs w:val="24"/>
          <w:u w:val="single"/>
        </w:rPr>
        <w:t xml:space="preserve"> Costs</w:t>
      </w:r>
    </w:p>
    <w:p w:rsidRPr="00072FB2" w:rsidR="00892703" w:rsidRDefault="00892703" w14:paraId="1D4C14BD" w14:textId="77777777">
      <w:pPr>
        <w:rPr>
          <w:rFonts w:ascii="Times New Roman" w:hAnsi="Times New Roman"/>
          <w:snapToGrid w:val="0"/>
          <w:szCs w:val="24"/>
        </w:rPr>
      </w:pPr>
    </w:p>
    <w:p w:rsidRPr="00072FB2" w:rsidR="00892703" w:rsidRDefault="00892703" w14:paraId="0AC45813" w14:textId="77777777">
      <w:pPr>
        <w:pStyle w:val="BodyTextIndent"/>
        <w:rPr>
          <w:szCs w:val="24"/>
        </w:rPr>
      </w:pPr>
      <w:r w:rsidRPr="00072FB2">
        <w:rPr>
          <w:szCs w:val="24"/>
        </w:rPr>
        <w:t>FDA estimates the burden of this collection of information as follows:</w:t>
      </w:r>
      <w:r w:rsidR="0023279B">
        <w:rPr>
          <w:szCs w:val="24"/>
        </w:rPr>
        <w:t xml:space="preserve">  </w:t>
      </w:r>
    </w:p>
    <w:p w:rsidR="00892703" w:rsidRDefault="00892703" w14:paraId="29739A55" w14:textId="77777777">
      <w:pPr>
        <w:pStyle w:val="BodyTextIndent"/>
        <w:rPr>
          <w:szCs w:val="24"/>
        </w:rPr>
      </w:pPr>
    </w:p>
    <w:p w:rsidRPr="00B006AA" w:rsidR="00B006AA" w:rsidRDefault="00B006AA" w14:paraId="52F48904" w14:textId="77777777">
      <w:pPr>
        <w:pStyle w:val="BodyTextIndent"/>
        <w:rPr>
          <w:szCs w:val="24"/>
          <w:u w:val="single"/>
        </w:rPr>
      </w:pPr>
      <w:r w:rsidRPr="00B006AA">
        <w:rPr>
          <w:szCs w:val="24"/>
          <w:u w:val="single"/>
        </w:rPr>
        <w:t>12a. Annualized Hour Burden Estimate</w:t>
      </w:r>
    </w:p>
    <w:p w:rsidRPr="00072FB2" w:rsidR="00892703" w:rsidRDefault="00892703" w14:paraId="0A394C00" w14:textId="77777777">
      <w:pPr>
        <w:rPr>
          <w:rFonts w:ascii="Times New Roman" w:hAnsi="Times New Roman"/>
          <w:szCs w:val="24"/>
        </w:rPr>
      </w:pPr>
    </w:p>
    <w:tbl>
      <w:tblPr>
        <w:tblW w:w="9360" w:type="dxa"/>
        <w:jc w:val="center"/>
        <w:tblLayout w:type="fixed"/>
        <w:tblCellMar>
          <w:left w:w="120" w:type="dxa"/>
          <w:right w:w="120" w:type="dxa"/>
        </w:tblCellMar>
        <w:tblLook w:val="0000" w:firstRow="0" w:lastRow="0" w:firstColumn="0" w:lastColumn="0" w:noHBand="0" w:noVBand="0"/>
      </w:tblPr>
      <w:tblGrid>
        <w:gridCol w:w="1739"/>
        <w:gridCol w:w="2037"/>
        <w:gridCol w:w="1557"/>
        <w:gridCol w:w="1473"/>
        <w:gridCol w:w="1383"/>
        <w:gridCol w:w="1171"/>
      </w:tblGrid>
      <w:tr w:rsidRPr="00C950AE" w:rsidR="00C950AE" w:rsidTr="009641AB" w14:paraId="5C9CE801" w14:textId="77777777">
        <w:trPr>
          <w:cantSplit/>
          <w:jc w:val="center"/>
        </w:trPr>
        <w:tc>
          <w:tcPr>
            <w:tcW w:w="9161" w:type="dxa"/>
            <w:gridSpan w:val="6"/>
            <w:tcBorders>
              <w:bottom w:val="single" w:color="auto" w:sz="2" w:space="0"/>
            </w:tcBorders>
          </w:tcPr>
          <w:p w:rsidRPr="00C950AE" w:rsidR="00C950AE" w:rsidP="00C950AE" w:rsidRDefault="00C950AE" w14:paraId="532564E8" w14:textId="77777777">
            <w:pPr>
              <w:tabs>
                <w:tab w:val="left" w:pos="0"/>
                <w:tab w:val="left" w:pos="720"/>
                <w:tab w:val="left" w:pos="1440"/>
              </w:tabs>
              <w:jc w:val="center"/>
              <w:rPr>
                <w:rFonts w:ascii="Times New Roman" w:hAnsi="Times New Roman"/>
                <w:sz w:val="20"/>
              </w:rPr>
            </w:pPr>
            <w:r w:rsidRPr="00C950AE">
              <w:rPr>
                <w:rFonts w:ascii="Times New Roman" w:hAnsi="Times New Roman"/>
                <w:sz w:val="20"/>
              </w:rPr>
              <w:t xml:space="preserve">Table </w:t>
            </w:r>
            <w:proofErr w:type="gramStart"/>
            <w:r w:rsidRPr="00C950AE">
              <w:rPr>
                <w:rFonts w:ascii="Times New Roman" w:hAnsi="Times New Roman"/>
                <w:sz w:val="20"/>
              </w:rPr>
              <w:t>1.--</w:t>
            </w:r>
            <w:proofErr w:type="gramEnd"/>
            <w:r w:rsidRPr="00C950AE">
              <w:rPr>
                <w:rFonts w:ascii="Times New Roman" w:hAnsi="Times New Roman"/>
                <w:sz w:val="20"/>
              </w:rPr>
              <w:t>Estimated Annual Reporting Burden</w:t>
            </w:r>
            <w:r w:rsidRPr="00C950AE">
              <w:rPr>
                <w:rFonts w:ascii="Times New Roman" w:hAnsi="Times New Roman"/>
                <w:b/>
                <w:sz w:val="20"/>
                <w:vertAlign w:val="superscript"/>
              </w:rPr>
              <w:t>1</w:t>
            </w:r>
          </w:p>
        </w:tc>
      </w:tr>
      <w:tr w:rsidRPr="00C950AE" w:rsidR="00892703" w:rsidTr="009641AB" w14:paraId="52C36A54" w14:textId="77777777">
        <w:trPr>
          <w:cantSplit/>
          <w:jc w:val="center"/>
        </w:trPr>
        <w:tc>
          <w:tcPr>
            <w:tcW w:w="1701" w:type="dxa"/>
            <w:tcBorders>
              <w:top w:val="single" w:color="auto" w:sz="2" w:space="0"/>
              <w:left w:val="single" w:color="auto" w:sz="2" w:space="0"/>
              <w:bottom w:val="single" w:color="auto" w:sz="2" w:space="0"/>
              <w:right w:val="single" w:color="auto" w:sz="2" w:space="0"/>
            </w:tcBorders>
          </w:tcPr>
          <w:p w:rsidRPr="00C950AE" w:rsidR="00892703" w:rsidP="00C950AE" w:rsidRDefault="008E7E7D" w14:paraId="0A7D5265" w14:textId="11BF2482">
            <w:pPr>
              <w:tabs>
                <w:tab w:val="left" w:pos="0"/>
                <w:tab w:val="left" w:pos="720"/>
                <w:tab w:val="left" w:pos="1440"/>
              </w:tabs>
              <w:jc w:val="center"/>
              <w:rPr>
                <w:rFonts w:ascii="Times New Roman" w:hAnsi="Times New Roman"/>
                <w:sz w:val="20"/>
              </w:rPr>
            </w:pPr>
            <w:r>
              <w:rPr>
                <w:rFonts w:ascii="Times New Roman" w:hAnsi="Times New Roman"/>
                <w:sz w:val="20"/>
              </w:rPr>
              <w:t>Activity</w:t>
            </w:r>
          </w:p>
        </w:tc>
        <w:tc>
          <w:tcPr>
            <w:tcW w:w="1994" w:type="dxa"/>
            <w:tcBorders>
              <w:top w:val="single" w:color="auto" w:sz="2" w:space="0"/>
              <w:left w:val="single" w:color="auto" w:sz="2" w:space="0"/>
              <w:bottom w:val="single" w:color="auto" w:sz="2" w:space="0"/>
              <w:right w:val="single" w:color="auto" w:sz="2" w:space="0"/>
            </w:tcBorders>
          </w:tcPr>
          <w:p w:rsidRPr="00C950AE" w:rsidR="00892703" w:rsidP="00C950AE" w:rsidRDefault="00892703" w14:paraId="04CEB2FA" w14:textId="77777777">
            <w:pPr>
              <w:tabs>
                <w:tab w:val="left" w:pos="0"/>
                <w:tab w:val="left" w:pos="720"/>
                <w:tab w:val="left" w:pos="1440"/>
              </w:tabs>
              <w:jc w:val="center"/>
              <w:rPr>
                <w:rFonts w:ascii="Times New Roman" w:hAnsi="Times New Roman"/>
                <w:sz w:val="20"/>
              </w:rPr>
            </w:pPr>
            <w:r w:rsidRPr="00C950AE">
              <w:rPr>
                <w:rFonts w:ascii="Times New Roman" w:hAnsi="Times New Roman"/>
                <w:sz w:val="20"/>
              </w:rPr>
              <w:t>No. of Respondents</w:t>
            </w:r>
          </w:p>
        </w:tc>
        <w:tc>
          <w:tcPr>
            <w:tcW w:w="1524" w:type="dxa"/>
            <w:tcBorders>
              <w:top w:val="single" w:color="auto" w:sz="2" w:space="0"/>
              <w:left w:val="single" w:color="auto" w:sz="2" w:space="0"/>
              <w:bottom w:val="single" w:color="auto" w:sz="2" w:space="0"/>
              <w:right w:val="single" w:color="auto" w:sz="2" w:space="0"/>
            </w:tcBorders>
          </w:tcPr>
          <w:p w:rsidRPr="00C950AE" w:rsidR="00892703" w:rsidP="00C950AE" w:rsidRDefault="0077620F" w14:paraId="08B4E2D6" w14:textId="79304DC4">
            <w:pPr>
              <w:tabs>
                <w:tab w:val="left" w:pos="0"/>
                <w:tab w:val="left" w:pos="720"/>
                <w:tab w:val="left" w:pos="1440"/>
              </w:tabs>
              <w:jc w:val="center"/>
              <w:rPr>
                <w:rFonts w:ascii="Times New Roman" w:hAnsi="Times New Roman"/>
                <w:sz w:val="20"/>
              </w:rPr>
            </w:pPr>
            <w:r w:rsidRPr="00C950AE">
              <w:rPr>
                <w:rFonts w:ascii="Times New Roman" w:hAnsi="Times New Roman"/>
                <w:sz w:val="20"/>
              </w:rPr>
              <w:t xml:space="preserve">No. of Responses </w:t>
            </w:r>
            <w:r w:rsidRPr="00C950AE" w:rsidR="00892703">
              <w:rPr>
                <w:rFonts w:ascii="Times New Roman" w:hAnsi="Times New Roman"/>
                <w:sz w:val="20"/>
              </w:rPr>
              <w:t xml:space="preserve">per </w:t>
            </w:r>
            <w:r w:rsidR="009303BB">
              <w:rPr>
                <w:rFonts w:ascii="Times New Roman" w:hAnsi="Times New Roman"/>
                <w:sz w:val="20"/>
              </w:rPr>
              <w:t>Respondent per year</w:t>
            </w:r>
          </w:p>
        </w:tc>
        <w:tc>
          <w:tcPr>
            <w:tcW w:w="1442" w:type="dxa"/>
            <w:tcBorders>
              <w:top w:val="single" w:color="auto" w:sz="2" w:space="0"/>
              <w:left w:val="single" w:color="auto" w:sz="2" w:space="0"/>
              <w:bottom w:val="single" w:color="auto" w:sz="2" w:space="0"/>
              <w:right w:val="single" w:color="auto" w:sz="2" w:space="0"/>
            </w:tcBorders>
          </w:tcPr>
          <w:p w:rsidRPr="00C950AE" w:rsidR="00892703" w:rsidP="00C950AE" w:rsidRDefault="00892703" w14:paraId="1E6EE032" w14:textId="77777777">
            <w:pPr>
              <w:tabs>
                <w:tab w:val="left" w:pos="0"/>
                <w:tab w:val="left" w:pos="720"/>
                <w:tab w:val="left" w:pos="1440"/>
              </w:tabs>
              <w:jc w:val="center"/>
              <w:rPr>
                <w:rFonts w:ascii="Times New Roman" w:hAnsi="Times New Roman"/>
                <w:sz w:val="20"/>
              </w:rPr>
            </w:pPr>
            <w:r w:rsidRPr="00C950AE">
              <w:rPr>
                <w:rFonts w:ascii="Times New Roman" w:hAnsi="Times New Roman"/>
                <w:sz w:val="20"/>
              </w:rPr>
              <w:t>Total Annual Responses</w:t>
            </w:r>
          </w:p>
        </w:tc>
        <w:tc>
          <w:tcPr>
            <w:tcW w:w="1354" w:type="dxa"/>
            <w:tcBorders>
              <w:top w:val="single" w:color="auto" w:sz="2" w:space="0"/>
              <w:left w:val="single" w:color="auto" w:sz="2" w:space="0"/>
              <w:bottom w:val="single" w:color="auto" w:sz="2" w:space="0"/>
              <w:right w:val="single" w:color="auto" w:sz="2" w:space="0"/>
            </w:tcBorders>
          </w:tcPr>
          <w:p w:rsidRPr="00C950AE" w:rsidR="00892703" w:rsidP="00C950AE" w:rsidRDefault="0077620F" w14:paraId="1E9B9756" w14:textId="23A49877">
            <w:pPr>
              <w:tabs>
                <w:tab w:val="left" w:pos="0"/>
                <w:tab w:val="left" w:pos="720"/>
                <w:tab w:val="left" w:pos="1440"/>
              </w:tabs>
              <w:jc w:val="center"/>
              <w:rPr>
                <w:rFonts w:ascii="Times New Roman" w:hAnsi="Times New Roman"/>
                <w:sz w:val="20"/>
              </w:rPr>
            </w:pPr>
            <w:r w:rsidRPr="00C950AE">
              <w:rPr>
                <w:rFonts w:ascii="Times New Roman" w:hAnsi="Times New Roman"/>
                <w:sz w:val="20"/>
              </w:rPr>
              <w:t>Average Burden</w:t>
            </w:r>
            <w:r w:rsidR="009303BB">
              <w:rPr>
                <w:rFonts w:ascii="Times New Roman" w:hAnsi="Times New Roman"/>
                <w:sz w:val="20"/>
              </w:rPr>
              <w:t xml:space="preserve"> </w:t>
            </w:r>
            <w:r w:rsidRPr="00C950AE" w:rsidR="00892703">
              <w:rPr>
                <w:rFonts w:ascii="Times New Roman" w:hAnsi="Times New Roman"/>
                <w:sz w:val="20"/>
              </w:rPr>
              <w:t>per Response</w:t>
            </w:r>
            <w:r w:rsidRPr="00C950AE">
              <w:rPr>
                <w:rFonts w:ascii="Times New Roman" w:hAnsi="Times New Roman"/>
                <w:sz w:val="20"/>
              </w:rPr>
              <w:t xml:space="preserve"> (hours)</w:t>
            </w:r>
          </w:p>
        </w:tc>
        <w:tc>
          <w:tcPr>
            <w:tcW w:w="1146" w:type="dxa"/>
            <w:tcBorders>
              <w:top w:val="single" w:color="auto" w:sz="2" w:space="0"/>
              <w:left w:val="single" w:color="auto" w:sz="2" w:space="0"/>
              <w:bottom w:val="single" w:color="auto" w:sz="2" w:space="0"/>
              <w:right w:val="single" w:color="auto" w:sz="2" w:space="0"/>
            </w:tcBorders>
          </w:tcPr>
          <w:p w:rsidRPr="00C950AE" w:rsidR="00892703" w:rsidP="00C950AE" w:rsidRDefault="00892703" w14:paraId="5209886C" w14:textId="7C79C499">
            <w:pPr>
              <w:tabs>
                <w:tab w:val="left" w:pos="0"/>
                <w:tab w:val="left" w:pos="720"/>
                <w:tab w:val="left" w:pos="1440"/>
              </w:tabs>
              <w:jc w:val="center"/>
              <w:rPr>
                <w:rFonts w:ascii="Times New Roman" w:hAnsi="Times New Roman"/>
                <w:sz w:val="20"/>
              </w:rPr>
            </w:pPr>
            <w:r w:rsidRPr="00C950AE">
              <w:rPr>
                <w:rFonts w:ascii="Times New Roman" w:hAnsi="Times New Roman"/>
                <w:sz w:val="20"/>
              </w:rPr>
              <w:t>Total Hours</w:t>
            </w:r>
            <w:r w:rsidR="009303BB">
              <w:rPr>
                <w:rFonts w:ascii="Times New Roman" w:hAnsi="Times New Roman"/>
                <w:sz w:val="20"/>
              </w:rPr>
              <w:t xml:space="preserve"> Required per Year</w:t>
            </w:r>
          </w:p>
        </w:tc>
      </w:tr>
      <w:tr w:rsidRPr="00C950AE" w:rsidR="0023279B" w:rsidTr="009641AB" w14:paraId="24DA85E3" w14:textId="77777777">
        <w:trPr>
          <w:cantSplit/>
          <w:jc w:val="center"/>
        </w:trPr>
        <w:tc>
          <w:tcPr>
            <w:tcW w:w="1701" w:type="dxa"/>
            <w:tcBorders>
              <w:top w:val="single" w:color="auto" w:sz="2" w:space="0"/>
              <w:left w:val="single" w:color="auto" w:sz="2" w:space="0"/>
              <w:bottom w:val="single" w:color="auto" w:sz="2" w:space="0"/>
              <w:right w:val="single" w:color="auto" w:sz="2" w:space="0"/>
            </w:tcBorders>
          </w:tcPr>
          <w:p w:rsidRPr="00C950AE" w:rsidR="0023279B" w:rsidP="00C950AE" w:rsidRDefault="002776AD" w14:paraId="2DD30337" w14:textId="66782AB3">
            <w:pPr>
              <w:tabs>
                <w:tab w:val="left" w:pos="0"/>
                <w:tab w:val="left" w:pos="720"/>
                <w:tab w:val="left" w:pos="1440"/>
              </w:tabs>
              <w:rPr>
                <w:rFonts w:ascii="Times New Roman" w:hAnsi="Times New Roman"/>
                <w:sz w:val="20"/>
              </w:rPr>
            </w:pPr>
            <w:r>
              <w:rPr>
                <w:rFonts w:ascii="Times New Roman" w:hAnsi="Times New Roman"/>
                <w:sz w:val="20"/>
              </w:rPr>
              <w:t>S</w:t>
            </w:r>
            <w:r w:rsidR="005F1ECB">
              <w:rPr>
                <w:rFonts w:ascii="Times New Roman" w:hAnsi="Times New Roman"/>
                <w:sz w:val="20"/>
              </w:rPr>
              <w:t>hortages data collection</w:t>
            </w:r>
          </w:p>
        </w:tc>
        <w:tc>
          <w:tcPr>
            <w:tcW w:w="1994" w:type="dxa"/>
            <w:tcBorders>
              <w:top w:val="single" w:color="auto" w:sz="2" w:space="0"/>
              <w:left w:val="single" w:color="auto" w:sz="2" w:space="0"/>
              <w:bottom w:val="single" w:color="auto" w:sz="2" w:space="0"/>
              <w:right w:val="single" w:color="auto" w:sz="2" w:space="0"/>
            </w:tcBorders>
          </w:tcPr>
          <w:p w:rsidRPr="00C950AE" w:rsidR="0023279B" w:rsidP="00C950AE" w:rsidRDefault="007C7110" w14:paraId="132F21A3" w14:textId="2A24FEFD">
            <w:pPr>
              <w:tabs>
                <w:tab w:val="left" w:pos="0"/>
                <w:tab w:val="left" w:pos="720"/>
                <w:tab w:val="left" w:pos="1440"/>
              </w:tabs>
              <w:jc w:val="right"/>
              <w:rPr>
                <w:rFonts w:ascii="Times New Roman" w:hAnsi="Times New Roman"/>
                <w:sz w:val="20"/>
              </w:rPr>
            </w:pPr>
            <w:r>
              <w:rPr>
                <w:rFonts w:ascii="Times New Roman" w:hAnsi="Times New Roman"/>
                <w:sz w:val="20"/>
              </w:rPr>
              <w:t>260</w:t>
            </w:r>
          </w:p>
        </w:tc>
        <w:tc>
          <w:tcPr>
            <w:tcW w:w="1524" w:type="dxa"/>
            <w:tcBorders>
              <w:top w:val="single" w:color="auto" w:sz="2" w:space="0"/>
              <w:left w:val="single" w:color="auto" w:sz="2" w:space="0"/>
              <w:bottom w:val="single" w:color="auto" w:sz="2" w:space="0"/>
              <w:right w:val="single" w:color="auto" w:sz="2" w:space="0"/>
            </w:tcBorders>
          </w:tcPr>
          <w:p w:rsidRPr="00C950AE" w:rsidR="0023279B" w:rsidP="00C950AE" w:rsidRDefault="009303BB" w14:paraId="122A16BA" w14:textId="4D245209">
            <w:pPr>
              <w:tabs>
                <w:tab w:val="left" w:pos="0"/>
                <w:tab w:val="left" w:pos="720"/>
                <w:tab w:val="left" w:pos="1440"/>
              </w:tabs>
              <w:jc w:val="right"/>
              <w:rPr>
                <w:rFonts w:ascii="Times New Roman" w:hAnsi="Times New Roman"/>
                <w:sz w:val="20"/>
              </w:rPr>
            </w:pPr>
            <w:r>
              <w:rPr>
                <w:rFonts w:ascii="Times New Roman" w:hAnsi="Times New Roman"/>
                <w:sz w:val="20"/>
              </w:rPr>
              <w:t>4</w:t>
            </w:r>
          </w:p>
        </w:tc>
        <w:tc>
          <w:tcPr>
            <w:tcW w:w="1442" w:type="dxa"/>
            <w:tcBorders>
              <w:top w:val="single" w:color="auto" w:sz="2" w:space="0"/>
              <w:left w:val="single" w:color="auto" w:sz="2" w:space="0"/>
              <w:bottom w:val="single" w:color="auto" w:sz="2" w:space="0"/>
              <w:right w:val="single" w:color="auto" w:sz="2" w:space="0"/>
            </w:tcBorders>
          </w:tcPr>
          <w:p w:rsidRPr="00C950AE" w:rsidR="0023279B" w:rsidP="00C950AE" w:rsidRDefault="007C7110" w14:paraId="73B68CFF" w14:textId="002B0F1A">
            <w:pPr>
              <w:tabs>
                <w:tab w:val="left" w:pos="0"/>
                <w:tab w:val="left" w:pos="720"/>
                <w:tab w:val="left" w:pos="1440"/>
              </w:tabs>
              <w:jc w:val="right"/>
              <w:rPr>
                <w:rFonts w:ascii="Times New Roman" w:hAnsi="Times New Roman"/>
                <w:sz w:val="20"/>
              </w:rPr>
            </w:pPr>
            <w:r>
              <w:rPr>
                <w:rFonts w:ascii="Times New Roman" w:hAnsi="Times New Roman"/>
                <w:sz w:val="20"/>
              </w:rPr>
              <w:t>1,040</w:t>
            </w:r>
          </w:p>
        </w:tc>
        <w:tc>
          <w:tcPr>
            <w:tcW w:w="1354" w:type="dxa"/>
            <w:tcBorders>
              <w:top w:val="single" w:color="auto" w:sz="2" w:space="0"/>
              <w:left w:val="single" w:color="auto" w:sz="2" w:space="0"/>
              <w:bottom w:val="single" w:color="auto" w:sz="2" w:space="0"/>
              <w:right w:val="single" w:color="auto" w:sz="2" w:space="0"/>
            </w:tcBorders>
          </w:tcPr>
          <w:p w:rsidRPr="00C950AE" w:rsidR="0023279B" w:rsidP="00C950AE" w:rsidRDefault="007E0D1E" w14:paraId="3D4C1204" w14:textId="77777777">
            <w:pPr>
              <w:tabs>
                <w:tab w:val="left" w:pos="0"/>
                <w:tab w:val="left" w:pos="720"/>
                <w:tab w:val="left" w:pos="1440"/>
              </w:tabs>
              <w:jc w:val="right"/>
              <w:rPr>
                <w:rFonts w:ascii="Times New Roman" w:hAnsi="Times New Roman"/>
                <w:sz w:val="20"/>
              </w:rPr>
            </w:pPr>
            <w:r w:rsidRPr="00C950AE">
              <w:rPr>
                <w:rFonts w:ascii="Times New Roman" w:hAnsi="Times New Roman"/>
                <w:sz w:val="20"/>
              </w:rPr>
              <w:t>0</w:t>
            </w:r>
            <w:r w:rsidRPr="00C950AE" w:rsidR="0023279B">
              <w:rPr>
                <w:rFonts w:ascii="Times New Roman" w:hAnsi="Times New Roman"/>
                <w:sz w:val="20"/>
              </w:rPr>
              <w:t>.5</w:t>
            </w:r>
          </w:p>
        </w:tc>
        <w:tc>
          <w:tcPr>
            <w:tcW w:w="1146" w:type="dxa"/>
            <w:tcBorders>
              <w:top w:val="single" w:color="auto" w:sz="2" w:space="0"/>
              <w:left w:val="single" w:color="auto" w:sz="2" w:space="0"/>
              <w:bottom w:val="single" w:color="auto" w:sz="2" w:space="0"/>
              <w:right w:val="single" w:color="auto" w:sz="2" w:space="0"/>
            </w:tcBorders>
          </w:tcPr>
          <w:p w:rsidRPr="00C950AE" w:rsidR="0023279B" w:rsidP="00C950AE" w:rsidRDefault="007C7110" w14:paraId="2A5BF534" w14:textId="34355DDC">
            <w:pPr>
              <w:tabs>
                <w:tab w:val="left" w:pos="0"/>
                <w:tab w:val="left" w:pos="720"/>
                <w:tab w:val="left" w:pos="1440"/>
              </w:tabs>
              <w:jc w:val="right"/>
              <w:rPr>
                <w:rFonts w:ascii="Times New Roman" w:hAnsi="Times New Roman"/>
                <w:sz w:val="20"/>
              </w:rPr>
            </w:pPr>
            <w:r>
              <w:rPr>
                <w:rFonts w:ascii="Times New Roman" w:hAnsi="Times New Roman"/>
                <w:sz w:val="20"/>
              </w:rPr>
              <w:t>520</w:t>
            </w:r>
          </w:p>
        </w:tc>
      </w:tr>
      <w:tr w:rsidRPr="00C950AE" w:rsidR="00C950AE" w:rsidTr="009641AB" w14:paraId="6C7AF02A" w14:textId="77777777">
        <w:trPr>
          <w:cantSplit/>
          <w:jc w:val="center"/>
        </w:trPr>
        <w:tc>
          <w:tcPr>
            <w:tcW w:w="9161" w:type="dxa"/>
            <w:gridSpan w:val="6"/>
            <w:tcBorders>
              <w:top w:val="single" w:color="auto" w:sz="2" w:space="0"/>
              <w:bottom w:val="nil"/>
            </w:tcBorders>
          </w:tcPr>
          <w:p w:rsidRPr="00C950AE" w:rsidR="00C950AE" w:rsidP="00C950AE" w:rsidRDefault="00C950AE" w14:paraId="6E4F1F91" w14:textId="737FB3EA">
            <w:pPr>
              <w:tabs>
                <w:tab w:val="left" w:pos="0"/>
                <w:tab w:val="left" w:pos="720"/>
                <w:tab w:val="left" w:pos="1440"/>
              </w:tabs>
              <w:rPr>
                <w:rFonts w:ascii="Times New Roman" w:hAnsi="Times New Roman"/>
                <w:sz w:val="20"/>
              </w:rPr>
            </w:pPr>
            <w:r w:rsidRPr="00C950AE">
              <w:rPr>
                <w:rFonts w:ascii="Times New Roman" w:hAnsi="Times New Roman"/>
                <w:sz w:val="20"/>
                <w:vertAlign w:val="superscript"/>
              </w:rPr>
              <w:t>1</w:t>
            </w:r>
            <w:r w:rsidR="00E41651">
              <w:rPr>
                <w:rFonts w:ascii="Times New Roman" w:hAnsi="Times New Roman"/>
                <w:sz w:val="20"/>
                <w:vertAlign w:val="superscript"/>
              </w:rPr>
              <w:t xml:space="preserve"> </w:t>
            </w:r>
            <w:r w:rsidRPr="00C950AE">
              <w:rPr>
                <w:rFonts w:ascii="Times New Roman" w:hAnsi="Times New Roman"/>
                <w:sz w:val="20"/>
              </w:rPr>
              <w:t>There are no capital costs or operating and maintenance costs associated with this collection of information.</w:t>
            </w:r>
          </w:p>
        </w:tc>
      </w:tr>
    </w:tbl>
    <w:p w:rsidRPr="00072FB2" w:rsidR="00892703" w:rsidP="0023279B" w:rsidRDefault="00892703" w14:paraId="435C6A14"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540"/>
        <w:rPr>
          <w:rFonts w:ascii="Times New Roman" w:hAnsi="Times New Roman"/>
          <w:szCs w:val="24"/>
        </w:rPr>
      </w:pPr>
    </w:p>
    <w:p w:rsidR="009303BB" w:rsidP="0047790D" w:rsidRDefault="0023279B" w14:paraId="23E1169C" w14:textId="2EE1083A">
      <w:pPr>
        <w:pStyle w:val="HTMLPreformatted"/>
        <w:ind w:left="540"/>
        <w:rPr>
          <w:rFonts w:ascii="Times New Roman" w:hAnsi="Times New Roman"/>
          <w:sz w:val="24"/>
        </w:rPr>
      </w:pPr>
      <w:r w:rsidRPr="0097758E">
        <w:rPr>
          <w:rFonts w:ascii="Times New Roman" w:hAnsi="Times New Roman"/>
          <w:sz w:val="24"/>
        </w:rPr>
        <w:t>FDA base</w:t>
      </w:r>
      <w:r w:rsidR="009303BB">
        <w:rPr>
          <w:rFonts w:ascii="Times New Roman" w:hAnsi="Times New Roman"/>
          <w:sz w:val="24"/>
        </w:rPr>
        <w:t>s</w:t>
      </w:r>
      <w:r w:rsidRPr="0097758E">
        <w:rPr>
          <w:rFonts w:ascii="Times New Roman" w:hAnsi="Times New Roman"/>
          <w:sz w:val="24"/>
        </w:rPr>
        <w:t xml:space="preserve"> these estimates on </w:t>
      </w:r>
      <w:proofErr w:type="gramStart"/>
      <w:r w:rsidRPr="0097758E">
        <w:rPr>
          <w:rFonts w:ascii="Times New Roman" w:hAnsi="Times New Roman"/>
          <w:sz w:val="24"/>
        </w:rPr>
        <w:t>past experience</w:t>
      </w:r>
      <w:proofErr w:type="gramEnd"/>
      <w:r w:rsidRPr="0097758E">
        <w:rPr>
          <w:rFonts w:ascii="Times New Roman" w:hAnsi="Times New Roman"/>
          <w:sz w:val="24"/>
        </w:rPr>
        <w:t xml:space="preserve"> with direct contact with the medical device manufacturers</w:t>
      </w:r>
      <w:r>
        <w:rPr>
          <w:rFonts w:ascii="Times New Roman" w:hAnsi="Times New Roman"/>
          <w:sz w:val="24"/>
        </w:rPr>
        <w:t xml:space="preserve">, and anticipated changes in the medical device manufacturing patterns for the specific devices </w:t>
      </w:r>
      <w:r w:rsidR="00590866">
        <w:rPr>
          <w:rFonts w:ascii="Times New Roman" w:hAnsi="Times New Roman"/>
          <w:sz w:val="24"/>
        </w:rPr>
        <w:t>that may be</w:t>
      </w:r>
      <w:r>
        <w:rPr>
          <w:rFonts w:ascii="Times New Roman" w:hAnsi="Times New Roman"/>
          <w:sz w:val="24"/>
        </w:rPr>
        <w:t xml:space="preserve"> monitored.</w:t>
      </w:r>
      <w:r w:rsidRPr="0097758E">
        <w:rPr>
          <w:rFonts w:ascii="Times New Roman" w:hAnsi="Times New Roman"/>
          <w:sz w:val="24"/>
        </w:rPr>
        <w:t xml:space="preserve"> FDA estimates that </w:t>
      </w:r>
      <w:r w:rsidR="006D339B">
        <w:rPr>
          <w:rFonts w:ascii="Times New Roman" w:hAnsi="Times New Roman"/>
          <w:sz w:val="24"/>
        </w:rPr>
        <w:t xml:space="preserve">there are </w:t>
      </w:r>
      <w:r w:rsidRPr="0097758E">
        <w:rPr>
          <w:rFonts w:ascii="Times New Roman" w:hAnsi="Times New Roman"/>
          <w:sz w:val="24"/>
        </w:rPr>
        <w:t xml:space="preserve">approximately </w:t>
      </w:r>
      <w:r w:rsidR="00855F80">
        <w:rPr>
          <w:rFonts w:ascii="Times New Roman" w:hAnsi="Times New Roman"/>
          <w:sz w:val="24"/>
        </w:rPr>
        <w:t xml:space="preserve">260 </w:t>
      </w:r>
      <w:r w:rsidRPr="0097758E">
        <w:rPr>
          <w:rFonts w:ascii="Times New Roman" w:hAnsi="Times New Roman"/>
          <w:sz w:val="24"/>
        </w:rPr>
        <w:t>manufacturers</w:t>
      </w:r>
      <w:r w:rsidR="009303BB">
        <w:rPr>
          <w:rFonts w:ascii="Times New Roman" w:hAnsi="Times New Roman"/>
          <w:sz w:val="24"/>
        </w:rPr>
        <w:t xml:space="preserve"> whose devices meet the </w:t>
      </w:r>
      <w:r w:rsidR="006D339B">
        <w:rPr>
          <w:rFonts w:ascii="Times New Roman" w:hAnsi="Times New Roman"/>
          <w:sz w:val="24"/>
        </w:rPr>
        <w:t xml:space="preserve">“essential” </w:t>
      </w:r>
      <w:r w:rsidR="009303BB">
        <w:rPr>
          <w:rFonts w:ascii="Times New Roman" w:hAnsi="Times New Roman"/>
          <w:sz w:val="24"/>
        </w:rPr>
        <w:t xml:space="preserve">inclusion </w:t>
      </w:r>
      <w:r w:rsidR="00A91FBF">
        <w:rPr>
          <w:rFonts w:ascii="Times New Roman" w:hAnsi="Times New Roman"/>
          <w:sz w:val="24"/>
        </w:rPr>
        <w:t xml:space="preserve">determination </w:t>
      </w:r>
      <w:r w:rsidR="003852AD">
        <w:rPr>
          <w:rFonts w:ascii="Times New Roman" w:hAnsi="Times New Roman"/>
          <w:sz w:val="24"/>
        </w:rPr>
        <w:t>(discussed in section 1 of this document)</w:t>
      </w:r>
      <w:r w:rsidR="006D339B">
        <w:rPr>
          <w:rFonts w:ascii="Times New Roman" w:hAnsi="Times New Roman"/>
          <w:sz w:val="24"/>
        </w:rPr>
        <w:t xml:space="preserve">. They </w:t>
      </w:r>
      <w:r w:rsidRPr="0097758E">
        <w:rPr>
          <w:rFonts w:ascii="Times New Roman" w:hAnsi="Times New Roman"/>
          <w:sz w:val="24"/>
        </w:rPr>
        <w:t xml:space="preserve">would be contacted by </w:t>
      </w:r>
      <w:r>
        <w:rPr>
          <w:rFonts w:ascii="Times New Roman" w:hAnsi="Times New Roman"/>
          <w:sz w:val="24"/>
        </w:rPr>
        <w:t>telephone and</w:t>
      </w:r>
      <w:r w:rsidR="00C4585F">
        <w:rPr>
          <w:rFonts w:ascii="Times New Roman" w:hAnsi="Times New Roman"/>
          <w:sz w:val="24"/>
        </w:rPr>
        <w:t xml:space="preserve"> then by</w:t>
      </w:r>
      <w:r>
        <w:rPr>
          <w:rFonts w:ascii="Times New Roman" w:hAnsi="Times New Roman"/>
          <w:sz w:val="24"/>
        </w:rPr>
        <w:t xml:space="preserve"> </w:t>
      </w:r>
      <w:r w:rsidRPr="0097758E">
        <w:rPr>
          <w:rFonts w:ascii="Times New Roman" w:hAnsi="Times New Roman"/>
          <w:sz w:val="24"/>
        </w:rPr>
        <w:t xml:space="preserve">electronic mail </w:t>
      </w:r>
      <w:r w:rsidR="006D339B">
        <w:rPr>
          <w:rFonts w:ascii="Times New Roman" w:hAnsi="Times New Roman"/>
          <w:sz w:val="24"/>
        </w:rPr>
        <w:t xml:space="preserve">quarterly </w:t>
      </w:r>
      <w:r w:rsidRPr="0097758E">
        <w:rPr>
          <w:rFonts w:ascii="Times New Roman" w:hAnsi="Times New Roman"/>
          <w:sz w:val="24"/>
        </w:rPr>
        <w:t xml:space="preserve">to </w:t>
      </w:r>
      <w:r>
        <w:rPr>
          <w:rFonts w:ascii="Times New Roman" w:hAnsi="Times New Roman"/>
          <w:sz w:val="24"/>
        </w:rPr>
        <w:t xml:space="preserve">either obtain primary data or to verify/validate </w:t>
      </w:r>
      <w:r w:rsidR="009303BB">
        <w:rPr>
          <w:rFonts w:ascii="Times New Roman" w:hAnsi="Times New Roman"/>
          <w:sz w:val="24"/>
        </w:rPr>
        <w:t xml:space="preserve">updated </w:t>
      </w:r>
      <w:r>
        <w:rPr>
          <w:rFonts w:ascii="Times New Roman" w:hAnsi="Times New Roman"/>
          <w:sz w:val="24"/>
        </w:rPr>
        <w:t>data</w:t>
      </w:r>
      <w:r w:rsidR="00C64F9D">
        <w:rPr>
          <w:rFonts w:ascii="Times New Roman" w:hAnsi="Times New Roman"/>
          <w:sz w:val="24"/>
        </w:rPr>
        <w:t xml:space="preserve"> (</w:t>
      </w:r>
      <w:r w:rsidR="006D339B">
        <w:rPr>
          <w:rFonts w:ascii="Times New Roman" w:hAnsi="Times New Roman"/>
          <w:sz w:val="24"/>
        </w:rPr>
        <w:t>al</w:t>
      </w:r>
      <w:r w:rsidR="00C64F9D">
        <w:rPr>
          <w:rFonts w:ascii="Times New Roman" w:hAnsi="Times New Roman"/>
          <w:sz w:val="24"/>
        </w:rPr>
        <w:t xml:space="preserve">though additional outreach </w:t>
      </w:r>
      <w:r w:rsidR="00C4585F">
        <w:rPr>
          <w:rFonts w:ascii="Times New Roman" w:hAnsi="Times New Roman"/>
          <w:sz w:val="24"/>
        </w:rPr>
        <w:t xml:space="preserve">electronically or by phone </w:t>
      </w:r>
      <w:r w:rsidR="00C64F9D">
        <w:rPr>
          <w:rFonts w:ascii="Times New Roman" w:hAnsi="Times New Roman"/>
          <w:sz w:val="24"/>
        </w:rPr>
        <w:t>may be undertaken as needed)</w:t>
      </w:r>
      <w:r>
        <w:rPr>
          <w:rFonts w:ascii="Times New Roman" w:hAnsi="Times New Roman"/>
          <w:sz w:val="24"/>
        </w:rPr>
        <w:t xml:space="preserve">. </w:t>
      </w:r>
    </w:p>
    <w:p w:rsidR="009303BB" w:rsidP="0047790D" w:rsidRDefault="009303BB" w14:paraId="013E0DCB" w14:textId="77777777">
      <w:pPr>
        <w:pStyle w:val="HTMLPreformatted"/>
        <w:ind w:left="540"/>
        <w:rPr>
          <w:rFonts w:ascii="Times New Roman" w:hAnsi="Times New Roman"/>
          <w:sz w:val="24"/>
        </w:rPr>
      </w:pPr>
    </w:p>
    <w:p w:rsidR="0023279B" w:rsidP="0047790D" w:rsidRDefault="009303BB" w14:paraId="4B5E4D9E" w14:textId="3B48C79F">
      <w:pPr>
        <w:pStyle w:val="HTMLPreformatted"/>
        <w:ind w:left="540"/>
        <w:rPr>
          <w:rFonts w:ascii="Times New Roman" w:hAnsi="Times New Roman"/>
          <w:sz w:val="24"/>
        </w:rPr>
      </w:pPr>
      <w:r>
        <w:rPr>
          <w:rFonts w:ascii="Times New Roman" w:hAnsi="Times New Roman"/>
          <w:sz w:val="24"/>
        </w:rPr>
        <w:t xml:space="preserve">From the manufacturer’s point of view, </w:t>
      </w:r>
      <w:r w:rsidR="0023279B">
        <w:rPr>
          <w:rFonts w:ascii="Times New Roman" w:hAnsi="Times New Roman"/>
          <w:sz w:val="24"/>
        </w:rPr>
        <w:t xml:space="preserve">the data being requested represent </w:t>
      </w:r>
      <w:r w:rsidR="006D339B">
        <w:rPr>
          <w:rFonts w:ascii="Times New Roman" w:hAnsi="Times New Roman"/>
          <w:sz w:val="24"/>
        </w:rPr>
        <w:t xml:space="preserve">common </w:t>
      </w:r>
      <w:r w:rsidR="0023279B">
        <w:rPr>
          <w:rFonts w:ascii="Times New Roman" w:hAnsi="Times New Roman"/>
          <w:sz w:val="24"/>
        </w:rPr>
        <w:t xml:space="preserve">data elements that </w:t>
      </w:r>
      <w:r>
        <w:rPr>
          <w:rFonts w:ascii="Times New Roman" w:hAnsi="Times New Roman"/>
          <w:sz w:val="24"/>
        </w:rPr>
        <w:t xml:space="preserve">manufacturers </w:t>
      </w:r>
      <w:r w:rsidR="0023279B">
        <w:rPr>
          <w:rFonts w:ascii="Times New Roman" w:hAnsi="Times New Roman"/>
          <w:sz w:val="24"/>
        </w:rPr>
        <w:t xml:space="preserve">monitor </w:t>
      </w:r>
      <w:r>
        <w:rPr>
          <w:rFonts w:ascii="Times New Roman" w:hAnsi="Times New Roman"/>
          <w:sz w:val="24"/>
        </w:rPr>
        <w:t xml:space="preserve">and </w:t>
      </w:r>
      <w:r w:rsidR="0023279B">
        <w:rPr>
          <w:rFonts w:ascii="Times New Roman" w:hAnsi="Times New Roman"/>
          <w:sz w:val="24"/>
        </w:rPr>
        <w:t xml:space="preserve">track as part of routine </w:t>
      </w:r>
      <w:r>
        <w:rPr>
          <w:rFonts w:ascii="Times New Roman" w:hAnsi="Times New Roman"/>
          <w:sz w:val="24"/>
        </w:rPr>
        <w:t>business operations</w:t>
      </w:r>
      <w:r w:rsidR="006D339B">
        <w:rPr>
          <w:rFonts w:ascii="Times New Roman" w:hAnsi="Times New Roman"/>
          <w:sz w:val="24"/>
        </w:rPr>
        <w:t xml:space="preserve"> and therefore readily available</w:t>
      </w:r>
      <w:r>
        <w:rPr>
          <w:rFonts w:ascii="Times New Roman" w:hAnsi="Times New Roman"/>
          <w:sz w:val="24"/>
        </w:rPr>
        <w:t xml:space="preserve">. </w:t>
      </w:r>
      <w:r w:rsidR="006D339B">
        <w:rPr>
          <w:rFonts w:ascii="Times New Roman" w:hAnsi="Times New Roman"/>
          <w:sz w:val="24"/>
        </w:rPr>
        <w:t>It</w:t>
      </w:r>
      <w:r w:rsidR="0023279B">
        <w:rPr>
          <w:rFonts w:ascii="Times New Roman" w:hAnsi="Times New Roman"/>
          <w:sz w:val="24"/>
        </w:rPr>
        <w:t xml:space="preserve"> is anticipated that for most manufacturers the estimated time to </w:t>
      </w:r>
      <w:r>
        <w:rPr>
          <w:rFonts w:ascii="Times New Roman" w:hAnsi="Times New Roman"/>
          <w:sz w:val="24"/>
        </w:rPr>
        <w:t xml:space="preserve">fulfill CDRH’s </w:t>
      </w:r>
      <w:r w:rsidR="0023279B">
        <w:rPr>
          <w:rFonts w:ascii="Times New Roman" w:hAnsi="Times New Roman"/>
          <w:sz w:val="24"/>
        </w:rPr>
        <w:t>data request will not exceed 30 minutes per request</w:t>
      </w:r>
      <w:r>
        <w:rPr>
          <w:rFonts w:ascii="Times New Roman" w:hAnsi="Times New Roman"/>
          <w:sz w:val="24"/>
        </w:rPr>
        <w:t>, or 2 hours per year</w:t>
      </w:r>
      <w:r w:rsidR="0023279B">
        <w:rPr>
          <w:rFonts w:ascii="Times New Roman" w:hAnsi="Times New Roman"/>
          <w:sz w:val="24"/>
        </w:rPr>
        <w:t xml:space="preserve">. </w:t>
      </w:r>
    </w:p>
    <w:p w:rsidR="0047790D" w:rsidP="00212859" w:rsidRDefault="0047790D" w14:paraId="7BD483C1" w14:textId="77777777">
      <w:pPr>
        <w:pStyle w:val="BodyTextIndent"/>
        <w:rPr>
          <w:szCs w:val="24"/>
        </w:rPr>
      </w:pPr>
    </w:p>
    <w:p w:rsidRPr="0077620F" w:rsidR="0077620F" w:rsidP="00C950AE" w:rsidRDefault="0077620F" w14:paraId="22CF8FC1" w14:textId="77777777">
      <w:pPr>
        <w:pStyle w:val="BodyTextIndent"/>
        <w:keepNext/>
        <w:ind w:left="547"/>
        <w:rPr>
          <w:szCs w:val="24"/>
          <w:u w:val="single"/>
        </w:rPr>
      </w:pPr>
      <w:r w:rsidRPr="0077620F">
        <w:rPr>
          <w:szCs w:val="24"/>
          <w:u w:val="single"/>
        </w:rPr>
        <w:t>12b. Annualized Cost Burden Estimate</w:t>
      </w:r>
    </w:p>
    <w:p w:rsidR="0077620F" w:rsidP="00212859" w:rsidRDefault="0077620F" w14:paraId="0FCAB6B5" w14:textId="77777777">
      <w:pPr>
        <w:pStyle w:val="BodyTextIndent"/>
        <w:rPr>
          <w:szCs w:val="24"/>
        </w:rPr>
      </w:pPr>
    </w:p>
    <w:p w:rsidR="001E2ED8" w:rsidP="001E2ED8" w:rsidRDefault="003852AD" w14:paraId="6ECFFE31" w14:textId="1CE385D7">
      <w:pPr>
        <w:pStyle w:val="BodyTextIndent"/>
        <w:rPr>
          <w:szCs w:val="24"/>
        </w:rPr>
      </w:pPr>
      <w:r>
        <w:rPr>
          <w:szCs w:val="24"/>
        </w:rPr>
        <w:t>We estimate the</w:t>
      </w:r>
      <w:r w:rsidRPr="00072FB2">
        <w:rPr>
          <w:szCs w:val="24"/>
        </w:rPr>
        <w:t xml:space="preserve"> </w:t>
      </w:r>
      <w:r w:rsidRPr="00072FB2" w:rsidR="00212859">
        <w:rPr>
          <w:szCs w:val="24"/>
        </w:rPr>
        <w:t>annual cost burden</w:t>
      </w:r>
      <w:r>
        <w:rPr>
          <w:szCs w:val="24"/>
        </w:rPr>
        <w:t xml:space="preserve"> </w:t>
      </w:r>
      <w:r w:rsidRPr="00072FB2" w:rsidR="00212859">
        <w:rPr>
          <w:szCs w:val="24"/>
        </w:rPr>
        <w:t>to be approximately $</w:t>
      </w:r>
      <w:r w:rsidR="00BF3FB3">
        <w:rPr>
          <w:szCs w:val="24"/>
        </w:rPr>
        <w:t>53,160</w:t>
      </w:r>
      <w:r w:rsidRPr="00072FB2" w:rsidR="00212859">
        <w:rPr>
          <w:szCs w:val="24"/>
        </w:rPr>
        <w:t>. This is based on</w:t>
      </w:r>
      <w:r>
        <w:rPr>
          <w:szCs w:val="24"/>
        </w:rPr>
        <w:t xml:space="preserve"> the estimated total annual burden hours and the</w:t>
      </w:r>
      <w:r w:rsidRPr="00072FB2" w:rsidR="00212859">
        <w:rPr>
          <w:szCs w:val="24"/>
        </w:rPr>
        <w:t xml:space="preserve"> </w:t>
      </w:r>
      <w:r w:rsidR="00F719BB">
        <w:rPr>
          <w:szCs w:val="24"/>
        </w:rPr>
        <w:t xml:space="preserve">May </w:t>
      </w:r>
      <w:r w:rsidR="00B20A95">
        <w:rPr>
          <w:szCs w:val="24"/>
        </w:rPr>
        <w:t xml:space="preserve">2017 </w:t>
      </w:r>
      <w:r w:rsidR="00065184">
        <w:rPr>
          <w:szCs w:val="24"/>
        </w:rPr>
        <w:t>Bureau of Labor Statistics</w:t>
      </w:r>
      <w:r w:rsidR="00B54B27">
        <w:rPr>
          <w:szCs w:val="24"/>
        </w:rPr>
        <w:t xml:space="preserve"> (</w:t>
      </w:r>
      <w:hyperlink w:history="1" r:id="rId9">
        <w:r w:rsidRPr="00ED39DF" w:rsidR="00E43AD4">
          <w:rPr>
            <w:rStyle w:val="Hyperlink"/>
            <w:szCs w:val="24"/>
          </w:rPr>
          <w:t>https://www.bls.gov/oes/current/oes113051.htm</w:t>
        </w:r>
      </w:hyperlink>
      <w:r w:rsidR="00B54B27">
        <w:rPr>
          <w:szCs w:val="24"/>
        </w:rPr>
        <w:t>)</w:t>
      </w:r>
      <w:r w:rsidR="00065184">
        <w:rPr>
          <w:szCs w:val="24"/>
        </w:rPr>
        <w:t xml:space="preserve"> median</w:t>
      </w:r>
      <w:r w:rsidR="00641AB4">
        <w:rPr>
          <w:szCs w:val="24"/>
        </w:rPr>
        <w:t xml:space="preserve"> hourly wage of $</w:t>
      </w:r>
      <w:r w:rsidR="009362A9">
        <w:rPr>
          <w:szCs w:val="24"/>
        </w:rPr>
        <w:t>53.16</w:t>
      </w:r>
      <w:r w:rsidR="00641AB4">
        <w:rPr>
          <w:szCs w:val="24"/>
        </w:rPr>
        <w:t xml:space="preserve"> </w:t>
      </w:r>
      <w:r w:rsidR="00065184">
        <w:rPr>
          <w:szCs w:val="24"/>
        </w:rPr>
        <w:t xml:space="preserve">for the profession of </w:t>
      </w:r>
      <w:r w:rsidR="00641AB4">
        <w:rPr>
          <w:szCs w:val="24"/>
        </w:rPr>
        <w:t>‘Industrial production managers’ (SOC Code Number 11-3051).</w:t>
      </w:r>
    </w:p>
    <w:p w:rsidR="001E2ED8" w:rsidP="00212859" w:rsidRDefault="001E2ED8" w14:paraId="3C577FBC" w14:textId="77777777">
      <w:pPr>
        <w:pStyle w:val="BodyTextIndent"/>
        <w:rPr>
          <w:szCs w:val="24"/>
        </w:rPr>
      </w:pPr>
    </w:p>
    <w:tbl>
      <w:tblPr>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75"/>
        <w:gridCol w:w="1889"/>
        <w:gridCol w:w="1770"/>
        <w:gridCol w:w="2286"/>
      </w:tblGrid>
      <w:tr w:rsidRPr="00BF63A9" w:rsidR="001E2ED8" w:rsidTr="00A42BBF" w14:paraId="7D6F3918" w14:textId="77777777">
        <w:trPr>
          <w:cantSplit/>
          <w:jc w:val="center"/>
        </w:trPr>
        <w:tc>
          <w:tcPr>
            <w:tcW w:w="2875" w:type="dxa"/>
            <w:shd w:val="clear" w:color="auto" w:fill="auto"/>
          </w:tcPr>
          <w:p w:rsidRPr="00BF63A9" w:rsidR="001E2ED8" w:rsidP="00BF63A9" w:rsidRDefault="001E2ED8" w14:paraId="03CC125D" w14:textId="77777777">
            <w:pPr>
              <w:pStyle w:val="BodyTextIndent"/>
              <w:keepNext/>
              <w:ind w:left="0"/>
              <w:jc w:val="center"/>
              <w:rPr>
                <w:sz w:val="20"/>
              </w:rPr>
            </w:pPr>
            <w:r w:rsidRPr="00BF63A9">
              <w:rPr>
                <w:sz w:val="20"/>
              </w:rPr>
              <w:t>Type of Respondent</w:t>
            </w:r>
          </w:p>
        </w:tc>
        <w:tc>
          <w:tcPr>
            <w:tcW w:w="1889" w:type="dxa"/>
            <w:shd w:val="clear" w:color="auto" w:fill="auto"/>
          </w:tcPr>
          <w:p w:rsidRPr="00BF63A9" w:rsidR="001E2ED8" w:rsidP="00BF63A9" w:rsidRDefault="001E2ED8" w14:paraId="46E91CB4" w14:textId="383FD3F8">
            <w:pPr>
              <w:pStyle w:val="BodyTextIndent"/>
              <w:keepNext/>
              <w:ind w:left="0"/>
              <w:jc w:val="center"/>
              <w:rPr>
                <w:sz w:val="20"/>
              </w:rPr>
            </w:pPr>
            <w:r w:rsidRPr="00BF63A9">
              <w:rPr>
                <w:sz w:val="20"/>
              </w:rPr>
              <w:t>Total Burden Hours</w:t>
            </w:r>
            <w:r w:rsidR="00F90A2A">
              <w:rPr>
                <w:sz w:val="20"/>
              </w:rPr>
              <w:br/>
              <w:t>per Year</w:t>
            </w:r>
          </w:p>
        </w:tc>
        <w:tc>
          <w:tcPr>
            <w:tcW w:w="1770" w:type="dxa"/>
            <w:shd w:val="clear" w:color="auto" w:fill="auto"/>
          </w:tcPr>
          <w:p w:rsidRPr="00BF63A9" w:rsidR="001E2ED8" w:rsidP="00BF63A9" w:rsidRDefault="001E2ED8" w14:paraId="77FEF197" w14:textId="77777777">
            <w:pPr>
              <w:pStyle w:val="BodyTextIndent"/>
              <w:keepNext/>
              <w:ind w:left="0"/>
              <w:jc w:val="center"/>
              <w:rPr>
                <w:sz w:val="20"/>
              </w:rPr>
            </w:pPr>
            <w:r w:rsidRPr="00BF63A9">
              <w:rPr>
                <w:sz w:val="20"/>
              </w:rPr>
              <w:t>Hourly Wage Rate</w:t>
            </w:r>
          </w:p>
        </w:tc>
        <w:tc>
          <w:tcPr>
            <w:tcW w:w="2286" w:type="dxa"/>
            <w:shd w:val="clear" w:color="auto" w:fill="auto"/>
          </w:tcPr>
          <w:p w:rsidRPr="00BF63A9" w:rsidR="001E2ED8" w:rsidP="00BF63A9" w:rsidRDefault="001E2ED8" w14:paraId="0A8723A5" w14:textId="7E9BAF86">
            <w:pPr>
              <w:pStyle w:val="BodyTextIndent"/>
              <w:keepNext/>
              <w:ind w:left="0"/>
              <w:jc w:val="center"/>
              <w:rPr>
                <w:sz w:val="20"/>
              </w:rPr>
            </w:pPr>
            <w:r w:rsidRPr="00BF63A9">
              <w:rPr>
                <w:sz w:val="20"/>
              </w:rPr>
              <w:t>Total Respondent Costs</w:t>
            </w:r>
            <w:r w:rsidR="00205EF7">
              <w:rPr>
                <w:sz w:val="20"/>
              </w:rPr>
              <w:br/>
              <w:t>per Year</w:t>
            </w:r>
          </w:p>
        </w:tc>
      </w:tr>
      <w:tr w:rsidRPr="00BF63A9" w:rsidR="001E2ED8" w:rsidTr="00A42BBF" w14:paraId="1C9202A6" w14:textId="77777777">
        <w:trPr>
          <w:cantSplit/>
          <w:jc w:val="center"/>
        </w:trPr>
        <w:tc>
          <w:tcPr>
            <w:tcW w:w="2875" w:type="dxa"/>
            <w:shd w:val="clear" w:color="auto" w:fill="auto"/>
          </w:tcPr>
          <w:p w:rsidRPr="00BF63A9" w:rsidR="001E2ED8" w:rsidP="00BF63A9" w:rsidRDefault="001E2ED8" w14:paraId="2EEE4ADA" w14:textId="77777777">
            <w:pPr>
              <w:pStyle w:val="BodyTextIndent"/>
              <w:keepNext/>
              <w:ind w:left="0"/>
              <w:rPr>
                <w:sz w:val="20"/>
              </w:rPr>
            </w:pPr>
            <w:r w:rsidRPr="00BF63A9">
              <w:rPr>
                <w:sz w:val="20"/>
              </w:rPr>
              <w:t>Industrial production managers</w:t>
            </w:r>
          </w:p>
        </w:tc>
        <w:tc>
          <w:tcPr>
            <w:tcW w:w="1889" w:type="dxa"/>
            <w:shd w:val="clear" w:color="auto" w:fill="auto"/>
          </w:tcPr>
          <w:p w:rsidRPr="00BF63A9" w:rsidR="001E2ED8" w:rsidP="00BF63A9" w:rsidRDefault="007C7110" w14:paraId="06BA4DDD" w14:textId="57D92B72">
            <w:pPr>
              <w:pStyle w:val="BodyTextIndent"/>
              <w:keepNext/>
              <w:ind w:left="0"/>
              <w:jc w:val="right"/>
              <w:rPr>
                <w:sz w:val="20"/>
              </w:rPr>
            </w:pPr>
            <w:r>
              <w:rPr>
                <w:sz w:val="20"/>
              </w:rPr>
              <w:t>520</w:t>
            </w:r>
            <w:r w:rsidDel="007C7110">
              <w:rPr>
                <w:sz w:val="20"/>
              </w:rPr>
              <w:t xml:space="preserve"> </w:t>
            </w:r>
          </w:p>
        </w:tc>
        <w:tc>
          <w:tcPr>
            <w:tcW w:w="1770" w:type="dxa"/>
            <w:shd w:val="clear" w:color="auto" w:fill="auto"/>
          </w:tcPr>
          <w:p w:rsidRPr="00BF63A9" w:rsidR="001E2ED8" w:rsidP="00BF63A9" w:rsidRDefault="001E2ED8" w14:paraId="3449C165" w14:textId="5D466AFB">
            <w:pPr>
              <w:pStyle w:val="BodyTextIndent"/>
              <w:keepNext/>
              <w:ind w:left="0"/>
              <w:jc w:val="right"/>
              <w:rPr>
                <w:sz w:val="20"/>
              </w:rPr>
            </w:pPr>
            <w:r w:rsidRPr="00BF63A9">
              <w:rPr>
                <w:sz w:val="20"/>
              </w:rPr>
              <w:t>$</w:t>
            </w:r>
            <w:r w:rsidR="009362A9">
              <w:rPr>
                <w:sz w:val="20"/>
              </w:rPr>
              <w:t>53.16</w:t>
            </w:r>
          </w:p>
        </w:tc>
        <w:tc>
          <w:tcPr>
            <w:tcW w:w="2286" w:type="dxa"/>
            <w:shd w:val="clear" w:color="auto" w:fill="auto"/>
          </w:tcPr>
          <w:p w:rsidRPr="00BF63A9" w:rsidR="001E2ED8" w:rsidP="00BF63A9" w:rsidRDefault="00E52CB6" w14:paraId="0C8D1CAE" w14:textId="4164A82E">
            <w:pPr>
              <w:pStyle w:val="BodyTextIndent"/>
              <w:keepNext/>
              <w:ind w:left="0"/>
              <w:jc w:val="right"/>
              <w:rPr>
                <w:sz w:val="20"/>
              </w:rPr>
            </w:pPr>
            <w:r w:rsidRPr="00BF63A9">
              <w:rPr>
                <w:sz w:val="20"/>
              </w:rPr>
              <w:t>$</w:t>
            </w:r>
            <w:r w:rsidR="00DA5F9D">
              <w:rPr>
                <w:sz w:val="20"/>
              </w:rPr>
              <w:t>27,643</w:t>
            </w:r>
          </w:p>
        </w:tc>
      </w:tr>
    </w:tbl>
    <w:p w:rsidR="001E2ED8" w:rsidP="00212859" w:rsidRDefault="001E2ED8" w14:paraId="287C6011" w14:textId="77777777">
      <w:pPr>
        <w:pStyle w:val="BodyTextIndent"/>
        <w:rPr>
          <w:szCs w:val="24"/>
        </w:rPr>
      </w:pPr>
    </w:p>
    <w:p w:rsidRPr="00072FB2" w:rsidR="00892703" w:rsidRDefault="00892703" w14:paraId="467E23C6" w14:textId="77777777">
      <w:pPr>
        <w:widowControl w:val="0"/>
        <w:tabs>
          <w:tab w:val="left" w:pos="-1440"/>
          <w:tab w:val="left" w:pos="540"/>
        </w:tabs>
        <w:ind w:left="540" w:hanging="540"/>
        <w:rPr>
          <w:rFonts w:ascii="Times New Roman" w:hAnsi="Times New Roman"/>
          <w:b/>
          <w:szCs w:val="24"/>
        </w:rPr>
      </w:pPr>
      <w:r w:rsidRPr="00072FB2">
        <w:rPr>
          <w:rFonts w:ascii="Times New Roman" w:hAnsi="Times New Roman"/>
          <w:b/>
          <w:szCs w:val="24"/>
        </w:rPr>
        <w:lastRenderedPageBreak/>
        <w:t>13.</w:t>
      </w:r>
      <w:r w:rsidRPr="00072FB2">
        <w:rPr>
          <w:rFonts w:ascii="Times New Roman" w:hAnsi="Times New Roman"/>
          <w:b/>
          <w:szCs w:val="24"/>
        </w:rPr>
        <w:tab/>
      </w:r>
      <w:r w:rsidRPr="00072FB2">
        <w:rPr>
          <w:rFonts w:ascii="Times New Roman" w:hAnsi="Times New Roman"/>
          <w:b/>
          <w:szCs w:val="24"/>
          <w:u w:val="single"/>
        </w:rPr>
        <w:t>Estimate</w:t>
      </w:r>
      <w:r w:rsidR="00E52CB6">
        <w:rPr>
          <w:rFonts w:ascii="Times New Roman" w:hAnsi="Times New Roman"/>
          <w:b/>
          <w:szCs w:val="24"/>
          <w:u w:val="single"/>
        </w:rPr>
        <w:t>s</w:t>
      </w:r>
      <w:r w:rsidRPr="00072FB2">
        <w:rPr>
          <w:rFonts w:ascii="Times New Roman" w:hAnsi="Times New Roman"/>
          <w:b/>
          <w:szCs w:val="24"/>
          <w:u w:val="single"/>
        </w:rPr>
        <w:t xml:space="preserve"> of Other Total Annual Cost</w:t>
      </w:r>
      <w:r w:rsidR="00E52CB6">
        <w:rPr>
          <w:rFonts w:ascii="Times New Roman" w:hAnsi="Times New Roman"/>
          <w:b/>
          <w:szCs w:val="24"/>
          <w:u w:val="single"/>
        </w:rPr>
        <w:t>s</w:t>
      </w:r>
      <w:r w:rsidRPr="00072FB2">
        <w:rPr>
          <w:rFonts w:ascii="Times New Roman" w:hAnsi="Times New Roman"/>
          <w:b/>
          <w:szCs w:val="24"/>
          <w:u w:val="single"/>
        </w:rPr>
        <w:t xml:space="preserve"> to Respondent</w:t>
      </w:r>
      <w:r w:rsidR="00E52CB6">
        <w:rPr>
          <w:rFonts w:ascii="Times New Roman" w:hAnsi="Times New Roman"/>
          <w:b/>
          <w:szCs w:val="24"/>
          <w:u w:val="single"/>
        </w:rPr>
        <w:t>s</w:t>
      </w:r>
      <w:r w:rsidRPr="00072FB2">
        <w:rPr>
          <w:rFonts w:ascii="Times New Roman" w:hAnsi="Times New Roman"/>
          <w:b/>
          <w:szCs w:val="24"/>
          <w:u w:val="single"/>
        </w:rPr>
        <w:t xml:space="preserve"> </w:t>
      </w:r>
      <w:r w:rsidR="00E52CB6">
        <w:rPr>
          <w:rFonts w:ascii="Times New Roman" w:hAnsi="Times New Roman"/>
          <w:b/>
          <w:szCs w:val="24"/>
          <w:u w:val="single"/>
        </w:rPr>
        <w:t>and/</w:t>
      </w:r>
      <w:r w:rsidRPr="00072FB2">
        <w:rPr>
          <w:rFonts w:ascii="Times New Roman" w:hAnsi="Times New Roman"/>
          <w:b/>
          <w:szCs w:val="24"/>
          <w:u w:val="single"/>
        </w:rPr>
        <w:t>or Recordkeepers</w:t>
      </w:r>
      <w:r w:rsidR="00E52CB6">
        <w:rPr>
          <w:rFonts w:ascii="Times New Roman" w:hAnsi="Times New Roman"/>
          <w:b/>
          <w:szCs w:val="24"/>
          <w:u w:val="single"/>
        </w:rPr>
        <w:t>/Capital Costs</w:t>
      </w:r>
    </w:p>
    <w:p w:rsidRPr="00072FB2" w:rsidR="00892703" w:rsidRDefault="00892703" w14:paraId="702F3439" w14:textId="77777777">
      <w:pPr>
        <w:rPr>
          <w:rFonts w:ascii="Times New Roman" w:hAnsi="Times New Roman"/>
          <w:snapToGrid w:val="0"/>
          <w:szCs w:val="24"/>
        </w:rPr>
      </w:pPr>
    </w:p>
    <w:p w:rsidRPr="00072FB2" w:rsidR="00892703" w:rsidRDefault="00212859" w14:paraId="5DF371FB" w14:textId="77777777">
      <w:pPr>
        <w:pStyle w:val="BodyTextIndent"/>
        <w:rPr>
          <w:szCs w:val="24"/>
        </w:rPr>
      </w:pPr>
      <w:r>
        <w:rPr>
          <w:szCs w:val="24"/>
        </w:rPr>
        <w:t>There are no capital costs or operating and maintenance costs associated with this collection of information.</w:t>
      </w:r>
    </w:p>
    <w:p w:rsidRPr="00072FB2" w:rsidR="00074C1A" w:rsidRDefault="00074C1A" w14:paraId="5F688D03" w14:textId="77777777">
      <w:pPr>
        <w:pStyle w:val="BodyTextIndent"/>
        <w:rPr>
          <w:szCs w:val="24"/>
        </w:rPr>
      </w:pPr>
    </w:p>
    <w:p w:rsidRPr="00072FB2" w:rsidR="00892703" w:rsidRDefault="00892703" w14:paraId="48F69C55" w14:textId="77777777">
      <w:pPr>
        <w:widowControl w:val="0"/>
        <w:tabs>
          <w:tab w:val="left" w:pos="-1440"/>
          <w:tab w:val="left" w:pos="540"/>
        </w:tabs>
        <w:ind w:left="540" w:hanging="540"/>
        <w:rPr>
          <w:rFonts w:ascii="Times New Roman" w:hAnsi="Times New Roman"/>
          <w:b/>
          <w:szCs w:val="24"/>
        </w:rPr>
      </w:pPr>
      <w:r w:rsidRPr="00072FB2">
        <w:rPr>
          <w:rFonts w:ascii="Times New Roman" w:hAnsi="Times New Roman"/>
          <w:b/>
          <w:szCs w:val="24"/>
        </w:rPr>
        <w:t>14.</w:t>
      </w:r>
      <w:r w:rsidRPr="00072FB2">
        <w:rPr>
          <w:rFonts w:ascii="Times New Roman" w:hAnsi="Times New Roman"/>
          <w:b/>
          <w:szCs w:val="24"/>
        </w:rPr>
        <w:tab/>
      </w:r>
      <w:r w:rsidRPr="00072FB2">
        <w:rPr>
          <w:rFonts w:ascii="Times New Roman" w:hAnsi="Times New Roman"/>
          <w:b/>
          <w:szCs w:val="24"/>
          <w:u w:val="single"/>
        </w:rPr>
        <w:t>Annualized Cost to the Federal Government</w:t>
      </w:r>
    </w:p>
    <w:p w:rsidRPr="00072FB2" w:rsidR="00892703" w:rsidRDefault="00892703" w14:paraId="37D84677" w14:textId="77777777">
      <w:pPr>
        <w:rPr>
          <w:rFonts w:ascii="Times New Roman" w:hAnsi="Times New Roman"/>
          <w:snapToGrid w:val="0"/>
          <w:szCs w:val="24"/>
        </w:rPr>
      </w:pPr>
    </w:p>
    <w:p w:rsidRPr="00B67F32" w:rsidR="00E879F7" w:rsidP="00D10ECD" w:rsidRDefault="00A61494" w14:paraId="7F14180C" w14:textId="7C52CC28">
      <w:pPr>
        <w:pStyle w:val="BodyTextIndent"/>
        <w:rPr>
          <w:szCs w:val="24"/>
        </w:rPr>
      </w:pPr>
      <w:r w:rsidRPr="00B67F32">
        <w:rPr>
          <w:szCs w:val="24"/>
        </w:rPr>
        <w:t xml:space="preserve">The </w:t>
      </w:r>
      <w:r w:rsidRPr="00B67F32" w:rsidR="00E879F7">
        <w:rPr>
          <w:szCs w:val="24"/>
        </w:rPr>
        <w:t xml:space="preserve">activities and ongoing support for </w:t>
      </w:r>
      <w:r w:rsidR="00C64F9D">
        <w:rPr>
          <w:szCs w:val="24"/>
        </w:rPr>
        <w:t>shortage data collection</w:t>
      </w:r>
      <w:r w:rsidR="00D10ECD">
        <w:rPr>
          <w:szCs w:val="24"/>
        </w:rPr>
        <w:t>, including</w:t>
      </w:r>
      <w:r w:rsidRPr="00B67F32">
        <w:rPr>
          <w:szCs w:val="24"/>
        </w:rPr>
        <w:t xml:space="preserve"> </w:t>
      </w:r>
      <w:r w:rsidRPr="00B67F32" w:rsidR="00E4071F">
        <w:rPr>
          <w:szCs w:val="24"/>
        </w:rPr>
        <w:t xml:space="preserve">contact time, data </w:t>
      </w:r>
      <w:r w:rsidRPr="00B67F32" w:rsidR="00B67F32">
        <w:rPr>
          <w:szCs w:val="24"/>
        </w:rPr>
        <w:t>verification/</w:t>
      </w:r>
      <w:r w:rsidRPr="00B67F32" w:rsidR="00E4071F">
        <w:rPr>
          <w:szCs w:val="24"/>
        </w:rPr>
        <w:t>normalization, data input</w:t>
      </w:r>
      <w:r w:rsidR="00FE7012">
        <w:rPr>
          <w:szCs w:val="24"/>
        </w:rPr>
        <w:t>, data analysis</w:t>
      </w:r>
      <w:r w:rsidR="00F719BB">
        <w:rPr>
          <w:szCs w:val="24"/>
        </w:rPr>
        <w:t>,</w:t>
      </w:r>
      <w:r w:rsidRPr="00B67F32" w:rsidR="00E4071F">
        <w:rPr>
          <w:szCs w:val="24"/>
        </w:rPr>
        <w:t xml:space="preserve"> and </w:t>
      </w:r>
      <w:r w:rsidR="00D10ECD">
        <w:rPr>
          <w:szCs w:val="24"/>
        </w:rPr>
        <w:t xml:space="preserve">database </w:t>
      </w:r>
      <w:r w:rsidRPr="00B67F32" w:rsidR="00E4071F">
        <w:rPr>
          <w:szCs w:val="24"/>
        </w:rPr>
        <w:t>maintenance activities</w:t>
      </w:r>
      <w:r w:rsidR="00D10ECD">
        <w:rPr>
          <w:szCs w:val="24"/>
        </w:rPr>
        <w:t>, involve approximately 3 full time equivalent employees (FTEs)</w:t>
      </w:r>
      <w:r w:rsidRPr="00B67F32" w:rsidR="00E4071F">
        <w:rPr>
          <w:szCs w:val="24"/>
        </w:rPr>
        <w:t>.</w:t>
      </w:r>
      <w:r w:rsidR="00D10ECD">
        <w:rPr>
          <w:szCs w:val="24"/>
        </w:rPr>
        <w:t xml:space="preserve"> The fully loaded cost of an FDA Center for Devices and Radiological Health FTE in 2018 is $270,305.</w:t>
      </w:r>
      <w:r w:rsidRPr="00B67F32" w:rsidR="00E4071F">
        <w:rPr>
          <w:szCs w:val="24"/>
        </w:rPr>
        <w:t xml:space="preserve"> </w:t>
      </w:r>
      <w:r w:rsidR="00DD0B45">
        <w:t xml:space="preserve"> The</w:t>
      </w:r>
      <w:r w:rsidR="00D10ECD">
        <w:t>refore, the</w:t>
      </w:r>
      <w:r w:rsidR="00DD0B45">
        <w:t xml:space="preserve"> </w:t>
      </w:r>
      <w:r w:rsidR="00BD786A">
        <w:t xml:space="preserve">annualized </w:t>
      </w:r>
      <w:r w:rsidR="00DD0B45">
        <w:t xml:space="preserve">cost </w:t>
      </w:r>
      <w:r w:rsidR="00D10ECD">
        <w:t>to</w:t>
      </w:r>
      <w:r w:rsidR="00DD0B45">
        <w:t xml:space="preserve"> FDA is estimated to be $</w:t>
      </w:r>
      <w:r w:rsidR="00766E39">
        <w:t>810,915</w:t>
      </w:r>
      <w:r w:rsidR="00DD0B45">
        <w:t>.</w:t>
      </w:r>
    </w:p>
    <w:p w:rsidRPr="00072FB2" w:rsidR="00E879F7" w:rsidRDefault="00E879F7" w14:paraId="40EB75E0" w14:textId="77777777">
      <w:pPr>
        <w:pStyle w:val="BodyTextIndent"/>
        <w:rPr>
          <w:szCs w:val="24"/>
        </w:rPr>
      </w:pPr>
    </w:p>
    <w:p w:rsidRPr="00072FB2" w:rsidR="00892703" w:rsidP="00FB18FA" w:rsidRDefault="00892703" w14:paraId="2415F369" w14:textId="77777777">
      <w:pPr>
        <w:widowControl w:val="0"/>
        <w:numPr>
          <w:ilvl w:val="0"/>
          <w:numId w:val="8"/>
        </w:numPr>
        <w:tabs>
          <w:tab w:val="left" w:pos="-1440"/>
          <w:tab w:val="left" w:pos="540"/>
        </w:tabs>
        <w:rPr>
          <w:rFonts w:ascii="Times New Roman" w:hAnsi="Times New Roman"/>
          <w:b/>
          <w:szCs w:val="24"/>
          <w:u w:val="single"/>
        </w:rPr>
      </w:pPr>
      <w:r w:rsidRPr="00072FB2">
        <w:rPr>
          <w:rFonts w:ascii="Times New Roman" w:hAnsi="Times New Roman"/>
          <w:b/>
          <w:szCs w:val="24"/>
          <w:u w:val="single"/>
        </w:rPr>
        <w:t>Explanation for Program Changes or Adjustments</w:t>
      </w:r>
    </w:p>
    <w:p w:rsidRPr="00072FB2" w:rsidR="00FB18FA" w:rsidP="00FB18FA" w:rsidRDefault="00FB18FA" w14:paraId="7927BF3C" w14:textId="77777777">
      <w:pPr>
        <w:widowControl w:val="0"/>
        <w:tabs>
          <w:tab w:val="left" w:pos="-1440"/>
          <w:tab w:val="left" w:pos="540"/>
        </w:tabs>
        <w:ind w:left="360"/>
        <w:rPr>
          <w:rFonts w:ascii="Times New Roman" w:hAnsi="Times New Roman"/>
          <w:b/>
          <w:szCs w:val="24"/>
          <w:u w:val="single"/>
        </w:rPr>
      </w:pPr>
    </w:p>
    <w:p w:rsidRPr="00B2270B" w:rsidR="00B2270B" w:rsidP="00D57446" w:rsidRDefault="00813B84" w14:paraId="04E05491" w14:textId="346D64D5">
      <w:pPr>
        <w:pStyle w:val="BodyTextIndent"/>
      </w:pPr>
      <w:r w:rsidRPr="00813B84">
        <w:t>This information collection is a r</w:t>
      </w:r>
      <w:r>
        <w:t>einstatement with changes.</w:t>
      </w:r>
      <w:r w:rsidR="008C1F80">
        <w:t xml:space="preserve"> </w:t>
      </w:r>
      <w:r w:rsidR="00593A93">
        <w:t xml:space="preserve"> There is a</w:t>
      </w:r>
      <w:r w:rsidR="00D57446">
        <w:t>n</w:t>
      </w:r>
      <w:r w:rsidR="00593A93">
        <w:t xml:space="preserve"> </w:t>
      </w:r>
      <w:r w:rsidR="00D57446">
        <w:t>in</w:t>
      </w:r>
      <w:r w:rsidR="00593A93">
        <w:t xml:space="preserve">crease of </w:t>
      </w:r>
      <w:r w:rsidR="00A76034">
        <w:t>3</w:t>
      </w:r>
      <w:r w:rsidR="006B70F0">
        <w:t>90</w:t>
      </w:r>
      <w:bookmarkStart w:name="_GoBack" w:id="1"/>
      <w:bookmarkEnd w:id="1"/>
      <w:r w:rsidR="00593A93">
        <w:t xml:space="preserve"> hours in the total estimated burden compared with that identified in the ICR</w:t>
      </w:r>
      <w:r w:rsidR="00D57446">
        <w:t xml:space="preserve"> </w:t>
      </w:r>
      <w:r w:rsidR="00BD786A">
        <w:t>previously</w:t>
      </w:r>
      <w:r w:rsidR="00593A93">
        <w:t xml:space="preserve"> approved by OMB.</w:t>
      </w:r>
      <w:r w:rsidR="00D57446">
        <w:t xml:space="preserve"> This increase reflects </w:t>
      </w:r>
      <w:r w:rsidR="002200F2">
        <w:t xml:space="preserve">changes in </w:t>
      </w:r>
      <w:r w:rsidR="002200F2">
        <w:rPr>
          <w:szCs w:val="24"/>
        </w:rPr>
        <w:t xml:space="preserve">market demands; </w:t>
      </w:r>
      <w:r w:rsidR="008C1F80">
        <w:rPr>
          <w:szCs w:val="24"/>
        </w:rPr>
        <w:t>in which</w:t>
      </w:r>
      <w:r w:rsidR="002200F2">
        <w:rPr>
          <w:szCs w:val="24"/>
        </w:rPr>
        <w:t>, manufacturers are increasingly adopting just-in-time production methods</w:t>
      </w:r>
      <w:r w:rsidR="00D57446">
        <w:t>. This change is an adjustment.</w:t>
      </w:r>
    </w:p>
    <w:p w:rsidRPr="00072FB2" w:rsidR="00FB18FA" w:rsidRDefault="00FB18FA" w14:paraId="2D18E437" w14:textId="77777777">
      <w:pPr>
        <w:ind w:left="540"/>
        <w:rPr>
          <w:rFonts w:ascii="Times New Roman" w:hAnsi="Times New Roman"/>
          <w:snapToGrid w:val="0"/>
          <w:szCs w:val="24"/>
        </w:rPr>
      </w:pPr>
    </w:p>
    <w:p w:rsidRPr="00072FB2" w:rsidR="00892703" w:rsidP="00490DA2" w:rsidRDefault="00892703" w14:paraId="2EF7EBE5" w14:textId="77777777">
      <w:pPr>
        <w:keepNext/>
        <w:widowControl w:val="0"/>
        <w:tabs>
          <w:tab w:val="left" w:pos="540"/>
        </w:tabs>
        <w:ind w:left="547" w:right="-720" w:hanging="547"/>
        <w:rPr>
          <w:rFonts w:ascii="Times New Roman" w:hAnsi="Times New Roman"/>
          <w:b/>
          <w:szCs w:val="24"/>
        </w:rPr>
      </w:pPr>
      <w:r w:rsidRPr="00072FB2">
        <w:rPr>
          <w:rFonts w:ascii="Times New Roman" w:hAnsi="Times New Roman"/>
          <w:b/>
          <w:szCs w:val="24"/>
        </w:rPr>
        <w:t>16.</w:t>
      </w:r>
      <w:r w:rsidRPr="00072FB2">
        <w:rPr>
          <w:rFonts w:ascii="Times New Roman" w:hAnsi="Times New Roman"/>
          <w:b/>
          <w:szCs w:val="24"/>
        </w:rPr>
        <w:tab/>
      </w:r>
      <w:r w:rsidRPr="00072FB2">
        <w:rPr>
          <w:rFonts w:ascii="Times New Roman" w:hAnsi="Times New Roman"/>
          <w:b/>
          <w:szCs w:val="24"/>
          <w:u w:val="single"/>
        </w:rPr>
        <w:t>Plans for Tabulation and Publication and Project Time Schedule</w:t>
      </w:r>
    </w:p>
    <w:p w:rsidRPr="00072FB2" w:rsidR="00892703" w:rsidRDefault="00892703" w14:paraId="782188D4" w14:textId="77777777">
      <w:pPr>
        <w:rPr>
          <w:rFonts w:ascii="Times New Roman" w:hAnsi="Times New Roman"/>
          <w:snapToGrid w:val="0"/>
          <w:szCs w:val="24"/>
        </w:rPr>
      </w:pPr>
    </w:p>
    <w:p w:rsidRPr="00072FB2" w:rsidR="00892703" w:rsidRDefault="00892703" w14:paraId="398B28A6" w14:textId="77777777">
      <w:pPr>
        <w:pStyle w:val="BodyTextIndent"/>
        <w:rPr>
          <w:szCs w:val="24"/>
        </w:rPr>
      </w:pPr>
      <w:r w:rsidRPr="00072FB2">
        <w:rPr>
          <w:szCs w:val="24"/>
        </w:rPr>
        <w:t>No publication of information for statistical use is planned.</w:t>
      </w:r>
    </w:p>
    <w:p w:rsidRPr="00072FB2" w:rsidR="00892703" w:rsidRDefault="00892703" w14:paraId="2AA3370E" w14:textId="77777777">
      <w:pPr>
        <w:rPr>
          <w:rFonts w:ascii="Times New Roman" w:hAnsi="Times New Roman"/>
          <w:snapToGrid w:val="0"/>
          <w:szCs w:val="24"/>
        </w:rPr>
      </w:pPr>
    </w:p>
    <w:p w:rsidRPr="00072FB2" w:rsidR="00892703" w:rsidP="00814B6A" w:rsidRDefault="00892703" w14:paraId="5283EA41" w14:textId="77777777">
      <w:pPr>
        <w:keepNext/>
        <w:widowControl w:val="0"/>
        <w:tabs>
          <w:tab w:val="left" w:pos="-2160"/>
          <w:tab w:val="left" w:pos="540"/>
        </w:tabs>
        <w:ind w:left="540" w:right="-720" w:hanging="540"/>
        <w:rPr>
          <w:rFonts w:ascii="Times New Roman" w:hAnsi="Times New Roman"/>
          <w:b/>
          <w:szCs w:val="24"/>
        </w:rPr>
      </w:pPr>
      <w:r w:rsidRPr="00072FB2">
        <w:rPr>
          <w:rFonts w:ascii="Times New Roman" w:hAnsi="Times New Roman"/>
          <w:b/>
          <w:szCs w:val="24"/>
        </w:rPr>
        <w:t>17.</w:t>
      </w:r>
      <w:r w:rsidRPr="00072FB2">
        <w:rPr>
          <w:rFonts w:ascii="Times New Roman" w:hAnsi="Times New Roman"/>
          <w:b/>
          <w:szCs w:val="24"/>
        </w:rPr>
        <w:tab/>
      </w:r>
      <w:r w:rsidRPr="00072FB2">
        <w:rPr>
          <w:rFonts w:ascii="Times New Roman" w:hAnsi="Times New Roman"/>
          <w:b/>
          <w:szCs w:val="24"/>
          <w:u w:val="single"/>
        </w:rPr>
        <w:t>Reason(s) Display of OMB Expiration Date is Inappropriate</w:t>
      </w:r>
    </w:p>
    <w:p w:rsidRPr="00072FB2" w:rsidR="00892703" w:rsidP="00814B6A" w:rsidRDefault="00892703" w14:paraId="29BE951C" w14:textId="77777777">
      <w:pPr>
        <w:keepNext/>
        <w:rPr>
          <w:rFonts w:ascii="Times New Roman" w:hAnsi="Times New Roman"/>
          <w:snapToGrid w:val="0"/>
          <w:szCs w:val="24"/>
        </w:rPr>
      </w:pPr>
    </w:p>
    <w:p w:rsidRPr="00072FB2" w:rsidR="00892703" w:rsidRDefault="00892703" w14:paraId="0F6B1051" w14:textId="77777777">
      <w:pPr>
        <w:pStyle w:val="BodyTextIndent"/>
        <w:rPr>
          <w:szCs w:val="24"/>
        </w:rPr>
      </w:pPr>
      <w:r w:rsidRPr="00072FB2">
        <w:rPr>
          <w:szCs w:val="24"/>
        </w:rPr>
        <w:t xml:space="preserve">FDA is not seeking an exemption </w:t>
      </w:r>
      <w:r w:rsidR="00030C39">
        <w:rPr>
          <w:szCs w:val="24"/>
        </w:rPr>
        <w:t>from</w:t>
      </w:r>
      <w:r w:rsidRPr="00072FB2" w:rsidR="00030C39">
        <w:rPr>
          <w:szCs w:val="24"/>
        </w:rPr>
        <w:t xml:space="preserve"> </w:t>
      </w:r>
      <w:r w:rsidRPr="00072FB2">
        <w:rPr>
          <w:szCs w:val="24"/>
        </w:rPr>
        <w:t>display</w:t>
      </w:r>
      <w:r w:rsidR="00030C39">
        <w:rPr>
          <w:szCs w:val="24"/>
        </w:rPr>
        <w:t>ing</w:t>
      </w:r>
      <w:r w:rsidRPr="00072FB2">
        <w:rPr>
          <w:szCs w:val="24"/>
        </w:rPr>
        <w:t xml:space="preserve"> </w:t>
      </w:r>
      <w:r w:rsidR="00030C39">
        <w:rPr>
          <w:szCs w:val="24"/>
        </w:rPr>
        <w:t>the expiration date of OMB approval</w:t>
      </w:r>
      <w:r w:rsidRPr="00072FB2">
        <w:rPr>
          <w:szCs w:val="24"/>
        </w:rPr>
        <w:t>.</w:t>
      </w:r>
    </w:p>
    <w:p w:rsidRPr="00072FB2" w:rsidR="00892703" w:rsidRDefault="00892703" w14:paraId="195DAF4C" w14:textId="77777777">
      <w:pPr>
        <w:rPr>
          <w:rFonts w:ascii="Times New Roman" w:hAnsi="Times New Roman"/>
          <w:snapToGrid w:val="0"/>
          <w:szCs w:val="24"/>
        </w:rPr>
      </w:pPr>
    </w:p>
    <w:p w:rsidRPr="00072FB2" w:rsidR="00892703" w:rsidRDefault="00892703" w14:paraId="3A1AAF1B" w14:textId="77777777">
      <w:pPr>
        <w:widowControl w:val="0"/>
        <w:tabs>
          <w:tab w:val="left" w:pos="540"/>
        </w:tabs>
        <w:ind w:left="540" w:right="-720" w:hanging="540"/>
        <w:rPr>
          <w:rFonts w:ascii="Times New Roman" w:hAnsi="Times New Roman"/>
          <w:b/>
          <w:szCs w:val="24"/>
        </w:rPr>
      </w:pPr>
      <w:r w:rsidRPr="00072FB2">
        <w:rPr>
          <w:rFonts w:ascii="Times New Roman" w:hAnsi="Times New Roman"/>
          <w:b/>
          <w:szCs w:val="24"/>
        </w:rPr>
        <w:t>18.</w:t>
      </w:r>
      <w:r w:rsidRPr="00072FB2">
        <w:rPr>
          <w:rFonts w:ascii="Times New Roman" w:hAnsi="Times New Roman"/>
          <w:b/>
          <w:szCs w:val="24"/>
        </w:rPr>
        <w:tab/>
      </w:r>
      <w:r w:rsidRPr="00072FB2">
        <w:rPr>
          <w:rFonts w:ascii="Times New Roman" w:hAnsi="Times New Roman"/>
          <w:b/>
          <w:szCs w:val="24"/>
          <w:u w:val="single"/>
        </w:rPr>
        <w:t>Exceptions to Certification for Paperwork Reduction Act Submissions</w:t>
      </w:r>
    </w:p>
    <w:p w:rsidRPr="00072FB2" w:rsidR="00892703" w:rsidRDefault="00892703" w14:paraId="2CBC7700" w14:textId="77777777">
      <w:pPr>
        <w:rPr>
          <w:rFonts w:ascii="Times New Roman" w:hAnsi="Times New Roman"/>
          <w:snapToGrid w:val="0"/>
          <w:szCs w:val="24"/>
        </w:rPr>
      </w:pPr>
    </w:p>
    <w:p w:rsidRPr="00072FB2" w:rsidR="00892703" w:rsidRDefault="00892703" w14:paraId="552E0CD2" w14:textId="77777777">
      <w:pPr>
        <w:pStyle w:val="BodyTextIndent"/>
        <w:rPr>
          <w:szCs w:val="24"/>
        </w:rPr>
      </w:pPr>
      <w:r w:rsidRPr="00072FB2">
        <w:rPr>
          <w:szCs w:val="24"/>
        </w:rPr>
        <w:t>There are no exceptions to the certification.</w:t>
      </w:r>
    </w:p>
    <w:p w:rsidR="00600545" w:rsidP="00600545" w:rsidRDefault="00600545" w14:paraId="62AEBB9D" w14:textId="77777777">
      <w:pPr>
        <w:rPr>
          <w:rFonts w:ascii="Times New Roman" w:hAnsi="Times New Roman"/>
          <w:szCs w:val="24"/>
        </w:rPr>
      </w:pPr>
    </w:p>
    <w:p w:rsidRPr="00072FB2" w:rsidR="008C314A" w:rsidP="00D15BB4" w:rsidRDefault="00AD7F0F" w14:paraId="64606261" w14:textId="77777777">
      <w:pPr>
        <w:pStyle w:val="BodyText2"/>
        <w:spacing w:line="240" w:lineRule="auto"/>
        <w:rPr>
          <w:rFonts w:ascii="Times New Roman" w:hAnsi="Times New Roman"/>
          <w:szCs w:val="24"/>
        </w:rPr>
      </w:pPr>
      <w:r>
        <w:rPr>
          <w:rFonts w:ascii="Times New Roman" w:hAnsi="Times New Roman"/>
          <w:szCs w:val="24"/>
        </w:rPr>
        <w:t xml:space="preserve"> </w:t>
      </w:r>
    </w:p>
    <w:sectPr w:rsidRPr="00072FB2" w:rsidR="008C314A" w:rsidSect="00BF7170">
      <w:headerReference w:type="default" r:id="rId10"/>
      <w:footerReference w:type="even" r:id="rId11"/>
      <w:footerReference w:type="default" r:id="rId12"/>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CEA031" w14:textId="77777777" w:rsidR="00FF4831" w:rsidRDefault="00FF4831">
      <w:r>
        <w:separator/>
      </w:r>
    </w:p>
  </w:endnote>
  <w:endnote w:type="continuationSeparator" w:id="0">
    <w:p w14:paraId="1C61FAA9" w14:textId="77777777" w:rsidR="00FF4831" w:rsidRDefault="00FF4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2E863" w14:textId="77777777" w:rsidR="00F54D87" w:rsidRDefault="00F54D8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299E812" w14:textId="77777777" w:rsidR="00F54D87" w:rsidRDefault="00F54D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A5694" w14:textId="10F23C51" w:rsidR="00F54D87" w:rsidRDefault="00F54D8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B0A72">
      <w:rPr>
        <w:rStyle w:val="PageNumber"/>
        <w:noProof/>
      </w:rPr>
      <w:t>5</w:t>
    </w:r>
    <w:r>
      <w:rPr>
        <w:rStyle w:val="PageNumber"/>
      </w:rPr>
      <w:fldChar w:fldCharType="end"/>
    </w:r>
  </w:p>
  <w:p w14:paraId="1EF8380C" w14:textId="77777777" w:rsidR="00F54D87" w:rsidRDefault="00F54D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FB1D43" w14:textId="77777777" w:rsidR="00FF4831" w:rsidRDefault="00FF4831">
      <w:r>
        <w:separator/>
      </w:r>
    </w:p>
  </w:footnote>
  <w:footnote w:type="continuationSeparator" w:id="0">
    <w:p w14:paraId="751197EA" w14:textId="77777777" w:rsidR="00FF4831" w:rsidRDefault="00FF4831">
      <w:r>
        <w:continuationSeparator/>
      </w:r>
    </w:p>
  </w:footnote>
  <w:footnote w:id="1">
    <w:p w14:paraId="574D0E33" w14:textId="4D755903" w:rsidR="00F54D87" w:rsidRPr="00A42BBF" w:rsidRDefault="00F54D87">
      <w:pPr>
        <w:pStyle w:val="FootnoteText"/>
        <w:rPr>
          <w:rFonts w:ascii="Times New Roman" w:hAnsi="Times New Roman"/>
        </w:rPr>
      </w:pPr>
      <w:r w:rsidRPr="00A42BBF">
        <w:rPr>
          <w:rStyle w:val="FootnoteReference"/>
          <w:rFonts w:ascii="Times New Roman" w:hAnsi="Times New Roman"/>
        </w:rPr>
        <w:footnoteRef/>
      </w:r>
      <w:r w:rsidRPr="00A42BBF">
        <w:rPr>
          <w:rFonts w:ascii="Times New Roman" w:hAnsi="Times New Roman"/>
        </w:rPr>
        <w:t xml:space="preserve"> An emergency is an urgent need for health care [medical] services to respond to a natural or man-made disaster, significant outbreak of an infectious disease, bioterrorist attack or other significant or catastrophic event, and demands decision making and follow-up in terms of extra-ordinary measures.   An emergency may involve the safety, efficacy, and security of human and veterinary medicines, biological products, medical devices, our Nation’s food supply, cosmetics, products that emit radiation, and tobacco products that </w:t>
      </w:r>
      <w:r w:rsidRPr="00A42BBF">
        <w:rPr>
          <w:rFonts w:ascii="Times New Roman" w:hAnsi="Times New Roman"/>
          <w:b/>
        </w:rPr>
        <w:t>call for immediate actions</w:t>
      </w:r>
      <w:r w:rsidRPr="00A42BBF">
        <w:rPr>
          <w:rFonts w:ascii="Times New Roman" w:hAnsi="Times New Roman"/>
        </w:rPr>
        <w:t xml:space="preserve"> by FDA staff. Note this definition was taken from FDA Emergency Operations Plan, August 2010 -</w:t>
      </w:r>
      <w:hyperlink r:id="rId1" w:history="1">
        <w:r w:rsidRPr="00A42BBF">
          <w:rPr>
            <w:rStyle w:val="Hyperlink"/>
            <w:rFonts w:ascii="Times New Roman" w:hAnsi="Times New Roman"/>
          </w:rPr>
          <w:t>http://www.fda.gov/downloads/EmergencyPreparedness/EmergencyPreparedness/UCM230973.pdf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76D81" w14:textId="77777777" w:rsidR="00F54D87" w:rsidRDefault="00F54D87">
    <w:pPr>
      <w:pStyle w:val="Heading2"/>
      <w:rPr>
        <w:i w:val="0"/>
      </w:rPr>
    </w:pPr>
    <w:r>
      <w:rPr>
        <w:i w:val="0"/>
      </w:rPr>
      <w:t>Supporting Statement - OMB No. 0910-0491</w:t>
    </w:r>
  </w:p>
  <w:p w14:paraId="6730A083" w14:textId="77777777" w:rsidR="00F54D87" w:rsidRDefault="00F54D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A1A0A"/>
    <w:multiLevelType w:val="hybridMultilevel"/>
    <w:tmpl w:val="5C22F908"/>
    <w:lvl w:ilvl="0" w:tplc="50FC5B56">
      <w:start w:val="1"/>
      <w:numFmt w:val="decimal"/>
      <w:lvlText w:val="%1."/>
      <w:lvlJc w:val="left"/>
      <w:pPr>
        <w:ind w:left="1440" w:hanging="90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DB213BA"/>
    <w:multiLevelType w:val="singleLevel"/>
    <w:tmpl w:val="FE6640E2"/>
    <w:lvl w:ilvl="0">
      <w:start w:val="1"/>
      <w:numFmt w:val="decimal"/>
      <w:lvlText w:val="%1."/>
      <w:lvlJc w:val="left"/>
      <w:pPr>
        <w:tabs>
          <w:tab w:val="num" w:pos="540"/>
        </w:tabs>
        <w:ind w:left="540" w:hanging="540"/>
      </w:pPr>
      <w:rPr>
        <w:rFonts w:hint="default"/>
        <w:u w:val="none"/>
      </w:rPr>
    </w:lvl>
  </w:abstractNum>
  <w:abstractNum w:abstractNumId="2" w15:restartNumberingAfterBreak="0">
    <w:nsid w:val="13ED3148"/>
    <w:multiLevelType w:val="singleLevel"/>
    <w:tmpl w:val="332476D6"/>
    <w:lvl w:ilvl="0">
      <w:start w:val="1"/>
      <w:numFmt w:val="decimal"/>
      <w:lvlText w:val="%1."/>
      <w:lvlJc w:val="left"/>
      <w:pPr>
        <w:tabs>
          <w:tab w:val="num" w:pos="360"/>
        </w:tabs>
        <w:ind w:left="360" w:hanging="360"/>
      </w:pPr>
      <w:rPr>
        <w:rFonts w:hint="default"/>
      </w:rPr>
    </w:lvl>
  </w:abstractNum>
  <w:abstractNum w:abstractNumId="3" w15:restartNumberingAfterBreak="0">
    <w:nsid w:val="19BF640C"/>
    <w:multiLevelType w:val="hybridMultilevel"/>
    <w:tmpl w:val="E81AE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5E1048"/>
    <w:multiLevelType w:val="hybridMultilevel"/>
    <w:tmpl w:val="BBF8AD96"/>
    <w:lvl w:ilvl="0" w:tplc="651C6D8C">
      <w:start w:val="1"/>
      <w:numFmt w:val="decimal"/>
      <w:lvlText w:val="%1."/>
      <w:lvlJc w:val="left"/>
      <w:pPr>
        <w:tabs>
          <w:tab w:val="num" w:pos="1260"/>
        </w:tabs>
        <w:ind w:left="1260" w:hanging="360"/>
      </w:pPr>
      <w:rPr>
        <w:rFonts w:hint="default"/>
      </w:rPr>
    </w:lvl>
    <w:lvl w:ilvl="1" w:tplc="24BEFD5C" w:tentative="1">
      <w:start w:val="1"/>
      <w:numFmt w:val="bullet"/>
      <w:lvlText w:val="o"/>
      <w:lvlJc w:val="left"/>
      <w:pPr>
        <w:tabs>
          <w:tab w:val="num" w:pos="1980"/>
        </w:tabs>
        <w:ind w:left="1980" w:hanging="360"/>
      </w:pPr>
      <w:rPr>
        <w:rFonts w:ascii="Courier New" w:hAnsi="Courier New" w:cs="Courier New" w:hint="default"/>
      </w:rPr>
    </w:lvl>
    <w:lvl w:ilvl="2" w:tplc="5106D19E" w:tentative="1">
      <w:start w:val="1"/>
      <w:numFmt w:val="bullet"/>
      <w:lvlText w:val=""/>
      <w:lvlJc w:val="left"/>
      <w:pPr>
        <w:tabs>
          <w:tab w:val="num" w:pos="2700"/>
        </w:tabs>
        <w:ind w:left="2700" w:hanging="360"/>
      </w:pPr>
      <w:rPr>
        <w:rFonts w:ascii="Wingdings" w:hAnsi="Wingdings" w:hint="default"/>
      </w:rPr>
    </w:lvl>
    <w:lvl w:ilvl="3" w:tplc="192AE21E" w:tentative="1">
      <w:start w:val="1"/>
      <w:numFmt w:val="bullet"/>
      <w:lvlText w:val=""/>
      <w:lvlJc w:val="left"/>
      <w:pPr>
        <w:tabs>
          <w:tab w:val="num" w:pos="3420"/>
        </w:tabs>
        <w:ind w:left="3420" w:hanging="360"/>
      </w:pPr>
      <w:rPr>
        <w:rFonts w:ascii="Symbol" w:hAnsi="Symbol" w:hint="default"/>
      </w:rPr>
    </w:lvl>
    <w:lvl w:ilvl="4" w:tplc="1FA43894" w:tentative="1">
      <w:start w:val="1"/>
      <w:numFmt w:val="bullet"/>
      <w:lvlText w:val="o"/>
      <w:lvlJc w:val="left"/>
      <w:pPr>
        <w:tabs>
          <w:tab w:val="num" w:pos="4140"/>
        </w:tabs>
        <w:ind w:left="4140" w:hanging="360"/>
      </w:pPr>
      <w:rPr>
        <w:rFonts w:ascii="Courier New" w:hAnsi="Courier New" w:cs="Courier New" w:hint="default"/>
      </w:rPr>
    </w:lvl>
    <w:lvl w:ilvl="5" w:tplc="D116D058" w:tentative="1">
      <w:start w:val="1"/>
      <w:numFmt w:val="bullet"/>
      <w:lvlText w:val=""/>
      <w:lvlJc w:val="left"/>
      <w:pPr>
        <w:tabs>
          <w:tab w:val="num" w:pos="4860"/>
        </w:tabs>
        <w:ind w:left="4860" w:hanging="360"/>
      </w:pPr>
      <w:rPr>
        <w:rFonts w:ascii="Wingdings" w:hAnsi="Wingdings" w:hint="default"/>
      </w:rPr>
    </w:lvl>
    <w:lvl w:ilvl="6" w:tplc="7C1473E2" w:tentative="1">
      <w:start w:val="1"/>
      <w:numFmt w:val="bullet"/>
      <w:lvlText w:val=""/>
      <w:lvlJc w:val="left"/>
      <w:pPr>
        <w:tabs>
          <w:tab w:val="num" w:pos="5580"/>
        </w:tabs>
        <w:ind w:left="5580" w:hanging="360"/>
      </w:pPr>
      <w:rPr>
        <w:rFonts w:ascii="Symbol" w:hAnsi="Symbol" w:hint="default"/>
      </w:rPr>
    </w:lvl>
    <w:lvl w:ilvl="7" w:tplc="430EF232" w:tentative="1">
      <w:start w:val="1"/>
      <w:numFmt w:val="bullet"/>
      <w:lvlText w:val="o"/>
      <w:lvlJc w:val="left"/>
      <w:pPr>
        <w:tabs>
          <w:tab w:val="num" w:pos="6300"/>
        </w:tabs>
        <w:ind w:left="6300" w:hanging="360"/>
      </w:pPr>
      <w:rPr>
        <w:rFonts w:ascii="Courier New" w:hAnsi="Courier New" w:cs="Courier New" w:hint="default"/>
      </w:rPr>
    </w:lvl>
    <w:lvl w:ilvl="8" w:tplc="2DE400C6" w:tentative="1">
      <w:start w:val="1"/>
      <w:numFmt w:val="bullet"/>
      <w:lvlText w:val=""/>
      <w:lvlJc w:val="left"/>
      <w:pPr>
        <w:tabs>
          <w:tab w:val="num" w:pos="7020"/>
        </w:tabs>
        <w:ind w:left="7020" w:hanging="360"/>
      </w:pPr>
      <w:rPr>
        <w:rFonts w:ascii="Wingdings" w:hAnsi="Wingdings" w:hint="default"/>
      </w:rPr>
    </w:lvl>
  </w:abstractNum>
  <w:abstractNum w:abstractNumId="5" w15:restartNumberingAfterBreak="0">
    <w:nsid w:val="235A7F58"/>
    <w:multiLevelType w:val="hybridMultilevel"/>
    <w:tmpl w:val="1180A0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6D54A9"/>
    <w:multiLevelType w:val="hybridMultilevel"/>
    <w:tmpl w:val="F8A6BE1E"/>
    <w:lvl w:ilvl="0" w:tplc="A8B2622E">
      <w:start w:val="15"/>
      <w:numFmt w:val="decimal"/>
      <w:lvlText w:val="%1."/>
      <w:lvlJc w:val="left"/>
      <w:pPr>
        <w:tabs>
          <w:tab w:val="num" w:pos="540"/>
        </w:tabs>
        <w:ind w:left="540" w:hanging="54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CE210CC"/>
    <w:multiLevelType w:val="hybridMultilevel"/>
    <w:tmpl w:val="36CA66DE"/>
    <w:lvl w:ilvl="0" w:tplc="0409000F">
      <w:start w:val="1"/>
      <w:numFmt w:val="decimal"/>
      <w:lvlText w:val="%1."/>
      <w:lvlJc w:val="left"/>
      <w:pPr>
        <w:tabs>
          <w:tab w:val="num" w:pos="1440"/>
        </w:tabs>
        <w:ind w:left="1440" w:hanging="360"/>
      </w:pPr>
      <w:rPr>
        <w:rFont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438F0236"/>
    <w:multiLevelType w:val="singleLevel"/>
    <w:tmpl w:val="F274D150"/>
    <w:lvl w:ilvl="0">
      <w:start w:val="1"/>
      <w:numFmt w:val="lowerLetter"/>
      <w:lvlText w:val="%1."/>
      <w:lvlJc w:val="left"/>
      <w:pPr>
        <w:tabs>
          <w:tab w:val="num" w:pos="900"/>
        </w:tabs>
        <w:ind w:left="900" w:hanging="360"/>
      </w:pPr>
      <w:rPr>
        <w:rFonts w:hint="default"/>
      </w:rPr>
    </w:lvl>
  </w:abstractNum>
  <w:abstractNum w:abstractNumId="9" w15:restartNumberingAfterBreak="0">
    <w:nsid w:val="4F466F80"/>
    <w:multiLevelType w:val="hybridMultilevel"/>
    <w:tmpl w:val="A100F60C"/>
    <w:lvl w:ilvl="0" w:tplc="FE0A8FAC">
      <w:start w:val="1"/>
      <w:numFmt w:val="bullet"/>
      <w:lvlText w:val="-"/>
      <w:lvlJc w:val="left"/>
      <w:pPr>
        <w:tabs>
          <w:tab w:val="num" w:pos="1080"/>
        </w:tabs>
        <w:ind w:left="1080" w:hanging="360"/>
      </w:pPr>
      <w:rPr>
        <w:rFonts w:ascii="Arial" w:hAnsi="Arial" w:hint="default"/>
        <w:color w:val="0000FF"/>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0DA4823"/>
    <w:multiLevelType w:val="hybridMultilevel"/>
    <w:tmpl w:val="E1CE1704"/>
    <w:lvl w:ilvl="0" w:tplc="FE0A8FAC">
      <w:start w:val="1"/>
      <w:numFmt w:val="bullet"/>
      <w:lvlText w:val="-"/>
      <w:lvlJc w:val="left"/>
      <w:pPr>
        <w:ind w:left="1260" w:hanging="360"/>
      </w:pPr>
      <w:rPr>
        <w:rFonts w:ascii="Arial" w:hAnsi="Arial" w:hint="default"/>
        <w:color w:val="0000FF"/>
        <w:sz w:val="20"/>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63FF0B05"/>
    <w:multiLevelType w:val="hybridMultilevel"/>
    <w:tmpl w:val="D93C4D6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15:restartNumberingAfterBreak="0">
    <w:nsid w:val="6DD978D9"/>
    <w:multiLevelType w:val="hybridMultilevel"/>
    <w:tmpl w:val="F96A07D8"/>
    <w:lvl w:ilvl="0" w:tplc="19588DAE">
      <w:start w:val="1"/>
      <w:numFmt w:val="bullet"/>
      <w:lvlText w:val=""/>
      <w:lvlJc w:val="left"/>
      <w:pPr>
        <w:tabs>
          <w:tab w:val="num" w:pos="1260"/>
        </w:tabs>
        <w:ind w:left="1260" w:hanging="360"/>
      </w:pPr>
      <w:rPr>
        <w:rFonts w:ascii="Symbol" w:hAnsi="Symbol" w:hint="default"/>
      </w:rPr>
    </w:lvl>
    <w:lvl w:ilvl="1" w:tplc="BC42B1E8" w:tentative="1">
      <w:start w:val="1"/>
      <w:numFmt w:val="bullet"/>
      <w:lvlText w:val="o"/>
      <w:lvlJc w:val="left"/>
      <w:pPr>
        <w:tabs>
          <w:tab w:val="num" w:pos="1980"/>
        </w:tabs>
        <w:ind w:left="1980" w:hanging="360"/>
      </w:pPr>
      <w:rPr>
        <w:rFonts w:ascii="Courier New" w:hAnsi="Courier New" w:cs="Courier New" w:hint="default"/>
      </w:rPr>
    </w:lvl>
    <w:lvl w:ilvl="2" w:tplc="86A6320A" w:tentative="1">
      <w:start w:val="1"/>
      <w:numFmt w:val="bullet"/>
      <w:lvlText w:val=""/>
      <w:lvlJc w:val="left"/>
      <w:pPr>
        <w:tabs>
          <w:tab w:val="num" w:pos="2700"/>
        </w:tabs>
        <w:ind w:left="2700" w:hanging="360"/>
      </w:pPr>
      <w:rPr>
        <w:rFonts w:ascii="Wingdings" w:hAnsi="Wingdings" w:hint="default"/>
      </w:rPr>
    </w:lvl>
    <w:lvl w:ilvl="3" w:tplc="FF4CB096" w:tentative="1">
      <w:start w:val="1"/>
      <w:numFmt w:val="bullet"/>
      <w:lvlText w:val=""/>
      <w:lvlJc w:val="left"/>
      <w:pPr>
        <w:tabs>
          <w:tab w:val="num" w:pos="3420"/>
        </w:tabs>
        <w:ind w:left="3420" w:hanging="360"/>
      </w:pPr>
      <w:rPr>
        <w:rFonts w:ascii="Symbol" w:hAnsi="Symbol" w:hint="default"/>
      </w:rPr>
    </w:lvl>
    <w:lvl w:ilvl="4" w:tplc="F5C0486A" w:tentative="1">
      <w:start w:val="1"/>
      <w:numFmt w:val="bullet"/>
      <w:lvlText w:val="o"/>
      <w:lvlJc w:val="left"/>
      <w:pPr>
        <w:tabs>
          <w:tab w:val="num" w:pos="4140"/>
        </w:tabs>
        <w:ind w:left="4140" w:hanging="360"/>
      </w:pPr>
      <w:rPr>
        <w:rFonts w:ascii="Courier New" w:hAnsi="Courier New" w:cs="Courier New" w:hint="default"/>
      </w:rPr>
    </w:lvl>
    <w:lvl w:ilvl="5" w:tplc="58B456FC" w:tentative="1">
      <w:start w:val="1"/>
      <w:numFmt w:val="bullet"/>
      <w:lvlText w:val=""/>
      <w:lvlJc w:val="left"/>
      <w:pPr>
        <w:tabs>
          <w:tab w:val="num" w:pos="4860"/>
        </w:tabs>
        <w:ind w:left="4860" w:hanging="360"/>
      </w:pPr>
      <w:rPr>
        <w:rFonts w:ascii="Wingdings" w:hAnsi="Wingdings" w:hint="default"/>
      </w:rPr>
    </w:lvl>
    <w:lvl w:ilvl="6" w:tplc="8A1CB506" w:tentative="1">
      <w:start w:val="1"/>
      <w:numFmt w:val="bullet"/>
      <w:lvlText w:val=""/>
      <w:lvlJc w:val="left"/>
      <w:pPr>
        <w:tabs>
          <w:tab w:val="num" w:pos="5580"/>
        </w:tabs>
        <w:ind w:left="5580" w:hanging="360"/>
      </w:pPr>
      <w:rPr>
        <w:rFonts w:ascii="Symbol" w:hAnsi="Symbol" w:hint="default"/>
      </w:rPr>
    </w:lvl>
    <w:lvl w:ilvl="7" w:tplc="2B920904" w:tentative="1">
      <w:start w:val="1"/>
      <w:numFmt w:val="bullet"/>
      <w:lvlText w:val="o"/>
      <w:lvlJc w:val="left"/>
      <w:pPr>
        <w:tabs>
          <w:tab w:val="num" w:pos="6300"/>
        </w:tabs>
        <w:ind w:left="6300" w:hanging="360"/>
      </w:pPr>
      <w:rPr>
        <w:rFonts w:ascii="Courier New" w:hAnsi="Courier New" w:cs="Courier New" w:hint="default"/>
      </w:rPr>
    </w:lvl>
    <w:lvl w:ilvl="8" w:tplc="3EB4FCF0" w:tentative="1">
      <w:start w:val="1"/>
      <w:numFmt w:val="bullet"/>
      <w:lvlText w:val=""/>
      <w:lvlJc w:val="left"/>
      <w:pPr>
        <w:tabs>
          <w:tab w:val="num" w:pos="7020"/>
        </w:tabs>
        <w:ind w:left="7020" w:hanging="360"/>
      </w:pPr>
      <w:rPr>
        <w:rFonts w:ascii="Wingdings" w:hAnsi="Wingdings" w:hint="default"/>
      </w:rPr>
    </w:lvl>
  </w:abstractNum>
  <w:abstractNum w:abstractNumId="13" w15:restartNumberingAfterBreak="0">
    <w:nsid w:val="73D808F3"/>
    <w:multiLevelType w:val="hybridMultilevel"/>
    <w:tmpl w:val="0E147F42"/>
    <w:lvl w:ilvl="0" w:tplc="04090001">
      <w:start w:val="1"/>
      <w:numFmt w:val="bullet"/>
      <w:lvlText w:val=""/>
      <w:lvlJc w:val="left"/>
      <w:pPr>
        <w:tabs>
          <w:tab w:val="num" w:pos="1530"/>
        </w:tabs>
        <w:ind w:left="1530" w:hanging="360"/>
      </w:pPr>
      <w:rPr>
        <w:rFonts w:ascii="Symbol" w:hAnsi="Symbol" w:hint="default"/>
      </w:rPr>
    </w:lvl>
    <w:lvl w:ilvl="1" w:tplc="04090003" w:tentative="1">
      <w:start w:val="1"/>
      <w:numFmt w:val="bullet"/>
      <w:lvlText w:val="o"/>
      <w:lvlJc w:val="left"/>
      <w:pPr>
        <w:tabs>
          <w:tab w:val="num" w:pos="2250"/>
        </w:tabs>
        <w:ind w:left="2250" w:hanging="360"/>
      </w:pPr>
      <w:rPr>
        <w:rFonts w:ascii="Courier New" w:hAnsi="Courier New" w:cs="Courier New" w:hint="default"/>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tentative="1">
      <w:start w:val="1"/>
      <w:numFmt w:val="bullet"/>
      <w:lvlText w:val="o"/>
      <w:lvlJc w:val="left"/>
      <w:pPr>
        <w:tabs>
          <w:tab w:val="num" w:pos="4410"/>
        </w:tabs>
        <w:ind w:left="4410" w:hanging="360"/>
      </w:pPr>
      <w:rPr>
        <w:rFonts w:ascii="Courier New" w:hAnsi="Courier New" w:cs="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cs="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14" w15:restartNumberingAfterBreak="0">
    <w:nsid w:val="779842BE"/>
    <w:multiLevelType w:val="hybridMultilevel"/>
    <w:tmpl w:val="8278A264"/>
    <w:lvl w:ilvl="0" w:tplc="CD4C98A6">
      <w:start w:val="1"/>
      <w:numFmt w:val="bullet"/>
      <w:lvlText w:val=""/>
      <w:lvlJc w:val="left"/>
      <w:pPr>
        <w:tabs>
          <w:tab w:val="num" w:pos="1080"/>
        </w:tabs>
        <w:ind w:left="1080" w:hanging="360"/>
      </w:pPr>
      <w:rPr>
        <w:rFonts w:ascii="Symbol" w:hAnsi="Symbol" w:hint="default"/>
      </w:rPr>
    </w:lvl>
    <w:lvl w:ilvl="1" w:tplc="95205724" w:tentative="1">
      <w:start w:val="1"/>
      <w:numFmt w:val="bullet"/>
      <w:lvlText w:val="o"/>
      <w:lvlJc w:val="left"/>
      <w:pPr>
        <w:tabs>
          <w:tab w:val="num" w:pos="1800"/>
        </w:tabs>
        <w:ind w:left="1800" w:hanging="360"/>
      </w:pPr>
      <w:rPr>
        <w:rFonts w:ascii="Courier New" w:hAnsi="Courier New" w:cs="Courier New" w:hint="default"/>
      </w:rPr>
    </w:lvl>
    <w:lvl w:ilvl="2" w:tplc="80E8CF16" w:tentative="1">
      <w:start w:val="1"/>
      <w:numFmt w:val="bullet"/>
      <w:lvlText w:val=""/>
      <w:lvlJc w:val="left"/>
      <w:pPr>
        <w:tabs>
          <w:tab w:val="num" w:pos="2520"/>
        </w:tabs>
        <w:ind w:left="2520" w:hanging="360"/>
      </w:pPr>
      <w:rPr>
        <w:rFonts w:ascii="Wingdings" w:hAnsi="Wingdings" w:hint="default"/>
      </w:rPr>
    </w:lvl>
    <w:lvl w:ilvl="3" w:tplc="2CF0405A" w:tentative="1">
      <w:start w:val="1"/>
      <w:numFmt w:val="bullet"/>
      <w:lvlText w:val=""/>
      <w:lvlJc w:val="left"/>
      <w:pPr>
        <w:tabs>
          <w:tab w:val="num" w:pos="3240"/>
        </w:tabs>
        <w:ind w:left="3240" w:hanging="360"/>
      </w:pPr>
      <w:rPr>
        <w:rFonts w:ascii="Symbol" w:hAnsi="Symbol" w:hint="default"/>
      </w:rPr>
    </w:lvl>
    <w:lvl w:ilvl="4" w:tplc="455429CC" w:tentative="1">
      <w:start w:val="1"/>
      <w:numFmt w:val="bullet"/>
      <w:lvlText w:val="o"/>
      <w:lvlJc w:val="left"/>
      <w:pPr>
        <w:tabs>
          <w:tab w:val="num" w:pos="3960"/>
        </w:tabs>
        <w:ind w:left="3960" w:hanging="360"/>
      </w:pPr>
      <w:rPr>
        <w:rFonts w:ascii="Courier New" w:hAnsi="Courier New" w:cs="Courier New" w:hint="default"/>
      </w:rPr>
    </w:lvl>
    <w:lvl w:ilvl="5" w:tplc="F8BC08FA" w:tentative="1">
      <w:start w:val="1"/>
      <w:numFmt w:val="bullet"/>
      <w:lvlText w:val=""/>
      <w:lvlJc w:val="left"/>
      <w:pPr>
        <w:tabs>
          <w:tab w:val="num" w:pos="4680"/>
        </w:tabs>
        <w:ind w:left="4680" w:hanging="360"/>
      </w:pPr>
      <w:rPr>
        <w:rFonts w:ascii="Wingdings" w:hAnsi="Wingdings" w:hint="default"/>
      </w:rPr>
    </w:lvl>
    <w:lvl w:ilvl="6" w:tplc="B81CA298" w:tentative="1">
      <w:start w:val="1"/>
      <w:numFmt w:val="bullet"/>
      <w:lvlText w:val=""/>
      <w:lvlJc w:val="left"/>
      <w:pPr>
        <w:tabs>
          <w:tab w:val="num" w:pos="5400"/>
        </w:tabs>
        <w:ind w:left="5400" w:hanging="360"/>
      </w:pPr>
      <w:rPr>
        <w:rFonts w:ascii="Symbol" w:hAnsi="Symbol" w:hint="default"/>
      </w:rPr>
    </w:lvl>
    <w:lvl w:ilvl="7" w:tplc="4BC8B7EE" w:tentative="1">
      <w:start w:val="1"/>
      <w:numFmt w:val="bullet"/>
      <w:lvlText w:val="o"/>
      <w:lvlJc w:val="left"/>
      <w:pPr>
        <w:tabs>
          <w:tab w:val="num" w:pos="6120"/>
        </w:tabs>
        <w:ind w:left="6120" w:hanging="360"/>
      </w:pPr>
      <w:rPr>
        <w:rFonts w:ascii="Courier New" w:hAnsi="Courier New" w:cs="Courier New" w:hint="default"/>
      </w:rPr>
    </w:lvl>
    <w:lvl w:ilvl="8" w:tplc="BDEA4A50"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2"/>
  </w:num>
  <w:num w:numId="3">
    <w:abstractNumId w:val="8"/>
  </w:num>
  <w:num w:numId="4">
    <w:abstractNumId w:val="12"/>
  </w:num>
  <w:num w:numId="5">
    <w:abstractNumId w:val="4"/>
  </w:num>
  <w:num w:numId="6">
    <w:abstractNumId w:val="14"/>
  </w:num>
  <w:num w:numId="7">
    <w:abstractNumId w:val="13"/>
  </w:num>
  <w:num w:numId="8">
    <w:abstractNumId w:val="6"/>
  </w:num>
  <w:num w:numId="9">
    <w:abstractNumId w:val="5"/>
  </w:num>
  <w:num w:numId="10">
    <w:abstractNumId w:val="7"/>
  </w:num>
  <w:num w:numId="11">
    <w:abstractNumId w:val="9"/>
  </w:num>
  <w:num w:numId="12">
    <w:abstractNumId w:val="10"/>
  </w:num>
  <w:num w:numId="13">
    <w:abstractNumId w:val="11"/>
  </w:num>
  <w:num w:numId="14">
    <w:abstractNumId w:val="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3FC"/>
    <w:rsid w:val="00004C33"/>
    <w:rsid w:val="00005F73"/>
    <w:rsid w:val="00012A23"/>
    <w:rsid w:val="000150BC"/>
    <w:rsid w:val="00030C39"/>
    <w:rsid w:val="00036F64"/>
    <w:rsid w:val="00037B2E"/>
    <w:rsid w:val="0005004C"/>
    <w:rsid w:val="00050171"/>
    <w:rsid w:val="000529D7"/>
    <w:rsid w:val="000535C0"/>
    <w:rsid w:val="000578D7"/>
    <w:rsid w:val="00065184"/>
    <w:rsid w:val="000653E4"/>
    <w:rsid w:val="00072FB2"/>
    <w:rsid w:val="00074C1A"/>
    <w:rsid w:val="0008637E"/>
    <w:rsid w:val="000874D0"/>
    <w:rsid w:val="000B71AB"/>
    <w:rsid w:val="000C5C32"/>
    <w:rsid w:val="000D3C3A"/>
    <w:rsid w:val="000D5671"/>
    <w:rsid w:val="000D7729"/>
    <w:rsid w:val="000F3F23"/>
    <w:rsid w:val="00100C73"/>
    <w:rsid w:val="00103030"/>
    <w:rsid w:val="00104A53"/>
    <w:rsid w:val="00106A3F"/>
    <w:rsid w:val="00111DB1"/>
    <w:rsid w:val="001139BF"/>
    <w:rsid w:val="00117A0A"/>
    <w:rsid w:val="0012710F"/>
    <w:rsid w:val="001278E4"/>
    <w:rsid w:val="00127EAF"/>
    <w:rsid w:val="0013135D"/>
    <w:rsid w:val="00140071"/>
    <w:rsid w:val="00151EE5"/>
    <w:rsid w:val="0015772A"/>
    <w:rsid w:val="00161B75"/>
    <w:rsid w:val="00162744"/>
    <w:rsid w:val="00173EF8"/>
    <w:rsid w:val="00174BD7"/>
    <w:rsid w:val="0018017C"/>
    <w:rsid w:val="001801A9"/>
    <w:rsid w:val="001826B7"/>
    <w:rsid w:val="00182785"/>
    <w:rsid w:val="00183307"/>
    <w:rsid w:val="001909E5"/>
    <w:rsid w:val="001976BC"/>
    <w:rsid w:val="001A4740"/>
    <w:rsid w:val="001C3F95"/>
    <w:rsid w:val="001D4A1A"/>
    <w:rsid w:val="001D617E"/>
    <w:rsid w:val="001E2518"/>
    <w:rsid w:val="001E2ED8"/>
    <w:rsid w:val="001F4CBA"/>
    <w:rsid w:val="001F64EC"/>
    <w:rsid w:val="002049E9"/>
    <w:rsid w:val="00204A03"/>
    <w:rsid w:val="00205AC6"/>
    <w:rsid w:val="00205EF7"/>
    <w:rsid w:val="00212859"/>
    <w:rsid w:val="002129A8"/>
    <w:rsid w:val="00214DDE"/>
    <w:rsid w:val="002200F2"/>
    <w:rsid w:val="002214A0"/>
    <w:rsid w:val="0023279B"/>
    <w:rsid w:val="00246526"/>
    <w:rsid w:val="00254C61"/>
    <w:rsid w:val="002641A6"/>
    <w:rsid w:val="002763E0"/>
    <w:rsid w:val="002776AD"/>
    <w:rsid w:val="002776DE"/>
    <w:rsid w:val="00277FD6"/>
    <w:rsid w:val="00281DF6"/>
    <w:rsid w:val="002828A9"/>
    <w:rsid w:val="00285577"/>
    <w:rsid w:val="002B67E2"/>
    <w:rsid w:val="002B6A81"/>
    <w:rsid w:val="002D53EA"/>
    <w:rsid w:val="002E0380"/>
    <w:rsid w:val="00317703"/>
    <w:rsid w:val="0032199F"/>
    <w:rsid w:val="0032361C"/>
    <w:rsid w:val="00341C02"/>
    <w:rsid w:val="00342B66"/>
    <w:rsid w:val="003469E7"/>
    <w:rsid w:val="00351397"/>
    <w:rsid w:val="00352133"/>
    <w:rsid w:val="0035468B"/>
    <w:rsid w:val="00367927"/>
    <w:rsid w:val="00370883"/>
    <w:rsid w:val="00371023"/>
    <w:rsid w:val="00381D73"/>
    <w:rsid w:val="003852AD"/>
    <w:rsid w:val="0039199B"/>
    <w:rsid w:val="003A401E"/>
    <w:rsid w:val="003B0A72"/>
    <w:rsid w:val="003C0CF8"/>
    <w:rsid w:val="003C6CF2"/>
    <w:rsid w:val="003D059F"/>
    <w:rsid w:val="003D1641"/>
    <w:rsid w:val="003E2D9C"/>
    <w:rsid w:val="003E3D7B"/>
    <w:rsid w:val="003E564B"/>
    <w:rsid w:val="004310CB"/>
    <w:rsid w:val="0045038D"/>
    <w:rsid w:val="00463782"/>
    <w:rsid w:val="00465042"/>
    <w:rsid w:val="00470186"/>
    <w:rsid w:val="00473C6A"/>
    <w:rsid w:val="0047790D"/>
    <w:rsid w:val="00490DA2"/>
    <w:rsid w:val="00494A27"/>
    <w:rsid w:val="004A44D6"/>
    <w:rsid w:val="004B05BA"/>
    <w:rsid w:val="004B3C62"/>
    <w:rsid w:val="004E0774"/>
    <w:rsid w:val="004E0AE2"/>
    <w:rsid w:val="004F1749"/>
    <w:rsid w:val="004F7696"/>
    <w:rsid w:val="004F7738"/>
    <w:rsid w:val="005022A7"/>
    <w:rsid w:val="00504407"/>
    <w:rsid w:val="00507925"/>
    <w:rsid w:val="00510CF8"/>
    <w:rsid w:val="00511565"/>
    <w:rsid w:val="005127F2"/>
    <w:rsid w:val="0051541A"/>
    <w:rsid w:val="00522C9B"/>
    <w:rsid w:val="00525265"/>
    <w:rsid w:val="00550D61"/>
    <w:rsid w:val="00560B38"/>
    <w:rsid w:val="005705E5"/>
    <w:rsid w:val="005814D1"/>
    <w:rsid w:val="0058416A"/>
    <w:rsid w:val="00590819"/>
    <w:rsid w:val="00590866"/>
    <w:rsid w:val="00590B0A"/>
    <w:rsid w:val="00593A93"/>
    <w:rsid w:val="005A0F9D"/>
    <w:rsid w:val="005C4567"/>
    <w:rsid w:val="005C46CB"/>
    <w:rsid w:val="005C7061"/>
    <w:rsid w:val="005D70B0"/>
    <w:rsid w:val="005F1ECB"/>
    <w:rsid w:val="00600209"/>
    <w:rsid w:val="00600545"/>
    <w:rsid w:val="00600F72"/>
    <w:rsid w:val="006025F2"/>
    <w:rsid w:val="00604308"/>
    <w:rsid w:val="006071F2"/>
    <w:rsid w:val="00613E12"/>
    <w:rsid w:val="00614E83"/>
    <w:rsid w:val="006257CA"/>
    <w:rsid w:val="00640674"/>
    <w:rsid w:val="00641AB4"/>
    <w:rsid w:val="00651C28"/>
    <w:rsid w:val="00657222"/>
    <w:rsid w:val="006720D1"/>
    <w:rsid w:val="0067306E"/>
    <w:rsid w:val="00673A67"/>
    <w:rsid w:val="00676E28"/>
    <w:rsid w:val="00680542"/>
    <w:rsid w:val="00681957"/>
    <w:rsid w:val="006A1007"/>
    <w:rsid w:val="006A158B"/>
    <w:rsid w:val="006A23FC"/>
    <w:rsid w:val="006A7976"/>
    <w:rsid w:val="006B0469"/>
    <w:rsid w:val="006B069F"/>
    <w:rsid w:val="006B2AAA"/>
    <w:rsid w:val="006B2E28"/>
    <w:rsid w:val="006B3E96"/>
    <w:rsid w:val="006B70F0"/>
    <w:rsid w:val="006C0BB5"/>
    <w:rsid w:val="006C5BE2"/>
    <w:rsid w:val="006D339B"/>
    <w:rsid w:val="006E4F52"/>
    <w:rsid w:val="006F2E82"/>
    <w:rsid w:val="006F3CF5"/>
    <w:rsid w:val="006F52A6"/>
    <w:rsid w:val="0070484E"/>
    <w:rsid w:val="0070494E"/>
    <w:rsid w:val="0070697D"/>
    <w:rsid w:val="00707CB5"/>
    <w:rsid w:val="00710B1C"/>
    <w:rsid w:val="007155C7"/>
    <w:rsid w:val="00717B78"/>
    <w:rsid w:val="00732439"/>
    <w:rsid w:val="007414E4"/>
    <w:rsid w:val="00742E55"/>
    <w:rsid w:val="007469B2"/>
    <w:rsid w:val="0074756E"/>
    <w:rsid w:val="007617CA"/>
    <w:rsid w:val="007620E1"/>
    <w:rsid w:val="00766E39"/>
    <w:rsid w:val="007737B5"/>
    <w:rsid w:val="0077620F"/>
    <w:rsid w:val="00786654"/>
    <w:rsid w:val="007874A3"/>
    <w:rsid w:val="00792F05"/>
    <w:rsid w:val="007A5E74"/>
    <w:rsid w:val="007B7A02"/>
    <w:rsid w:val="007C1DBD"/>
    <w:rsid w:val="007C7110"/>
    <w:rsid w:val="007E0D1E"/>
    <w:rsid w:val="007E4D04"/>
    <w:rsid w:val="007F5D62"/>
    <w:rsid w:val="00805419"/>
    <w:rsid w:val="00813B84"/>
    <w:rsid w:val="00814B6A"/>
    <w:rsid w:val="00821529"/>
    <w:rsid w:val="00822651"/>
    <w:rsid w:val="0082363B"/>
    <w:rsid w:val="00824362"/>
    <w:rsid w:val="0082450D"/>
    <w:rsid w:val="0082632A"/>
    <w:rsid w:val="008277DB"/>
    <w:rsid w:val="00830D12"/>
    <w:rsid w:val="0083279C"/>
    <w:rsid w:val="00833A97"/>
    <w:rsid w:val="00834322"/>
    <w:rsid w:val="00855F80"/>
    <w:rsid w:val="008659F2"/>
    <w:rsid w:val="00867E17"/>
    <w:rsid w:val="00871262"/>
    <w:rsid w:val="00875F9A"/>
    <w:rsid w:val="008854B5"/>
    <w:rsid w:val="00887ECF"/>
    <w:rsid w:val="00890716"/>
    <w:rsid w:val="00892703"/>
    <w:rsid w:val="0089664F"/>
    <w:rsid w:val="00897994"/>
    <w:rsid w:val="008B1034"/>
    <w:rsid w:val="008B1E5A"/>
    <w:rsid w:val="008B2B6A"/>
    <w:rsid w:val="008B4845"/>
    <w:rsid w:val="008C1F72"/>
    <w:rsid w:val="008C1F80"/>
    <w:rsid w:val="008C24CC"/>
    <w:rsid w:val="008C314A"/>
    <w:rsid w:val="008D09C3"/>
    <w:rsid w:val="008E61F5"/>
    <w:rsid w:val="008E655D"/>
    <w:rsid w:val="008E7E7D"/>
    <w:rsid w:val="008F5B64"/>
    <w:rsid w:val="009028DE"/>
    <w:rsid w:val="00912854"/>
    <w:rsid w:val="009303BB"/>
    <w:rsid w:val="009362A9"/>
    <w:rsid w:val="00957B28"/>
    <w:rsid w:val="009641AB"/>
    <w:rsid w:val="00966C04"/>
    <w:rsid w:val="00990C71"/>
    <w:rsid w:val="009923EC"/>
    <w:rsid w:val="009A191B"/>
    <w:rsid w:val="009B3AA2"/>
    <w:rsid w:val="009B4142"/>
    <w:rsid w:val="009E5077"/>
    <w:rsid w:val="00A00E97"/>
    <w:rsid w:val="00A07439"/>
    <w:rsid w:val="00A12418"/>
    <w:rsid w:val="00A21FD7"/>
    <w:rsid w:val="00A42BBF"/>
    <w:rsid w:val="00A61494"/>
    <w:rsid w:val="00A71498"/>
    <w:rsid w:val="00A73627"/>
    <w:rsid w:val="00A76034"/>
    <w:rsid w:val="00A86B41"/>
    <w:rsid w:val="00A91FBF"/>
    <w:rsid w:val="00A96BB0"/>
    <w:rsid w:val="00AB073A"/>
    <w:rsid w:val="00AC0BE8"/>
    <w:rsid w:val="00AC6FE7"/>
    <w:rsid w:val="00AD2E87"/>
    <w:rsid w:val="00AD3F7C"/>
    <w:rsid w:val="00AD5819"/>
    <w:rsid w:val="00AD7F0F"/>
    <w:rsid w:val="00AE1053"/>
    <w:rsid w:val="00AF3C50"/>
    <w:rsid w:val="00AF6160"/>
    <w:rsid w:val="00AF6755"/>
    <w:rsid w:val="00B006AA"/>
    <w:rsid w:val="00B10E9E"/>
    <w:rsid w:val="00B20A95"/>
    <w:rsid w:val="00B20AA9"/>
    <w:rsid w:val="00B2270B"/>
    <w:rsid w:val="00B237E9"/>
    <w:rsid w:val="00B24120"/>
    <w:rsid w:val="00B300B4"/>
    <w:rsid w:val="00B335B9"/>
    <w:rsid w:val="00B51AA5"/>
    <w:rsid w:val="00B5240E"/>
    <w:rsid w:val="00B54B27"/>
    <w:rsid w:val="00B56858"/>
    <w:rsid w:val="00B6012E"/>
    <w:rsid w:val="00B6217E"/>
    <w:rsid w:val="00B63595"/>
    <w:rsid w:val="00B63E9B"/>
    <w:rsid w:val="00B67F32"/>
    <w:rsid w:val="00B71780"/>
    <w:rsid w:val="00B95DE2"/>
    <w:rsid w:val="00B96BDA"/>
    <w:rsid w:val="00BA294D"/>
    <w:rsid w:val="00BA63B9"/>
    <w:rsid w:val="00BB4ACC"/>
    <w:rsid w:val="00BC368D"/>
    <w:rsid w:val="00BC6A81"/>
    <w:rsid w:val="00BD786A"/>
    <w:rsid w:val="00BD7A5A"/>
    <w:rsid w:val="00BD7CAE"/>
    <w:rsid w:val="00BF3FB3"/>
    <w:rsid w:val="00BF63A9"/>
    <w:rsid w:val="00BF7170"/>
    <w:rsid w:val="00C04E1B"/>
    <w:rsid w:val="00C227AF"/>
    <w:rsid w:val="00C32BE5"/>
    <w:rsid w:val="00C35693"/>
    <w:rsid w:val="00C429A8"/>
    <w:rsid w:val="00C4585F"/>
    <w:rsid w:val="00C502A3"/>
    <w:rsid w:val="00C512DF"/>
    <w:rsid w:val="00C53DBC"/>
    <w:rsid w:val="00C64002"/>
    <w:rsid w:val="00C64F9D"/>
    <w:rsid w:val="00C65A48"/>
    <w:rsid w:val="00C70EE6"/>
    <w:rsid w:val="00C76B20"/>
    <w:rsid w:val="00C90D53"/>
    <w:rsid w:val="00C92C8E"/>
    <w:rsid w:val="00C950AE"/>
    <w:rsid w:val="00CA7DD3"/>
    <w:rsid w:val="00CB31F7"/>
    <w:rsid w:val="00CB431F"/>
    <w:rsid w:val="00CC2299"/>
    <w:rsid w:val="00CC7172"/>
    <w:rsid w:val="00CE06A4"/>
    <w:rsid w:val="00CE17F0"/>
    <w:rsid w:val="00CE76CD"/>
    <w:rsid w:val="00CE7A6A"/>
    <w:rsid w:val="00D0157E"/>
    <w:rsid w:val="00D030D4"/>
    <w:rsid w:val="00D10ECD"/>
    <w:rsid w:val="00D11845"/>
    <w:rsid w:val="00D15234"/>
    <w:rsid w:val="00D15BB4"/>
    <w:rsid w:val="00D17CD3"/>
    <w:rsid w:val="00D2098B"/>
    <w:rsid w:val="00D47235"/>
    <w:rsid w:val="00D52836"/>
    <w:rsid w:val="00D57446"/>
    <w:rsid w:val="00D61922"/>
    <w:rsid w:val="00D767A4"/>
    <w:rsid w:val="00D8093F"/>
    <w:rsid w:val="00D824F1"/>
    <w:rsid w:val="00D845BB"/>
    <w:rsid w:val="00D93DBD"/>
    <w:rsid w:val="00DA5F9D"/>
    <w:rsid w:val="00DA6A76"/>
    <w:rsid w:val="00DB1E82"/>
    <w:rsid w:val="00DB540E"/>
    <w:rsid w:val="00DB5418"/>
    <w:rsid w:val="00DC1D31"/>
    <w:rsid w:val="00DC2FF0"/>
    <w:rsid w:val="00DC7542"/>
    <w:rsid w:val="00DD0B45"/>
    <w:rsid w:val="00DD2C50"/>
    <w:rsid w:val="00DD2E96"/>
    <w:rsid w:val="00DD43FA"/>
    <w:rsid w:val="00DE030C"/>
    <w:rsid w:val="00DE31F1"/>
    <w:rsid w:val="00DF5584"/>
    <w:rsid w:val="00DF5FF5"/>
    <w:rsid w:val="00E005BB"/>
    <w:rsid w:val="00E03F94"/>
    <w:rsid w:val="00E12918"/>
    <w:rsid w:val="00E21554"/>
    <w:rsid w:val="00E223AD"/>
    <w:rsid w:val="00E4071F"/>
    <w:rsid w:val="00E415C5"/>
    <w:rsid w:val="00E41651"/>
    <w:rsid w:val="00E43AD4"/>
    <w:rsid w:val="00E4550A"/>
    <w:rsid w:val="00E52CB6"/>
    <w:rsid w:val="00E5351F"/>
    <w:rsid w:val="00E6135D"/>
    <w:rsid w:val="00E63ED1"/>
    <w:rsid w:val="00E83E1B"/>
    <w:rsid w:val="00E879F7"/>
    <w:rsid w:val="00E94270"/>
    <w:rsid w:val="00E94796"/>
    <w:rsid w:val="00EA1249"/>
    <w:rsid w:val="00EA2747"/>
    <w:rsid w:val="00EA79E8"/>
    <w:rsid w:val="00EB4390"/>
    <w:rsid w:val="00EB5B63"/>
    <w:rsid w:val="00EB781D"/>
    <w:rsid w:val="00EC0EF2"/>
    <w:rsid w:val="00EC439D"/>
    <w:rsid w:val="00EC4662"/>
    <w:rsid w:val="00EC5BA0"/>
    <w:rsid w:val="00EC72E2"/>
    <w:rsid w:val="00ED4BBE"/>
    <w:rsid w:val="00EE2384"/>
    <w:rsid w:val="00EE4A77"/>
    <w:rsid w:val="00EE4B0D"/>
    <w:rsid w:val="00EF4C43"/>
    <w:rsid w:val="00F01924"/>
    <w:rsid w:val="00F020AC"/>
    <w:rsid w:val="00F035C7"/>
    <w:rsid w:val="00F115A0"/>
    <w:rsid w:val="00F13A8E"/>
    <w:rsid w:val="00F2005D"/>
    <w:rsid w:val="00F32EB6"/>
    <w:rsid w:val="00F33DFD"/>
    <w:rsid w:val="00F34DBC"/>
    <w:rsid w:val="00F41EAC"/>
    <w:rsid w:val="00F42AFB"/>
    <w:rsid w:val="00F5412F"/>
    <w:rsid w:val="00F54D87"/>
    <w:rsid w:val="00F604FE"/>
    <w:rsid w:val="00F64A7D"/>
    <w:rsid w:val="00F65FD8"/>
    <w:rsid w:val="00F66269"/>
    <w:rsid w:val="00F719BB"/>
    <w:rsid w:val="00F7341C"/>
    <w:rsid w:val="00F74A2E"/>
    <w:rsid w:val="00F77757"/>
    <w:rsid w:val="00F87A01"/>
    <w:rsid w:val="00F90902"/>
    <w:rsid w:val="00F90A2A"/>
    <w:rsid w:val="00F93167"/>
    <w:rsid w:val="00F974D3"/>
    <w:rsid w:val="00FA303A"/>
    <w:rsid w:val="00FA54B2"/>
    <w:rsid w:val="00FB007E"/>
    <w:rsid w:val="00FB0F6A"/>
    <w:rsid w:val="00FB18FA"/>
    <w:rsid w:val="00FB2D03"/>
    <w:rsid w:val="00FC3973"/>
    <w:rsid w:val="00FC6D81"/>
    <w:rsid w:val="00FC7460"/>
    <w:rsid w:val="00FD52DF"/>
    <w:rsid w:val="00FD5C06"/>
    <w:rsid w:val="00FD64EF"/>
    <w:rsid w:val="00FD7E8B"/>
    <w:rsid w:val="00FD7F04"/>
    <w:rsid w:val="00FE45B3"/>
    <w:rsid w:val="00FE6619"/>
    <w:rsid w:val="00FE7012"/>
    <w:rsid w:val="00FF471E"/>
    <w:rsid w:val="00FF48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62E3988"/>
  <w15:docId w15:val="{19749FF5-0AB9-408F-AB55-D6622F480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ind w:left="540"/>
      <w:outlineLvl w:val="0"/>
    </w:pPr>
    <w:rPr>
      <w:rFonts w:ascii="Times New Roman" w:hAnsi="Times New Roman"/>
      <w:b/>
      <w:snapToGrid w:val="0"/>
      <w:u w:val="single"/>
    </w:rPr>
  </w:style>
  <w:style w:type="paragraph" w:styleId="Heading2">
    <w:name w:val="heading 2"/>
    <w:basedOn w:val="Normal"/>
    <w:next w:val="Normal"/>
    <w:qFormat/>
    <w:pPr>
      <w:keepNext/>
      <w:outlineLvl w:val="1"/>
    </w:pPr>
    <w:rPr>
      <w:rFonts w:ascii="Times New Roman" w:hAnsi="Times New Roman"/>
      <w:i/>
      <w:snapToGrid w:val="0"/>
    </w:rPr>
  </w:style>
  <w:style w:type="paragraph" w:styleId="Heading4">
    <w:name w:val="heading 4"/>
    <w:basedOn w:val="Normal"/>
    <w:next w:val="Normal"/>
    <w:qFormat/>
    <w:pPr>
      <w:keepNext/>
      <w:spacing w:line="480" w:lineRule="auto"/>
      <w:ind w:firstLine="540"/>
      <w:jc w:val="center"/>
      <w:outlineLvl w:val="3"/>
    </w:pPr>
    <w:rPr>
      <w:rFonts w:ascii="Times New Roman" w:hAnsi="Times New Roman"/>
    </w:rPr>
  </w:style>
  <w:style w:type="paragraph" w:styleId="Heading7">
    <w:name w:val="heading 7"/>
    <w:basedOn w:val="Normal"/>
    <w:next w:val="Normal"/>
    <w:qFormat/>
    <w:pPr>
      <w:keepNext/>
      <w:widowControl w:val="0"/>
      <w:tabs>
        <w:tab w:val="center" w:pos="4680"/>
      </w:tabs>
      <w:jc w:val="center"/>
      <w:outlineLvl w:val="6"/>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widowControl w:val="0"/>
      <w:tabs>
        <w:tab w:val="center" w:pos="4680"/>
      </w:tabs>
      <w:jc w:val="center"/>
    </w:pPr>
    <w:rPr>
      <w:rFonts w:ascii="Times New Roman" w:hAnsi="Times New Roman"/>
      <w:b/>
    </w:rPr>
  </w:style>
  <w:style w:type="paragraph" w:styleId="BodyTextIndent">
    <w:name w:val="Body Text Indent"/>
    <w:basedOn w:val="Normal"/>
    <w:pPr>
      <w:ind w:left="540"/>
    </w:pPr>
    <w:rPr>
      <w:rFonts w:ascii="Times New Roman" w:hAnsi="Times New Roman"/>
      <w:snapToGrid w:val="0"/>
    </w:rPr>
  </w:style>
  <w:style w:type="paragraph" w:styleId="BodyTextIndent2">
    <w:name w:val="Body Text Indent 2"/>
    <w:basedOn w:val="Normal"/>
    <w:pPr>
      <w:ind w:left="2160" w:hanging="2160"/>
    </w:pPr>
    <w:rPr>
      <w:rFonts w:ascii="Times New Roman" w:hAnsi="Times New Roman"/>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odyText">
    <w:name w:val="Body Text"/>
    <w:basedOn w:val="Normal"/>
    <w:link w:val="BodyTextChar"/>
    <w:pPr>
      <w:widowControl w:val="0"/>
      <w:tabs>
        <w:tab w:val="left" w:pos="-1440"/>
        <w:tab w:val="left" w:pos="-720"/>
        <w:tab w:val="left" w:pos="0"/>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spacing w:line="480" w:lineRule="auto"/>
    </w:pPr>
    <w:rPr>
      <w:rFonts w:ascii="Times New Roman" w:hAnsi="Times New Roman"/>
    </w:rPr>
  </w:style>
  <w:style w:type="paragraph" w:styleId="BalloonText">
    <w:name w:val="Balloon Text"/>
    <w:basedOn w:val="Normal"/>
    <w:semiHidden/>
    <w:rPr>
      <w:rFonts w:ascii="Tahoma" w:hAnsi="Tahoma" w:cs="Tahoma"/>
      <w:sz w:val="16"/>
      <w:szCs w:val="16"/>
    </w:rPr>
  </w:style>
  <w:style w:type="paragraph" w:styleId="BodyText2">
    <w:name w:val="Body Text 2"/>
    <w:basedOn w:val="Normal"/>
    <w:rsid w:val="00D15BB4"/>
    <w:pPr>
      <w:spacing w:after="120" w:line="480" w:lineRule="auto"/>
    </w:pPr>
  </w:style>
  <w:style w:type="paragraph" w:styleId="HTMLPreformatted">
    <w:name w:val="HTML Preformatted"/>
    <w:basedOn w:val="Normal"/>
    <w:rsid w:val="00072F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CommentSubject">
    <w:name w:val="annotation subject"/>
    <w:basedOn w:val="CommentText"/>
    <w:next w:val="CommentText"/>
    <w:semiHidden/>
    <w:rsid w:val="00370883"/>
    <w:rPr>
      <w:b/>
      <w:bCs/>
    </w:rPr>
  </w:style>
  <w:style w:type="paragraph" w:styleId="FootnoteText">
    <w:name w:val="footnote text"/>
    <w:basedOn w:val="Normal"/>
    <w:semiHidden/>
    <w:rsid w:val="00C227AF"/>
    <w:rPr>
      <w:sz w:val="20"/>
    </w:rPr>
  </w:style>
  <w:style w:type="character" w:styleId="FootnoteReference">
    <w:name w:val="footnote reference"/>
    <w:rsid w:val="00C227AF"/>
    <w:rPr>
      <w:vertAlign w:val="superscript"/>
    </w:rPr>
  </w:style>
  <w:style w:type="character" w:styleId="Hyperlink">
    <w:name w:val="Hyperlink"/>
    <w:rsid w:val="00C227AF"/>
    <w:rPr>
      <w:b/>
      <w:bCs/>
      <w:color w:val="0000FF"/>
      <w:u w:val="single"/>
    </w:rPr>
  </w:style>
  <w:style w:type="paragraph" w:customStyle="1" w:styleId="indent1">
    <w:name w:val="indent1"/>
    <w:basedOn w:val="Normal"/>
    <w:rsid w:val="00C227AF"/>
    <w:rPr>
      <w:rFonts w:ascii="Times New Roman" w:hAnsi="Times New Roman"/>
      <w:sz w:val="20"/>
    </w:rPr>
  </w:style>
  <w:style w:type="paragraph" w:styleId="NormalWeb">
    <w:name w:val="Normal (Web)"/>
    <w:basedOn w:val="Normal"/>
    <w:rsid w:val="00C227AF"/>
    <w:pPr>
      <w:spacing w:before="100" w:beforeAutospacing="1" w:after="100" w:afterAutospacing="1"/>
    </w:pPr>
    <w:rPr>
      <w:rFonts w:ascii="Times New Roman" w:hAnsi="Times New Roman"/>
      <w:sz w:val="20"/>
    </w:rPr>
  </w:style>
  <w:style w:type="character" w:styleId="Strong">
    <w:name w:val="Strong"/>
    <w:qFormat/>
    <w:rsid w:val="00C227AF"/>
    <w:rPr>
      <w:b/>
      <w:bCs/>
    </w:rPr>
  </w:style>
  <w:style w:type="character" w:styleId="FollowedHyperlink">
    <w:name w:val="FollowedHyperlink"/>
    <w:rsid w:val="00F34DBC"/>
    <w:rPr>
      <w:color w:val="800080"/>
      <w:u w:val="single"/>
    </w:rPr>
  </w:style>
  <w:style w:type="table" w:styleId="TableGrid">
    <w:name w:val="Table Grid"/>
    <w:basedOn w:val="TableNormal"/>
    <w:rsid w:val="001E2E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42BBF"/>
    <w:rPr>
      <w:rFonts w:ascii="Arial" w:hAnsi="Arial"/>
      <w:sz w:val="24"/>
    </w:rPr>
  </w:style>
  <w:style w:type="character" w:customStyle="1" w:styleId="UnresolvedMention1">
    <w:name w:val="Unresolved Mention1"/>
    <w:basedOn w:val="DefaultParagraphFont"/>
    <w:uiPriority w:val="99"/>
    <w:semiHidden/>
    <w:unhideWhenUsed/>
    <w:rsid w:val="00E43AD4"/>
    <w:rPr>
      <w:color w:val="808080"/>
      <w:shd w:val="clear" w:color="auto" w:fill="E6E6E6"/>
    </w:rPr>
  </w:style>
  <w:style w:type="paragraph" w:styleId="ListParagraph">
    <w:name w:val="List Paragraph"/>
    <w:basedOn w:val="Normal"/>
    <w:uiPriority w:val="34"/>
    <w:qFormat/>
    <w:rsid w:val="00C429A8"/>
    <w:pPr>
      <w:ind w:left="720"/>
      <w:contextualSpacing/>
    </w:pPr>
  </w:style>
  <w:style w:type="character" w:customStyle="1" w:styleId="BodyTextChar">
    <w:name w:val="Body Text Char"/>
    <w:basedOn w:val="DefaultParagraphFont"/>
    <w:link w:val="BodyText"/>
    <w:rsid w:val="00D17CD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324543">
      <w:bodyDiv w:val="1"/>
      <w:marLeft w:val="10"/>
      <w:marRight w:val="10"/>
      <w:marTop w:val="0"/>
      <w:marBottom w:val="0"/>
      <w:divBdr>
        <w:top w:val="none" w:sz="0" w:space="0" w:color="auto"/>
        <w:left w:val="none" w:sz="0" w:space="0" w:color="auto"/>
        <w:bottom w:val="none" w:sz="0" w:space="0" w:color="auto"/>
        <w:right w:val="none" w:sz="0" w:space="0" w:color="auto"/>
      </w:divBdr>
    </w:div>
    <w:div w:id="115492972">
      <w:bodyDiv w:val="1"/>
      <w:marLeft w:val="0"/>
      <w:marRight w:val="0"/>
      <w:marTop w:val="0"/>
      <w:marBottom w:val="0"/>
      <w:divBdr>
        <w:top w:val="none" w:sz="0" w:space="0" w:color="auto"/>
        <w:left w:val="none" w:sz="0" w:space="0" w:color="auto"/>
        <w:bottom w:val="none" w:sz="0" w:space="0" w:color="auto"/>
        <w:right w:val="none" w:sz="0" w:space="0" w:color="auto"/>
      </w:divBdr>
    </w:div>
    <w:div w:id="196477832">
      <w:bodyDiv w:val="1"/>
      <w:marLeft w:val="10"/>
      <w:marRight w:val="1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counsel.house.gov/Comps/Federal%20Food,%20Drug,%20And%20Cosmetic%20Act.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bls.gov/oes/current/oes113051.ht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fda.gov/downloads/EmergencyPreparedness/EmergencyPreparedness/UCM23097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2AD1E2-19D2-4B71-A130-81A3DE43C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2141</Words>
  <Characters>12751</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FDA</Company>
  <LinksUpToDate>false</LinksUpToDate>
  <CharactersWithSpaces>14863</CharactersWithSpaces>
  <SharedDoc>false</SharedDoc>
  <HLinks>
    <vt:vector size="18" baseType="variant">
      <vt:variant>
        <vt:i4>5636175</vt:i4>
      </vt:variant>
      <vt:variant>
        <vt:i4>6</vt:i4>
      </vt:variant>
      <vt:variant>
        <vt:i4>0</vt:i4>
      </vt:variant>
      <vt:variant>
        <vt:i4>5</vt:i4>
      </vt:variant>
      <vt:variant>
        <vt:lpwstr>https://www.opm.gov/policy-data-oversight/pay-leave/salaries-wages/salary-tables/pdf/2018/GS.pdf</vt:lpwstr>
      </vt:variant>
      <vt:variant>
        <vt:lpwstr/>
      </vt:variant>
      <vt:variant>
        <vt:i4>196700</vt:i4>
      </vt:variant>
      <vt:variant>
        <vt:i4>3</vt:i4>
      </vt:variant>
      <vt:variant>
        <vt:i4>0</vt:i4>
      </vt:variant>
      <vt:variant>
        <vt:i4>5</vt:i4>
      </vt:variant>
      <vt:variant>
        <vt:lpwstr>http://www.fda.gov/opacom/laws/fdcact/fdcact3.htm</vt:lpwstr>
      </vt:variant>
      <vt:variant>
        <vt:lpwstr/>
      </vt:variant>
      <vt:variant>
        <vt:i4>196694</vt:i4>
      </vt:variant>
      <vt:variant>
        <vt:i4>0</vt:i4>
      </vt:variant>
      <vt:variant>
        <vt:i4>0</vt:i4>
      </vt:variant>
      <vt:variant>
        <vt:i4>5</vt:i4>
      </vt:variant>
      <vt:variant>
        <vt:lpwstr>http://www.fda.gov/opacom/laws/fdcact/fdcact9.htm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Christopher J. Colburn</dc:creator>
  <cp:lastModifiedBy>Sanford, Amber</cp:lastModifiedBy>
  <cp:revision>3</cp:revision>
  <cp:lastPrinted>2018-07-06T16:51:00Z</cp:lastPrinted>
  <dcterms:created xsi:type="dcterms:W3CDTF">2020-01-30T19:33:00Z</dcterms:created>
  <dcterms:modified xsi:type="dcterms:W3CDTF">2020-01-30T19:35:00Z</dcterms:modified>
</cp:coreProperties>
</file>