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1674" w:rsidR="00EB7538" w:rsidP="007174E2" w:rsidRDefault="00EC2762">
      <w:pPr>
        <w:jc w:val="center"/>
      </w:pPr>
      <w:bookmarkStart w:name="_GoBack" w:id="0"/>
      <w:bookmarkEnd w:id="0"/>
      <w:r>
        <w:t>Premarket Approval of Medical Devices</w:t>
      </w:r>
    </w:p>
    <w:p w:rsidRPr="009A1674" w:rsidR="00B23769" w:rsidP="007174E2" w:rsidRDefault="00E2351D">
      <w:pPr>
        <w:jc w:val="center"/>
      </w:pPr>
      <w:r>
        <w:t>21 CFR Part 814</w:t>
      </w:r>
      <w:r w:rsidR="002B1C64">
        <w:t xml:space="preserve"> and Section 515 of the FD&amp;C Act</w:t>
      </w:r>
    </w:p>
    <w:p w:rsidRPr="009A1674" w:rsidR="00EB7538" w:rsidP="007174E2" w:rsidRDefault="002B1C64">
      <w:pPr>
        <w:jc w:val="center"/>
      </w:pPr>
      <w:r>
        <w:t xml:space="preserve">OMB Control Number </w:t>
      </w:r>
      <w:r w:rsidRPr="009A1674" w:rsidR="00EB7538">
        <w:t>0910-</w:t>
      </w:r>
      <w:r w:rsidR="00EC2762">
        <w:t>0231</w:t>
      </w:r>
      <w:r w:rsidRPr="009A1674" w:rsidR="00A35D42">
        <w:br/>
      </w:r>
    </w:p>
    <w:p w:rsidRPr="009A1674" w:rsidR="00EB7538" w:rsidP="007174E2" w:rsidRDefault="00EB7538">
      <w:pPr>
        <w:jc w:val="center"/>
      </w:pPr>
      <w:r w:rsidRPr="009A1674">
        <w:t>SUPPORTING STATEMENT</w:t>
      </w:r>
    </w:p>
    <w:p w:rsidR="00810FF1" w:rsidP="007174E2" w:rsidRDefault="00810FF1">
      <w:pPr>
        <w:jc w:val="center"/>
        <w:rPr>
          <w:b/>
        </w:rPr>
      </w:pPr>
    </w:p>
    <w:p w:rsidRPr="00810FF1" w:rsidR="00810FF1" w:rsidP="007174E2" w:rsidRDefault="00810FF1">
      <w:r>
        <w:rPr>
          <w:b/>
        </w:rPr>
        <w:t xml:space="preserve">Terms of Clearance: </w:t>
      </w:r>
      <w:r w:rsidR="00EC2762">
        <w:t>N</w:t>
      </w:r>
      <w:r w:rsidRPr="007D3DFC">
        <w:t>one.</w:t>
      </w:r>
    </w:p>
    <w:p w:rsidR="00EB7538" w:rsidP="007174E2" w:rsidRDefault="00EB7538">
      <w:pPr>
        <w:pStyle w:val="NormalWeb"/>
      </w:pPr>
      <w:r>
        <w:rPr>
          <w:b/>
          <w:bCs/>
        </w:rPr>
        <w:t>A. Justification</w:t>
      </w:r>
    </w:p>
    <w:p w:rsidR="008B30AB" w:rsidP="007174E2" w:rsidRDefault="00EB7538">
      <w:pPr>
        <w:numPr>
          <w:ilvl w:val="0"/>
          <w:numId w:val="1"/>
        </w:numPr>
        <w:spacing w:before="100" w:beforeAutospacing="1" w:after="100" w:afterAutospacing="1"/>
        <w:rPr>
          <w:u w:val="single"/>
        </w:rPr>
      </w:pPr>
      <w:r w:rsidRPr="002746DB">
        <w:rPr>
          <w:u w:val="single"/>
        </w:rPr>
        <w:t>Circumstances Making the Collection of Information Necessary</w:t>
      </w:r>
    </w:p>
    <w:p w:rsidRPr="00EC2762" w:rsidR="00EC2762" w:rsidP="007174E2" w:rsidRDefault="00EC2762">
      <w:pPr>
        <w:ind w:left="720"/>
        <w:rPr>
          <w:snapToGrid w:val="0"/>
        </w:rPr>
      </w:pPr>
      <w:r w:rsidRPr="00EC2762">
        <w:rPr>
          <w:snapToGrid w:val="0"/>
        </w:rPr>
        <w:t xml:space="preserve">The Food and Drug Administration (FDA) is requesting an extension of approval of the information collection requirements </w:t>
      </w:r>
      <w:r w:rsidR="00AF27F6">
        <w:rPr>
          <w:snapToGrid w:val="0"/>
        </w:rPr>
        <w:t xml:space="preserve">regarding Premarket Approval </w:t>
      </w:r>
      <w:r w:rsidR="00B7246F">
        <w:rPr>
          <w:snapToGrid w:val="0"/>
        </w:rPr>
        <w:t>of Medical Devices</w:t>
      </w:r>
      <w:r w:rsidRPr="00EC2762">
        <w:rPr>
          <w:snapToGrid w:val="0"/>
        </w:rPr>
        <w:t xml:space="preserve">. </w:t>
      </w:r>
    </w:p>
    <w:p w:rsidRPr="00EC2762" w:rsidR="00EC2762" w:rsidP="007174E2" w:rsidRDefault="00EC2762">
      <w:pPr>
        <w:ind w:left="720"/>
        <w:rPr>
          <w:snapToGrid w:val="0"/>
        </w:rPr>
      </w:pPr>
    </w:p>
    <w:p w:rsidRPr="00EC2762" w:rsidR="00EC2762" w:rsidP="007174E2" w:rsidRDefault="00EC2762">
      <w:pPr>
        <w:ind w:left="720"/>
        <w:rPr>
          <w:snapToGrid w:val="0"/>
        </w:rPr>
      </w:pPr>
      <w:r w:rsidRPr="00EC2762">
        <w:rPr>
          <w:snapToGrid w:val="0"/>
        </w:rPr>
        <w:t>Under section 515 of the Federal Food, Drug, and Cosmetic Act (</w:t>
      </w:r>
      <w:r>
        <w:rPr>
          <w:snapToGrid w:val="0"/>
        </w:rPr>
        <w:t>FD&amp;C A</w:t>
      </w:r>
      <w:r w:rsidRPr="00EC2762">
        <w:rPr>
          <w:snapToGrid w:val="0"/>
        </w:rPr>
        <w:t>ct) (</w:t>
      </w:r>
      <w:hyperlink w:history="1" r:id="rId7">
        <w:r w:rsidRPr="003C3AFF">
          <w:rPr>
            <w:rStyle w:val="Hyperlink"/>
            <w:snapToGrid w:val="0"/>
          </w:rPr>
          <w:t>21 U.S.C. 360(e)</w:t>
        </w:r>
      </w:hyperlink>
      <w:r w:rsidRPr="00EC2762">
        <w:rPr>
          <w:snapToGrid w:val="0"/>
        </w:rPr>
        <w:t>) all devices placed into class III by FDA are subject to premarket approval requirements.  Premarket approval</w:t>
      </w:r>
      <w:r>
        <w:rPr>
          <w:snapToGrid w:val="0"/>
        </w:rPr>
        <w:t xml:space="preserve"> </w:t>
      </w:r>
      <w:r w:rsidRPr="00EC2762">
        <w:rPr>
          <w:snapToGrid w:val="0"/>
        </w:rPr>
        <w:t xml:space="preserve">is the process of scientific and regulatory review to ensure the safety and effectiveness of class III devices.  An approved PMA is, in effect, a private license granted to the applicant for marketing a </w:t>
      </w:r>
      <w:proofErr w:type="gramStart"/>
      <w:r w:rsidRPr="00EC2762">
        <w:rPr>
          <w:snapToGrid w:val="0"/>
        </w:rPr>
        <w:t>particular medical</w:t>
      </w:r>
      <w:proofErr w:type="gramEnd"/>
      <w:r w:rsidRPr="00EC2762">
        <w:rPr>
          <w:snapToGrid w:val="0"/>
        </w:rPr>
        <w:t xml:space="preserve"> device.  A class III device that fails to meet PMA requirements is considered to be adulterated under section 501(f) of the FD&amp;C Act</w:t>
      </w:r>
      <w:r w:rsidR="003C3AFF">
        <w:rPr>
          <w:snapToGrid w:val="0"/>
        </w:rPr>
        <w:t xml:space="preserve"> (</w:t>
      </w:r>
      <w:hyperlink w:history="1" r:id="rId8">
        <w:r w:rsidRPr="003C3AFF" w:rsidR="003C3AFF">
          <w:rPr>
            <w:rStyle w:val="Hyperlink"/>
            <w:snapToGrid w:val="0"/>
          </w:rPr>
          <w:t>21 U.S.C. 351(f)</w:t>
        </w:r>
      </w:hyperlink>
      <w:r w:rsidR="003C3AFF">
        <w:rPr>
          <w:snapToGrid w:val="0"/>
        </w:rPr>
        <w:t>)</w:t>
      </w:r>
      <w:r w:rsidRPr="00EC2762">
        <w:rPr>
          <w:snapToGrid w:val="0"/>
        </w:rPr>
        <w:t xml:space="preserve"> and cannot be marketed.  Premarket approval requirements apply differently to preamendments devices, postamendments devices, and transitional class III devices.</w:t>
      </w:r>
    </w:p>
    <w:p w:rsidRPr="00EC2762" w:rsidR="00EC2762" w:rsidP="007174E2" w:rsidRDefault="00EC2762">
      <w:pPr>
        <w:ind w:left="720"/>
        <w:rPr>
          <w:snapToGrid w:val="0"/>
        </w:rPr>
      </w:pPr>
    </w:p>
    <w:p w:rsidRPr="00EC2762" w:rsidR="00EC2762" w:rsidP="007174E2" w:rsidRDefault="00EC2762">
      <w:pPr>
        <w:ind w:left="720"/>
        <w:rPr>
          <w:snapToGrid w:val="0"/>
        </w:rPr>
      </w:pPr>
      <w:r w:rsidRPr="00EC2762">
        <w:rPr>
          <w:snapToGrid w:val="0"/>
        </w:rPr>
        <w:t xml:space="preserve">Manufacturers of class III preamendments devices </w:t>
      </w:r>
      <w:r w:rsidR="003E5C7F">
        <w:rPr>
          <w:snapToGrid w:val="0"/>
        </w:rPr>
        <w:t>(</w:t>
      </w:r>
      <w:r w:rsidRPr="00EC2762">
        <w:rPr>
          <w:snapToGrid w:val="0"/>
        </w:rPr>
        <w:t>devices that were in commercial distribution before May 28, 1976</w:t>
      </w:r>
      <w:r w:rsidR="003E5C7F">
        <w:rPr>
          <w:snapToGrid w:val="0"/>
        </w:rPr>
        <w:t>)</w:t>
      </w:r>
      <w:r w:rsidRPr="00EC2762">
        <w:rPr>
          <w:snapToGrid w:val="0"/>
        </w:rPr>
        <w:t xml:space="preserve"> are not required to submit a PMA until 30 months after the </w:t>
      </w:r>
      <w:r>
        <w:rPr>
          <w:snapToGrid w:val="0"/>
        </w:rPr>
        <w:t>issuance</w:t>
      </w:r>
      <w:r w:rsidRPr="00EC2762">
        <w:rPr>
          <w:snapToGrid w:val="0"/>
        </w:rPr>
        <w:t xml:space="preserve"> of a final classification regulation or until 90 days after the publication of a final regulation requiring the submission of a PMA, whichever period is later.  FDA may allow more than 90 days after </w:t>
      </w:r>
      <w:r>
        <w:rPr>
          <w:snapToGrid w:val="0"/>
        </w:rPr>
        <w:t>issuance</w:t>
      </w:r>
      <w:r w:rsidRPr="00EC2762">
        <w:rPr>
          <w:snapToGrid w:val="0"/>
        </w:rPr>
        <w:t xml:space="preserve"> of a final rule for submission of a PMA.</w:t>
      </w:r>
    </w:p>
    <w:p w:rsidRPr="00EC2762" w:rsidR="00EC2762" w:rsidP="007174E2" w:rsidRDefault="00EC2762">
      <w:pPr>
        <w:ind w:left="720"/>
        <w:rPr>
          <w:snapToGrid w:val="0"/>
        </w:rPr>
      </w:pPr>
    </w:p>
    <w:p w:rsidRPr="00EC2762" w:rsidR="00EC2762" w:rsidP="007174E2" w:rsidRDefault="00EC2762">
      <w:pPr>
        <w:ind w:left="720"/>
        <w:rPr>
          <w:snapToGrid w:val="0"/>
        </w:rPr>
      </w:pPr>
      <w:r w:rsidRPr="00EC2762">
        <w:rPr>
          <w:snapToGrid w:val="0"/>
        </w:rPr>
        <w:t xml:space="preserve">A postamendments device is one that was first distributed commercially on or after May 28, 1976.  Postamendments devices determined by FDA to be substantially equivalent to preamendments class III devices are subject to the same requirements as the preamendments devices.  FDA determines substantial equivalence after reviewing an applicant’s premarket notification submitted in accordance with section 510(k) of the FD&amp;C Act.  Postamendments devices determined by FDA to be not substantially equivalent to either preamendments devices or postamendments devices classified into class I or II are “new” devices and fall automatically into class III.  Before such devices can be marketed, they must have an approved </w:t>
      </w:r>
      <w:r w:rsidR="003E5C7F">
        <w:rPr>
          <w:snapToGrid w:val="0"/>
        </w:rPr>
        <w:t>PMA</w:t>
      </w:r>
      <w:r w:rsidRPr="00EC2762">
        <w:rPr>
          <w:snapToGrid w:val="0"/>
        </w:rPr>
        <w:t xml:space="preserve"> or be must reclassified into class I or class II.</w:t>
      </w:r>
    </w:p>
    <w:p w:rsidRPr="00EC2762" w:rsidR="00EC2762" w:rsidP="007174E2" w:rsidRDefault="00EC2762">
      <w:pPr>
        <w:ind w:left="720"/>
        <w:rPr>
          <w:snapToGrid w:val="0"/>
        </w:rPr>
      </w:pPr>
    </w:p>
    <w:p w:rsidRPr="00EC2762" w:rsidR="00EC2762" w:rsidP="007174E2" w:rsidRDefault="00EC2762">
      <w:pPr>
        <w:ind w:left="720"/>
        <w:rPr>
          <w:snapToGrid w:val="0"/>
        </w:rPr>
      </w:pPr>
      <w:r w:rsidRPr="00EC2762">
        <w:rPr>
          <w:snapToGrid w:val="0"/>
        </w:rPr>
        <w:t xml:space="preserve">The Food and Drug Modernization Act of 1997 (FDAMA) (Public Law 105-115), </w:t>
      </w:r>
      <w:r w:rsidR="003E5C7F">
        <w:rPr>
          <w:snapToGrid w:val="0"/>
        </w:rPr>
        <w:t>amended</w:t>
      </w:r>
      <w:r w:rsidRPr="00EC2762">
        <w:rPr>
          <w:snapToGrid w:val="0"/>
        </w:rPr>
        <w:t xml:space="preserve"> the </w:t>
      </w:r>
      <w:r>
        <w:rPr>
          <w:snapToGrid w:val="0"/>
        </w:rPr>
        <w:t>FD&amp;C</w:t>
      </w:r>
      <w:r w:rsidRPr="00EC2762">
        <w:rPr>
          <w:snapToGrid w:val="0"/>
        </w:rPr>
        <w:t xml:space="preserve"> Act by streamlining the process of bringing safe and effective drugs, medical devices, and other therapies to the U.S. market.</w:t>
      </w:r>
    </w:p>
    <w:p w:rsidRPr="00EC2762" w:rsidR="00EC2762" w:rsidP="007174E2" w:rsidRDefault="00EC2762">
      <w:pPr>
        <w:ind w:left="720"/>
        <w:rPr>
          <w:snapToGrid w:val="0"/>
        </w:rPr>
      </w:pPr>
    </w:p>
    <w:p w:rsidRPr="00EC2762" w:rsidR="00EC2762" w:rsidP="007174E2" w:rsidRDefault="00EC2762">
      <w:pPr>
        <w:ind w:left="720"/>
        <w:rPr>
          <w:snapToGrid w:val="0"/>
        </w:rPr>
      </w:pPr>
      <w:r w:rsidRPr="00EC2762">
        <w:rPr>
          <w:snapToGrid w:val="0"/>
        </w:rPr>
        <w:lastRenderedPageBreak/>
        <w:t xml:space="preserve">FDAMA added section 515(d)(6) to the </w:t>
      </w:r>
      <w:r w:rsidR="007A7A38">
        <w:rPr>
          <w:snapToGrid w:val="0"/>
        </w:rPr>
        <w:t>FD&amp;C A</w:t>
      </w:r>
      <w:r w:rsidRPr="00EC2762">
        <w:rPr>
          <w:snapToGrid w:val="0"/>
        </w:rPr>
        <w:t>ct (21 U.S.C. 360e(d)(6))</w:t>
      </w:r>
      <w:r w:rsidR="007A7A38">
        <w:rPr>
          <w:snapToGrid w:val="0"/>
        </w:rPr>
        <w:t>,</w:t>
      </w:r>
      <w:r w:rsidRPr="00EC2762">
        <w:rPr>
          <w:snapToGrid w:val="0"/>
        </w:rPr>
        <w:t xml:space="preserve"> which </w:t>
      </w:r>
      <w:proofErr w:type="gramStart"/>
      <w:r w:rsidRPr="00EC2762">
        <w:rPr>
          <w:snapToGrid w:val="0"/>
        </w:rPr>
        <w:t>provided that</w:t>
      </w:r>
      <w:proofErr w:type="gramEnd"/>
      <w:r w:rsidRPr="00EC2762">
        <w:rPr>
          <w:snapToGrid w:val="0"/>
        </w:rPr>
        <w:t xml:space="preserve"> PMA supplements were required for all device changes that affect safety and effectiveness unless such changes are modifications to manufacturing procedures or method of manufacture.  That type of manufacturing change will require a 30-day notice, or where FDA finds such notice inadequate, a 135-day PMA supplement.</w:t>
      </w:r>
    </w:p>
    <w:p w:rsidRPr="00EC2762" w:rsidR="00EC2762" w:rsidP="007174E2" w:rsidRDefault="00EC2762">
      <w:pPr>
        <w:ind w:left="720"/>
        <w:rPr>
          <w:snapToGrid w:val="0"/>
        </w:rPr>
      </w:pPr>
    </w:p>
    <w:p w:rsidR="00EC2762" w:rsidP="007174E2" w:rsidRDefault="00EC2762">
      <w:pPr>
        <w:ind w:left="720"/>
        <w:rPr>
          <w:snapToGrid w:val="0"/>
        </w:rPr>
      </w:pPr>
      <w:r w:rsidRPr="00EC2762">
        <w:rPr>
          <w:snapToGrid w:val="0"/>
        </w:rPr>
        <w:t xml:space="preserve">The implementing regulations, contained in 21 CFR </w:t>
      </w:r>
      <w:r w:rsidR="007A7A38">
        <w:rPr>
          <w:snapToGrid w:val="0"/>
        </w:rPr>
        <w:t>p</w:t>
      </w:r>
      <w:r w:rsidRPr="00EC2762">
        <w:rPr>
          <w:snapToGrid w:val="0"/>
        </w:rPr>
        <w:t xml:space="preserve">art 814, further specify the contents of a PMA for a medical device and the criteria FDA will employ in approving, denying, or withdrawing approval </w:t>
      </w:r>
      <w:r w:rsidR="007A7A38">
        <w:rPr>
          <w:snapToGrid w:val="0"/>
        </w:rPr>
        <w:t>of a PMA and supplements to PMA</w:t>
      </w:r>
      <w:r w:rsidRPr="00EC2762">
        <w:rPr>
          <w:snapToGrid w:val="0"/>
        </w:rPr>
        <w:t>s.  The regulation’s purpose is to establish an efficient and thorough pr</w:t>
      </w:r>
      <w:r w:rsidR="007A7A38">
        <w:rPr>
          <w:snapToGrid w:val="0"/>
        </w:rPr>
        <w:t>ocedure for FDA’s review of PMAs and supplements to PMA</w:t>
      </w:r>
      <w:r w:rsidRPr="00EC2762">
        <w:rPr>
          <w:snapToGrid w:val="0"/>
        </w:rPr>
        <w:t>s for class III medical devices. The regulations</w:t>
      </w:r>
      <w:r w:rsidR="007A7A38">
        <w:rPr>
          <w:snapToGrid w:val="0"/>
        </w:rPr>
        <w:t xml:space="preserve"> facilitate the approval of PMA</w:t>
      </w:r>
      <w:r w:rsidRPr="00EC2762">
        <w:rPr>
          <w:snapToGrid w:val="0"/>
        </w:rPr>
        <w:t xml:space="preserve">s and supplements to PMAs for devices that have been shown to be reasonably safe and effective and otherwise meet the statutory criteria for approval. The regulations also </w:t>
      </w:r>
      <w:r w:rsidR="00C331D2">
        <w:rPr>
          <w:snapToGrid w:val="0"/>
        </w:rPr>
        <w:t>allow for</w:t>
      </w:r>
      <w:r w:rsidRPr="00EC2762" w:rsidR="00C331D2">
        <w:rPr>
          <w:snapToGrid w:val="0"/>
        </w:rPr>
        <w:t xml:space="preserve"> </w:t>
      </w:r>
      <w:r w:rsidRPr="00EC2762">
        <w:rPr>
          <w:snapToGrid w:val="0"/>
        </w:rPr>
        <w:t>the denial of PMAs and supplements to PMAs for devices that have not been show</w:t>
      </w:r>
      <w:r w:rsidR="007A7A38">
        <w:rPr>
          <w:snapToGrid w:val="0"/>
        </w:rPr>
        <w:t>n</w:t>
      </w:r>
      <w:r w:rsidRPr="00EC2762">
        <w:rPr>
          <w:snapToGrid w:val="0"/>
        </w:rPr>
        <w:t xml:space="preserve"> to be reasonably safe and effective and that do not otherwise meet the statutory criteria for approval.</w:t>
      </w:r>
    </w:p>
    <w:p w:rsidR="00EE0A2B" w:rsidP="007174E2" w:rsidRDefault="00EE0A2B">
      <w:pPr>
        <w:ind w:left="720"/>
        <w:rPr>
          <w:snapToGrid w:val="0"/>
        </w:rPr>
      </w:pPr>
    </w:p>
    <w:p w:rsidRPr="00EC2762" w:rsidR="00EE0A2B" w:rsidP="007174E2" w:rsidRDefault="00EE0A2B">
      <w:pPr>
        <w:ind w:left="720"/>
        <w:rPr>
          <w:snapToGrid w:val="0"/>
        </w:rPr>
      </w:pPr>
      <w:r>
        <w:rPr>
          <w:snapToGrid w:val="0"/>
        </w:rPr>
        <w:t>Section 12a of this Supporting Statement contains a detailed description of the information collections and estimated burden.</w:t>
      </w:r>
    </w:p>
    <w:p w:rsidR="00570B6F" w:rsidP="007174E2" w:rsidRDefault="00570B6F">
      <w:pPr>
        <w:ind w:left="720"/>
      </w:pPr>
    </w:p>
    <w:p w:rsidR="001873F7" w:rsidP="001873F7" w:rsidRDefault="001873F7">
      <w:pPr>
        <w:ind w:left="720"/>
      </w:pPr>
      <w:r w:rsidRPr="00EC2762">
        <w:rPr>
          <w:snapToGrid w:val="0"/>
        </w:rPr>
        <w:t xml:space="preserve">This information collection is not </w:t>
      </w:r>
      <w:r w:rsidRPr="00EC2762">
        <w:t>related to the American Recovery and Reinvestment Act of 2009 (</w:t>
      </w:r>
      <w:r w:rsidRPr="00EC2762">
        <w:rPr>
          <w:rStyle w:val="HTMLAcronym"/>
        </w:rPr>
        <w:t>ARRA</w:t>
      </w:r>
      <w:r w:rsidRPr="00EC2762">
        <w:t>).</w:t>
      </w:r>
    </w:p>
    <w:p w:rsidRPr="002746DB" w:rsidR="008B30AB" w:rsidP="007174E2" w:rsidRDefault="00EB7538">
      <w:pPr>
        <w:numPr>
          <w:ilvl w:val="0"/>
          <w:numId w:val="1"/>
        </w:numPr>
        <w:spacing w:before="100" w:beforeAutospacing="1" w:after="100" w:afterAutospacing="1"/>
        <w:rPr>
          <w:u w:val="single"/>
        </w:rPr>
      </w:pPr>
      <w:r w:rsidRPr="002746DB">
        <w:rPr>
          <w:u w:val="single"/>
        </w:rPr>
        <w:t xml:space="preserve">Purpose and Use of the Information Collection </w:t>
      </w:r>
    </w:p>
    <w:p w:rsidR="001E04BC" w:rsidP="007174E2" w:rsidRDefault="001E04BC">
      <w:pPr>
        <w:pStyle w:val="BodyTextIndent"/>
        <w:ind w:left="720"/>
      </w:pPr>
      <w:r>
        <w:t>Respondents to the information collection are private sector, for-profit businesses.</w:t>
      </w:r>
    </w:p>
    <w:p w:rsidR="00181E7C" w:rsidP="007174E2" w:rsidRDefault="00181E7C">
      <w:pPr>
        <w:pStyle w:val="BodyTextIndent"/>
        <w:ind w:left="720"/>
      </w:pPr>
      <w:r>
        <w:t xml:space="preserve">The data reported to FDA and the records that are maintained by the </w:t>
      </w:r>
      <w:r w:rsidR="00472AD1">
        <w:t>applicant</w:t>
      </w:r>
      <w:r>
        <w:t>s allow FDA and industry to make decisions and take actions to protect the public health from defective medical devices.</w:t>
      </w:r>
    </w:p>
    <w:p w:rsidR="00424061" w:rsidP="007174E2" w:rsidRDefault="00181E7C">
      <w:pPr>
        <w:ind w:left="720"/>
      </w:pPr>
      <w:r>
        <w:t>The PMA regulation establishes procedures</w:t>
      </w:r>
      <w:r w:rsidR="001E04BC">
        <w:t xml:space="preserve"> that FDA utilizes in approving, denying, or withdrawing approval of any PMA.  It provides specific, clear, and flexible instructions to </w:t>
      </w:r>
      <w:proofErr w:type="gramStart"/>
      <w:r w:rsidR="001E04BC">
        <w:t>applicants</w:t>
      </w:r>
      <w:proofErr w:type="gramEnd"/>
      <w:r w:rsidR="001E04BC">
        <w:t xml:space="preserve"> so </w:t>
      </w:r>
      <w:r w:rsidR="002B1C64">
        <w:t>they</w:t>
      </w:r>
      <w:r w:rsidR="001E04BC">
        <w:t xml:space="preserve"> know what information is required in a PMA.  PMA supplements are also used by FDA to determine any additional action the agency must take to protect the public health.  </w:t>
      </w:r>
    </w:p>
    <w:p w:rsidRPr="004C6979" w:rsidR="002746DB" w:rsidP="007174E2" w:rsidRDefault="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3C3AFF" w:rsidP="007174E2" w:rsidRDefault="000D1DF2">
      <w:pPr>
        <w:ind w:left="720"/>
      </w:pPr>
      <w:r>
        <w:rPr>
          <w:bCs/>
        </w:rPr>
        <w:t xml:space="preserve">The </w:t>
      </w:r>
      <w:r w:rsidRPr="00614DF9" w:rsidR="00866DDE">
        <w:rPr>
          <w:bCs/>
        </w:rPr>
        <w:t>final rule, “</w:t>
      </w:r>
      <w:r w:rsidRPr="00614DF9" w:rsidR="00866DDE">
        <w:t>Amending Premarket Regulations That Require Multiple Copies and Specify Paper Copies to be Allowed in Electronic Format</w:t>
      </w:r>
      <w:r w:rsidRPr="00614DF9" w:rsidR="00866DDE">
        <w:rPr>
          <w:bCs/>
        </w:rPr>
        <w:t>”</w:t>
      </w:r>
      <w:r>
        <w:rPr>
          <w:bCs/>
        </w:rPr>
        <w:t xml:space="preserve"> (</w:t>
      </w:r>
      <w:r w:rsidRPr="000D1DF2">
        <w:rPr>
          <w:bCs/>
        </w:rPr>
        <w:t>84 FR 68334</w:t>
      </w:r>
      <w:r>
        <w:rPr>
          <w:bCs/>
        </w:rPr>
        <w:t>, December 16, 2019)</w:t>
      </w:r>
      <w:r w:rsidRPr="00614DF9" w:rsidR="00866DDE">
        <w:rPr>
          <w:bCs/>
        </w:rPr>
        <w:t xml:space="preserve"> </w:t>
      </w:r>
      <w:r w:rsidRPr="000D1DF2">
        <w:t>amend</w:t>
      </w:r>
      <w:r>
        <w:t>ed</w:t>
      </w:r>
      <w:r w:rsidRPr="000D1DF2">
        <w:t xml:space="preserve"> requirements for medical device premarket submissions to remove paper and multiple copies and replace them with requirements for a single submission in electronic format. </w:t>
      </w:r>
      <w:r>
        <w:t xml:space="preserve">Therefore, </w:t>
      </w:r>
      <w:r w:rsidR="003C3AFF">
        <w:t>FDA estimates that 100% of the respondents will use electronic means to fulfill the agency’s requirement or request.</w:t>
      </w:r>
    </w:p>
    <w:p w:rsidRPr="002746DB" w:rsidR="002746DB" w:rsidP="000D1DF2" w:rsidRDefault="00EB7538">
      <w:pPr>
        <w:keepNext/>
        <w:numPr>
          <w:ilvl w:val="0"/>
          <w:numId w:val="1"/>
        </w:numPr>
        <w:spacing w:before="100" w:beforeAutospacing="1" w:after="100" w:afterAutospacing="1"/>
        <w:rPr>
          <w:u w:val="single"/>
        </w:rPr>
      </w:pPr>
      <w:r w:rsidRPr="002746DB">
        <w:rPr>
          <w:u w:val="single"/>
        </w:rPr>
        <w:lastRenderedPageBreak/>
        <w:t xml:space="preserve">Efforts to Identify Duplication and Use of Similar Information </w:t>
      </w:r>
    </w:p>
    <w:p w:rsidR="002746DB" w:rsidP="007174E2" w:rsidRDefault="00181E7C">
      <w:pPr>
        <w:pStyle w:val="BodyTextIndent2"/>
        <w:spacing w:line="240" w:lineRule="auto"/>
        <w:ind w:left="720"/>
      </w:pPr>
      <w:r>
        <w:t xml:space="preserve">FDA is the only Agency authorized to regulate the manufacture and distribution of medical devices.  The information collected cannot be obtained from any other source other than the </w:t>
      </w:r>
      <w:r w:rsidR="00472AD1">
        <w:t>applicant</w:t>
      </w:r>
      <w:r>
        <w:t>, therefore this effort is not duplicated anywhere else. No similar data are available to or collected by FDA because each PMA is product and manufacturer specific.  Most information in a PMA is unique and is presented to support claims of safety and effectiveness for that particular purpose.</w:t>
      </w:r>
    </w:p>
    <w:p w:rsidRPr="004C6979" w:rsidR="002746DB" w:rsidP="007174E2" w:rsidRDefault="00EB7538">
      <w:pPr>
        <w:keepNext/>
        <w:numPr>
          <w:ilvl w:val="0"/>
          <w:numId w:val="1"/>
        </w:numPr>
        <w:spacing w:before="100" w:beforeAutospacing="1" w:after="100" w:afterAutospacing="1"/>
        <w:rPr>
          <w:u w:val="single"/>
        </w:rPr>
      </w:pPr>
      <w:r w:rsidRPr="004C6979">
        <w:rPr>
          <w:u w:val="single"/>
        </w:rPr>
        <w:t>Impact on Small Businesses or Other Small Entities</w:t>
      </w:r>
    </w:p>
    <w:p w:rsidRPr="005E046E" w:rsidR="005E046E" w:rsidP="005E046E" w:rsidRDefault="005E046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r w:rsidRPr="005E046E">
        <w:rPr>
          <w:rFonts w:ascii="Times New Roman" w:hAnsi="Times New Roman" w:cs="Times New Roman"/>
          <w:sz w:val="24"/>
          <w:szCs w:val="24"/>
        </w:rPr>
        <w:t xml:space="preserve">Respondents to this information collection are persons filing a PMA application or a PMA supplement with FDA for approval of certain class III medical devices. </w:t>
      </w:r>
    </w:p>
    <w:p w:rsidRPr="005E046E" w:rsidR="00181E7C" w:rsidP="007174E2" w:rsidRDefault="005E046E">
      <w:pPr>
        <w:pStyle w:val="BodyTextIndent"/>
        <w:spacing w:after="0"/>
        <w:ind w:left="720"/>
      </w:pPr>
      <w:r w:rsidRPr="00A50F46">
        <w:t>Based on User Fee payments, approximately 24 percent of PMA original application user fees were from small businesses.  Approximately 7 percent of PMA supplement application user fees were from small businesses.</w:t>
      </w:r>
    </w:p>
    <w:p w:rsidRPr="00181E7C" w:rsidR="00181E7C" w:rsidP="007174E2" w:rsidRDefault="00181E7C">
      <w:pPr>
        <w:pStyle w:val="BodyTextIndent"/>
        <w:spacing w:after="0"/>
        <w:ind w:left="720"/>
      </w:pPr>
    </w:p>
    <w:p w:rsidRPr="00181E7C" w:rsidR="00181E7C" w:rsidP="007174E2" w:rsidRDefault="00181E7C">
      <w:pPr>
        <w:pStyle w:val="BodyTextIndent3"/>
        <w:spacing w:after="0"/>
        <w:ind w:left="720"/>
        <w:rPr>
          <w:sz w:val="24"/>
          <w:szCs w:val="24"/>
        </w:rPr>
      </w:pPr>
      <w:r w:rsidRPr="00181E7C">
        <w:rPr>
          <w:sz w:val="24"/>
          <w:szCs w:val="24"/>
        </w:rPr>
        <w:t>The efforts described below help to assure that the burden on all manufacturers, including small manufacturers, are minimized.</w:t>
      </w:r>
    </w:p>
    <w:p w:rsidRPr="00181E7C" w:rsidR="00181E7C" w:rsidP="007174E2" w:rsidRDefault="00181E7C">
      <w:pPr>
        <w:pStyle w:val="BodyTextIndent3"/>
        <w:spacing w:after="0"/>
        <w:ind w:left="720"/>
        <w:rPr>
          <w:sz w:val="24"/>
          <w:szCs w:val="24"/>
        </w:rPr>
      </w:pPr>
    </w:p>
    <w:p w:rsidRPr="00181E7C" w:rsidR="00181E7C" w:rsidP="007174E2" w:rsidRDefault="005E046E">
      <w:pPr>
        <w:pStyle w:val="BodyTextIndent3"/>
        <w:spacing w:after="0"/>
        <w:ind w:left="720"/>
        <w:rPr>
          <w:sz w:val="24"/>
          <w:szCs w:val="24"/>
        </w:rPr>
      </w:pPr>
      <w:bookmarkStart w:name="_Hlk17969589" w:id="1"/>
      <w:r w:rsidRPr="00181E7C">
        <w:rPr>
          <w:sz w:val="24"/>
          <w:szCs w:val="24"/>
        </w:rPr>
        <w:t xml:space="preserve">The </w:t>
      </w:r>
      <w:r>
        <w:rPr>
          <w:sz w:val="24"/>
          <w:szCs w:val="24"/>
        </w:rPr>
        <w:t>Office of Regulatory Programs (ORP) within the Office or Product Evaluation and Quality</w:t>
      </w:r>
      <w:bookmarkEnd w:id="1"/>
      <w:r w:rsidRPr="00181E7C">
        <w:rPr>
          <w:sz w:val="24"/>
          <w:szCs w:val="24"/>
        </w:rPr>
        <w:t xml:space="preserve">, FDA, routinely participates in conferences and device submission workshops designed to educate the medical device industry on how to prepare a PMA submission such that it can be filed and reviewed in an expeditious manner.  </w:t>
      </w:r>
      <w:r w:rsidRPr="00C77924">
        <w:rPr>
          <w:strike/>
          <w:sz w:val="24"/>
          <w:szCs w:val="24"/>
        </w:rPr>
        <w:t>POS</w:t>
      </w:r>
      <w:r w:rsidRPr="00181E7C">
        <w:rPr>
          <w:sz w:val="24"/>
          <w:szCs w:val="24"/>
        </w:rPr>
        <w:t xml:space="preserve"> </w:t>
      </w:r>
      <w:r>
        <w:rPr>
          <w:sz w:val="24"/>
          <w:szCs w:val="24"/>
        </w:rPr>
        <w:t xml:space="preserve">ORP </w:t>
      </w:r>
      <w:r w:rsidRPr="00181E7C">
        <w:rPr>
          <w:sz w:val="24"/>
          <w:szCs w:val="24"/>
        </w:rPr>
        <w:t xml:space="preserve">also annually meets with organizations such as Advanced Medical Technology Association (AdvaMed), Medical Device Manufacturers Association (MDMA), or Regulatory Affairs Professional Society (RAPS) to discuss issues regarding the PMA review process.  FDA answers any questions that these organizations may have and provides them with information to improve their submissions.  In addition, </w:t>
      </w:r>
      <w:r>
        <w:rPr>
          <w:sz w:val="24"/>
          <w:szCs w:val="24"/>
        </w:rPr>
        <w:t xml:space="preserve">OPEQ </w:t>
      </w:r>
      <w:r w:rsidRPr="00181E7C">
        <w:rPr>
          <w:sz w:val="24"/>
          <w:szCs w:val="24"/>
        </w:rPr>
        <w:t>also issues many device specific guidance documents and general guidance documents to assist the industry in improving the quality of their submissions.</w:t>
      </w:r>
    </w:p>
    <w:p w:rsidRPr="00181E7C" w:rsidR="00181E7C" w:rsidP="007174E2" w:rsidRDefault="00181E7C">
      <w:pPr>
        <w:pStyle w:val="BodyTextIndent3"/>
        <w:spacing w:after="0"/>
        <w:ind w:left="720"/>
        <w:rPr>
          <w:sz w:val="24"/>
          <w:szCs w:val="24"/>
        </w:rPr>
      </w:pPr>
    </w:p>
    <w:p w:rsidRPr="00181E7C" w:rsidR="00181E7C" w:rsidP="007174E2" w:rsidRDefault="00181E7C">
      <w:pPr>
        <w:pStyle w:val="BodyTextIndent3"/>
        <w:spacing w:after="0"/>
        <w:ind w:left="720"/>
        <w:rPr>
          <w:sz w:val="24"/>
          <w:szCs w:val="24"/>
        </w:rPr>
      </w:pPr>
      <w:r w:rsidRPr="00181E7C">
        <w:rPr>
          <w:sz w:val="24"/>
          <w:szCs w:val="24"/>
        </w:rPr>
        <w:t>FDA also maintains a fax on demand system (FACTS) which provides firms with information pertaining to medical devices and radiological health.  FDA</w:t>
      </w:r>
      <w:r w:rsidR="009E311E">
        <w:rPr>
          <w:sz w:val="24"/>
          <w:szCs w:val="24"/>
        </w:rPr>
        <w:t>’</w:t>
      </w:r>
      <w:r w:rsidRPr="00181E7C">
        <w:rPr>
          <w:sz w:val="24"/>
          <w:szCs w:val="24"/>
        </w:rPr>
        <w:t>s</w:t>
      </w:r>
      <w:r w:rsidR="009E311E">
        <w:rPr>
          <w:sz w:val="24"/>
          <w:szCs w:val="24"/>
        </w:rPr>
        <w:t xml:space="preserve"> Center for Devices and Radiological Health</w:t>
      </w:r>
      <w:r w:rsidR="00D349BB">
        <w:rPr>
          <w:sz w:val="24"/>
          <w:szCs w:val="24"/>
        </w:rPr>
        <w:t xml:space="preserve"> (CDRH)</w:t>
      </w:r>
      <w:r w:rsidR="009E311E">
        <w:rPr>
          <w:sz w:val="24"/>
          <w:szCs w:val="24"/>
        </w:rPr>
        <w:t>,</w:t>
      </w:r>
      <w:r w:rsidRPr="00181E7C">
        <w:rPr>
          <w:sz w:val="24"/>
          <w:szCs w:val="24"/>
        </w:rPr>
        <w:t xml:space="preserve"> Division of International and Consumer </w:t>
      </w:r>
      <w:r w:rsidR="009E311E">
        <w:rPr>
          <w:sz w:val="24"/>
          <w:szCs w:val="24"/>
        </w:rPr>
        <w:t xml:space="preserve">Education </w:t>
      </w:r>
      <w:r w:rsidRPr="00181E7C">
        <w:rPr>
          <w:sz w:val="24"/>
          <w:szCs w:val="24"/>
        </w:rPr>
        <w:t>(DIC</w:t>
      </w:r>
      <w:r w:rsidR="009E311E">
        <w:rPr>
          <w:sz w:val="24"/>
          <w:szCs w:val="24"/>
        </w:rPr>
        <w:t>E</w:t>
      </w:r>
      <w:r w:rsidRPr="00181E7C">
        <w:rPr>
          <w:sz w:val="24"/>
          <w:szCs w:val="24"/>
        </w:rPr>
        <w:t>) provide</w:t>
      </w:r>
      <w:r w:rsidR="009E311E">
        <w:rPr>
          <w:sz w:val="24"/>
          <w:szCs w:val="24"/>
        </w:rPr>
        <w:t>s</w:t>
      </w:r>
      <w:r w:rsidRPr="00181E7C">
        <w:rPr>
          <w:sz w:val="24"/>
          <w:szCs w:val="24"/>
        </w:rPr>
        <w:t xml:space="preserve"> technical and non-technical assistance to small firms (and firms of any size) expressly to aid them in complying with requirements of the </w:t>
      </w:r>
      <w:r>
        <w:rPr>
          <w:sz w:val="24"/>
          <w:szCs w:val="24"/>
        </w:rPr>
        <w:t xml:space="preserve">FD&amp;C </w:t>
      </w:r>
      <w:r w:rsidRPr="00181E7C">
        <w:rPr>
          <w:sz w:val="24"/>
          <w:szCs w:val="24"/>
        </w:rPr>
        <w:t xml:space="preserve">Act.  </w:t>
      </w:r>
    </w:p>
    <w:p w:rsidRPr="00181E7C" w:rsidR="00181E7C" w:rsidP="007174E2" w:rsidRDefault="00181E7C">
      <w:pPr>
        <w:pStyle w:val="BodyTextIndent3"/>
        <w:spacing w:after="0"/>
        <w:ind w:left="720"/>
        <w:rPr>
          <w:sz w:val="24"/>
          <w:szCs w:val="24"/>
        </w:rPr>
      </w:pPr>
    </w:p>
    <w:p w:rsidRPr="00181E7C" w:rsidR="00181E7C" w:rsidP="007174E2" w:rsidRDefault="00181E7C">
      <w:pPr>
        <w:pStyle w:val="BodyTextIndent3"/>
        <w:spacing w:after="0"/>
        <w:ind w:left="720"/>
        <w:rPr>
          <w:sz w:val="24"/>
          <w:szCs w:val="24"/>
        </w:rPr>
      </w:pPr>
      <w:r w:rsidRPr="00181E7C">
        <w:rPr>
          <w:sz w:val="24"/>
          <w:szCs w:val="24"/>
        </w:rPr>
        <w:t>FDA also aids small business in dealing with the requirements of the regulations by providing guidance and information through the DIC</w:t>
      </w:r>
      <w:r w:rsidR="00D349BB">
        <w:rPr>
          <w:sz w:val="24"/>
          <w:szCs w:val="24"/>
        </w:rPr>
        <w:t>E</w:t>
      </w:r>
      <w:r w:rsidRPr="00181E7C">
        <w:rPr>
          <w:sz w:val="24"/>
          <w:szCs w:val="24"/>
        </w:rPr>
        <w:t xml:space="preserve">, and through the scientific and administrative staff, and through the CDRH website at </w:t>
      </w:r>
      <w:hyperlink w:history="1" r:id="rId9">
        <w:r w:rsidRPr="002605B3">
          <w:rPr>
            <w:rStyle w:val="Hyperlink"/>
            <w:sz w:val="24"/>
            <w:szCs w:val="24"/>
          </w:rPr>
          <w:t>http://www.fda.gov/Medical</w:t>
        </w:r>
        <w:r w:rsidRPr="002605B3">
          <w:rPr>
            <w:rStyle w:val="Hyperlink"/>
            <w:sz w:val="24"/>
            <w:szCs w:val="24"/>
          </w:rPr>
          <w:t>D</w:t>
        </w:r>
        <w:r w:rsidRPr="002605B3">
          <w:rPr>
            <w:rStyle w:val="Hyperlink"/>
            <w:sz w:val="24"/>
            <w:szCs w:val="24"/>
          </w:rPr>
          <w:t>evices/default.htm</w:t>
        </w:r>
      </w:hyperlink>
      <w:r w:rsidRPr="00181E7C">
        <w:rPr>
          <w:sz w:val="24"/>
          <w:szCs w:val="24"/>
        </w:rPr>
        <w:t xml:space="preserve">.  </w:t>
      </w:r>
    </w:p>
    <w:p w:rsidRPr="00181E7C" w:rsidR="00181E7C" w:rsidP="007174E2" w:rsidRDefault="00181E7C">
      <w:pPr>
        <w:pStyle w:val="BodyTextIndent3"/>
        <w:spacing w:after="0"/>
        <w:ind w:left="720"/>
        <w:rPr>
          <w:sz w:val="24"/>
          <w:szCs w:val="24"/>
        </w:rPr>
      </w:pPr>
    </w:p>
    <w:p w:rsidRPr="00181E7C" w:rsidR="00CD77C3" w:rsidP="007174E2" w:rsidRDefault="00181E7C">
      <w:pPr>
        <w:pStyle w:val="BodyText2"/>
        <w:ind w:left="720"/>
        <w:rPr>
          <w:szCs w:val="24"/>
        </w:rPr>
      </w:pPr>
      <w:r w:rsidRPr="00181E7C">
        <w:rPr>
          <w:szCs w:val="24"/>
        </w:rPr>
        <w:t>DIC</w:t>
      </w:r>
      <w:r w:rsidR="00D349BB">
        <w:rPr>
          <w:szCs w:val="24"/>
        </w:rPr>
        <w:t>E</w:t>
      </w:r>
      <w:r w:rsidRPr="00181E7C">
        <w:rPr>
          <w:szCs w:val="24"/>
        </w:rPr>
        <w:t xml:space="preserve"> participates in and presents conferences, workshops, and seminars on the application and interpretation of relevant regulations, consults with individual </w:t>
      </w:r>
      <w:r w:rsidR="00A06AC4">
        <w:rPr>
          <w:szCs w:val="24"/>
        </w:rPr>
        <w:t>applicant</w:t>
      </w:r>
      <w:r w:rsidRPr="00181E7C">
        <w:rPr>
          <w:szCs w:val="24"/>
        </w:rPr>
        <w:t xml:space="preserve">s, </w:t>
      </w:r>
      <w:r w:rsidRPr="00181E7C">
        <w:rPr>
          <w:szCs w:val="24"/>
        </w:rPr>
        <w:lastRenderedPageBreak/>
        <w:t>and develops and disseminates educational materials.  Staff is available to respond to questions and a toll</w:t>
      </w:r>
      <w:r w:rsidR="002B1C64">
        <w:rPr>
          <w:szCs w:val="24"/>
        </w:rPr>
        <w:t>-</w:t>
      </w:r>
      <w:r w:rsidRPr="00181E7C">
        <w:rPr>
          <w:szCs w:val="24"/>
        </w:rPr>
        <w:t xml:space="preserve">free telephone number was established to facilitate this communication.  </w:t>
      </w:r>
    </w:p>
    <w:p w:rsidRPr="004C6979" w:rsidR="00CD77C3" w:rsidP="007174E2" w:rsidRDefault="00EB7538">
      <w:pPr>
        <w:numPr>
          <w:ilvl w:val="0"/>
          <w:numId w:val="1"/>
        </w:numPr>
        <w:spacing w:before="100" w:beforeAutospacing="1" w:after="100" w:afterAutospacing="1"/>
        <w:rPr>
          <w:u w:val="single"/>
        </w:rPr>
      </w:pPr>
      <w:r w:rsidRPr="004C6979">
        <w:rPr>
          <w:u w:val="single"/>
        </w:rPr>
        <w:t>Consequences of Collecting the Information Less Frequently</w:t>
      </w:r>
    </w:p>
    <w:p w:rsidR="00A3018B" w:rsidP="007174E2" w:rsidRDefault="00A3018B">
      <w:pPr>
        <w:pStyle w:val="BodyTextIndent2"/>
        <w:suppressAutoHyphens/>
        <w:spacing w:after="0" w:line="240" w:lineRule="auto"/>
        <w:ind w:left="720"/>
      </w:pPr>
      <w:r w:rsidRPr="00F65B35">
        <w:t>Respondents will respond to the data collection annually and occasionally.</w:t>
      </w:r>
      <w:r>
        <w:t xml:space="preserve"> </w:t>
      </w:r>
      <w:r w:rsidR="00472AD1">
        <w:t>Applicant</w:t>
      </w:r>
      <w:r>
        <w:t xml:space="preserve">s determine when a product will be submitted for premarket approval.  Notices and supplements are required only when an affected person or entity determines that a change that affects safety or effectiveness in their device is necessary.  </w:t>
      </w:r>
      <w:r w:rsidR="00472AD1">
        <w:t xml:space="preserve">PMA applicants </w:t>
      </w:r>
      <w:r>
        <w:t xml:space="preserve">with approved PMAs are required to submit an annual report concerning their PMA.  FDA determines subsequent reporting requirements and their frequency based on the necessity for </w:t>
      </w:r>
      <w:r w:rsidR="00472AD1">
        <w:t>applicant</w:t>
      </w:r>
      <w:r>
        <w:t xml:space="preserve">s to provide reasonable assurance of their device’s continued safety and effectiveness.    </w:t>
      </w:r>
    </w:p>
    <w:p w:rsidR="00A3018B" w:rsidP="007174E2" w:rsidRDefault="00A3018B">
      <w:pPr>
        <w:pStyle w:val="BodyTextIndent2"/>
        <w:suppressAutoHyphens/>
        <w:spacing w:after="0" w:line="240" w:lineRule="auto"/>
        <w:ind w:left="720"/>
      </w:pPr>
    </w:p>
    <w:p w:rsidR="00CD77C3" w:rsidP="007174E2" w:rsidRDefault="00A3018B">
      <w:pPr>
        <w:pStyle w:val="BodyTextIndent2"/>
        <w:suppressAutoHyphens/>
        <w:spacing w:after="0" w:line="240" w:lineRule="auto"/>
        <w:ind w:left="720"/>
      </w:pPr>
      <w:r>
        <w:t>There are legal obstacles to reduce the burden as this collection is required by the FD&amp;C Act and implementing regulations (21 CFR</w:t>
      </w:r>
      <w:r w:rsidR="007174E2">
        <w:t xml:space="preserve"> part</w:t>
      </w:r>
      <w:r>
        <w:t xml:space="preserve"> 814). If this information were collected less frequently or, not collected, FDA could not ensure that the devices are reasonably safe and effective for their intended use.</w:t>
      </w:r>
    </w:p>
    <w:p w:rsidRPr="004C6979" w:rsidR="00CD77C3" w:rsidP="007174E2" w:rsidRDefault="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P="007174E2" w:rsidRDefault="00F83804">
      <w:pPr>
        <w:pStyle w:val="BodyTextIndent"/>
        <w:tabs>
          <w:tab w:val="left" w:pos="-1440"/>
          <w:tab w:val="left" w:pos="-720"/>
        </w:tabs>
        <w:ind w:left="720"/>
      </w:pPr>
      <w:r>
        <w:t>There are no special circumstances relating to the guidelines of 5 CFR 1320.5.</w:t>
      </w:r>
      <w:r w:rsidR="00A3018B">
        <w:t xml:space="preserve"> </w:t>
      </w:r>
    </w:p>
    <w:p w:rsidR="00CD77C3" w:rsidP="00D349BB" w:rsidRDefault="00EB7538">
      <w:pPr>
        <w:keepNext/>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P="007174E2" w:rsidRDefault="00705086">
      <w:pPr>
        <w:ind w:left="720"/>
      </w:pPr>
      <w:r w:rsidRPr="00DD09F5">
        <w:t xml:space="preserve">In accordance with 5 CFR 1320.8(d), FDA published a </w:t>
      </w:r>
      <w:proofErr w:type="gramStart"/>
      <w:r w:rsidRPr="00DD09F5">
        <w:t>60 day</w:t>
      </w:r>
      <w:proofErr w:type="gramEnd"/>
      <w:r w:rsidRPr="00DD09F5">
        <w:t xml:space="preserve"> notice for public comment in the FEDERAL REGISTER of </w:t>
      </w:r>
      <w:r w:rsidR="00BC33B3">
        <w:t>October 24, 2019</w:t>
      </w:r>
      <w:r w:rsidRPr="00DD09F5">
        <w:t xml:space="preserve"> (</w:t>
      </w:r>
      <w:r w:rsidR="00D349BB">
        <w:t>8</w:t>
      </w:r>
      <w:r w:rsidR="00BC33B3">
        <w:t>4</w:t>
      </w:r>
      <w:r w:rsidRPr="00DD09F5">
        <w:t xml:space="preserve"> FR </w:t>
      </w:r>
      <w:r w:rsidR="00BC33B3">
        <w:t>57030</w:t>
      </w:r>
      <w:r w:rsidRPr="00DD09F5">
        <w:t xml:space="preserve">).  </w:t>
      </w:r>
      <w:r w:rsidR="00A3018B">
        <w:t>No comments were received.</w:t>
      </w:r>
      <w:r w:rsidRPr="00EA34E3">
        <w:t xml:space="preserve"> </w:t>
      </w:r>
    </w:p>
    <w:p w:rsidR="00705086" w:rsidP="007174E2" w:rsidRDefault="00705086">
      <w:pPr>
        <w:ind w:left="720"/>
      </w:pPr>
    </w:p>
    <w:p w:rsidR="005E046E" w:rsidP="005E046E" w:rsidRDefault="005E046E">
      <w:pPr>
        <w:ind w:left="720"/>
      </w:pPr>
      <w:r w:rsidRPr="00A42CC4">
        <w:t>The Office of Regulatory Programs (ORP) within the Office or Product Evaluation and Quality</w:t>
      </w:r>
      <w:r w:rsidRPr="00181E7C">
        <w:t>, FDA, annually meets with organizations such as Advanced Medical Technology Association (AdvaMed), Medical Device Manufacturers Association (MDMA), or Regulatory Affairs Professional Society (RAPS) to discuss issues regarding the PMA review process.</w:t>
      </w:r>
    </w:p>
    <w:p w:rsidRPr="004C6979" w:rsidR="00CD77C3" w:rsidP="007174E2" w:rsidRDefault="00EB7538">
      <w:pPr>
        <w:numPr>
          <w:ilvl w:val="0"/>
          <w:numId w:val="1"/>
        </w:numPr>
        <w:spacing w:before="100" w:beforeAutospacing="1" w:after="100" w:afterAutospacing="1"/>
        <w:rPr>
          <w:u w:val="single"/>
        </w:rPr>
      </w:pPr>
      <w:r w:rsidRPr="004C6979">
        <w:rPr>
          <w:u w:val="single"/>
        </w:rPr>
        <w:t>Explanation of Any Payment or Gift to Respondents</w:t>
      </w:r>
    </w:p>
    <w:p w:rsidR="00CD77C3" w:rsidP="007174E2" w:rsidRDefault="00F8216C">
      <w:pPr>
        <w:ind w:left="720"/>
      </w:pPr>
      <w:r>
        <w:t>There is no payment or gift provided to respondents of this information collection.</w:t>
      </w:r>
    </w:p>
    <w:p w:rsidR="00CD77C3" w:rsidP="007174E2" w:rsidRDefault="00EB7538">
      <w:pPr>
        <w:numPr>
          <w:ilvl w:val="0"/>
          <w:numId w:val="1"/>
        </w:numPr>
        <w:spacing w:before="100" w:beforeAutospacing="1" w:after="100" w:afterAutospacing="1"/>
        <w:rPr>
          <w:u w:val="single"/>
        </w:rPr>
      </w:pPr>
      <w:r w:rsidRPr="004C6979">
        <w:rPr>
          <w:u w:val="single"/>
        </w:rPr>
        <w:t>Assurance of Confidentiality Provided to Respondents</w:t>
      </w:r>
    </w:p>
    <w:p w:rsidRPr="00F70EF2" w:rsidR="00BE6061" w:rsidP="003D0013" w:rsidRDefault="00BE6061">
      <w:pPr>
        <w:ind w:left="720"/>
      </w:pPr>
      <w:r w:rsidRPr="00F70EF2">
        <w:t>This information collection request (ICR) is collecting personally identifiable information (PII) or other data of a personal nature. Information is collected via FDA Form 3514 (</w:t>
      </w:r>
      <w:r w:rsidRPr="00F70EF2" w:rsidR="003D0013">
        <w:t xml:space="preserve">CDRH </w:t>
      </w:r>
      <w:r w:rsidRPr="00F70EF2">
        <w:t>Premarket Review Submission Cover Sheet</w:t>
      </w:r>
      <w:r w:rsidRPr="00F70EF2" w:rsidR="0079104E">
        <w:t>)</w:t>
      </w:r>
      <w:r w:rsidR="00F70EF2">
        <w:t xml:space="preserve"> </w:t>
      </w:r>
      <w:r w:rsidRPr="00F70EF2">
        <w:t xml:space="preserve">and </w:t>
      </w:r>
      <w:r w:rsidRPr="00F70EF2" w:rsidR="0079104E">
        <w:t>FDA Form 3601 (</w:t>
      </w:r>
      <w:r w:rsidRPr="00F70EF2">
        <w:t xml:space="preserve">MDUFMA </w:t>
      </w:r>
      <w:r w:rsidRPr="00F70EF2">
        <w:lastRenderedPageBreak/>
        <w:t>Cover Sheet</w:t>
      </w:r>
      <w:r w:rsidRPr="00F70EF2" w:rsidR="003D0013">
        <w:t>/User Fee Account Creation</w:t>
      </w:r>
      <w:r w:rsidRPr="00F70EF2">
        <w:t xml:space="preserve">). PII collected </w:t>
      </w:r>
      <w:r w:rsidRPr="00F70EF2" w:rsidR="0079104E">
        <w:t>via FDA Form 3514 name</w:t>
      </w:r>
      <w:r w:rsidRPr="00F70EF2" w:rsidR="003D0013">
        <w:t xml:space="preserve">, title, address, </w:t>
      </w:r>
      <w:r w:rsidRPr="00F70EF2" w:rsidR="0079104E">
        <w:t xml:space="preserve">and email address. PII collected via FDA Form 3601 </w:t>
      </w:r>
      <w:r w:rsidRPr="00F70EF2">
        <w:t>is name, tit</w:t>
      </w:r>
      <w:r w:rsidRPr="00F70EF2" w:rsidR="0079104E">
        <w:t xml:space="preserve">le, </w:t>
      </w:r>
      <w:r w:rsidRPr="00F70EF2">
        <w:t>address, phone number, fax number</w:t>
      </w:r>
      <w:r w:rsidRPr="00F70EF2" w:rsidR="0079104E">
        <w:t>, username, and password</w:t>
      </w:r>
      <w:r w:rsidRPr="00F70EF2">
        <w:t xml:space="preserve">. PII is collected in the context of the individual’s professional capacity. </w:t>
      </w:r>
      <w:r w:rsidRPr="00F70EF2" w:rsidR="00836AC1">
        <w:t>This ICR</w:t>
      </w:r>
      <w:r w:rsidRPr="00F70EF2" w:rsidR="00900E36">
        <w:t xml:space="preserve"> create</w:t>
      </w:r>
      <w:r w:rsidRPr="00F70EF2" w:rsidR="003D0013">
        <w:t>s</w:t>
      </w:r>
      <w:r w:rsidRPr="00F70EF2" w:rsidR="00900E36">
        <w:t xml:space="preserve"> PMA records with contact information to relay the status of the review. An approved PMA</w:t>
      </w:r>
      <w:r w:rsidRPr="00F70EF2" w:rsidR="003D0013">
        <w:t xml:space="preserve"> </w:t>
      </w:r>
      <w:r w:rsidRPr="00F70EF2" w:rsidR="00900E36">
        <w:t xml:space="preserve">is granted a private license to market a </w:t>
      </w:r>
      <w:proofErr w:type="gramStart"/>
      <w:r w:rsidRPr="00F70EF2" w:rsidR="00900E36">
        <w:t>particular device</w:t>
      </w:r>
      <w:proofErr w:type="gramEnd"/>
      <w:r w:rsidRPr="00F70EF2" w:rsidR="00900E36">
        <w:t xml:space="preserve"> in the US. </w:t>
      </w:r>
      <w:r w:rsidRPr="00F70EF2" w:rsidR="00900E36">
        <w:rPr>
          <w:snapToGrid w:val="0"/>
        </w:rPr>
        <w:t>21CFR 814.20 specified the information required in a PMA which includes both PII and non-PII.</w:t>
      </w:r>
    </w:p>
    <w:p w:rsidRPr="00F70EF2" w:rsidR="00BE6061" w:rsidP="00F70EF2" w:rsidRDefault="00BE6061">
      <w:pPr>
        <w:ind w:left="720"/>
      </w:pPr>
    </w:p>
    <w:p w:rsidRPr="00F70EF2" w:rsidR="00BE6061" w:rsidP="00F70EF2" w:rsidRDefault="00BE6061">
      <w:pPr>
        <w:ind w:left="720"/>
      </w:pPr>
      <w:r w:rsidRPr="00F70EF2">
        <w:t xml:space="preserve">FDA further determined that although PII is collected the collection is not subject to the Privacy Act of 1974 and the </w:t>
      </w:r>
      <w:proofErr w:type="gramStart"/>
      <w:r w:rsidRPr="00F70EF2">
        <w:t>particular notice</w:t>
      </w:r>
      <w:proofErr w:type="gramEnd"/>
      <w:r w:rsidRPr="00F70EF2">
        <w:t xml:space="preserve"> and other requirements of the Act do not apply.  Specifically, FDA does not use name or any other personal identifier to routinely retrieve records from the information collected.  </w:t>
      </w:r>
    </w:p>
    <w:p w:rsidRPr="00F70EF2" w:rsidR="00BE6061" w:rsidP="00F70EF2" w:rsidRDefault="00BE6061">
      <w:pPr>
        <w:ind w:left="720"/>
      </w:pPr>
    </w:p>
    <w:p w:rsidR="00BE6061" w:rsidP="00F70EF2" w:rsidRDefault="00BE6061">
      <w:pPr>
        <w:ind w:left="720"/>
      </w:pPr>
      <w:r w:rsidRPr="00F70EF2">
        <w:t xml:space="preserve">In preparing this Supporting Statement, FDA staff consulted with the FDA Privacy Office to ensure appropriate handling of information collected.  FDA minimized the PII to be collected to protect the privacy of the individuals. </w:t>
      </w:r>
    </w:p>
    <w:p w:rsidRPr="00F70EF2" w:rsidR="00F70EF2" w:rsidP="00F70EF2" w:rsidRDefault="00F70EF2">
      <w:pPr>
        <w:ind w:left="720"/>
      </w:pPr>
    </w:p>
    <w:p w:rsidR="00F8216C" w:rsidP="007174E2" w:rsidRDefault="00F8216C">
      <w:pPr>
        <w:ind w:left="720"/>
      </w:pPr>
      <w:r>
        <w:t>Confidentiality of data and disclosure regarding the existence of a PMA are governed by 21 CFR 814.9, the Freedom of Information Act (FOIA) (5 U.S.C. 552), and sections 301(j) and 520(c) and (h) of the FD&amp;C Act (21 U.S.C. 331(j), 360(c) and (h)).  Under FOIA, the public has broad access to government documents.</w:t>
      </w:r>
    </w:p>
    <w:p w:rsidR="00F8216C" w:rsidP="007174E2" w:rsidRDefault="00F8216C">
      <w:pPr>
        <w:ind w:left="720"/>
      </w:pPr>
    </w:p>
    <w:p w:rsidR="00F8216C" w:rsidP="007174E2" w:rsidRDefault="00F8216C">
      <w:pPr>
        <w:ind w:left="720"/>
      </w:pPr>
      <w:r>
        <w:t>However, FOIA provides certain exemptions from mandatory public disclosure of government records (5 U.S.C. 552(b)(</w:t>
      </w:r>
      <w:proofErr w:type="gramStart"/>
      <w:r>
        <w:t>1)-(</w:t>
      </w:r>
      <w:proofErr w:type="gramEnd"/>
      <w:r>
        <w:t>b)(9)).  One such provision, 5 U.S.C. 552(b)(4), exempts “trade secrets and commercial or financial information that is privileged or confidential” from the requirement of public disclosure.</w:t>
      </w:r>
    </w:p>
    <w:p w:rsidR="00F8216C" w:rsidP="007174E2" w:rsidRDefault="00F8216C">
      <w:pPr>
        <w:ind w:left="720"/>
      </w:pPr>
    </w:p>
    <w:p w:rsidR="00107885" w:rsidP="007174E2" w:rsidRDefault="00F8216C">
      <w:pPr>
        <w:ind w:left="720"/>
      </w:pPr>
      <w:r>
        <w:t>Section 520(c) of the FD&amp;C Act prohibits FDA from disclosing any information exempted from public disclosure under 5 U.S.C. 552(b)(4).  Part 20 of FDA’s regulations (21 CFR part 20) sets forth FDA’s general policy concerning public availability of FDA records.  Under section 520(h) of the FD&amp;C Act, FDA is required to make publicly available a detailed summary of the safety and effectiveness information contained in a PMA that is the basis for an order approving, denying approval of, or withdrawing approval of a PMA.</w:t>
      </w:r>
    </w:p>
    <w:p w:rsidRPr="004C6979" w:rsidR="004C6979" w:rsidP="007174E2" w:rsidRDefault="00EB7538">
      <w:pPr>
        <w:numPr>
          <w:ilvl w:val="0"/>
          <w:numId w:val="1"/>
        </w:numPr>
        <w:spacing w:before="100" w:beforeAutospacing="1" w:after="100" w:afterAutospacing="1"/>
        <w:rPr>
          <w:u w:val="single"/>
        </w:rPr>
      </w:pPr>
      <w:r w:rsidRPr="004C6979">
        <w:rPr>
          <w:u w:val="single"/>
        </w:rPr>
        <w:t>Justification for Sensitive Questions</w:t>
      </w:r>
    </w:p>
    <w:p w:rsidR="00D04C0D" w:rsidP="007174E2" w:rsidRDefault="00D04C0D">
      <w:pPr>
        <w:ind w:left="720"/>
      </w:pPr>
      <w:r>
        <w:t xml:space="preserve">The information required in a premarket approval or premarket supplement application does not include questions </w:t>
      </w:r>
      <w:r w:rsidR="004C6979">
        <w:t>of a sensitive nature, such as, sexual behavior and attitudes, religious beliefs, and other matters that are commonly considered private.</w:t>
      </w:r>
    </w:p>
    <w:p w:rsidRPr="004C6979" w:rsidR="004C6979" w:rsidP="00D349BB" w:rsidRDefault="00EB7538">
      <w:pPr>
        <w:keepNext/>
        <w:numPr>
          <w:ilvl w:val="0"/>
          <w:numId w:val="1"/>
        </w:numPr>
        <w:spacing w:before="100" w:beforeAutospacing="1" w:after="100" w:afterAutospacing="1"/>
        <w:rPr>
          <w:u w:val="single"/>
        </w:rPr>
      </w:pPr>
      <w:r w:rsidRPr="004C6979">
        <w:rPr>
          <w:u w:val="single"/>
        </w:rPr>
        <w:t>Estimates of Annualized Burden Hours and Costs</w:t>
      </w:r>
    </w:p>
    <w:p w:rsidR="004C6979" w:rsidP="00D349BB" w:rsidRDefault="008B0E29">
      <w:pPr>
        <w:keepNext/>
        <w:ind w:left="720"/>
      </w:pPr>
      <w:r>
        <w:rPr>
          <w:u w:val="single"/>
        </w:rPr>
        <w:t xml:space="preserve">12 a. </w:t>
      </w:r>
      <w:r w:rsidR="00411D11">
        <w:rPr>
          <w:u w:val="single"/>
        </w:rPr>
        <w:t xml:space="preserve">Annualized </w:t>
      </w:r>
      <w:r w:rsidR="004C6979">
        <w:rPr>
          <w:u w:val="single"/>
        </w:rPr>
        <w:t>Hour Burden Estimate</w:t>
      </w:r>
    </w:p>
    <w:p w:rsidR="004C6979" w:rsidP="00D349BB" w:rsidRDefault="004C6979">
      <w:pPr>
        <w:keepNext/>
      </w:pPr>
    </w:p>
    <w:p w:rsidR="00943B26" w:rsidP="007174E2" w:rsidRDefault="00943B26">
      <w:pPr>
        <w:ind w:left="720"/>
      </w:pPr>
      <w:r>
        <w:t>FDA estimates the burden of this collection of information as follows:</w:t>
      </w:r>
    </w:p>
    <w:p w:rsidR="00DC76C7" w:rsidP="007174E2" w:rsidRDefault="00DC76C7"/>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50"/>
        <w:gridCol w:w="1442"/>
        <w:gridCol w:w="1350"/>
        <w:gridCol w:w="1230"/>
        <w:gridCol w:w="2095"/>
        <w:gridCol w:w="1009"/>
        <w:tblGridChange w:id="2">
          <w:tblGrid>
            <w:gridCol w:w="2450"/>
            <w:gridCol w:w="1442"/>
            <w:gridCol w:w="1350"/>
            <w:gridCol w:w="1230"/>
            <w:gridCol w:w="2095"/>
            <w:gridCol w:w="1009"/>
          </w:tblGrid>
        </w:tblGridChange>
      </w:tblGrid>
      <w:tr w:rsidRPr="003B27BF" w:rsidR="005E046E" w:rsidTr="00BC33B3">
        <w:trPr>
          <w:cantSplit/>
          <w:trHeight w:val="20"/>
          <w:tblHeader/>
          <w:jc w:val="center"/>
        </w:trPr>
        <w:tc>
          <w:tcPr>
            <w:tcW w:w="5000" w:type="pct"/>
            <w:gridSpan w:val="6"/>
            <w:tcBorders>
              <w:top w:val="nil"/>
              <w:left w:val="nil"/>
              <w:right w:val="nil"/>
            </w:tcBorders>
            <w:shd w:val="clear" w:color="auto" w:fill="auto"/>
          </w:tcPr>
          <w:p w:rsidRPr="003B27BF" w:rsidR="005E046E" w:rsidP="00FF5235" w:rsidRDefault="005E046E">
            <w:pPr>
              <w:jc w:val="center"/>
              <w:rPr>
                <w:sz w:val="20"/>
                <w:szCs w:val="20"/>
              </w:rPr>
            </w:pPr>
            <w:r w:rsidRPr="003B27BF">
              <w:rPr>
                <w:sz w:val="20"/>
                <w:szCs w:val="20"/>
              </w:rPr>
              <w:t xml:space="preserve">Table </w:t>
            </w:r>
            <w:proofErr w:type="gramStart"/>
            <w:r w:rsidRPr="003B27BF">
              <w:rPr>
                <w:sz w:val="20"/>
                <w:szCs w:val="20"/>
              </w:rPr>
              <w:t>1.--</w:t>
            </w:r>
            <w:proofErr w:type="gramEnd"/>
            <w:r w:rsidRPr="003B27BF">
              <w:rPr>
                <w:sz w:val="20"/>
                <w:szCs w:val="20"/>
              </w:rPr>
              <w:t>Estimated Annual Reporting Burden</w:t>
            </w:r>
          </w:p>
        </w:tc>
      </w:tr>
      <w:tr w:rsidRPr="003B27BF" w:rsidR="005E046E" w:rsidTr="00FF5235">
        <w:trPr>
          <w:cantSplit/>
          <w:trHeight w:val="20"/>
          <w:tblHeader/>
          <w:jc w:val="center"/>
        </w:trPr>
        <w:tc>
          <w:tcPr>
            <w:tcW w:w="1279" w:type="pct"/>
            <w:shd w:val="clear" w:color="auto" w:fill="auto"/>
          </w:tcPr>
          <w:p w:rsidRPr="003B27BF" w:rsidR="005E046E" w:rsidP="00FF5235" w:rsidRDefault="005E046E">
            <w:pPr>
              <w:jc w:val="center"/>
              <w:rPr>
                <w:sz w:val="20"/>
                <w:szCs w:val="20"/>
              </w:rPr>
            </w:pPr>
            <w:r w:rsidRPr="003B27BF">
              <w:rPr>
                <w:sz w:val="20"/>
                <w:szCs w:val="20"/>
              </w:rPr>
              <w:t>Activity/21 CFR or FD&amp;C Act Section</w:t>
            </w:r>
          </w:p>
        </w:tc>
        <w:tc>
          <w:tcPr>
            <w:tcW w:w="753" w:type="pct"/>
            <w:shd w:val="clear" w:color="auto" w:fill="auto"/>
          </w:tcPr>
          <w:p w:rsidRPr="003B27BF" w:rsidR="005E046E" w:rsidP="00FF5235" w:rsidRDefault="005E046E">
            <w:pPr>
              <w:jc w:val="center"/>
              <w:rPr>
                <w:sz w:val="20"/>
                <w:szCs w:val="20"/>
              </w:rPr>
            </w:pPr>
            <w:r w:rsidRPr="003B27BF">
              <w:rPr>
                <w:sz w:val="20"/>
                <w:szCs w:val="20"/>
              </w:rPr>
              <w:t>No. of Respondents</w:t>
            </w:r>
          </w:p>
        </w:tc>
        <w:tc>
          <w:tcPr>
            <w:tcW w:w="705" w:type="pct"/>
            <w:shd w:val="clear" w:color="auto" w:fill="auto"/>
          </w:tcPr>
          <w:p w:rsidRPr="003B27BF" w:rsidR="005E046E" w:rsidP="00FF5235" w:rsidRDefault="005E046E">
            <w:pPr>
              <w:jc w:val="center"/>
              <w:rPr>
                <w:sz w:val="20"/>
                <w:szCs w:val="20"/>
              </w:rPr>
            </w:pPr>
            <w:r w:rsidRPr="003B27BF">
              <w:rPr>
                <w:bCs/>
                <w:sz w:val="20"/>
                <w:szCs w:val="20"/>
              </w:rPr>
              <w:t>No. of Responses per Respondent</w:t>
            </w:r>
          </w:p>
        </w:tc>
        <w:tc>
          <w:tcPr>
            <w:tcW w:w="642" w:type="pct"/>
            <w:shd w:val="clear" w:color="auto" w:fill="auto"/>
          </w:tcPr>
          <w:p w:rsidRPr="003B27BF" w:rsidR="005E046E" w:rsidP="00FF5235" w:rsidRDefault="005E046E">
            <w:pPr>
              <w:jc w:val="center"/>
              <w:rPr>
                <w:sz w:val="20"/>
                <w:szCs w:val="20"/>
              </w:rPr>
            </w:pPr>
            <w:r w:rsidRPr="003B27BF">
              <w:rPr>
                <w:sz w:val="20"/>
                <w:szCs w:val="20"/>
              </w:rPr>
              <w:t>Total Annual Responses</w:t>
            </w:r>
          </w:p>
        </w:tc>
        <w:tc>
          <w:tcPr>
            <w:tcW w:w="1094" w:type="pct"/>
            <w:shd w:val="clear" w:color="auto" w:fill="auto"/>
          </w:tcPr>
          <w:p w:rsidRPr="003B27BF" w:rsidR="005E046E" w:rsidP="00FF5235" w:rsidRDefault="005E046E">
            <w:pPr>
              <w:jc w:val="center"/>
              <w:rPr>
                <w:sz w:val="20"/>
                <w:szCs w:val="20"/>
              </w:rPr>
            </w:pPr>
            <w:r w:rsidRPr="003B27BF">
              <w:rPr>
                <w:bCs/>
                <w:sz w:val="20"/>
                <w:szCs w:val="20"/>
              </w:rPr>
              <w:t>Average Burden per Response</w:t>
            </w:r>
          </w:p>
        </w:tc>
        <w:tc>
          <w:tcPr>
            <w:tcW w:w="527" w:type="pct"/>
            <w:shd w:val="clear" w:color="auto" w:fill="auto"/>
          </w:tcPr>
          <w:p w:rsidRPr="003B27BF" w:rsidR="005E046E" w:rsidP="00FF5235" w:rsidRDefault="005E046E">
            <w:pPr>
              <w:jc w:val="center"/>
              <w:rPr>
                <w:sz w:val="20"/>
                <w:szCs w:val="20"/>
              </w:rPr>
            </w:pPr>
            <w:r w:rsidRPr="003B27BF">
              <w:rPr>
                <w:sz w:val="20"/>
                <w:szCs w:val="20"/>
              </w:rPr>
              <w:t>Total Hours</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Research conducted outside the United States (814.15(b))</w:t>
            </w:r>
          </w:p>
        </w:tc>
        <w:tc>
          <w:tcPr>
            <w:tcW w:w="753" w:type="pct"/>
            <w:shd w:val="clear" w:color="auto" w:fill="auto"/>
          </w:tcPr>
          <w:p w:rsidRPr="003B27BF" w:rsidR="005E046E" w:rsidP="00FF5235" w:rsidRDefault="005E046E">
            <w:pPr>
              <w:jc w:val="right"/>
              <w:rPr>
                <w:sz w:val="20"/>
                <w:szCs w:val="20"/>
              </w:rPr>
            </w:pPr>
            <w:r w:rsidRPr="003B27BF">
              <w:rPr>
                <w:sz w:val="20"/>
                <w:szCs w:val="20"/>
              </w:rPr>
              <w:t>25</w:t>
            </w:r>
          </w:p>
        </w:tc>
        <w:tc>
          <w:tcPr>
            <w:tcW w:w="705" w:type="pct"/>
            <w:shd w:val="clear" w:color="auto" w:fill="auto"/>
          </w:tcPr>
          <w:p w:rsidRPr="003B27BF" w:rsidR="005E046E" w:rsidP="00FF5235" w:rsidRDefault="005E046E">
            <w:pPr>
              <w:jc w:val="right"/>
              <w:rPr>
                <w:sz w:val="20"/>
                <w:szCs w:val="20"/>
              </w:rPr>
            </w:pPr>
            <w:r w:rsidRPr="003B27BF">
              <w:rPr>
                <w:sz w:val="20"/>
                <w:szCs w:val="20"/>
              </w:rPr>
              <w:t>1</w:t>
            </w:r>
          </w:p>
        </w:tc>
        <w:tc>
          <w:tcPr>
            <w:tcW w:w="642" w:type="pct"/>
            <w:shd w:val="clear" w:color="auto" w:fill="auto"/>
          </w:tcPr>
          <w:p w:rsidRPr="003B27BF" w:rsidR="005E046E" w:rsidP="00FF5235" w:rsidRDefault="005E046E">
            <w:pPr>
              <w:jc w:val="right"/>
              <w:rPr>
                <w:sz w:val="20"/>
                <w:szCs w:val="20"/>
              </w:rPr>
            </w:pPr>
            <w:r w:rsidRPr="003B27BF">
              <w:rPr>
                <w:sz w:val="20"/>
                <w:szCs w:val="20"/>
              </w:rPr>
              <w:t>25</w:t>
            </w:r>
          </w:p>
        </w:tc>
        <w:tc>
          <w:tcPr>
            <w:tcW w:w="1094" w:type="pct"/>
            <w:shd w:val="clear" w:color="auto" w:fill="auto"/>
          </w:tcPr>
          <w:p w:rsidRPr="003B27BF" w:rsidR="005E046E" w:rsidP="00BC33B3" w:rsidRDefault="005E046E">
            <w:pPr>
              <w:jc w:val="right"/>
              <w:rPr>
                <w:sz w:val="20"/>
                <w:szCs w:val="20"/>
              </w:rPr>
            </w:pPr>
            <w:r w:rsidRPr="003B27BF">
              <w:rPr>
                <w:sz w:val="20"/>
                <w:szCs w:val="20"/>
              </w:rPr>
              <w:t>2</w:t>
            </w:r>
          </w:p>
        </w:tc>
        <w:tc>
          <w:tcPr>
            <w:tcW w:w="527" w:type="pct"/>
            <w:shd w:val="clear" w:color="auto" w:fill="auto"/>
          </w:tcPr>
          <w:p w:rsidRPr="003B27BF" w:rsidR="005E046E" w:rsidP="00FF5235" w:rsidRDefault="005E046E">
            <w:pPr>
              <w:jc w:val="right"/>
              <w:rPr>
                <w:sz w:val="20"/>
                <w:szCs w:val="20"/>
              </w:rPr>
            </w:pPr>
            <w:r>
              <w:rPr>
                <w:sz w:val="20"/>
                <w:szCs w:val="20"/>
              </w:rPr>
              <w:t>50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PMA application (814.20)</w:t>
            </w:r>
          </w:p>
        </w:tc>
        <w:tc>
          <w:tcPr>
            <w:tcW w:w="753" w:type="pct"/>
            <w:shd w:val="clear" w:color="auto" w:fill="auto"/>
          </w:tcPr>
          <w:p w:rsidRPr="00CF2A12" w:rsidR="005E046E" w:rsidP="00FF5235" w:rsidRDefault="005E046E">
            <w:pPr>
              <w:jc w:val="right"/>
              <w:rPr>
                <w:sz w:val="20"/>
                <w:szCs w:val="20"/>
              </w:rPr>
            </w:pPr>
            <w:r>
              <w:rPr>
                <w:sz w:val="20"/>
                <w:szCs w:val="20"/>
              </w:rPr>
              <w:t>46</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46</w:t>
            </w:r>
          </w:p>
        </w:tc>
        <w:tc>
          <w:tcPr>
            <w:tcW w:w="1094" w:type="pct"/>
            <w:shd w:val="clear" w:color="auto" w:fill="auto"/>
          </w:tcPr>
          <w:p w:rsidRPr="00CF2A12" w:rsidR="005E046E" w:rsidP="00FF5235" w:rsidRDefault="005E046E">
            <w:pPr>
              <w:jc w:val="right"/>
              <w:rPr>
                <w:sz w:val="20"/>
                <w:szCs w:val="20"/>
              </w:rPr>
            </w:pPr>
            <w:r w:rsidRPr="00CF2A12">
              <w:rPr>
                <w:sz w:val="20"/>
                <w:szCs w:val="20"/>
              </w:rPr>
              <w:t>668</w:t>
            </w:r>
          </w:p>
        </w:tc>
        <w:tc>
          <w:tcPr>
            <w:tcW w:w="527" w:type="pct"/>
            <w:shd w:val="clear" w:color="auto" w:fill="auto"/>
          </w:tcPr>
          <w:p w:rsidRPr="00CF2A12" w:rsidR="005E046E" w:rsidP="00FF5235" w:rsidRDefault="00BC33B3">
            <w:pPr>
              <w:jc w:val="right"/>
              <w:rPr>
                <w:sz w:val="20"/>
                <w:szCs w:val="20"/>
              </w:rPr>
            </w:pPr>
            <w:r>
              <w:rPr>
                <w:sz w:val="20"/>
                <w:szCs w:val="20"/>
              </w:rPr>
              <w:t>30,728</w:t>
            </w:r>
          </w:p>
        </w:tc>
      </w:tr>
      <w:tr w:rsidRPr="003B27BF" w:rsidR="00BC33B3" w:rsidTr="00FF5235">
        <w:trPr>
          <w:cantSplit/>
          <w:trHeight w:val="20"/>
          <w:jc w:val="center"/>
        </w:trPr>
        <w:tc>
          <w:tcPr>
            <w:tcW w:w="1279" w:type="pct"/>
            <w:shd w:val="clear" w:color="auto" w:fill="auto"/>
          </w:tcPr>
          <w:p w:rsidRPr="003B27BF" w:rsidR="00BC33B3" w:rsidP="00FF5235" w:rsidRDefault="00BC33B3">
            <w:pPr>
              <w:rPr>
                <w:sz w:val="20"/>
                <w:szCs w:val="20"/>
              </w:rPr>
            </w:pPr>
            <w:r>
              <w:rPr>
                <w:sz w:val="20"/>
                <w:szCs w:val="20"/>
              </w:rPr>
              <w:t>Information on clinical investigations conducted outside the United States (814.20(b)(6)(ii)(C))</w:t>
            </w:r>
          </w:p>
        </w:tc>
        <w:tc>
          <w:tcPr>
            <w:tcW w:w="753" w:type="pct"/>
            <w:shd w:val="clear" w:color="auto" w:fill="auto"/>
          </w:tcPr>
          <w:p w:rsidR="00BC33B3" w:rsidP="00FF5235" w:rsidRDefault="00BC33B3">
            <w:pPr>
              <w:jc w:val="right"/>
              <w:rPr>
                <w:sz w:val="20"/>
                <w:szCs w:val="20"/>
              </w:rPr>
            </w:pPr>
            <w:r>
              <w:rPr>
                <w:sz w:val="20"/>
                <w:szCs w:val="20"/>
              </w:rPr>
              <w:t>10</w:t>
            </w:r>
          </w:p>
        </w:tc>
        <w:tc>
          <w:tcPr>
            <w:tcW w:w="705" w:type="pct"/>
            <w:shd w:val="clear" w:color="auto" w:fill="auto"/>
          </w:tcPr>
          <w:p w:rsidRPr="00CF2A12" w:rsidR="00BC33B3" w:rsidP="00FF5235" w:rsidRDefault="00BC33B3">
            <w:pPr>
              <w:jc w:val="right"/>
              <w:rPr>
                <w:sz w:val="20"/>
                <w:szCs w:val="20"/>
              </w:rPr>
            </w:pPr>
            <w:r>
              <w:rPr>
                <w:sz w:val="20"/>
                <w:szCs w:val="20"/>
              </w:rPr>
              <w:t>1</w:t>
            </w:r>
          </w:p>
        </w:tc>
        <w:tc>
          <w:tcPr>
            <w:tcW w:w="642" w:type="pct"/>
            <w:shd w:val="clear" w:color="auto" w:fill="auto"/>
          </w:tcPr>
          <w:p w:rsidR="00BC33B3" w:rsidP="00FF5235" w:rsidRDefault="00BC33B3">
            <w:pPr>
              <w:jc w:val="right"/>
              <w:rPr>
                <w:sz w:val="20"/>
                <w:szCs w:val="20"/>
              </w:rPr>
            </w:pPr>
            <w:r>
              <w:rPr>
                <w:sz w:val="20"/>
                <w:szCs w:val="20"/>
              </w:rPr>
              <w:t>10</w:t>
            </w:r>
          </w:p>
        </w:tc>
        <w:tc>
          <w:tcPr>
            <w:tcW w:w="1094" w:type="pct"/>
            <w:shd w:val="clear" w:color="auto" w:fill="auto"/>
          </w:tcPr>
          <w:p w:rsidRPr="00CF2A12" w:rsidR="00BC33B3" w:rsidP="00FF5235" w:rsidRDefault="00BC33B3">
            <w:pPr>
              <w:jc w:val="right"/>
              <w:rPr>
                <w:sz w:val="20"/>
                <w:szCs w:val="20"/>
              </w:rPr>
            </w:pPr>
            <w:r>
              <w:rPr>
                <w:sz w:val="20"/>
                <w:szCs w:val="20"/>
              </w:rPr>
              <w:t>0.5 (30 minutes)</w:t>
            </w:r>
          </w:p>
        </w:tc>
        <w:tc>
          <w:tcPr>
            <w:tcW w:w="527" w:type="pct"/>
            <w:shd w:val="clear" w:color="auto" w:fill="auto"/>
          </w:tcPr>
          <w:p w:rsidR="00BC33B3" w:rsidP="00FF5235" w:rsidRDefault="00BC33B3">
            <w:pPr>
              <w:jc w:val="right"/>
              <w:rPr>
                <w:sz w:val="20"/>
                <w:szCs w:val="20"/>
              </w:rPr>
            </w:pPr>
            <w:r>
              <w:rPr>
                <w:sz w:val="20"/>
                <w:szCs w:val="20"/>
              </w:rPr>
              <w:t>5</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PMA amendments and resubmitted PMAs (814.37(a)-(c) and (e))</w:t>
            </w:r>
          </w:p>
        </w:tc>
        <w:tc>
          <w:tcPr>
            <w:tcW w:w="753" w:type="pct"/>
            <w:shd w:val="clear" w:color="auto" w:fill="auto"/>
          </w:tcPr>
          <w:p w:rsidRPr="00CF2A12" w:rsidR="005E046E" w:rsidP="00FF5235" w:rsidRDefault="005E046E">
            <w:pPr>
              <w:jc w:val="right"/>
              <w:rPr>
                <w:sz w:val="20"/>
                <w:szCs w:val="20"/>
              </w:rPr>
            </w:pPr>
            <w:r>
              <w:rPr>
                <w:sz w:val="20"/>
                <w:szCs w:val="20"/>
              </w:rPr>
              <w:t>1</w:t>
            </w:r>
            <w:r w:rsidR="00BC33B3">
              <w:rPr>
                <w:sz w:val="20"/>
                <w:szCs w:val="20"/>
              </w:rPr>
              <w:t>,</w:t>
            </w:r>
            <w:r>
              <w:rPr>
                <w:sz w:val="20"/>
                <w:szCs w:val="20"/>
              </w:rPr>
              <w:t>528</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1</w:t>
            </w:r>
            <w:r w:rsidR="00BC33B3">
              <w:rPr>
                <w:sz w:val="20"/>
                <w:szCs w:val="20"/>
              </w:rPr>
              <w:t>,</w:t>
            </w:r>
            <w:r>
              <w:rPr>
                <w:sz w:val="20"/>
                <w:szCs w:val="20"/>
              </w:rPr>
              <w:t>528</w:t>
            </w:r>
          </w:p>
        </w:tc>
        <w:tc>
          <w:tcPr>
            <w:tcW w:w="1094" w:type="pct"/>
            <w:shd w:val="clear" w:color="auto" w:fill="auto"/>
          </w:tcPr>
          <w:p w:rsidRPr="00CF2A12" w:rsidR="005E046E" w:rsidP="00FF5235" w:rsidRDefault="005E046E">
            <w:pPr>
              <w:jc w:val="right"/>
              <w:rPr>
                <w:sz w:val="20"/>
                <w:szCs w:val="20"/>
              </w:rPr>
            </w:pPr>
            <w:r w:rsidRPr="00CF2A12">
              <w:rPr>
                <w:sz w:val="20"/>
                <w:szCs w:val="20"/>
              </w:rPr>
              <w:t>167</w:t>
            </w:r>
          </w:p>
        </w:tc>
        <w:tc>
          <w:tcPr>
            <w:tcW w:w="527" w:type="pct"/>
            <w:shd w:val="clear" w:color="auto" w:fill="auto"/>
          </w:tcPr>
          <w:p w:rsidRPr="00CF2A12" w:rsidR="005E046E" w:rsidP="00FF5235" w:rsidRDefault="00BC33B3">
            <w:pPr>
              <w:jc w:val="right"/>
              <w:rPr>
                <w:sz w:val="20"/>
                <w:szCs w:val="20"/>
              </w:rPr>
            </w:pPr>
            <w:r>
              <w:rPr>
                <w:sz w:val="20"/>
                <w:szCs w:val="20"/>
              </w:rPr>
              <w:t>255,176</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PMA supplements (814.39(a))</w:t>
            </w:r>
          </w:p>
        </w:tc>
        <w:tc>
          <w:tcPr>
            <w:tcW w:w="753" w:type="pct"/>
            <w:shd w:val="clear" w:color="auto" w:fill="auto"/>
          </w:tcPr>
          <w:p w:rsidRPr="00CF2A12" w:rsidR="005E046E" w:rsidP="00FF5235" w:rsidRDefault="005E046E">
            <w:pPr>
              <w:jc w:val="right"/>
              <w:rPr>
                <w:sz w:val="20"/>
                <w:szCs w:val="20"/>
              </w:rPr>
            </w:pPr>
            <w:r>
              <w:rPr>
                <w:sz w:val="20"/>
                <w:szCs w:val="20"/>
              </w:rPr>
              <w:t>777</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777</w:t>
            </w:r>
          </w:p>
        </w:tc>
        <w:tc>
          <w:tcPr>
            <w:tcW w:w="1094" w:type="pct"/>
            <w:shd w:val="clear" w:color="auto" w:fill="auto"/>
          </w:tcPr>
          <w:p w:rsidRPr="00CF2A12" w:rsidR="005E046E" w:rsidP="00FF5235" w:rsidRDefault="005E046E">
            <w:pPr>
              <w:jc w:val="right"/>
              <w:rPr>
                <w:sz w:val="20"/>
                <w:szCs w:val="20"/>
              </w:rPr>
            </w:pPr>
            <w:r w:rsidRPr="00CF2A12">
              <w:rPr>
                <w:sz w:val="20"/>
                <w:szCs w:val="20"/>
              </w:rPr>
              <w:t>60</w:t>
            </w:r>
          </w:p>
        </w:tc>
        <w:tc>
          <w:tcPr>
            <w:tcW w:w="527" w:type="pct"/>
            <w:shd w:val="clear" w:color="auto" w:fill="auto"/>
          </w:tcPr>
          <w:p w:rsidRPr="00CF2A12" w:rsidR="005E046E" w:rsidP="00FF5235" w:rsidRDefault="00BC33B3">
            <w:pPr>
              <w:jc w:val="right"/>
              <w:rPr>
                <w:sz w:val="20"/>
                <w:szCs w:val="20"/>
              </w:rPr>
            </w:pPr>
            <w:r>
              <w:rPr>
                <w:sz w:val="20"/>
                <w:szCs w:val="20"/>
              </w:rPr>
              <w:t>46,620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Specia</w:t>
            </w:r>
            <w:r>
              <w:rPr>
                <w:sz w:val="20"/>
                <w:szCs w:val="20"/>
              </w:rPr>
              <w:t>l PMA supplement—changes being a</w:t>
            </w:r>
            <w:r w:rsidRPr="003B27BF">
              <w:rPr>
                <w:sz w:val="20"/>
                <w:szCs w:val="20"/>
              </w:rPr>
              <w:t>ffected (814.39(d))</w:t>
            </w:r>
          </w:p>
        </w:tc>
        <w:tc>
          <w:tcPr>
            <w:tcW w:w="753" w:type="pct"/>
            <w:shd w:val="clear" w:color="auto" w:fill="auto"/>
          </w:tcPr>
          <w:p w:rsidRPr="00CF2A12" w:rsidR="005E046E" w:rsidP="00FF5235" w:rsidRDefault="005E046E">
            <w:pPr>
              <w:jc w:val="right"/>
              <w:rPr>
                <w:sz w:val="20"/>
                <w:szCs w:val="20"/>
              </w:rPr>
            </w:pPr>
            <w:r>
              <w:rPr>
                <w:sz w:val="20"/>
                <w:szCs w:val="20"/>
              </w:rPr>
              <w:t>75</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75</w:t>
            </w:r>
          </w:p>
        </w:tc>
        <w:tc>
          <w:tcPr>
            <w:tcW w:w="1094" w:type="pct"/>
            <w:shd w:val="clear" w:color="auto" w:fill="auto"/>
          </w:tcPr>
          <w:p w:rsidRPr="00CF2A12" w:rsidR="005E046E" w:rsidP="00FF5235" w:rsidRDefault="005E046E">
            <w:pPr>
              <w:jc w:val="right"/>
              <w:rPr>
                <w:sz w:val="20"/>
                <w:szCs w:val="20"/>
              </w:rPr>
            </w:pPr>
            <w:r w:rsidRPr="00CF2A12">
              <w:rPr>
                <w:sz w:val="20"/>
                <w:szCs w:val="20"/>
              </w:rPr>
              <w:t>6</w:t>
            </w:r>
          </w:p>
        </w:tc>
        <w:tc>
          <w:tcPr>
            <w:tcW w:w="527" w:type="pct"/>
            <w:shd w:val="clear" w:color="auto" w:fill="auto"/>
          </w:tcPr>
          <w:p w:rsidRPr="00CF2A12" w:rsidR="005E046E" w:rsidP="00FF5235" w:rsidRDefault="00BC33B3">
            <w:pPr>
              <w:jc w:val="right"/>
              <w:rPr>
                <w:sz w:val="20"/>
                <w:szCs w:val="20"/>
              </w:rPr>
            </w:pPr>
            <w:r>
              <w:rPr>
                <w:sz w:val="20"/>
                <w:szCs w:val="20"/>
              </w:rPr>
              <w:t>450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30-day notice (814.39(f))</w:t>
            </w:r>
          </w:p>
        </w:tc>
        <w:tc>
          <w:tcPr>
            <w:tcW w:w="753" w:type="pct"/>
            <w:shd w:val="clear" w:color="auto" w:fill="auto"/>
          </w:tcPr>
          <w:p w:rsidRPr="00CF2A12" w:rsidR="005E046E" w:rsidP="00FF5235" w:rsidRDefault="005E046E">
            <w:pPr>
              <w:jc w:val="right"/>
              <w:rPr>
                <w:sz w:val="20"/>
                <w:szCs w:val="20"/>
              </w:rPr>
            </w:pPr>
            <w:r>
              <w:rPr>
                <w:sz w:val="20"/>
                <w:szCs w:val="20"/>
              </w:rPr>
              <w:t>1</w:t>
            </w:r>
            <w:r w:rsidR="00BC33B3">
              <w:rPr>
                <w:sz w:val="20"/>
                <w:szCs w:val="20"/>
              </w:rPr>
              <w:t>,</w:t>
            </w:r>
            <w:r>
              <w:rPr>
                <w:sz w:val="20"/>
                <w:szCs w:val="20"/>
              </w:rPr>
              <w:t>722</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1</w:t>
            </w:r>
            <w:r w:rsidR="00BC33B3">
              <w:rPr>
                <w:sz w:val="20"/>
                <w:szCs w:val="20"/>
              </w:rPr>
              <w:t>,</w:t>
            </w:r>
            <w:r>
              <w:rPr>
                <w:sz w:val="20"/>
                <w:szCs w:val="20"/>
              </w:rPr>
              <w:t>722</w:t>
            </w:r>
          </w:p>
        </w:tc>
        <w:tc>
          <w:tcPr>
            <w:tcW w:w="1094" w:type="pct"/>
            <w:shd w:val="clear" w:color="auto" w:fill="auto"/>
          </w:tcPr>
          <w:p w:rsidRPr="00CF2A12" w:rsidR="005E046E" w:rsidP="00FF5235" w:rsidRDefault="005E046E">
            <w:pPr>
              <w:jc w:val="right"/>
              <w:rPr>
                <w:sz w:val="20"/>
                <w:szCs w:val="20"/>
              </w:rPr>
            </w:pPr>
            <w:r w:rsidRPr="00CF2A12">
              <w:rPr>
                <w:sz w:val="20"/>
                <w:szCs w:val="20"/>
              </w:rPr>
              <w:t>16</w:t>
            </w:r>
          </w:p>
        </w:tc>
        <w:tc>
          <w:tcPr>
            <w:tcW w:w="527" w:type="pct"/>
            <w:shd w:val="clear" w:color="auto" w:fill="auto"/>
          </w:tcPr>
          <w:p w:rsidRPr="00CF2A12" w:rsidR="005E046E" w:rsidP="00FF5235" w:rsidRDefault="00BC33B3">
            <w:pPr>
              <w:jc w:val="right"/>
              <w:rPr>
                <w:sz w:val="20"/>
                <w:szCs w:val="20"/>
              </w:rPr>
            </w:pPr>
            <w:r>
              <w:rPr>
                <w:sz w:val="20"/>
                <w:szCs w:val="20"/>
              </w:rPr>
              <w:t>27,552</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Postapproval requirements (814.82(a)(9))</w:t>
            </w:r>
          </w:p>
        </w:tc>
        <w:tc>
          <w:tcPr>
            <w:tcW w:w="753" w:type="pct"/>
            <w:shd w:val="clear" w:color="auto" w:fill="auto"/>
          </w:tcPr>
          <w:p w:rsidRPr="00CF2A12" w:rsidR="005E046E" w:rsidP="00FF5235" w:rsidRDefault="005E046E">
            <w:pPr>
              <w:jc w:val="right"/>
              <w:rPr>
                <w:sz w:val="20"/>
                <w:szCs w:val="20"/>
              </w:rPr>
            </w:pPr>
            <w:r>
              <w:rPr>
                <w:sz w:val="20"/>
                <w:szCs w:val="20"/>
              </w:rPr>
              <w:t>121</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121</w:t>
            </w:r>
          </w:p>
        </w:tc>
        <w:tc>
          <w:tcPr>
            <w:tcW w:w="1094" w:type="pct"/>
            <w:shd w:val="clear" w:color="auto" w:fill="auto"/>
          </w:tcPr>
          <w:p w:rsidRPr="00CF2A12" w:rsidR="005E046E" w:rsidP="00FF5235" w:rsidRDefault="005E046E">
            <w:pPr>
              <w:jc w:val="right"/>
              <w:rPr>
                <w:sz w:val="20"/>
                <w:szCs w:val="20"/>
              </w:rPr>
            </w:pPr>
            <w:r w:rsidRPr="00CF2A12">
              <w:rPr>
                <w:sz w:val="20"/>
                <w:szCs w:val="20"/>
              </w:rPr>
              <w:t>135</w:t>
            </w:r>
          </w:p>
        </w:tc>
        <w:tc>
          <w:tcPr>
            <w:tcW w:w="527" w:type="pct"/>
            <w:shd w:val="clear" w:color="auto" w:fill="auto"/>
          </w:tcPr>
          <w:p w:rsidRPr="00CF2A12" w:rsidR="005E046E" w:rsidP="00FF5235" w:rsidRDefault="00BC33B3">
            <w:pPr>
              <w:jc w:val="right"/>
              <w:rPr>
                <w:sz w:val="20"/>
                <w:szCs w:val="20"/>
              </w:rPr>
            </w:pPr>
            <w:r>
              <w:rPr>
                <w:sz w:val="20"/>
                <w:szCs w:val="20"/>
              </w:rPr>
              <w:t>16,335</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Periodic reports (814.84(b))</w:t>
            </w:r>
          </w:p>
        </w:tc>
        <w:tc>
          <w:tcPr>
            <w:tcW w:w="753" w:type="pct"/>
            <w:shd w:val="clear" w:color="auto" w:fill="auto"/>
          </w:tcPr>
          <w:p w:rsidRPr="00CF2A12" w:rsidR="005E046E" w:rsidP="00FF5235" w:rsidRDefault="005E046E">
            <w:pPr>
              <w:jc w:val="right"/>
              <w:rPr>
                <w:sz w:val="20"/>
                <w:szCs w:val="20"/>
              </w:rPr>
            </w:pPr>
            <w:r>
              <w:rPr>
                <w:sz w:val="20"/>
                <w:szCs w:val="20"/>
              </w:rPr>
              <w:t>764</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764</w:t>
            </w:r>
          </w:p>
        </w:tc>
        <w:tc>
          <w:tcPr>
            <w:tcW w:w="1094" w:type="pct"/>
            <w:shd w:val="clear" w:color="auto" w:fill="auto"/>
          </w:tcPr>
          <w:p w:rsidRPr="00CF2A12" w:rsidR="005E046E" w:rsidP="00FF5235" w:rsidRDefault="005E046E">
            <w:pPr>
              <w:jc w:val="right"/>
              <w:rPr>
                <w:sz w:val="20"/>
                <w:szCs w:val="20"/>
              </w:rPr>
            </w:pPr>
            <w:r w:rsidRPr="00CF2A12">
              <w:rPr>
                <w:sz w:val="20"/>
                <w:szCs w:val="20"/>
              </w:rPr>
              <w:t>10</w:t>
            </w:r>
          </w:p>
        </w:tc>
        <w:tc>
          <w:tcPr>
            <w:tcW w:w="527" w:type="pct"/>
            <w:shd w:val="clear" w:color="auto" w:fill="auto"/>
          </w:tcPr>
          <w:p w:rsidRPr="00CF2A12" w:rsidR="005E046E" w:rsidP="00FF5235" w:rsidRDefault="00BC33B3">
            <w:pPr>
              <w:jc w:val="right"/>
              <w:rPr>
                <w:sz w:val="20"/>
                <w:szCs w:val="20"/>
              </w:rPr>
            </w:pPr>
            <w:r>
              <w:rPr>
                <w:sz w:val="20"/>
                <w:szCs w:val="20"/>
              </w:rPr>
              <w:t>7,640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 xml:space="preserve">Agreement meeting (520(g)(7)) </w:t>
            </w:r>
          </w:p>
        </w:tc>
        <w:tc>
          <w:tcPr>
            <w:tcW w:w="753" w:type="pct"/>
            <w:shd w:val="clear" w:color="auto" w:fill="auto"/>
          </w:tcPr>
          <w:p w:rsidRPr="00CF2A12" w:rsidR="005E046E" w:rsidP="00FF5235" w:rsidRDefault="005E046E">
            <w:pPr>
              <w:jc w:val="right"/>
              <w:rPr>
                <w:sz w:val="20"/>
                <w:szCs w:val="20"/>
              </w:rPr>
            </w:pPr>
            <w:r w:rsidRPr="00CF2A12">
              <w:rPr>
                <w:sz w:val="20"/>
                <w:szCs w:val="20"/>
              </w:rPr>
              <w:t>1</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sidRPr="00CF2A12">
              <w:rPr>
                <w:sz w:val="20"/>
                <w:szCs w:val="20"/>
              </w:rPr>
              <w:t>1</w:t>
            </w:r>
          </w:p>
        </w:tc>
        <w:tc>
          <w:tcPr>
            <w:tcW w:w="1094" w:type="pct"/>
            <w:shd w:val="clear" w:color="auto" w:fill="auto"/>
          </w:tcPr>
          <w:p w:rsidRPr="00CF2A12" w:rsidR="005E046E" w:rsidP="00FF5235" w:rsidRDefault="005E046E">
            <w:pPr>
              <w:jc w:val="right"/>
              <w:rPr>
                <w:sz w:val="20"/>
                <w:szCs w:val="20"/>
              </w:rPr>
            </w:pPr>
            <w:r w:rsidRPr="00CF2A12">
              <w:rPr>
                <w:sz w:val="20"/>
                <w:szCs w:val="20"/>
              </w:rPr>
              <w:t>50</w:t>
            </w:r>
          </w:p>
        </w:tc>
        <w:tc>
          <w:tcPr>
            <w:tcW w:w="527" w:type="pct"/>
            <w:shd w:val="clear" w:color="auto" w:fill="auto"/>
          </w:tcPr>
          <w:p w:rsidRPr="00CF2A12" w:rsidR="005E046E" w:rsidP="00FF5235" w:rsidRDefault="005E046E">
            <w:pPr>
              <w:jc w:val="right"/>
              <w:rPr>
                <w:sz w:val="20"/>
                <w:szCs w:val="20"/>
              </w:rPr>
            </w:pPr>
            <w:r w:rsidRPr="00CF2A12">
              <w:rPr>
                <w:sz w:val="20"/>
                <w:szCs w:val="20"/>
              </w:rPr>
              <w:t>50</w:t>
            </w:r>
          </w:p>
        </w:tc>
      </w:tr>
      <w:tr w:rsidRPr="003B27BF" w:rsidR="005E046E" w:rsidTr="00FF5235">
        <w:trPr>
          <w:cantSplit/>
          <w:trHeight w:val="20"/>
          <w:jc w:val="center"/>
        </w:trPr>
        <w:tc>
          <w:tcPr>
            <w:tcW w:w="1279" w:type="pct"/>
            <w:shd w:val="clear" w:color="auto" w:fill="auto"/>
          </w:tcPr>
          <w:p w:rsidRPr="003B27BF" w:rsidR="005E046E" w:rsidP="00FF5235" w:rsidRDefault="00BC33B3">
            <w:pPr>
              <w:rPr>
                <w:sz w:val="20"/>
                <w:szCs w:val="20"/>
              </w:rPr>
            </w:pPr>
            <w:r>
              <w:rPr>
                <w:sz w:val="20"/>
                <w:szCs w:val="20"/>
              </w:rPr>
              <w:t>Breakthrough Devices Program</w:t>
            </w:r>
            <w:r w:rsidRPr="003B27BF" w:rsidR="005E046E">
              <w:rPr>
                <w:sz w:val="20"/>
                <w:szCs w:val="20"/>
              </w:rPr>
              <w:t xml:space="preserve"> (515(</w:t>
            </w:r>
            <w:r>
              <w:rPr>
                <w:sz w:val="20"/>
                <w:szCs w:val="20"/>
              </w:rPr>
              <w:t>B</w:t>
            </w:r>
            <w:r w:rsidRPr="003B27BF" w:rsidR="005E046E">
              <w:rPr>
                <w:sz w:val="20"/>
                <w:szCs w:val="20"/>
              </w:rPr>
              <w:t>) of the FD&amp;C Act)</w:t>
            </w:r>
          </w:p>
        </w:tc>
        <w:tc>
          <w:tcPr>
            <w:tcW w:w="753" w:type="pct"/>
            <w:shd w:val="clear" w:color="auto" w:fill="auto"/>
          </w:tcPr>
          <w:p w:rsidRPr="00CF2A12" w:rsidR="005E046E" w:rsidP="00FF5235" w:rsidRDefault="005E046E">
            <w:pPr>
              <w:jc w:val="right"/>
              <w:rPr>
                <w:sz w:val="20"/>
                <w:szCs w:val="20"/>
              </w:rPr>
            </w:pPr>
            <w:r>
              <w:rPr>
                <w:sz w:val="20"/>
                <w:szCs w:val="20"/>
              </w:rPr>
              <w:t>11</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11</w:t>
            </w:r>
          </w:p>
        </w:tc>
        <w:tc>
          <w:tcPr>
            <w:tcW w:w="1094" w:type="pct"/>
            <w:shd w:val="clear" w:color="auto" w:fill="auto"/>
          </w:tcPr>
          <w:p w:rsidRPr="00CF2A12" w:rsidR="005E046E" w:rsidP="00FF5235" w:rsidRDefault="005E046E">
            <w:pPr>
              <w:jc w:val="right"/>
              <w:rPr>
                <w:sz w:val="20"/>
                <w:szCs w:val="20"/>
              </w:rPr>
            </w:pPr>
            <w:r w:rsidRPr="00CF2A12">
              <w:rPr>
                <w:sz w:val="20"/>
                <w:szCs w:val="20"/>
              </w:rPr>
              <w:t>10</w:t>
            </w:r>
          </w:p>
        </w:tc>
        <w:tc>
          <w:tcPr>
            <w:tcW w:w="527" w:type="pct"/>
            <w:shd w:val="clear" w:color="auto" w:fill="auto"/>
          </w:tcPr>
          <w:p w:rsidRPr="00CF2A12" w:rsidR="005E046E" w:rsidP="00FF5235" w:rsidRDefault="007E010A">
            <w:pPr>
              <w:jc w:val="right"/>
              <w:rPr>
                <w:sz w:val="20"/>
                <w:szCs w:val="20"/>
              </w:rPr>
            </w:pPr>
            <w:r>
              <w:rPr>
                <w:sz w:val="20"/>
                <w:szCs w:val="20"/>
              </w:rPr>
              <w:t>110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Determination Meeting (513(1)(3)(D) of the FD&amp;C Act)</w:t>
            </w:r>
          </w:p>
        </w:tc>
        <w:tc>
          <w:tcPr>
            <w:tcW w:w="753" w:type="pct"/>
            <w:shd w:val="clear" w:color="auto" w:fill="auto"/>
          </w:tcPr>
          <w:p w:rsidRPr="00CF2A12" w:rsidR="005E046E" w:rsidP="00FF5235" w:rsidRDefault="005E046E">
            <w:pPr>
              <w:jc w:val="right"/>
              <w:rPr>
                <w:sz w:val="20"/>
                <w:szCs w:val="20"/>
              </w:rPr>
            </w:pPr>
            <w:r w:rsidRPr="00CF2A12">
              <w:rPr>
                <w:sz w:val="20"/>
                <w:szCs w:val="20"/>
              </w:rPr>
              <w:t>1</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sidRPr="00CF2A12">
              <w:rPr>
                <w:sz w:val="20"/>
                <w:szCs w:val="20"/>
              </w:rPr>
              <w:t>1</w:t>
            </w:r>
          </w:p>
        </w:tc>
        <w:tc>
          <w:tcPr>
            <w:tcW w:w="1094" w:type="pct"/>
            <w:shd w:val="clear" w:color="auto" w:fill="auto"/>
          </w:tcPr>
          <w:p w:rsidRPr="00CF2A12" w:rsidR="005E046E" w:rsidP="00FF5235" w:rsidRDefault="005E046E">
            <w:pPr>
              <w:jc w:val="right"/>
              <w:rPr>
                <w:sz w:val="20"/>
                <w:szCs w:val="20"/>
              </w:rPr>
            </w:pPr>
            <w:r w:rsidRPr="00CF2A12">
              <w:rPr>
                <w:sz w:val="20"/>
                <w:szCs w:val="20"/>
              </w:rPr>
              <w:t>50</w:t>
            </w:r>
          </w:p>
        </w:tc>
        <w:tc>
          <w:tcPr>
            <w:tcW w:w="527" w:type="pct"/>
            <w:shd w:val="clear" w:color="auto" w:fill="auto"/>
          </w:tcPr>
          <w:p w:rsidRPr="00CF2A12" w:rsidR="005E046E" w:rsidP="00FF5235" w:rsidRDefault="005E046E">
            <w:pPr>
              <w:jc w:val="right"/>
              <w:rPr>
                <w:sz w:val="20"/>
                <w:szCs w:val="20"/>
              </w:rPr>
            </w:pPr>
            <w:r w:rsidRPr="00CF2A12">
              <w:rPr>
                <w:sz w:val="20"/>
                <w:szCs w:val="20"/>
              </w:rPr>
              <w:t>50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Panel meeting (515(c)(3) of the FD&amp;C Act)</w:t>
            </w:r>
          </w:p>
        </w:tc>
        <w:tc>
          <w:tcPr>
            <w:tcW w:w="753" w:type="pct"/>
            <w:shd w:val="clear" w:color="auto" w:fill="auto"/>
          </w:tcPr>
          <w:p w:rsidRPr="00CF2A12" w:rsidR="005E046E" w:rsidP="00FF5235" w:rsidRDefault="005E046E">
            <w:pPr>
              <w:jc w:val="right"/>
              <w:rPr>
                <w:sz w:val="20"/>
                <w:szCs w:val="20"/>
              </w:rPr>
            </w:pPr>
            <w:r>
              <w:rPr>
                <w:sz w:val="20"/>
                <w:szCs w:val="20"/>
              </w:rPr>
              <w:t>1</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5E046E">
            <w:pPr>
              <w:jc w:val="right"/>
              <w:rPr>
                <w:sz w:val="20"/>
                <w:szCs w:val="20"/>
              </w:rPr>
            </w:pPr>
            <w:r>
              <w:rPr>
                <w:sz w:val="20"/>
                <w:szCs w:val="20"/>
              </w:rPr>
              <w:t>1</w:t>
            </w:r>
          </w:p>
        </w:tc>
        <w:tc>
          <w:tcPr>
            <w:tcW w:w="1094" w:type="pct"/>
            <w:shd w:val="clear" w:color="auto" w:fill="auto"/>
          </w:tcPr>
          <w:p w:rsidRPr="00CF2A12" w:rsidR="005E046E" w:rsidP="00FF5235" w:rsidRDefault="005E046E">
            <w:pPr>
              <w:jc w:val="right"/>
              <w:rPr>
                <w:sz w:val="20"/>
                <w:szCs w:val="20"/>
              </w:rPr>
            </w:pPr>
            <w:r w:rsidRPr="00CF2A12">
              <w:rPr>
                <w:sz w:val="20"/>
                <w:szCs w:val="20"/>
              </w:rPr>
              <w:t>30</w:t>
            </w:r>
          </w:p>
        </w:tc>
        <w:tc>
          <w:tcPr>
            <w:tcW w:w="527" w:type="pct"/>
            <w:shd w:val="clear" w:color="auto" w:fill="auto"/>
          </w:tcPr>
          <w:p w:rsidRPr="00CF2A12" w:rsidR="005E046E" w:rsidP="00FF5235" w:rsidRDefault="007E010A">
            <w:pPr>
              <w:jc w:val="right"/>
              <w:rPr>
                <w:sz w:val="20"/>
                <w:szCs w:val="20"/>
              </w:rPr>
            </w:pPr>
            <w:r>
              <w:rPr>
                <w:sz w:val="20"/>
                <w:szCs w:val="20"/>
              </w:rPr>
              <w:t>30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Day 100 meeting (515(d)(3) of the FD&amp;C Act)</w:t>
            </w:r>
          </w:p>
        </w:tc>
        <w:tc>
          <w:tcPr>
            <w:tcW w:w="753" w:type="pct"/>
            <w:shd w:val="clear" w:color="auto" w:fill="auto"/>
          </w:tcPr>
          <w:p w:rsidRPr="00CF2A12" w:rsidR="005E046E" w:rsidP="00FF5235" w:rsidRDefault="007E010A">
            <w:pPr>
              <w:jc w:val="right"/>
              <w:rPr>
                <w:sz w:val="20"/>
                <w:szCs w:val="20"/>
              </w:rPr>
            </w:pPr>
            <w:r>
              <w:rPr>
                <w:sz w:val="20"/>
                <w:szCs w:val="20"/>
              </w:rPr>
              <w:t>14</w:t>
            </w:r>
          </w:p>
        </w:tc>
        <w:tc>
          <w:tcPr>
            <w:tcW w:w="705" w:type="pct"/>
            <w:shd w:val="clear" w:color="auto" w:fill="auto"/>
          </w:tcPr>
          <w:p w:rsidRPr="00CF2A12" w:rsidR="005E046E" w:rsidP="00FF5235" w:rsidRDefault="005E046E">
            <w:pPr>
              <w:jc w:val="right"/>
              <w:rPr>
                <w:sz w:val="20"/>
                <w:szCs w:val="20"/>
              </w:rPr>
            </w:pPr>
            <w:r w:rsidRPr="00CF2A12">
              <w:rPr>
                <w:sz w:val="20"/>
                <w:szCs w:val="20"/>
              </w:rPr>
              <w:t>1</w:t>
            </w:r>
          </w:p>
        </w:tc>
        <w:tc>
          <w:tcPr>
            <w:tcW w:w="642" w:type="pct"/>
            <w:shd w:val="clear" w:color="auto" w:fill="auto"/>
          </w:tcPr>
          <w:p w:rsidRPr="00CF2A12" w:rsidR="005E046E" w:rsidP="00FF5235" w:rsidRDefault="007E010A">
            <w:pPr>
              <w:jc w:val="right"/>
              <w:rPr>
                <w:sz w:val="20"/>
                <w:szCs w:val="20"/>
              </w:rPr>
            </w:pPr>
            <w:r>
              <w:rPr>
                <w:sz w:val="20"/>
                <w:szCs w:val="20"/>
              </w:rPr>
              <w:t>14</w:t>
            </w:r>
          </w:p>
        </w:tc>
        <w:tc>
          <w:tcPr>
            <w:tcW w:w="1094" w:type="pct"/>
            <w:shd w:val="clear" w:color="auto" w:fill="auto"/>
          </w:tcPr>
          <w:p w:rsidRPr="00CF2A12" w:rsidR="005E046E" w:rsidP="00FF5235" w:rsidRDefault="005E046E">
            <w:pPr>
              <w:jc w:val="right"/>
              <w:rPr>
                <w:sz w:val="20"/>
                <w:szCs w:val="20"/>
              </w:rPr>
            </w:pPr>
            <w:r w:rsidRPr="00CF2A12">
              <w:rPr>
                <w:sz w:val="20"/>
                <w:szCs w:val="20"/>
              </w:rPr>
              <w:t>10</w:t>
            </w:r>
          </w:p>
        </w:tc>
        <w:tc>
          <w:tcPr>
            <w:tcW w:w="527" w:type="pct"/>
            <w:shd w:val="clear" w:color="auto" w:fill="auto"/>
          </w:tcPr>
          <w:p w:rsidRPr="00CF2A12" w:rsidR="005E046E" w:rsidP="00FF5235" w:rsidRDefault="007E010A">
            <w:pPr>
              <w:jc w:val="right"/>
              <w:rPr>
                <w:sz w:val="20"/>
                <w:szCs w:val="20"/>
              </w:rPr>
            </w:pPr>
            <w:r>
              <w:rPr>
                <w:sz w:val="20"/>
                <w:szCs w:val="20"/>
              </w:rPr>
              <w:t>140</w:t>
            </w:r>
          </w:p>
        </w:tc>
      </w:tr>
      <w:tr w:rsidRPr="003B27BF" w:rsidR="005E046E" w:rsidTr="00FF5235">
        <w:trPr>
          <w:cantSplit/>
          <w:trHeight w:val="20"/>
          <w:jc w:val="center"/>
        </w:trPr>
        <w:tc>
          <w:tcPr>
            <w:tcW w:w="1279" w:type="pct"/>
            <w:shd w:val="clear" w:color="auto" w:fill="auto"/>
          </w:tcPr>
          <w:p w:rsidRPr="003B27BF" w:rsidR="005E046E" w:rsidP="00FF5235" w:rsidRDefault="005E046E">
            <w:pPr>
              <w:rPr>
                <w:sz w:val="20"/>
                <w:szCs w:val="20"/>
              </w:rPr>
            </w:pPr>
            <w:r w:rsidRPr="003B27BF">
              <w:rPr>
                <w:sz w:val="20"/>
                <w:szCs w:val="20"/>
              </w:rPr>
              <w:t>Total</w:t>
            </w:r>
          </w:p>
        </w:tc>
        <w:tc>
          <w:tcPr>
            <w:tcW w:w="753" w:type="pct"/>
            <w:shd w:val="clear" w:color="auto" w:fill="auto"/>
          </w:tcPr>
          <w:p w:rsidRPr="003B27BF" w:rsidR="005E046E" w:rsidP="00FF5235" w:rsidRDefault="005E046E">
            <w:pPr>
              <w:jc w:val="right"/>
              <w:rPr>
                <w:sz w:val="20"/>
                <w:szCs w:val="20"/>
              </w:rPr>
            </w:pPr>
          </w:p>
        </w:tc>
        <w:tc>
          <w:tcPr>
            <w:tcW w:w="705" w:type="pct"/>
            <w:shd w:val="clear" w:color="auto" w:fill="auto"/>
          </w:tcPr>
          <w:p w:rsidRPr="003B27BF" w:rsidR="005E046E" w:rsidP="00FF5235" w:rsidRDefault="005E046E">
            <w:pPr>
              <w:jc w:val="right"/>
              <w:rPr>
                <w:sz w:val="20"/>
                <w:szCs w:val="20"/>
              </w:rPr>
            </w:pPr>
          </w:p>
        </w:tc>
        <w:tc>
          <w:tcPr>
            <w:tcW w:w="642" w:type="pct"/>
            <w:shd w:val="clear" w:color="auto" w:fill="auto"/>
          </w:tcPr>
          <w:p w:rsidRPr="003B27BF" w:rsidR="005E046E" w:rsidP="00FF5235" w:rsidRDefault="005E046E">
            <w:pPr>
              <w:jc w:val="right"/>
              <w:rPr>
                <w:sz w:val="20"/>
                <w:szCs w:val="20"/>
              </w:rPr>
            </w:pPr>
          </w:p>
        </w:tc>
        <w:tc>
          <w:tcPr>
            <w:tcW w:w="1094" w:type="pct"/>
            <w:shd w:val="clear" w:color="auto" w:fill="auto"/>
          </w:tcPr>
          <w:p w:rsidRPr="003B27BF" w:rsidR="005E046E" w:rsidP="00FF5235" w:rsidRDefault="005E046E">
            <w:pPr>
              <w:jc w:val="right"/>
              <w:rPr>
                <w:sz w:val="20"/>
                <w:szCs w:val="20"/>
              </w:rPr>
            </w:pPr>
          </w:p>
        </w:tc>
        <w:tc>
          <w:tcPr>
            <w:tcW w:w="527" w:type="pct"/>
            <w:shd w:val="clear" w:color="auto" w:fill="auto"/>
          </w:tcPr>
          <w:p w:rsidRPr="003B27BF" w:rsidR="005E046E" w:rsidP="00FF5235" w:rsidRDefault="007E010A">
            <w:pPr>
              <w:jc w:val="right"/>
              <w:rPr>
                <w:sz w:val="20"/>
                <w:szCs w:val="20"/>
              </w:rPr>
            </w:pPr>
            <w:r>
              <w:rPr>
                <w:sz w:val="20"/>
                <w:szCs w:val="20"/>
              </w:rPr>
              <w:t>384,936</w:t>
            </w:r>
          </w:p>
        </w:tc>
      </w:tr>
    </w:tbl>
    <w:p w:rsidR="00E65A37" w:rsidP="007174E2" w:rsidRDefault="00E65A37">
      <w:pPr>
        <w:jc w:val="cente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2"/>
        <w:gridCol w:w="1710"/>
        <w:gridCol w:w="1620"/>
        <w:gridCol w:w="1080"/>
        <w:gridCol w:w="1710"/>
        <w:gridCol w:w="914"/>
      </w:tblGrid>
      <w:tr w:rsidRPr="006E5CB4" w:rsidR="00A50F46" w:rsidTr="00BC33B3">
        <w:trPr>
          <w:cantSplit/>
          <w:trHeight w:val="20"/>
          <w:tblHeader/>
          <w:jc w:val="center"/>
        </w:trPr>
        <w:tc>
          <w:tcPr>
            <w:tcW w:w="5000" w:type="pct"/>
            <w:gridSpan w:val="6"/>
            <w:tcBorders>
              <w:top w:val="nil"/>
              <w:left w:val="nil"/>
              <w:right w:val="nil"/>
            </w:tcBorders>
            <w:shd w:val="clear" w:color="auto" w:fill="auto"/>
          </w:tcPr>
          <w:p w:rsidRPr="006E5CB4" w:rsidR="00A50F46" w:rsidP="00FF5235" w:rsidRDefault="00A50F46">
            <w:pPr>
              <w:keepNext/>
              <w:jc w:val="center"/>
              <w:rPr>
                <w:sz w:val="20"/>
                <w:szCs w:val="20"/>
              </w:rPr>
            </w:pPr>
            <w:r w:rsidRPr="006E5CB4">
              <w:rPr>
                <w:sz w:val="20"/>
                <w:szCs w:val="20"/>
              </w:rPr>
              <w:t xml:space="preserve">Table </w:t>
            </w:r>
            <w:proofErr w:type="gramStart"/>
            <w:r w:rsidRPr="006E5CB4">
              <w:rPr>
                <w:sz w:val="20"/>
                <w:szCs w:val="20"/>
              </w:rPr>
              <w:t>2.--</w:t>
            </w:r>
            <w:proofErr w:type="gramEnd"/>
            <w:r w:rsidRPr="006E5CB4">
              <w:rPr>
                <w:sz w:val="20"/>
                <w:szCs w:val="20"/>
              </w:rPr>
              <w:t>Estimated Annual Recordkeeping Burden</w:t>
            </w:r>
          </w:p>
        </w:tc>
      </w:tr>
      <w:tr w:rsidRPr="006E5CB4" w:rsidR="00A50F46" w:rsidTr="00E5477D">
        <w:trPr>
          <w:cantSplit/>
          <w:trHeight w:val="20"/>
          <w:tblHeader/>
          <w:jc w:val="center"/>
        </w:trPr>
        <w:tc>
          <w:tcPr>
            <w:tcW w:w="1327"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sz w:val="20"/>
                <w:szCs w:val="20"/>
              </w:rPr>
              <w:t>Activity/21 CFR Section</w:t>
            </w:r>
          </w:p>
        </w:tc>
        <w:tc>
          <w:tcPr>
            <w:tcW w:w="893"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sz w:val="20"/>
                <w:szCs w:val="20"/>
              </w:rPr>
              <w:t>No. of Recordkeepers</w:t>
            </w:r>
          </w:p>
        </w:tc>
        <w:tc>
          <w:tcPr>
            <w:tcW w:w="846"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bCs/>
                <w:sz w:val="20"/>
                <w:szCs w:val="20"/>
              </w:rPr>
              <w:t>No. of Records per Recordkeeper</w:t>
            </w:r>
          </w:p>
        </w:tc>
        <w:tc>
          <w:tcPr>
            <w:tcW w:w="564"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sz w:val="20"/>
                <w:szCs w:val="20"/>
              </w:rPr>
              <w:t>Total Annual Records</w:t>
            </w:r>
          </w:p>
        </w:tc>
        <w:tc>
          <w:tcPr>
            <w:tcW w:w="893"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bCs/>
                <w:sz w:val="20"/>
                <w:szCs w:val="20"/>
              </w:rPr>
              <w:t xml:space="preserve">Average Burden per Recordkeeping </w:t>
            </w:r>
          </w:p>
        </w:tc>
        <w:tc>
          <w:tcPr>
            <w:tcW w:w="478" w:type="pct"/>
            <w:tcBorders>
              <w:bottom w:val="single" w:color="auto" w:sz="4" w:space="0"/>
            </w:tcBorders>
            <w:shd w:val="clear" w:color="auto" w:fill="auto"/>
          </w:tcPr>
          <w:p w:rsidRPr="006E5CB4" w:rsidR="00A50F46" w:rsidP="00FF5235" w:rsidRDefault="00A50F46">
            <w:pPr>
              <w:keepNext/>
              <w:jc w:val="center"/>
              <w:rPr>
                <w:sz w:val="20"/>
                <w:szCs w:val="20"/>
              </w:rPr>
            </w:pPr>
            <w:r w:rsidRPr="006E5CB4">
              <w:rPr>
                <w:sz w:val="20"/>
                <w:szCs w:val="20"/>
              </w:rPr>
              <w:t>Total Hours</w:t>
            </w:r>
          </w:p>
        </w:tc>
      </w:tr>
      <w:tr w:rsidRPr="006E5CB4" w:rsidR="00A50F46" w:rsidTr="00E5477D">
        <w:trPr>
          <w:cantSplit/>
          <w:trHeight w:val="20"/>
          <w:jc w:val="center"/>
        </w:trPr>
        <w:tc>
          <w:tcPr>
            <w:tcW w:w="1327" w:type="pct"/>
            <w:tcBorders>
              <w:bottom w:val="single" w:color="auto" w:sz="4" w:space="0"/>
            </w:tcBorders>
            <w:shd w:val="clear" w:color="auto" w:fill="auto"/>
          </w:tcPr>
          <w:p w:rsidRPr="006E5CB4" w:rsidR="00A50F46" w:rsidP="00FF5235" w:rsidRDefault="00A50F46">
            <w:pPr>
              <w:keepNext/>
              <w:rPr>
                <w:sz w:val="20"/>
                <w:szCs w:val="20"/>
              </w:rPr>
            </w:pPr>
            <w:r w:rsidRPr="006E5CB4">
              <w:rPr>
                <w:sz w:val="20"/>
                <w:szCs w:val="20"/>
              </w:rPr>
              <w:t>Maintenance of records (814.82(a)(5) and (a)(6))</w:t>
            </w:r>
          </w:p>
        </w:tc>
        <w:tc>
          <w:tcPr>
            <w:tcW w:w="893" w:type="pct"/>
            <w:tcBorders>
              <w:bottom w:val="single" w:color="auto" w:sz="4" w:space="0"/>
            </w:tcBorders>
            <w:shd w:val="clear" w:color="auto" w:fill="auto"/>
          </w:tcPr>
          <w:p w:rsidRPr="006E5CB4" w:rsidR="00A50F46" w:rsidP="00FF5235" w:rsidRDefault="00A50F46">
            <w:pPr>
              <w:keepNext/>
              <w:jc w:val="right"/>
              <w:rPr>
                <w:sz w:val="20"/>
                <w:szCs w:val="20"/>
              </w:rPr>
            </w:pPr>
            <w:r>
              <w:rPr>
                <w:sz w:val="20"/>
                <w:szCs w:val="20"/>
              </w:rPr>
              <w:t>446</w:t>
            </w:r>
          </w:p>
        </w:tc>
        <w:tc>
          <w:tcPr>
            <w:tcW w:w="846" w:type="pct"/>
            <w:tcBorders>
              <w:bottom w:val="single" w:color="auto" w:sz="4" w:space="0"/>
            </w:tcBorders>
            <w:shd w:val="clear" w:color="auto" w:fill="auto"/>
          </w:tcPr>
          <w:p w:rsidRPr="006E5CB4" w:rsidR="00A50F46" w:rsidP="00FF5235" w:rsidRDefault="00A50F46">
            <w:pPr>
              <w:keepNext/>
              <w:jc w:val="right"/>
              <w:rPr>
                <w:sz w:val="20"/>
                <w:szCs w:val="20"/>
              </w:rPr>
            </w:pPr>
            <w:r w:rsidRPr="006E5CB4">
              <w:rPr>
                <w:sz w:val="20"/>
                <w:szCs w:val="20"/>
              </w:rPr>
              <w:t>1</w:t>
            </w:r>
          </w:p>
        </w:tc>
        <w:tc>
          <w:tcPr>
            <w:tcW w:w="564" w:type="pct"/>
            <w:tcBorders>
              <w:bottom w:val="single" w:color="auto" w:sz="4" w:space="0"/>
            </w:tcBorders>
            <w:shd w:val="clear" w:color="auto" w:fill="auto"/>
          </w:tcPr>
          <w:p w:rsidRPr="006E5CB4" w:rsidR="00A50F46" w:rsidP="00FF5235" w:rsidRDefault="00A50F46">
            <w:pPr>
              <w:keepNext/>
              <w:jc w:val="right"/>
              <w:rPr>
                <w:sz w:val="20"/>
                <w:szCs w:val="20"/>
              </w:rPr>
            </w:pPr>
            <w:r>
              <w:rPr>
                <w:sz w:val="20"/>
                <w:szCs w:val="20"/>
              </w:rPr>
              <w:t>446</w:t>
            </w:r>
          </w:p>
        </w:tc>
        <w:tc>
          <w:tcPr>
            <w:tcW w:w="893" w:type="pct"/>
            <w:tcBorders>
              <w:bottom w:val="single" w:color="auto" w:sz="4" w:space="0"/>
            </w:tcBorders>
            <w:shd w:val="clear" w:color="auto" w:fill="auto"/>
          </w:tcPr>
          <w:p w:rsidRPr="006E5CB4" w:rsidR="00A50F46" w:rsidP="00FF5235" w:rsidRDefault="00A50F46">
            <w:pPr>
              <w:keepNext/>
              <w:jc w:val="right"/>
              <w:rPr>
                <w:sz w:val="20"/>
                <w:szCs w:val="20"/>
              </w:rPr>
            </w:pPr>
            <w:r w:rsidRPr="006E5CB4">
              <w:rPr>
                <w:sz w:val="20"/>
                <w:szCs w:val="20"/>
              </w:rPr>
              <w:t>17</w:t>
            </w:r>
          </w:p>
        </w:tc>
        <w:tc>
          <w:tcPr>
            <w:tcW w:w="478" w:type="pct"/>
            <w:tcBorders>
              <w:bottom w:val="single" w:color="auto" w:sz="4" w:space="0"/>
            </w:tcBorders>
            <w:shd w:val="clear" w:color="auto" w:fill="auto"/>
          </w:tcPr>
          <w:p w:rsidRPr="006E5CB4" w:rsidR="00A50F46" w:rsidP="00FF5235" w:rsidRDefault="007E010A">
            <w:pPr>
              <w:keepNext/>
              <w:jc w:val="right"/>
              <w:rPr>
                <w:sz w:val="20"/>
                <w:szCs w:val="20"/>
              </w:rPr>
            </w:pPr>
            <w:r>
              <w:rPr>
                <w:sz w:val="20"/>
                <w:szCs w:val="20"/>
              </w:rPr>
              <w:t>7,582</w:t>
            </w:r>
          </w:p>
        </w:tc>
      </w:tr>
    </w:tbl>
    <w:p w:rsidRPr="00231519" w:rsidR="00E65A37" w:rsidP="007174E2" w:rsidRDefault="00E65A37">
      <w:pPr>
        <w:pStyle w:val="BodyText2"/>
      </w:pPr>
    </w:p>
    <w:p w:rsidRPr="00F62AA0" w:rsidR="00943B26" w:rsidP="00A00361" w:rsidRDefault="00943B26">
      <w:pPr>
        <w:pStyle w:val="HTMLPreformatted"/>
        <w:ind w:left="720"/>
        <w:rPr>
          <w:rFonts w:ascii="Times New Roman" w:hAnsi="Times New Roman"/>
          <w:sz w:val="24"/>
        </w:rPr>
      </w:pPr>
      <w:r>
        <w:rPr>
          <w:rFonts w:ascii="Times New Roman" w:hAnsi="Times New Roman"/>
          <w:sz w:val="24"/>
        </w:rPr>
        <w:t>Th</w:t>
      </w:r>
      <w:r w:rsidRPr="00F62AA0">
        <w:rPr>
          <w:rFonts w:ascii="Times New Roman" w:hAnsi="Times New Roman"/>
          <w:sz w:val="24"/>
        </w:rPr>
        <w:t xml:space="preserve">e burden estimate is based on </w:t>
      </w:r>
      <w:r w:rsidR="00C331D2">
        <w:rPr>
          <w:rFonts w:ascii="Times New Roman" w:hAnsi="Times New Roman"/>
          <w:sz w:val="24"/>
        </w:rPr>
        <w:t>the</w:t>
      </w:r>
      <w:r w:rsidRPr="00F62AA0">
        <w:rPr>
          <w:rFonts w:ascii="Times New Roman" w:hAnsi="Times New Roman"/>
          <w:sz w:val="24"/>
        </w:rPr>
        <w:t xml:space="preserve"> annual rate of receipt of PMA </w:t>
      </w:r>
      <w:r w:rsidR="00473961">
        <w:rPr>
          <w:rFonts w:ascii="Times New Roman" w:hAnsi="Times New Roman"/>
          <w:sz w:val="24"/>
        </w:rPr>
        <w:t>submissions</w:t>
      </w:r>
      <w:r w:rsidR="00C331D2">
        <w:rPr>
          <w:rFonts w:ascii="Times New Roman" w:hAnsi="Times New Roman"/>
          <w:sz w:val="24"/>
        </w:rPr>
        <w:t xml:space="preserve"> for fiscal years (F</w:t>
      </w:r>
      <w:r w:rsidR="00E5477D">
        <w:rPr>
          <w:rFonts w:ascii="Times New Roman" w:hAnsi="Times New Roman"/>
          <w:sz w:val="24"/>
        </w:rPr>
        <w:t>Y</w:t>
      </w:r>
      <w:r w:rsidR="00C331D2">
        <w:rPr>
          <w:rFonts w:ascii="Times New Roman" w:hAnsi="Times New Roman"/>
          <w:sz w:val="24"/>
        </w:rPr>
        <w:t>s) 2016 through 2018</w:t>
      </w:r>
      <w:r w:rsidR="00473961">
        <w:rPr>
          <w:rFonts w:ascii="Times New Roman" w:hAnsi="Times New Roman"/>
          <w:sz w:val="24"/>
        </w:rPr>
        <w:t xml:space="preserve"> and our expectation of submissions to come in the next few years</w:t>
      </w:r>
      <w:r w:rsidRPr="00F62AA0">
        <w:rPr>
          <w:rFonts w:ascii="Times New Roman" w:hAnsi="Times New Roman"/>
          <w:sz w:val="24"/>
        </w:rPr>
        <w:t>. The burden data for PMAs is</w:t>
      </w:r>
      <w:r>
        <w:rPr>
          <w:rFonts w:ascii="Times New Roman" w:hAnsi="Times New Roman"/>
          <w:sz w:val="24"/>
        </w:rPr>
        <w:t xml:space="preserve"> </w:t>
      </w:r>
      <w:r w:rsidRPr="00F62AA0">
        <w:rPr>
          <w:rFonts w:ascii="Times New Roman" w:hAnsi="Times New Roman"/>
          <w:sz w:val="24"/>
        </w:rPr>
        <w:t xml:space="preserve">based on data provided by </w:t>
      </w:r>
      <w:r w:rsidR="00472AD1">
        <w:rPr>
          <w:rFonts w:ascii="Times New Roman" w:hAnsi="Times New Roman"/>
          <w:sz w:val="24"/>
        </w:rPr>
        <w:t>applicant</w:t>
      </w:r>
      <w:r w:rsidRPr="00F62AA0">
        <w:rPr>
          <w:rFonts w:ascii="Times New Roman" w:hAnsi="Times New Roman"/>
          <w:sz w:val="24"/>
        </w:rPr>
        <w:t xml:space="preserve">s by device type and cost element in an earlier study. </w:t>
      </w:r>
    </w:p>
    <w:p w:rsidR="00943B26" w:rsidP="007174E2" w:rsidRDefault="00943B26">
      <w:pPr>
        <w:pStyle w:val="HTMLPreformatted"/>
        <w:ind w:left="720"/>
        <w:rPr>
          <w:rFonts w:ascii="Times New Roman" w:hAnsi="Times New Roman"/>
          <w:b/>
          <w:sz w:val="24"/>
        </w:rPr>
      </w:pPr>
    </w:p>
    <w:p w:rsidRPr="00F62AA0" w:rsidR="00943B26" w:rsidP="00A861EC" w:rsidRDefault="00943B26">
      <w:pPr>
        <w:pStyle w:val="HTMLPreformatted"/>
        <w:keepNext/>
        <w:ind w:left="720"/>
        <w:rPr>
          <w:rFonts w:ascii="Times New Roman" w:hAnsi="Times New Roman"/>
          <w:sz w:val="24"/>
        </w:rPr>
      </w:pPr>
      <w:r w:rsidRPr="004B51D6">
        <w:rPr>
          <w:rFonts w:ascii="Times New Roman" w:hAnsi="Times New Roman"/>
          <w:b/>
          <w:sz w:val="24"/>
        </w:rPr>
        <w:t>Reporting Burden</w:t>
      </w:r>
      <w:r w:rsidRPr="00F62AA0">
        <w:rPr>
          <w:rFonts w:ascii="Times New Roman" w:hAnsi="Times New Roman"/>
          <w:sz w:val="24"/>
        </w:rPr>
        <w:t>:</w:t>
      </w:r>
    </w:p>
    <w:p w:rsidR="00943B26" w:rsidP="007174E2" w:rsidRDefault="00943B26">
      <w:pPr>
        <w:pStyle w:val="HTMLPreformatted"/>
        <w:ind w:left="720"/>
        <w:rPr>
          <w:rFonts w:ascii="Times New Roman" w:hAnsi="Times New Roman"/>
          <w:b/>
          <w:sz w:val="24"/>
        </w:rPr>
      </w:pPr>
    </w:p>
    <w:p w:rsidRPr="00D57377" w:rsidR="00943B26" w:rsidP="007174E2" w:rsidRDefault="00943B26">
      <w:pPr>
        <w:pStyle w:val="HTMLPreformatted"/>
        <w:ind w:left="720"/>
        <w:rPr>
          <w:rFonts w:ascii="Times New Roman" w:hAnsi="Times New Roman"/>
          <w:b/>
          <w:sz w:val="24"/>
        </w:rPr>
      </w:pPr>
      <w:r>
        <w:rPr>
          <w:rFonts w:ascii="Times New Roman" w:hAnsi="Times New Roman"/>
          <w:b/>
          <w:sz w:val="24"/>
        </w:rPr>
        <w:t>§</w:t>
      </w:r>
      <w:r w:rsidRPr="00D57377">
        <w:rPr>
          <w:rFonts w:ascii="Times New Roman" w:hAnsi="Times New Roman"/>
          <w:b/>
          <w:sz w:val="24"/>
        </w:rPr>
        <w:t xml:space="preserve"> 814.15</w:t>
      </w:r>
      <w:r w:rsidR="00D130A3">
        <w:rPr>
          <w:rFonts w:ascii="Times New Roman" w:hAnsi="Times New Roman"/>
          <w:b/>
          <w:sz w:val="24"/>
        </w:rPr>
        <w:t>(b)</w:t>
      </w:r>
      <w:r w:rsidRPr="00D57377">
        <w:rPr>
          <w:rFonts w:ascii="Times New Roman" w:hAnsi="Times New Roman"/>
          <w:b/>
          <w:sz w:val="24"/>
        </w:rPr>
        <w:t xml:space="preserve">--Research Conducted Outside the United States </w:t>
      </w:r>
    </w:p>
    <w:p w:rsidRPr="00F62AA0" w:rsidR="00943B26" w:rsidP="007174E2" w:rsidRDefault="00A50F46">
      <w:pPr>
        <w:pStyle w:val="HTMLPreformatted"/>
        <w:ind w:left="720"/>
        <w:rPr>
          <w:rFonts w:ascii="Times New Roman" w:hAnsi="Times New Roman"/>
          <w:sz w:val="24"/>
        </w:rPr>
      </w:pPr>
      <w:r w:rsidRPr="002D3BE6">
        <w:rPr>
          <w:rFonts w:ascii="Times New Roman" w:hAnsi="Times New Roman"/>
          <w:sz w:val="24"/>
        </w:rPr>
        <w:t xml:space="preserve">FDA will accept information on a clinical investigation conducted outside the United States </w:t>
      </w:r>
      <w:r>
        <w:rPr>
          <w:rFonts w:ascii="Times New Roman" w:hAnsi="Times New Roman"/>
          <w:sz w:val="24"/>
        </w:rPr>
        <w:t xml:space="preserve">(OUS) </w:t>
      </w:r>
      <w:r w:rsidRPr="002D3BE6">
        <w:rPr>
          <w:rFonts w:ascii="Times New Roman" w:hAnsi="Times New Roman"/>
          <w:sz w:val="24"/>
        </w:rPr>
        <w:t>to support a PMA if the investigation is well-designed and well-conducted and certain</w:t>
      </w:r>
      <w:r w:rsidR="00EE0A2B">
        <w:rPr>
          <w:rFonts w:ascii="Times New Roman" w:hAnsi="Times New Roman"/>
          <w:sz w:val="24"/>
        </w:rPr>
        <w:t xml:space="preserve"> other</w:t>
      </w:r>
      <w:r w:rsidRPr="002D3BE6">
        <w:rPr>
          <w:rFonts w:ascii="Times New Roman" w:hAnsi="Times New Roman"/>
          <w:sz w:val="24"/>
        </w:rPr>
        <w:t xml:space="preserve"> conditions are met, including that the investigation was conducted in accordance with good clinical practice (GCP)</w:t>
      </w:r>
      <w:r>
        <w:rPr>
          <w:rFonts w:ascii="Times New Roman" w:hAnsi="Times New Roman"/>
          <w:sz w:val="24"/>
        </w:rPr>
        <w:t xml:space="preserve"> as specified </w:t>
      </w:r>
      <w:r w:rsidRPr="002D3BE6">
        <w:rPr>
          <w:rFonts w:ascii="Times New Roman" w:hAnsi="Times New Roman"/>
          <w:sz w:val="24"/>
        </w:rPr>
        <w:t>21 CFR 812.28</w:t>
      </w:r>
      <w:r>
        <w:rPr>
          <w:rFonts w:ascii="Times New Roman" w:hAnsi="Times New Roman"/>
          <w:sz w:val="24"/>
        </w:rPr>
        <w:t>.</w:t>
      </w:r>
      <w:r w:rsidRPr="00EC6418">
        <w:t xml:space="preserve"> </w:t>
      </w:r>
      <w:r w:rsidRPr="00EC6418">
        <w:rPr>
          <w:rFonts w:ascii="Times New Roman" w:hAnsi="Times New Roman"/>
          <w:sz w:val="24"/>
        </w:rPr>
        <w:t xml:space="preserve">If the OUS clinical investigation did not conform to GCP, then </w:t>
      </w:r>
      <w:r>
        <w:rPr>
          <w:rFonts w:ascii="Times New Roman" w:hAnsi="Times New Roman"/>
          <w:sz w:val="24"/>
        </w:rPr>
        <w:t xml:space="preserve">the PMA </w:t>
      </w:r>
      <w:r w:rsidRPr="00EC6418">
        <w:rPr>
          <w:rFonts w:ascii="Times New Roman" w:hAnsi="Times New Roman"/>
          <w:sz w:val="24"/>
        </w:rPr>
        <w:t>submission</w:t>
      </w:r>
      <w:r>
        <w:rPr>
          <w:rFonts w:ascii="Times New Roman" w:hAnsi="Times New Roman"/>
          <w:sz w:val="24"/>
        </w:rPr>
        <w:t xml:space="preserve"> should</w:t>
      </w:r>
      <w:r w:rsidRPr="00EC6418">
        <w:rPr>
          <w:rFonts w:ascii="Times New Roman" w:hAnsi="Times New Roman"/>
          <w:sz w:val="24"/>
        </w:rPr>
        <w:t xml:space="preserve"> include</w:t>
      </w:r>
      <w:r>
        <w:rPr>
          <w:rFonts w:ascii="Times New Roman" w:hAnsi="Times New Roman"/>
          <w:sz w:val="24"/>
        </w:rPr>
        <w:t xml:space="preserve">  a waiver request or a s</w:t>
      </w:r>
      <w:r w:rsidRPr="00EC6418">
        <w:rPr>
          <w:rFonts w:ascii="Times New Roman" w:hAnsi="Times New Roman"/>
          <w:sz w:val="24"/>
        </w:rPr>
        <w:t>tatement explaining the reason for not conducting the investigation in accordance with GCP and a description of steps taken to ensure that the data and results are credible and accurate and that the rights, safety, and well-being of subjects have been adequately protected.</w:t>
      </w:r>
      <w:r w:rsidRPr="00F62AA0">
        <w:rPr>
          <w:rFonts w:ascii="Times New Roman" w:hAnsi="Times New Roman"/>
          <w:sz w:val="24"/>
        </w:rPr>
        <w:t xml:space="preserve"> Based on the number of PMAs received that contained studies from overseas, FDA estimates that the burden estimate necessary to meet this requirement is </w:t>
      </w:r>
      <w:r>
        <w:rPr>
          <w:rFonts w:ascii="Times New Roman" w:hAnsi="Times New Roman"/>
          <w:sz w:val="24"/>
        </w:rPr>
        <w:t>50</w:t>
      </w:r>
      <w:r w:rsidRPr="00F62AA0">
        <w:rPr>
          <w:rFonts w:ascii="Times New Roman" w:hAnsi="Times New Roman"/>
          <w:sz w:val="24"/>
        </w:rPr>
        <w:t xml:space="preserve"> hours.</w:t>
      </w:r>
    </w:p>
    <w:p w:rsidR="00943B26" w:rsidP="007174E2" w:rsidRDefault="00943B26">
      <w:pPr>
        <w:pStyle w:val="HTMLPreformatted"/>
        <w:ind w:left="720"/>
        <w:rPr>
          <w:rFonts w:ascii="Times New Roman" w:hAnsi="Times New Roman"/>
          <w:b/>
          <w:sz w:val="24"/>
        </w:rPr>
      </w:pPr>
    </w:p>
    <w:p w:rsidRPr="00D57377" w:rsidR="00943B26" w:rsidP="007174E2" w:rsidRDefault="00943B26">
      <w:pPr>
        <w:pStyle w:val="HTMLPreformatted"/>
        <w:ind w:left="720"/>
        <w:rPr>
          <w:rFonts w:ascii="Times New Roman" w:hAnsi="Times New Roman"/>
          <w:b/>
          <w:sz w:val="24"/>
        </w:rPr>
      </w:pPr>
      <w:r>
        <w:rPr>
          <w:rFonts w:ascii="Times New Roman" w:hAnsi="Times New Roman"/>
          <w:b/>
          <w:sz w:val="24"/>
        </w:rPr>
        <w:t xml:space="preserve">§ </w:t>
      </w:r>
      <w:r w:rsidRPr="00D57377">
        <w:rPr>
          <w:rFonts w:ascii="Times New Roman" w:hAnsi="Times New Roman"/>
          <w:b/>
          <w:sz w:val="24"/>
        </w:rPr>
        <w:t>814.20 --Application</w:t>
      </w:r>
    </w:p>
    <w:p w:rsidR="00A50F46" w:rsidP="00A50F46" w:rsidRDefault="00A50F46">
      <w:pPr>
        <w:pStyle w:val="HTMLPreformatted"/>
        <w:ind w:left="720"/>
        <w:rPr>
          <w:rFonts w:ascii="Times New Roman" w:hAnsi="Times New Roman"/>
          <w:sz w:val="24"/>
        </w:rPr>
      </w:pPr>
      <w:r w:rsidRPr="00B7246F">
        <w:rPr>
          <w:rFonts w:ascii="Times New Roman" w:hAnsi="Times New Roman"/>
          <w:sz w:val="24"/>
        </w:rPr>
        <w:t>Specifies the information required in a PMA and update reports such as the applicant's name and address, a description of the device, its labeling, its indications for use, and summary of clinical and non-clinical studies.</w:t>
      </w:r>
      <w:r>
        <w:rPr>
          <w:rFonts w:ascii="Times New Roman" w:hAnsi="Times New Roman"/>
          <w:sz w:val="24"/>
        </w:rPr>
        <w:t xml:space="preserve"> </w:t>
      </w:r>
      <w:r w:rsidRPr="00F62AA0">
        <w:rPr>
          <w:rFonts w:ascii="Times New Roman" w:hAnsi="Times New Roman"/>
          <w:sz w:val="24"/>
        </w:rPr>
        <w:t>Inclu</w:t>
      </w:r>
      <w:r>
        <w:rPr>
          <w:rFonts w:ascii="Times New Roman" w:hAnsi="Times New Roman"/>
          <w:sz w:val="24"/>
        </w:rPr>
        <w:t xml:space="preserve">ded in this requirement are the </w:t>
      </w:r>
      <w:r w:rsidRPr="00F62AA0">
        <w:rPr>
          <w:rFonts w:ascii="Times New Roman" w:hAnsi="Times New Roman"/>
          <w:sz w:val="24"/>
        </w:rPr>
        <w:t xml:space="preserve">conduct of laboratory and clinical trials as well as the analysis, review, and physical preparation of the PMA application. FDA estimates that </w:t>
      </w:r>
      <w:r>
        <w:rPr>
          <w:rFonts w:ascii="Times New Roman" w:hAnsi="Times New Roman"/>
          <w:sz w:val="24"/>
        </w:rPr>
        <w:t>38</w:t>
      </w:r>
      <w:r w:rsidRPr="00F62AA0">
        <w:rPr>
          <w:rFonts w:ascii="Times New Roman" w:hAnsi="Times New Roman"/>
          <w:sz w:val="24"/>
        </w:rPr>
        <w:t xml:space="preserve"> </w:t>
      </w:r>
      <w:r>
        <w:rPr>
          <w:rFonts w:ascii="Times New Roman" w:hAnsi="Times New Roman"/>
          <w:sz w:val="24"/>
        </w:rPr>
        <w:t>applicant</w:t>
      </w:r>
      <w:r w:rsidRPr="00F62AA0">
        <w:rPr>
          <w:rFonts w:ascii="Times New Roman" w:hAnsi="Times New Roman"/>
          <w:sz w:val="24"/>
        </w:rPr>
        <w:t xml:space="preserve">s, including hospital re-manufacturers of </w:t>
      </w:r>
      <w:r w:rsidR="00EE0A2B">
        <w:rPr>
          <w:rFonts w:ascii="Times New Roman" w:hAnsi="Times New Roman"/>
          <w:sz w:val="24"/>
        </w:rPr>
        <w:t>single-use devices (</w:t>
      </w:r>
      <w:r w:rsidRPr="00F62AA0">
        <w:rPr>
          <w:rFonts w:ascii="Times New Roman" w:hAnsi="Times New Roman"/>
          <w:sz w:val="24"/>
        </w:rPr>
        <w:t>SUDs</w:t>
      </w:r>
      <w:r w:rsidR="00EE0A2B">
        <w:rPr>
          <w:rFonts w:ascii="Times New Roman" w:hAnsi="Times New Roman"/>
          <w:sz w:val="24"/>
        </w:rPr>
        <w:t>)</w:t>
      </w:r>
      <w:r w:rsidRPr="00F62AA0">
        <w:rPr>
          <w:rFonts w:ascii="Times New Roman" w:hAnsi="Times New Roman"/>
          <w:sz w:val="24"/>
        </w:rPr>
        <w:t>, will be affected by these requirements</w:t>
      </w:r>
      <w:r w:rsidR="00EE0A2B">
        <w:rPr>
          <w:rFonts w:ascii="Times New Roman" w:hAnsi="Times New Roman"/>
          <w:sz w:val="24"/>
        </w:rPr>
        <w:t>,</w:t>
      </w:r>
      <w:r w:rsidRPr="00F62AA0">
        <w:rPr>
          <w:rFonts w:ascii="Times New Roman" w:hAnsi="Times New Roman"/>
          <w:sz w:val="24"/>
        </w:rPr>
        <w:t xml:space="preserve"> which are based on the actual average of FDA receipt of new PMA applications in FY</w:t>
      </w:r>
      <w:r w:rsidR="00EE0A2B">
        <w:rPr>
          <w:rFonts w:ascii="Times New Roman" w:hAnsi="Times New Roman"/>
          <w:sz w:val="24"/>
        </w:rPr>
        <w:t>s</w:t>
      </w:r>
      <w:r w:rsidRPr="00F62AA0">
        <w:rPr>
          <w:rFonts w:ascii="Times New Roman" w:hAnsi="Times New Roman"/>
          <w:sz w:val="24"/>
        </w:rPr>
        <w:t xml:space="preserve"> </w:t>
      </w:r>
      <w:r>
        <w:rPr>
          <w:rFonts w:ascii="Times New Roman" w:hAnsi="Times New Roman"/>
          <w:sz w:val="24"/>
        </w:rPr>
        <w:t>2016</w:t>
      </w:r>
      <w:r w:rsidRPr="00F62AA0">
        <w:rPr>
          <w:rFonts w:ascii="Times New Roman" w:hAnsi="Times New Roman"/>
          <w:sz w:val="24"/>
        </w:rPr>
        <w:t xml:space="preserve"> through </w:t>
      </w:r>
      <w:r>
        <w:rPr>
          <w:rFonts w:ascii="Times New Roman" w:hAnsi="Times New Roman"/>
          <w:sz w:val="24"/>
        </w:rPr>
        <w:t>2018</w:t>
      </w:r>
      <w:r w:rsidRPr="00F62AA0">
        <w:rPr>
          <w:rFonts w:ascii="Times New Roman" w:hAnsi="Times New Roman"/>
          <w:sz w:val="24"/>
        </w:rPr>
        <w:t>.</w:t>
      </w:r>
    </w:p>
    <w:p w:rsidR="00A50F46" w:rsidP="00A50F46" w:rsidRDefault="00A50F46">
      <w:pPr>
        <w:pStyle w:val="HTMLPreformatted"/>
        <w:ind w:left="720"/>
        <w:rPr>
          <w:rFonts w:ascii="Times New Roman" w:hAnsi="Times New Roman"/>
          <w:sz w:val="24"/>
        </w:rPr>
      </w:pPr>
    </w:p>
    <w:p w:rsidR="00C30ED5" w:rsidP="00A50F46" w:rsidRDefault="00A50F46">
      <w:pPr>
        <w:pStyle w:val="HTMLPreformatted"/>
        <w:ind w:left="720"/>
        <w:rPr>
          <w:rFonts w:ascii="Times New Roman" w:hAnsi="Times New Roman"/>
          <w:sz w:val="24"/>
        </w:rPr>
      </w:pPr>
      <w:proofErr w:type="gramStart"/>
      <w:r w:rsidRPr="00C30ED5">
        <w:rPr>
          <w:rFonts w:ascii="Times New Roman" w:hAnsi="Times New Roman"/>
          <w:sz w:val="24"/>
        </w:rPr>
        <w:t>Additionally ,</w:t>
      </w:r>
      <w:proofErr w:type="gramEnd"/>
      <w:r w:rsidRPr="00C30ED5">
        <w:rPr>
          <w:rFonts w:ascii="Times New Roman" w:hAnsi="Times New Roman"/>
          <w:sz w:val="24"/>
        </w:rPr>
        <w:t xml:space="preserve"> the </w:t>
      </w:r>
      <w:r w:rsidR="00EE0A2B">
        <w:rPr>
          <w:rFonts w:ascii="Times New Roman" w:hAnsi="Times New Roman"/>
          <w:sz w:val="24"/>
        </w:rPr>
        <w:t>“Human Subject Protection; Acceptance of Data from Clinical Investigations for Medical Devices” final rule (83 FR 7366; February 21, 2018)</w:t>
      </w:r>
      <w:r w:rsidRPr="00C30ED5">
        <w:rPr>
          <w:rFonts w:ascii="Times New Roman" w:hAnsi="Times New Roman"/>
          <w:sz w:val="24"/>
        </w:rPr>
        <w:t xml:space="preserve"> amended this section to address requirements for a PMA supported by data from clinical investigations conducted outside the United States. The applicant will be required to submit the information as described in § 814.20(b)(6)(ii)(C).  We estimate this will take 30 minutes per respondent. We estimate that 10 respondents annually will submit such information.</w:t>
      </w:r>
    </w:p>
    <w:p w:rsidR="009675F2" w:rsidP="00A50F46" w:rsidRDefault="009675F2">
      <w:pPr>
        <w:pStyle w:val="HTMLPreformatted"/>
        <w:ind w:left="720"/>
        <w:rPr>
          <w:rFonts w:ascii="Times New Roman" w:hAnsi="Times New Roman"/>
          <w:sz w:val="24"/>
        </w:rPr>
      </w:pPr>
    </w:p>
    <w:p w:rsidRPr="00F62AA0" w:rsidR="009675F2" w:rsidP="00A50F46" w:rsidRDefault="009675F2">
      <w:pPr>
        <w:pStyle w:val="HTMLPreformatted"/>
        <w:ind w:left="720"/>
        <w:rPr>
          <w:rFonts w:ascii="Times New Roman" w:hAnsi="Times New Roman"/>
          <w:sz w:val="24"/>
        </w:rPr>
      </w:pPr>
      <w:r>
        <w:rPr>
          <w:rFonts w:ascii="Times New Roman" w:hAnsi="Times New Roman"/>
          <w:sz w:val="24"/>
        </w:rPr>
        <w:t xml:space="preserve">The collections in OMB control number 0910-0741, “Human Subject Protection; Acceptance of Data from Clinical Studies for Medical Devices,” were submitted to OMB as a new information collection request with the expectation that the currently approved requirements will be amended. As noted in the Supporting Statement for OMB control number 0910-0741, we are amending OMB control number 0910-0231 to reflect the information collections associated with the rulemaking under </w:t>
      </w:r>
      <w:r w:rsidRPr="00C30ED5">
        <w:rPr>
          <w:rFonts w:ascii="Times New Roman" w:hAnsi="Times New Roman"/>
          <w:sz w:val="24"/>
        </w:rPr>
        <w:t>§ 814.20(b)(6)(ii)(C)</w:t>
      </w:r>
      <w:r>
        <w:rPr>
          <w:rFonts w:ascii="Times New Roman" w:hAnsi="Times New Roman"/>
          <w:sz w:val="24"/>
        </w:rPr>
        <w:t>.</w:t>
      </w:r>
    </w:p>
    <w:p w:rsidR="00943B26" w:rsidP="007174E2" w:rsidRDefault="00943B26">
      <w:pPr>
        <w:pStyle w:val="HTMLPreformatted"/>
        <w:ind w:left="720"/>
        <w:rPr>
          <w:rFonts w:ascii="Times New Roman" w:hAnsi="Times New Roman"/>
          <w:b/>
          <w:sz w:val="24"/>
        </w:rPr>
      </w:pPr>
    </w:p>
    <w:p w:rsidRPr="00F62AA0" w:rsidR="00943B26" w:rsidP="007174E2" w:rsidRDefault="00943B26">
      <w:pPr>
        <w:pStyle w:val="HTMLPreformatted"/>
        <w:ind w:left="720"/>
        <w:rPr>
          <w:rFonts w:ascii="Times New Roman" w:hAnsi="Times New Roman"/>
          <w:sz w:val="24"/>
        </w:rPr>
      </w:pPr>
      <w:r>
        <w:rPr>
          <w:rFonts w:ascii="Times New Roman" w:hAnsi="Times New Roman"/>
          <w:b/>
          <w:sz w:val="24"/>
        </w:rPr>
        <w:t>§</w:t>
      </w:r>
      <w:r w:rsidRPr="00D27893">
        <w:rPr>
          <w:rFonts w:ascii="Times New Roman" w:hAnsi="Times New Roman"/>
          <w:b/>
          <w:sz w:val="24"/>
        </w:rPr>
        <w:t xml:space="preserve"> 814.37</w:t>
      </w:r>
      <w:r w:rsidRPr="00D57377" w:rsidR="00473961">
        <w:rPr>
          <w:rFonts w:ascii="Times New Roman" w:hAnsi="Times New Roman"/>
          <w:b/>
          <w:sz w:val="24"/>
        </w:rPr>
        <w:t>(a) through (c) and (e)</w:t>
      </w:r>
      <w:r w:rsidRPr="00D27893">
        <w:rPr>
          <w:rFonts w:ascii="Times New Roman" w:hAnsi="Times New Roman"/>
          <w:b/>
          <w:sz w:val="24"/>
        </w:rPr>
        <w:t>--PMA Amendments and Re</w:t>
      </w:r>
      <w:r w:rsidR="009675F2">
        <w:rPr>
          <w:rFonts w:ascii="Times New Roman" w:hAnsi="Times New Roman"/>
          <w:b/>
          <w:sz w:val="24"/>
        </w:rPr>
        <w:t>s</w:t>
      </w:r>
      <w:r w:rsidRPr="00D27893">
        <w:rPr>
          <w:rFonts w:ascii="Times New Roman" w:hAnsi="Times New Roman"/>
          <w:b/>
          <w:sz w:val="24"/>
        </w:rPr>
        <w:t>ubmitted PMAs</w:t>
      </w:r>
    </w:p>
    <w:p w:rsidRPr="00F62AA0" w:rsidR="00943B26" w:rsidP="007174E2" w:rsidRDefault="00943B26">
      <w:pPr>
        <w:pStyle w:val="HTMLPreformatted"/>
        <w:ind w:left="720"/>
        <w:rPr>
          <w:rFonts w:ascii="Times New Roman" w:hAnsi="Times New Roman"/>
          <w:sz w:val="24"/>
        </w:rPr>
      </w:pPr>
      <w:r w:rsidRPr="00F62AA0">
        <w:rPr>
          <w:rFonts w:ascii="Times New Roman" w:hAnsi="Times New Roman"/>
          <w:sz w:val="24"/>
        </w:rPr>
        <w:t>As part of the review process, FDA often requests PMA applicant</w:t>
      </w:r>
      <w:r w:rsidR="009675F2">
        <w:rPr>
          <w:rFonts w:ascii="Times New Roman" w:hAnsi="Times New Roman"/>
          <w:sz w:val="24"/>
        </w:rPr>
        <w:t>s</w:t>
      </w:r>
      <w:r w:rsidRPr="00F62AA0">
        <w:rPr>
          <w:rFonts w:ascii="Times New Roman" w:hAnsi="Times New Roman"/>
          <w:sz w:val="24"/>
        </w:rPr>
        <w:t xml:space="preserve"> to submit additional information regarding the device necessary for FDA to file the PMA or to complete its review and make a final decision. The PMA applicant may, on their own initiative, submit additional information to FDA during the review process. These amendments </w:t>
      </w:r>
      <w:r w:rsidRPr="00F62AA0">
        <w:rPr>
          <w:rFonts w:ascii="Times New Roman" w:hAnsi="Times New Roman"/>
          <w:sz w:val="24"/>
        </w:rPr>
        <w:lastRenderedPageBreak/>
        <w:t xml:space="preserve">contain information ranging from additional test results, reanalysis of the original data set to revised device labeling. Almost all PMAs received by the </w:t>
      </w:r>
      <w:r w:rsidR="009675F2">
        <w:rPr>
          <w:rFonts w:ascii="Times New Roman" w:hAnsi="Times New Roman"/>
          <w:sz w:val="24"/>
        </w:rPr>
        <w:t>A</w:t>
      </w:r>
      <w:r w:rsidRPr="00F62AA0">
        <w:rPr>
          <w:rFonts w:ascii="Times New Roman" w:hAnsi="Times New Roman"/>
          <w:sz w:val="24"/>
        </w:rPr>
        <w:t>gency have amendments submitted during the review process.</w:t>
      </w:r>
    </w:p>
    <w:p w:rsidR="00943B26" w:rsidP="007174E2" w:rsidRDefault="00943B26">
      <w:pPr>
        <w:pStyle w:val="HTMLPreformatted"/>
        <w:ind w:left="720"/>
        <w:rPr>
          <w:rFonts w:ascii="Times New Roman" w:hAnsi="Times New Roman"/>
          <w:b/>
          <w:sz w:val="24"/>
        </w:rPr>
      </w:pPr>
    </w:p>
    <w:p w:rsidRPr="00D27893" w:rsidR="00943B26" w:rsidP="006E5CB4" w:rsidRDefault="00943B26">
      <w:pPr>
        <w:pStyle w:val="HTMLPreformatted"/>
        <w:keepNext/>
        <w:ind w:left="720"/>
        <w:rPr>
          <w:rFonts w:ascii="Times New Roman" w:hAnsi="Times New Roman"/>
          <w:b/>
          <w:sz w:val="24"/>
        </w:rPr>
      </w:pPr>
      <w:r>
        <w:rPr>
          <w:rFonts w:ascii="Times New Roman" w:hAnsi="Times New Roman"/>
          <w:b/>
          <w:sz w:val="24"/>
        </w:rPr>
        <w:t>§</w:t>
      </w:r>
      <w:r w:rsidRPr="00D27893">
        <w:rPr>
          <w:rFonts w:ascii="Times New Roman" w:hAnsi="Times New Roman"/>
          <w:b/>
          <w:sz w:val="24"/>
        </w:rPr>
        <w:t xml:space="preserve"> 814.39(a)--PMA Supplements</w:t>
      </w:r>
    </w:p>
    <w:p w:rsidRPr="00F62AA0" w:rsidR="00943B26" w:rsidP="007174E2" w:rsidRDefault="009675F2">
      <w:pPr>
        <w:pStyle w:val="HTMLPreformatted"/>
        <w:ind w:left="720"/>
        <w:rPr>
          <w:rFonts w:ascii="Times New Roman" w:hAnsi="Times New Roman"/>
          <w:sz w:val="24"/>
        </w:rPr>
      </w:pPr>
      <w:r>
        <w:rPr>
          <w:rFonts w:ascii="Times New Roman" w:hAnsi="Times New Roman"/>
          <w:sz w:val="24"/>
        </w:rPr>
        <w:t>This information collection includes</w:t>
      </w:r>
      <w:r w:rsidRPr="00F62AA0" w:rsidR="00943B26">
        <w:rPr>
          <w:rFonts w:ascii="Times New Roman" w:hAnsi="Times New Roman"/>
          <w:sz w:val="24"/>
        </w:rPr>
        <w:t xml:space="preserve"> the requirements for </w:t>
      </w:r>
      <w:r w:rsidR="00C0536B">
        <w:rPr>
          <w:rFonts w:ascii="Times New Roman" w:hAnsi="Times New Roman"/>
          <w:sz w:val="24"/>
        </w:rPr>
        <w:t xml:space="preserve">the range of </w:t>
      </w:r>
      <w:r w:rsidRPr="00F62AA0" w:rsidR="00943B26">
        <w:rPr>
          <w:rFonts w:ascii="Times New Roman" w:hAnsi="Times New Roman"/>
          <w:sz w:val="24"/>
        </w:rPr>
        <w:t>PMA supplements</w:t>
      </w:r>
      <w:r w:rsidR="00C0536B">
        <w:rPr>
          <w:rFonts w:ascii="Times New Roman" w:hAnsi="Times New Roman"/>
          <w:sz w:val="24"/>
        </w:rPr>
        <w:t xml:space="preserve"> (</w:t>
      </w:r>
      <w:r>
        <w:rPr>
          <w:rFonts w:ascii="Times New Roman" w:hAnsi="Times New Roman"/>
          <w:sz w:val="24"/>
        </w:rPr>
        <w:t xml:space="preserve">panel track, </w:t>
      </w:r>
      <w:r w:rsidR="00C0536B">
        <w:rPr>
          <w:rFonts w:ascii="Times New Roman" w:hAnsi="Times New Roman"/>
          <w:sz w:val="24"/>
        </w:rPr>
        <w:t>180-day fee-based, 180-day non-fee based</w:t>
      </w:r>
      <w:r>
        <w:rPr>
          <w:rFonts w:ascii="Times New Roman" w:hAnsi="Times New Roman"/>
          <w:sz w:val="24"/>
        </w:rPr>
        <w:t>,</w:t>
      </w:r>
      <w:r w:rsidR="00C0536B">
        <w:rPr>
          <w:rFonts w:ascii="Times New Roman" w:hAnsi="Times New Roman"/>
          <w:sz w:val="24"/>
        </w:rPr>
        <w:t xml:space="preserve"> and real-time supplements)</w:t>
      </w:r>
      <w:r w:rsidRPr="00F62AA0" w:rsidR="00943B26">
        <w:rPr>
          <w:rFonts w:ascii="Times New Roman" w:hAnsi="Times New Roman"/>
          <w:sz w:val="24"/>
        </w:rPr>
        <w:t>.</w:t>
      </w:r>
    </w:p>
    <w:p w:rsidR="00943B26" w:rsidP="007174E2" w:rsidRDefault="00943B26">
      <w:pPr>
        <w:pStyle w:val="HTMLPreformatted"/>
        <w:ind w:left="720"/>
        <w:rPr>
          <w:rFonts w:ascii="Times New Roman" w:hAnsi="Times New Roman"/>
          <w:b/>
          <w:sz w:val="24"/>
        </w:rPr>
      </w:pPr>
    </w:p>
    <w:p w:rsidRPr="00F62AA0" w:rsidR="00943B26" w:rsidP="007174E2" w:rsidRDefault="00943B26">
      <w:pPr>
        <w:pStyle w:val="HTMLPreformatted"/>
        <w:ind w:left="720"/>
        <w:rPr>
          <w:rFonts w:ascii="Times New Roman" w:hAnsi="Times New Roman"/>
          <w:sz w:val="24"/>
        </w:rPr>
      </w:pPr>
      <w:r>
        <w:rPr>
          <w:rFonts w:ascii="Times New Roman" w:hAnsi="Times New Roman"/>
          <w:b/>
          <w:sz w:val="24"/>
        </w:rPr>
        <w:t xml:space="preserve">§ </w:t>
      </w:r>
      <w:r w:rsidRPr="00CC18ED">
        <w:rPr>
          <w:rFonts w:ascii="Times New Roman" w:hAnsi="Times New Roman"/>
          <w:b/>
          <w:sz w:val="24"/>
        </w:rPr>
        <w:t>814.39(d)--Special PMA Supplements--Changes Being Affected</w:t>
      </w:r>
    </w:p>
    <w:p w:rsidRPr="00F62AA0" w:rsidR="00943B26" w:rsidP="007174E2" w:rsidRDefault="00A50F46">
      <w:pPr>
        <w:pStyle w:val="HTMLPreformatted"/>
        <w:ind w:left="720"/>
        <w:rPr>
          <w:rFonts w:ascii="Times New Roman" w:hAnsi="Times New Roman"/>
          <w:sz w:val="24"/>
        </w:rPr>
      </w:pPr>
      <w:r w:rsidRPr="00F62AA0">
        <w:rPr>
          <w:rFonts w:ascii="Times New Roman" w:hAnsi="Times New Roman"/>
          <w:sz w:val="24"/>
        </w:rPr>
        <w:t xml:space="preserve">This type of supplement is intended to enhance the safety of the device or the safe use of the device. The number of PMA supplements received that fit this category averaged </w:t>
      </w:r>
      <w:r>
        <w:rPr>
          <w:rFonts w:ascii="Times New Roman" w:hAnsi="Times New Roman"/>
          <w:sz w:val="24"/>
        </w:rPr>
        <w:t>75</w:t>
      </w:r>
      <w:r w:rsidRPr="00F62AA0">
        <w:rPr>
          <w:rFonts w:ascii="Times New Roman" w:hAnsi="Times New Roman"/>
          <w:sz w:val="24"/>
        </w:rPr>
        <w:t xml:space="preserve"> per year based on the numbers received from FY</w:t>
      </w:r>
      <w:r w:rsidR="009675F2">
        <w:rPr>
          <w:rFonts w:ascii="Times New Roman" w:hAnsi="Times New Roman"/>
          <w:sz w:val="24"/>
        </w:rPr>
        <w:t>s</w:t>
      </w:r>
      <w:r w:rsidRPr="00F62AA0">
        <w:rPr>
          <w:rFonts w:ascii="Times New Roman" w:hAnsi="Times New Roman"/>
          <w:sz w:val="24"/>
        </w:rPr>
        <w:t xml:space="preserve"> </w:t>
      </w:r>
      <w:r>
        <w:rPr>
          <w:rFonts w:ascii="Times New Roman" w:hAnsi="Times New Roman"/>
          <w:sz w:val="24"/>
        </w:rPr>
        <w:t>2016</w:t>
      </w:r>
      <w:r w:rsidRPr="00F62AA0">
        <w:rPr>
          <w:rFonts w:ascii="Times New Roman" w:hAnsi="Times New Roman"/>
          <w:sz w:val="24"/>
        </w:rPr>
        <w:t xml:space="preserve"> through </w:t>
      </w:r>
      <w:r>
        <w:rPr>
          <w:rFonts w:ascii="Times New Roman" w:hAnsi="Times New Roman"/>
          <w:sz w:val="24"/>
        </w:rPr>
        <w:t>2018</w:t>
      </w:r>
      <w:r w:rsidRPr="00F62AA0">
        <w:rPr>
          <w:rFonts w:ascii="Times New Roman" w:hAnsi="Times New Roman"/>
          <w:sz w:val="24"/>
        </w:rPr>
        <w:t>.</w:t>
      </w:r>
    </w:p>
    <w:p w:rsidR="00943B26" w:rsidP="007174E2" w:rsidRDefault="00943B26">
      <w:pPr>
        <w:pStyle w:val="HTMLPreformatted"/>
        <w:ind w:left="720"/>
        <w:rPr>
          <w:rFonts w:ascii="Times New Roman" w:hAnsi="Times New Roman"/>
          <w:b/>
          <w:sz w:val="24"/>
        </w:rPr>
      </w:pPr>
    </w:p>
    <w:p w:rsidRPr="00CC18ED" w:rsidR="00943B26" w:rsidP="007174E2" w:rsidRDefault="00943B26">
      <w:pPr>
        <w:pStyle w:val="HTMLPreformatted"/>
        <w:ind w:left="720"/>
        <w:rPr>
          <w:rFonts w:ascii="Times New Roman" w:hAnsi="Times New Roman"/>
          <w:b/>
          <w:sz w:val="24"/>
        </w:rPr>
      </w:pPr>
      <w:r>
        <w:rPr>
          <w:rFonts w:ascii="Times New Roman" w:hAnsi="Times New Roman"/>
          <w:b/>
          <w:sz w:val="24"/>
        </w:rPr>
        <w:t>§</w:t>
      </w:r>
      <w:r w:rsidRPr="00CC18ED">
        <w:rPr>
          <w:rFonts w:ascii="Times New Roman" w:hAnsi="Times New Roman"/>
          <w:b/>
          <w:sz w:val="24"/>
        </w:rPr>
        <w:t xml:space="preserve"> 814.39(f)--30-Day Notice</w:t>
      </w:r>
    </w:p>
    <w:p w:rsidRPr="00F62AA0" w:rsidR="00943B26" w:rsidP="007174E2" w:rsidRDefault="00943B26">
      <w:pPr>
        <w:pStyle w:val="HTMLPreformatted"/>
        <w:ind w:left="720"/>
        <w:rPr>
          <w:rFonts w:ascii="Times New Roman" w:hAnsi="Times New Roman"/>
          <w:sz w:val="24"/>
        </w:rPr>
      </w:pPr>
      <w:r w:rsidRPr="00F62AA0">
        <w:rPr>
          <w:rFonts w:ascii="Times New Roman" w:hAnsi="Times New Roman"/>
          <w:sz w:val="24"/>
        </w:rPr>
        <w:t xml:space="preserve">Under section 515(d) of the </w:t>
      </w:r>
      <w:r w:rsidR="005C58B6">
        <w:rPr>
          <w:rFonts w:ascii="Times New Roman" w:hAnsi="Times New Roman"/>
          <w:sz w:val="24"/>
        </w:rPr>
        <w:t>FD&amp;C A</w:t>
      </w:r>
      <w:r w:rsidRPr="00F62AA0">
        <w:rPr>
          <w:rFonts w:ascii="Times New Roman" w:hAnsi="Times New Roman"/>
          <w:sz w:val="24"/>
        </w:rPr>
        <w:t>ct, modifications to manufacturing procedures or methods of manufacture that affect the safety and effectiveness of a device subject to an approved PMA do not require submission of a PMA supplement under paragraph (a) of th</w:t>
      </w:r>
      <w:r w:rsidR="000E269C">
        <w:rPr>
          <w:rFonts w:ascii="Times New Roman" w:hAnsi="Times New Roman"/>
          <w:sz w:val="24"/>
        </w:rPr>
        <w:t>at</w:t>
      </w:r>
      <w:r w:rsidRPr="00F62AA0">
        <w:rPr>
          <w:rFonts w:ascii="Times New Roman" w:hAnsi="Times New Roman"/>
          <w:sz w:val="24"/>
        </w:rPr>
        <w:t xml:space="preserve"> section and are eligible to be the subject of a 30-day notice. A 30-day notice shall describe in detail the change, summarize the data or information supporting the change, and state that the change has been made in accordance with the requirements of part 820 (21 CFR part 820). The </w:t>
      </w:r>
      <w:r w:rsidR="00472AD1">
        <w:rPr>
          <w:rFonts w:ascii="Times New Roman" w:hAnsi="Times New Roman"/>
          <w:sz w:val="24"/>
        </w:rPr>
        <w:t>applicant</w:t>
      </w:r>
      <w:r w:rsidRPr="00F62AA0">
        <w:rPr>
          <w:rFonts w:ascii="Times New Roman" w:hAnsi="Times New Roman"/>
          <w:sz w:val="24"/>
        </w:rPr>
        <w:t xml:space="preserve"> may distribute the device 30 days after the date on which FDA receives the 30-day notice, unless FDA notifies the applicant within 30 days from receipt of the notice, that it is not adequate.</w:t>
      </w:r>
    </w:p>
    <w:p w:rsidR="00943B26" w:rsidP="007174E2" w:rsidRDefault="00943B26">
      <w:pPr>
        <w:pStyle w:val="HTMLPreformatted"/>
        <w:ind w:left="720"/>
        <w:rPr>
          <w:rFonts w:ascii="Times New Roman" w:hAnsi="Times New Roman"/>
          <w:b/>
          <w:sz w:val="24"/>
        </w:rPr>
      </w:pPr>
    </w:p>
    <w:p w:rsidRPr="00CC18ED" w:rsidR="00943B26" w:rsidP="007174E2" w:rsidRDefault="00943B26">
      <w:pPr>
        <w:pStyle w:val="HTMLPreformatted"/>
        <w:ind w:left="720"/>
        <w:rPr>
          <w:rFonts w:ascii="Times New Roman" w:hAnsi="Times New Roman"/>
          <w:b/>
          <w:sz w:val="24"/>
        </w:rPr>
      </w:pPr>
      <w:r>
        <w:rPr>
          <w:rFonts w:ascii="Times New Roman" w:hAnsi="Times New Roman"/>
          <w:b/>
          <w:sz w:val="24"/>
        </w:rPr>
        <w:t xml:space="preserve">§ </w:t>
      </w:r>
      <w:r w:rsidRPr="00CC18ED">
        <w:rPr>
          <w:rFonts w:ascii="Times New Roman" w:hAnsi="Times New Roman"/>
          <w:b/>
          <w:sz w:val="24"/>
        </w:rPr>
        <w:t>814.82(a)(</w:t>
      </w:r>
      <w:proofErr w:type="gramStart"/>
      <w:r w:rsidRPr="00CC18ED">
        <w:rPr>
          <w:rFonts w:ascii="Times New Roman" w:hAnsi="Times New Roman"/>
          <w:b/>
          <w:sz w:val="24"/>
        </w:rPr>
        <w:t>9)--</w:t>
      </w:r>
      <w:proofErr w:type="gramEnd"/>
      <w:r w:rsidRPr="00CC18ED">
        <w:rPr>
          <w:rFonts w:ascii="Times New Roman" w:hAnsi="Times New Roman"/>
          <w:b/>
          <w:sz w:val="24"/>
        </w:rPr>
        <w:t>Post</w:t>
      </w:r>
      <w:r w:rsidR="000E269C">
        <w:rPr>
          <w:rFonts w:ascii="Times New Roman" w:hAnsi="Times New Roman"/>
          <w:b/>
          <w:sz w:val="24"/>
        </w:rPr>
        <w:t>a</w:t>
      </w:r>
      <w:r w:rsidRPr="00CC18ED">
        <w:rPr>
          <w:rFonts w:ascii="Times New Roman" w:hAnsi="Times New Roman"/>
          <w:b/>
          <w:sz w:val="24"/>
        </w:rPr>
        <w:t>pproval Requirements</w:t>
      </w:r>
    </w:p>
    <w:p w:rsidRPr="00F62AA0" w:rsidR="00943B26" w:rsidP="007174E2" w:rsidRDefault="00943B26">
      <w:pPr>
        <w:pStyle w:val="HTMLPreformatted"/>
        <w:ind w:left="720"/>
        <w:rPr>
          <w:rFonts w:ascii="Times New Roman" w:hAnsi="Times New Roman"/>
          <w:sz w:val="24"/>
        </w:rPr>
      </w:pPr>
      <w:r w:rsidRPr="00F62AA0">
        <w:rPr>
          <w:rFonts w:ascii="Times New Roman" w:hAnsi="Times New Roman"/>
          <w:sz w:val="24"/>
        </w:rPr>
        <w:t xml:space="preserve">Postapproval requirements concerns approved PMAs that were not reclassified and require a periodic report. After approval, all PMAs require a submission of an annual report. </w:t>
      </w:r>
      <w:r w:rsidR="00C0536B">
        <w:rPr>
          <w:rFonts w:ascii="Times New Roman" w:hAnsi="Times New Roman"/>
          <w:sz w:val="24"/>
        </w:rPr>
        <w:t>A majority</w:t>
      </w:r>
      <w:r w:rsidRPr="00F62AA0">
        <w:rPr>
          <w:rFonts w:ascii="Times New Roman" w:hAnsi="Times New Roman"/>
          <w:sz w:val="24"/>
        </w:rPr>
        <w:t xml:space="preserve"> of the submitted PMAs require associated postapproval studies, i.e., followup of patients used in clinical trials to support the PMA or additional preclinical information that is labor-intensive to compile and complete; the remaining PMAs require minimal information.</w:t>
      </w:r>
    </w:p>
    <w:p w:rsidR="00943B26" w:rsidP="007174E2" w:rsidRDefault="00943B26">
      <w:pPr>
        <w:pStyle w:val="HTMLPreformatted"/>
        <w:ind w:left="720"/>
        <w:rPr>
          <w:rFonts w:ascii="Times New Roman" w:hAnsi="Times New Roman"/>
          <w:b/>
          <w:sz w:val="24"/>
        </w:rPr>
      </w:pPr>
    </w:p>
    <w:p w:rsidRPr="00CC18ED" w:rsidR="00943B26" w:rsidP="007174E2" w:rsidRDefault="00943B26">
      <w:pPr>
        <w:pStyle w:val="HTMLPreformatted"/>
        <w:ind w:left="720"/>
        <w:rPr>
          <w:rFonts w:ascii="Times New Roman" w:hAnsi="Times New Roman"/>
          <w:b/>
          <w:sz w:val="24"/>
        </w:rPr>
      </w:pPr>
      <w:r>
        <w:rPr>
          <w:rFonts w:ascii="Times New Roman" w:hAnsi="Times New Roman"/>
          <w:b/>
          <w:sz w:val="24"/>
        </w:rPr>
        <w:t>§</w:t>
      </w:r>
      <w:r w:rsidRPr="00CC18ED">
        <w:rPr>
          <w:rFonts w:ascii="Times New Roman" w:hAnsi="Times New Roman"/>
          <w:b/>
          <w:sz w:val="24"/>
        </w:rPr>
        <w:t xml:space="preserve"> 814.84(b)</w:t>
      </w:r>
      <w:r w:rsidR="005C58B6">
        <w:rPr>
          <w:rFonts w:ascii="Times New Roman" w:hAnsi="Times New Roman"/>
          <w:b/>
          <w:sz w:val="24"/>
        </w:rPr>
        <w:t>--Periodic R</w:t>
      </w:r>
      <w:r w:rsidRPr="00CC18ED">
        <w:rPr>
          <w:rFonts w:ascii="Times New Roman" w:hAnsi="Times New Roman"/>
          <w:b/>
          <w:sz w:val="24"/>
        </w:rPr>
        <w:t>eports</w:t>
      </w:r>
    </w:p>
    <w:p w:rsidRPr="00F62AA0" w:rsidR="00943B26" w:rsidP="007174E2" w:rsidRDefault="00943B26">
      <w:pPr>
        <w:pStyle w:val="HTMLPreformatted"/>
        <w:ind w:left="720"/>
        <w:rPr>
          <w:rFonts w:ascii="Times New Roman" w:hAnsi="Times New Roman"/>
          <w:sz w:val="24"/>
        </w:rPr>
      </w:pPr>
      <w:r w:rsidRPr="00F62AA0">
        <w:rPr>
          <w:rFonts w:ascii="Times New Roman" w:hAnsi="Times New Roman"/>
          <w:sz w:val="24"/>
        </w:rPr>
        <w:t xml:space="preserve">Postapproval requirements described in </w:t>
      </w:r>
      <w:r>
        <w:rPr>
          <w:rFonts w:ascii="Times New Roman" w:hAnsi="Times New Roman"/>
          <w:sz w:val="24"/>
        </w:rPr>
        <w:t>§</w:t>
      </w:r>
      <w:r w:rsidRPr="00F62AA0">
        <w:rPr>
          <w:rFonts w:ascii="Times New Roman" w:hAnsi="Times New Roman"/>
          <w:sz w:val="24"/>
        </w:rPr>
        <w:t xml:space="preserve"> 814.82(a)(7) require submission of an annual report for each approved PMA. FDA estimates that respondents will average about 10 hours in preparing their reports to meet this requirement. This estimate is based on FDA's experience and consultation with industry.</w:t>
      </w:r>
    </w:p>
    <w:p w:rsidR="00943B26" w:rsidP="007174E2" w:rsidRDefault="00943B26">
      <w:pPr>
        <w:pStyle w:val="HTMLPreformatted"/>
        <w:ind w:left="720"/>
        <w:rPr>
          <w:rFonts w:ascii="Times New Roman" w:hAnsi="Times New Roman"/>
          <w:b/>
          <w:sz w:val="24"/>
        </w:rPr>
      </w:pPr>
    </w:p>
    <w:p w:rsidRPr="000E269C" w:rsidR="000E269C" w:rsidP="00A50F46" w:rsidRDefault="00A50F46">
      <w:pPr>
        <w:pStyle w:val="HTMLPreformatted"/>
        <w:ind w:left="720"/>
        <w:rPr>
          <w:rFonts w:ascii="Times New Roman" w:hAnsi="Times New Roman"/>
          <w:b/>
          <w:sz w:val="24"/>
        </w:rPr>
      </w:pPr>
      <w:r w:rsidRPr="000E269C">
        <w:rPr>
          <w:rFonts w:ascii="Times New Roman" w:hAnsi="Times New Roman"/>
          <w:b/>
          <w:sz w:val="24"/>
        </w:rPr>
        <w:t>The Breakthrough Devices Program</w:t>
      </w:r>
      <w:r w:rsidR="008C18E7">
        <w:rPr>
          <w:rFonts w:ascii="Times New Roman" w:hAnsi="Times New Roman"/>
          <w:b/>
          <w:sz w:val="24"/>
        </w:rPr>
        <w:t>--</w:t>
      </w:r>
      <w:r w:rsidRPr="000E269C" w:rsidR="000E269C">
        <w:rPr>
          <w:rFonts w:ascii="Times New Roman" w:hAnsi="Times New Roman"/>
          <w:b/>
          <w:sz w:val="24"/>
        </w:rPr>
        <w:t>S</w:t>
      </w:r>
      <w:r w:rsidRPr="000E269C">
        <w:rPr>
          <w:rFonts w:ascii="Times New Roman" w:hAnsi="Times New Roman"/>
          <w:b/>
          <w:sz w:val="24"/>
        </w:rPr>
        <w:t>ection 515(b) of the FD&amp;C Act (21 U.S.C. 360e-3)</w:t>
      </w:r>
    </w:p>
    <w:p w:rsidRPr="008751B8" w:rsidR="00A50F46" w:rsidP="00A50F46" w:rsidRDefault="000E269C">
      <w:pPr>
        <w:pStyle w:val="HTMLPreformatted"/>
        <w:ind w:left="720"/>
        <w:rPr>
          <w:rFonts w:ascii="Times New Roman" w:hAnsi="Times New Roman"/>
          <w:sz w:val="24"/>
        </w:rPr>
      </w:pPr>
      <w:r>
        <w:rPr>
          <w:rFonts w:ascii="Times New Roman" w:hAnsi="Times New Roman"/>
          <w:sz w:val="24"/>
        </w:rPr>
        <w:t>The Breakthrough Devices Program supersedes the Expedited Access Pathway and Priority Review for medical devices. The guidance document “Breakthrough Devices Program” implements section 515B of the FD&amp;C Act (21 U.S.C. 360, as created by section 3051 of the 21</w:t>
      </w:r>
      <w:r w:rsidRPr="000E269C">
        <w:rPr>
          <w:rFonts w:ascii="Times New Roman" w:hAnsi="Times New Roman"/>
          <w:sz w:val="24"/>
          <w:vertAlign w:val="superscript"/>
        </w:rPr>
        <w:t>st</w:t>
      </w:r>
      <w:r>
        <w:rPr>
          <w:rFonts w:ascii="Times New Roman" w:hAnsi="Times New Roman"/>
          <w:sz w:val="24"/>
        </w:rPr>
        <w:t xml:space="preserve"> Century Cures Act (Pub. L. 114-255) and amended by section 901</w:t>
      </w:r>
      <w:r w:rsidR="008C18E7">
        <w:rPr>
          <w:rFonts w:ascii="Times New Roman" w:hAnsi="Times New Roman"/>
          <w:sz w:val="24"/>
        </w:rPr>
        <w:t xml:space="preserve"> of the FDA Reauthorization Act of 2017 (Pub. L. 115-52). The Breakthrough Devices Program is a voluntary program for certain medical devices and device-let </w:t>
      </w:r>
      <w:r w:rsidR="008C18E7">
        <w:rPr>
          <w:rFonts w:ascii="Times New Roman" w:hAnsi="Times New Roman"/>
          <w:sz w:val="24"/>
        </w:rPr>
        <w:lastRenderedPageBreak/>
        <w:t xml:space="preserve">combination products that provide for more effective treatment or diagnosis of life-threatening or irreversibly debilitating diseases or conditions. </w:t>
      </w:r>
      <w:r w:rsidRPr="00571CB1" w:rsidR="00A50F46">
        <w:rPr>
          <w:rFonts w:ascii="Times New Roman" w:hAnsi="Times New Roman"/>
          <w:sz w:val="24"/>
        </w:rPr>
        <w:t>Th</w:t>
      </w:r>
      <w:r w:rsidR="008C18E7">
        <w:rPr>
          <w:rFonts w:ascii="Times New Roman" w:hAnsi="Times New Roman"/>
          <w:sz w:val="24"/>
        </w:rPr>
        <w:t>e</w:t>
      </w:r>
      <w:r w:rsidRPr="00571CB1" w:rsidR="00A50F46">
        <w:rPr>
          <w:rFonts w:ascii="Times New Roman" w:hAnsi="Times New Roman"/>
          <w:sz w:val="24"/>
        </w:rPr>
        <w:t xml:space="preserve"> program is intended to help patients have more timely access to these medical devices by expediting their development, assessment, and review</w:t>
      </w:r>
      <w:r w:rsidR="008C18E7">
        <w:rPr>
          <w:rFonts w:ascii="Times New Roman" w:hAnsi="Times New Roman"/>
          <w:sz w:val="24"/>
        </w:rPr>
        <w:t>, while preserving the statutory standards for premarket approval, 510(k) clearance, and De Novo marketing authorization, consistent with the Agency’s mission to protect and promote public health</w:t>
      </w:r>
      <w:r w:rsidR="00A50F46">
        <w:rPr>
          <w:rFonts w:ascii="Times New Roman" w:hAnsi="Times New Roman"/>
          <w:sz w:val="24"/>
        </w:rPr>
        <w:t>.</w:t>
      </w:r>
    </w:p>
    <w:p w:rsidR="00A50F46" w:rsidP="00A50F46" w:rsidRDefault="00A50F46">
      <w:pPr>
        <w:pStyle w:val="HTMLPreformatted"/>
        <w:ind w:left="720"/>
        <w:rPr>
          <w:rFonts w:ascii="Times New Roman" w:hAnsi="Times New Roman"/>
          <w:sz w:val="24"/>
        </w:rPr>
      </w:pPr>
    </w:p>
    <w:p w:rsidR="008C18E7" w:rsidP="00A50F46" w:rsidRDefault="00A50F46">
      <w:pPr>
        <w:pStyle w:val="HTMLPreformatted"/>
        <w:ind w:left="720"/>
        <w:rPr>
          <w:rFonts w:ascii="Times New Roman" w:hAnsi="Times New Roman"/>
          <w:sz w:val="24"/>
        </w:rPr>
      </w:pPr>
      <w:r w:rsidRPr="008C18E7">
        <w:rPr>
          <w:rFonts w:ascii="Times New Roman" w:hAnsi="Times New Roman"/>
          <w:b/>
          <w:sz w:val="24"/>
        </w:rPr>
        <w:t>Agreement Meeting</w:t>
      </w:r>
      <w:r w:rsidR="008C18E7">
        <w:rPr>
          <w:rFonts w:ascii="Times New Roman" w:hAnsi="Times New Roman"/>
          <w:b/>
          <w:sz w:val="24"/>
        </w:rPr>
        <w:t>--</w:t>
      </w:r>
      <w:r w:rsidRPr="008C18E7" w:rsidR="008C18E7">
        <w:rPr>
          <w:rFonts w:ascii="Times New Roman" w:hAnsi="Times New Roman"/>
          <w:b/>
          <w:sz w:val="24"/>
        </w:rPr>
        <w:t>S</w:t>
      </w:r>
      <w:r w:rsidRPr="008C18E7">
        <w:rPr>
          <w:rFonts w:ascii="Times New Roman" w:hAnsi="Times New Roman"/>
          <w:b/>
          <w:sz w:val="24"/>
        </w:rPr>
        <w:t>ection 520(g)(7) of the FD&amp;C Act (21 U.S.C. 360j(g)(7))</w:t>
      </w:r>
      <w:r w:rsidRPr="00E31FD4">
        <w:rPr>
          <w:rFonts w:ascii="Times New Roman" w:hAnsi="Times New Roman"/>
          <w:sz w:val="24"/>
        </w:rPr>
        <w:t xml:space="preserve"> </w:t>
      </w:r>
    </w:p>
    <w:p w:rsidRPr="00E31FD4" w:rsidR="00A50F46" w:rsidP="00A50F46" w:rsidRDefault="00A50F46">
      <w:pPr>
        <w:pStyle w:val="HTMLPreformatted"/>
        <w:ind w:left="720"/>
        <w:rPr>
          <w:rFonts w:ascii="Times New Roman" w:hAnsi="Times New Roman"/>
          <w:sz w:val="24"/>
        </w:rPr>
      </w:pPr>
      <w:r w:rsidRPr="00E31FD4">
        <w:rPr>
          <w:rFonts w:ascii="Times New Roman" w:hAnsi="Times New Roman"/>
          <w:sz w:val="24"/>
        </w:rPr>
        <w:t>Applicants planning to submit a PMA may submit a written request to reach agreement with FDA on the key parameters of the investigational plan.</w:t>
      </w:r>
    </w:p>
    <w:p w:rsidR="00A50F46" w:rsidP="00A50F46" w:rsidRDefault="00A50F46">
      <w:pPr>
        <w:pStyle w:val="HTMLPreformatted"/>
        <w:ind w:left="720"/>
        <w:rPr>
          <w:rFonts w:ascii="Times New Roman" w:hAnsi="Times New Roman"/>
          <w:sz w:val="24"/>
        </w:rPr>
      </w:pPr>
    </w:p>
    <w:p w:rsidRPr="008C18E7" w:rsidR="008C18E7" w:rsidP="00A50F46" w:rsidRDefault="00A50F46">
      <w:pPr>
        <w:pStyle w:val="HTMLPreformatted"/>
        <w:ind w:left="720"/>
        <w:rPr>
          <w:rFonts w:ascii="Times New Roman" w:hAnsi="Times New Roman"/>
          <w:b/>
          <w:sz w:val="24"/>
        </w:rPr>
      </w:pPr>
      <w:r w:rsidRPr="008C18E7">
        <w:rPr>
          <w:rFonts w:ascii="Times New Roman" w:hAnsi="Times New Roman"/>
          <w:b/>
          <w:sz w:val="24"/>
        </w:rPr>
        <w:t>Determination Meeting--Section 513(a)(3)(D) of the FD&amp;C Act (21 U.S.C. 360c(a)(3)(D))</w:t>
      </w:r>
    </w:p>
    <w:p w:rsidRPr="00E31FD4" w:rsidR="00A50F46" w:rsidP="00A50F46" w:rsidRDefault="00A50F46">
      <w:pPr>
        <w:pStyle w:val="HTMLPreformatted"/>
        <w:ind w:left="720"/>
        <w:rPr>
          <w:rFonts w:ascii="Times New Roman" w:hAnsi="Times New Roman"/>
          <w:sz w:val="24"/>
        </w:rPr>
      </w:pPr>
      <w:r w:rsidRPr="00E31FD4">
        <w:rPr>
          <w:rFonts w:ascii="Times New Roman" w:hAnsi="Times New Roman"/>
          <w:sz w:val="24"/>
        </w:rPr>
        <w:t>Applicants planning to submit a PMA may submit a written request to FDA for a meeting to determine the type of information (valid scientific evidence) necessary to support the effectiveness of their device.</w:t>
      </w:r>
    </w:p>
    <w:p w:rsidR="00A50F46" w:rsidP="00A50F46" w:rsidRDefault="00A50F46">
      <w:pPr>
        <w:pStyle w:val="HTMLPreformatted"/>
        <w:ind w:left="720"/>
        <w:rPr>
          <w:rFonts w:ascii="Times New Roman" w:hAnsi="Times New Roman"/>
          <w:sz w:val="24"/>
        </w:rPr>
      </w:pPr>
    </w:p>
    <w:p w:rsidRPr="008C18E7" w:rsidR="008C18E7" w:rsidP="00A50F46" w:rsidRDefault="00A50F46">
      <w:pPr>
        <w:pStyle w:val="HTMLPreformatted"/>
        <w:ind w:left="720"/>
        <w:rPr>
          <w:rFonts w:ascii="Times New Roman" w:hAnsi="Times New Roman"/>
          <w:b/>
          <w:sz w:val="24"/>
        </w:rPr>
      </w:pPr>
      <w:r w:rsidRPr="008C18E7">
        <w:rPr>
          <w:rFonts w:ascii="Times New Roman" w:hAnsi="Times New Roman"/>
          <w:b/>
          <w:sz w:val="24"/>
        </w:rPr>
        <w:t>Panel of Experts--Section 515(c)(3) of the FD&amp;C Act</w:t>
      </w:r>
    </w:p>
    <w:p w:rsidRPr="00E31FD4" w:rsidR="00A50F46" w:rsidP="00A50F46" w:rsidRDefault="00A50F46">
      <w:pPr>
        <w:pStyle w:val="HTMLPreformatted"/>
        <w:ind w:left="720"/>
        <w:rPr>
          <w:rFonts w:ascii="Times New Roman" w:hAnsi="Times New Roman"/>
          <w:sz w:val="24"/>
        </w:rPr>
      </w:pPr>
      <w:r w:rsidRPr="00E31FD4">
        <w:rPr>
          <w:rFonts w:ascii="Times New Roman" w:hAnsi="Times New Roman"/>
          <w:sz w:val="24"/>
        </w:rPr>
        <w:t>An original PMA or panel track PMA supplement is taken to an advisory panel of experts unless FDA determines that the information in the application substantially duplicates information which has previously been reviewed by the panel.</w:t>
      </w:r>
    </w:p>
    <w:p w:rsidR="00A50F46" w:rsidP="00A50F46" w:rsidRDefault="00A50F46">
      <w:pPr>
        <w:pStyle w:val="HTMLPreformatted"/>
        <w:ind w:left="720"/>
        <w:rPr>
          <w:rFonts w:ascii="Times New Roman" w:hAnsi="Times New Roman"/>
          <w:sz w:val="24"/>
        </w:rPr>
      </w:pPr>
    </w:p>
    <w:p w:rsidRPr="008C18E7" w:rsidR="008C18E7" w:rsidP="008C18E7" w:rsidRDefault="00A50F46">
      <w:pPr>
        <w:pStyle w:val="HTMLPreformatted"/>
        <w:keepNext/>
        <w:ind w:left="720"/>
        <w:rPr>
          <w:rFonts w:ascii="Times New Roman" w:hAnsi="Times New Roman"/>
          <w:b/>
          <w:sz w:val="24"/>
        </w:rPr>
      </w:pPr>
      <w:r w:rsidRPr="008C18E7">
        <w:rPr>
          <w:rFonts w:ascii="Times New Roman" w:hAnsi="Times New Roman"/>
          <w:b/>
          <w:sz w:val="24"/>
        </w:rPr>
        <w:t>Day 100 Meeting--Section 515(d)(3) of the FD&amp;C Act</w:t>
      </w:r>
    </w:p>
    <w:p w:rsidRPr="00E31FD4" w:rsidR="00A50F46" w:rsidP="00A50F46" w:rsidRDefault="00A50F46">
      <w:pPr>
        <w:pStyle w:val="HTMLPreformatted"/>
        <w:ind w:left="720"/>
        <w:rPr>
          <w:rFonts w:ascii="Times New Roman" w:hAnsi="Times New Roman"/>
          <w:sz w:val="24"/>
        </w:rPr>
      </w:pPr>
      <w:r w:rsidRPr="00E31FD4">
        <w:rPr>
          <w:rFonts w:ascii="Times New Roman" w:hAnsi="Times New Roman"/>
          <w:sz w:val="24"/>
        </w:rPr>
        <w:t>FDA must, upon the written request of the applicant, meet with that party within 100 days of receipt of the filed PMA application to discuss the review status of the application. With the concurrence of the applicant, a different schedule may be established. Prior to this meeting, FDA must inform the applicant in writing of any identified deficiencies and what information is required to correct those deficiencies. FDA must also promptly notify the applicant if FDA identifies additional deficiencies or of any additional information required to complete Agency review.</w:t>
      </w:r>
    </w:p>
    <w:p w:rsidRPr="00E31FD4" w:rsidR="00E31FD4" w:rsidP="00E31FD4" w:rsidRDefault="00E31FD4">
      <w:pPr>
        <w:pStyle w:val="HTMLPreformatted"/>
        <w:ind w:left="720"/>
        <w:rPr>
          <w:rFonts w:ascii="Times New Roman" w:hAnsi="Times New Roman"/>
          <w:sz w:val="24"/>
        </w:rPr>
      </w:pPr>
    </w:p>
    <w:p w:rsidR="00943B26" w:rsidP="007174E2" w:rsidRDefault="00943B26">
      <w:pPr>
        <w:pStyle w:val="HTMLPreformatted"/>
        <w:ind w:left="720"/>
        <w:rPr>
          <w:rFonts w:ascii="Times New Roman" w:hAnsi="Times New Roman"/>
          <w:b/>
          <w:sz w:val="24"/>
        </w:rPr>
      </w:pPr>
      <w:r>
        <w:rPr>
          <w:rFonts w:ascii="Times New Roman" w:hAnsi="Times New Roman"/>
          <w:b/>
          <w:sz w:val="24"/>
        </w:rPr>
        <w:t>Recordkeeping:</w:t>
      </w:r>
    </w:p>
    <w:p w:rsidR="008C18E7" w:rsidP="007174E2" w:rsidRDefault="008C18E7">
      <w:pPr>
        <w:pStyle w:val="HTMLPreformatted"/>
        <w:ind w:left="720"/>
        <w:rPr>
          <w:rFonts w:ascii="Times New Roman" w:hAnsi="Times New Roman"/>
          <w:b/>
          <w:sz w:val="24"/>
        </w:rPr>
      </w:pPr>
    </w:p>
    <w:p w:rsidR="00943B26" w:rsidP="007174E2" w:rsidRDefault="00943B26">
      <w:pPr>
        <w:pStyle w:val="HTMLPreformatted"/>
        <w:ind w:left="720"/>
        <w:rPr>
          <w:rFonts w:ascii="Times New Roman" w:hAnsi="Times New Roman"/>
          <w:sz w:val="24"/>
        </w:rPr>
      </w:pPr>
      <w:r w:rsidRPr="003415A6">
        <w:rPr>
          <w:rFonts w:ascii="Times New Roman" w:hAnsi="Times New Roman"/>
          <w:b/>
          <w:sz w:val="24"/>
        </w:rPr>
        <w:t>§</w:t>
      </w:r>
      <w:r>
        <w:rPr>
          <w:rFonts w:ascii="Times New Roman" w:hAnsi="Times New Roman"/>
          <w:b/>
          <w:sz w:val="24"/>
        </w:rPr>
        <w:t xml:space="preserve"> 814.82(a)(5) and (a)(</w:t>
      </w:r>
      <w:proofErr w:type="gramStart"/>
      <w:r>
        <w:rPr>
          <w:rFonts w:ascii="Times New Roman" w:hAnsi="Times New Roman"/>
          <w:b/>
          <w:sz w:val="24"/>
        </w:rPr>
        <w:t>6)</w:t>
      </w:r>
      <w:r w:rsidR="00A861EC">
        <w:rPr>
          <w:rFonts w:ascii="Times New Roman" w:hAnsi="Times New Roman"/>
          <w:b/>
          <w:sz w:val="24"/>
        </w:rPr>
        <w:t>--</w:t>
      </w:r>
      <w:proofErr w:type="gramEnd"/>
      <w:r w:rsidR="00A861EC">
        <w:rPr>
          <w:rFonts w:ascii="Times New Roman" w:hAnsi="Times New Roman"/>
          <w:b/>
          <w:sz w:val="24"/>
        </w:rPr>
        <w:t xml:space="preserve">Maintenance of </w:t>
      </w:r>
      <w:r w:rsidR="008C18E7">
        <w:rPr>
          <w:rFonts w:ascii="Times New Roman" w:hAnsi="Times New Roman"/>
          <w:b/>
          <w:sz w:val="24"/>
        </w:rPr>
        <w:t>R</w:t>
      </w:r>
      <w:r w:rsidR="00A861EC">
        <w:rPr>
          <w:rFonts w:ascii="Times New Roman" w:hAnsi="Times New Roman"/>
          <w:b/>
          <w:sz w:val="24"/>
        </w:rPr>
        <w:t>ecords</w:t>
      </w:r>
    </w:p>
    <w:p w:rsidRPr="00F62AA0" w:rsidR="00943B26" w:rsidP="007174E2" w:rsidRDefault="00943B26">
      <w:pPr>
        <w:pStyle w:val="HTMLPreformatted"/>
        <w:ind w:left="720"/>
        <w:rPr>
          <w:rFonts w:ascii="Times New Roman" w:hAnsi="Times New Roman"/>
          <w:sz w:val="24"/>
        </w:rPr>
      </w:pPr>
      <w:r w:rsidRPr="00F62AA0">
        <w:rPr>
          <w:rFonts w:ascii="Times New Roman" w:hAnsi="Times New Roman"/>
          <w:sz w:val="24"/>
        </w:rPr>
        <w:t xml:space="preserve">The recordkeeping burden under this section requires the maintenance of </w:t>
      </w:r>
      <w:r>
        <w:rPr>
          <w:rFonts w:ascii="Times New Roman" w:hAnsi="Times New Roman"/>
          <w:sz w:val="24"/>
        </w:rPr>
        <w:t>r</w:t>
      </w:r>
      <w:r w:rsidRPr="00F62AA0">
        <w:rPr>
          <w:rFonts w:ascii="Times New Roman" w:hAnsi="Times New Roman"/>
          <w:sz w:val="24"/>
        </w:rPr>
        <w:t>ecords used to trace patients</w:t>
      </w:r>
      <w:r w:rsidR="008C18E7">
        <w:rPr>
          <w:rFonts w:ascii="Times New Roman" w:hAnsi="Times New Roman"/>
          <w:sz w:val="24"/>
        </w:rPr>
        <w:t>,</w:t>
      </w:r>
      <w:r w:rsidRPr="00F62AA0">
        <w:rPr>
          <w:rFonts w:ascii="Times New Roman" w:hAnsi="Times New Roman"/>
          <w:sz w:val="24"/>
        </w:rPr>
        <w:t xml:space="preserve"> and the organization and indexing of records into identifiable files to ensure the device's continued safety and effectiveness. These records are required of </w:t>
      </w:r>
      <w:r w:rsidR="00AB2F8D">
        <w:rPr>
          <w:rFonts w:ascii="Times New Roman" w:hAnsi="Times New Roman"/>
          <w:sz w:val="24"/>
        </w:rPr>
        <w:t>all applicants</w:t>
      </w:r>
      <w:r w:rsidRPr="00F62AA0">
        <w:rPr>
          <w:rFonts w:ascii="Times New Roman" w:hAnsi="Times New Roman"/>
          <w:sz w:val="24"/>
        </w:rPr>
        <w:t xml:space="preserve"> who have an approved PMA</w:t>
      </w:r>
      <w:r w:rsidR="008C18E7">
        <w:rPr>
          <w:rFonts w:ascii="Times New Roman" w:hAnsi="Times New Roman"/>
          <w:sz w:val="24"/>
        </w:rPr>
        <w:t>.</w:t>
      </w:r>
      <w:r w:rsidRPr="00F62AA0">
        <w:rPr>
          <w:rFonts w:ascii="Times New Roman" w:hAnsi="Times New Roman"/>
          <w:sz w:val="24"/>
        </w:rPr>
        <w:t xml:space="preserve"> </w:t>
      </w:r>
    </w:p>
    <w:p w:rsidR="00A861EC" w:rsidP="007174E2" w:rsidRDefault="00A861EC">
      <w:pPr>
        <w:pStyle w:val="HTMLPreformatted"/>
        <w:ind w:left="720"/>
        <w:rPr>
          <w:rFonts w:ascii="Times New Roman" w:hAnsi="Times New Roman"/>
          <w:sz w:val="24"/>
        </w:rPr>
      </w:pPr>
    </w:p>
    <w:p w:rsidRPr="00F62AA0" w:rsidR="00943B26" w:rsidP="007174E2" w:rsidRDefault="00A50F46">
      <w:pPr>
        <w:pStyle w:val="HTMLPreformatted"/>
        <w:ind w:left="720"/>
        <w:rPr>
          <w:rFonts w:ascii="Times New Roman" w:hAnsi="Times New Roman"/>
          <w:sz w:val="24"/>
        </w:rPr>
      </w:pPr>
      <w:r w:rsidRPr="00F62AA0">
        <w:rPr>
          <w:rFonts w:ascii="Times New Roman" w:hAnsi="Times New Roman"/>
          <w:sz w:val="24"/>
        </w:rPr>
        <w:t xml:space="preserve">PMAs have been required since 1976, and there are </w:t>
      </w:r>
      <w:r>
        <w:rPr>
          <w:rFonts w:ascii="Times New Roman" w:hAnsi="Times New Roman"/>
          <w:sz w:val="24"/>
        </w:rPr>
        <w:t>801</w:t>
      </w:r>
      <w:r w:rsidRPr="00F62AA0">
        <w:rPr>
          <w:rFonts w:ascii="Times New Roman" w:hAnsi="Times New Roman"/>
          <w:sz w:val="24"/>
        </w:rPr>
        <w:t xml:space="preserve"> active PMAs that could be subject to these requirements, based on actual FDA data</w:t>
      </w:r>
      <w:r>
        <w:rPr>
          <w:rFonts w:ascii="Times New Roman" w:hAnsi="Times New Roman"/>
          <w:sz w:val="24"/>
        </w:rPr>
        <w:t>, and approximately 39 new PMAs are approved every year</w:t>
      </w:r>
      <w:r w:rsidRPr="00F62AA0">
        <w:rPr>
          <w:rFonts w:ascii="Times New Roman" w:hAnsi="Times New Roman"/>
          <w:sz w:val="24"/>
        </w:rPr>
        <w:t xml:space="preserve">. The aggregate burden for </w:t>
      </w:r>
      <w:r>
        <w:rPr>
          <w:rFonts w:ascii="Times New Roman" w:hAnsi="Times New Roman"/>
          <w:sz w:val="24"/>
        </w:rPr>
        <w:t>the estimated 446</w:t>
      </w:r>
      <w:r w:rsidRPr="00F62AA0">
        <w:rPr>
          <w:rFonts w:ascii="Times New Roman" w:hAnsi="Times New Roman"/>
          <w:sz w:val="24"/>
        </w:rPr>
        <w:t xml:space="preserve"> </w:t>
      </w:r>
      <w:r>
        <w:rPr>
          <w:rFonts w:ascii="Times New Roman" w:hAnsi="Times New Roman"/>
          <w:sz w:val="24"/>
        </w:rPr>
        <w:t xml:space="preserve">PMA </w:t>
      </w:r>
      <w:r w:rsidRPr="00F62AA0">
        <w:rPr>
          <w:rFonts w:ascii="Times New Roman" w:hAnsi="Times New Roman"/>
          <w:sz w:val="24"/>
        </w:rPr>
        <w:t>holders of approved original P</w:t>
      </w:r>
      <w:r>
        <w:rPr>
          <w:rFonts w:ascii="Times New Roman" w:hAnsi="Times New Roman"/>
          <w:sz w:val="24"/>
        </w:rPr>
        <w:t>MAs for the next few years is estimated to be 7,</w:t>
      </w:r>
      <w:r w:rsidR="007E010A">
        <w:rPr>
          <w:rFonts w:ascii="Times New Roman" w:hAnsi="Times New Roman"/>
          <w:sz w:val="24"/>
        </w:rPr>
        <w:t>582</w:t>
      </w:r>
      <w:r>
        <w:rPr>
          <w:rFonts w:ascii="Times New Roman" w:hAnsi="Times New Roman"/>
          <w:sz w:val="24"/>
        </w:rPr>
        <w:t xml:space="preserve"> hours.</w:t>
      </w:r>
    </w:p>
    <w:p w:rsidR="00A861EC" w:rsidP="007174E2" w:rsidRDefault="00A861EC">
      <w:pPr>
        <w:pStyle w:val="HTMLPreformatted"/>
        <w:ind w:left="720"/>
        <w:rPr>
          <w:rFonts w:ascii="Times New Roman" w:hAnsi="Times New Roman"/>
          <w:sz w:val="24"/>
        </w:rPr>
      </w:pPr>
    </w:p>
    <w:p w:rsidRPr="00634AC4" w:rsidR="00943B26" w:rsidP="007174E2" w:rsidRDefault="00943B26">
      <w:pPr>
        <w:pStyle w:val="HTMLPreformatted"/>
        <w:ind w:left="720"/>
        <w:rPr>
          <w:rFonts w:ascii="Times New Roman" w:hAnsi="Times New Roman" w:cs="Times New Roman"/>
          <w:snapToGrid w:val="0"/>
          <w:sz w:val="24"/>
          <w:szCs w:val="24"/>
        </w:rPr>
      </w:pPr>
      <w:r w:rsidRPr="00F62AA0">
        <w:rPr>
          <w:rFonts w:ascii="Times New Roman" w:hAnsi="Times New Roman"/>
          <w:sz w:val="24"/>
        </w:rPr>
        <w:t xml:space="preserve">The applicant determines which records should be maintained during product development to document and/or substantiate the device's safety and effectiveness. </w:t>
      </w:r>
      <w:r w:rsidRPr="00F62AA0">
        <w:rPr>
          <w:rFonts w:ascii="Times New Roman" w:hAnsi="Times New Roman"/>
          <w:sz w:val="24"/>
        </w:rPr>
        <w:lastRenderedPageBreak/>
        <w:t xml:space="preserve">Records required by the current good manufacturing practices for medical devices regulation (part 820) may be relevant to a PMA review and may be submitted as part of an application. In individual instances, records may be required as conditions of approval </w:t>
      </w:r>
      <w:r w:rsidRPr="00634AC4">
        <w:rPr>
          <w:rFonts w:ascii="Times New Roman" w:hAnsi="Times New Roman" w:cs="Times New Roman"/>
          <w:sz w:val="24"/>
          <w:szCs w:val="24"/>
        </w:rPr>
        <w:t>to ensure the device's continuing safety and effectiveness.</w:t>
      </w:r>
    </w:p>
    <w:p w:rsidR="00943B26" w:rsidP="007174E2" w:rsidRDefault="00943B26">
      <w:pPr>
        <w:pStyle w:val="BodyText2"/>
        <w:ind w:left="360"/>
      </w:pPr>
    </w:p>
    <w:p w:rsidR="00A93ED9" w:rsidP="007174E2" w:rsidRDefault="00A93ED9">
      <w:pPr>
        <w:pStyle w:val="BodyText2"/>
        <w:ind w:left="360"/>
      </w:pPr>
      <w:r w:rsidRPr="00C75CBF">
        <w:t xml:space="preserve">12b. </w:t>
      </w:r>
      <w:r w:rsidRPr="00C75CBF" w:rsidR="00411D11">
        <w:rPr>
          <w:u w:val="single"/>
        </w:rPr>
        <w:t>Annualized Cost Burden Estimate</w:t>
      </w:r>
    </w:p>
    <w:p w:rsidR="00A93ED9" w:rsidP="007174E2" w:rsidRDefault="00A93ED9">
      <w:pPr>
        <w:pStyle w:val="BodyText2"/>
        <w:ind w:left="720"/>
      </w:pPr>
    </w:p>
    <w:p w:rsidR="005C58B6" w:rsidP="005C58B6" w:rsidRDefault="00D349BB">
      <w:pPr>
        <w:pStyle w:val="BodyText2"/>
        <w:ind w:left="720"/>
      </w:pPr>
      <w:r w:rsidRPr="00ED1920">
        <w:t xml:space="preserve">FDA estimates that the total estimated burden cost to industry relating to this information collection will be </w:t>
      </w:r>
      <w:r w:rsidRPr="00326BE7">
        <w:t>$</w:t>
      </w:r>
      <w:r w:rsidR="00F83804">
        <w:t>28,261,296</w:t>
      </w:r>
      <w:r w:rsidRPr="00ED1920">
        <w:t xml:space="preserve">, which is the total </w:t>
      </w:r>
      <w:r>
        <w:t xml:space="preserve">estimated </w:t>
      </w:r>
      <w:r w:rsidRPr="00ED1920">
        <w:t>number of</w:t>
      </w:r>
      <w:r>
        <w:t xml:space="preserve"> burden</w:t>
      </w:r>
      <w:r w:rsidRPr="00ED1920">
        <w:t xml:space="preserve"> hours</w:t>
      </w:r>
      <w:r>
        <w:t>,</w:t>
      </w:r>
      <w:r w:rsidRPr="00ED1920">
        <w:t xml:space="preserve"> </w:t>
      </w:r>
      <w:r w:rsidR="00F83804">
        <w:t>392,518</w:t>
      </w:r>
      <w:r>
        <w:t>,</w:t>
      </w:r>
      <w:r w:rsidRPr="00FB7DFE">
        <w:t xml:space="preserve"> multiplied by </w:t>
      </w:r>
      <w:r>
        <w:t xml:space="preserve">an </w:t>
      </w:r>
      <w:r w:rsidRPr="00FB7DFE">
        <w:t>average wage rate of $</w:t>
      </w:r>
      <w:r w:rsidR="006705AA">
        <w:t>72</w:t>
      </w:r>
      <w:r w:rsidRPr="00FB7DFE">
        <w:t xml:space="preserve"> per </w:t>
      </w:r>
      <w:proofErr w:type="gramStart"/>
      <w:r w:rsidRPr="00FB7DFE">
        <w:t>hour.</w:t>
      </w:r>
      <w:r>
        <w:t>*</w:t>
      </w:r>
      <w:proofErr w:type="gramEnd"/>
    </w:p>
    <w:p w:rsidR="005C58B6" w:rsidP="005C58B6" w:rsidRDefault="005C58B6">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7D589B" w:rsidR="005C58B6" w:rsidTr="00856210">
        <w:tc>
          <w:tcPr>
            <w:tcW w:w="2160" w:type="dxa"/>
            <w:shd w:val="clear" w:color="auto" w:fill="auto"/>
          </w:tcPr>
          <w:p w:rsidRPr="007D589B" w:rsidR="005C58B6" w:rsidP="00856210" w:rsidRDefault="005C58B6">
            <w:pPr>
              <w:keepNext/>
              <w:ind w:left="72"/>
              <w:jc w:val="center"/>
              <w:rPr>
                <w:sz w:val="20"/>
                <w:szCs w:val="20"/>
              </w:rPr>
            </w:pPr>
            <w:r w:rsidRPr="007D589B">
              <w:rPr>
                <w:sz w:val="20"/>
                <w:szCs w:val="20"/>
              </w:rPr>
              <w:t>Type of Respondent</w:t>
            </w:r>
          </w:p>
        </w:tc>
        <w:tc>
          <w:tcPr>
            <w:tcW w:w="1800" w:type="dxa"/>
            <w:shd w:val="clear" w:color="auto" w:fill="auto"/>
          </w:tcPr>
          <w:p w:rsidRPr="007D589B" w:rsidR="005C58B6" w:rsidP="00856210" w:rsidRDefault="005C58B6">
            <w:pPr>
              <w:keepNext/>
              <w:ind w:left="72"/>
              <w:jc w:val="center"/>
              <w:rPr>
                <w:sz w:val="20"/>
                <w:szCs w:val="20"/>
              </w:rPr>
            </w:pPr>
            <w:r w:rsidRPr="007D589B">
              <w:rPr>
                <w:sz w:val="20"/>
                <w:szCs w:val="20"/>
              </w:rPr>
              <w:t>Total Burden Hours</w:t>
            </w:r>
          </w:p>
        </w:tc>
        <w:tc>
          <w:tcPr>
            <w:tcW w:w="2394" w:type="dxa"/>
            <w:shd w:val="clear" w:color="auto" w:fill="auto"/>
          </w:tcPr>
          <w:p w:rsidRPr="007D589B" w:rsidR="005C58B6" w:rsidP="00856210" w:rsidRDefault="005C58B6">
            <w:pPr>
              <w:keepNext/>
              <w:ind w:left="72"/>
              <w:jc w:val="center"/>
              <w:rPr>
                <w:sz w:val="20"/>
                <w:szCs w:val="20"/>
              </w:rPr>
            </w:pPr>
            <w:r w:rsidRPr="007D589B">
              <w:rPr>
                <w:sz w:val="20"/>
                <w:szCs w:val="20"/>
              </w:rPr>
              <w:t>Hourly Wage Rate</w:t>
            </w:r>
          </w:p>
        </w:tc>
        <w:tc>
          <w:tcPr>
            <w:tcW w:w="1926" w:type="dxa"/>
            <w:shd w:val="clear" w:color="auto" w:fill="auto"/>
          </w:tcPr>
          <w:p w:rsidRPr="007D589B" w:rsidR="005C58B6" w:rsidP="00856210" w:rsidRDefault="005C58B6">
            <w:pPr>
              <w:keepNext/>
              <w:ind w:left="72"/>
              <w:jc w:val="center"/>
              <w:rPr>
                <w:sz w:val="20"/>
                <w:szCs w:val="20"/>
              </w:rPr>
            </w:pPr>
            <w:r w:rsidRPr="007D589B">
              <w:rPr>
                <w:sz w:val="20"/>
                <w:szCs w:val="20"/>
              </w:rPr>
              <w:t>Total Respondent Costs</w:t>
            </w:r>
          </w:p>
        </w:tc>
      </w:tr>
      <w:tr w:rsidRPr="007D589B" w:rsidR="005C58B6" w:rsidTr="00856210">
        <w:tc>
          <w:tcPr>
            <w:tcW w:w="2160" w:type="dxa"/>
            <w:shd w:val="clear" w:color="auto" w:fill="auto"/>
          </w:tcPr>
          <w:p w:rsidRPr="007D589B" w:rsidR="005C58B6" w:rsidP="00856210" w:rsidRDefault="005C58B6">
            <w:pPr>
              <w:keepNext/>
              <w:ind w:left="72"/>
              <w:rPr>
                <w:sz w:val="20"/>
                <w:szCs w:val="20"/>
              </w:rPr>
            </w:pPr>
            <w:r w:rsidRPr="007D589B">
              <w:rPr>
                <w:sz w:val="20"/>
                <w:szCs w:val="20"/>
              </w:rPr>
              <w:t xml:space="preserve">Regulatory Affairs </w:t>
            </w:r>
            <w:r>
              <w:rPr>
                <w:sz w:val="20"/>
                <w:szCs w:val="20"/>
              </w:rPr>
              <w:t>Professional</w:t>
            </w:r>
            <w:r w:rsidRPr="007D589B">
              <w:rPr>
                <w:sz w:val="20"/>
                <w:szCs w:val="20"/>
              </w:rPr>
              <w:t>*</w:t>
            </w:r>
          </w:p>
        </w:tc>
        <w:tc>
          <w:tcPr>
            <w:tcW w:w="1800" w:type="dxa"/>
            <w:shd w:val="clear" w:color="auto" w:fill="auto"/>
          </w:tcPr>
          <w:p w:rsidRPr="007D589B" w:rsidR="005C58B6" w:rsidP="00856210" w:rsidRDefault="00F83804">
            <w:pPr>
              <w:keepNext/>
              <w:ind w:left="72"/>
              <w:jc w:val="right"/>
              <w:rPr>
                <w:sz w:val="20"/>
                <w:szCs w:val="20"/>
              </w:rPr>
            </w:pPr>
            <w:r>
              <w:rPr>
                <w:sz w:val="20"/>
                <w:szCs w:val="20"/>
              </w:rPr>
              <w:t>392,518</w:t>
            </w:r>
          </w:p>
        </w:tc>
        <w:tc>
          <w:tcPr>
            <w:tcW w:w="2394" w:type="dxa"/>
            <w:shd w:val="clear" w:color="auto" w:fill="auto"/>
          </w:tcPr>
          <w:p w:rsidRPr="007D589B" w:rsidR="005C58B6" w:rsidP="00D349BB" w:rsidRDefault="005C58B6">
            <w:pPr>
              <w:keepNext/>
              <w:ind w:left="72"/>
              <w:jc w:val="right"/>
              <w:rPr>
                <w:sz w:val="20"/>
                <w:szCs w:val="20"/>
              </w:rPr>
            </w:pPr>
            <w:r w:rsidRPr="007D589B">
              <w:rPr>
                <w:sz w:val="20"/>
                <w:szCs w:val="20"/>
              </w:rPr>
              <w:t>$</w:t>
            </w:r>
            <w:r w:rsidR="006705AA">
              <w:rPr>
                <w:sz w:val="20"/>
                <w:szCs w:val="20"/>
              </w:rPr>
              <w:t>72</w:t>
            </w:r>
          </w:p>
        </w:tc>
        <w:tc>
          <w:tcPr>
            <w:tcW w:w="1926" w:type="dxa"/>
            <w:shd w:val="clear" w:color="auto" w:fill="auto"/>
          </w:tcPr>
          <w:p w:rsidRPr="007D589B" w:rsidR="005C58B6" w:rsidP="008C0E05" w:rsidRDefault="005C58B6">
            <w:pPr>
              <w:keepNext/>
              <w:ind w:left="108"/>
              <w:jc w:val="right"/>
              <w:rPr>
                <w:sz w:val="20"/>
                <w:szCs w:val="20"/>
              </w:rPr>
            </w:pPr>
            <w:r>
              <w:rPr>
                <w:sz w:val="20"/>
                <w:szCs w:val="20"/>
              </w:rPr>
              <w:t>$</w:t>
            </w:r>
            <w:r w:rsidR="00F83804">
              <w:rPr>
                <w:sz w:val="20"/>
                <w:szCs w:val="20"/>
              </w:rPr>
              <w:t>28,261,296</w:t>
            </w:r>
          </w:p>
        </w:tc>
      </w:tr>
    </w:tbl>
    <w:p w:rsidR="005C58B6" w:rsidP="005C58B6" w:rsidRDefault="005C58B6">
      <w:pPr>
        <w:pStyle w:val="BodyText2"/>
        <w:ind w:left="720"/>
      </w:pPr>
    </w:p>
    <w:p w:rsidRPr="00D349BB" w:rsidR="006705AA" w:rsidP="00D349BB" w:rsidRDefault="006705AA">
      <w:pPr>
        <w:pStyle w:val="BodyText2"/>
        <w:ind w:left="720"/>
        <w:rPr>
          <w:sz w:val="20"/>
        </w:rPr>
      </w:pPr>
      <w:r>
        <w:rPr>
          <w:sz w:val="20"/>
        </w:rPr>
        <w:t xml:space="preserve">* </w:t>
      </w:r>
      <w:r w:rsidRPr="00144784">
        <w:rPr>
          <w:sz w:val="20"/>
        </w:rPr>
        <w:t xml:space="preserve">The estimated wage rate for a Regulatory Affairs Professional </w:t>
      </w:r>
      <w:r>
        <w:rPr>
          <w:sz w:val="20"/>
        </w:rPr>
        <w:t>is based on T</w:t>
      </w:r>
      <w:r w:rsidRPr="00144784">
        <w:rPr>
          <w:sz w:val="20"/>
        </w:rPr>
        <w:t>he</w:t>
      </w:r>
      <w:r>
        <w:rPr>
          <w:sz w:val="20"/>
        </w:rPr>
        <w:t xml:space="preserve"> Regulatory Affairs Professional Society (RAPS) average total annual compensation of $150,422 for a </w:t>
      </w:r>
      <w:proofErr w:type="gramStart"/>
      <w:r>
        <w:rPr>
          <w:sz w:val="20"/>
        </w:rPr>
        <w:t>U.S. regulatory affairs</w:t>
      </w:r>
      <w:proofErr w:type="gramEnd"/>
      <w:r>
        <w:rPr>
          <w:sz w:val="20"/>
        </w:rPr>
        <w:t xml:space="preserve"> professional (</w:t>
      </w:r>
      <w:r w:rsidRPr="0075064C">
        <w:rPr>
          <w:sz w:val="20"/>
        </w:rPr>
        <w:t>https://www.raps.org/getattachment/Careers/Scope-of-Practice-Survey/2016-Scope-of-Practice-Compensation-Report-for-the-Regulatory-Profession.pdf.aspx?lang=en-US</w:t>
      </w:r>
      <w:r>
        <w:rPr>
          <w:sz w:val="20"/>
        </w:rPr>
        <w:t>, p. 11, accessed 08-23-19).</w:t>
      </w:r>
      <w:r w:rsidRPr="00144784">
        <w:rPr>
          <w:sz w:val="20"/>
        </w:rPr>
        <w:t xml:space="preserve"> The hourly wage rate</w:t>
      </w:r>
      <w:r>
        <w:rPr>
          <w:sz w:val="20"/>
        </w:rPr>
        <w:t xml:space="preserve"> of $72</w:t>
      </w:r>
      <w:r w:rsidRPr="00144784">
        <w:rPr>
          <w:sz w:val="20"/>
        </w:rPr>
        <w:t xml:space="preserve"> assumes a 40-hour work week</w:t>
      </w:r>
      <w:r>
        <w:rPr>
          <w:sz w:val="20"/>
        </w:rPr>
        <w:t xml:space="preserve"> and is rounded to the nearest dollar</w:t>
      </w:r>
      <w:r w:rsidRPr="00144784">
        <w:rPr>
          <w:sz w:val="20"/>
        </w:rPr>
        <w:t>.</w:t>
      </w:r>
    </w:p>
    <w:p w:rsidRPr="004C6979" w:rsidR="004C6979" w:rsidP="007174E2" w:rsidRDefault="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7174E2" w:rsidRDefault="00350523">
      <w:pPr>
        <w:ind w:left="720"/>
      </w:pPr>
      <w:r>
        <w:t>There are no capital, start-up, operating or maintenance costs associated with this information collection.</w:t>
      </w:r>
    </w:p>
    <w:p w:rsidRPr="004C6979" w:rsidR="004C6979" w:rsidP="007174E2" w:rsidRDefault="00EB7538">
      <w:pPr>
        <w:keepNext/>
        <w:numPr>
          <w:ilvl w:val="0"/>
          <w:numId w:val="1"/>
        </w:numPr>
        <w:spacing w:before="100" w:beforeAutospacing="1" w:after="100" w:afterAutospacing="1"/>
        <w:rPr>
          <w:u w:val="single"/>
        </w:rPr>
      </w:pPr>
      <w:r w:rsidRPr="004C6979">
        <w:rPr>
          <w:u w:val="single"/>
        </w:rPr>
        <w:t>Annualized Cost to the Federal Government</w:t>
      </w:r>
    </w:p>
    <w:p w:rsidRPr="00C647A4" w:rsidR="00694257" w:rsidP="00694257" w:rsidRDefault="00694257">
      <w:pPr>
        <w:spacing w:after="73"/>
        <w:ind w:left="720"/>
      </w:pPr>
      <w:r w:rsidRPr="00C647A4">
        <w:t xml:space="preserve">FDA estimates that a total of </w:t>
      </w:r>
      <w:r>
        <w:t>118</w:t>
      </w:r>
      <w:r w:rsidRPr="00C647A4">
        <w:t xml:space="preserve"> full time equivalent (FTE) positions are </w:t>
      </w:r>
      <w:r>
        <w:t>used</w:t>
      </w:r>
      <w:r w:rsidRPr="00C647A4">
        <w:t xml:space="preserve"> for </w:t>
      </w:r>
      <w:r>
        <w:t>PMA</w:t>
      </w:r>
      <w:r w:rsidRPr="00C647A4">
        <w:t xml:space="preserve"> review and processing. </w:t>
      </w:r>
      <w:r w:rsidR="005027CE">
        <w:t xml:space="preserve"> </w:t>
      </w:r>
      <w:r w:rsidRPr="00A87A70" w:rsidR="005027CE">
        <w:t>Based on a</w:t>
      </w:r>
      <w:r w:rsidR="005027CE">
        <w:t xml:space="preserve"> </w:t>
      </w:r>
      <w:r w:rsidRPr="00A87A70" w:rsidR="005027CE">
        <w:t>cost of $</w:t>
      </w:r>
      <w:r w:rsidR="005027CE">
        <w:t>270,305</w:t>
      </w:r>
      <w:r w:rsidRPr="00A87A70" w:rsidR="005027CE">
        <w:t xml:space="preserve"> per position (which is the agency’s </w:t>
      </w:r>
      <w:r w:rsidR="005027CE">
        <w:t xml:space="preserve">projected </w:t>
      </w:r>
      <w:r w:rsidRPr="00A87A70" w:rsidR="005027CE">
        <w:t>average cost of an FTE including benefits</w:t>
      </w:r>
      <w:r w:rsidR="005027CE">
        <w:t>*</w:t>
      </w:r>
      <w:r w:rsidRPr="00A87A70" w:rsidR="005027CE">
        <w:t>), the estimated annual Federal cost is $</w:t>
      </w:r>
      <w:r w:rsidR="00F83804">
        <w:t>31,895,990</w:t>
      </w:r>
      <w:r w:rsidRPr="00A87A70" w:rsidR="005027CE">
        <w:t>.</w:t>
      </w:r>
    </w:p>
    <w:p w:rsidR="00694257" w:rsidP="00694257" w:rsidRDefault="00694257">
      <w:pPr>
        <w:pStyle w:val="BodyText2"/>
        <w:ind w:left="720"/>
        <w:rPr>
          <w:sz w:val="20"/>
        </w:rPr>
      </w:pPr>
    </w:p>
    <w:p w:rsidRPr="00C647A4" w:rsidR="005027CE" w:rsidP="005027CE" w:rsidRDefault="005027CE">
      <w:pPr>
        <w:pStyle w:val="BodyText2"/>
        <w:ind w:left="720"/>
      </w:pPr>
      <w:r w:rsidRPr="0036706C">
        <w:rPr>
          <w:szCs w:val="22"/>
        </w:rPr>
        <w:t>*Based on the Food and Drug Administration fully loaded FTE cost model (domestic) for FY 2018, as provided by agency economists.</w:t>
      </w:r>
    </w:p>
    <w:p w:rsidRPr="004C6979" w:rsidR="004C6979" w:rsidP="007F2B17" w:rsidRDefault="00EB7538">
      <w:pPr>
        <w:keepNext/>
        <w:numPr>
          <w:ilvl w:val="0"/>
          <w:numId w:val="1"/>
        </w:numPr>
        <w:spacing w:before="100" w:beforeAutospacing="1" w:after="100" w:afterAutospacing="1"/>
        <w:rPr>
          <w:u w:val="single"/>
        </w:rPr>
      </w:pPr>
      <w:r w:rsidRPr="004C6979">
        <w:rPr>
          <w:u w:val="single"/>
        </w:rPr>
        <w:t>Explanation for Program Changes or Adjustments</w:t>
      </w:r>
    </w:p>
    <w:p w:rsidR="005867BD" w:rsidP="005867BD" w:rsidRDefault="007E010A">
      <w:pPr>
        <w:pStyle w:val="BodyTextIndent"/>
        <w:ind w:left="720"/>
      </w:pPr>
      <w:r>
        <w:t>We made the following changes to the information collection:</w:t>
      </w:r>
    </w:p>
    <w:p w:rsidR="007E010A" w:rsidP="007E010A" w:rsidRDefault="007E010A">
      <w:pPr>
        <w:pStyle w:val="BodyTextIndent"/>
        <w:numPr>
          <w:ilvl w:val="0"/>
          <w:numId w:val="34"/>
        </w:numPr>
      </w:pPr>
      <w:r>
        <w:t>Added the burden estimate for “Information on clinical investigations conducted outside the United States (§ 814.20(b)(6)(ii)(C)),” which is associated with the “Human Subject Protection; Acceptance of Data from Clinical Investigations for Medical Devices” final rule as described previously in this document.</w:t>
      </w:r>
    </w:p>
    <w:p w:rsidR="007E010A" w:rsidP="007E010A" w:rsidRDefault="007E010A">
      <w:pPr>
        <w:pStyle w:val="BodyTextIndent"/>
        <w:numPr>
          <w:ilvl w:val="0"/>
          <w:numId w:val="34"/>
        </w:numPr>
      </w:pPr>
      <w:r>
        <w:lastRenderedPageBreak/>
        <w:t>Revised the burden description and table to reflect that the Expedited Access Pathway and Priority Review have been superseded by the Breakthrough Devices Program.</w:t>
      </w:r>
    </w:p>
    <w:p w:rsidR="007E010A" w:rsidP="007E010A" w:rsidRDefault="007E010A">
      <w:pPr>
        <w:pStyle w:val="BodyTextIndent"/>
        <w:numPr>
          <w:ilvl w:val="0"/>
          <w:numId w:val="34"/>
        </w:numPr>
      </w:pPr>
      <w:r>
        <w:t>Updated our burden estimate with Fys 2016 through 2018 data.</w:t>
      </w:r>
    </w:p>
    <w:p w:rsidR="007E010A" w:rsidP="007E010A" w:rsidRDefault="007E010A">
      <w:pPr>
        <w:pStyle w:val="BodyTextIndent"/>
        <w:ind w:left="720"/>
      </w:pPr>
      <w:r>
        <w:t>These adjustments resulted in an overall increase of 34,782 hours to the estimated burden.</w:t>
      </w:r>
    </w:p>
    <w:p w:rsidRPr="004C6979" w:rsidR="004C6979" w:rsidP="007174E2" w:rsidRDefault="00EB7538">
      <w:pPr>
        <w:keepNext/>
        <w:numPr>
          <w:ilvl w:val="0"/>
          <w:numId w:val="1"/>
        </w:numPr>
        <w:spacing w:before="100" w:beforeAutospacing="1" w:after="100" w:afterAutospacing="1"/>
        <w:rPr>
          <w:u w:val="single"/>
        </w:rPr>
      </w:pPr>
      <w:r w:rsidRPr="004C6979">
        <w:rPr>
          <w:u w:val="single"/>
        </w:rPr>
        <w:t>Plans for Tabulation and Publication and Project Time Schedule</w:t>
      </w:r>
    </w:p>
    <w:p w:rsidR="003C4EBB" w:rsidP="007174E2" w:rsidRDefault="00943B26">
      <w:pPr>
        <w:ind w:left="720"/>
      </w:pPr>
      <w:r w:rsidRPr="00F62AA0">
        <w:t xml:space="preserve">There are no plans to publish the collection of information under these regulations for statistical use unless requested by Congress in accordance with </w:t>
      </w:r>
      <w:r>
        <w:t>s</w:t>
      </w:r>
      <w:r w:rsidRPr="00F62AA0">
        <w:t xml:space="preserve">ection 533 of the </w:t>
      </w:r>
      <w:r>
        <w:t xml:space="preserve">FD&amp;C </w:t>
      </w:r>
      <w:r w:rsidRPr="00F62AA0">
        <w:t>Act.</w:t>
      </w:r>
    </w:p>
    <w:p w:rsidRPr="004C6979" w:rsidR="004C6979" w:rsidP="007174E2" w:rsidRDefault="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P="007174E2" w:rsidRDefault="005027CE">
      <w:pPr>
        <w:ind w:left="720"/>
      </w:pPr>
      <w:r w:rsidRPr="005027CE">
        <w:rPr>
          <w:color w:val="000000"/>
        </w:rPr>
        <w:t xml:space="preserve"> </w:t>
      </w:r>
      <w:r>
        <w:rPr>
          <w:color w:val="000000"/>
        </w:rPr>
        <w:t>FDA will display the OMB expiration date as required by 5 CFR 1320.5.</w:t>
      </w:r>
    </w:p>
    <w:p w:rsidR="00EB7538" w:rsidP="000E1351" w:rsidRDefault="00EB7538">
      <w:pPr>
        <w:keepNext/>
        <w:numPr>
          <w:ilvl w:val="0"/>
          <w:numId w:val="1"/>
        </w:numPr>
        <w:spacing w:before="100" w:beforeAutospacing="1" w:after="100" w:afterAutospacing="1"/>
        <w:rPr>
          <w:u w:val="single"/>
        </w:rPr>
      </w:pPr>
      <w:r w:rsidRPr="004C6979">
        <w:rPr>
          <w:u w:val="single"/>
        </w:rPr>
        <w:t>Exceptions to Certification for Paperwork Reduction Act Submissions</w:t>
      </w:r>
    </w:p>
    <w:p w:rsidRPr="00F83804" w:rsidR="002746DB" w:rsidP="00F83804" w:rsidRDefault="00644D4F">
      <w:pPr>
        <w:spacing w:before="100" w:beforeAutospacing="1" w:after="100" w:afterAutospacing="1"/>
        <w:ind w:left="720"/>
      </w:pPr>
      <w:r>
        <w:t>T</w:t>
      </w:r>
      <w:r w:rsidR="00754497">
        <w:t>here are no e</w:t>
      </w:r>
      <w:r>
        <w:t>xceptions to the certification.</w:t>
      </w:r>
    </w:p>
    <w:sectPr w:rsidRPr="00F83804" w:rsidR="002746DB" w:rsidSect="00943B26">
      <w:footerReference w:type="even" r:id="rId10"/>
      <w:footerReference w:type="default" r:id="rId11"/>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827" w:rsidRDefault="007F6827">
      <w:r>
        <w:separator/>
      </w:r>
    </w:p>
  </w:endnote>
  <w:endnote w:type="continuationSeparator" w:id="0">
    <w:p w:rsidR="007F6827" w:rsidRDefault="007F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8D" w:rsidRDefault="00AB2F8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F8D" w:rsidRDefault="00AB2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F8D" w:rsidRDefault="00AB2F8D"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5D8">
      <w:rPr>
        <w:rStyle w:val="PageNumber"/>
        <w:noProof/>
      </w:rPr>
      <w:t>10</w:t>
    </w:r>
    <w:r>
      <w:rPr>
        <w:rStyle w:val="PageNumber"/>
      </w:rPr>
      <w:fldChar w:fldCharType="end"/>
    </w:r>
  </w:p>
  <w:p w:rsidR="00AB2F8D" w:rsidRDefault="00AB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827" w:rsidRDefault="007F6827">
      <w:r>
        <w:separator/>
      </w:r>
    </w:p>
  </w:footnote>
  <w:footnote w:type="continuationSeparator" w:id="0">
    <w:p w:rsidR="007F6827" w:rsidRDefault="007F6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3E3621"/>
    <w:multiLevelType w:val="hybridMultilevel"/>
    <w:tmpl w:val="98E8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70EF5FAB"/>
    <w:multiLevelType w:val="hybridMultilevel"/>
    <w:tmpl w:val="5BEE119A"/>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1"/>
  </w:num>
  <w:num w:numId="5">
    <w:abstractNumId w:val="8"/>
  </w:num>
  <w:num w:numId="6">
    <w:abstractNumId w:val="23"/>
  </w:num>
  <w:num w:numId="7">
    <w:abstractNumId w:val="29"/>
  </w:num>
  <w:num w:numId="8">
    <w:abstractNumId w:val="5"/>
  </w:num>
  <w:num w:numId="9">
    <w:abstractNumId w:val="24"/>
  </w:num>
  <w:num w:numId="10">
    <w:abstractNumId w:val="20"/>
  </w:num>
  <w:num w:numId="11">
    <w:abstractNumId w:val="10"/>
  </w:num>
  <w:num w:numId="12">
    <w:abstractNumId w:val="32"/>
  </w:num>
  <w:num w:numId="13">
    <w:abstractNumId w:val="19"/>
  </w:num>
  <w:num w:numId="14">
    <w:abstractNumId w:val="9"/>
  </w:num>
  <w:num w:numId="15">
    <w:abstractNumId w:val="15"/>
  </w:num>
  <w:num w:numId="16">
    <w:abstractNumId w:val="14"/>
  </w:num>
  <w:num w:numId="17">
    <w:abstractNumId w:val="28"/>
  </w:num>
  <w:num w:numId="18">
    <w:abstractNumId w:val="31"/>
  </w:num>
  <w:num w:numId="19">
    <w:abstractNumId w:val="30"/>
  </w:num>
  <w:num w:numId="20">
    <w:abstractNumId w:val="18"/>
  </w:num>
  <w:num w:numId="21">
    <w:abstractNumId w:val="13"/>
  </w:num>
  <w:num w:numId="22">
    <w:abstractNumId w:val="4"/>
  </w:num>
  <w:num w:numId="23">
    <w:abstractNumId w:val="25"/>
  </w:num>
  <w:num w:numId="24">
    <w:abstractNumId w:val="22"/>
  </w:num>
  <w:num w:numId="25">
    <w:abstractNumId w:val="12"/>
  </w:num>
  <w:num w:numId="26">
    <w:abstractNumId w:val="7"/>
  </w:num>
  <w:num w:numId="27">
    <w:abstractNumId w:val="33"/>
  </w:num>
  <w:num w:numId="28">
    <w:abstractNumId w:val="26"/>
  </w:num>
  <w:num w:numId="29">
    <w:abstractNumId w:val="6"/>
  </w:num>
  <w:num w:numId="30">
    <w:abstractNumId w:val="17"/>
  </w:num>
  <w:num w:numId="31">
    <w:abstractNumId w:val="2"/>
  </w:num>
  <w:num w:numId="32">
    <w:abstractNumId w:val="1"/>
  </w:num>
  <w:num w:numId="33">
    <w:abstractNumId w:val="27"/>
  </w:num>
  <w:num w:numId="3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05691"/>
    <w:rsid w:val="0001709C"/>
    <w:rsid w:val="00020A11"/>
    <w:rsid w:val="000432B9"/>
    <w:rsid w:val="00051E02"/>
    <w:rsid w:val="00052FC3"/>
    <w:rsid w:val="0006570F"/>
    <w:rsid w:val="00070C7F"/>
    <w:rsid w:val="000A770E"/>
    <w:rsid w:val="000C6BF5"/>
    <w:rsid w:val="000D1DF2"/>
    <w:rsid w:val="000D48FD"/>
    <w:rsid w:val="000E1351"/>
    <w:rsid w:val="000E1C64"/>
    <w:rsid w:val="000E269C"/>
    <w:rsid w:val="00100739"/>
    <w:rsid w:val="00107885"/>
    <w:rsid w:val="00107A5C"/>
    <w:rsid w:val="00114FC4"/>
    <w:rsid w:val="00117335"/>
    <w:rsid w:val="0012329C"/>
    <w:rsid w:val="00125E53"/>
    <w:rsid w:val="00133A97"/>
    <w:rsid w:val="00134FA7"/>
    <w:rsid w:val="00137950"/>
    <w:rsid w:val="00143453"/>
    <w:rsid w:val="00152F29"/>
    <w:rsid w:val="00177B0B"/>
    <w:rsid w:val="00181E7C"/>
    <w:rsid w:val="00185270"/>
    <w:rsid w:val="001873F7"/>
    <w:rsid w:val="001909CE"/>
    <w:rsid w:val="001910CA"/>
    <w:rsid w:val="00193F20"/>
    <w:rsid w:val="001A3B5A"/>
    <w:rsid w:val="001B4987"/>
    <w:rsid w:val="001B7CE9"/>
    <w:rsid w:val="001D495A"/>
    <w:rsid w:val="001E04BC"/>
    <w:rsid w:val="001E6F61"/>
    <w:rsid w:val="00214206"/>
    <w:rsid w:val="002259EF"/>
    <w:rsid w:val="00242ED1"/>
    <w:rsid w:val="00247554"/>
    <w:rsid w:val="00254069"/>
    <w:rsid w:val="002734E5"/>
    <w:rsid w:val="002746DB"/>
    <w:rsid w:val="00280CAF"/>
    <w:rsid w:val="00282F09"/>
    <w:rsid w:val="002A1B8A"/>
    <w:rsid w:val="002A3856"/>
    <w:rsid w:val="002A390C"/>
    <w:rsid w:val="002A52B7"/>
    <w:rsid w:val="002B1C64"/>
    <w:rsid w:val="002C3463"/>
    <w:rsid w:val="002C56E7"/>
    <w:rsid w:val="002D0078"/>
    <w:rsid w:val="002D14D8"/>
    <w:rsid w:val="002D4799"/>
    <w:rsid w:val="002D5641"/>
    <w:rsid w:val="002E3FA4"/>
    <w:rsid w:val="0032277F"/>
    <w:rsid w:val="003273B6"/>
    <w:rsid w:val="00340DD7"/>
    <w:rsid w:val="00350523"/>
    <w:rsid w:val="003600FF"/>
    <w:rsid w:val="0036532E"/>
    <w:rsid w:val="0036734D"/>
    <w:rsid w:val="003740BC"/>
    <w:rsid w:val="00377C44"/>
    <w:rsid w:val="003801A3"/>
    <w:rsid w:val="00383D90"/>
    <w:rsid w:val="003B27BF"/>
    <w:rsid w:val="003B3E99"/>
    <w:rsid w:val="003B42B3"/>
    <w:rsid w:val="003B6384"/>
    <w:rsid w:val="003C3AFF"/>
    <w:rsid w:val="003C4EBB"/>
    <w:rsid w:val="003D0013"/>
    <w:rsid w:val="003D1531"/>
    <w:rsid w:val="003E4EC6"/>
    <w:rsid w:val="003E527E"/>
    <w:rsid w:val="003E553E"/>
    <w:rsid w:val="003E5C7F"/>
    <w:rsid w:val="003E7078"/>
    <w:rsid w:val="003E7556"/>
    <w:rsid w:val="003F2F73"/>
    <w:rsid w:val="003F3DF5"/>
    <w:rsid w:val="00411D11"/>
    <w:rsid w:val="00415E23"/>
    <w:rsid w:val="00417EF4"/>
    <w:rsid w:val="00424061"/>
    <w:rsid w:val="00426188"/>
    <w:rsid w:val="0042702E"/>
    <w:rsid w:val="00427EEE"/>
    <w:rsid w:val="004404E7"/>
    <w:rsid w:val="00443969"/>
    <w:rsid w:val="00447D74"/>
    <w:rsid w:val="00450A74"/>
    <w:rsid w:val="0045205E"/>
    <w:rsid w:val="00465350"/>
    <w:rsid w:val="00470F73"/>
    <w:rsid w:val="00472AD1"/>
    <w:rsid w:val="00473961"/>
    <w:rsid w:val="00474C7F"/>
    <w:rsid w:val="004846BF"/>
    <w:rsid w:val="00484F17"/>
    <w:rsid w:val="0048648A"/>
    <w:rsid w:val="00487C29"/>
    <w:rsid w:val="004A5B09"/>
    <w:rsid w:val="004C6979"/>
    <w:rsid w:val="004D3E7A"/>
    <w:rsid w:val="004F13C8"/>
    <w:rsid w:val="005027CE"/>
    <w:rsid w:val="00512823"/>
    <w:rsid w:val="00516DB6"/>
    <w:rsid w:val="00533258"/>
    <w:rsid w:val="00533A24"/>
    <w:rsid w:val="00535572"/>
    <w:rsid w:val="00544138"/>
    <w:rsid w:val="00561579"/>
    <w:rsid w:val="00570B6F"/>
    <w:rsid w:val="00574940"/>
    <w:rsid w:val="005770F6"/>
    <w:rsid w:val="00584583"/>
    <w:rsid w:val="005867BD"/>
    <w:rsid w:val="00591937"/>
    <w:rsid w:val="005A4099"/>
    <w:rsid w:val="005B1ECB"/>
    <w:rsid w:val="005B201E"/>
    <w:rsid w:val="005C38B2"/>
    <w:rsid w:val="005C5029"/>
    <w:rsid w:val="005C55C2"/>
    <w:rsid w:val="005C58B6"/>
    <w:rsid w:val="005C615D"/>
    <w:rsid w:val="005D4DF5"/>
    <w:rsid w:val="005E046E"/>
    <w:rsid w:val="005F3558"/>
    <w:rsid w:val="00611D6B"/>
    <w:rsid w:val="00620CD3"/>
    <w:rsid w:val="00644D4F"/>
    <w:rsid w:val="00652E7E"/>
    <w:rsid w:val="006705AA"/>
    <w:rsid w:val="00683AE1"/>
    <w:rsid w:val="00694257"/>
    <w:rsid w:val="006A26C6"/>
    <w:rsid w:val="006A7D5D"/>
    <w:rsid w:val="006E5CB4"/>
    <w:rsid w:val="006F4D6D"/>
    <w:rsid w:val="00705086"/>
    <w:rsid w:val="007174E2"/>
    <w:rsid w:val="0073164A"/>
    <w:rsid w:val="00754497"/>
    <w:rsid w:val="00767CD0"/>
    <w:rsid w:val="007831CA"/>
    <w:rsid w:val="00787C39"/>
    <w:rsid w:val="0079026A"/>
    <w:rsid w:val="0079104E"/>
    <w:rsid w:val="00795DF3"/>
    <w:rsid w:val="007A373C"/>
    <w:rsid w:val="007A7609"/>
    <w:rsid w:val="007A7A38"/>
    <w:rsid w:val="007B225C"/>
    <w:rsid w:val="007C15A4"/>
    <w:rsid w:val="007C75B1"/>
    <w:rsid w:val="007D3DFC"/>
    <w:rsid w:val="007D45D8"/>
    <w:rsid w:val="007E010A"/>
    <w:rsid w:val="007E5391"/>
    <w:rsid w:val="007F2B17"/>
    <w:rsid w:val="007F6827"/>
    <w:rsid w:val="00806D07"/>
    <w:rsid w:val="0080776D"/>
    <w:rsid w:val="00807BD6"/>
    <w:rsid w:val="00810145"/>
    <w:rsid w:val="008108FA"/>
    <w:rsid w:val="00810FF1"/>
    <w:rsid w:val="00822336"/>
    <w:rsid w:val="00823DFA"/>
    <w:rsid w:val="00836AC1"/>
    <w:rsid w:val="00843752"/>
    <w:rsid w:val="00845D4E"/>
    <w:rsid w:val="00856210"/>
    <w:rsid w:val="00866DDE"/>
    <w:rsid w:val="00867EBC"/>
    <w:rsid w:val="00885B09"/>
    <w:rsid w:val="008873B7"/>
    <w:rsid w:val="00892400"/>
    <w:rsid w:val="008A209D"/>
    <w:rsid w:val="008B0E29"/>
    <w:rsid w:val="008B0EFA"/>
    <w:rsid w:val="008B30AB"/>
    <w:rsid w:val="008C0E05"/>
    <w:rsid w:val="008C18E7"/>
    <w:rsid w:val="008D12A0"/>
    <w:rsid w:val="008D4FC3"/>
    <w:rsid w:val="008E05B7"/>
    <w:rsid w:val="008E46A0"/>
    <w:rsid w:val="008F310D"/>
    <w:rsid w:val="00900AF7"/>
    <w:rsid w:val="00900E36"/>
    <w:rsid w:val="00905DEF"/>
    <w:rsid w:val="00907AEE"/>
    <w:rsid w:val="009132EC"/>
    <w:rsid w:val="00913B43"/>
    <w:rsid w:val="00930203"/>
    <w:rsid w:val="009311D2"/>
    <w:rsid w:val="00931275"/>
    <w:rsid w:val="00934949"/>
    <w:rsid w:val="00936AC7"/>
    <w:rsid w:val="00943B26"/>
    <w:rsid w:val="00964391"/>
    <w:rsid w:val="009675F2"/>
    <w:rsid w:val="009832F0"/>
    <w:rsid w:val="0099351A"/>
    <w:rsid w:val="009A1674"/>
    <w:rsid w:val="009C3383"/>
    <w:rsid w:val="009C6463"/>
    <w:rsid w:val="009C684F"/>
    <w:rsid w:val="009D074C"/>
    <w:rsid w:val="009E311E"/>
    <w:rsid w:val="009F2B4F"/>
    <w:rsid w:val="009F66B5"/>
    <w:rsid w:val="00A00361"/>
    <w:rsid w:val="00A06AC4"/>
    <w:rsid w:val="00A17F85"/>
    <w:rsid w:val="00A20A7D"/>
    <w:rsid w:val="00A3018B"/>
    <w:rsid w:val="00A35D42"/>
    <w:rsid w:val="00A46CCF"/>
    <w:rsid w:val="00A50B23"/>
    <w:rsid w:val="00A50F46"/>
    <w:rsid w:val="00A607C0"/>
    <w:rsid w:val="00A70426"/>
    <w:rsid w:val="00A861EC"/>
    <w:rsid w:val="00A91E9A"/>
    <w:rsid w:val="00A92774"/>
    <w:rsid w:val="00A93ED9"/>
    <w:rsid w:val="00AB2F8D"/>
    <w:rsid w:val="00AC6A99"/>
    <w:rsid w:val="00AF27F6"/>
    <w:rsid w:val="00AF3475"/>
    <w:rsid w:val="00B055EF"/>
    <w:rsid w:val="00B15103"/>
    <w:rsid w:val="00B15E82"/>
    <w:rsid w:val="00B23769"/>
    <w:rsid w:val="00B33038"/>
    <w:rsid w:val="00B43736"/>
    <w:rsid w:val="00B52D83"/>
    <w:rsid w:val="00B7063C"/>
    <w:rsid w:val="00B7246F"/>
    <w:rsid w:val="00B75613"/>
    <w:rsid w:val="00B86DFA"/>
    <w:rsid w:val="00B936D0"/>
    <w:rsid w:val="00B95DC9"/>
    <w:rsid w:val="00BA5B84"/>
    <w:rsid w:val="00BB738F"/>
    <w:rsid w:val="00BB7484"/>
    <w:rsid w:val="00BC0A65"/>
    <w:rsid w:val="00BC33B3"/>
    <w:rsid w:val="00BC68C8"/>
    <w:rsid w:val="00BE3600"/>
    <w:rsid w:val="00BE6061"/>
    <w:rsid w:val="00BE73B5"/>
    <w:rsid w:val="00BE7901"/>
    <w:rsid w:val="00C00718"/>
    <w:rsid w:val="00C01F6F"/>
    <w:rsid w:val="00C0536B"/>
    <w:rsid w:val="00C149AB"/>
    <w:rsid w:val="00C206C1"/>
    <w:rsid w:val="00C30ED5"/>
    <w:rsid w:val="00C331D2"/>
    <w:rsid w:val="00C40694"/>
    <w:rsid w:val="00C70542"/>
    <w:rsid w:val="00C75CBF"/>
    <w:rsid w:val="00C811AD"/>
    <w:rsid w:val="00C84118"/>
    <w:rsid w:val="00C943EC"/>
    <w:rsid w:val="00CA16F1"/>
    <w:rsid w:val="00CB0ECB"/>
    <w:rsid w:val="00CB746E"/>
    <w:rsid w:val="00CC2894"/>
    <w:rsid w:val="00CC37E4"/>
    <w:rsid w:val="00CD77C3"/>
    <w:rsid w:val="00CE112C"/>
    <w:rsid w:val="00CE731C"/>
    <w:rsid w:val="00CF2A12"/>
    <w:rsid w:val="00D04C0D"/>
    <w:rsid w:val="00D123AD"/>
    <w:rsid w:val="00D130A3"/>
    <w:rsid w:val="00D210A1"/>
    <w:rsid w:val="00D349BB"/>
    <w:rsid w:val="00D41579"/>
    <w:rsid w:val="00D517C8"/>
    <w:rsid w:val="00D608DA"/>
    <w:rsid w:val="00D730BF"/>
    <w:rsid w:val="00D86C9E"/>
    <w:rsid w:val="00D95B21"/>
    <w:rsid w:val="00DA0184"/>
    <w:rsid w:val="00DB189C"/>
    <w:rsid w:val="00DB7E29"/>
    <w:rsid w:val="00DC12F0"/>
    <w:rsid w:val="00DC3D52"/>
    <w:rsid w:val="00DC76C7"/>
    <w:rsid w:val="00DD09F5"/>
    <w:rsid w:val="00DD4201"/>
    <w:rsid w:val="00DE5711"/>
    <w:rsid w:val="00DF34B1"/>
    <w:rsid w:val="00E00EA0"/>
    <w:rsid w:val="00E21485"/>
    <w:rsid w:val="00E2351D"/>
    <w:rsid w:val="00E26758"/>
    <w:rsid w:val="00E272D1"/>
    <w:rsid w:val="00E31FD4"/>
    <w:rsid w:val="00E37EEC"/>
    <w:rsid w:val="00E4357B"/>
    <w:rsid w:val="00E5477D"/>
    <w:rsid w:val="00E63DE5"/>
    <w:rsid w:val="00E65A37"/>
    <w:rsid w:val="00E736E2"/>
    <w:rsid w:val="00E77979"/>
    <w:rsid w:val="00E77B48"/>
    <w:rsid w:val="00E802C9"/>
    <w:rsid w:val="00E91799"/>
    <w:rsid w:val="00EA34E3"/>
    <w:rsid w:val="00EB0A3F"/>
    <w:rsid w:val="00EB315A"/>
    <w:rsid w:val="00EB664C"/>
    <w:rsid w:val="00EB6DB6"/>
    <w:rsid w:val="00EB7538"/>
    <w:rsid w:val="00EC1F4D"/>
    <w:rsid w:val="00EC2762"/>
    <w:rsid w:val="00EE0A2B"/>
    <w:rsid w:val="00EF0E9E"/>
    <w:rsid w:val="00EF2BAD"/>
    <w:rsid w:val="00EF7026"/>
    <w:rsid w:val="00F01D1A"/>
    <w:rsid w:val="00F207A4"/>
    <w:rsid w:val="00F22A94"/>
    <w:rsid w:val="00F321BE"/>
    <w:rsid w:val="00F355AC"/>
    <w:rsid w:val="00F549CB"/>
    <w:rsid w:val="00F70EF2"/>
    <w:rsid w:val="00F71A5A"/>
    <w:rsid w:val="00F725F1"/>
    <w:rsid w:val="00F769E0"/>
    <w:rsid w:val="00F77FB5"/>
    <w:rsid w:val="00F8216C"/>
    <w:rsid w:val="00F83804"/>
    <w:rsid w:val="00FA391B"/>
    <w:rsid w:val="00FB0944"/>
    <w:rsid w:val="00FC6BDE"/>
    <w:rsid w:val="00FD068E"/>
    <w:rsid w:val="00FE17E1"/>
    <w:rsid w:val="00FF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0F6FB0-6EC7-4694-AA2C-B1D2252B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paragraph" w:styleId="Heading8">
    <w:name w:val="heading 8"/>
    <w:basedOn w:val="Normal"/>
    <w:next w:val="Normal"/>
    <w:link w:val="Heading8Char"/>
    <w:qFormat/>
    <w:rsid w:val="00EC2762"/>
    <w:pPr>
      <w:keepNext/>
      <w:ind w:left="540"/>
      <w:outlineLvl w:val="7"/>
    </w:pPr>
    <w:rPr>
      <w:b/>
      <w:snapToGrid w:val="0"/>
      <w:szCs w:val="20"/>
    </w:rPr>
  </w:style>
  <w:style w:type="paragraph" w:styleId="Heading9">
    <w:name w:val="heading 9"/>
    <w:basedOn w:val="Normal"/>
    <w:next w:val="Normal"/>
    <w:link w:val="Heading9Char"/>
    <w:qFormat/>
    <w:rsid w:val="00EC2762"/>
    <w:pPr>
      <w:keepNext/>
      <w:outlineLvl w:val="8"/>
    </w:pPr>
    <w:rPr>
      <w:b/>
      <w:snapToGrid w:val="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EC2762"/>
    <w:rPr>
      <w:sz w:val="16"/>
      <w:szCs w:val="16"/>
    </w:rPr>
  </w:style>
  <w:style w:type="paragraph" w:styleId="CommentText">
    <w:name w:val="annotation text"/>
    <w:basedOn w:val="Normal"/>
    <w:link w:val="CommentTextChar"/>
    <w:rsid w:val="00EC2762"/>
    <w:rPr>
      <w:sz w:val="20"/>
      <w:szCs w:val="20"/>
    </w:rPr>
  </w:style>
  <w:style w:type="character" w:customStyle="1" w:styleId="CommentTextChar">
    <w:name w:val="Comment Text Char"/>
    <w:basedOn w:val="DefaultParagraphFont"/>
    <w:link w:val="CommentText"/>
    <w:rsid w:val="00EC2762"/>
  </w:style>
  <w:style w:type="paragraph" w:styleId="CommentSubject">
    <w:name w:val="annotation subject"/>
    <w:basedOn w:val="CommentText"/>
    <w:next w:val="CommentText"/>
    <w:link w:val="CommentSubjectChar"/>
    <w:rsid w:val="00EC2762"/>
    <w:rPr>
      <w:b/>
      <w:bCs/>
    </w:rPr>
  </w:style>
  <w:style w:type="character" w:customStyle="1" w:styleId="CommentSubjectChar">
    <w:name w:val="Comment Subject Char"/>
    <w:link w:val="CommentSubject"/>
    <w:rsid w:val="00EC2762"/>
    <w:rPr>
      <w:b/>
      <w:bCs/>
    </w:rPr>
  </w:style>
  <w:style w:type="paragraph" w:styleId="BodyTextIndent3">
    <w:name w:val="Body Text Indent 3"/>
    <w:basedOn w:val="Normal"/>
    <w:link w:val="BodyTextIndent3Char"/>
    <w:rsid w:val="00EC2762"/>
    <w:pPr>
      <w:spacing w:after="120"/>
      <w:ind w:left="360"/>
    </w:pPr>
    <w:rPr>
      <w:sz w:val="16"/>
      <w:szCs w:val="16"/>
    </w:rPr>
  </w:style>
  <w:style w:type="character" w:customStyle="1" w:styleId="BodyTextIndent3Char">
    <w:name w:val="Body Text Indent 3 Char"/>
    <w:link w:val="BodyTextIndent3"/>
    <w:rsid w:val="00EC2762"/>
    <w:rPr>
      <w:sz w:val="16"/>
      <w:szCs w:val="16"/>
    </w:rPr>
  </w:style>
  <w:style w:type="character" w:customStyle="1" w:styleId="Heading8Char">
    <w:name w:val="Heading 8 Char"/>
    <w:link w:val="Heading8"/>
    <w:rsid w:val="00EC2762"/>
    <w:rPr>
      <w:b/>
      <w:snapToGrid w:val="0"/>
      <w:sz w:val="24"/>
    </w:rPr>
  </w:style>
  <w:style w:type="character" w:customStyle="1" w:styleId="Heading9Char">
    <w:name w:val="Heading 9 Char"/>
    <w:link w:val="Heading9"/>
    <w:rsid w:val="00EC2762"/>
    <w:rPr>
      <w:b/>
      <w:snapToGrid w:val="0"/>
      <w:sz w:val="24"/>
    </w:rPr>
  </w:style>
  <w:style w:type="character" w:styleId="Hyperlink">
    <w:name w:val="Hyperlink"/>
    <w:rsid w:val="00EC2762"/>
    <w:rPr>
      <w:color w:val="0000FF"/>
      <w:u w:val="single"/>
    </w:rPr>
  </w:style>
  <w:style w:type="paragraph" w:styleId="HTMLPreformatted">
    <w:name w:val="HTML Preformatted"/>
    <w:basedOn w:val="Normal"/>
    <w:link w:val="HTMLPreformattedChar"/>
    <w:rsid w:val="00EC2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C2762"/>
    <w:rPr>
      <w:rFonts w:ascii="Courier New" w:hAnsi="Courier New" w:cs="Courier New"/>
    </w:rPr>
  </w:style>
  <w:style w:type="character" w:styleId="FollowedHyperlink">
    <w:name w:val="FollowedHyperlink"/>
    <w:rsid w:val="00EC2762"/>
    <w:rPr>
      <w:color w:val="800080"/>
      <w:u w:val="single"/>
    </w:rPr>
  </w:style>
  <w:style w:type="character" w:customStyle="1" w:styleId="BodyText2Char">
    <w:name w:val="Body Text 2 Char"/>
    <w:link w:val="BodyText2"/>
    <w:rsid w:val="005C58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granule/USCODE-2011-title21/USCODE-2011-title21-chap9-subchapV-partA-sec351/content-detai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gov/fdsys/granule/USCODE-2011-title21/USCODE-2011-title21-chap9-subchapV-partA-sec360e/content-detai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da.gov/MedicalDevice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26946</CharactersWithSpaces>
  <SharedDoc>false</SharedDoc>
  <HLinks>
    <vt:vector size="18" baseType="variant">
      <vt:variant>
        <vt:i4>5177438</vt:i4>
      </vt:variant>
      <vt:variant>
        <vt:i4>6</vt:i4>
      </vt:variant>
      <vt:variant>
        <vt:i4>0</vt:i4>
      </vt:variant>
      <vt:variant>
        <vt:i4>5</vt:i4>
      </vt:variant>
      <vt:variant>
        <vt:lpwstr>http://www.fda.gov/MedicalDevices/default.htm</vt:lpwstr>
      </vt:variant>
      <vt:variant>
        <vt:lpwstr/>
      </vt:variant>
      <vt:variant>
        <vt:i4>5308489</vt:i4>
      </vt:variant>
      <vt:variant>
        <vt:i4>3</vt:i4>
      </vt:variant>
      <vt:variant>
        <vt:i4>0</vt:i4>
      </vt:variant>
      <vt:variant>
        <vt:i4>5</vt:i4>
      </vt:variant>
      <vt:variant>
        <vt:lpwstr>http://www.gpo.gov/fdsys/granule/USCODE-2011-title21/USCODE-2011-title21-chap9-subchapV-partA-sec351/content-detail.html</vt:lpwstr>
      </vt:variant>
      <vt:variant>
        <vt:lpwstr/>
      </vt:variant>
      <vt:variant>
        <vt:i4>1638410</vt:i4>
      </vt:variant>
      <vt:variant>
        <vt:i4>0</vt:i4>
      </vt:variant>
      <vt:variant>
        <vt:i4>0</vt:i4>
      </vt:variant>
      <vt:variant>
        <vt:i4>5</vt:i4>
      </vt:variant>
      <vt:variant>
        <vt:lpwstr>http://www.gpo.gov/fdsys/granule/USCODE-2011-title21/USCODE-2011-title21-chap9-subchapV-partA-sec360e/content-detail.html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Capezzuto, JonnaLynn</cp:lastModifiedBy>
  <cp:revision>2</cp:revision>
  <cp:lastPrinted>2017-01-31T14:58:00Z</cp:lastPrinted>
  <dcterms:created xsi:type="dcterms:W3CDTF">2020-03-20T17:57:00Z</dcterms:created>
  <dcterms:modified xsi:type="dcterms:W3CDTF">2020-03-20T17:57:00Z</dcterms:modified>
</cp:coreProperties>
</file>