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C54A2F" w14:textId="5F30FB2C" w:rsidR="00980785" w:rsidRDefault="00980785" w:rsidP="004A5AD6">
      <w:pPr>
        <w:tabs>
          <w:tab w:val="center" w:pos="4680"/>
        </w:tabs>
        <w:jc w:val="center"/>
        <w:rPr>
          <w:rFonts w:ascii="Times New Roman" w:hAnsi="Times New Roman"/>
        </w:rPr>
      </w:pPr>
      <w:bookmarkStart w:id="0" w:name="_GoBack"/>
      <w:bookmarkEnd w:id="0"/>
    </w:p>
    <w:p w14:paraId="2FCAA52C" w14:textId="24F7CF80" w:rsidR="00980785" w:rsidRDefault="00980785" w:rsidP="004A5AD6">
      <w:pPr>
        <w:tabs>
          <w:tab w:val="center" w:pos="4680"/>
        </w:tabs>
        <w:jc w:val="center"/>
        <w:rPr>
          <w:rFonts w:ascii="Times New Roman" w:hAnsi="Times New Roman"/>
          <w:szCs w:val="24"/>
        </w:rPr>
      </w:pPr>
      <w:r>
        <w:rPr>
          <w:rFonts w:ascii="Times New Roman" w:hAnsi="Times New Roman"/>
          <w:szCs w:val="24"/>
        </w:rPr>
        <w:t>United States Food and Drug Administration</w:t>
      </w:r>
    </w:p>
    <w:p w14:paraId="0DA4D038" w14:textId="77777777" w:rsidR="00980785" w:rsidRDefault="00980785" w:rsidP="004A5AD6">
      <w:pPr>
        <w:tabs>
          <w:tab w:val="center" w:pos="4680"/>
        </w:tabs>
        <w:jc w:val="center"/>
        <w:rPr>
          <w:rFonts w:ascii="Times New Roman" w:hAnsi="Times New Roman"/>
          <w:szCs w:val="24"/>
        </w:rPr>
      </w:pPr>
    </w:p>
    <w:p w14:paraId="61999697" w14:textId="0C2F4CDF" w:rsidR="004A5AD6" w:rsidRDefault="004A5AD6" w:rsidP="004A5AD6">
      <w:pPr>
        <w:tabs>
          <w:tab w:val="center" w:pos="4680"/>
        </w:tabs>
        <w:jc w:val="center"/>
        <w:rPr>
          <w:rFonts w:ascii="Times New Roman" w:hAnsi="Times New Roman"/>
          <w:szCs w:val="24"/>
        </w:rPr>
      </w:pPr>
      <w:r w:rsidRPr="004A5AD6">
        <w:rPr>
          <w:rFonts w:ascii="Times New Roman" w:hAnsi="Times New Roman"/>
          <w:szCs w:val="24"/>
        </w:rPr>
        <w:t>Focus Groups About Drug Products as Used by the Food and Drug Administration</w:t>
      </w:r>
    </w:p>
    <w:p w14:paraId="5C32FE8A" w14:textId="77777777" w:rsidR="004A5AD6" w:rsidRPr="00FB4D88" w:rsidRDefault="004A5AD6" w:rsidP="004A5AD6">
      <w:pPr>
        <w:tabs>
          <w:tab w:val="center" w:pos="4680"/>
        </w:tabs>
        <w:jc w:val="center"/>
        <w:rPr>
          <w:rFonts w:ascii="Times New Roman" w:hAnsi="Times New Roman"/>
        </w:rPr>
      </w:pPr>
    </w:p>
    <w:p w14:paraId="2B5BCC40" w14:textId="2150D287" w:rsidR="004A5AD6" w:rsidRPr="00FB4D88" w:rsidRDefault="00980785" w:rsidP="004A5AD6">
      <w:pPr>
        <w:tabs>
          <w:tab w:val="center" w:pos="4680"/>
        </w:tabs>
        <w:jc w:val="center"/>
        <w:rPr>
          <w:rFonts w:ascii="Times New Roman" w:hAnsi="Times New Roman"/>
        </w:rPr>
      </w:pPr>
      <w:r>
        <w:rPr>
          <w:rFonts w:ascii="Times New Roman" w:hAnsi="Times New Roman"/>
        </w:rPr>
        <w:t xml:space="preserve">OMB Control No. </w:t>
      </w:r>
      <w:r w:rsidR="004A5AD6">
        <w:rPr>
          <w:rFonts w:ascii="Times New Roman" w:hAnsi="Times New Roman"/>
        </w:rPr>
        <w:t>0910-0677</w:t>
      </w:r>
    </w:p>
    <w:p w14:paraId="34DDF317" w14:textId="607B086C" w:rsidR="008752E5" w:rsidRPr="00FB4D88" w:rsidRDefault="008752E5" w:rsidP="005A2C4B">
      <w:pPr>
        <w:pStyle w:val="BodyText"/>
        <w:spacing w:before="56"/>
        <w:ind w:left="2810" w:right="2728"/>
        <w:jc w:val="center"/>
      </w:pPr>
    </w:p>
    <w:p w14:paraId="065D3D91" w14:textId="77777777" w:rsidR="008752E5" w:rsidRPr="00FB4D88" w:rsidRDefault="008752E5" w:rsidP="008752E5">
      <w:pPr>
        <w:jc w:val="center"/>
        <w:rPr>
          <w:rFonts w:ascii="Times New Roman" w:hAnsi="Times New Roman"/>
          <w:b/>
        </w:rPr>
      </w:pPr>
    </w:p>
    <w:p w14:paraId="420F86D1" w14:textId="77777777" w:rsidR="008752E5" w:rsidRPr="00FB4D88" w:rsidRDefault="008752E5" w:rsidP="008752E5">
      <w:pPr>
        <w:rPr>
          <w:rFonts w:ascii="Times New Roman" w:hAnsi="Times New Roman"/>
        </w:rPr>
      </w:pPr>
      <w:r w:rsidRPr="00FB4D88">
        <w:rPr>
          <w:rFonts w:ascii="Times New Roman" w:hAnsi="Times New Roman"/>
          <w:b/>
        </w:rPr>
        <w:t xml:space="preserve">Terms of Clearance:  </w:t>
      </w:r>
      <w:r w:rsidRPr="00FB4D88">
        <w:rPr>
          <w:rFonts w:ascii="Times New Roman" w:hAnsi="Times New Roman"/>
        </w:rPr>
        <w:t>None.</w:t>
      </w:r>
    </w:p>
    <w:p w14:paraId="68B3E108" w14:textId="3818B06A" w:rsidR="008752E5" w:rsidRPr="00FB4D88" w:rsidRDefault="00980785" w:rsidP="008752E5">
      <w:pPr>
        <w:pStyle w:val="NormalWeb"/>
      </w:pPr>
      <w:r>
        <w:rPr>
          <w:b/>
          <w:bCs/>
        </w:rPr>
        <w:t xml:space="preserve">Part </w:t>
      </w:r>
      <w:r w:rsidR="008752E5" w:rsidRPr="00FB4D88">
        <w:rPr>
          <w:b/>
          <w:bCs/>
        </w:rPr>
        <w:t>A. Justification</w:t>
      </w:r>
    </w:p>
    <w:p w14:paraId="57CCD954" w14:textId="77777777" w:rsidR="008752E5" w:rsidRPr="00FB4D88" w:rsidRDefault="008752E5" w:rsidP="0045098C">
      <w:pPr>
        <w:widowControl/>
        <w:numPr>
          <w:ilvl w:val="0"/>
          <w:numId w:val="17"/>
        </w:numPr>
        <w:ind w:left="288"/>
        <w:rPr>
          <w:rFonts w:ascii="Times New Roman" w:hAnsi="Times New Roman"/>
          <w:snapToGrid/>
          <w:szCs w:val="24"/>
          <w:u w:val="single"/>
        </w:rPr>
      </w:pPr>
      <w:r w:rsidRPr="00FB4D88">
        <w:rPr>
          <w:rFonts w:ascii="Times New Roman" w:hAnsi="Times New Roman"/>
          <w:u w:val="single"/>
        </w:rPr>
        <w:t>Circumstances Maki</w:t>
      </w:r>
      <w:r w:rsidRPr="00FB4D88">
        <w:rPr>
          <w:rFonts w:ascii="Times New Roman" w:hAnsi="Times New Roman"/>
          <w:szCs w:val="24"/>
          <w:u w:val="single"/>
        </w:rPr>
        <w:t>ng the Collection of Information Necessary</w:t>
      </w:r>
    </w:p>
    <w:p w14:paraId="68BA5B28" w14:textId="77777777" w:rsidR="008752E5" w:rsidRPr="00FB4D88" w:rsidRDefault="008752E5" w:rsidP="0045098C">
      <w:pPr>
        <w:widowControl/>
        <w:ind w:left="288" w:hanging="360"/>
        <w:rPr>
          <w:rFonts w:ascii="Times New Roman" w:hAnsi="Times New Roman"/>
          <w:snapToGrid/>
          <w:szCs w:val="24"/>
          <w:u w:val="single"/>
        </w:rPr>
      </w:pPr>
    </w:p>
    <w:p w14:paraId="663F82D6" w14:textId="77777777" w:rsidR="006B62A5" w:rsidRPr="006B62A5" w:rsidRDefault="006B62A5" w:rsidP="0045098C">
      <w:pPr>
        <w:ind w:left="288"/>
        <w:rPr>
          <w:rFonts w:ascii="Times New Roman" w:eastAsia="Calibri" w:hAnsi="Times New Roman"/>
          <w:snapToGrid/>
          <w:color w:val="000000"/>
          <w:szCs w:val="24"/>
        </w:rPr>
      </w:pPr>
      <w:r w:rsidRPr="006B62A5">
        <w:rPr>
          <w:rFonts w:ascii="Times New Roman" w:eastAsia="Calibri" w:hAnsi="Times New Roman"/>
          <w:snapToGrid/>
          <w:color w:val="000000"/>
          <w:szCs w:val="24"/>
        </w:rPr>
        <w:t>Under the Federal Food, Drug, and Cosmetic Act (21 U.S.C. 393(d)(2)(D)), the Commissioner of Food and Drugs is authorized to conduct educational and public information programs. To support these efforts, the Food and Drug Administration (FDA or we) is requesting approval for information collection through the use of focus groups for studies involving drug products that are regulated by the agency.  The information collection will employ statistical methods, as described in our Supporting Statement Part B, to explore concepts of interest and assist in the development of quantitative study proposals, complementing other important research efforts in the agency. This information may also be used to help develop communication messages and campaigns. Focus groups play an important role in gathering information because they allow for an in-depth understanding of individuals’ attitudes, beliefs, motivations, and feelings. Focus group research serves the narrowly defined need for direct and informal public opinion on a specific topic.</w:t>
      </w:r>
    </w:p>
    <w:p w14:paraId="1B710642" w14:textId="75440737" w:rsidR="000533EB" w:rsidRDefault="000533EB" w:rsidP="0045098C">
      <w:pPr>
        <w:widowControl/>
        <w:ind w:left="-144"/>
        <w:rPr>
          <w:rFonts w:ascii="Times New Roman" w:eastAsia="Calibri" w:hAnsi="Times New Roman"/>
          <w:snapToGrid/>
          <w:color w:val="000000"/>
          <w:szCs w:val="24"/>
        </w:rPr>
      </w:pPr>
    </w:p>
    <w:p w14:paraId="693FB812" w14:textId="54B93DB8" w:rsidR="008752E5" w:rsidRPr="00935A56" w:rsidRDefault="008752E5" w:rsidP="0045098C">
      <w:pPr>
        <w:widowControl/>
        <w:numPr>
          <w:ilvl w:val="0"/>
          <w:numId w:val="17"/>
        </w:numPr>
        <w:ind w:left="288"/>
        <w:rPr>
          <w:rFonts w:ascii="Times New Roman" w:hAnsi="Times New Roman"/>
          <w:snapToGrid/>
          <w:u w:val="single"/>
        </w:rPr>
      </w:pPr>
      <w:r w:rsidRPr="00695193">
        <w:rPr>
          <w:rFonts w:ascii="Times New Roman" w:hAnsi="Times New Roman"/>
          <w:u w:val="single"/>
        </w:rPr>
        <w:t>Purpose and Us</w:t>
      </w:r>
      <w:r w:rsidR="00935A56">
        <w:rPr>
          <w:rFonts w:ascii="Times New Roman" w:hAnsi="Times New Roman"/>
          <w:u w:val="single"/>
        </w:rPr>
        <w:t>e of the Information Collection</w:t>
      </w:r>
    </w:p>
    <w:p w14:paraId="6181AE68" w14:textId="77777777" w:rsidR="00935A56" w:rsidRPr="00695193" w:rsidRDefault="00935A56" w:rsidP="0045098C">
      <w:pPr>
        <w:widowControl/>
        <w:ind w:left="288"/>
        <w:rPr>
          <w:rFonts w:ascii="Times New Roman" w:hAnsi="Times New Roman"/>
          <w:snapToGrid/>
          <w:u w:val="single"/>
        </w:rPr>
      </w:pPr>
    </w:p>
    <w:p w14:paraId="62FB1098" w14:textId="77B4126B" w:rsidR="00EA59C9" w:rsidRDefault="00875E5A" w:rsidP="0045098C">
      <w:pPr>
        <w:widowControl/>
        <w:ind w:left="288"/>
        <w:rPr>
          <w:rFonts w:ascii="Times New Roman" w:hAnsi="Times New Roman"/>
          <w:szCs w:val="24"/>
          <w:u w:val="single"/>
        </w:rPr>
      </w:pPr>
      <w:r w:rsidRPr="00875E5A">
        <w:rPr>
          <w:rFonts w:ascii="Times New Roman" w:hAnsi="Times New Roman"/>
          <w:szCs w:val="24"/>
        </w:rPr>
        <w:t>FDA will use routine contacts with customers, review of subject materials and other qualitative information collection activities to identify areas of interest and concern to customers. FDA will use in-house</w:t>
      </w:r>
      <w:r w:rsidR="003E76ED">
        <w:rPr>
          <w:rFonts w:ascii="Times New Roman" w:hAnsi="Times New Roman"/>
          <w:szCs w:val="24"/>
        </w:rPr>
        <w:t xml:space="preserve"> statistical</w:t>
      </w:r>
      <w:r w:rsidRPr="00875E5A">
        <w:rPr>
          <w:rFonts w:ascii="Times New Roman" w:hAnsi="Times New Roman"/>
          <w:szCs w:val="24"/>
        </w:rPr>
        <w:t xml:space="preserve"> staff and outside contractors to develop focus group plans. According to OMB guidelines for generic clearances for focus groups, we will establish an independent review process to assure the development and implementation of high quality focus groups.  Specifically</w:t>
      </w:r>
      <w:r>
        <w:rPr>
          <w:rFonts w:ascii="Times New Roman" w:hAnsi="Times New Roman"/>
          <w:szCs w:val="24"/>
        </w:rPr>
        <w:t>,</w:t>
      </w:r>
      <w:r w:rsidRPr="00875E5A">
        <w:rPr>
          <w:rFonts w:ascii="Times New Roman" w:hAnsi="Times New Roman"/>
          <w:szCs w:val="24"/>
        </w:rPr>
        <w:t xml:space="preserve"> we hope to utilize focus groups: to obtain information useful for developing variables and measures for quantitative studies; to better understand people’s attitudes and emotions in response to topics and concepts; and to further explore findings obtained from quantitative studies.</w:t>
      </w:r>
    </w:p>
    <w:p w14:paraId="716763BC" w14:textId="77777777" w:rsidR="00EA59C9" w:rsidRDefault="00EA59C9" w:rsidP="0045098C">
      <w:pPr>
        <w:widowControl/>
        <w:ind w:left="288"/>
        <w:rPr>
          <w:rFonts w:ascii="Times New Roman" w:hAnsi="Times New Roman"/>
          <w:szCs w:val="24"/>
          <w:u w:val="single"/>
        </w:rPr>
      </w:pPr>
    </w:p>
    <w:p w14:paraId="53E895E3" w14:textId="4C1D80FD" w:rsidR="008752E5" w:rsidRPr="00EA59C9" w:rsidRDefault="008752E5" w:rsidP="0045098C">
      <w:pPr>
        <w:widowControl/>
        <w:numPr>
          <w:ilvl w:val="0"/>
          <w:numId w:val="17"/>
        </w:numPr>
        <w:ind w:left="288"/>
        <w:rPr>
          <w:rFonts w:ascii="Times New Roman" w:hAnsi="Times New Roman"/>
          <w:snapToGrid/>
          <w:u w:val="single"/>
        </w:rPr>
      </w:pPr>
      <w:r w:rsidRPr="00EA59C9">
        <w:rPr>
          <w:rFonts w:ascii="Times New Roman" w:hAnsi="Times New Roman"/>
          <w:u w:val="single"/>
        </w:rPr>
        <w:t xml:space="preserve">Use of Improved Information </w:t>
      </w:r>
      <w:r w:rsidR="007F11E3" w:rsidRPr="00EA59C9">
        <w:rPr>
          <w:rFonts w:ascii="Times New Roman" w:hAnsi="Times New Roman"/>
          <w:u w:val="single"/>
        </w:rPr>
        <w:t>Technology and Burden Reduction</w:t>
      </w:r>
    </w:p>
    <w:p w14:paraId="2E40AB52" w14:textId="77777777" w:rsidR="007F11E3" w:rsidRPr="00FB4D88" w:rsidRDefault="007F11E3" w:rsidP="0045098C">
      <w:pPr>
        <w:widowControl/>
        <w:ind w:left="288" w:right="-1440"/>
        <w:rPr>
          <w:rFonts w:ascii="Times New Roman" w:hAnsi="Times New Roman"/>
          <w:snapToGrid/>
          <w:u w:val="single"/>
        </w:rPr>
      </w:pPr>
    </w:p>
    <w:p w14:paraId="6FF7853E" w14:textId="2889FE14" w:rsidR="005A2C4B" w:rsidRDefault="003242DB" w:rsidP="0045098C">
      <w:pPr>
        <w:ind w:left="288"/>
        <w:rPr>
          <w:rFonts w:ascii="Times New Roman" w:hAnsi="Times New Roman"/>
        </w:rPr>
      </w:pPr>
      <w:r>
        <w:rPr>
          <w:rFonts w:ascii="Times New Roman" w:eastAsia="Calibri" w:hAnsi="Times New Roman"/>
          <w:snapToGrid/>
          <w:color w:val="000000"/>
          <w:szCs w:val="24"/>
        </w:rPr>
        <w:t>F</w:t>
      </w:r>
      <w:r w:rsidRPr="003242DB">
        <w:rPr>
          <w:rFonts w:ascii="Times New Roman" w:eastAsia="Calibri" w:hAnsi="Times New Roman"/>
          <w:snapToGrid/>
          <w:color w:val="000000"/>
          <w:szCs w:val="24"/>
        </w:rPr>
        <w:t xml:space="preserve">ocus group studies are directed group discussions that enable skilled observers to infer the underlying views and assumptions of the group members that are expressed in the discussion. To facilitate interpretation, discussions are recorded and videotaped (when appropriate) so that both a visual record and written transcript of the discussion are available for review. Focus groups are generally held in locations that participants travel to by car or short-range </w:t>
      </w:r>
      <w:r w:rsidRPr="003242DB">
        <w:rPr>
          <w:rFonts w:ascii="Times New Roman" w:eastAsia="Calibri" w:hAnsi="Times New Roman"/>
          <w:snapToGrid/>
          <w:color w:val="000000"/>
          <w:szCs w:val="24"/>
        </w:rPr>
        <w:lastRenderedPageBreak/>
        <w:t>public transportation.  When a specialized population of participants is necessary, such as physicians with expertise in a particular specialty, focus groups may be held at scientific or academic</w:t>
      </w:r>
      <w:r>
        <w:rPr>
          <w:rFonts w:ascii="Times New Roman" w:eastAsia="Calibri" w:hAnsi="Times New Roman"/>
          <w:snapToGrid/>
          <w:color w:val="000000"/>
          <w:szCs w:val="24"/>
        </w:rPr>
        <w:t xml:space="preserve"> </w:t>
      </w:r>
      <w:r w:rsidRPr="003242DB">
        <w:rPr>
          <w:rFonts w:ascii="Times New Roman" w:eastAsia="Calibri" w:hAnsi="Times New Roman"/>
          <w:snapToGrid/>
          <w:color w:val="000000"/>
          <w:szCs w:val="24"/>
        </w:rPr>
        <w:t xml:space="preserve">meetings.  Some geographic diversity may be built in where such </w:t>
      </w:r>
      <w:r>
        <w:rPr>
          <w:rFonts w:ascii="Times New Roman" w:eastAsia="Calibri" w:hAnsi="Times New Roman"/>
          <w:snapToGrid/>
          <w:color w:val="000000"/>
          <w:szCs w:val="24"/>
        </w:rPr>
        <w:t xml:space="preserve">diversity is deemed appropriate </w:t>
      </w:r>
      <w:r w:rsidRPr="003242DB">
        <w:rPr>
          <w:rFonts w:ascii="Times New Roman" w:eastAsia="Calibri" w:hAnsi="Times New Roman"/>
          <w:snapToGrid/>
          <w:color w:val="000000"/>
          <w:szCs w:val="24"/>
        </w:rPr>
        <w:t>by conducting focus groups in different regions across the 48 contiguous United States. Sometimes, however, when there is a particular need for rapidly gathering information from people who are located across the United States, focus groups may be held by telephone and may use Web technology to decrease burden and increase efficiency.</w:t>
      </w:r>
    </w:p>
    <w:p w14:paraId="249287B3" w14:textId="4710F0ED" w:rsidR="00896876" w:rsidRPr="005A2C4B" w:rsidRDefault="005A2C4B" w:rsidP="0045098C">
      <w:pPr>
        <w:ind w:left="288"/>
        <w:rPr>
          <w:rFonts w:ascii="Times New Roman" w:hAnsi="Times New Roman"/>
          <w:szCs w:val="24"/>
        </w:rPr>
      </w:pPr>
      <w:r>
        <w:rPr>
          <w:rFonts w:ascii="Times New Roman" w:hAnsi="Times New Roman"/>
        </w:rPr>
        <w:t xml:space="preserve"> </w:t>
      </w:r>
    </w:p>
    <w:p w14:paraId="2AEFF54D" w14:textId="77777777" w:rsidR="008752E5" w:rsidRPr="00FB4D88" w:rsidRDefault="008752E5" w:rsidP="0045098C">
      <w:pPr>
        <w:widowControl/>
        <w:numPr>
          <w:ilvl w:val="0"/>
          <w:numId w:val="17"/>
        </w:numPr>
        <w:ind w:left="288"/>
        <w:rPr>
          <w:rFonts w:ascii="Times New Roman" w:hAnsi="Times New Roman"/>
          <w:snapToGrid/>
          <w:u w:val="single"/>
        </w:rPr>
      </w:pPr>
      <w:r w:rsidRPr="005A2C4B">
        <w:rPr>
          <w:rFonts w:ascii="Times New Roman" w:hAnsi="Times New Roman"/>
          <w:u w:val="single"/>
        </w:rPr>
        <w:t>Efforts to Identify Duplication and Use of</w:t>
      </w:r>
      <w:r w:rsidRPr="00FB4D88">
        <w:rPr>
          <w:rFonts w:ascii="Times New Roman" w:hAnsi="Times New Roman"/>
          <w:u w:val="single"/>
        </w:rPr>
        <w:t xml:space="preserve"> Similar Information</w:t>
      </w:r>
    </w:p>
    <w:p w14:paraId="52A25321" w14:textId="77777777" w:rsidR="008752E5" w:rsidRPr="00FB4D88" w:rsidRDefault="008752E5" w:rsidP="0045098C">
      <w:pPr>
        <w:tabs>
          <w:tab w:val="left" w:leader="dot" w:pos="4320"/>
          <w:tab w:val="left" w:pos="4680"/>
          <w:tab w:val="left" w:pos="5040"/>
          <w:tab w:val="left" w:pos="5400"/>
          <w:tab w:val="left" w:pos="6480"/>
          <w:tab w:val="left" w:pos="6840"/>
        </w:tabs>
        <w:ind w:left="288"/>
        <w:rPr>
          <w:rFonts w:ascii="Times New Roman" w:hAnsi="Times New Roman"/>
          <w:szCs w:val="24"/>
        </w:rPr>
      </w:pPr>
    </w:p>
    <w:p w14:paraId="6FBC1D31" w14:textId="0F237DCC" w:rsidR="0088353E" w:rsidRDefault="005A2C4B" w:rsidP="0045098C">
      <w:pPr>
        <w:widowControl/>
        <w:ind w:left="288" w:right="-1440"/>
        <w:rPr>
          <w:rFonts w:ascii="Times New Roman" w:hAnsi="Times New Roman"/>
          <w:szCs w:val="24"/>
        </w:rPr>
      </w:pPr>
      <w:r w:rsidRPr="005A2C4B">
        <w:rPr>
          <w:rFonts w:ascii="Times New Roman" w:hAnsi="Times New Roman"/>
          <w:szCs w:val="24"/>
        </w:rPr>
        <w:t>We are unaware of duplicative information collection.</w:t>
      </w:r>
    </w:p>
    <w:p w14:paraId="187CE116" w14:textId="77777777" w:rsidR="0088353E" w:rsidRDefault="0088353E" w:rsidP="0045098C">
      <w:pPr>
        <w:widowControl/>
        <w:ind w:left="288" w:right="-1440"/>
        <w:rPr>
          <w:rFonts w:ascii="Times New Roman" w:hAnsi="Times New Roman"/>
          <w:szCs w:val="24"/>
        </w:rPr>
      </w:pPr>
    </w:p>
    <w:p w14:paraId="1F31C3D0" w14:textId="695CD209" w:rsidR="008752E5" w:rsidRPr="0088353E" w:rsidRDefault="008752E5" w:rsidP="0045098C">
      <w:pPr>
        <w:widowControl/>
        <w:numPr>
          <w:ilvl w:val="0"/>
          <w:numId w:val="17"/>
        </w:numPr>
        <w:ind w:left="288"/>
        <w:rPr>
          <w:rFonts w:ascii="Times New Roman" w:hAnsi="Times New Roman"/>
          <w:snapToGrid/>
          <w:u w:val="single"/>
        </w:rPr>
      </w:pPr>
      <w:r w:rsidRPr="0088353E">
        <w:rPr>
          <w:rFonts w:ascii="Times New Roman" w:hAnsi="Times New Roman"/>
          <w:u w:val="single"/>
        </w:rPr>
        <w:t>Impact on Small Businesses or Other Small Entities</w:t>
      </w:r>
    </w:p>
    <w:p w14:paraId="5331C16D" w14:textId="77777777" w:rsidR="008752E5" w:rsidRPr="00FB4D88" w:rsidRDefault="008752E5" w:rsidP="0045098C">
      <w:pPr>
        <w:widowControl/>
        <w:ind w:left="288"/>
        <w:rPr>
          <w:rFonts w:ascii="Times New Roman" w:hAnsi="Times New Roman"/>
          <w:snapToGrid/>
          <w:u w:val="single"/>
        </w:rPr>
      </w:pPr>
    </w:p>
    <w:p w14:paraId="64FCE335" w14:textId="08F184FE" w:rsidR="005A2C4B" w:rsidRDefault="003242DB" w:rsidP="0045098C">
      <w:pPr>
        <w:tabs>
          <w:tab w:val="left" w:leader="dot" w:pos="4320"/>
          <w:tab w:val="left" w:pos="4680"/>
          <w:tab w:val="left" w:pos="5040"/>
          <w:tab w:val="left" w:pos="5400"/>
          <w:tab w:val="left" w:pos="6480"/>
          <w:tab w:val="left" w:pos="6840"/>
        </w:tabs>
        <w:ind w:left="288"/>
        <w:rPr>
          <w:rFonts w:ascii="Times New Roman" w:hAnsi="Times New Roman"/>
          <w:szCs w:val="24"/>
        </w:rPr>
      </w:pPr>
      <w:r w:rsidRPr="003242DB">
        <w:rPr>
          <w:rFonts w:ascii="Times New Roman" w:hAnsi="Times New Roman"/>
          <w:szCs w:val="24"/>
        </w:rPr>
        <w:t>Respondents to the information collection are private individuals.</w:t>
      </w:r>
    </w:p>
    <w:p w14:paraId="37DC4D54" w14:textId="77777777" w:rsidR="005A2C4B" w:rsidRDefault="005A2C4B" w:rsidP="0045098C">
      <w:pPr>
        <w:tabs>
          <w:tab w:val="left" w:leader="dot" w:pos="4320"/>
          <w:tab w:val="left" w:pos="4680"/>
          <w:tab w:val="left" w:pos="5040"/>
          <w:tab w:val="left" w:pos="5400"/>
          <w:tab w:val="left" w:pos="6480"/>
          <w:tab w:val="left" w:pos="6840"/>
        </w:tabs>
        <w:ind w:left="288"/>
        <w:rPr>
          <w:rFonts w:ascii="Times New Roman" w:hAnsi="Times New Roman"/>
          <w:szCs w:val="24"/>
        </w:rPr>
      </w:pPr>
    </w:p>
    <w:p w14:paraId="43EB389E" w14:textId="77777777" w:rsidR="00EC22EA" w:rsidRPr="00FB4D88" w:rsidRDefault="00EC22EA" w:rsidP="0045098C">
      <w:pPr>
        <w:widowControl/>
        <w:numPr>
          <w:ilvl w:val="0"/>
          <w:numId w:val="17"/>
        </w:numPr>
        <w:ind w:left="288"/>
        <w:rPr>
          <w:rFonts w:ascii="Times New Roman" w:hAnsi="Times New Roman"/>
          <w:snapToGrid/>
          <w:u w:val="single"/>
        </w:rPr>
      </w:pPr>
      <w:r w:rsidRPr="00FB4D88">
        <w:rPr>
          <w:rFonts w:ascii="Times New Roman" w:hAnsi="Times New Roman"/>
          <w:u w:val="single"/>
        </w:rPr>
        <w:t>Consequences of Collecting the Information Less Frequently</w:t>
      </w:r>
    </w:p>
    <w:p w14:paraId="1E28AAA9" w14:textId="77777777" w:rsidR="003242DB" w:rsidRDefault="003242DB" w:rsidP="0045098C">
      <w:pPr>
        <w:pStyle w:val="ListParagraph"/>
        <w:widowControl/>
        <w:autoSpaceDE w:val="0"/>
        <w:autoSpaceDN w:val="0"/>
        <w:adjustRightInd w:val="0"/>
        <w:ind w:left="288"/>
        <w:rPr>
          <w:rFonts w:ascii="Times New Roman" w:eastAsiaTheme="minorHAnsi" w:hAnsi="Times New Roman"/>
          <w:snapToGrid/>
          <w:szCs w:val="24"/>
        </w:rPr>
      </w:pPr>
    </w:p>
    <w:p w14:paraId="4F1A06B3" w14:textId="3862BE47" w:rsidR="00FE3E6E" w:rsidRPr="005A2C4B" w:rsidRDefault="003242DB" w:rsidP="0045098C">
      <w:pPr>
        <w:pStyle w:val="ListParagraph"/>
        <w:widowControl/>
        <w:autoSpaceDE w:val="0"/>
        <w:autoSpaceDN w:val="0"/>
        <w:adjustRightInd w:val="0"/>
        <w:ind w:left="288"/>
        <w:rPr>
          <w:rFonts w:ascii="Times New Roman" w:hAnsi="Times New Roman"/>
          <w:szCs w:val="24"/>
        </w:rPr>
      </w:pPr>
      <w:r w:rsidRPr="003242DB">
        <w:rPr>
          <w:rFonts w:ascii="Times New Roman" w:eastAsiaTheme="minorHAnsi" w:hAnsi="Times New Roman"/>
          <w:snapToGrid/>
          <w:szCs w:val="24"/>
        </w:rPr>
        <w:t>Usually a set or series of focus groups is collected only once to provide information or explore a particular topic of interest. Because focus groups are considered a first step to explore concepts of interest and develop quantitative research proposals, failing to collect the information will cause delays in the development of programmatic concepts and impede the development of quantitative research, which will in turn inhibit substantive policy formation. In addition, with respect to developing communications, in the absence of information collected through qualitative formative testing, the messages developed are much less likely to be effective and hence run the risk of being an inefficient use of government resources.</w:t>
      </w:r>
    </w:p>
    <w:p w14:paraId="28343A19" w14:textId="77777777" w:rsidR="00935A56" w:rsidRDefault="00935A56" w:rsidP="0045098C">
      <w:pPr>
        <w:pStyle w:val="BodyText"/>
        <w:ind w:left="288" w:firstLine="360"/>
      </w:pPr>
    </w:p>
    <w:p w14:paraId="347FDE8A" w14:textId="390B0D84" w:rsidR="00FE3E6E" w:rsidRPr="005A2C4B" w:rsidRDefault="00FE3E6E" w:rsidP="0045098C">
      <w:pPr>
        <w:widowControl/>
        <w:numPr>
          <w:ilvl w:val="0"/>
          <w:numId w:val="17"/>
        </w:numPr>
        <w:ind w:left="288"/>
        <w:rPr>
          <w:rFonts w:ascii="Times New Roman" w:hAnsi="Times New Roman"/>
          <w:snapToGrid/>
          <w:u w:val="single"/>
        </w:rPr>
      </w:pPr>
      <w:r w:rsidRPr="00FB4D88">
        <w:rPr>
          <w:rFonts w:ascii="Times New Roman" w:hAnsi="Times New Roman"/>
          <w:u w:val="single"/>
        </w:rPr>
        <w:t>Special Circumstances Relating to the Guidelines of 5 CFR 1320.5</w:t>
      </w:r>
    </w:p>
    <w:p w14:paraId="7456963B" w14:textId="77777777" w:rsidR="005A2C4B" w:rsidRDefault="005A2C4B" w:rsidP="0045098C">
      <w:pPr>
        <w:widowControl/>
        <w:ind w:left="288"/>
        <w:rPr>
          <w:rFonts w:ascii="Times New Roman" w:eastAsiaTheme="minorHAnsi" w:hAnsi="Times New Roman"/>
          <w:snapToGrid/>
          <w:szCs w:val="24"/>
        </w:rPr>
      </w:pPr>
    </w:p>
    <w:p w14:paraId="78125E76" w14:textId="0831AA15" w:rsidR="005A2C4B" w:rsidRPr="00FB4D88" w:rsidRDefault="005A2C4B" w:rsidP="0045098C">
      <w:pPr>
        <w:widowControl/>
        <w:ind w:left="288"/>
        <w:rPr>
          <w:rFonts w:ascii="Times New Roman" w:hAnsi="Times New Roman"/>
          <w:snapToGrid/>
          <w:u w:val="single"/>
        </w:rPr>
      </w:pPr>
      <w:r>
        <w:rPr>
          <w:rFonts w:ascii="Times New Roman" w:eastAsiaTheme="minorHAnsi" w:hAnsi="Times New Roman"/>
          <w:snapToGrid/>
          <w:szCs w:val="24"/>
        </w:rPr>
        <w:t>There are no special circumstances for this collection of information.</w:t>
      </w:r>
    </w:p>
    <w:p w14:paraId="70F31BD7" w14:textId="77777777" w:rsidR="002A2189" w:rsidRPr="00FB4D88" w:rsidRDefault="002A2189" w:rsidP="002A2189">
      <w:pPr>
        <w:ind w:left="360"/>
        <w:rPr>
          <w:rFonts w:ascii="Times New Roman" w:hAnsi="Times New Roman"/>
          <w:szCs w:val="24"/>
        </w:rPr>
      </w:pPr>
    </w:p>
    <w:p w14:paraId="4D4E8905" w14:textId="04531EB6" w:rsidR="00FE3E6E" w:rsidRPr="00FB4D88" w:rsidRDefault="00FE3E6E" w:rsidP="0045098C">
      <w:pPr>
        <w:widowControl/>
        <w:numPr>
          <w:ilvl w:val="0"/>
          <w:numId w:val="17"/>
        </w:numPr>
        <w:ind w:left="288"/>
        <w:rPr>
          <w:rFonts w:ascii="Times New Roman" w:hAnsi="Times New Roman"/>
          <w:snapToGrid/>
          <w:u w:val="single"/>
        </w:rPr>
      </w:pPr>
      <w:r w:rsidRPr="00FB4D88">
        <w:rPr>
          <w:rFonts w:ascii="Times New Roman" w:hAnsi="Times New Roman"/>
          <w:u w:val="single"/>
        </w:rPr>
        <w:t>Comments in Response to the Federal Register Notice and Efforts to Consult Outside the Agency</w:t>
      </w:r>
    </w:p>
    <w:p w14:paraId="58EB6AF1" w14:textId="77777777" w:rsidR="00FE3E6E" w:rsidRPr="00FB4D88" w:rsidRDefault="00FE3E6E" w:rsidP="0045098C">
      <w:pPr>
        <w:pStyle w:val="PlainText"/>
        <w:ind w:left="288"/>
        <w:rPr>
          <w:rFonts w:ascii="Times New Roman" w:hAnsi="Times New Roman" w:cs="Times New Roman"/>
          <w:sz w:val="24"/>
          <w:szCs w:val="24"/>
        </w:rPr>
      </w:pPr>
    </w:p>
    <w:p w14:paraId="6107CE42" w14:textId="4136DAF8" w:rsidR="00EA7BE2" w:rsidRPr="00B51345" w:rsidRDefault="008752E5" w:rsidP="0045098C">
      <w:pPr>
        <w:ind w:left="288"/>
        <w:rPr>
          <w:rFonts w:ascii="Times New Roman" w:hAnsi="Times New Roman"/>
          <w:szCs w:val="24"/>
        </w:rPr>
      </w:pPr>
      <w:r w:rsidRPr="00EA7BE2">
        <w:rPr>
          <w:rFonts w:ascii="Times New Roman" w:hAnsi="Times New Roman"/>
          <w:szCs w:val="24"/>
        </w:rPr>
        <w:t>In accordance with 5 CFR 1320.8(d), FDA published a 60-day notice</w:t>
      </w:r>
      <w:r w:rsidR="00EA7BE2" w:rsidRPr="00EA7BE2">
        <w:rPr>
          <w:rFonts w:ascii="Times New Roman" w:hAnsi="Times New Roman"/>
          <w:szCs w:val="24"/>
        </w:rPr>
        <w:t xml:space="preserve"> </w:t>
      </w:r>
      <w:r w:rsidR="00EA7BE2" w:rsidRPr="00B51345">
        <w:rPr>
          <w:rFonts w:ascii="Times New Roman" w:hAnsi="Times New Roman"/>
          <w:szCs w:val="24"/>
        </w:rPr>
        <w:t xml:space="preserve">in the </w:t>
      </w:r>
      <w:r w:rsidR="00EA7BE2" w:rsidRPr="0045098C">
        <w:rPr>
          <w:rFonts w:ascii="Times New Roman" w:hAnsi="Times New Roman"/>
          <w:szCs w:val="24"/>
          <w:u w:val="single"/>
        </w:rPr>
        <w:t>Federal</w:t>
      </w:r>
      <w:r w:rsidR="00EA7BE2" w:rsidRPr="0045098C">
        <w:rPr>
          <w:rFonts w:ascii="Times New Roman" w:hAnsi="Times New Roman"/>
          <w:szCs w:val="24"/>
        </w:rPr>
        <w:t xml:space="preserve"> </w:t>
      </w:r>
      <w:r w:rsidR="00EA7BE2" w:rsidRPr="0045098C">
        <w:rPr>
          <w:rFonts w:ascii="Times New Roman" w:hAnsi="Times New Roman"/>
          <w:szCs w:val="24"/>
          <w:u w:val="single"/>
        </w:rPr>
        <w:t>Register</w:t>
      </w:r>
      <w:r w:rsidR="00EA7BE2" w:rsidRPr="00B51345">
        <w:rPr>
          <w:rFonts w:ascii="Times New Roman" w:hAnsi="Times New Roman"/>
          <w:szCs w:val="24"/>
        </w:rPr>
        <w:t xml:space="preserve"> of July 17, 2019 (84 FR 34186)</w:t>
      </w:r>
      <w:r w:rsidR="005F5977">
        <w:rPr>
          <w:rFonts w:ascii="Times New Roman" w:hAnsi="Times New Roman"/>
          <w:szCs w:val="24"/>
        </w:rPr>
        <w:t>.</w:t>
      </w:r>
      <w:r w:rsidR="00EA7BE2" w:rsidRPr="00B51345">
        <w:rPr>
          <w:rFonts w:ascii="Times New Roman" w:hAnsi="Times New Roman"/>
          <w:szCs w:val="24"/>
        </w:rPr>
        <w:t xml:space="preserve">  </w:t>
      </w:r>
      <w:r w:rsidR="005F5977">
        <w:rPr>
          <w:rFonts w:ascii="Times New Roman" w:hAnsi="Times New Roman"/>
          <w:szCs w:val="24"/>
        </w:rPr>
        <w:t>We received n</w:t>
      </w:r>
      <w:r w:rsidR="00EA7BE2" w:rsidRPr="00B51345">
        <w:rPr>
          <w:rFonts w:ascii="Times New Roman" w:hAnsi="Times New Roman"/>
          <w:szCs w:val="24"/>
        </w:rPr>
        <w:t xml:space="preserve">o comments </w:t>
      </w:r>
      <w:r w:rsidR="005F5977">
        <w:rPr>
          <w:rFonts w:ascii="Times New Roman" w:hAnsi="Times New Roman"/>
          <w:szCs w:val="24"/>
        </w:rPr>
        <w:t>that pertained to the information collection analysis</w:t>
      </w:r>
      <w:r w:rsidR="00EA7BE2" w:rsidRPr="00B51345">
        <w:rPr>
          <w:rFonts w:ascii="Times New Roman" w:hAnsi="Times New Roman"/>
          <w:szCs w:val="24"/>
        </w:rPr>
        <w:t>.</w:t>
      </w:r>
    </w:p>
    <w:p w14:paraId="1579F543" w14:textId="77777777" w:rsidR="007172F5" w:rsidRPr="00FB4D88" w:rsidRDefault="007172F5" w:rsidP="0045098C">
      <w:pPr>
        <w:pStyle w:val="PlainText"/>
        <w:ind w:left="288"/>
        <w:rPr>
          <w:rFonts w:ascii="Times New Roman" w:hAnsi="Times New Roman" w:cs="Times New Roman"/>
          <w:sz w:val="24"/>
          <w:szCs w:val="24"/>
        </w:rPr>
      </w:pPr>
    </w:p>
    <w:p w14:paraId="000DB45F" w14:textId="615F21CF" w:rsidR="007172F5" w:rsidRPr="005A2C4B" w:rsidRDefault="007172F5" w:rsidP="0045098C">
      <w:pPr>
        <w:widowControl/>
        <w:numPr>
          <w:ilvl w:val="0"/>
          <w:numId w:val="17"/>
        </w:numPr>
        <w:ind w:left="288"/>
        <w:rPr>
          <w:rFonts w:ascii="Times New Roman" w:hAnsi="Times New Roman"/>
          <w:snapToGrid/>
          <w:u w:val="single"/>
        </w:rPr>
      </w:pPr>
      <w:r w:rsidRPr="00FB4D88">
        <w:rPr>
          <w:rFonts w:ascii="Times New Roman" w:hAnsi="Times New Roman"/>
          <w:u w:val="single"/>
        </w:rPr>
        <w:t>Explanation of Any Payment or Gift to Respondents</w:t>
      </w:r>
    </w:p>
    <w:p w14:paraId="2904B21E" w14:textId="77777777" w:rsidR="005A2C4B" w:rsidRDefault="005A2C4B" w:rsidP="0045098C">
      <w:pPr>
        <w:widowControl/>
        <w:ind w:left="288"/>
        <w:rPr>
          <w:rFonts w:ascii="Times New Roman" w:eastAsiaTheme="minorHAnsi" w:hAnsi="Times New Roman"/>
          <w:snapToGrid/>
          <w:szCs w:val="24"/>
        </w:rPr>
      </w:pPr>
    </w:p>
    <w:p w14:paraId="3097EE41" w14:textId="77777777" w:rsidR="003242DB" w:rsidRPr="003242DB" w:rsidRDefault="003242DB" w:rsidP="0045098C">
      <w:pPr>
        <w:widowControl/>
        <w:ind w:left="288"/>
        <w:rPr>
          <w:rFonts w:ascii="Times New Roman" w:eastAsiaTheme="minorHAnsi" w:hAnsi="Times New Roman"/>
          <w:snapToGrid/>
          <w:szCs w:val="24"/>
        </w:rPr>
      </w:pPr>
      <w:r w:rsidRPr="003242DB">
        <w:rPr>
          <w:rFonts w:ascii="Times New Roman" w:eastAsiaTheme="minorHAnsi" w:hAnsi="Times New Roman"/>
          <w:snapToGrid/>
          <w:szCs w:val="24"/>
        </w:rPr>
        <w:t xml:space="preserve">It is standard practice in commercial market research to offer recruited respondents some form of remuneration for the time they spend engaged in the focus group. As has been approved by OMB in the past, focus group participants may be offered an incentive (usually $50 to $75, consistent with general Federal government practice).  Incentives for Web-based or telephone focus groups will generally be offered at a lower rate. Incentives for difficult-to-recruit populations may be offered at a higher rate such as $150 (or potentially more) for certain </w:t>
      </w:r>
      <w:r w:rsidRPr="003242DB">
        <w:rPr>
          <w:rFonts w:ascii="Times New Roman" w:eastAsiaTheme="minorHAnsi" w:hAnsi="Times New Roman"/>
          <w:snapToGrid/>
          <w:szCs w:val="24"/>
        </w:rPr>
        <w:lastRenderedPageBreak/>
        <w:t>medical specialists.  FDA will provide a rationale in the justification memo for any studies that propose to offer non-standard rates.</w:t>
      </w:r>
    </w:p>
    <w:p w14:paraId="0A8C114E" w14:textId="77777777" w:rsidR="003242DB" w:rsidRPr="003242DB" w:rsidRDefault="003242DB" w:rsidP="0045098C">
      <w:pPr>
        <w:widowControl/>
        <w:ind w:left="288"/>
        <w:rPr>
          <w:rFonts w:ascii="Times New Roman" w:eastAsiaTheme="minorHAnsi" w:hAnsi="Times New Roman"/>
          <w:snapToGrid/>
          <w:szCs w:val="24"/>
        </w:rPr>
      </w:pPr>
    </w:p>
    <w:p w14:paraId="106D1631" w14:textId="36902279" w:rsidR="005A2C4B" w:rsidRDefault="003242DB" w:rsidP="0045098C">
      <w:pPr>
        <w:widowControl/>
        <w:ind w:left="288"/>
        <w:rPr>
          <w:rFonts w:ascii="Times New Roman" w:eastAsiaTheme="minorHAnsi" w:hAnsi="Times New Roman"/>
          <w:snapToGrid/>
          <w:szCs w:val="24"/>
        </w:rPr>
      </w:pPr>
      <w:r w:rsidRPr="003242DB">
        <w:rPr>
          <w:rFonts w:ascii="Times New Roman" w:eastAsiaTheme="minorHAnsi" w:hAnsi="Times New Roman"/>
          <w:snapToGrid/>
          <w:szCs w:val="24"/>
        </w:rPr>
        <w:t>Circumstances, however, do not always require that remuneration be given; many audiences including the public, patients, survivors, and some health professionals often participate gratis because of their interest or involvement in the topic, or as a professional courtesy.</w:t>
      </w:r>
    </w:p>
    <w:p w14:paraId="52875067" w14:textId="77777777" w:rsidR="003242DB" w:rsidRPr="00FB4D88" w:rsidRDefault="003242DB" w:rsidP="0045098C">
      <w:pPr>
        <w:widowControl/>
        <w:ind w:left="288"/>
        <w:rPr>
          <w:rFonts w:ascii="Times New Roman" w:hAnsi="Times New Roman"/>
          <w:snapToGrid/>
          <w:u w:val="single"/>
        </w:rPr>
      </w:pPr>
    </w:p>
    <w:p w14:paraId="02DD3EEB" w14:textId="7BFA9E38" w:rsidR="007172F5" w:rsidRPr="00F03311" w:rsidRDefault="007172F5" w:rsidP="0045098C">
      <w:pPr>
        <w:widowControl/>
        <w:numPr>
          <w:ilvl w:val="0"/>
          <w:numId w:val="17"/>
        </w:numPr>
        <w:ind w:left="288"/>
        <w:rPr>
          <w:rFonts w:ascii="Times New Roman" w:hAnsi="Times New Roman"/>
          <w:snapToGrid/>
          <w:u w:val="single"/>
        </w:rPr>
      </w:pPr>
      <w:r w:rsidRPr="00FB4D88">
        <w:rPr>
          <w:rFonts w:ascii="Times New Roman" w:hAnsi="Times New Roman"/>
          <w:u w:val="single"/>
        </w:rPr>
        <w:t xml:space="preserve">Assurance of </w:t>
      </w:r>
      <w:r w:rsidR="0028310A">
        <w:rPr>
          <w:rFonts w:ascii="Times New Roman" w:hAnsi="Times New Roman"/>
          <w:u w:val="single"/>
        </w:rPr>
        <w:t xml:space="preserve">Respondent Privacy and </w:t>
      </w:r>
      <w:r w:rsidRPr="00FB4D88">
        <w:rPr>
          <w:rFonts w:ascii="Times New Roman" w:hAnsi="Times New Roman"/>
          <w:u w:val="single"/>
        </w:rPr>
        <w:t>Confidentiality</w:t>
      </w:r>
    </w:p>
    <w:p w14:paraId="42106805" w14:textId="77777777" w:rsidR="00F03311" w:rsidRPr="00B32F6C" w:rsidRDefault="00F03311" w:rsidP="0045098C">
      <w:pPr>
        <w:widowControl/>
        <w:ind w:left="288" w:right="-1440"/>
        <w:rPr>
          <w:rFonts w:ascii="Times New Roman" w:hAnsi="Times New Roman"/>
          <w:snapToGrid/>
          <w:u w:val="single"/>
        </w:rPr>
      </w:pPr>
    </w:p>
    <w:p w14:paraId="4E8B3794" w14:textId="0452F7FD" w:rsidR="00C45A99" w:rsidRPr="008A3AC4" w:rsidRDefault="00C45A99" w:rsidP="0045098C">
      <w:pPr>
        <w:widowControl/>
        <w:ind w:left="288"/>
        <w:rPr>
          <w:rFonts w:ascii="Times New Roman" w:hAnsi="Times New Roman"/>
          <w:snapToGrid/>
        </w:rPr>
      </w:pPr>
      <w:r w:rsidRPr="008A3AC4">
        <w:rPr>
          <w:rFonts w:ascii="Times New Roman" w:hAnsi="Times New Roman"/>
          <w:snapToGrid/>
        </w:rPr>
        <w:t xml:space="preserve">This ICR is not collecting personally identifiable information (PII) or other data of a personal nature. </w:t>
      </w:r>
      <w:r w:rsidR="00122E50" w:rsidRPr="008A3AC4">
        <w:rPr>
          <w:rFonts w:ascii="Times New Roman" w:hAnsi="Times New Roman"/>
          <w:snapToGrid/>
        </w:rPr>
        <w:t xml:space="preserve"> </w:t>
      </w:r>
      <w:r w:rsidRPr="008A3AC4">
        <w:rPr>
          <w:rFonts w:ascii="Times New Roman" w:hAnsi="Times New Roman"/>
          <w:snapToGrid/>
        </w:rPr>
        <w:t xml:space="preserve">This ICR is for all focus groups at </w:t>
      </w:r>
      <w:r w:rsidR="00A10B5F" w:rsidRPr="008A3AC4">
        <w:rPr>
          <w:rFonts w:ascii="Times New Roman" w:hAnsi="Times New Roman"/>
          <w:snapToGrid/>
        </w:rPr>
        <w:t xml:space="preserve">the </w:t>
      </w:r>
      <w:r w:rsidRPr="008A3AC4">
        <w:rPr>
          <w:rFonts w:ascii="Times New Roman" w:hAnsi="Times New Roman"/>
          <w:snapToGrid/>
        </w:rPr>
        <w:t xml:space="preserve">Center for Drug Evaluation and Research (CDER). </w:t>
      </w:r>
      <w:r w:rsidR="00A10B5F" w:rsidRPr="008A3AC4">
        <w:rPr>
          <w:rFonts w:ascii="Times New Roman" w:hAnsi="Times New Roman"/>
          <w:snapToGrid/>
        </w:rPr>
        <w:t xml:space="preserve">Individual focus group requests will be submitted to </w:t>
      </w:r>
      <w:r w:rsidRPr="008A3AC4">
        <w:rPr>
          <w:rFonts w:ascii="Times New Roman" w:hAnsi="Times New Roman"/>
          <w:snapToGrid/>
        </w:rPr>
        <w:t xml:space="preserve">OMB </w:t>
      </w:r>
      <w:r w:rsidR="00A10B5F" w:rsidRPr="008A3AC4">
        <w:rPr>
          <w:rFonts w:ascii="Times New Roman" w:hAnsi="Times New Roman"/>
          <w:snapToGrid/>
        </w:rPr>
        <w:t xml:space="preserve">for review and </w:t>
      </w:r>
      <w:r w:rsidRPr="008A3AC4">
        <w:rPr>
          <w:rFonts w:ascii="Times New Roman" w:hAnsi="Times New Roman"/>
          <w:snapToGrid/>
        </w:rPr>
        <w:t xml:space="preserve">approval </w:t>
      </w:r>
      <w:r w:rsidR="00A10B5F" w:rsidRPr="008A3AC4">
        <w:rPr>
          <w:rFonts w:ascii="Times New Roman" w:hAnsi="Times New Roman"/>
          <w:snapToGrid/>
        </w:rPr>
        <w:t xml:space="preserve">under this generic ICR </w:t>
      </w:r>
      <w:r w:rsidRPr="008A3AC4">
        <w:rPr>
          <w:rFonts w:ascii="Times New Roman" w:hAnsi="Times New Roman"/>
          <w:snapToGrid/>
        </w:rPr>
        <w:t>before information collection begins.</w:t>
      </w:r>
    </w:p>
    <w:p w14:paraId="4DE017F5" w14:textId="77777777" w:rsidR="00C45A99" w:rsidRPr="008A3AC4" w:rsidRDefault="00C45A99" w:rsidP="0045098C">
      <w:pPr>
        <w:widowControl/>
        <w:ind w:left="288"/>
        <w:rPr>
          <w:rFonts w:ascii="Times New Roman" w:hAnsi="Times New Roman"/>
          <w:snapToGrid/>
        </w:rPr>
      </w:pPr>
    </w:p>
    <w:p w14:paraId="29040120" w14:textId="25D87587" w:rsidR="00C45A99" w:rsidRPr="008A3AC4" w:rsidRDefault="00C45A99" w:rsidP="0045098C">
      <w:pPr>
        <w:widowControl/>
        <w:ind w:left="288"/>
        <w:rPr>
          <w:rFonts w:ascii="Times New Roman" w:hAnsi="Times New Roman"/>
          <w:snapToGrid/>
        </w:rPr>
      </w:pPr>
      <w:r w:rsidRPr="008A3AC4">
        <w:rPr>
          <w:rFonts w:ascii="Times New Roman" w:hAnsi="Times New Roman"/>
          <w:snapToGrid/>
        </w:rPr>
        <w:t xml:space="preserve">In preparing this Supporting Statement, FDA staff consulted with the FDA Privacy Office to ensure appropriate handling of information collected. </w:t>
      </w:r>
      <w:r w:rsidR="00122E50" w:rsidRPr="008A3AC4">
        <w:rPr>
          <w:rFonts w:ascii="Times New Roman" w:hAnsi="Times New Roman"/>
          <w:snapToGrid/>
        </w:rPr>
        <w:t xml:space="preserve"> </w:t>
      </w:r>
      <w:r w:rsidRPr="008A3AC4">
        <w:rPr>
          <w:rFonts w:ascii="Times New Roman" w:hAnsi="Times New Roman"/>
          <w:snapToGrid/>
        </w:rPr>
        <w:t xml:space="preserve">FDA determined that PII is not collected and the Privacy Act of 1974 does not apply. </w:t>
      </w:r>
      <w:r w:rsidR="00122E50" w:rsidRPr="008A3AC4">
        <w:rPr>
          <w:rFonts w:ascii="Times New Roman" w:hAnsi="Times New Roman"/>
          <w:snapToGrid/>
        </w:rPr>
        <w:t xml:space="preserve"> </w:t>
      </w:r>
      <w:r w:rsidRPr="008A3AC4">
        <w:rPr>
          <w:rFonts w:ascii="Times New Roman" w:hAnsi="Times New Roman"/>
          <w:snapToGrid/>
        </w:rPr>
        <w:t>The FDA Privacy Office will review subsequent Supporting Statements for future focus groups to determine if the Privacy Act of 1974 applies.</w:t>
      </w:r>
    </w:p>
    <w:p w14:paraId="2785AEAF" w14:textId="507BD65D" w:rsidR="00C45A99" w:rsidRDefault="00C45A99" w:rsidP="0045098C">
      <w:pPr>
        <w:widowControl/>
        <w:ind w:left="288"/>
        <w:rPr>
          <w:rFonts w:ascii="Times New Roman" w:hAnsi="Times New Roman"/>
          <w:szCs w:val="24"/>
        </w:rPr>
      </w:pPr>
    </w:p>
    <w:p w14:paraId="401FF057" w14:textId="299C5F82" w:rsidR="007172F5" w:rsidRDefault="003242DB" w:rsidP="0045098C">
      <w:pPr>
        <w:widowControl/>
        <w:ind w:left="288"/>
        <w:rPr>
          <w:rFonts w:ascii="Times New Roman" w:hAnsi="Times New Roman"/>
          <w:szCs w:val="24"/>
        </w:rPr>
      </w:pPr>
      <w:r w:rsidRPr="003242DB">
        <w:rPr>
          <w:rFonts w:ascii="Times New Roman" w:hAnsi="Times New Roman"/>
          <w:szCs w:val="24"/>
        </w:rPr>
        <w:t xml:space="preserve">While anonymity of respondents generally cannot be assured unless there is a statutory requirement associated with the information collection, the information collected from respondents will be secured by using an independent contractor to collect the information, by enacting procedures to prevent unauthorized access to respondent data, and by preventing the public disclosure of the responses of individual participants. </w:t>
      </w:r>
      <w:r w:rsidR="00122E50">
        <w:rPr>
          <w:rFonts w:ascii="Times New Roman" w:hAnsi="Times New Roman"/>
          <w:szCs w:val="24"/>
        </w:rPr>
        <w:t xml:space="preserve"> </w:t>
      </w:r>
      <w:r w:rsidRPr="003242DB">
        <w:rPr>
          <w:rFonts w:ascii="Times New Roman" w:hAnsi="Times New Roman"/>
          <w:szCs w:val="24"/>
        </w:rPr>
        <w:t xml:space="preserve">FDA will never be given respondent surnames and will keep all recordings under lock and key. </w:t>
      </w:r>
      <w:r w:rsidR="00122E50">
        <w:rPr>
          <w:rFonts w:ascii="Times New Roman" w:hAnsi="Times New Roman"/>
          <w:szCs w:val="24"/>
        </w:rPr>
        <w:t xml:space="preserve"> </w:t>
      </w:r>
      <w:r w:rsidRPr="003242DB">
        <w:rPr>
          <w:rFonts w:ascii="Times New Roman" w:hAnsi="Times New Roman"/>
          <w:szCs w:val="24"/>
        </w:rPr>
        <w:t>Contractor reports do not associate personal identifiers with any statements excerpted for illustrative purposes.</w:t>
      </w:r>
    </w:p>
    <w:p w14:paraId="14B770D6" w14:textId="77777777" w:rsidR="005A2C4B" w:rsidRPr="005A2C4B" w:rsidRDefault="005A2C4B" w:rsidP="0045098C">
      <w:pPr>
        <w:widowControl/>
        <w:ind w:left="288"/>
        <w:rPr>
          <w:rFonts w:ascii="Times New Roman" w:hAnsi="Times New Roman"/>
          <w:szCs w:val="24"/>
        </w:rPr>
      </w:pPr>
    </w:p>
    <w:p w14:paraId="4BEFC454" w14:textId="4A990063" w:rsidR="00AD3AFE" w:rsidRPr="00F03311" w:rsidRDefault="00AD3AFE" w:rsidP="0045098C">
      <w:pPr>
        <w:widowControl/>
        <w:numPr>
          <w:ilvl w:val="0"/>
          <w:numId w:val="17"/>
        </w:numPr>
        <w:ind w:left="288"/>
        <w:rPr>
          <w:rFonts w:ascii="Times New Roman" w:hAnsi="Times New Roman"/>
          <w:snapToGrid/>
          <w:u w:val="single"/>
        </w:rPr>
      </w:pPr>
      <w:r w:rsidRPr="00FB4D88">
        <w:rPr>
          <w:rFonts w:ascii="Times New Roman" w:hAnsi="Times New Roman"/>
          <w:u w:val="single"/>
        </w:rPr>
        <w:t>Justification for Sensitive Questions</w:t>
      </w:r>
    </w:p>
    <w:p w14:paraId="06750769" w14:textId="77777777" w:rsidR="00F03311" w:rsidRPr="00FB4D88" w:rsidRDefault="00F03311" w:rsidP="0045098C">
      <w:pPr>
        <w:widowControl/>
        <w:ind w:left="288" w:right="-1440"/>
        <w:rPr>
          <w:rFonts w:ascii="Times New Roman" w:hAnsi="Times New Roman"/>
          <w:snapToGrid/>
          <w:u w:val="single"/>
        </w:rPr>
      </w:pPr>
    </w:p>
    <w:p w14:paraId="4FEA01EA" w14:textId="5E15F500" w:rsidR="008752E5" w:rsidRDefault="003242DB" w:rsidP="0045098C">
      <w:pPr>
        <w:widowControl/>
        <w:ind w:left="288"/>
        <w:rPr>
          <w:rFonts w:ascii="Times New Roman" w:hAnsi="Times New Roman"/>
          <w:szCs w:val="24"/>
        </w:rPr>
      </w:pPr>
      <w:r w:rsidRPr="003242DB">
        <w:rPr>
          <w:rFonts w:ascii="Times New Roman" w:hAnsi="Times New Roman"/>
          <w:szCs w:val="24"/>
        </w:rPr>
        <w:t>For the vast majority of focus groups, no questions will be asked that are of a personal or sensitive nature.  Some drug products regulated by FDA are for conditions that are considered personal and potentially embarrassing.  Therefore, there may be instances in which a particular topic of interest touches upon issues that could be considered sensitive. In these cases, care will be taken to ensure that any questions are absolutely necessary to the purpose of the information collection, are asked in a sensitive and respectful way, and that participants’ right to refuse response is protected.</w:t>
      </w:r>
    </w:p>
    <w:p w14:paraId="0B64F3DE" w14:textId="77777777" w:rsidR="003242DB" w:rsidRPr="00FB4D88" w:rsidRDefault="003242DB" w:rsidP="0045098C">
      <w:pPr>
        <w:widowControl/>
        <w:ind w:left="288"/>
        <w:rPr>
          <w:rFonts w:ascii="Times New Roman" w:hAnsi="Times New Roman"/>
          <w:szCs w:val="24"/>
        </w:rPr>
      </w:pPr>
    </w:p>
    <w:p w14:paraId="114E94EC" w14:textId="77777777" w:rsidR="00E20505" w:rsidRPr="00F6085B" w:rsidRDefault="00E20505" w:rsidP="0045098C">
      <w:pPr>
        <w:widowControl/>
        <w:numPr>
          <w:ilvl w:val="0"/>
          <w:numId w:val="17"/>
        </w:numPr>
        <w:ind w:left="288"/>
        <w:rPr>
          <w:rFonts w:ascii="Times New Roman" w:hAnsi="Times New Roman"/>
          <w:u w:val="single"/>
        </w:rPr>
      </w:pPr>
      <w:r w:rsidRPr="00FB4D88">
        <w:rPr>
          <w:rFonts w:ascii="Times New Roman" w:hAnsi="Times New Roman"/>
          <w:u w:val="single"/>
        </w:rPr>
        <w:t>Estimates of Annualized Burden Hours and Costs</w:t>
      </w:r>
    </w:p>
    <w:p w14:paraId="26828DB6" w14:textId="77777777" w:rsidR="00E20505" w:rsidRPr="00FB4D88" w:rsidRDefault="00E20505" w:rsidP="0045098C">
      <w:pPr>
        <w:ind w:left="288" w:right="-1440" w:hanging="360"/>
        <w:rPr>
          <w:rFonts w:ascii="Times New Roman" w:hAnsi="Times New Roman"/>
        </w:rPr>
      </w:pPr>
    </w:p>
    <w:p w14:paraId="3A4D0E57" w14:textId="707B45AA" w:rsidR="00740F07" w:rsidRDefault="00E20505" w:rsidP="0045098C">
      <w:pPr>
        <w:ind w:left="288" w:right="-1440"/>
        <w:rPr>
          <w:rFonts w:ascii="Times New Roman" w:hAnsi="Times New Roman"/>
          <w:u w:val="single"/>
        </w:rPr>
      </w:pPr>
      <w:r w:rsidRPr="0045098C">
        <w:rPr>
          <w:rFonts w:ascii="Times New Roman" w:hAnsi="Times New Roman"/>
        </w:rPr>
        <w:t xml:space="preserve">12 a. </w:t>
      </w:r>
      <w:r w:rsidRPr="00FB4D88">
        <w:rPr>
          <w:rFonts w:ascii="Times New Roman" w:hAnsi="Times New Roman"/>
          <w:u w:val="single"/>
        </w:rPr>
        <w:t xml:space="preserve">Annualized </w:t>
      </w:r>
      <w:r w:rsidR="005F5977">
        <w:rPr>
          <w:rFonts w:ascii="Times New Roman" w:hAnsi="Times New Roman"/>
          <w:u w:val="single"/>
        </w:rPr>
        <w:t>Cost</w:t>
      </w:r>
      <w:r w:rsidRPr="00FB4D88">
        <w:rPr>
          <w:rFonts w:ascii="Times New Roman" w:hAnsi="Times New Roman"/>
          <w:u w:val="single"/>
        </w:rPr>
        <w:t xml:space="preserve"> Burden Estimate</w:t>
      </w:r>
      <w:r w:rsidR="00ED2CEE">
        <w:rPr>
          <w:rFonts w:ascii="Times New Roman" w:hAnsi="Times New Roman"/>
          <w:u w:val="single"/>
        </w:rPr>
        <w:t xml:space="preserve"> </w:t>
      </w:r>
    </w:p>
    <w:p w14:paraId="741F3ECF" w14:textId="77777777" w:rsidR="008205D7" w:rsidRDefault="008205D7" w:rsidP="0045098C">
      <w:pPr>
        <w:ind w:left="288" w:right="-1440" w:hanging="360"/>
        <w:rPr>
          <w:rFonts w:ascii="Times New Roman" w:hAnsi="Times New Roman"/>
          <w:u w:val="single"/>
        </w:rPr>
      </w:pPr>
    </w:p>
    <w:p w14:paraId="1D96E59B" w14:textId="442C8856" w:rsidR="00491138" w:rsidRDefault="00491138" w:rsidP="0045098C">
      <w:pPr>
        <w:widowControl/>
        <w:ind w:left="288"/>
        <w:rPr>
          <w:rFonts w:ascii="Times New Roman" w:hAnsi="Times New Roman"/>
          <w:snapToGrid/>
        </w:rPr>
      </w:pPr>
      <w:r w:rsidRPr="00491138">
        <w:rPr>
          <w:rFonts w:ascii="Times New Roman" w:hAnsi="Times New Roman"/>
          <w:snapToGrid/>
        </w:rPr>
        <w:t>FDA’s Center for Drug Evaluation and Research, conducting focus groups about regulated drug products may need to conduct focus groups on a variety of subjects related to consumer, patient, or health care professional perceptions and use of drug products and related materials, including, but not limited to</w:t>
      </w:r>
      <w:r w:rsidR="005F5977">
        <w:rPr>
          <w:rFonts w:ascii="Times New Roman" w:hAnsi="Times New Roman"/>
          <w:snapToGrid/>
        </w:rPr>
        <w:t>,</w:t>
      </w:r>
      <w:r w:rsidRPr="00491138">
        <w:rPr>
          <w:rFonts w:ascii="Times New Roman" w:hAnsi="Times New Roman"/>
          <w:snapToGrid/>
        </w:rPr>
        <w:t xml:space="preserve"> direct-to-consumer prescription drug promotion, physician labeling of prescription drugs, Medication Guides, over-the-counter drug labeling, emerging risk communications, patient labeling, online sales of medical products, and consumer and professional education.</w:t>
      </w:r>
    </w:p>
    <w:p w14:paraId="32914932" w14:textId="77777777" w:rsidR="00491138" w:rsidRDefault="00491138" w:rsidP="0045098C">
      <w:pPr>
        <w:widowControl/>
        <w:ind w:left="288"/>
        <w:rPr>
          <w:rFonts w:ascii="Times New Roman" w:hAnsi="Times New Roman"/>
          <w:snapToGrid/>
        </w:rPr>
      </w:pPr>
    </w:p>
    <w:p w14:paraId="36D86844" w14:textId="77777777" w:rsidR="00141DE8" w:rsidRPr="00B51345" w:rsidRDefault="00141DE8" w:rsidP="0045098C">
      <w:pPr>
        <w:ind w:left="288"/>
        <w:rPr>
          <w:rFonts w:ascii="Times New Roman" w:hAnsi="Times New Roman"/>
          <w:szCs w:val="24"/>
        </w:rPr>
      </w:pPr>
      <w:r w:rsidRPr="00B51345">
        <w:rPr>
          <w:rFonts w:ascii="Times New Roman" w:hAnsi="Times New Roman"/>
          <w:szCs w:val="24"/>
        </w:rPr>
        <w:t xml:space="preserve">Annually, we project that 20 studies will be initiated using 160 focus groups with an average of 9 persons per group.  We assume each focus group will last an average of 1.75 hours.  </w:t>
      </w:r>
    </w:p>
    <w:p w14:paraId="11470697" w14:textId="77777777" w:rsidR="00141DE8" w:rsidRDefault="00141DE8" w:rsidP="0045098C">
      <w:pPr>
        <w:ind w:left="288" w:firstLine="360"/>
        <w:rPr>
          <w:rFonts w:ascii="Times New Roman" w:hAnsi="Times New Roman"/>
          <w:szCs w:val="24"/>
        </w:rPr>
      </w:pPr>
    </w:p>
    <w:p w14:paraId="2724B95E" w14:textId="77777777" w:rsidR="00141DE8" w:rsidRDefault="00141DE8" w:rsidP="0045098C">
      <w:pPr>
        <w:ind w:left="288" w:firstLine="360"/>
        <w:rPr>
          <w:rFonts w:ascii="Times New Roman" w:hAnsi="Times New Roman"/>
          <w:szCs w:val="24"/>
        </w:rPr>
      </w:pPr>
      <w:r w:rsidRPr="00B51345">
        <w:rPr>
          <w:rFonts w:ascii="Times New Roman" w:hAnsi="Times New Roman"/>
          <w:szCs w:val="24"/>
        </w:rPr>
        <w:t>We estimate the burden for the information collection as follows:</w:t>
      </w:r>
    </w:p>
    <w:p w14:paraId="56F2A4A1" w14:textId="77777777" w:rsidR="00D32039" w:rsidRPr="00B51345" w:rsidRDefault="00D32039" w:rsidP="00B51345">
      <w:pPr>
        <w:ind w:firstLine="360"/>
        <w:rPr>
          <w:rFonts w:ascii="Times New Roman" w:hAnsi="Times New Roman"/>
          <w:szCs w:val="24"/>
        </w:rPr>
      </w:pPr>
    </w:p>
    <w:tbl>
      <w:tblPr>
        <w:tblStyle w:val="TableGrid"/>
        <w:tblW w:w="4760" w:type="pct"/>
        <w:tblInd w:w="450" w:type="dxa"/>
        <w:tblLook w:val="04A0" w:firstRow="1" w:lastRow="0" w:firstColumn="1" w:lastColumn="0" w:noHBand="0" w:noVBand="1"/>
      </w:tblPr>
      <w:tblGrid>
        <w:gridCol w:w="2539"/>
        <w:gridCol w:w="1477"/>
        <w:gridCol w:w="1382"/>
        <w:gridCol w:w="1258"/>
        <w:gridCol w:w="1240"/>
        <w:gridCol w:w="1220"/>
      </w:tblGrid>
      <w:tr w:rsidR="00A24142" w:rsidRPr="00043AB6" w14:paraId="210803AD" w14:textId="77777777" w:rsidTr="007C580D">
        <w:trPr>
          <w:trHeight w:val="233"/>
        </w:trPr>
        <w:tc>
          <w:tcPr>
            <w:tcW w:w="5000" w:type="pct"/>
            <w:gridSpan w:val="6"/>
            <w:tcBorders>
              <w:top w:val="nil"/>
              <w:left w:val="nil"/>
              <w:bottom w:val="single" w:sz="4" w:space="0" w:color="auto"/>
              <w:right w:val="nil"/>
            </w:tcBorders>
          </w:tcPr>
          <w:p w14:paraId="1D109A9C" w14:textId="3C1F37F3" w:rsidR="00A24142" w:rsidRPr="008A3AC4" w:rsidRDefault="00A24142" w:rsidP="002839DE">
            <w:pPr>
              <w:pStyle w:val="BodyText"/>
              <w:jc w:val="center"/>
              <w:rPr>
                <w:sz w:val="20"/>
              </w:rPr>
            </w:pPr>
            <w:r w:rsidRPr="008A3AC4">
              <w:rPr>
                <w:sz w:val="20"/>
              </w:rPr>
              <w:t>Table 1.--Estimated Annual Reporting Burden</w:t>
            </w:r>
            <w:r w:rsidR="005F5977" w:rsidRPr="0045098C">
              <w:rPr>
                <w:sz w:val="20"/>
                <w:vertAlign w:val="superscript"/>
              </w:rPr>
              <w:t>1</w:t>
            </w:r>
          </w:p>
        </w:tc>
      </w:tr>
      <w:tr w:rsidR="00A24142" w:rsidRPr="00043AB6" w14:paraId="05791E11" w14:textId="77777777" w:rsidTr="007C580D">
        <w:tc>
          <w:tcPr>
            <w:tcW w:w="1393" w:type="pct"/>
            <w:tcBorders>
              <w:top w:val="single" w:sz="4" w:space="0" w:color="auto"/>
            </w:tcBorders>
          </w:tcPr>
          <w:p w14:paraId="4B81D5BE" w14:textId="77777777" w:rsidR="00A24142" w:rsidRPr="008A3AC4" w:rsidRDefault="00A24142" w:rsidP="002839DE">
            <w:pPr>
              <w:pStyle w:val="BodyText"/>
              <w:rPr>
                <w:sz w:val="20"/>
              </w:rPr>
            </w:pPr>
            <w:r w:rsidRPr="008A3AC4">
              <w:rPr>
                <w:sz w:val="20"/>
              </w:rPr>
              <w:t>Activity</w:t>
            </w:r>
          </w:p>
        </w:tc>
        <w:tc>
          <w:tcPr>
            <w:tcW w:w="810" w:type="pct"/>
            <w:tcBorders>
              <w:top w:val="single" w:sz="4" w:space="0" w:color="auto"/>
            </w:tcBorders>
          </w:tcPr>
          <w:p w14:paraId="4EF1C851" w14:textId="77777777" w:rsidR="00A24142" w:rsidRPr="008A3AC4" w:rsidRDefault="00A24142" w:rsidP="002839DE">
            <w:pPr>
              <w:pStyle w:val="BodyText"/>
              <w:jc w:val="center"/>
              <w:rPr>
                <w:sz w:val="20"/>
              </w:rPr>
            </w:pPr>
            <w:r w:rsidRPr="008A3AC4">
              <w:rPr>
                <w:sz w:val="20"/>
              </w:rPr>
              <w:t>No. of Respondents</w:t>
            </w:r>
          </w:p>
        </w:tc>
        <w:tc>
          <w:tcPr>
            <w:tcW w:w="758" w:type="pct"/>
            <w:tcBorders>
              <w:top w:val="single" w:sz="4" w:space="0" w:color="auto"/>
            </w:tcBorders>
          </w:tcPr>
          <w:p w14:paraId="2C9EB3A7" w14:textId="77777777" w:rsidR="00A24142" w:rsidRPr="008A3AC4" w:rsidRDefault="00A24142" w:rsidP="002839DE">
            <w:pPr>
              <w:pStyle w:val="BodyText"/>
              <w:jc w:val="center"/>
              <w:rPr>
                <w:sz w:val="20"/>
              </w:rPr>
            </w:pPr>
            <w:r w:rsidRPr="008A3AC4">
              <w:rPr>
                <w:sz w:val="20"/>
              </w:rPr>
              <w:t>No. of Responses per Respondent</w:t>
            </w:r>
          </w:p>
        </w:tc>
        <w:tc>
          <w:tcPr>
            <w:tcW w:w="690" w:type="pct"/>
            <w:tcBorders>
              <w:top w:val="single" w:sz="4" w:space="0" w:color="auto"/>
            </w:tcBorders>
          </w:tcPr>
          <w:p w14:paraId="5F5EDA8B" w14:textId="77777777" w:rsidR="00A24142" w:rsidRPr="008A3AC4" w:rsidRDefault="00A24142" w:rsidP="002839DE">
            <w:pPr>
              <w:pStyle w:val="BodyText"/>
              <w:jc w:val="center"/>
              <w:rPr>
                <w:sz w:val="20"/>
              </w:rPr>
            </w:pPr>
            <w:r w:rsidRPr="008A3AC4">
              <w:rPr>
                <w:sz w:val="20"/>
              </w:rPr>
              <w:t>Total Annual Responses</w:t>
            </w:r>
          </w:p>
        </w:tc>
        <w:tc>
          <w:tcPr>
            <w:tcW w:w="680" w:type="pct"/>
            <w:tcBorders>
              <w:top w:val="single" w:sz="4" w:space="0" w:color="auto"/>
            </w:tcBorders>
          </w:tcPr>
          <w:p w14:paraId="54F2EE45" w14:textId="77777777" w:rsidR="00A24142" w:rsidRPr="008A3AC4" w:rsidRDefault="00A24142" w:rsidP="002839DE">
            <w:pPr>
              <w:pStyle w:val="TableParagraph"/>
              <w:spacing w:line="249" w:lineRule="exact"/>
              <w:jc w:val="center"/>
              <w:rPr>
                <w:rFonts w:ascii="Times New Roman" w:hAnsi="Times New Roman" w:cs="Times New Roman"/>
                <w:sz w:val="20"/>
                <w:szCs w:val="20"/>
              </w:rPr>
            </w:pPr>
            <w:r w:rsidRPr="008A3AC4">
              <w:rPr>
                <w:rFonts w:ascii="Times New Roman" w:hAnsi="Times New Roman" w:cs="Times New Roman"/>
                <w:sz w:val="20"/>
                <w:szCs w:val="20"/>
              </w:rPr>
              <w:t>Average Burden per Response</w:t>
            </w:r>
          </w:p>
        </w:tc>
        <w:tc>
          <w:tcPr>
            <w:tcW w:w="670" w:type="pct"/>
            <w:tcBorders>
              <w:top w:val="single" w:sz="4" w:space="0" w:color="auto"/>
            </w:tcBorders>
          </w:tcPr>
          <w:p w14:paraId="06ABBCDD" w14:textId="77777777" w:rsidR="00A24142" w:rsidRPr="008A3AC4" w:rsidRDefault="00A24142" w:rsidP="002839DE">
            <w:pPr>
              <w:pStyle w:val="BodyText"/>
              <w:jc w:val="center"/>
              <w:rPr>
                <w:sz w:val="20"/>
              </w:rPr>
            </w:pPr>
            <w:r w:rsidRPr="008A3AC4">
              <w:rPr>
                <w:sz w:val="20"/>
              </w:rPr>
              <w:t>Total Hours</w:t>
            </w:r>
          </w:p>
        </w:tc>
      </w:tr>
      <w:tr w:rsidR="00A24142" w:rsidRPr="00043AB6" w14:paraId="75CD7F17" w14:textId="77777777" w:rsidTr="007C580D">
        <w:tc>
          <w:tcPr>
            <w:tcW w:w="1393" w:type="pct"/>
            <w:tcBorders>
              <w:top w:val="single" w:sz="4" w:space="0" w:color="auto"/>
            </w:tcBorders>
          </w:tcPr>
          <w:p w14:paraId="128312FF" w14:textId="0644F9CA" w:rsidR="00A24142" w:rsidRPr="008A3AC4" w:rsidRDefault="00A24142" w:rsidP="00A24142">
            <w:pPr>
              <w:pStyle w:val="BodyText"/>
              <w:rPr>
                <w:sz w:val="20"/>
              </w:rPr>
            </w:pPr>
            <w:r w:rsidRPr="008A3AC4">
              <w:rPr>
                <w:sz w:val="20"/>
              </w:rPr>
              <w:t>Focus Group Study</w:t>
            </w:r>
          </w:p>
        </w:tc>
        <w:tc>
          <w:tcPr>
            <w:tcW w:w="810" w:type="pct"/>
            <w:tcBorders>
              <w:top w:val="single" w:sz="4" w:space="0" w:color="auto"/>
            </w:tcBorders>
          </w:tcPr>
          <w:p w14:paraId="497C898B" w14:textId="77777777" w:rsidR="00A24142" w:rsidRPr="008A3AC4" w:rsidRDefault="00A24142" w:rsidP="002839DE">
            <w:pPr>
              <w:pStyle w:val="BodyText"/>
              <w:jc w:val="right"/>
              <w:rPr>
                <w:sz w:val="20"/>
              </w:rPr>
            </w:pPr>
            <w:r w:rsidRPr="008A3AC4">
              <w:rPr>
                <w:sz w:val="20"/>
              </w:rPr>
              <w:t>1,440</w:t>
            </w:r>
          </w:p>
        </w:tc>
        <w:tc>
          <w:tcPr>
            <w:tcW w:w="758" w:type="pct"/>
            <w:tcBorders>
              <w:top w:val="single" w:sz="4" w:space="0" w:color="auto"/>
            </w:tcBorders>
          </w:tcPr>
          <w:p w14:paraId="49B56938" w14:textId="77777777" w:rsidR="00A24142" w:rsidRPr="008A3AC4" w:rsidRDefault="00A24142" w:rsidP="002839DE">
            <w:pPr>
              <w:pStyle w:val="BodyText"/>
              <w:jc w:val="right"/>
              <w:rPr>
                <w:sz w:val="20"/>
              </w:rPr>
            </w:pPr>
            <w:r w:rsidRPr="008A3AC4">
              <w:rPr>
                <w:sz w:val="20"/>
              </w:rPr>
              <w:t>1</w:t>
            </w:r>
          </w:p>
        </w:tc>
        <w:tc>
          <w:tcPr>
            <w:tcW w:w="690" w:type="pct"/>
            <w:tcBorders>
              <w:top w:val="single" w:sz="4" w:space="0" w:color="auto"/>
            </w:tcBorders>
          </w:tcPr>
          <w:p w14:paraId="4F926D5F" w14:textId="77777777" w:rsidR="00A24142" w:rsidRPr="008A3AC4" w:rsidRDefault="00A24142" w:rsidP="002839DE">
            <w:pPr>
              <w:pStyle w:val="BodyText"/>
              <w:jc w:val="center"/>
              <w:rPr>
                <w:sz w:val="20"/>
              </w:rPr>
            </w:pPr>
            <w:r w:rsidRPr="008A3AC4">
              <w:rPr>
                <w:sz w:val="20"/>
              </w:rPr>
              <w:t>1,440</w:t>
            </w:r>
          </w:p>
        </w:tc>
        <w:tc>
          <w:tcPr>
            <w:tcW w:w="680" w:type="pct"/>
            <w:tcBorders>
              <w:top w:val="single" w:sz="4" w:space="0" w:color="auto"/>
            </w:tcBorders>
          </w:tcPr>
          <w:p w14:paraId="3F7AC228" w14:textId="77777777" w:rsidR="00A24142" w:rsidRPr="008A3AC4" w:rsidRDefault="00A24142" w:rsidP="002839DE">
            <w:pPr>
              <w:pStyle w:val="BodyText"/>
              <w:jc w:val="right"/>
              <w:rPr>
                <w:sz w:val="20"/>
              </w:rPr>
            </w:pPr>
            <w:r w:rsidRPr="008A3AC4">
              <w:rPr>
                <w:sz w:val="20"/>
              </w:rPr>
              <w:t>1.75</w:t>
            </w:r>
          </w:p>
        </w:tc>
        <w:tc>
          <w:tcPr>
            <w:tcW w:w="670" w:type="pct"/>
            <w:tcBorders>
              <w:top w:val="single" w:sz="4" w:space="0" w:color="auto"/>
            </w:tcBorders>
          </w:tcPr>
          <w:p w14:paraId="637760E8" w14:textId="77777777" w:rsidR="00A24142" w:rsidRPr="008A3AC4" w:rsidRDefault="00A24142" w:rsidP="002839DE">
            <w:pPr>
              <w:pStyle w:val="BodyText"/>
              <w:jc w:val="right"/>
              <w:rPr>
                <w:sz w:val="20"/>
              </w:rPr>
            </w:pPr>
            <w:r w:rsidRPr="008A3AC4">
              <w:rPr>
                <w:sz w:val="20"/>
              </w:rPr>
              <w:t>2,520</w:t>
            </w:r>
          </w:p>
        </w:tc>
      </w:tr>
      <w:tr w:rsidR="00A24142" w:rsidRPr="00043AB6" w14:paraId="57FDD6DE" w14:textId="77777777" w:rsidTr="007C580D">
        <w:trPr>
          <w:trHeight w:val="233"/>
        </w:trPr>
        <w:tc>
          <w:tcPr>
            <w:tcW w:w="5000" w:type="pct"/>
            <w:gridSpan w:val="6"/>
            <w:tcBorders>
              <w:top w:val="single" w:sz="4" w:space="0" w:color="auto"/>
              <w:left w:val="nil"/>
              <w:bottom w:val="nil"/>
              <w:right w:val="nil"/>
            </w:tcBorders>
          </w:tcPr>
          <w:p w14:paraId="4A5AD0A3" w14:textId="1EB00EA1" w:rsidR="00A24142" w:rsidRPr="0045098C" w:rsidRDefault="005F5977" w:rsidP="002839DE">
            <w:pPr>
              <w:rPr>
                <w:rFonts w:ascii="Times New Roman" w:hAnsi="Times New Roman"/>
                <w:snapToGrid/>
                <w:szCs w:val="24"/>
              </w:rPr>
            </w:pPr>
            <w:r w:rsidRPr="0045098C">
              <w:rPr>
                <w:rFonts w:ascii="Times New Roman" w:hAnsi="Times New Roman"/>
                <w:snapToGrid/>
                <w:szCs w:val="24"/>
                <w:vertAlign w:val="superscript"/>
              </w:rPr>
              <w:t>1</w:t>
            </w:r>
            <w:r w:rsidRPr="0045098C">
              <w:rPr>
                <w:rFonts w:ascii="Times New Roman" w:hAnsi="Times New Roman"/>
                <w:snapToGrid/>
                <w:szCs w:val="24"/>
              </w:rPr>
              <w:t xml:space="preserve">There are no capital </w:t>
            </w:r>
            <w:r w:rsidR="001B6F7E">
              <w:rPr>
                <w:rFonts w:ascii="Times New Roman" w:hAnsi="Times New Roman"/>
                <w:snapToGrid/>
                <w:szCs w:val="24"/>
              </w:rPr>
              <w:t xml:space="preserve">costs </w:t>
            </w:r>
            <w:r w:rsidRPr="0045098C">
              <w:rPr>
                <w:rFonts w:ascii="Times New Roman" w:hAnsi="Times New Roman"/>
                <w:snapToGrid/>
                <w:szCs w:val="24"/>
              </w:rPr>
              <w:t xml:space="preserve">or operating </w:t>
            </w:r>
            <w:r w:rsidR="001B6F7E">
              <w:rPr>
                <w:rFonts w:ascii="Times New Roman" w:hAnsi="Times New Roman"/>
                <w:snapToGrid/>
                <w:szCs w:val="24"/>
              </w:rPr>
              <w:t>and</w:t>
            </w:r>
            <w:r w:rsidRPr="0045098C">
              <w:rPr>
                <w:rFonts w:ascii="Times New Roman" w:hAnsi="Times New Roman"/>
                <w:snapToGrid/>
                <w:szCs w:val="24"/>
              </w:rPr>
              <w:t xml:space="preserve"> maintenance costs associated with the information collection.</w:t>
            </w:r>
          </w:p>
          <w:p w14:paraId="1D967F09" w14:textId="77777777" w:rsidR="005F5977" w:rsidRPr="0045098C" w:rsidRDefault="005F5977" w:rsidP="002839DE">
            <w:pPr>
              <w:rPr>
                <w:rFonts w:ascii="Times New Roman" w:hAnsi="Times New Roman"/>
                <w:szCs w:val="24"/>
              </w:rPr>
            </w:pPr>
          </w:p>
          <w:p w14:paraId="67919B40" w14:textId="1902DAF4" w:rsidR="005F5977" w:rsidRPr="008A3AC4" w:rsidRDefault="005F5977" w:rsidP="002839DE">
            <w:pPr>
              <w:rPr>
                <w:rFonts w:ascii="Times New Roman" w:hAnsi="Times New Roman"/>
                <w:sz w:val="20"/>
              </w:rPr>
            </w:pPr>
          </w:p>
        </w:tc>
      </w:tr>
    </w:tbl>
    <w:p w14:paraId="160251C5" w14:textId="21CBFD51" w:rsidR="008752E5" w:rsidRPr="00FB4D88" w:rsidRDefault="008752E5" w:rsidP="0045098C">
      <w:pPr>
        <w:widowControl/>
        <w:ind w:left="288"/>
        <w:rPr>
          <w:rFonts w:ascii="Times New Roman" w:hAnsi="Times New Roman"/>
          <w:szCs w:val="24"/>
        </w:rPr>
      </w:pPr>
      <w:r w:rsidRPr="00FB4D88">
        <w:rPr>
          <w:rFonts w:ascii="Times New Roman" w:hAnsi="Times New Roman"/>
          <w:szCs w:val="24"/>
        </w:rPr>
        <w:t xml:space="preserve">12b. </w:t>
      </w:r>
      <w:r w:rsidRPr="00FB4D88">
        <w:rPr>
          <w:rFonts w:ascii="Times New Roman" w:hAnsi="Times New Roman"/>
          <w:szCs w:val="24"/>
          <w:u w:val="single"/>
        </w:rPr>
        <w:t>Annualized Cost Burden Estimate</w:t>
      </w:r>
    </w:p>
    <w:p w14:paraId="31479CD0" w14:textId="77777777" w:rsidR="00F6085B" w:rsidRDefault="00F6085B" w:rsidP="0045098C">
      <w:pPr>
        <w:tabs>
          <w:tab w:val="left" w:leader="dot" w:pos="4320"/>
          <w:tab w:val="left" w:pos="4680"/>
          <w:tab w:val="left" w:pos="5040"/>
          <w:tab w:val="left" w:pos="5400"/>
          <w:tab w:val="left" w:pos="6480"/>
          <w:tab w:val="left" w:pos="6840"/>
        </w:tabs>
        <w:ind w:left="288"/>
        <w:rPr>
          <w:rFonts w:ascii="Times New Roman" w:hAnsi="Times New Roman"/>
          <w:szCs w:val="24"/>
        </w:rPr>
      </w:pPr>
    </w:p>
    <w:p w14:paraId="2F59DEDC" w14:textId="5A35B9E7" w:rsidR="00343ECC" w:rsidRDefault="00605EA1" w:rsidP="0045098C">
      <w:pPr>
        <w:tabs>
          <w:tab w:val="left" w:leader="dot" w:pos="4320"/>
          <w:tab w:val="left" w:pos="4680"/>
          <w:tab w:val="left" w:pos="5040"/>
          <w:tab w:val="left" w:pos="5400"/>
          <w:tab w:val="left" w:pos="6480"/>
          <w:tab w:val="left" w:pos="6840"/>
        </w:tabs>
        <w:ind w:left="288"/>
        <w:rPr>
          <w:rFonts w:ascii="Times New Roman" w:hAnsi="Times New Roman"/>
          <w:szCs w:val="24"/>
        </w:rPr>
      </w:pPr>
      <w:r w:rsidRPr="00605EA1">
        <w:rPr>
          <w:rFonts w:ascii="Times New Roman" w:hAnsi="Times New Roman"/>
          <w:szCs w:val="24"/>
        </w:rPr>
        <w:t>There are no annualized costs to re</w:t>
      </w:r>
      <w:r>
        <w:rPr>
          <w:rFonts w:ascii="Times New Roman" w:hAnsi="Times New Roman"/>
          <w:szCs w:val="24"/>
        </w:rPr>
        <w:t xml:space="preserve">spondents for the burden hours associated with </w:t>
      </w:r>
      <w:r w:rsidRPr="00605EA1">
        <w:rPr>
          <w:rFonts w:ascii="Times New Roman" w:hAnsi="Times New Roman"/>
          <w:szCs w:val="24"/>
        </w:rPr>
        <w:t>this collection of information.</w:t>
      </w:r>
    </w:p>
    <w:p w14:paraId="7007E2EF" w14:textId="77777777" w:rsidR="00366AA4" w:rsidRPr="00FB4D88" w:rsidRDefault="00366AA4" w:rsidP="0045098C">
      <w:pPr>
        <w:tabs>
          <w:tab w:val="left" w:leader="dot" w:pos="4320"/>
          <w:tab w:val="left" w:pos="4680"/>
          <w:tab w:val="left" w:pos="5040"/>
          <w:tab w:val="left" w:pos="5400"/>
          <w:tab w:val="left" w:pos="6480"/>
          <w:tab w:val="left" w:pos="6840"/>
        </w:tabs>
        <w:ind w:left="288"/>
        <w:rPr>
          <w:rFonts w:ascii="Courier New" w:hAnsi="Courier New"/>
        </w:rPr>
      </w:pPr>
    </w:p>
    <w:p w14:paraId="2EA155D2" w14:textId="6211D628" w:rsidR="008752E5" w:rsidRPr="00FB4D88" w:rsidRDefault="008752E5" w:rsidP="0045098C">
      <w:pPr>
        <w:pStyle w:val="ListParagraph"/>
        <w:numPr>
          <w:ilvl w:val="0"/>
          <w:numId w:val="17"/>
        </w:numPr>
        <w:ind w:left="288"/>
        <w:rPr>
          <w:rFonts w:ascii="Times New Roman" w:hAnsi="Times New Roman"/>
          <w:u w:val="single"/>
        </w:rPr>
      </w:pPr>
      <w:r w:rsidRPr="00FB4D88">
        <w:rPr>
          <w:rFonts w:ascii="Times New Roman" w:hAnsi="Times New Roman"/>
          <w:u w:val="single"/>
        </w:rPr>
        <w:t>Estimates of Other Total Annual Cost</w:t>
      </w:r>
      <w:r w:rsidR="00193516" w:rsidRPr="00FB4D88">
        <w:rPr>
          <w:rFonts w:ascii="Times New Roman" w:hAnsi="Times New Roman"/>
          <w:u w:val="single"/>
        </w:rPr>
        <w:t>s</w:t>
      </w:r>
      <w:r w:rsidRPr="00FB4D88">
        <w:rPr>
          <w:rFonts w:ascii="Times New Roman" w:hAnsi="Times New Roman"/>
          <w:u w:val="single"/>
        </w:rPr>
        <w:t xml:space="preserve"> to Respondents and</w:t>
      </w:r>
      <w:r w:rsidR="00193516" w:rsidRPr="00FB4D88">
        <w:rPr>
          <w:rFonts w:ascii="Times New Roman" w:hAnsi="Times New Roman"/>
          <w:u w:val="single"/>
        </w:rPr>
        <w:t>/or</w:t>
      </w:r>
      <w:r w:rsidRPr="00FB4D88">
        <w:rPr>
          <w:rFonts w:ascii="Times New Roman" w:hAnsi="Times New Roman"/>
          <w:u w:val="single"/>
        </w:rPr>
        <w:t xml:space="preserve"> Recordkeepers</w:t>
      </w:r>
      <w:r w:rsidR="00193516" w:rsidRPr="00FB4D88">
        <w:rPr>
          <w:rFonts w:ascii="Times New Roman" w:hAnsi="Times New Roman"/>
          <w:u w:val="single"/>
        </w:rPr>
        <w:t>/Capital Costs</w:t>
      </w:r>
    </w:p>
    <w:p w14:paraId="433AEEAA" w14:textId="77777777" w:rsidR="0027445C" w:rsidRDefault="0027445C" w:rsidP="0045098C">
      <w:pPr>
        <w:pStyle w:val="ListParagraph"/>
        <w:ind w:left="288" w:right="-1440"/>
        <w:rPr>
          <w:rFonts w:ascii="Times New Roman" w:hAnsi="Times New Roman"/>
        </w:rPr>
      </w:pPr>
    </w:p>
    <w:p w14:paraId="1A5C4B00" w14:textId="7F425645" w:rsidR="00366AA4" w:rsidRDefault="005F5977" w:rsidP="0045098C">
      <w:pPr>
        <w:ind w:left="288" w:right="-1440"/>
        <w:rPr>
          <w:rFonts w:ascii="Times New Roman" w:hAnsi="Times New Roman"/>
          <w:szCs w:val="24"/>
        </w:rPr>
      </w:pPr>
      <w:r>
        <w:rPr>
          <w:rFonts w:ascii="Times New Roman" w:hAnsi="Times New Roman"/>
          <w:szCs w:val="24"/>
        </w:rPr>
        <w:t xml:space="preserve">There are no </w:t>
      </w:r>
      <w:r w:rsidR="00F6085B" w:rsidRPr="00F6085B">
        <w:rPr>
          <w:rFonts w:ascii="Times New Roman" w:hAnsi="Times New Roman"/>
          <w:szCs w:val="24"/>
        </w:rPr>
        <w:t>capital</w:t>
      </w:r>
      <w:r w:rsidR="001B6F7E">
        <w:rPr>
          <w:rFonts w:ascii="Times New Roman" w:hAnsi="Times New Roman"/>
          <w:szCs w:val="24"/>
        </w:rPr>
        <w:t xml:space="preserve">, start-up, </w:t>
      </w:r>
      <w:r w:rsidR="00F6085B" w:rsidRPr="00F6085B">
        <w:rPr>
          <w:rFonts w:ascii="Times New Roman" w:hAnsi="Times New Roman"/>
          <w:szCs w:val="24"/>
        </w:rPr>
        <w:t xml:space="preserve">operating </w:t>
      </w:r>
      <w:r w:rsidR="001B6F7E">
        <w:rPr>
          <w:rFonts w:ascii="Times New Roman" w:hAnsi="Times New Roman"/>
          <w:szCs w:val="24"/>
        </w:rPr>
        <w:t>or</w:t>
      </w:r>
      <w:r w:rsidR="00F6085B" w:rsidRPr="00F6085B">
        <w:rPr>
          <w:rFonts w:ascii="Times New Roman" w:hAnsi="Times New Roman"/>
          <w:szCs w:val="24"/>
        </w:rPr>
        <w:t xml:space="preserve"> maintenance costs</w:t>
      </w:r>
      <w:r>
        <w:rPr>
          <w:rFonts w:ascii="Times New Roman" w:hAnsi="Times New Roman"/>
          <w:szCs w:val="24"/>
        </w:rPr>
        <w:t xml:space="preserve"> associated with th</w:t>
      </w:r>
      <w:r w:rsidR="001B6F7E">
        <w:rPr>
          <w:rFonts w:ascii="Times New Roman" w:hAnsi="Times New Roman"/>
          <w:szCs w:val="24"/>
        </w:rPr>
        <w:t>is</w:t>
      </w:r>
      <w:r w:rsidR="00F6085B" w:rsidRPr="00F6085B">
        <w:rPr>
          <w:rFonts w:ascii="Times New Roman" w:hAnsi="Times New Roman"/>
          <w:szCs w:val="24"/>
        </w:rPr>
        <w:t xml:space="preserve"> information collection.</w:t>
      </w:r>
    </w:p>
    <w:p w14:paraId="74AA7FB2" w14:textId="77777777" w:rsidR="00F6085B" w:rsidRDefault="00F6085B" w:rsidP="0045098C">
      <w:pPr>
        <w:pStyle w:val="ListParagraph"/>
        <w:ind w:left="288" w:right="-1440"/>
        <w:rPr>
          <w:rFonts w:ascii="Times New Roman" w:hAnsi="Times New Roman"/>
          <w:szCs w:val="24"/>
        </w:rPr>
      </w:pPr>
    </w:p>
    <w:p w14:paraId="2D68FCD7" w14:textId="48FCECB9" w:rsidR="008752E5" w:rsidRPr="00FB4D88" w:rsidRDefault="008752E5" w:rsidP="0045098C">
      <w:pPr>
        <w:pStyle w:val="ListParagraph"/>
        <w:numPr>
          <w:ilvl w:val="0"/>
          <w:numId w:val="17"/>
        </w:numPr>
        <w:ind w:left="288"/>
        <w:rPr>
          <w:rFonts w:ascii="Times New Roman" w:hAnsi="Times New Roman"/>
          <w:u w:val="single"/>
        </w:rPr>
      </w:pPr>
      <w:r w:rsidRPr="00FB4D88">
        <w:rPr>
          <w:rFonts w:ascii="Times New Roman" w:hAnsi="Times New Roman"/>
          <w:u w:val="single"/>
        </w:rPr>
        <w:t>Annualized Cost to the Federal Government</w:t>
      </w:r>
    </w:p>
    <w:p w14:paraId="79F40DA7" w14:textId="77777777" w:rsidR="0027445C" w:rsidRDefault="0027445C" w:rsidP="0045098C">
      <w:pPr>
        <w:widowControl/>
        <w:ind w:left="288" w:right="-1440"/>
        <w:rPr>
          <w:rFonts w:ascii="Times New Roman" w:hAnsi="Times New Roman"/>
          <w:u w:val="single"/>
        </w:rPr>
      </w:pPr>
    </w:p>
    <w:p w14:paraId="5209CD59" w14:textId="0080A061" w:rsidR="00214D31" w:rsidRPr="00214D31" w:rsidRDefault="005F5977" w:rsidP="0045098C">
      <w:pPr>
        <w:ind w:left="288"/>
        <w:rPr>
          <w:rFonts w:ascii="Times New Roman" w:eastAsiaTheme="minorHAnsi" w:hAnsi="Times New Roman"/>
          <w:snapToGrid/>
          <w:szCs w:val="24"/>
        </w:rPr>
      </w:pPr>
      <w:r>
        <w:rPr>
          <w:rFonts w:ascii="Times New Roman" w:eastAsiaTheme="minorHAnsi" w:hAnsi="Times New Roman"/>
          <w:snapToGrid/>
          <w:szCs w:val="24"/>
        </w:rPr>
        <w:t>The</w:t>
      </w:r>
      <w:r w:rsidR="00214D31" w:rsidRPr="00214D31">
        <w:rPr>
          <w:rFonts w:ascii="Times New Roman" w:eastAsiaTheme="minorHAnsi" w:hAnsi="Times New Roman"/>
          <w:snapToGrid/>
          <w:szCs w:val="24"/>
        </w:rPr>
        <w:t xml:space="preserve"> </w:t>
      </w:r>
      <w:r>
        <w:rPr>
          <w:rFonts w:ascii="Times New Roman" w:eastAsiaTheme="minorHAnsi" w:hAnsi="Times New Roman"/>
          <w:snapToGrid/>
          <w:szCs w:val="24"/>
        </w:rPr>
        <w:t xml:space="preserve">agency </w:t>
      </w:r>
      <w:r w:rsidR="00214D31" w:rsidRPr="00214D31">
        <w:rPr>
          <w:rFonts w:ascii="Times New Roman" w:eastAsiaTheme="minorHAnsi" w:hAnsi="Times New Roman"/>
          <w:snapToGrid/>
          <w:szCs w:val="24"/>
        </w:rPr>
        <w:t>incur</w:t>
      </w:r>
      <w:r>
        <w:rPr>
          <w:rFonts w:ascii="Times New Roman" w:eastAsiaTheme="minorHAnsi" w:hAnsi="Times New Roman"/>
          <w:snapToGrid/>
          <w:szCs w:val="24"/>
        </w:rPr>
        <w:t>s</w:t>
      </w:r>
      <w:r w:rsidR="00214D31" w:rsidRPr="00214D31">
        <w:rPr>
          <w:rFonts w:ascii="Times New Roman" w:eastAsiaTheme="minorHAnsi" w:hAnsi="Times New Roman"/>
          <w:snapToGrid/>
          <w:szCs w:val="24"/>
        </w:rPr>
        <w:t xml:space="preserve"> costs to set up the focus groups, including hiring a contractor to provide a facilitator/moderator, rent meeting space, travel to conduct the groups, and provide respondents with payment of a </w:t>
      </w:r>
      <w:r w:rsidR="00214D31" w:rsidRPr="00214D31">
        <w:rPr>
          <w:rFonts w:ascii="Times New Roman" w:eastAsiaTheme="minorHAnsi" w:hAnsi="Times New Roman"/>
          <w:i/>
          <w:snapToGrid/>
          <w:szCs w:val="24"/>
        </w:rPr>
        <w:t>de minimis</w:t>
      </w:r>
      <w:r w:rsidR="00214D31" w:rsidRPr="00214D31">
        <w:rPr>
          <w:rFonts w:ascii="Times New Roman" w:eastAsiaTheme="minorHAnsi" w:hAnsi="Times New Roman"/>
          <w:snapToGrid/>
          <w:szCs w:val="24"/>
        </w:rPr>
        <w:t xml:space="preserve"> cost in the form of a token stipend. For these expenses, </w:t>
      </w:r>
      <w:r>
        <w:rPr>
          <w:rFonts w:ascii="Times New Roman" w:eastAsiaTheme="minorHAnsi" w:hAnsi="Times New Roman"/>
          <w:snapToGrid/>
          <w:szCs w:val="24"/>
        </w:rPr>
        <w:t xml:space="preserve">FDA </w:t>
      </w:r>
      <w:r w:rsidR="00214D31">
        <w:rPr>
          <w:rFonts w:ascii="Times New Roman" w:eastAsiaTheme="minorHAnsi" w:hAnsi="Times New Roman"/>
          <w:snapToGrid/>
          <w:szCs w:val="24"/>
        </w:rPr>
        <w:t>spend</w:t>
      </w:r>
      <w:r>
        <w:rPr>
          <w:rFonts w:ascii="Times New Roman" w:eastAsiaTheme="minorHAnsi" w:hAnsi="Times New Roman"/>
          <w:snapToGrid/>
          <w:szCs w:val="24"/>
        </w:rPr>
        <w:t>s</w:t>
      </w:r>
      <w:r w:rsidR="00214D31">
        <w:rPr>
          <w:rFonts w:ascii="Times New Roman" w:eastAsiaTheme="minorHAnsi" w:hAnsi="Times New Roman"/>
          <w:snapToGrid/>
          <w:szCs w:val="24"/>
        </w:rPr>
        <w:t xml:space="preserve"> </w:t>
      </w:r>
      <w:r w:rsidR="00214D31" w:rsidRPr="00214D31">
        <w:rPr>
          <w:rFonts w:ascii="Times New Roman" w:eastAsiaTheme="minorHAnsi" w:hAnsi="Times New Roman"/>
          <w:snapToGrid/>
          <w:szCs w:val="24"/>
        </w:rPr>
        <w:t>approximately $200,000 annually.</w:t>
      </w:r>
    </w:p>
    <w:p w14:paraId="43A5FA53" w14:textId="77777777" w:rsidR="00C932C9" w:rsidRPr="0027445C" w:rsidRDefault="00C932C9" w:rsidP="0045098C">
      <w:pPr>
        <w:widowControl/>
        <w:ind w:left="288" w:right="-1440"/>
        <w:rPr>
          <w:rFonts w:ascii="Times New Roman" w:hAnsi="Times New Roman"/>
        </w:rPr>
      </w:pPr>
    </w:p>
    <w:p w14:paraId="0AF86DE3" w14:textId="2A774633" w:rsidR="003175F6" w:rsidRPr="00FB4D88" w:rsidRDefault="008752E5" w:rsidP="0045098C">
      <w:pPr>
        <w:pStyle w:val="ListParagraph"/>
        <w:numPr>
          <w:ilvl w:val="0"/>
          <w:numId w:val="17"/>
        </w:numPr>
        <w:ind w:left="288"/>
        <w:rPr>
          <w:rFonts w:ascii="Times New Roman" w:hAnsi="Times New Roman"/>
        </w:rPr>
      </w:pPr>
      <w:r w:rsidRPr="00FB4D88">
        <w:rPr>
          <w:rFonts w:ascii="Times New Roman" w:hAnsi="Times New Roman"/>
          <w:u w:val="single"/>
        </w:rPr>
        <w:t>Explanation for Program Changes or Adjustments</w:t>
      </w:r>
    </w:p>
    <w:p w14:paraId="3312CBFD" w14:textId="77777777" w:rsidR="00775324" w:rsidRPr="00FB4D88" w:rsidRDefault="00775324" w:rsidP="0045098C">
      <w:pPr>
        <w:widowControl/>
        <w:ind w:left="288"/>
        <w:rPr>
          <w:rFonts w:ascii="Times New Roman" w:hAnsi="Times New Roman"/>
          <w:snapToGrid/>
          <w:szCs w:val="24"/>
        </w:rPr>
      </w:pPr>
    </w:p>
    <w:p w14:paraId="6C18FC39" w14:textId="3A9CA3F2" w:rsidR="00592C23" w:rsidRPr="009D7018" w:rsidRDefault="005F5977" w:rsidP="0045098C">
      <w:pPr>
        <w:widowControl/>
        <w:ind w:left="288"/>
        <w:rPr>
          <w:rFonts w:ascii="Times New Roman" w:hAnsi="Times New Roman"/>
        </w:rPr>
      </w:pPr>
      <w:r>
        <w:rPr>
          <w:rFonts w:ascii="Times New Roman" w:hAnsi="Times New Roman"/>
        </w:rPr>
        <w:t xml:space="preserve">There are no program changes or </w:t>
      </w:r>
      <w:r w:rsidR="009D7018" w:rsidRPr="009D7018">
        <w:rPr>
          <w:rFonts w:ascii="Times New Roman" w:hAnsi="Times New Roman"/>
        </w:rPr>
        <w:t>adjus</w:t>
      </w:r>
      <w:r w:rsidR="009D7018">
        <w:rPr>
          <w:rFonts w:ascii="Times New Roman" w:hAnsi="Times New Roman"/>
        </w:rPr>
        <w:t xml:space="preserve">tments to </w:t>
      </w:r>
      <w:r>
        <w:rPr>
          <w:rFonts w:ascii="Times New Roman" w:hAnsi="Times New Roman"/>
        </w:rPr>
        <w:t>this information collection</w:t>
      </w:r>
      <w:r w:rsidR="009D7018">
        <w:rPr>
          <w:rFonts w:ascii="Times New Roman" w:hAnsi="Times New Roman"/>
        </w:rPr>
        <w:t>.</w:t>
      </w:r>
    </w:p>
    <w:p w14:paraId="191C83D7" w14:textId="5BCFFD2C" w:rsidR="000533EB" w:rsidRDefault="000533EB" w:rsidP="0045098C">
      <w:pPr>
        <w:ind w:left="288"/>
        <w:rPr>
          <w:rFonts w:ascii="Times New Roman" w:hAnsi="Times New Roman"/>
          <w:snapToGrid/>
        </w:rPr>
      </w:pPr>
    </w:p>
    <w:p w14:paraId="55305EF2" w14:textId="3BB73B36" w:rsidR="00BF13D4" w:rsidRDefault="00BF13D4" w:rsidP="0045098C">
      <w:pPr>
        <w:ind w:left="288"/>
        <w:rPr>
          <w:rFonts w:ascii="Times New Roman" w:hAnsi="Times New Roman"/>
          <w:snapToGrid/>
        </w:rPr>
      </w:pPr>
    </w:p>
    <w:p w14:paraId="7F676386" w14:textId="3C6214E0" w:rsidR="00BF13D4" w:rsidRDefault="00BF13D4" w:rsidP="0045098C">
      <w:pPr>
        <w:ind w:left="288"/>
        <w:rPr>
          <w:rFonts w:ascii="Times New Roman" w:hAnsi="Times New Roman"/>
          <w:snapToGrid/>
        </w:rPr>
      </w:pPr>
    </w:p>
    <w:p w14:paraId="19C79F55" w14:textId="77777777" w:rsidR="00BF13D4" w:rsidRPr="00FB4D88" w:rsidRDefault="00BF13D4" w:rsidP="0045098C">
      <w:pPr>
        <w:ind w:left="288"/>
        <w:rPr>
          <w:rFonts w:ascii="Times New Roman" w:hAnsi="Times New Roman"/>
          <w:snapToGrid/>
        </w:rPr>
      </w:pPr>
    </w:p>
    <w:p w14:paraId="6CAAB720" w14:textId="11412399" w:rsidR="005639E0" w:rsidRPr="00FB4D88" w:rsidRDefault="005639E0" w:rsidP="0045098C">
      <w:pPr>
        <w:pStyle w:val="ListParagraph"/>
        <w:numPr>
          <w:ilvl w:val="0"/>
          <w:numId w:val="17"/>
        </w:numPr>
        <w:ind w:left="288"/>
        <w:rPr>
          <w:rFonts w:ascii="Times New Roman" w:hAnsi="Times New Roman"/>
          <w:snapToGrid/>
          <w:u w:val="single"/>
        </w:rPr>
      </w:pPr>
      <w:r w:rsidRPr="00FB4D88">
        <w:rPr>
          <w:rFonts w:ascii="Times New Roman" w:hAnsi="Times New Roman"/>
          <w:u w:val="single"/>
        </w:rPr>
        <w:t>Plans for Tabulation and Publication and Project Time Schedule</w:t>
      </w:r>
    </w:p>
    <w:p w14:paraId="0AFF7176" w14:textId="77777777" w:rsidR="001039F3" w:rsidRPr="00FB4D88" w:rsidRDefault="001039F3" w:rsidP="0045098C">
      <w:pPr>
        <w:widowControl/>
        <w:ind w:left="288"/>
        <w:rPr>
          <w:rFonts w:ascii="Times New Roman" w:hAnsi="Times New Roman"/>
          <w:snapToGrid/>
          <w:u w:val="single"/>
        </w:rPr>
      </w:pPr>
    </w:p>
    <w:p w14:paraId="1F10A32F" w14:textId="1A383E12" w:rsidR="008752E5" w:rsidRDefault="005F5977" w:rsidP="0045098C">
      <w:pPr>
        <w:widowControl/>
        <w:ind w:left="288"/>
        <w:rPr>
          <w:rFonts w:ascii="Times New Roman" w:hAnsi="Times New Roman"/>
        </w:rPr>
      </w:pPr>
      <w:r>
        <w:rPr>
          <w:rFonts w:ascii="Times New Roman" w:hAnsi="Times New Roman"/>
        </w:rPr>
        <w:t>Although the agency has no plans to publish its findings, we</w:t>
      </w:r>
      <w:r w:rsidR="00686B72">
        <w:rPr>
          <w:rFonts w:ascii="Times New Roman" w:hAnsi="Times New Roman"/>
        </w:rPr>
        <w:t xml:space="preserve"> may </w:t>
      </w:r>
      <w:r w:rsidR="009D7018" w:rsidRPr="009D7018">
        <w:rPr>
          <w:rFonts w:ascii="Times New Roman" w:hAnsi="Times New Roman"/>
        </w:rPr>
        <w:t xml:space="preserve">receive requests to release the information (e.g., congressional inquiry, Freedom of Information Act requests). </w:t>
      </w:r>
      <w:r>
        <w:rPr>
          <w:rFonts w:ascii="Times New Roman" w:hAnsi="Times New Roman"/>
        </w:rPr>
        <w:t xml:space="preserve">FDA will </w:t>
      </w:r>
      <w:r w:rsidR="00686B72">
        <w:rPr>
          <w:rFonts w:ascii="Times New Roman" w:hAnsi="Times New Roman"/>
        </w:rPr>
        <w:t>disseminate</w:t>
      </w:r>
      <w:r w:rsidR="00B2081D">
        <w:rPr>
          <w:rFonts w:ascii="Times New Roman" w:hAnsi="Times New Roman"/>
        </w:rPr>
        <w:t xml:space="preserve"> focus group findings only when appropriate, strictly following </w:t>
      </w:r>
      <w:r w:rsidR="009D7018" w:rsidRPr="009D7018">
        <w:rPr>
          <w:rFonts w:ascii="Times New Roman" w:hAnsi="Times New Roman"/>
        </w:rPr>
        <w:t>our “</w:t>
      </w:r>
      <w:r w:rsidR="009D7018" w:rsidRPr="0045098C">
        <w:rPr>
          <w:rFonts w:ascii="Times New Roman" w:hAnsi="Times New Roman"/>
          <w:i/>
        </w:rPr>
        <w:t>Guidelines for Ensuring the Quality of Information Disseminated to the Public</w:t>
      </w:r>
      <w:r w:rsidR="00B2081D">
        <w:rPr>
          <w:rFonts w:ascii="Times New Roman" w:hAnsi="Times New Roman"/>
          <w:i/>
        </w:rPr>
        <w:t>,</w:t>
      </w:r>
      <w:r w:rsidR="009D7018" w:rsidRPr="009D7018">
        <w:rPr>
          <w:rFonts w:ascii="Times New Roman" w:hAnsi="Times New Roman"/>
        </w:rPr>
        <w:t>” and will include specific discussion of the limitations of focus group results with regard to being non-quantitative.</w:t>
      </w:r>
    </w:p>
    <w:p w14:paraId="15B53901" w14:textId="77777777" w:rsidR="009D7018" w:rsidRPr="00FB4D88" w:rsidRDefault="009D7018" w:rsidP="0045098C">
      <w:pPr>
        <w:widowControl/>
        <w:ind w:left="288"/>
        <w:rPr>
          <w:rFonts w:ascii="Times New Roman" w:hAnsi="Times New Roman"/>
        </w:rPr>
      </w:pPr>
    </w:p>
    <w:p w14:paraId="5C510EA6" w14:textId="5EE2E163" w:rsidR="008752E5" w:rsidRDefault="008752E5" w:rsidP="0045098C">
      <w:pPr>
        <w:pStyle w:val="ListParagraph"/>
        <w:numPr>
          <w:ilvl w:val="0"/>
          <w:numId w:val="17"/>
        </w:numPr>
        <w:ind w:left="288"/>
        <w:rPr>
          <w:rFonts w:ascii="Times New Roman" w:hAnsi="Times New Roman"/>
          <w:u w:val="single"/>
        </w:rPr>
      </w:pPr>
      <w:r w:rsidRPr="00FB4D88">
        <w:rPr>
          <w:rFonts w:ascii="Times New Roman" w:hAnsi="Times New Roman"/>
          <w:u w:val="single"/>
        </w:rPr>
        <w:t>Reason(s) Display of OMB Expiration Date is Inappropriate</w:t>
      </w:r>
    </w:p>
    <w:p w14:paraId="40ED7D4A" w14:textId="77777777" w:rsidR="000E7BEF" w:rsidRPr="00FB4D88" w:rsidRDefault="000E7BEF" w:rsidP="0045098C">
      <w:pPr>
        <w:widowControl/>
        <w:ind w:left="288" w:right="-1440"/>
        <w:rPr>
          <w:rFonts w:ascii="Times New Roman" w:hAnsi="Times New Roman"/>
          <w:u w:val="single"/>
        </w:rPr>
      </w:pPr>
    </w:p>
    <w:p w14:paraId="4E4BD037" w14:textId="4C796D43" w:rsidR="001039F3" w:rsidRPr="00FB4D88" w:rsidRDefault="00B2081D" w:rsidP="0045098C">
      <w:pPr>
        <w:ind w:left="288"/>
        <w:rPr>
          <w:rFonts w:ascii="Times New Roman" w:hAnsi="Times New Roman"/>
        </w:rPr>
      </w:pPr>
      <w:r>
        <w:rPr>
          <w:rFonts w:ascii="Times New Roman" w:hAnsi="Times New Roman"/>
        </w:rPr>
        <w:t>D</w:t>
      </w:r>
      <w:r w:rsidR="001039F3" w:rsidRPr="00FB4D88">
        <w:rPr>
          <w:rFonts w:ascii="Times New Roman" w:hAnsi="Times New Roman"/>
        </w:rPr>
        <w:t xml:space="preserve">isplay </w:t>
      </w:r>
      <w:r>
        <w:rPr>
          <w:rFonts w:ascii="Times New Roman" w:hAnsi="Times New Roman"/>
        </w:rPr>
        <w:t xml:space="preserve">of </w:t>
      </w:r>
      <w:r w:rsidR="001039F3" w:rsidRPr="00FB4D88">
        <w:rPr>
          <w:rFonts w:ascii="Times New Roman" w:hAnsi="Times New Roman"/>
        </w:rPr>
        <w:t xml:space="preserve">the OMB expiration date </w:t>
      </w:r>
      <w:r>
        <w:rPr>
          <w:rFonts w:ascii="Times New Roman" w:hAnsi="Times New Roman"/>
        </w:rPr>
        <w:t>is appropriate</w:t>
      </w:r>
      <w:r w:rsidR="000E7BEF">
        <w:rPr>
          <w:rFonts w:ascii="Times New Roman" w:hAnsi="Times New Roman"/>
        </w:rPr>
        <w:t>.</w:t>
      </w:r>
    </w:p>
    <w:p w14:paraId="71CE734B" w14:textId="77777777" w:rsidR="001039F3" w:rsidRPr="00FB4D88" w:rsidRDefault="001039F3" w:rsidP="0045098C">
      <w:pPr>
        <w:ind w:left="288"/>
        <w:rPr>
          <w:rFonts w:ascii="Times New Roman" w:hAnsi="Times New Roman"/>
          <w:snapToGrid/>
        </w:rPr>
      </w:pPr>
    </w:p>
    <w:p w14:paraId="5A0602F4" w14:textId="1B1D309D" w:rsidR="008752E5" w:rsidRPr="00FB4D88" w:rsidRDefault="008752E5" w:rsidP="0045098C">
      <w:pPr>
        <w:pStyle w:val="ListParagraph"/>
        <w:numPr>
          <w:ilvl w:val="0"/>
          <w:numId w:val="17"/>
        </w:numPr>
        <w:ind w:left="288"/>
        <w:rPr>
          <w:rFonts w:ascii="Times New Roman" w:hAnsi="Times New Roman"/>
          <w:u w:val="single"/>
        </w:rPr>
      </w:pPr>
      <w:r w:rsidRPr="00FB4D88">
        <w:rPr>
          <w:rFonts w:ascii="Times New Roman" w:hAnsi="Times New Roman"/>
          <w:u w:val="single"/>
        </w:rPr>
        <w:t>Exceptions to Certification for Paperwork Reduction Act Submissions</w:t>
      </w:r>
    </w:p>
    <w:p w14:paraId="4B95324D" w14:textId="77777777" w:rsidR="00B32F6C" w:rsidRDefault="00B32F6C" w:rsidP="0045098C">
      <w:pPr>
        <w:tabs>
          <w:tab w:val="left" w:leader="dot" w:pos="4320"/>
          <w:tab w:val="left" w:pos="4680"/>
          <w:tab w:val="left" w:pos="5040"/>
          <w:tab w:val="left" w:pos="5400"/>
          <w:tab w:val="left" w:pos="6480"/>
          <w:tab w:val="left" w:pos="6840"/>
        </w:tabs>
        <w:ind w:left="288"/>
        <w:rPr>
          <w:rFonts w:ascii="Times New Roman" w:hAnsi="Times New Roman"/>
        </w:rPr>
      </w:pPr>
    </w:p>
    <w:p w14:paraId="33AC2348" w14:textId="1B1934B1" w:rsidR="008752E5" w:rsidRDefault="008752E5" w:rsidP="0045098C">
      <w:pPr>
        <w:tabs>
          <w:tab w:val="left" w:leader="dot" w:pos="4320"/>
          <w:tab w:val="left" w:pos="4680"/>
          <w:tab w:val="left" w:pos="5040"/>
          <w:tab w:val="left" w:pos="5400"/>
          <w:tab w:val="left" w:pos="6480"/>
          <w:tab w:val="left" w:pos="6840"/>
        </w:tabs>
        <w:spacing w:line="480" w:lineRule="auto"/>
        <w:ind w:left="288"/>
      </w:pPr>
      <w:r w:rsidRPr="00FB4D88">
        <w:rPr>
          <w:rFonts w:ascii="Times New Roman" w:hAnsi="Times New Roman"/>
        </w:rPr>
        <w:t>There are no exceptions to the certification statement.</w:t>
      </w:r>
    </w:p>
    <w:sectPr w:rsidR="008752E5">
      <w:footerReference w:type="default" r:id="rId9"/>
      <w:endnotePr>
        <w:numFmt w:val="decimal"/>
      </w:endnotePr>
      <w:pgSz w:w="12240" w:h="15840"/>
      <w:pgMar w:top="1440" w:right="1440" w:bottom="1080" w:left="1440" w:header="144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A37CB7" w14:textId="77777777" w:rsidR="008A3865" w:rsidRDefault="008A3865">
      <w:r>
        <w:separator/>
      </w:r>
    </w:p>
  </w:endnote>
  <w:endnote w:type="continuationSeparator" w:id="0">
    <w:p w14:paraId="6E161E5D" w14:textId="77777777" w:rsidR="008A3865" w:rsidRDefault="008A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B0199" w14:textId="77777777" w:rsidR="002333C2" w:rsidRDefault="002333C2">
    <w:pPr>
      <w:spacing w:line="240" w:lineRule="exact"/>
    </w:pPr>
  </w:p>
  <w:p w14:paraId="7D99393F" w14:textId="3517D398" w:rsidR="002333C2" w:rsidRPr="00A235C7" w:rsidRDefault="002333C2">
    <w:pPr>
      <w:framePr w:w="9361" w:wrap="notBeside" w:vAnchor="text" w:hAnchor="text" w:x="1" w:y="1"/>
      <w:jc w:val="center"/>
      <w:rPr>
        <w:rFonts w:ascii="Times New Roman" w:hAnsi="Times New Roman"/>
      </w:rPr>
    </w:pPr>
    <w:r w:rsidRPr="00A235C7">
      <w:rPr>
        <w:rFonts w:ascii="Times New Roman" w:hAnsi="Times New Roman"/>
      </w:rPr>
      <w:fldChar w:fldCharType="begin"/>
    </w:r>
    <w:r w:rsidRPr="00A235C7">
      <w:rPr>
        <w:rFonts w:ascii="Times New Roman" w:hAnsi="Times New Roman"/>
      </w:rPr>
      <w:instrText xml:space="preserve">PAGE </w:instrText>
    </w:r>
    <w:r w:rsidRPr="00A235C7">
      <w:rPr>
        <w:rFonts w:ascii="Times New Roman" w:hAnsi="Times New Roman"/>
      </w:rPr>
      <w:fldChar w:fldCharType="separate"/>
    </w:r>
    <w:r w:rsidR="00C76437">
      <w:rPr>
        <w:rFonts w:ascii="Times New Roman" w:hAnsi="Times New Roman"/>
        <w:noProof/>
      </w:rPr>
      <w:t>1</w:t>
    </w:r>
    <w:r w:rsidRPr="00A235C7">
      <w:rPr>
        <w:rFonts w:ascii="Times New Roman" w:hAnsi="Times New Roman"/>
      </w:rPr>
      <w:fldChar w:fldCharType="end"/>
    </w:r>
  </w:p>
  <w:p w14:paraId="7A3630F3" w14:textId="77777777" w:rsidR="002333C2" w:rsidRDefault="002333C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C1EBD4" w14:textId="77777777" w:rsidR="008A3865" w:rsidRDefault="008A3865">
      <w:r>
        <w:separator/>
      </w:r>
    </w:p>
  </w:footnote>
  <w:footnote w:type="continuationSeparator" w:id="0">
    <w:p w14:paraId="4FEB13FD" w14:textId="77777777" w:rsidR="008A3865" w:rsidRDefault="008A38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373F1"/>
    <w:multiLevelType w:val="singleLevel"/>
    <w:tmpl w:val="B0EA73A0"/>
    <w:lvl w:ilvl="0">
      <w:start w:val="1"/>
      <w:numFmt w:val="bullet"/>
      <w:pStyle w:val="BodyTextIndent"/>
      <w:lvlText w:val=""/>
      <w:lvlJc w:val="left"/>
      <w:pPr>
        <w:tabs>
          <w:tab w:val="num" w:pos="1080"/>
        </w:tabs>
        <w:ind w:left="1080" w:hanging="720"/>
      </w:pPr>
      <w:rPr>
        <w:rFonts w:ascii="Symbol" w:hAnsi="Symbol" w:hint="default"/>
      </w:rPr>
    </w:lvl>
  </w:abstractNum>
  <w:abstractNum w:abstractNumId="1">
    <w:nsid w:val="0D9F452A"/>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390332F"/>
    <w:multiLevelType w:val="hybridMultilevel"/>
    <w:tmpl w:val="8F960BB2"/>
    <w:lvl w:ilvl="0" w:tplc="1542D362">
      <w:start w:val="1"/>
      <w:numFmt w:val="upperLetter"/>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E72AC9"/>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97603C1"/>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BEB30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FD26702"/>
    <w:multiLevelType w:val="hybridMultilevel"/>
    <w:tmpl w:val="8F960BB2"/>
    <w:lvl w:ilvl="0" w:tplc="1542D362">
      <w:start w:val="1"/>
      <w:numFmt w:val="upperLetter"/>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0D588A"/>
    <w:multiLevelType w:val="multilevel"/>
    <w:tmpl w:val="2CFAFB22"/>
    <w:lvl w:ilvl="0">
      <w:start w:val="1"/>
      <w:numFmt w:val="decimal"/>
      <w:lvlText w:val="%1."/>
      <w:lvlJc w:val="left"/>
      <w:pPr>
        <w:tabs>
          <w:tab w:val="num" w:pos="720"/>
        </w:tabs>
        <w:ind w:left="720" w:hanging="360"/>
      </w:pPr>
      <w:rPr>
        <w:b w:val="0"/>
        <w:i w:val="0"/>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3600"/>
        </w:tabs>
        <w:ind w:left="3600" w:hanging="360"/>
      </w:pPr>
      <w:rPr>
        <w:b w:val="0"/>
        <w:i w:val="0"/>
      </w:r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numFmt w:val="decimal"/>
      <w:lvlText w:val=""/>
      <w:lvlJc w:val="left"/>
      <w:pPr>
        <w:tabs>
          <w:tab w:val="num" w:pos="0"/>
        </w:tabs>
        <w:ind w:left="0" w:firstLine="0"/>
      </w:pPr>
    </w:lvl>
  </w:abstractNum>
  <w:abstractNum w:abstractNumId="8">
    <w:nsid w:val="25E746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888298D"/>
    <w:multiLevelType w:val="hybridMultilevel"/>
    <w:tmpl w:val="75F8166A"/>
    <w:lvl w:ilvl="0" w:tplc="A61E7D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8CC678B"/>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9D45430"/>
    <w:multiLevelType w:val="multilevel"/>
    <w:tmpl w:val="5C48BC76"/>
    <w:lvl w:ilvl="0">
      <w:start w:val="1"/>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F811B0B"/>
    <w:multiLevelType w:val="hybridMultilevel"/>
    <w:tmpl w:val="4066122E"/>
    <w:lvl w:ilvl="0" w:tplc="8228A0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99D09AB"/>
    <w:multiLevelType w:val="multilevel"/>
    <w:tmpl w:val="2478635E"/>
    <w:lvl w:ilvl="0">
      <w:start w:val="1"/>
      <w:numFmt w:val="decimal"/>
      <w:lvlText w:val="%1."/>
      <w:lvlJc w:val="left"/>
      <w:pPr>
        <w:tabs>
          <w:tab w:val="num" w:pos="0"/>
        </w:tabs>
        <w:ind w:left="0" w:hanging="360"/>
      </w:pPr>
    </w:lvl>
    <w:lvl w:ilvl="1">
      <w:start w:val="1"/>
      <w:numFmt w:val="decimal"/>
      <w:lvlText w:val="%2."/>
      <w:lvlJc w:val="left"/>
      <w:pPr>
        <w:tabs>
          <w:tab w:val="num" w:pos="720"/>
        </w:tabs>
        <w:ind w:left="72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abstractNum w:abstractNumId="14">
    <w:nsid w:val="3AA50687"/>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C536D92"/>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D8C61FD"/>
    <w:multiLevelType w:val="multilevel"/>
    <w:tmpl w:val="2478635E"/>
    <w:lvl w:ilvl="0">
      <w:start w:val="1"/>
      <w:numFmt w:val="decimal"/>
      <w:lvlText w:val="%1."/>
      <w:lvlJc w:val="left"/>
      <w:pPr>
        <w:tabs>
          <w:tab w:val="num" w:pos="0"/>
        </w:tabs>
        <w:ind w:left="0" w:hanging="360"/>
      </w:pPr>
    </w:lvl>
    <w:lvl w:ilvl="1">
      <w:start w:val="1"/>
      <w:numFmt w:val="decimal"/>
      <w:lvlText w:val="%2."/>
      <w:lvlJc w:val="left"/>
      <w:pPr>
        <w:tabs>
          <w:tab w:val="num" w:pos="720"/>
        </w:tabs>
        <w:ind w:left="72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abstractNum w:abstractNumId="17">
    <w:nsid w:val="42CE293C"/>
    <w:multiLevelType w:val="multilevel"/>
    <w:tmpl w:val="5440AD9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6206E85"/>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84B19B8"/>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B8445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2C92D6B"/>
    <w:multiLevelType w:val="singleLevel"/>
    <w:tmpl w:val="2BB29B26"/>
    <w:lvl w:ilvl="0">
      <w:start w:val="7"/>
      <w:numFmt w:val="decimal"/>
      <w:lvlText w:val="%1."/>
      <w:lvlJc w:val="left"/>
      <w:pPr>
        <w:tabs>
          <w:tab w:val="num" w:pos="720"/>
        </w:tabs>
        <w:ind w:left="720" w:hanging="360"/>
      </w:pPr>
      <w:rPr>
        <w:rFonts w:hint="default"/>
      </w:rPr>
    </w:lvl>
  </w:abstractNum>
  <w:abstractNum w:abstractNumId="22">
    <w:nsid w:val="587B1C55"/>
    <w:multiLevelType w:val="hybridMultilevel"/>
    <w:tmpl w:val="FEB05EE6"/>
    <w:lvl w:ilvl="0" w:tplc="1D56C9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C5C06B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62202B7D"/>
    <w:multiLevelType w:val="multilevel"/>
    <w:tmpl w:val="3112DC14"/>
    <w:lvl w:ilvl="0">
      <w:start w:val="1"/>
      <w:numFmt w:val="bullet"/>
      <w:lvlText w:val=""/>
      <w:lvlJc w:val="left"/>
      <w:pPr>
        <w:tabs>
          <w:tab w:val="num" w:pos="0"/>
        </w:tabs>
        <w:ind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5">
    <w:nsid w:val="71A214BA"/>
    <w:multiLevelType w:val="multilevel"/>
    <w:tmpl w:val="9BB86D78"/>
    <w:lvl w:ilvl="0">
      <w:start w:val="1"/>
      <w:numFmt w:val="bullet"/>
      <w:lvlText w:val=""/>
      <w:lvlJc w:val="left"/>
      <w:pPr>
        <w:tabs>
          <w:tab w:val="num" w:pos="0"/>
        </w:tabs>
        <w:ind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6">
    <w:nsid w:val="75285E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8F05CD3"/>
    <w:multiLevelType w:val="multilevel"/>
    <w:tmpl w:val="B15ED8D2"/>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3600"/>
        </w:tabs>
        <w:ind w:left="3600" w:hanging="360"/>
      </w:pPr>
      <w:rPr>
        <w:b w:val="0"/>
        <w:i w:val="0"/>
      </w:r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numFmt w:val="decimal"/>
      <w:lvlText w:val=""/>
      <w:lvlJc w:val="left"/>
      <w:pPr>
        <w:tabs>
          <w:tab w:val="num" w:pos="0"/>
        </w:tabs>
        <w:ind w:left="0" w:firstLine="0"/>
      </w:pPr>
    </w:lvl>
  </w:abstractNum>
  <w:abstractNum w:abstractNumId="28">
    <w:nsid w:val="7CC2708A"/>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3"/>
  </w:num>
  <w:num w:numId="2">
    <w:abstractNumId w:val="0"/>
  </w:num>
  <w:num w:numId="3">
    <w:abstractNumId w:val="5"/>
  </w:num>
  <w:num w:numId="4">
    <w:abstractNumId w:val="7"/>
  </w:num>
  <w:num w:numId="5">
    <w:abstractNumId w:val="27"/>
  </w:num>
  <w:num w:numId="6">
    <w:abstractNumId w:val="21"/>
  </w:num>
  <w:num w:numId="7">
    <w:abstractNumId w:val="11"/>
  </w:num>
  <w:num w:numId="8">
    <w:abstractNumId w:val="17"/>
  </w:num>
  <w:num w:numId="9">
    <w:abstractNumId w:val="25"/>
  </w:num>
  <w:num w:numId="10">
    <w:abstractNumId w:val="24"/>
  </w:num>
  <w:num w:numId="11">
    <w:abstractNumId w:val="8"/>
  </w:num>
  <w:num w:numId="12">
    <w:abstractNumId w:val="20"/>
  </w:num>
  <w:num w:numId="13">
    <w:abstractNumId w:val="26"/>
  </w:num>
  <w:num w:numId="14">
    <w:abstractNumId w:val="22"/>
  </w:num>
  <w:num w:numId="15">
    <w:abstractNumId w:val="9"/>
  </w:num>
  <w:num w:numId="16">
    <w:abstractNumId w:val="12"/>
  </w:num>
  <w:num w:numId="17">
    <w:abstractNumId w:val="13"/>
  </w:num>
  <w:num w:numId="18">
    <w:abstractNumId w:val="3"/>
  </w:num>
  <w:num w:numId="19">
    <w:abstractNumId w:val="4"/>
  </w:num>
  <w:num w:numId="20">
    <w:abstractNumId w:val="18"/>
  </w:num>
  <w:num w:numId="21">
    <w:abstractNumId w:val="15"/>
  </w:num>
  <w:num w:numId="22">
    <w:abstractNumId w:val="1"/>
  </w:num>
  <w:num w:numId="23">
    <w:abstractNumId w:val="10"/>
  </w:num>
  <w:num w:numId="24">
    <w:abstractNumId w:val="28"/>
  </w:num>
  <w:num w:numId="25">
    <w:abstractNumId w:val="19"/>
  </w:num>
  <w:num w:numId="26">
    <w:abstractNumId w:val="14"/>
  </w:num>
  <w:num w:numId="27">
    <w:abstractNumId w:val="6"/>
  </w:num>
  <w:num w:numId="28">
    <w:abstractNumId w:val="2"/>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2E5"/>
    <w:rsid w:val="00000598"/>
    <w:rsid w:val="000533EB"/>
    <w:rsid w:val="000922C9"/>
    <w:rsid w:val="000A03BD"/>
    <w:rsid w:val="000C381C"/>
    <w:rsid w:val="000E7BEF"/>
    <w:rsid w:val="000F7CC2"/>
    <w:rsid w:val="001039F3"/>
    <w:rsid w:val="00106760"/>
    <w:rsid w:val="00122E50"/>
    <w:rsid w:val="00141DE8"/>
    <w:rsid w:val="001775AE"/>
    <w:rsid w:val="001922C0"/>
    <w:rsid w:val="00193516"/>
    <w:rsid w:val="001A11DA"/>
    <w:rsid w:val="001A2FC2"/>
    <w:rsid w:val="001B6F7E"/>
    <w:rsid w:val="001E39D0"/>
    <w:rsid w:val="001E6D6C"/>
    <w:rsid w:val="001F28FD"/>
    <w:rsid w:val="00203EB3"/>
    <w:rsid w:val="00213D95"/>
    <w:rsid w:val="00214D31"/>
    <w:rsid w:val="00223487"/>
    <w:rsid w:val="002242BF"/>
    <w:rsid w:val="002333C2"/>
    <w:rsid w:val="002450E4"/>
    <w:rsid w:val="00271A33"/>
    <w:rsid w:val="0027445C"/>
    <w:rsid w:val="0028310A"/>
    <w:rsid w:val="002A2189"/>
    <w:rsid w:val="002B3DA3"/>
    <w:rsid w:val="002B6DE3"/>
    <w:rsid w:val="003175F6"/>
    <w:rsid w:val="003242DB"/>
    <w:rsid w:val="00343ECC"/>
    <w:rsid w:val="003636BB"/>
    <w:rsid w:val="00366AA4"/>
    <w:rsid w:val="00397C6D"/>
    <w:rsid w:val="003B6F3C"/>
    <w:rsid w:val="003E76ED"/>
    <w:rsid w:val="003F458D"/>
    <w:rsid w:val="00424F1A"/>
    <w:rsid w:val="004334D6"/>
    <w:rsid w:val="0045098C"/>
    <w:rsid w:val="00454BBE"/>
    <w:rsid w:val="00470454"/>
    <w:rsid w:val="0048749F"/>
    <w:rsid w:val="00491138"/>
    <w:rsid w:val="00495F74"/>
    <w:rsid w:val="004A0881"/>
    <w:rsid w:val="004A5AD6"/>
    <w:rsid w:val="004D1128"/>
    <w:rsid w:val="00562C98"/>
    <w:rsid w:val="005639E0"/>
    <w:rsid w:val="0057240F"/>
    <w:rsid w:val="00590A5A"/>
    <w:rsid w:val="00592C23"/>
    <w:rsid w:val="005A2C4B"/>
    <w:rsid w:val="005A32BE"/>
    <w:rsid w:val="005E0F37"/>
    <w:rsid w:val="005E1F80"/>
    <w:rsid w:val="005F5977"/>
    <w:rsid w:val="00603174"/>
    <w:rsid w:val="00605EA1"/>
    <w:rsid w:val="00614538"/>
    <w:rsid w:val="006576D0"/>
    <w:rsid w:val="006770D5"/>
    <w:rsid w:val="00686B72"/>
    <w:rsid w:val="00695193"/>
    <w:rsid w:val="00695F16"/>
    <w:rsid w:val="006B0F49"/>
    <w:rsid w:val="006B62A5"/>
    <w:rsid w:val="006C671A"/>
    <w:rsid w:val="006D7B9F"/>
    <w:rsid w:val="006F028A"/>
    <w:rsid w:val="007172F5"/>
    <w:rsid w:val="00717892"/>
    <w:rsid w:val="00721FD5"/>
    <w:rsid w:val="00724A35"/>
    <w:rsid w:val="00732D7A"/>
    <w:rsid w:val="00733A09"/>
    <w:rsid w:val="00740F07"/>
    <w:rsid w:val="00741336"/>
    <w:rsid w:val="00773E3E"/>
    <w:rsid w:val="00775324"/>
    <w:rsid w:val="00790DAA"/>
    <w:rsid w:val="00790E43"/>
    <w:rsid w:val="007B1AAC"/>
    <w:rsid w:val="007C580D"/>
    <w:rsid w:val="007F11E3"/>
    <w:rsid w:val="008205D7"/>
    <w:rsid w:val="00834A56"/>
    <w:rsid w:val="00846884"/>
    <w:rsid w:val="008752E5"/>
    <w:rsid w:val="00875E5A"/>
    <w:rsid w:val="00875F7F"/>
    <w:rsid w:val="0088353E"/>
    <w:rsid w:val="00896876"/>
    <w:rsid w:val="0089797E"/>
    <w:rsid w:val="008A3865"/>
    <w:rsid w:val="008A3AC4"/>
    <w:rsid w:val="008B3961"/>
    <w:rsid w:val="008C7381"/>
    <w:rsid w:val="008D09DA"/>
    <w:rsid w:val="008D0BC0"/>
    <w:rsid w:val="009136A7"/>
    <w:rsid w:val="00935A56"/>
    <w:rsid w:val="00947B20"/>
    <w:rsid w:val="0095097A"/>
    <w:rsid w:val="00980785"/>
    <w:rsid w:val="0099150E"/>
    <w:rsid w:val="009A185A"/>
    <w:rsid w:val="009D7018"/>
    <w:rsid w:val="009E1B0C"/>
    <w:rsid w:val="00A02138"/>
    <w:rsid w:val="00A10B5F"/>
    <w:rsid w:val="00A24142"/>
    <w:rsid w:val="00A34CF4"/>
    <w:rsid w:val="00A41DAD"/>
    <w:rsid w:val="00A44251"/>
    <w:rsid w:val="00A44D7B"/>
    <w:rsid w:val="00A47E8E"/>
    <w:rsid w:val="00A61CD3"/>
    <w:rsid w:val="00A90F8F"/>
    <w:rsid w:val="00AA34A6"/>
    <w:rsid w:val="00AB321F"/>
    <w:rsid w:val="00AC2BAF"/>
    <w:rsid w:val="00AC538A"/>
    <w:rsid w:val="00AD3AFE"/>
    <w:rsid w:val="00AF2051"/>
    <w:rsid w:val="00B2081D"/>
    <w:rsid w:val="00B32F6C"/>
    <w:rsid w:val="00B51345"/>
    <w:rsid w:val="00B51397"/>
    <w:rsid w:val="00B539DA"/>
    <w:rsid w:val="00B634DC"/>
    <w:rsid w:val="00B70B46"/>
    <w:rsid w:val="00B97B11"/>
    <w:rsid w:val="00BC6534"/>
    <w:rsid w:val="00BD10FF"/>
    <w:rsid w:val="00BF0C3F"/>
    <w:rsid w:val="00BF13D4"/>
    <w:rsid w:val="00BF4DBD"/>
    <w:rsid w:val="00C23124"/>
    <w:rsid w:val="00C26915"/>
    <w:rsid w:val="00C45A99"/>
    <w:rsid w:val="00C76437"/>
    <w:rsid w:val="00C932C9"/>
    <w:rsid w:val="00CE1102"/>
    <w:rsid w:val="00CE5068"/>
    <w:rsid w:val="00CF659D"/>
    <w:rsid w:val="00CF6827"/>
    <w:rsid w:val="00D014B4"/>
    <w:rsid w:val="00D03239"/>
    <w:rsid w:val="00D13E7A"/>
    <w:rsid w:val="00D227DF"/>
    <w:rsid w:val="00D256CE"/>
    <w:rsid w:val="00D32039"/>
    <w:rsid w:val="00D60B76"/>
    <w:rsid w:val="00D70823"/>
    <w:rsid w:val="00E15D55"/>
    <w:rsid w:val="00E20505"/>
    <w:rsid w:val="00E34710"/>
    <w:rsid w:val="00E367A1"/>
    <w:rsid w:val="00E4370C"/>
    <w:rsid w:val="00E53900"/>
    <w:rsid w:val="00E569F4"/>
    <w:rsid w:val="00EA59C9"/>
    <w:rsid w:val="00EA7BE2"/>
    <w:rsid w:val="00EC22EA"/>
    <w:rsid w:val="00ED2CEE"/>
    <w:rsid w:val="00ED2EC7"/>
    <w:rsid w:val="00ED32E6"/>
    <w:rsid w:val="00ED5F76"/>
    <w:rsid w:val="00EE2048"/>
    <w:rsid w:val="00F03311"/>
    <w:rsid w:val="00F26508"/>
    <w:rsid w:val="00F412F2"/>
    <w:rsid w:val="00F44FBB"/>
    <w:rsid w:val="00F60258"/>
    <w:rsid w:val="00F6085B"/>
    <w:rsid w:val="00F700C2"/>
    <w:rsid w:val="00FA4E48"/>
    <w:rsid w:val="00FB4D88"/>
    <w:rsid w:val="00FE3E6E"/>
    <w:rsid w:val="00FF224C"/>
    <w:rsid w:val="00FF4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D0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2E5"/>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qFormat/>
    <w:rsid w:val="008752E5"/>
    <w:pPr>
      <w:keepNext/>
      <w:widowControl/>
      <w:outlineLvl w:val="0"/>
    </w:pPr>
    <w:rPr>
      <w:rFonts w:ascii="Times New Roman" w:hAnsi="Times New Roman"/>
      <w:snapToGrid/>
      <w:sz w:val="18"/>
      <w:u w:val="single"/>
    </w:rPr>
  </w:style>
  <w:style w:type="paragraph" w:styleId="Heading2">
    <w:name w:val="heading 2"/>
    <w:basedOn w:val="Normal"/>
    <w:next w:val="Normal"/>
    <w:link w:val="Heading2Char"/>
    <w:qFormat/>
    <w:rsid w:val="008752E5"/>
    <w:pPr>
      <w:keepNext/>
      <w:widowControl/>
      <w:outlineLvl w:val="1"/>
    </w:pPr>
    <w:rPr>
      <w:rFonts w:ascii="Times New Roman" w:hAnsi="Times New Roman"/>
      <w:b/>
      <w:snapToGrid/>
    </w:rPr>
  </w:style>
  <w:style w:type="paragraph" w:styleId="Heading3">
    <w:name w:val="heading 3"/>
    <w:basedOn w:val="Normal"/>
    <w:next w:val="Normal"/>
    <w:link w:val="Heading3Char"/>
    <w:qFormat/>
    <w:rsid w:val="008752E5"/>
    <w:pPr>
      <w:keepNext/>
      <w:widowControl/>
      <w:outlineLvl w:val="2"/>
    </w:pPr>
    <w:rPr>
      <w:rFonts w:ascii="Times New Roman" w:hAnsi="Times New Roman"/>
      <w:b/>
      <w:snapToGrid/>
      <w:sz w:val="20"/>
    </w:rPr>
  </w:style>
  <w:style w:type="paragraph" w:styleId="Heading4">
    <w:name w:val="heading 4"/>
    <w:basedOn w:val="Normal"/>
    <w:next w:val="Normal"/>
    <w:link w:val="Heading4Char"/>
    <w:qFormat/>
    <w:rsid w:val="008752E5"/>
    <w:pPr>
      <w:keepNext/>
      <w:widowControl/>
      <w:outlineLvl w:val="3"/>
    </w:pPr>
    <w:rPr>
      <w:rFonts w:ascii="Times New Roman" w:hAnsi="Times New Roman"/>
      <w:b/>
      <w:snapToGrid/>
      <w:sz w:val="20"/>
      <w:u w:val="single"/>
    </w:rPr>
  </w:style>
  <w:style w:type="paragraph" w:styleId="Heading5">
    <w:name w:val="heading 5"/>
    <w:basedOn w:val="Normal"/>
    <w:next w:val="Normal"/>
    <w:link w:val="Heading5Char"/>
    <w:qFormat/>
    <w:rsid w:val="008752E5"/>
    <w:pPr>
      <w:keepNext/>
      <w:widowControl/>
      <w:outlineLvl w:val="4"/>
    </w:pPr>
    <w:rPr>
      <w:rFonts w:ascii="Times New Roman" w:hAnsi="Times New Roman"/>
      <w:b/>
      <w:snapToGrid/>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2E5"/>
    <w:rPr>
      <w:rFonts w:ascii="Times New Roman" w:eastAsia="Times New Roman" w:hAnsi="Times New Roman" w:cs="Times New Roman"/>
      <w:sz w:val="18"/>
      <w:szCs w:val="20"/>
      <w:u w:val="single"/>
    </w:rPr>
  </w:style>
  <w:style w:type="character" w:customStyle="1" w:styleId="Heading2Char">
    <w:name w:val="Heading 2 Char"/>
    <w:basedOn w:val="DefaultParagraphFont"/>
    <w:link w:val="Heading2"/>
    <w:rsid w:val="008752E5"/>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8752E5"/>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8752E5"/>
    <w:rPr>
      <w:rFonts w:ascii="Times New Roman" w:eastAsia="Times New Roman" w:hAnsi="Times New Roman" w:cs="Times New Roman"/>
      <w:b/>
      <w:sz w:val="20"/>
      <w:szCs w:val="20"/>
      <w:u w:val="single"/>
    </w:rPr>
  </w:style>
  <w:style w:type="character" w:customStyle="1" w:styleId="Heading5Char">
    <w:name w:val="Heading 5 Char"/>
    <w:basedOn w:val="DefaultParagraphFont"/>
    <w:link w:val="Heading5"/>
    <w:rsid w:val="008752E5"/>
    <w:rPr>
      <w:rFonts w:ascii="Times New Roman" w:eastAsia="Times New Roman" w:hAnsi="Times New Roman" w:cs="Times New Roman"/>
      <w:b/>
      <w:sz w:val="24"/>
      <w:szCs w:val="20"/>
      <w:u w:val="single"/>
    </w:rPr>
  </w:style>
  <w:style w:type="character" w:styleId="FootnoteReference">
    <w:name w:val="footnote reference"/>
    <w:semiHidden/>
    <w:rsid w:val="008752E5"/>
  </w:style>
  <w:style w:type="paragraph" w:styleId="BodyTextIndent2">
    <w:name w:val="Body Text Indent 2"/>
    <w:basedOn w:val="Normal"/>
    <w:link w:val="BodyTextIndent2Char"/>
    <w:rsid w:val="008752E5"/>
    <w:pPr>
      <w:tabs>
        <w:tab w:val="left" w:leader="dot" w:pos="4320"/>
        <w:tab w:val="left" w:pos="4680"/>
        <w:tab w:val="left" w:pos="5040"/>
        <w:tab w:val="left" w:pos="5400"/>
      </w:tabs>
      <w:ind w:left="4320" w:hanging="4320"/>
    </w:pPr>
  </w:style>
  <w:style w:type="character" w:customStyle="1" w:styleId="BodyTextIndent2Char">
    <w:name w:val="Body Text Indent 2 Char"/>
    <w:basedOn w:val="DefaultParagraphFont"/>
    <w:link w:val="BodyTextIndent2"/>
    <w:rsid w:val="008752E5"/>
    <w:rPr>
      <w:rFonts w:ascii="Courier" w:eastAsia="Times New Roman" w:hAnsi="Courier" w:cs="Times New Roman"/>
      <w:snapToGrid w:val="0"/>
      <w:sz w:val="24"/>
      <w:szCs w:val="20"/>
    </w:rPr>
  </w:style>
  <w:style w:type="paragraph" w:styleId="BodyTextIndent">
    <w:name w:val="Body Text Indent"/>
    <w:basedOn w:val="Normal"/>
    <w:link w:val="BodyTextIndentChar"/>
    <w:rsid w:val="008752E5"/>
    <w:pPr>
      <w:widowControl/>
      <w:numPr>
        <w:numId w:val="2"/>
      </w:numPr>
      <w:spacing w:after="120"/>
    </w:pPr>
    <w:rPr>
      <w:rFonts w:ascii="Times New Roman" w:hAnsi="Times New Roman"/>
      <w:snapToGrid/>
      <w:sz w:val="20"/>
    </w:rPr>
  </w:style>
  <w:style w:type="character" w:customStyle="1" w:styleId="BodyTextIndentChar">
    <w:name w:val="Body Text Indent Char"/>
    <w:basedOn w:val="DefaultParagraphFont"/>
    <w:link w:val="BodyTextIndent"/>
    <w:rsid w:val="008752E5"/>
    <w:rPr>
      <w:rFonts w:ascii="Times New Roman" w:eastAsia="Times New Roman" w:hAnsi="Times New Roman" w:cs="Times New Roman"/>
      <w:sz w:val="20"/>
      <w:szCs w:val="20"/>
    </w:rPr>
  </w:style>
  <w:style w:type="paragraph" w:styleId="BodyText">
    <w:name w:val="Body Text"/>
    <w:basedOn w:val="Normal"/>
    <w:link w:val="BodyTextChar"/>
    <w:rsid w:val="008752E5"/>
    <w:pPr>
      <w:widowControl/>
    </w:pPr>
    <w:rPr>
      <w:rFonts w:ascii="Times New Roman" w:hAnsi="Times New Roman"/>
      <w:snapToGrid/>
    </w:rPr>
  </w:style>
  <w:style w:type="character" w:customStyle="1" w:styleId="BodyTextChar">
    <w:name w:val="Body Text Char"/>
    <w:basedOn w:val="DefaultParagraphFont"/>
    <w:link w:val="BodyText"/>
    <w:rsid w:val="008752E5"/>
    <w:rPr>
      <w:rFonts w:ascii="Times New Roman" w:eastAsia="Times New Roman" w:hAnsi="Times New Roman" w:cs="Times New Roman"/>
      <w:sz w:val="24"/>
      <w:szCs w:val="20"/>
    </w:rPr>
  </w:style>
  <w:style w:type="paragraph" w:styleId="Header">
    <w:name w:val="header"/>
    <w:basedOn w:val="Normal"/>
    <w:link w:val="HeaderChar"/>
    <w:rsid w:val="008752E5"/>
    <w:pPr>
      <w:widowControl/>
      <w:tabs>
        <w:tab w:val="center" w:pos="4320"/>
        <w:tab w:val="right" w:pos="8640"/>
      </w:tabs>
    </w:pPr>
    <w:rPr>
      <w:rFonts w:ascii="Times New Roman" w:hAnsi="Times New Roman"/>
      <w:snapToGrid/>
    </w:rPr>
  </w:style>
  <w:style w:type="character" w:customStyle="1" w:styleId="HeaderChar">
    <w:name w:val="Header Char"/>
    <w:basedOn w:val="DefaultParagraphFont"/>
    <w:link w:val="Header"/>
    <w:rsid w:val="008752E5"/>
    <w:rPr>
      <w:rFonts w:ascii="Times New Roman" w:eastAsia="Times New Roman" w:hAnsi="Times New Roman" w:cs="Times New Roman"/>
      <w:sz w:val="24"/>
      <w:szCs w:val="20"/>
    </w:rPr>
  </w:style>
  <w:style w:type="paragraph" w:styleId="FootnoteText">
    <w:name w:val="footnote text"/>
    <w:basedOn w:val="Normal"/>
    <w:link w:val="FootnoteTextChar"/>
    <w:semiHidden/>
    <w:rsid w:val="008752E5"/>
    <w:pPr>
      <w:widowControl/>
    </w:pPr>
    <w:rPr>
      <w:rFonts w:ascii="Times New Roman" w:hAnsi="Times New Roman"/>
      <w:snapToGrid/>
      <w:sz w:val="20"/>
    </w:rPr>
  </w:style>
  <w:style w:type="character" w:customStyle="1" w:styleId="FootnoteTextChar">
    <w:name w:val="Footnote Text Char"/>
    <w:basedOn w:val="DefaultParagraphFont"/>
    <w:link w:val="FootnoteText"/>
    <w:semiHidden/>
    <w:rsid w:val="008752E5"/>
    <w:rPr>
      <w:rFonts w:ascii="Times New Roman" w:eastAsia="Times New Roman" w:hAnsi="Times New Roman" w:cs="Times New Roman"/>
      <w:sz w:val="20"/>
      <w:szCs w:val="20"/>
    </w:rPr>
  </w:style>
  <w:style w:type="character" w:styleId="Hyperlink">
    <w:name w:val="Hyperlink"/>
    <w:rsid w:val="008752E5"/>
    <w:rPr>
      <w:color w:val="0000FF"/>
      <w:u w:val="single"/>
    </w:rPr>
  </w:style>
  <w:style w:type="paragraph" w:customStyle="1" w:styleId="Title3">
    <w:name w:val="Title 3"/>
    <w:basedOn w:val="BodyText2"/>
    <w:next w:val="BodyText"/>
    <w:autoRedefine/>
    <w:rsid w:val="008752E5"/>
    <w:pPr>
      <w:widowControl/>
      <w:overflowPunct w:val="0"/>
      <w:autoSpaceDE w:val="0"/>
      <w:autoSpaceDN w:val="0"/>
      <w:adjustRightInd w:val="0"/>
      <w:spacing w:after="0" w:line="240" w:lineRule="auto"/>
      <w:jc w:val="center"/>
      <w:textAlignment w:val="baseline"/>
    </w:pPr>
    <w:rPr>
      <w:rFonts w:ascii="Times New Roman" w:hAnsi="Times New Roman"/>
      <w:b/>
      <w:bCs/>
      <w:iCs/>
      <w:noProof/>
      <w:snapToGrid/>
      <w:color w:val="000000"/>
    </w:rPr>
  </w:style>
  <w:style w:type="paragraph" w:styleId="BodyText2">
    <w:name w:val="Body Text 2"/>
    <w:basedOn w:val="Normal"/>
    <w:link w:val="BodyText2Char"/>
    <w:rsid w:val="008752E5"/>
    <w:pPr>
      <w:spacing w:after="120" w:line="480" w:lineRule="auto"/>
    </w:pPr>
  </w:style>
  <w:style w:type="character" w:customStyle="1" w:styleId="BodyText2Char">
    <w:name w:val="Body Text 2 Char"/>
    <w:basedOn w:val="DefaultParagraphFont"/>
    <w:link w:val="BodyText2"/>
    <w:rsid w:val="008752E5"/>
    <w:rPr>
      <w:rFonts w:ascii="Courier" w:eastAsia="Times New Roman" w:hAnsi="Courier" w:cs="Times New Roman"/>
      <w:snapToGrid w:val="0"/>
      <w:sz w:val="24"/>
      <w:szCs w:val="20"/>
    </w:rPr>
  </w:style>
  <w:style w:type="table" w:styleId="TableGrid">
    <w:name w:val="Table Grid"/>
    <w:basedOn w:val="TableNormal"/>
    <w:rsid w:val="008752E5"/>
    <w:pPr>
      <w:widowControl w:val="0"/>
      <w:snapToGri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nhideWhenUsed/>
    <w:rsid w:val="008752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rsid w:val="008752E5"/>
    <w:rPr>
      <w:rFonts w:ascii="Courier New" w:eastAsia="Times New Roman" w:hAnsi="Courier New" w:cs="Courier New"/>
      <w:sz w:val="20"/>
      <w:szCs w:val="20"/>
    </w:rPr>
  </w:style>
  <w:style w:type="paragraph" w:styleId="NormalWeb">
    <w:name w:val="Normal (Web)"/>
    <w:basedOn w:val="Normal"/>
    <w:uiPriority w:val="99"/>
    <w:unhideWhenUsed/>
    <w:rsid w:val="008752E5"/>
    <w:pPr>
      <w:widowControl/>
      <w:spacing w:before="100" w:beforeAutospacing="1" w:after="100" w:afterAutospacing="1"/>
    </w:pPr>
    <w:rPr>
      <w:rFonts w:ascii="Times New Roman" w:hAnsi="Times New Roman"/>
      <w:snapToGrid/>
      <w:szCs w:val="24"/>
    </w:rPr>
  </w:style>
  <w:style w:type="character" w:customStyle="1" w:styleId="printedpage">
    <w:name w:val="printed_page"/>
    <w:rsid w:val="008752E5"/>
  </w:style>
  <w:style w:type="character" w:customStyle="1" w:styleId="e-04">
    <w:name w:val="e-04"/>
    <w:rsid w:val="008752E5"/>
  </w:style>
  <w:style w:type="paragraph" w:styleId="BalloonText">
    <w:name w:val="Balloon Text"/>
    <w:basedOn w:val="Normal"/>
    <w:link w:val="BalloonTextChar"/>
    <w:rsid w:val="008752E5"/>
    <w:rPr>
      <w:rFonts w:ascii="Tahoma" w:hAnsi="Tahoma" w:cs="Tahoma"/>
      <w:sz w:val="16"/>
      <w:szCs w:val="16"/>
    </w:rPr>
  </w:style>
  <w:style w:type="character" w:customStyle="1" w:styleId="BalloonTextChar">
    <w:name w:val="Balloon Text Char"/>
    <w:basedOn w:val="DefaultParagraphFont"/>
    <w:link w:val="BalloonText"/>
    <w:rsid w:val="008752E5"/>
    <w:rPr>
      <w:rFonts w:ascii="Tahoma" w:eastAsia="Times New Roman" w:hAnsi="Tahoma" w:cs="Tahoma"/>
      <w:snapToGrid w:val="0"/>
      <w:sz w:val="16"/>
      <w:szCs w:val="16"/>
    </w:rPr>
  </w:style>
  <w:style w:type="character" w:styleId="CommentReference">
    <w:name w:val="annotation reference"/>
    <w:rsid w:val="008752E5"/>
    <w:rPr>
      <w:sz w:val="16"/>
      <w:szCs w:val="16"/>
    </w:rPr>
  </w:style>
  <w:style w:type="paragraph" w:styleId="CommentText">
    <w:name w:val="annotation text"/>
    <w:basedOn w:val="Normal"/>
    <w:link w:val="CommentTextChar"/>
    <w:rsid w:val="008752E5"/>
    <w:rPr>
      <w:rFonts w:ascii="Times New Roman" w:hAnsi="Times New Roman"/>
      <w:sz w:val="20"/>
    </w:rPr>
  </w:style>
  <w:style w:type="character" w:customStyle="1" w:styleId="CommentTextChar">
    <w:name w:val="Comment Text Char"/>
    <w:basedOn w:val="DefaultParagraphFont"/>
    <w:link w:val="CommentText"/>
    <w:rsid w:val="008752E5"/>
    <w:rPr>
      <w:rFonts w:ascii="Times New Roman" w:eastAsia="Times New Roman" w:hAnsi="Times New Roman" w:cs="Times New Roman"/>
      <w:snapToGrid w:val="0"/>
      <w:sz w:val="20"/>
      <w:szCs w:val="20"/>
    </w:rPr>
  </w:style>
  <w:style w:type="paragraph" w:styleId="Footer">
    <w:name w:val="footer"/>
    <w:basedOn w:val="Normal"/>
    <w:link w:val="FooterChar"/>
    <w:uiPriority w:val="99"/>
    <w:rsid w:val="008752E5"/>
    <w:pPr>
      <w:tabs>
        <w:tab w:val="center" w:pos="4680"/>
        <w:tab w:val="right" w:pos="9360"/>
      </w:tabs>
    </w:pPr>
  </w:style>
  <w:style w:type="character" w:customStyle="1" w:styleId="FooterChar">
    <w:name w:val="Footer Char"/>
    <w:basedOn w:val="DefaultParagraphFont"/>
    <w:link w:val="Footer"/>
    <w:uiPriority w:val="99"/>
    <w:rsid w:val="008752E5"/>
    <w:rPr>
      <w:rFonts w:ascii="Courier" w:eastAsia="Times New Roman" w:hAnsi="Courier" w:cs="Times New Roman"/>
      <w:snapToGrid w:val="0"/>
      <w:sz w:val="24"/>
      <w:szCs w:val="20"/>
    </w:rPr>
  </w:style>
  <w:style w:type="paragraph" w:styleId="CommentSubject">
    <w:name w:val="annotation subject"/>
    <w:basedOn w:val="CommentText"/>
    <w:next w:val="CommentText"/>
    <w:link w:val="CommentSubjectChar"/>
    <w:rsid w:val="008752E5"/>
    <w:rPr>
      <w:rFonts w:ascii="Courier" w:hAnsi="Courier"/>
      <w:b/>
      <w:bCs/>
    </w:rPr>
  </w:style>
  <w:style w:type="character" w:customStyle="1" w:styleId="CommentSubjectChar">
    <w:name w:val="Comment Subject Char"/>
    <w:basedOn w:val="CommentTextChar"/>
    <w:link w:val="CommentSubject"/>
    <w:rsid w:val="008752E5"/>
    <w:rPr>
      <w:rFonts w:ascii="Courier" w:eastAsia="Times New Roman" w:hAnsi="Courier" w:cs="Times New Roman"/>
      <w:b/>
      <w:bCs/>
      <w:snapToGrid w:val="0"/>
      <w:sz w:val="20"/>
      <w:szCs w:val="20"/>
    </w:rPr>
  </w:style>
  <w:style w:type="paragraph" w:styleId="PlainText">
    <w:name w:val="Plain Text"/>
    <w:basedOn w:val="Normal"/>
    <w:link w:val="PlainTextChar"/>
    <w:uiPriority w:val="99"/>
    <w:unhideWhenUsed/>
    <w:rsid w:val="008752E5"/>
    <w:pPr>
      <w:widowControl/>
    </w:pPr>
    <w:rPr>
      <w:rFonts w:ascii="Calibri" w:eastAsia="Calibri" w:hAnsi="Calibri" w:cs="Consolas"/>
      <w:snapToGrid/>
      <w:sz w:val="22"/>
      <w:szCs w:val="21"/>
    </w:rPr>
  </w:style>
  <w:style w:type="character" w:customStyle="1" w:styleId="PlainTextChar">
    <w:name w:val="Plain Text Char"/>
    <w:basedOn w:val="DefaultParagraphFont"/>
    <w:link w:val="PlainText"/>
    <w:uiPriority w:val="99"/>
    <w:rsid w:val="008752E5"/>
    <w:rPr>
      <w:rFonts w:ascii="Calibri" w:eastAsia="Calibri" w:hAnsi="Calibri" w:cs="Consolas"/>
      <w:szCs w:val="21"/>
    </w:rPr>
  </w:style>
  <w:style w:type="character" w:styleId="FollowedHyperlink">
    <w:name w:val="FollowedHyperlink"/>
    <w:basedOn w:val="DefaultParagraphFont"/>
    <w:rsid w:val="008752E5"/>
    <w:rPr>
      <w:color w:val="800080" w:themeColor="followedHyperlink"/>
      <w:u w:val="single"/>
    </w:rPr>
  </w:style>
  <w:style w:type="paragraph" w:styleId="ListParagraph">
    <w:name w:val="List Paragraph"/>
    <w:basedOn w:val="Normal"/>
    <w:uiPriority w:val="34"/>
    <w:qFormat/>
    <w:rsid w:val="00FE3E6E"/>
    <w:pPr>
      <w:ind w:left="720"/>
      <w:contextualSpacing/>
    </w:pPr>
  </w:style>
  <w:style w:type="paragraph" w:customStyle="1" w:styleId="Default">
    <w:name w:val="Default"/>
    <w:rsid w:val="002333C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Paragraph">
    <w:name w:val="Table Paragraph"/>
    <w:basedOn w:val="Normal"/>
    <w:uiPriority w:val="1"/>
    <w:qFormat/>
    <w:rsid w:val="00495F74"/>
    <w:rPr>
      <w:rFonts w:asciiTheme="minorHAnsi" w:eastAsiaTheme="minorHAnsi" w:hAnsiTheme="minorHAnsi" w:cstheme="minorBidi"/>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2E5"/>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qFormat/>
    <w:rsid w:val="008752E5"/>
    <w:pPr>
      <w:keepNext/>
      <w:widowControl/>
      <w:outlineLvl w:val="0"/>
    </w:pPr>
    <w:rPr>
      <w:rFonts w:ascii="Times New Roman" w:hAnsi="Times New Roman"/>
      <w:snapToGrid/>
      <w:sz w:val="18"/>
      <w:u w:val="single"/>
    </w:rPr>
  </w:style>
  <w:style w:type="paragraph" w:styleId="Heading2">
    <w:name w:val="heading 2"/>
    <w:basedOn w:val="Normal"/>
    <w:next w:val="Normal"/>
    <w:link w:val="Heading2Char"/>
    <w:qFormat/>
    <w:rsid w:val="008752E5"/>
    <w:pPr>
      <w:keepNext/>
      <w:widowControl/>
      <w:outlineLvl w:val="1"/>
    </w:pPr>
    <w:rPr>
      <w:rFonts w:ascii="Times New Roman" w:hAnsi="Times New Roman"/>
      <w:b/>
      <w:snapToGrid/>
    </w:rPr>
  </w:style>
  <w:style w:type="paragraph" w:styleId="Heading3">
    <w:name w:val="heading 3"/>
    <w:basedOn w:val="Normal"/>
    <w:next w:val="Normal"/>
    <w:link w:val="Heading3Char"/>
    <w:qFormat/>
    <w:rsid w:val="008752E5"/>
    <w:pPr>
      <w:keepNext/>
      <w:widowControl/>
      <w:outlineLvl w:val="2"/>
    </w:pPr>
    <w:rPr>
      <w:rFonts w:ascii="Times New Roman" w:hAnsi="Times New Roman"/>
      <w:b/>
      <w:snapToGrid/>
      <w:sz w:val="20"/>
    </w:rPr>
  </w:style>
  <w:style w:type="paragraph" w:styleId="Heading4">
    <w:name w:val="heading 4"/>
    <w:basedOn w:val="Normal"/>
    <w:next w:val="Normal"/>
    <w:link w:val="Heading4Char"/>
    <w:qFormat/>
    <w:rsid w:val="008752E5"/>
    <w:pPr>
      <w:keepNext/>
      <w:widowControl/>
      <w:outlineLvl w:val="3"/>
    </w:pPr>
    <w:rPr>
      <w:rFonts w:ascii="Times New Roman" w:hAnsi="Times New Roman"/>
      <w:b/>
      <w:snapToGrid/>
      <w:sz w:val="20"/>
      <w:u w:val="single"/>
    </w:rPr>
  </w:style>
  <w:style w:type="paragraph" w:styleId="Heading5">
    <w:name w:val="heading 5"/>
    <w:basedOn w:val="Normal"/>
    <w:next w:val="Normal"/>
    <w:link w:val="Heading5Char"/>
    <w:qFormat/>
    <w:rsid w:val="008752E5"/>
    <w:pPr>
      <w:keepNext/>
      <w:widowControl/>
      <w:outlineLvl w:val="4"/>
    </w:pPr>
    <w:rPr>
      <w:rFonts w:ascii="Times New Roman" w:hAnsi="Times New Roman"/>
      <w:b/>
      <w:snapToGrid/>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2E5"/>
    <w:rPr>
      <w:rFonts w:ascii="Times New Roman" w:eastAsia="Times New Roman" w:hAnsi="Times New Roman" w:cs="Times New Roman"/>
      <w:sz w:val="18"/>
      <w:szCs w:val="20"/>
      <w:u w:val="single"/>
    </w:rPr>
  </w:style>
  <w:style w:type="character" w:customStyle="1" w:styleId="Heading2Char">
    <w:name w:val="Heading 2 Char"/>
    <w:basedOn w:val="DefaultParagraphFont"/>
    <w:link w:val="Heading2"/>
    <w:rsid w:val="008752E5"/>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8752E5"/>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8752E5"/>
    <w:rPr>
      <w:rFonts w:ascii="Times New Roman" w:eastAsia="Times New Roman" w:hAnsi="Times New Roman" w:cs="Times New Roman"/>
      <w:b/>
      <w:sz w:val="20"/>
      <w:szCs w:val="20"/>
      <w:u w:val="single"/>
    </w:rPr>
  </w:style>
  <w:style w:type="character" w:customStyle="1" w:styleId="Heading5Char">
    <w:name w:val="Heading 5 Char"/>
    <w:basedOn w:val="DefaultParagraphFont"/>
    <w:link w:val="Heading5"/>
    <w:rsid w:val="008752E5"/>
    <w:rPr>
      <w:rFonts w:ascii="Times New Roman" w:eastAsia="Times New Roman" w:hAnsi="Times New Roman" w:cs="Times New Roman"/>
      <w:b/>
      <w:sz w:val="24"/>
      <w:szCs w:val="20"/>
      <w:u w:val="single"/>
    </w:rPr>
  </w:style>
  <w:style w:type="character" w:styleId="FootnoteReference">
    <w:name w:val="footnote reference"/>
    <w:semiHidden/>
    <w:rsid w:val="008752E5"/>
  </w:style>
  <w:style w:type="paragraph" w:styleId="BodyTextIndent2">
    <w:name w:val="Body Text Indent 2"/>
    <w:basedOn w:val="Normal"/>
    <w:link w:val="BodyTextIndent2Char"/>
    <w:rsid w:val="008752E5"/>
    <w:pPr>
      <w:tabs>
        <w:tab w:val="left" w:leader="dot" w:pos="4320"/>
        <w:tab w:val="left" w:pos="4680"/>
        <w:tab w:val="left" w:pos="5040"/>
        <w:tab w:val="left" w:pos="5400"/>
      </w:tabs>
      <w:ind w:left="4320" w:hanging="4320"/>
    </w:pPr>
  </w:style>
  <w:style w:type="character" w:customStyle="1" w:styleId="BodyTextIndent2Char">
    <w:name w:val="Body Text Indent 2 Char"/>
    <w:basedOn w:val="DefaultParagraphFont"/>
    <w:link w:val="BodyTextIndent2"/>
    <w:rsid w:val="008752E5"/>
    <w:rPr>
      <w:rFonts w:ascii="Courier" w:eastAsia="Times New Roman" w:hAnsi="Courier" w:cs="Times New Roman"/>
      <w:snapToGrid w:val="0"/>
      <w:sz w:val="24"/>
      <w:szCs w:val="20"/>
    </w:rPr>
  </w:style>
  <w:style w:type="paragraph" w:styleId="BodyTextIndent">
    <w:name w:val="Body Text Indent"/>
    <w:basedOn w:val="Normal"/>
    <w:link w:val="BodyTextIndentChar"/>
    <w:rsid w:val="008752E5"/>
    <w:pPr>
      <w:widowControl/>
      <w:numPr>
        <w:numId w:val="2"/>
      </w:numPr>
      <w:spacing w:after="120"/>
    </w:pPr>
    <w:rPr>
      <w:rFonts w:ascii="Times New Roman" w:hAnsi="Times New Roman"/>
      <w:snapToGrid/>
      <w:sz w:val="20"/>
    </w:rPr>
  </w:style>
  <w:style w:type="character" w:customStyle="1" w:styleId="BodyTextIndentChar">
    <w:name w:val="Body Text Indent Char"/>
    <w:basedOn w:val="DefaultParagraphFont"/>
    <w:link w:val="BodyTextIndent"/>
    <w:rsid w:val="008752E5"/>
    <w:rPr>
      <w:rFonts w:ascii="Times New Roman" w:eastAsia="Times New Roman" w:hAnsi="Times New Roman" w:cs="Times New Roman"/>
      <w:sz w:val="20"/>
      <w:szCs w:val="20"/>
    </w:rPr>
  </w:style>
  <w:style w:type="paragraph" w:styleId="BodyText">
    <w:name w:val="Body Text"/>
    <w:basedOn w:val="Normal"/>
    <w:link w:val="BodyTextChar"/>
    <w:rsid w:val="008752E5"/>
    <w:pPr>
      <w:widowControl/>
    </w:pPr>
    <w:rPr>
      <w:rFonts w:ascii="Times New Roman" w:hAnsi="Times New Roman"/>
      <w:snapToGrid/>
    </w:rPr>
  </w:style>
  <w:style w:type="character" w:customStyle="1" w:styleId="BodyTextChar">
    <w:name w:val="Body Text Char"/>
    <w:basedOn w:val="DefaultParagraphFont"/>
    <w:link w:val="BodyText"/>
    <w:rsid w:val="008752E5"/>
    <w:rPr>
      <w:rFonts w:ascii="Times New Roman" w:eastAsia="Times New Roman" w:hAnsi="Times New Roman" w:cs="Times New Roman"/>
      <w:sz w:val="24"/>
      <w:szCs w:val="20"/>
    </w:rPr>
  </w:style>
  <w:style w:type="paragraph" w:styleId="Header">
    <w:name w:val="header"/>
    <w:basedOn w:val="Normal"/>
    <w:link w:val="HeaderChar"/>
    <w:rsid w:val="008752E5"/>
    <w:pPr>
      <w:widowControl/>
      <w:tabs>
        <w:tab w:val="center" w:pos="4320"/>
        <w:tab w:val="right" w:pos="8640"/>
      </w:tabs>
    </w:pPr>
    <w:rPr>
      <w:rFonts w:ascii="Times New Roman" w:hAnsi="Times New Roman"/>
      <w:snapToGrid/>
    </w:rPr>
  </w:style>
  <w:style w:type="character" w:customStyle="1" w:styleId="HeaderChar">
    <w:name w:val="Header Char"/>
    <w:basedOn w:val="DefaultParagraphFont"/>
    <w:link w:val="Header"/>
    <w:rsid w:val="008752E5"/>
    <w:rPr>
      <w:rFonts w:ascii="Times New Roman" w:eastAsia="Times New Roman" w:hAnsi="Times New Roman" w:cs="Times New Roman"/>
      <w:sz w:val="24"/>
      <w:szCs w:val="20"/>
    </w:rPr>
  </w:style>
  <w:style w:type="paragraph" w:styleId="FootnoteText">
    <w:name w:val="footnote text"/>
    <w:basedOn w:val="Normal"/>
    <w:link w:val="FootnoteTextChar"/>
    <w:semiHidden/>
    <w:rsid w:val="008752E5"/>
    <w:pPr>
      <w:widowControl/>
    </w:pPr>
    <w:rPr>
      <w:rFonts w:ascii="Times New Roman" w:hAnsi="Times New Roman"/>
      <w:snapToGrid/>
      <w:sz w:val="20"/>
    </w:rPr>
  </w:style>
  <w:style w:type="character" w:customStyle="1" w:styleId="FootnoteTextChar">
    <w:name w:val="Footnote Text Char"/>
    <w:basedOn w:val="DefaultParagraphFont"/>
    <w:link w:val="FootnoteText"/>
    <w:semiHidden/>
    <w:rsid w:val="008752E5"/>
    <w:rPr>
      <w:rFonts w:ascii="Times New Roman" w:eastAsia="Times New Roman" w:hAnsi="Times New Roman" w:cs="Times New Roman"/>
      <w:sz w:val="20"/>
      <w:szCs w:val="20"/>
    </w:rPr>
  </w:style>
  <w:style w:type="character" w:styleId="Hyperlink">
    <w:name w:val="Hyperlink"/>
    <w:rsid w:val="008752E5"/>
    <w:rPr>
      <w:color w:val="0000FF"/>
      <w:u w:val="single"/>
    </w:rPr>
  </w:style>
  <w:style w:type="paragraph" w:customStyle="1" w:styleId="Title3">
    <w:name w:val="Title 3"/>
    <w:basedOn w:val="BodyText2"/>
    <w:next w:val="BodyText"/>
    <w:autoRedefine/>
    <w:rsid w:val="008752E5"/>
    <w:pPr>
      <w:widowControl/>
      <w:overflowPunct w:val="0"/>
      <w:autoSpaceDE w:val="0"/>
      <w:autoSpaceDN w:val="0"/>
      <w:adjustRightInd w:val="0"/>
      <w:spacing w:after="0" w:line="240" w:lineRule="auto"/>
      <w:jc w:val="center"/>
      <w:textAlignment w:val="baseline"/>
    </w:pPr>
    <w:rPr>
      <w:rFonts w:ascii="Times New Roman" w:hAnsi="Times New Roman"/>
      <w:b/>
      <w:bCs/>
      <w:iCs/>
      <w:noProof/>
      <w:snapToGrid/>
      <w:color w:val="000000"/>
    </w:rPr>
  </w:style>
  <w:style w:type="paragraph" w:styleId="BodyText2">
    <w:name w:val="Body Text 2"/>
    <w:basedOn w:val="Normal"/>
    <w:link w:val="BodyText2Char"/>
    <w:rsid w:val="008752E5"/>
    <w:pPr>
      <w:spacing w:after="120" w:line="480" w:lineRule="auto"/>
    </w:pPr>
  </w:style>
  <w:style w:type="character" w:customStyle="1" w:styleId="BodyText2Char">
    <w:name w:val="Body Text 2 Char"/>
    <w:basedOn w:val="DefaultParagraphFont"/>
    <w:link w:val="BodyText2"/>
    <w:rsid w:val="008752E5"/>
    <w:rPr>
      <w:rFonts w:ascii="Courier" w:eastAsia="Times New Roman" w:hAnsi="Courier" w:cs="Times New Roman"/>
      <w:snapToGrid w:val="0"/>
      <w:sz w:val="24"/>
      <w:szCs w:val="20"/>
    </w:rPr>
  </w:style>
  <w:style w:type="table" w:styleId="TableGrid">
    <w:name w:val="Table Grid"/>
    <w:basedOn w:val="TableNormal"/>
    <w:rsid w:val="008752E5"/>
    <w:pPr>
      <w:widowControl w:val="0"/>
      <w:snapToGri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nhideWhenUsed/>
    <w:rsid w:val="008752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rsid w:val="008752E5"/>
    <w:rPr>
      <w:rFonts w:ascii="Courier New" w:eastAsia="Times New Roman" w:hAnsi="Courier New" w:cs="Courier New"/>
      <w:sz w:val="20"/>
      <w:szCs w:val="20"/>
    </w:rPr>
  </w:style>
  <w:style w:type="paragraph" w:styleId="NormalWeb">
    <w:name w:val="Normal (Web)"/>
    <w:basedOn w:val="Normal"/>
    <w:uiPriority w:val="99"/>
    <w:unhideWhenUsed/>
    <w:rsid w:val="008752E5"/>
    <w:pPr>
      <w:widowControl/>
      <w:spacing w:before="100" w:beforeAutospacing="1" w:after="100" w:afterAutospacing="1"/>
    </w:pPr>
    <w:rPr>
      <w:rFonts w:ascii="Times New Roman" w:hAnsi="Times New Roman"/>
      <w:snapToGrid/>
      <w:szCs w:val="24"/>
    </w:rPr>
  </w:style>
  <w:style w:type="character" w:customStyle="1" w:styleId="printedpage">
    <w:name w:val="printed_page"/>
    <w:rsid w:val="008752E5"/>
  </w:style>
  <w:style w:type="character" w:customStyle="1" w:styleId="e-04">
    <w:name w:val="e-04"/>
    <w:rsid w:val="008752E5"/>
  </w:style>
  <w:style w:type="paragraph" w:styleId="BalloonText">
    <w:name w:val="Balloon Text"/>
    <w:basedOn w:val="Normal"/>
    <w:link w:val="BalloonTextChar"/>
    <w:rsid w:val="008752E5"/>
    <w:rPr>
      <w:rFonts w:ascii="Tahoma" w:hAnsi="Tahoma" w:cs="Tahoma"/>
      <w:sz w:val="16"/>
      <w:szCs w:val="16"/>
    </w:rPr>
  </w:style>
  <w:style w:type="character" w:customStyle="1" w:styleId="BalloonTextChar">
    <w:name w:val="Balloon Text Char"/>
    <w:basedOn w:val="DefaultParagraphFont"/>
    <w:link w:val="BalloonText"/>
    <w:rsid w:val="008752E5"/>
    <w:rPr>
      <w:rFonts w:ascii="Tahoma" w:eastAsia="Times New Roman" w:hAnsi="Tahoma" w:cs="Tahoma"/>
      <w:snapToGrid w:val="0"/>
      <w:sz w:val="16"/>
      <w:szCs w:val="16"/>
    </w:rPr>
  </w:style>
  <w:style w:type="character" w:styleId="CommentReference">
    <w:name w:val="annotation reference"/>
    <w:rsid w:val="008752E5"/>
    <w:rPr>
      <w:sz w:val="16"/>
      <w:szCs w:val="16"/>
    </w:rPr>
  </w:style>
  <w:style w:type="paragraph" w:styleId="CommentText">
    <w:name w:val="annotation text"/>
    <w:basedOn w:val="Normal"/>
    <w:link w:val="CommentTextChar"/>
    <w:rsid w:val="008752E5"/>
    <w:rPr>
      <w:rFonts w:ascii="Times New Roman" w:hAnsi="Times New Roman"/>
      <w:sz w:val="20"/>
    </w:rPr>
  </w:style>
  <w:style w:type="character" w:customStyle="1" w:styleId="CommentTextChar">
    <w:name w:val="Comment Text Char"/>
    <w:basedOn w:val="DefaultParagraphFont"/>
    <w:link w:val="CommentText"/>
    <w:rsid w:val="008752E5"/>
    <w:rPr>
      <w:rFonts w:ascii="Times New Roman" w:eastAsia="Times New Roman" w:hAnsi="Times New Roman" w:cs="Times New Roman"/>
      <w:snapToGrid w:val="0"/>
      <w:sz w:val="20"/>
      <w:szCs w:val="20"/>
    </w:rPr>
  </w:style>
  <w:style w:type="paragraph" w:styleId="Footer">
    <w:name w:val="footer"/>
    <w:basedOn w:val="Normal"/>
    <w:link w:val="FooterChar"/>
    <w:uiPriority w:val="99"/>
    <w:rsid w:val="008752E5"/>
    <w:pPr>
      <w:tabs>
        <w:tab w:val="center" w:pos="4680"/>
        <w:tab w:val="right" w:pos="9360"/>
      </w:tabs>
    </w:pPr>
  </w:style>
  <w:style w:type="character" w:customStyle="1" w:styleId="FooterChar">
    <w:name w:val="Footer Char"/>
    <w:basedOn w:val="DefaultParagraphFont"/>
    <w:link w:val="Footer"/>
    <w:uiPriority w:val="99"/>
    <w:rsid w:val="008752E5"/>
    <w:rPr>
      <w:rFonts w:ascii="Courier" w:eastAsia="Times New Roman" w:hAnsi="Courier" w:cs="Times New Roman"/>
      <w:snapToGrid w:val="0"/>
      <w:sz w:val="24"/>
      <w:szCs w:val="20"/>
    </w:rPr>
  </w:style>
  <w:style w:type="paragraph" w:styleId="CommentSubject">
    <w:name w:val="annotation subject"/>
    <w:basedOn w:val="CommentText"/>
    <w:next w:val="CommentText"/>
    <w:link w:val="CommentSubjectChar"/>
    <w:rsid w:val="008752E5"/>
    <w:rPr>
      <w:rFonts w:ascii="Courier" w:hAnsi="Courier"/>
      <w:b/>
      <w:bCs/>
    </w:rPr>
  </w:style>
  <w:style w:type="character" w:customStyle="1" w:styleId="CommentSubjectChar">
    <w:name w:val="Comment Subject Char"/>
    <w:basedOn w:val="CommentTextChar"/>
    <w:link w:val="CommentSubject"/>
    <w:rsid w:val="008752E5"/>
    <w:rPr>
      <w:rFonts w:ascii="Courier" w:eastAsia="Times New Roman" w:hAnsi="Courier" w:cs="Times New Roman"/>
      <w:b/>
      <w:bCs/>
      <w:snapToGrid w:val="0"/>
      <w:sz w:val="20"/>
      <w:szCs w:val="20"/>
    </w:rPr>
  </w:style>
  <w:style w:type="paragraph" w:styleId="PlainText">
    <w:name w:val="Plain Text"/>
    <w:basedOn w:val="Normal"/>
    <w:link w:val="PlainTextChar"/>
    <w:uiPriority w:val="99"/>
    <w:unhideWhenUsed/>
    <w:rsid w:val="008752E5"/>
    <w:pPr>
      <w:widowControl/>
    </w:pPr>
    <w:rPr>
      <w:rFonts w:ascii="Calibri" w:eastAsia="Calibri" w:hAnsi="Calibri" w:cs="Consolas"/>
      <w:snapToGrid/>
      <w:sz w:val="22"/>
      <w:szCs w:val="21"/>
    </w:rPr>
  </w:style>
  <w:style w:type="character" w:customStyle="1" w:styleId="PlainTextChar">
    <w:name w:val="Plain Text Char"/>
    <w:basedOn w:val="DefaultParagraphFont"/>
    <w:link w:val="PlainText"/>
    <w:uiPriority w:val="99"/>
    <w:rsid w:val="008752E5"/>
    <w:rPr>
      <w:rFonts w:ascii="Calibri" w:eastAsia="Calibri" w:hAnsi="Calibri" w:cs="Consolas"/>
      <w:szCs w:val="21"/>
    </w:rPr>
  </w:style>
  <w:style w:type="character" w:styleId="FollowedHyperlink">
    <w:name w:val="FollowedHyperlink"/>
    <w:basedOn w:val="DefaultParagraphFont"/>
    <w:rsid w:val="008752E5"/>
    <w:rPr>
      <w:color w:val="800080" w:themeColor="followedHyperlink"/>
      <w:u w:val="single"/>
    </w:rPr>
  </w:style>
  <w:style w:type="paragraph" w:styleId="ListParagraph">
    <w:name w:val="List Paragraph"/>
    <w:basedOn w:val="Normal"/>
    <w:uiPriority w:val="34"/>
    <w:qFormat/>
    <w:rsid w:val="00FE3E6E"/>
    <w:pPr>
      <w:ind w:left="720"/>
      <w:contextualSpacing/>
    </w:pPr>
  </w:style>
  <w:style w:type="paragraph" w:customStyle="1" w:styleId="Default">
    <w:name w:val="Default"/>
    <w:rsid w:val="002333C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Paragraph">
    <w:name w:val="Table Paragraph"/>
    <w:basedOn w:val="Normal"/>
    <w:uiPriority w:val="1"/>
    <w:qFormat/>
    <w:rsid w:val="00495F74"/>
    <w:rPr>
      <w:rFonts w:asciiTheme="minorHAnsi" w:eastAsiaTheme="minorHAnsi" w:hAnsiTheme="minorHAnsi" w:cstheme="minorBid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56339">
      <w:bodyDiv w:val="1"/>
      <w:marLeft w:val="0"/>
      <w:marRight w:val="0"/>
      <w:marTop w:val="0"/>
      <w:marBottom w:val="0"/>
      <w:divBdr>
        <w:top w:val="none" w:sz="0" w:space="0" w:color="auto"/>
        <w:left w:val="none" w:sz="0" w:space="0" w:color="auto"/>
        <w:bottom w:val="none" w:sz="0" w:space="0" w:color="auto"/>
        <w:right w:val="none" w:sz="0" w:space="0" w:color="auto"/>
      </w:divBdr>
    </w:div>
    <w:div w:id="159005997">
      <w:bodyDiv w:val="1"/>
      <w:marLeft w:val="0"/>
      <w:marRight w:val="0"/>
      <w:marTop w:val="0"/>
      <w:marBottom w:val="0"/>
      <w:divBdr>
        <w:top w:val="none" w:sz="0" w:space="0" w:color="auto"/>
        <w:left w:val="none" w:sz="0" w:space="0" w:color="auto"/>
        <w:bottom w:val="none" w:sz="0" w:space="0" w:color="auto"/>
        <w:right w:val="none" w:sz="0" w:space="0" w:color="auto"/>
      </w:divBdr>
    </w:div>
    <w:div w:id="209927661">
      <w:bodyDiv w:val="1"/>
      <w:marLeft w:val="0"/>
      <w:marRight w:val="0"/>
      <w:marTop w:val="0"/>
      <w:marBottom w:val="0"/>
      <w:divBdr>
        <w:top w:val="none" w:sz="0" w:space="0" w:color="auto"/>
        <w:left w:val="none" w:sz="0" w:space="0" w:color="auto"/>
        <w:bottom w:val="none" w:sz="0" w:space="0" w:color="auto"/>
        <w:right w:val="none" w:sz="0" w:space="0" w:color="auto"/>
      </w:divBdr>
    </w:div>
    <w:div w:id="299195600">
      <w:bodyDiv w:val="1"/>
      <w:marLeft w:val="0"/>
      <w:marRight w:val="0"/>
      <w:marTop w:val="0"/>
      <w:marBottom w:val="0"/>
      <w:divBdr>
        <w:top w:val="none" w:sz="0" w:space="0" w:color="auto"/>
        <w:left w:val="none" w:sz="0" w:space="0" w:color="auto"/>
        <w:bottom w:val="none" w:sz="0" w:space="0" w:color="auto"/>
        <w:right w:val="none" w:sz="0" w:space="0" w:color="auto"/>
      </w:divBdr>
    </w:div>
    <w:div w:id="561064919">
      <w:bodyDiv w:val="1"/>
      <w:marLeft w:val="0"/>
      <w:marRight w:val="0"/>
      <w:marTop w:val="0"/>
      <w:marBottom w:val="0"/>
      <w:divBdr>
        <w:top w:val="none" w:sz="0" w:space="0" w:color="auto"/>
        <w:left w:val="none" w:sz="0" w:space="0" w:color="auto"/>
        <w:bottom w:val="none" w:sz="0" w:space="0" w:color="auto"/>
        <w:right w:val="none" w:sz="0" w:space="0" w:color="auto"/>
      </w:divBdr>
    </w:div>
    <w:div w:id="580287068">
      <w:bodyDiv w:val="1"/>
      <w:marLeft w:val="0"/>
      <w:marRight w:val="0"/>
      <w:marTop w:val="0"/>
      <w:marBottom w:val="0"/>
      <w:divBdr>
        <w:top w:val="none" w:sz="0" w:space="0" w:color="auto"/>
        <w:left w:val="none" w:sz="0" w:space="0" w:color="auto"/>
        <w:bottom w:val="none" w:sz="0" w:space="0" w:color="auto"/>
        <w:right w:val="none" w:sz="0" w:space="0" w:color="auto"/>
      </w:divBdr>
    </w:div>
    <w:div w:id="776028556">
      <w:bodyDiv w:val="1"/>
      <w:marLeft w:val="0"/>
      <w:marRight w:val="0"/>
      <w:marTop w:val="0"/>
      <w:marBottom w:val="0"/>
      <w:divBdr>
        <w:top w:val="none" w:sz="0" w:space="0" w:color="auto"/>
        <w:left w:val="none" w:sz="0" w:space="0" w:color="auto"/>
        <w:bottom w:val="none" w:sz="0" w:space="0" w:color="auto"/>
        <w:right w:val="none" w:sz="0" w:space="0" w:color="auto"/>
      </w:divBdr>
    </w:div>
    <w:div w:id="805587110">
      <w:bodyDiv w:val="1"/>
      <w:marLeft w:val="0"/>
      <w:marRight w:val="0"/>
      <w:marTop w:val="0"/>
      <w:marBottom w:val="0"/>
      <w:divBdr>
        <w:top w:val="none" w:sz="0" w:space="0" w:color="auto"/>
        <w:left w:val="none" w:sz="0" w:space="0" w:color="auto"/>
        <w:bottom w:val="none" w:sz="0" w:space="0" w:color="auto"/>
        <w:right w:val="none" w:sz="0" w:space="0" w:color="auto"/>
      </w:divBdr>
    </w:div>
    <w:div w:id="878471415">
      <w:bodyDiv w:val="1"/>
      <w:marLeft w:val="0"/>
      <w:marRight w:val="0"/>
      <w:marTop w:val="0"/>
      <w:marBottom w:val="0"/>
      <w:divBdr>
        <w:top w:val="none" w:sz="0" w:space="0" w:color="auto"/>
        <w:left w:val="none" w:sz="0" w:space="0" w:color="auto"/>
        <w:bottom w:val="none" w:sz="0" w:space="0" w:color="auto"/>
        <w:right w:val="none" w:sz="0" w:space="0" w:color="auto"/>
      </w:divBdr>
    </w:div>
    <w:div w:id="886844076">
      <w:bodyDiv w:val="1"/>
      <w:marLeft w:val="0"/>
      <w:marRight w:val="0"/>
      <w:marTop w:val="0"/>
      <w:marBottom w:val="0"/>
      <w:divBdr>
        <w:top w:val="none" w:sz="0" w:space="0" w:color="auto"/>
        <w:left w:val="none" w:sz="0" w:space="0" w:color="auto"/>
        <w:bottom w:val="none" w:sz="0" w:space="0" w:color="auto"/>
        <w:right w:val="none" w:sz="0" w:space="0" w:color="auto"/>
      </w:divBdr>
    </w:div>
    <w:div w:id="993801489">
      <w:bodyDiv w:val="1"/>
      <w:marLeft w:val="0"/>
      <w:marRight w:val="0"/>
      <w:marTop w:val="0"/>
      <w:marBottom w:val="0"/>
      <w:divBdr>
        <w:top w:val="none" w:sz="0" w:space="0" w:color="auto"/>
        <w:left w:val="none" w:sz="0" w:space="0" w:color="auto"/>
        <w:bottom w:val="none" w:sz="0" w:space="0" w:color="auto"/>
        <w:right w:val="none" w:sz="0" w:space="0" w:color="auto"/>
      </w:divBdr>
    </w:div>
    <w:div w:id="1075977724">
      <w:bodyDiv w:val="1"/>
      <w:marLeft w:val="0"/>
      <w:marRight w:val="0"/>
      <w:marTop w:val="0"/>
      <w:marBottom w:val="0"/>
      <w:divBdr>
        <w:top w:val="none" w:sz="0" w:space="0" w:color="auto"/>
        <w:left w:val="none" w:sz="0" w:space="0" w:color="auto"/>
        <w:bottom w:val="none" w:sz="0" w:space="0" w:color="auto"/>
        <w:right w:val="none" w:sz="0" w:space="0" w:color="auto"/>
      </w:divBdr>
    </w:div>
    <w:div w:id="1105078054">
      <w:bodyDiv w:val="1"/>
      <w:marLeft w:val="0"/>
      <w:marRight w:val="0"/>
      <w:marTop w:val="0"/>
      <w:marBottom w:val="0"/>
      <w:divBdr>
        <w:top w:val="none" w:sz="0" w:space="0" w:color="auto"/>
        <w:left w:val="none" w:sz="0" w:space="0" w:color="auto"/>
        <w:bottom w:val="none" w:sz="0" w:space="0" w:color="auto"/>
        <w:right w:val="none" w:sz="0" w:space="0" w:color="auto"/>
      </w:divBdr>
    </w:div>
    <w:div w:id="1168983950">
      <w:bodyDiv w:val="1"/>
      <w:marLeft w:val="0"/>
      <w:marRight w:val="0"/>
      <w:marTop w:val="0"/>
      <w:marBottom w:val="0"/>
      <w:divBdr>
        <w:top w:val="none" w:sz="0" w:space="0" w:color="auto"/>
        <w:left w:val="none" w:sz="0" w:space="0" w:color="auto"/>
        <w:bottom w:val="none" w:sz="0" w:space="0" w:color="auto"/>
        <w:right w:val="none" w:sz="0" w:space="0" w:color="auto"/>
      </w:divBdr>
    </w:div>
    <w:div w:id="1283342969">
      <w:bodyDiv w:val="1"/>
      <w:marLeft w:val="0"/>
      <w:marRight w:val="0"/>
      <w:marTop w:val="0"/>
      <w:marBottom w:val="0"/>
      <w:divBdr>
        <w:top w:val="none" w:sz="0" w:space="0" w:color="auto"/>
        <w:left w:val="none" w:sz="0" w:space="0" w:color="auto"/>
        <w:bottom w:val="none" w:sz="0" w:space="0" w:color="auto"/>
        <w:right w:val="none" w:sz="0" w:space="0" w:color="auto"/>
      </w:divBdr>
    </w:div>
    <w:div w:id="1296448406">
      <w:bodyDiv w:val="1"/>
      <w:marLeft w:val="0"/>
      <w:marRight w:val="0"/>
      <w:marTop w:val="0"/>
      <w:marBottom w:val="0"/>
      <w:divBdr>
        <w:top w:val="none" w:sz="0" w:space="0" w:color="auto"/>
        <w:left w:val="none" w:sz="0" w:space="0" w:color="auto"/>
        <w:bottom w:val="none" w:sz="0" w:space="0" w:color="auto"/>
        <w:right w:val="none" w:sz="0" w:space="0" w:color="auto"/>
      </w:divBdr>
    </w:div>
    <w:div w:id="1362510750">
      <w:bodyDiv w:val="1"/>
      <w:marLeft w:val="0"/>
      <w:marRight w:val="0"/>
      <w:marTop w:val="0"/>
      <w:marBottom w:val="0"/>
      <w:divBdr>
        <w:top w:val="none" w:sz="0" w:space="0" w:color="auto"/>
        <w:left w:val="none" w:sz="0" w:space="0" w:color="auto"/>
        <w:bottom w:val="none" w:sz="0" w:space="0" w:color="auto"/>
        <w:right w:val="none" w:sz="0" w:space="0" w:color="auto"/>
      </w:divBdr>
    </w:div>
    <w:div w:id="1410300732">
      <w:bodyDiv w:val="1"/>
      <w:marLeft w:val="0"/>
      <w:marRight w:val="0"/>
      <w:marTop w:val="0"/>
      <w:marBottom w:val="0"/>
      <w:divBdr>
        <w:top w:val="none" w:sz="0" w:space="0" w:color="auto"/>
        <w:left w:val="none" w:sz="0" w:space="0" w:color="auto"/>
        <w:bottom w:val="none" w:sz="0" w:space="0" w:color="auto"/>
        <w:right w:val="none" w:sz="0" w:space="0" w:color="auto"/>
      </w:divBdr>
    </w:div>
    <w:div w:id="1445266746">
      <w:bodyDiv w:val="1"/>
      <w:marLeft w:val="0"/>
      <w:marRight w:val="0"/>
      <w:marTop w:val="0"/>
      <w:marBottom w:val="0"/>
      <w:divBdr>
        <w:top w:val="none" w:sz="0" w:space="0" w:color="auto"/>
        <w:left w:val="none" w:sz="0" w:space="0" w:color="auto"/>
        <w:bottom w:val="none" w:sz="0" w:space="0" w:color="auto"/>
        <w:right w:val="none" w:sz="0" w:space="0" w:color="auto"/>
      </w:divBdr>
    </w:div>
    <w:div w:id="1453937901">
      <w:bodyDiv w:val="1"/>
      <w:marLeft w:val="0"/>
      <w:marRight w:val="0"/>
      <w:marTop w:val="0"/>
      <w:marBottom w:val="0"/>
      <w:divBdr>
        <w:top w:val="none" w:sz="0" w:space="0" w:color="auto"/>
        <w:left w:val="none" w:sz="0" w:space="0" w:color="auto"/>
        <w:bottom w:val="none" w:sz="0" w:space="0" w:color="auto"/>
        <w:right w:val="none" w:sz="0" w:space="0" w:color="auto"/>
      </w:divBdr>
    </w:div>
    <w:div w:id="1486241070">
      <w:bodyDiv w:val="1"/>
      <w:marLeft w:val="0"/>
      <w:marRight w:val="0"/>
      <w:marTop w:val="0"/>
      <w:marBottom w:val="0"/>
      <w:divBdr>
        <w:top w:val="none" w:sz="0" w:space="0" w:color="auto"/>
        <w:left w:val="none" w:sz="0" w:space="0" w:color="auto"/>
        <w:bottom w:val="none" w:sz="0" w:space="0" w:color="auto"/>
        <w:right w:val="none" w:sz="0" w:space="0" w:color="auto"/>
      </w:divBdr>
    </w:div>
    <w:div w:id="1633098509">
      <w:bodyDiv w:val="1"/>
      <w:marLeft w:val="0"/>
      <w:marRight w:val="0"/>
      <w:marTop w:val="0"/>
      <w:marBottom w:val="0"/>
      <w:divBdr>
        <w:top w:val="none" w:sz="0" w:space="0" w:color="auto"/>
        <w:left w:val="none" w:sz="0" w:space="0" w:color="auto"/>
        <w:bottom w:val="none" w:sz="0" w:space="0" w:color="auto"/>
        <w:right w:val="none" w:sz="0" w:space="0" w:color="auto"/>
      </w:divBdr>
    </w:div>
    <w:div w:id="1797522759">
      <w:bodyDiv w:val="1"/>
      <w:marLeft w:val="0"/>
      <w:marRight w:val="0"/>
      <w:marTop w:val="0"/>
      <w:marBottom w:val="0"/>
      <w:divBdr>
        <w:top w:val="none" w:sz="0" w:space="0" w:color="auto"/>
        <w:left w:val="none" w:sz="0" w:space="0" w:color="auto"/>
        <w:bottom w:val="none" w:sz="0" w:space="0" w:color="auto"/>
        <w:right w:val="none" w:sz="0" w:space="0" w:color="auto"/>
      </w:divBdr>
    </w:div>
    <w:div w:id="2059163864">
      <w:bodyDiv w:val="1"/>
      <w:marLeft w:val="0"/>
      <w:marRight w:val="0"/>
      <w:marTop w:val="0"/>
      <w:marBottom w:val="0"/>
      <w:divBdr>
        <w:top w:val="none" w:sz="0" w:space="0" w:color="auto"/>
        <w:left w:val="none" w:sz="0" w:space="0" w:color="auto"/>
        <w:bottom w:val="none" w:sz="0" w:space="0" w:color="auto"/>
        <w:right w:val="none" w:sz="0" w:space="0" w:color="auto"/>
      </w:divBdr>
    </w:div>
    <w:div w:id="209685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5953B-2410-4CC4-B4B9-5CF301FF5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1589</Words>
  <Characters>9060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10628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Reese, Syzette</dc:creator>
  <cp:lastModifiedBy>SYSTEM</cp:lastModifiedBy>
  <cp:revision>2</cp:revision>
  <cp:lastPrinted>2019-09-25T13:15:00Z</cp:lastPrinted>
  <dcterms:created xsi:type="dcterms:W3CDTF">2020-01-09T19:32:00Z</dcterms:created>
  <dcterms:modified xsi:type="dcterms:W3CDTF">2020-01-09T19:32:00Z</dcterms:modified>
</cp:coreProperties>
</file>