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43" w:rsidRDefault="00FF4443" w:rsidP="00FF4443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List of Registered Outsourcing Facility Contacts for Survey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95"/>
        <w:gridCol w:w="1258"/>
        <w:gridCol w:w="1469"/>
        <w:gridCol w:w="1454"/>
        <w:gridCol w:w="3500"/>
      </w:tblGrid>
      <w:tr w:rsidR="007B3341" w:rsidRPr="00FF4443" w:rsidTr="007B3341">
        <w:trPr>
          <w:trHeight w:val="287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FIRM  NAME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CITY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STATE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CONTACT NAME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CONTACT EMAIL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Advanced Pharmaceutical Technology,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Elmsford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York (NY)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Marco Persichillo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aptpharma91@gmail.com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AnazaoHealth Corporation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Las Vegas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Nevada (NV)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Jaclyn Wong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jwong@anazaohealth.com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Apollo Care,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Columbia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Missouri (MO)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Jarred Dudding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jdudding@apollocare.net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ASP CARES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San Antonio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Jacqueline Esqueda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jesqueda@aspcares.com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Athenex Pharma Solutions,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Clarence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York (NY)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Michael Scribner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mscribner@athenex.com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Atlas Pharmaceuticals,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Phoenix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Arizona (AZ)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Nancy Costlow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nancy.costlow@atlasdrugs.net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Auro Pharmacies, Inc DBA Central Drugs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La Habra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Nayan Patel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nayan@centraldrugsrx.com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Avella of Deer Valley,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Phoenix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Arizona (AZ)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Christopher Dinoffria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christopher.dinoffria@avella.com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BayCare Integrated Service Center, LLC /dba BayCare Central Pharmacy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Temple Terrace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Kenneth Jozefczyk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kenneth.jozefczyk@baycare.org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BPI Labs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Largo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Chandra Kasireddy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chandrak@belcherpharma.com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Brookfield Medical/Surgical Supply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Brookfield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Connecticut (CT)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James Cangelosi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jimpaincenter@snet.net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BSO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Lakewood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Colorado (CO)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David W. Hill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dave@belmarselectoutsourcing.com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Central Admixture Pharmacy Services,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San Diego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Wm. John Brandon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John.Brandon@CAPSPharmacy.com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Central Admixture Pharmacy Services,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Phoenix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Arizona (AZ)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Wm John Brandon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John.Brandon@CAPSPharmacy.com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Central Admixture Pharmacy Services,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Allentown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Pennsylvania (PA)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Wm. John Brandon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John.Brandon@CAPSPharmacy.com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 xml:space="preserve">Complete Pharmacy and Medical Solutions, </w:t>
            </w:r>
            <w:r w:rsidRPr="00FF4443">
              <w:lastRenderedPageBreak/>
              <w:t>LLC.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lastRenderedPageBreak/>
              <w:t>Miami Lakes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Gregory Gaiser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greg@completepharm.com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lastRenderedPageBreak/>
              <w:t>Denver Solutions, LLC dba Leiters Health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Englewood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Colorado (CO)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Ron Stephens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DenverRegulatoryAdmin@leiterrx.com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Eagle Pharmacy,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Birmingham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Alabama (AL)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Haleigh Cawood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eaglepharmacy@gmail.com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Edge Pharma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Colchester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Vermont (VT)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Tyler Wingood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twingood@edgepharmacy.com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Empower Pharmacy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Houston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Shaun Noorian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asnoorian@hotmail.com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Exela Pharma Sciences, LLC.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Lenoir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North Carolina (NC)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Aruna Koganti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akoganti@exela.us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F. H. Investments. Inc. DBA Asteria Health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Birmingham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Alabama (AL)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William Fixler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billfixler@asteriahealth.com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FAGRON COMPOUNDING SERVICES D/B/A FAGRON STERILE SERVICES,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WICHITA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Kansas (KS)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Joseph Bergkamp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Joe.Bergkamp@fagronsterile.com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FARMAKEIO OUTSOURCING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SOUTHLAKE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CODY BOATMAN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CODY.BOATMAN@FARMAKEIO.COM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Fresenius Kabi Compounding,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Canton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Massachusetts (MA)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Deborah McHugh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deborah.mchugh@fresenius-kabi.com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Fusion IV Pharmaceuticals, Inc. dba Axia Pharmaceutical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Los Angeles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Eric Feinstein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efeinstein@fusionrxcompounding.com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Hybrid Pharma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Deerfield Beach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Ponswamy Rajalingam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hp@hybridpharma.com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Imprimis NJOF,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Ledgewood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Jersey (NJ)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Brad M. Bingham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bbingham@imprimispharma.com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INTACT PHARMACEUTICALS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New Milford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Connecticut (CT)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Andreas Tobi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Atobi@medinstill.com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IntegraDose Compounding Services,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Minneapolis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Minnesota (MN)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Joseph Stanek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jstanek1@Fairview.org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JCB Laboratories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Wichita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Kansas (KS)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Jason Syring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jsyring@jcblabs.com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KRS Global Biotechnology,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Boca Raton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Charles Richardson, MD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pharmacy@krsbio.com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LEESAR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FORT MYERS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MARIA GAUTIER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MGAUTIER@LEESAR.COM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Leiter's Compounding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San Jose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Christina Vega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christina.vega@leiters.com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lastRenderedPageBreak/>
              <w:t>Maitland Labs of Central Florida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Orlando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Paul Reid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qcu@maitlandlabs.com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Medcraft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Mounds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Oklahoma (OK)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Matthew Davidson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mldavidson@mysterilerx.com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Medi-Fare Drug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Blacksburg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South Carolina (SC)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Anne Marie Davis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annemarie@medifaredrug.com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MedisourceRx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Los Alamitos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Amy Summers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info@medisourcerx.com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Molecular PharmaGroup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New Providence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Jersey (NJ)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Millan Bhatt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millan@molecularpg.com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Nephron Sterile Compounding Center,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West Columbia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South Carolina (SC)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Lou Kennedy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lkennedy@nephronpharm.com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New England Life Care, Inc. dba: Advanced Compounding Solutions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Woburn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Massachusetts (MA)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Jill Hunter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NELClicensing@nelifecare.org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Nexgen Labs,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Arlington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Michelle Shaw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michelle@nexgenpharm.com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Nubratori,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Torrance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Gulshakar Khwaja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Gulshakark@nubratorirx.com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OLYMPIA COMPOUNDING PHARMACY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ORLANDO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CONFIDENCE EKEANYANWU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confidence@olympiapharmacy.com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OurPharma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Fayetteville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Arkansas (AR)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Kandace Greene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kgreene@ourpharma.net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Pantheon Labs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Rancho Santa Margarita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California (CA)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Rashmi Mediratta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rphrashmi@gmail.com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Pentec Health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Boothwyn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Pennsylvania (PA)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John Beres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jberes@pentechealth.com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Pharmaceutic Labs,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Albany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York (NY)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Ernesto Samuel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ernestos@pharmaceuticlabs.com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PharMEDium Services,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Memphis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Tennessee (TN)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Brenda Womack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bwomack@pharmedium.com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PharMEDium Services,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Sugar Land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Craig Miller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cmiller@pharmedium.com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PharMEDium Services,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Dayton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Jersey (NJ)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Walter Kelso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wkelso@pharmedium.com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Pine Pharmaceuticals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Tonawanda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York (NY)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Alfonse Muto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ajmuto@pinepharmaceuticals.com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Premier Pharmacy Labs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Weeki Wachee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Vern Allen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Vern@premierpharmacylabs.com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Qualgen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Edmond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Oklahoma (OK)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Jules Dâ€™Souza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tlove@qualgen.us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Queens Express Pharmacy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Jackson Heights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York (NY)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Wanas Khalil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wanaskhalil@yahoo.com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QuVa Pharma,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Bloomsbury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Jersey (NJ)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Mike Rutkowski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Mike.Rutkowski@QuVaPharma.com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Quva Pharma,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Sugar Land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Travis McGrady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Travis.McGrady@QuVaPharma.com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QuVa Pharma,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Temple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Travis Leeah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travis.leeah@quvapharma.com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RAM Pharma,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Idaho Falls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Idaho (ID)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Robert A. Myers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rob@rampharmainc.com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RC Outsourcing,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Lowellville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Ohio (OH)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Raymonf R. Carlson, RPh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RCCompounding@sbcglobal.net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Rhombus Pharmaceuticals Corporation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Conway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Arkansas (AR)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Rebecca Mitchell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bmitchell@adamispharma.com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Right Value Drug Stores, LLC dba Carie Boyd's Prescription Shop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IRVING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SYED SALEEM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SSALEEM@CARIEBOYD.COM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RXQ Compounding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Albany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Ohio (OH)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Tracy Clark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tclark@rxqcompounding.com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SCA Pharmaceuticals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Windsor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Connecticut (CT)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Lessley Denton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ldenton@scapharma.com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Sca Pharmaceuticals,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Little Rock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Arkansas (AR)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Lessley Denton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ldenton@scapharma.com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Sincerus Florida,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Pompano Beach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Florida (FL)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Kimberly Kolosick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elicense@sincerususa.com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Ssm Hlth St Clare Hosp-Fnton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Fenton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Missouri (MO)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Kristina Bryowsky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Kristina.n.bryowsky@ssmhealth.com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STAQ Pharma,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Denver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Colorado (CO)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Joe Bagan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jbagan@staqpharma.com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SterRx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Plattsburgh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York (NY)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Sue E Martin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martins@sterrx.com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Stokes Healthcare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Mt. Laurel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New Jersey (NJ)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Michael Tursi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Licensing@StokesHealthcare.com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Strukmyer Medical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Mesquite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Texas (TX)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Pam Liberto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pliberto@strukmyer.com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TAILSTORM HEALTH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CHANDLER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Arizona (AZ)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VIRAJ GANDHI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viraj@tailstorm.com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University of Tennessee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Memphis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Tennessee (TN)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Harry Kochat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hkochat@uthsc.edu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US Compounding, Inc.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Conway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Arkansas (AR)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Rebecca Mitchell, PharmD, FIACP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bmitchell@uscompounding.com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US Specialty Formulations LLC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Bethlehem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Pennsylvania (PA)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Kyle Flanigan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kyle.flanigan@ussfgmp.com</w:t>
            </w:r>
          </w:p>
        </w:tc>
      </w:tr>
      <w:tr w:rsidR="007B3341" w:rsidRPr="00FF4443" w:rsidTr="007B3341">
        <w:trPr>
          <w:trHeight w:val="300"/>
        </w:trPr>
        <w:tc>
          <w:tcPr>
            <w:tcW w:w="1826" w:type="dxa"/>
            <w:noWrap/>
            <w:hideMark/>
          </w:tcPr>
          <w:p w:rsidR="00FF4443" w:rsidRPr="00FF4443" w:rsidRDefault="00FF4443">
            <w:r w:rsidRPr="00FF4443">
              <w:t>Wells Pharmacy, Inc</w:t>
            </w:r>
          </w:p>
        </w:tc>
        <w:tc>
          <w:tcPr>
            <w:tcW w:w="1214" w:type="dxa"/>
            <w:noWrap/>
            <w:hideMark/>
          </w:tcPr>
          <w:p w:rsidR="00FF4443" w:rsidRPr="00FF4443" w:rsidRDefault="00FF4443">
            <w:r w:rsidRPr="00FF4443">
              <w:t>Dyersburg</w:t>
            </w:r>
          </w:p>
        </w:tc>
        <w:tc>
          <w:tcPr>
            <w:tcW w:w="1544" w:type="dxa"/>
            <w:noWrap/>
            <w:hideMark/>
          </w:tcPr>
          <w:p w:rsidR="00FF4443" w:rsidRPr="00FF4443" w:rsidRDefault="00FF4443">
            <w:r w:rsidRPr="00FF4443">
              <w:t>Tennessee (TN)</w:t>
            </w:r>
          </w:p>
        </w:tc>
        <w:tc>
          <w:tcPr>
            <w:tcW w:w="1402" w:type="dxa"/>
            <w:noWrap/>
            <w:hideMark/>
          </w:tcPr>
          <w:p w:rsidR="00FF4443" w:rsidRPr="00FF4443" w:rsidRDefault="00FF4443">
            <w:r w:rsidRPr="00FF4443">
              <w:t>Melissa Stefko</w:t>
            </w:r>
          </w:p>
        </w:tc>
        <w:tc>
          <w:tcPr>
            <w:tcW w:w="3459" w:type="dxa"/>
            <w:noWrap/>
            <w:hideMark/>
          </w:tcPr>
          <w:p w:rsidR="00FF4443" w:rsidRPr="00FF4443" w:rsidRDefault="00FF4443">
            <w:r w:rsidRPr="00FF4443">
              <w:t>mstefko@wellsrx.com</w:t>
            </w:r>
          </w:p>
        </w:tc>
      </w:tr>
    </w:tbl>
    <w:p w:rsidR="00FF4443" w:rsidRPr="00FF4443" w:rsidRDefault="00FF4443" w:rsidP="00FF4443"/>
    <w:sectPr w:rsidR="00FF4443" w:rsidRPr="00FF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43"/>
    <w:rsid w:val="002E5AC1"/>
    <w:rsid w:val="007375B4"/>
    <w:rsid w:val="007B3341"/>
    <w:rsid w:val="00C236C3"/>
    <w:rsid w:val="00C260E0"/>
    <w:rsid w:val="00D65ABC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Meghan</dc:creator>
  <cp:keywords/>
  <dc:description/>
  <cp:lastModifiedBy>SYSTEM</cp:lastModifiedBy>
  <cp:revision>2</cp:revision>
  <dcterms:created xsi:type="dcterms:W3CDTF">2020-01-15T14:24:00Z</dcterms:created>
  <dcterms:modified xsi:type="dcterms:W3CDTF">2020-01-15T14:24:00Z</dcterms:modified>
</cp:coreProperties>
</file>