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7A70E" w14:textId="77777777" w:rsidR="0053189D" w:rsidRDefault="00AE57F8">
      <w:pPr>
        <w:widowControl/>
        <w:jc w:val="center"/>
        <w:rPr>
          <w:b/>
          <w:bCs/>
        </w:rPr>
      </w:pPr>
      <w:bookmarkStart w:id="0" w:name="_GoBack"/>
      <w:bookmarkEnd w:id="0"/>
      <w:r>
        <w:rPr>
          <w:b/>
          <w:bCs/>
        </w:rPr>
        <w:t>SUPPORTING STATEMENT</w:t>
      </w:r>
    </w:p>
    <w:p w14:paraId="1C6BCCD6" w14:textId="77777777" w:rsidR="0053189D" w:rsidRDefault="0053189D">
      <w:pPr>
        <w:widowControl/>
        <w:jc w:val="center"/>
        <w:rPr>
          <w:b/>
          <w:bCs/>
        </w:rPr>
      </w:pPr>
      <w:r>
        <w:rPr>
          <w:b/>
          <w:bCs/>
        </w:rPr>
        <w:t>U.S. Department of Commerce</w:t>
      </w:r>
    </w:p>
    <w:p w14:paraId="73D5A39A" w14:textId="10991E02" w:rsidR="0053189D" w:rsidRPr="00B701E8" w:rsidRDefault="0053189D" w:rsidP="0053189D">
      <w:pPr>
        <w:tabs>
          <w:tab w:val="left" w:pos="540"/>
        </w:tabs>
        <w:ind w:left="540" w:hanging="540"/>
        <w:jc w:val="center"/>
        <w:rPr>
          <w:b/>
        </w:rPr>
      </w:pPr>
      <w:r w:rsidRPr="00B701E8">
        <w:rPr>
          <w:b/>
        </w:rPr>
        <w:t>National Oceanic &amp; Atmospheric Administration</w:t>
      </w:r>
    </w:p>
    <w:p w14:paraId="541B5B6F" w14:textId="49714FE0" w:rsidR="00AE57F8" w:rsidRDefault="00885CB8">
      <w:pPr>
        <w:widowControl/>
        <w:jc w:val="center"/>
        <w:rPr>
          <w:b/>
          <w:bCs/>
        </w:rPr>
      </w:pPr>
      <w:r>
        <w:rPr>
          <w:b/>
          <w:bCs/>
        </w:rPr>
        <w:t>A</w:t>
      </w:r>
      <w:r w:rsidR="0053189D">
        <w:rPr>
          <w:b/>
          <w:bCs/>
        </w:rPr>
        <w:t>laska American Fisheries Act (AFA) Permits</w:t>
      </w:r>
    </w:p>
    <w:p w14:paraId="388FA2EB" w14:textId="223863A0" w:rsidR="00AE57F8" w:rsidRDefault="00AE57F8">
      <w:pPr>
        <w:widowControl/>
        <w:jc w:val="center"/>
        <w:rPr>
          <w:b/>
          <w:bCs/>
        </w:rPr>
      </w:pPr>
      <w:r>
        <w:rPr>
          <w:b/>
          <w:bCs/>
        </w:rPr>
        <w:t xml:space="preserve">OMB </w:t>
      </w:r>
      <w:r w:rsidR="0053189D">
        <w:rPr>
          <w:b/>
          <w:bCs/>
        </w:rPr>
        <w:t>Control No</w:t>
      </w:r>
      <w:r>
        <w:rPr>
          <w:b/>
          <w:bCs/>
        </w:rPr>
        <w:t>. 0648-0393</w:t>
      </w:r>
    </w:p>
    <w:p w14:paraId="7969D2EE" w14:textId="77777777" w:rsidR="00A07840" w:rsidRDefault="00A07840" w:rsidP="0048111A">
      <w:pPr>
        <w:widowControl/>
        <w:rPr>
          <w:bCs/>
        </w:rPr>
      </w:pPr>
    </w:p>
    <w:p w14:paraId="6BCDF230" w14:textId="5CA17203" w:rsidR="00885CB8" w:rsidRDefault="00885CB8" w:rsidP="0048111A">
      <w:pPr>
        <w:widowControl/>
        <w:rPr>
          <w:bCs/>
        </w:rPr>
      </w:pPr>
      <w:r w:rsidRPr="00885CB8">
        <w:rPr>
          <w:bCs/>
        </w:rPr>
        <w:t xml:space="preserve">This </w:t>
      </w:r>
      <w:r w:rsidR="00A07840">
        <w:rPr>
          <w:bCs/>
        </w:rPr>
        <w:t xml:space="preserve">request is </w:t>
      </w:r>
      <w:r w:rsidRPr="00885CB8">
        <w:rPr>
          <w:bCs/>
        </w:rPr>
        <w:t xml:space="preserve">for </w:t>
      </w:r>
      <w:r w:rsidR="006905AE">
        <w:rPr>
          <w:bCs/>
        </w:rPr>
        <w:t xml:space="preserve">extension </w:t>
      </w:r>
      <w:r w:rsidRPr="00885CB8">
        <w:rPr>
          <w:bCs/>
        </w:rPr>
        <w:t>of this information</w:t>
      </w:r>
      <w:r w:rsidR="00A07840">
        <w:rPr>
          <w:bCs/>
        </w:rPr>
        <w:t xml:space="preserve"> collection</w:t>
      </w:r>
      <w:r w:rsidRPr="00885CB8">
        <w:rPr>
          <w:bCs/>
        </w:rPr>
        <w:t>.</w:t>
      </w:r>
      <w:r w:rsidR="002C2C56">
        <w:rPr>
          <w:bCs/>
        </w:rPr>
        <w:t xml:space="preserve"> </w:t>
      </w:r>
    </w:p>
    <w:p w14:paraId="56D113B2" w14:textId="77777777" w:rsidR="006905AE" w:rsidRDefault="006905AE" w:rsidP="0048111A">
      <w:pPr>
        <w:widowControl/>
        <w:rPr>
          <w:b/>
          <w:bCs/>
        </w:rPr>
      </w:pPr>
    </w:p>
    <w:p w14:paraId="2DED8209" w14:textId="77777777" w:rsidR="0048111A" w:rsidRDefault="0048111A" w:rsidP="0048111A">
      <w:pPr>
        <w:widowControl/>
        <w:rPr>
          <w:b/>
          <w:bCs/>
        </w:rPr>
      </w:pPr>
      <w:r>
        <w:rPr>
          <w:b/>
          <w:bCs/>
        </w:rPr>
        <w:t>INTRODUCTION</w:t>
      </w:r>
    </w:p>
    <w:p w14:paraId="0BA25C1A" w14:textId="77777777" w:rsidR="0048111A" w:rsidRDefault="0048111A" w:rsidP="0048111A"/>
    <w:p w14:paraId="6EB41A33" w14:textId="724018AA" w:rsidR="004A6CA1" w:rsidRDefault="002D2BAD" w:rsidP="004A6CA1">
      <w:r>
        <w:t>National Marine Fisheries Service, Alaska Region (</w:t>
      </w:r>
      <w:r w:rsidR="00885CB8">
        <w:t>NMFS</w:t>
      </w:r>
      <w:r>
        <w:t>)</w:t>
      </w:r>
      <w:r w:rsidR="00885CB8">
        <w:t xml:space="preserve"> manages the U.S. groundfish fisheries in the Exclusive Economic Zone (EEZ) of</w:t>
      </w:r>
      <w:r>
        <w:t xml:space="preserve"> </w:t>
      </w:r>
      <w:r w:rsidR="00885CB8">
        <w:t>the Bering Sea and Aleutian Islands</w:t>
      </w:r>
      <w:r>
        <w:t xml:space="preserve"> Management Area (BSAI)</w:t>
      </w:r>
      <w:r w:rsidR="00885CB8">
        <w:t xml:space="preserve"> under the Fishery Management Plan for Groundfish of the Bering Sea and Aleutian Islands Management Area</w:t>
      </w:r>
      <w:r w:rsidR="00726DAB">
        <w:t xml:space="preserve"> (</w:t>
      </w:r>
      <w:r w:rsidR="00FD5066">
        <w:t xml:space="preserve">BSAI </w:t>
      </w:r>
      <w:r w:rsidR="00726DAB">
        <w:t xml:space="preserve">FMP) </w:t>
      </w:r>
      <w:r w:rsidR="00053692" w:rsidRPr="001D26BF">
        <w:t xml:space="preserve">under the authority of the </w:t>
      </w:r>
      <w:r w:rsidR="00053692" w:rsidRPr="00D44D47">
        <w:t>Magnuson-Stevens Fishery Conservation &amp; Management Act</w:t>
      </w:r>
      <w:r w:rsidR="00053692" w:rsidRPr="001D26BF">
        <w:t xml:space="preserve"> (16 U.S.C. 1801 </w:t>
      </w:r>
      <w:r w:rsidR="00053692" w:rsidRPr="001D26BF">
        <w:rPr>
          <w:i/>
          <w:iCs/>
        </w:rPr>
        <w:t>et seq</w:t>
      </w:r>
      <w:r w:rsidR="00053692" w:rsidRPr="001D26BF">
        <w:t>.)</w:t>
      </w:r>
      <w:r w:rsidR="004A6CA1">
        <w:t xml:space="preserve"> and other</w:t>
      </w:r>
      <w:r w:rsidR="00726DAB">
        <w:t xml:space="preserve"> </w:t>
      </w:r>
      <w:r w:rsidR="004A6CA1">
        <w:t>applicable laws.</w:t>
      </w:r>
      <w:r w:rsidR="008F16CE">
        <w:t xml:space="preserve"> </w:t>
      </w:r>
      <w:r w:rsidR="00897ED6" w:rsidRPr="00897ED6">
        <w:t xml:space="preserve">The North Pacific Fishery Management Council prepared, and NMFS approved, the </w:t>
      </w:r>
      <w:r w:rsidR="00FD5066">
        <w:t xml:space="preserve">BSAI </w:t>
      </w:r>
      <w:r w:rsidR="00897ED6" w:rsidRPr="00897ED6">
        <w:t>FMP.</w:t>
      </w:r>
      <w:r w:rsidR="004A6CA1">
        <w:t xml:space="preserve">  Regulations implementing the FMP appear at</w:t>
      </w:r>
      <w:r w:rsidR="00455635">
        <w:t xml:space="preserve"> </w:t>
      </w:r>
      <w:r w:rsidR="004A6CA1" w:rsidRPr="00D44D47">
        <w:t>50 CFR part 679</w:t>
      </w:r>
      <w:r w:rsidR="004A6CA1">
        <w:t xml:space="preserve">. </w:t>
      </w:r>
    </w:p>
    <w:p w14:paraId="0E5DFEAE" w14:textId="77777777" w:rsidR="00A757DC" w:rsidRDefault="00A757DC" w:rsidP="00053692"/>
    <w:p w14:paraId="133AB569" w14:textId="262F38C7" w:rsidR="004D5ECB" w:rsidRDefault="004D5ECB" w:rsidP="004D5ECB">
      <w:pPr>
        <w:tabs>
          <w:tab w:val="left" w:pos="360"/>
          <w:tab w:val="left" w:pos="720"/>
          <w:tab w:val="left" w:pos="1080"/>
        </w:tabs>
      </w:pPr>
      <w:r>
        <w:t xml:space="preserve">The American Fisheries Act (AFA) was signed into law in October 1998. The purpose of the AFA was to tighten U.S. ownership standards that had been exploited under the Anti-reflagging Act, and to provide the Bering Sea and Aleutian Islands (BSAI) pollock fleet the opportunity to conduct their fishery in a more rational manner while protecting non-AFA participants in the other fisheries. The AFA established sector allocations in the BSAI pollock fishery, determined eligible vessels and processors, allowed the formation of cooperatives, set limits on the participation of AFA vessels in other fisheries, and imposed special catch weighing and monitoring requirements on AFA vessels. </w:t>
      </w:r>
    </w:p>
    <w:p w14:paraId="6CC39ED5" w14:textId="77777777" w:rsidR="004D5ECB" w:rsidRDefault="004D5ECB" w:rsidP="00D5169C">
      <w:pPr>
        <w:tabs>
          <w:tab w:val="left" w:pos="360"/>
          <w:tab w:val="left" w:pos="720"/>
          <w:tab w:val="left" w:pos="1080"/>
        </w:tabs>
      </w:pPr>
    </w:p>
    <w:p w14:paraId="47001F1E" w14:textId="71800E1A" w:rsidR="00F926CB" w:rsidRPr="006A4263" w:rsidRDefault="00C16716" w:rsidP="00D5169C">
      <w:pPr>
        <w:tabs>
          <w:tab w:val="left" w:pos="360"/>
          <w:tab w:val="left" w:pos="720"/>
          <w:tab w:val="left" w:pos="1080"/>
        </w:tabs>
      </w:pPr>
      <w:r w:rsidRPr="00291942">
        <w:t xml:space="preserve">NMFS </w:t>
      </w:r>
      <w:r w:rsidR="003475CC" w:rsidRPr="00291942">
        <w:t>incorporate</w:t>
      </w:r>
      <w:r w:rsidRPr="006A4263">
        <w:t>d</w:t>
      </w:r>
      <w:r w:rsidR="003475CC" w:rsidRPr="006A4263">
        <w:t xml:space="preserve"> the </w:t>
      </w:r>
      <w:r w:rsidR="00076BC8" w:rsidRPr="006A4263">
        <w:t xml:space="preserve">relevant provisions of the AFA into the </w:t>
      </w:r>
      <w:r w:rsidR="00FD5066" w:rsidRPr="006A4263">
        <w:t xml:space="preserve">BSAI </w:t>
      </w:r>
      <w:r w:rsidR="00076BC8" w:rsidRPr="006A4263">
        <w:t>FMP and established a comprehensive management program to implement the AFA</w:t>
      </w:r>
      <w:r w:rsidR="00D5169C" w:rsidRPr="006A4263">
        <w:t xml:space="preserve">.  </w:t>
      </w:r>
    </w:p>
    <w:p w14:paraId="6AB6ADCB" w14:textId="77777777" w:rsidR="00F926CB" w:rsidRPr="006A4263" w:rsidRDefault="00F926CB">
      <w:pPr>
        <w:widowControl/>
        <w:autoSpaceDE/>
        <w:autoSpaceDN/>
        <w:adjustRightInd/>
      </w:pPr>
    </w:p>
    <w:p w14:paraId="6A4DE1FF" w14:textId="77777777" w:rsidR="0088600D" w:rsidRDefault="0088600D">
      <w:pPr>
        <w:widowControl/>
        <w:rPr>
          <w:b/>
          <w:bCs/>
        </w:rPr>
      </w:pPr>
    </w:p>
    <w:p w14:paraId="0B8B168A" w14:textId="63C727C7" w:rsidR="00AE57F8" w:rsidRDefault="00274BB1">
      <w:pPr>
        <w:widowControl/>
        <w:rPr>
          <w:b/>
          <w:bCs/>
        </w:rPr>
      </w:pPr>
      <w:r>
        <w:rPr>
          <w:b/>
          <w:bCs/>
        </w:rPr>
        <w:t xml:space="preserve">A. </w:t>
      </w:r>
      <w:r w:rsidR="00AE57F8">
        <w:rPr>
          <w:b/>
          <w:bCs/>
        </w:rPr>
        <w:t>JUSTIFICATION</w:t>
      </w:r>
    </w:p>
    <w:p w14:paraId="174D6A4C" w14:textId="77777777" w:rsidR="00366231" w:rsidRPr="001D26BF" w:rsidRDefault="00366231" w:rsidP="00E429D9"/>
    <w:p w14:paraId="0FF3AD18" w14:textId="431D527B" w:rsidR="00AE57F8" w:rsidRDefault="00AE57F8">
      <w:pPr>
        <w:widowControl/>
        <w:rPr>
          <w:b/>
          <w:bCs/>
          <w:u w:val="single"/>
        </w:rPr>
      </w:pPr>
      <w:r>
        <w:rPr>
          <w:b/>
          <w:bCs/>
        </w:rPr>
        <w:t xml:space="preserve">1.  </w:t>
      </w:r>
      <w:r>
        <w:rPr>
          <w:b/>
          <w:bCs/>
          <w:u w:val="single"/>
        </w:rPr>
        <w:t>Explain the circumstances that make the collection of information necessary.</w:t>
      </w:r>
      <w:r w:rsidR="007B0F36">
        <w:rPr>
          <w:b/>
          <w:bCs/>
          <w:u w:val="single"/>
        </w:rPr>
        <w:t xml:space="preserve"> </w:t>
      </w:r>
      <w:r w:rsidR="007B0F36" w:rsidRPr="007B0F36">
        <w:rPr>
          <w:b/>
          <w:bCs/>
          <w:u w:val="single"/>
        </w:rPr>
        <w:t>Cite all applicable authorities for this information collection.</w:t>
      </w:r>
    </w:p>
    <w:p w14:paraId="6883087E" w14:textId="77777777" w:rsidR="00291942" w:rsidRDefault="00291942" w:rsidP="00291942">
      <w:pPr>
        <w:widowControl/>
        <w:autoSpaceDE/>
        <w:autoSpaceDN/>
        <w:adjustRightInd/>
        <w:rPr>
          <w:highlight w:val="lightGray"/>
          <w:u w:val="single"/>
        </w:rPr>
      </w:pPr>
    </w:p>
    <w:p w14:paraId="0CB98E8E" w14:textId="77FA469E" w:rsidR="00291942" w:rsidRDefault="00EC61F6" w:rsidP="00291942">
      <w:pPr>
        <w:tabs>
          <w:tab w:val="left" w:pos="360"/>
          <w:tab w:val="left" w:pos="720"/>
          <w:tab w:val="left" w:pos="1080"/>
        </w:tabs>
      </w:pPr>
      <w:r w:rsidRPr="0096128C">
        <w:t>T</w:t>
      </w:r>
      <w:r w:rsidR="00291942" w:rsidRPr="0096128C">
        <w:t>he original AFA is available on the NMFS Alaska Region Website.</w:t>
      </w:r>
      <w:r w:rsidR="00291942" w:rsidRPr="0096128C">
        <w:rPr>
          <w:rStyle w:val="FootnoteReference"/>
          <w:vertAlign w:val="superscript"/>
        </w:rPr>
        <w:footnoteReference w:id="2"/>
      </w:r>
      <w:r w:rsidR="00291942" w:rsidRPr="0096128C">
        <w:t xml:space="preserve"> The original AFA had two</w:t>
      </w:r>
      <w:r w:rsidR="00291942" w:rsidRPr="006A4263">
        <w:t xml:space="preserve"> subtitles. Subtitle I generally pertained to the issuance of Federal fishery endorsements. Subtitle II pertained to the management of the Bering Sea pollock fishery.  Subtitle II made significant changes in the management of the Bering Sea pollock fishery. The United States Coast Guard (USCG), in conjunction with the Maritime Administration, implemented Subtitle I, and NMFS implemented Subtitle II.  </w:t>
      </w:r>
    </w:p>
    <w:p w14:paraId="0167EBA9" w14:textId="01928E99" w:rsidR="00291942" w:rsidRDefault="00291942" w:rsidP="004F0CDB">
      <w:pPr>
        <w:tabs>
          <w:tab w:val="left" w:pos="360"/>
          <w:tab w:val="left" w:pos="720"/>
          <w:tab w:val="left" w:pos="1080"/>
        </w:tabs>
      </w:pPr>
    </w:p>
    <w:p w14:paraId="6E752C0A" w14:textId="407F0CE0" w:rsidR="00291942" w:rsidRDefault="00291942" w:rsidP="00291942">
      <w:pPr>
        <w:tabs>
          <w:tab w:val="left" w:pos="360"/>
          <w:tab w:val="left" w:pos="720"/>
          <w:tab w:val="left" w:pos="1080"/>
        </w:tabs>
      </w:pPr>
      <w:r w:rsidRPr="006A4263">
        <w:lastRenderedPageBreak/>
        <w:t>The Coast Guard Authorization Act of 2010 (Coast Guard Act) amended the provisions of the original AFA that pertain to the issuance of Federal fishery endorsements and amended provisions that pertain to the management of the Bering Sea pollock fishery. The AFA amendments allow AFA rebuilt and replacement vessels to receive a Federal fishery endorsement, even if the vessel did not have a Federal fishery endorsement as of September 25, 1997. Thus, an AFA rebuilt and AFA replacement vessel may receive a Federal fishery endorsement even if the vessel exceeds the statutory thresholds for length, weight, and horsepower: 165 feet registered length, 750 gross registered tons, or 3,000 shaft horsepower. In addition, the Coast Guard Act allows the rebuilding, replacement, and removal of AFA vessels to improve the safety and efficiency of the AFA fleet.</w:t>
      </w:r>
    </w:p>
    <w:p w14:paraId="27C8E1EE" w14:textId="64BDAE02" w:rsidR="00291942" w:rsidRDefault="00291942" w:rsidP="004F0CDB">
      <w:pPr>
        <w:tabs>
          <w:tab w:val="left" w:pos="360"/>
          <w:tab w:val="left" w:pos="720"/>
          <w:tab w:val="left" w:pos="1080"/>
        </w:tabs>
      </w:pPr>
    </w:p>
    <w:p w14:paraId="7791D767" w14:textId="77777777" w:rsidR="009A2249" w:rsidRDefault="009A2249" w:rsidP="009A2249">
      <w:pPr>
        <w:tabs>
          <w:tab w:val="left" w:pos="360"/>
          <w:tab w:val="left" w:pos="720"/>
          <w:tab w:val="left" w:pos="1080"/>
        </w:tabs>
      </w:pPr>
      <w:r>
        <w:t xml:space="preserve">Any vessel used to engage in directed fishing for a non-western Alaska community development quota (non-CDQ) allocation of pollock in the Bering Sea and any shoreside processor, stationary floating processor, or mothership that receives pollock harvested in a non-CDQ directed pollock fishery in the Bering Sea must have a valid AFA permit on board the vessel or at the facility location at all times while non-CDQ pollock is being harvested or processed. </w:t>
      </w:r>
    </w:p>
    <w:p w14:paraId="31017917" w14:textId="77777777" w:rsidR="009A2249" w:rsidRDefault="009A2249" w:rsidP="009A2249">
      <w:pPr>
        <w:tabs>
          <w:tab w:val="left" w:pos="360"/>
          <w:tab w:val="left" w:pos="720"/>
          <w:tab w:val="left" w:pos="1080"/>
        </w:tabs>
      </w:pPr>
    </w:p>
    <w:p w14:paraId="208F25C6" w14:textId="77777777" w:rsidR="009A2249" w:rsidRDefault="009A2249" w:rsidP="009A2249">
      <w:pPr>
        <w:tabs>
          <w:tab w:val="left" w:pos="360"/>
          <w:tab w:val="left" w:pos="720"/>
          <w:tab w:val="left" w:pos="1080"/>
        </w:tabs>
      </w:pPr>
      <w:r>
        <w:t>Permanent AFA permits (AFA catcher vessel, AFA catcher/processor, AFA mothership, and AFA inshore processor) for the BSAI pollock fishery had a one-time application deadline of December 1, 2000, and were issued with an indefinite expiration date.  Therefore, except for participants that require annual or replacement permits, all AFA entities required to have a permit are already permitted.</w:t>
      </w:r>
    </w:p>
    <w:p w14:paraId="1359C097" w14:textId="77777777" w:rsidR="009A2249" w:rsidRDefault="009A2249" w:rsidP="004F0CDB">
      <w:pPr>
        <w:tabs>
          <w:tab w:val="left" w:pos="360"/>
          <w:tab w:val="left" w:pos="720"/>
          <w:tab w:val="left" w:pos="1080"/>
        </w:tabs>
      </w:pPr>
    </w:p>
    <w:p w14:paraId="693DA2CB" w14:textId="1E074E5A" w:rsidR="00EC61F6" w:rsidRDefault="00EC61F6" w:rsidP="004F0CDB">
      <w:pPr>
        <w:tabs>
          <w:tab w:val="left" w:pos="360"/>
          <w:tab w:val="left" w:pos="720"/>
          <w:tab w:val="left" w:pos="1080"/>
        </w:tabs>
      </w:pPr>
      <w:r>
        <w:t xml:space="preserve">This information collection contains five components necessary to manage the Bering Sea pollock fishery under the AFA. </w:t>
      </w:r>
    </w:p>
    <w:p w14:paraId="1955A69E" w14:textId="77777777" w:rsidR="009A2249" w:rsidRDefault="009A2249" w:rsidP="004F0CDB">
      <w:pPr>
        <w:tabs>
          <w:tab w:val="left" w:pos="360"/>
          <w:tab w:val="left" w:pos="720"/>
          <w:tab w:val="left" w:pos="1080"/>
        </w:tabs>
      </w:pPr>
    </w:p>
    <w:tbl>
      <w:tblPr>
        <w:tblW w:w="9629" w:type="dxa"/>
        <w:jc w:val="center"/>
        <w:tblLayout w:type="fixed"/>
        <w:tblCellMar>
          <w:left w:w="0" w:type="dxa"/>
          <w:right w:w="0" w:type="dxa"/>
        </w:tblCellMar>
        <w:tblLook w:val="01E0" w:firstRow="1" w:lastRow="1" w:firstColumn="1" w:lastColumn="1" w:noHBand="0" w:noVBand="0"/>
      </w:tblPr>
      <w:tblGrid>
        <w:gridCol w:w="7487"/>
        <w:gridCol w:w="2142"/>
      </w:tblGrid>
      <w:tr w:rsidR="009A2249" w:rsidRPr="002C6363" w14:paraId="65CE4A6C" w14:textId="77777777" w:rsidTr="00F14475">
        <w:trPr>
          <w:trHeight w:hRule="exact" w:val="443"/>
          <w:jc w:val="center"/>
        </w:trPr>
        <w:tc>
          <w:tcPr>
            <w:tcW w:w="7487"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6CFCABAD" w14:textId="4DF57AD5" w:rsidR="009A2249" w:rsidRPr="00F14475" w:rsidRDefault="009A2249" w:rsidP="00F44A84">
            <w:pPr>
              <w:keepNext/>
              <w:keepLines/>
              <w:widowControl/>
              <w:autoSpaceDE/>
              <w:autoSpaceDN/>
              <w:adjustRightInd/>
              <w:jc w:val="center"/>
              <w:rPr>
                <w:rFonts w:ascii="Calibri" w:hAnsi="Calibri"/>
                <w:sz w:val="20"/>
                <w:szCs w:val="20"/>
              </w:rPr>
            </w:pPr>
            <w:r w:rsidRPr="00F14475">
              <w:rPr>
                <w:rFonts w:ascii="Calibri" w:eastAsia="Calibri" w:hAnsi="Calibri"/>
                <w:b/>
                <w:sz w:val="20"/>
                <w:szCs w:val="20"/>
              </w:rPr>
              <w:t>Component</w:t>
            </w:r>
          </w:p>
        </w:tc>
        <w:tc>
          <w:tcPr>
            <w:tcW w:w="2142"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34530785" w14:textId="6739DC96" w:rsidR="009A2249" w:rsidRPr="00F14475" w:rsidRDefault="009A2249" w:rsidP="00F44A84">
            <w:pPr>
              <w:keepNext/>
              <w:keepLines/>
              <w:widowControl/>
              <w:autoSpaceDE/>
              <w:autoSpaceDN/>
              <w:adjustRightInd/>
              <w:ind w:left="259" w:hanging="259"/>
              <w:jc w:val="center"/>
              <w:rPr>
                <w:rFonts w:ascii="Calibri" w:eastAsia="Calibri" w:hAnsi="Calibri"/>
                <w:b/>
                <w:sz w:val="20"/>
                <w:szCs w:val="20"/>
              </w:rPr>
            </w:pPr>
            <w:r w:rsidRPr="00F14475">
              <w:rPr>
                <w:rFonts w:ascii="Calibri" w:eastAsia="Calibri" w:hAnsi="Calibri"/>
                <w:b/>
                <w:sz w:val="20"/>
                <w:szCs w:val="20"/>
              </w:rPr>
              <w:t>50 CFR</w:t>
            </w:r>
          </w:p>
        </w:tc>
      </w:tr>
      <w:tr w:rsidR="009A2249" w:rsidRPr="00A16DCA" w14:paraId="1A988538" w14:textId="77777777" w:rsidTr="00F14475">
        <w:trPr>
          <w:trHeight w:hRule="exact" w:val="531"/>
          <w:jc w:val="center"/>
        </w:trPr>
        <w:tc>
          <w:tcPr>
            <w:tcW w:w="748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09F2CB" w14:textId="77777777" w:rsidR="009A2249" w:rsidRPr="00F14475" w:rsidRDefault="009A2249" w:rsidP="009A2249">
            <w:pPr>
              <w:keepNext/>
              <w:keepLines/>
              <w:widowControl/>
              <w:autoSpaceDE/>
              <w:autoSpaceDN/>
              <w:adjustRightInd/>
              <w:jc w:val="center"/>
              <w:rPr>
                <w:rFonts w:ascii="Calibri" w:eastAsia="Calibri" w:hAnsi="Calibri"/>
                <w:sz w:val="20"/>
                <w:szCs w:val="20"/>
              </w:rPr>
            </w:pPr>
            <w:r w:rsidRPr="00F14475">
              <w:rPr>
                <w:rFonts w:ascii="Calibri" w:eastAsia="Calibri" w:hAnsi="Calibri"/>
                <w:sz w:val="20"/>
                <w:szCs w:val="20"/>
              </w:rPr>
              <w:t>Application for AFA Permit: Rebuilt, Replaced, or Removed Vessel</w:t>
            </w:r>
          </w:p>
        </w:tc>
        <w:tc>
          <w:tcPr>
            <w:tcW w:w="214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B41C41" w14:textId="3AC8AB2E" w:rsidR="009A2249" w:rsidRPr="00F14475" w:rsidRDefault="009A2249" w:rsidP="009A2249">
            <w:pPr>
              <w:keepNext/>
              <w:keepLines/>
              <w:widowControl/>
              <w:autoSpaceDE/>
              <w:autoSpaceDN/>
              <w:adjustRightInd/>
              <w:jc w:val="center"/>
              <w:rPr>
                <w:rFonts w:asciiTheme="minorHAnsi" w:eastAsia="Calibri" w:hAnsiTheme="minorHAnsi" w:cstheme="minorHAnsi"/>
                <w:sz w:val="20"/>
                <w:szCs w:val="20"/>
              </w:rPr>
            </w:pPr>
            <w:r w:rsidRPr="00F14475">
              <w:rPr>
                <w:rFonts w:asciiTheme="minorHAnsi" w:hAnsiTheme="minorHAnsi" w:cstheme="minorHAnsi"/>
                <w:sz w:val="20"/>
                <w:szCs w:val="20"/>
              </w:rPr>
              <w:t>§ 679.4(l)(7)</w:t>
            </w:r>
          </w:p>
        </w:tc>
      </w:tr>
      <w:tr w:rsidR="009A2249" w:rsidRPr="00A16DCA" w14:paraId="0509A9ED" w14:textId="77777777" w:rsidTr="00F14475">
        <w:trPr>
          <w:trHeight w:hRule="exact" w:val="662"/>
          <w:jc w:val="center"/>
        </w:trPr>
        <w:tc>
          <w:tcPr>
            <w:tcW w:w="7487" w:type="dxa"/>
            <w:tcBorders>
              <w:top w:val="single" w:sz="5" w:space="0" w:color="000000"/>
              <w:left w:val="single" w:sz="5" w:space="0" w:color="000000"/>
              <w:bottom w:val="single" w:sz="5" w:space="0" w:color="000000"/>
              <w:right w:val="single" w:sz="5" w:space="0" w:color="000000"/>
            </w:tcBorders>
            <w:vAlign w:val="center"/>
          </w:tcPr>
          <w:p w14:paraId="683B74F5" w14:textId="77777777" w:rsidR="009A2249" w:rsidRPr="00F14475" w:rsidRDefault="009A2249" w:rsidP="009A2249">
            <w:pPr>
              <w:keepNext/>
              <w:keepLines/>
              <w:widowControl/>
              <w:autoSpaceDE/>
              <w:autoSpaceDN/>
              <w:adjustRightInd/>
              <w:jc w:val="center"/>
              <w:rPr>
                <w:rFonts w:ascii="Calibri" w:eastAsia="Calibri" w:hAnsi="Calibri"/>
                <w:sz w:val="20"/>
                <w:szCs w:val="20"/>
              </w:rPr>
            </w:pPr>
            <w:r w:rsidRPr="00F14475">
              <w:rPr>
                <w:rFonts w:ascii="Calibri" w:eastAsia="Calibri" w:hAnsi="Calibri"/>
                <w:sz w:val="20"/>
                <w:szCs w:val="20"/>
              </w:rPr>
              <w:t>Application for American Fisheries Act  Inshore Cooperative Permit</w:t>
            </w:r>
          </w:p>
        </w:tc>
        <w:tc>
          <w:tcPr>
            <w:tcW w:w="2142" w:type="dxa"/>
            <w:tcBorders>
              <w:top w:val="single" w:sz="5" w:space="0" w:color="000000"/>
              <w:left w:val="single" w:sz="5" w:space="0" w:color="000000"/>
              <w:bottom w:val="single" w:sz="5" w:space="0" w:color="000000"/>
              <w:right w:val="single" w:sz="5" w:space="0" w:color="000000"/>
            </w:tcBorders>
            <w:vAlign w:val="center"/>
          </w:tcPr>
          <w:p w14:paraId="4C02BD02" w14:textId="2B9F6BA2" w:rsidR="009A2249" w:rsidRPr="00F14475" w:rsidRDefault="009A2249" w:rsidP="009A2249">
            <w:pPr>
              <w:keepNext/>
              <w:keepLines/>
              <w:widowControl/>
              <w:autoSpaceDE/>
              <w:autoSpaceDN/>
              <w:adjustRightInd/>
              <w:jc w:val="center"/>
              <w:rPr>
                <w:rFonts w:asciiTheme="minorHAnsi" w:eastAsia="Calibri" w:hAnsiTheme="minorHAnsi" w:cstheme="minorHAnsi"/>
                <w:sz w:val="20"/>
                <w:szCs w:val="20"/>
              </w:rPr>
            </w:pPr>
            <w:r w:rsidRPr="00F14475">
              <w:rPr>
                <w:rFonts w:asciiTheme="minorHAnsi" w:hAnsiTheme="minorHAnsi" w:cstheme="minorHAnsi"/>
                <w:sz w:val="20"/>
                <w:szCs w:val="20"/>
              </w:rPr>
              <w:t>§ 679.4(l)(6)</w:t>
            </w:r>
          </w:p>
        </w:tc>
      </w:tr>
      <w:tr w:rsidR="009A2249" w:rsidRPr="00A16DCA" w14:paraId="6AFA983B" w14:textId="77777777" w:rsidTr="00F14475">
        <w:trPr>
          <w:trHeight w:hRule="exact" w:val="609"/>
          <w:jc w:val="center"/>
        </w:trPr>
        <w:tc>
          <w:tcPr>
            <w:tcW w:w="7487" w:type="dxa"/>
            <w:tcBorders>
              <w:top w:val="single" w:sz="5" w:space="0" w:color="000000"/>
              <w:left w:val="single" w:sz="5" w:space="0" w:color="000000"/>
              <w:bottom w:val="single" w:sz="5" w:space="0" w:color="000000"/>
              <w:right w:val="single" w:sz="5" w:space="0" w:color="000000"/>
            </w:tcBorders>
            <w:vAlign w:val="center"/>
          </w:tcPr>
          <w:p w14:paraId="5EC88E43" w14:textId="77777777" w:rsidR="009A2249" w:rsidRPr="00F14475" w:rsidRDefault="009A2249" w:rsidP="009A2249">
            <w:pPr>
              <w:keepNext/>
              <w:keepLines/>
              <w:widowControl/>
              <w:autoSpaceDE/>
              <w:autoSpaceDN/>
              <w:adjustRightInd/>
              <w:jc w:val="center"/>
              <w:rPr>
                <w:rFonts w:ascii="Calibri" w:eastAsia="Calibri" w:hAnsi="Calibri"/>
                <w:sz w:val="20"/>
                <w:szCs w:val="20"/>
              </w:rPr>
            </w:pPr>
            <w:r w:rsidRPr="00F14475">
              <w:rPr>
                <w:rFonts w:ascii="Calibri" w:eastAsia="Calibri" w:hAnsi="Calibri"/>
                <w:sz w:val="20"/>
                <w:szCs w:val="20"/>
              </w:rPr>
              <w:t>AFA Inshore Vessel Contract Fishing Notification</w:t>
            </w:r>
          </w:p>
        </w:tc>
        <w:tc>
          <w:tcPr>
            <w:tcW w:w="2142" w:type="dxa"/>
            <w:tcBorders>
              <w:top w:val="single" w:sz="5" w:space="0" w:color="000000"/>
              <w:left w:val="single" w:sz="5" w:space="0" w:color="000000"/>
              <w:bottom w:val="single" w:sz="5" w:space="0" w:color="000000"/>
              <w:right w:val="single" w:sz="5" w:space="0" w:color="000000"/>
            </w:tcBorders>
            <w:vAlign w:val="center"/>
          </w:tcPr>
          <w:p w14:paraId="4F067DC6" w14:textId="2ABF6E95" w:rsidR="009A2249" w:rsidRPr="00F14475" w:rsidRDefault="009A2249" w:rsidP="009A2249">
            <w:pPr>
              <w:keepNext/>
              <w:keepLines/>
              <w:widowControl/>
              <w:autoSpaceDE/>
              <w:autoSpaceDN/>
              <w:adjustRightInd/>
              <w:jc w:val="center"/>
              <w:rPr>
                <w:rFonts w:asciiTheme="minorHAnsi" w:eastAsia="Calibri" w:hAnsiTheme="minorHAnsi" w:cstheme="minorHAnsi"/>
                <w:sz w:val="20"/>
                <w:szCs w:val="20"/>
              </w:rPr>
            </w:pPr>
            <w:r w:rsidRPr="00F14475">
              <w:rPr>
                <w:rFonts w:asciiTheme="minorHAnsi" w:hAnsiTheme="minorHAnsi" w:cstheme="minorHAnsi"/>
                <w:sz w:val="20"/>
                <w:szCs w:val="20"/>
              </w:rPr>
              <w:t>§ 679.62(c)</w:t>
            </w:r>
          </w:p>
        </w:tc>
      </w:tr>
      <w:tr w:rsidR="009A2249" w:rsidRPr="00A16DCA" w14:paraId="38E9D1DA" w14:textId="77777777" w:rsidTr="00F14475">
        <w:trPr>
          <w:trHeight w:hRule="exact" w:val="745"/>
          <w:jc w:val="center"/>
        </w:trPr>
        <w:tc>
          <w:tcPr>
            <w:tcW w:w="7487" w:type="dxa"/>
            <w:tcBorders>
              <w:top w:val="single" w:sz="5" w:space="0" w:color="000000"/>
              <w:left w:val="single" w:sz="5" w:space="0" w:color="000000"/>
              <w:bottom w:val="single" w:sz="5" w:space="0" w:color="000000"/>
              <w:right w:val="single" w:sz="5" w:space="0" w:color="000000"/>
            </w:tcBorders>
            <w:vAlign w:val="center"/>
          </w:tcPr>
          <w:p w14:paraId="2AAEF1F7" w14:textId="77777777" w:rsidR="009A2249" w:rsidRPr="00F14475" w:rsidRDefault="009A2249" w:rsidP="009A2249">
            <w:pPr>
              <w:keepNext/>
              <w:keepLines/>
              <w:widowControl/>
              <w:autoSpaceDE/>
              <w:autoSpaceDN/>
              <w:adjustRightInd/>
              <w:jc w:val="center"/>
              <w:rPr>
                <w:rFonts w:ascii="Calibri" w:hAnsi="Calibri"/>
                <w:sz w:val="20"/>
                <w:szCs w:val="20"/>
              </w:rPr>
            </w:pPr>
            <w:r w:rsidRPr="00F14475">
              <w:rPr>
                <w:rFonts w:ascii="Calibri" w:hAnsi="Calibri"/>
                <w:sz w:val="20"/>
                <w:szCs w:val="20"/>
              </w:rPr>
              <w:t xml:space="preserve">Application for Approval as an Entity to Receive Transferable Chinook Salmon PSC Allocation  </w:t>
            </w:r>
          </w:p>
        </w:tc>
        <w:tc>
          <w:tcPr>
            <w:tcW w:w="2142" w:type="dxa"/>
            <w:tcBorders>
              <w:top w:val="single" w:sz="5" w:space="0" w:color="000000"/>
              <w:left w:val="single" w:sz="5" w:space="0" w:color="000000"/>
              <w:bottom w:val="single" w:sz="5" w:space="0" w:color="000000"/>
              <w:right w:val="single" w:sz="5" w:space="0" w:color="000000"/>
            </w:tcBorders>
            <w:vAlign w:val="center"/>
          </w:tcPr>
          <w:p w14:paraId="1485652D" w14:textId="2BD9EE1C" w:rsidR="009A2249" w:rsidRPr="00F14475" w:rsidRDefault="009A2249" w:rsidP="009A2249">
            <w:pPr>
              <w:keepNext/>
              <w:keepLines/>
              <w:widowControl/>
              <w:autoSpaceDE/>
              <w:autoSpaceDN/>
              <w:adjustRightInd/>
              <w:jc w:val="center"/>
              <w:rPr>
                <w:rFonts w:asciiTheme="minorHAnsi" w:eastAsia="Calibri" w:hAnsiTheme="minorHAnsi" w:cstheme="minorHAnsi"/>
                <w:sz w:val="20"/>
                <w:szCs w:val="20"/>
              </w:rPr>
            </w:pPr>
            <w:r w:rsidRPr="00F14475">
              <w:rPr>
                <w:rFonts w:asciiTheme="minorHAnsi" w:hAnsiTheme="minorHAnsi" w:cstheme="minorHAnsi"/>
                <w:sz w:val="20"/>
                <w:szCs w:val="20"/>
              </w:rPr>
              <w:t>§ 679.21(f)(8)</w:t>
            </w:r>
          </w:p>
        </w:tc>
      </w:tr>
      <w:tr w:rsidR="009A2249" w:rsidRPr="00A16DCA" w14:paraId="250F0C74" w14:textId="77777777" w:rsidTr="00F14475">
        <w:trPr>
          <w:trHeight w:hRule="exact" w:val="592"/>
          <w:jc w:val="center"/>
        </w:trPr>
        <w:tc>
          <w:tcPr>
            <w:tcW w:w="748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247B52" w14:textId="77777777" w:rsidR="009A2249" w:rsidRPr="00F14475" w:rsidRDefault="009A2249" w:rsidP="009A2249">
            <w:pPr>
              <w:keepNext/>
              <w:keepLines/>
              <w:widowControl/>
              <w:autoSpaceDE/>
              <w:autoSpaceDN/>
              <w:adjustRightInd/>
              <w:jc w:val="center"/>
              <w:rPr>
                <w:rFonts w:ascii="Calibri" w:eastAsia="Calibri" w:hAnsi="Calibri"/>
                <w:sz w:val="20"/>
                <w:szCs w:val="20"/>
              </w:rPr>
            </w:pPr>
            <w:r w:rsidRPr="00F14475">
              <w:rPr>
                <w:rFonts w:ascii="Calibri" w:eastAsia="Calibri" w:hAnsi="Calibri"/>
                <w:sz w:val="20"/>
                <w:szCs w:val="20"/>
              </w:rPr>
              <w:t xml:space="preserve">Application for Transfer of Bering Sea Chinook Salmon PSC Allocations  </w:t>
            </w:r>
          </w:p>
        </w:tc>
        <w:tc>
          <w:tcPr>
            <w:tcW w:w="214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9C04E7" w14:textId="30E67218" w:rsidR="009A2249" w:rsidRPr="00F14475" w:rsidRDefault="009A2249" w:rsidP="006A4263">
            <w:pPr>
              <w:keepNext/>
              <w:keepLines/>
              <w:widowControl/>
              <w:autoSpaceDE/>
              <w:autoSpaceDN/>
              <w:adjustRightInd/>
              <w:jc w:val="center"/>
              <w:rPr>
                <w:rFonts w:asciiTheme="minorHAnsi" w:eastAsia="Calibri" w:hAnsiTheme="minorHAnsi" w:cstheme="minorHAnsi"/>
                <w:sz w:val="20"/>
                <w:szCs w:val="20"/>
              </w:rPr>
            </w:pPr>
            <w:r w:rsidRPr="00F14475">
              <w:rPr>
                <w:rFonts w:asciiTheme="minorHAnsi" w:hAnsiTheme="minorHAnsi" w:cstheme="minorHAnsi"/>
                <w:sz w:val="20"/>
                <w:szCs w:val="20"/>
              </w:rPr>
              <w:t>§ 679.21(f)(9)</w:t>
            </w:r>
          </w:p>
        </w:tc>
      </w:tr>
    </w:tbl>
    <w:p w14:paraId="0C3CBDD8" w14:textId="77777777" w:rsidR="004F0CDB" w:rsidRDefault="004F0CDB" w:rsidP="00A11212">
      <w:pPr>
        <w:widowControl/>
      </w:pPr>
    </w:p>
    <w:p w14:paraId="2FEC9071" w14:textId="77777777" w:rsidR="007E3B9C" w:rsidRDefault="007E3B9C">
      <w:pPr>
        <w:widowControl/>
      </w:pPr>
    </w:p>
    <w:p w14:paraId="504CC32E" w14:textId="77777777" w:rsidR="00AE57F8" w:rsidRPr="00A07840" w:rsidRDefault="00AE57F8" w:rsidP="00F14475">
      <w:pPr>
        <w:keepNext/>
        <w:keepLines/>
        <w:widowControl/>
        <w:rPr>
          <w:u w:val="single"/>
        </w:rPr>
      </w:pPr>
      <w:r>
        <w:rPr>
          <w:b/>
          <w:bCs/>
        </w:rPr>
        <w:lastRenderedPageBreak/>
        <w:t xml:space="preserve">2.  </w:t>
      </w:r>
      <w:r>
        <w:rPr>
          <w:b/>
          <w:bCs/>
          <w:u w:val="single"/>
        </w:rPr>
        <w:t>Explain how, by whom, how frequently, and for what purpose the information will be used</w:t>
      </w:r>
      <w:r w:rsidRPr="00A07840">
        <w:rPr>
          <w:b/>
          <w:bCs/>
          <w:u w:val="single"/>
        </w:rPr>
        <w:t>.</w:t>
      </w:r>
      <w:r w:rsidR="000B69D6" w:rsidRPr="00A07840">
        <w:rPr>
          <w:b/>
          <w:bCs/>
          <w:u w:val="single"/>
        </w:rPr>
        <w:t xml:space="preserve">  If the information collected will be disseminated to the public or used to support information that will be disseminated to the public, then explain how the collection complies with all applicable Information Quality Guidelines.</w:t>
      </w:r>
    </w:p>
    <w:p w14:paraId="2BE89E65" w14:textId="77777777" w:rsidR="00584100" w:rsidRDefault="00584100" w:rsidP="00F14475">
      <w:pPr>
        <w:keepNext/>
        <w:keepLines/>
        <w:widowControl/>
      </w:pPr>
    </w:p>
    <w:p w14:paraId="55469848" w14:textId="59BCF3C6" w:rsidR="00FD5066" w:rsidRDefault="00945BF8" w:rsidP="00F14475">
      <w:pPr>
        <w:keepNext/>
        <w:keepLines/>
        <w:widowControl/>
      </w:pPr>
      <w:r>
        <w:t>The following table summarizes how</w:t>
      </w:r>
      <w:r w:rsidR="00A16DCA">
        <w:t>, by whom,</w:t>
      </w:r>
      <w:r>
        <w:t xml:space="preserve"> and </w:t>
      </w:r>
      <w:r w:rsidRPr="00E46ABC">
        <w:t>how frequently each</w:t>
      </w:r>
      <w:r>
        <w:t xml:space="preserve"> of the components of this collection are submitted. </w:t>
      </w:r>
    </w:p>
    <w:p w14:paraId="104C9971" w14:textId="77777777" w:rsidR="00945BF8" w:rsidRDefault="00945BF8" w:rsidP="00945BF8">
      <w:pPr>
        <w:keepNext/>
        <w:keepLines/>
        <w:widowControl/>
      </w:pPr>
    </w:p>
    <w:tbl>
      <w:tblPr>
        <w:tblW w:w="10057" w:type="dxa"/>
        <w:jc w:val="center"/>
        <w:tblLayout w:type="fixed"/>
        <w:tblCellMar>
          <w:left w:w="0" w:type="dxa"/>
          <w:right w:w="0" w:type="dxa"/>
        </w:tblCellMar>
        <w:tblLook w:val="01E0" w:firstRow="1" w:lastRow="1" w:firstColumn="1" w:lastColumn="1" w:noHBand="0" w:noVBand="0"/>
      </w:tblPr>
      <w:tblGrid>
        <w:gridCol w:w="3156"/>
        <w:gridCol w:w="2313"/>
        <w:gridCol w:w="2294"/>
        <w:gridCol w:w="2294"/>
      </w:tblGrid>
      <w:tr w:rsidR="00A16DCA" w:rsidRPr="002C6363" w14:paraId="51DE3E51" w14:textId="64652113" w:rsidTr="00644E0D">
        <w:trPr>
          <w:trHeight w:hRule="exact" w:val="649"/>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364D82E5" w14:textId="77777777" w:rsidR="00A16DCA" w:rsidRPr="002C6363" w:rsidRDefault="00A16DCA" w:rsidP="00945BF8">
            <w:pPr>
              <w:keepNext/>
              <w:keepLines/>
              <w:widowControl/>
              <w:autoSpaceDE/>
              <w:autoSpaceDN/>
              <w:adjustRightInd/>
              <w:jc w:val="center"/>
              <w:rPr>
                <w:rFonts w:ascii="Calibri" w:hAnsi="Calibri"/>
                <w:sz w:val="20"/>
                <w:szCs w:val="20"/>
              </w:rPr>
            </w:pPr>
            <w:r w:rsidRPr="002C6363">
              <w:rPr>
                <w:rFonts w:ascii="Calibri" w:eastAsia="Calibri" w:hAnsi="Calibri"/>
                <w:b/>
                <w:sz w:val="20"/>
                <w:szCs w:val="20"/>
              </w:rPr>
              <w:t>Component</w:t>
            </w:r>
            <w:r w:rsidRPr="008F4FBB">
              <w:rPr>
                <w:rFonts w:ascii="Calibri" w:eastAsia="Calibri" w:hAnsi="Calibri"/>
                <w:b/>
                <w:sz w:val="20"/>
                <w:szCs w:val="20"/>
                <w:vertAlign w:val="superscript"/>
              </w:rPr>
              <w:t>1</w:t>
            </w:r>
          </w:p>
        </w:tc>
        <w:tc>
          <w:tcPr>
            <w:tcW w:w="2313" w:type="dxa"/>
            <w:tcBorders>
              <w:top w:val="single" w:sz="5" w:space="0" w:color="000000"/>
              <w:left w:val="single" w:sz="5" w:space="0" w:color="000000"/>
              <w:bottom w:val="single" w:sz="5" w:space="0" w:color="000000"/>
              <w:right w:val="single" w:sz="5" w:space="0" w:color="000000"/>
            </w:tcBorders>
            <w:shd w:val="clear" w:color="auto" w:fill="DBE5F1"/>
            <w:vAlign w:val="center"/>
          </w:tcPr>
          <w:p w14:paraId="56A34D6D" w14:textId="53E61476" w:rsidR="00A16DCA" w:rsidRPr="002C6363" w:rsidRDefault="00A16DCA" w:rsidP="00487579">
            <w:pPr>
              <w:keepNext/>
              <w:keepLines/>
              <w:widowControl/>
              <w:autoSpaceDE/>
              <w:autoSpaceDN/>
              <w:adjustRightInd/>
              <w:ind w:left="259" w:hanging="259"/>
              <w:jc w:val="center"/>
              <w:rPr>
                <w:rFonts w:ascii="Calibri" w:eastAsia="Calibri" w:hAnsi="Calibri"/>
                <w:b/>
                <w:sz w:val="20"/>
                <w:szCs w:val="20"/>
              </w:rPr>
            </w:pPr>
            <w:r w:rsidRPr="00945BF8">
              <w:rPr>
                <w:rFonts w:ascii="Calibri" w:eastAsia="Calibri" w:hAnsi="Calibri"/>
                <w:b/>
                <w:sz w:val="20"/>
                <w:szCs w:val="20"/>
              </w:rPr>
              <w:t>How is the information submitted?</w:t>
            </w:r>
            <w:r w:rsidRPr="002C6363">
              <w:rPr>
                <w:rFonts w:ascii="Calibri" w:eastAsia="Calibri" w:hAnsi="Calibri"/>
                <w:b/>
                <w:sz w:val="20"/>
                <w:szCs w:val="20"/>
                <w:vertAlign w:val="superscript"/>
              </w:rPr>
              <w:t>2</w:t>
            </w:r>
          </w:p>
        </w:tc>
        <w:tc>
          <w:tcPr>
            <w:tcW w:w="2294" w:type="dxa"/>
            <w:tcBorders>
              <w:top w:val="single" w:sz="5" w:space="0" w:color="000000"/>
              <w:left w:val="single" w:sz="5" w:space="0" w:color="000000"/>
              <w:bottom w:val="single" w:sz="5" w:space="0" w:color="000000"/>
              <w:right w:val="single" w:sz="5" w:space="0" w:color="000000"/>
            </w:tcBorders>
            <w:shd w:val="clear" w:color="auto" w:fill="DBE5F1"/>
          </w:tcPr>
          <w:p w14:paraId="01D398C4" w14:textId="1440C2C7" w:rsidR="00A16DCA" w:rsidRDefault="00A16DCA" w:rsidP="00945BF8">
            <w:pPr>
              <w:keepNext/>
              <w:keepLines/>
              <w:widowControl/>
              <w:autoSpaceDE/>
              <w:autoSpaceDN/>
              <w:adjustRightInd/>
              <w:jc w:val="center"/>
              <w:rPr>
                <w:rFonts w:ascii="Calibri" w:eastAsia="Calibri" w:hAnsi="Calibri"/>
                <w:b/>
                <w:sz w:val="20"/>
                <w:szCs w:val="20"/>
              </w:rPr>
            </w:pPr>
            <w:r>
              <w:rPr>
                <w:rFonts w:ascii="Calibri" w:eastAsia="Calibri" w:hAnsi="Calibri"/>
                <w:b/>
                <w:sz w:val="20"/>
                <w:szCs w:val="20"/>
              </w:rPr>
              <w:t>Who Submits the Information?</w:t>
            </w:r>
          </w:p>
        </w:tc>
        <w:tc>
          <w:tcPr>
            <w:tcW w:w="2294" w:type="dxa"/>
            <w:tcBorders>
              <w:top w:val="single" w:sz="5" w:space="0" w:color="000000"/>
              <w:left w:val="single" w:sz="5" w:space="0" w:color="000000"/>
              <w:bottom w:val="single" w:sz="5" w:space="0" w:color="000000"/>
              <w:right w:val="single" w:sz="5" w:space="0" w:color="000000"/>
            </w:tcBorders>
            <w:shd w:val="clear" w:color="auto" w:fill="DBE5F1"/>
          </w:tcPr>
          <w:p w14:paraId="16B2D13D" w14:textId="7D03474F" w:rsidR="00A16DCA" w:rsidRPr="002C6363" w:rsidRDefault="00A16DCA" w:rsidP="00945BF8">
            <w:pPr>
              <w:keepNext/>
              <w:keepLines/>
              <w:widowControl/>
              <w:autoSpaceDE/>
              <w:autoSpaceDN/>
              <w:adjustRightInd/>
              <w:jc w:val="center"/>
              <w:rPr>
                <w:rFonts w:ascii="Calibri" w:eastAsia="Calibri" w:hAnsi="Calibri"/>
                <w:b/>
                <w:sz w:val="20"/>
                <w:szCs w:val="20"/>
              </w:rPr>
            </w:pPr>
            <w:r>
              <w:rPr>
                <w:rFonts w:ascii="Calibri" w:eastAsia="Calibri" w:hAnsi="Calibri"/>
                <w:b/>
                <w:sz w:val="20"/>
                <w:szCs w:val="20"/>
              </w:rPr>
              <w:t>How frequently is the information submitted?</w:t>
            </w:r>
          </w:p>
        </w:tc>
      </w:tr>
      <w:tr w:rsidR="00A16DCA" w:rsidRPr="00A16DCA" w14:paraId="567700FF" w14:textId="6511C3E2" w:rsidTr="00644E0D">
        <w:trPr>
          <w:trHeight w:hRule="exact" w:val="781"/>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097C98" w14:textId="77777777" w:rsidR="00A16DCA" w:rsidRPr="00A16DCA" w:rsidRDefault="00A16DCA" w:rsidP="00A16DCA">
            <w:pPr>
              <w:keepNext/>
              <w:keepLines/>
              <w:widowControl/>
              <w:autoSpaceDE/>
              <w:autoSpaceDN/>
              <w:adjustRightInd/>
              <w:jc w:val="center"/>
              <w:rPr>
                <w:rFonts w:ascii="Calibri" w:eastAsia="Calibri" w:hAnsi="Calibri"/>
                <w:sz w:val="18"/>
                <w:szCs w:val="18"/>
              </w:rPr>
            </w:pPr>
            <w:r w:rsidRPr="00A16DCA">
              <w:rPr>
                <w:rFonts w:ascii="Calibri" w:eastAsia="Calibri" w:hAnsi="Calibri"/>
                <w:sz w:val="18"/>
                <w:szCs w:val="18"/>
              </w:rPr>
              <w:t>Application for AFA Permit: Rebuilt, Replaced, or Removed Vessel</w:t>
            </w:r>
          </w:p>
        </w:tc>
        <w:tc>
          <w:tcPr>
            <w:tcW w:w="231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FDC4E3" w14:textId="77777777" w:rsidR="00A16DCA" w:rsidRPr="00A16DCA" w:rsidRDefault="00A16DCA" w:rsidP="00A16DCA">
            <w:pPr>
              <w:keepNext/>
              <w:keepLines/>
              <w:widowControl/>
              <w:autoSpaceDE/>
              <w:autoSpaceDN/>
              <w:adjustRightInd/>
              <w:jc w:val="center"/>
              <w:rPr>
                <w:rFonts w:ascii="Calibri" w:eastAsia="Calibri" w:hAnsi="Calibri"/>
                <w:sz w:val="18"/>
                <w:szCs w:val="18"/>
              </w:rPr>
            </w:pPr>
            <w:r w:rsidRPr="00A16DCA">
              <w:rPr>
                <w:rFonts w:ascii="Calibri" w:eastAsia="Calibri" w:hAnsi="Calibri"/>
                <w:sz w:val="18"/>
                <w:szCs w:val="18"/>
              </w:rPr>
              <w:t>Mail (RAM), fax, delivery</w:t>
            </w:r>
          </w:p>
        </w:tc>
        <w:tc>
          <w:tcPr>
            <w:tcW w:w="2294" w:type="dxa"/>
            <w:tcBorders>
              <w:top w:val="single" w:sz="5" w:space="0" w:color="000000"/>
              <w:left w:val="single" w:sz="5" w:space="0" w:color="000000"/>
              <w:bottom w:val="single" w:sz="5" w:space="0" w:color="000000"/>
              <w:right w:val="single" w:sz="5" w:space="0" w:color="000000"/>
            </w:tcBorders>
            <w:vAlign w:val="center"/>
          </w:tcPr>
          <w:p w14:paraId="44539F75" w14:textId="458C49C6" w:rsidR="00A16DCA" w:rsidRPr="00A16DCA" w:rsidRDefault="00A16DCA" w:rsidP="00A16DCA">
            <w:pPr>
              <w:keepNext/>
              <w:keepLines/>
              <w:widowControl/>
              <w:autoSpaceDE/>
              <w:autoSpaceDN/>
              <w:adjustRightInd/>
              <w:jc w:val="center"/>
              <w:rPr>
                <w:rFonts w:asciiTheme="minorHAnsi" w:eastAsia="Calibri" w:hAnsiTheme="minorHAnsi" w:cstheme="minorHAnsi"/>
                <w:sz w:val="18"/>
                <w:szCs w:val="18"/>
              </w:rPr>
            </w:pPr>
            <w:r w:rsidRPr="00A16DCA">
              <w:rPr>
                <w:rFonts w:asciiTheme="minorHAnsi" w:hAnsiTheme="minorHAnsi" w:cstheme="minorHAnsi"/>
                <w:sz w:val="18"/>
                <w:szCs w:val="18"/>
              </w:rPr>
              <w:t xml:space="preserve"> Vessel owner</w:t>
            </w:r>
          </w:p>
        </w:tc>
        <w:tc>
          <w:tcPr>
            <w:tcW w:w="2294" w:type="dxa"/>
            <w:tcBorders>
              <w:top w:val="single" w:sz="5" w:space="0" w:color="000000"/>
              <w:left w:val="single" w:sz="5" w:space="0" w:color="000000"/>
              <w:bottom w:val="single" w:sz="5" w:space="0" w:color="000000"/>
              <w:right w:val="single" w:sz="5" w:space="0" w:color="000000"/>
            </w:tcBorders>
            <w:vAlign w:val="center"/>
          </w:tcPr>
          <w:p w14:paraId="7594B42D" w14:textId="1F5218C0" w:rsidR="00A16DCA" w:rsidRPr="00A16DCA" w:rsidRDefault="006301BA" w:rsidP="00A16DCA">
            <w:pPr>
              <w:keepNext/>
              <w:keepLines/>
              <w:widowControl/>
              <w:autoSpaceDE/>
              <w:autoSpaceDN/>
              <w:adjustRightInd/>
              <w:jc w:val="center"/>
              <w:rPr>
                <w:rFonts w:ascii="Calibri" w:eastAsia="Calibri" w:hAnsi="Calibri"/>
                <w:sz w:val="18"/>
                <w:szCs w:val="18"/>
              </w:rPr>
            </w:pPr>
            <w:r>
              <w:rPr>
                <w:rFonts w:ascii="Calibri" w:eastAsia="Calibri" w:hAnsi="Calibri"/>
                <w:sz w:val="18"/>
                <w:szCs w:val="18"/>
              </w:rPr>
              <w:t>W</w:t>
            </w:r>
            <w:r w:rsidR="009301B9">
              <w:rPr>
                <w:rFonts w:ascii="Calibri" w:eastAsia="Calibri" w:hAnsi="Calibri"/>
                <w:sz w:val="18"/>
                <w:szCs w:val="18"/>
              </w:rPr>
              <w:t>hen a vessel is rebuilt, replaced, or removed from the fishery.</w:t>
            </w:r>
          </w:p>
        </w:tc>
      </w:tr>
      <w:tr w:rsidR="00A16DCA" w:rsidRPr="00A16DCA" w14:paraId="513B2849" w14:textId="64D124F2" w:rsidTr="00644E0D">
        <w:trPr>
          <w:trHeight w:hRule="exact" w:val="968"/>
          <w:jc w:val="center"/>
        </w:trPr>
        <w:tc>
          <w:tcPr>
            <w:tcW w:w="3156" w:type="dxa"/>
            <w:tcBorders>
              <w:top w:val="single" w:sz="5" w:space="0" w:color="000000"/>
              <w:left w:val="single" w:sz="5" w:space="0" w:color="000000"/>
              <w:bottom w:val="single" w:sz="5" w:space="0" w:color="000000"/>
              <w:right w:val="single" w:sz="5" w:space="0" w:color="000000"/>
            </w:tcBorders>
            <w:vAlign w:val="center"/>
          </w:tcPr>
          <w:p w14:paraId="2E6E09E2" w14:textId="77777777" w:rsidR="00A16DCA" w:rsidRPr="00A16DCA" w:rsidRDefault="00A16DCA" w:rsidP="00A16DCA">
            <w:pPr>
              <w:keepNext/>
              <w:keepLines/>
              <w:widowControl/>
              <w:autoSpaceDE/>
              <w:autoSpaceDN/>
              <w:adjustRightInd/>
              <w:jc w:val="center"/>
              <w:rPr>
                <w:rFonts w:ascii="Calibri" w:eastAsia="Calibri" w:hAnsi="Calibri"/>
                <w:sz w:val="18"/>
                <w:szCs w:val="18"/>
              </w:rPr>
            </w:pPr>
            <w:r w:rsidRPr="00A16DCA">
              <w:rPr>
                <w:rFonts w:ascii="Calibri" w:eastAsia="Calibri" w:hAnsi="Calibri"/>
                <w:sz w:val="18"/>
                <w:szCs w:val="18"/>
              </w:rPr>
              <w:t>Application for American Fisheries Act  Inshore Cooperative Permit</w:t>
            </w:r>
          </w:p>
        </w:tc>
        <w:tc>
          <w:tcPr>
            <w:tcW w:w="2313" w:type="dxa"/>
            <w:tcBorders>
              <w:top w:val="single" w:sz="5" w:space="0" w:color="000000"/>
              <w:left w:val="single" w:sz="5" w:space="0" w:color="000000"/>
              <w:bottom w:val="single" w:sz="5" w:space="0" w:color="000000"/>
              <w:right w:val="single" w:sz="5" w:space="0" w:color="000000"/>
            </w:tcBorders>
            <w:vAlign w:val="center"/>
          </w:tcPr>
          <w:p w14:paraId="4E7DF55F" w14:textId="77777777" w:rsidR="00A16DCA" w:rsidRPr="00A16DCA" w:rsidRDefault="00A16DCA" w:rsidP="00A16DCA">
            <w:pPr>
              <w:keepNext/>
              <w:keepLines/>
              <w:widowControl/>
              <w:autoSpaceDE/>
              <w:autoSpaceDN/>
              <w:adjustRightInd/>
              <w:jc w:val="center"/>
              <w:rPr>
                <w:rFonts w:ascii="Calibri" w:eastAsia="Calibri" w:hAnsi="Calibri"/>
                <w:sz w:val="18"/>
                <w:szCs w:val="18"/>
              </w:rPr>
            </w:pPr>
            <w:r w:rsidRPr="00A16DCA">
              <w:rPr>
                <w:rFonts w:ascii="Calibri" w:eastAsia="Calibri" w:hAnsi="Calibri"/>
                <w:sz w:val="18"/>
                <w:szCs w:val="18"/>
              </w:rPr>
              <w:t>Mail (RAM), fax, delivery</w:t>
            </w:r>
          </w:p>
        </w:tc>
        <w:tc>
          <w:tcPr>
            <w:tcW w:w="2294" w:type="dxa"/>
            <w:tcBorders>
              <w:top w:val="single" w:sz="5" w:space="0" w:color="000000"/>
              <w:left w:val="single" w:sz="5" w:space="0" w:color="000000"/>
              <w:bottom w:val="single" w:sz="5" w:space="0" w:color="000000"/>
              <w:right w:val="single" w:sz="5" w:space="0" w:color="000000"/>
            </w:tcBorders>
            <w:vAlign w:val="center"/>
          </w:tcPr>
          <w:p w14:paraId="7AB792C4" w14:textId="7040A2D9" w:rsidR="00A16DCA" w:rsidRPr="00A16DCA" w:rsidRDefault="00A16DCA" w:rsidP="00A16DCA">
            <w:pPr>
              <w:keepNext/>
              <w:keepLines/>
              <w:widowControl/>
              <w:autoSpaceDE/>
              <w:autoSpaceDN/>
              <w:adjustRightInd/>
              <w:jc w:val="center"/>
              <w:rPr>
                <w:rFonts w:asciiTheme="minorHAnsi" w:eastAsia="Calibri" w:hAnsiTheme="minorHAnsi" w:cstheme="minorHAnsi"/>
                <w:sz w:val="18"/>
                <w:szCs w:val="18"/>
              </w:rPr>
            </w:pPr>
            <w:r w:rsidRPr="00A16DCA">
              <w:rPr>
                <w:rFonts w:asciiTheme="minorHAnsi" w:hAnsiTheme="minorHAnsi" w:cstheme="minorHAnsi"/>
                <w:sz w:val="18"/>
                <w:szCs w:val="18"/>
              </w:rPr>
              <w:t xml:space="preserve"> </w:t>
            </w:r>
            <w:r w:rsidR="00CB24A6">
              <w:rPr>
                <w:rFonts w:asciiTheme="minorHAnsi" w:hAnsiTheme="minorHAnsi" w:cstheme="minorHAnsi"/>
                <w:sz w:val="18"/>
                <w:szCs w:val="18"/>
              </w:rPr>
              <w:t xml:space="preserve">AFA </w:t>
            </w:r>
            <w:r w:rsidR="00924EE0">
              <w:rPr>
                <w:rFonts w:asciiTheme="minorHAnsi" w:hAnsiTheme="minorHAnsi" w:cstheme="minorHAnsi"/>
                <w:sz w:val="18"/>
                <w:szCs w:val="18"/>
              </w:rPr>
              <w:t>c</w:t>
            </w:r>
            <w:r w:rsidRPr="00A16DCA">
              <w:rPr>
                <w:rFonts w:asciiTheme="minorHAnsi" w:hAnsiTheme="minorHAnsi" w:cstheme="minorHAnsi"/>
                <w:sz w:val="18"/>
                <w:szCs w:val="18"/>
              </w:rPr>
              <w:t xml:space="preserve">ooperative </w:t>
            </w:r>
            <w:r w:rsidR="00C47690">
              <w:rPr>
                <w:rFonts w:asciiTheme="minorHAnsi" w:hAnsiTheme="minorHAnsi" w:cstheme="minorHAnsi"/>
                <w:sz w:val="18"/>
                <w:szCs w:val="18"/>
              </w:rPr>
              <w:t>representative</w:t>
            </w:r>
            <w:r w:rsidRPr="00A16DCA">
              <w:rPr>
                <w:rFonts w:asciiTheme="minorHAnsi" w:hAnsiTheme="minorHAnsi" w:cstheme="minorHAnsi"/>
                <w:sz w:val="18"/>
                <w:szCs w:val="18"/>
              </w:rPr>
              <w:t>s</w:t>
            </w:r>
          </w:p>
        </w:tc>
        <w:tc>
          <w:tcPr>
            <w:tcW w:w="2294" w:type="dxa"/>
            <w:tcBorders>
              <w:top w:val="single" w:sz="5" w:space="0" w:color="000000"/>
              <w:left w:val="single" w:sz="5" w:space="0" w:color="000000"/>
              <w:bottom w:val="single" w:sz="5" w:space="0" w:color="000000"/>
              <w:right w:val="single" w:sz="5" w:space="0" w:color="000000"/>
            </w:tcBorders>
            <w:vAlign w:val="center"/>
          </w:tcPr>
          <w:p w14:paraId="468348D5" w14:textId="38E2ABAE" w:rsidR="00A16DCA" w:rsidRPr="00A16DCA" w:rsidRDefault="00EF6649" w:rsidP="00024FAB">
            <w:pPr>
              <w:keepNext/>
              <w:keepLines/>
              <w:widowControl/>
              <w:autoSpaceDE/>
              <w:autoSpaceDN/>
              <w:adjustRightInd/>
              <w:jc w:val="center"/>
              <w:rPr>
                <w:rFonts w:ascii="Calibri" w:eastAsia="Calibri" w:hAnsi="Calibri"/>
                <w:sz w:val="18"/>
                <w:szCs w:val="18"/>
              </w:rPr>
            </w:pPr>
            <w:r>
              <w:rPr>
                <w:rFonts w:ascii="Calibri" w:eastAsia="Calibri" w:hAnsi="Calibri"/>
                <w:sz w:val="18"/>
                <w:szCs w:val="18"/>
              </w:rPr>
              <w:t>Annually to renew permit and as needed to add or remove cooperative member vessels from permit</w:t>
            </w:r>
          </w:p>
        </w:tc>
      </w:tr>
      <w:tr w:rsidR="00A16DCA" w:rsidRPr="00A16DCA" w14:paraId="771FCE2E" w14:textId="358DE2F4" w:rsidTr="00644E0D">
        <w:trPr>
          <w:trHeight w:hRule="exact" w:val="570"/>
          <w:jc w:val="center"/>
        </w:trPr>
        <w:tc>
          <w:tcPr>
            <w:tcW w:w="3156" w:type="dxa"/>
            <w:tcBorders>
              <w:top w:val="single" w:sz="5" w:space="0" w:color="000000"/>
              <w:left w:val="single" w:sz="5" w:space="0" w:color="000000"/>
              <w:bottom w:val="single" w:sz="5" w:space="0" w:color="000000"/>
              <w:right w:val="single" w:sz="5" w:space="0" w:color="000000"/>
            </w:tcBorders>
            <w:vAlign w:val="center"/>
          </w:tcPr>
          <w:p w14:paraId="65854C23" w14:textId="77777777" w:rsidR="00A16DCA" w:rsidRPr="00A16DCA" w:rsidRDefault="00A16DCA" w:rsidP="00A16DCA">
            <w:pPr>
              <w:keepNext/>
              <w:keepLines/>
              <w:widowControl/>
              <w:autoSpaceDE/>
              <w:autoSpaceDN/>
              <w:adjustRightInd/>
              <w:jc w:val="center"/>
              <w:rPr>
                <w:rFonts w:ascii="Calibri" w:eastAsia="Calibri" w:hAnsi="Calibri"/>
                <w:sz w:val="18"/>
                <w:szCs w:val="18"/>
              </w:rPr>
            </w:pPr>
            <w:r w:rsidRPr="00A16DCA">
              <w:rPr>
                <w:rFonts w:ascii="Calibri" w:eastAsia="Calibri" w:hAnsi="Calibri"/>
                <w:sz w:val="18"/>
                <w:szCs w:val="18"/>
              </w:rPr>
              <w:t>AFA Inshore Vessel Contract Fishing Notification</w:t>
            </w:r>
          </w:p>
        </w:tc>
        <w:tc>
          <w:tcPr>
            <w:tcW w:w="2313" w:type="dxa"/>
            <w:tcBorders>
              <w:top w:val="single" w:sz="5" w:space="0" w:color="000000"/>
              <w:left w:val="single" w:sz="5" w:space="0" w:color="000000"/>
              <w:bottom w:val="single" w:sz="5" w:space="0" w:color="000000"/>
              <w:right w:val="single" w:sz="5" w:space="0" w:color="000000"/>
            </w:tcBorders>
            <w:vAlign w:val="center"/>
          </w:tcPr>
          <w:p w14:paraId="45C6CFD4" w14:textId="77777777" w:rsidR="00A16DCA" w:rsidRPr="00A16DCA" w:rsidRDefault="00A16DCA" w:rsidP="00A16DCA">
            <w:pPr>
              <w:keepNext/>
              <w:keepLines/>
              <w:widowControl/>
              <w:autoSpaceDE/>
              <w:autoSpaceDN/>
              <w:adjustRightInd/>
              <w:jc w:val="center"/>
              <w:rPr>
                <w:rFonts w:ascii="Calibri" w:eastAsia="Calibri" w:hAnsi="Calibri"/>
                <w:sz w:val="18"/>
                <w:szCs w:val="18"/>
              </w:rPr>
            </w:pPr>
            <w:r w:rsidRPr="00A16DCA">
              <w:rPr>
                <w:rFonts w:ascii="Calibri" w:eastAsia="Calibri" w:hAnsi="Calibri"/>
                <w:sz w:val="18"/>
                <w:szCs w:val="18"/>
              </w:rPr>
              <w:t>Mail (RAM), fax, delivery</w:t>
            </w:r>
          </w:p>
        </w:tc>
        <w:tc>
          <w:tcPr>
            <w:tcW w:w="2294" w:type="dxa"/>
            <w:tcBorders>
              <w:top w:val="single" w:sz="5" w:space="0" w:color="000000"/>
              <w:left w:val="single" w:sz="5" w:space="0" w:color="000000"/>
              <w:bottom w:val="single" w:sz="5" w:space="0" w:color="000000"/>
              <w:right w:val="single" w:sz="5" w:space="0" w:color="000000"/>
            </w:tcBorders>
            <w:vAlign w:val="center"/>
          </w:tcPr>
          <w:p w14:paraId="1313661F" w14:textId="74C2CD2F" w:rsidR="00A16DCA" w:rsidRPr="00A16DCA" w:rsidRDefault="00CB24A6" w:rsidP="00A16DCA">
            <w:pPr>
              <w:keepNext/>
              <w:keepLines/>
              <w:widowControl/>
              <w:autoSpaceDE/>
              <w:autoSpaceDN/>
              <w:adjustRightInd/>
              <w:jc w:val="center"/>
              <w:rPr>
                <w:rFonts w:asciiTheme="minorHAnsi" w:eastAsia="Calibri" w:hAnsiTheme="minorHAnsi" w:cstheme="minorHAnsi"/>
                <w:sz w:val="18"/>
                <w:szCs w:val="18"/>
              </w:rPr>
            </w:pPr>
            <w:r>
              <w:rPr>
                <w:rFonts w:asciiTheme="minorHAnsi" w:hAnsiTheme="minorHAnsi" w:cstheme="minorHAnsi"/>
                <w:sz w:val="18"/>
                <w:szCs w:val="18"/>
              </w:rPr>
              <w:t xml:space="preserve">AFA </w:t>
            </w:r>
            <w:r w:rsidR="00924EE0">
              <w:rPr>
                <w:rFonts w:asciiTheme="minorHAnsi" w:hAnsiTheme="minorHAnsi" w:cstheme="minorHAnsi"/>
                <w:sz w:val="18"/>
                <w:szCs w:val="18"/>
              </w:rPr>
              <w:t>c</w:t>
            </w:r>
            <w:r w:rsidR="00A16DCA" w:rsidRPr="00A16DCA">
              <w:rPr>
                <w:rFonts w:asciiTheme="minorHAnsi" w:hAnsiTheme="minorHAnsi" w:cstheme="minorHAnsi"/>
                <w:sz w:val="18"/>
                <w:szCs w:val="18"/>
              </w:rPr>
              <w:t xml:space="preserve">ooperative </w:t>
            </w:r>
            <w:r w:rsidR="00C47690">
              <w:rPr>
                <w:rFonts w:asciiTheme="minorHAnsi" w:hAnsiTheme="minorHAnsi" w:cstheme="minorHAnsi"/>
                <w:sz w:val="18"/>
                <w:szCs w:val="18"/>
              </w:rPr>
              <w:t>representative</w:t>
            </w:r>
            <w:r w:rsidR="00A16DCA" w:rsidRPr="00A16DCA">
              <w:rPr>
                <w:rFonts w:asciiTheme="minorHAnsi" w:hAnsiTheme="minorHAnsi" w:cstheme="minorHAnsi"/>
                <w:sz w:val="18"/>
                <w:szCs w:val="18"/>
              </w:rPr>
              <w:t>s</w:t>
            </w:r>
          </w:p>
        </w:tc>
        <w:tc>
          <w:tcPr>
            <w:tcW w:w="2294" w:type="dxa"/>
            <w:tcBorders>
              <w:top w:val="single" w:sz="5" w:space="0" w:color="000000"/>
              <w:left w:val="single" w:sz="5" w:space="0" w:color="000000"/>
              <w:bottom w:val="single" w:sz="5" w:space="0" w:color="000000"/>
              <w:right w:val="single" w:sz="5" w:space="0" w:color="000000"/>
            </w:tcBorders>
            <w:vAlign w:val="center"/>
          </w:tcPr>
          <w:p w14:paraId="1F4880BC" w14:textId="1884E5A4" w:rsidR="00A16DCA" w:rsidRPr="00A16DCA" w:rsidRDefault="00477B1F" w:rsidP="0078563F">
            <w:pPr>
              <w:keepNext/>
              <w:keepLines/>
              <w:widowControl/>
              <w:autoSpaceDE/>
              <w:autoSpaceDN/>
              <w:adjustRightInd/>
              <w:jc w:val="center"/>
              <w:rPr>
                <w:rFonts w:ascii="Calibri" w:eastAsia="Calibri" w:hAnsi="Calibri"/>
                <w:sz w:val="18"/>
                <w:szCs w:val="18"/>
              </w:rPr>
            </w:pPr>
            <w:r>
              <w:rPr>
                <w:rFonts w:ascii="Calibri" w:eastAsia="Calibri" w:hAnsi="Calibri"/>
                <w:sz w:val="18"/>
                <w:szCs w:val="18"/>
              </w:rPr>
              <w:t>As needed w</w:t>
            </w:r>
            <w:r w:rsidR="006A1FE8">
              <w:rPr>
                <w:rFonts w:ascii="Calibri" w:eastAsia="Calibri" w:hAnsi="Calibri"/>
                <w:sz w:val="18"/>
                <w:szCs w:val="18"/>
              </w:rPr>
              <w:t>hen contracting with a non-member vessel</w:t>
            </w:r>
          </w:p>
        </w:tc>
      </w:tr>
      <w:tr w:rsidR="00A16DCA" w:rsidRPr="00A16DCA" w14:paraId="1FA7F2D1" w14:textId="3B7F7AD3" w:rsidTr="00644E0D">
        <w:trPr>
          <w:trHeight w:hRule="exact" w:val="930"/>
          <w:jc w:val="center"/>
        </w:trPr>
        <w:tc>
          <w:tcPr>
            <w:tcW w:w="3156" w:type="dxa"/>
            <w:tcBorders>
              <w:top w:val="single" w:sz="5" w:space="0" w:color="000000"/>
              <w:left w:val="single" w:sz="5" w:space="0" w:color="000000"/>
              <w:bottom w:val="single" w:sz="5" w:space="0" w:color="000000"/>
              <w:right w:val="single" w:sz="5" w:space="0" w:color="000000"/>
            </w:tcBorders>
            <w:vAlign w:val="center"/>
          </w:tcPr>
          <w:p w14:paraId="1A35B692" w14:textId="77777777" w:rsidR="00A16DCA" w:rsidRPr="00A16DCA" w:rsidRDefault="00A16DCA" w:rsidP="00A16DCA">
            <w:pPr>
              <w:keepNext/>
              <w:keepLines/>
              <w:widowControl/>
              <w:autoSpaceDE/>
              <w:autoSpaceDN/>
              <w:adjustRightInd/>
              <w:jc w:val="center"/>
              <w:rPr>
                <w:rFonts w:ascii="Calibri" w:hAnsi="Calibri"/>
                <w:sz w:val="18"/>
                <w:szCs w:val="18"/>
              </w:rPr>
            </w:pPr>
            <w:r w:rsidRPr="00A16DCA">
              <w:rPr>
                <w:rFonts w:ascii="Calibri" w:hAnsi="Calibri"/>
                <w:sz w:val="18"/>
                <w:szCs w:val="18"/>
              </w:rPr>
              <w:t xml:space="preserve">Application for Approval as an Entity to Receive Transferable Chinook Salmon PSC Allocation  </w:t>
            </w:r>
          </w:p>
        </w:tc>
        <w:tc>
          <w:tcPr>
            <w:tcW w:w="2313" w:type="dxa"/>
            <w:tcBorders>
              <w:top w:val="single" w:sz="5" w:space="0" w:color="000000"/>
              <w:left w:val="single" w:sz="5" w:space="0" w:color="000000"/>
              <w:bottom w:val="single" w:sz="5" w:space="0" w:color="000000"/>
              <w:right w:val="single" w:sz="5" w:space="0" w:color="000000"/>
            </w:tcBorders>
            <w:vAlign w:val="center"/>
          </w:tcPr>
          <w:p w14:paraId="19A9BC42" w14:textId="77777777" w:rsidR="00A16DCA" w:rsidRPr="00A16DCA" w:rsidRDefault="00A16DCA" w:rsidP="00A16DCA">
            <w:pPr>
              <w:keepNext/>
              <w:keepLines/>
              <w:widowControl/>
              <w:autoSpaceDE/>
              <w:autoSpaceDN/>
              <w:adjustRightInd/>
              <w:jc w:val="center"/>
              <w:rPr>
                <w:rFonts w:ascii="Calibri" w:eastAsia="Calibri" w:hAnsi="Calibri"/>
                <w:sz w:val="18"/>
                <w:szCs w:val="18"/>
              </w:rPr>
            </w:pPr>
            <w:r w:rsidRPr="00A16DCA">
              <w:rPr>
                <w:rFonts w:ascii="Calibri" w:eastAsia="Calibri" w:hAnsi="Calibri"/>
                <w:sz w:val="18"/>
                <w:szCs w:val="18"/>
              </w:rPr>
              <w:t>Mail (SF), fax, eFISH</w:t>
            </w:r>
          </w:p>
        </w:tc>
        <w:tc>
          <w:tcPr>
            <w:tcW w:w="2294" w:type="dxa"/>
            <w:tcBorders>
              <w:top w:val="single" w:sz="5" w:space="0" w:color="000000"/>
              <w:left w:val="single" w:sz="5" w:space="0" w:color="000000"/>
              <w:bottom w:val="single" w:sz="5" w:space="0" w:color="000000"/>
              <w:right w:val="single" w:sz="5" w:space="0" w:color="000000"/>
            </w:tcBorders>
            <w:vAlign w:val="center"/>
          </w:tcPr>
          <w:p w14:paraId="687CC46F" w14:textId="7B71DA26" w:rsidR="00A16DCA" w:rsidRPr="00A16DCA" w:rsidRDefault="00A16DCA" w:rsidP="00A16DCA">
            <w:pPr>
              <w:keepNext/>
              <w:keepLines/>
              <w:widowControl/>
              <w:autoSpaceDE/>
              <w:autoSpaceDN/>
              <w:adjustRightInd/>
              <w:jc w:val="center"/>
              <w:rPr>
                <w:rFonts w:asciiTheme="minorHAnsi" w:eastAsia="Calibri" w:hAnsiTheme="minorHAnsi" w:cstheme="minorHAnsi"/>
                <w:sz w:val="18"/>
                <w:szCs w:val="18"/>
              </w:rPr>
            </w:pPr>
            <w:r w:rsidRPr="00A16DCA">
              <w:rPr>
                <w:rFonts w:asciiTheme="minorHAnsi" w:hAnsiTheme="minorHAnsi" w:cstheme="minorHAnsi"/>
                <w:sz w:val="18"/>
                <w:szCs w:val="18"/>
              </w:rPr>
              <w:t xml:space="preserve">AFA mothership sector representative; AFA catcher/processor representative </w:t>
            </w:r>
          </w:p>
        </w:tc>
        <w:tc>
          <w:tcPr>
            <w:tcW w:w="2294" w:type="dxa"/>
            <w:tcBorders>
              <w:top w:val="single" w:sz="5" w:space="0" w:color="000000"/>
              <w:left w:val="single" w:sz="5" w:space="0" w:color="000000"/>
              <w:bottom w:val="single" w:sz="5" w:space="0" w:color="000000"/>
              <w:right w:val="single" w:sz="5" w:space="0" w:color="000000"/>
            </w:tcBorders>
            <w:vAlign w:val="center"/>
          </w:tcPr>
          <w:p w14:paraId="2497B1EB" w14:textId="1BF58243" w:rsidR="00A16DCA" w:rsidRPr="00A16DCA" w:rsidRDefault="006A1FE8" w:rsidP="00644E0D">
            <w:pPr>
              <w:keepNext/>
              <w:keepLines/>
              <w:widowControl/>
              <w:autoSpaceDE/>
              <w:autoSpaceDN/>
              <w:adjustRightInd/>
              <w:jc w:val="center"/>
              <w:rPr>
                <w:rFonts w:ascii="Calibri" w:eastAsia="Calibri" w:hAnsi="Calibri"/>
                <w:sz w:val="18"/>
                <w:szCs w:val="18"/>
              </w:rPr>
            </w:pPr>
            <w:r>
              <w:rPr>
                <w:rFonts w:ascii="Calibri" w:eastAsia="Calibri" w:hAnsi="Calibri"/>
                <w:sz w:val="18"/>
                <w:szCs w:val="18"/>
              </w:rPr>
              <w:t>O</w:t>
            </w:r>
            <w:r w:rsidR="003B3E35">
              <w:rPr>
                <w:rFonts w:ascii="Calibri" w:eastAsia="Calibri" w:hAnsi="Calibri"/>
                <w:sz w:val="18"/>
                <w:szCs w:val="18"/>
              </w:rPr>
              <w:t xml:space="preserve">nce, </w:t>
            </w:r>
            <w:r w:rsidR="00644E0D">
              <w:rPr>
                <w:rFonts w:ascii="Calibri" w:eastAsia="Calibri" w:hAnsi="Calibri"/>
                <w:sz w:val="18"/>
                <w:szCs w:val="18"/>
              </w:rPr>
              <w:t>then</w:t>
            </w:r>
            <w:r w:rsidR="00477B1F">
              <w:rPr>
                <w:rFonts w:ascii="Calibri" w:eastAsia="Calibri" w:hAnsi="Calibri"/>
                <w:sz w:val="18"/>
                <w:szCs w:val="18"/>
              </w:rPr>
              <w:t xml:space="preserve"> as </w:t>
            </w:r>
            <w:r w:rsidR="003B3E35">
              <w:rPr>
                <w:rFonts w:ascii="Calibri" w:eastAsia="Calibri" w:hAnsi="Calibri"/>
                <w:sz w:val="18"/>
                <w:szCs w:val="18"/>
              </w:rPr>
              <w:t>need</w:t>
            </w:r>
            <w:r w:rsidR="00477B1F">
              <w:rPr>
                <w:rFonts w:ascii="Calibri" w:eastAsia="Calibri" w:hAnsi="Calibri"/>
                <w:sz w:val="18"/>
                <w:szCs w:val="18"/>
              </w:rPr>
              <w:t>ed</w:t>
            </w:r>
            <w:r w:rsidR="003B3E35">
              <w:rPr>
                <w:rFonts w:ascii="Calibri" w:eastAsia="Calibri" w:hAnsi="Calibri"/>
                <w:sz w:val="18"/>
                <w:szCs w:val="18"/>
              </w:rPr>
              <w:t xml:space="preserve"> to amend or revoke.</w:t>
            </w:r>
          </w:p>
        </w:tc>
      </w:tr>
      <w:tr w:rsidR="00A16DCA" w:rsidRPr="00A16DCA" w14:paraId="2ADF866F" w14:textId="6A913FDD" w:rsidTr="00644E0D">
        <w:trPr>
          <w:trHeight w:hRule="exact" w:val="1857"/>
          <w:jc w:val="center"/>
        </w:trPr>
        <w:tc>
          <w:tcPr>
            <w:tcW w:w="315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1AF04E" w14:textId="77777777" w:rsidR="00A16DCA" w:rsidRPr="00A16DCA" w:rsidRDefault="00A16DCA" w:rsidP="00A16DCA">
            <w:pPr>
              <w:keepNext/>
              <w:keepLines/>
              <w:widowControl/>
              <w:autoSpaceDE/>
              <w:autoSpaceDN/>
              <w:adjustRightInd/>
              <w:jc w:val="center"/>
              <w:rPr>
                <w:rFonts w:ascii="Calibri" w:eastAsia="Calibri" w:hAnsi="Calibri"/>
                <w:sz w:val="18"/>
                <w:szCs w:val="18"/>
              </w:rPr>
            </w:pPr>
            <w:r w:rsidRPr="00A16DCA">
              <w:rPr>
                <w:rFonts w:ascii="Calibri" w:eastAsia="Calibri" w:hAnsi="Calibri"/>
                <w:sz w:val="18"/>
                <w:szCs w:val="18"/>
              </w:rPr>
              <w:t xml:space="preserve">Application for Transfer of Bering Sea Chinook Salmon PSC Allocations  </w:t>
            </w:r>
          </w:p>
        </w:tc>
        <w:tc>
          <w:tcPr>
            <w:tcW w:w="231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819289" w14:textId="77777777" w:rsidR="00A16DCA" w:rsidRPr="00A16DCA" w:rsidRDefault="00A16DCA" w:rsidP="00A16DCA">
            <w:pPr>
              <w:keepNext/>
              <w:keepLines/>
              <w:widowControl/>
              <w:autoSpaceDE/>
              <w:autoSpaceDN/>
              <w:adjustRightInd/>
              <w:jc w:val="center"/>
              <w:rPr>
                <w:rFonts w:ascii="Calibri" w:eastAsia="Calibri" w:hAnsi="Calibri"/>
                <w:sz w:val="18"/>
                <w:szCs w:val="18"/>
              </w:rPr>
            </w:pPr>
            <w:r w:rsidRPr="00A16DCA">
              <w:rPr>
                <w:rFonts w:ascii="Calibri" w:eastAsia="Calibri" w:hAnsi="Calibri"/>
                <w:sz w:val="18"/>
                <w:szCs w:val="18"/>
              </w:rPr>
              <w:t>Mail (SF), fax, eFISH</w:t>
            </w:r>
          </w:p>
        </w:tc>
        <w:tc>
          <w:tcPr>
            <w:tcW w:w="2294" w:type="dxa"/>
            <w:tcBorders>
              <w:top w:val="single" w:sz="5" w:space="0" w:color="000000"/>
              <w:left w:val="single" w:sz="5" w:space="0" w:color="000000"/>
              <w:bottom w:val="single" w:sz="5" w:space="0" w:color="000000"/>
              <w:right w:val="single" w:sz="5" w:space="0" w:color="000000"/>
            </w:tcBorders>
            <w:vAlign w:val="center"/>
          </w:tcPr>
          <w:p w14:paraId="3DC308E8" w14:textId="5A0303EC" w:rsidR="00A16DCA" w:rsidRPr="00A16DCA" w:rsidRDefault="00A16DCA" w:rsidP="00024FAB">
            <w:pPr>
              <w:keepNext/>
              <w:keepLines/>
              <w:widowControl/>
              <w:autoSpaceDE/>
              <w:autoSpaceDN/>
              <w:adjustRightInd/>
              <w:jc w:val="center"/>
              <w:rPr>
                <w:rFonts w:asciiTheme="minorHAnsi" w:eastAsia="Calibri" w:hAnsiTheme="minorHAnsi" w:cstheme="minorHAnsi"/>
                <w:sz w:val="18"/>
                <w:szCs w:val="18"/>
              </w:rPr>
            </w:pPr>
            <w:r w:rsidRPr="00A16DCA">
              <w:rPr>
                <w:rFonts w:asciiTheme="minorHAnsi" w:hAnsiTheme="minorHAnsi" w:cstheme="minorHAnsi"/>
                <w:sz w:val="18"/>
                <w:szCs w:val="18"/>
              </w:rPr>
              <w:t xml:space="preserve">AFA sector representatives, </w:t>
            </w:r>
            <w:r w:rsidR="00CB24A6">
              <w:rPr>
                <w:rFonts w:asciiTheme="minorHAnsi" w:hAnsiTheme="minorHAnsi" w:cstheme="minorHAnsi"/>
                <w:sz w:val="18"/>
                <w:szCs w:val="18"/>
              </w:rPr>
              <w:t xml:space="preserve">AFA </w:t>
            </w:r>
            <w:r w:rsidR="00924EE0">
              <w:rPr>
                <w:rFonts w:asciiTheme="minorHAnsi" w:hAnsiTheme="minorHAnsi" w:cstheme="minorHAnsi"/>
                <w:sz w:val="18"/>
                <w:szCs w:val="18"/>
              </w:rPr>
              <w:t>c</w:t>
            </w:r>
            <w:r w:rsidRPr="00A16DCA">
              <w:rPr>
                <w:rFonts w:asciiTheme="minorHAnsi" w:hAnsiTheme="minorHAnsi" w:cstheme="minorHAnsi"/>
                <w:sz w:val="18"/>
                <w:szCs w:val="18"/>
              </w:rPr>
              <w:t xml:space="preserve">ooperative </w:t>
            </w:r>
            <w:r w:rsidR="00C47690">
              <w:rPr>
                <w:rFonts w:asciiTheme="minorHAnsi" w:hAnsiTheme="minorHAnsi" w:cstheme="minorHAnsi"/>
                <w:sz w:val="18"/>
                <w:szCs w:val="18"/>
              </w:rPr>
              <w:t>representative</w:t>
            </w:r>
            <w:r w:rsidRPr="00A16DCA">
              <w:rPr>
                <w:rFonts w:asciiTheme="minorHAnsi" w:hAnsiTheme="minorHAnsi" w:cstheme="minorHAnsi"/>
                <w:sz w:val="18"/>
                <w:szCs w:val="18"/>
              </w:rPr>
              <w:t xml:space="preserve">s, CDQ group representatives </w:t>
            </w:r>
          </w:p>
        </w:tc>
        <w:tc>
          <w:tcPr>
            <w:tcW w:w="2294" w:type="dxa"/>
            <w:tcBorders>
              <w:top w:val="single" w:sz="5" w:space="0" w:color="000000"/>
              <w:left w:val="single" w:sz="5" w:space="0" w:color="000000"/>
              <w:bottom w:val="single" w:sz="5" w:space="0" w:color="000000"/>
              <w:right w:val="single" w:sz="5" w:space="0" w:color="000000"/>
            </w:tcBorders>
            <w:vAlign w:val="center"/>
          </w:tcPr>
          <w:p w14:paraId="614BE3AA" w14:textId="33BF7CBB" w:rsidR="00A16DCA" w:rsidRPr="00A16DCA" w:rsidRDefault="00477B1F" w:rsidP="00A16DCA">
            <w:pPr>
              <w:keepNext/>
              <w:keepLines/>
              <w:widowControl/>
              <w:autoSpaceDE/>
              <w:autoSpaceDN/>
              <w:adjustRightInd/>
              <w:jc w:val="center"/>
              <w:rPr>
                <w:rFonts w:ascii="Calibri" w:eastAsia="Calibri" w:hAnsi="Calibri"/>
                <w:sz w:val="18"/>
                <w:szCs w:val="18"/>
              </w:rPr>
            </w:pPr>
            <w:r>
              <w:rPr>
                <w:rFonts w:ascii="Calibri" w:eastAsia="Calibri" w:hAnsi="Calibri"/>
                <w:sz w:val="18"/>
                <w:szCs w:val="18"/>
              </w:rPr>
              <w:t xml:space="preserve">As needed when transferring all or a portion of the entity’s Chinook salmon PSC allocation. </w:t>
            </w:r>
            <w:r w:rsidRPr="00477B1F">
              <w:rPr>
                <w:rFonts w:ascii="Calibri" w:eastAsia="Calibri" w:hAnsi="Calibri"/>
                <w:sz w:val="18"/>
                <w:szCs w:val="18"/>
              </w:rPr>
              <w:t>To date, no applications have been submitted as the Chinook salmon PSC limits have not been reached.</w:t>
            </w:r>
          </w:p>
        </w:tc>
      </w:tr>
    </w:tbl>
    <w:p w14:paraId="42A7688E" w14:textId="77777777" w:rsidR="00FD5066" w:rsidRPr="00A16DCA" w:rsidRDefault="00FD5066" w:rsidP="00945BF8">
      <w:pPr>
        <w:keepNext/>
        <w:keepLines/>
        <w:widowControl/>
        <w:autoSpaceDE/>
        <w:autoSpaceDN/>
        <w:adjustRightInd/>
        <w:rPr>
          <w:rFonts w:asciiTheme="minorHAnsi" w:eastAsia="Calibri" w:hAnsiTheme="minorHAnsi" w:cstheme="minorHAnsi"/>
          <w:sz w:val="18"/>
          <w:szCs w:val="18"/>
        </w:rPr>
      </w:pPr>
      <w:r w:rsidRPr="00A16DCA">
        <w:rPr>
          <w:rFonts w:asciiTheme="minorHAnsi" w:eastAsia="Calibri" w:hAnsiTheme="minorHAnsi" w:cstheme="minorHAnsi"/>
          <w:sz w:val="18"/>
          <w:szCs w:val="18"/>
          <w:vertAlign w:val="superscript"/>
        </w:rPr>
        <w:t>1</w:t>
      </w:r>
      <w:r w:rsidRPr="00A16DCA">
        <w:rPr>
          <w:rFonts w:asciiTheme="minorHAnsi" w:eastAsia="Calibri" w:hAnsiTheme="minorHAnsi" w:cstheme="minorHAnsi"/>
          <w:sz w:val="18"/>
          <w:szCs w:val="18"/>
        </w:rPr>
        <w:t xml:space="preserve"> Forms are available as fillable pdfs on the </w:t>
      </w:r>
      <w:hyperlink r:id="rId9" w:history="1">
        <w:r w:rsidRPr="00A16DCA">
          <w:rPr>
            <w:rFonts w:asciiTheme="minorHAnsi" w:hAnsiTheme="minorHAnsi" w:cstheme="minorHAnsi"/>
            <w:color w:val="0000FF"/>
            <w:sz w:val="18"/>
            <w:szCs w:val="18"/>
            <w:u w:val="single"/>
          </w:rPr>
          <w:t>NMFS Alaska Region website</w:t>
        </w:r>
      </w:hyperlink>
      <w:r w:rsidRPr="00A16DCA">
        <w:rPr>
          <w:rFonts w:asciiTheme="minorHAnsi" w:eastAsia="Calibri" w:hAnsiTheme="minorHAnsi" w:cstheme="minorHAnsi"/>
          <w:sz w:val="18"/>
          <w:szCs w:val="18"/>
        </w:rPr>
        <w:t>.</w:t>
      </w:r>
    </w:p>
    <w:p w14:paraId="2B62D8DE" w14:textId="77777777" w:rsidR="00FD5066" w:rsidRPr="00945BF8" w:rsidRDefault="00FD5066" w:rsidP="00945BF8">
      <w:pPr>
        <w:keepNext/>
        <w:keepLines/>
        <w:widowControl/>
        <w:autoSpaceDE/>
        <w:autoSpaceDN/>
        <w:adjustRightInd/>
        <w:rPr>
          <w:rFonts w:asciiTheme="minorHAnsi" w:eastAsia="Calibri" w:hAnsiTheme="minorHAnsi" w:cstheme="minorHAnsi"/>
          <w:sz w:val="18"/>
          <w:szCs w:val="18"/>
        </w:rPr>
      </w:pPr>
      <w:r w:rsidRPr="00945BF8">
        <w:rPr>
          <w:rFonts w:asciiTheme="minorHAnsi" w:eastAsia="Calibri" w:hAnsiTheme="minorHAnsi" w:cstheme="minorHAnsi"/>
          <w:sz w:val="18"/>
          <w:szCs w:val="18"/>
          <w:vertAlign w:val="superscript"/>
        </w:rPr>
        <w:t>2</w:t>
      </w:r>
      <w:r w:rsidRPr="00945BF8">
        <w:rPr>
          <w:rFonts w:asciiTheme="minorHAnsi" w:eastAsia="Calibri" w:hAnsiTheme="minorHAnsi" w:cstheme="minorHAnsi"/>
          <w:sz w:val="18"/>
          <w:szCs w:val="18"/>
        </w:rPr>
        <w:t xml:space="preserve"> </w:t>
      </w:r>
      <w:r w:rsidRPr="00945BF8">
        <w:rPr>
          <w:rFonts w:asciiTheme="minorHAnsi" w:eastAsia="Calibri" w:hAnsiTheme="minorHAnsi" w:cstheme="minorHAnsi"/>
          <w:b/>
          <w:sz w:val="18"/>
          <w:szCs w:val="18"/>
        </w:rPr>
        <w:t>Mail (RAM)</w:t>
      </w:r>
      <w:r w:rsidRPr="00945BF8">
        <w:rPr>
          <w:rFonts w:asciiTheme="minorHAnsi" w:eastAsia="Calibri" w:hAnsiTheme="minorHAnsi" w:cstheme="minorHAnsi"/>
          <w:sz w:val="18"/>
          <w:szCs w:val="18"/>
        </w:rPr>
        <w:t>: NMFS Alaska Region, Restricted Access Management, P.O. Box 21668, Juneau, AK 99802-1668</w:t>
      </w:r>
    </w:p>
    <w:p w14:paraId="0A2688DB" w14:textId="77777777" w:rsidR="00FD5066" w:rsidRPr="00945BF8" w:rsidRDefault="00FD5066" w:rsidP="00945BF8">
      <w:pPr>
        <w:keepNext/>
        <w:keepLines/>
        <w:widowControl/>
        <w:autoSpaceDE/>
        <w:autoSpaceDN/>
        <w:adjustRightInd/>
        <w:rPr>
          <w:rFonts w:asciiTheme="minorHAnsi" w:eastAsia="Calibri" w:hAnsiTheme="minorHAnsi" w:cstheme="minorHAnsi"/>
          <w:sz w:val="18"/>
          <w:szCs w:val="18"/>
        </w:rPr>
      </w:pPr>
      <w:r w:rsidRPr="00945BF8">
        <w:rPr>
          <w:rFonts w:asciiTheme="minorHAnsi" w:eastAsia="Calibri" w:hAnsiTheme="minorHAnsi" w:cstheme="minorHAnsi"/>
          <w:sz w:val="18"/>
          <w:szCs w:val="18"/>
        </w:rPr>
        <w:t xml:space="preserve">  </w:t>
      </w:r>
      <w:r w:rsidRPr="00945BF8">
        <w:rPr>
          <w:rFonts w:asciiTheme="minorHAnsi" w:eastAsia="Calibri" w:hAnsiTheme="minorHAnsi" w:cstheme="minorHAnsi"/>
          <w:b/>
          <w:sz w:val="18"/>
          <w:szCs w:val="18"/>
        </w:rPr>
        <w:t>Mail (SF)</w:t>
      </w:r>
      <w:r w:rsidRPr="00945BF8">
        <w:rPr>
          <w:rFonts w:asciiTheme="minorHAnsi" w:eastAsia="Calibri" w:hAnsiTheme="minorHAnsi" w:cstheme="minorHAnsi"/>
          <w:sz w:val="18"/>
          <w:szCs w:val="18"/>
        </w:rPr>
        <w:t>: NMFS Alaska Region, Sustainable Fisheries Division, P.O. Box 21668, Juneau, AK 99802-1668</w:t>
      </w:r>
    </w:p>
    <w:p w14:paraId="035CE2A0" w14:textId="77777777" w:rsidR="00FD5066" w:rsidRPr="00945BF8" w:rsidRDefault="00FD5066" w:rsidP="00945BF8">
      <w:pPr>
        <w:keepNext/>
        <w:keepLines/>
        <w:widowControl/>
        <w:autoSpaceDE/>
        <w:autoSpaceDN/>
        <w:adjustRightInd/>
        <w:rPr>
          <w:rFonts w:asciiTheme="minorHAnsi" w:eastAsia="Calibri" w:hAnsiTheme="minorHAnsi" w:cstheme="minorHAnsi"/>
          <w:sz w:val="18"/>
          <w:szCs w:val="18"/>
        </w:rPr>
      </w:pPr>
      <w:r w:rsidRPr="00945BF8">
        <w:rPr>
          <w:rFonts w:asciiTheme="minorHAnsi" w:eastAsia="Calibri" w:hAnsiTheme="minorHAnsi" w:cstheme="minorHAnsi"/>
          <w:sz w:val="18"/>
          <w:szCs w:val="18"/>
        </w:rPr>
        <w:t xml:space="preserve">  </w:t>
      </w:r>
      <w:r w:rsidRPr="00945BF8">
        <w:rPr>
          <w:rFonts w:asciiTheme="minorHAnsi" w:eastAsia="Calibri" w:hAnsiTheme="minorHAnsi" w:cstheme="minorHAnsi"/>
          <w:b/>
          <w:sz w:val="18"/>
          <w:szCs w:val="18"/>
        </w:rPr>
        <w:t>Delivery</w:t>
      </w:r>
      <w:r w:rsidRPr="00945BF8">
        <w:rPr>
          <w:rFonts w:asciiTheme="minorHAnsi" w:eastAsia="Calibri" w:hAnsiTheme="minorHAnsi" w:cstheme="minorHAnsi"/>
          <w:sz w:val="18"/>
          <w:szCs w:val="18"/>
        </w:rPr>
        <w:t>: 709 West 9</w:t>
      </w:r>
      <w:r w:rsidRPr="00945BF8">
        <w:rPr>
          <w:rFonts w:asciiTheme="minorHAnsi" w:eastAsia="Calibri" w:hAnsiTheme="minorHAnsi" w:cstheme="minorHAnsi"/>
          <w:sz w:val="18"/>
          <w:szCs w:val="18"/>
          <w:vertAlign w:val="superscript"/>
        </w:rPr>
        <w:t>th</w:t>
      </w:r>
      <w:r w:rsidRPr="00945BF8">
        <w:rPr>
          <w:rFonts w:asciiTheme="minorHAnsi" w:eastAsia="Calibri" w:hAnsiTheme="minorHAnsi" w:cstheme="minorHAnsi"/>
          <w:sz w:val="18"/>
          <w:szCs w:val="18"/>
        </w:rPr>
        <w:t xml:space="preserve"> Street, Room 713, Juneau, AK, 99801</w:t>
      </w:r>
    </w:p>
    <w:p w14:paraId="1D6EB5EC" w14:textId="77777777" w:rsidR="00FD5066" w:rsidRPr="00945BF8" w:rsidRDefault="00FD5066" w:rsidP="00945BF8">
      <w:pPr>
        <w:keepNext/>
        <w:keepLines/>
        <w:widowControl/>
        <w:autoSpaceDE/>
        <w:autoSpaceDN/>
        <w:adjustRightInd/>
        <w:rPr>
          <w:rFonts w:asciiTheme="minorHAnsi" w:eastAsia="Calibri" w:hAnsiTheme="minorHAnsi" w:cstheme="minorHAnsi"/>
          <w:sz w:val="18"/>
          <w:szCs w:val="18"/>
        </w:rPr>
      </w:pPr>
      <w:r w:rsidRPr="00945BF8">
        <w:rPr>
          <w:rFonts w:asciiTheme="minorHAnsi" w:eastAsia="Calibri" w:hAnsiTheme="minorHAnsi" w:cstheme="minorHAnsi"/>
          <w:sz w:val="18"/>
          <w:szCs w:val="18"/>
        </w:rPr>
        <w:t xml:space="preserve">  </w:t>
      </w:r>
      <w:r w:rsidRPr="00945BF8">
        <w:rPr>
          <w:rFonts w:asciiTheme="minorHAnsi" w:eastAsia="Calibri" w:hAnsiTheme="minorHAnsi" w:cstheme="minorHAnsi"/>
          <w:b/>
          <w:sz w:val="18"/>
          <w:szCs w:val="18"/>
        </w:rPr>
        <w:t>Fax</w:t>
      </w:r>
      <w:r w:rsidRPr="00945BF8">
        <w:rPr>
          <w:rFonts w:asciiTheme="minorHAnsi" w:eastAsia="Calibri" w:hAnsiTheme="minorHAnsi" w:cstheme="minorHAnsi"/>
          <w:sz w:val="18"/>
          <w:szCs w:val="18"/>
        </w:rPr>
        <w:t>: (907) 586-7354</w:t>
      </w:r>
    </w:p>
    <w:p w14:paraId="3B45CF23" w14:textId="77777777" w:rsidR="00FD5066" w:rsidRPr="00945BF8" w:rsidRDefault="00FD5066" w:rsidP="00945BF8">
      <w:pPr>
        <w:keepNext/>
        <w:keepLines/>
        <w:widowControl/>
        <w:autoSpaceDE/>
        <w:autoSpaceDN/>
        <w:adjustRightInd/>
        <w:rPr>
          <w:rFonts w:asciiTheme="minorHAnsi" w:eastAsia="Calibri" w:hAnsiTheme="minorHAnsi" w:cstheme="minorHAnsi"/>
          <w:sz w:val="18"/>
          <w:szCs w:val="18"/>
        </w:rPr>
      </w:pPr>
      <w:r w:rsidRPr="00945BF8">
        <w:rPr>
          <w:rFonts w:asciiTheme="minorHAnsi" w:eastAsia="Calibri" w:hAnsiTheme="minorHAnsi" w:cstheme="minorHAnsi"/>
          <w:b/>
          <w:sz w:val="18"/>
          <w:szCs w:val="18"/>
        </w:rPr>
        <w:t xml:space="preserve">  eFISH</w:t>
      </w:r>
      <w:r w:rsidRPr="00945BF8">
        <w:rPr>
          <w:rFonts w:asciiTheme="minorHAnsi" w:eastAsia="Calibri" w:hAnsiTheme="minorHAnsi" w:cstheme="minorHAnsi"/>
          <w:sz w:val="18"/>
          <w:szCs w:val="18"/>
        </w:rPr>
        <w:t xml:space="preserve">: </w:t>
      </w:r>
      <w:hyperlink r:id="rId10" w:history="1">
        <w:r w:rsidRPr="00945BF8">
          <w:rPr>
            <w:rFonts w:asciiTheme="minorHAnsi" w:hAnsiTheme="minorHAnsi" w:cstheme="minorHAnsi"/>
            <w:color w:val="0000FF"/>
            <w:sz w:val="18"/>
            <w:szCs w:val="18"/>
            <w:u w:val="single"/>
          </w:rPr>
          <w:t>https://alaskafisheries.noaa.gov/webapps/efish/login</w:t>
        </w:r>
      </w:hyperlink>
    </w:p>
    <w:p w14:paraId="6D62323C" w14:textId="77777777" w:rsidR="00FD5066" w:rsidRDefault="00FD5066" w:rsidP="00584100">
      <w:pPr>
        <w:widowControl/>
      </w:pPr>
    </w:p>
    <w:p w14:paraId="4F7D9C9F" w14:textId="77777777" w:rsidR="0088600D" w:rsidRDefault="0088600D" w:rsidP="00584100">
      <w:pPr>
        <w:widowControl/>
      </w:pPr>
    </w:p>
    <w:p w14:paraId="2F82E0AE" w14:textId="0D82016E" w:rsidR="00A05E05" w:rsidRDefault="00733B4D" w:rsidP="00584100">
      <w:pPr>
        <w:widowControl/>
      </w:pPr>
      <w:r>
        <w:t xml:space="preserve">The following addresses the purpose for which the information is collected and some additional information about how the information is collected. </w:t>
      </w:r>
    </w:p>
    <w:p w14:paraId="175AC636" w14:textId="77777777" w:rsidR="005733E7" w:rsidRDefault="005733E7">
      <w:pPr>
        <w:widowControl/>
        <w:tabs>
          <w:tab w:val="left" w:pos="-1180"/>
          <w:tab w:val="left" w:pos="-720"/>
          <w:tab w:val="left" w:pos="0"/>
          <w:tab w:val="left" w:pos="360"/>
          <w:tab w:val="left" w:pos="720"/>
          <w:tab w:val="left" w:pos="1080"/>
        </w:tabs>
        <w:rPr>
          <w:b/>
        </w:rPr>
      </w:pPr>
    </w:p>
    <w:p w14:paraId="4AF24748" w14:textId="35DDC1A6" w:rsidR="00AE57F8" w:rsidRPr="00F51DF2" w:rsidRDefault="00086A70">
      <w:pPr>
        <w:widowControl/>
        <w:tabs>
          <w:tab w:val="left" w:pos="-1180"/>
          <w:tab w:val="left" w:pos="-720"/>
          <w:tab w:val="left" w:pos="0"/>
          <w:tab w:val="left" w:pos="360"/>
          <w:tab w:val="left" w:pos="720"/>
          <w:tab w:val="left" w:pos="1080"/>
        </w:tabs>
      </w:pPr>
      <w:r w:rsidRPr="00086A70">
        <w:rPr>
          <w:b/>
        </w:rPr>
        <w:t>A</w:t>
      </w:r>
      <w:r w:rsidR="0022682D">
        <w:rPr>
          <w:b/>
        </w:rPr>
        <w:t>merican Fisheries Act (A</w:t>
      </w:r>
      <w:r w:rsidRPr="00086A70">
        <w:rPr>
          <w:b/>
        </w:rPr>
        <w:t>FA</w:t>
      </w:r>
      <w:r w:rsidR="0022682D">
        <w:rPr>
          <w:b/>
        </w:rPr>
        <w:t>)</w:t>
      </w:r>
      <w:r w:rsidRPr="00086A70">
        <w:rPr>
          <w:b/>
        </w:rPr>
        <w:t xml:space="preserve"> Permit: Rebuilt, </w:t>
      </w:r>
      <w:r w:rsidR="00267A1F" w:rsidRPr="00086A70">
        <w:rPr>
          <w:b/>
        </w:rPr>
        <w:t>Replace</w:t>
      </w:r>
      <w:r w:rsidR="00267A1F">
        <w:rPr>
          <w:b/>
        </w:rPr>
        <w:t>ment</w:t>
      </w:r>
      <w:r w:rsidRPr="00086A70">
        <w:rPr>
          <w:b/>
        </w:rPr>
        <w:t>, or Removed Vessel</w:t>
      </w:r>
      <w:r w:rsidR="00267A1F">
        <w:rPr>
          <w:b/>
        </w:rPr>
        <w:t xml:space="preserve"> Application</w:t>
      </w:r>
      <w:r w:rsidR="00F51DF2">
        <w:rPr>
          <w:b/>
          <w:bCs/>
        </w:rPr>
        <w:t xml:space="preserve"> </w:t>
      </w:r>
    </w:p>
    <w:p w14:paraId="4BA5675A" w14:textId="77777777" w:rsidR="00AE57F8" w:rsidRPr="000208C4" w:rsidRDefault="00AE57F8">
      <w:pPr>
        <w:widowControl/>
        <w:tabs>
          <w:tab w:val="left" w:pos="-1180"/>
          <w:tab w:val="left" w:pos="-720"/>
          <w:tab w:val="left" w:pos="0"/>
          <w:tab w:val="left" w:pos="360"/>
          <w:tab w:val="left" w:pos="720"/>
          <w:tab w:val="left" w:pos="1080"/>
        </w:tabs>
      </w:pPr>
    </w:p>
    <w:p w14:paraId="68FE60DD" w14:textId="79D4F746" w:rsidR="0022682D" w:rsidRPr="000208C4" w:rsidRDefault="00CB24A6" w:rsidP="000208C4">
      <w:pPr>
        <w:widowControl/>
        <w:tabs>
          <w:tab w:val="left" w:pos="-1180"/>
          <w:tab w:val="left" w:pos="-720"/>
          <w:tab w:val="left" w:pos="0"/>
          <w:tab w:val="left" w:pos="360"/>
          <w:tab w:val="left" w:pos="720"/>
          <w:tab w:val="left" w:pos="1080"/>
        </w:tabs>
      </w:pPr>
      <w:r>
        <w:t>Vessel owners submit t</w:t>
      </w:r>
      <w:r w:rsidR="0022682D" w:rsidRPr="000208C4">
        <w:t xml:space="preserve">he American Fisheries Act (AFA) Permit: Rebuilt, Replacement, or Removed Vessel Application </w:t>
      </w:r>
      <w:r>
        <w:t xml:space="preserve">to NMFS </w:t>
      </w:r>
      <w:r w:rsidR="0022682D" w:rsidRPr="000208C4">
        <w:t>for the following purposes:</w:t>
      </w:r>
    </w:p>
    <w:p w14:paraId="2E83A361" w14:textId="27CF6266" w:rsidR="0022682D" w:rsidRPr="000208C4" w:rsidRDefault="0022682D" w:rsidP="000208C4">
      <w:pPr>
        <w:pStyle w:val="ListParagraph"/>
        <w:numPr>
          <w:ilvl w:val="0"/>
          <w:numId w:val="2"/>
        </w:numPr>
        <w:tabs>
          <w:tab w:val="left" w:pos="-1180"/>
          <w:tab w:val="left" w:pos="-720"/>
          <w:tab w:val="left" w:pos="0"/>
          <w:tab w:val="left" w:pos="360"/>
          <w:tab w:val="left" w:pos="720"/>
          <w:tab w:val="left" w:pos="1080"/>
        </w:tabs>
        <w:spacing w:after="0"/>
        <w:contextualSpacing w:val="0"/>
        <w:rPr>
          <w:rFonts w:ascii="Times New Roman" w:hAnsi="Times New Roman"/>
        </w:rPr>
      </w:pPr>
      <w:r w:rsidRPr="000208C4">
        <w:rPr>
          <w:rFonts w:ascii="Times New Roman" w:hAnsi="Times New Roman"/>
        </w:rPr>
        <w:t>Notify NMFS that an AFA vessel has been rebuilt;</w:t>
      </w:r>
    </w:p>
    <w:p w14:paraId="53A9797F" w14:textId="66F97249" w:rsidR="0022682D" w:rsidRPr="000208C4" w:rsidRDefault="0022682D" w:rsidP="000208C4">
      <w:pPr>
        <w:pStyle w:val="ListParagraph"/>
        <w:numPr>
          <w:ilvl w:val="0"/>
          <w:numId w:val="2"/>
        </w:numPr>
        <w:tabs>
          <w:tab w:val="left" w:pos="-1180"/>
          <w:tab w:val="left" w:pos="-720"/>
          <w:tab w:val="left" w:pos="360"/>
          <w:tab w:val="left" w:pos="720"/>
          <w:tab w:val="left" w:pos="1080"/>
        </w:tabs>
        <w:spacing w:after="0"/>
        <w:contextualSpacing w:val="0"/>
        <w:rPr>
          <w:rFonts w:ascii="Times New Roman" w:hAnsi="Times New Roman"/>
        </w:rPr>
      </w:pPr>
      <w:r w:rsidRPr="000208C4">
        <w:rPr>
          <w:rFonts w:ascii="Times New Roman" w:hAnsi="Times New Roman"/>
        </w:rPr>
        <w:t>Request an AFA permit for a replacement catcher vessel, catcher/processor; or mothership; or</w:t>
      </w:r>
    </w:p>
    <w:p w14:paraId="465B68F3" w14:textId="4F98171D" w:rsidR="0022682D" w:rsidRPr="000208C4" w:rsidRDefault="0022682D" w:rsidP="000208C4">
      <w:pPr>
        <w:pStyle w:val="ListParagraph"/>
        <w:numPr>
          <w:ilvl w:val="0"/>
          <w:numId w:val="2"/>
        </w:numPr>
        <w:tabs>
          <w:tab w:val="left" w:pos="-1180"/>
          <w:tab w:val="left" w:pos="-720"/>
          <w:tab w:val="left" w:pos="360"/>
          <w:tab w:val="left" w:pos="720"/>
          <w:tab w:val="left" w:pos="1080"/>
        </w:tabs>
        <w:spacing w:after="0"/>
        <w:contextualSpacing w:val="0"/>
        <w:rPr>
          <w:rFonts w:ascii="Times New Roman" w:hAnsi="Times New Roman"/>
        </w:rPr>
      </w:pPr>
      <w:r w:rsidRPr="000208C4">
        <w:rPr>
          <w:rFonts w:ascii="Times New Roman" w:hAnsi="Times New Roman"/>
        </w:rPr>
        <w:t>Request removal of an AFA catcher vessel that is a member of an inshore cooperative and assignment of the catch history of that vessel to other vessel or vessels in the same inshore cooperative.</w:t>
      </w:r>
    </w:p>
    <w:p w14:paraId="07E335D9" w14:textId="361544D5" w:rsidR="0022682D" w:rsidRPr="000208C4" w:rsidRDefault="0022682D" w:rsidP="000208C4">
      <w:pPr>
        <w:widowControl/>
        <w:tabs>
          <w:tab w:val="left" w:pos="-1180"/>
          <w:tab w:val="left" w:pos="-720"/>
          <w:tab w:val="left" w:pos="0"/>
          <w:tab w:val="left" w:pos="360"/>
          <w:tab w:val="left" w:pos="720"/>
          <w:tab w:val="left" w:pos="1080"/>
        </w:tabs>
      </w:pPr>
    </w:p>
    <w:p w14:paraId="35D24B8F" w14:textId="77777777" w:rsidR="000003EF" w:rsidRDefault="008D2396" w:rsidP="000208C4">
      <w:pPr>
        <w:widowControl/>
        <w:tabs>
          <w:tab w:val="left" w:pos="-1180"/>
          <w:tab w:val="left" w:pos="-720"/>
          <w:tab w:val="left" w:pos="0"/>
          <w:tab w:val="left" w:pos="360"/>
          <w:tab w:val="left" w:pos="720"/>
          <w:tab w:val="left" w:pos="1080"/>
        </w:tabs>
      </w:pPr>
      <w:r>
        <w:t>In order to improve vessel safety and operational efficiency (including fuel efficiency), the owner of an AFA vessel may rebuild or replace that vessel with a vessel documented with a fishery endorsement under section 12113 of Title 46 of the U.S. Code.</w:t>
      </w:r>
    </w:p>
    <w:p w14:paraId="237ACB80" w14:textId="59F5628B" w:rsidR="008D2396" w:rsidRDefault="008D2396" w:rsidP="000208C4">
      <w:pPr>
        <w:widowControl/>
        <w:tabs>
          <w:tab w:val="left" w:pos="-1180"/>
          <w:tab w:val="left" w:pos="-720"/>
          <w:tab w:val="left" w:pos="0"/>
          <w:tab w:val="left" w:pos="360"/>
          <w:tab w:val="left" w:pos="720"/>
          <w:tab w:val="left" w:pos="1080"/>
        </w:tabs>
      </w:pPr>
      <w:r>
        <w:t xml:space="preserve">  </w:t>
      </w:r>
    </w:p>
    <w:p w14:paraId="47FC0128" w14:textId="77777777" w:rsidR="000922A9" w:rsidRDefault="000922A9" w:rsidP="000922A9">
      <w:pPr>
        <w:widowControl/>
      </w:pPr>
      <w:r>
        <w:t xml:space="preserve">Applications to replace lost or destroyed AFA vessels may be submitted to NMFS Restricted Management Program (RAM) at any time.  </w:t>
      </w:r>
      <w:r w:rsidRPr="00153B7B">
        <w:t xml:space="preserve">In the event of the actual total loss or constructive total loss of an AFA catcher vessel, AFA mothership, or AFA catcher/processor, the owner of such vessel may replace </w:t>
      </w:r>
      <w:r>
        <w:t xml:space="preserve">the </w:t>
      </w:r>
      <w:r w:rsidRPr="00153B7B">
        <w:t>vessel with a replacement vessel</w:t>
      </w:r>
      <w:r>
        <w:t>.  A</w:t>
      </w:r>
      <w:r w:rsidRPr="00BA37D7">
        <w:t xml:space="preserve"> constructive total loss is a loss of such significance that the property is beyond economical repair (cost of restoring it exceeds its insured value)</w:t>
      </w:r>
      <w:r>
        <w:t>.  This is a one-time only submittal.</w:t>
      </w:r>
    </w:p>
    <w:p w14:paraId="38DDC53E" w14:textId="77777777" w:rsidR="008D2396" w:rsidRDefault="008D2396" w:rsidP="00086A70">
      <w:pPr>
        <w:widowControl/>
        <w:tabs>
          <w:tab w:val="left" w:pos="-1180"/>
          <w:tab w:val="left" w:pos="-720"/>
          <w:tab w:val="left" w:pos="0"/>
          <w:tab w:val="left" w:pos="360"/>
          <w:tab w:val="left" w:pos="720"/>
          <w:tab w:val="left" w:pos="1080"/>
        </w:tabs>
      </w:pPr>
    </w:p>
    <w:p w14:paraId="2EE4A9E6" w14:textId="77777777" w:rsidR="008D2396" w:rsidRDefault="008D2396" w:rsidP="00086A70">
      <w:pPr>
        <w:widowControl/>
        <w:tabs>
          <w:tab w:val="left" w:pos="-1180"/>
          <w:tab w:val="left" w:pos="-720"/>
          <w:tab w:val="left" w:pos="0"/>
          <w:tab w:val="left" w:pos="360"/>
          <w:tab w:val="left" w:pos="720"/>
          <w:tab w:val="left" w:pos="1080"/>
        </w:tabs>
      </w:pPr>
      <w:r w:rsidRPr="008D2396">
        <w:t>The owner of an AFA catcher vessel that is a member of an inshore cooperative may remove that vessel from the Bering Sea directed pollock fishery.  If the owner applies to do that, the owner must direct NMFS to assign the pollock catch history of the vessel being removed to other vessel or vessels in the cooperative of the removed vessel.  The catcher vessel(s) receiving the pollock catch history of the removed vessel must remain in the fishery cooperative for at least one year after the date on which NMFS approves the application for removal of the catcher vessel.</w:t>
      </w:r>
    </w:p>
    <w:p w14:paraId="4D607F65" w14:textId="77777777" w:rsidR="006F699C" w:rsidRDefault="006F699C" w:rsidP="00E16427">
      <w:pPr>
        <w:widowControl/>
      </w:pPr>
    </w:p>
    <w:p w14:paraId="0A04132C" w14:textId="46908485" w:rsidR="006F699C" w:rsidRPr="000208C4" w:rsidRDefault="000208C4" w:rsidP="006F699C">
      <w:pPr>
        <w:widowControl/>
      </w:pPr>
      <w:r w:rsidRPr="000208C4">
        <w:t>The following deadlines apply</w:t>
      </w:r>
      <w:r w:rsidR="00B07908">
        <w:t xml:space="preserve"> for the application</w:t>
      </w:r>
      <w:r w:rsidR="000803AF" w:rsidRPr="000208C4">
        <w:t>:</w:t>
      </w:r>
      <w:r w:rsidR="006F699C" w:rsidRPr="000208C4">
        <w:t xml:space="preserve">  </w:t>
      </w:r>
    </w:p>
    <w:p w14:paraId="596E76B2" w14:textId="2AD6C4B1" w:rsidR="006F699C" w:rsidRPr="000208C4" w:rsidRDefault="000803AF" w:rsidP="000208C4">
      <w:pPr>
        <w:pStyle w:val="ListParagraph"/>
        <w:numPr>
          <w:ilvl w:val="0"/>
          <w:numId w:val="3"/>
        </w:numPr>
        <w:tabs>
          <w:tab w:val="left" w:pos="360"/>
          <w:tab w:val="left" w:pos="720"/>
          <w:tab w:val="left" w:pos="1080"/>
          <w:tab w:val="left" w:pos="1440"/>
        </w:tabs>
        <w:rPr>
          <w:rFonts w:ascii="Times New Roman" w:hAnsi="Times New Roman"/>
        </w:rPr>
      </w:pPr>
      <w:r w:rsidRPr="000208C4">
        <w:rPr>
          <w:rFonts w:ascii="Times New Roman" w:hAnsi="Times New Roman"/>
          <w:u w:val="single"/>
        </w:rPr>
        <w:t>R</w:t>
      </w:r>
      <w:r w:rsidR="000208C4" w:rsidRPr="000208C4">
        <w:rPr>
          <w:rFonts w:ascii="Times New Roman" w:hAnsi="Times New Roman"/>
          <w:u w:val="single"/>
        </w:rPr>
        <w:t>ebuild an AFA vessel</w:t>
      </w:r>
      <w:r w:rsidR="000208C4">
        <w:rPr>
          <w:rFonts w:ascii="Times New Roman" w:hAnsi="Times New Roman"/>
        </w:rPr>
        <w:t>:</w:t>
      </w:r>
      <w:r w:rsidR="006F699C" w:rsidRPr="000208C4">
        <w:rPr>
          <w:rFonts w:ascii="Times New Roman" w:hAnsi="Times New Roman"/>
        </w:rPr>
        <w:t xml:space="preserve"> </w:t>
      </w:r>
      <w:r w:rsidR="000208C4">
        <w:rPr>
          <w:rFonts w:ascii="Times New Roman" w:hAnsi="Times New Roman"/>
        </w:rPr>
        <w:t>T</w:t>
      </w:r>
      <w:r w:rsidR="006F699C" w:rsidRPr="000208C4">
        <w:rPr>
          <w:rFonts w:ascii="Times New Roman" w:hAnsi="Times New Roman"/>
        </w:rPr>
        <w:t xml:space="preserve">he owner shall notify NMFS and provide USCG documentation for the rebuilt vessel within 30 days of the issuance of the documentation.  </w:t>
      </w:r>
    </w:p>
    <w:p w14:paraId="25B6F4D9" w14:textId="2079D463" w:rsidR="00924F08" w:rsidRPr="000208C4" w:rsidRDefault="000803AF" w:rsidP="000208C4">
      <w:pPr>
        <w:pStyle w:val="ListParagraph"/>
        <w:numPr>
          <w:ilvl w:val="0"/>
          <w:numId w:val="3"/>
        </w:numPr>
        <w:tabs>
          <w:tab w:val="left" w:pos="360"/>
          <w:tab w:val="left" w:pos="720"/>
          <w:tab w:val="left" w:pos="1080"/>
          <w:tab w:val="left" w:pos="1440"/>
        </w:tabs>
        <w:rPr>
          <w:rFonts w:ascii="Times New Roman" w:hAnsi="Times New Roman"/>
        </w:rPr>
      </w:pPr>
      <w:r w:rsidRPr="000208C4">
        <w:rPr>
          <w:rFonts w:ascii="Times New Roman" w:hAnsi="Times New Roman"/>
          <w:u w:val="single"/>
        </w:rPr>
        <w:t>T</w:t>
      </w:r>
      <w:r w:rsidR="006F699C" w:rsidRPr="000208C4">
        <w:rPr>
          <w:rFonts w:ascii="Times New Roman" w:hAnsi="Times New Roman"/>
          <w:u w:val="single"/>
        </w:rPr>
        <w:t>otal or constructive loss of an AFA vessel</w:t>
      </w:r>
      <w:r w:rsidR="000208C4">
        <w:rPr>
          <w:rFonts w:ascii="Times New Roman" w:hAnsi="Times New Roman"/>
        </w:rPr>
        <w:t>: T</w:t>
      </w:r>
      <w:r w:rsidR="006F699C" w:rsidRPr="000208C4">
        <w:rPr>
          <w:rFonts w:ascii="Times New Roman" w:hAnsi="Times New Roman"/>
        </w:rPr>
        <w:t xml:space="preserve">he owner of the AFA vessel shall notify NMFS in writing within 120 days of the date of the vessel loss.  </w:t>
      </w:r>
    </w:p>
    <w:p w14:paraId="6D20C30A" w14:textId="474077DB" w:rsidR="000803AF" w:rsidRPr="000208C4" w:rsidRDefault="000208C4" w:rsidP="000208C4">
      <w:pPr>
        <w:pStyle w:val="ListParagraph"/>
        <w:numPr>
          <w:ilvl w:val="0"/>
          <w:numId w:val="3"/>
        </w:numPr>
        <w:tabs>
          <w:tab w:val="left" w:pos="360"/>
          <w:tab w:val="left" w:pos="720"/>
          <w:tab w:val="left" w:pos="1080"/>
          <w:tab w:val="left" w:pos="1440"/>
        </w:tabs>
        <w:rPr>
          <w:rFonts w:ascii="Times New Roman" w:hAnsi="Times New Roman"/>
        </w:rPr>
      </w:pPr>
      <w:r w:rsidRPr="000208C4">
        <w:rPr>
          <w:rFonts w:ascii="Times New Roman" w:hAnsi="Times New Roman"/>
          <w:u w:val="single"/>
        </w:rPr>
        <w:t>Lost vessel</w:t>
      </w:r>
      <w:r>
        <w:rPr>
          <w:rFonts w:ascii="Times New Roman" w:hAnsi="Times New Roman"/>
        </w:rPr>
        <w:t xml:space="preserve">: </w:t>
      </w:r>
      <w:r w:rsidR="006F699C" w:rsidRPr="000208C4">
        <w:rPr>
          <w:rFonts w:ascii="Times New Roman" w:hAnsi="Times New Roman"/>
        </w:rPr>
        <w:t xml:space="preserve">The AFA permit on the lost vessel shall remain valid from the date of the vessel loss until three years from December 31 of the year of the vessel loss, unless the AFA permit on the lost vessel is revoked before that date because the lost vessel was replaced or removed.  </w:t>
      </w:r>
    </w:p>
    <w:p w14:paraId="6FA53C63" w14:textId="77777777" w:rsidR="00E16427" w:rsidRDefault="009F667D" w:rsidP="005111B5">
      <w:pPr>
        <w:widowControl/>
        <w:tabs>
          <w:tab w:val="left" w:pos="-1180"/>
          <w:tab w:val="left" w:pos="-720"/>
          <w:tab w:val="left" w:pos="0"/>
          <w:tab w:val="left" w:pos="360"/>
          <w:tab w:val="left" w:pos="720"/>
          <w:tab w:val="left" w:pos="1080"/>
          <w:tab w:val="left" w:pos="1440"/>
        </w:tabs>
      </w:pPr>
      <w:r w:rsidRPr="008D2396">
        <w:t>An AFA rebuilt or replacement vessel shall</w:t>
      </w:r>
      <w:r w:rsidR="00AE57F8">
        <w:t xml:space="preserve"> be eligible </w:t>
      </w:r>
      <w:r w:rsidRPr="008D2396">
        <w:t xml:space="preserve">to participate in fisheries in the EEZ off Alaska and subject to the same restrictions and limitations </w:t>
      </w:r>
      <w:r>
        <w:t>as the original vessel</w:t>
      </w:r>
      <w:r w:rsidR="005111B5">
        <w:t>.</w:t>
      </w:r>
      <w:r w:rsidR="00E16427">
        <w:t xml:space="preserve"> However, if the replacement vessel does not already hold a </w:t>
      </w:r>
      <w:r w:rsidR="00657B9C">
        <w:t xml:space="preserve">USCG </w:t>
      </w:r>
      <w:r w:rsidR="00E16427">
        <w:t>fishery endorsement, that endorsement must be obtained within 36 months of the end of the last year that the vessel fished for or processed pollock in the BSAI.</w:t>
      </w:r>
    </w:p>
    <w:p w14:paraId="310A8F83" w14:textId="77777777" w:rsidR="009F667D" w:rsidRDefault="009F667D" w:rsidP="000803AF">
      <w:pPr>
        <w:widowControl/>
        <w:tabs>
          <w:tab w:val="left" w:pos="-1180"/>
          <w:tab w:val="left" w:pos="-720"/>
          <w:tab w:val="left" w:pos="0"/>
          <w:tab w:val="left" w:pos="360"/>
          <w:tab w:val="left" w:pos="720"/>
          <w:tab w:val="left" w:pos="1080"/>
          <w:tab w:val="left" w:pos="1440"/>
        </w:tabs>
      </w:pPr>
    </w:p>
    <w:p w14:paraId="7D305D7E" w14:textId="3138CB71" w:rsidR="009F667D" w:rsidRDefault="009F667D" w:rsidP="009F667D">
      <w:pPr>
        <w:widowControl/>
        <w:tabs>
          <w:tab w:val="left" w:pos="-1180"/>
          <w:tab w:val="left" w:pos="-720"/>
          <w:tab w:val="left" w:pos="0"/>
          <w:tab w:val="left" w:pos="360"/>
          <w:tab w:val="left" w:pos="720"/>
          <w:tab w:val="left" w:pos="1080"/>
        </w:tabs>
      </w:pPr>
      <w:r w:rsidRPr="008D2396">
        <w:t xml:space="preserve">An AFA vessel that </w:t>
      </w:r>
      <w:r w:rsidR="00DD77FC">
        <w:t>is</w:t>
      </w:r>
      <w:r w:rsidR="00DD77FC" w:rsidRPr="008D2396">
        <w:t xml:space="preserve"> </w:t>
      </w:r>
      <w:r w:rsidRPr="008D2396">
        <w:t>rebuilt or replaced after October 15, 2010, is exempt from the maximum length overall (MLOA) on a License Limitation Program ( LLP) groundfish license with a Bering Sea and/or Aleutian Islands area endorsement when the vessel is fishing pursuant to that license, whether the vessel before rebuilding or replacement was exempt.</w:t>
      </w:r>
    </w:p>
    <w:p w14:paraId="60DC93C9" w14:textId="7F7B5940" w:rsidR="00D15DFD" w:rsidRDefault="00D15DFD">
      <w:pPr>
        <w:widowControl/>
        <w:tabs>
          <w:tab w:val="left" w:pos="-1180"/>
          <w:tab w:val="left" w:pos="-720"/>
          <w:tab w:val="left" w:pos="0"/>
          <w:tab w:val="left" w:pos="360"/>
          <w:tab w:val="left" w:pos="720"/>
          <w:tab w:val="left" w:pos="1080"/>
        </w:tabs>
        <w:rPr>
          <w:b/>
          <w:bCs/>
        </w:rPr>
      </w:pPr>
    </w:p>
    <w:p w14:paraId="3A1BE02A" w14:textId="77777777" w:rsidR="00EC447F" w:rsidRDefault="00EC447F">
      <w:pPr>
        <w:widowControl/>
        <w:tabs>
          <w:tab w:val="left" w:pos="-1180"/>
          <w:tab w:val="left" w:pos="-720"/>
          <w:tab w:val="left" w:pos="0"/>
          <w:tab w:val="left" w:pos="360"/>
          <w:tab w:val="left" w:pos="720"/>
          <w:tab w:val="left" w:pos="1080"/>
        </w:tabs>
        <w:rPr>
          <w:b/>
          <w:bCs/>
        </w:rPr>
      </w:pPr>
    </w:p>
    <w:p w14:paraId="70A04671" w14:textId="5F881354" w:rsidR="00AE57F8" w:rsidRDefault="00AE57F8" w:rsidP="00EC447F">
      <w:pPr>
        <w:keepNext/>
        <w:widowControl/>
        <w:tabs>
          <w:tab w:val="left" w:pos="-1180"/>
          <w:tab w:val="left" w:pos="-720"/>
          <w:tab w:val="left" w:pos="0"/>
          <w:tab w:val="left" w:pos="360"/>
          <w:tab w:val="left" w:pos="720"/>
          <w:tab w:val="left" w:pos="1080"/>
        </w:tabs>
      </w:pPr>
      <w:r w:rsidRPr="00B43B41">
        <w:rPr>
          <w:b/>
          <w:bCs/>
        </w:rPr>
        <w:t>Application for AFA Inshore Catcher Vessel Cooperative Permit</w:t>
      </w:r>
      <w:r w:rsidR="005D008D">
        <w:rPr>
          <w:b/>
          <w:bCs/>
        </w:rPr>
        <w:t xml:space="preserve"> </w:t>
      </w:r>
    </w:p>
    <w:p w14:paraId="04FF6AC0" w14:textId="295FCB0E" w:rsidR="00CB24A6" w:rsidRDefault="00CB24A6" w:rsidP="00EC447F">
      <w:pPr>
        <w:keepNext/>
        <w:widowControl/>
        <w:tabs>
          <w:tab w:val="left" w:pos="-1180"/>
          <w:tab w:val="left" w:pos="-720"/>
          <w:tab w:val="left" w:pos="0"/>
          <w:tab w:val="left" w:pos="360"/>
          <w:tab w:val="left" w:pos="720"/>
          <w:tab w:val="left" w:pos="1080"/>
        </w:tabs>
      </w:pPr>
    </w:p>
    <w:p w14:paraId="4FBB425A" w14:textId="061C413D" w:rsidR="004F3F6A" w:rsidRDefault="004F3F6A" w:rsidP="00EC447F">
      <w:pPr>
        <w:keepNext/>
        <w:widowControl/>
        <w:tabs>
          <w:tab w:val="left" w:pos="-1180"/>
          <w:tab w:val="left" w:pos="-720"/>
          <w:tab w:val="left" w:pos="0"/>
          <w:tab w:val="left" w:pos="360"/>
          <w:tab w:val="left" w:pos="720"/>
          <w:tab w:val="left" w:pos="1080"/>
        </w:tabs>
      </w:pPr>
      <w:r>
        <w:t xml:space="preserve">The AFA authorizes the formation of fishery cooperatives in all sectors of the BSAI pollock fishery, grants anti-trust exemptions to cooperatives in the mothership sector, and imposes operational limits on fishery cooperatives in the BSAI pollock fishery.  NMFS relies on fishery cooperatives for much of the day-to-day management of fishing activity at the cooperative and individual vessel level.  </w:t>
      </w:r>
    </w:p>
    <w:p w14:paraId="5DED66B6" w14:textId="77777777" w:rsidR="002271EB" w:rsidRDefault="002271EB" w:rsidP="00AF07E8">
      <w:pPr>
        <w:widowControl/>
        <w:tabs>
          <w:tab w:val="left" w:pos="-1180"/>
          <w:tab w:val="left" w:pos="-720"/>
          <w:tab w:val="left" w:pos="0"/>
          <w:tab w:val="left" w:pos="360"/>
          <w:tab w:val="left" w:pos="720"/>
          <w:tab w:val="left" w:pos="1080"/>
        </w:tabs>
      </w:pPr>
      <w:r>
        <w:t xml:space="preserve">  </w:t>
      </w:r>
    </w:p>
    <w:p w14:paraId="6DF3431B" w14:textId="56F8E149" w:rsidR="009C2700" w:rsidRDefault="00AF07E8" w:rsidP="00597FA7">
      <w:pPr>
        <w:widowControl/>
        <w:tabs>
          <w:tab w:val="left" w:pos="-1180"/>
          <w:tab w:val="left" w:pos="-720"/>
          <w:tab w:val="left" w:pos="0"/>
          <w:tab w:val="left" w:pos="360"/>
          <w:tab w:val="left" w:pos="720"/>
          <w:tab w:val="left" w:pos="1080"/>
        </w:tabs>
      </w:pPr>
      <w:r>
        <w:t>Fishery cooperatives are formed by groups of vessel owners to provide an</w:t>
      </w:r>
      <w:r w:rsidR="007C6392">
        <w:t xml:space="preserve"> </w:t>
      </w:r>
      <w:r>
        <w:t>alternative to the open access race for fish. Under a fishery cooperative, the members agree to divide up the available quota among</w:t>
      </w:r>
      <w:r w:rsidR="002271EB">
        <w:t xml:space="preserve"> the membership </w:t>
      </w:r>
      <w:r>
        <w:t>in a manner that eliminates a wasteful race for</w:t>
      </w:r>
      <w:r w:rsidR="007C6392">
        <w:t xml:space="preserve"> </w:t>
      </w:r>
      <w:r>
        <w:t xml:space="preserve">fish and allows participants to maximize productivity. </w:t>
      </w:r>
      <w:r w:rsidR="00597FA7">
        <w:t xml:space="preserve"> </w:t>
      </w:r>
      <w:r w:rsidR="00EF6649">
        <w:t xml:space="preserve">Seven </w:t>
      </w:r>
      <w:r w:rsidR="00597FA7">
        <w:t xml:space="preserve">inshore cooperatives </w:t>
      </w:r>
      <w:r w:rsidR="00EF6649">
        <w:t>currently exist</w:t>
      </w:r>
      <w:r w:rsidR="00597FA7">
        <w:t>:</w:t>
      </w:r>
      <w:r w:rsidR="00EF6649">
        <w:t xml:space="preserve"> </w:t>
      </w:r>
      <w:r w:rsidR="00597FA7">
        <w:t>Akutan Catcher Vessel Association</w:t>
      </w:r>
      <w:r w:rsidR="00EF6649">
        <w:t xml:space="preserve">, Arctic Enterprise Association, </w:t>
      </w:r>
      <w:r w:rsidR="00597FA7">
        <w:t>Northern Victor Fleet Cooperative</w:t>
      </w:r>
      <w:r w:rsidR="00EF6649">
        <w:t xml:space="preserve">, </w:t>
      </w:r>
      <w:r w:rsidR="00597FA7">
        <w:t>Peter Pan Fleet</w:t>
      </w:r>
      <w:r w:rsidR="00EF6649">
        <w:t xml:space="preserve"> </w:t>
      </w:r>
      <w:r w:rsidR="00597FA7">
        <w:t>Cooperative</w:t>
      </w:r>
      <w:r w:rsidR="00EF6649">
        <w:t xml:space="preserve">, </w:t>
      </w:r>
      <w:r w:rsidR="00597FA7">
        <w:t>Unalaska Cooperative</w:t>
      </w:r>
      <w:r w:rsidR="00EF6649">
        <w:t xml:space="preserve">, </w:t>
      </w:r>
      <w:r w:rsidR="00597FA7">
        <w:t>UniSea Fleet Cooperative</w:t>
      </w:r>
      <w:r w:rsidR="00EF6649">
        <w:t>, and W</w:t>
      </w:r>
      <w:r w:rsidR="00597FA7">
        <w:t>estward Fleet Cooperative</w:t>
      </w:r>
      <w:r w:rsidR="00EF6649">
        <w:t>.</w:t>
      </w:r>
    </w:p>
    <w:p w14:paraId="05A9FD5E" w14:textId="77777777" w:rsidR="00AD63DA" w:rsidRDefault="00AD63DA" w:rsidP="00AD63DA">
      <w:pPr>
        <w:widowControl/>
      </w:pPr>
    </w:p>
    <w:p w14:paraId="7F32CACD" w14:textId="0BF1A07E" w:rsidR="00AD63DA" w:rsidRDefault="00AD63DA" w:rsidP="00AD63DA">
      <w:pPr>
        <w:widowControl/>
      </w:pPr>
      <w:r>
        <w:t xml:space="preserve">NMFS uses the information obtained from the </w:t>
      </w:r>
      <w:r w:rsidRPr="00AD63DA">
        <w:t xml:space="preserve">Application for AFA Inshore Catcher Vessel Cooperative Permit </w:t>
      </w:r>
      <w:r>
        <w:t xml:space="preserve">to identify the universe of participating vessels and processors in the BSAI pollock fishery prior to start of each fishing year.  </w:t>
      </w:r>
    </w:p>
    <w:p w14:paraId="0D0B160B" w14:textId="77777777" w:rsidR="00CB24A6" w:rsidRDefault="00CB24A6" w:rsidP="00CB24A6">
      <w:pPr>
        <w:widowControl/>
        <w:tabs>
          <w:tab w:val="left" w:pos="-1180"/>
          <w:tab w:val="left" w:pos="-720"/>
          <w:tab w:val="left" w:pos="0"/>
          <w:tab w:val="left" w:pos="360"/>
          <w:tab w:val="left" w:pos="720"/>
          <w:tab w:val="left" w:pos="1080"/>
        </w:tabs>
      </w:pPr>
    </w:p>
    <w:p w14:paraId="41AF0C51" w14:textId="3C8C50EA" w:rsidR="006E248E" w:rsidRDefault="00AD63DA">
      <w:pPr>
        <w:widowControl/>
        <w:autoSpaceDE/>
        <w:autoSpaceDN/>
        <w:adjustRightInd/>
      </w:pPr>
      <w:r>
        <w:t>E</w:t>
      </w:r>
      <w:r w:rsidR="00EF6649" w:rsidRPr="00EF6649">
        <w:t xml:space="preserve">ach AFA inshore catcher vessel cooperative </w:t>
      </w:r>
      <w:r>
        <w:t xml:space="preserve">representative submits this application annually </w:t>
      </w:r>
      <w:r w:rsidR="00EF6649" w:rsidRPr="00EF6649">
        <w:t>to obtain an AFA Inshore Catcher Vessel Cooperative Permit and identify the vessels and processors that will be participating in the BSAI pollock fishery prior to the start of each fishing year.</w:t>
      </w:r>
    </w:p>
    <w:p w14:paraId="12A07E80" w14:textId="77777777" w:rsidR="00EF6649" w:rsidRDefault="00EF6649" w:rsidP="006F7F46">
      <w:pPr>
        <w:widowControl/>
        <w:rPr>
          <w:u w:val="single"/>
        </w:rPr>
      </w:pPr>
    </w:p>
    <w:p w14:paraId="6BD44E10" w14:textId="2D5675CE" w:rsidR="006F7F46" w:rsidRDefault="00AD63DA" w:rsidP="006F7F46">
      <w:pPr>
        <w:widowControl/>
      </w:pPr>
      <w:r w:rsidRPr="00024FAB">
        <w:t>A</w:t>
      </w:r>
      <w:r w:rsidR="006F7F46">
        <w:t xml:space="preserve"> </w:t>
      </w:r>
      <w:r w:rsidR="006F7F46" w:rsidRPr="006F7F46">
        <w:t xml:space="preserve">cooperative representative </w:t>
      </w:r>
      <w:r>
        <w:t xml:space="preserve">also uses this application </w:t>
      </w:r>
      <w:r w:rsidR="006F7F46" w:rsidRPr="006F7F46">
        <w:t>to add or subtract a catcher vessel to or</w:t>
      </w:r>
      <w:r w:rsidR="006F7F46">
        <w:t xml:space="preserve"> </w:t>
      </w:r>
      <w:r w:rsidR="006F7F46" w:rsidRPr="006F7F46">
        <w:t>from an inshore cooperative fishing permit prior to the application</w:t>
      </w:r>
      <w:r w:rsidR="006F7F46">
        <w:t xml:space="preserve"> </w:t>
      </w:r>
      <w:r w:rsidR="006F7F46" w:rsidRPr="006F7F46">
        <w:t>deadline. Upon approval, NMFS will issue an amended</w:t>
      </w:r>
      <w:r w:rsidR="006F7F46">
        <w:t xml:space="preserve"> </w:t>
      </w:r>
      <w:r w:rsidR="006F7F46" w:rsidRPr="006F7F46">
        <w:t>cooperative fishing permit.</w:t>
      </w:r>
    </w:p>
    <w:p w14:paraId="4AC39F64" w14:textId="77777777" w:rsidR="006F7F46" w:rsidRDefault="006F7F46" w:rsidP="002862F1">
      <w:pPr>
        <w:widowControl/>
        <w:rPr>
          <w:b/>
        </w:rPr>
      </w:pPr>
    </w:p>
    <w:p w14:paraId="4DC6A89A" w14:textId="48A9EBD3" w:rsidR="00657B9C" w:rsidRDefault="00AD63DA" w:rsidP="002862F1">
      <w:pPr>
        <w:widowControl/>
      </w:pPr>
      <w:r>
        <w:t>NMFS</w:t>
      </w:r>
      <w:r w:rsidR="00A05E05" w:rsidRPr="00024FAB">
        <w:t xml:space="preserve"> </w:t>
      </w:r>
      <w:r w:rsidR="002862F1" w:rsidRPr="00024FAB">
        <w:t xml:space="preserve">must </w:t>
      </w:r>
      <w:r>
        <w:t xml:space="preserve">receive the application by </w:t>
      </w:r>
      <w:r w:rsidR="002862F1" w:rsidRPr="00024FAB">
        <w:t>December 1 of the year prior to the year in</w:t>
      </w:r>
      <w:r w:rsidR="002862F1">
        <w:t xml:space="preserve"> which the cooperative permit will be in effect.  </w:t>
      </w:r>
    </w:p>
    <w:p w14:paraId="593EFDA7" w14:textId="77777777" w:rsidR="003C1B1B" w:rsidRDefault="003C1B1B" w:rsidP="002862F1">
      <w:pPr>
        <w:widowControl/>
      </w:pPr>
    </w:p>
    <w:p w14:paraId="6C4227F2" w14:textId="38650B68" w:rsidR="008F6152" w:rsidRDefault="002862F1" w:rsidP="0084289B">
      <w:pPr>
        <w:widowControl/>
      </w:pPr>
      <w:r>
        <w:t xml:space="preserve">NMFS will issue an AFA inshore cooperative permit upon receipt of a complete application to a cooperative formed pursuant to </w:t>
      </w:r>
      <w:r w:rsidRPr="00753ED1">
        <w:t>15 U.S.C. 521</w:t>
      </w:r>
      <w:r>
        <w:t xml:space="preserve">.  </w:t>
      </w:r>
    </w:p>
    <w:p w14:paraId="4103611B" w14:textId="3DC029C4" w:rsidR="008F6152" w:rsidRDefault="008F6152" w:rsidP="0084289B">
      <w:pPr>
        <w:widowControl/>
      </w:pPr>
    </w:p>
    <w:p w14:paraId="100F2B88" w14:textId="77777777" w:rsidR="005733E7" w:rsidRDefault="005733E7" w:rsidP="0084289B">
      <w:pPr>
        <w:widowControl/>
      </w:pPr>
    </w:p>
    <w:p w14:paraId="56B3F977" w14:textId="554EA420" w:rsidR="00F37F1D" w:rsidRPr="000A689E" w:rsidRDefault="00F37F1D" w:rsidP="00F37F1D">
      <w:pPr>
        <w:widowControl/>
        <w:tabs>
          <w:tab w:val="left" w:pos="-1180"/>
          <w:tab w:val="left" w:pos="-720"/>
          <w:tab w:val="left" w:pos="0"/>
          <w:tab w:val="left" w:pos="360"/>
          <w:tab w:val="left" w:pos="720"/>
          <w:tab w:val="left" w:pos="1080"/>
        </w:tabs>
        <w:rPr>
          <w:b/>
        </w:rPr>
      </w:pPr>
      <w:r w:rsidRPr="00F37F1D">
        <w:rPr>
          <w:b/>
        </w:rPr>
        <w:t>AFA</w:t>
      </w:r>
      <w:r>
        <w:rPr>
          <w:b/>
        </w:rPr>
        <w:t xml:space="preserve"> </w:t>
      </w:r>
      <w:r w:rsidRPr="00F37F1D">
        <w:rPr>
          <w:b/>
        </w:rPr>
        <w:t>Inshore Vessel</w:t>
      </w:r>
      <w:r>
        <w:rPr>
          <w:b/>
        </w:rPr>
        <w:t xml:space="preserve"> </w:t>
      </w:r>
      <w:r w:rsidRPr="00F37F1D">
        <w:rPr>
          <w:b/>
        </w:rPr>
        <w:t>Contract Fishing</w:t>
      </w:r>
      <w:r w:rsidR="00F013F6">
        <w:rPr>
          <w:b/>
        </w:rPr>
        <w:t xml:space="preserve"> Notification</w:t>
      </w:r>
      <w:r w:rsidR="005D008D">
        <w:rPr>
          <w:b/>
        </w:rPr>
        <w:t xml:space="preserve">  </w:t>
      </w:r>
    </w:p>
    <w:p w14:paraId="51763A9F" w14:textId="77777777" w:rsidR="000A689E" w:rsidRPr="00F37F1D" w:rsidRDefault="000A689E" w:rsidP="000A689E">
      <w:pPr>
        <w:widowControl/>
        <w:tabs>
          <w:tab w:val="left" w:pos="-1180"/>
          <w:tab w:val="left" w:pos="-720"/>
          <w:tab w:val="left" w:pos="0"/>
          <w:tab w:val="left" w:pos="360"/>
          <w:tab w:val="left" w:pos="720"/>
          <w:tab w:val="left" w:pos="1080"/>
        </w:tabs>
        <w:rPr>
          <w:sz w:val="20"/>
          <w:szCs w:val="20"/>
        </w:rPr>
      </w:pPr>
    </w:p>
    <w:p w14:paraId="05503DCA" w14:textId="1D5ABAAA" w:rsidR="00C24C5C" w:rsidRDefault="00C24C5C" w:rsidP="00C24C5C">
      <w:pPr>
        <w:widowControl/>
        <w:tabs>
          <w:tab w:val="left" w:pos="-1180"/>
          <w:tab w:val="left" w:pos="-720"/>
          <w:tab w:val="left" w:pos="0"/>
          <w:tab w:val="left" w:pos="360"/>
          <w:tab w:val="left" w:pos="720"/>
          <w:tab w:val="left" w:pos="1080"/>
        </w:tabs>
      </w:pPr>
      <w:r>
        <w:t>Previously, t</w:t>
      </w:r>
      <w:r w:rsidRPr="000A689E">
        <w:t>h</w:t>
      </w:r>
      <w:r>
        <w:t>e</w:t>
      </w:r>
      <w:r w:rsidRPr="000A689E">
        <w:t xml:space="preserve"> inshore vessel contract fishing </w:t>
      </w:r>
      <w:r>
        <w:t>notification</w:t>
      </w:r>
      <w:r w:rsidRPr="000A689E">
        <w:t xml:space="preserve"> </w:t>
      </w:r>
      <w:r>
        <w:t>could</w:t>
      </w:r>
      <w:r w:rsidRPr="000A689E">
        <w:t xml:space="preserve"> assume any format, but </w:t>
      </w:r>
      <w:r>
        <w:t xml:space="preserve">with this renewal, a new form has </w:t>
      </w:r>
      <w:r w:rsidR="0002746D">
        <w:t xml:space="preserve">been added. The form helps ensure complete information is submitted to NMFS. No change was made to the information collected. </w:t>
      </w:r>
    </w:p>
    <w:p w14:paraId="252CFABE" w14:textId="77777777" w:rsidR="00C24C5C" w:rsidRDefault="00C24C5C" w:rsidP="00C24C5C">
      <w:pPr>
        <w:widowControl/>
        <w:tabs>
          <w:tab w:val="left" w:pos="-1180"/>
          <w:tab w:val="left" w:pos="-720"/>
          <w:tab w:val="left" w:pos="0"/>
          <w:tab w:val="left" w:pos="360"/>
          <w:tab w:val="left" w:pos="720"/>
          <w:tab w:val="left" w:pos="1080"/>
        </w:tabs>
      </w:pPr>
    </w:p>
    <w:p w14:paraId="7E7B2644" w14:textId="0079E7C3" w:rsidR="00C24C5C" w:rsidRDefault="000A689E" w:rsidP="00843118">
      <w:pPr>
        <w:widowControl/>
        <w:tabs>
          <w:tab w:val="left" w:pos="-1180"/>
          <w:tab w:val="left" w:pos="-720"/>
          <w:tab w:val="left" w:pos="0"/>
          <w:tab w:val="left" w:pos="360"/>
          <w:tab w:val="left" w:pos="720"/>
          <w:tab w:val="left" w:pos="1080"/>
        </w:tabs>
      </w:pPr>
      <w:r w:rsidRPr="000A689E">
        <w:t xml:space="preserve">An AFA inshore cooperative that </w:t>
      </w:r>
      <w:r w:rsidR="00D81EDD">
        <w:t>intends</w:t>
      </w:r>
      <w:r w:rsidRPr="000A689E">
        <w:t xml:space="preserve"> to contract with a vessel that is a member of another </w:t>
      </w:r>
      <w:r>
        <w:t xml:space="preserve">AFA </w:t>
      </w:r>
      <w:r w:rsidRPr="000A689E">
        <w:t xml:space="preserve">inshore cooperative must submit </w:t>
      </w:r>
      <w:r w:rsidR="0002746D">
        <w:t>the</w:t>
      </w:r>
      <w:r w:rsidR="00C24C5C">
        <w:t xml:space="preserve"> </w:t>
      </w:r>
      <w:r w:rsidR="00C24C5C" w:rsidRPr="00C24C5C">
        <w:t xml:space="preserve">AFA Inshore Vessel Contract Fishing Notification </w:t>
      </w:r>
      <w:r w:rsidR="00C24C5C">
        <w:t>form</w:t>
      </w:r>
      <w:r>
        <w:t xml:space="preserve"> </w:t>
      </w:r>
      <w:r w:rsidRPr="000A689E">
        <w:t>to NMFS, Alaska Region</w:t>
      </w:r>
      <w:r w:rsidR="00B42E35">
        <w:t xml:space="preserve"> for each contracted vessel</w:t>
      </w:r>
      <w:r>
        <w:t>.</w:t>
      </w:r>
      <w:r w:rsidRPr="000A689E">
        <w:t xml:space="preserve"> </w:t>
      </w:r>
      <w:r w:rsidR="00CD3431">
        <w:t xml:space="preserve">A separate form must be submitted for each cooperative for which the vessel harvests. </w:t>
      </w:r>
    </w:p>
    <w:p w14:paraId="5064A0F9" w14:textId="77777777" w:rsidR="00C24C5C" w:rsidRDefault="00C24C5C" w:rsidP="00843118">
      <w:pPr>
        <w:widowControl/>
        <w:tabs>
          <w:tab w:val="left" w:pos="-1180"/>
          <w:tab w:val="left" w:pos="-720"/>
          <w:tab w:val="left" w:pos="0"/>
          <w:tab w:val="left" w:pos="360"/>
          <w:tab w:val="left" w:pos="720"/>
          <w:tab w:val="left" w:pos="1080"/>
        </w:tabs>
      </w:pPr>
    </w:p>
    <w:p w14:paraId="3FB3D149" w14:textId="5324EB35" w:rsidR="00843118" w:rsidRDefault="00843118" w:rsidP="00843118">
      <w:pPr>
        <w:widowControl/>
        <w:tabs>
          <w:tab w:val="left" w:pos="-1180"/>
          <w:tab w:val="left" w:pos="-720"/>
          <w:tab w:val="left" w:pos="0"/>
          <w:tab w:val="left" w:pos="360"/>
          <w:tab w:val="left" w:pos="720"/>
          <w:tab w:val="left" w:pos="1080"/>
        </w:tabs>
      </w:pPr>
      <w:r w:rsidRPr="000A689E">
        <w:t>Th</w:t>
      </w:r>
      <w:r>
        <w:t xml:space="preserve">e information derived from this notification </w:t>
      </w:r>
      <w:r w:rsidRPr="000A689E">
        <w:t xml:space="preserve">will </w:t>
      </w:r>
      <w:r w:rsidR="00CD3431">
        <w:t>help</w:t>
      </w:r>
      <w:r w:rsidR="00CD3431" w:rsidRPr="000A689E">
        <w:t xml:space="preserve"> </w:t>
      </w:r>
      <w:r w:rsidRPr="000A689E">
        <w:t>coop</w:t>
      </w:r>
      <w:r>
        <w:t>erative</w:t>
      </w:r>
      <w:r w:rsidRPr="000A689E">
        <w:t>s</w:t>
      </w:r>
      <w:r>
        <w:t xml:space="preserve"> </w:t>
      </w:r>
      <w:r w:rsidRPr="000A689E">
        <w:t xml:space="preserve">understand how their catch is accounted, and also </w:t>
      </w:r>
      <w:r>
        <w:t xml:space="preserve">will </w:t>
      </w:r>
      <w:r w:rsidRPr="000A689E">
        <w:t>alert NMFS inseason management that some vessels might be reporting with an alternative coop</w:t>
      </w:r>
      <w:r>
        <w:t xml:space="preserve">erative identification.  </w:t>
      </w:r>
    </w:p>
    <w:p w14:paraId="7070AA18" w14:textId="77777777" w:rsidR="0028239C" w:rsidRDefault="0028239C" w:rsidP="000A689E">
      <w:pPr>
        <w:widowControl/>
        <w:tabs>
          <w:tab w:val="left" w:pos="-1180"/>
          <w:tab w:val="left" w:pos="-720"/>
          <w:tab w:val="left" w:pos="0"/>
          <w:tab w:val="left" w:pos="360"/>
          <w:tab w:val="left" w:pos="720"/>
          <w:tab w:val="left" w:pos="1080"/>
        </w:tabs>
      </w:pPr>
    </w:p>
    <w:p w14:paraId="2D3A4CFC" w14:textId="240BBB82" w:rsidR="00D94AB9" w:rsidRDefault="0028239C" w:rsidP="00D94AB9">
      <w:pPr>
        <w:widowControl/>
        <w:tabs>
          <w:tab w:val="left" w:pos="-1180"/>
          <w:tab w:val="left" w:pos="-720"/>
          <w:tab w:val="left" w:pos="0"/>
          <w:tab w:val="left" w:pos="360"/>
          <w:tab w:val="left" w:pos="720"/>
          <w:tab w:val="left" w:pos="1080"/>
        </w:tabs>
      </w:pPr>
      <w:r w:rsidRPr="000A689E">
        <w:t>NMFS</w:t>
      </w:r>
      <w:r>
        <w:t xml:space="preserve"> </w:t>
      </w:r>
      <w:r w:rsidRPr="000A689E">
        <w:t xml:space="preserve">will notify the parties to the vessel contract </w:t>
      </w:r>
      <w:r w:rsidR="00707C92">
        <w:t>when</w:t>
      </w:r>
      <w:r w:rsidRPr="000A689E">
        <w:t xml:space="preserve"> </w:t>
      </w:r>
      <w:r w:rsidR="00FD1375">
        <w:t xml:space="preserve">the agency receives </w:t>
      </w:r>
      <w:r w:rsidRPr="000A689E">
        <w:t xml:space="preserve">the contract </w:t>
      </w:r>
      <w:r w:rsidR="00FD1375">
        <w:t xml:space="preserve">fishing </w:t>
      </w:r>
      <w:r w:rsidR="00B42E35">
        <w:t>notification</w:t>
      </w:r>
      <w:r w:rsidRPr="000A689E">
        <w:t>. NMFS will not make any determinations as to the legality of any contract between</w:t>
      </w:r>
      <w:r>
        <w:t xml:space="preserve"> or </w:t>
      </w:r>
      <w:r w:rsidRPr="000A689E">
        <w:t>among the parties or its compliance with AFA requirements.</w:t>
      </w:r>
      <w:r w:rsidR="00D94AB9">
        <w:t xml:space="preserve">  There are no permits issued for this AFA contract.</w:t>
      </w:r>
    </w:p>
    <w:p w14:paraId="30A83989" w14:textId="77777777" w:rsidR="00D94AB9" w:rsidRDefault="00D94AB9" w:rsidP="00D94AB9">
      <w:pPr>
        <w:widowControl/>
        <w:tabs>
          <w:tab w:val="left" w:pos="-1180"/>
          <w:tab w:val="left" w:pos="-720"/>
          <w:tab w:val="left" w:pos="0"/>
          <w:tab w:val="left" w:pos="360"/>
          <w:tab w:val="left" w:pos="720"/>
          <w:tab w:val="left" w:pos="1080"/>
        </w:tabs>
      </w:pPr>
    </w:p>
    <w:p w14:paraId="5CF51628" w14:textId="77777777" w:rsidR="000F6F19" w:rsidRDefault="000F6F19" w:rsidP="000D53F3">
      <w:pPr>
        <w:tabs>
          <w:tab w:val="left" w:pos="360"/>
          <w:tab w:val="left" w:pos="720"/>
          <w:tab w:val="left" w:pos="1080"/>
          <w:tab w:val="left" w:pos="1440"/>
        </w:tabs>
      </w:pPr>
    </w:p>
    <w:p w14:paraId="17EE9246" w14:textId="282648A3" w:rsidR="00F66D9F" w:rsidRDefault="00150DDF" w:rsidP="000D53F3">
      <w:pPr>
        <w:tabs>
          <w:tab w:val="left" w:pos="360"/>
          <w:tab w:val="left" w:pos="720"/>
          <w:tab w:val="left" w:pos="1080"/>
          <w:tab w:val="left" w:pos="1440"/>
        </w:tabs>
        <w:rPr>
          <w:b/>
        </w:rPr>
      </w:pPr>
      <w:r w:rsidRPr="00150DDF">
        <w:rPr>
          <w:b/>
        </w:rPr>
        <w:t>Application for Approval as an Entity to Receive Transferable Chinook Salmon PSC Allocation</w:t>
      </w:r>
      <w:r w:rsidR="00625722">
        <w:rPr>
          <w:b/>
        </w:rPr>
        <w:t xml:space="preserve">  </w:t>
      </w:r>
    </w:p>
    <w:p w14:paraId="366E5714" w14:textId="77777777" w:rsidR="00150DDF" w:rsidRDefault="00150DDF" w:rsidP="000D53F3">
      <w:pPr>
        <w:tabs>
          <w:tab w:val="left" w:pos="360"/>
          <w:tab w:val="left" w:pos="720"/>
          <w:tab w:val="left" w:pos="1080"/>
          <w:tab w:val="left" w:pos="1440"/>
        </w:tabs>
        <w:rPr>
          <w:b/>
        </w:rPr>
      </w:pPr>
    </w:p>
    <w:p w14:paraId="1F4E3C8D" w14:textId="77777777" w:rsidR="003B3E35" w:rsidRDefault="002E6F8C" w:rsidP="00916874">
      <w:pPr>
        <w:numPr>
          <w:ilvl w:val="12"/>
          <w:numId w:val="0"/>
        </w:numPr>
        <w:rPr>
          <w:color w:val="000000"/>
        </w:rPr>
      </w:pPr>
      <w:r w:rsidRPr="002E6F8C">
        <w:rPr>
          <w:color w:val="000000"/>
        </w:rPr>
        <w:t xml:space="preserve">Each year, NMFS will allocate to </w:t>
      </w:r>
      <w:r w:rsidR="00BE1E1D">
        <w:rPr>
          <w:color w:val="000000"/>
        </w:rPr>
        <w:t>AFA</w:t>
      </w:r>
      <w:r w:rsidRPr="002E6F8C">
        <w:rPr>
          <w:color w:val="000000"/>
        </w:rPr>
        <w:t xml:space="preserve"> sectors a portion of the Chinook salmon PSC limit per §679.21(f).  </w:t>
      </w:r>
    </w:p>
    <w:p w14:paraId="0AEFE27B" w14:textId="77777777" w:rsidR="003B3E35" w:rsidRDefault="003B3E35" w:rsidP="00916874">
      <w:pPr>
        <w:numPr>
          <w:ilvl w:val="12"/>
          <w:numId w:val="0"/>
        </w:numPr>
        <w:rPr>
          <w:color w:val="000000"/>
        </w:rPr>
      </w:pPr>
    </w:p>
    <w:p w14:paraId="6653D9DE" w14:textId="5A112057" w:rsidR="003B3E35" w:rsidRDefault="003B3E35" w:rsidP="00916874">
      <w:pPr>
        <w:numPr>
          <w:ilvl w:val="12"/>
          <w:numId w:val="0"/>
        </w:numPr>
        <w:rPr>
          <w:color w:val="000000"/>
        </w:rPr>
      </w:pPr>
      <w:r w:rsidRPr="003B3E35">
        <w:rPr>
          <w:color w:val="000000"/>
        </w:rPr>
        <w:t xml:space="preserve">The Application for Approval as an Entity to Receive Transferable Chinook Salmon PSC Allocation is submitted by an entity representing the catcher/processor sector or the mothership sector to request approval to receive transferable Chinook salmon PSC allocations on behalf of members of the sector. Once approved, an entity is not required to reapply for or renew its status. </w:t>
      </w:r>
      <w:r w:rsidR="008D054D">
        <w:rPr>
          <w:color w:val="000000"/>
        </w:rPr>
        <w:t>This application is also used by the e</w:t>
      </w:r>
      <w:r w:rsidRPr="003B3E35">
        <w:rPr>
          <w:color w:val="000000"/>
        </w:rPr>
        <w:t xml:space="preserve">ntities </w:t>
      </w:r>
      <w:r w:rsidR="008D054D">
        <w:rPr>
          <w:color w:val="000000"/>
        </w:rPr>
        <w:t>to</w:t>
      </w:r>
      <w:r w:rsidRPr="003B3E35">
        <w:rPr>
          <w:color w:val="000000"/>
        </w:rPr>
        <w:t xml:space="preserve"> </w:t>
      </w:r>
      <w:r w:rsidR="008D054D">
        <w:rPr>
          <w:color w:val="000000"/>
        </w:rPr>
        <w:t xml:space="preserve">submit </w:t>
      </w:r>
      <w:r w:rsidRPr="003B3E35">
        <w:rPr>
          <w:color w:val="000000"/>
        </w:rPr>
        <w:t>update</w:t>
      </w:r>
      <w:r w:rsidR="008D054D">
        <w:rPr>
          <w:color w:val="000000"/>
        </w:rPr>
        <w:t>d</w:t>
      </w:r>
      <w:r w:rsidRPr="003B3E35">
        <w:rPr>
          <w:color w:val="000000"/>
        </w:rPr>
        <w:t xml:space="preserve"> contact and other information related to the entity and its members</w:t>
      </w:r>
      <w:r>
        <w:rPr>
          <w:color w:val="000000"/>
        </w:rPr>
        <w:t>.</w:t>
      </w:r>
    </w:p>
    <w:p w14:paraId="66619BEB" w14:textId="77777777" w:rsidR="002E6F8C" w:rsidRPr="002C2C56" w:rsidRDefault="002E6F8C" w:rsidP="00916874">
      <w:pPr>
        <w:numPr>
          <w:ilvl w:val="12"/>
          <w:numId w:val="0"/>
        </w:numPr>
        <w:rPr>
          <w:color w:val="000000"/>
        </w:rPr>
      </w:pPr>
    </w:p>
    <w:p w14:paraId="374210D9" w14:textId="370C4AD8" w:rsidR="00310257" w:rsidRDefault="003E72E4" w:rsidP="00AC5F3A">
      <w:pPr>
        <w:numPr>
          <w:ilvl w:val="12"/>
          <w:numId w:val="0"/>
        </w:numPr>
        <w:rPr>
          <w:color w:val="000000"/>
        </w:rPr>
      </w:pPr>
      <w:r w:rsidRPr="002C2C56">
        <w:rPr>
          <w:color w:val="000000"/>
        </w:rPr>
        <w:t xml:space="preserve">A complete application must include an </w:t>
      </w:r>
      <w:r w:rsidR="00AC5F3A" w:rsidRPr="002C2C56">
        <w:rPr>
          <w:color w:val="000000"/>
        </w:rPr>
        <w:t>authorization contract</w:t>
      </w:r>
      <w:r w:rsidR="001736D7" w:rsidRPr="002C2C56">
        <w:rPr>
          <w:color w:val="000000"/>
        </w:rPr>
        <w:t xml:space="preserve">. The authorization contract authorizes the entity to act on behalf of the vessel owner for purposes of receiving and transferring Chinook salmon PSC allocations and authorizes the entity to be responsible for receiving legal papers on behalf of the vessel owners in the sector.  This authorization to represent the sector members is needed under both the 60,000 and the 47,591 </w:t>
      </w:r>
      <w:r w:rsidR="00F44A84">
        <w:rPr>
          <w:color w:val="000000"/>
        </w:rPr>
        <w:t xml:space="preserve">Chinook salmon </w:t>
      </w:r>
      <w:r w:rsidR="001736D7" w:rsidRPr="002C2C56">
        <w:rPr>
          <w:color w:val="000000"/>
        </w:rPr>
        <w:t xml:space="preserve">PSC limit.  </w:t>
      </w:r>
      <w:r w:rsidR="00AC5F3A" w:rsidRPr="002C2C56">
        <w:rPr>
          <w:color w:val="000000"/>
        </w:rPr>
        <w:t xml:space="preserve"> </w:t>
      </w:r>
    </w:p>
    <w:p w14:paraId="7C8D229B" w14:textId="77777777" w:rsidR="00AC5F3A" w:rsidRPr="00AC5F3A" w:rsidRDefault="00AC5F3A" w:rsidP="00AC5F3A">
      <w:pPr>
        <w:numPr>
          <w:ilvl w:val="12"/>
          <w:numId w:val="0"/>
        </w:numPr>
        <w:rPr>
          <w:color w:val="000000"/>
        </w:rPr>
      </w:pPr>
    </w:p>
    <w:p w14:paraId="110A9F32" w14:textId="77777777" w:rsidR="00310257" w:rsidRDefault="00310257" w:rsidP="00310257">
      <w:pPr>
        <w:numPr>
          <w:ilvl w:val="12"/>
          <w:numId w:val="0"/>
        </w:numPr>
        <w:rPr>
          <w:color w:val="000000"/>
        </w:rPr>
      </w:pPr>
      <w:r w:rsidRPr="00483C2A">
        <w:rPr>
          <w:color w:val="000000"/>
        </w:rPr>
        <w:t xml:space="preserve">Once submitted, the authorization contract attached to the application is valid until amended or revoked by the parties to the contract.  </w:t>
      </w:r>
    </w:p>
    <w:p w14:paraId="5F89FE9B" w14:textId="77777777" w:rsidR="00310257" w:rsidRPr="00285F8F" w:rsidRDefault="00310257" w:rsidP="007B10F0">
      <w:pPr>
        <w:numPr>
          <w:ilvl w:val="12"/>
          <w:numId w:val="0"/>
        </w:numPr>
        <w:tabs>
          <w:tab w:val="left" w:pos="360"/>
          <w:tab w:val="left" w:pos="720"/>
          <w:tab w:val="left" w:pos="1080"/>
        </w:tabs>
        <w:ind w:left="720" w:hanging="720"/>
        <w:rPr>
          <w:color w:val="000000"/>
        </w:rPr>
      </w:pPr>
    </w:p>
    <w:p w14:paraId="4BF9580D" w14:textId="0A5292A2" w:rsidR="00D9405A" w:rsidRDefault="00F44A84" w:rsidP="00871CC2">
      <w:pPr>
        <w:numPr>
          <w:ilvl w:val="12"/>
          <w:numId w:val="0"/>
        </w:numPr>
        <w:rPr>
          <w:color w:val="000000"/>
        </w:rPr>
      </w:pPr>
      <w:r w:rsidRPr="009D6B99">
        <w:rPr>
          <w:color w:val="000000"/>
        </w:rPr>
        <w:t xml:space="preserve">The </w:t>
      </w:r>
      <w:r w:rsidR="00CF02A1" w:rsidRPr="009D6B99">
        <w:rPr>
          <w:color w:val="000000"/>
        </w:rPr>
        <w:t>initial or amended application and contract</w:t>
      </w:r>
      <w:r w:rsidR="00871CC2" w:rsidRPr="009D6B99">
        <w:rPr>
          <w:color w:val="000000"/>
        </w:rPr>
        <w:t xml:space="preserve"> </w:t>
      </w:r>
      <w:r w:rsidR="00CF02A1" w:rsidRPr="009D6B99">
        <w:rPr>
          <w:color w:val="000000"/>
        </w:rPr>
        <w:t>must be received by NMFS no later than</w:t>
      </w:r>
      <w:r w:rsidR="00CF02A1" w:rsidRPr="003401A4">
        <w:rPr>
          <w:color w:val="000000"/>
        </w:rPr>
        <w:t xml:space="preserve"> 1700 hours A.l.t. on </w:t>
      </w:r>
      <w:r w:rsidR="00CF02A1" w:rsidRPr="009D6B99">
        <w:rPr>
          <w:color w:val="000000"/>
        </w:rPr>
        <w:t>October 1</w:t>
      </w:r>
      <w:r w:rsidR="00CF02A1" w:rsidRPr="003401A4">
        <w:rPr>
          <w:color w:val="000000"/>
        </w:rPr>
        <w:t xml:space="preserve"> of the year prior to the fishing year for which the Chinook salmon PSC allocations are effective.  </w:t>
      </w:r>
    </w:p>
    <w:p w14:paraId="37B3B919" w14:textId="77777777" w:rsidR="00D9405A" w:rsidRDefault="00D9405A" w:rsidP="00871CC2">
      <w:pPr>
        <w:numPr>
          <w:ilvl w:val="12"/>
          <w:numId w:val="0"/>
        </w:numPr>
        <w:rPr>
          <w:color w:val="000000"/>
        </w:rPr>
      </w:pPr>
    </w:p>
    <w:p w14:paraId="04D0CDC6" w14:textId="730F1E83" w:rsidR="00D9405A" w:rsidRDefault="00D9405A" w:rsidP="00D9405A">
      <w:pPr>
        <w:numPr>
          <w:ilvl w:val="12"/>
          <w:numId w:val="0"/>
        </w:numPr>
        <w:rPr>
          <w:color w:val="000000"/>
        </w:rPr>
      </w:pPr>
      <w:r w:rsidRPr="009D6B99">
        <w:rPr>
          <w:color w:val="000000"/>
        </w:rPr>
        <w:t>Additions or deletions to the vessels</w:t>
      </w:r>
      <w:r w:rsidRPr="00483C2A">
        <w:rPr>
          <w:color w:val="000000"/>
        </w:rPr>
        <w:t xml:space="preserve"> represented by the entity may</w:t>
      </w:r>
      <w:r w:rsidRPr="003401A4">
        <w:rPr>
          <w:color w:val="000000"/>
        </w:rPr>
        <w:t xml:space="preserve"> be done on</w:t>
      </w:r>
      <w:r>
        <w:rPr>
          <w:color w:val="000000"/>
        </w:rPr>
        <w:t>c</w:t>
      </w:r>
      <w:r w:rsidRPr="003401A4">
        <w:rPr>
          <w:color w:val="000000"/>
        </w:rPr>
        <w:t>e per year for subsequent years by submitting an amended contract and r</w:t>
      </w:r>
      <w:r>
        <w:rPr>
          <w:color w:val="000000"/>
        </w:rPr>
        <w:t>evised vessel information by</w:t>
      </w:r>
      <w:r w:rsidRPr="003401A4">
        <w:rPr>
          <w:color w:val="000000"/>
        </w:rPr>
        <w:t xml:space="preserve"> </w:t>
      </w:r>
      <w:r w:rsidRPr="009D6B99">
        <w:rPr>
          <w:color w:val="000000"/>
        </w:rPr>
        <w:t>December 1,</w:t>
      </w:r>
      <w:r w:rsidRPr="003401A4">
        <w:rPr>
          <w:color w:val="000000"/>
        </w:rPr>
        <w:t xml:space="preserve"> unless additions or deletions are as a result of a replacement vessel.</w:t>
      </w:r>
    </w:p>
    <w:p w14:paraId="5972E8AA" w14:textId="77777777" w:rsidR="00D9405A" w:rsidRDefault="00D9405A" w:rsidP="00871CC2">
      <w:pPr>
        <w:numPr>
          <w:ilvl w:val="12"/>
          <w:numId w:val="0"/>
        </w:numPr>
        <w:rPr>
          <w:color w:val="000000"/>
        </w:rPr>
      </w:pPr>
    </w:p>
    <w:p w14:paraId="520D00CE" w14:textId="3DDCE1B0" w:rsidR="00871CC2" w:rsidRPr="003401A4" w:rsidRDefault="00B16179" w:rsidP="00871CC2">
      <w:pPr>
        <w:numPr>
          <w:ilvl w:val="12"/>
          <w:numId w:val="0"/>
        </w:numPr>
        <w:rPr>
          <w:color w:val="000000"/>
        </w:rPr>
      </w:pPr>
      <w:r w:rsidRPr="009D6B99">
        <w:rPr>
          <w:color w:val="000000"/>
        </w:rPr>
        <w:t xml:space="preserve">An </w:t>
      </w:r>
      <w:r w:rsidR="00871CC2" w:rsidRPr="009D6B99">
        <w:rPr>
          <w:color w:val="000000"/>
        </w:rPr>
        <w:t>amendment to the contract related to a replacement vessel</w:t>
      </w:r>
      <w:r>
        <w:rPr>
          <w:color w:val="000000"/>
        </w:rPr>
        <w:t xml:space="preserve"> </w:t>
      </w:r>
      <w:r w:rsidR="00871CC2" w:rsidRPr="003401A4">
        <w:rPr>
          <w:color w:val="000000"/>
        </w:rPr>
        <w:t xml:space="preserve">may be made </w:t>
      </w:r>
      <w:r w:rsidR="00871CC2" w:rsidRPr="009D6B99">
        <w:rPr>
          <w:color w:val="000000"/>
        </w:rPr>
        <w:t>at any time</w:t>
      </w:r>
      <w:r w:rsidR="00871CC2" w:rsidRPr="003401A4">
        <w:rPr>
          <w:color w:val="000000"/>
        </w:rPr>
        <w:t xml:space="preserve"> upon submission of an amended application and a copy of the AFA permit issued under</w:t>
      </w:r>
      <w:r>
        <w:rPr>
          <w:color w:val="000000"/>
        </w:rPr>
        <w:t xml:space="preserve"> </w:t>
      </w:r>
      <w:r w:rsidR="00871CC2" w:rsidRPr="003401A4">
        <w:rPr>
          <w:color w:val="000000"/>
        </w:rPr>
        <w:t>§ 679.4 for the replacement vessel.</w:t>
      </w:r>
    </w:p>
    <w:p w14:paraId="22BC9145" w14:textId="77777777" w:rsidR="00127AA3" w:rsidRDefault="00127AA3" w:rsidP="007B10F0">
      <w:pPr>
        <w:rPr>
          <w:color w:val="000000"/>
        </w:rPr>
      </w:pPr>
    </w:p>
    <w:p w14:paraId="0958D61B" w14:textId="77777777" w:rsidR="00EE310B" w:rsidRPr="0078563F" w:rsidRDefault="00EE310B" w:rsidP="007B10F0">
      <w:pPr>
        <w:rPr>
          <w:color w:val="000000"/>
        </w:rPr>
      </w:pPr>
    </w:p>
    <w:p w14:paraId="425BFE70" w14:textId="1D82DAAB" w:rsidR="00150DDF" w:rsidRPr="0078563F" w:rsidRDefault="00150DDF" w:rsidP="002F2F2C">
      <w:pPr>
        <w:widowControl/>
        <w:autoSpaceDE/>
        <w:autoSpaceDN/>
        <w:adjustRightInd/>
        <w:rPr>
          <w:b/>
        </w:rPr>
      </w:pPr>
      <w:r w:rsidRPr="0078563F">
        <w:rPr>
          <w:b/>
        </w:rPr>
        <w:t>Application for Transfer of Bering Sea Chinook Salmon PSC Allocations</w:t>
      </w:r>
      <w:r w:rsidR="00625722" w:rsidRPr="0078563F">
        <w:rPr>
          <w:b/>
        </w:rPr>
        <w:t xml:space="preserve">  </w:t>
      </w:r>
    </w:p>
    <w:p w14:paraId="5E3CD62B" w14:textId="77777777" w:rsidR="007B10F0" w:rsidRPr="007279BA" w:rsidRDefault="007B10F0">
      <w:pPr>
        <w:widowControl/>
        <w:autoSpaceDE/>
        <w:autoSpaceDN/>
        <w:adjustRightInd/>
        <w:rPr>
          <w:color w:val="FF0000"/>
        </w:rPr>
      </w:pPr>
    </w:p>
    <w:p w14:paraId="3BB1A72F" w14:textId="7D8E2677" w:rsidR="005D014A" w:rsidRDefault="005D014A" w:rsidP="007B10F0">
      <w:pPr>
        <w:pStyle w:val="BodyText"/>
        <w:rPr>
          <w:color w:val="000000"/>
          <w:sz w:val="24"/>
          <w:szCs w:val="24"/>
        </w:rPr>
      </w:pPr>
      <w:r w:rsidRPr="007279BA">
        <w:rPr>
          <w:color w:val="000000"/>
          <w:sz w:val="24"/>
          <w:szCs w:val="24"/>
        </w:rPr>
        <w:t>The Application for Transfer</w:t>
      </w:r>
      <w:r w:rsidRPr="0078563F">
        <w:rPr>
          <w:color w:val="000000"/>
          <w:sz w:val="24"/>
          <w:szCs w:val="24"/>
        </w:rPr>
        <w:t xml:space="preserve"> of Bering Sea Chinook Salmon PSC Allocations is submitted by an authorized representative of the catcher/processor sector, the mothership sector, an inshore cooperative, or a CDQ group to transfer Chinook salmon PSC allocations to another entity’s </w:t>
      </w:r>
      <w:r w:rsidRPr="007279BA">
        <w:rPr>
          <w:color w:val="000000"/>
          <w:sz w:val="24"/>
          <w:szCs w:val="24"/>
        </w:rPr>
        <w:t xml:space="preserve">account. </w:t>
      </w:r>
    </w:p>
    <w:p w14:paraId="5166A455" w14:textId="77777777" w:rsidR="00776822" w:rsidRPr="007279BA" w:rsidRDefault="00776822" w:rsidP="007B10F0">
      <w:pPr>
        <w:pStyle w:val="BodyText"/>
        <w:rPr>
          <w:color w:val="000000"/>
          <w:sz w:val="24"/>
          <w:szCs w:val="24"/>
        </w:rPr>
      </w:pPr>
    </w:p>
    <w:p w14:paraId="0488FAC5" w14:textId="77777777" w:rsidR="00776822" w:rsidRPr="000D5E4C" w:rsidRDefault="00776822" w:rsidP="0077682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An</w:t>
      </w:r>
      <w:r w:rsidRPr="00A376AA">
        <w:rPr>
          <w:color w:val="000000"/>
        </w:rPr>
        <w:t xml:space="preserve"> entity receiving a transferable Chinook salmon PSC</w:t>
      </w:r>
      <w:r w:rsidRPr="000B4401">
        <w:rPr>
          <w:color w:val="000000"/>
        </w:rPr>
        <w:t xml:space="preserve"> allocation from NMFS would be authorized</w:t>
      </w:r>
      <w:r w:rsidRPr="000D5E4C">
        <w:rPr>
          <w:color w:val="000000"/>
        </w:rPr>
        <w:t xml:space="preserve"> to—  </w:t>
      </w:r>
    </w:p>
    <w:p w14:paraId="160919E1" w14:textId="77777777" w:rsidR="00776822" w:rsidRPr="00B15B9F" w:rsidRDefault="00776822" w:rsidP="00776822">
      <w:pPr>
        <w:pStyle w:val="ListParagraph"/>
        <w:numPr>
          <w:ilvl w:val="0"/>
          <w:numId w:val="7"/>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r w:rsidRPr="00B15B9F">
        <w:rPr>
          <w:rFonts w:ascii="Times New Roman" w:hAnsi="Times New Roman"/>
          <w:color w:val="000000"/>
        </w:rPr>
        <w:t xml:space="preserve">to transfer all or a portion of the entity’s salmon PSC allocation to another entity; or </w:t>
      </w:r>
    </w:p>
    <w:p w14:paraId="76329D0F" w14:textId="77777777" w:rsidR="00776822" w:rsidRPr="00B15B9F" w:rsidRDefault="00776822" w:rsidP="00776822">
      <w:pPr>
        <w:pStyle w:val="ListParagraph"/>
        <w:numPr>
          <w:ilvl w:val="0"/>
          <w:numId w:val="7"/>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r w:rsidRPr="00B15B9F">
        <w:rPr>
          <w:rFonts w:ascii="Times New Roman" w:hAnsi="Times New Roman"/>
          <w:color w:val="000000"/>
        </w:rPr>
        <w:t>to receive a transfer from another entity (authorized to sign transfer request forms), and be responsible for any penalties assessed for exceeding the entity’s salmon PSC allocation.</w:t>
      </w:r>
    </w:p>
    <w:p w14:paraId="5A1AA6F7" w14:textId="4E59F3EA" w:rsidR="00EE310B" w:rsidRPr="00A2604B" w:rsidRDefault="00EE310B" w:rsidP="00EE310B">
      <w:pPr>
        <w:rPr>
          <w:color w:val="000000"/>
        </w:rPr>
      </w:pPr>
      <w:r w:rsidRPr="00285F8F">
        <w:rPr>
          <w:color w:val="000000"/>
        </w:rPr>
        <w:t>NMFS w</w:t>
      </w:r>
      <w:r>
        <w:rPr>
          <w:color w:val="000000"/>
        </w:rPr>
        <w:t>ill</w:t>
      </w:r>
      <w:r w:rsidRPr="00285F8F">
        <w:rPr>
          <w:color w:val="000000"/>
        </w:rPr>
        <w:t xml:space="preserve"> review the transfer</w:t>
      </w:r>
      <w:r>
        <w:rPr>
          <w:color w:val="000000"/>
        </w:rPr>
        <w:t>or</w:t>
      </w:r>
      <w:r w:rsidRPr="00285F8F">
        <w:rPr>
          <w:color w:val="000000"/>
        </w:rPr>
        <w:t>’s catch account</w:t>
      </w:r>
      <w:r>
        <w:rPr>
          <w:color w:val="000000"/>
        </w:rPr>
        <w:t xml:space="preserve"> </w:t>
      </w:r>
      <w:r w:rsidRPr="00285F8F">
        <w:rPr>
          <w:color w:val="000000"/>
        </w:rPr>
        <w:t xml:space="preserve">to ensure sufficient </w:t>
      </w:r>
      <w:r>
        <w:rPr>
          <w:color w:val="000000"/>
        </w:rPr>
        <w:t xml:space="preserve">Chinook </w:t>
      </w:r>
      <w:r w:rsidRPr="00285F8F">
        <w:rPr>
          <w:color w:val="000000"/>
        </w:rPr>
        <w:t xml:space="preserve">salmon </w:t>
      </w:r>
      <w:r>
        <w:rPr>
          <w:color w:val="000000"/>
        </w:rPr>
        <w:t xml:space="preserve">is </w:t>
      </w:r>
      <w:r w:rsidRPr="00285F8F">
        <w:rPr>
          <w:color w:val="000000"/>
        </w:rPr>
        <w:t>available to transfer</w:t>
      </w:r>
      <w:r>
        <w:rPr>
          <w:color w:val="000000"/>
        </w:rPr>
        <w:t xml:space="preserve">.  If enough Chinook salmon are in the account, NMFS will </w:t>
      </w:r>
      <w:r w:rsidRPr="00285F8F">
        <w:rPr>
          <w:color w:val="000000"/>
        </w:rPr>
        <w:t xml:space="preserve">make that transfer effective </w:t>
      </w:r>
      <w:r w:rsidRPr="00A2604B">
        <w:rPr>
          <w:color w:val="000000"/>
        </w:rPr>
        <w:t>immediately.  Transfers to eligible entities may occur at any time in a season but transfers cannot be mad</w:t>
      </w:r>
      <w:r>
        <w:rPr>
          <w:color w:val="000000"/>
        </w:rPr>
        <w:t>e between the B and A seasons.</w:t>
      </w:r>
    </w:p>
    <w:p w14:paraId="4B843516" w14:textId="77777777" w:rsidR="00EE310B" w:rsidRDefault="00EE310B" w:rsidP="00EE310B">
      <w:pPr>
        <w:rPr>
          <w:color w:val="000000"/>
        </w:rPr>
      </w:pPr>
    </w:p>
    <w:p w14:paraId="29F5614A" w14:textId="50DCB493" w:rsidR="00EE310B" w:rsidRDefault="00EE310B" w:rsidP="00EE310B">
      <w:pPr>
        <w:rPr>
          <w:color w:val="000000"/>
        </w:rPr>
      </w:pPr>
      <w:r>
        <w:rPr>
          <w:color w:val="000000"/>
        </w:rPr>
        <w:t xml:space="preserve">Upon receipt of an approved transfer request, </w:t>
      </w:r>
      <w:r w:rsidRPr="005118DC">
        <w:rPr>
          <w:color w:val="000000"/>
        </w:rPr>
        <w:t>NMFS will issue Bering Sea Chinook salmon PSC allocations to the catcher/processor sector</w:t>
      </w:r>
      <w:r>
        <w:rPr>
          <w:color w:val="000000"/>
        </w:rPr>
        <w:t xml:space="preserve"> </w:t>
      </w:r>
      <w:r w:rsidRPr="005118DC">
        <w:rPr>
          <w:color w:val="000000"/>
        </w:rPr>
        <w:t>entity, the mothership sector entity, inshore cooperatives, and CDQ groups. NMFS will issue separate PSC allocations</w:t>
      </w:r>
      <w:r>
        <w:rPr>
          <w:color w:val="000000"/>
        </w:rPr>
        <w:t xml:space="preserve"> </w:t>
      </w:r>
      <w:r w:rsidRPr="005118DC">
        <w:rPr>
          <w:color w:val="000000"/>
        </w:rPr>
        <w:t>for the A season and the B season. PSC remaining from the A season could be used in the B season (“rollover”).</w:t>
      </w:r>
    </w:p>
    <w:p w14:paraId="45A2149F" w14:textId="77777777" w:rsidR="00EE310B" w:rsidRPr="00A2604B" w:rsidRDefault="00EE310B" w:rsidP="00EE310B">
      <w:pPr>
        <w:rPr>
          <w:color w:val="000000"/>
        </w:rPr>
      </w:pPr>
    </w:p>
    <w:p w14:paraId="75FDEF33" w14:textId="77777777" w:rsidR="00EE310B" w:rsidRDefault="00EE310B" w:rsidP="00EE310B">
      <w:pPr>
        <w:tabs>
          <w:tab w:val="left" w:pos="360"/>
          <w:tab w:val="left" w:pos="720"/>
          <w:tab w:val="left" w:pos="1080"/>
        </w:tabs>
        <w:rPr>
          <w:color w:val="000000"/>
        </w:rPr>
      </w:pPr>
      <w:r>
        <w:t xml:space="preserve">Transferees may receive </w:t>
      </w:r>
      <w:r w:rsidRPr="00A2604B">
        <w:t>PSC</w:t>
      </w:r>
      <w:r>
        <w:t xml:space="preserve"> transfers</w:t>
      </w:r>
      <w:r w:rsidRPr="00A2604B">
        <w:t xml:space="preserve"> </w:t>
      </w:r>
      <w:r>
        <w:t>to cover overages (</w:t>
      </w:r>
      <w:r w:rsidRPr="00A2604B">
        <w:t xml:space="preserve">post-delivery transfers).  </w:t>
      </w:r>
      <w:r w:rsidRPr="00A2604B">
        <w:rPr>
          <w:color w:val="000000"/>
        </w:rPr>
        <w:t xml:space="preserve">NMFS will evaluate overages of Chinook salmon PSC on June 25 for the A season and on December 1 for the B season.  </w:t>
      </w:r>
    </w:p>
    <w:p w14:paraId="29CE76C2" w14:textId="77777777" w:rsidR="00EE310B" w:rsidRDefault="00EE310B" w:rsidP="00EE310B">
      <w:pPr>
        <w:tabs>
          <w:tab w:val="left" w:pos="360"/>
          <w:tab w:val="left" w:pos="720"/>
          <w:tab w:val="left" w:pos="1080"/>
        </w:tabs>
        <w:rPr>
          <w:color w:val="000000"/>
        </w:rPr>
      </w:pPr>
    </w:p>
    <w:p w14:paraId="70AEB46F" w14:textId="77777777" w:rsidR="00EE310B" w:rsidRDefault="00EE310B" w:rsidP="00EE310B">
      <w:pPr>
        <w:tabs>
          <w:tab w:val="left" w:pos="360"/>
          <w:tab w:val="left" w:pos="720"/>
          <w:tab w:val="left" w:pos="1080"/>
        </w:tabs>
        <w:rPr>
          <w:color w:val="000000"/>
        </w:rPr>
      </w:pPr>
      <w:r w:rsidRPr="00A2604B">
        <w:rPr>
          <w:color w:val="000000"/>
        </w:rPr>
        <w:t>This would provide entities 15 days after the end of the A season and 30 days after the end of the B season to obtain post delivery transfers to reduce or eliminate any overages.  NMFS would allow 30 days after the end of the B</w:t>
      </w:r>
      <w:r w:rsidRPr="00285F8F">
        <w:rPr>
          <w:color w:val="000000"/>
        </w:rPr>
        <w:t xml:space="preserve"> season for post delivery transfers because pollock fishing will cease for the remainder of the year on </w:t>
      </w:r>
      <w:r w:rsidRPr="00B15B9F">
        <w:rPr>
          <w:color w:val="000000"/>
        </w:rPr>
        <w:t>November 1.  If</w:t>
      </w:r>
      <w:r w:rsidRPr="00285F8F">
        <w:rPr>
          <w:color w:val="000000"/>
        </w:rPr>
        <w:t xml:space="preserve">, after </w:t>
      </w:r>
      <w:r>
        <w:rPr>
          <w:color w:val="000000"/>
        </w:rPr>
        <w:t xml:space="preserve">NMFS </w:t>
      </w:r>
      <w:r w:rsidRPr="00285F8F">
        <w:rPr>
          <w:color w:val="000000"/>
        </w:rPr>
        <w:t>allow</w:t>
      </w:r>
      <w:r>
        <w:rPr>
          <w:color w:val="000000"/>
        </w:rPr>
        <w:t>s</w:t>
      </w:r>
      <w:r w:rsidRPr="00285F8F">
        <w:rPr>
          <w:color w:val="000000"/>
        </w:rPr>
        <w:t xml:space="preserve"> for post-delivery transfers to cover an overage, an entity exceeded its Chinook salmon PSC allocation, the entity would be subject to an enforcement action for violating NMFS regulations.</w:t>
      </w:r>
    </w:p>
    <w:p w14:paraId="49BE4E59" w14:textId="6CE816EE" w:rsidR="00EE310B" w:rsidRPr="001943AD" w:rsidRDefault="00EE310B" w:rsidP="007B10F0">
      <w:pPr>
        <w:pStyle w:val="BodyText"/>
        <w:rPr>
          <w:color w:val="000000"/>
          <w:sz w:val="24"/>
          <w:szCs w:val="24"/>
        </w:rPr>
      </w:pPr>
    </w:p>
    <w:p w14:paraId="16437C90" w14:textId="0D079F2E" w:rsidR="007B10F0" w:rsidRPr="001943AD" w:rsidRDefault="007B10F0" w:rsidP="00B15B9F">
      <w:pPr>
        <w:pStyle w:val="ListParagraph"/>
        <w:keepNext/>
        <w:keepLines/>
        <w:spacing w:after="0" w:line="480" w:lineRule="auto"/>
        <w:ind w:left="0"/>
        <w:jc w:val="center"/>
        <w:rPr>
          <w:rFonts w:ascii="Times New Roman" w:hAnsi="Times New Roman"/>
          <w:b/>
          <w:color w:val="000000"/>
          <w:sz w:val="22"/>
          <w:szCs w:val="22"/>
        </w:rPr>
      </w:pPr>
      <w:r w:rsidRPr="001943AD" w:rsidDel="00832BCC">
        <w:rPr>
          <w:rFonts w:ascii="Times New Roman" w:hAnsi="Times New Roman"/>
          <w:b/>
          <w:color w:val="000000"/>
          <w:sz w:val="22"/>
          <w:szCs w:val="22"/>
        </w:rPr>
        <w:t xml:space="preserve">Potential </w:t>
      </w:r>
      <w:r w:rsidRPr="001943AD">
        <w:rPr>
          <w:rFonts w:ascii="Times New Roman" w:hAnsi="Times New Roman"/>
          <w:b/>
          <w:color w:val="000000"/>
          <w:sz w:val="22"/>
          <w:szCs w:val="22"/>
        </w:rPr>
        <w:t>N</w:t>
      </w:r>
      <w:r w:rsidRPr="001943AD" w:rsidDel="00832BCC">
        <w:rPr>
          <w:rFonts w:ascii="Times New Roman" w:hAnsi="Times New Roman"/>
          <w:b/>
          <w:color w:val="000000"/>
          <w:sz w:val="22"/>
          <w:szCs w:val="22"/>
        </w:rPr>
        <w:t xml:space="preserve">umber of </w:t>
      </w:r>
      <w:r w:rsidRPr="001943AD">
        <w:rPr>
          <w:rFonts w:ascii="Times New Roman" w:hAnsi="Times New Roman"/>
          <w:b/>
          <w:color w:val="000000"/>
          <w:sz w:val="22"/>
          <w:szCs w:val="22"/>
        </w:rPr>
        <w:t>T</w:t>
      </w:r>
      <w:r w:rsidRPr="001943AD" w:rsidDel="00832BCC">
        <w:rPr>
          <w:rFonts w:ascii="Times New Roman" w:hAnsi="Times New Roman"/>
          <w:b/>
          <w:color w:val="000000"/>
          <w:sz w:val="22"/>
          <w:szCs w:val="22"/>
        </w:rPr>
        <w:t xml:space="preserve">ransferable </w:t>
      </w:r>
      <w:r w:rsidRPr="001943AD">
        <w:rPr>
          <w:rFonts w:ascii="Times New Roman" w:hAnsi="Times New Roman"/>
          <w:b/>
          <w:color w:val="000000"/>
          <w:sz w:val="22"/>
          <w:szCs w:val="22"/>
        </w:rPr>
        <w:t>Chinook Salmon PSC Allocations</w:t>
      </w:r>
    </w:p>
    <w:tbl>
      <w:tblPr>
        <w:tblW w:w="7451" w:type="dxa"/>
        <w:jc w:val="center"/>
        <w:tblLayout w:type="fixed"/>
        <w:tblLook w:val="04A0" w:firstRow="1" w:lastRow="0" w:firstColumn="1" w:lastColumn="0" w:noHBand="0" w:noVBand="1"/>
      </w:tblPr>
      <w:tblGrid>
        <w:gridCol w:w="1566"/>
        <w:gridCol w:w="1179"/>
        <w:gridCol w:w="1356"/>
        <w:gridCol w:w="1080"/>
        <w:gridCol w:w="810"/>
        <w:gridCol w:w="1460"/>
      </w:tblGrid>
      <w:tr w:rsidR="007B10F0" w:rsidRPr="001943AD" w14:paraId="5F6655E8" w14:textId="77777777" w:rsidTr="00B84B6F">
        <w:trPr>
          <w:trHeight w:val="548"/>
          <w:jc w:val="center"/>
        </w:trPr>
        <w:tc>
          <w:tcPr>
            <w:tcW w:w="74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0E5882" w14:textId="77777777" w:rsidR="007B10F0" w:rsidRPr="001943AD" w:rsidRDefault="007B10F0" w:rsidP="00B15B9F">
            <w:pPr>
              <w:keepNext/>
              <w:keepLines/>
              <w:widowControl/>
              <w:jc w:val="center"/>
              <w:rPr>
                <w:b/>
                <w:bCs/>
                <w:color w:val="000000"/>
                <w:sz w:val="22"/>
                <w:szCs w:val="22"/>
              </w:rPr>
            </w:pPr>
            <w:r w:rsidRPr="001943AD">
              <w:rPr>
                <w:b/>
                <w:bCs/>
                <w:color w:val="000000"/>
                <w:sz w:val="22"/>
                <w:szCs w:val="22"/>
              </w:rPr>
              <w:t>Entities That Could Receive Transferable Allocations</w:t>
            </w:r>
          </w:p>
        </w:tc>
      </w:tr>
      <w:tr w:rsidR="007B10F0" w:rsidRPr="001943AD" w14:paraId="28AE97E3" w14:textId="77777777" w:rsidTr="00F93109">
        <w:trPr>
          <w:trHeight w:val="782"/>
          <w:jc w:val="center"/>
        </w:trPr>
        <w:tc>
          <w:tcPr>
            <w:tcW w:w="1566" w:type="dxa"/>
            <w:tcBorders>
              <w:top w:val="nil"/>
              <w:left w:val="single" w:sz="4" w:space="0" w:color="auto"/>
              <w:bottom w:val="single" w:sz="4" w:space="0" w:color="auto"/>
              <w:right w:val="single" w:sz="4" w:space="0" w:color="auto"/>
            </w:tcBorders>
            <w:shd w:val="clear" w:color="auto" w:fill="auto"/>
            <w:noWrap/>
            <w:vAlign w:val="center"/>
          </w:tcPr>
          <w:p w14:paraId="73FA8796" w14:textId="4F179720" w:rsidR="007B10F0" w:rsidRPr="001943AD" w:rsidRDefault="007B10F0" w:rsidP="00B15B9F">
            <w:pPr>
              <w:keepNext/>
              <w:keepLines/>
              <w:widowControl/>
              <w:jc w:val="center"/>
              <w:rPr>
                <w:color w:val="000000"/>
                <w:sz w:val="22"/>
                <w:szCs w:val="22"/>
              </w:rPr>
            </w:pPr>
          </w:p>
        </w:tc>
        <w:tc>
          <w:tcPr>
            <w:tcW w:w="1179" w:type="dxa"/>
            <w:tcBorders>
              <w:top w:val="nil"/>
              <w:left w:val="nil"/>
              <w:bottom w:val="single" w:sz="4" w:space="0" w:color="auto"/>
              <w:right w:val="single" w:sz="4" w:space="0" w:color="auto"/>
            </w:tcBorders>
            <w:shd w:val="clear" w:color="auto" w:fill="auto"/>
            <w:vAlign w:val="center"/>
          </w:tcPr>
          <w:p w14:paraId="6D306B51" w14:textId="77777777" w:rsidR="00B16B31" w:rsidRPr="001943AD" w:rsidRDefault="007B10F0" w:rsidP="00B15B9F">
            <w:pPr>
              <w:keepNext/>
              <w:keepLines/>
              <w:widowControl/>
              <w:jc w:val="center"/>
              <w:rPr>
                <w:b/>
                <w:bCs/>
                <w:color w:val="000000"/>
                <w:sz w:val="22"/>
                <w:szCs w:val="22"/>
              </w:rPr>
            </w:pPr>
            <w:r w:rsidRPr="001943AD">
              <w:rPr>
                <w:b/>
                <w:bCs/>
                <w:color w:val="000000"/>
                <w:sz w:val="22"/>
                <w:szCs w:val="22"/>
              </w:rPr>
              <w:t>Catcher/</w:t>
            </w:r>
          </w:p>
          <w:p w14:paraId="7591FCEE" w14:textId="570D840F" w:rsidR="00B16B31" w:rsidRPr="001943AD" w:rsidRDefault="007B10F0" w:rsidP="00B15B9F">
            <w:pPr>
              <w:keepNext/>
              <w:keepLines/>
              <w:widowControl/>
              <w:jc w:val="center"/>
              <w:rPr>
                <w:b/>
                <w:bCs/>
                <w:color w:val="000000"/>
                <w:sz w:val="22"/>
                <w:szCs w:val="22"/>
              </w:rPr>
            </w:pPr>
            <w:r w:rsidRPr="001943AD">
              <w:rPr>
                <w:b/>
                <w:bCs/>
                <w:color w:val="000000"/>
                <w:sz w:val="22"/>
                <w:szCs w:val="22"/>
              </w:rPr>
              <w:t>Processor</w:t>
            </w:r>
          </w:p>
          <w:p w14:paraId="7CA1360F" w14:textId="77777777" w:rsidR="007B10F0" w:rsidRPr="001943AD" w:rsidRDefault="007B10F0" w:rsidP="00B15B9F">
            <w:pPr>
              <w:keepNext/>
              <w:keepLines/>
              <w:widowControl/>
              <w:jc w:val="center"/>
              <w:rPr>
                <w:b/>
                <w:bCs/>
                <w:color w:val="000000"/>
                <w:sz w:val="22"/>
                <w:szCs w:val="22"/>
              </w:rPr>
            </w:pPr>
            <w:r w:rsidRPr="001943AD">
              <w:rPr>
                <w:b/>
                <w:bCs/>
                <w:color w:val="000000"/>
                <w:sz w:val="22"/>
                <w:szCs w:val="22"/>
              </w:rPr>
              <w:t>Sector</w:t>
            </w:r>
          </w:p>
        </w:tc>
        <w:tc>
          <w:tcPr>
            <w:tcW w:w="1356" w:type="dxa"/>
            <w:tcBorders>
              <w:top w:val="nil"/>
              <w:left w:val="nil"/>
              <w:bottom w:val="single" w:sz="4" w:space="0" w:color="auto"/>
              <w:right w:val="single" w:sz="4" w:space="0" w:color="auto"/>
            </w:tcBorders>
            <w:shd w:val="clear" w:color="auto" w:fill="auto"/>
            <w:vAlign w:val="center"/>
          </w:tcPr>
          <w:p w14:paraId="4FA3EA8A" w14:textId="77777777" w:rsidR="007B10F0" w:rsidRPr="001943AD" w:rsidRDefault="007B10F0" w:rsidP="00B15B9F">
            <w:pPr>
              <w:keepNext/>
              <w:keepLines/>
              <w:widowControl/>
              <w:jc w:val="center"/>
              <w:rPr>
                <w:b/>
                <w:bCs/>
                <w:color w:val="000000"/>
                <w:sz w:val="22"/>
                <w:szCs w:val="22"/>
              </w:rPr>
            </w:pPr>
            <w:r w:rsidRPr="001943AD">
              <w:rPr>
                <w:b/>
                <w:bCs/>
                <w:color w:val="000000"/>
                <w:sz w:val="22"/>
                <w:szCs w:val="22"/>
              </w:rPr>
              <w:t>Mothership Sector</w:t>
            </w:r>
          </w:p>
        </w:tc>
        <w:tc>
          <w:tcPr>
            <w:tcW w:w="1080" w:type="dxa"/>
            <w:tcBorders>
              <w:top w:val="nil"/>
              <w:left w:val="nil"/>
              <w:bottom w:val="single" w:sz="4" w:space="0" w:color="auto"/>
              <w:right w:val="single" w:sz="4" w:space="0" w:color="auto"/>
            </w:tcBorders>
            <w:shd w:val="clear" w:color="auto" w:fill="auto"/>
            <w:vAlign w:val="center"/>
          </w:tcPr>
          <w:p w14:paraId="5E698B2B" w14:textId="3C9020B2" w:rsidR="007B10F0" w:rsidRPr="001943AD" w:rsidRDefault="007B10F0" w:rsidP="00B15B9F">
            <w:pPr>
              <w:keepNext/>
              <w:keepLines/>
              <w:widowControl/>
              <w:jc w:val="center"/>
              <w:rPr>
                <w:b/>
                <w:bCs/>
                <w:color w:val="000000"/>
                <w:sz w:val="22"/>
                <w:szCs w:val="22"/>
              </w:rPr>
            </w:pPr>
            <w:r w:rsidRPr="001943AD">
              <w:rPr>
                <w:b/>
                <w:bCs/>
                <w:color w:val="000000"/>
                <w:sz w:val="22"/>
                <w:szCs w:val="22"/>
              </w:rPr>
              <w:t>Inshore</w:t>
            </w:r>
          </w:p>
          <w:p w14:paraId="120CE510" w14:textId="77777777" w:rsidR="007B10F0" w:rsidRPr="001943AD" w:rsidRDefault="007B10F0" w:rsidP="00B15B9F">
            <w:pPr>
              <w:keepNext/>
              <w:keepLines/>
              <w:widowControl/>
              <w:jc w:val="center"/>
              <w:rPr>
                <w:b/>
                <w:bCs/>
                <w:color w:val="000000"/>
                <w:sz w:val="22"/>
                <w:szCs w:val="22"/>
              </w:rPr>
            </w:pPr>
            <w:r w:rsidRPr="001943AD">
              <w:rPr>
                <w:b/>
                <w:bCs/>
                <w:color w:val="000000"/>
                <w:sz w:val="22"/>
                <w:szCs w:val="22"/>
              </w:rPr>
              <w:t>Co-Ops</w:t>
            </w:r>
          </w:p>
        </w:tc>
        <w:tc>
          <w:tcPr>
            <w:tcW w:w="810" w:type="dxa"/>
            <w:tcBorders>
              <w:top w:val="nil"/>
              <w:left w:val="nil"/>
              <w:bottom w:val="single" w:sz="4" w:space="0" w:color="auto"/>
              <w:right w:val="single" w:sz="4" w:space="0" w:color="auto"/>
            </w:tcBorders>
            <w:shd w:val="clear" w:color="auto" w:fill="auto"/>
            <w:vAlign w:val="center"/>
          </w:tcPr>
          <w:p w14:paraId="13BC54A2" w14:textId="77777777" w:rsidR="007B10F0" w:rsidRPr="001943AD" w:rsidRDefault="007B10F0" w:rsidP="00B15B9F">
            <w:pPr>
              <w:keepNext/>
              <w:keepLines/>
              <w:widowControl/>
              <w:jc w:val="center"/>
              <w:rPr>
                <w:b/>
                <w:bCs/>
                <w:color w:val="000000"/>
                <w:sz w:val="22"/>
                <w:szCs w:val="22"/>
              </w:rPr>
            </w:pPr>
            <w:r w:rsidRPr="001943AD">
              <w:rPr>
                <w:b/>
                <w:bCs/>
                <w:color w:val="000000"/>
                <w:sz w:val="22"/>
                <w:szCs w:val="22"/>
              </w:rPr>
              <w:t>CDQ</w:t>
            </w:r>
          </w:p>
        </w:tc>
        <w:tc>
          <w:tcPr>
            <w:tcW w:w="1460" w:type="dxa"/>
            <w:tcBorders>
              <w:top w:val="nil"/>
              <w:left w:val="nil"/>
              <w:bottom w:val="single" w:sz="4" w:space="0" w:color="auto"/>
              <w:right w:val="single" w:sz="4" w:space="0" w:color="auto"/>
            </w:tcBorders>
            <w:shd w:val="clear" w:color="auto" w:fill="auto"/>
            <w:vAlign w:val="center"/>
          </w:tcPr>
          <w:p w14:paraId="3B0778B5" w14:textId="77777777" w:rsidR="007B10F0" w:rsidRPr="001943AD" w:rsidRDefault="007B10F0" w:rsidP="00B15B9F">
            <w:pPr>
              <w:keepNext/>
              <w:keepLines/>
              <w:widowControl/>
              <w:jc w:val="center"/>
              <w:rPr>
                <w:b/>
                <w:bCs/>
                <w:color w:val="000000"/>
                <w:sz w:val="22"/>
                <w:szCs w:val="22"/>
              </w:rPr>
            </w:pPr>
            <w:r w:rsidRPr="001943AD">
              <w:rPr>
                <w:b/>
                <w:bCs/>
                <w:color w:val="000000"/>
                <w:sz w:val="22"/>
                <w:szCs w:val="22"/>
              </w:rPr>
              <w:t>Total Transferable</w:t>
            </w:r>
          </w:p>
        </w:tc>
      </w:tr>
      <w:tr w:rsidR="007B10F0" w:rsidRPr="001943AD" w14:paraId="5454C46A" w14:textId="77777777" w:rsidTr="00F93109">
        <w:trPr>
          <w:trHeight w:val="345"/>
          <w:jc w:val="center"/>
        </w:trPr>
        <w:tc>
          <w:tcPr>
            <w:tcW w:w="1566" w:type="dxa"/>
            <w:tcBorders>
              <w:top w:val="nil"/>
              <w:left w:val="single" w:sz="4" w:space="0" w:color="auto"/>
              <w:bottom w:val="single" w:sz="4" w:space="0" w:color="auto"/>
              <w:right w:val="single" w:sz="4" w:space="0" w:color="auto"/>
            </w:tcBorders>
            <w:shd w:val="clear" w:color="auto" w:fill="auto"/>
            <w:noWrap/>
          </w:tcPr>
          <w:p w14:paraId="4D05BB07" w14:textId="77777777" w:rsidR="007B10F0" w:rsidRPr="001943AD" w:rsidRDefault="007B10F0" w:rsidP="00B15B9F">
            <w:pPr>
              <w:keepNext/>
              <w:keepLines/>
              <w:widowControl/>
              <w:jc w:val="both"/>
              <w:rPr>
                <w:color w:val="000000"/>
                <w:sz w:val="22"/>
                <w:szCs w:val="22"/>
              </w:rPr>
            </w:pPr>
            <w:r w:rsidRPr="001943AD">
              <w:rPr>
                <w:color w:val="000000"/>
                <w:sz w:val="22"/>
                <w:szCs w:val="22"/>
              </w:rPr>
              <w:t>A Season</w:t>
            </w:r>
          </w:p>
        </w:tc>
        <w:tc>
          <w:tcPr>
            <w:tcW w:w="1179" w:type="dxa"/>
            <w:tcBorders>
              <w:top w:val="nil"/>
              <w:left w:val="nil"/>
              <w:bottom w:val="single" w:sz="4" w:space="0" w:color="auto"/>
              <w:right w:val="single" w:sz="4" w:space="0" w:color="auto"/>
            </w:tcBorders>
            <w:shd w:val="clear" w:color="auto" w:fill="auto"/>
            <w:noWrap/>
            <w:vAlign w:val="center"/>
          </w:tcPr>
          <w:p w14:paraId="6FE4D408" w14:textId="77777777" w:rsidR="007B10F0" w:rsidRPr="001943AD" w:rsidRDefault="007B10F0" w:rsidP="00B15B9F">
            <w:pPr>
              <w:keepNext/>
              <w:keepLines/>
              <w:widowControl/>
              <w:jc w:val="center"/>
              <w:rPr>
                <w:color w:val="000000"/>
                <w:sz w:val="22"/>
                <w:szCs w:val="22"/>
              </w:rPr>
            </w:pPr>
            <w:r w:rsidRPr="001943A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14:paraId="38A7249A" w14:textId="77777777" w:rsidR="007B10F0" w:rsidRPr="001943AD" w:rsidRDefault="007B10F0" w:rsidP="00B15B9F">
            <w:pPr>
              <w:keepNext/>
              <w:keepLines/>
              <w:widowControl/>
              <w:jc w:val="center"/>
              <w:rPr>
                <w:color w:val="000000"/>
                <w:sz w:val="22"/>
                <w:szCs w:val="22"/>
              </w:rPr>
            </w:pPr>
            <w:r w:rsidRPr="001943A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14:paraId="7F33FEC9" w14:textId="77777777" w:rsidR="007B10F0" w:rsidRPr="001943AD" w:rsidRDefault="007B10F0" w:rsidP="00B15B9F">
            <w:pPr>
              <w:keepNext/>
              <w:keepLines/>
              <w:widowControl/>
              <w:jc w:val="center"/>
              <w:rPr>
                <w:color w:val="000000"/>
                <w:sz w:val="22"/>
                <w:szCs w:val="22"/>
              </w:rPr>
            </w:pPr>
            <w:r w:rsidRPr="001943A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14:paraId="08C252DE" w14:textId="77777777" w:rsidR="007B10F0" w:rsidRPr="001943AD" w:rsidRDefault="007B10F0" w:rsidP="00B15B9F">
            <w:pPr>
              <w:keepNext/>
              <w:keepLines/>
              <w:widowControl/>
              <w:jc w:val="center"/>
              <w:rPr>
                <w:color w:val="000000"/>
                <w:sz w:val="22"/>
                <w:szCs w:val="22"/>
              </w:rPr>
            </w:pPr>
            <w:r w:rsidRPr="001943A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14:paraId="21F1CD11" w14:textId="77777777" w:rsidR="007B10F0" w:rsidRPr="001943AD" w:rsidRDefault="007B10F0" w:rsidP="00B15B9F">
            <w:pPr>
              <w:keepNext/>
              <w:keepLines/>
              <w:widowControl/>
              <w:jc w:val="center"/>
              <w:rPr>
                <w:color w:val="000000"/>
                <w:sz w:val="22"/>
                <w:szCs w:val="22"/>
              </w:rPr>
            </w:pPr>
            <w:r w:rsidRPr="001943AD">
              <w:rPr>
                <w:color w:val="000000"/>
                <w:sz w:val="22"/>
                <w:szCs w:val="22"/>
              </w:rPr>
              <w:t>15</w:t>
            </w:r>
          </w:p>
        </w:tc>
      </w:tr>
      <w:tr w:rsidR="007B10F0" w:rsidRPr="001943AD" w14:paraId="04FBE909" w14:textId="77777777" w:rsidTr="00F93109">
        <w:trPr>
          <w:trHeight w:val="330"/>
          <w:jc w:val="center"/>
        </w:trPr>
        <w:tc>
          <w:tcPr>
            <w:tcW w:w="1566" w:type="dxa"/>
            <w:tcBorders>
              <w:top w:val="nil"/>
              <w:left w:val="single" w:sz="4" w:space="0" w:color="auto"/>
              <w:bottom w:val="single" w:sz="4" w:space="0" w:color="auto"/>
              <w:right w:val="single" w:sz="4" w:space="0" w:color="auto"/>
            </w:tcBorders>
            <w:shd w:val="clear" w:color="auto" w:fill="auto"/>
            <w:noWrap/>
          </w:tcPr>
          <w:p w14:paraId="52FFFC09" w14:textId="77777777" w:rsidR="007B10F0" w:rsidRPr="001943AD" w:rsidRDefault="007B10F0" w:rsidP="00B15B9F">
            <w:pPr>
              <w:keepNext/>
              <w:keepLines/>
              <w:widowControl/>
              <w:jc w:val="both"/>
              <w:rPr>
                <w:color w:val="000000"/>
                <w:sz w:val="22"/>
                <w:szCs w:val="22"/>
              </w:rPr>
            </w:pPr>
            <w:r w:rsidRPr="001943AD">
              <w:rPr>
                <w:color w:val="000000"/>
                <w:sz w:val="22"/>
                <w:szCs w:val="22"/>
              </w:rPr>
              <w:t>B Season</w:t>
            </w:r>
          </w:p>
        </w:tc>
        <w:tc>
          <w:tcPr>
            <w:tcW w:w="1179" w:type="dxa"/>
            <w:tcBorders>
              <w:top w:val="nil"/>
              <w:left w:val="nil"/>
              <w:bottom w:val="single" w:sz="4" w:space="0" w:color="auto"/>
              <w:right w:val="single" w:sz="4" w:space="0" w:color="auto"/>
            </w:tcBorders>
            <w:shd w:val="clear" w:color="auto" w:fill="auto"/>
            <w:noWrap/>
            <w:vAlign w:val="center"/>
          </w:tcPr>
          <w:p w14:paraId="4174C3D4" w14:textId="77777777" w:rsidR="007B10F0" w:rsidRPr="001943AD" w:rsidRDefault="007B10F0" w:rsidP="00B15B9F">
            <w:pPr>
              <w:keepNext/>
              <w:keepLines/>
              <w:widowControl/>
              <w:jc w:val="center"/>
              <w:rPr>
                <w:color w:val="000000"/>
                <w:sz w:val="22"/>
                <w:szCs w:val="22"/>
              </w:rPr>
            </w:pPr>
            <w:r w:rsidRPr="001943A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14:paraId="37897EB2" w14:textId="77777777" w:rsidR="007B10F0" w:rsidRPr="001943AD" w:rsidRDefault="007B10F0" w:rsidP="00B15B9F">
            <w:pPr>
              <w:keepNext/>
              <w:keepLines/>
              <w:widowControl/>
              <w:jc w:val="center"/>
              <w:rPr>
                <w:color w:val="000000"/>
                <w:sz w:val="22"/>
                <w:szCs w:val="22"/>
              </w:rPr>
            </w:pPr>
            <w:r w:rsidRPr="001943A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14:paraId="30CE54F9" w14:textId="77777777" w:rsidR="007B10F0" w:rsidRPr="001943AD" w:rsidRDefault="007B10F0" w:rsidP="00B15B9F">
            <w:pPr>
              <w:keepNext/>
              <w:keepLines/>
              <w:widowControl/>
              <w:jc w:val="center"/>
              <w:rPr>
                <w:color w:val="000000"/>
                <w:sz w:val="22"/>
                <w:szCs w:val="22"/>
              </w:rPr>
            </w:pPr>
            <w:r w:rsidRPr="001943A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14:paraId="769E93EB" w14:textId="77777777" w:rsidR="007B10F0" w:rsidRPr="001943AD" w:rsidRDefault="007B10F0" w:rsidP="00B15B9F">
            <w:pPr>
              <w:keepNext/>
              <w:keepLines/>
              <w:widowControl/>
              <w:jc w:val="center"/>
              <w:rPr>
                <w:color w:val="000000"/>
                <w:sz w:val="22"/>
                <w:szCs w:val="22"/>
              </w:rPr>
            </w:pPr>
            <w:r w:rsidRPr="001943A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14:paraId="3C9D98CE" w14:textId="77777777" w:rsidR="007B10F0" w:rsidRPr="001943AD" w:rsidRDefault="007B10F0" w:rsidP="00B15B9F">
            <w:pPr>
              <w:keepNext/>
              <w:keepLines/>
              <w:widowControl/>
              <w:jc w:val="center"/>
              <w:rPr>
                <w:color w:val="000000"/>
                <w:sz w:val="22"/>
                <w:szCs w:val="22"/>
              </w:rPr>
            </w:pPr>
            <w:r w:rsidRPr="001943AD">
              <w:rPr>
                <w:color w:val="000000"/>
                <w:sz w:val="22"/>
                <w:szCs w:val="22"/>
              </w:rPr>
              <w:t>15</w:t>
            </w:r>
          </w:p>
        </w:tc>
      </w:tr>
      <w:tr w:rsidR="007B10F0" w:rsidRPr="001943AD" w14:paraId="1367D256" w14:textId="77777777" w:rsidTr="00F93109">
        <w:trPr>
          <w:trHeight w:val="287"/>
          <w:jc w:val="center"/>
        </w:trPr>
        <w:tc>
          <w:tcPr>
            <w:tcW w:w="1566" w:type="dxa"/>
            <w:tcBorders>
              <w:top w:val="nil"/>
              <w:left w:val="single" w:sz="4" w:space="0" w:color="auto"/>
              <w:bottom w:val="single" w:sz="4" w:space="0" w:color="auto"/>
              <w:right w:val="single" w:sz="4" w:space="0" w:color="auto"/>
            </w:tcBorders>
            <w:shd w:val="clear" w:color="auto" w:fill="auto"/>
            <w:noWrap/>
          </w:tcPr>
          <w:p w14:paraId="4F27BBB6" w14:textId="77777777" w:rsidR="007B10F0" w:rsidRPr="001943AD" w:rsidRDefault="007B10F0" w:rsidP="00B15B9F">
            <w:pPr>
              <w:keepNext/>
              <w:keepLines/>
              <w:widowControl/>
              <w:jc w:val="both"/>
              <w:rPr>
                <w:color w:val="000000"/>
                <w:sz w:val="22"/>
                <w:szCs w:val="22"/>
              </w:rPr>
            </w:pPr>
            <w:r w:rsidRPr="001943AD">
              <w:rPr>
                <w:color w:val="000000"/>
                <w:sz w:val="22"/>
                <w:szCs w:val="22"/>
              </w:rPr>
              <w:t>Annual total</w:t>
            </w:r>
          </w:p>
        </w:tc>
        <w:tc>
          <w:tcPr>
            <w:tcW w:w="1179" w:type="dxa"/>
            <w:tcBorders>
              <w:top w:val="nil"/>
              <w:left w:val="nil"/>
              <w:bottom w:val="single" w:sz="4" w:space="0" w:color="auto"/>
              <w:right w:val="single" w:sz="4" w:space="0" w:color="auto"/>
            </w:tcBorders>
            <w:shd w:val="clear" w:color="auto" w:fill="auto"/>
            <w:noWrap/>
            <w:vAlign w:val="center"/>
          </w:tcPr>
          <w:p w14:paraId="42590CDC" w14:textId="77777777" w:rsidR="007B10F0" w:rsidRPr="001943AD" w:rsidRDefault="007B10F0" w:rsidP="00B15B9F">
            <w:pPr>
              <w:keepNext/>
              <w:keepLines/>
              <w:widowControl/>
              <w:jc w:val="center"/>
              <w:rPr>
                <w:color w:val="000000"/>
                <w:sz w:val="22"/>
                <w:szCs w:val="22"/>
              </w:rPr>
            </w:pPr>
            <w:r w:rsidRPr="001943AD">
              <w:rPr>
                <w:color w:val="000000"/>
                <w:sz w:val="22"/>
                <w:szCs w:val="22"/>
              </w:rPr>
              <w:t>2</w:t>
            </w:r>
          </w:p>
        </w:tc>
        <w:tc>
          <w:tcPr>
            <w:tcW w:w="1356" w:type="dxa"/>
            <w:tcBorders>
              <w:top w:val="nil"/>
              <w:left w:val="nil"/>
              <w:bottom w:val="single" w:sz="4" w:space="0" w:color="auto"/>
              <w:right w:val="single" w:sz="4" w:space="0" w:color="auto"/>
            </w:tcBorders>
            <w:shd w:val="clear" w:color="auto" w:fill="auto"/>
            <w:noWrap/>
            <w:vAlign w:val="center"/>
          </w:tcPr>
          <w:p w14:paraId="6D4F224B" w14:textId="77777777" w:rsidR="007B10F0" w:rsidRPr="001943AD" w:rsidRDefault="007B10F0" w:rsidP="00B15B9F">
            <w:pPr>
              <w:keepNext/>
              <w:keepLines/>
              <w:widowControl/>
              <w:jc w:val="center"/>
              <w:rPr>
                <w:color w:val="000000"/>
                <w:sz w:val="22"/>
                <w:szCs w:val="22"/>
              </w:rPr>
            </w:pPr>
            <w:r w:rsidRPr="001943AD">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tcPr>
          <w:p w14:paraId="0FE3974D" w14:textId="77777777" w:rsidR="007B10F0" w:rsidRPr="001943AD" w:rsidRDefault="007B10F0" w:rsidP="00B15B9F">
            <w:pPr>
              <w:keepNext/>
              <w:keepLines/>
              <w:widowControl/>
              <w:jc w:val="center"/>
              <w:rPr>
                <w:color w:val="000000"/>
                <w:sz w:val="22"/>
                <w:szCs w:val="22"/>
              </w:rPr>
            </w:pPr>
            <w:r w:rsidRPr="001943AD">
              <w:rPr>
                <w:color w:val="000000"/>
                <w:sz w:val="22"/>
                <w:szCs w:val="22"/>
              </w:rPr>
              <w:t>14</w:t>
            </w:r>
          </w:p>
        </w:tc>
        <w:tc>
          <w:tcPr>
            <w:tcW w:w="810" w:type="dxa"/>
            <w:tcBorders>
              <w:top w:val="nil"/>
              <w:left w:val="nil"/>
              <w:bottom w:val="single" w:sz="4" w:space="0" w:color="auto"/>
              <w:right w:val="single" w:sz="4" w:space="0" w:color="auto"/>
            </w:tcBorders>
            <w:shd w:val="clear" w:color="auto" w:fill="auto"/>
            <w:noWrap/>
            <w:vAlign w:val="center"/>
          </w:tcPr>
          <w:p w14:paraId="293028C9" w14:textId="77777777" w:rsidR="007B10F0" w:rsidRPr="001943AD" w:rsidRDefault="007B10F0" w:rsidP="00B15B9F">
            <w:pPr>
              <w:keepNext/>
              <w:keepLines/>
              <w:widowControl/>
              <w:jc w:val="center"/>
              <w:rPr>
                <w:color w:val="000000"/>
                <w:sz w:val="22"/>
                <w:szCs w:val="22"/>
              </w:rPr>
            </w:pPr>
            <w:r w:rsidRPr="001943AD">
              <w:rPr>
                <w:color w:val="000000"/>
                <w:sz w:val="22"/>
                <w:szCs w:val="22"/>
              </w:rPr>
              <w:t>12</w:t>
            </w:r>
          </w:p>
        </w:tc>
        <w:tc>
          <w:tcPr>
            <w:tcW w:w="1460" w:type="dxa"/>
            <w:tcBorders>
              <w:top w:val="nil"/>
              <w:left w:val="nil"/>
              <w:bottom w:val="single" w:sz="4" w:space="0" w:color="auto"/>
              <w:right w:val="single" w:sz="4" w:space="0" w:color="auto"/>
            </w:tcBorders>
            <w:shd w:val="clear" w:color="auto" w:fill="auto"/>
            <w:noWrap/>
            <w:vAlign w:val="center"/>
          </w:tcPr>
          <w:p w14:paraId="37996942" w14:textId="77777777" w:rsidR="007B10F0" w:rsidRPr="001943AD" w:rsidRDefault="007B10F0" w:rsidP="00B15B9F">
            <w:pPr>
              <w:keepNext/>
              <w:keepLines/>
              <w:widowControl/>
              <w:jc w:val="center"/>
              <w:rPr>
                <w:color w:val="000000"/>
                <w:sz w:val="22"/>
                <w:szCs w:val="22"/>
              </w:rPr>
            </w:pPr>
            <w:r w:rsidRPr="001943AD">
              <w:rPr>
                <w:color w:val="000000"/>
                <w:sz w:val="22"/>
                <w:szCs w:val="22"/>
              </w:rPr>
              <w:t>30</w:t>
            </w:r>
          </w:p>
        </w:tc>
      </w:tr>
    </w:tbl>
    <w:p w14:paraId="00432010" w14:textId="77777777" w:rsidR="00F93109" w:rsidRDefault="00F93109" w:rsidP="007B10F0">
      <w:pPr>
        <w:rPr>
          <w:color w:val="000000"/>
        </w:rPr>
      </w:pPr>
    </w:p>
    <w:p w14:paraId="608DF4C7" w14:textId="1EC497A8" w:rsidR="002E3451" w:rsidRDefault="007B10F0" w:rsidP="002E3451">
      <w:pPr>
        <w:rPr>
          <w:color w:val="000000"/>
        </w:rPr>
      </w:pPr>
      <w:r w:rsidRPr="00285F8F">
        <w:rPr>
          <w:color w:val="000000"/>
        </w:rPr>
        <w:t xml:space="preserve">Including the </w:t>
      </w:r>
      <w:r w:rsidR="00C4760E">
        <w:rPr>
          <w:color w:val="000000"/>
        </w:rPr>
        <w:t xml:space="preserve">catcher/processor and mothership </w:t>
      </w:r>
      <w:r w:rsidRPr="00285F8F">
        <w:rPr>
          <w:color w:val="000000"/>
        </w:rPr>
        <w:t xml:space="preserve">sectors, there </w:t>
      </w:r>
      <w:r w:rsidR="00EE310B">
        <w:rPr>
          <w:color w:val="000000"/>
        </w:rPr>
        <w:t>c</w:t>
      </w:r>
      <w:r w:rsidRPr="00285F8F">
        <w:rPr>
          <w:color w:val="000000"/>
        </w:rPr>
        <w:t>ould be a maximum of 15 different Chinook salmon PS</w:t>
      </w:r>
      <w:r>
        <w:rPr>
          <w:color w:val="000000"/>
        </w:rPr>
        <w:t>C</w:t>
      </w:r>
      <w:r w:rsidRPr="00285F8F">
        <w:rPr>
          <w:color w:val="000000"/>
        </w:rPr>
        <w:t xml:space="preserve"> accounts each season.  Separate allocations would be made for the A season and the B season for a total of up to 30 transferable </w:t>
      </w:r>
      <w:r>
        <w:rPr>
          <w:color w:val="000000"/>
        </w:rPr>
        <w:t>PSC</w:t>
      </w:r>
      <w:r w:rsidRPr="00285F8F">
        <w:rPr>
          <w:color w:val="000000"/>
        </w:rPr>
        <w:t xml:space="preserve"> allocation accounts each year.  This number of transferable PS</w:t>
      </w:r>
      <w:r>
        <w:rPr>
          <w:color w:val="000000"/>
        </w:rPr>
        <w:t>C</w:t>
      </w:r>
      <w:r w:rsidRPr="00285F8F">
        <w:rPr>
          <w:color w:val="000000"/>
        </w:rPr>
        <w:t xml:space="preserve"> accounts could exist under either the 60,000 Chino</w:t>
      </w:r>
      <w:r>
        <w:rPr>
          <w:color w:val="000000"/>
        </w:rPr>
        <w:t>ok salmon PSC</w:t>
      </w:r>
      <w:r w:rsidRPr="00285F8F">
        <w:rPr>
          <w:color w:val="000000"/>
        </w:rPr>
        <w:t xml:space="preserve"> limit </w:t>
      </w:r>
      <w:r>
        <w:rPr>
          <w:color w:val="000000"/>
        </w:rPr>
        <w:t>or the 47,591 Chinook salmon PSC</w:t>
      </w:r>
      <w:r w:rsidRPr="00285F8F">
        <w:rPr>
          <w:color w:val="000000"/>
        </w:rPr>
        <w:t xml:space="preserve"> limit.</w:t>
      </w:r>
      <w:r w:rsidR="00EE310B">
        <w:rPr>
          <w:color w:val="000000"/>
        </w:rPr>
        <w:t xml:space="preserve"> However, to date the Chinook salmon PSC limits have not been reached</w:t>
      </w:r>
      <w:r w:rsidR="002E3451">
        <w:rPr>
          <w:color w:val="000000"/>
        </w:rPr>
        <w:t>; therefore</w:t>
      </w:r>
      <w:r w:rsidR="00776822">
        <w:rPr>
          <w:color w:val="000000"/>
        </w:rPr>
        <w:t>,</w:t>
      </w:r>
      <w:r w:rsidR="002E3451">
        <w:rPr>
          <w:color w:val="000000"/>
        </w:rPr>
        <w:t xml:space="preserve"> no transfer application</w:t>
      </w:r>
      <w:r w:rsidR="00776822">
        <w:rPr>
          <w:color w:val="000000"/>
        </w:rPr>
        <w:t>s</w:t>
      </w:r>
      <w:r w:rsidR="002E3451">
        <w:rPr>
          <w:color w:val="000000"/>
        </w:rPr>
        <w:t xml:space="preserve"> have been </w:t>
      </w:r>
      <w:r w:rsidR="002E3451" w:rsidRPr="00BB72C4">
        <w:rPr>
          <w:color w:val="000000"/>
        </w:rPr>
        <w:t>submitted. For purposes of this analysis,</w:t>
      </w:r>
      <w:r w:rsidR="00BB72C4" w:rsidRPr="00BB72C4">
        <w:rPr>
          <w:color w:val="000000"/>
        </w:rPr>
        <w:t xml:space="preserve"> 5 respondents</w:t>
      </w:r>
      <w:r w:rsidR="002E3451" w:rsidRPr="00BB72C4">
        <w:rPr>
          <w:color w:val="000000"/>
        </w:rPr>
        <w:t xml:space="preserve"> is used in the tables in </w:t>
      </w:r>
      <w:r w:rsidR="00BB72C4" w:rsidRPr="00BB72C4">
        <w:rPr>
          <w:color w:val="000000"/>
        </w:rPr>
        <w:t>questions 12 and 13</w:t>
      </w:r>
      <w:r w:rsidR="002E3451" w:rsidRPr="00BB72C4">
        <w:rPr>
          <w:color w:val="000000"/>
        </w:rPr>
        <w:t>.</w:t>
      </w:r>
    </w:p>
    <w:p w14:paraId="5B41F444" w14:textId="77777777" w:rsidR="007B10F0" w:rsidRDefault="007B10F0" w:rsidP="007B10F0">
      <w:pPr>
        <w:rPr>
          <w:b/>
          <w:bCs/>
          <w:color w:val="000000"/>
          <w:sz w:val="20"/>
          <w:szCs w:val="20"/>
        </w:rPr>
      </w:pPr>
    </w:p>
    <w:p w14:paraId="1B53C252" w14:textId="04324A3E" w:rsidR="00666D06" w:rsidRDefault="00666D06" w:rsidP="000D53F3">
      <w:pPr>
        <w:tabs>
          <w:tab w:val="left" w:pos="360"/>
          <w:tab w:val="left" w:pos="720"/>
          <w:tab w:val="left" w:pos="1080"/>
          <w:tab w:val="left" w:pos="1440"/>
        </w:tabs>
      </w:pPr>
      <w:r w:rsidRPr="00A07840">
        <w:rPr>
          <w:b/>
          <w:bCs/>
          <w:u w:val="single"/>
        </w:rPr>
        <w:t>If the information collected will be disseminated to the public or used to support information that will be disseminated to the public, then explain how the collection complies with all applicable Information Quality Guidelines.</w:t>
      </w:r>
    </w:p>
    <w:p w14:paraId="22FD94B8" w14:textId="77777777" w:rsidR="00666D06" w:rsidRDefault="00666D06" w:rsidP="000D53F3">
      <w:pPr>
        <w:tabs>
          <w:tab w:val="left" w:pos="360"/>
          <w:tab w:val="left" w:pos="720"/>
          <w:tab w:val="left" w:pos="1080"/>
          <w:tab w:val="left" w:pos="1440"/>
        </w:tabs>
      </w:pPr>
    </w:p>
    <w:p w14:paraId="4507F837" w14:textId="059AE987" w:rsidR="000D53F3" w:rsidRPr="00476C6D" w:rsidRDefault="000D53F3" w:rsidP="000D53F3">
      <w:pPr>
        <w:tabs>
          <w:tab w:val="left" w:pos="360"/>
          <w:tab w:val="left" w:pos="720"/>
          <w:tab w:val="left" w:pos="1080"/>
          <w:tab w:val="left" w:pos="1440"/>
        </w:tabs>
      </w:pPr>
      <w:r w:rsidRPr="00476C6D">
        <w:t>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w:t>
      </w:r>
      <w:r>
        <w:t xml:space="preserve"> to Question </w:t>
      </w:r>
      <w:r w:rsidRPr="00476C6D">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4E6B49">
          <w:rPr>
            <w:rStyle w:val="Hyperlink"/>
          </w:rPr>
          <w:t>Section 515 of Public Law 106-554</w:t>
        </w:r>
      </w:hyperlink>
      <w:r w:rsidRPr="00476C6D">
        <w:t>.</w:t>
      </w:r>
    </w:p>
    <w:p w14:paraId="5DCA349D" w14:textId="77777777" w:rsidR="000D53F3" w:rsidRDefault="000D53F3" w:rsidP="000D53F3"/>
    <w:p w14:paraId="315154AF" w14:textId="77777777" w:rsidR="00AE57F8" w:rsidRDefault="00AE57F8">
      <w:pPr>
        <w:widowControl/>
        <w:tabs>
          <w:tab w:val="left" w:pos="-1080"/>
          <w:tab w:val="left" w:pos="-720"/>
          <w:tab w:val="left" w:pos="0"/>
          <w:tab w:val="left" w:pos="720"/>
          <w:tab w:val="left" w:pos="108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182A9BC3" w14:textId="77777777" w:rsidR="00AE57F8" w:rsidRDefault="00AE57F8">
      <w:pPr>
        <w:widowControl/>
        <w:tabs>
          <w:tab w:val="left" w:pos="-1080"/>
          <w:tab w:val="left" w:pos="-720"/>
          <w:tab w:val="left" w:pos="0"/>
          <w:tab w:val="left" w:pos="720"/>
          <w:tab w:val="left" w:pos="1080"/>
        </w:tabs>
      </w:pPr>
    </w:p>
    <w:p w14:paraId="35A647AE" w14:textId="1DA372B4" w:rsidR="00AE57F8" w:rsidRDefault="007800F4">
      <w:pPr>
        <w:widowControl/>
        <w:tabs>
          <w:tab w:val="left" w:pos="-1080"/>
          <w:tab w:val="left" w:pos="-720"/>
          <w:tab w:val="left" w:pos="0"/>
          <w:tab w:val="left" w:pos="720"/>
          <w:tab w:val="left" w:pos="1080"/>
        </w:tabs>
      </w:pPr>
      <w:r>
        <w:t xml:space="preserve">The applications </w:t>
      </w:r>
      <w:r w:rsidR="00C32F37" w:rsidRPr="002E4BD4">
        <w:t xml:space="preserve">are available on the NMFS Alaska </w:t>
      </w:r>
      <w:r w:rsidR="00ED71DF">
        <w:t>website.</w:t>
      </w:r>
      <w:r w:rsidR="00ED71DF" w:rsidRPr="000B4401">
        <w:rPr>
          <w:rStyle w:val="FootnoteReference"/>
          <w:vertAlign w:val="superscript"/>
        </w:rPr>
        <w:footnoteReference w:id="3"/>
      </w:r>
      <w:r w:rsidR="00ED71DF">
        <w:t xml:space="preserve"> </w:t>
      </w:r>
      <w:r>
        <w:t xml:space="preserve">The applications </w:t>
      </w:r>
      <w:r w:rsidR="00C32F37" w:rsidRPr="002E4BD4">
        <w:t xml:space="preserve">are fillable </w:t>
      </w:r>
      <w:r>
        <w:t>on</w:t>
      </w:r>
      <w:r w:rsidR="00C32F37" w:rsidRPr="002E4BD4">
        <w:t>screen</w:t>
      </w:r>
      <w:r w:rsidR="002E42CC">
        <w:t xml:space="preserve"> and may be printed and submitted by mail or fax</w:t>
      </w:r>
      <w:r>
        <w:t xml:space="preserve">. </w:t>
      </w:r>
    </w:p>
    <w:p w14:paraId="4718AEC2" w14:textId="77777777" w:rsidR="007F659D" w:rsidRDefault="007F659D" w:rsidP="004245A7">
      <w:pPr>
        <w:rPr>
          <w:rStyle w:val="Hyperlink"/>
          <w:b/>
          <w:color w:val="000000"/>
          <w:u w:val="none"/>
        </w:rPr>
      </w:pPr>
    </w:p>
    <w:p w14:paraId="18F52C6F" w14:textId="7F654B3D" w:rsidR="004245A7" w:rsidRPr="00285F8F" w:rsidRDefault="007F659D" w:rsidP="004245A7">
      <w:pPr>
        <w:rPr>
          <w:color w:val="000000"/>
        </w:rPr>
      </w:pPr>
      <w:r>
        <w:rPr>
          <w:color w:val="000000"/>
        </w:rPr>
        <w:t>T</w:t>
      </w:r>
      <w:r w:rsidR="004245A7" w:rsidRPr="00285F8F">
        <w:rPr>
          <w:color w:val="000000"/>
        </w:rPr>
        <w:t xml:space="preserve">he Application for Transfer of Chinook </w:t>
      </w:r>
      <w:r w:rsidR="004245A7">
        <w:rPr>
          <w:color w:val="000000"/>
        </w:rPr>
        <w:t>PSC</w:t>
      </w:r>
      <w:r w:rsidR="004245A7" w:rsidRPr="00285F8F">
        <w:rPr>
          <w:color w:val="000000"/>
        </w:rPr>
        <w:t xml:space="preserve"> </w:t>
      </w:r>
      <w:r w:rsidR="00251AA9">
        <w:rPr>
          <w:color w:val="000000"/>
        </w:rPr>
        <w:t>A</w:t>
      </w:r>
      <w:r w:rsidR="004245A7" w:rsidRPr="00285F8F">
        <w:rPr>
          <w:color w:val="000000"/>
        </w:rPr>
        <w:t>llocation</w:t>
      </w:r>
      <w:r w:rsidR="00251AA9">
        <w:rPr>
          <w:color w:val="000000"/>
        </w:rPr>
        <w:t xml:space="preserve"> and the</w:t>
      </w:r>
      <w:r w:rsidR="004245A7" w:rsidRPr="00285F8F">
        <w:rPr>
          <w:color w:val="000000"/>
        </w:rPr>
        <w:t xml:space="preserve"> </w:t>
      </w:r>
      <w:r w:rsidR="00251AA9" w:rsidRPr="00251AA9">
        <w:rPr>
          <w:color w:val="000000"/>
        </w:rPr>
        <w:t>Application for Approval as an Entity Eligibility to Receive Transferabl</w:t>
      </w:r>
      <w:r w:rsidR="00251AA9">
        <w:rPr>
          <w:color w:val="000000"/>
        </w:rPr>
        <w:t>e Chinook Salmon PSC Allocation</w:t>
      </w:r>
      <w:r w:rsidR="00251AA9" w:rsidRPr="00251AA9">
        <w:rPr>
          <w:color w:val="000000"/>
        </w:rPr>
        <w:t xml:space="preserve"> </w:t>
      </w:r>
      <w:r w:rsidR="004245A7" w:rsidRPr="00285F8F">
        <w:rPr>
          <w:color w:val="000000"/>
        </w:rPr>
        <w:t>may be submitted online</w:t>
      </w:r>
      <w:r w:rsidR="00660351">
        <w:rPr>
          <w:color w:val="000000"/>
        </w:rPr>
        <w:t xml:space="preserve"> </w:t>
      </w:r>
      <w:r w:rsidR="00CF3DFB" w:rsidRPr="00CF3DFB">
        <w:rPr>
          <w:color w:val="000000"/>
        </w:rPr>
        <w:t>using eFISH, the NMFS-approved electronic reporting system.</w:t>
      </w:r>
      <w:r w:rsidR="00ED71DF" w:rsidRPr="000B4401">
        <w:rPr>
          <w:rStyle w:val="FootnoteReference"/>
          <w:color w:val="000000"/>
          <w:vertAlign w:val="superscript"/>
        </w:rPr>
        <w:footnoteReference w:id="4"/>
      </w:r>
    </w:p>
    <w:p w14:paraId="10B65DA4" w14:textId="77777777" w:rsidR="004245A7" w:rsidRDefault="004245A7">
      <w:pPr>
        <w:widowControl/>
        <w:tabs>
          <w:tab w:val="left" w:pos="-1080"/>
          <w:tab w:val="left" w:pos="-720"/>
          <w:tab w:val="left" w:pos="0"/>
          <w:tab w:val="left" w:pos="720"/>
          <w:tab w:val="left" w:pos="1080"/>
        </w:tabs>
      </w:pPr>
    </w:p>
    <w:p w14:paraId="3F3322B6" w14:textId="77777777" w:rsidR="00AE57F8" w:rsidRDefault="00AE57F8">
      <w:pPr>
        <w:widowControl/>
        <w:tabs>
          <w:tab w:val="left" w:pos="-1080"/>
          <w:tab w:val="left" w:pos="-720"/>
          <w:tab w:val="left" w:pos="0"/>
          <w:tab w:val="left" w:pos="720"/>
          <w:tab w:val="left" w:pos="1080"/>
        </w:tabs>
      </w:pPr>
      <w:r>
        <w:rPr>
          <w:b/>
          <w:bCs/>
        </w:rPr>
        <w:t xml:space="preserve">4.  </w:t>
      </w:r>
      <w:r>
        <w:rPr>
          <w:b/>
          <w:bCs/>
          <w:u w:val="single"/>
        </w:rPr>
        <w:t>Describe efforts to identify duplication</w:t>
      </w:r>
      <w:r>
        <w:rPr>
          <w:b/>
          <w:bCs/>
        </w:rPr>
        <w:t>.</w:t>
      </w:r>
    </w:p>
    <w:p w14:paraId="27C77A8F" w14:textId="77777777" w:rsidR="00AE57F8" w:rsidRDefault="00AE57F8">
      <w:pPr>
        <w:widowControl/>
        <w:tabs>
          <w:tab w:val="left" w:pos="-1080"/>
          <w:tab w:val="left" w:pos="-720"/>
          <w:tab w:val="left" w:pos="0"/>
          <w:tab w:val="left" w:pos="720"/>
          <w:tab w:val="left" w:pos="1080"/>
        </w:tabs>
      </w:pPr>
    </w:p>
    <w:p w14:paraId="2AB57CA5" w14:textId="77777777" w:rsidR="004245A7" w:rsidRPr="00285F8F" w:rsidRDefault="004245A7" w:rsidP="004245A7">
      <w:pPr>
        <w:rPr>
          <w:color w:val="000000"/>
        </w:rPr>
      </w:pPr>
      <w:r w:rsidRPr="00285F8F">
        <w:rPr>
          <w:color w:val="000000"/>
        </w:rPr>
        <w:t>No duplication exists with other information collections.</w:t>
      </w:r>
    </w:p>
    <w:p w14:paraId="0F7B7E5E" w14:textId="77777777" w:rsidR="004245A7" w:rsidRPr="00285F8F" w:rsidRDefault="004245A7" w:rsidP="004245A7">
      <w:pPr>
        <w:rPr>
          <w:color w:val="000000"/>
        </w:rPr>
      </w:pPr>
    </w:p>
    <w:p w14:paraId="0FAB8703" w14:textId="77777777" w:rsidR="00EF65FA" w:rsidRDefault="00AE57F8">
      <w:pPr>
        <w:widowControl/>
        <w:tabs>
          <w:tab w:val="left" w:pos="-1080"/>
          <w:tab w:val="left" w:pos="-720"/>
          <w:tab w:val="left" w:pos="0"/>
          <w:tab w:val="left" w:pos="720"/>
          <w:tab w:val="left" w:pos="1080"/>
        </w:tabs>
        <w:rPr>
          <w:b/>
          <w:bCs/>
        </w:rPr>
      </w:pPr>
      <w:r>
        <w:rPr>
          <w:b/>
          <w:bCs/>
        </w:rPr>
        <w:t xml:space="preserve">5.  </w:t>
      </w:r>
      <w:r>
        <w:rPr>
          <w:b/>
          <w:bCs/>
          <w:u w:val="single"/>
        </w:rPr>
        <w:t>If the collection of information involves small businesses or other small entities, describe the methods used to minimize burden</w:t>
      </w:r>
      <w:r>
        <w:rPr>
          <w:b/>
          <w:bCs/>
        </w:rPr>
        <w:t>.</w:t>
      </w:r>
    </w:p>
    <w:p w14:paraId="42672DAB" w14:textId="77777777" w:rsidR="00AB5A05" w:rsidRDefault="00AB5A05">
      <w:pPr>
        <w:widowControl/>
        <w:tabs>
          <w:tab w:val="left" w:pos="-1080"/>
          <w:tab w:val="left" w:pos="-720"/>
          <w:tab w:val="left" w:pos="0"/>
          <w:tab w:val="left" w:pos="720"/>
          <w:tab w:val="left" w:pos="1080"/>
        </w:tabs>
      </w:pPr>
    </w:p>
    <w:p w14:paraId="207FEBEF" w14:textId="7651CB09" w:rsidR="00A62557" w:rsidRDefault="001C3BF2" w:rsidP="00621AEB">
      <w:pPr>
        <w:widowControl/>
        <w:tabs>
          <w:tab w:val="left" w:pos="-1080"/>
          <w:tab w:val="left" w:pos="-720"/>
          <w:tab w:val="left" w:pos="0"/>
          <w:tab w:val="left" w:pos="720"/>
          <w:tab w:val="left" w:pos="1080"/>
        </w:tabs>
      </w:pPr>
      <w:r>
        <w:t xml:space="preserve">The CDQ groups are considered small entities under the Regulatory Flexibility Act because they are non-profit corporations. </w:t>
      </w:r>
      <w:r w:rsidR="00A376AA" w:rsidRPr="00A376AA">
        <w:rPr>
          <w:color w:val="000000"/>
        </w:rPr>
        <w:t xml:space="preserve">NMFS attempts to minimize the burden of this collection on all respondents by collecting only information necessary to manage the </w:t>
      </w:r>
      <w:r w:rsidR="00A376AA">
        <w:rPr>
          <w:color w:val="000000"/>
        </w:rPr>
        <w:t>AFA</w:t>
      </w:r>
      <w:r w:rsidR="00A376AA" w:rsidRPr="00A376AA">
        <w:rPr>
          <w:color w:val="000000"/>
        </w:rPr>
        <w:t xml:space="preserve"> Program</w:t>
      </w:r>
      <w:r>
        <w:rPr>
          <w:color w:val="000000"/>
        </w:rPr>
        <w:t xml:space="preserve">. </w:t>
      </w:r>
      <w:r w:rsidRPr="001C3BF2">
        <w:rPr>
          <w:color w:val="000000"/>
        </w:rPr>
        <w:t>All of the applications are av</w:t>
      </w:r>
      <w:r>
        <w:rPr>
          <w:color w:val="000000"/>
        </w:rPr>
        <w:t xml:space="preserve">ailable online as fillable pdfs. Two applications are also able to be submitted </w:t>
      </w:r>
      <w:r w:rsidR="00A62557">
        <w:t xml:space="preserve">online </w:t>
      </w:r>
      <w:r>
        <w:t>through e</w:t>
      </w:r>
      <w:r w:rsidR="00A62557">
        <w:t>FISH</w:t>
      </w:r>
      <w:r>
        <w:t>, which</w:t>
      </w:r>
      <w:r w:rsidR="00A62557">
        <w:t xml:space="preserve"> is the preferred and most cost effective method for the CDQ groups to submit information to NMFS. Allowing the back-up method of submitting a form by fax or mail provides options in the case of internet outages or other operational difficulties.</w:t>
      </w:r>
      <w:r w:rsidRPr="001C3BF2">
        <w:t xml:space="preserve"> A toll-free phone number is available for participants to contact NMFS staff for help or information</w:t>
      </w:r>
      <w:r>
        <w:t xml:space="preserve"> with the applications</w:t>
      </w:r>
      <w:r w:rsidRPr="001C3BF2">
        <w:t>.</w:t>
      </w:r>
    </w:p>
    <w:p w14:paraId="4B54E99D" w14:textId="35E3A36B" w:rsidR="00A62557" w:rsidRDefault="00A62557" w:rsidP="00621AEB">
      <w:pPr>
        <w:widowControl/>
        <w:tabs>
          <w:tab w:val="left" w:pos="-1080"/>
          <w:tab w:val="left" w:pos="-720"/>
          <w:tab w:val="left" w:pos="0"/>
          <w:tab w:val="left" w:pos="720"/>
          <w:tab w:val="left" w:pos="1080"/>
        </w:tabs>
      </w:pPr>
    </w:p>
    <w:p w14:paraId="6C13BD1B" w14:textId="77777777" w:rsidR="00AE57F8" w:rsidRDefault="00AE57F8">
      <w:pPr>
        <w:widowControl/>
        <w:tabs>
          <w:tab w:val="left" w:pos="-1080"/>
          <w:tab w:val="left" w:pos="-720"/>
          <w:tab w:val="left" w:pos="0"/>
          <w:tab w:val="left" w:pos="720"/>
          <w:tab w:val="left" w:pos="108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4C4AA760" w14:textId="77777777" w:rsidR="00AE57F8" w:rsidRDefault="00AE57F8">
      <w:pPr>
        <w:widowControl/>
        <w:tabs>
          <w:tab w:val="left" w:pos="-1080"/>
          <w:tab w:val="left" w:pos="-720"/>
          <w:tab w:val="left" w:pos="0"/>
          <w:tab w:val="left" w:pos="720"/>
          <w:tab w:val="left" w:pos="1080"/>
        </w:tabs>
      </w:pPr>
    </w:p>
    <w:p w14:paraId="1A507B00" w14:textId="0892BA5B" w:rsidR="000210F1" w:rsidRDefault="00EC798C" w:rsidP="007075B6">
      <w:pPr>
        <w:widowControl/>
        <w:tabs>
          <w:tab w:val="left" w:pos="-1080"/>
          <w:tab w:val="left" w:pos="-720"/>
          <w:tab w:val="left" w:pos="0"/>
          <w:tab w:val="left" w:pos="720"/>
          <w:tab w:val="left" w:pos="1080"/>
        </w:tabs>
      </w:pPr>
      <w:r>
        <w:t xml:space="preserve">If this collection were not conducted or conducted less frequently, </w:t>
      </w:r>
      <w:r w:rsidR="000210F1">
        <w:t xml:space="preserve">the </w:t>
      </w:r>
      <w:r w:rsidR="0090271C">
        <w:t>p</w:t>
      </w:r>
      <w:r w:rsidR="000210F1">
        <w:t xml:space="preserve">rogram would be jeopardized and </w:t>
      </w:r>
      <w:r w:rsidRPr="00EC798C">
        <w:t>NMFS could not fulfill the intent of the AFA.</w:t>
      </w:r>
      <w:r w:rsidR="000210F1">
        <w:t xml:space="preserve"> </w:t>
      </w:r>
      <w:r w:rsidR="007075B6">
        <w:t xml:space="preserve">With regard to commercial fishing vessels operating in the directed BSAI pollock fishery, the </w:t>
      </w:r>
      <w:r w:rsidR="000210F1">
        <w:t>AFA</w:t>
      </w:r>
      <w:r w:rsidR="007075B6">
        <w:t xml:space="preserve"> established the legal basis for achieving the objective of reducing excessive fishing capacity and management regulatory conditions that could contribute to the creation of an environment capable of fostering operational inefficiencies in this fishery (Division C, Title II of P.L. 105-277) including limiting entry into the fishery, cooperative formation, allocations of pollock, and development of sideboard measures. </w:t>
      </w:r>
    </w:p>
    <w:p w14:paraId="1C8B81A6" w14:textId="77777777" w:rsidR="004245A7" w:rsidRDefault="004245A7" w:rsidP="007075B6">
      <w:pPr>
        <w:widowControl/>
        <w:tabs>
          <w:tab w:val="left" w:pos="-1080"/>
          <w:tab w:val="left" w:pos="-720"/>
          <w:tab w:val="left" w:pos="0"/>
          <w:tab w:val="left" w:pos="720"/>
          <w:tab w:val="left" w:pos="1080"/>
        </w:tabs>
      </w:pPr>
    </w:p>
    <w:p w14:paraId="2EF97E32" w14:textId="24480199" w:rsidR="004245A7" w:rsidRPr="00285F8F" w:rsidRDefault="0090271C" w:rsidP="004245A7">
      <w:pPr>
        <w:tabs>
          <w:tab w:val="left" w:pos="360"/>
          <w:tab w:val="left" w:pos="720"/>
          <w:tab w:val="left" w:pos="1080"/>
        </w:tabs>
        <w:rPr>
          <w:bCs/>
          <w:color w:val="000000"/>
        </w:rPr>
      </w:pPr>
      <w:r>
        <w:rPr>
          <w:bCs/>
          <w:color w:val="000000"/>
        </w:rPr>
        <w:t xml:space="preserve">Additionally, instruments in this collection are associated with </w:t>
      </w:r>
      <w:r w:rsidR="004245A7" w:rsidRPr="00285F8F">
        <w:rPr>
          <w:bCs/>
          <w:color w:val="000000"/>
        </w:rPr>
        <w:t>minimiz</w:t>
      </w:r>
      <w:r>
        <w:rPr>
          <w:bCs/>
          <w:color w:val="000000"/>
        </w:rPr>
        <w:t>ing</w:t>
      </w:r>
      <w:r w:rsidR="004245A7" w:rsidRPr="00285F8F">
        <w:rPr>
          <w:bCs/>
          <w:color w:val="000000"/>
        </w:rPr>
        <w:t xml:space="preserve"> Chinook salmon </w:t>
      </w:r>
      <w:r w:rsidR="004245A7">
        <w:rPr>
          <w:bCs/>
          <w:color w:val="000000"/>
        </w:rPr>
        <w:t>PSC</w:t>
      </w:r>
      <w:r w:rsidR="004245A7" w:rsidRPr="00285F8F">
        <w:rPr>
          <w:bCs/>
          <w:color w:val="000000"/>
        </w:rPr>
        <w:t xml:space="preserve"> to the extent practicable while achieving optimum yield from the pollock fishery. </w:t>
      </w:r>
      <w:r>
        <w:rPr>
          <w:bCs/>
          <w:color w:val="000000"/>
        </w:rPr>
        <w:t>This</w:t>
      </w:r>
      <w:r w:rsidR="004245A7" w:rsidRPr="00285F8F">
        <w:rPr>
          <w:bCs/>
          <w:color w:val="000000"/>
        </w:rPr>
        <w:t xml:space="preserve"> is necessary to ensure long-term conservation and abundance of salmon, maintain a healthy marine ecosystem, provide maximum benefit to fishermen and communities that depend on salmon and pollock, and comply with the Magnuson–Stevens Act. </w:t>
      </w:r>
      <w:r w:rsidR="004245A7" w:rsidRPr="00285F8F">
        <w:rPr>
          <w:color w:val="000000"/>
        </w:rPr>
        <w:t xml:space="preserve">If the information were not collected, NMFS would be unable to achieve these goals.  </w:t>
      </w:r>
    </w:p>
    <w:p w14:paraId="346B032E" w14:textId="77777777" w:rsidR="004245A7" w:rsidRDefault="004245A7" w:rsidP="007075B6">
      <w:pPr>
        <w:widowControl/>
        <w:tabs>
          <w:tab w:val="left" w:pos="-1080"/>
          <w:tab w:val="left" w:pos="-720"/>
          <w:tab w:val="left" w:pos="0"/>
          <w:tab w:val="left" w:pos="720"/>
          <w:tab w:val="left" w:pos="1080"/>
        </w:tabs>
      </w:pPr>
    </w:p>
    <w:p w14:paraId="35D07108" w14:textId="77777777" w:rsidR="00AE57F8" w:rsidRDefault="00AE57F8">
      <w:pPr>
        <w:widowControl/>
        <w:tabs>
          <w:tab w:val="left" w:pos="-1080"/>
          <w:tab w:val="left" w:pos="-720"/>
          <w:tab w:val="left" w:pos="0"/>
          <w:tab w:val="left" w:pos="720"/>
          <w:tab w:val="left" w:pos="1080"/>
        </w:tabs>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188D066B" w14:textId="77777777" w:rsidR="00AE57F8" w:rsidRDefault="00AE57F8">
      <w:pPr>
        <w:widowControl/>
        <w:tabs>
          <w:tab w:val="left" w:pos="-1080"/>
          <w:tab w:val="left" w:pos="-720"/>
          <w:tab w:val="left" w:pos="0"/>
          <w:tab w:val="left" w:pos="720"/>
          <w:tab w:val="left" w:pos="1080"/>
        </w:tabs>
      </w:pPr>
    </w:p>
    <w:p w14:paraId="753BE76C" w14:textId="77777777" w:rsidR="00AE57F8" w:rsidRDefault="00AE57F8">
      <w:pPr>
        <w:widowControl/>
        <w:tabs>
          <w:tab w:val="left" w:pos="-1080"/>
          <w:tab w:val="left" w:pos="-720"/>
          <w:tab w:val="left" w:pos="0"/>
          <w:tab w:val="left" w:pos="720"/>
          <w:tab w:val="left" w:pos="1080"/>
        </w:tabs>
      </w:pPr>
      <w:r>
        <w:t>No special circumstances exist.</w:t>
      </w:r>
    </w:p>
    <w:p w14:paraId="162A0F0D" w14:textId="77777777" w:rsidR="00AE57F8" w:rsidRDefault="00AE57F8">
      <w:pPr>
        <w:widowControl/>
        <w:tabs>
          <w:tab w:val="left" w:pos="-1080"/>
          <w:tab w:val="left" w:pos="-720"/>
          <w:tab w:val="left" w:pos="0"/>
          <w:tab w:val="left" w:pos="720"/>
          <w:tab w:val="left" w:pos="1080"/>
        </w:tabs>
      </w:pPr>
    </w:p>
    <w:p w14:paraId="66902017" w14:textId="77777777" w:rsidR="00AE57F8" w:rsidRDefault="00AE57F8">
      <w:pPr>
        <w:widowControl/>
        <w:tabs>
          <w:tab w:val="left" w:pos="-1080"/>
          <w:tab w:val="left" w:pos="-720"/>
          <w:tab w:val="left" w:pos="0"/>
          <w:tab w:val="left" w:pos="720"/>
          <w:tab w:val="left" w:pos="1080"/>
        </w:tabs>
      </w:pPr>
      <w:r>
        <w:rPr>
          <w:b/>
          <w:bCs/>
        </w:rPr>
        <w:t xml:space="preserve">8.  </w:t>
      </w:r>
      <w:r>
        <w:rPr>
          <w:b/>
          <w:bCs/>
          <w:u w:val="single"/>
        </w:rPr>
        <w:t xml:space="preserve">Provide </w:t>
      </w:r>
      <w:r w:rsidR="006A7FDD">
        <w:rPr>
          <w:b/>
          <w:bCs/>
          <w:u w:val="single"/>
        </w:rPr>
        <w:t xml:space="preserve">information on </w:t>
      </w:r>
      <w:r>
        <w:rPr>
          <w:b/>
          <w:bCs/>
          <w:u w:val="single"/>
        </w:rPr>
        <w:t xml:space="preserve">the PRA Federal Register </w:t>
      </w:r>
      <w:r w:rsidR="006A7FDD">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422BFF4D" w14:textId="77777777" w:rsidR="00AE57F8" w:rsidRDefault="00AE57F8">
      <w:pPr>
        <w:widowControl/>
        <w:tabs>
          <w:tab w:val="left" w:pos="-1080"/>
          <w:tab w:val="left" w:pos="-720"/>
          <w:tab w:val="left" w:pos="0"/>
          <w:tab w:val="left" w:pos="720"/>
          <w:tab w:val="left" w:pos="1080"/>
        </w:tabs>
      </w:pPr>
    </w:p>
    <w:p w14:paraId="2CEE0ADC" w14:textId="255493F6" w:rsidR="00AE57F8" w:rsidRDefault="00AE57F8" w:rsidP="00EA6568">
      <w:pPr>
        <w:widowControl/>
      </w:pPr>
      <w:r>
        <w:t xml:space="preserve">A </w:t>
      </w:r>
      <w:r w:rsidRPr="002B56CD">
        <w:rPr>
          <w:bCs/>
          <w:i/>
          <w:iCs/>
        </w:rPr>
        <w:t>Federal Register</w:t>
      </w:r>
      <w:r w:rsidR="00BF5DD0">
        <w:t xml:space="preserve"> </w:t>
      </w:r>
      <w:r w:rsidR="006A7FDD">
        <w:t>N</w:t>
      </w:r>
      <w:r>
        <w:t>otice published</w:t>
      </w:r>
      <w:r w:rsidR="006A7FDD">
        <w:t xml:space="preserve"> on </w:t>
      </w:r>
      <w:r w:rsidR="00422E19">
        <w:t>October 4, 2019</w:t>
      </w:r>
      <w:r w:rsidR="006A7FDD">
        <w:t xml:space="preserve"> (</w:t>
      </w:r>
      <w:r w:rsidR="00422E19">
        <w:t xml:space="preserve">84 </w:t>
      </w:r>
      <w:r w:rsidR="006A7FDD">
        <w:t>F</w:t>
      </w:r>
      <w:r w:rsidR="003A198F">
        <w:t>R</w:t>
      </w:r>
      <w:r w:rsidR="004913C9">
        <w:t xml:space="preserve"> </w:t>
      </w:r>
      <w:r w:rsidR="00422E19">
        <w:t>53106</w:t>
      </w:r>
      <w:r w:rsidR="006A7FDD">
        <w:t>) solicited public</w:t>
      </w:r>
      <w:r w:rsidR="004913C9">
        <w:t xml:space="preserve"> </w:t>
      </w:r>
      <w:r w:rsidR="006A7FDD">
        <w:t xml:space="preserve">comments. </w:t>
      </w:r>
      <w:r w:rsidR="004913C9">
        <w:t xml:space="preserve"> </w:t>
      </w:r>
      <w:r w:rsidR="00422E19">
        <w:t>The c</w:t>
      </w:r>
      <w:r w:rsidR="00EA6568">
        <w:t>omment period end</w:t>
      </w:r>
      <w:r w:rsidR="0056270A">
        <w:t>ed</w:t>
      </w:r>
      <w:r w:rsidR="005C0504">
        <w:t xml:space="preserve"> </w:t>
      </w:r>
      <w:r w:rsidR="00422E19">
        <w:t>December 3</w:t>
      </w:r>
      <w:r w:rsidR="00EA6568">
        <w:t xml:space="preserve">, </w:t>
      </w:r>
      <w:r w:rsidR="00422E19">
        <w:t>2019</w:t>
      </w:r>
      <w:r w:rsidR="00EA6568">
        <w:t>.</w:t>
      </w:r>
      <w:r w:rsidR="0056270A">
        <w:t xml:space="preserve">  No comments were received.</w:t>
      </w:r>
    </w:p>
    <w:p w14:paraId="43236440" w14:textId="2BCF2BC9" w:rsidR="00155FD1" w:rsidRDefault="00155FD1">
      <w:pPr>
        <w:widowControl/>
        <w:tabs>
          <w:tab w:val="left" w:pos="-1080"/>
          <w:tab w:val="left" w:pos="-720"/>
          <w:tab w:val="left" w:pos="0"/>
          <w:tab w:val="left" w:pos="720"/>
          <w:tab w:val="left" w:pos="1080"/>
        </w:tabs>
      </w:pPr>
    </w:p>
    <w:p w14:paraId="1FB3EF10" w14:textId="77777777" w:rsidR="00AE57F8" w:rsidRDefault="00AE57F8">
      <w:pPr>
        <w:widowControl/>
        <w:tabs>
          <w:tab w:val="left" w:pos="-1080"/>
          <w:tab w:val="left" w:pos="-720"/>
          <w:tab w:val="left" w:pos="0"/>
          <w:tab w:val="left" w:pos="720"/>
          <w:tab w:val="left" w:pos="1080"/>
        </w:tabs>
      </w:pPr>
      <w:r>
        <w:rPr>
          <w:b/>
          <w:bCs/>
        </w:rPr>
        <w:t xml:space="preserve">9.  </w:t>
      </w:r>
      <w:r>
        <w:rPr>
          <w:b/>
          <w:bCs/>
          <w:u w:val="single"/>
        </w:rPr>
        <w:t>Explain any decisions to provide payments or gifts to respondents, other than remuneration of contractors or grantees</w:t>
      </w:r>
      <w:r>
        <w:rPr>
          <w:b/>
          <w:bCs/>
        </w:rPr>
        <w:t>.</w:t>
      </w:r>
    </w:p>
    <w:p w14:paraId="54E6EC4A" w14:textId="77777777" w:rsidR="00AE57F8" w:rsidRDefault="00AE57F8">
      <w:pPr>
        <w:widowControl/>
        <w:tabs>
          <w:tab w:val="left" w:pos="-1080"/>
          <w:tab w:val="left" w:pos="-720"/>
          <w:tab w:val="left" w:pos="0"/>
          <w:tab w:val="left" w:pos="720"/>
          <w:tab w:val="left" w:pos="1080"/>
        </w:tabs>
      </w:pPr>
    </w:p>
    <w:p w14:paraId="3A03A48E" w14:textId="77777777" w:rsidR="00AE57F8" w:rsidRDefault="00AE57F8">
      <w:pPr>
        <w:widowControl/>
        <w:tabs>
          <w:tab w:val="left" w:pos="-1080"/>
          <w:tab w:val="left" w:pos="-720"/>
          <w:tab w:val="left" w:pos="0"/>
          <w:tab w:val="left" w:pos="720"/>
          <w:tab w:val="left" w:pos="1080"/>
        </w:tabs>
      </w:pPr>
      <w:r>
        <w:t>No payment or gift is provided under this program.</w:t>
      </w:r>
    </w:p>
    <w:p w14:paraId="38CCB4FA" w14:textId="77777777" w:rsidR="00AE57F8" w:rsidRDefault="00AE57F8">
      <w:pPr>
        <w:widowControl/>
        <w:tabs>
          <w:tab w:val="left" w:pos="-1080"/>
          <w:tab w:val="left" w:pos="-720"/>
          <w:tab w:val="left" w:pos="0"/>
          <w:tab w:val="left" w:pos="720"/>
          <w:tab w:val="left" w:pos="1080"/>
        </w:tabs>
      </w:pPr>
    </w:p>
    <w:p w14:paraId="2047A90C" w14:textId="77777777" w:rsidR="00AE57F8" w:rsidRDefault="00AE57F8">
      <w:pPr>
        <w:widowControl/>
        <w:tabs>
          <w:tab w:val="left" w:pos="-1080"/>
          <w:tab w:val="left" w:pos="-720"/>
          <w:tab w:val="left" w:pos="0"/>
          <w:tab w:val="left" w:pos="720"/>
          <w:tab w:val="left" w:pos="1080"/>
        </w:tabs>
      </w:pPr>
      <w:r>
        <w:rPr>
          <w:b/>
          <w:bCs/>
        </w:rPr>
        <w:t xml:space="preserve">10.  </w:t>
      </w:r>
      <w:r w:rsidRPr="0088600D">
        <w:rPr>
          <w:b/>
          <w:bCs/>
          <w:u w:val="single"/>
        </w:rPr>
        <w:t>Describe any assurance of confidentiality provided to respondents and the basis for assurance in statute, regulation, or agency policy</w:t>
      </w:r>
      <w:r>
        <w:rPr>
          <w:b/>
          <w:bCs/>
        </w:rPr>
        <w:t>.</w:t>
      </w:r>
    </w:p>
    <w:p w14:paraId="782CFD1C" w14:textId="77777777" w:rsidR="00AE57F8" w:rsidRDefault="00AE57F8">
      <w:pPr>
        <w:widowControl/>
        <w:tabs>
          <w:tab w:val="left" w:pos="-1080"/>
          <w:tab w:val="left" w:pos="-720"/>
          <w:tab w:val="left" w:pos="0"/>
          <w:tab w:val="left" w:pos="720"/>
          <w:tab w:val="left" w:pos="1080"/>
        </w:tabs>
      </w:pPr>
    </w:p>
    <w:p w14:paraId="672B702A" w14:textId="77777777" w:rsidR="004F30C6" w:rsidRPr="004F30C6" w:rsidRDefault="004F30C6" w:rsidP="004F30C6">
      <w:pPr>
        <w:autoSpaceDE/>
        <w:autoSpaceDN/>
        <w:adjustRightInd/>
      </w:pPr>
      <w:r w:rsidRPr="004F30C6">
        <w:t xml:space="preserve">All information collections by NMFS, Alaska Region, are protected under confidentiality provisions of section 402(b) of the Magnuson-Stevens Act as amended in 2006 (16 U.S.C. 1801, </w:t>
      </w:r>
      <w:r w:rsidRPr="004F30C6">
        <w:rPr>
          <w:i/>
        </w:rPr>
        <w:t>et seq</w:t>
      </w:r>
      <w:r w:rsidRPr="004F30C6">
        <w:t xml:space="preserve">.) and under </w:t>
      </w:r>
      <w:hyperlink r:id="rId12">
        <w:r w:rsidRPr="004F30C6">
          <w:t>NOAA</w:t>
        </w:r>
      </w:hyperlink>
      <w:hyperlink r:id="rId13">
        <w:r w:rsidRPr="004F30C6">
          <w:t xml:space="preserve"> Administrative Order 216-100,</w:t>
        </w:r>
      </w:hyperlink>
      <w:r w:rsidRPr="004F30C6">
        <w:t xml:space="preserve"> which sets forth procedures to protect confidentiality of fishery statistics. The System of Records Notice that covers this information collection is </w:t>
      </w:r>
      <w:hyperlink r:id="rId14" w:history="1">
        <w:r w:rsidRPr="004F30C6">
          <w:rPr>
            <w:color w:val="0000FF"/>
            <w:u w:val="single"/>
          </w:rPr>
          <w:t>COMMERCE/NOAA-19, Permits and Registrations for United States Federally Regulated Fisheries</w:t>
        </w:r>
      </w:hyperlink>
      <w:r w:rsidRPr="004F30C6">
        <w:t xml:space="preserve">. An amended Privacy Act system of records notice was published in the </w:t>
      </w:r>
      <w:r w:rsidRPr="004F30C6">
        <w:rPr>
          <w:i/>
        </w:rPr>
        <w:t>Federal Register</w:t>
      </w:r>
      <w:r w:rsidRPr="004F30C6">
        <w:t xml:space="preserve"> on August 7, 2015 (80 FR 47457), and became effective September 15, 2015 (80 FR 55327).</w:t>
      </w:r>
    </w:p>
    <w:p w14:paraId="50CE3B79" w14:textId="77777777" w:rsidR="004245A7" w:rsidRDefault="004245A7">
      <w:pPr>
        <w:widowControl/>
        <w:tabs>
          <w:tab w:val="left" w:pos="-1080"/>
          <w:tab w:val="left" w:pos="-720"/>
          <w:tab w:val="left" w:pos="0"/>
          <w:tab w:val="left" w:pos="720"/>
          <w:tab w:val="left" w:pos="1080"/>
        </w:tabs>
      </w:pPr>
    </w:p>
    <w:p w14:paraId="12CC658E" w14:textId="77777777" w:rsidR="00AE57F8" w:rsidRPr="00074866" w:rsidRDefault="00AE57F8" w:rsidP="00C031EE">
      <w:pPr>
        <w:keepNext/>
        <w:widowControl/>
        <w:tabs>
          <w:tab w:val="left" w:pos="-1080"/>
          <w:tab w:val="left" w:pos="-720"/>
          <w:tab w:val="left" w:pos="0"/>
          <w:tab w:val="left" w:pos="720"/>
          <w:tab w:val="left" w:pos="1080"/>
        </w:tabs>
        <w:rPr>
          <w:b/>
          <w:bCs/>
        </w:rPr>
      </w:pPr>
      <w:r>
        <w:rPr>
          <w:b/>
          <w:bCs/>
        </w:rPr>
        <w:t xml:space="preserve">11.  </w:t>
      </w:r>
      <w:r w:rsidRPr="0088600D">
        <w:rPr>
          <w:b/>
          <w:bCs/>
          <w:u w:val="single"/>
        </w:rPr>
        <w:t>Provide additional justification for any questions of a sensitive nature, such as sexual behavior and attitudes, religious beliefs, and other matters that are commonly considered private</w:t>
      </w:r>
      <w:r>
        <w:rPr>
          <w:b/>
          <w:bCs/>
        </w:rPr>
        <w:t>.</w:t>
      </w:r>
    </w:p>
    <w:p w14:paraId="4660AED5" w14:textId="77777777" w:rsidR="00AE57F8" w:rsidRDefault="00AE57F8" w:rsidP="00C031EE">
      <w:pPr>
        <w:keepNext/>
        <w:widowControl/>
        <w:tabs>
          <w:tab w:val="left" w:pos="-1080"/>
          <w:tab w:val="left" w:pos="-720"/>
          <w:tab w:val="left" w:pos="0"/>
          <w:tab w:val="left" w:pos="720"/>
          <w:tab w:val="left" w:pos="1080"/>
        </w:tabs>
      </w:pPr>
    </w:p>
    <w:p w14:paraId="06200EB4" w14:textId="77777777" w:rsidR="001A116B" w:rsidRDefault="00AE57F8" w:rsidP="00C031EE">
      <w:pPr>
        <w:keepNext/>
        <w:widowControl/>
        <w:tabs>
          <w:tab w:val="left" w:pos="-1080"/>
          <w:tab w:val="left" w:pos="-720"/>
          <w:tab w:val="left" w:pos="0"/>
          <w:tab w:val="left" w:pos="720"/>
          <w:tab w:val="left" w:pos="1080"/>
        </w:tabs>
      </w:pPr>
      <w:r>
        <w:t>This collection of information</w:t>
      </w:r>
      <w:r w:rsidR="001A116B">
        <w:t xml:space="preserve"> does not </w:t>
      </w:r>
      <w:r w:rsidR="004F43A8">
        <w:t>include</w:t>
      </w:r>
      <w:r w:rsidR="001A116B">
        <w:t xml:space="preserve"> questions of a sensitive nature.</w:t>
      </w:r>
    </w:p>
    <w:p w14:paraId="16E0C365" w14:textId="77777777" w:rsidR="00AE57F8" w:rsidRDefault="001A116B">
      <w:pPr>
        <w:widowControl/>
        <w:tabs>
          <w:tab w:val="left" w:pos="-1080"/>
          <w:tab w:val="left" w:pos="-720"/>
          <w:tab w:val="left" w:pos="0"/>
          <w:tab w:val="left" w:pos="720"/>
          <w:tab w:val="left" w:pos="1080"/>
        </w:tabs>
      </w:pPr>
      <w:r>
        <w:t xml:space="preserve"> </w:t>
      </w:r>
    </w:p>
    <w:p w14:paraId="3302D370" w14:textId="77777777" w:rsidR="007B0F36" w:rsidRDefault="007B0F36" w:rsidP="007B0F36">
      <w:pPr>
        <w:tabs>
          <w:tab w:val="left" w:pos="540"/>
        </w:tabs>
        <w:ind w:left="540" w:hanging="540"/>
        <w:rPr>
          <w:b/>
          <w:bCs/>
        </w:rPr>
        <w:sectPr w:rsidR="007B0F36" w:rsidSect="003B3E35">
          <w:footerReference w:type="default" r:id="rId15"/>
          <w:pgSz w:w="12240" w:h="15840"/>
          <w:pgMar w:top="1440" w:right="1440" w:bottom="1440" w:left="1440" w:header="1440" w:footer="720" w:gutter="0"/>
          <w:cols w:space="720"/>
          <w:noEndnote/>
          <w:docGrid w:linePitch="326"/>
        </w:sectPr>
      </w:pPr>
    </w:p>
    <w:p w14:paraId="47B4AF6A" w14:textId="2FFD166B" w:rsidR="00AE57F8" w:rsidRDefault="00AE57F8" w:rsidP="007B0F36">
      <w:pPr>
        <w:widowControl/>
        <w:tabs>
          <w:tab w:val="left" w:pos="-1080"/>
          <w:tab w:val="left" w:pos="-720"/>
          <w:tab w:val="left" w:pos="0"/>
          <w:tab w:val="left" w:pos="720"/>
          <w:tab w:val="left" w:pos="1080"/>
        </w:tabs>
      </w:pPr>
      <w:r>
        <w:rPr>
          <w:b/>
          <w:bCs/>
        </w:rPr>
        <w:t xml:space="preserve">12.  </w:t>
      </w:r>
      <w:r>
        <w:rPr>
          <w:b/>
          <w:bCs/>
          <w:u w:val="single"/>
        </w:rPr>
        <w:t>Provide an estimate in hours of the burden of the collection of information</w:t>
      </w:r>
      <w:r>
        <w:rPr>
          <w:b/>
          <w:bCs/>
        </w:rPr>
        <w:t>.</w:t>
      </w:r>
    </w:p>
    <w:p w14:paraId="79BA5869" w14:textId="77777777" w:rsidR="00AE57F8" w:rsidRDefault="00AE57F8">
      <w:pPr>
        <w:widowControl/>
        <w:tabs>
          <w:tab w:val="left" w:pos="-1080"/>
          <w:tab w:val="left" w:pos="-720"/>
          <w:tab w:val="left" w:pos="0"/>
          <w:tab w:val="left" w:pos="720"/>
          <w:tab w:val="left" w:pos="1080"/>
        </w:tabs>
      </w:pPr>
    </w:p>
    <w:tbl>
      <w:tblPr>
        <w:tblW w:w="14096" w:type="dxa"/>
        <w:tblLook w:val="04A0" w:firstRow="1" w:lastRow="0" w:firstColumn="1" w:lastColumn="0" w:noHBand="0" w:noVBand="1"/>
      </w:tblPr>
      <w:tblGrid>
        <w:gridCol w:w="3410"/>
        <w:gridCol w:w="2298"/>
        <w:gridCol w:w="1188"/>
        <w:gridCol w:w="1170"/>
        <w:gridCol w:w="1194"/>
        <w:gridCol w:w="966"/>
        <w:gridCol w:w="1170"/>
        <w:gridCol w:w="1350"/>
        <w:gridCol w:w="1350"/>
      </w:tblGrid>
      <w:tr w:rsidR="007B0F36" w:rsidRPr="007B0F36" w14:paraId="13B6D9FA" w14:textId="77777777" w:rsidTr="003B6117">
        <w:trPr>
          <w:trHeight w:val="1140"/>
        </w:trPr>
        <w:tc>
          <w:tcPr>
            <w:tcW w:w="3410" w:type="dxa"/>
            <w:tcBorders>
              <w:top w:val="single" w:sz="8" w:space="0" w:color="auto"/>
              <w:left w:val="single" w:sz="8" w:space="0" w:color="auto"/>
              <w:bottom w:val="single" w:sz="8" w:space="0" w:color="auto"/>
              <w:right w:val="single" w:sz="8" w:space="0" w:color="000000"/>
            </w:tcBorders>
            <w:shd w:val="clear" w:color="auto" w:fill="5B9BD5"/>
            <w:vAlign w:val="center"/>
            <w:hideMark/>
          </w:tcPr>
          <w:p w14:paraId="1D70435B" w14:textId="77777777" w:rsidR="007B0F36" w:rsidRPr="007B0F36" w:rsidRDefault="007B0F36" w:rsidP="007B0F36">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Information Collection</w:t>
            </w:r>
          </w:p>
        </w:tc>
        <w:tc>
          <w:tcPr>
            <w:tcW w:w="2298" w:type="dxa"/>
            <w:tcBorders>
              <w:top w:val="single" w:sz="8" w:space="0" w:color="auto"/>
              <w:left w:val="nil"/>
              <w:bottom w:val="single" w:sz="8" w:space="0" w:color="auto"/>
              <w:right w:val="single" w:sz="8" w:space="0" w:color="000000"/>
            </w:tcBorders>
            <w:shd w:val="clear" w:color="auto" w:fill="5B9BD5"/>
            <w:vAlign w:val="center"/>
            <w:hideMark/>
          </w:tcPr>
          <w:p w14:paraId="76D4B89F" w14:textId="77777777" w:rsidR="007B0F36" w:rsidRPr="007B0F36" w:rsidRDefault="007B0F36" w:rsidP="007B0F36">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Type of Respondent (Occupational Title)</w:t>
            </w:r>
          </w:p>
        </w:tc>
        <w:tc>
          <w:tcPr>
            <w:tcW w:w="1188" w:type="dxa"/>
            <w:tcBorders>
              <w:top w:val="single" w:sz="8" w:space="0" w:color="auto"/>
              <w:left w:val="nil"/>
              <w:bottom w:val="single" w:sz="8" w:space="0" w:color="auto"/>
              <w:right w:val="single" w:sz="8" w:space="0" w:color="000000"/>
            </w:tcBorders>
            <w:shd w:val="clear" w:color="auto" w:fill="5B9BD5"/>
            <w:vAlign w:val="center"/>
            <w:hideMark/>
          </w:tcPr>
          <w:p w14:paraId="62E7DC6E" w14:textId="77777777" w:rsidR="007B0F36" w:rsidRDefault="007B0F36" w:rsidP="003B6117">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 of Respondents</w:t>
            </w:r>
          </w:p>
          <w:p w14:paraId="59BB9F4D" w14:textId="3F430CAA" w:rsidR="003B6117" w:rsidRPr="007B0F36" w:rsidRDefault="003B6117" w:rsidP="003B611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70" w:type="dxa"/>
            <w:tcBorders>
              <w:top w:val="single" w:sz="8" w:space="0" w:color="auto"/>
              <w:left w:val="nil"/>
              <w:bottom w:val="single" w:sz="8" w:space="0" w:color="auto"/>
              <w:right w:val="single" w:sz="8" w:space="0" w:color="auto"/>
            </w:tcBorders>
            <w:shd w:val="clear" w:color="auto" w:fill="5B9BD5"/>
            <w:vAlign w:val="center"/>
            <w:hideMark/>
          </w:tcPr>
          <w:p w14:paraId="16AA4ACF" w14:textId="77777777" w:rsidR="007B0F36" w:rsidRDefault="007B0F36" w:rsidP="003B6117">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Annual # of Responses / Respondent</w:t>
            </w:r>
          </w:p>
          <w:p w14:paraId="0DDB2A69" w14:textId="3F383948" w:rsidR="003B6117" w:rsidRPr="007B0F36" w:rsidRDefault="003B6117" w:rsidP="003B611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194" w:type="dxa"/>
            <w:tcBorders>
              <w:top w:val="single" w:sz="8" w:space="0" w:color="auto"/>
              <w:left w:val="nil"/>
              <w:bottom w:val="single" w:sz="8" w:space="0" w:color="auto"/>
              <w:right w:val="single" w:sz="8" w:space="0" w:color="auto"/>
            </w:tcBorders>
            <w:shd w:val="clear" w:color="auto" w:fill="5B9BD5"/>
            <w:vAlign w:val="center"/>
            <w:hideMark/>
          </w:tcPr>
          <w:p w14:paraId="11907C44" w14:textId="071D65E8" w:rsidR="007B0F36" w:rsidRDefault="007B0F36" w:rsidP="003B6117">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Total # of Annual Responses</w:t>
            </w:r>
          </w:p>
          <w:p w14:paraId="2BF6C507" w14:textId="0F6A1EF7" w:rsidR="003B6117" w:rsidRPr="007B0F36" w:rsidRDefault="003B6117" w:rsidP="003B611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966" w:type="dxa"/>
            <w:tcBorders>
              <w:top w:val="single" w:sz="8" w:space="0" w:color="auto"/>
              <w:left w:val="nil"/>
              <w:bottom w:val="single" w:sz="8" w:space="0" w:color="auto"/>
              <w:right w:val="single" w:sz="8" w:space="0" w:color="auto"/>
            </w:tcBorders>
            <w:shd w:val="clear" w:color="auto" w:fill="5B9BD5"/>
            <w:vAlign w:val="center"/>
            <w:hideMark/>
          </w:tcPr>
          <w:p w14:paraId="44342502" w14:textId="77777777" w:rsidR="007B0F36" w:rsidRDefault="007B0F36" w:rsidP="003B6117">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Burden Hrs / Response</w:t>
            </w:r>
          </w:p>
          <w:p w14:paraId="34F170F0" w14:textId="279618B4" w:rsidR="005241E6" w:rsidRPr="007B0F36" w:rsidRDefault="005241E6" w:rsidP="003B611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sz="8" w:space="0" w:color="auto"/>
              <w:left w:val="nil"/>
              <w:bottom w:val="single" w:sz="8" w:space="0" w:color="auto"/>
              <w:right w:val="single" w:sz="8" w:space="0" w:color="auto"/>
            </w:tcBorders>
            <w:shd w:val="clear" w:color="auto" w:fill="5B9BD5"/>
            <w:vAlign w:val="center"/>
            <w:hideMark/>
          </w:tcPr>
          <w:p w14:paraId="54585962" w14:textId="77777777" w:rsidR="007B0F36" w:rsidRDefault="007B0F36" w:rsidP="003B6117">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Total Annual Burden Hrs</w:t>
            </w:r>
          </w:p>
          <w:p w14:paraId="2D868766" w14:textId="56785037" w:rsidR="005241E6" w:rsidRPr="007B0F36" w:rsidRDefault="005241E6" w:rsidP="003B611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sz="8" w:space="0" w:color="auto"/>
              <w:left w:val="nil"/>
              <w:bottom w:val="single" w:sz="8" w:space="0" w:color="auto"/>
              <w:right w:val="single" w:sz="8" w:space="0" w:color="auto"/>
            </w:tcBorders>
            <w:shd w:val="clear" w:color="auto" w:fill="5B9BD5"/>
            <w:vAlign w:val="center"/>
            <w:hideMark/>
          </w:tcPr>
          <w:p w14:paraId="2340C4C8" w14:textId="77777777" w:rsidR="007B0F36" w:rsidRDefault="007B0F36" w:rsidP="003B6117">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Mean Hourly Wage Rate  (for Type of Respondent)</w:t>
            </w:r>
          </w:p>
          <w:p w14:paraId="1D051039" w14:textId="5DF3823C" w:rsidR="00F60E87" w:rsidRPr="007B0F36" w:rsidRDefault="00F60E87" w:rsidP="003B611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sz="8" w:space="0" w:color="auto"/>
              <w:left w:val="nil"/>
              <w:bottom w:val="single" w:sz="8" w:space="0" w:color="auto"/>
              <w:right w:val="single" w:sz="8" w:space="0" w:color="auto"/>
            </w:tcBorders>
            <w:shd w:val="clear" w:color="auto" w:fill="5B9BD5"/>
            <w:vAlign w:val="center"/>
            <w:hideMark/>
          </w:tcPr>
          <w:p w14:paraId="2435F2A9" w14:textId="77777777" w:rsidR="007B0F36" w:rsidRDefault="007B0F36" w:rsidP="003B6117">
            <w:pPr>
              <w:widowControl/>
              <w:autoSpaceDE/>
              <w:autoSpaceDN/>
              <w:adjustRightInd/>
              <w:jc w:val="center"/>
              <w:rPr>
                <w:rFonts w:ascii="Calibri" w:hAnsi="Calibri" w:cs="Calibri"/>
                <w:b/>
                <w:bCs/>
                <w:color w:val="000000"/>
                <w:sz w:val="18"/>
                <w:szCs w:val="18"/>
              </w:rPr>
            </w:pPr>
            <w:r w:rsidRPr="007B0F36">
              <w:rPr>
                <w:rFonts w:ascii="Calibri" w:hAnsi="Calibri" w:cs="Calibri"/>
                <w:b/>
                <w:bCs/>
                <w:color w:val="000000"/>
                <w:sz w:val="18"/>
                <w:szCs w:val="18"/>
              </w:rPr>
              <w:t>Total Annual Wage Burden Costs</w:t>
            </w:r>
          </w:p>
          <w:p w14:paraId="664C2F13" w14:textId="61FC77F1" w:rsidR="00F60E87" w:rsidRPr="007B0F36" w:rsidRDefault="00F60E87" w:rsidP="003B611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00673122" w:rsidRPr="007B0F36" w14:paraId="03459F6E" w14:textId="77777777" w:rsidTr="003B6117">
        <w:trPr>
          <w:trHeight w:val="300"/>
        </w:trPr>
        <w:tc>
          <w:tcPr>
            <w:tcW w:w="3410" w:type="dxa"/>
            <w:tcBorders>
              <w:top w:val="nil"/>
              <w:left w:val="single" w:sz="8" w:space="0" w:color="auto"/>
              <w:bottom w:val="single" w:sz="4" w:space="0" w:color="auto"/>
              <w:right w:val="single" w:sz="4" w:space="0" w:color="auto"/>
            </w:tcBorders>
            <w:shd w:val="clear" w:color="auto" w:fill="auto"/>
            <w:vAlign w:val="center"/>
            <w:hideMark/>
          </w:tcPr>
          <w:p w14:paraId="68D4F8C6" w14:textId="5C13EAFC" w:rsidR="00673122" w:rsidRPr="00673122" w:rsidRDefault="00673122" w:rsidP="00673122">
            <w:pPr>
              <w:widowControl/>
              <w:autoSpaceDE/>
              <w:autoSpaceDN/>
              <w:adjustRightInd/>
              <w:rPr>
                <w:rFonts w:asciiTheme="minorHAnsi" w:hAnsiTheme="minorHAnsi" w:cstheme="minorHAnsi"/>
                <w:color w:val="000000"/>
                <w:sz w:val="16"/>
                <w:szCs w:val="16"/>
              </w:rPr>
            </w:pPr>
            <w:r w:rsidRPr="00673122">
              <w:rPr>
                <w:rFonts w:asciiTheme="minorHAnsi" w:hAnsiTheme="minorHAnsi" w:cstheme="minorHAnsi"/>
                <w:sz w:val="16"/>
                <w:szCs w:val="16"/>
              </w:rPr>
              <w:t>Application for AFA Permit: Rebuilt, Replaced, or Removed Vessel</w:t>
            </w:r>
          </w:p>
        </w:tc>
        <w:tc>
          <w:tcPr>
            <w:tcW w:w="2298" w:type="dxa"/>
            <w:tcBorders>
              <w:top w:val="nil"/>
              <w:left w:val="nil"/>
              <w:bottom w:val="single" w:sz="4" w:space="0" w:color="auto"/>
              <w:right w:val="single" w:sz="4" w:space="0" w:color="auto"/>
            </w:tcBorders>
            <w:shd w:val="clear" w:color="auto" w:fill="auto"/>
            <w:vAlign w:val="center"/>
            <w:hideMark/>
          </w:tcPr>
          <w:p w14:paraId="4D58C388" w14:textId="3FF46AC5" w:rsidR="00673122" w:rsidRPr="007B0F36" w:rsidRDefault="00673122" w:rsidP="00673122">
            <w:pPr>
              <w:widowControl/>
              <w:autoSpaceDE/>
              <w:autoSpaceDN/>
              <w:adjustRightInd/>
              <w:jc w:val="center"/>
              <w:rPr>
                <w:rFonts w:ascii="Calibri" w:hAnsi="Calibri" w:cs="Calibri"/>
                <w:color w:val="000000"/>
                <w:sz w:val="16"/>
                <w:szCs w:val="16"/>
              </w:rPr>
            </w:pPr>
            <w:r w:rsidRPr="007B0F36">
              <w:rPr>
                <w:rFonts w:ascii="Calibri" w:hAnsi="Calibri" w:cs="Calibri"/>
                <w:color w:val="000000"/>
                <w:sz w:val="16"/>
                <w:szCs w:val="16"/>
              </w:rPr>
              <w:t> </w:t>
            </w:r>
            <w:r w:rsidR="00781043">
              <w:rPr>
                <w:rFonts w:ascii="Calibri" w:hAnsi="Calibri" w:cs="Calibri"/>
                <w:color w:val="000000"/>
                <w:sz w:val="16"/>
                <w:szCs w:val="16"/>
              </w:rPr>
              <w:t>Vessel owner</w:t>
            </w:r>
          </w:p>
        </w:tc>
        <w:tc>
          <w:tcPr>
            <w:tcW w:w="1188" w:type="dxa"/>
            <w:tcBorders>
              <w:top w:val="nil"/>
              <w:left w:val="nil"/>
              <w:bottom w:val="single" w:sz="4" w:space="0" w:color="auto"/>
              <w:right w:val="single" w:sz="4" w:space="0" w:color="auto"/>
            </w:tcBorders>
            <w:shd w:val="clear" w:color="auto" w:fill="auto"/>
            <w:vAlign w:val="center"/>
            <w:hideMark/>
          </w:tcPr>
          <w:p w14:paraId="61521F0E" w14:textId="0DDB19ED" w:rsidR="00673122" w:rsidRPr="007B0F36" w:rsidRDefault="00CE788D"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170" w:type="dxa"/>
            <w:tcBorders>
              <w:top w:val="nil"/>
              <w:left w:val="nil"/>
              <w:bottom w:val="single" w:sz="4" w:space="0" w:color="auto"/>
              <w:right w:val="single" w:sz="4" w:space="0" w:color="auto"/>
            </w:tcBorders>
            <w:shd w:val="clear" w:color="auto" w:fill="auto"/>
            <w:vAlign w:val="center"/>
            <w:hideMark/>
          </w:tcPr>
          <w:p w14:paraId="267E5672" w14:textId="297E45C2" w:rsidR="00673122" w:rsidRPr="007B0F36" w:rsidRDefault="00CE788D"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94" w:type="dxa"/>
            <w:tcBorders>
              <w:top w:val="nil"/>
              <w:left w:val="nil"/>
              <w:bottom w:val="single" w:sz="4" w:space="0" w:color="auto"/>
              <w:right w:val="single" w:sz="4" w:space="0" w:color="auto"/>
            </w:tcBorders>
            <w:shd w:val="clear" w:color="auto" w:fill="auto"/>
            <w:vAlign w:val="center"/>
            <w:hideMark/>
          </w:tcPr>
          <w:p w14:paraId="57C71EA4" w14:textId="6C46E0D7" w:rsidR="00673122" w:rsidRPr="007B0F36" w:rsidRDefault="00CE788D"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966" w:type="dxa"/>
            <w:tcBorders>
              <w:top w:val="nil"/>
              <w:left w:val="nil"/>
              <w:bottom w:val="single" w:sz="4" w:space="0" w:color="auto"/>
              <w:right w:val="single" w:sz="4" w:space="0" w:color="auto"/>
            </w:tcBorders>
            <w:shd w:val="clear" w:color="auto" w:fill="auto"/>
            <w:vAlign w:val="center"/>
            <w:hideMark/>
          </w:tcPr>
          <w:p w14:paraId="0CEF6182" w14:textId="762C8F3D" w:rsidR="00673122" w:rsidRPr="007B0F36" w:rsidRDefault="001C3626"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14:paraId="567C693B" w14:textId="2680102C" w:rsidR="00673122" w:rsidRPr="007B0F36" w:rsidRDefault="009462C8"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350" w:type="dxa"/>
            <w:tcBorders>
              <w:top w:val="nil"/>
              <w:left w:val="nil"/>
              <w:bottom w:val="single" w:sz="4" w:space="0" w:color="auto"/>
              <w:right w:val="single" w:sz="4" w:space="0" w:color="auto"/>
            </w:tcBorders>
            <w:shd w:val="clear" w:color="auto" w:fill="auto"/>
            <w:noWrap/>
            <w:vAlign w:val="center"/>
            <w:hideMark/>
          </w:tcPr>
          <w:p w14:paraId="7DDDCE54" w14:textId="19F928F3" w:rsidR="00673122" w:rsidRPr="007B0F36" w:rsidRDefault="00781043" w:rsidP="003B6117">
            <w:pPr>
              <w:widowControl/>
              <w:autoSpaceDE/>
              <w:autoSpaceDN/>
              <w:adjustRightInd/>
              <w:jc w:val="center"/>
              <w:rPr>
                <w:rFonts w:ascii="Calibri" w:hAnsi="Calibri" w:cs="Calibri"/>
                <w:color w:val="000000"/>
                <w:sz w:val="16"/>
                <w:szCs w:val="16"/>
              </w:rPr>
            </w:pPr>
            <w:r w:rsidRPr="00781043">
              <w:rPr>
                <w:rFonts w:ascii="Calibri" w:hAnsi="Calibri" w:cs="Calibri"/>
                <w:color w:val="000000"/>
                <w:sz w:val="16"/>
                <w:szCs w:val="16"/>
              </w:rPr>
              <w:t>$23.84</w:t>
            </w:r>
            <w:r w:rsidRPr="00781043">
              <w:rPr>
                <w:rFonts w:ascii="Calibri" w:hAnsi="Calibri" w:cs="Calibri"/>
                <w:b/>
                <w:color w:val="000000"/>
                <w:sz w:val="16"/>
                <w:szCs w:val="16"/>
                <w:vertAlign w:val="superscript"/>
              </w:rPr>
              <w:t>†</w:t>
            </w:r>
          </w:p>
        </w:tc>
        <w:tc>
          <w:tcPr>
            <w:tcW w:w="1350" w:type="dxa"/>
            <w:tcBorders>
              <w:top w:val="nil"/>
              <w:left w:val="nil"/>
              <w:bottom w:val="single" w:sz="4" w:space="0" w:color="auto"/>
              <w:right w:val="single" w:sz="8" w:space="0" w:color="auto"/>
            </w:tcBorders>
            <w:shd w:val="clear" w:color="auto" w:fill="auto"/>
            <w:noWrap/>
            <w:vAlign w:val="center"/>
            <w:hideMark/>
          </w:tcPr>
          <w:p w14:paraId="41415ACF" w14:textId="06A4B844" w:rsidR="00673122" w:rsidRPr="007B0F36" w:rsidRDefault="009462C8"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$286</w:t>
            </w:r>
          </w:p>
        </w:tc>
      </w:tr>
      <w:tr w:rsidR="00673122" w:rsidRPr="007B0F36" w14:paraId="6B1D2640" w14:textId="77777777" w:rsidTr="003B6117">
        <w:trPr>
          <w:trHeight w:val="300"/>
        </w:trPr>
        <w:tc>
          <w:tcPr>
            <w:tcW w:w="3410" w:type="dxa"/>
            <w:tcBorders>
              <w:top w:val="nil"/>
              <w:left w:val="single" w:sz="8" w:space="0" w:color="auto"/>
              <w:bottom w:val="single" w:sz="4" w:space="0" w:color="auto"/>
              <w:right w:val="single" w:sz="4" w:space="0" w:color="auto"/>
            </w:tcBorders>
            <w:shd w:val="clear" w:color="auto" w:fill="auto"/>
            <w:vAlign w:val="center"/>
            <w:hideMark/>
          </w:tcPr>
          <w:p w14:paraId="2101E57A" w14:textId="179E4EB5" w:rsidR="00673122" w:rsidRPr="00673122" w:rsidRDefault="00673122" w:rsidP="00673122">
            <w:pPr>
              <w:widowControl/>
              <w:autoSpaceDE/>
              <w:autoSpaceDN/>
              <w:adjustRightInd/>
              <w:rPr>
                <w:rFonts w:asciiTheme="minorHAnsi" w:hAnsiTheme="minorHAnsi" w:cstheme="minorHAnsi"/>
                <w:color w:val="000000"/>
                <w:sz w:val="16"/>
                <w:szCs w:val="16"/>
              </w:rPr>
            </w:pPr>
            <w:r w:rsidRPr="00673122">
              <w:rPr>
                <w:rFonts w:asciiTheme="minorHAnsi" w:hAnsiTheme="minorHAnsi" w:cstheme="minorHAnsi"/>
                <w:sz w:val="16"/>
                <w:szCs w:val="16"/>
              </w:rPr>
              <w:t>Application for American Fisheries Act  Inshore Cooperative Permit</w:t>
            </w:r>
          </w:p>
        </w:tc>
        <w:tc>
          <w:tcPr>
            <w:tcW w:w="2298" w:type="dxa"/>
            <w:tcBorders>
              <w:top w:val="nil"/>
              <w:left w:val="nil"/>
              <w:bottom w:val="single" w:sz="4" w:space="0" w:color="auto"/>
              <w:right w:val="single" w:sz="4" w:space="0" w:color="auto"/>
            </w:tcBorders>
            <w:shd w:val="clear" w:color="auto" w:fill="auto"/>
            <w:vAlign w:val="center"/>
            <w:hideMark/>
          </w:tcPr>
          <w:p w14:paraId="60CD3ABC" w14:textId="0AFE8514" w:rsidR="00673122" w:rsidRPr="007B0F36" w:rsidRDefault="00CB24A6" w:rsidP="000D5E4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AFA</w:t>
            </w:r>
            <w:r w:rsidR="00673122" w:rsidRPr="007B0F36">
              <w:rPr>
                <w:rFonts w:ascii="Calibri" w:hAnsi="Calibri" w:cs="Calibri"/>
                <w:color w:val="000000"/>
                <w:sz w:val="16"/>
                <w:szCs w:val="16"/>
              </w:rPr>
              <w:t> </w:t>
            </w:r>
            <w:r w:rsidR="00050717">
              <w:rPr>
                <w:rFonts w:ascii="Calibri" w:hAnsi="Calibri" w:cs="Calibri"/>
                <w:color w:val="000000"/>
                <w:sz w:val="16"/>
                <w:szCs w:val="16"/>
              </w:rPr>
              <w:t>c</w:t>
            </w:r>
            <w:r w:rsidR="00B44EBA">
              <w:rPr>
                <w:rFonts w:ascii="Calibri" w:hAnsi="Calibri" w:cs="Calibri"/>
                <w:color w:val="000000"/>
                <w:sz w:val="16"/>
                <w:szCs w:val="16"/>
              </w:rPr>
              <w:t xml:space="preserve">ooperative </w:t>
            </w:r>
            <w:r w:rsidR="00C47690">
              <w:rPr>
                <w:rFonts w:ascii="Calibri" w:hAnsi="Calibri" w:cs="Calibri"/>
                <w:color w:val="000000"/>
                <w:sz w:val="16"/>
                <w:szCs w:val="16"/>
              </w:rPr>
              <w:t>representative</w:t>
            </w:r>
            <w:r w:rsidR="00B44EBA">
              <w:rPr>
                <w:rFonts w:ascii="Calibri" w:hAnsi="Calibri" w:cs="Calibri"/>
                <w:color w:val="000000"/>
                <w:sz w:val="16"/>
                <w:szCs w:val="16"/>
              </w:rPr>
              <w:t>s</w:t>
            </w:r>
          </w:p>
        </w:tc>
        <w:tc>
          <w:tcPr>
            <w:tcW w:w="1188" w:type="dxa"/>
            <w:tcBorders>
              <w:top w:val="nil"/>
              <w:left w:val="nil"/>
              <w:bottom w:val="single" w:sz="4" w:space="0" w:color="auto"/>
              <w:right w:val="single" w:sz="4" w:space="0" w:color="auto"/>
            </w:tcBorders>
            <w:shd w:val="clear" w:color="auto" w:fill="auto"/>
            <w:vAlign w:val="center"/>
            <w:hideMark/>
          </w:tcPr>
          <w:p w14:paraId="3C531EBB" w14:textId="783DAED7" w:rsidR="00673122" w:rsidRPr="007B0F36" w:rsidRDefault="00CE788D"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21</w:t>
            </w:r>
          </w:p>
        </w:tc>
        <w:tc>
          <w:tcPr>
            <w:tcW w:w="1170" w:type="dxa"/>
            <w:tcBorders>
              <w:top w:val="nil"/>
              <w:left w:val="nil"/>
              <w:bottom w:val="single" w:sz="4" w:space="0" w:color="auto"/>
              <w:right w:val="single" w:sz="4" w:space="0" w:color="auto"/>
            </w:tcBorders>
            <w:shd w:val="clear" w:color="auto" w:fill="auto"/>
            <w:vAlign w:val="center"/>
            <w:hideMark/>
          </w:tcPr>
          <w:p w14:paraId="5BCEBD01" w14:textId="71695966" w:rsidR="00673122" w:rsidRPr="007B0F36" w:rsidRDefault="00CE788D"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94" w:type="dxa"/>
            <w:tcBorders>
              <w:top w:val="nil"/>
              <w:left w:val="nil"/>
              <w:bottom w:val="single" w:sz="4" w:space="0" w:color="auto"/>
              <w:right w:val="single" w:sz="4" w:space="0" w:color="auto"/>
            </w:tcBorders>
            <w:shd w:val="clear" w:color="auto" w:fill="auto"/>
            <w:vAlign w:val="center"/>
            <w:hideMark/>
          </w:tcPr>
          <w:p w14:paraId="2535BDBC" w14:textId="7197A273" w:rsidR="00673122" w:rsidRPr="007B0F36" w:rsidRDefault="00CE788D"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21</w:t>
            </w:r>
          </w:p>
        </w:tc>
        <w:tc>
          <w:tcPr>
            <w:tcW w:w="966" w:type="dxa"/>
            <w:tcBorders>
              <w:top w:val="nil"/>
              <w:left w:val="nil"/>
              <w:bottom w:val="single" w:sz="4" w:space="0" w:color="auto"/>
              <w:right w:val="single" w:sz="4" w:space="0" w:color="auto"/>
            </w:tcBorders>
            <w:shd w:val="clear" w:color="auto" w:fill="auto"/>
            <w:vAlign w:val="center"/>
            <w:hideMark/>
          </w:tcPr>
          <w:p w14:paraId="19BC9E21" w14:textId="6140147B" w:rsidR="00673122" w:rsidRPr="007B0F36" w:rsidRDefault="001C3626"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hideMark/>
          </w:tcPr>
          <w:p w14:paraId="740B20BE" w14:textId="725E9284" w:rsidR="00673122" w:rsidRPr="007B0F36" w:rsidRDefault="009462C8"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42</w:t>
            </w:r>
          </w:p>
        </w:tc>
        <w:tc>
          <w:tcPr>
            <w:tcW w:w="1350" w:type="dxa"/>
            <w:tcBorders>
              <w:top w:val="nil"/>
              <w:left w:val="nil"/>
              <w:bottom w:val="single" w:sz="4" w:space="0" w:color="auto"/>
              <w:right w:val="single" w:sz="4" w:space="0" w:color="auto"/>
            </w:tcBorders>
            <w:shd w:val="clear" w:color="auto" w:fill="auto"/>
            <w:noWrap/>
            <w:vAlign w:val="center"/>
            <w:hideMark/>
          </w:tcPr>
          <w:p w14:paraId="69F4012C" w14:textId="2F819081" w:rsidR="00673122" w:rsidRPr="007B0F36" w:rsidRDefault="00B44EBA"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$75</w:t>
            </w:r>
            <w:r w:rsidR="00673122" w:rsidRPr="007B0F36">
              <w:rPr>
                <w:rFonts w:ascii="Calibri" w:hAnsi="Calibri" w:cs="Calibri"/>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center"/>
            <w:hideMark/>
          </w:tcPr>
          <w:p w14:paraId="50DDE168" w14:textId="3127B802" w:rsidR="00673122" w:rsidRPr="007B0F36" w:rsidRDefault="009462C8"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$3,150</w:t>
            </w:r>
          </w:p>
        </w:tc>
      </w:tr>
      <w:tr w:rsidR="00673122" w:rsidRPr="001C3626" w14:paraId="5F6CAC62" w14:textId="77777777" w:rsidTr="003B6117">
        <w:trPr>
          <w:trHeight w:val="300"/>
        </w:trPr>
        <w:tc>
          <w:tcPr>
            <w:tcW w:w="3410" w:type="dxa"/>
            <w:tcBorders>
              <w:top w:val="nil"/>
              <w:left w:val="single" w:sz="8" w:space="0" w:color="auto"/>
              <w:bottom w:val="single" w:sz="4" w:space="0" w:color="auto"/>
              <w:right w:val="single" w:sz="4" w:space="0" w:color="auto"/>
            </w:tcBorders>
            <w:shd w:val="clear" w:color="auto" w:fill="auto"/>
            <w:vAlign w:val="center"/>
          </w:tcPr>
          <w:p w14:paraId="1E636D2A" w14:textId="7D847355" w:rsidR="00673122" w:rsidRPr="00673122" w:rsidRDefault="00673122" w:rsidP="00673122">
            <w:pPr>
              <w:widowControl/>
              <w:autoSpaceDE/>
              <w:autoSpaceDN/>
              <w:adjustRightInd/>
              <w:rPr>
                <w:rFonts w:asciiTheme="minorHAnsi" w:hAnsiTheme="minorHAnsi" w:cstheme="minorHAnsi"/>
                <w:color w:val="000000"/>
                <w:sz w:val="16"/>
                <w:szCs w:val="16"/>
              </w:rPr>
            </w:pPr>
            <w:r w:rsidRPr="00673122">
              <w:rPr>
                <w:rFonts w:asciiTheme="minorHAnsi" w:hAnsiTheme="minorHAnsi" w:cstheme="minorHAnsi"/>
                <w:sz w:val="16"/>
                <w:szCs w:val="16"/>
              </w:rPr>
              <w:t>AFA Inshore Vessel Contract Fishing Notification</w:t>
            </w:r>
          </w:p>
        </w:tc>
        <w:tc>
          <w:tcPr>
            <w:tcW w:w="2298" w:type="dxa"/>
            <w:tcBorders>
              <w:top w:val="nil"/>
              <w:left w:val="nil"/>
              <w:bottom w:val="single" w:sz="4" w:space="0" w:color="auto"/>
              <w:right w:val="single" w:sz="4" w:space="0" w:color="auto"/>
            </w:tcBorders>
            <w:shd w:val="clear" w:color="auto" w:fill="auto"/>
            <w:vAlign w:val="center"/>
          </w:tcPr>
          <w:p w14:paraId="675FB5DA" w14:textId="0C80BCF8" w:rsidR="00673122" w:rsidRPr="00FC6544" w:rsidRDefault="00CB24A6" w:rsidP="00673122">
            <w:pPr>
              <w:widowControl/>
              <w:autoSpaceDE/>
              <w:autoSpaceDN/>
              <w:adjustRightInd/>
              <w:jc w:val="center"/>
              <w:rPr>
                <w:rFonts w:asciiTheme="minorHAnsi" w:hAnsiTheme="minorHAnsi" w:cstheme="minorHAnsi"/>
                <w:color w:val="000000"/>
                <w:sz w:val="16"/>
                <w:szCs w:val="16"/>
              </w:rPr>
            </w:pPr>
            <w:r>
              <w:rPr>
                <w:rFonts w:asciiTheme="minorHAnsi" w:hAnsiTheme="minorHAnsi" w:cstheme="minorHAnsi"/>
                <w:color w:val="000000"/>
                <w:sz w:val="16"/>
                <w:szCs w:val="16"/>
              </w:rPr>
              <w:t xml:space="preserve">AFA </w:t>
            </w:r>
            <w:r w:rsidR="00050717">
              <w:rPr>
                <w:rFonts w:asciiTheme="minorHAnsi" w:hAnsiTheme="minorHAnsi" w:cstheme="minorHAnsi"/>
                <w:color w:val="000000"/>
                <w:sz w:val="16"/>
                <w:szCs w:val="16"/>
              </w:rPr>
              <w:t>c</w:t>
            </w:r>
            <w:r w:rsidR="00615352" w:rsidRPr="00615352">
              <w:rPr>
                <w:rFonts w:asciiTheme="minorHAnsi" w:hAnsiTheme="minorHAnsi" w:cstheme="minorHAnsi"/>
                <w:color w:val="000000"/>
                <w:sz w:val="16"/>
                <w:szCs w:val="16"/>
              </w:rPr>
              <w:t xml:space="preserve">ooperative </w:t>
            </w:r>
            <w:r w:rsidR="00C47690">
              <w:rPr>
                <w:rFonts w:asciiTheme="minorHAnsi" w:hAnsiTheme="minorHAnsi" w:cstheme="minorHAnsi"/>
                <w:color w:val="000000"/>
                <w:sz w:val="16"/>
                <w:szCs w:val="16"/>
              </w:rPr>
              <w:t>representative</w:t>
            </w:r>
            <w:r w:rsidR="00615352" w:rsidRPr="00615352">
              <w:rPr>
                <w:rFonts w:asciiTheme="minorHAnsi" w:hAnsiTheme="minorHAnsi" w:cstheme="minorHAnsi"/>
                <w:color w:val="000000"/>
                <w:sz w:val="16"/>
                <w:szCs w:val="16"/>
              </w:rPr>
              <w:t>s</w:t>
            </w:r>
          </w:p>
        </w:tc>
        <w:tc>
          <w:tcPr>
            <w:tcW w:w="1188" w:type="dxa"/>
            <w:tcBorders>
              <w:top w:val="nil"/>
              <w:left w:val="nil"/>
              <w:bottom w:val="single" w:sz="4" w:space="0" w:color="auto"/>
              <w:right w:val="single" w:sz="4" w:space="0" w:color="auto"/>
            </w:tcBorders>
            <w:shd w:val="clear" w:color="auto" w:fill="auto"/>
            <w:vAlign w:val="center"/>
          </w:tcPr>
          <w:p w14:paraId="5DD064FA" w14:textId="39AF2A53" w:rsidR="00673122" w:rsidRPr="00FC6544" w:rsidRDefault="00CE788D" w:rsidP="003B6117">
            <w:pPr>
              <w:widowControl/>
              <w:autoSpaceDE/>
              <w:autoSpaceDN/>
              <w:adjustRightInd/>
              <w:jc w:val="center"/>
              <w:rPr>
                <w:rFonts w:asciiTheme="minorHAnsi" w:hAnsiTheme="minorHAnsi" w:cstheme="minorHAnsi"/>
                <w:color w:val="000000"/>
                <w:sz w:val="16"/>
                <w:szCs w:val="16"/>
              </w:rPr>
            </w:pPr>
            <w:r>
              <w:rPr>
                <w:rFonts w:asciiTheme="minorHAnsi" w:hAnsiTheme="minorHAnsi" w:cstheme="minorHAnsi"/>
                <w:color w:val="000000"/>
                <w:sz w:val="16"/>
                <w:szCs w:val="16"/>
              </w:rPr>
              <w:t>44</w:t>
            </w:r>
          </w:p>
        </w:tc>
        <w:tc>
          <w:tcPr>
            <w:tcW w:w="1170" w:type="dxa"/>
            <w:tcBorders>
              <w:top w:val="nil"/>
              <w:left w:val="nil"/>
              <w:bottom w:val="single" w:sz="4" w:space="0" w:color="auto"/>
              <w:right w:val="single" w:sz="4" w:space="0" w:color="auto"/>
            </w:tcBorders>
            <w:shd w:val="clear" w:color="auto" w:fill="auto"/>
            <w:vAlign w:val="center"/>
          </w:tcPr>
          <w:p w14:paraId="1EBEC388" w14:textId="5EB97226" w:rsidR="00673122" w:rsidRPr="00FC6544" w:rsidRDefault="00CE788D" w:rsidP="003B6117">
            <w:pPr>
              <w:widowControl/>
              <w:autoSpaceDE/>
              <w:autoSpaceDN/>
              <w:adjustRightInd/>
              <w:jc w:val="center"/>
              <w:rPr>
                <w:rFonts w:asciiTheme="minorHAnsi" w:hAnsiTheme="minorHAnsi" w:cstheme="minorHAnsi"/>
                <w:color w:val="000000"/>
                <w:sz w:val="16"/>
                <w:szCs w:val="16"/>
              </w:rPr>
            </w:pPr>
            <w:r>
              <w:rPr>
                <w:rFonts w:asciiTheme="minorHAnsi" w:hAnsiTheme="minorHAnsi" w:cstheme="minorHAnsi"/>
                <w:color w:val="000000"/>
                <w:sz w:val="16"/>
                <w:szCs w:val="16"/>
              </w:rPr>
              <w:t>1</w:t>
            </w:r>
          </w:p>
        </w:tc>
        <w:tc>
          <w:tcPr>
            <w:tcW w:w="1194" w:type="dxa"/>
            <w:tcBorders>
              <w:top w:val="nil"/>
              <w:left w:val="nil"/>
              <w:bottom w:val="single" w:sz="4" w:space="0" w:color="auto"/>
              <w:right w:val="single" w:sz="4" w:space="0" w:color="auto"/>
            </w:tcBorders>
            <w:shd w:val="clear" w:color="auto" w:fill="auto"/>
            <w:vAlign w:val="center"/>
          </w:tcPr>
          <w:p w14:paraId="176003C9" w14:textId="20D4CB95" w:rsidR="00673122" w:rsidRPr="00FC6544" w:rsidRDefault="00CE788D" w:rsidP="003B6117">
            <w:pPr>
              <w:widowControl/>
              <w:autoSpaceDE/>
              <w:autoSpaceDN/>
              <w:adjustRightInd/>
              <w:jc w:val="center"/>
              <w:rPr>
                <w:rFonts w:asciiTheme="minorHAnsi" w:hAnsiTheme="minorHAnsi" w:cstheme="minorHAnsi"/>
                <w:color w:val="000000"/>
                <w:sz w:val="16"/>
                <w:szCs w:val="16"/>
              </w:rPr>
            </w:pPr>
            <w:r>
              <w:rPr>
                <w:rFonts w:asciiTheme="minorHAnsi" w:hAnsiTheme="minorHAnsi" w:cstheme="minorHAnsi"/>
                <w:color w:val="000000"/>
                <w:sz w:val="16"/>
                <w:szCs w:val="16"/>
              </w:rPr>
              <w:t>44</w:t>
            </w:r>
          </w:p>
        </w:tc>
        <w:tc>
          <w:tcPr>
            <w:tcW w:w="966" w:type="dxa"/>
            <w:tcBorders>
              <w:top w:val="nil"/>
              <w:left w:val="nil"/>
              <w:bottom w:val="single" w:sz="4" w:space="0" w:color="auto"/>
              <w:right w:val="single" w:sz="4" w:space="0" w:color="auto"/>
            </w:tcBorders>
            <w:shd w:val="clear" w:color="auto" w:fill="auto"/>
            <w:vAlign w:val="center"/>
          </w:tcPr>
          <w:p w14:paraId="597E0584" w14:textId="41DE3C01" w:rsidR="00673122" w:rsidRPr="00FC6544" w:rsidRDefault="00844071" w:rsidP="003B6117">
            <w:pPr>
              <w:widowControl/>
              <w:autoSpaceDE/>
              <w:autoSpaceDN/>
              <w:adjustRightInd/>
              <w:jc w:val="center"/>
              <w:rPr>
                <w:rFonts w:asciiTheme="minorHAnsi" w:hAnsiTheme="minorHAnsi" w:cstheme="minorHAnsi"/>
                <w:color w:val="000000"/>
                <w:sz w:val="16"/>
                <w:szCs w:val="16"/>
              </w:rPr>
            </w:pPr>
            <w:r>
              <w:rPr>
                <w:rFonts w:asciiTheme="minorHAnsi" w:hAnsiTheme="minorHAnsi" w:cstheme="minorHAnsi"/>
                <w:color w:val="000000"/>
                <w:sz w:val="16"/>
                <w:szCs w:val="16"/>
              </w:rPr>
              <w:t>4</w:t>
            </w:r>
          </w:p>
        </w:tc>
        <w:tc>
          <w:tcPr>
            <w:tcW w:w="1170" w:type="dxa"/>
            <w:tcBorders>
              <w:top w:val="nil"/>
              <w:left w:val="nil"/>
              <w:bottom w:val="single" w:sz="4" w:space="0" w:color="auto"/>
              <w:right w:val="single" w:sz="4" w:space="0" w:color="auto"/>
            </w:tcBorders>
            <w:shd w:val="clear" w:color="auto" w:fill="auto"/>
            <w:vAlign w:val="center"/>
          </w:tcPr>
          <w:p w14:paraId="52A68E71" w14:textId="05B0B7E7" w:rsidR="00673122" w:rsidRPr="00FC6544" w:rsidRDefault="00844071" w:rsidP="000D5E4C">
            <w:pPr>
              <w:widowControl/>
              <w:autoSpaceDE/>
              <w:autoSpaceDN/>
              <w:adjustRightInd/>
              <w:jc w:val="center"/>
              <w:rPr>
                <w:rFonts w:asciiTheme="minorHAnsi" w:hAnsiTheme="minorHAnsi" w:cstheme="minorHAnsi"/>
                <w:color w:val="000000"/>
                <w:sz w:val="16"/>
                <w:szCs w:val="16"/>
              </w:rPr>
            </w:pPr>
            <w:r>
              <w:rPr>
                <w:rFonts w:asciiTheme="minorHAnsi" w:hAnsiTheme="minorHAnsi" w:cstheme="minorHAnsi"/>
                <w:color w:val="000000"/>
                <w:sz w:val="16"/>
                <w:szCs w:val="16"/>
              </w:rPr>
              <w:t>176</w:t>
            </w:r>
          </w:p>
        </w:tc>
        <w:tc>
          <w:tcPr>
            <w:tcW w:w="1350" w:type="dxa"/>
            <w:tcBorders>
              <w:top w:val="nil"/>
              <w:left w:val="nil"/>
              <w:bottom w:val="single" w:sz="4" w:space="0" w:color="auto"/>
              <w:right w:val="single" w:sz="4" w:space="0" w:color="auto"/>
            </w:tcBorders>
            <w:shd w:val="clear" w:color="auto" w:fill="auto"/>
            <w:noWrap/>
            <w:vAlign w:val="center"/>
          </w:tcPr>
          <w:p w14:paraId="5AB357B2" w14:textId="7EF85612" w:rsidR="00673122" w:rsidRPr="00FC6544" w:rsidRDefault="00615352" w:rsidP="003B6117">
            <w:pPr>
              <w:widowControl/>
              <w:autoSpaceDE/>
              <w:autoSpaceDN/>
              <w:adjustRightInd/>
              <w:jc w:val="center"/>
              <w:rPr>
                <w:rFonts w:asciiTheme="minorHAnsi" w:hAnsiTheme="minorHAnsi" w:cstheme="minorHAnsi"/>
                <w:color w:val="000000"/>
                <w:sz w:val="16"/>
                <w:szCs w:val="16"/>
              </w:rPr>
            </w:pPr>
            <w:r>
              <w:rPr>
                <w:rFonts w:ascii="Calibri" w:hAnsi="Calibri" w:cs="Calibri"/>
                <w:color w:val="000000"/>
                <w:sz w:val="16"/>
                <w:szCs w:val="16"/>
              </w:rPr>
              <w:t>$75</w:t>
            </w:r>
            <w:r w:rsidRPr="007B0F36">
              <w:rPr>
                <w:rFonts w:ascii="Calibri" w:hAnsi="Calibri" w:cs="Calibri"/>
                <w:color w:val="000000"/>
                <w:sz w:val="16"/>
                <w:szCs w:val="16"/>
              </w:rPr>
              <w:t> </w:t>
            </w:r>
          </w:p>
        </w:tc>
        <w:tc>
          <w:tcPr>
            <w:tcW w:w="1350" w:type="dxa"/>
            <w:tcBorders>
              <w:top w:val="nil"/>
              <w:left w:val="nil"/>
              <w:bottom w:val="single" w:sz="4" w:space="0" w:color="auto"/>
              <w:right w:val="single" w:sz="8" w:space="0" w:color="auto"/>
            </w:tcBorders>
            <w:shd w:val="clear" w:color="auto" w:fill="auto"/>
            <w:noWrap/>
            <w:vAlign w:val="center"/>
          </w:tcPr>
          <w:p w14:paraId="2D382EEB" w14:textId="53193D5F" w:rsidR="00673122" w:rsidRPr="00FC6544" w:rsidRDefault="009462C8" w:rsidP="003B6117">
            <w:pPr>
              <w:widowControl/>
              <w:autoSpaceDE/>
              <w:autoSpaceDN/>
              <w:adjustRightInd/>
              <w:jc w:val="center"/>
              <w:rPr>
                <w:rFonts w:asciiTheme="minorHAnsi" w:hAnsiTheme="minorHAnsi" w:cstheme="minorHAnsi"/>
                <w:color w:val="000000"/>
                <w:sz w:val="16"/>
                <w:szCs w:val="16"/>
              </w:rPr>
            </w:pPr>
            <w:r>
              <w:rPr>
                <w:rFonts w:asciiTheme="minorHAnsi" w:hAnsiTheme="minorHAnsi" w:cstheme="minorHAnsi"/>
                <w:color w:val="000000"/>
                <w:sz w:val="16"/>
                <w:szCs w:val="16"/>
              </w:rPr>
              <w:t>$</w:t>
            </w:r>
            <w:r w:rsidR="00844071">
              <w:rPr>
                <w:rFonts w:asciiTheme="minorHAnsi" w:hAnsiTheme="minorHAnsi" w:cstheme="minorHAnsi"/>
                <w:color w:val="000000"/>
                <w:sz w:val="16"/>
                <w:szCs w:val="16"/>
              </w:rPr>
              <w:t>13,200</w:t>
            </w:r>
          </w:p>
        </w:tc>
      </w:tr>
      <w:tr w:rsidR="00673122" w:rsidRPr="007B0F36" w14:paraId="3EE19226" w14:textId="77777777" w:rsidTr="003B6117">
        <w:trPr>
          <w:trHeight w:val="300"/>
        </w:trPr>
        <w:tc>
          <w:tcPr>
            <w:tcW w:w="3410" w:type="dxa"/>
            <w:tcBorders>
              <w:top w:val="nil"/>
              <w:left w:val="single" w:sz="8" w:space="0" w:color="auto"/>
              <w:bottom w:val="single" w:sz="4" w:space="0" w:color="auto"/>
              <w:right w:val="single" w:sz="4" w:space="0" w:color="auto"/>
            </w:tcBorders>
            <w:shd w:val="clear" w:color="auto" w:fill="auto"/>
            <w:vAlign w:val="center"/>
          </w:tcPr>
          <w:p w14:paraId="0110AFEB" w14:textId="65E1A808" w:rsidR="00673122" w:rsidRPr="00673122" w:rsidRDefault="00673122" w:rsidP="00673122">
            <w:pPr>
              <w:widowControl/>
              <w:autoSpaceDE/>
              <w:autoSpaceDN/>
              <w:adjustRightInd/>
              <w:rPr>
                <w:rFonts w:asciiTheme="minorHAnsi" w:hAnsiTheme="minorHAnsi" w:cstheme="minorHAnsi"/>
                <w:color w:val="000000"/>
                <w:sz w:val="16"/>
                <w:szCs w:val="16"/>
              </w:rPr>
            </w:pPr>
            <w:r w:rsidRPr="00673122">
              <w:rPr>
                <w:rFonts w:asciiTheme="minorHAnsi" w:hAnsiTheme="minorHAnsi" w:cstheme="minorHAnsi"/>
                <w:sz w:val="16"/>
                <w:szCs w:val="16"/>
              </w:rPr>
              <w:t xml:space="preserve">Application for Approval as an Entity to Receive Transferable Chinook Salmon PSC Allocation  </w:t>
            </w:r>
          </w:p>
        </w:tc>
        <w:tc>
          <w:tcPr>
            <w:tcW w:w="2298" w:type="dxa"/>
            <w:tcBorders>
              <w:top w:val="nil"/>
              <w:left w:val="nil"/>
              <w:bottom w:val="single" w:sz="4" w:space="0" w:color="auto"/>
              <w:right w:val="single" w:sz="4" w:space="0" w:color="auto"/>
            </w:tcBorders>
            <w:shd w:val="clear" w:color="auto" w:fill="auto"/>
            <w:vAlign w:val="center"/>
          </w:tcPr>
          <w:p w14:paraId="78397A06" w14:textId="197FD015" w:rsidR="00673122" w:rsidRPr="007B0F36" w:rsidRDefault="009C5036" w:rsidP="001D6E1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AFA </w:t>
            </w:r>
            <w:r w:rsidR="001D6E1B">
              <w:rPr>
                <w:rFonts w:ascii="Calibri" w:hAnsi="Calibri" w:cs="Calibri"/>
                <w:color w:val="000000"/>
                <w:sz w:val="16"/>
                <w:szCs w:val="16"/>
              </w:rPr>
              <w:t xml:space="preserve">mothership </w:t>
            </w:r>
            <w:r>
              <w:rPr>
                <w:rFonts w:ascii="Calibri" w:hAnsi="Calibri" w:cs="Calibri"/>
                <w:color w:val="000000"/>
                <w:sz w:val="16"/>
                <w:szCs w:val="16"/>
              </w:rPr>
              <w:t xml:space="preserve">sector </w:t>
            </w:r>
            <w:r w:rsidR="001D6E1B">
              <w:rPr>
                <w:rFonts w:ascii="Calibri" w:hAnsi="Calibri" w:cs="Calibri"/>
                <w:color w:val="000000"/>
                <w:sz w:val="16"/>
                <w:szCs w:val="16"/>
              </w:rPr>
              <w:t xml:space="preserve">representative; AFA catcher/processor </w:t>
            </w:r>
            <w:r>
              <w:rPr>
                <w:rFonts w:ascii="Calibri" w:hAnsi="Calibri" w:cs="Calibri"/>
                <w:color w:val="000000"/>
                <w:sz w:val="16"/>
                <w:szCs w:val="16"/>
              </w:rPr>
              <w:t>representative</w:t>
            </w:r>
          </w:p>
        </w:tc>
        <w:tc>
          <w:tcPr>
            <w:tcW w:w="1188" w:type="dxa"/>
            <w:tcBorders>
              <w:top w:val="nil"/>
              <w:left w:val="nil"/>
              <w:bottom w:val="single" w:sz="4" w:space="0" w:color="auto"/>
              <w:right w:val="single" w:sz="4" w:space="0" w:color="auto"/>
            </w:tcBorders>
            <w:shd w:val="clear" w:color="auto" w:fill="auto"/>
            <w:vAlign w:val="center"/>
          </w:tcPr>
          <w:p w14:paraId="500B261A" w14:textId="506AACFE" w:rsidR="00673122" w:rsidRPr="007B0F36" w:rsidRDefault="00621EF8"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14:paraId="56C18471" w14:textId="277B79AC" w:rsidR="00673122" w:rsidRPr="007B0F36" w:rsidRDefault="00621EF8"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94" w:type="dxa"/>
            <w:tcBorders>
              <w:top w:val="nil"/>
              <w:left w:val="nil"/>
              <w:bottom w:val="single" w:sz="4" w:space="0" w:color="auto"/>
              <w:right w:val="single" w:sz="4" w:space="0" w:color="auto"/>
            </w:tcBorders>
            <w:shd w:val="clear" w:color="auto" w:fill="auto"/>
            <w:vAlign w:val="center"/>
          </w:tcPr>
          <w:p w14:paraId="5902CA73" w14:textId="46F77674" w:rsidR="00673122" w:rsidRPr="007B0F36" w:rsidRDefault="00621EF8"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966" w:type="dxa"/>
            <w:tcBorders>
              <w:top w:val="nil"/>
              <w:left w:val="nil"/>
              <w:bottom w:val="single" w:sz="4" w:space="0" w:color="auto"/>
              <w:right w:val="single" w:sz="4" w:space="0" w:color="auto"/>
            </w:tcBorders>
            <w:shd w:val="clear" w:color="auto" w:fill="auto"/>
            <w:vAlign w:val="center"/>
          </w:tcPr>
          <w:p w14:paraId="5B1D9117" w14:textId="2787737F" w:rsidR="00673122" w:rsidRPr="007B0F36" w:rsidRDefault="001C3626"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170" w:type="dxa"/>
            <w:tcBorders>
              <w:top w:val="nil"/>
              <w:left w:val="nil"/>
              <w:bottom w:val="single" w:sz="4" w:space="0" w:color="auto"/>
              <w:right w:val="single" w:sz="4" w:space="0" w:color="auto"/>
            </w:tcBorders>
            <w:shd w:val="clear" w:color="auto" w:fill="auto"/>
            <w:vAlign w:val="center"/>
          </w:tcPr>
          <w:p w14:paraId="18540E1A" w14:textId="661D7822" w:rsidR="00673122" w:rsidRPr="007B0F36" w:rsidRDefault="00FE218A"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16</w:t>
            </w:r>
          </w:p>
        </w:tc>
        <w:tc>
          <w:tcPr>
            <w:tcW w:w="1350" w:type="dxa"/>
            <w:tcBorders>
              <w:top w:val="nil"/>
              <w:left w:val="nil"/>
              <w:bottom w:val="single" w:sz="4" w:space="0" w:color="auto"/>
              <w:right w:val="single" w:sz="4" w:space="0" w:color="auto"/>
            </w:tcBorders>
            <w:shd w:val="clear" w:color="auto" w:fill="auto"/>
            <w:noWrap/>
            <w:vAlign w:val="center"/>
          </w:tcPr>
          <w:p w14:paraId="6BADC0C0" w14:textId="2AE443A0" w:rsidR="00673122" w:rsidRPr="007B0F36" w:rsidRDefault="00050717"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$75</w:t>
            </w:r>
          </w:p>
        </w:tc>
        <w:tc>
          <w:tcPr>
            <w:tcW w:w="1350" w:type="dxa"/>
            <w:tcBorders>
              <w:top w:val="nil"/>
              <w:left w:val="nil"/>
              <w:bottom w:val="single" w:sz="4" w:space="0" w:color="auto"/>
              <w:right w:val="single" w:sz="8" w:space="0" w:color="auto"/>
            </w:tcBorders>
            <w:shd w:val="clear" w:color="auto" w:fill="auto"/>
            <w:noWrap/>
            <w:vAlign w:val="center"/>
          </w:tcPr>
          <w:p w14:paraId="03C886A1" w14:textId="405BD73B" w:rsidR="00673122" w:rsidRPr="007B0F36" w:rsidRDefault="007C5DD9"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$1,200</w:t>
            </w:r>
          </w:p>
        </w:tc>
      </w:tr>
      <w:tr w:rsidR="00673122" w:rsidRPr="007B0F36" w14:paraId="4F89D465" w14:textId="77777777" w:rsidTr="003B6117">
        <w:trPr>
          <w:trHeight w:val="300"/>
        </w:trPr>
        <w:tc>
          <w:tcPr>
            <w:tcW w:w="3410" w:type="dxa"/>
            <w:tcBorders>
              <w:top w:val="nil"/>
              <w:left w:val="single" w:sz="8" w:space="0" w:color="auto"/>
              <w:bottom w:val="single" w:sz="4" w:space="0" w:color="auto"/>
              <w:right w:val="single" w:sz="4" w:space="0" w:color="auto"/>
            </w:tcBorders>
            <w:shd w:val="clear" w:color="auto" w:fill="auto"/>
            <w:vAlign w:val="center"/>
          </w:tcPr>
          <w:p w14:paraId="6EB09677" w14:textId="74C7CEFA" w:rsidR="00673122" w:rsidRPr="00673122" w:rsidRDefault="00673122" w:rsidP="00673122">
            <w:pPr>
              <w:widowControl/>
              <w:autoSpaceDE/>
              <w:autoSpaceDN/>
              <w:adjustRightInd/>
              <w:rPr>
                <w:rFonts w:asciiTheme="minorHAnsi" w:hAnsiTheme="minorHAnsi" w:cstheme="minorHAnsi"/>
                <w:color w:val="000000"/>
                <w:sz w:val="16"/>
                <w:szCs w:val="16"/>
              </w:rPr>
            </w:pPr>
            <w:r w:rsidRPr="00673122">
              <w:rPr>
                <w:rFonts w:asciiTheme="minorHAnsi" w:hAnsiTheme="minorHAnsi" w:cstheme="minorHAnsi"/>
                <w:sz w:val="16"/>
                <w:szCs w:val="16"/>
              </w:rPr>
              <w:t xml:space="preserve">Application for Transfer of Bering Sea Chinook Salmon PSC Allocations  </w:t>
            </w:r>
          </w:p>
        </w:tc>
        <w:tc>
          <w:tcPr>
            <w:tcW w:w="2298" w:type="dxa"/>
            <w:tcBorders>
              <w:top w:val="nil"/>
              <w:left w:val="nil"/>
              <w:bottom w:val="single" w:sz="4" w:space="0" w:color="auto"/>
              <w:right w:val="single" w:sz="4" w:space="0" w:color="auto"/>
            </w:tcBorders>
            <w:shd w:val="clear" w:color="auto" w:fill="auto"/>
            <w:vAlign w:val="center"/>
          </w:tcPr>
          <w:p w14:paraId="07894B32" w14:textId="5C293BB6" w:rsidR="00673122" w:rsidRPr="007B0F36" w:rsidRDefault="00237596" w:rsidP="000D5E4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AFA sector representatives, </w:t>
            </w:r>
            <w:r w:rsidR="00CB24A6">
              <w:rPr>
                <w:rFonts w:ascii="Calibri" w:hAnsi="Calibri" w:cs="Calibri"/>
                <w:color w:val="000000"/>
                <w:sz w:val="16"/>
                <w:szCs w:val="16"/>
              </w:rPr>
              <w:t xml:space="preserve">AFA </w:t>
            </w:r>
            <w:r w:rsidR="00050717">
              <w:rPr>
                <w:rFonts w:ascii="Calibri" w:hAnsi="Calibri" w:cs="Calibri"/>
                <w:color w:val="000000"/>
                <w:sz w:val="16"/>
                <w:szCs w:val="16"/>
              </w:rPr>
              <w:t>c</w:t>
            </w:r>
            <w:r>
              <w:rPr>
                <w:rFonts w:ascii="Calibri" w:hAnsi="Calibri" w:cs="Calibri"/>
                <w:color w:val="000000"/>
                <w:sz w:val="16"/>
                <w:szCs w:val="16"/>
              </w:rPr>
              <w:t xml:space="preserve">ooperative </w:t>
            </w:r>
            <w:r w:rsidR="00C47690">
              <w:rPr>
                <w:rFonts w:ascii="Calibri" w:hAnsi="Calibri" w:cs="Calibri"/>
                <w:color w:val="000000"/>
                <w:sz w:val="16"/>
                <w:szCs w:val="16"/>
              </w:rPr>
              <w:t>representative</w:t>
            </w:r>
            <w:r>
              <w:rPr>
                <w:rFonts w:ascii="Calibri" w:hAnsi="Calibri" w:cs="Calibri"/>
                <w:color w:val="000000"/>
                <w:sz w:val="16"/>
                <w:szCs w:val="16"/>
              </w:rPr>
              <w:t>s, CDQ group representatives</w:t>
            </w:r>
          </w:p>
        </w:tc>
        <w:tc>
          <w:tcPr>
            <w:tcW w:w="1188" w:type="dxa"/>
            <w:tcBorders>
              <w:top w:val="nil"/>
              <w:left w:val="nil"/>
              <w:bottom w:val="single" w:sz="4" w:space="0" w:color="auto"/>
              <w:right w:val="single" w:sz="4" w:space="0" w:color="auto"/>
            </w:tcBorders>
            <w:shd w:val="clear" w:color="auto" w:fill="auto"/>
            <w:vAlign w:val="center"/>
          </w:tcPr>
          <w:p w14:paraId="3916694C" w14:textId="37252254" w:rsidR="00673122" w:rsidRPr="007B0F36" w:rsidRDefault="00D669DB"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sz="4" w:space="0" w:color="auto"/>
              <w:right w:val="single" w:sz="4" w:space="0" w:color="auto"/>
            </w:tcBorders>
            <w:shd w:val="clear" w:color="auto" w:fill="auto"/>
            <w:vAlign w:val="center"/>
          </w:tcPr>
          <w:p w14:paraId="2BD261ED" w14:textId="26A2BC58" w:rsidR="00673122" w:rsidRPr="007B0F36" w:rsidRDefault="00D669DB"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94" w:type="dxa"/>
            <w:tcBorders>
              <w:top w:val="nil"/>
              <w:left w:val="nil"/>
              <w:bottom w:val="single" w:sz="4" w:space="0" w:color="auto"/>
              <w:right w:val="single" w:sz="4" w:space="0" w:color="auto"/>
            </w:tcBorders>
            <w:shd w:val="clear" w:color="auto" w:fill="auto"/>
            <w:vAlign w:val="center"/>
          </w:tcPr>
          <w:p w14:paraId="4103885B" w14:textId="4C204EEA" w:rsidR="00673122" w:rsidRPr="007B0F36" w:rsidRDefault="00D669DB"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966" w:type="dxa"/>
            <w:tcBorders>
              <w:top w:val="nil"/>
              <w:left w:val="nil"/>
              <w:bottom w:val="single" w:sz="4" w:space="0" w:color="auto"/>
              <w:right w:val="single" w:sz="4" w:space="0" w:color="auto"/>
            </w:tcBorders>
            <w:shd w:val="clear" w:color="auto" w:fill="auto"/>
            <w:vAlign w:val="center"/>
          </w:tcPr>
          <w:p w14:paraId="3F92DAEF" w14:textId="62B47A24" w:rsidR="00673122" w:rsidRPr="007B0F36" w:rsidRDefault="001C3626"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tcPr>
          <w:p w14:paraId="7FE5CE6C" w14:textId="0E8043C6" w:rsidR="00673122" w:rsidRPr="007B0F36" w:rsidRDefault="00D669DB"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sz="4" w:space="0" w:color="auto"/>
              <w:right w:val="single" w:sz="4" w:space="0" w:color="auto"/>
            </w:tcBorders>
            <w:shd w:val="clear" w:color="auto" w:fill="auto"/>
            <w:noWrap/>
            <w:vAlign w:val="center"/>
          </w:tcPr>
          <w:p w14:paraId="2E2D1001" w14:textId="041AE2CE" w:rsidR="00673122" w:rsidRPr="007B0F36" w:rsidRDefault="00050717"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$75</w:t>
            </w:r>
          </w:p>
        </w:tc>
        <w:tc>
          <w:tcPr>
            <w:tcW w:w="1350" w:type="dxa"/>
            <w:tcBorders>
              <w:top w:val="nil"/>
              <w:left w:val="nil"/>
              <w:bottom w:val="single" w:sz="4" w:space="0" w:color="auto"/>
              <w:right w:val="single" w:sz="8" w:space="0" w:color="auto"/>
            </w:tcBorders>
            <w:shd w:val="clear" w:color="auto" w:fill="auto"/>
            <w:noWrap/>
            <w:vAlign w:val="center"/>
          </w:tcPr>
          <w:p w14:paraId="11CBB921" w14:textId="17E220E2" w:rsidR="00673122" w:rsidRPr="007B0F36" w:rsidRDefault="007C5DD9" w:rsidP="003B61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$375</w:t>
            </w:r>
          </w:p>
        </w:tc>
      </w:tr>
      <w:tr w:rsidR="007B0F36" w:rsidRPr="007B0F36" w14:paraId="467EED46" w14:textId="77777777" w:rsidTr="003B6117">
        <w:trPr>
          <w:trHeight w:val="315"/>
        </w:trPr>
        <w:tc>
          <w:tcPr>
            <w:tcW w:w="3410" w:type="dxa"/>
            <w:tcBorders>
              <w:top w:val="nil"/>
              <w:left w:val="single" w:sz="8" w:space="0" w:color="auto"/>
              <w:bottom w:val="single" w:sz="8" w:space="0" w:color="auto"/>
              <w:right w:val="single" w:sz="8" w:space="0" w:color="auto"/>
            </w:tcBorders>
            <w:shd w:val="clear" w:color="000000" w:fill="BDD7EE"/>
            <w:noWrap/>
            <w:vAlign w:val="bottom"/>
            <w:hideMark/>
          </w:tcPr>
          <w:p w14:paraId="7878FA34" w14:textId="77777777" w:rsidR="007B0F36" w:rsidRPr="007B0F36" w:rsidRDefault="007B0F36" w:rsidP="007B0F36">
            <w:pPr>
              <w:widowControl/>
              <w:autoSpaceDE/>
              <w:autoSpaceDN/>
              <w:adjustRightInd/>
              <w:rPr>
                <w:rFonts w:ascii="Calibri" w:hAnsi="Calibri" w:cs="Calibri"/>
                <w:b/>
                <w:bCs/>
                <w:color w:val="000000"/>
                <w:sz w:val="22"/>
                <w:szCs w:val="22"/>
              </w:rPr>
            </w:pPr>
            <w:r w:rsidRPr="007B0F36">
              <w:rPr>
                <w:rFonts w:ascii="Calibri" w:hAnsi="Calibri" w:cs="Calibri"/>
                <w:b/>
                <w:bCs/>
                <w:color w:val="000000"/>
                <w:sz w:val="22"/>
                <w:szCs w:val="22"/>
              </w:rPr>
              <w:t>Totals</w:t>
            </w:r>
          </w:p>
        </w:tc>
        <w:tc>
          <w:tcPr>
            <w:tcW w:w="2298" w:type="dxa"/>
            <w:tcBorders>
              <w:top w:val="nil"/>
              <w:left w:val="nil"/>
              <w:bottom w:val="single" w:sz="8" w:space="0" w:color="auto"/>
              <w:right w:val="single" w:sz="8" w:space="0" w:color="auto"/>
            </w:tcBorders>
            <w:shd w:val="clear" w:color="000000" w:fill="000000"/>
            <w:noWrap/>
            <w:vAlign w:val="bottom"/>
            <w:hideMark/>
          </w:tcPr>
          <w:p w14:paraId="542393E0" w14:textId="77777777" w:rsidR="007B0F36" w:rsidRPr="007B0F36" w:rsidRDefault="007B0F36" w:rsidP="007B0F36">
            <w:pPr>
              <w:widowControl/>
              <w:autoSpaceDE/>
              <w:autoSpaceDN/>
              <w:adjustRightInd/>
              <w:rPr>
                <w:rFonts w:ascii="Calibri" w:hAnsi="Calibri" w:cs="Calibri"/>
                <w:b/>
                <w:bCs/>
                <w:color w:val="000000"/>
                <w:sz w:val="22"/>
                <w:szCs w:val="22"/>
              </w:rPr>
            </w:pPr>
            <w:r w:rsidRPr="007B0F36">
              <w:rPr>
                <w:rFonts w:ascii="Calibri" w:hAnsi="Calibri" w:cs="Calibri"/>
                <w:b/>
                <w:bCs/>
                <w:color w:val="000000"/>
                <w:sz w:val="22"/>
                <w:szCs w:val="22"/>
              </w:rPr>
              <w:t> </w:t>
            </w:r>
          </w:p>
        </w:tc>
        <w:tc>
          <w:tcPr>
            <w:tcW w:w="1188" w:type="dxa"/>
            <w:tcBorders>
              <w:top w:val="nil"/>
              <w:left w:val="nil"/>
              <w:bottom w:val="single" w:sz="8" w:space="0" w:color="auto"/>
              <w:right w:val="single" w:sz="8" w:space="0" w:color="auto"/>
            </w:tcBorders>
            <w:shd w:val="clear" w:color="000000" w:fill="000000"/>
            <w:noWrap/>
            <w:vAlign w:val="bottom"/>
            <w:hideMark/>
          </w:tcPr>
          <w:p w14:paraId="73ECE34B" w14:textId="5BCAE77C" w:rsidR="007B0F36" w:rsidRPr="007B0F36" w:rsidRDefault="007B0F36" w:rsidP="003B6117">
            <w:pPr>
              <w:widowControl/>
              <w:autoSpaceDE/>
              <w:autoSpaceDN/>
              <w:adjustRightInd/>
              <w:jc w:val="center"/>
              <w:rPr>
                <w:rFonts w:ascii="Calibri" w:hAnsi="Calibri" w:cs="Calibri"/>
                <w:b/>
                <w:bCs/>
                <w:color w:val="000000"/>
                <w:sz w:val="22"/>
                <w:szCs w:val="22"/>
              </w:rPr>
            </w:pPr>
          </w:p>
        </w:tc>
        <w:tc>
          <w:tcPr>
            <w:tcW w:w="1170" w:type="dxa"/>
            <w:tcBorders>
              <w:top w:val="nil"/>
              <w:left w:val="nil"/>
              <w:bottom w:val="single" w:sz="8" w:space="0" w:color="auto"/>
              <w:right w:val="single" w:sz="8" w:space="0" w:color="auto"/>
            </w:tcBorders>
            <w:shd w:val="clear" w:color="000000" w:fill="000000"/>
            <w:noWrap/>
            <w:vAlign w:val="bottom"/>
            <w:hideMark/>
          </w:tcPr>
          <w:p w14:paraId="61D8BC2A" w14:textId="121F7A2F" w:rsidR="007B0F36" w:rsidRPr="007B0F36" w:rsidRDefault="007B0F36" w:rsidP="003B6117">
            <w:pPr>
              <w:widowControl/>
              <w:autoSpaceDE/>
              <w:autoSpaceDN/>
              <w:adjustRightInd/>
              <w:jc w:val="center"/>
              <w:rPr>
                <w:rFonts w:ascii="Calibri" w:hAnsi="Calibri" w:cs="Calibri"/>
                <w:b/>
                <w:bCs/>
                <w:color w:val="000000"/>
                <w:sz w:val="22"/>
                <w:szCs w:val="22"/>
              </w:rPr>
            </w:pPr>
          </w:p>
        </w:tc>
        <w:tc>
          <w:tcPr>
            <w:tcW w:w="1194" w:type="dxa"/>
            <w:tcBorders>
              <w:top w:val="nil"/>
              <w:left w:val="nil"/>
              <w:bottom w:val="single" w:sz="8" w:space="0" w:color="auto"/>
              <w:right w:val="single" w:sz="8" w:space="0" w:color="auto"/>
            </w:tcBorders>
            <w:shd w:val="clear" w:color="000000" w:fill="BDD7EE"/>
            <w:noWrap/>
            <w:vAlign w:val="bottom"/>
            <w:hideMark/>
          </w:tcPr>
          <w:p w14:paraId="52B78447" w14:textId="4FFC59C0" w:rsidR="007B0F36" w:rsidRPr="007B0F36" w:rsidRDefault="00E13752" w:rsidP="003B6117">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84</w:t>
            </w:r>
          </w:p>
        </w:tc>
        <w:tc>
          <w:tcPr>
            <w:tcW w:w="966" w:type="dxa"/>
            <w:tcBorders>
              <w:top w:val="nil"/>
              <w:left w:val="nil"/>
              <w:bottom w:val="single" w:sz="8" w:space="0" w:color="auto"/>
              <w:right w:val="single" w:sz="8" w:space="0" w:color="auto"/>
            </w:tcBorders>
            <w:shd w:val="clear" w:color="000000" w:fill="000000"/>
            <w:noWrap/>
            <w:vAlign w:val="bottom"/>
            <w:hideMark/>
          </w:tcPr>
          <w:p w14:paraId="655A7CA5" w14:textId="5DB7FDFB" w:rsidR="007B0F36" w:rsidRPr="007B0F36" w:rsidRDefault="007B0F36" w:rsidP="003B6117">
            <w:pPr>
              <w:widowControl/>
              <w:autoSpaceDE/>
              <w:autoSpaceDN/>
              <w:adjustRightInd/>
              <w:jc w:val="center"/>
              <w:rPr>
                <w:rFonts w:ascii="Calibri" w:hAnsi="Calibri" w:cs="Calibri"/>
                <w:b/>
                <w:bCs/>
                <w:color w:val="000000"/>
                <w:sz w:val="22"/>
                <w:szCs w:val="22"/>
              </w:rPr>
            </w:pPr>
          </w:p>
        </w:tc>
        <w:tc>
          <w:tcPr>
            <w:tcW w:w="1170" w:type="dxa"/>
            <w:tcBorders>
              <w:top w:val="nil"/>
              <w:left w:val="nil"/>
              <w:bottom w:val="single" w:sz="8" w:space="0" w:color="auto"/>
              <w:right w:val="single" w:sz="8" w:space="0" w:color="auto"/>
            </w:tcBorders>
            <w:shd w:val="clear" w:color="000000" w:fill="BDD7EE"/>
            <w:noWrap/>
            <w:vAlign w:val="bottom"/>
            <w:hideMark/>
          </w:tcPr>
          <w:p w14:paraId="5B6CB283" w14:textId="34E4A549" w:rsidR="007B0F36" w:rsidRPr="007B0F36" w:rsidRDefault="00DC11AE" w:rsidP="003B6117">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251</w:t>
            </w:r>
          </w:p>
        </w:tc>
        <w:tc>
          <w:tcPr>
            <w:tcW w:w="1350" w:type="dxa"/>
            <w:tcBorders>
              <w:top w:val="nil"/>
              <w:left w:val="nil"/>
              <w:bottom w:val="single" w:sz="8" w:space="0" w:color="auto"/>
              <w:right w:val="single" w:sz="8" w:space="0" w:color="auto"/>
            </w:tcBorders>
            <w:shd w:val="clear" w:color="000000" w:fill="000000"/>
            <w:noWrap/>
            <w:vAlign w:val="bottom"/>
            <w:hideMark/>
          </w:tcPr>
          <w:p w14:paraId="74092CFE" w14:textId="27C19E10" w:rsidR="007B0F36" w:rsidRPr="007B0F36" w:rsidRDefault="007B0F36" w:rsidP="003B6117">
            <w:pPr>
              <w:widowControl/>
              <w:autoSpaceDE/>
              <w:autoSpaceDN/>
              <w:adjustRightInd/>
              <w:jc w:val="center"/>
              <w:rPr>
                <w:rFonts w:ascii="Calibri" w:hAnsi="Calibri" w:cs="Calibri"/>
                <w:b/>
                <w:bCs/>
                <w:color w:val="000000"/>
                <w:sz w:val="22"/>
                <w:szCs w:val="22"/>
              </w:rPr>
            </w:pPr>
          </w:p>
        </w:tc>
        <w:tc>
          <w:tcPr>
            <w:tcW w:w="1350" w:type="dxa"/>
            <w:tcBorders>
              <w:top w:val="nil"/>
              <w:left w:val="nil"/>
              <w:bottom w:val="single" w:sz="8" w:space="0" w:color="auto"/>
              <w:right w:val="single" w:sz="8" w:space="0" w:color="auto"/>
            </w:tcBorders>
            <w:shd w:val="clear" w:color="000000" w:fill="BDD7EE"/>
            <w:noWrap/>
            <w:vAlign w:val="bottom"/>
            <w:hideMark/>
          </w:tcPr>
          <w:p w14:paraId="1F101193" w14:textId="2794D081" w:rsidR="007B0F36" w:rsidRPr="007B0F36" w:rsidRDefault="007C5DD9" w:rsidP="003B6117">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$18,211</w:t>
            </w:r>
          </w:p>
        </w:tc>
      </w:tr>
    </w:tbl>
    <w:p w14:paraId="287DE7DF" w14:textId="5BC31016" w:rsidR="009831D0" w:rsidRDefault="00781043">
      <w:pPr>
        <w:widowControl/>
        <w:tabs>
          <w:tab w:val="left" w:pos="-1080"/>
          <w:tab w:val="left" w:pos="-720"/>
          <w:tab w:val="left" w:pos="0"/>
          <w:tab w:val="left" w:pos="720"/>
          <w:tab w:val="left" w:pos="1080"/>
        </w:tabs>
        <w:rPr>
          <w:color w:val="000000"/>
        </w:rPr>
      </w:pPr>
      <w:r w:rsidRPr="00781043">
        <w:rPr>
          <w:rFonts w:ascii="Calibri" w:hAnsi="Calibri" w:cs="Calibri"/>
          <w:b/>
          <w:sz w:val="18"/>
          <w:szCs w:val="18"/>
          <w:vertAlign w:val="superscript"/>
        </w:rPr>
        <w:t>†</w:t>
      </w:r>
      <w:r w:rsidRPr="00781043">
        <w:rPr>
          <w:rFonts w:ascii="Calibri" w:hAnsi="Calibri" w:cs="Calibri"/>
          <w:sz w:val="18"/>
          <w:szCs w:val="18"/>
        </w:rPr>
        <w:t xml:space="preserve">Mean hourly wage. Occupation Code 45-0000 (Farming, Fishing, and Forestry Occupations), Sector 11 (Agriculture, Forestry, Fishing and Hunting). </w:t>
      </w:r>
      <w:hyperlink r:id="rId16" w:history="1">
        <w:r w:rsidRPr="00781043">
          <w:rPr>
            <w:rFonts w:ascii="Calibri" w:hAnsi="Calibri" w:cs="Calibri"/>
            <w:color w:val="0000FF"/>
            <w:sz w:val="18"/>
            <w:szCs w:val="18"/>
            <w:u w:val="single"/>
          </w:rPr>
          <w:t>May 2018 Occupational Employment Statistics Research Estimates, Alaska</w:t>
        </w:r>
      </w:hyperlink>
      <w:r w:rsidRPr="00781043">
        <w:rPr>
          <w:rFonts w:ascii="Calibri" w:hAnsi="Calibri" w:cs="Calibri"/>
          <w:sz w:val="18"/>
          <w:szCs w:val="18"/>
        </w:rPr>
        <w:t>.</w:t>
      </w:r>
    </w:p>
    <w:p w14:paraId="774AFAC4" w14:textId="1CFE3115" w:rsidR="00AE57F8" w:rsidRDefault="00AE57F8" w:rsidP="00C031EE">
      <w:pPr>
        <w:keepNext/>
        <w:keepLines/>
        <w:widowControl/>
        <w:tabs>
          <w:tab w:val="left" w:pos="-1080"/>
          <w:tab w:val="left" w:pos="-720"/>
          <w:tab w:val="left" w:pos="0"/>
          <w:tab w:val="left" w:pos="720"/>
          <w:tab w:val="left" w:pos="1080"/>
        </w:tabs>
      </w:pPr>
      <w:r>
        <w:rPr>
          <w:b/>
          <w:bCs/>
        </w:rPr>
        <w:t xml:space="preserve">13.  </w:t>
      </w:r>
      <w:r w:rsidR="007B0F36" w:rsidRPr="00064943">
        <w:rPr>
          <w:b/>
          <w:bCs/>
          <w:u w:val="single"/>
        </w:rPr>
        <w:t>Provide an estimate of the total annual cost burden to the respondents or record-keepers resulting from the collection (excluding the value of the burden hours in Question 12 above).</w:t>
      </w:r>
    </w:p>
    <w:p w14:paraId="1283202D" w14:textId="5E9E7508" w:rsidR="001D7850" w:rsidRPr="00285F8F" w:rsidRDefault="001D7850" w:rsidP="00C031EE">
      <w:pPr>
        <w:keepNext/>
        <w:keepLines/>
        <w:widowControl/>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  </w:t>
      </w:r>
    </w:p>
    <w:tbl>
      <w:tblPr>
        <w:tblW w:w="9980" w:type="dxa"/>
        <w:tblLook w:val="04A0" w:firstRow="1" w:lastRow="0" w:firstColumn="1" w:lastColumn="0" w:noHBand="0" w:noVBand="1"/>
      </w:tblPr>
      <w:tblGrid>
        <w:gridCol w:w="3329"/>
        <w:gridCol w:w="1188"/>
        <w:gridCol w:w="1161"/>
        <w:gridCol w:w="1292"/>
        <w:gridCol w:w="1757"/>
        <w:gridCol w:w="1253"/>
      </w:tblGrid>
      <w:tr w:rsidR="00B81C13" w:rsidRPr="00B81C13" w14:paraId="5F52403E" w14:textId="77777777" w:rsidTr="007D1685">
        <w:trPr>
          <w:trHeight w:val="690"/>
        </w:trPr>
        <w:tc>
          <w:tcPr>
            <w:tcW w:w="3329" w:type="dxa"/>
            <w:tcBorders>
              <w:top w:val="single" w:sz="8" w:space="0" w:color="auto"/>
              <w:left w:val="single" w:sz="8" w:space="0" w:color="auto"/>
              <w:bottom w:val="single" w:sz="8" w:space="0" w:color="auto"/>
              <w:right w:val="single" w:sz="8" w:space="0" w:color="auto"/>
            </w:tcBorders>
            <w:shd w:val="clear" w:color="auto" w:fill="5B9BD5"/>
            <w:vAlign w:val="center"/>
            <w:hideMark/>
          </w:tcPr>
          <w:p w14:paraId="2DEBDF90" w14:textId="77777777" w:rsidR="00B81C13" w:rsidRPr="00B81C13" w:rsidRDefault="00B81C13" w:rsidP="00C031EE">
            <w:pPr>
              <w:keepNext/>
              <w:keepLines/>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Information Collection</w:t>
            </w:r>
          </w:p>
        </w:tc>
        <w:tc>
          <w:tcPr>
            <w:tcW w:w="1188" w:type="dxa"/>
            <w:tcBorders>
              <w:top w:val="single" w:sz="8" w:space="0" w:color="auto"/>
              <w:left w:val="nil"/>
              <w:bottom w:val="single" w:sz="8" w:space="0" w:color="auto"/>
              <w:right w:val="single" w:sz="8" w:space="0" w:color="auto"/>
            </w:tcBorders>
            <w:shd w:val="clear" w:color="auto" w:fill="5B9BD5"/>
            <w:vAlign w:val="center"/>
            <w:hideMark/>
          </w:tcPr>
          <w:p w14:paraId="36816A44" w14:textId="77777777" w:rsidR="00B81C13" w:rsidRDefault="00B81C13" w:rsidP="00C031EE">
            <w:pPr>
              <w:keepNext/>
              <w:keepLines/>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 of Respondents</w:t>
            </w:r>
          </w:p>
          <w:p w14:paraId="4CEC683C" w14:textId="009B7D44" w:rsidR="00A4739D" w:rsidRPr="00B81C13" w:rsidRDefault="00A4739D" w:rsidP="00C031EE">
            <w:pPr>
              <w:keepNext/>
              <w:keepLines/>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61" w:type="dxa"/>
            <w:tcBorders>
              <w:top w:val="single" w:sz="8" w:space="0" w:color="auto"/>
              <w:left w:val="nil"/>
              <w:bottom w:val="single" w:sz="8" w:space="0" w:color="auto"/>
              <w:right w:val="single" w:sz="8" w:space="0" w:color="auto"/>
            </w:tcBorders>
            <w:shd w:val="clear" w:color="auto" w:fill="5B9BD5"/>
            <w:vAlign w:val="center"/>
            <w:hideMark/>
          </w:tcPr>
          <w:p w14:paraId="695C6AEF" w14:textId="77777777" w:rsidR="00B81C13" w:rsidRDefault="00B81C13" w:rsidP="00C031EE">
            <w:pPr>
              <w:keepNext/>
              <w:keepLines/>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Annual # of Responses / Respondent</w:t>
            </w:r>
          </w:p>
          <w:p w14:paraId="2467A63B" w14:textId="02D04B83" w:rsidR="00A4739D" w:rsidRPr="00B81C13" w:rsidRDefault="00A4739D" w:rsidP="00C031EE">
            <w:pPr>
              <w:keepNext/>
              <w:keepLines/>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92" w:type="dxa"/>
            <w:tcBorders>
              <w:top w:val="single" w:sz="8" w:space="0" w:color="auto"/>
              <w:left w:val="nil"/>
              <w:bottom w:val="single" w:sz="8" w:space="0" w:color="auto"/>
              <w:right w:val="single" w:sz="8" w:space="0" w:color="auto"/>
            </w:tcBorders>
            <w:shd w:val="clear" w:color="auto" w:fill="5B9BD5"/>
            <w:vAlign w:val="center"/>
            <w:hideMark/>
          </w:tcPr>
          <w:p w14:paraId="1ACDAB61" w14:textId="77777777" w:rsidR="00B81C13" w:rsidRDefault="00B81C13" w:rsidP="00C031EE">
            <w:pPr>
              <w:keepNext/>
              <w:keepLines/>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 xml:space="preserve"> Total # of Annual Responses</w:t>
            </w:r>
          </w:p>
          <w:p w14:paraId="3760F682" w14:textId="7F765232" w:rsidR="00A4739D" w:rsidRPr="00B81C13" w:rsidRDefault="00A4739D" w:rsidP="00C031EE">
            <w:pPr>
              <w:keepNext/>
              <w:keepLines/>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757" w:type="dxa"/>
            <w:tcBorders>
              <w:top w:val="single" w:sz="8" w:space="0" w:color="auto"/>
              <w:left w:val="nil"/>
              <w:bottom w:val="single" w:sz="8" w:space="0" w:color="auto"/>
              <w:right w:val="single" w:sz="8" w:space="0" w:color="auto"/>
            </w:tcBorders>
            <w:shd w:val="clear" w:color="auto" w:fill="5B9BD5"/>
            <w:vAlign w:val="center"/>
            <w:hideMark/>
          </w:tcPr>
          <w:p w14:paraId="6043C972" w14:textId="77777777" w:rsidR="00B81C13" w:rsidRDefault="00B81C13" w:rsidP="00C031EE">
            <w:pPr>
              <w:keepNext/>
              <w:keepLines/>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Cost Burden / Respondent</w:t>
            </w:r>
            <w:r w:rsidR="00640A69">
              <w:rPr>
                <w:rFonts w:ascii="Calibri" w:hAnsi="Calibri" w:cs="Calibri"/>
                <w:b/>
                <w:bCs/>
                <w:color w:val="000000"/>
                <w:sz w:val="18"/>
                <w:szCs w:val="18"/>
              </w:rPr>
              <w:t>*</w:t>
            </w:r>
          </w:p>
          <w:p w14:paraId="1DDDA13C" w14:textId="3B957595" w:rsidR="00A4739D" w:rsidRPr="00B81C13" w:rsidRDefault="00A4739D" w:rsidP="00C031EE">
            <w:pPr>
              <w:keepNext/>
              <w:keepLines/>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253" w:type="dxa"/>
            <w:tcBorders>
              <w:top w:val="single" w:sz="8" w:space="0" w:color="auto"/>
              <w:left w:val="nil"/>
              <w:bottom w:val="single" w:sz="8" w:space="0" w:color="auto"/>
              <w:right w:val="single" w:sz="8" w:space="0" w:color="auto"/>
            </w:tcBorders>
            <w:shd w:val="clear" w:color="auto" w:fill="5B9BD5"/>
            <w:vAlign w:val="center"/>
            <w:hideMark/>
          </w:tcPr>
          <w:p w14:paraId="0BD2345C" w14:textId="77777777" w:rsidR="00B81C13" w:rsidRDefault="00B81C13" w:rsidP="00C031EE">
            <w:pPr>
              <w:keepNext/>
              <w:keepLines/>
              <w:widowControl/>
              <w:autoSpaceDE/>
              <w:autoSpaceDN/>
              <w:adjustRightInd/>
              <w:jc w:val="center"/>
              <w:rPr>
                <w:rFonts w:ascii="Calibri" w:hAnsi="Calibri" w:cs="Calibri"/>
                <w:b/>
                <w:bCs/>
                <w:color w:val="000000"/>
                <w:sz w:val="18"/>
                <w:szCs w:val="18"/>
              </w:rPr>
            </w:pPr>
            <w:r w:rsidRPr="00B81C13">
              <w:rPr>
                <w:rFonts w:ascii="Calibri" w:hAnsi="Calibri" w:cs="Calibri"/>
                <w:b/>
                <w:bCs/>
                <w:color w:val="000000"/>
                <w:sz w:val="18"/>
                <w:szCs w:val="18"/>
              </w:rPr>
              <w:t>Total Annual Cost Burden</w:t>
            </w:r>
          </w:p>
          <w:p w14:paraId="5A7F43A0" w14:textId="10604F74" w:rsidR="00A4739D" w:rsidRPr="00B81C13" w:rsidRDefault="00A4739D" w:rsidP="00C031EE">
            <w:pPr>
              <w:keepNext/>
              <w:keepLines/>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(i)=(c) x (h) </w:t>
            </w:r>
          </w:p>
        </w:tc>
      </w:tr>
      <w:tr w:rsidR="0011404A" w:rsidRPr="00B81C13" w14:paraId="5D749A32" w14:textId="77777777" w:rsidTr="0011404A">
        <w:trPr>
          <w:trHeight w:val="300"/>
        </w:trPr>
        <w:tc>
          <w:tcPr>
            <w:tcW w:w="3329" w:type="dxa"/>
            <w:tcBorders>
              <w:top w:val="nil"/>
              <w:left w:val="single" w:sz="8" w:space="0" w:color="auto"/>
              <w:bottom w:val="single" w:sz="4" w:space="0" w:color="auto"/>
              <w:right w:val="single" w:sz="4" w:space="0" w:color="auto"/>
            </w:tcBorders>
            <w:shd w:val="clear" w:color="auto" w:fill="auto"/>
            <w:vAlign w:val="center"/>
            <w:hideMark/>
          </w:tcPr>
          <w:p w14:paraId="717772AC" w14:textId="4D428EA9" w:rsidR="0011404A" w:rsidRPr="00B81C13" w:rsidRDefault="0011404A" w:rsidP="0011404A">
            <w:pPr>
              <w:keepNext/>
              <w:keepLines/>
              <w:widowControl/>
              <w:autoSpaceDE/>
              <w:autoSpaceDN/>
              <w:adjustRightInd/>
              <w:rPr>
                <w:rFonts w:ascii="Calibri" w:hAnsi="Calibri" w:cs="Calibri"/>
                <w:color w:val="000000"/>
                <w:sz w:val="16"/>
                <w:szCs w:val="16"/>
              </w:rPr>
            </w:pPr>
            <w:r w:rsidRPr="00673122">
              <w:rPr>
                <w:rFonts w:asciiTheme="minorHAnsi" w:hAnsiTheme="minorHAnsi" w:cstheme="minorHAnsi"/>
                <w:sz w:val="16"/>
                <w:szCs w:val="16"/>
              </w:rPr>
              <w:t>Application for AFA Permit: Rebuilt, Replaced, or Removed Vessel</w:t>
            </w:r>
          </w:p>
        </w:tc>
        <w:tc>
          <w:tcPr>
            <w:tcW w:w="1188" w:type="dxa"/>
            <w:tcBorders>
              <w:top w:val="nil"/>
              <w:left w:val="nil"/>
              <w:bottom w:val="single" w:sz="4" w:space="0" w:color="auto"/>
              <w:right w:val="single" w:sz="4" w:space="0" w:color="auto"/>
            </w:tcBorders>
            <w:shd w:val="clear" w:color="000000" w:fill="FFFFFF"/>
            <w:vAlign w:val="center"/>
            <w:hideMark/>
          </w:tcPr>
          <w:p w14:paraId="0E771CC2" w14:textId="1930F466" w:rsidR="0011404A" w:rsidRPr="0011404A" w:rsidRDefault="0011404A" w:rsidP="0011404A">
            <w:pPr>
              <w:keepNext/>
              <w:keepLines/>
              <w:widowControl/>
              <w:autoSpaceDE/>
              <w:autoSpaceDN/>
              <w:adjustRightInd/>
              <w:jc w:val="right"/>
              <w:rPr>
                <w:rFonts w:asciiTheme="minorHAnsi" w:hAnsiTheme="minorHAnsi" w:cstheme="minorHAnsi"/>
                <w:color w:val="000000"/>
                <w:sz w:val="16"/>
                <w:szCs w:val="16"/>
              </w:rPr>
            </w:pPr>
            <w:r w:rsidRPr="0011404A">
              <w:rPr>
                <w:rFonts w:asciiTheme="minorHAnsi" w:hAnsiTheme="minorHAnsi" w:cstheme="minorHAnsi"/>
                <w:sz w:val="16"/>
                <w:szCs w:val="16"/>
              </w:rPr>
              <w:t>12</w:t>
            </w:r>
          </w:p>
        </w:tc>
        <w:tc>
          <w:tcPr>
            <w:tcW w:w="1161" w:type="dxa"/>
            <w:tcBorders>
              <w:top w:val="nil"/>
              <w:left w:val="nil"/>
              <w:bottom w:val="single" w:sz="4" w:space="0" w:color="auto"/>
              <w:right w:val="single" w:sz="4" w:space="0" w:color="auto"/>
            </w:tcBorders>
            <w:shd w:val="clear" w:color="000000" w:fill="FFFFFF"/>
            <w:vAlign w:val="center"/>
            <w:hideMark/>
          </w:tcPr>
          <w:p w14:paraId="0A970417" w14:textId="485E1FA7" w:rsidR="0011404A" w:rsidRPr="0011404A" w:rsidRDefault="0011404A" w:rsidP="0011404A">
            <w:pPr>
              <w:keepNext/>
              <w:keepLines/>
              <w:widowControl/>
              <w:autoSpaceDE/>
              <w:autoSpaceDN/>
              <w:adjustRightInd/>
              <w:jc w:val="right"/>
              <w:rPr>
                <w:rFonts w:asciiTheme="minorHAnsi" w:hAnsiTheme="minorHAnsi" w:cstheme="minorHAnsi"/>
                <w:color w:val="000000"/>
                <w:sz w:val="16"/>
                <w:szCs w:val="16"/>
              </w:rPr>
            </w:pPr>
            <w:r w:rsidRPr="0011404A">
              <w:rPr>
                <w:rFonts w:asciiTheme="minorHAnsi" w:hAnsiTheme="minorHAnsi" w:cstheme="minorHAnsi"/>
                <w:sz w:val="16"/>
                <w:szCs w:val="16"/>
              </w:rPr>
              <w:t>1</w:t>
            </w:r>
          </w:p>
        </w:tc>
        <w:tc>
          <w:tcPr>
            <w:tcW w:w="1292" w:type="dxa"/>
            <w:tcBorders>
              <w:top w:val="nil"/>
              <w:left w:val="nil"/>
              <w:bottom w:val="single" w:sz="4" w:space="0" w:color="auto"/>
              <w:right w:val="single" w:sz="4" w:space="0" w:color="auto"/>
            </w:tcBorders>
            <w:shd w:val="clear" w:color="000000" w:fill="FFFFFF"/>
            <w:vAlign w:val="center"/>
            <w:hideMark/>
          </w:tcPr>
          <w:p w14:paraId="5E849004" w14:textId="41C05EA1" w:rsidR="0011404A" w:rsidRPr="0011404A" w:rsidRDefault="0011404A" w:rsidP="0011404A">
            <w:pPr>
              <w:keepNext/>
              <w:keepLines/>
              <w:widowControl/>
              <w:autoSpaceDE/>
              <w:autoSpaceDN/>
              <w:adjustRightInd/>
              <w:jc w:val="right"/>
              <w:rPr>
                <w:rFonts w:asciiTheme="minorHAnsi" w:hAnsiTheme="minorHAnsi" w:cstheme="minorHAnsi"/>
                <w:color w:val="000000"/>
                <w:sz w:val="16"/>
                <w:szCs w:val="16"/>
              </w:rPr>
            </w:pPr>
            <w:r w:rsidRPr="0011404A">
              <w:rPr>
                <w:rFonts w:asciiTheme="minorHAnsi" w:hAnsiTheme="minorHAnsi" w:cstheme="minorHAnsi"/>
                <w:sz w:val="16"/>
                <w:szCs w:val="16"/>
              </w:rPr>
              <w:t>12</w:t>
            </w:r>
          </w:p>
        </w:tc>
        <w:tc>
          <w:tcPr>
            <w:tcW w:w="1757" w:type="dxa"/>
            <w:tcBorders>
              <w:top w:val="nil"/>
              <w:left w:val="nil"/>
              <w:bottom w:val="single" w:sz="4" w:space="0" w:color="auto"/>
              <w:right w:val="single" w:sz="4" w:space="0" w:color="auto"/>
            </w:tcBorders>
            <w:shd w:val="clear" w:color="000000" w:fill="FFFFFF"/>
            <w:vAlign w:val="center"/>
            <w:hideMark/>
          </w:tcPr>
          <w:p w14:paraId="1E95C2FF" w14:textId="0092A7DB" w:rsidR="0011404A" w:rsidRPr="00B81C13" w:rsidRDefault="0011404A" w:rsidP="0011404A">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Operating costs - </w:t>
            </w:r>
            <w:r w:rsidRPr="000C018F">
              <w:rPr>
                <w:rFonts w:ascii="Calibri" w:hAnsi="Calibri" w:cs="Calibri"/>
                <w:color w:val="000000"/>
                <w:sz w:val="16"/>
                <w:szCs w:val="16"/>
              </w:rPr>
              <w:t>$5</w:t>
            </w:r>
            <w:r w:rsidRPr="00B81C13">
              <w:rPr>
                <w:rFonts w:ascii="Calibri" w:hAnsi="Calibri" w:cs="Calibri"/>
                <w:color w:val="000000"/>
                <w:sz w:val="16"/>
                <w:szCs w:val="16"/>
              </w:rPr>
              <w:t> </w:t>
            </w:r>
          </w:p>
        </w:tc>
        <w:tc>
          <w:tcPr>
            <w:tcW w:w="1253" w:type="dxa"/>
            <w:tcBorders>
              <w:top w:val="nil"/>
              <w:left w:val="nil"/>
              <w:bottom w:val="single" w:sz="4" w:space="0" w:color="auto"/>
              <w:right w:val="single" w:sz="8" w:space="0" w:color="auto"/>
            </w:tcBorders>
            <w:shd w:val="clear" w:color="000000" w:fill="FFFFFF"/>
            <w:vAlign w:val="center"/>
            <w:hideMark/>
          </w:tcPr>
          <w:p w14:paraId="7266666F" w14:textId="78F36361" w:rsidR="0011404A" w:rsidRPr="00B81C13" w:rsidRDefault="00BD1158" w:rsidP="0011404A">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C1939">
              <w:rPr>
                <w:rFonts w:ascii="Calibri" w:hAnsi="Calibri" w:cs="Calibri"/>
                <w:color w:val="000000"/>
                <w:sz w:val="16"/>
                <w:szCs w:val="16"/>
              </w:rPr>
              <w:t>60</w:t>
            </w:r>
            <w:r w:rsidR="0011404A" w:rsidRPr="00B81C13">
              <w:rPr>
                <w:rFonts w:ascii="Calibri" w:hAnsi="Calibri" w:cs="Calibri"/>
                <w:color w:val="000000"/>
                <w:sz w:val="16"/>
                <w:szCs w:val="16"/>
              </w:rPr>
              <w:t> </w:t>
            </w:r>
          </w:p>
        </w:tc>
      </w:tr>
      <w:tr w:rsidR="0011404A" w:rsidRPr="00B81C13" w14:paraId="0451C68E" w14:textId="77777777" w:rsidTr="0011404A">
        <w:trPr>
          <w:trHeight w:val="300"/>
        </w:trPr>
        <w:tc>
          <w:tcPr>
            <w:tcW w:w="3329" w:type="dxa"/>
            <w:tcBorders>
              <w:top w:val="nil"/>
              <w:left w:val="single" w:sz="8" w:space="0" w:color="auto"/>
              <w:bottom w:val="single" w:sz="4" w:space="0" w:color="auto"/>
              <w:right w:val="single" w:sz="4" w:space="0" w:color="auto"/>
            </w:tcBorders>
            <w:shd w:val="clear" w:color="auto" w:fill="auto"/>
            <w:vAlign w:val="center"/>
          </w:tcPr>
          <w:p w14:paraId="5D4C6354" w14:textId="0D67D106" w:rsidR="0011404A" w:rsidRPr="00B81C13" w:rsidRDefault="0011404A" w:rsidP="0011404A">
            <w:pPr>
              <w:keepNext/>
              <w:keepLines/>
              <w:widowControl/>
              <w:autoSpaceDE/>
              <w:autoSpaceDN/>
              <w:adjustRightInd/>
              <w:rPr>
                <w:rFonts w:ascii="Calibri" w:hAnsi="Calibri" w:cs="Calibri"/>
                <w:color w:val="000000"/>
                <w:sz w:val="16"/>
                <w:szCs w:val="16"/>
              </w:rPr>
            </w:pPr>
            <w:r w:rsidRPr="00673122">
              <w:rPr>
                <w:rFonts w:asciiTheme="minorHAnsi" w:hAnsiTheme="minorHAnsi" w:cstheme="minorHAnsi"/>
                <w:sz w:val="16"/>
                <w:szCs w:val="16"/>
              </w:rPr>
              <w:t>Application for American Fisheries Act  Inshore Cooperative Permit</w:t>
            </w:r>
          </w:p>
        </w:tc>
        <w:tc>
          <w:tcPr>
            <w:tcW w:w="1188" w:type="dxa"/>
            <w:tcBorders>
              <w:top w:val="nil"/>
              <w:left w:val="nil"/>
              <w:bottom w:val="single" w:sz="4" w:space="0" w:color="auto"/>
              <w:right w:val="single" w:sz="4" w:space="0" w:color="auto"/>
            </w:tcBorders>
            <w:shd w:val="clear" w:color="000000" w:fill="FFFFFF"/>
            <w:vAlign w:val="center"/>
          </w:tcPr>
          <w:p w14:paraId="568B6E52" w14:textId="2715DADC" w:rsidR="0011404A" w:rsidRPr="0011404A" w:rsidRDefault="0011404A" w:rsidP="0011404A">
            <w:pPr>
              <w:keepNext/>
              <w:keepLines/>
              <w:widowControl/>
              <w:autoSpaceDE/>
              <w:autoSpaceDN/>
              <w:adjustRightInd/>
              <w:jc w:val="right"/>
              <w:rPr>
                <w:rFonts w:asciiTheme="minorHAnsi" w:hAnsiTheme="minorHAnsi" w:cstheme="minorHAnsi"/>
                <w:color w:val="000000"/>
                <w:sz w:val="16"/>
                <w:szCs w:val="16"/>
              </w:rPr>
            </w:pPr>
            <w:r w:rsidRPr="0011404A">
              <w:rPr>
                <w:rFonts w:asciiTheme="minorHAnsi" w:hAnsiTheme="minorHAnsi" w:cstheme="minorHAnsi"/>
                <w:sz w:val="16"/>
                <w:szCs w:val="16"/>
              </w:rPr>
              <w:t xml:space="preserve"> 21</w:t>
            </w:r>
          </w:p>
        </w:tc>
        <w:tc>
          <w:tcPr>
            <w:tcW w:w="1161" w:type="dxa"/>
            <w:tcBorders>
              <w:top w:val="nil"/>
              <w:left w:val="nil"/>
              <w:bottom w:val="single" w:sz="4" w:space="0" w:color="auto"/>
              <w:right w:val="single" w:sz="4" w:space="0" w:color="auto"/>
            </w:tcBorders>
            <w:shd w:val="clear" w:color="000000" w:fill="FFFFFF"/>
            <w:vAlign w:val="center"/>
          </w:tcPr>
          <w:p w14:paraId="3E1433B4" w14:textId="0C79EF16" w:rsidR="0011404A" w:rsidRPr="0011404A" w:rsidRDefault="0011404A" w:rsidP="0011404A">
            <w:pPr>
              <w:keepNext/>
              <w:keepLines/>
              <w:widowControl/>
              <w:autoSpaceDE/>
              <w:autoSpaceDN/>
              <w:adjustRightInd/>
              <w:jc w:val="right"/>
              <w:rPr>
                <w:rFonts w:asciiTheme="minorHAnsi" w:hAnsiTheme="minorHAnsi" w:cstheme="minorHAnsi"/>
                <w:color w:val="000000"/>
                <w:sz w:val="16"/>
                <w:szCs w:val="16"/>
              </w:rPr>
            </w:pPr>
            <w:r w:rsidRPr="0011404A">
              <w:rPr>
                <w:rFonts w:asciiTheme="minorHAnsi" w:hAnsiTheme="minorHAnsi" w:cstheme="minorHAnsi"/>
                <w:sz w:val="16"/>
                <w:szCs w:val="16"/>
              </w:rPr>
              <w:t xml:space="preserve">1 </w:t>
            </w:r>
          </w:p>
        </w:tc>
        <w:tc>
          <w:tcPr>
            <w:tcW w:w="1292" w:type="dxa"/>
            <w:tcBorders>
              <w:top w:val="nil"/>
              <w:left w:val="nil"/>
              <w:bottom w:val="single" w:sz="4" w:space="0" w:color="auto"/>
              <w:right w:val="single" w:sz="4" w:space="0" w:color="auto"/>
            </w:tcBorders>
            <w:shd w:val="clear" w:color="000000" w:fill="FFFFFF"/>
            <w:vAlign w:val="center"/>
          </w:tcPr>
          <w:p w14:paraId="28105A28" w14:textId="3CD5C535" w:rsidR="0011404A" w:rsidRPr="0011404A" w:rsidRDefault="0011404A" w:rsidP="0011404A">
            <w:pPr>
              <w:keepNext/>
              <w:keepLines/>
              <w:widowControl/>
              <w:autoSpaceDE/>
              <w:autoSpaceDN/>
              <w:adjustRightInd/>
              <w:jc w:val="right"/>
              <w:rPr>
                <w:rFonts w:asciiTheme="minorHAnsi" w:hAnsiTheme="minorHAnsi" w:cstheme="minorHAnsi"/>
                <w:color w:val="000000"/>
                <w:sz w:val="16"/>
                <w:szCs w:val="16"/>
              </w:rPr>
            </w:pPr>
            <w:r w:rsidRPr="0011404A">
              <w:rPr>
                <w:rFonts w:asciiTheme="minorHAnsi" w:hAnsiTheme="minorHAnsi" w:cstheme="minorHAnsi"/>
                <w:sz w:val="16"/>
                <w:szCs w:val="16"/>
              </w:rPr>
              <w:t xml:space="preserve">21 </w:t>
            </w:r>
          </w:p>
        </w:tc>
        <w:tc>
          <w:tcPr>
            <w:tcW w:w="1757" w:type="dxa"/>
            <w:tcBorders>
              <w:top w:val="nil"/>
              <w:left w:val="nil"/>
              <w:bottom w:val="single" w:sz="4" w:space="0" w:color="auto"/>
              <w:right w:val="single" w:sz="4" w:space="0" w:color="auto"/>
            </w:tcBorders>
            <w:shd w:val="clear" w:color="000000" w:fill="FFFFFF"/>
            <w:vAlign w:val="center"/>
          </w:tcPr>
          <w:p w14:paraId="165F7B3D" w14:textId="375AF9D1" w:rsidR="0011404A" w:rsidRPr="00B81C13" w:rsidRDefault="0011404A" w:rsidP="0011404A">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Operating costs - $5</w:t>
            </w:r>
          </w:p>
        </w:tc>
        <w:tc>
          <w:tcPr>
            <w:tcW w:w="1253" w:type="dxa"/>
            <w:tcBorders>
              <w:top w:val="nil"/>
              <w:left w:val="nil"/>
              <w:bottom w:val="single" w:sz="4" w:space="0" w:color="auto"/>
              <w:right w:val="single" w:sz="8" w:space="0" w:color="auto"/>
            </w:tcBorders>
            <w:shd w:val="clear" w:color="000000" w:fill="FFFFFF"/>
            <w:vAlign w:val="center"/>
          </w:tcPr>
          <w:p w14:paraId="68078A4E" w14:textId="137F387B" w:rsidR="0011404A" w:rsidRPr="00B81C13" w:rsidRDefault="00BD1158" w:rsidP="0011404A">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C1939">
              <w:rPr>
                <w:rFonts w:ascii="Calibri" w:hAnsi="Calibri" w:cs="Calibri"/>
                <w:color w:val="000000"/>
                <w:sz w:val="16"/>
                <w:szCs w:val="16"/>
              </w:rPr>
              <w:t>105</w:t>
            </w:r>
          </w:p>
        </w:tc>
      </w:tr>
      <w:tr w:rsidR="0011404A" w:rsidRPr="00B81C13" w14:paraId="69D8B4C5" w14:textId="77777777" w:rsidTr="0011404A">
        <w:trPr>
          <w:trHeight w:val="300"/>
        </w:trPr>
        <w:tc>
          <w:tcPr>
            <w:tcW w:w="3329" w:type="dxa"/>
            <w:tcBorders>
              <w:top w:val="nil"/>
              <w:left w:val="single" w:sz="8" w:space="0" w:color="auto"/>
              <w:bottom w:val="single" w:sz="4" w:space="0" w:color="auto"/>
              <w:right w:val="single" w:sz="4" w:space="0" w:color="auto"/>
            </w:tcBorders>
            <w:shd w:val="clear" w:color="auto" w:fill="auto"/>
            <w:vAlign w:val="center"/>
          </w:tcPr>
          <w:p w14:paraId="503ADE7F" w14:textId="62CA8EAC" w:rsidR="0011404A" w:rsidRPr="00B81C13" w:rsidRDefault="0011404A" w:rsidP="0011404A">
            <w:pPr>
              <w:keepNext/>
              <w:keepLines/>
              <w:widowControl/>
              <w:autoSpaceDE/>
              <w:autoSpaceDN/>
              <w:adjustRightInd/>
              <w:rPr>
                <w:rFonts w:ascii="Calibri" w:hAnsi="Calibri" w:cs="Calibri"/>
                <w:color w:val="000000"/>
                <w:sz w:val="16"/>
                <w:szCs w:val="16"/>
              </w:rPr>
            </w:pPr>
            <w:r w:rsidRPr="00673122">
              <w:rPr>
                <w:rFonts w:asciiTheme="minorHAnsi" w:hAnsiTheme="minorHAnsi" w:cstheme="minorHAnsi"/>
                <w:sz w:val="16"/>
                <w:szCs w:val="16"/>
              </w:rPr>
              <w:t>AFA Inshore Vessel Contract Fishing Notification</w:t>
            </w:r>
          </w:p>
        </w:tc>
        <w:tc>
          <w:tcPr>
            <w:tcW w:w="1188" w:type="dxa"/>
            <w:tcBorders>
              <w:top w:val="nil"/>
              <w:left w:val="nil"/>
              <w:bottom w:val="single" w:sz="4" w:space="0" w:color="auto"/>
              <w:right w:val="single" w:sz="4" w:space="0" w:color="auto"/>
            </w:tcBorders>
            <w:shd w:val="clear" w:color="000000" w:fill="FFFFFF"/>
            <w:vAlign w:val="center"/>
          </w:tcPr>
          <w:p w14:paraId="7D768EB7" w14:textId="6FFB4E27" w:rsidR="0011404A" w:rsidRPr="0011404A" w:rsidRDefault="0011404A" w:rsidP="0011404A">
            <w:pPr>
              <w:keepNext/>
              <w:keepLines/>
              <w:widowControl/>
              <w:autoSpaceDE/>
              <w:autoSpaceDN/>
              <w:adjustRightInd/>
              <w:jc w:val="right"/>
              <w:rPr>
                <w:rFonts w:asciiTheme="minorHAnsi" w:hAnsiTheme="minorHAnsi" w:cstheme="minorHAnsi"/>
                <w:color w:val="000000"/>
                <w:sz w:val="16"/>
                <w:szCs w:val="16"/>
              </w:rPr>
            </w:pPr>
            <w:r w:rsidRPr="0011404A">
              <w:rPr>
                <w:rFonts w:asciiTheme="minorHAnsi" w:hAnsiTheme="minorHAnsi" w:cstheme="minorHAnsi"/>
                <w:sz w:val="16"/>
                <w:szCs w:val="16"/>
              </w:rPr>
              <w:t>44</w:t>
            </w:r>
          </w:p>
        </w:tc>
        <w:tc>
          <w:tcPr>
            <w:tcW w:w="1161" w:type="dxa"/>
            <w:tcBorders>
              <w:top w:val="nil"/>
              <w:left w:val="nil"/>
              <w:bottom w:val="single" w:sz="4" w:space="0" w:color="auto"/>
              <w:right w:val="single" w:sz="4" w:space="0" w:color="auto"/>
            </w:tcBorders>
            <w:shd w:val="clear" w:color="000000" w:fill="FFFFFF"/>
            <w:vAlign w:val="center"/>
          </w:tcPr>
          <w:p w14:paraId="484E07DA" w14:textId="16F22E73" w:rsidR="0011404A" w:rsidRPr="0011404A" w:rsidRDefault="0011404A" w:rsidP="0011404A">
            <w:pPr>
              <w:keepNext/>
              <w:keepLines/>
              <w:widowControl/>
              <w:autoSpaceDE/>
              <w:autoSpaceDN/>
              <w:adjustRightInd/>
              <w:jc w:val="right"/>
              <w:rPr>
                <w:rFonts w:asciiTheme="minorHAnsi" w:hAnsiTheme="minorHAnsi" w:cstheme="minorHAnsi"/>
                <w:color w:val="000000"/>
                <w:sz w:val="16"/>
                <w:szCs w:val="16"/>
              </w:rPr>
            </w:pPr>
            <w:r w:rsidRPr="0011404A">
              <w:rPr>
                <w:rFonts w:asciiTheme="minorHAnsi" w:hAnsiTheme="minorHAnsi" w:cstheme="minorHAnsi"/>
                <w:sz w:val="16"/>
                <w:szCs w:val="16"/>
              </w:rPr>
              <w:t>1</w:t>
            </w:r>
          </w:p>
        </w:tc>
        <w:tc>
          <w:tcPr>
            <w:tcW w:w="1292" w:type="dxa"/>
            <w:tcBorders>
              <w:top w:val="nil"/>
              <w:left w:val="nil"/>
              <w:bottom w:val="single" w:sz="4" w:space="0" w:color="auto"/>
              <w:right w:val="single" w:sz="4" w:space="0" w:color="auto"/>
            </w:tcBorders>
            <w:shd w:val="clear" w:color="000000" w:fill="FFFFFF"/>
            <w:vAlign w:val="center"/>
          </w:tcPr>
          <w:p w14:paraId="74901C52" w14:textId="63ECA40D" w:rsidR="0011404A" w:rsidRPr="0011404A" w:rsidRDefault="0011404A" w:rsidP="0011404A">
            <w:pPr>
              <w:keepNext/>
              <w:keepLines/>
              <w:widowControl/>
              <w:autoSpaceDE/>
              <w:autoSpaceDN/>
              <w:adjustRightInd/>
              <w:jc w:val="right"/>
              <w:rPr>
                <w:rFonts w:asciiTheme="minorHAnsi" w:hAnsiTheme="minorHAnsi" w:cstheme="minorHAnsi"/>
                <w:color w:val="000000"/>
                <w:sz w:val="16"/>
                <w:szCs w:val="16"/>
              </w:rPr>
            </w:pPr>
            <w:r w:rsidRPr="0011404A">
              <w:rPr>
                <w:rFonts w:asciiTheme="minorHAnsi" w:hAnsiTheme="minorHAnsi" w:cstheme="minorHAnsi"/>
                <w:sz w:val="16"/>
                <w:szCs w:val="16"/>
              </w:rPr>
              <w:t>44</w:t>
            </w:r>
          </w:p>
        </w:tc>
        <w:tc>
          <w:tcPr>
            <w:tcW w:w="1757" w:type="dxa"/>
            <w:tcBorders>
              <w:top w:val="nil"/>
              <w:left w:val="nil"/>
              <w:bottom w:val="single" w:sz="4" w:space="0" w:color="auto"/>
              <w:right w:val="single" w:sz="4" w:space="0" w:color="auto"/>
            </w:tcBorders>
            <w:shd w:val="clear" w:color="000000" w:fill="FFFFFF"/>
            <w:vAlign w:val="center"/>
          </w:tcPr>
          <w:p w14:paraId="579B65BB" w14:textId="3F6EA9D6" w:rsidR="0011404A" w:rsidRPr="00B81C13" w:rsidRDefault="0011404A" w:rsidP="0011404A">
            <w:pPr>
              <w:keepNext/>
              <w:keepLines/>
              <w:widowControl/>
              <w:autoSpaceDE/>
              <w:autoSpaceDN/>
              <w:adjustRightInd/>
              <w:jc w:val="right"/>
              <w:rPr>
                <w:rFonts w:ascii="Calibri" w:hAnsi="Calibri" w:cs="Calibri"/>
                <w:color w:val="000000"/>
                <w:sz w:val="16"/>
                <w:szCs w:val="16"/>
              </w:rPr>
            </w:pPr>
            <w:r w:rsidRPr="007D1685">
              <w:rPr>
                <w:rFonts w:ascii="Calibri" w:hAnsi="Calibri" w:cs="Calibri"/>
                <w:color w:val="000000"/>
                <w:sz w:val="16"/>
                <w:szCs w:val="16"/>
              </w:rPr>
              <w:t>Operating costs - $5</w:t>
            </w:r>
          </w:p>
        </w:tc>
        <w:tc>
          <w:tcPr>
            <w:tcW w:w="1253" w:type="dxa"/>
            <w:tcBorders>
              <w:top w:val="nil"/>
              <w:left w:val="nil"/>
              <w:bottom w:val="single" w:sz="4" w:space="0" w:color="auto"/>
              <w:right w:val="single" w:sz="8" w:space="0" w:color="auto"/>
            </w:tcBorders>
            <w:shd w:val="clear" w:color="000000" w:fill="FFFFFF"/>
            <w:vAlign w:val="center"/>
          </w:tcPr>
          <w:p w14:paraId="7F9A9F28" w14:textId="749B0984" w:rsidR="0011404A" w:rsidRPr="00B81C13" w:rsidRDefault="00BD1158" w:rsidP="0011404A">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C1939">
              <w:rPr>
                <w:rFonts w:ascii="Calibri" w:hAnsi="Calibri" w:cs="Calibri"/>
                <w:color w:val="000000"/>
                <w:sz w:val="16"/>
                <w:szCs w:val="16"/>
              </w:rPr>
              <w:t>220</w:t>
            </w:r>
          </w:p>
        </w:tc>
      </w:tr>
      <w:tr w:rsidR="007D1685" w:rsidRPr="00B81C13" w14:paraId="2312C5F1" w14:textId="77777777" w:rsidTr="007D1685">
        <w:trPr>
          <w:trHeight w:val="300"/>
        </w:trPr>
        <w:tc>
          <w:tcPr>
            <w:tcW w:w="3329" w:type="dxa"/>
            <w:tcBorders>
              <w:top w:val="nil"/>
              <w:left w:val="single" w:sz="8" w:space="0" w:color="auto"/>
              <w:bottom w:val="single" w:sz="4" w:space="0" w:color="auto"/>
              <w:right w:val="single" w:sz="4" w:space="0" w:color="auto"/>
            </w:tcBorders>
            <w:shd w:val="clear" w:color="auto" w:fill="auto"/>
            <w:vAlign w:val="center"/>
          </w:tcPr>
          <w:p w14:paraId="399BD17E" w14:textId="0FD03EDE" w:rsidR="007D1685" w:rsidRPr="00B81C13" w:rsidRDefault="007D1685" w:rsidP="007D1685">
            <w:pPr>
              <w:keepNext/>
              <w:keepLines/>
              <w:widowControl/>
              <w:autoSpaceDE/>
              <w:autoSpaceDN/>
              <w:adjustRightInd/>
              <w:rPr>
                <w:rFonts w:ascii="Calibri" w:hAnsi="Calibri" w:cs="Calibri"/>
                <w:color w:val="000000"/>
                <w:sz w:val="16"/>
                <w:szCs w:val="16"/>
              </w:rPr>
            </w:pPr>
            <w:r w:rsidRPr="00673122">
              <w:rPr>
                <w:rFonts w:asciiTheme="minorHAnsi" w:hAnsiTheme="minorHAnsi" w:cstheme="minorHAnsi"/>
                <w:sz w:val="16"/>
                <w:szCs w:val="16"/>
              </w:rPr>
              <w:t xml:space="preserve">Application for Approval as an Entity to Receive Transferable Chinook Salmon PSC Allocation  </w:t>
            </w:r>
          </w:p>
        </w:tc>
        <w:tc>
          <w:tcPr>
            <w:tcW w:w="1188" w:type="dxa"/>
            <w:tcBorders>
              <w:top w:val="nil"/>
              <w:left w:val="nil"/>
              <w:bottom w:val="single" w:sz="4" w:space="0" w:color="auto"/>
              <w:right w:val="single" w:sz="4" w:space="0" w:color="auto"/>
            </w:tcBorders>
            <w:shd w:val="clear" w:color="000000" w:fill="FFFFFF"/>
            <w:vAlign w:val="center"/>
          </w:tcPr>
          <w:p w14:paraId="29C0A624" w14:textId="44828164" w:rsidR="007D1685" w:rsidRPr="00B81C13" w:rsidRDefault="007D1685" w:rsidP="007D1685">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61" w:type="dxa"/>
            <w:tcBorders>
              <w:top w:val="nil"/>
              <w:left w:val="nil"/>
              <w:bottom w:val="single" w:sz="4" w:space="0" w:color="auto"/>
              <w:right w:val="single" w:sz="4" w:space="0" w:color="auto"/>
            </w:tcBorders>
            <w:shd w:val="clear" w:color="000000" w:fill="FFFFFF"/>
            <w:vAlign w:val="center"/>
          </w:tcPr>
          <w:p w14:paraId="5EB284F9" w14:textId="5DAAC06E" w:rsidR="007D1685" w:rsidRPr="00B81C13" w:rsidRDefault="007D1685" w:rsidP="007D1685">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92" w:type="dxa"/>
            <w:tcBorders>
              <w:top w:val="nil"/>
              <w:left w:val="nil"/>
              <w:bottom w:val="single" w:sz="4" w:space="0" w:color="auto"/>
              <w:right w:val="single" w:sz="4" w:space="0" w:color="auto"/>
            </w:tcBorders>
            <w:shd w:val="clear" w:color="000000" w:fill="FFFFFF"/>
            <w:vAlign w:val="center"/>
          </w:tcPr>
          <w:p w14:paraId="01A432C1" w14:textId="7AA52A67" w:rsidR="007D1685" w:rsidRPr="00B81C13" w:rsidRDefault="007D1685" w:rsidP="007D1685">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757" w:type="dxa"/>
            <w:tcBorders>
              <w:top w:val="nil"/>
              <w:left w:val="nil"/>
              <w:bottom w:val="single" w:sz="4" w:space="0" w:color="auto"/>
              <w:right w:val="single" w:sz="4" w:space="0" w:color="auto"/>
            </w:tcBorders>
            <w:shd w:val="clear" w:color="000000" w:fill="FFFFFF"/>
            <w:vAlign w:val="center"/>
          </w:tcPr>
          <w:p w14:paraId="133BD7FA" w14:textId="07D2B500" w:rsidR="007D1685" w:rsidRPr="007D1685" w:rsidRDefault="007D1685" w:rsidP="007D1685">
            <w:pPr>
              <w:keepNext/>
              <w:keepLines/>
              <w:widowControl/>
              <w:autoSpaceDE/>
              <w:autoSpaceDN/>
              <w:adjustRightInd/>
              <w:jc w:val="right"/>
              <w:rPr>
                <w:rFonts w:asciiTheme="minorHAnsi" w:hAnsiTheme="minorHAnsi" w:cstheme="minorHAnsi"/>
                <w:color w:val="000000"/>
                <w:sz w:val="16"/>
                <w:szCs w:val="16"/>
              </w:rPr>
            </w:pPr>
            <w:r w:rsidRPr="007D1685">
              <w:rPr>
                <w:rFonts w:asciiTheme="minorHAnsi" w:hAnsiTheme="minorHAnsi" w:cstheme="minorHAnsi"/>
                <w:sz w:val="16"/>
                <w:szCs w:val="16"/>
              </w:rPr>
              <w:t>Operating costs - $5</w:t>
            </w:r>
          </w:p>
        </w:tc>
        <w:tc>
          <w:tcPr>
            <w:tcW w:w="1253" w:type="dxa"/>
            <w:tcBorders>
              <w:top w:val="nil"/>
              <w:left w:val="nil"/>
              <w:bottom w:val="single" w:sz="4" w:space="0" w:color="auto"/>
              <w:right w:val="single" w:sz="8" w:space="0" w:color="auto"/>
            </w:tcBorders>
            <w:shd w:val="clear" w:color="000000" w:fill="FFFFFF"/>
            <w:vAlign w:val="center"/>
          </w:tcPr>
          <w:p w14:paraId="79D95EB2" w14:textId="5FA5B475" w:rsidR="007D1685" w:rsidRPr="00B81C13" w:rsidRDefault="00640A69" w:rsidP="007D1685">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r>
      <w:tr w:rsidR="007D1685" w:rsidRPr="00B81C13" w14:paraId="6B1D169C" w14:textId="77777777" w:rsidTr="007D1685">
        <w:trPr>
          <w:trHeight w:val="300"/>
        </w:trPr>
        <w:tc>
          <w:tcPr>
            <w:tcW w:w="3329" w:type="dxa"/>
            <w:tcBorders>
              <w:top w:val="nil"/>
              <w:left w:val="single" w:sz="8" w:space="0" w:color="auto"/>
              <w:bottom w:val="single" w:sz="4" w:space="0" w:color="auto"/>
              <w:right w:val="single" w:sz="4" w:space="0" w:color="auto"/>
            </w:tcBorders>
            <w:shd w:val="clear" w:color="auto" w:fill="auto"/>
            <w:vAlign w:val="center"/>
          </w:tcPr>
          <w:p w14:paraId="224086BE" w14:textId="43089115" w:rsidR="007D1685" w:rsidRPr="00B81C13" w:rsidRDefault="007D1685" w:rsidP="007D1685">
            <w:pPr>
              <w:keepNext/>
              <w:keepLines/>
              <w:widowControl/>
              <w:autoSpaceDE/>
              <w:autoSpaceDN/>
              <w:adjustRightInd/>
              <w:rPr>
                <w:rFonts w:ascii="Calibri" w:hAnsi="Calibri" w:cs="Calibri"/>
                <w:color w:val="000000"/>
                <w:sz w:val="16"/>
                <w:szCs w:val="16"/>
              </w:rPr>
            </w:pPr>
            <w:r w:rsidRPr="00673122">
              <w:rPr>
                <w:rFonts w:asciiTheme="minorHAnsi" w:hAnsiTheme="minorHAnsi" w:cstheme="minorHAnsi"/>
                <w:sz w:val="16"/>
                <w:szCs w:val="16"/>
              </w:rPr>
              <w:t xml:space="preserve">Application for Transfer of Bering Sea Chinook Salmon PSC Allocations  </w:t>
            </w:r>
          </w:p>
        </w:tc>
        <w:tc>
          <w:tcPr>
            <w:tcW w:w="1188" w:type="dxa"/>
            <w:tcBorders>
              <w:top w:val="nil"/>
              <w:left w:val="nil"/>
              <w:bottom w:val="single" w:sz="4" w:space="0" w:color="auto"/>
              <w:right w:val="single" w:sz="4" w:space="0" w:color="auto"/>
            </w:tcBorders>
            <w:shd w:val="clear" w:color="000000" w:fill="FFFFFF"/>
            <w:vAlign w:val="center"/>
          </w:tcPr>
          <w:p w14:paraId="207DF8D9" w14:textId="62465FCD" w:rsidR="007D1685" w:rsidRPr="00B81C13" w:rsidRDefault="007D1685" w:rsidP="007D1685">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61" w:type="dxa"/>
            <w:tcBorders>
              <w:top w:val="nil"/>
              <w:left w:val="nil"/>
              <w:bottom w:val="single" w:sz="4" w:space="0" w:color="auto"/>
              <w:right w:val="single" w:sz="4" w:space="0" w:color="auto"/>
            </w:tcBorders>
            <w:shd w:val="clear" w:color="000000" w:fill="FFFFFF"/>
            <w:vAlign w:val="center"/>
          </w:tcPr>
          <w:p w14:paraId="1BC05DCC" w14:textId="23497D7E" w:rsidR="007D1685" w:rsidRPr="00B81C13" w:rsidRDefault="007D1685" w:rsidP="007D1685">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92" w:type="dxa"/>
            <w:tcBorders>
              <w:top w:val="nil"/>
              <w:left w:val="nil"/>
              <w:bottom w:val="single" w:sz="4" w:space="0" w:color="auto"/>
              <w:right w:val="single" w:sz="4" w:space="0" w:color="auto"/>
            </w:tcBorders>
            <w:shd w:val="clear" w:color="000000" w:fill="FFFFFF"/>
            <w:vAlign w:val="center"/>
          </w:tcPr>
          <w:p w14:paraId="3DDB2118" w14:textId="213CF8DD" w:rsidR="007D1685" w:rsidRPr="00B81C13" w:rsidRDefault="007D1685" w:rsidP="007D1685">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757" w:type="dxa"/>
            <w:tcBorders>
              <w:top w:val="nil"/>
              <w:left w:val="nil"/>
              <w:bottom w:val="single" w:sz="4" w:space="0" w:color="auto"/>
              <w:right w:val="single" w:sz="4" w:space="0" w:color="auto"/>
            </w:tcBorders>
            <w:shd w:val="clear" w:color="000000" w:fill="FFFFFF"/>
            <w:vAlign w:val="center"/>
          </w:tcPr>
          <w:p w14:paraId="1A916239" w14:textId="10E937CA" w:rsidR="007D1685" w:rsidRPr="007D1685" w:rsidRDefault="007D1685" w:rsidP="007D1685">
            <w:pPr>
              <w:keepNext/>
              <w:keepLines/>
              <w:widowControl/>
              <w:autoSpaceDE/>
              <w:autoSpaceDN/>
              <w:adjustRightInd/>
              <w:jc w:val="right"/>
              <w:rPr>
                <w:rFonts w:asciiTheme="minorHAnsi" w:hAnsiTheme="minorHAnsi" w:cstheme="minorHAnsi"/>
                <w:color w:val="000000"/>
                <w:sz w:val="16"/>
                <w:szCs w:val="16"/>
              </w:rPr>
            </w:pPr>
            <w:r w:rsidRPr="007D1685">
              <w:rPr>
                <w:rFonts w:asciiTheme="minorHAnsi" w:hAnsiTheme="minorHAnsi" w:cstheme="minorHAnsi"/>
                <w:sz w:val="16"/>
                <w:szCs w:val="16"/>
              </w:rPr>
              <w:t>Operating costs - $5</w:t>
            </w:r>
          </w:p>
        </w:tc>
        <w:tc>
          <w:tcPr>
            <w:tcW w:w="1253" w:type="dxa"/>
            <w:tcBorders>
              <w:top w:val="nil"/>
              <w:left w:val="nil"/>
              <w:bottom w:val="single" w:sz="4" w:space="0" w:color="auto"/>
              <w:right w:val="single" w:sz="8" w:space="0" w:color="auto"/>
            </w:tcBorders>
            <w:shd w:val="clear" w:color="000000" w:fill="FFFFFF"/>
            <w:vAlign w:val="center"/>
          </w:tcPr>
          <w:p w14:paraId="5671E9A4" w14:textId="22A49166" w:rsidR="007D1685" w:rsidRPr="00B81C13" w:rsidRDefault="00640A69" w:rsidP="009A6BAC">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9A6BAC">
              <w:rPr>
                <w:rFonts w:ascii="Calibri" w:hAnsi="Calibri" w:cs="Calibri"/>
                <w:color w:val="000000"/>
                <w:sz w:val="16"/>
                <w:szCs w:val="16"/>
              </w:rPr>
              <w:t>25</w:t>
            </w:r>
          </w:p>
        </w:tc>
      </w:tr>
      <w:tr w:rsidR="00B81C13" w:rsidRPr="00B81C13" w14:paraId="5707E3D6" w14:textId="77777777" w:rsidTr="007D1685">
        <w:trPr>
          <w:trHeight w:val="315"/>
        </w:trPr>
        <w:tc>
          <w:tcPr>
            <w:tcW w:w="3329" w:type="dxa"/>
            <w:tcBorders>
              <w:top w:val="single" w:sz="8" w:space="0" w:color="auto"/>
              <w:left w:val="single" w:sz="8" w:space="0" w:color="auto"/>
              <w:bottom w:val="single" w:sz="8" w:space="0" w:color="auto"/>
              <w:right w:val="single" w:sz="4" w:space="0" w:color="auto"/>
            </w:tcBorders>
            <w:shd w:val="clear" w:color="auto" w:fill="BDD6EE"/>
            <w:vAlign w:val="center"/>
            <w:hideMark/>
          </w:tcPr>
          <w:p w14:paraId="3C110860" w14:textId="77777777" w:rsidR="00B81C13" w:rsidRPr="00B81C13" w:rsidRDefault="00B81C13" w:rsidP="00C031EE">
            <w:pPr>
              <w:keepNext/>
              <w:keepLines/>
              <w:widowControl/>
              <w:autoSpaceDE/>
              <w:autoSpaceDN/>
              <w:adjustRightInd/>
              <w:rPr>
                <w:rFonts w:ascii="Calibri" w:hAnsi="Calibri" w:cs="Calibri"/>
                <w:b/>
                <w:bCs/>
                <w:color w:val="000000"/>
                <w:sz w:val="16"/>
                <w:szCs w:val="16"/>
              </w:rPr>
            </w:pPr>
            <w:r w:rsidRPr="00B81C13">
              <w:rPr>
                <w:rFonts w:ascii="Calibri" w:hAnsi="Calibri" w:cs="Calibri"/>
                <w:b/>
                <w:bCs/>
                <w:color w:val="000000"/>
                <w:sz w:val="16"/>
                <w:szCs w:val="16"/>
              </w:rPr>
              <w:t>TOTALS</w:t>
            </w:r>
          </w:p>
        </w:tc>
        <w:tc>
          <w:tcPr>
            <w:tcW w:w="1188" w:type="dxa"/>
            <w:tcBorders>
              <w:top w:val="single" w:sz="8" w:space="0" w:color="auto"/>
              <w:left w:val="nil"/>
              <w:bottom w:val="single" w:sz="8" w:space="0" w:color="auto"/>
              <w:right w:val="single" w:sz="4" w:space="0" w:color="auto"/>
            </w:tcBorders>
            <w:shd w:val="clear" w:color="auto" w:fill="000000"/>
            <w:vAlign w:val="center"/>
            <w:hideMark/>
          </w:tcPr>
          <w:p w14:paraId="747B2157" w14:textId="77777777" w:rsidR="00B81C13" w:rsidRPr="00B81C13" w:rsidRDefault="00B81C13" w:rsidP="00C031EE">
            <w:pPr>
              <w:keepNext/>
              <w:keepLines/>
              <w:widowControl/>
              <w:autoSpaceDE/>
              <w:autoSpaceDN/>
              <w:adjustRightInd/>
              <w:jc w:val="right"/>
              <w:rPr>
                <w:rFonts w:ascii="Calibri" w:hAnsi="Calibri" w:cs="Calibri"/>
                <w:b/>
                <w:bCs/>
                <w:color w:val="000000"/>
                <w:sz w:val="16"/>
                <w:szCs w:val="16"/>
              </w:rPr>
            </w:pPr>
            <w:r w:rsidRPr="00B81C13">
              <w:rPr>
                <w:rFonts w:ascii="Calibri" w:hAnsi="Calibri" w:cs="Calibri"/>
                <w:b/>
                <w:bCs/>
                <w:color w:val="000000"/>
                <w:sz w:val="16"/>
                <w:szCs w:val="16"/>
              </w:rPr>
              <w:t> </w:t>
            </w:r>
          </w:p>
        </w:tc>
        <w:tc>
          <w:tcPr>
            <w:tcW w:w="1161" w:type="dxa"/>
            <w:tcBorders>
              <w:top w:val="single" w:sz="8" w:space="0" w:color="auto"/>
              <w:left w:val="nil"/>
              <w:bottom w:val="single" w:sz="8" w:space="0" w:color="auto"/>
              <w:right w:val="single" w:sz="4" w:space="0" w:color="auto"/>
            </w:tcBorders>
            <w:shd w:val="clear" w:color="auto" w:fill="000000"/>
            <w:vAlign w:val="center"/>
            <w:hideMark/>
          </w:tcPr>
          <w:p w14:paraId="32BAF7F9" w14:textId="77777777" w:rsidR="00B81C13" w:rsidRPr="00B81C13" w:rsidRDefault="00B81C13" w:rsidP="00C031EE">
            <w:pPr>
              <w:keepNext/>
              <w:keepLines/>
              <w:widowControl/>
              <w:autoSpaceDE/>
              <w:autoSpaceDN/>
              <w:adjustRightInd/>
              <w:jc w:val="right"/>
              <w:rPr>
                <w:rFonts w:ascii="Calibri" w:hAnsi="Calibri" w:cs="Calibri"/>
                <w:b/>
                <w:bCs/>
                <w:color w:val="000000"/>
                <w:sz w:val="16"/>
                <w:szCs w:val="16"/>
              </w:rPr>
            </w:pPr>
            <w:r w:rsidRPr="00B81C13">
              <w:rPr>
                <w:rFonts w:ascii="Calibri" w:hAnsi="Calibri" w:cs="Calibri"/>
                <w:b/>
                <w:bCs/>
                <w:color w:val="000000"/>
                <w:sz w:val="16"/>
                <w:szCs w:val="16"/>
              </w:rPr>
              <w:t> </w:t>
            </w:r>
          </w:p>
        </w:tc>
        <w:tc>
          <w:tcPr>
            <w:tcW w:w="1292" w:type="dxa"/>
            <w:tcBorders>
              <w:top w:val="single" w:sz="8" w:space="0" w:color="auto"/>
              <w:left w:val="nil"/>
              <w:bottom w:val="single" w:sz="8" w:space="0" w:color="auto"/>
              <w:right w:val="single" w:sz="4" w:space="0" w:color="auto"/>
            </w:tcBorders>
            <w:shd w:val="clear" w:color="auto" w:fill="BDD6EE"/>
            <w:vAlign w:val="center"/>
          </w:tcPr>
          <w:p w14:paraId="49C7DE8D" w14:textId="60817B55" w:rsidR="00B81C13" w:rsidRPr="00B81C13" w:rsidRDefault="00E13752" w:rsidP="00C031EE">
            <w:pPr>
              <w:keepNext/>
              <w:keepLines/>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84</w:t>
            </w:r>
          </w:p>
        </w:tc>
        <w:tc>
          <w:tcPr>
            <w:tcW w:w="1757" w:type="dxa"/>
            <w:tcBorders>
              <w:top w:val="single" w:sz="8" w:space="0" w:color="auto"/>
              <w:left w:val="nil"/>
              <w:bottom w:val="single" w:sz="8" w:space="0" w:color="auto"/>
              <w:right w:val="single" w:sz="4" w:space="0" w:color="auto"/>
            </w:tcBorders>
            <w:shd w:val="clear" w:color="auto" w:fill="000000"/>
            <w:vAlign w:val="center"/>
            <w:hideMark/>
          </w:tcPr>
          <w:p w14:paraId="13B1B1EC" w14:textId="77777777" w:rsidR="00B81C13" w:rsidRPr="00B81C13" w:rsidRDefault="00B81C13" w:rsidP="00C031EE">
            <w:pPr>
              <w:keepNext/>
              <w:keepLines/>
              <w:widowControl/>
              <w:autoSpaceDE/>
              <w:autoSpaceDN/>
              <w:adjustRightInd/>
              <w:jc w:val="right"/>
              <w:rPr>
                <w:rFonts w:ascii="Calibri" w:hAnsi="Calibri" w:cs="Calibri"/>
                <w:b/>
                <w:bCs/>
                <w:color w:val="000000"/>
                <w:sz w:val="16"/>
                <w:szCs w:val="16"/>
              </w:rPr>
            </w:pPr>
            <w:r w:rsidRPr="00B81C13">
              <w:rPr>
                <w:rFonts w:ascii="Calibri" w:hAnsi="Calibri" w:cs="Calibri"/>
                <w:b/>
                <w:bCs/>
                <w:color w:val="000000"/>
                <w:sz w:val="16"/>
                <w:szCs w:val="16"/>
              </w:rPr>
              <w:t> </w:t>
            </w:r>
          </w:p>
        </w:tc>
        <w:tc>
          <w:tcPr>
            <w:tcW w:w="1253" w:type="dxa"/>
            <w:tcBorders>
              <w:top w:val="single" w:sz="8" w:space="0" w:color="auto"/>
              <w:left w:val="nil"/>
              <w:bottom w:val="single" w:sz="8" w:space="0" w:color="auto"/>
              <w:right w:val="single" w:sz="8" w:space="0" w:color="auto"/>
            </w:tcBorders>
            <w:shd w:val="clear" w:color="auto" w:fill="BDD6EE"/>
            <w:vAlign w:val="center"/>
            <w:hideMark/>
          </w:tcPr>
          <w:p w14:paraId="23037763" w14:textId="50EFBC8B" w:rsidR="00B81C13" w:rsidRPr="00B81C13" w:rsidRDefault="00BD1158" w:rsidP="009A6BAC">
            <w:pPr>
              <w:keepNext/>
              <w:keepLines/>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$4</w:t>
            </w:r>
            <w:r w:rsidR="009A6BAC">
              <w:rPr>
                <w:rFonts w:ascii="Calibri" w:hAnsi="Calibri" w:cs="Calibri"/>
                <w:b/>
                <w:bCs/>
                <w:color w:val="000000"/>
                <w:sz w:val="16"/>
                <w:szCs w:val="16"/>
              </w:rPr>
              <w:t>20</w:t>
            </w:r>
          </w:p>
        </w:tc>
      </w:tr>
    </w:tbl>
    <w:p w14:paraId="107CE971" w14:textId="096ABECC" w:rsidR="009831D0" w:rsidRPr="007D1685" w:rsidRDefault="007D1685">
      <w:pPr>
        <w:widowControl/>
        <w:tabs>
          <w:tab w:val="left" w:pos="-1080"/>
          <w:tab w:val="left" w:pos="-720"/>
          <w:tab w:val="left" w:pos="0"/>
          <w:tab w:val="left" w:pos="720"/>
          <w:tab w:val="left" w:pos="1080"/>
        </w:tabs>
        <w:rPr>
          <w:rFonts w:asciiTheme="minorHAnsi" w:hAnsiTheme="minorHAnsi" w:cstheme="minorHAnsi"/>
          <w:bCs/>
          <w:sz w:val="18"/>
          <w:szCs w:val="18"/>
        </w:rPr>
      </w:pPr>
      <w:r w:rsidRPr="007D1685">
        <w:rPr>
          <w:rFonts w:asciiTheme="minorHAnsi" w:hAnsiTheme="minorHAnsi" w:cstheme="minorHAnsi"/>
          <w:bCs/>
          <w:sz w:val="18"/>
          <w:szCs w:val="18"/>
        </w:rPr>
        <w:t>*Operating costs include postage, fax, and internet.</w:t>
      </w:r>
    </w:p>
    <w:p w14:paraId="7FF21787" w14:textId="77777777" w:rsidR="00C75321" w:rsidRDefault="00C75321" w:rsidP="00C031EE">
      <w:pPr>
        <w:keepNext/>
        <w:keepLines/>
        <w:widowControl/>
        <w:tabs>
          <w:tab w:val="left" w:pos="-1080"/>
          <w:tab w:val="left" w:pos="-720"/>
          <w:tab w:val="left" w:pos="0"/>
          <w:tab w:val="left" w:pos="720"/>
          <w:tab w:val="left" w:pos="1080"/>
        </w:tabs>
        <w:rPr>
          <w:b/>
          <w:bCs/>
        </w:rPr>
      </w:pPr>
    </w:p>
    <w:p w14:paraId="0BA7DC8D" w14:textId="5B845D09" w:rsidR="00AE57F8" w:rsidRDefault="00AE57F8" w:rsidP="00C031EE">
      <w:pPr>
        <w:keepNext/>
        <w:keepLines/>
        <w:widowControl/>
        <w:tabs>
          <w:tab w:val="left" w:pos="-1080"/>
          <w:tab w:val="left" w:pos="-720"/>
          <w:tab w:val="left" w:pos="0"/>
          <w:tab w:val="left" w:pos="720"/>
          <w:tab w:val="left" w:pos="1080"/>
        </w:tabs>
      </w:pPr>
      <w:r>
        <w:rPr>
          <w:b/>
          <w:bCs/>
        </w:rPr>
        <w:t xml:space="preserve">14.  </w:t>
      </w:r>
      <w:r>
        <w:rPr>
          <w:b/>
          <w:bCs/>
          <w:u w:val="single"/>
        </w:rPr>
        <w:t>Provide estimates of annualized cost to the Federal government</w:t>
      </w:r>
      <w:r>
        <w:rPr>
          <w:b/>
          <w:bCs/>
        </w:rPr>
        <w:t>.</w:t>
      </w:r>
    </w:p>
    <w:p w14:paraId="361B4DF0" w14:textId="253513D0" w:rsidR="001D7850" w:rsidRDefault="001D7850" w:rsidP="00C031EE">
      <w:pPr>
        <w:keepNext/>
        <w:keepLines/>
        <w:widowControl/>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  </w:t>
      </w:r>
    </w:p>
    <w:tbl>
      <w:tblPr>
        <w:tblW w:w="9980" w:type="dxa"/>
        <w:tblLook w:val="04A0" w:firstRow="1" w:lastRow="0" w:firstColumn="1" w:lastColumn="0" w:noHBand="0" w:noVBand="1"/>
      </w:tblPr>
      <w:tblGrid>
        <w:gridCol w:w="1970"/>
        <w:gridCol w:w="1620"/>
        <w:gridCol w:w="1530"/>
        <w:gridCol w:w="1080"/>
        <w:gridCol w:w="1800"/>
        <w:gridCol w:w="1980"/>
      </w:tblGrid>
      <w:tr w:rsidR="009831D0" w:rsidRPr="009831D0" w14:paraId="11B86F74" w14:textId="77777777" w:rsidTr="009831D0">
        <w:trPr>
          <w:trHeight w:val="450"/>
        </w:trPr>
        <w:tc>
          <w:tcPr>
            <w:tcW w:w="1970" w:type="dxa"/>
            <w:tcBorders>
              <w:top w:val="single" w:sz="8" w:space="0" w:color="auto"/>
              <w:left w:val="single" w:sz="8" w:space="0" w:color="auto"/>
              <w:bottom w:val="nil"/>
              <w:right w:val="single" w:sz="8" w:space="0" w:color="auto"/>
            </w:tcBorders>
            <w:shd w:val="clear" w:color="auto" w:fill="5B9BD5"/>
            <w:vAlign w:val="center"/>
            <w:hideMark/>
          </w:tcPr>
          <w:p w14:paraId="6D174959" w14:textId="77777777" w:rsidR="009831D0" w:rsidRPr="009831D0" w:rsidRDefault="009831D0" w:rsidP="00C031EE">
            <w:pPr>
              <w:keepNext/>
              <w:keepLines/>
              <w:widowControl/>
              <w:autoSpaceDE/>
              <w:autoSpaceDN/>
              <w:adjustRightInd/>
              <w:jc w:val="center"/>
              <w:rPr>
                <w:rFonts w:ascii="Calibri" w:hAnsi="Calibri" w:cs="Calibri"/>
                <w:b/>
                <w:bCs/>
                <w:color w:val="000000"/>
                <w:sz w:val="16"/>
                <w:szCs w:val="16"/>
              </w:rPr>
            </w:pPr>
            <w:r w:rsidRPr="009831D0">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vAlign w:val="center"/>
            <w:hideMark/>
          </w:tcPr>
          <w:p w14:paraId="3165CA3A" w14:textId="77777777" w:rsidR="009831D0" w:rsidRPr="009831D0" w:rsidRDefault="009831D0" w:rsidP="00C031EE">
            <w:pPr>
              <w:keepNext/>
              <w:keepLines/>
              <w:widowControl/>
              <w:autoSpaceDE/>
              <w:autoSpaceDN/>
              <w:adjustRightInd/>
              <w:jc w:val="center"/>
              <w:rPr>
                <w:rFonts w:ascii="Calibri" w:hAnsi="Calibri" w:cs="Calibri"/>
                <w:b/>
                <w:bCs/>
                <w:color w:val="000000"/>
                <w:sz w:val="16"/>
                <w:szCs w:val="16"/>
              </w:rPr>
            </w:pPr>
            <w:r w:rsidRPr="009831D0">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vAlign w:val="center"/>
            <w:hideMark/>
          </w:tcPr>
          <w:p w14:paraId="290BE651" w14:textId="77777777" w:rsidR="009831D0" w:rsidRPr="009831D0" w:rsidRDefault="009831D0" w:rsidP="00C031EE">
            <w:pPr>
              <w:keepNext/>
              <w:keepLines/>
              <w:widowControl/>
              <w:autoSpaceDE/>
              <w:autoSpaceDN/>
              <w:adjustRightInd/>
              <w:jc w:val="center"/>
              <w:rPr>
                <w:rFonts w:ascii="Calibri" w:hAnsi="Calibri" w:cs="Calibri"/>
                <w:b/>
                <w:bCs/>
                <w:color w:val="000000"/>
                <w:sz w:val="16"/>
                <w:szCs w:val="16"/>
              </w:rPr>
            </w:pPr>
            <w:r w:rsidRPr="009831D0">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vAlign w:val="center"/>
            <w:hideMark/>
          </w:tcPr>
          <w:p w14:paraId="488F83B2" w14:textId="77777777" w:rsidR="009831D0" w:rsidRPr="009831D0" w:rsidRDefault="009831D0" w:rsidP="00C031EE">
            <w:pPr>
              <w:keepNext/>
              <w:keepLines/>
              <w:widowControl/>
              <w:autoSpaceDE/>
              <w:autoSpaceDN/>
              <w:adjustRightInd/>
              <w:jc w:val="center"/>
              <w:rPr>
                <w:rFonts w:ascii="Calibri" w:hAnsi="Calibri" w:cs="Calibri"/>
                <w:b/>
                <w:bCs/>
                <w:color w:val="000000"/>
                <w:sz w:val="16"/>
                <w:szCs w:val="16"/>
              </w:rPr>
            </w:pPr>
            <w:r w:rsidRPr="009831D0">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vAlign w:val="center"/>
            <w:hideMark/>
          </w:tcPr>
          <w:p w14:paraId="44BC2E70" w14:textId="77777777" w:rsidR="009831D0" w:rsidRPr="009831D0" w:rsidRDefault="009831D0" w:rsidP="00C031EE">
            <w:pPr>
              <w:keepNext/>
              <w:keepLines/>
              <w:widowControl/>
              <w:autoSpaceDE/>
              <w:autoSpaceDN/>
              <w:adjustRightInd/>
              <w:jc w:val="center"/>
              <w:rPr>
                <w:rFonts w:ascii="Calibri" w:hAnsi="Calibri" w:cs="Calibri"/>
                <w:b/>
                <w:bCs/>
                <w:color w:val="000000"/>
                <w:sz w:val="16"/>
                <w:szCs w:val="16"/>
              </w:rPr>
            </w:pPr>
            <w:r w:rsidRPr="009831D0">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vAlign w:val="center"/>
            <w:hideMark/>
          </w:tcPr>
          <w:p w14:paraId="024E5250" w14:textId="77777777" w:rsidR="009831D0" w:rsidRPr="009831D0" w:rsidRDefault="009831D0" w:rsidP="00C031EE">
            <w:pPr>
              <w:keepNext/>
              <w:keepLines/>
              <w:widowControl/>
              <w:autoSpaceDE/>
              <w:autoSpaceDN/>
              <w:adjustRightInd/>
              <w:jc w:val="center"/>
              <w:rPr>
                <w:rFonts w:ascii="Calibri" w:hAnsi="Calibri" w:cs="Calibri"/>
                <w:b/>
                <w:bCs/>
                <w:color w:val="000000"/>
                <w:sz w:val="16"/>
                <w:szCs w:val="16"/>
              </w:rPr>
            </w:pPr>
            <w:r w:rsidRPr="009831D0">
              <w:rPr>
                <w:rFonts w:ascii="Calibri" w:hAnsi="Calibri" w:cs="Calibri"/>
                <w:b/>
                <w:bCs/>
                <w:color w:val="000000"/>
                <w:sz w:val="16"/>
                <w:szCs w:val="16"/>
              </w:rPr>
              <w:t>Total Cost to Government</w:t>
            </w:r>
          </w:p>
        </w:tc>
      </w:tr>
      <w:tr w:rsidR="009831D0" w:rsidRPr="009831D0" w14:paraId="08751463" w14:textId="77777777" w:rsidTr="001628BA">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9864F2" w14:textId="77777777" w:rsidR="009831D0" w:rsidRPr="009831D0" w:rsidRDefault="009831D0" w:rsidP="00C031EE">
            <w:pPr>
              <w:keepNext/>
              <w:keepLines/>
              <w:widowControl/>
              <w:autoSpaceDE/>
              <w:autoSpaceDN/>
              <w:adjustRightInd/>
              <w:rPr>
                <w:rFonts w:ascii="Calibri" w:hAnsi="Calibri" w:cs="Calibri"/>
                <w:b/>
                <w:bCs/>
                <w:color w:val="000000"/>
                <w:sz w:val="16"/>
                <w:szCs w:val="16"/>
              </w:rPr>
            </w:pPr>
            <w:r w:rsidRPr="009831D0">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0658469" w14:textId="34466297" w:rsidR="009831D0" w:rsidRPr="009831D0" w:rsidRDefault="00CB5194" w:rsidP="00C031EE">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ZS-IV</w:t>
            </w:r>
            <w:r w:rsidR="009831D0" w:rsidRPr="009831D0">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61958A95" w14:textId="7C91366A" w:rsidR="009831D0" w:rsidRPr="009831D0" w:rsidRDefault="00CB5194" w:rsidP="00C031EE">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$105,619</w:t>
            </w:r>
            <w:r w:rsidR="009831D0" w:rsidRPr="009831D0">
              <w:rPr>
                <w:rFonts w:ascii="Calibri" w:hAnsi="Calibri" w:cs="Calibri"/>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0F2592F" w14:textId="5B936101" w:rsidR="009831D0" w:rsidRPr="009831D0" w:rsidRDefault="00896227" w:rsidP="00C031EE">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009831D0" w:rsidRPr="009831D0">
              <w:rPr>
                <w:rFonts w:ascii="Calibri" w:hAnsi="Calibri" w:cs="Calibri"/>
                <w:color w:val="000000"/>
                <w:sz w:val="16"/>
                <w:szCs w:val="16"/>
              </w:rPr>
              <w:t> </w:t>
            </w:r>
          </w:p>
        </w:tc>
        <w:tc>
          <w:tcPr>
            <w:tcW w:w="1800" w:type="dxa"/>
            <w:tcBorders>
              <w:top w:val="single" w:sz="4" w:space="0" w:color="auto"/>
              <w:left w:val="nil"/>
              <w:bottom w:val="single" w:sz="4" w:space="0" w:color="auto"/>
              <w:right w:val="single" w:sz="4" w:space="0" w:color="auto"/>
            </w:tcBorders>
            <w:shd w:val="clear" w:color="000000" w:fill="808080"/>
            <w:noWrap/>
            <w:vAlign w:val="center"/>
            <w:hideMark/>
          </w:tcPr>
          <w:p w14:paraId="2C543EDC" w14:textId="77777777" w:rsidR="009831D0" w:rsidRPr="009831D0" w:rsidRDefault="009831D0" w:rsidP="00C031EE">
            <w:pPr>
              <w:keepNext/>
              <w:keepLines/>
              <w:widowControl/>
              <w:autoSpaceDE/>
              <w:autoSpaceDN/>
              <w:adjustRightInd/>
              <w:jc w:val="right"/>
              <w:rPr>
                <w:rFonts w:ascii="Calibri" w:hAnsi="Calibri" w:cs="Calibri"/>
                <w:color w:val="000000"/>
                <w:sz w:val="16"/>
                <w:szCs w:val="16"/>
              </w:rPr>
            </w:pPr>
            <w:r w:rsidRPr="009831D0">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center"/>
            <w:hideMark/>
          </w:tcPr>
          <w:p w14:paraId="36FC4F25" w14:textId="50FCB044" w:rsidR="009831D0" w:rsidRPr="009831D0" w:rsidRDefault="00896227" w:rsidP="00C031EE">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$5,281</w:t>
            </w:r>
            <w:r w:rsidR="009831D0" w:rsidRPr="009831D0">
              <w:rPr>
                <w:rFonts w:ascii="Calibri" w:hAnsi="Calibri" w:cs="Calibri"/>
                <w:color w:val="000000"/>
                <w:sz w:val="16"/>
                <w:szCs w:val="16"/>
              </w:rPr>
              <w:t> </w:t>
            </w:r>
          </w:p>
        </w:tc>
      </w:tr>
      <w:tr w:rsidR="009831D0" w:rsidRPr="009831D0" w14:paraId="1ADA4350" w14:textId="77777777" w:rsidTr="001628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14:paraId="0E9BDA8E" w14:textId="49B82891" w:rsidR="009831D0" w:rsidRPr="009831D0" w:rsidRDefault="009831D0" w:rsidP="00C031EE">
            <w:pPr>
              <w:keepNext/>
              <w:keepLines/>
              <w:widowControl/>
              <w:autoSpaceDE/>
              <w:autoSpaceDN/>
              <w:adjustRightInd/>
              <w:rPr>
                <w:rFonts w:ascii="Calibri" w:hAnsi="Calibri" w:cs="Calibri"/>
                <w:color w:val="000000"/>
                <w:sz w:val="16"/>
                <w:szCs w:val="16"/>
              </w:rPr>
            </w:pPr>
          </w:p>
        </w:tc>
        <w:tc>
          <w:tcPr>
            <w:tcW w:w="1620" w:type="dxa"/>
            <w:tcBorders>
              <w:top w:val="nil"/>
              <w:left w:val="nil"/>
              <w:bottom w:val="single" w:sz="4" w:space="0" w:color="auto"/>
              <w:right w:val="single" w:sz="4" w:space="0" w:color="auto"/>
            </w:tcBorders>
            <w:shd w:val="clear" w:color="auto" w:fill="auto"/>
            <w:noWrap/>
            <w:vAlign w:val="center"/>
            <w:hideMark/>
          </w:tcPr>
          <w:p w14:paraId="0C1C4318" w14:textId="1C0AA609" w:rsidR="009831D0" w:rsidRPr="009831D0" w:rsidRDefault="00A642B8" w:rsidP="00C031EE">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ZA-IV</w:t>
            </w:r>
            <w:r w:rsidR="009831D0" w:rsidRPr="009831D0">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center"/>
            <w:hideMark/>
          </w:tcPr>
          <w:p w14:paraId="3346AA77" w14:textId="308F994E" w:rsidR="009831D0" w:rsidRPr="009831D0" w:rsidRDefault="00A642B8" w:rsidP="00C031EE">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$186,046</w:t>
            </w:r>
            <w:r w:rsidR="009831D0" w:rsidRPr="009831D0">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065A4B" w14:textId="6CC264CB" w:rsidR="009831D0" w:rsidRPr="009831D0" w:rsidRDefault="00BC0C40" w:rsidP="00C031EE">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r w:rsidR="009831D0" w:rsidRPr="009831D0">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center"/>
            <w:hideMark/>
          </w:tcPr>
          <w:p w14:paraId="43C2B887" w14:textId="77777777" w:rsidR="009831D0" w:rsidRPr="009831D0" w:rsidRDefault="009831D0" w:rsidP="00C031EE">
            <w:pPr>
              <w:keepNext/>
              <w:keepLines/>
              <w:widowControl/>
              <w:autoSpaceDE/>
              <w:autoSpaceDN/>
              <w:adjustRightInd/>
              <w:jc w:val="right"/>
              <w:rPr>
                <w:rFonts w:ascii="Calibri" w:hAnsi="Calibri" w:cs="Calibri"/>
                <w:color w:val="000000"/>
                <w:sz w:val="16"/>
                <w:szCs w:val="16"/>
              </w:rPr>
            </w:pPr>
            <w:r w:rsidRPr="009831D0">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center"/>
            <w:hideMark/>
          </w:tcPr>
          <w:p w14:paraId="202DDF3F" w14:textId="1BF6B0B3" w:rsidR="009831D0" w:rsidRPr="009831D0" w:rsidRDefault="00BC0C40" w:rsidP="00C031EE">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$3,721</w:t>
            </w:r>
            <w:r w:rsidR="009831D0" w:rsidRPr="009831D0">
              <w:rPr>
                <w:rFonts w:ascii="Calibri" w:hAnsi="Calibri" w:cs="Calibri"/>
                <w:color w:val="000000"/>
                <w:sz w:val="16"/>
                <w:szCs w:val="16"/>
              </w:rPr>
              <w:t> </w:t>
            </w:r>
          </w:p>
        </w:tc>
      </w:tr>
      <w:tr w:rsidR="009831D0" w:rsidRPr="009831D0" w14:paraId="372D3EB4" w14:textId="77777777" w:rsidTr="001628BA">
        <w:trPr>
          <w:trHeight w:val="300"/>
        </w:trPr>
        <w:tc>
          <w:tcPr>
            <w:tcW w:w="1970" w:type="dxa"/>
            <w:tcBorders>
              <w:top w:val="nil"/>
              <w:left w:val="single" w:sz="8" w:space="0" w:color="auto"/>
              <w:bottom w:val="single" w:sz="4" w:space="0" w:color="auto"/>
              <w:right w:val="single" w:sz="8" w:space="0" w:color="auto"/>
            </w:tcBorders>
            <w:shd w:val="clear" w:color="auto" w:fill="auto"/>
            <w:vAlign w:val="center"/>
            <w:hideMark/>
          </w:tcPr>
          <w:p w14:paraId="17F632A9" w14:textId="77777777" w:rsidR="009831D0" w:rsidRPr="009831D0" w:rsidRDefault="009831D0" w:rsidP="00C031EE">
            <w:pPr>
              <w:keepNext/>
              <w:keepLines/>
              <w:widowControl/>
              <w:autoSpaceDE/>
              <w:autoSpaceDN/>
              <w:adjustRightInd/>
              <w:rPr>
                <w:rFonts w:ascii="Calibri" w:hAnsi="Calibri" w:cs="Calibri"/>
                <w:b/>
                <w:bCs/>
                <w:color w:val="000000"/>
                <w:sz w:val="16"/>
                <w:szCs w:val="16"/>
              </w:rPr>
            </w:pPr>
            <w:r w:rsidRPr="009831D0">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center"/>
            <w:hideMark/>
          </w:tcPr>
          <w:p w14:paraId="5B022960" w14:textId="77777777" w:rsidR="009831D0" w:rsidRPr="009831D0" w:rsidRDefault="009831D0" w:rsidP="00C031EE">
            <w:pPr>
              <w:keepNext/>
              <w:keepLines/>
              <w:widowControl/>
              <w:autoSpaceDE/>
              <w:autoSpaceDN/>
              <w:adjustRightInd/>
              <w:jc w:val="right"/>
              <w:rPr>
                <w:rFonts w:ascii="Calibri" w:hAnsi="Calibri" w:cs="Calibri"/>
                <w:color w:val="000000"/>
                <w:sz w:val="16"/>
                <w:szCs w:val="16"/>
              </w:rPr>
            </w:pPr>
            <w:r w:rsidRPr="009831D0">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center"/>
            <w:hideMark/>
          </w:tcPr>
          <w:p w14:paraId="7CFA399D" w14:textId="59C1822F" w:rsidR="009831D0" w:rsidRPr="009831D0" w:rsidRDefault="00BC0C40" w:rsidP="00BC0C40">
            <w:pPr>
              <w:keepNext/>
              <w:keepLines/>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14:paraId="268131E6" w14:textId="7348C087" w:rsidR="009831D0" w:rsidRPr="009831D0" w:rsidRDefault="00BC0C40" w:rsidP="00BC0C40">
            <w:pPr>
              <w:keepNext/>
              <w:keepLines/>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800" w:type="dxa"/>
            <w:tcBorders>
              <w:top w:val="nil"/>
              <w:left w:val="nil"/>
              <w:bottom w:val="single" w:sz="4" w:space="0" w:color="auto"/>
              <w:right w:val="single" w:sz="4" w:space="0" w:color="auto"/>
            </w:tcBorders>
            <w:shd w:val="clear" w:color="auto" w:fill="auto"/>
            <w:noWrap/>
            <w:vAlign w:val="center"/>
            <w:hideMark/>
          </w:tcPr>
          <w:p w14:paraId="456413C1" w14:textId="3228EBFA" w:rsidR="009831D0" w:rsidRPr="009831D0" w:rsidRDefault="00BC0C40" w:rsidP="00BC0C40">
            <w:pPr>
              <w:keepNext/>
              <w:keepLines/>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980" w:type="dxa"/>
            <w:tcBorders>
              <w:top w:val="nil"/>
              <w:left w:val="nil"/>
              <w:bottom w:val="single" w:sz="4" w:space="0" w:color="auto"/>
              <w:right w:val="single" w:sz="8" w:space="0" w:color="auto"/>
            </w:tcBorders>
            <w:shd w:val="clear" w:color="auto" w:fill="auto"/>
            <w:noWrap/>
            <w:vAlign w:val="center"/>
            <w:hideMark/>
          </w:tcPr>
          <w:p w14:paraId="2B56ACBB" w14:textId="52A76979" w:rsidR="009831D0" w:rsidRPr="009831D0" w:rsidRDefault="00B07B2E" w:rsidP="00C031EE">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E87B85">
              <w:rPr>
                <w:rFonts w:ascii="Calibri" w:hAnsi="Calibri" w:cs="Calibri"/>
                <w:color w:val="000000"/>
                <w:sz w:val="16"/>
                <w:szCs w:val="16"/>
              </w:rPr>
              <w:t>0</w:t>
            </w:r>
            <w:r w:rsidR="009831D0" w:rsidRPr="009831D0">
              <w:rPr>
                <w:rFonts w:ascii="Calibri" w:hAnsi="Calibri" w:cs="Calibri"/>
                <w:color w:val="000000"/>
                <w:sz w:val="16"/>
                <w:szCs w:val="16"/>
              </w:rPr>
              <w:t> </w:t>
            </w:r>
          </w:p>
        </w:tc>
      </w:tr>
      <w:tr w:rsidR="009831D0" w:rsidRPr="009831D0" w14:paraId="2CE315D1" w14:textId="77777777" w:rsidTr="001628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14:paraId="35C4CD7A" w14:textId="77777777" w:rsidR="009831D0" w:rsidRPr="009831D0" w:rsidRDefault="009831D0" w:rsidP="00C031EE">
            <w:pPr>
              <w:keepNext/>
              <w:keepLines/>
              <w:widowControl/>
              <w:autoSpaceDE/>
              <w:autoSpaceDN/>
              <w:adjustRightInd/>
              <w:rPr>
                <w:rFonts w:ascii="Calibri" w:hAnsi="Calibri" w:cs="Calibri"/>
                <w:b/>
                <w:bCs/>
                <w:color w:val="000000"/>
                <w:sz w:val="16"/>
                <w:szCs w:val="16"/>
              </w:rPr>
            </w:pPr>
            <w:r w:rsidRPr="009831D0">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center"/>
            <w:hideMark/>
          </w:tcPr>
          <w:p w14:paraId="5A0B9F47" w14:textId="77777777" w:rsidR="009831D0" w:rsidRPr="009831D0" w:rsidRDefault="009831D0" w:rsidP="00C031EE">
            <w:pPr>
              <w:keepNext/>
              <w:keepLines/>
              <w:widowControl/>
              <w:autoSpaceDE/>
              <w:autoSpaceDN/>
              <w:adjustRightInd/>
              <w:jc w:val="right"/>
              <w:rPr>
                <w:rFonts w:ascii="Calibri" w:hAnsi="Calibri" w:cs="Calibri"/>
                <w:color w:val="000000"/>
                <w:sz w:val="16"/>
                <w:szCs w:val="16"/>
              </w:rPr>
            </w:pPr>
            <w:r w:rsidRPr="009831D0">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center"/>
            <w:hideMark/>
          </w:tcPr>
          <w:p w14:paraId="0AEA5E75" w14:textId="77777777" w:rsidR="009831D0" w:rsidRPr="009831D0" w:rsidRDefault="009831D0" w:rsidP="00C031EE">
            <w:pPr>
              <w:keepNext/>
              <w:keepLines/>
              <w:widowControl/>
              <w:autoSpaceDE/>
              <w:autoSpaceDN/>
              <w:adjustRightInd/>
              <w:jc w:val="right"/>
              <w:rPr>
                <w:rFonts w:ascii="Calibri" w:hAnsi="Calibri" w:cs="Calibri"/>
                <w:color w:val="000000"/>
                <w:sz w:val="16"/>
                <w:szCs w:val="16"/>
              </w:rPr>
            </w:pPr>
            <w:r w:rsidRPr="009831D0">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center"/>
            <w:hideMark/>
          </w:tcPr>
          <w:p w14:paraId="5C36650D" w14:textId="77777777" w:rsidR="009831D0" w:rsidRPr="009831D0" w:rsidRDefault="009831D0" w:rsidP="00C031EE">
            <w:pPr>
              <w:keepNext/>
              <w:keepLines/>
              <w:widowControl/>
              <w:autoSpaceDE/>
              <w:autoSpaceDN/>
              <w:adjustRightInd/>
              <w:jc w:val="right"/>
              <w:rPr>
                <w:rFonts w:ascii="Calibri" w:hAnsi="Calibri" w:cs="Calibri"/>
                <w:color w:val="000000"/>
                <w:sz w:val="16"/>
                <w:szCs w:val="16"/>
              </w:rPr>
            </w:pPr>
            <w:r w:rsidRPr="009831D0">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center"/>
            <w:hideMark/>
          </w:tcPr>
          <w:p w14:paraId="2DCF868E" w14:textId="77777777" w:rsidR="009831D0" w:rsidRPr="009831D0" w:rsidRDefault="009831D0" w:rsidP="00C031EE">
            <w:pPr>
              <w:keepNext/>
              <w:keepLines/>
              <w:widowControl/>
              <w:autoSpaceDE/>
              <w:autoSpaceDN/>
              <w:adjustRightInd/>
              <w:jc w:val="right"/>
              <w:rPr>
                <w:rFonts w:ascii="Calibri" w:hAnsi="Calibri" w:cs="Calibri"/>
                <w:color w:val="000000"/>
                <w:sz w:val="16"/>
                <w:szCs w:val="16"/>
              </w:rPr>
            </w:pPr>
            <w:r w:rsidRPr="009831D0">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center"/>
            <w:hideMark/>
          </w:tcPr>
          <w:p w14:paraId="0D69BF78" w14:textId="0656055E" w:rsidR="009831D0" w:rsidRPr="009831D0" w:rsidRDefault="00B07B2E" w:rsidP="00C031EE">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E87B85">
              <w:rPr>
                <w:rFonts w:ascii="Calibri" w:hAnsi="Calibri" w:cs="Calibri"/>
                <w:color w:val="000000"/>
                <w:sz w:val="16"/>
                <w:szCs w:val="16"/>
              </w:rPr>
              <w:t>0</w:t>
            </w:r>
            <w:r w:rsidR="009831D0" w:rsidRPr="009831D0">
              <w:rPr>
                <w:rFonts w:ascii="Calibri" w:hAnsi="Calibri" w:cs="Calibri"/>
                <w:color w:val="000000"/>
                <w:sz w:val="16"/>
                <w:szCs w:val="16"/>
              </w:rPr>
              <w:t> </w:t>
            </w:r>
          </w:p>
        </w:tc>
      </w:tr>
      <w:tr w:rsidR="009831D0" w:rsidRPr="009831D0" w14:paraId="1D7A66EE" w14:textId="77777777" w:rsidTr="001628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center"/>
            <w:hideMark/>
          </w:tcPr>
          <w:p w14:paraId="1EC8C7BF" w14:textId="77777777" w:rsidR="009831D0" w:rsidRPr="009831D0" w:rsidRDefault="009831D0" w:rsidP="00C031EE">
            <w:pPr>
              <w:keepNext/>
              <w:keepLines/>
              <w:widowControl/>
              <w:autoSpaceDE/>
              <w:autoSpaceDN/>
              <w:adjustRightInd/>
              <w:rPr>
                <w:rFonts w:ascii="Calibri" w:hAnsi="Calibri" w:cs="Calibri"/>
                <w:b/>
                <w:bCs/>
                <w:color w:val="000000"/>
                <w:sz w:val="16"/>
                <w:szCs w:val="16"/>
              </w:rPr>
            </w:pPr>
            <w:r w:rsidRPr="009831D0">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center"/>
            <w:hideMark/>
          </w:tcPr>
          <w:p w14:paraId="17A3B58B" w14:textId="77777777" w:rsidR="009831D0" w:rsidRPr="009831D0" w:rsidRDefault="009831D0" w:rsidP="00C031EE">
            <w:pPr>
              <w:keepNext/>
              <w:keepLines/>
              <w:widowControl/>
              <w:autoSpaceDE/>
              <w:autoSpaceDN/>
              <w:adjustRightInd/>
              <w:jc w:val="right"/>
              <w:rPr>
                <w:rFonts w:ascii="Calibri" w:hAnsi="Calibri" w:cs="Calibri"/>
                <w:color w:val="000000"/>
                <w:sz w:val="16"/>
                <w:szCs w:val="16"/>
              </w:rPr>
            </w:pPr>
            <w:r w:rsidRPr="009831D0">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center"/>
            <w:hideMark/>
          </w:tcPr>
          <w:p w14:paraId="7E785016" w14:textId="77777777" w:rsidR="009831D0" w:rsidRPr="009831D0" w:rsidRDefault="009831D0" w:rsidP="00C031EE">
            <w:pPr>
              <w:keepNext/>
              <w:keepLines/>
              <w:widowControl/>
              <w:autoSpaceDE/>
              <w:autoSpaceDN/>
              <w:adjustRightInd/>
              <w:jc w:val="right"/>
              <w:rPr>
                <w:rFonts w:ascii="Calibri" w:hAnsi="Calibri" w:cs="Calibri"/>
                <w:color w:val="000000"/>
                <w:sz w:val="16"/>
                <w:szCs w:val="16"/>
              </w:rPr>
            </w:pPr>
            <w:r w:rsidRPr="009831D0">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center"/>
            <w:hideMark/>
          </w:tcPr>
          <w:p w14:paraId="68A55DD7" w14:textId="77777777" w:rsidR="009831D0" w:rsidRPr="009831D0" w:rsidRDefault="009831D0" w:rsidP="00C031EE">
            <w:pPr>
              <w:keepNext/>
              <w:keepLines/>
              <w:widowControl/>
              <w:autoSpaceDE/>
              <w:autoSpaceDN/>
              <w:adjustRightInd/>
              <w:jc w:val="right"/>
              <w:rPr>
                <w:rFonts w:ascii="Calibri" w:hAnsi="Calibri" w:cs="Calibri"/>
                <w:color w:val="000000"/>
                <w:sz w:val="16"/>
                <w:szCs w:val="16"/>
              </w:rPr>
            </w:pPr>
            <w:r w:rsidRPr="009831D0">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center"/>
            <w:hideMark/>
          </w:tcPr>
          <w:p w14:paraId="2B0DF911" w14:textId="77777777" w:rsidR="009831D0" w:rsidRPr="009831D0" w:rsidRDefault="009831D0" w:rsidP="00C031EE">
            <w:pPr>
              <w:keepNext/>
              <w:keepLines/>
              <w:widowControl/>
              <w:autoSpaceDE/>
              <w:autoSpaceDN/>
              <w:adjustRightInd/>
              <w:jc w:val="right"/>
              <w:rPr>
                <w:rFonts w:ascii="Calibri" w:hAnsi="Calibri" w:cs="Calibri"/>
                <w:color w:val="000000"/>
                <w:sz w:val="16"/>
                <w:szCs w:val="16"/>
              </w:rPr>
            </w:pPr>
            <w:r w:rsidRPr="009831D0">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center"/>
            <w:hideMark/>
          </w:tcPr>
          <w:p w14:paraId="5218D399" w14:textId="5A4B51BA" w:rsidR="009831D0" w:rsidRPr="009831D0" w:rsidRDefault="00B07B2E" w:rsidP="00C031EE">
            <w:pPr>
              <w:keepNext/>
              <w:keepLines/>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9831D0" w:rsidRPr="009831D0">
              <w:rPr>
                <w:rFonts w:ascii="Calibri" w:hAnsi="Calibri" w:cs="Calibri"/>
                <w:color w:val="000000"/>
                <w:sz w:val="16"/>
                <w:szCs w:val="16"/>
              </w:rPr>
              <w:t> </w:t>
            </w:r>
          </w:p>
        </w:tc>
      </w:tr>
      <w:tr w:rsidR="009831D0" w:rsidRPr="009831D0" w14:paraId="4D383147" w14:textId="77777777" w:rsidTr="001628BA">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noWrap/>
            <w:vAlign w:val="center"/>
            <w:hideMark/>
          </w:tcPr>
          <w:p w14:paraId="0305BCA5" w14:textId="77777777" w:rsidR="009831D0" w:rsidRPr="009831D0" w:rsidRDefault="009831D0" w:rsidP="00C031EE">
            <w:pPr>
              <w:keepNext/>
              <w:keepLines/>
              <w:widowControl/>
              <w:autoSpaceDE/>
              <w:autoSpaceDN/>
              <w:adjustRightInd/>
              <w:rPr>
                <w:rFonts w:ascii="Calibri" w:hAnsi="Calibri" w:cs="Calibri"/>
                <w:b/>
                <w:bCs/>
                <w:color w:val="000000"/>
                <w:sz w:val="16"/>
                <w:szCs w:val="16"/>
              </w:rPr>
            </w:pPr>
            <w:r w:rsidRPr="009831D0">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center"/>
            <w:hideMark/>
          </w:tcPr>
          <w:p w14:paraId="0E22AB09" w14:textId="77777777" w:rsidR="009831D0" w:rsidRPr="009831D0" w:rsidRDefault="009831D0" w:rsidP="00C031EE">
            <w:pPr>
              <w:keepNext/>
              <w:keepLines/>
              <w:widowControl/>
              <w:autoSpaceDE/>
              <w:autoSpaceDN/>
              <w:adjustRightInd/>
              <w:jc w:val="right"/>
              <w:rPr>
                <w:rFonts w:ascii="Calibri" w:hAnsi="Calibri" w:cs="Calibri"/>
                <w:b/>
                <w:color w:val="000000"/>
                <w:sz w:val="16"/>
                <w:szCs w:val="16"/>
              </w:rPr>
            </w:pPr>
            <w:r w:rsidRPr="009831D0">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noWrap/>
            <w:vAlign w:val="center"/>
            <w:hideMark/>
          </w:tcPr>
          <w:p w14:paraId="63082860" w14:textId="77777777" w:rsidR="009831D0" w:rsidRPr="009831D0" w:rsidRDefault="009831D0" w:rsidP="00C031EE">
            <w:pPr>
              <w:keepNext/>
              <w:keepLines/>
              <w:widowControl/>
              <w:autoSpaceDE/>
              <w:autoSpaceDN/>
              <w:adjustRightInd/>
              <w:jc w:val="right"/>
              <w:rPr>
                <w:rFonts w:ascii="Calibri" w:hAnsi="Calibri" w:cs="Calibri"/>
                <w:b/>
                <w:color w:val="000000"/>
                <w:sz w:val="16"/>
                <w:szCs w:val="16"/>
              </w:rPr>
            </w:pPr>
            <w:r w:rsidRPr="009831D0">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center"/>
            <w:hideMark/>
          </w:tcPr>
          <w:p w14:paraId="4B01CCE1" w14:textId="77777777" w:rsidR="009831D0" w:rsidRPr="009831D0" w:rsidRDefault="009831D0" w:rsidP="00C031EE">
            <w:pPr>
              <w:keepNext/>
              <w:keepLines/>
              <w:widowControl/>
              <w:autoSpaceDE/>
              <w:autoSpaceDN/>
              <w:adjustRightInd/>
              <w:jc w:val="right"/>
              <w:rPr>
                <w:rFonts w:ascii="Calibri" w:hAnsi="Calibri" w:cs="Calibri"/>
                <w:b/>
                <w:color w:val="000000"/>
                <w:sz w:val="16"/>
                <w:szCs w:val="16"/>
              </w:rPr>
            </w:pPr>
            <w:r w:rsidRPr="009831D0">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noWrap/>
            <w:vAlign w:val="center"/>
            <w:hideMark/>
          </w:tcPr>
          <w:p w14:paraId="1F1DC40F" w14:textId="77777777" w:rsidR="009831D0" w:rsidRPr="009831D0" w:rsidRDefault="009831D0" w:rsidP="00C031EE">
            <w:pPr>
              <w:keepNext/>
              <w:keepLines/>
              <w:widowControl/>
              <w:autoSpaceDE/>
              <w:autoSpaceDN/>
              <w:adjustRightInd/>
              <w:jc w:val="right"/>
              <w:rPr>
                <w:rFonts w:ascii="Calibri" w:hAnsi="Calibri" w:cs="Calibri"/>
                <w:b/>
                <w:color w:val="000000"/>
                <w:sz w:val="16"/>
                <w:szCs w:val="16"/>
              </w:rPr>
            </w:pPr>
            <w:r w:rsidRPr="009831D0">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noWrap/>
            <w:vAlign w:val="center"/>
            <w:hideMark/>
          </w:tcPr>
          <w:p w14:paraId="53F731A4" w14:textId="357827F6" w:rsidR="009831D0" w:rsidRPr="009831D0" w:rsidRDefault="00B07B2E" w:rsidP="00C031EE">
            <w:pPr>
              <w:keepNext/>
              <w:keepLines/>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$9,002</w:t>
            </w:r>
            <w:r w:rsidR="009831D0" w:rsidRPr="009831D0">
              <w:rPr>
                <w:rFonts w:ascii="Calibri" w:hAnsi="Calibri" w:cs="Calibri"/>
                <w:b/>
                <w:color w:val="000000"/>
                <w:sz w:val="16"/>
                <w:szCs w:val="16"/>
              </w:rPr>
              <w:t> </w:t>
            </w:r>
          </w:p>
        </w:tc>
      </w:tr>
    </w:tbl>
    <w:p w14:paraId="5089CD2C" w14:textId="77777777" w:rsidR="00AE57F8" w:rsidRDefault="00AE57F8">
      <w:pPr>
        <w:widowControl/>
        <w:tabs>
          <w:tab w:val="left" w:pos="-1080"/>
          <w:tab w:val="left" w:pos="-720"/>
          <w:tab w:val="left" w:pos="0"/>
          <w:tab w:val="left" w:pos="720"/>
          <w:tab w:val="left" w:pos="1080"/>
        </w:tabs>
      </w:pPr>
    </w:p>
    <w:p w14:paraId="22663F79" w14:textId="77777777" w:rsidR="009831D0" w:rsidRDefault="009831D0" w:rsidP="00095EE9">
      <w:pPr>
        <w:widowControl/>
        <w:autoSpaceDE/>
        <w:autoSpaceDN/>
        <w:adjustRightInd/>
        <w:rPr>
          <w:b/>
          <w:bCs/>
        </w:rPr>
      </w:pPr>
    </w:p>
    <w:p w14:paraId="5190FAC8" w14:textId="05016AAE" w:rsidR="00AE57F8" w:rsidRDefault="00AE57F8" w:rsidP="00C031EE">
      <w:pPr>
        <w:keepNext/>
        <w:keepLines/>
        <w:widowControl/>
        <w:autoSpaceDE/>
        <w:autoSpaceDN/>
        <w:adjustRightInd/>
        <w:rPr>
          <w:b/>
          <w:bCs/>
        </w:rPr>
      </w:pPr>
      <w:r>
        <w:rPr>
          <w:b/>
          <w:bCs/>
        </w:rPr>
        <w:t xml:space="preserve">15.  </w:t>
      </w:r>
      <w:r>
        <w:rPr>
          <w:b/>
          <w:bCs/>
          <w:u w:val="single"/>
        </w:rPr>
        <w:t>Explain the reasons for any program changes or adjustments</w:t>
      </w:r>
      <w:r>
        <w:rPr>
          <w:b/>
          <w:bCs/>
        </w:rPr>
        <w:t>.</w:t>
      </w:r>
    </w:p>
    <w:p w14:paraId="41F1B6C7" w14:textId="77777777" w:rsidR="00380A6F" w:rsidRDefault="00380A6F" w:rsidP="00C031EE">
      <w:pPr>
        <w:keepNext/>
        <w:keepLines/>
        <w:widowControl/>
        <w:tabs>
          <w:tab w:val="left" w:pos="-1080"/>
          <w:tab w:val="left" w:pos="-720"/>
          <w:tab w:val="left" w:pos="0"/>
          <w:tab w:val="left" w:pos="720"/>
          <w:tab w:val="left" w:pos="1080"/>
        </w:tabs>
      </w:pPr>
    </w:p>
    <w:p w14:paraId="6CF04BCD" w14:textId="77777777" w:rsidR="009831D0" w:rsidRDefault="009831D0" w:rsidP="00C031EE">
      <w:pPr>
        <w:keepNext/>
        <w:keepLines/>
        <w:widowControl/>
      </w:pPr>
      <w:r w:rsidRPr="009831D0">
        <w:t xml:space="preserve">The following tables show the changes and in the number of respondents, responses, time estimates, labor costs, and miscellaneous costs; and explains the reasons for these changes. </w:t>
      </w:r>
    </w:p>
    <w:p w14:paraId="557CFA94" w14:textId="77777777" w:rsidR="009831D0" w:rsidRDefault="009831D0" w:rsidP="00C031EE">
      <w:pPr>
        <w:keepNext/>
        <w:keepLines/>
        <w:widowControl/>
      </w:pPr>
    </w:p>
    <w:tbl>
      <w:tblPr>
        <w:tblW w:w="133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990"/>
        <w:gridCol w:w="988"/>
        <w:gridCol w:w="1003"/>
        <w:gridCol w:w="1129"/>
        <w:gridCol w:w="1129"/>
        <w:gridCol w:w="1130"/>
        <w:gridCol w:w="4390"/>
      </w:tblGrid>
      <w:tr w:rsidR="009831D0" w:rsidRPr="009831D0" w14:paraId="3BB2A931" w14:textId="77777777" w:rsidTr="00171066">
        <w:tc>
          <w:tcPr>
            <w:tcW w:w="2633" w:type="dxa"/>
            <w:vMerge w:val="restart"/>
            <w:shd w:val="clear" w:color="auto" w:fill="5B9BD5"/>
            <w:vAlign w:val="center"/>
          </w:tcPr>
          <w:p w14:paraId="722C93FE" w14:textId="77777777" w:rsidR="009831D0" w:rsidRPr="009831D0" w:rsidRDefault="009831D0" w:rsidP="00C031EE">
            <w:pPr>
              <w:keepNext/>
              <w:keepLines/>
              <w:widowControl/>
              <w:jc w:val="center"/>
              <w:rPr>
                <w:rFonts w:ascii="Calibri" w:eastAsia="Calibri" w:hAnsi="Calibri"/>
                <w:b/>
                <w:sz w:val="16"/>
                <w:szCs w:val="16"/>
              </w:rPr>
            </w:pPr>
            <w:r w:rsidRPr="009831D0">
              <w:rPr>
                <w:rFonts w:ascii="Calibri" w:eastAsia="Calibri" w:hAnsi="Calibri"/>
                <w:b/>
                <w:sz w:val="16"/>
                <w:szCs w:val="16"/>
              </w:rPr>
              <w:t>Information Collection</w:t>
            </w:r>
          </w:p>
        </w:tc>
        <w:tc>
          <w:tcPr>
            <w:tcW w:w="1978" w:type="dxa"/>
            <w:gridSpan w:val="2"/>
            <w:tcBorders>
              <w:bottom w:val="single" w:sz="4" w:space="0" w:color="auto"/>
            </w:tcBorders>
            <w:shd w:val="clear" w:color="auto" w:fill="5B9BD5"/>
            <w:vAlign w:val="center"/>
          </w:tcPr>
          <w:p w14:paraId="3336783A" w14:textId="77777777" w:rsidR="009831D0" w:rsidRPr="009831D0" w:rsidRDefault="009831D0" w:rsidP="00C031EE">
            <w:pPr>
              <w:keepNext/>
              <w:keepLines/>
              <w:widowControl/>
              <w:jc w:val="center"/>
              <w:rPr>
                <w:rFonts w:ascii="Calibri" w:eastAsia="Calibri" w:hAnsi="Calibri"/>
                <w:b/>
                <w:sz w:val="16"/>
                <w:szCs w:val="16"/>
              </w:rPr>
            </w:pPr>
            <w:r w:rsidRPr="009831D0">
              <w:rPr>
                <w:rFonts w:ascii="Calibri" w:eastAsia="Calibri" w:hAnsi="Calibri"/>
                <w:b/>
                <w:sz w:val="16"/>
                <w:szCs w:val="16"/>
              </w:rPr>
              <w:t>Respondents</w:t>
            </w:r>
          </w:p>
        </w:tc>
        <w:tc>
          <w:tcPr>
            <w:tcW w:w="2132" w:type="dxa"/>
            <w:gridSpan w:val="2"/>
            <w:tcBorders>
              <w:bottom w:val="single" w:sz="4" w:space="0" w:color="auto"/>
            </w:tcBorders>
            <w:shd w:val="clear" w:color="auto" w:fill="5B9BD5"/>
            <w:vAlign w:val="center"/>
          </w:tcPr>
          <w:p w14:paraId="4BAF13C6" w14:textId="77777777" w:rsidR="009831D0" w:rsidRPr="009831D0" w:rsidRDefault="009831D0" w:rsidP="00C031EE">
            <w:pPr>
              <w:keepNext/>
              <w:keepLines/>
              <w:widowControl/>
              <w:jc w:val="center"/>
              <w:rPr>
                <w:rFonts w:ascii="Calibri" w:eastAsia="Calibri" w:hAnsi="Calibri"/>
                <w:b/>
                <w:sz w:val="16"/>
                <w:szCs w:val="16"/>
              </w:rPr>
            </w:pPr>
            <w:r w:rsidRPr="009831D0">
              <w:rPr>
                <w:rFonts w:ascii="Calibri" w:eastAsia="Calibri" w:hAnsi="Calibri"/>
                <w:b/>
                <w:sz w:val="16"/>
                <w:szCs w:val="16"/>
              </w:rPr>
              <w:t>Responses</w:t>
            </w:r>
          </w:p>
        </w:tc>
        <w:tc>
          <w:tcPr>
            <w:tcW w:w="2259" w:type="dxa"/>
            <w:gridSpan w:val="2"/>
            <w:tcBorders>
              <w:bottom w:val="single" w:sz="4" w:space="0" w:color="auto"/>
            </w:tcBorders>
            <w:shd w:val="clear" w:color="auto" w:fill="5B9BD5"/>
            <w:vAlign w:val="center"/>
          </w:tcPr>
          <w:p w14:paraId="16967071" w14:textId="77777777" w:rsidR="009831D0" w:rsidRPr="009831D0" w:rsidRDefault="009831D0" w:rsidP="00C031EE">
            <w:pPr>
              <w:keepNext/>
              <w:keepLines/>
              <w:widowControl/>
              <w:jc w:val="center"/>
              <w:rPr>
                <w:rFonts w:ascii="Calibri" w:eastAsia="Calibri" w:hAnsi="Calibri"/>
                <w:b/>
                <w:sz w:val="16"/>
                <w:szCs w:val="16"/>
              </w:rPr>
            </w:pPr>
            <w:r w:rsidRPr="009831D0">
              <w:rPr>
                <w:rFonts w:ascii="Calibri" w:eastAsia="Calibri" w:hAnsi="Calibri"/>
                <w:b/>
                <w:sz w:val="16"/>
                <w:szCs w:val="16"/>
              </w:rPr>
              <w:t>Burden Hours</w:t>
            </w:r>
          </w:p>
        </w:tc>
        <w:tc>
          <w:tcPr>
            <w:tcW w:w="4390" w:type="dxa"/>
            <w:vMerge w:val="restart"/>
            <w:shd w:val="clear" w:color="auto" w:fill="5B9BD5"/>
            <w:vAlign w:val="center"/>
          </w:tcPr>
          <w:p w14:paraId="24646CE7" w14:textId="77777777" w:rsidR="009831D0" w:rsidRPr="009831D0" w:rsidRDefault="009831D0" w:rsidP="00C031EE">
            <w:pPr>
              <w:keepNext/>
              <w:keepLines/>
              <w:widowControl/>
              <w:jc w:val="center"/>
              <w:rPr>
                <w:rFonts w:ascii="Calibri" w:eastAsia="Calibri" w:hAnsi="Calibri"/>
                <w:b/>
                <w:sz w:val="16"/>
                <w:szCs w:val="16"/>
              </w:rPr>
            </w:pPr>
            <w:r w:rsidRPr="009831D0">
              <w:rPr>
                <w:rFonts w:ascii="Calibri" w:eastAsia="Calibri" w:hAnsi="Calibri"/>
                <w:b/>
                <w:sz w:val="16"/>
                <w:szCs w:val="16"/>
              </w:rPr>
              <w:t>Reason for change or adjustment</w:t>
            </w:r>
          </w:p>
        </w:tc>
      </w:tr>
      <w:tr w:rsidR="009831D0" w:rsidRPr="009831D0" w14:paraId="6BE1AB5E" w14:textId="77777777" w:rsidTr="00171066">
        <w:tc>
          <w:tcPr>
            <w:tcW w:w="2633" w:type="dxa"/>
            <w:vMerge/>
            <w:shd w:val="clear" w:color="auto" w:fill="5B9BD5"/>
            <w:vAlign w:val="center"/>
          </w:tcPr>
          <w:p w14:paraId="50119D62" w14:textId="77777777" w:rsidR="009831D0" w:rsidRPr="009831D0" w:rsidRDefault="009831D0" w:rsidP="00C031EE">
            <w:pPr>
              <w:keepNext/>
              <w:keepLines/>
              <w:widowControl/>
              <w:rPr>
                <w:rFonts w:ascii="Calibri" w:eastAsia="Calibri" w:hAnsi="Calibri"/>
                <w:sz w:val="16"/>
                <w:szCs w:val="16"/>
              </w:rPr>
            </w:pPr>
          </w:p>
        </w:tc>
        <w:tc>
          <w:tcPr>
            <w:tcW w:w="990" w:type="dxa"/>
            <w:tcBorders>
              <w:bottom w:val="single" w:sz="4" w:space="0" w:color="auto"/>
              <w:right w:val="dashed" w:sz="4" w:space="0" w:color="auto"/>
            </w:tcBorders>
            <w:shd w:val="clear" w:color="auto" w:fill="FBE4D5"/>
            <w:vAlign w:val="center"/>
          </w:tcPr>
          <w:p w14:paraId="4ECF979C" w14:textId="77777777" w:rsidR="009831D0" w:rsidRPr="009831D0" w:rsidRDefault="009831D0" w:rsidP="00C031EE">
            <w:pPr>
              <w:keepNext/>
              <w:keepLines/>
              <w:widowControl/>
              <w:jc w:val="center"/>
              <w:rPr>
                <w:rFonts w:ascii="Calibri" w:eastAsia="Calibri" w:hAnsi="Calibri"/>
                <w:sz w:val="16"/>
                <w:szCs w:val="16"/>
              </w:rPr>
            </w:pPr>
            <w:r w:rsidRPr="009831D0">
              <w:rPr>
                <w:rFonts w:ascii="Calibri" w:eastAsia="Calibri" w:hAnsi="Calibri"/>
                <w:sz w:val="16"/>
                <w:szCs w:val="16"/>
              </w:rPr>
              <w:t>Current Renewal / Revision</w:t>
            </w:r>
          </w:p>
        </w:tc>
        <w:tc>
          <w:tcPr>
            <w:tcW w:w="988" w:type="dxa"/>
            <w:tcBorders>
              <w:left w:val="dashed" w:sz="4" w:space="0" w:color="auto"/>
              <w:bottom w:val="single" w:sz="4" w:space="0" w:color="auto"/>
            </w:tcBorders>
            <w:shd w:val="clear" w:color="auto" w:fill="FBE4D5"/>
            <w:vAlign w:val="center"/>
          </w:tcPr>
          <w:p w14:paraId="0CF821CD" w14:textId="77777777" w:rsidR="009831D0" w:rsidRPr="009831D0" w:rsidRDefault="009831D0" w:rsidP="00C031EE">
            <w:pPr>
              <w:keepNext/>
              <w:keepLines/>
              <w:widowControl/>
              <w:jc w:val="center"/>
              <w:rPr>
                <w:rFonts w:ascii="Calibri" w:eastAsia="Calibri" w:hAnsi="Calibri"/>
                <w:sz w:val="16"/>
                <w:szCs w:val="16"/>
              </w:rPr>
            </w:pPr>
            <w:r w:rsidRPr="009831D0">
              <w:rPr>
                <w:rFonts w:ascii="Calibri" w:eastAsia="Calibri" w:hAnsi="Calibri"/>
                <w:sz w:val="16"/>
                <w:szCs w:val="16"/>
              </w:rPr>
              <w:t>Previous Renewal / Revision</w:t>
            </w:r>
          </w:p>
        </w:tc>
        <w:tc>
          <w:tcPr>
            <w:tcW w:w="1003" w:type="dxa"/>
            <w:tcBorders>
              <w:right w:val="dashed" w:sz="4" w:space="0" w:color="auto"/>
            </w:tcBorders>
            <w:shd w:val="clear" w:color="auto" w:fill="FBE4D5"/>
            <w:vAlign w:val="center"/>
          </w:tcPr>
          <w:p w14:paraId="26357F0E" w14:textId="77777777" w:rsidR="009831D0" w:rsidRPr="009831D0" w:rsidRDefault="009831D0" w:rsidP="00C031EE">
            <w:pPr>
              <w:keepNext/>
              <w:keepLines/>
              <w:widowControl/>
              <w:jc w:val="center"/>
              <w:rPr>
                <w:rFonts w:ascii="Calibri" w:eastAsia="Calibri" w:hAnsi="Calibri"/>
                <w:sz w:val="16"/>
                <w:szCs w:val="16"/>
              </w:rPr>
            </w:pPr>
            <w:r w:rsidRPr="009831D0">
              <w:rPr>
                <w:rFonts w:ascii="Calibri" w:eastAsia="Calibri" w:hAnsi="Calibri"/>
                <w:sz w:val="16"/>
                <w:szCs w:val="16"/>
              </w:rPr>
              <w:t>Current Renewal / Revision</w:t>
            </w:r>
          </w:p>
        </w:tc>
        <w:tc>
          <w:tcPr>
            <w:tcW w:w="1129" w:type="dxa"/>
            <w:tcBorders>
              <w:left w:val="dashed" w:sz="4" w:space="0" w:color="auto"/>
            </w:tcBorders>
            <w:shd w:val="clear" w:color="auto" w:fill="FBE4D5"/>
            <w:vAlign w:val="center"/>
          </w:tcPr>
          <w:p w14:paraId="6D57FDCC" w14:textId="77777777" w:rsidR="009831D0" w:rsidRPr="009831D0" w:rsidRDefault="009831D0" w:rsidP="00C031EE">
            <w:pPr>
              <w:keepNext/>
              <w:keepLines/>
              <w:widowControl/>
              <w:jc w:val="center"/>
              <w:rPr>
                <w:rFonts w:ascii="Calibri" w:eastAsia="Calibri" w:hAnsi="Calibri"/>
                <w:sz w:val="16"/>
                <w:szCs w:val="16"/>
              </w:rPr>
            </w:pPr>
            <w:r w:rsidRPr="009831D0">
              <w:rPr>
                <w:rFonts w:ascii="Calibri" w:eastAsia="Calibri" w:hAnsi="Calibri"/>
                <w:sz w:val="16"/>
                <w:szCs w:val="16"/>
              </w:rPr>
              <w:t>Previous Renewal / Revision</w:t>
            </w:r>
          </w:p>
        </w:tc>
        <w:tc>
          <w:tcPr>
            <w:tcW w:w="1129" w:type="dxa"/>
            <w:tcBorders>
              <w:bottom w:val="single" w:sz="4" w:space="0" w:color="auto"/>
              <w:right w:val="dashed" w:sz="4" w:space="0" w:color="auto"/>
            </w:tcBorders>
            <w:shd w:val="clear" w:color="auto" w:fill="FBE4D5"/>
            <w:vAlign w:val="center"/>
          </w:tcPr>
          <w:p w14:paraId="63B06069" w14:textId="77777777" w:rsidR="009831D0" w:rsidRPr="009831D0" w:rsidRDefault="009831D0" w:rsidP="00C031EE">
            <w:pPr>
              <w:keepNext/>
              <w:keepLines/>
              <w:widowControl/>
              <w:jc w:val="center"/>
              <w:rPr>
                <w:rFonts w:ascii="Calibri" w:eastAsia="Calibri" w:hAnsi="Calibri"/>
                <w:sz w:val="16"/>
                <w:szCs w:val="16"/>
              </w:rPr>
            </w:pPr>
            <w:r w:rsidRPr="009831D0">
              <w:rPr>
                <w:rFonts w:ascii="Calibri" w:eastAsia="Calibri" w:hAnsi="Calibri"/>
                <w:sz w:val="16"/>
                <w:szCs w:val="16"/>
              </w:rPr>
              <w:t>Current Renewal / Revision</w:t>
            </w:r>
          </w:p>
        </w:tc>
        <w:tc>
          <w:tcPr>
            <w:tcW w:w="1130" w:type="dxa"/>
            <w:tcBorders>
              <w:left w:val="dashed" w:sz="4" w:space="0" w:color="auto"/>
            </w:tcBorders>
            <w:shd w:val="clear" w:color="auto" w:fill="FBE4D5"/>
            <w:vAlign w:val="center"/>
          </w:tcPr>
          <w:p w14:paraId="006F8C2B" w14:textId="77777777" w:rsidR="009831D0" w:rsidRPr="009831D0" w:rsidRDefault="009831D0" w:rsidP="00C031EE">
            <w:pPr>
              <w:keepNext/>
              <w:keepLines/>
              <w:widowControl/>
              <w:jc w:val="center"/>
              <w:rPr>
                <w:rFonts w:ascii="Calibri" w:eastAsia="Calibri" w:hAnsi="Calibri"/>
                <w:sz w:val="16"/>
                <w:szCs w:val="16"/>
              </w:rPr>
            </w:pPr>
            <w:r w:rsidRPr="009831D0">
              <w:rPr>
                <w:rFonts w:ascii="Calibri" w:eastAsia="Calibri" w:hAnsi="Calibri"/>
                <w:sz w:val="16"/>
                <w:szCs w:val="16"/>
              </w:rPr>
              <w:t>Previous Renewal / Revision</w:t>
            </w:r>
          </w:p>
        </w:tc>
        <w:tc>
          <w:tcPr>
            <w:tcW w:w="4390" w:type="dxa"/>
            <w:vMerge/>
            <w:shd w:val="clear" w:color="auto" w:fill="FBE4D5"/>
            <w:vAlign w:val="center"/>
          </w:tcPr>
          <w:p w14:paraId="5260EFF0" w14:textId="77777777" w:rsidR="009831D0" w:rsidRPr="009831D0" w:rsidRDefault="009831D0" w:rsidP="00C031EE">
            <w:pPr>
              <w:keepNext/>
              <w:keepLines/>
              <w:widowControl/>
              <w:rPr>
                <w:rFonts w:ascii="Calibri" w:eastAsia="Calibri" w:hAnsi="Calibri"/>
                <w:sz w:val="16"/>
                <w:szCs w:val="16"/>
              </w:rPr>
            </w:pPr>
          </w:p>
        </w:tc>
      </w:tr>
      <w:tr w:rsidR="00FC3A64" w:rsidRPr="009831D0" w14:paraId="1096B60C" w14:textId="77777777" w:rsidTr="00FC3A64">
        <w:tc>
          <w:tcPr>
            <w:tcW w:w="2633" w:type="dxa"/>
            <w:shd w:val="clear" w:color="auto" w:fill="auto"/>
          </w:tcPr>
          <w:p w14:paraId="4B783101" w14:textId="35BE05B0" w:rsidR="00FC3A64" w:rsidRPr="00673122" w:rsidRDefault="00FC3A64" w:rsidP="00FC3A64">
            <w:pPr>
              <w:keepNext/>
              <w:keepLines/>
              <w:widowControl/>
              <w:rPr>
                <w:rFonts w:asciiTheme="minorHAnsi" w:hAnsiTheme="minorHAnsi" w:cstheme="minorHAnsi"/>
                <w:sz w:val="16"/>
                <w:szCs w:val="16"/>
              </w:rPr>
            </w:pPr>
            <w:r w:rsidRPr="00673122">
              <w:rPr>
                <w:rFonts w:asciiTheme="minorHAnsi" w:hAnsiTheme="minorHAnsi" w:cstheme="minorHAnsi"/>
                <w:sz w:val="16"/>
                <w:szCs w:val="16"/>
              </w:rPr>
              <w:t>Application for AFA Permit: Rebuilt, Replaced, or Removed Vessel</w:t>
            </w:r>
          </w:p>
        </w:tc>
        <w:tc>
          <w:tcPr>
            <w:tcW w:w="990" w:type="dxa"/>
            <w:tcBorders>
              <w:bottom w:val="dotted" w:sz="4" w:space="0" w:color="auto"/>
              <w:right w:val="dashed" w:sz="4" w:space="0" w:color="auto"/>
            </w:tcBorders>
            <w:shd w:val="clear" w:color="auto" w:fill="auto"/>
            <w:vAlign w:val="center"/>
          </w:tcPr>
          <w:p w14:paraId="5CFCD6F1" w14:textId="5A138BEF"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hAnsiTheme="minorHAnsi" w:cstheme="minorHAnsi"/>
                <w:sz w:val="16"/>
                <w:szCs w:val="16"/>
              </w:rPr>
              <w:t>12</w:t>
            </w:r>
          </w:p>
        </w:tc>
        <w:tc>
          <w:tcPr>
            <w:tcW w:w="988" w:type="dxa"/>
            <w:tcBorders>
              <w:left w:val="dashed" w:sz="4" w:space="0" w:color="auto"/>
              <w:bottom w:val="dotted" w:sz="4" w:space="0" w:color="auto"/>
            </w:tcBorders>
            <w:shd w:val="clear" w:color="auto" w:fill="auto"/>
            <w:vAlign w:val="center"/>
          </w:tcPr>
          <w:p w14:paraId="6ACEC4BF" w14:textId="5B59D647"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eastAsia="Calibri" w:hAnsiTheme="minorHAnsi" w:cstheme="minorHAnsi"/>
                <w:sz w:val="16"/>
                <w:szCs w:val="16"/>
              </w:rPr>
              <w:t>3</w:t>
            </w:r>
          </w:p>
        </w:tc>
        <w:tc>
          <w:tcPr>
            <w:tcW w:w="1003" w:type="dxa"/>
            <w:tcBorders>
              <w:bottom w:val="dotted" w:sz="4" w:space="0" w:color="auto"/>
              <w:right w:val="dashed" w:sz="4" w:space="0" w:color="auto"/>
            </w:tcBorders>
            <w:shd w:val="clear" w:color="auto" w:fill="auto"/>
            <w:vAlign w:val="center"/>
          </w:tcPr>
          <w:p w14:paraId="195ED47E" w14:textId="0003DB6A"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hAnsiTheme="minorHAnsi" w:cstheme="minorHAnsi"/>
                <w:sz w:val="16"/>
                <w:szCs w:val="16"/>
              </w:rPr>
              <w:t>12</w:t>
            </w:r>
          </w:p>
        </w:tc>
        <w:tc>
          <w:tcPr>
            <w:tcW w:w="1129" w:type="dxa"/>
            <w:tcBorders>
              <w:left w:val="dashed" w:sz="4" w:space="0" w:color="auto"/>
              <w:bottom w:val="dotted" w:sz="4" w:space="0" w:color="auto"/>
            </w:tcBorders>
            <w:shd w:val="clear" w:color="auto" w:fill="auto"/>
            <w:vAlign w:val="center"/>
          </w:tcPr>
          <w:p w14:paraId="660A980C" w14:textId="03DD4FB8"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eastAsia="Calibri" w:hAnsiTheme="minorHAnsi" w:cstheme="minorHAnsi"/>
                <w:sz w:val="16"/>
                <w:szCs w:val="16"/>
              </w:rPr>
              <w:t>3</w:t>
            </w:r>
          </w:p>
        </w:tc>
        <w:tc>
          <w:tcPr>
            <w:tcW w:w="1129" w:type="dxa"/>
            <w:tcBorders>
              <w:bottom w:val="dotted" w:sz="4" w:space="0" w:color="auto"/>
              <w:right w:val="dashed" w:sz="4" w:space="0" w:color="auto"/>
            </w:tcBorders>
            <w:shd w:val="clear" w:color="auto" w:fill="auto"/>
            <w:vAlign w:val="center"/>
          </w:tcPr>
          <w:p w14:paraId="3F77FFFE" w14:textId="01F812F6"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hAnsiTheme="minorHAnsi" w:cstheme="minorHAnsi"/>
                <w:sz w:val="16"/>
                <w:szCs w:val="16"/>
              </w:rPr>
              <w:t>12</w:t>
            </w:r>
          </w:p>
        </w:tc>
        <w:tc>
          <w:tcPr>
            <w:tcW w:w="1130" w:type="dxa"/>
            <w:tcBorders>
              <w:left w:val="dashed" w:sz="4" w:space="0" w:color="auto"/>
              <w:bottom w:val="dotted" w:sz="4" w:space="0" w:color="auto"/>
            </w:tcBorders>
            <w:shd w:val="clear" w:color="auto" w:fill="auto"/>
            <w:vAlign w:val="center"/>
          </w:tcPr>
          <w:p w14:paraId="79A481DF" w14:textId="5FB6F030" w:rsidR="00FC3A64" w:rsidRPr="009831D0" w:rsidRDefault="00FC3A64" w:rsidP="00FC3A64">
            <w:pPr>
              <w:keepNext/>
              <w:keepLines/>
              <w:widowControl/>
              <w:jc w:val="center"/>
              <w:rPr>
                <w:rFonts w:ascii="Calibri" w:eastAsia="Calibri" w:hAnsi="Calibri"/>
                <w:sz w:val="16"/>
                <w:szCs w:val="16"/>
              </w:rPr>
            </w:pPr>
            <w:r>
              <w:rPr>
                <w:rFonts w:ascii="Calibri" w:eastAsia="Calibri" w:hAnsi="Calibri"/>
                <w:sz w:val="16"/>
                <w:szCs w:val="16"/>
              </w:rPr>
              <w:t>3</w:t>
            </w:r>
          </w:p>
        </w:tc>
        <w:tc>
          <w:tcPr>
            <w:tcW w:w="4390" w:type="dxa"/>
            <w:tcBorders>
              <w:left w:val="dotted" w:sz="4" w:space="0" w:color="auto"/>
              <w:bottom w:val="dotted" w:sz="4" w:space="0" w:color="auto"/>
            </w:tcBorders>
            <w:shd w:val="clear" w:color="auto" w:fill="auto"/>
            <w:vAlign w:val="center"/>
          </w:tcPr>
          <w:p w14:paraId="3717369B" w14:textId="19A6744C" w:rsidR="00FC3A64" w:rsidRPr="009831D0" w:rsidRDefault="00FC3A64" w:rsidP="00B520AC">
            <w:pPr>
              <w:keepNext/>
              <w:keepLines/>
              <w:widowControl/>
              <w:rPr>
                <w:rFonts w:ascii="Calibri" w:eastAsia="Calibri" w:hAnsi="Calibri"/>
                <w:sz w:val="16"/>
                <w:szCs w:val="16"/>
              </w:rPr>
            </w:pPr>
            <w:r>
              <w:rPr>
                <w:rFonts w:ascii="Calibri" w:eastAsia="Calibri" w:hAnsi="Calibri"/>
                <w:sz w:val="16"/>
                <w:szCs w:val="16"/>
              </w:rPr>
              <w:t xml:space="preserve">Increased </w:t>
            </w:r>
            <w:r w:rsidRPr="00FC3A64">
              <w:rPr>
                <w:rFonts w:ascii="Calibri" w:eastAsia="Calibri" w:hAnsi="Calibri"/>
                <w:sz w:val="16"/>
                <w:szCs w:val="16"/>
              </w:rPr>
              <w:t>number of estimated respondents and respons</w:t>
            </w:r>
            <w:r w:rsidR="00B520AC">
              <w:rPr>
                <w:rFonts w:ascii="Calibri" w:eastAsia="Calibri" w:hAnsi="Calibri"/>
                <w:sz w:val="16"/>
                <w:szCs w:val="16"/>
              </w:rPr>
              <w:t>es</w:t>
            </w:r>
            <w:r w:rsidRPr="00FC3A64">
              <w:rPr>
                <w:rFonts w:ascii="Calibri" w:eastAsia="Calibri" w:hAnsi="Calibri"/>
                <w:sz w:val="16"/>
                <w:szCs w:val="16"/>
              </w:rPr>
              <w:t xml:space="preserve"> based on the most recently available data</w:t>
            </w:r>
          </w:p>
        </w:tc>
      </w:tr>
      <w:tr w:rsidR="00FC3A64" w:rsidRPr="009831D0" w14:paraId="64B5BD09" w14:textId="77777777" w:rsidTr="00FC3A64">
        <w:tc>
          <w:tcPr>
            <w:tcW w:w="2633" w:type="dxa"/>
            <w:shd w:val="clear" w:color="auto" w:fill="auto"/>
          </w:tcPr>
          <w:p w14:paraId="00D2A6C1" w14:textId="55ED0F92" w:rsidR="00FC3A64" w:rsidRPr="00673122" w:rsidRDefault="00FC3A64" w:rsidP="00FC3A64">
            <w:pPr>
              <w:keepNext/>
              <w:keepLines/>
              <w:widowControl/>
              <w:rPr>
                <w:rFonts w:asciiTheme="minorHAnsi" w:hAnsiTheme="minorHAnsi" w:cstheme="minorHAnsi"/>
                <w:sz w:val="16"/>
                <w:szCs w:val="16"/>
              </w:rPr>
            </w:pPr>
            <w:r w:rsidRPr="00673122">
              <w:rPr>
                <w:rFonts w:asciiTheme="minorHAnsi" w:hAnsiTheme="minorHAnsi" w:cstheme="minorHAnsi"/>
                <w:sz w:val="16"/>
                <w:szCs w:val="16"/>
              </w:rPr>
              <w:t>Application for American Fisheries Act  Inshore Cooperative Permit</w:t>
            </w:r>
          </w:p>
        </w:tc>
        <w:tc>
          <w:tcPr>
            <w:tcW w:w="990" w:type="dxa"/>
            <w:tcBorders>
              <w:bottom w:val="dotted" w:sz="4" w:space="0" w:color="auto"/>
              <w:right w:val="dashed" w:sz="4" w:space="0" w:color="auto"/>
            </w:tcBorders>
            <w:shd w:val="clear" w:color="auto" w:fill="auto"/>
            <w:vAlign w:val="center"/>
          </w:tcPr>
          <w:p w14:paraId="2C53FD07" w14:textId="0CC1B645"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hAnsiTheme="minorHAnsi" w:cstheme="minorHAnsi"/>
                <w:sz w:val="16"/>
                <w:szCs w:val="16"/>
              </w:rPr>
              <w:t>21</w:t>
            </w:r>
          </w:p>
        </w:tc>
        <w:tc>
          <w:tcPr>
            <w:tcW w:w="988" w:type="dxa"/>
            <w:tcBorders>
              <w:left w:val="dashed" w:sz="4" w:space="0" w:color="auto"/>
              <w:bottom w:val="dotted" w:sz="4" w:space="0" w:color="auto"/>
            </w:tcBorders>
            <w:shd w:val="clear" w:color="auto" w:fill="auto"/>
            <w:vAlign w:val="center"/>
          </w:tcPr>
          <w:p w14:paraId="2D1EB0E4" w14:textId="5165098C"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eastAsia="Calibri" w:hAnsiTheme="minorHAnsi" w:cstheme="minorHAnsi"/>
                <w:sz w:val="16"/>
                <w:szCs w:val="16"/>
              </w:rPr>
              <w:t>7</w:t>
            </w:r>
          </w:p>
        </w:tc>
        <w:tc>
          <w:tcPr>
            <w:tcW w:w="1003" w:type="dxa"/>
            <w:tcBorders>
              <w:bottom w:val="dotted" w:sz="4" w:space="0" w:color="auto"/>
              <w:right w:val="dashed" w:sz="4" w:space="0" w:color="auto"/>
            </w:tcBorders>
            <w:shd w:val="clear" w:color="auto" w:fill="auto"/>
            <w:vAlign w:val="center"/>
          </w:tcPr>
          <w:p w14:paraId="0D74D46A" w14:textId="70C247BD" w:rsidR="00FC3A64" w:rsidRPr="00FC3A64" w:rsidRDefault="00FC3A64" w:rsidP="00FC3A64">
            <w:pPr>
              <w:keepNext/>
              <w:keepLines/>
              <w:widowControl/>
              <w:jc w:val="center"/>
              <w:rPr>
                <w:rFonts w:asciiTheme="minorHAnsi" w:hAnsiTheme="minorHAnsi" w:cstheme="minorHAnsi"/>
                <w:sz w:val="16"/>
                <w:szCs w:val="16"/>
              </w:rPr>
            </w:pPr>
            <w:r w:rsidRPr="00FC3A64">
              <w:rPr>
                <w:rFonts w:asciiTheme="minorHAnsi" w:hAnsiTheme="minorHAnsi" w:cstheme="minorHAnsi"/>
                <w:sz w:val="16"/>
                <w:szCs w:val="16"/>
              </w:rPr>
              <w:t xml:space="preserve">21 </w:t>
            </w:r>
          </w:p>
        </w:tc>
        <w:tc>
          <w:tcPr>
            <w:tcW w:w="1129" w:type="dxa"/>
            <w:tcBorders>
              <w:left w:val="dashed" w:sz="4" w:space="0" w:color="auto"/>
              <w:bottom w:val="dotted" w:sz="4" w:space="0" w:color="auto"/>
            </w:tcBorders>
            <w:shd w:val="clear" w:color="auto" w:fill="auto"/>
            <w:vAlign w:val="center"/>
          </w:tcPr>
          <w:p w14:paraId="56059D77" w14:textId="57920FA0"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eastAsia="Calibri" w:hAnsiTheme="minorHAnsi" w:cstheme="minorHAnsi"/>
                <w:sz w:val="16"/>
                <w:szCs w:val="16"/>
              </w:rPr>
              <w:t>7</w:t>
            </w:r>
          </w:p>
        </w:tc>
        <w:tc>
          <w:tcPr>
            <w:tcW w:w="1129" w:type="dxa"/>
            <w:tcBorders>
              <w:bottom w:val="dotted" w:sz="4" w:space="0" w:color="auto"/>
              <w:right w:val="dashed" w:sz="4" w:space="0" w:color="auto"/>
            </w:tcBorders>
            <w:shd w:val="clear" w:color="auto" w:fill="auto"/>
            <w:vAlign w:val="center"/>
          </w:tcPr>
          <w:p w14:paraId="3076D435" w14:textId="24FC136D"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hAnsiTheme="minorHAnsi" w:cstheme="minorHAnsi"/>
                <w:sz w:val="16"/>
                <w:szCs w:val="16"/>
              </w:rPr>
              <w:t>42</w:t>
            </w:r>
          </w:p>
        </w:tc>
        <w:tc>
          <w:tcPr>
            <w:tcW w:w="1130" w:type="dxa"/>
            <w:tcBorders>
              <w:left w:val="dashed" w:sz="4" w:space="0" w:color="auto"/>
              <w:bottom w:val="dotted" w:sz="4" w:space="0" w:color="auto"/>
            </w:tcBorders>
            <w:shd w:val="clear" w:color="auto" w:fill="auto"/>
            <w:vAlign w:val="center"/>
          </w:tcPr>
          <w:p w14:paraId="59B7BBAF" w14:textId="007B7164" w:rsidR="00FC3A64" w:rsidRPr="009831D0" w:rsidRDefault="00FC3A64" w:rsidP="00FC3A64">
            <w:pPr>
              <w:keepNext/>
              <w:keepLines/>
              <w:widowControl/>
              <w:jc w:val="center"/>
              <w:rPr>
                <w:rFonts w:ascii="Calibri" w:eastAsia="Calibri" w:hAnsi="Calibri"/>
                <w:sz w:val="16"/>
                <w:szCs w:val="16"/>
              </w:rPr>
            </w:pPr>
            <w:r>
              <w:rPr>
                <w:rFonts w:ascii="Calibri" w:eastAsia="Calibri" w:hAnsi="Calibri"/>
                <w:sz w:val="16"/>
                <w:szCs w:val="16"/>
              </w:rPr>
              <w:t>14</w:t>
            </w:r>
          </w:p>
        </w:tc>
        <w:tc>
          <w:tcPr>
            <w:tcW w:w="4390" w:type="dxa"/>
            <w:tcBorders>
              <w:left w:val="dotted" w:sz="4" w:space="0" w:color="auto"/>
              <w:bottom w:val="dotted" w:sz="4" w:space="0" w:color="auto"/>
            </w:tcBorders>
            <w:shd w:val="clear" w:color="auto" w:fill="auto"/>
            <w:vAlign w:val="center"/>
          </w:tcPr>
          <w:p w14:paraId="78A81EE2" w14:textId="120EE292" w:rsidR="00FC3A64" w:rsidRPr="009831D0" w:rsidRDefault="00C540F6" w:rsidP="00B520AC">
            <w:pPr>
              <w:keepNext/>
              <w:keepLines/>
              <w:widowControl/>
              <w:rPr>
                <w:rFonts w:ascii="Calibri" w:eastAsia="Calibri" w:hAnsi="Calibri"/>
                <w:sz w:val="16"/>
                <w:szCs w:val="16"/>
              </w:rPr>
            </w:pPr>
            <w:r w:rsidRPr="00C540F6">
              <w:rPr>
                <w:rFonts w:ascii="Calibri" w:eastAsia="Calibri" w:hAnsi="Calibri"/>
                <w:sz w:val="16"/>
                <w:szCs w:val="16"/>
              </w:rPr>
              <w:t>Increased number of estimated respondents and respons</w:t>
            </w:r>
            <w:r w:rsidR="00B520AC">
              <w:rPr>
                <w:rFonts w:ascii="Calibri" w:eastAsia="Calibri" w:hAnsi="Calibri"/>
                <w:sz w:val="16"/>
                <w:szCs w:val="16"/>
              </w:rPr>
              <w:t>es</w:t>
            </w:r>
            <w:r w:rsidRPr="00C540F6">
              <w:rPr>
                <w:rFonts w:ascii="Calibri" w:eastAsia="Calibri" w:hAnsi="Calibri"/>
                <w:sz w:val="16"/>
                <w:szCs w:val="16"/>
              </w:rPr>
              <w:t xml:space="preserve"> based on the most recently available data</w:t>
            </w:r>
          </w:p>
        </w:tc>
      </w:tr>
      <w:tr w:rsidR="00FC3A64" w:rsidRPr="009831D0" w14:paraId="6D44EEC9" w14:textId="77777777" w:rsidTr="00FC3A64">
        <w:tc>
          <w:tcPr>
            <w:tcW w:w="2633" w:type="dxa"/>
            <w:shd w:val="clear" w:color="auto" w:fill="auto"/>
          </w:tcPr>
          <w:p w14:paraId="16329864" w14:textId="027B3DB1" w:rsidR="00FC3A64" w:rsidRPr="00673122" w:rsidRDefault="00FC3A64" w:rsidP="00FC3A64">
            <w:pPr>
              <w:keepNext/>
              <w:keepLines/>
              <w:widowControl/>
              <w:rPr>
                <w:rFonts w:asciiTheme="minorHAnsi" w:hAnsiTheme="minorHAnsi" w:cstheme="minorHAnsi"/>
                <w:sz w:val="16"/>
                <w:szCs w:val="16"/>
              </w:rPr>
            </w:pPr>
            <w:r w:rsidRPr="00673122">
              <w:rPr>
                <w:rFonts w:asciiTheme="minorHAnsi" w:hAnsiTheme="minorHAnsi" w:cstheme="minorHAnsi"/>
                <w:sz w:val="16"/>
                <w:szCs w:val="16"/>
              </w:rPr>
              <w:t>AFA Inshore Vessel Contract Fishing Notification</w:t>
            </w:r>
          </w:p>
        </w:tc>
        <w:tc>
          <w:tcPr>
            <w:tcW w:w="990" w:type="dxa"/>
            <w:tcBorders>
              <w:bottom w:val="dotted" w:sz="4" w:space="0" w:color="auto"/>
              <w:right w:val="dashed" w:sz="4" w:space="0" w:color="auto"/>
            </w:tcBorders>
            <w:shd w:val="clear" w:color="auto" w:fill="auto"/>
            <w:vAlign w:val="center"/>
          </w:tcPr>
          <w:p w14:paraId="2E0CE6C2" w14:textId="10213AC7"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hAnsiTheme="minorHAnsi" w:cstheme="minorHAnsi"/>
                <w:sz w:val="16"/>
                <w:szCs w:val="16"/>
              </w:rPr>
              <w:t>44</w:t>
            </w:r>
          </w:p>
        </w:tc>
        <w:tc>
          <w:tcPr>
            <w:tcW w:w="988" w:type="dxa"/>
            <w:tcBorders>
              <w:left w:val="dashed" w:sz="4" w:space="0" w:color="auto"/>
              <w:bottom w:val="dotted" w:sz="4" w:space="0" w:color="auto"/>
            </w:tcBorders>
            <w:shd w:val="clear" w:color="auto" w:fill="auto"/>
            <w:vAlign w:val="center"/>
          </w:tcPr>
          <w:p w14:paraId="3FFD5D52" w14:textId="5E779F84"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eastAsia="Calibri" w:hAnsiTheme="minorHAnsi" w:cstheme="minorHAnsi"/>
                <w:sz w:val="16"/>
                <w:szCs w:val="16"/>
              </w:rPr>
              <w:t>18</w:t>
            </w:r>
          </w:p>
        </w:tc>
        <w:tc>
          <w:tcPr>
            <w:tcW w:w="1003" w:type="dxa"/>
            <w:tcBorders>
              <w:bottom w:val="dotted" w:sz="4" w:space="0" w:color="auto"/>
              <w:right w:val="dashed" w:sz="4" w:space="0" w:color="auto"/>
            </w:tcBorders>
            <w:shd w:val="clear" w:color="auto" w:fill="auto"/>
            <w:vAlign w:val="center"/>
          </w:tcPr>
          <w:p w14:paraId="75F1D925" w14:textId="09983CDA" w:rsidR="00FC3A64" w:rsidRPr="00FC3A64" w:rsidRDefault="00FC3A64" w:rsidP="00FC3A64">
            <w:pPr>
              <w:keepNext/>
              <w:keepLines/>
              <w:widowControl/>
              <w:jc w:val="center"/>
              <w:rPr>
                <w:rFonts w:asciiTheme="minorHAnsi" w:hAnsiTheme="minorHAnsi" w:cstheme="minorHAnsi"/>
                <w:sz w:val="16"/>
                <w:szCs w:val="16"/>
              </w:rPr>
            </w:pPr>
            <w:r w:rsidRPr="00FC3A64">
              <w:rPr>
                <w:rFonts w:asciiTheme="minorHAnsi" w:hAnsiTheme="minorHAnsi" w:cstheme="minorHAnsi"/>
                <w:sz w:val="16"/>
                <w:szCs w:val="16"/>
              </w:rPr>
              <w:t>44</w:t>
            </w:r>
          </w:p>
        </w:tc>
        <w:tc>
          <w:tcPr>
            <w:tcW w:w="1129" w:type="dxa"/>
            <w:tcBorders>
              <w:left w:val="dashed" w:sz="4" w:space="0" w:color="auto"/>
              <w:bottom w:val="dotted" w:sz="4" w:space="0" w:color="auto"/>
            </w:tcBorders>
            <w:shd w:val="clear" w:color="auto" w:fill="auto"/>
            <w:vAlign w:val="center"/>
          </w:tcPr>
          <w:p w14:paraId="5A244FC9" w14:textId="0F5DBA8A" w:rsidR="00FC3A64" w:rsidRPr="00FC3A64" w:rsidRDefault="00FC3A64" w:rsidP="00FC3A64">
            <w:pPr>
              <w:keepNext/>
              <w:keepLines/>
              <w:widowControl/>
              <w:jc w:val="center"/>
              <w:rPr>
                <w:rFonts w:asciiTheme="minorHAnsi" w:eastAsia="Calibri" w:hAnsiTheme="minorHAnsi" w:cstheme="minorHAnsi"/>
                <w:sz w:val="16"/>
                <w:szCs w:val="16"/>
              </w:rPr>
            </w:pPr>
            <w:r w:rsidRPr="00FC3A64">
              <w:rPr>
                <w:rFonts w:asciiTheme="minorHAnsi" w:eastAsia="Calibri" w:hAnsiTheme="minorHAnsi" w:cstheme="minorHAnsi"/>
                <w:sz w:val="16"/>
                <w:szCs w:val="16"/>
              </w:rPr>
              <w:t>18</w:t>
            </w:r>
          </w:p>
        </w:tc>
        <w:tc>
          <w:tcPr>
            <w:tcW w:w="1129" w:type="dxa"/>
            <w:tcBorders>
              <w:bottom w:val="dotted" w:sz="4" w:space="0" w:color="auto"/>
              <w:right w:val="dashed" w:sz="4" w:space="0" w:color="auto"/>
            </w:tcBorders>
            <w:shd w:val="clear" w:color="auto" w:fill="auto"/>
            <w:vAlign w:val="center"/>
          </w:tcPr>
          <w:p w14:paraId="3E15A8DD" w14:textId="2975043D" w:rsidR="00DC11AE" w:rsidRPr="000D5E4C" w:rsidRDefault="00DC11AE" w:rsidP="000D5E4C">
            <w:pPr>
              <w:keepNext/>
              <w:keepLines/>
              <w:widowControl/>
              <w:jc w:val="center"/>
              <w:rPr>
                <w:rFonts w:asciiTheme="minorHAnsi" w:hAnsiTheme="minorHAnsi" w:cstheme="minorHAnsi"/>
                <w:sz w:val="16"/>
                <w:szCs w:val="16"/>
              </w:rPr>
            </w:pPr>
            <w:r>
              <w:rPr>
                <w:rFonts w:asciiTheme="minorHAnsi" w:hAnsiTheme="minorHAnsi" w:cstheme="minorHAnsi"/>
                <w:sz w:val="16"/>
                <w:szCs w:val="16"/>
              </w:rPr>
              <w:t>176</w:t>
            </w:r>
          </w:p>
        </w:tc>
        <w:tc>
          <w:tcPr>
            <w:tcW w:w="1130" w:type="dxa"/>
            <w:tcBorders>
              <w:left w:val="dashed" w:sz="4" w:space="0" w:color="auto"/>
              <w:bottom w:val="dotted" w:sz="4" w:space="0" w:color="auto"/>
            </w:tcBorders>
            <w:shd w:val="clear" w:color="auto" w:fill="auto"/>
            <w:vAlign w:val="center"/>
          </w:tcPr>
          <w:p w14:paraId="5FFBEDC4" w14:textId="67DE9EDD" w:rsidR="00FC3A64" w:rsidRPr="009831D0" w:rsidRDefault="00FC3A64" w:rsidP="00FC3A64">
            <w:pPr>
              <w:keepNext/>
              <w:keepLines/>
              <w:widowControl/>
              <w:jc w:val="center"/>
              <w:rPr>
                <w:rFonts w:ascii="Calibri" w:eastAsia="Calibri" w:hAnsi="Calibri"/>
                <w:sz w:val="16"/>
                <w:szCs w:val="16"/>
              </w:rPr>
            </w:pPr>
            <w:r>
              <w:rPr>
                <w:rFonts w:ascii="Calibri" w:eastAsia="Calibri" w:hAnsi="Calibri"/>
                <w:sz w:val="16"/>
                <w:szCs w:val="16"/>
              </w:rPr>
              <w:t>72</w:t>
            </w:r>
          </w:p>
        </w:tc>
        <w:tc>
          <w:tcPr>
            <w:tcW w:w="4390" w:type="dxa"/>
            <w:tcBorders>
              <w:left w:val="dotted" w:sz="4" w:space="0" w:color="auto"/>
              <w:bottom w:val="dotted" w:sz="4" w:space="0" w:color="auto"/>
            </w:tcBorders>
            <w:shd w:val="clear" w:color="auto" w:fill="auto"/>
            <w:vAlign w:val="center"/>
          </w:tcPr>
          <w:p w14:paraId="5EDD5CFB" w14:textId="28285A64" w:rsidR="00FC3A64" w:rsidRPr="009831D0" w:rsidRDefault="00C540F6" w:rsidP="00B520AC">
            <w:pPr>
              <w:keepNext/>
              <w:keepLines/>
              <w:widowControl/>
              <w:autoSpaceDE/>
              <w:autoSpaceDN/>
              <w:adjustRightInd/>
              <w:rPr>
                <w:rFonts w:ascii="Calibri" w:eastAsia="Calibri" w:hAnsi="Calibri"/>
                <w:sz w:val="16"/>
                <w:szCs w:val="16"/>
              </w:rPr>
            </w:pPr>
            <w:r w:rsidRPr="00C540F6">
              <w:rPr>
                <w:rFonts w:ascii="Calibri" w:eastAsia="Calibri" w:hAnsi="Calibri"/>
                <w:sz w:val="16"/>
                <w:szCs w:val="16"/>
              </w:rPr>
              <w:t xml:space="preserve">Increased </w:t>
            </w:r>
            <w:r>
              <w:rPr>
                <w:rFonts w:ascii="Calibri" w:eastAsia="Calibri" w:hAnsi="Calibri"/>
                <w:sz w:val="16"/>
                <w:szCs w:val="16"/>
              </w:rPr>
              <w:t xml:space="preserve">the </w:t>
            </w:r>
            <w:r w:rsidRPr="00C540F6">
              <w:rPr>
                <w:rFonts w:ascii="Calibri" w:eastAsia="Calibri" w:hAnsi="Calibri"/>
                <w:sz w:val="16"/>
                <w:szCs w:val="16"/>
              </w:rPr>
              <w:t>number of estimated respondents and respon</w:t>
            </w:r>
            <w:r w:rsidR="00D73033">
              <w:rPr>
                <w:rFonts w:ascii="Calibri" w:eastAsia="Calibri" w:hAnsi="Calibri"/>
                <w:sz w:val="16"/>
                <w:szCs w:val="16"/>
              </w:rPr>
              <w:t>s</w:t>
            </w:r>
            <w:r w:rsidR="00B520AC">
              <w:rPr>
                <w:rFonts w:ascii="Calibri" w:eastAsia="Calibri" w:hAnsi="Calibri"/>
                <w:sz w:val="16"/>
                <w:szCs w:val="16"/>
              </w:rPr>
              <w:t>es</w:t>
            </w:r>
            <w:r>
              <w:rPr>
                <w:rFonts w:ascii="Calibri" w:eastAsia="Calibri" w:hAnsi="Calibri"/>
                <w:sz w:val="16"/>
                <w:szCs w:val="16"/>
              </w:rPr>
              <w:t xml:space="preserve"> </w:t>
            </w:r>
            <w:r w:rsidR="00DA14B6" w:rsidRPr="00DA14B6">
              <w:rPr>
                <w:rFonts w:ascii="Calibri" w:eastAsia="Calibri" w:hAnsi="Calibri"/>
                <w:sz w:val="16"/>
                <w:szCs w:val="16"/>
              </w:rPr>
              <w:t>based on the most recently available data</w:t>
            </w:r>
            <w:r w:rsidR="00DA14B6">
              <w:rPr>
                <w:rFonts w:ascii="Calibri" w:eastAsia="Calibri" w:hAnsi="Calibri"/>
                <w:sz w:val="16"/>
                <w:szCs w:val="16"/>
              </w:rPr>
              <w:t>.</w:t>
            </w:r>
            <w:r w:rsidRPr="00C540F6">
              <w:rPr>
                <w:rFonts w:ascii="Calibri" w:eastAsia="Calibri" w:hAnsi="Calibri"/>
                <w:sz w:val="16"/>
                <w:szCs w:val="16"/>
              </w:rPr>
              <w:t xml:space="preserve"> </w:t>
            </w:r>
          </w:p>
        </w:tc>
      </w:tr>
      <w:tr w:rsidR="00673122" w:rsidRPr="009831D0" w14:paraId="142AD22C" w14:textId="77777777" w:rsidTr="00171066">
        <w:tc>
          <w:tcPr>
            <w:tcW w:w="2633" w:type="dxa"/>
            <w:shd w:val="clear" w:color="auto" w:fill="auto"/>
          </w:tcPr>
          <w:p w14:paraId="08897A8D" w14:textId="4CFA671F" w:rsidR="00673122" w:rsidRPr="00673122" w:rsidRDefault="00673122" w:rsidP="00C031EE">
            <w:pPr>
              <w:keepNext/>
              <w:keepLines/>
              <w:widowControl/>
              <w:rPr>
                <w:rFonts w:asciiTheme="minorHAnsi" w:hAnsiTheme="minorHAnsi" w:cstheme="minorHAnsi"/>
                <w:sz w:val="16"/>
                <w:szCs w:val="16"/>
              </w:rPr>
            </w:pPr>
            <w:r w:rsidRPr="00673122">
              <w:rPr>
                <w:rFonts w:asciiTheme="minorHAnsi" w:hAnsiTheme="minorHAnsi" w:cstheme="minorHAnsi"/>
                <w:sz w:val="16"/>
                <w:szCs w:val="16"/>
              </w:rPr>
              <w:t xml:space="preserve">Application for Approval as an Entity to Receive Transferable Chinook Salmon PSC Allocation  </w:t>
            </w:r>
          </w:p>
        </w:tc>
        <w:tc>
          <w:tcPr>
            <w:tcW w:w="990" w:type="dxa"/>
            <w:tcBorders>
              <w:bottom w:val="dotted" w:sz="4" w:space="0" w:color="auto"/>
              <w:right w:val="dashed" w:sz="4" w:space="0" w:color="auto"/>
            </w:tcBorders>
            <w:shd w:val="clear" w:color="auto" w:fill="auto"/>
            <w:vAlign w:val="center"/>
          </w:tcPr>
          <w:p w14:paraId="1D2F2B7F" w14:textId="4CAF4AA7" w:rsidR="00673122" w:rsidRPr="009831D0" w:rsidRDefault="00401B44" w:rsidP="00C031EE">
            <w:pPr>
              <w:keepNext/>
              <w:keepLines/>
              <w:widowControl/>
              <w:jc w:val="center"/>
              <w:rPr>
                <w:rFonts w:ascii="Calibri" w:eastAsia="Calibri" w:hAnsi="Calibri"/>
                <w:sz w:val="16"/>
                <w:szCs w:val="16"/>
              </w:rPr>
            </w:pPr>
            <w:r>
              <w:rPr>
                <w:rFonts w:ascii="Calibri" w:eastAsia="Calibri" w:hAnsi="Calibri"/>
                <w:sz w:val="16"/>
                <w:szCs w:val="16"/>
              </w:rPr>
              <w:t>2</w:t>
            </w:r>
          </w:p>
        </w:tc>
        <w:tc>
          <w:tcPr>
            <w:tcW w:w="988" w:type="dxa"/>
            <w:tcBorders>
              <w:left w:val="dashed" w:sz="4" w:space="0" w:color="auto"/>
              <w:bottom w:val="dotted" w:sz="4" w:space="0" w:color="auto"/>
            </w:tcBorders>
            <w:shd w:val="clear" w:color="auto" w:fill="auto"/>
            <w:vAlign w:val="center"/>
          </w:tcPr>
          <w:p w14:paraId="35A46A6C" w14:textId="27324CE1" w:rsidR="00673122" w:rsidRPr="009831D0" w:rsidRDefault="002B020F" w:rsidP="00C031EE">
            <w:pPr>
              <w:keepNext/>
              <w:keepLines/>
              <w:widowControl/>
              <w:jc w:val="center"/>
              <w:rPr>
                <w:rFonts w:ascii="Calibri" w:eastAsia="Calibri" w:hAnsi="Calibri"/>
                <w:sz w:val="16"/>
                <w:szCs w:val="16"/>
              </w:rPr>
            </w:pPr>
            <w:r>
              <w:rPr>
                <w:rFonts w:ascii="Calibri" w:eastAsia="Calibri" w:hAnsi="Calibri"/>
                <w:sz w:val="16"/>
                <w:szCs w:val="16"/>
              </w:rPr>
              <w:t>2</w:t>
            </w:r>
          </w:p>
        </w:tc>
        <w:tc>
          <w:tcPr>
            <w:tcW w:w="1003" w:type="dxa"/>
            <w:tcBorders>
              <w:bottom w:val="dotted" w:sz="4" w:space="0" w:color="auto"/>
              <w:right w:val="dashed" w:sz="4" w:space="0" w:color="auto"/>
            </w:tcBorders>
            <w:shd w:val="clear" w:color="auto" w:fill="auto"/>
            <w:vAlign w:val="center"/>
          </w:tcPr>
          <w:p w14:paraId="7F938F6A" w14:textId="2BA6A3F5" w:rsidR="00673122" w:rsidRPr="009831D0" w:rsidRDefault="00401B44" w:rsidP="00C031EE">
            <w:pPr>
              <w:keepNext/>
              <w:keepLines/>
              <w:widowControl/>
              <w:jc w:val="center"/>
              <w:rPr>
                <w:rFonts w:ascii="Calibri" w:hAnsi="Calibri"/>
                <w:sz w:val="16"/>
                <w:szCs w:val="16"/>
              </w:rPr>
            </w:pPr>
            <w:r>
              <w:rPr>
                <w:rFonts w:ascii="Calibri" w:hAnsi="Calibri"/>
                <w:sz w:val="16"/>
                <w:szCs w:val="16"/>
              </w:rPr>
              <w:t>2</w:t>
            </w:r>
          </w:p>
        </w:tc>
        <w:tc>
          <w:tcPr>
            <w:tcW w:w="1129" w:type="dxa"/>
            <w:tcBorders>
              <w:left w:val="dashed" w:sz="4" w:space="0" w:color="auto"/>
              <w:bottom w:val="dotted" w:sz="4" w:space="0" w:color="auto"/>
            </w:tcBorders>
            <w:shd w:val="clear" w:color="auto" w:fill="auto"/>
            <w:vAlign w:val="center"/>
          </w:tcPr>
          <w:p w14:paraId="5AF1E212" w14:textId="79FD17E3" w:rsidR="00673122" w:rsidRPr="009831D0" w:rsidRDefault="002B020F" w:rsidP="00C031EE">
            <w:pPr>
              <w:keepNext/>
              <w:keepLines/>
              <w:widowControl/>
              <w:jc w:val="center"/>
              <w:rPr>
                <w:rFonts w:ascii="Calibri" w:eastAsia="Calibri" w:hAnsi="Calibri"/>
                <w:sz w:val="16"/>
                <w:szCs w:val="16"/>
              </w:rPr>
            </w:pPr>
            <w:r>
              <w:rPr>
                <w:rFonts w:ascii="Calibri" w:eastAsia="Calibri" w:hAnsi="Calibri"/>
                <w:sz w:val="16"/>
                <w:szCs w:val="16"/>
              </w:rPr>
              <w:t>2</w:t>
            </w:r>
          </w:p>
        </w:tc>
        <w:tc>
          <w:tcPr>
            <w:tcW w:w="1129" w:type="dxa"/>
            <w:tcBorders>
              <w:bottom w:val="dotted" w:sz="4" w:space="0" w:color="auto"/>
              <w:right w:val="dashed" w:sz="4" w:space="0" w:color="auto"/>
            </w:tcBorders>
            <w:shd w:val="clear" w:color="auto" w:fill="auto"/>
            <w:vAlign w:val="center"/>
          </w:tcPr>
          <w:p w14:paraId="0C7AC374" w14:textId="38C8BC2A" w:rsidR="00673122" w:rsidRPr="009831D0" w:rsidRDefault="00401B44" w:rsidP="00C031EE">
            <w:pPr>
              <w:keepNext/>
              <w:keepLines/>
              <w:widowControl/>
              <w:jc w:val="center"/>
              <w:rPr>
                <w:rFonts w:ascii="Calibri" w:eastAsia="Calibri" w:hAnsi="Calibri"/>
                <w:sz w:val="16"/>
                <w:szCs w:val="16"/>
              </w:rPr>
            </w:pPr>
            <w:r>
              <w:rPr>
                <w:rFonts w:ascii="Calibri" w:eastAsia="Calibri" w:hAnsi="Calibri"/>
                <w:sz w:val="16"/>
                <w:szCs w:val="16"/>
              </w:rPr>
              <w:t>16</w:t>
            </w:r>
          </w:p>
        </w:tc>
        <w:tc>
          <w:tcPr>
            <w:tcW w:w="1130" w:type="dxa"/>
            <w:tcBorders>
              <w:left w:val="dashed" w:sz="4" w:space="0" w:color="auto"/>
              <w:bottom w:val="dotted" w:sz="4" w:space="0" w:color="auto"/>
            </w:tcBorders>
            <w:shd w:val="clear" w:color="auto" w:fill="auto"/>
            <w:vAlign w:val="center"/>
          </w:tcPr>
          <w:p w14:paraId="5CA8F6BB" w14:textId="12929B0D" w:rsidR="00673122" w:rsidRPr="009831D0" w:rsidRDefault="002B020F" w:rsidP="00C031EE">
            <w:pPr>
              <w:keepNext/>
              <w:keepLines/>
              <w:widowControl/>
              <w:jc w:val="center"/>
              <w:rPr>
                <w:rFonts w:ascii="Calibri" w:eastAsia="Calibri" w:hAnsi="Calibri"/>
                <w:sz w:val="16"/>
                <w:szCs w:val="16"/>
              </w:rPr>
            </w:pPr>
            <w:r>
              <w:rPr>
                <w:rFonts w:ascii="Calibri" w:eastAsia="Calibri" w:hAnsi="Calibri"/>
                <w:sz w:val="16"/>
                <w:szCs w:val="16"/>
              </w:rPr>
              <w:t>16</w:t>
            </w:r>
          </w:p>
        </w:tc>
        <w:tc>
          <w:tcPr>
            <w:tcW w:w="4390" w:type="dxa"/>
            <w:tcBorders>
              <w:left w:val="dotted" w:sz="4" w:space="0" w:color="auto"/>
              <w:bottom w:val="dotted" w:sz="4" w:space="0" w:color="auto"/>
            </w:tcBorders>
            <w:shd w:val="clear" w:color="auto" w:fill="auto"/>
            <w:vAlign w:val="center"/>
          </w:tcPr>
          <w:p w14:paraId="590E499C" w14:textId="20287497" w:rsidR="00673122" w:rsidRPr="009831D0" w:rsidRDefault="00401B44" w:rsidP="00C540F6">
            <w:pPr>
              <w:keepNext/>
              <w:keepLines/>
              <w:widowControl/>
              <w:autoSpaceDE/>
              <w:autoSpaceDN/>
              <w:adjustRightInd/>
              <w:rPr>
                <w:rFonts w:ascii="Calibri" w:eastAsia="Calibri" w:hAnsi="Calibri"/>
                <w:sz w:val="16"/>
                <w:szCs w:val="16"/>
              </w:rPr>
            </w:pPr>
            <w:r>
              <w:rPr>
                <w:rFonts w:ascii="Calibri" w:eastAsia="Calibri" w:hAnsi="Calibri"/>
                <w:sz w:val="16"/>
                <w:szCs w:val="16"/>
              </w:rPr>
              <w:t>No change</w:t>
            </w:r>
          </w:p>
        </w:tc>
      </w:tr>
      <w:tr w:rsidR="00673122" w:rsidRPr="009831D0" w14:paraId="5B4B8A56" w14:textId="77777777" w:rsidTr="00171066">
        <w:tc>
          <w:tcPr>
            <w:tcW w:w="2633" w:type="dxa"/>
            <w:shd w:val="clear" w:color="auto" w:fill="auto"/>
          </w:tcPr>
          <w:p w14:paraId="2B21E2B4" w14:textId="3D52F677" w:rsidR="00673122" w:rsidRPr="00673122" w:rsidRDefault="00673122" w:rsidP="00C031EE">
            <w:pPr>
              <w:keepNext/>
              <w:keepLines/>
              <w:widowControl/>
              <w:rPr>
                <w:rFonts w:asciiTheme="minorHAnsi" w:hAnsiTheme="minorHAnsi" w:cstheme="minorHAnsi"/>
                <w:sz w:val="16"/>
                <w:szCs w:val="16"/>
              </w:rPr>
            </w:pPr>
            <w:r w:rsidRPr="00673122">
              <w:rPr>
                <w:rFonts w:asciiTheme="minorHAnsi" w:hAnsiTheme="minorHAnsi" w:cstheme="minorHAnsi"/>
                <w:sz w:val="16"/>
                <w:szCs w:val="16"/>
              </w:rPr>
              <w:t xml:space="preserve">Application for Transfer of Bering Sea Chinook Salmon PSC Allocations  </w:t>
            </w:r>
          </w:p>
        </w:tc>
        <w:tc>
          <w:tcPr>
            <w:tcW w:w="990" w:type="dxa"/>
            <w:tcBorders>
              <w:bottom w:val="dotted" w:sz="4" w:space="0" w:color="auto"/>
              <w:right w:val="dashed" w:sz="4" w:space="0" w:color="auto"/>
            </w:tcBorders>
            <w:shd w:val="clear" w:color="auto" w:fill="auto"/>
            <w:vAlign w:val="center"/>
          </w:tcPr>
          <w:p w14:paraId="4E02E476" w14:textId="0A0DD9F0" w:rsidR="00673122" w:rsidRPr="009831D0" w:rsidRDefault="00401B44" w:rsidP="00C031EE">
            <w:pPr>
              <w:keepNext/>
              <w:keepLines/>
              <w:widowControl/>
              <w:jc w:val="center"/>
              <w:rPr>
                <w:rFonts w:ascii="Calibri" w:eastAsia="Calibri" w:hAnsi="Calibri"/>
                <w:sz w:val="16"/>
                <w:szCs w:val="16"/>
              </w:rPr>
            </w:pPr>
            <w:r>
              <w:rPr>
                <w:rFonts w:ascii="Calibri" w:eastAsia="Calibri" w:hAnsi="Calibri"/>
                <w:sz w:val="16"/>
                <w:szCs w:val="16"/>
              </w:rPr>
              <w:t>5</w:t>
            </w:r>
          </w:p>
        </w:tc>
        <w:tc>
          <w:tcPr>
            <w:tcW w:w="988" w:type="dxa"/>
            <w:tcBorders>
              <w:left w:val="dashed" w:sz="4" w:space="0" w:color="auto"/>
              <w:bottom w:val="dotted" w:sz="4" w:space="0" w:color="auto"/>
            </w:tcBorders>
            <w:shd w:val="clear" w:color="auto" w:fill="auto"/>
            <w:vAlign w:val="center"/>
          </w:tcPr>
          <w:p w14:paraId="6003713C" w14:textId="7A3BDBBC" w:rsidR="00673122" w:rsidRPr="009831D0" w:rsidRDefault="002B020F" w:rsidP="00C031EE">
            <w:pPr>
              <w:keepNext/>
              <w:keepLines/>
              <w:widowControl/>
              <w:jc w:val="center"/>
              <w:rPr>
                <w:rFonts w:ascii="Calibri" w:eastAsia="Calibri" w:hAnsi="Calibri"/>
                <w:sz w:val="16"/>
                <w:szCs w:val="16"/>
              </w:rPr>
            </w:pPr>
            <w:r>
              <w:rPr>
                <w:rFonts w:ascii="Calibri" w:eastAsia="Calibri" w:hAnsi="Calibri"/>
                <w:sz w:val="16"/>
                <w:szCs w:val="16"/>
              </w:rPr>
              <w:t>15</w:t>
            </w:r>
          </w:p>
        </w:tc>
        <w:tc>
          <w:tcPr>
            <w:tcW w:w="1003" w:type="dxa"/>
            <w:tcBorders>
              <w:bottom w:val="dotted" w:sz="4" w:space="0" w:color="auto"/>
              <w:right w:val="dashed" w:sz="4" w:space="0" w:color="auto"/>
            </w:tcBorders>
            <w:shd w:val="clear" w:color="auto" w:fill="auto"/>
            <w:vAlign w:val="center"/>
          </w:tcPr>
          <w:p w14:paraId="7F1BF9FD" w14:textId="56112C8D" w:rsidR="00673122" w:rsidRPr="009831D0" w:rsidRDefault="00401B44" w:rsidP="00C031EE">
            <w:pPr>
              <w:keepNext/>
              <w:keepLines/>
              <w:widowControl/>
              <w:jc w:val="center"/>
              <w:rPr>
                <w:rFonts w:ascii="Calibri" w:hAnsi="Calibri"/>
                <w:sz w:val="16"/>
                <w:szCs w:val="16"/>
              </w:rPr>
            </w:pPr>
            <w:r>
              <w:rPr>
                <w:rFonts w:ascii="Calibri" w:hAnsi="Calibri"/>
                <w:sz w:val="16"/>
                <w:szCs w:val="16"/>
              </w:rPr>
              <w:t>5</w:t>
            </w:r>
          </w:p>
        </w:tc>
        <w:tc>
          <w:tcPr>
            <w:tcW w:w="1129" w:type="dxa"/>
            <w:tcBorders>
              <w:left w:val="dashed" w:sz="4" w:space="0" w:color="auto"/>
              <w:bottom w:val="dotted" w:sz="4" w:space="0" w:color="auto"/>
            </w:tcBorders>
            <w:shd w:val="clear" w:color="auto" w:fill="auto"/>
            <w:vAlign w:val="center"/>
          </w:tcPr>
          <w:p w14:paraId="6F524E07" w14:textId="07294AFD" w:rsidR="00673122" w:rsidRPr="009831D0" w:rsidRDefault="002B020F" w:rsidP="00C031EE">
            <w:pPr>
              <w:keepNext/>
              <w:keepLines/>
              <w:widowControl/>
              <w:jc w:val="center"/>
              <w:rPr>
                <w:rFonts w:ascii="Calibri" w:eastAsia="Calibri" w:hAnsi="Calibri"/>
                <w:sz w:val="16"/>
                <w:szCs w:val="16"/>
              </w:rPr>
            </w:pPr>
            <w:r>
              <w:rPr>
                <w:rFonts w:ascii="Calibri" w:eastAsia="Calibri" w:hAnsi="Calibri"/>
                <w:sz w:val="16"/>
                <w:szCs w:val="16"/>
              </w:rPr>
              <w:t>30</w:t>
            </w:r>
          </w:p>
        </w:tc>
        <w:tc>
          <w:tcPr>
            <w:tcW w:w="1129" w:type="dxa"/>
            <w:tcBorders>
              <w:bottom w:val="dotted" w:sz="4" w:space="0" w:color="auto"/>
              <w:right w:val="dashed" w:sz="4" w:space="0" w:color="auto"/>
            </w:tcBorders>
            <w:shd w:val="clear" w:color="auto" w:fill="auto"/>
            <w:vAlign w:val="center"/>
          </w:tcPr>
          <w:p w14:paraId="43884AC5" w14:textId="5E142B40" w:rsidR="00673122" w:rsidRPr="009831D0" w:rsidRDefault="00401B44" w:rsidP="00C031EE">
            <w:pPr>
              <w:keepNext/>
              <w:keepLines/>
              <w:widowControl/>
              <w:jc w:val="center"/>
              <w:rPr>
                <w:rFonts w:ascii="Calibri" w:eastAsia="Calibri" w:hAnsi="Calibri"/>
                <w:sz w:val="16"/>
                <w:szCs w:val="16"/>
              </w:rPr>
            </w:pPr>
            <w:r>
              <w:rPr>
                <w:rFonts w:ascii="Calibri" w:eastAsia="Calibri" w:hAnsi="Calibri"/>
                <w:sz w:val="16"/>
                <w:szCs w:val="16"/>
              </w:rPr>
              <w:t>5</w:t>
            </w:r>
          </w:p>
        </w:tc>
        <w:tc>
          <w:tcPr>
            <w:tcW w:w="1130" w:type="dxa"/>
            <w:tcBorders>
              <w:left w:val="dashed" w:sz="4" w:space="0" w:color="auto"/>
              <w:bottom w:val="dotted" w:sz="4" w:space="0" w:color="auto"/>
            </w:tcBorders>
            <w:shd w:val="clear" w:color="auto" w:fill="auto"/>
            <w:vAlign w:val="center"/>
          </w:tcPr>
          <w:p w14:paraId="5EA93484" w14:textId="2EFB38D3" w:rsidR="00673122" w:rsidRPr="009831D0" w:rsidRDefault="002B020F" w:rsidP="00C031EE">
            <w:pPr>
              <w:keepNext/>
              <w:keepLines/>
              <w:widowControl/>
              <w:jc w:val="center"/>
              <w:rPr>
                <w:rFonts w:ascii="Calibri" w:eastAsia="Calibri" w:hAnsi="Calibri"/>
                <w:sz w:val="16"/>
                <w:szCs w:val="16"/>
              </w:rPr>
            </w:pPr>
            <w:r>
              <w:rPr>
                <w:rFonts w:ascii="Calibri" w:eastAsia="Calibri" w:hAnsi="Calibri"/>
                <w:sz w:val="16"/>
                <w:szCs w:val="16"/>
              </w:rPr>
              <w:t>30</w:t>
            </w:r>
          </w:p>
        </w:tc>
        <w:tc>
          <w:tcPr>
            <w:tcW w:w="4390" w:type="dxa"/>
            <w:tcBorders>
              <w:left w:val="dotted" w:sz="4" w:space="0" w:color="auto"/>
              <w:bottom w:val="dotted" w:sz="4" w:space="0" w:color="auto"/>
            </w:tcBorders>
            <w:shd w:val="clear" w:color="auto" w:fill="auto"/>
            <w:vAlign w:val="center"/>
          </w:tcPr>
          <w:p w14:paraId="1C509AB3" w14:textId="758854A9" w:rsidR="00673122" w:rsidRPr="009831D0" w:rsidRDefault="00401B44" w:rsidP="00C540F6">
            <w:pPr>
              <w:keepNext/>
              <w:keepLines/>
              <w:widowControl/>
              <w:autoSpaceDE/>
              <w:autoSpaceDN/>
              <w:adjustRightInd/>
              <w:rPr>
                <w:rFonts w:ascii="Calibri" w:eastAsia="Calibri" w:hAnsi="Calibri"/>
                <w:sz w:val="16"/>
                <w:szCs w:val="16"/>
              </w:rPr>
            </w:pPr>
            <w:r>
              <w:rPr>
                <w:rFonts w:ascii="Calibri" w:eastAsia="Calibri" w:hAnsi="Calibri"/>
                <w:sz w:val="16"/>
                <w:szCs w:val="16"/>
              </w:rPr>
              <w:t xml:space="preserve">Decreased number of estimated respondents and </w:t>
            </w:r>
            <w:r w:rsidR="00FC3A64">
              <w:rPr>
                <w:rFonts w:ascii="Calibri" w:eastAsia="Calibri" w:hAnsi="Calibri"/>
                <w:sz w:val="16"/>
                <w:szCs w:val="16"/>
              </w:rPr>
              <w:t xml:space="preserve">responses based on the </w:t>
            </w:r>
            <w:r w:rsidR="00FC3A64" w:rsidRPr="00FC3A64">
              <w:rPr>
                <w:rFonts w:ascii="Calibri" w:eastAsia="Calibri" w:hAnsi="Calibri"/>
                <w:sz w:val="16"/>
                <w:szCs w:val="16"/>
              </w:rPr>
              <w:t>most recently available data</w:t>
            </w:r>
            <w:r w:rsidR="00FC3A64">
              <w:rPr>
                <w:rFonts w:ascii="Calibri" w:eastAsia="Calibri" w:hAnsi="Calibri"/>
                <w:sz w:val="16"/>
                <w:szCs w:val="16"/>
              </w:rPr>
              <w:t>.</w:t>
            </w:r>
          </w:p>
        </w:tc>
      </w:tr>
      <w:tr w:rsidR="009831D0" w:rsidRPr="009831D0" w14:paraId="5B7521CB" w14:textId="77777777" w:rsidTr="00171066">
        <w:tc>
          <w:tcPr>
            <w:tcW w:w="2633" w:type="dxa"/>
            <w:shd w:val="clear" w:color="auto" w:fill="BDD6EE"/>
            <w:vAlign w:val="center"/>
          </w:tcPr>
          <w:p w14:paraId="725E9734" w14:textId="77777777" w:rsidR="009831D0" w:rsidRPr="009831D0" w:rsidRDefault="009831D0" w:rsidP="00C031EE">
            <w:pPr>
              <w:keepNext/>
              <w:keepLines/>
              <w:widowControl/>
              <w:jc w:val="center"/>
              <w:rPr>
                <w:rFonts w:ascii="Calibri" w:eastAsia="Calibri" w:hAnsi="Calibri"/>
                <w:b/>
                <w:sz w:val="16"/>
                <w:szCs w:val="16"/>
              </w:rPr>
            </w:pPr>
            <w:r w:rsidRPr="009831D0">
              <w:rPr>
                <w:rFonts w:ascii="Calibri" w:eastAsia="Calibri" w:hAnsi="Calibri"/>
                <w:b/>
                <w:sz w:val="16"/>
                <w:szCs w:val="16"/>
              </w:rPr>
              <w:t>Total for Collection</w:t>
            </w:r>
          </w:p>
        </w:tc>
        <w:tc>
          <w:tcPr>
            <w:tcW w:w="990" w:type="dxa"/>
            <w:tcBorders>
              <w:right w:val="dashed" w:sz="4" w:space="0" w:color="auto"/>
            </w:tcBorders>
            <w:shd w:val="clear" w:color="auto" w:fill="BDD6EE"/>
            <w:vAlign w:val="center"/>
          </w:tcPr>
          <w:p w14:paraId="31DBA02D" w14:textId="7AB2F495" w:rsidR="009831D0" w:rsidRPr="009831D0" w:rsidRDefault="000E7A76" w:rsidP="00C031EE">
            <w:pPr>
              <w:keepNext/>
              <w:keepLines/>
              <w:widowControl/>
              <w:jc w:val="center"/>
              <w:rPr>
                <w:rFonts w:ascii="Calibri" w:eastAsia="Calibri" w:hAnsi="Calibri"/>
                <w:b/>
                <w:sz w:val="16"/>
                <w:szCs w:val="16"/>
              </w:rPr>
            </w:pPr>
            <w:r>
              <w:rPr>
                <w:rFonts w:ascii="Calibri" w:eastAsia="Calibri" w:hAnsi="Calibri"/>
                <w:b/>
                <w:sz w:val="16"/>
                <w:szCs w:val="16"/>
              </w:rPr>
              <w:t>27</w:t>
            </w:r>
            <w:r w:rsidR="002E66F8">
              <w:rPr>
                <w:rFonts w:ascii="Calibri" w:eastAsia="Calibri" w:hAnsi="Calibri"/>
                <w:b/>
                <w:sz w:val="16"/>
                <w:szCs w:val="16"/>
              </w:rPr>
              <w:t>*</w:t>
            </w:r>
          </w:p>
        </w:tc>
        <w:tc>
          <w:tcPr>
            <w:tcW w:w="988" w:type="dxa"/>
            <w:tcBorders>
              <w:left w:val="dashed" w:sz="4" w:space="0" w:color="auto"/>
            </w:tcBorders>
            <w:shd w:val="clear" w:color="auto" w:fill="BDD6EE"/>
            <w:vAlign w:val="center"/>
          </w:tcPr>
          <w:p w14:paraId="519CA29B" w14:textId="5BBF45A0" w:rsidR="009831D0" w:rsidRPr="009831D0" w:rsidRDefault="00261841" w:rsidP="00BF3155">
            <w:pPr>
              <w:keepNext/>
              <w:keepLines/>
              <w:widowControl/>
              <w:jc w:val="center"/>
              <w:rPr>
                <w:rFonts w:ascii="Calibri" w:eastAsia="Calibri" w:hAnsi="Calibri"/>
                <w:b/>
                <w:sz w:val="16"/>
                <w:szCs w:val="16"/>
              </w:rPr>
            </w:pPr>
            <w:r>
              <w:rPr>
                <w:rFonts w:ascii="Calibri" w:eastAsia="Calibri" w:hAnsi="Calibri"/>
                <w:b/>
                <w:sz w:val="16"/>
                <w:szCs w:val="16"/>
              </w:rPr>
              <w:t>27</w:t>
            </w:r>
          </w:p>
        </w:tc>
        <w:tc>
          <w:tcPr>
            <w:tcW w:w="1003" w:type="dxa"/>
            <w:tcBorders>
              <w:bottom w:val="single" w:sz="4" w:space="0" w:color="auto"/>
              <w:right w:val="dashed" w:sz="4" w:space="0" w:color="auto"/>
            </w:tcBorders>
            <w:shd w:val="clear" w:color="auto" w:fill="BDD6EE"/>
            <w:vAlign w:val="center"/>
          </w:tcPr>
          <w:p w14:paraId="0117005C" w14:textId="28158442" w:rsidR="009831D0" w:rsidRPr="009831D0" w:rsidRDefault="00A277B2" w:rsidP="00C031EE">
            <w:pPr>
              <w:keepNext/>
              <w:keepLines/>
              <w:widowControl/>
              <w:jc w:val="center"/>
              <w:rPr>
                <w:rFonts w:ascii="Calibri" w:eastAsia="Calibri" w:hAnsi="Calibri"/>
                <w:b/>
                <w:sz w:val="16"/>
                <w:szCs w:val="16"/>
              </w:rPr>
            </w:pPr>
            <w:r>
              <w:rPr>
                <w:rFonts w:ascii="Calibri" w:eastAsia="Calibri" w:hAnsi="Calibri"/>
                <w:b/>
                <w:sz w:val="16"/>
                <w:szCs w:val="16"/>
              </w:rPr>
              <w:t>84</w:t>
            </w:r>
          </w:p>
        </w:tc>
        <w:tc>
          <w:tcPr>
            <w:tcW w:w="1129" w:type="dxa"/>
            <w:tcBorders>
              <w:left w:val="dashed" w:sz="4" w:space="0" w:color="auto"/>
              <w:bottom w:val="single" w:sz="4" w:space="0" w:color="auto"/>
            </w:tcBorders>
            <w:shd w:val="clear" w:color="auto" w:fill="BDD6EE"/>
            <w:vAlign w:val="center"/>
          </w:tcPr>
          <w:p w14:paraId="6A757A0C" w14:textId="74C90646" w:rsidR="009831D0" w:rsidRPr="009831D0" w:rsidRDefault="00261841" w:rsidP="00C031EE">
            <w:pPr>
              <w:keepNext/>
              <w:keepLines/>
              <w:widowControl/>
              <w:jc w:val="center"/>
              <w:rPr>
                <w:rFonts w:ascii="Calibri" w:eastAsia="Calibri" w:hAnsi="Calibri"/>
                <w:b/>
                <w:sz w:val="16"/>
                <w:szCs w:val="16"/>
              </w:rPr>
            </w:pPr>
            <w:r>
              <w:rPr>
                <w:rFonts w:ascii="Calibri" w:eastAsia="Calibri" w:hAnsi="Calibri"/>
                <w:b/>
                <w:sz w:val="16"/>
                <w:szCs w:val="16"/>
              </w:rPr>
              <w:t>60</w:t>
            </w:r>
          </w:p>
        </w:tc>
        <w:tc>
          <w:tcPr>
            <w:tcW w:w="1129" w:type="dxa"/>
            <w:tcBorders>
              <w:right w:val="dashed" w:sz="4" w:space="0" w:color="auto"/>
            </w:tcBorders>
            <w:shd w:val="clear" w:color="auto" w:fill="BDD6EE"/>
            <w:vAlign w:val="center"/>
          </w:tcPr>
          <w:p w14:paraId="37D81A25" w14:textId="47646523" w:rsidR="009831D0" w:rsidRPr="009831D0" w:rsidRDefault="00DC11AE" w:rsidP="00C031EE">
            <w:pPr>
              <w:keepNext/>
              <w:keepLines/>
              <w:widowControl/>
              <w:jc w:val="center"/>
              <w:rPr>
                <w:rFonts w:ascii="Calibri" w:eastAsia="Calibri" w:hAnsi="Calibri"/>
                <w:b/>
                <w:sz w:val="16"/>
                <w:szCs w:val="16"/>
              </w:rPr>
            </w:pPr>
            <w:r>
              <w:rPr>
                <w:rFonts w:ascii="Calibri" w:eastAsia="Calibri" w:hAnsi="Calibri"/>
                <w:b/>
                <w:sz w:val="16"/>
                <w:szCs w:val="16"/>
              </w:rPr>
              <w:t>251</w:t>
            </w:r>
          </w:p>
        </w:tc>
        <w:tc>
          <w:tcPr>
            <w:tcW w:w="1130" w:type="dxa"/>
            <w:tcBorders>
              <w:left w:val="dashed" w:sz="4" w:space="0" w:color="auto"/>
            </w:tcBorders>
            <w:shd w:val="clear" w:color="auto" w:fill="BDD6EE"/>
            <w:vAlign w:val="center"/>
          </w:tcPr>
          <w:p w14:paraId="786FBF13" w14:textId="222865AA" w:rsidR="009831D0" w:rsidRPr="009831D0" w:rsidRDefault="00261841" w:rsidP="00C031EE">
            <w:pPr>
              <w:keepNext/>
              <w:keepLines/>
              <w:widowControl/>
              <w:jc w:val="center"/>
              <w:rPr>
                <w:rFonts w:ascii="Calibri" w:eastAsia="Calibri" w:hAnsi="Calibri"/>
                <w:b/>
                <w:sz w:val="16"/>
                <w:szCs w:val="16"/>
              </w:rPr>
            </w:pPr>
            <w:r>
              <w:rPr>
                <w:rFonts w:ascii="Calibri" w:eastAsia="Calibri" w:hAnsi="Calibri"/>
                <w:b/>
                <w:sz w:val="16"/>
                <w:szCs w:val="16"/>
              </w:rPr>
              <w:t>135 hrs</w:t>
            </w:r>
          </w:p>
        </w:tc>
        <w:tc>
          <w:tcPr>
            <w:tcW w:w="4390" w:type="dxa"/>
            <w:tcBorders>
              <w:left w:val="dotted" w:sz="4" w:space="0" w:color="auto"/>
            </w:tcBorders>
            <w:shd w:val="clear" w:color="auto" w:fill="BDD6EE"/>
            <w:vAlign w:val="center"/>
          </w:tcPr>
          <w:p w14:paraId="72024099" w14:textId="77777777" w:rsidR="009831D0" w:rsidRPr="009831D0" w:rsidRDefault="009831D0" w:rsidP="00C031EE">
            <w:pPr>
              <w:keepNext/>
              <w:keepLines/>
              <w:widowControl/>
              <w:jc w:val="center"/>
              <w:rPr>
                <w:rFonts w:ascii="Calibri" w:eastAsia="Calibri" w:hAnsi="Calibri"/>
                <w:b/>
                <w:sz w:val="16"/>
                <w:szCs w:val="16"/>
              </w:rPr>
            </w:pPr>
          </w:p>
        </w:tc>
      </w:tr>
    </w:tbl>
    <w:p w14:paraId="73368C26" w14:textId="7FD1B2F8" w:rsidR="009831D0" w:rsidRPr="00261841" w:rsidRDefault="00261841" w:rsidP="00C031EE">
      <w:pPr>
        <w:keepNext/>
        <w:keepLines/>
        <w:widowControl/>
        <w:rPr>
          <w:rFonts w:asciiTheme="minorHAnsi" w:hAnsiTheme="minorHAnsi" w:cstheme="minorHAnsi"/>
          <w:sz w:val="16"/>
          <w:szCs w:val="16"/>
        </w:rPr>
      </w:pPr>
      <w:r w:rsidRPr="00261841">
        <w:rPr>
          <w:rFonts w:asciiTheme="minorHAnsi" w:hAnsiTheme="minorHAnsi" w:cstheme="minorHAnsi"/>
          <w:sz w:val="16"/>
          <w:szCs w:val="16"/>
        </w:rPr>
        <w:t xml:space="preserve">* Unique respondents. Some participants in the </w:t>
      </w:r>
      <w:r>
        <w:rPr>
          <w:rFonts w:asciiTheme="minorHAnsi" w:hAnsiTheme="minorHAnsi" w:cstheme="minorHAnsi"/>
          <w:sz w:val="16"/>
          <w:szCs w:val="16"/>
        </w:rPr>
        <w:t>AFA</w:t>
      </w:r>
      <w:r w:rsidRPr="00261841">
        <w:rPr>
          <w:rFonts w:asciiTheme="minorHAnsi" w:hAnsiTheme="minorHAnsi" w:cstheme="minorHAnsi"/>
          <w:sz w:val="16"/>
          <w:szCs w:val="16"/>
        </w:rPr>
        <w:t xml:space="preserve"> Program submit more than one instrument in this information collection. Therefore, the number of unique respondents is used to show the estimated number of individual participants who are expected to annually submit information during the renewal period for this information collection.</w:t>
      </w:r>
      <w:r w:rsidR="00BF3155" w:rsidRPr="00BF3155">
        <w:t xml:space="preserve"> </w:t>
      </w:r>
      <w:r w:rsidR="00BF3155" w:rsidRPr="00CF3445">
        <w:rPr>
          <w:rFonts w:asciiTheme="minorHAnsi" w:hAnsiTheme="minorHAnsi" w:cstheme="minorHAnsi"/>
          <w:sz w:val="16"/>
          <w:szCs w:val="16"/>
        </w:rPr>
        <w:t>The estimated number of unique respondents consist</w:t>
      </w:r>
      <w:r w:rsidR="00CF3445" w:rsidRPr="00CF3445">
        <w:rPr>
          <w:rFonts w:asciiTheme="minorHAnsi" w:hAnsiTheme="minorHAnsi" w:cstheme="minorHAnsi"/>
          <w:sz w:val="16"/>
          <w:szCs w:val="16"/>
        </w:rPr>
        <w:t>s</w:t>
      </w:r>
      <w:r w:rsidR="00BF3155" w:rsidRPr="00CF3445">
        <w:rPr>
          <w:rFonts w:asciiTheme="minorHAnsi" w:hAnsiTheme="minorHAnsi" w:cstheme="minorHAnsi"/>
          <w:sz w:val="16"/>
          <w:szCs w:val="16"/>
        </w:rPr>
        <w:t xml:space="preserve"> of</w:t>
      </w:r>
      <w:r w:rsidR="00CF3445" w:rsidRPr="00CF3445">
        <w:rPr>
          <w:rFonts w:asciiTheme="minorHAnsi" w:hAnsiTheme="minorHAnsi" w:cstheme="minorHAnsi"/>
          <w:sz w:val="16"/>
          <w:szCs w:val="16"/>
        </w:rPr>
        <w:t xml:space="preserve"> 7 inshore cooperatives</w:t>
      </w:r>
      <w:r w:rsidR="0088600D">
        <w:rPr>
          <w:rFonts w:asciiTheme="minorHAnsi" w:hAnsiTheme="minorHAnsi" w:cstheme="minorHAnsi"/>
          <w:sz w:val="16"/>
          <w:szCs w:val="16"/>
        </w:rPr>
        <w:t>;</w:t>
      </w:r>
      <w:r w:rsidR="00CF3445" w:rsidRPr="00CF3445">
        <w:rPr>
          <w:rFonts w:asciiTheme="minorHAnsi" w:hAnsiTheme="minorHAnsi" w:cstheme="minorHAnsi"/>
          <w:sz w:val="16"/>
          <w:szCs w:val="16"/>
        </w:rPr>
        <w:t xml:space="preserve"> 1 </w:t>
      </w:r>
      <w:r w:rsidR="00DD400A" w:rsidRPr="00CF3445">
        <w:rPr>
          <w:rFonts w:asciiTheme="minorHAnsi" w:hAnsiTheme="minorHAnsi" w:cstheme="minorHAnsi"/>
          <w:sz w:val="16"/>
          <w:szCs w:val="16"/>
        </w:rPr>
        <w:t>catcher/processor sector</w:t>
      </w:r>
      <w:r w:rsidR="00CF3445" w:rsidRPr="00CF3445">
        <w:rPr>
          <w:rFonts w:asciiTheme="minorHAnsi" w:hAnsiTheme="minorHAnsi" w:cstheme="minorHAnsi"/>
          <w:sz w:val="16"/>
          <w:szCs w:val="16"/>
        </w:rPr>
        <w:t xml:space="preserve"> representative</w:t>
      </w:r>
      <w:r w:rsidR="0088600D">
        <w:rPr>
          <w:rFonts w:asciiTheme="minorHAnsi" w:hAnsiTheme="minorHAnsi" w:cstheme="minorHAnsi"/>
          <w:sz w:val="16"/>
          <w:szCs w:val="16"/>
        </w:rPr>
        <w:t>;</w:t>
      </w:r>
      <w:r w:rsidR="00DD400A" w:rsidRPr="00CF3445">
        <w:rPr>
          <w:rFonts w:asciiTheme="minorHAnsi" w:hAnsiTheme="minorHAnsi" w:cstheme="minorHAnsi"/>
          <w:sz w:val="16"/>
          <w:szCs w:val="16"/>
        </w:rPr>
        <w:t xml:space="preserve"> </w:t>
      </w:r>
      <w:r w:rsidR="00CF3445" w:rsidRPr="00CF3445">
        <w:rPr>
          <w:rFonts w:asciiTheme="minorHAnsi" w:hAnsiTheme="minorHAnsi" w:cstheme="minorHAnsi"/>
          <w:sz w:val="16"/>
          <w:szCs w:val="16"/>
        </w:rPr>
        <w:t xml:space="preserve">1 </w:t>
      </w:r>
      <w:r w:rsidR="00DD400A" w:rsidRPr="00CF3445">
        <w:rPr>
          <w:rFonts w:asciiTheme="minorHAnsi" w:hAnsiTheme="minorHAnsi" w:cstheme="minorHAnsi"/>
          <w:sz w:val="16"/>
          <w:szCs w:val="16"/>
        </w:rPr>
        <w:t>mothership sector</w:t>
      </w:r>
      <w:r w:rsidR="00CF3445" w:rsidRPr="00CF3445">
        <w:rPr>
          <w:rFonts w:asciiTheme="minorHAnsi" w:hAnsiTheme="minorHAnsi" w:cstheme="minorHAnsi"/>
          <w:sz w:val="16"/>
          <w:szCs w:val="16"/>
        </w:rPr>
        <w:t xml:space="preserve"> representative</w:t>
      </w:r>
      <w:r w:rsidR="0088600D">
        <w:rPr>
          <w:rFonts w:asciiTheme="minorHAnsi" w:hAnsiTheme="minorHAnsi" w:cstheme="minorHAnsi"/>
          <w:sz w:val="16"/>
          <w:szCs w:val="16"/>
        </w:rPr>
        <w:t>;</w:t>
      </w:r>
      <w:r w:rsidR="00DD400A" w:rsidRPr="00CF3445">
        <w:rPr>
          <w:rFonts w:asciiTheme="minorHAnsi" w:hAnsiTheme="minorHAnsi" w:cstheme="minorHAnsi"/>
          <w:sz w:val="16"/>
          <w:szCs w:val="16"/>
        </w:rPr>
        <w:t xml:space="preserve"> </w:t>
      </w:r>
      <w:r w:rsidR="00CF3445" w:rsidRPr="00CF3445">
        <w:rPr>
          <w:rFonts w:asciiTheme="minorHAnsi" w:hAnsiTheme="minorHAnsi" w:cstheme="minorHAnsi"/>
          <w:sz w:val="16"/>
          <w:szCs w:val="16"/>
        </w:rPr>
        <w:t>6</w:t>
      </w:r>
      <w:r w:rsidR="00DD400A" w:rsidRPr="00CF3445">
        <w:rPr>
          <w:rFonts w:asciiTheme="minorHAnsi" w:hAnsiTheme="minorHAnsi" w:cstheme="minorHAnsi"/>
          <w:sz w:val="16"/>
          <w:szCs w:val="16"/>
        </w:rPr>
        <w:t xml:space="preserve"> CDQ groups</w:t>
      </w:r>
      <w:r w:rsidR="0088600D">
        <w:rPr>
          <w:rFonts w:asciiTheme="minorHAnsi" w:hAnsiTheme="minorHAnsi" w:cstheme="minorHAnsi"/>
          <w:sz w:val="16"/>
          <w:szCs w:val="16"/>
        </w:rPr>
        <w:t>;</w:t>
      </w:r>
      <w:r w:rsidR="00CF3445" w:rsidRPr="00CF3445">
        <w:rPr>
          <w:rFonts w:asciiTheme="minorHAnsi" w:hAnsiTheme="minorHAnsi" w:cstheme="minorHAnsi"/>
          <w:sz w:val="16"/>
          <w:szCs w:val="16"/>
        </w:rPr>
        <w:t xml:space="preserve"> and 12 potential rebuild, replace, remove vessel owners.</w:t>
      </w:r>
    </w:p>
    <w:p w14:paraId="3B83EC3F" w14:textId="77777777" w:rsidR="00261841" w:rsidRDefault="00261841" w:rsidP="00C031EE">
      <w:pPr>
        <w:keepNext/>
        <w:keepLines/>
        <w:widowControl/>
      </w:pPr>
    </w:p>
    <w:tbl>
      <w:tblPr>
        <w:tblW w:w="133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19"/>
        <w:gridCol w:w="1155"/>
        <w:gridCol w:w="1058"/>
        <w:gridCol w:w="1252"/>
        <w:gridCol w:w="6177"/>
      </w:tblGrid>
      <w:tr w:rsidR="009831D0" w:rsidRPr="009831D0" w14:paraId="06284556" w14:textId="77777777" w:rsidTr="00171066">
        <w:tc>
          <w:tcPr>
            <w:tcW w:w="2610" w:type="dxa"/>
            <w:vMerge w:val="restart"/>
            <w:shd w:val="clear" w:color="auto" w:fill="5B9BD5"/>
            <w:vAlign w:val="center"/>
          </w:tcPr>
          <w:p w14:paraId="40DBC1DB" w14:textId="77777777" w:rsidR="009831D0" w:rsidRPr="009831D0" w:rsidRDefault="009831D0" w:rsidP="00C031EE">
            <w:pPr>
              <w:keepNext/>
              <w:keepLines/>
              <w:widowControl/>
              <w:shd w:val="clear" w:color="auto" w:fill="5B9BD5"/>
              <w:jc w:val="center"/>
              <w:rPr>
                <w:rFonts w:ascii="Calibri" w:eastAsia="Calibri" w:hAnsi="Calibri"/>
                <w:b/>
                <w:sz w:val="16"/>
                <w:szCs w:val="16"/>
              </w:rPr>
            </w:pPr>
            <w:r w:rsidRPr="009831D0">
              <w:rPr>
                <w:rFonts w:ascii="Calibri" w:eastAsia="Calibri" w:hAnsi="Calibri"/>
                <w:b/>
                <w:sz w:val="16"/>
                <w:szCs w:val="16"/>
              </w:rPr>
              <w:t>Information Collection</w:t>
            </w:r>
          </w:p>
        </w:tc>
        <w:tc>
          <w:tcPr>
            <w:tcW w:w="2274" w:type="dxa"/>
            <w:gridSpan w:val="2"/>
            <w:tcBorders>
              <w:bottom w:val="single" w:sz="4" w:space="0" w:color="auto"/>
            </w:tcBorders>
            <w:shd w:val="clear" w:color="auto" w:fill="5B9BD5"/>
            <w:vAlign w:val="center"/>
          </w:tcPr>
          <w:p w14:paraId="49A8B690" w14:textId="77777777" w:rsidR="009831D0" w:rsidRPr="009831D0" w:rsidRDefault="009831D0" w:rsidP="00C031EE">
            <w:pPr>
              <w:keepNext/>
              <w:keepLines/>
              <w:widowControl/>
              <w:shd w:val="clear" w:color="auto" w:fill="5B9BD5"/>
              <w:jc w:val="center"/>
              <w:rPr>
                <w:rFonts w:ascii="Calibri" w:eastAsia="Calibri" w:hAnsi="Calibri"/>
                <w:b/>
                <w:sz w:val="16"/>
                <w:szCs w:val="16"/>
              </w:rPr>
            </w:pPr>
            <w:r w:rsidRPr="009831D0">
              <w:rPr>
                <w:rFonts w:ascii="Calibri" w:eastAsia="Calibri" w:hAnsi="Calibri"/>
                <w:b/>
                <w:sz w:val="16"/>
                <w:szCs w:val="16"/>
              </w:rPr>
              <w:t>Labor Costs</w:t>
            </w:r>
          </w:p>
        </w:tc>
        <w:tc>
          <w:tcPr>
            <w:tcW w:w="2310" w:type="dxa"/>
            <w:gridSpan w:val="2"/>
            <w:shd w:val="clear" w:color="auto" w:fill="5B9BD5"/>
          </w:tcPr>
          <w:p w14:paraId="6870A181" w14:textId="77777777" w:rsidR="009831D0" w:rsidRPr="009831D0" w:rsidRDefault="009831D0" w:rsidP="00C031EE">
            <w:pPr>
              <w:keepNext/>
              <w:keepLines/>
              <w:widowControl/>
              <w:shd w:val="clear" w:color="auto" w:fill="5B9BD5"/>
              <w:jc w:val="center"/>
              <w:rPr>
                <w:rFonts w:ascii="Calibri" w:eastAsia="Calibri" w:hAnsi="Calibri"/>
                <w:b/>
                <w:sz w:val="16"/>
                <w:szCs w:val="16"/>
              </w:rPr>
            </w:pPr>
            <w:r w:rsidRPr="009831D0">
              <w:rPr>
                <w:rFonts w:ascii="Calibri" w:eastAsia="Calibri" w:hAnsi="Calibri"/>
                <w:b/>
                <w:sz w:val="16"/>
                <w:szCs w:val="16"/>
              </w:rPr>
              <w:t>Miscellaneous Costs</w:t>
            </w:r>
          </w:p>
        </w:tc>
        <w:tc>
          <w:tcPr>
            <w:tcW w:w="6177" w:type="dxa"/>
            <w:vMerge w:val="restart"/>
            <w:tcBorders>
              <w:right w:val="single" w:sz="4" w:space="0" w:color="auto"/>
            </w:tcBorders>
            <w:shd w:val="clear" w:color="auto" w:fill="5B9BD5"/>
            <w:vAlign w:val="center"/>
          </w:tcPr>
          <w:p w14:paraId="43F0C0FB" w14:textId="77777777" w:rsidR="009831D0" w:rsidRPr="009831D0" w:rsidRDefault="009831D0" w:rsidP="00C031EE">
            <w:pPr>
              <w:keepNext/>
              <w:keepLines/>
              <w:widowControl/>
              <w:shd w:val="clear" w:color="auto" w:fill="5B9BD5"/>
              <w:jc w:val="center"/>
              <w:rPr>
                <w:rFonts w:ascii="Calibri" w:eastAsia="Calibri" w:hAnsi="Calibri"/>
                <w:b/>
                <w:sz w:val="16"/>
                <w:szCs w:val="16"/>
              </w:rPr>
            </w:pPr>
            <w:r w:rsidRPr="009831D0">
              <w:rPr>
                <w:rFonts w:ascii="Calibri" w:eastAsia="Calibri" w:hAnsi="Calibri"/>
                <w:b/>
                <w:sz w:val="16"/>
                <w:szCs w:val="16"/>
              </w:rPr>
              <w:t>Reason for change or adjustment</w:t>
            </w:r>
          </w:p>
        </w:tc>
      </w:tr>
      <w:tr w:rsidR="009831D0" w:rsidRPr="009831D0" w14:paraId="1A7662FF" w14:textId="77777777" w:rsidTr="00171066">
        <w:tc>
          <w:tcPr>
            <w:tcW w:w="2610" w:type="dxa"/>
            <w:vMerge/>
            <w:shd w:val="clear" w:color="auto" w:fill="5B9BD5"/>
            <w:vAlign w:val="center"/>
          </w:tcPr>
          <w:p w14:paraId="51F8BA26" w14:textId="77777777" w:rsidR="009831D0" w:rsidRPr="009831D0" w:rsidRDefault="009831D0" w:rsidP="00C031EE">
            <w:pPr>
              <w:keepNext/>
              <w:keepLines/>
              <w:widowControl/>
              <w:jc w:val="center"/>
              <w:rPr>
                <w:rFonts w:ascii="Calibri" w:eastAsia="Calibri" w:hAnsi="Calibri"/>
                <w:sz w:val="16"/>
                <w:szCs w:val="16"/>
              </w:rPr>
            </w:pPr>
          </w:p>
        </w:tc>
        <w:tc>
          <w:tcPr>
            <w:tcW w:w="1119" w:type="dxa"/>
            <w:tcBorders>
              <w:bottom w:val="single" w:sz="4" w:space="0" w:color="auto"/>
              <w:right w:val="dashSmallGap" w:sz="4" w:space="0" w:color="auto"/>
            </w:tcBorders>
            <w:shd w:val="clear" w:color="auto" w:fill="FBE4D5"/>
            <w:vAlign w:val="center"/>
          </w:tcPr>
          <w:p w14:paraId="4E0A2FB3" w14:textId="77777777" w:rsidR="009831D0" w:rsidRPr="009831D0" w:rsidRDefault="009831D0" w:rsidP="00C031EE">
            <w:pPr>
              <w:keepNext/>
              <w:keepLines/>
              <w:widowControl/>
              <w:jc w:val="center"/>
              <w:rPr>
                <w:rFonts w:ascii="Calibri" w:eastAsia="Calibri" w:hAnsi="Calibri"/>
                <w:sz w:val="16"/>
                <w:szCs w:val="16"/>
              </w:rPr>
            </w:pPr>
            <w:r w:rsidRPr="009831D0">
              <w:rPr>
                <w:rFonts w:ascii="Calibri" w:eastAsia="Calibri" w:hAnsi="Calibri"/>
                <w:sz w:val="16"/>
                <w:szCs w:val="16"/>
              </w:rPr>
              <w:t>Current</w:t>
            </w:r>
          </w:p>
        </w:tc>
        <w:tc>
          <w:tcPr>
            <w:tcW w:w="1155" w:type="dxa"/>
            <w:tcBorders>
              <w:left w:val="dashSmallGap" w:sz="4" w:space="0" w:color="auto"/>
              <w:bottom w:val="single" w:sz="4" w:space="0" w:color="auto"/>
            </w:tcBorders>
            <w:shd w:val="clear" w:color="auto" w:fill="FBE4D5"/>
            <w:vAlign w:val="center"/>
          </w:tcPr>
          <w:p w14:paraId="77D4D571" w14:textId="77777777" w:rsidR="009831D0" w:rsidRPr="009831D0" w:rsidRDefault="009831D0" w:rsidP="00C031EE">
            <w:pPr>
              <w:keepNext/>
              <w:keepLines/>
              <w:widowControl/>
              <w:jc w:val="center"/>
              <w:rPr>
                <w:rFonts w:ascii="Calibri" w:eastAsia="Calibri" w:hAnsi="Calibri"/>
                <w:sz w:val="16"/>
                <w:szCs w:val="16"/>
              </w:rPr>
            </w:pPr>
            <w:r w:rsidRPr="009831D0">
              <w:rPr>
                <w:rFonts w:ascii="Calibri" w:eastAsia="Calibri" w:hAnsi="Calibri"/>
                <w:sz w:val="16"/>
                <w:szCs w:val="16"/>
              </w:rPr>
              <w:t>Previous</w:t>
            </w:r>
          </w:p>
        </w:tc>
        <w:tc>
          <w:tcPr>
            <w:tcW w:w="1058" w:type="dxa"/>
            <w:tcBorders>
              <w:right w:val="dashSmallGap" w:sz="4" w:space="0" w:color="auto"/>
            </w:tcBorders>
            <w:shd w:val="clear" w:color="auto" w:fill="FBE4D5"/>
            <w:vAlign w:val="center"/>
          </w:tcPr>
          <w:p w14:paraId="3B0D5413" w14:textId="77777777" w:rsidR="009831D0" w:rsidRPr="009831D0" w:rsidRDefault="009831D0" w:rsidP="00C031EE">
            <w:pPr>
              <w:keepNext/>
              <w:keepLines/>
              <w:widowControl/>
              <w:jc w:val="center"/>
              <w:rPr>
                <w:rFonts w:ascii="Calibri" w:eastAsia="Calibri" w:hAnsi="Calibri"/>
                <w:sz w:val="16"/>
                <w:szCs w:val="16"/>
              </w:rPr>
            </w:pPr>
            <w:r w:rsidRPr="009831D0">
              <w:rPr>
                <w:rFonts w:ascii="Calibri" w:eastAsia="Calibri" w:hAnsi="Calibri"/>
                <w:sz w:val="16"/>
                <w:szCs w:val="16"/>
              </w:rPr>
              <w:t>Current</w:t>
            </w:r>
          </w:p>
        </w:tc>
        <w:tc>
          <w:tcPr>
            <w:tcW w:w="1252" w:type="dxa"/>
            <w:tcBorders>
              <w:left w:val="dashSmallGap" w:sz="4" w:space="0" w:color="auto"/>
            </w:tcBorders>
            <w:shd w:val="clear" w:color="auto" w:fill="FBE4D5"/>
            <w:vAlign w:val="center"/>
          </w:tcPr>
          <w:p w14:paraId="095F38D8" w14:textId="77777777" w:rsidR="009831D0" w:rsidRPr="009831D0" w:rsidRDefault="009831D0" w:rsidP="00C031EE">
            <w:pPr>
              <w:keepNext/>
              <w:keepLines/>
              <w:widowControl/>
              <w:jc w:val="center"/>
              <w:rPr>
                <w:rFonts w:ascii="Calibri" w:eastAsia="Calibri" w:hAnsi="Calibri"/>
                <w:sz w:val="16"/>
                <w:szCs w:val="16"/>
              </w:rPr>
            </w:pPr>
            <w:r w:rsidRPr="009831D0">
              <w:rPr>
                <w:rFonts w:ascii="Calibri" w:eastAsia="Calibri" w:hAnsi="Calibri"/>
                <w:sz w:val="16"/>
                <w:szCs w:val="16"/>
              </w:rPr>
              <w:t>Previous</w:t>
            </w:r>
          </w:p>
        </w:tc>
        <w:tc>
          <w:tcPr>
            <w:tcW w:w="6177" w:type="dxa"/>
            <w:vMerge/>
            <w:tcBorders>
              <w:right w:val="single" w:sz="4" w:space="0" w:color="auto"/>
            </w:tcBorders>
            <w:shd w:val="clear" w:color="auto" w:fill="FBE4D5"/>
            <w:vAlign w:val="center"/>
          </w:tcPr>
          <w:p w14:paraId="25146513" w14:textId="77777777" w:rsidR="009831D0" w:rsidRPr="009831D0" w:rsidRDefault="009831D0" w:rsidP="00C031EE">
            <w:pPr>
              <w:keepNext/>
              <w:keepLines/>
              <w:widowControl/>
              <w:rPr>
                <w:rFonts w:ascii="Calibri" w:eastAsia="Calibri" w:hAnsi="Calibri"/>
                <w:sz w:val="16"/>
                <w:szCs w:val="16"/>
              </w:rPr>
            </w:pPr>
          </w:p>
        </w:tc>
      </w:tr>
      <w:tr w:rsidR="008801B8" w:rsidRPr="009831D0" w14:paraId="6CD13CC2" w14:textId="77777777" w:rsidTr="008801B8">
        <w:tc>
          <w:tcPr>
            <w:tcW w:w="2610" w:type="dxa"/>
            <w:shd w:val="clear" w:color="auto" w:fill="auto"/>
          </w:tcPr>
          <w:p w14:paraId="4AC082FD" w14:textId="4CA71D9C" w:rsidR="008801B8" w:rsidRPr="00673122" w:rsidRDefault="008801B8" w:rsidP="008801B8">
            <w:pPr>
              <w:keepNext/>
              <w:keepLines/>
              <w:widowControl/>
              <w:rPr>
                <w:rFonts w:asciiTheme="minorHAnsi" w:eastAsia="Calibri" w:hAnsiTheme="minorHAnsi" w:cstheme="minorHAnsi"/>
                <w:sz w:val="16"/>
                <w:szCs w:val="16"/>
              </w:rPr>
            </w:pPr>
            <w:r w:rsidRPr="00673122">
              <w:rPr>
                <w:rFonts w:asciiTheme="minorHAnsi" w:hAnsiTheme="minorHAnsi" w:cstheme="minorHAnsi"/>
                <w:sz w:val="16"/>
                <w:szCs w:val="16"/>
              </w:rPr>
              <w:t>Application for AFA Permit: Rebuilt, Replaced, or Removed Vessel</w:t>
            </w:r>
          </w:p>
        </w:tc>
        <w:tc>
          <w:tcPr>
            <w:tcW w:w="1119" w:type="dxa"/>
            <w:tcBorders>
              <w:bottom w:val="dotted" w:sz="4" w:space="0" w:color="auto"/>
              <w:right w:val="dashSmallGap" w:sz="4" w:space="0" w:color="auto"/>
            </w:tcBorders>
            <w:shd w:val="clear" w:color="auto" w:fill="auto"/>
            <w:vAlign w:val="center"/>
          </w:tcPr>
          <w:p w14:paraId="566E0025" w14:textId="31DF090A" w:rsidR="008801B8" w:rsidRPr="005504A9" w:rsidRDefault="008801B8" w:rsidP="008801B8">
            <w:pPr>
              <w:keepNext/>
              <w:keepLines/>
              <w:widowControl/>
              <w:jc w:val="center"/>
              <w:rPr>
                <w:rFonts w:asciiTheme="minorHAnsi" w:eastAsia="Calibri" w:hAnsiTheme="minorHAnsi" w:cstheme="minorHAnsi"/>
                <w:sz w:val="16"/>
                <w:szCs w:val="16"/>
              </w:rPr>
            </w:pPr>
            <w:r w:rsidRPr="005504A9">
              <w:rPr>
                <w:rFonts w:asciiTheme="minorHAnsi" w:hAnsiTheme="minorHAnsi" w:cstheme="minorHAnsi"/>
                <w:sz w:val="16"/>
                <w:szCs w:val="16"/>
              </w:rPr>
              <w:t>286</w:t>
            </w:r>
          </w:p>
        </w:tc>
        <w:tc>
          <w:tcPr>
            <w:tcW w:w="1155" w:type="dxa"/>
            <w:tcBorders>
              <w:left w:val="dashSmallGap" w:sz="4" w:space="0" w:color="auto"/>
              <w:bottom w:val="dotted" w:sz="4" w:space="0" w:color="auto"/>
            </w:tcBorders>
            <w:shd w:val="clear" w:color="auto" w:fill="auto"/>
            <w:vAlign w:val="center"/>
          </w:tcPr>
          <w:p w14:paraId="55087C48" w14:textId="3FFD03B6" w:rsidR="008801B8" w:rsidRPr="009831D0" w:rsidRDefault="008801B8" w:rsidP="008801B8">
            <w:pPr>
              <w:keepNext/>
              <w:keepLines/>
              <w:widowControl/>
              <w:jc w:val="center"/>
              <w:rPr>
                <w:rFonts w:ascii="Calibri" w:eastAsia="Calibri" w:hAnsi="Calibri"/>
                <w:sz w:val="16"/>
                <w:szCs w:val="16"/>
              </w:rPr>
            </w:pPr>
            <w:r>
              <w:rPr>
                <w:rFonts w:ascii="Calibri" w:eastAsia="Calibri" w:hAnsi="Calibri"/>
                <w:sz w:val="16"/>
                <w:szCs w:val="16"/>
              </w:rPr>
              <w:t>111</w:t>
            </w:r>
          </w:p>
        </w:tc>
        <w:tc>
          <w:tcPr>
            <w:tcW w:w="1058" w:type="dxa"/>
            <w:tcBorders>
              <w:left w:val="dotted" w:sz="4" w:space="0" w:color="auto"/>
              <w:bottom w:val="dotted" w:sz="4" w:space="0" w:color="auto"/>
              <w:right w:val="dashSmallGap" w:sz="4" w:space="0" w:color="auto"/>
            </w:tcBorders>
            <w:vAlign w:val="center"/>
          </w:tcPr>
          <w:p w14:paraId="4194C520" w14:textId="3FF9A7AA" w:rsidR="008801B8" w:rsidRPr="008801B8" w:rsidRDefault="008801B8" w:rsidP="008801B8">
            <w:pPr>
              <w:keepNext/>
              <w:keepLines/>
              <w:widowControl/>
              <w:jc w:val="center"/>
              <w:rPr>
                <w:rFonts w:asciiTheme="minorHAnsi" w:eastAsia="Calibri" w:hAnsiTheme="minorHAnsi" w:cstheme="minorHAnsi"/>
                <w:sz w:val="16"/>
                <w:szCs w:val="16"/>
              </w:rPr>
            </w:pPr>
            <w:r w:rsidRPr="008801B8">
              <w:rPr>
                <w:rFonts w:asciiTheme="minorHAnsi" w:hAnsiTheme="minorHAnsi" w:cstheme="minorHAnsi"/>
                <w:sz w:val="16"/>
                <w:szCs w:val="16"/>
              </w:rPr>
              <w:t xml:space="preserve">60 </w:t>
            </w:r>
          </w:p>
        </w:tc>
        <w:tc>
          <w:tcPr>
            <w:tcW w:w="1252" w:type="dxa"/>
            <w:tcBorders>
              <w:left w:val="dashSmallGap" w:sz="4" w:space="0" w:color="auto"/>
              <w:bottom w:val="dotted" w:sz="4" w:space="0" w:color="auto"/>
              <w:right w:val="single" w:sz="4" w:space="0" w:color="auto"/>
            </w:tcBorders>
            <w:vAlign w:val="center"/>
          </w:tcPr>
          <w:p w14:paraId="035B36D8" w14:textId="23B9EA33" w:rsidR="008801B8" w:rsidRPr="009831D0" w:rsidRDefault="008801B8" w:rsidP="008801B8">
            <w:pPr>
              <w:keepNext/>
              <w:keepLines/>
              <w:widowControl/>
              <w:jc w:val="center"/>
              <w:rPr>
                <w:rFonts w:ascii="Calibri" w:eastAsia="Calibri" w:hAnsi="Calibri"/>
                <w:sz w:val="16"/>
                <w:szCs w:val="16"/>
              </w:rPr>
            </w:pPr>
            <w:r>
              <w:rPr>
                <w:rFonts w:ascii="Calibri" w:eastAsia="Calibri" w:hAnsi="Calibri"/>
                <w:sz w:val="16"/>
                <w:szCs w:val="16"/>
              </w:rPr>
              <w:t>7</w:t>
            </w:r>
          </w:p>
        </w:tc>
        <w:tc>
          <w:tcPr>
            <w:tcW w:w="6177" w:type="dxa"/>
            <w:tcBorders>
              <w:left w:val="single" w:sz="4" w:space="0" w:color="auto"/>
              <w:bottom w:val="dotted" w:sz="4" w:space="0" w:color="auto"/>
              <w:right w:val="single" w:sz="4" w:space="0" w:color="auto"/>
            </w:tcBorders>
            <w:shd w:val="clear" w:color="auto" w:fill="auto"/>
            <w:vAlign w:val="center"/>
          </w:tcPr>
          <w:p w14:paraId="5D53A441" w14:textId="2CFE1419" w:rsidR="008801B8" w:rsidRPr="005504A9" w:rsidRDefault="008801B8" w:rsidP="008801B8">
            <w:pPr>
              <w:keepNext/>
              <w:keepLines/>
              <w:widowControl/>
              <w:rPr>
                <w:rFonts w:asciiTheme="minorHAnsi" w:eastAsia="Calibri" w:hAnsiTheme="minorHAnsi" w:cstheme="minorHAnsi"/>
                <w:sz w:val="16"/>
                <w:szCs w:val="16"/>
              </w:rPr>
            </w:pPr>
            <w:r w:rsidRPr="005504A9">
              <w:rPr>
                <w:rFonts w:asciiTheme="minorHAnsi" w:hAnsiTheme="minorHAnsi" w:cstheme="minorHAnsi"/>
                <w:sz w:val="16"/>
                <w:szCs w:val="16"/>
              </w:rPr>
              <w:t>Updated labor and operating costs</w:t>
            </w:r>
          </w:p>
        </w:tc>
      </w:tr>
      <w:tr w:rsidR="008801B8" w:rsidRPr="009831D0" w14:paraId="250CD611" w14:textId="77777777" w:rsidTr="008801B8">
        <w:tc>
          <w:tcPr>
            <w:tcW w:w="2610" w:type="dxa"/>
            <w:shd w:val="clear" w:color="auto" w:fill="auto"/>
          </w:tcPr>
          <w:p w14:paraId="3214D4F0" w14:textId="4227B786" w:rsidR="008801B8" w:rsidRPr="00673122" w:rsidRDefault="008801B8" w:rsidP="008801B8">
            <w:pPr>
              <w:keepNext/>
              <w:keepLines/>
              <w:widowControl/>
              <w:rPr>
                <w:rFonts w:asciiTheme="minorHAnsi" w:eastAsia="Calibri" w:hAnsiTheme="minorHAnsi" w:cstheme="minorHAnsi"/>
                <w:sz w:val="16"/>
                <w:szCs w:val="16"/>
              </w:rPr>
            </w:pPr>
            <w:r w:rsidRPr="00673122">
              <w:rPr>
                <w:rFonts w:asciiTheme="minorHAnsi" w:hAnsiTheme="minorHAnsi" w:cstheme="minorHAnsi"/>
                <w:sz w:val="16"/>
                <w:szCs w:val="16"/>
              </w:rPr>
              <w:t>Application for American Fisheries Act  Inshore Cooperative Permit</w:t>
            </w:r>
          </w:p>
        </w:tc>
        <w:tc>
          <w:tcPr>
            <w:tcW w:w="1119" w:type="dxa"/>
            <w:tcBorders>
              <w:bottom w:val="dotted" w:sz="4" w:space="0" w:color="auto"/>
              <w:right w:val="dashSmallGap" w:sz="4" w:space="0" w:color="auto"/>
            </w:tcBorders>
            <w:shd w:val="clear" w:color="auto" w:fill="auto"/>
            <w:vAlign w:val="center"/>
          </w:tcPr>
          <w:p w14:paraId="6439DBC5" w14:textId="04F0FEA2" w:rsidR="008801B8" w:rsidRPr="005504A9" w:rsidRDefault="008801B8" w:rsidP="008801B8">
            <w:pPr>
              <w:keepNext/>
              <w:keepLines/>
              <w:widowControl/>
              <w:jc w:val="center"/>
              <w:rPr>
                <w:rFonts w:asciiTheme="minorHAnsi" w:eastAsia="Calibri" w:hAnsiTheme="minorHAnsi" w:cstheme="minorHAnsi"/>
                <w:sz w:val="16"/>
                <w:szCs w:val="16"/>
              </w:rPr>
            </w:pPr>
            <w:r w:rsidRPr="005504A9">
              <w:rPr>
                <w:rFonts w:asciiTheme="minorHAnsi" w:hAnsiTheme="minorHAnsi" w:cstheme="minorHAnsi"/>
                <w:sz w:val="16"/>
                <w:szCs w:val="16"/>
              </w:rPr>
              <w:t>3,150</w:t>
            </w:r>
          </w:p>
        </w:tc>
        <w:tc>
          <w:tcPr>
            <w:tcW w:w="1155" w:type="dxa"/>
            <w:tcBorders>
              <w:left w:val="dashSmallGap" w:sz="4" w:space="0" w:color="auto"/>
              <w:bottom w:val="dotted" w:sz="4" w:space="0" w:color="auto"/>
            </w:tcBorders>
            <w:shd w:val="clear" w:color="auto" w:fill="auto"/>
            <w:vAlign w:val="center"/>
          </w:tcPr>
          <w:p w14:paraId="1AB0F394" w14:textId="5517ADB5" w:rsidR="008801B8" w:rsidRPr="009831D0" w:rsidRDefault="008801B8" w:rsidP="008801B8">
            <w:pPr>
              <w:keepNext/>
              <w:keepLines/>
              <w:widowControl/>
              <w:jc w:val="center"/>
              <w:rPr>
                <w:rFonts w:ascii="Calibri" w:eastAsia="Calibri" w:hAnsi="Calibri"/>
                <w:sz w:val="16"/>
                <w:szCs w:val="16"/>
              </w:rPr>
            </w:pPr>
            <w:r>
              <w:rPr>
                <w:rFonts w:ascii="Calibri" w:eastAsia="Calibri" w:hAnsi="Calibri"/>
                <w:sz w:val="16"/>
                <w:szCs w:val="16"/>
              </w:rPr>
              <w:t>518</w:t>
            </w:r>
          </w:p>
        </w:tc>
        <w:tc>
          <w:tcPr>
            <w:tcW w:w="1058" w:type="dxa"/>
            <w:tcBorders>
              <w:left w:val="dotted" w:sz="4" w:space="0" w:color="auto"/>
              <w:bottom w:val="dotted" w:sz="4" w:space="0" w:color="auto"/>
              <w:right w:val="dashSmallGap" w:sz="4" w:space="0" w:color="auto"/>
            </w:tcBorders>
            <w:vAlign w:val="center"/>
          </w:tcPr>
          <w:p w14:paraId="117D3488" w14:textId="66575E4B" w:rsidR="008801B8" w:rsidRPr="008801B8" w:rsidRDefault="008801B8" w:rsidP="008801B8">
            <w:pPr>
              <w:keepNext/>
              <w:keepLines/>
              <w:widowControl/>
              <w:jc w:val="center"/>
              <w:rPr>
                <w:rFonts w:asciiTheme="minorHAnsi" w:eastAsia="Calibri" w:hAnsiTheme="minorHAnsi" w:cstheme="minorHAnsi"/>
                <w:sz w:val="16"/>
                <w:szCs w:val="16"/>
              </w:rPr>
            </w:pPr>
            <w:r w:rsidRPr="008801B8">
              <w:rPr>
                <w:rFonts w:asciiTheme="minorHAnsi" w:hAnsiTheme="minorHAnsi" w:cstheme="minorHAnsi"/>
                <w:sz w:val="16"/>
                <w:szCs w:val="16"/>
              </w:rPr>
              <w:t>105</w:t>
            </w:r>
          </w:p>
        </w:tc>
        <w:tc>
          <w:tcPr>
            <w:tcW w:w="1252" w:type="dxa"/>
            <w:tcBorders>
              <w:left w:val="dashSmallGap" w:sz="4" w:space="0" w:color="auto"/>
              <w:bottom w:val="dotted" w:sz="4" w:space="0" w:color="auto"/>
              <w:right w:val="single" w:sz="4" w:space="0" w:color="auto"/>
            </w:tcBorders>
            <w:vAlign w:val="center"/>
          </w:tcPr>
          <w:p w14:paraId="0B550EFD" w14:textId="6850A7D5" w:rsidR="008801B8" w:rsidRPr="009831D0" w:rsidRDefault="008801B8" w:rsidP="008801B8">
            <w:pPr>
              <w:keepNext/>
              <w:keepLines/>
              <w:widowControl/>
              <w:jc w:val="center"/>
              <w:rPr>
                <w:rFonts w:ascii="Calibri" w:eastAsia="Calibri" w:hAnsi="Calibri"/>
                <w:sz w:val="16"/>
                <w:szCs w:val="16"/>
              </w:rPr>
            </w:pPr>
            <w:r>
              <w:rPr>
                <w:rFonts w:ascii="Calibri" w:eastAsia="Calibri" w:hAnsi="Calibri"/>
                <w:sz w:val="16"/>
                <w:szCs w:val="16"/>
              </w:rPr>
              <w:t>20</w:t>
            </w:r>
          </w:p>
        </w:tc>
        <w:tc>
          <w:tcPr>
            <w:tcW w:w="6177" w:type="dxa"/>
            <w:tcBorders>
              <w:left w:val="single" w:sz="4" w:space="0" w:color="auto"/>
              <w:bottom w:val="dotted" w:sz="4" w:space="0" w:color="auto"/>
              <w:right w:val="single" w:sz="4" w:space="0" w:color="auto"/>
            </w:tcBorders>
            <w:shd w:val="clear" w:color="auto" w:fill="auto"/>
            <w:vAlign w:val="center"/>
          </w:tcPr>
          <w:p w14:paraId="592CC19F" w14:textId="2A55BEE0" w:rsidR="008801B8" w:rsidRPr="005504A9" w:rsidRDefault="008801B8" w:rsidP="008801B8">
            <w:pPr>
              <w:keepNext/>
              <w:keepLines/>
              <w:widowControl/>
              <w:rPr>
                <w:rFonts w:asciiTheme="minorHAnsi" w:eastAsia="Calibri" w:hAnsiTheme="minorHAnsi" w:cstheme="minorHAnsi"/>
                <w:sz w:val="16"/>
                <w:szCs w:val="16"/>
              </w:rPr>
            </w:pPr>
            <w:r w:rsidRPr="005504A9">
              <w:rPr>
                <w:rFonts w:asciiTheme="minorHAnsi" w:hAnsiTheme="minorHAnsi" w:cstheme="minorHAnsi"/>
                <w:sz w:val="16"/>
                <w:szCs w:val="16"/>
              </w:rPr>
              <w:t>Updated labor and operating costs</w:t>
            </w:r>
          </w:p>
        </w:tc>
      </w:tr>
      <w:tr w:rsidR="008801B8" w:rsidRPr="009831D0" w14:paraId="3A6EAA4A" w14:textId="77777777" w:rsidTr="008801B8">
        <w:tc>
          <w:tcPr>
            <w:tcW w:w="2610" w:type="dxa"/>
            <w:shd w:val="clear" w:color="auto" w:fill="auto"/>
          </w:tcPr>
          <w:p w14:paraId="787D13D4" w14:textId="08B85EF5" w:rsidR="008801B8" w:rsidRPr="00673122" w:rsidRDefault="008801B8" w:rsidP="008801B8">
            <w:pPr>
              <w:keepNext/>
              <w:keepLines/>
              <w:widowControl/>
              <w:rPr>
                <w:rFonts w:asciiTheme="minorHAnsi" w:eastAsia="Calibri" w:hAnsiTheme="minorHAnsi" w:cstheme="minorHAnsi"/>
                <w:sz w:val="16"/>
                <w:szCs w:val="16"/>
              </w:rPr>
            </w:pPr>
            <w:r w:rsidRPr="00673122">
              <w:rPr>
                <w:rFonts w:asciiTheme="minorHAnsi" w:hAnsiTheme="minorHAnsi" w:cstheme="minorHAnsi"/>
                <w:sz w:val="16"/>
                <w:szCs w:val="16"/>
              </w:rPr>
              <w:t>AFA Inshore Vessel Contract Fishing Notification</w:t>
            </w:r>
          </w:p>
        </w:tc>
        <w:tc>
          <w:tcPr>
            <w:tcW w:w="1119" w:type="dxa"/>
            <w:tcBorders>
              <w:bottom w:val="dotted" w:sz="4" w:space="0" w:color="auto"/>
              <w:right w:val="dashSmallGap" w:sz="4" w:space="0" w:color="auto"/>
            </w:tcBorders>
            <w:shd w:val="clear" w:color="auto" w:fill="auto"/>
            <w:vAlign w:val="center"/>
          </w:tcPr>
          <w:p w14:paraId="716E9B0F" w14:textId="67C34FB5" w:rsidR="008801B8" w:rsidRPr="005504A9" w:rsidRDefault="00577C7A" w:rsidP="008801B8">
            <w:pPr>
              <w:keepNext/>
              <w:keepLines/>
              <w:widowControl/>
              <w:jc w:val="center"/>
              <w:rPr>
                <w:rFonts w:asciiTheme="minorHAnsi" w:hAnsiTheme="minorHAnsi" w:cstheme="minorHAnsi"/>
                <w:color w:val="000000"/>
                <w:sz w:val="16"/>
                <w:szCs w:val="16"/>
              </w:rPr>
            </w:pPr>
            <w:r>
              <w:rPr>
                <w:rFonts w:asciiTheme="minorHAnsi" w:hAnsiTheme="minorHAnsi" w:cstheme="minorHAnsi"/>
                <w:sz w:val="16"/>
                <w:szCs w:val="16"/>
              </w:rPr>
              <w:t>13,200</w:t>
            </w:r>
          </w:p>
        </w:tc>
        <w:tc>
          <w:tcPr>
            <w:tcW w:w="1155" w:type="dxa"/>
            <w:tcBorders>
              <w:left w:val="dashSmallGap" w:sz="4" w:space="0" w:color="auto"/>
              <w:bottom w:val="dotted" w:sz="4" w:space="0" w:color="auto"/>
            </w:tcBorders>
            <w:shd w:val="clear" w:color="auto" w:fill="auto"/>
            <w:vAlign w:val="center"/>
          </w:tcPr>
          <w:p w14:paraId="3B3F6FC8" w14:textId="66593421" w:rsidR="008801B8" w:rsidRPr="009831D0" w:rsidRDefault="008801B8" w:rsidP="008801B8">
            <w:pPr>
              <w:keepNext/>
              <w:keepLines/>
              <w:widowControl/>
              <w:jc w:val="center"/>
              <w:rPr>
                <w:rFonts w:ascii="Calibri" w:eastAsia="Calibri" w:hAnsi="Calibri"/>
                <w:sz w:val="16"/>
                <w:szCs w:val="16"/>
              </w:rPr>
            </w:pPr>
            <w:r>
              <w:rPr>
                <w:rFonts w:ascii="Calibri" w:eastAsia="Calibri" w:hAnsi="Calibri"/>
                <w:sz w:val="16"/>
                <w:szCs w:val="16"/>
              </w:rPr>
              <w:t>2,664</w:t>
            </w:r>
          </w:p>
        </w:tc>
        <w:tc>
          <w:tcPr>
            <w:tcW w:w="1058" w:type="dxa"/>
            <w:tcBorders>
              <w:left w:val="dotted" w:sz="4" w:space="0" w:color="auto"/>
              <w:bottom w:val="dotted" w:sz="4" w:space="0" w:color="auto"/>
              <w:right w:val="dashSmallGap" w:sz="4" w:space="0" w:color="auto"/>
            </w:tcBorders>
            <w:vAlign w:val="center"/>
          </w:tcPr>
          <w:p w14:paraId="0BB023B3" w14:textId="5549ADF8" w:rsidR="008801B8" w:rsidRPr="008801B8" w:rsidRDefault="008801B8" w:rsidP="008801B8">
            <w:pPr>
              <w:keepNext/>
              <w:keepLines/>
              <w:widowControl/>
              <w:jc w:val="center"/>
              <w:rPr>
                <w:rFonts w:asciiTheme="minorHAnsi" w:eastAsia="Calibri" w:hAnsiTheme="minorHAnsi" w:cstheme="minorHAnsi"/>
                <w:sz w:val="16"/>
                <w:szCs w:val="16"/>
                <w:highlight w:val="cyan"/>
              </w:rPr>
            </w:pPr>
            <w:r w:rsidRPr="008801B8">
              <w:rPr>
                <w:rFonts w:asciiTheme="minorHAnsi" w:hAnsiTheme="minorHAnsi" w:cstheme="minorHAnsi"/>
                <w:sz w:val="16"/>
                <w:szCs w:val="16"/>
              </w:rPr>
              <w:t>220</w:t>
            </w:r>
          </w:p>
        </w:tc>
        <w:tc>
          <w:tcPr>
            <w:tcW w:w="1252" w:type="dxa"/>
            <w:tcBorders>
              <w:left w:val="dashSmallGap" w:sz="4" w:space="0" w:color="auto"/>
              <w:bottom w:val="dotted" w:sz="4" w:space="0" w:color="auto"/>
              <w:right w:val="single" w:sz="4" w:space="0" w:color="auto"/>
            </w:tcBorders>
            <w:vAlign w:val="center"/>
          </w:tcPr>
          <w:p w14:paraId="7F564DE9" w14:textId="0BB1024E" w:rsidR="008801B8" w:rsidRPr="009831D0" w:rsidRDefault="008801B8" w:rsidP="008801B8">
            <w:pPr>
              <w:keepNext/>
              <w:keepLines/>
              <w:widowControl/>
              <w:jc w:val="center"/>
              <w:rPr>
                <w:rFonts w:ascii="Calibri" w:eastAsia="Calibri" w:hAnsi="Calibri"/>
                <w:sz w:val="16"/>
                <w:szCs w:val="16"/>
              </w:rPr>
            </w:pPr>
            <w:r>
              <w:rPr>
                <w:rFonts w:ascii="Calibri" w:eastAsia="Calibri" w:hAnsi="Calibri"/>
                <w:sz w:val="16"/>
                <w:szCs w:val="16"/>
              </w:rPr>
              <w:t>93</w:t>
            </w:r>
          </w:p>
        </w:tc>
        <w:tc>
          <w:tcPr>
            <w:tcW w:w="6177" w:type="dxa"/>
            <w:tcBorders>
              <w:left w:val="single" w:sz="4" w:space="0" w:color="auto"/>
              <w:bottom w:val="dotted" w:sz="4" w:space="0" w:color="auto"/>
              <w:right w:val="single" w:sz="4" w:space="0" w:color="auto"/>
            </w:tcBorders>
            <w:shd w:val="clear" w:color="auto" w:fill="auto"/>
            <w:vAlign w:val="center"/>
          </w:tcPr>
          <w:p w14:paraId="2CF7D337" w14:textId="36886F44" w:rsidR="008801B8" w:rsidRPr="005504A9" w:rsidRDefault="008801B8" w:rsidP="008801B8">
            <w:pPr>
              <w:keepNext/>
              <w:keepLines/>
              <w:widowControl/>
              <w:rPr>
                <w:rFonts w:asciiTheme="minorHAnsi" w:eastAsia="Calibri" w:hAnsiTheme="minorHAnsi" w:cstheme="minorHAnsi"/>
                <w:sz w:val="16"/>
                <w:szCs w:val="16"/>
              </w:rPr>
            </w:pPr>
            <w:r w:rsidRPr="005504A9">
              <w:rPr>
                <w:rFonts w:asciiTheme="minorHAnsi" w:hAnsiTheme="minorHAnsi" w:cstheme="minorHAnsi"/>
                <w:sz w:val="16"/>
                <w:szCs w:val="16"/>
              </w:rPr>
              <w:t>Updated labor and operating costs</w:t>
            </w:r>
          </w:p>
        </w:tc>
      </w:tr>
      <w:tr w:rsidR="007C5DD9" w:rsidRPr="009831D0" w14:paraId="6F3BA3E5" w14:textId="77777777" w:rsidTr="000D5E4C">
        <w:tc>
          <w:tcPr>
            <w:tcW w:w="2610" w:type="dxa"/>
            <w:shd w:val="clear" w:color="auto" w:fill="auto"/>
          </w:tcPr>
          <w:p w14:paraId="5C39FC20" w14:textId="241F973A" w:rsidR="007C5DD9" w:rsidRPr="00673122" w:rsidRDefault="007C5DD9" w:rsidP="007C5DD9">
            <w:pPr>
              <w:keepNext/>
              <w:keepLines/>
              <w:widowControl/>
              <w:rPr>
                <w:rFonts w:asciiTheme="minorHAnsi" w:eastAsia="Calibri" w:hAnsiTheme="minorHAnsi" w:cstheme="minorHAnsi"/>
                <w:sz w:val="16"/>
                <w:szCs w:val="16"/>
              </w:rPr>
            </w:pPr>
            <w:r w:rsidRPr="00673122">
              <w:rPr>
                <w:rFonts w:asciiTheme="minorHAnsi" w:hAnsiTheme="minorHAnsi" w:cstheme="minorHAnsi"/>
                <w:sz w:val="16"/>
                <w:szCs w:val="16"/>
              </w:rPr>
              <w:t xml:space="preserve">Application for Approval as an Entity to Receive Transferable Chinook Salmon PSC Allocation  </w:t>
            </w:r>
          </w:p>
        </w:tc>
        <w:tc>
          <w:tcPr>
            <w:tcW w:w="1119" w:type="dxa"/>
            <w:tcBorders>
              <w:bottom w:val="dotted" w:sz="4" w:space="0" w:color="auto"/>
              <w:right w:val="dashSmallGap" w:sz="4" w:space="0" w:color="auto"/>
            </w:tcBorders>
            <w:shd w:val="clear" w:color="auto" w:fill="auto"/>
            <w:vAlign w:val="center"/>
          </w:tcPr>
          <w:p w14:paraId="378A3B5B" w14:textId="3C029856" w:rsidR="007C5DD9" w:rsidRPr="000D5E4C" w:rsidRDefault="007C5DD9" w:rsidP="007C5DD9">
            <w:pPr>
              <w:keepNext/>
              <w:keepLines/>
              <w:widowControl/>
              <w:jc w:val="center"/>
              <w:rPr>
                <w:rFonts w:asciiTheme="minorHAnsi" w:hAnsiTheme="minorHAnsi" w:cstheme="minorHAnsi"/>
                <w:color w:val="000000"/>
                <w:sz w:val="16"/>
                <w:szCs w:val="16"/>
              </w:rPr>
            </w:pPr>
            <w:r w:rsidRPr="000D5E4C">
              <w:rPr>
                <w:rFonts w:asciiTheme="minorHAnsi" w:hAnsiTheme="minorHAnsi" w:cstheme="minorHAnsi"/>
                <w:sz w:val="16"/>
                <w:szCs w:val="16"/>
              </w:rPr>
              <w:t>1,200</w:t>
            </w:r>
          </w:p>
        </w:tc>
        <w:tc>
          <w:tcPr>
            <w:tcW w:w="1155" w:type="dxa"/>
            <w:tcBorders>
              <w:left w:val="dashSmallGap" w:sz="4" w:space="0" w:color="auto"/>
              <w:bottom w:val="dotted" w:sz="4" w:space="0" w:color="auto"/>
            </w:tcBorders>
            <w:shd w:val="clear" w:color="auto" w:fill="auto"/>
            <w:vAlign w:val="center"/>
          </w:tcPr>
          <w:p w14:paraId="4D13E2D5" w14:textId="45D24A3C" w:rsidR="007C5DD9" w:rsidRPr="009831D0" w:rsidRDefault="007C5DD9" w:rsidP="007C5DD9">
            <w:pPr>
              <w:keepNext/>
              <w:keepLines/>
              <w:widowControl/>
              <w:jc w:val="center"/>
              <w:rPr>
                <w:rFonts w:ascii="Calibri" w:eastAsia="Calibri" w:hAnsi="Calibri"/>
                <w:sz w:val="16"/>
                <w:szCs w:val="16"/>
              </w:rPr>
            </w:pPr>
            <w:r>
              <w:rPr>
                <w:rFonts w:ascii="Calibri" w:eastAsia="Calibri" w:hAnsi="Calibri"/>
                <w:sz w:val="16"/>
                <w:szCs w:val="16"/>
              </w:rPr>
              <w:t>592</w:t>
            </w:r>
          </w:p>
        </w:tc>
        <w:tc>
          <w:tcPr>
            <w:tcW w:w="1058" w:type="dxa"/>
            <w:tcBorders>
              <w:left w:val="dotted" w:sz="4" w:space="0" w:color="auto"/>
              <w:bottom w:val="dotted" w:sz="4" w:space="0" w:color="auto"/>
              <w:right w:val="dashSmallGap" w:sz="4" w:space="0" w:color="auto"/>
            </w:tcBorders>
            <w:vAlign w:val="center"/>
          </w:tcPr>
          <w:p w14:paraId="0EF1D7E1" w14:textId="55846A36" w:rsidR="007C5DD9" w:rsidRPr="008801B8" w:rsidRDefault="007C5DD9" w:rsidP="007C5DD9">
            <w:pPr>
              <w:keepNext/>
              <w:keepLines/>
              <w:widowControl/>
              <w:jc w:val="center"/>
              <w:rPr>
                <w:rFonts w:asciiTheme="minorHAnsi" w:eastAsia="Calibri" w:hAnsiTheme="minorHAnsi" w:cstheme="minorHAnsi"/>
                <w:sz w:val="16"/>
                <w:szCs w:val="16"/>
              </w:rPr>
            </w:pPr>
            <w:r w:rsidRPr="008801B8">
              <w:rPr>
                <w:rFonts w:asciiTheme="minorHAnsi" w:hAnsiTheme="minorHAnsi" w:cstheme="minorHAnsi"/>
                <w:sz w:val="16"/>
                <w:szCs w:val="16"/>
              </w:rPr>
              <w:t>10</w:t>
            </w:r>
          </w:p>
        </w:tc>
        <w:tc>
          <w:tcPr>
            <w:tcW w:w="1252" w:type="dxa"/>
            <w:tcBorders>
              <w:left w:val="dashSmallGap" w:sz="4" w:space="0" w:color="auto"/>
              <w:bottom w:val="dotted" w:sz="4" w:space="0" w:color="auto"/>
              <w:right w:val="single" w:sz="4" w:space="0" w:color="auto"/>
            </w:tcBorders>
            <w:vAlign w:val="center"/>
          </w:tcPr>
          <w:p w14:paraId="6EF385B0" w14:textId="1EA88C37" w:rsidR="007C5DD9" w:rsidRPr="009831D0" w:rsidRDefault="007C5DD9" w:rsidP="007C5DD9">
            <w:pPr>
              <w:keepNext/>
              <w:keepLines/>
              <w:widowControl/>
              <w:jc w:val="center"/>
              <w:rPr>
                <w:rFonts w:ascii="Calibri" w:eastAsia="Calibri" w:hAnsi="Calibri"/>
                <w:sz w:val="16"/>
                <w:szCs w:val="16"/>
              </w:rPr>
            </w:pPr>
            <w:r>
              <w:rPr>
                <w:rFonts w:ascii="Calibri" w:eastAsia="Calibri" w:hAnsi="Calibri"/>
                <w:sz w:val="16"/>
                <w:szCs w:val="16"/>
              </w:rPr>
              <w:t>7</w:t>
            </w:r>
          </w:p>
        </w:tc>
        <w:tc>
          <w:tcPr>
            <w:tcW w:w="6177" w:type="dxa"/>
            <w:tcBorders>
              <w:left w:val="single" w:sz="4" w:space="0" w:color="auto"/>
              <w:bottom w:val="dotted" w:sz="4" w:space="0" w:color="auto"/>
              <w:right w:val="single" w:sz="4" w:space="0" w:color="auto"/>
            </w:tcBorders>
            <w:shd w:val="clear" w:color="auto" w:fill="auto"/>
            <w:vAlign w:val="center"/>
          </w:tcPr>
          <w:p w14:paraId="0F5C9E90" w14:textId="2BAE280E" w:rsidR="007C5DD9" w:rsidRPr="009831D0" w:rsidRDefault="007C5DD9" w:rsidP="007C5DD9">
            <w:pPr>
              <w:keepNext/>
              <w:keepLines/>
              <w:widowControl/>
              <w:rPr>
                <w:rFonts w:ascii="Calibri" w:eastAsia="Calibri" w:hAnsi="Calibri"/>
                <w:sz w:val="16"/>
                <w:szCs w:val="16"/>
              </w:rPr>
            </w:pPr>
            <w:r>
              <w:rPr>
                <w:rFonts w:ascii="Calibri" w:eastAsia="Calibri" w:hAnsi="Calibri"/>
                <w:sz w:val="16"/>
                <w:szCs w:val="16"/>
              </w:rPr>
              <w:t>Updated labor and operating costs</w:t>
            </w:r>
          </w:p>
        </w:tc>
      </w:tr>
      <w:tr w:rsidR="007C5DD9" w:rsidRPr="009831D0" w14:paraId="665D2631" w14:textId="77777777" w:rsidTr="000D5E4C">
        <w:tc>
          <w:tcPr>
            <w:tcW w:w="2610" w:type="dxa"/>
            <w:shd w:val="clear" w:color="auto" w:fill="auto"/>
          </w:tcPr>
          <w:p w14:paraId="129C9919" w14:textId="6AF944B7" w:rsidR="007C5DD9" w:rsidRPr="00673122" w:rsidRDefault="007C5DD9" w:rsidP="007C5DD9">
            <w:pPr>
              <w:keepNext/>
              <w:keepLines/>
              <w:widowControl/>
              <w:rPr>
                <w:rFonts w:asciiTheme="minorHAnsi" w:eastAsia="Calibri" w:hAnsiTheme="minorHAnsi" w:cstheme="minorHAnsi"/>
                <w:sz w:val="16"/>
                <w:szCs w:val="16"/>
              </w:rPr>
            </w:pPr>
            <w:r w:rsidRPr="00673122">
              <w:rPr>
                <w:rFonts w:asciiTheme="minorHAnsi" w:hAnsiTheme="minorHAnsi" w:cstheme="minorHAnsi"/>
                <w:sz w:val="16"/>
                <w:szCs w:val="16"/>
              </w:rPr>
              <w:t xml:space="preserve">Application for Transfer of Bering Sea Chinook Salmon PSC Allocations  </w:t>
            </w:r>
          </w:p>
        </w:tc>
        <w:tc>
          <w:tcPr>
            <w:tcW w:w="1119" w:type="dxa"/>
            <w:tcBorders>
              <w:bottom w:val="dotted" w:sz="4" w:space="0" w:color="auto"/>
              <w:right w:val="dashSmallGap" w:sz="4" w:space="0" w:color="auto"/>
            </w:tcBorders>
            <w:shd w:val="clear" w:color="auto" w:fill="auto"/>
            <w:vAlign w:val="center"/>
          </w:tcPr>
          <w:p w14:paraId="1CAA1C8A" w14:textId="00A358F5" w:rsidR="007C5DD9" w:rsidRPr="000D5E4C" w:rsidRDefault="007C5DD9" w:rsidP="007C5DD9">
            <w:pPr>
              <w:keepNext/>
              <w:keepLines/>
              <w:widowControl/>
              <w:jc w:val="center"/>
              <w:rPr>
                <w:rFonts w:asciiTheme="minorHAnsi" w:hAnsiTheme="minorHAnsi" w:cstheme="minorHAnsi"/>
                <w:color w:val="000000"/>
                <w:sz w:val="16"/>
                <w:szCs w:val="16"/>
              </w:rPr>
            </w:pPr>
            <w:r w:rsidRPr="000D5E4C">
              <w:rPr>
                <w:rFonts w:asciiTheme="minorHAnsi" w:hAnsiTheme="minorHAnsi" w:cstheme="minorHAnsi"/>
                <w:sz w:val="16"/>
                <w:szCs w:val="16"/>
              </w:rPr>
              <w:t>375</w:t>
            </w:r>
          </w:p>
        </w:tc>
        <w:tc>
          <w:tcPr>
            <w:tcW w:w="1155" w:type="dxa"/>
            <w:tcBorders>
              <w:left w:val="dashSmallGap" w:sz="4" w:space="0" w:color="auto"/>
              <w:bottom w:val="dotted" w:sz="4" w:space="0" w:color="auto"/>
            </w:tcBorders>
            <w:shd w:val="clear" w:color="auto" w:fill="auto"/>
            <w:vAlign w:val="center"/>
          </w:tcPr>
          <w:p w14:paraId="4515A669" w14:textId="6AAF5071" w:rsidR="007C5DD9" w:rsidRPr="009831D0" w:rsidRDefault="007C5DD9" w:rsidP="007C5DD9">
            <w:pPr>
              <w:keepNext/>
              <w:keepLines/>
              <w:widowControl/>
              <w:jc w:val="center"/>
              <w:rPr>
                <w:rFonts w:ascii="Calibri" w:eastAsia="Calibri" w:hAnsi="Calibri"/>
                <w:sz w:val="16"/>
                <w:szCs w:val="16"/>
              </w:rPr>
            </w:pPr>
            <w:r>
              <w:rPr>
                <w:rFonts w:ascii="Calibri" w:eastAsia="Calibri" w:hAnsi="Calibri"/>
                <w:sz w:val="16"/>
                <w:szCs w:val="16"/>
              </w:rPr>
              <w:t>1,110</w:t>
            </w:r>
          </w:p>
        </w:tc>
        <w:tc>
          <w:tcPr>
            <w:tcW w:w="1058" w:type="dxa"/>
            <w:tcBorders>
              <w:left w:val="dotted" w:sz="4" w:space="0" w:color="auto"/>
              <w:bottom w:val="dotted" w:sz="4" w:space="0" w:color="auto"/>
              <w:right w:val="dashSmallGap" w:sz="4" w:space="0" w:color="auto"/>
            </w:tcBorders>
            <w:vAlign w:val="center"/>
          </w:tcPr>
          <w:p w14:paraId="6A9DE089" w14:textId="6C82EE0E" w:rsidR="007C5DD9" w:rsidRPr="008801B8" w:rsidRDefault="00632A06" w:rsidP="007C5DD9">
            <w:pPr>
              <w:keepNext/>
              <w:keepLines/>
              <w:widowControl/>
              <w:jc w:val="center"/>
              <w:rPr>
                <w:rFonts w:asciiTheme="minorHAnsi" w:eastAsia="Calibri" w:hAnsiTheme="minorHAnsi" w:cstheme="minorHAnsi"/>
                <w:sz w:val="16"/>
                <w:szCs w:val="16"/>
              </w:rPr>
            </w:pPr>
            <w:r>
              <w:rPr>
                <w:rFonts w:asciiTheme="minorHAnsi" w:eastAsia="Calibri" w:hAnsiTheme="minorHAnsi" w:cstheme="minorHAnsi"/>
                <w:sz w:val="16"/>
                <w:szCs w:val="16"/>
              </w:rPr>
              <w:t>25</w:t>
            </w:r>
          </w:p>
        </w:tc>
        <w:tc>
          <w:tcPr>
            <w:tcW w:w="1252" w:type="dxa"/>
            <w:tcBorders>
              <w:left w:val="dashSmallGap" w:sz="4" w:space="0" w:color="auto"/>
              <w:bottom w:val="dotted" w:sz="4" w:space="0" w:color="auto"/>
              <w:right w:val="single" w:sz="4" w:space="0" w:color="auto"/>
            </w:tcBorders>
            <w:vAlign w:val="center"/>
          </w:tcPr>
          <w:p w14:paraId="45BBD22B" w14:textId="717A7474" w:rsidR="007C5DD9" w:rsidRPr="009831D0" w:rsidRDefault="007C5DD9" w:rsidP="007C5DD9">
            <w:pPr>
              <w:keepNext/>
              <w:keepLines/>
              <w:widowControl/>
              <w:jc w:val="center"/>
              <w:rPr>
                <w:rFonts w:ascii="Calibri" w:eastAsia="Calibri" w:hAnsi="Calibri"/>
                <w:sz w:val="16"/>
                <w:szCs w:val="16"/>
              </w:rPr>
            </w:pPr>
            <w:r>
              <w:rPr>
                <w:rFonts w:ascii="Calibri" w:eastAsia="Calibri" w:hAnsi="Calibri"/>
                <w:sz w:val="16"/>
                <w:szCs w:val="16"/>
              </w:rPr>
              <w:t>19</w:t>
            </w:r>
          </w:p>
        </w:tc>
        <w:tc>
          <w:tcPr>
            <w:tcW w:w="6177" w:type="dxa"/>
            <w:tcBorders>
              <w:left w:val="single" w:sz="4" w:space="0" w:color="auto"/>
              <w:bottom w:val="dotted" w:sz="4" w:space="0" w:color="auto"/>
              <w:right w:val="single" w:sz="4" w:space="0" w:color="auto"/>
            </w:tcBorders>
            <w:shd w:val="clear" w:color="auto" w:fill="auto"/>
            <w:vAlign w:val="center"/>
          </w:tcPr>
          <w:p w14:paraId="517A92C3" w14:textId="3762D416" w:rsidR="007C5DD9" w:rsidRPr="009831D0" w:rsidRDefault="007C5DD9" w:rsidP="007C5DD9">
            <w:pPr>
              <w:keepNext/>
              <w:keepLines/>
              <w:widowControl/>
              <w:rPr>
                <w:rFonts w:ascii="Calibri" w:eastAsia="Calibri" w:hAnsi="Calibri"/>
                <w:sz w:val="16"/>
                <w:szCs w:val="16"/>
              </w:rPr>
            </w:pPr>
            <w:r>
              <w:rPr>
                <w:rFonts w:ascii="Calibri" w:eastAsia="Calibri" w:hAnsi="Calibri"/>
                <w:sz w:val="16"/>
                <w:szCs w:val="16"/>
              </w:rPr>
              <w:t>Updated labor and operating costs</w:t>
            </w:r>
          </w:p>
        </w:tc>
      </w:tr>
      <w:tr w:rsidR="009831D0" w:rsidRPr="009831D0" w14:paraId="407846B4" w14:textId="77777777" w:rsidTr="00171066">
        <w:tc>
          <w:tcPr>
            <w:tcW w:w="2610" w:type="dxa"/>
            <w:shd w:val="clear" w:color="auto" w:fill="BDD6EE"/>
            <w:vAlign w:val="center"/>
          </w:tcPr>
          <w:p w14:paraId="5D87B0A0" w14:textId="77777777" w:rsidR="009831D0" w:rsidRPr="009831D0" w:rsidRDefault="009831D0" w:rsidP="00C031EE">
            <w:pPr>
              <w:keepNext/>
              <w:keepLines/>
              <w:widowControl/>
              <w:jc w:val="center"/>
              <w:rPr>
                <w:rFonts w:ascii="Calibri" w:eastAsia="Calibri" w:hAnsi="Calibri"/>
                <w:b/>
                <w:sz w:val="16"/>
                <w:szCs w:val="16"/>
              </w:rPr>
            </w:pPr>
            <w:r w:rsidRPr="009831D0">
              <w:rPr>
                <w:rFonts w:ascii="Calibri" w:eastAsia="Calibri" w:hAnsi="Calibri"/>
                <w:b/>
                <w:sz w:val="16"/>
                <w:szCs w:val="16"/>
              </w:rPr>
              <w:t>Total for Collection</w:t>
            </w:r>
          </w:p>
        </w:tc>
        <w:tc>
          <w:tcPr>
            <w:tcW w:w="1119" w:type="dxa"/>
            <w:tcBorders>
              <w:right w:val="dashSmallGap" w:sz="4" w:space="0" w:color="auto"/>
            </w:tcBorders>
            <w:shd w:val="clear" w:color="auto" w:fill="BDD6EE"/>
            <w:vAlign w:val="center"/>
          </w:tcPr>
          <w:p w14:paraId="398FDCC4" w14:textId="22495A47" w:rsidR="009831D0" w:rsidRPr="009831D0" w:rsidRDefault="007C5DD9" w:rsidP="00577C7A">
            <w:pPr>
              <w:keepNext/>
              <w:keepLines/>
              <w:widowControl/>
              <w:jc w:val="center"/>
              <w:rPr>
                <w:rFonts w:ascii="Calibri" w:eastAsia="Calibri" w:hAnsi="Calibri"/>
                <w:b/>
                <w:sz w:val="16"/>
                <w:szCs w:val="16"/>
              </w:rPr>
            </w:pPr>
            <w:r>
              <w:rPr>
                <w:rFonts w:ascii="Calibri" w:eastAsia="Calibri" w:hAnsi="Calibri"/>
                <w:b/>
                <w:sz w:val="16"/>
                <w:szCs w:val="16"/>
              </w:rPr>
              <w:t>$</w:t>
            </w:r>
            <w:r w:rsidR="00577C7A">
              <w:rPr>
                <w:rFonts w:ascii="Calibri" w:eastAsia="Calibri" w:hAnsi="Calibri"/>
                <w:b/>
                <w:sz w:val="16"/>
                <w:szCs w:val="16"/>
              </w:rPr>
              <w:t>18,211</w:t>
            </w:r>
          </w:p>
        </w:tc>
        <w:tc>
          <w:tcPr>
            <w:tcW w:w="1155" w:type="dxa"/>
            <w:tcBorders>
              <w:left w:val="dashSmallGap" w:sz="4" w:space="0" w:color="auto"/>
            </w:tcBorders>
            <w:shd w:val="clear" w:color="auto" w:fill="BDD6EE"/>
            <w:vAlign w:val="center"/>
          </w:tcPr>
          <w:p w14:paraId="5F152198" w14:textId="687A08DE" w:rsidR="009831D0" w:rsidRPr="009831D0" w:rsidRDefault="00261841" w:rsidP="00C031EE">
            <w:pPr>
              <w:keepNext/>
              <w:keepLines/>
              <w:widowControl/>
              <w:jc w:val="center"/>
              <w:rPr>
                <w:rFonts w:ascii="Calibri" w:eastAsia="Calibri" w:hAnsi="Calibri"/>
                <w:b/>
                <w:bCs/>
                <w:sz w:val="16"/>
                <w:szCs w:val="16"/>
              </w:rPr>
            </w:pPr>
            <w:r>
              <w:rPr>
                <w:rFonts w:ascii="Calibri" w:eastAsia="Calibri" w:hAnsi="Calibri"/>
                <w:b/>
                <w:bCs/>
                <w:sz w:val="16"/>
                <w:szCs w:val="16"/>
              </w:rPr>
              <w:t>$4,995</w:t>
            </w:r>
          </w:p>
        </w:tc>
        <w:tc>
          <w:tcPr>
            <w:tcW w:w="1058" w:type="dxa"/>
            <w:tcBorders>
              <w:left w:val="dotted" w:sz="4" w:space="0" w:color="auto"/>
              <w:right w:val="dashSmallGap" w:sz="4" w:space="0" w:color="auto"/>
            </w:tcBorders>
            <w:shd w:val="clear" w:color="auto" w:fill="BDD6EE"/>
            <w:vAlign w:val="center"/>
          </w:tcPr>
          <w:p w14:paraId="48B6AE9E" w14:textId="56EE47FC" w:rsidR="009831D0" w:rsidRPr="009831D0" w:rsidRDefault="00E13752" w:rsidP="00632A06">
            <w:pPr>
              <w:keepNext/>
              <w:keepLines/>
              <w:widowControl/>
              <w:jc w:val="center"/>
              <w:rPr>
                <w:rFonts w:ascii="Calibri" w:eastAsia="Calibri" w:hAnsi="Calibri"/>
                <w:b/>
                <w:sz w:val="16"/>
                <w:szCs w:val="16"/>
              </w:rPr>
            </w:pPr>
            <w:r>
              <w:rPr>
                <w:rFonts w:ascii="Calibri" w:eastAsia="Calibri" w:hAnsi="Calibri"/>
                <w:b/>
                <w:sz w:val="16"/>
                <w:szCs w:val="16"/>
              </w:rPr>
              <w:t>$4</w:t>
            </w:r>
            <w:r w:rsidR="00632A06">
              <w:rPr>
                <w:rFonts w:ascii="Calibri" w:eastAsia="Calibri" w:hAnsi="Calibri"/>
                <w:b/>
                <w:sz w:val="16"/>
                <w:szCs w:val="16"/>
              </w:rPr>
              <w:t>20</w:t>
            </w:r>
          </w:p>
        </w:tc>
        <w:tc>
          <w:tcPr>
            <w:tcW w:w="1252" w:type="dxa"/>
            <w:tcBorders>
              <w:left w:val="dashSmallGap" w:sz="4" w:space="0" w:color="auto"/>
              <w:right w:val="single" w:sz="4" w:space="0" w:color="auto"/>
            </w:tcBorders>
            <w:shd w:val="clear" w:color="auto" w:fill="BDD6EE"/>
            <w:vAlign w:val="center"/>
          </w:tcPr>
          <w:p w14:paraId="2355BA8B" w14:textId="37779A6C" w:rsidR="009831D0" w:rsidRPr="009831D0" w:rsidRDefault="00261841" w:rsidP="00C031EE">
            <w:pPr>
              <w:keepNext/>
              <w:keepLines/>
              <w:widowControl/>
              <w:jc w:val="center"/>
              <w:rPr>
                <w:rFonts w:ascii="Calibri" w:eastAsia="Calibri" w:hAnsi="Calibri"/>
                <w:b/>
                <w:sz w:val="16"/>
                <w:szCs w:val="16"/>
              </w:rPr>
            </w:pPr>
            <w:r>
              <w:rPr>
                <w:rFonts w:ascii="Calibri" w:eastAsia="Calibri" w:hAnsi="Calibri"/>
                <w:b/>
                <w:sz w:val="16"/>
                <w:szCs w:val="16"/>
              </w:rPr>
              <w:t>$146</w:t>
            </w:r>
          </w:p>
        </w:tc>
        <w:tc>
          <w:tcPr>
            <w:tcW w:w="6177" w:type="dxa"/>
            <w:tcBorders>
              <w:left w:val="single" w:sz="4" w:space="0" w:color="auto"/>
              <w:bottom w:val="single" w:sz="4" w:space="0" w:color="auto"/>
              <w:right w:val="single" w:sz="4" w:space="0" w:color="auto"/>
            </w:tcBorders>
            <w:shd w:val="clear" w:color="auto" w:fill="BDD6EE"/>
            <w:vAlign w:val="center"/>
          </w:tcPr>
          <w:p w14:paraId="2AE2237D" w14:textId="77777777" w:rsidR="009831D0" w:rsidRPr="009831D0" w:rsidRDefault="009831D0" w:rsidP="00C031EE">
            <w:pPr>
              <w:keepNext/>
              <w:keepLines/>
              <w:widowControl/>
              <w:jc w:val="center"/>
              <w:rPr>
                <w:rFonts w:ascii="Calibri" w:eastAsia="Calibri" w:hAnsi="Calibri"/>
                <w:b/>
                <w:sz w:val="16"/>
                <w:szCs w:val="16"/>
              </w:rPr>
            </w:pPr>
          </w:p>
        </w:tc>
      </w:tr>
    </w:tbl>
    <w:p w14:paraId="44BE829B" w14:textId="3B8758C9" w:rsidR="006D5CB0" w:rsidRDefault="006D5CB0" w:rsidP="00673122">
      <w:pPr>
        <w:rPr>
          <w:b/>
          <w:bCs/>
        </w:rPr>
        <w:sectPr w:rsidR="006D5CB0" w:rsidSect="006D5CB0">
          <w:pgSz w:w="15840" w:h="12240" w:orient="landscape"/>
          <w:pgMar w:top="1440" w:right="1440" w:bottom="1440" w:left="1440" w:header="1440" w:footer="1440" w:gutter="0"/>
          <w:cols w:space="720"/>
          <w:noEndnote/>
          <w:docGrid w:linePitch="326"/>
        </w:sectPr>
      </w:pPr>
    </w:p>
    <w:p w14:paraId="3531AC08" w14:textId="4FECA68E" w:rsidR="00AE57F8" w:rsidRDefault="00AE57F8">
      <w:pPr>
        <w:widowControl/>
        <w:tabs>
          <w:tab w:val="left" w:pos="-1080"/>
          <w:tab w:val="left" w:pos="-720"/>
          <w:tab w:val="left" w:pos="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14:paraId="4DA18C31" w14:textId="77777777" w:rsidR="00AE57F8" w:rsidRDefault="00AE57F8">
      <w:pPr>
        <w:widowControl/>
        <w:tabs>
          <w:tab w:val="left" w:pos="-1080"/>
          <w:tab w:val="left" w:pos="-720"/>
          <w:tab w:val="left" w:pos="0"/>
          <w:tab w:val="left" w:pos="720"/>
          <w:tab w:val="left" w:pos="1080"/>
        </w:tabs>
      </w:pPr>
    </w:p>
    <w:p w14:paraId="38B462D6" w14:textId="38B55F6E" w:rsidR="000D5E4C" w:rsidRDefault="00B11BB5">
      <w:pPr>
        <w:widowControl/>
        <w:autoSpaceDE/>
        <w:autoSpaceDN/>
        <w:adjustRightInd/>
      </w:pPr>
      <w:r>
        <w:t xml:space="preserve">Information from this collection may be provided to the North Pacific Fishery Management Council or the public with appropriate application of confidentiality requirements. </w:t>
      </w:r>
      <w:r w:rsidR="004F30C6" w:rsidRPr="004F30C6">
        <w:t xml:space="preserve">NMFS </w:t>
      </w:r>
      <w:r w:rsidR="004F30C6">
        <w:t>posts</w:t>
      </w:r>
      <w:r w:rsidR="004F30C6" w:rsidRPr="004F30C6">
        <w:t xml:space="preserve"> some information </w:t>
      </w:r>
      <w:r w:rsidR="004F30C6">
        <w:t xml:space="preserve">on the AFA </w:t>
      </w:r>
      <w:r w:rsidR="004F30C6" w:rsidRPr="004F30C6">
        <w:t xml:space="preserve">from this collection on the NMFS Alaska Region </w:t>
      </w:r>
      <w:r w:rsidR="000D5E4C">
        <w:t>permits and licenses web page</w:t>
      </w:r>
      <w:r w:rsidR="004F30C6" w:rsidRPr="004F30C6">
        <w:t>,</w:t>
      </w:r>
      <w:r w:rsidR="000D5E4C" w:rsidRPr="00EC447F">
        <w:rPr>
          <w:rStyle w:val="FootnoteReference"/>
          <w:vertAlign w:val="superscript"/>
        </w:rPr>
        <w:footnoteReference w:id="5"/>
      </w:r>
      <w:r w:rsidR="004F30C6">
        <w:t xml:space="preserve"> including </w:t>
      </w:r>
      <w:r w:rsidR="004F30C6" w:rsidRPr="004F30C6">
        <w:t xml:space="preserve">lists </w:t>
      </w:r>
      <w:r w:rsidR="004F30C6">
        <w:t xml:space="preserve">by year of </w:t>
      </w:r>
      <w:r>
        <w:t>AFA catcher/processor</w:t>
      </w:r>
      <w:r w:rsidR="004F30C6" w:rsidRPr="004F30C6">
        <w:t xml:space="preserve">s, </w:t>
      </w:r>
      <w:r>
        <w:t>catcher vessel</w:t>
      </w:r>
      <w:r w:rsidR="004F30C6" w:rsidRPr="004F30C6">
        <w:t>s, inshore cooperatives, inshore cooperative member vessels, inshore processors, and motherships</w:t>
      </w:r>
      <w:r>
        <w:t>.</w:t>
      </w:r>
    </w:p>
    <w:p w14:paraId="70855155" w14:textId="7A43A024" w:rsidR="004F30C6" w:rsidRPr="004F30C6" w:rsidRDefault="004F30C6">
      <w:pPr>
        <w:widowControl/>
        <w:autoSpaceDE/>
        <w:autoSpaceDN/>
        <w:adjustRightInd/>
        <w:rPr>
          <w:bCs/>
        </w:rPr>
      </w:pPr>
    </w:p>
    <w:p w14:paraId="4E4D88A8" w14:textId="77777777" w:rsidR="00AE57F8" w:rsidRDefault="00AE57F8">
      <w:pPr>
        <w:widowControl/>
        <w:tabs>
          <w:tab w:val="left" w:pos="-1080"/>
          <w:tab w:val="left" w:pos="-720"/>
          <w:tab w:val="left" w:pos="0"/>
          <w:tab w:val="left" w:pos="720"/>
          <w:tab w:val="left" w:pos="1080"/>
        </w:tabs>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0F807E9C" w14:textId="77777777" w:rsidR="00AE57F8" w:rsidRDefault="00AE57F8">
      <w:pPr>
        <w:widowControl/>
        <w:tabs>
          <w:tab w:val="left" w:pos="-1080"/>
          <w:tab w:val="left" w:pos="-720"/>
          <w:tab w:val="left" w:pos="0"/>
          <w:tab w:val="left" w:pos="720"/>
          <w:tab w:val="left" w:pos="1080"/>
        </w:tabs>
      </w:pPr>
    </w:p>
    <w:p w14:paraId="4F85D786" w14:textId="30C62B27" w:rsidR="00AE57F8" w:rsidRDefault="002D264E">
      <w:pPr>
        <w:widowControl/>
        <w:tabs>
          <w:tab w:val="left" w:pos="-1080"/>
          <w:tab w:val="left" w:pos="-720"/>
          <w:tab w:val="left" w:pos="0"/>
          <w:tab w:val="left" w:pos="720"/>
          <w:tab w:val="left" w:pos="1080"/>
        </w:tabs>
      </w:pPr>
      <w:r w:rsidRPr="002D264E">
        <w:t>The expiratio</w:t>
      </w:r>
      <w:r w:rsidR="00CE7E1A">
        <w:t>n date will be displayed for this</w:t>
      </w:r>
      <w:r w:rsidRPr="002D264E">
        <w:t xml:space="preserve"> information collection</w:t>
      </w:r>
      <w:r w:rsidR="00CE7E1A">
        <w:t>.</w:t>
      </w:r>
    </w:p>
    <w:p w14:paraId="5CAA1A00" w14:textId="77777777" w:rsidR="001D7850" w:rsidRDefault="001D7850">
      <w:pPr>
        <w:widowControl/>
        <w:tabs>
          <w:tab w:val="left" w:pos="-1080"/>
          <w:tab w:val="left" w:pos="-720"/>
          <w:tab w:val="left" w:pos="0"/>
          <w:tab w:val="left" w:pos="720"/>
          <w:tab w:val="left" w:pos="1080"/>
        </w:tabs>
      </w:pPr>
    </w:p>
    <w:p w14:paraId="04B4688A" w14:textId="77777777" w:rsidR="00AE57F8" w:rsidRDefault="00AE57F8">
      <w:pPr>
        <w:widowControl/>
        <w:tabs>
          <w:tab w:val="left" w:pos="-1080"/>
          <w:tab w:val="left" w:pos="-720"/>
          <w:tab w:val="left" w:pos="0"/>
          <w:tab w:val="left" w:pos="720"/>
          <w:tab w:val="left" w:pos="1080"/>
        </w:tabs>
      </w:pPr>
      <w:r>
        <w:rPr>
          <w:b/>
          <w:bCs/>
        </w:rPr>
        <w:t xml:space="preserve">18.  </w:t>
      </w:r>
      <w:r>
        <w:rPr>
          <w:b/>
          <w:bCs/>
          <w:u w:val="single"/>
        </w:rPr>
        <w:t>Explain each exception to the certification statement</w:t>
      </w:r>
      <w:r>
        <w:rPr>
          <w:b/>
          <w:bCs/>
        </w:rPr>
        <w:t>.</w:t>
      </w:r>
    </w:p>
    <w:p w14:paraId="181B3740" w14:textId="77777777" w:rsidR="00AE57F8" w:rsidRDefault="00AE57F8">
      <w:pPr>
        <w:widowControl/>
        <w:tabs>
          <w:tab w:val="left" w:pos="-1080"/>
          <w:tab w:val="left" w:pos="-720"/>
          <w:tab w:val="left" w:pos="0"/>
          <w:tab w:val="left" w:pos="720"/>
          <w:tab w:val="left" w:pos="1080"/>
        </w:tabs>
      </w:pPr>
    </w:p>
    <w:p w14:paraId="4E53AC75" w14:textId="157EE63F" w:rsidR="00AE57F8" w:rsidRDefault="00CF3A37">
      <w:pPr>
        <w:widowControl/>
        <w:tabs>
          <w:tab w:val="left" w:pos="-1080"/>
          <w:tab w:val="left" w:pos="-720"/>
          <w:tab w:val="left" w:pos="0"/>
          <w:tab w:val="left" w:pos="720"/>
          <w:tab w:val="left" w:pos="1080"/>
        </w:tabs>
      </w:pPr>
      <w:r w:rsidRPr="00CF3A37">
        <w:t>There are no exceptions for compliance with provisions in the certification statement.</w:t>
      </w:r>
    </w:p>
    <w:p w14:paraId="4053B177" w14:textId="2C3CC987" w:rsidR="00CF3A37" w:rsidRDefault="00CF3A37">
      <w:pPr>
        <w:widowControl/>
        <w:tabs>
          <w:tab w:val="left" w:pos="-1080"/>
          <w:tab w:val="left" w:pos="-720"/>
          <w:tab w:val="left" w:pos="0"/>
          <w:tab w:val="left" w:pos="720"/>
          <w:tab w:val="left" w:pos="1080"/>
        </w:tabs>
      </w:pPr>
    </w:p>
    <w:p w14:paraId="330BFCF7" w14:textId="77777777" w:rsidR="00CF3A37" w:rsidRDefault="00CF3A37">
      <w:pPr>
        <w:widowControl/>
        <w:tabs>
          <w:tab w:val="left" w:pos="-1080"/>
          <w:tab w:val="left" w:pos="-720"/>
          <w:tab w:val="left" w:pos="0"/>
          <w:tab w:val="left" w:pos="720"/>
          <w:tab w:val="left" w:pos="1080"/>
        </w:tabs>
      </w:pPr>
    </w:p>
    <w:p w14:paraId="1348C89A" w14:textId="77777777" w:rsidR="00152A1F" w:rsidRDefault="00152A1F" w:rsidP="00152A1F">
      <w:pPr>
        <w:widowControl/>
        <w:tabs>
          <w:tab w:val="left" w:pos="-1080"/>
          <w:tab w:val="left" w:pos="-720"/>
          <w:tab w:val="left" w:pos="0"/>
          <w:tab w:val="left" w:pos="720"/>
          <w:tab w:val="left" w:pos="1080"/>
        </w:tabs>
        <w:rPr>
          <w:b/>
          <w:bCs/>
        </w:rPr>
      </w:pPr>
      <w:r>
        <w:rPr>
          <w:b/>
          <w:bCs/>
        </w:rPr>
        <w:t>B. COLLECTIONS OF INFORMATION EMPLOYING STATISTICAL METHODS</w:t>
      </w:r>
    </w:p>
    <w:p w14:paraId="6A446E98" w14:textId="77777777" w:rsidR="00152A1F" w:rsidRDefault="00152A1F" w:rsidP="00152A1F">
      <w:pPr>
        <w:widowControl/>
        <w:tabs>
          <w:tab w:val="left" w:pos="-1080"/>
          <w:tab w:val="left" w:pos="-720"/>
          <w:tab w:val="left" w:pos="0"/>
          <w:tab w:val="left" w:pos="720"/>
          <w:tab w:val="left" w:pos="1080"/>
        </w:tabs>
      </w:pPr>
    </w:p>
    <w:p w14:paraId="5E53B554" w14:textId="77777777" w:rsidR="00152A1F" w:rsidRDefault="00152A1F" w:rsidP="00152A1F">
      <w:pPr>
        <w:widowControl/>
        <w:tabs>
          <w:tab w:val="left" w:pos="-1080"/>
          <w:tab w:val="left" w:pos="-720"/>
          <w:tab w:val="left" w:pos="0"/>
          <w:tab w:val="left" w:pos="720"/>
          <w:tab w:val="left" w:pos="1080"/>
        </w:tabs>
      </w:pPr>
      <w:r>
        <w:t>This collection does not employ statistical methods.</w:t>
      </w:r>
    </w:p>
    <w:p w14:paraId="53690204" w14:textId="77777777" w:rsidR="00152A1F" w:rsidRDefault="00152A1F">
      <w:pPr>
        <w:widowControl/>
        <w:tabs>
          <w:tab w:val="left" w:pos="-1080"/>
          <w:tab w:val="left" w:pos="-720"/>
          <w:tab w:val="left" w:pos="0"/>
          <w:tab w:val="left" w:pos="720"/>
          <w:tab w:val="left" w:pos="1080"/>
        </w:tabs>
      </w:pPr>
    </w:p>
    <w:p w14:paraId="18870D0C" w14:textId="77777777" w:rsidR="00F93109" w:rsidRDefault="00F93109">
      <w:pPr>
        <w:widowControl/>
        <w:tabs>
          <w:tab w:val="left" w:pos="-1080"/>
          <w:tab w:val="left" w:pos="-720"/>
          <w:tab w:val="left" w:pos="0"/>
          <w:tab w:val="left" w:pos="720"/>
          <w:tab w:val="left" w:pos="1080"/>
        </w:tabs>
      </w:pPr>
    </w:p>
    <w:p w14:paraId="7DCB9B78" w14:textId="05C0C775" w:rsidR="00114B07" w:rsidRDefault="00114B07" w:rsidP="00CF3A37">
      <w:pPr>
        <w:ind w:left="-720"/>
      </w:pPr>
    </w:p>
    <w:sectPr w:rsidR="00114B07" w:rsidSect="00CF3A37">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265A9" w14:textId="77777777" w:rsidR="00DA65DC" w:rsidRDefault="00DA65DC">
      <w:r>
        <w:separator/>
      </w:r>
    </w:p>
  </w:endnote>
  <w:endnote w:type="continuationSeparator" w:id="0">
    <w:p w14:paraId="4878799B" w14:textId="77777777" w:rsidR="00DA65DC" w:rsidRDefault="00DA65DC">
      <w:r>
        <w:continuationSeparator/>
      </w:r>
    </w:p>
  </w:endnote>
  <w:endnote w:type="continuationNotice" w:id="1">
    <w:p w14:paraId="73846C48" w14:textId="77777777" w:rsidR="00DA65DC" w:rsidRDefault="00DA6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693975"/>
      <w:docPartObj>
        <w:docPartGallery w:val="Page Numbers (Bottom of Page)"/>
        <w:docPartUnique/>
      </w:docPartObj>
    </w:sdtPr>
    <w:sdtEndPr>
      <w:rPr>
        <w:noProof/>
      </w:rPr>
    </w:sdtEndPr>
    <w:sdtContent>
      <w:p w14:paraId="07185477" w14:textId="5A6FF440" w:rsidR="00F44A84" w:rsidRDefault="00F44A84">
        <w:pPr>
          <w:pStyle w:val="Footer"/>
          <w:jc w:val="center"/>
        </w:pPr>
        <w:r>
          <w:fldChar w:fldCharType="begin"/>
        </w:r>
        <w:r>
          <w:instrText xml:space="preserve"> PAGE   \* MERGEFORMAT </w:instrText>
        </w:r>
        <w:r>
          <w:fldChar w:fldCharType="separate"/>
        </w:r>
        <w:r w:rsidR="00476BE9">
          <w:rPr>
            <w:noProof/>
          </w:rPr>
          <w:t>1</w:t>
        </w:r>
        <w:r>
          <w:rPr>
            <w:noProof/>
          </w:rPr>
          <w:fldChar w:fldCharType="end"/>
        </w:r>
      </w:p>
    </w:sdtContent>
  </w:sdt>
  <w:p w14:paraId="4B6D1519" w14:textId="77777777" w:rsidR="00F44A84" w:rsidRDefault="00F44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B5130" w14:textId="77777777" w:rsidR="00DA65DC" w:rsidRDefault="00DA65DC">
      <w:r>
        <w:separator/>
      </w:r>
    </w:p>
  </w:footnote>
  <w:footnote w:type="continuationSeparator" w:id="0">
    <w:p w14:paraId="71206779" w14:textId="77777777" w:rsidR="00DA65DC" w:rsidRDefault="00DA65DC">
      <w:r>
        <w:continuationSeparator/>
      </w:r>
    </w:p>
  </w:footnote>
  <w:footnote w:type="continuationNotice" w:id="1">
    <w:p w14:paraId="2C37CC3A" w14:textId="77777777" w:rsidR="00DA65DC" w:rsidRDefault="00DA65DC"/>
  </w:footnote>
  <w:footnote w:id="2">
    <w:p w14:paraId="6C2076F2" w14:textId="64D1D48C" w:rsidR="00F44A84" w:rsidRDefault="00F44A84">
      <w:pPr>
        <w:pStyle w:val="FootnoteText"/>
      </w:pPr>
      <w:r w:rsidRPr="006A4263">
        <w:rPr>
          <w:rStyle w:val="FootnoteReference"/>
          <w:vertAlign w:val="superscript"/>
        </w:rPr>
        <w:footnoteRef/>
      </w:r>
      <w:r>
        <w:t xml:space="preserve"> </w:t>
      </w:r>
      <w:hyperlink r:id="rId1" w:history="1">
        <w:r w:rsidRPr="008B76A6">
          <w:rPr>
            <w:rStyle w:val="Hyperlink"/>
          </w:rPr>
          <w:t>https://www.fisheries.noaa.gov/alaska/rules-and-regulations/regulations-acts-treaties-and-agreements-federal-fisheries-alaska</w:t>
        </w:r>
      </w:hyperlink>
    </w:p>
  </w:footnote>
  <w:footnote w:id="3">
    <w:p w14:paraId="05BA23AA" w14:textId="03650FAB" w:rsidR="00ED71DF" w:rsidRDefault="00ED71DF">
      <w:pPr>
        <w:pStyle w:val="FootnoteText"/>
      </w:pPr>
      <w:r w:rsidRPr="000B4401">
        <w:rPr>
          <w:rStyle w:val="FootnoteReference"/>
          <w:vertAlign w:val="superscript"/>
        </w:rPr>
        <w:footnoteRef/>
      </w:r>
      <w:r>
        <w:t xml:space="preserve"> </w:t>
      </w:r>
      <w:hyperlink r:id="rId2" w:history="1">
        <w:r w:rsidRPr="00ED71DF">
          <w:rPr>
            <w:rStyle w:val="Hyperlink"/>
          </w:rPr>
          <w:t>https://www.fisheries.noaa.gov/permit/american-fisheries-act-afa-pollock-applications-and-forms</w:t>
        </w:r>
      </w:hyperlink>
    </w:p>
  </w:footnote>
  <w:footnote w:id="4">
    <w:p w14:paraId="153B70E5" w14:textId="14EF8EE3" w:rsidR="00ED71DF" w:rsidRDefault="00ED71DF">
      <w:pPr>
        <w:pStyle w:val="FootnoteText"/>
      </w:pPr>
      <w:r w:rsidRPr="000B4401">
        <w:rPr>
          <w:rStyle w:val="FootnoteReference"/>
          <w:vertAlign w:val="superscript"/>
        </w:rPr>
        <w:footnoteRef/>
      </w:r>
      <w:r>
        <w:t xml:space="preserve"> </w:t>
      </w:r>
      <w:hyperlink r:id="rId3" w:history="1">
        <w:r w:rsidRPr="002111E3">
          <w:rPr>
            <w:rStyle w:val="Hyperlink"/>
          </w:rPr>
          <w:t>https://alaskafisheries.noaa.gov/webapps/efish/login</w:t>
        </w:r>
      </w:hyperlink>
    </w:p>
  </w:footnote>
  <w:footnote w:id="5">
    <w:p w14:paraId="211AD102" w14:textId="11EAD2BF" w:rsidR="000D5E4C" w:rsidRDefault="000D5E4C">
      <w:pPr>
        <w:pStyle w:val="FootnoteText"/>
      </w:pPr>
      <w:r w:rsidRPr="00EC447F">
        <w:rPr>
          <w:rStyle w:val="FootnoteReference"/>
          <w:vertAlign w:val="superscript"/>
        </w:rPr>
        <w:footnoteRef/>
      </w:r>
      <w:r>
        <w:t xml:space="preserve"> </w:t>
      </w:r>
      <w:hyperlink r:id="rId4" w:history="1">
        <w:r w:rsidRPr="000D5E4C">
          <w:rPr>
            <w:rStyle w:val="Hyperlink"/>
          </w:rPr>
          <w:t>https://www.fisheries.noaa.gov/alaska/commercial-fishing/permits-and-licenses-issued-alaska#american-fisheries-act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3B9"/>
    <w:multiLevelType w:val="hybridMultilevel"/>
    <w:tmpl w:val="854A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70A11"/>
    <w:multiLevelType w:val="hybridMultilevel"/>
    <w:tmpl w:val="9934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27712"/>
    <w:multiLevelType w:val="hybridMultilevel"/>
    <w:tmpl w:val="9DCA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2A30A4"/>
    <w:multiLevelType w:val="hybridMultilevel"/>
    <w:tmpl w:val="5BF4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5A384D"/>
    <w:multiLevelType w:val="hybridMultilevel"/>
    <w:tmpl w:val="A8AE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2666D0"/>
    <w:multiLevelType w:val="hybridMultilevel"/>
    <w:tmpl w:val="C4CA16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86294F"/>
    <w:multiLevelType w:val="hybridMultilevel"/>
    <w:tmpl w:val="8D92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F8"/>
    <w:rsid w:val="0000036C"/>
    <w:rsid w:val="000003EF"/>
    <w:rsid w:val="00003761"/>
    <w:rsid w:val="0000721E"/>
    <w:rsid w:val="000175BD"/>
    <w:rsid w:val="000208C4"/>
    <w:rsid w:val="000210F1"/>
    <w:rsid w:val="00024FAB"/>
    <w:rsid w:val="00025C19"/>
    <w:rsid w:val="0002746D"/>
    <w:rsid w:val="00031A1E"/>
    <w:rsid w:val="00033634"/>
    <w:rsid w:val="00036389"/>
    <w:rsid w:val="000424B2"/>
    <w:rsid w:val="00046732"/>
    <w:rsid w:val="00047B33"/>
    <w:rsid w:val="00050717"/>
    <w:rsid w:val="000524FD"/>
    <w:rsid w:val="000533FA"/>
    <w:rsid w:val="00053692"/>
    <w:rsid w:val="0005511E"/>
    <w:rsid w:val="00056ECF"/>
    <w:rsid w:val="00064943"/>
    <w:rsid w:val="00074866"/>
    <w:rsid w:val="00076BC8"/>
    <w:rsid w:val="000803AF"/>
    <w:rsid w:val="00082511"/>
    <w:rsid w:val="000832AD"/>
    <w:rsid w:val="00086A70"/>
    <w:rsid w:val="00090BF4"/>
    <w:rsid w:val="000922A9"/>
    <w:rsid w:val="00095EE9"/>
    <w:rsid w:val="000972A4"/>
    <w:rsid w:val="00097C3C"/>
    <w:rsid w:val="000A4A08"/>
    <w:rsid w:val="000A4B7D"/>
    <w:rsid w:val="000A4BAE"/>
    <w:rsid w:val="000A689E"/>
    <w:rsid w:val="000B0BF4"/>
    <w:rsid w:val="000B3244"/>
    <w:rsid w:val="000B4401"/>
    <w:rsid w:val="000B69D6"/>
    <w:rsid w:val="000C018F"/>
    <w:rsid w:val="000C171D"/>
    <w:rsid w:val="000C3F68"/>
    <w:rsid w:val="000C5E68"/>
    <w:rsid w:val="000C6A71"/>
    <w:rsid w:val="000C77CF"/>
    <w:rsid w:val="000D2B39"/>
    <w:rsid w:val="000D2EA9"/>
    <w:rsid w:val="000D53F3"/>
    <w:rsid w:val="000D5E4C"/>
    <w:rsid w:val="000E42BB"/>
    <w:rsid w:val="000E560A"/>
    <w:rsid w:val="000E7A76"/>
    <w:rsid w:val="000F1A19"/>
    <w:rsid w:val="000F42F4"/>
    <w:rsid w:val="000F6F19"/>
    <w:rsid w:val="00102C7D"/>
    <w:rsid w:val="001070FD"/>
    <w:rsid w:val="0011404A"/>
    <w:rsid w:val="00114B07"/>
    <w:rsid w:val="00114F90"/>
    <w:rsid w:val="00124953"/>
    <w:rsid w:val="00124AF5"/>
    <w:rsid w:val="00127AA3"/>
    <w:rsid w:val="001331EE"/>
    <w:rsid w:val="00133805"/>
    <w:rsid w:val="001376F5"/>
    <w:rsid w:val="001408AA"/>
    <w:rsid w:val="00146417"/>
    <w:rsid w:val="001467A8"/>
    <w:rsid w:val="00146D28"/>
    <w:rsid w:val="0015068F"/>
    <w:rsid w:val="00150DDF"/>
    <w:rsid w:val="0015279C"/>
    <w:rsid w:val="00152A1F"/>
    <w:rsid w:val="00153B7B"/>
    <w:rsid w:val="00154271"/>
    <w:rsid w:val="001558DB"/>
    <w:rsid w:val="00155FD1"/>
    <w:rsid w:val="001574CD"/>
    <w:rsid w:val="00157972"/>
    <w:rsid w:val="00160A6F"/>
    <w:rsid w:val="00161B26"/>
    <w:rsid w:val="001628BA"/>
    <w:rsid w:val="00162DE3"/>
    <w:rsid w:val="0016342E"/>
    <w:rsid w:val="001667C3"/>
    <w:rsid w:val="00167A6C"/>
    <w:rsid w:val="00171066"/>
    <w:rsid w:val="00172946"/>
    <w:rsid w:val="001736D7"/>
    <w:rsid w:val="00173CE0"/>
    <w:rsid w:val="0018182A"/>
    <w:rsid w:val="00183DD1"/>
    <w:rsid w:val="001879A9"/>
    <w:rsid w:val="00191928"/>
    <w:rsid w:val="00191C31"/>
    <w:rsid w:val="00193585"/>
    <w:rsid w:val="00193B89"/>
    <w:rsid w:val="001943AD"/>
    <w:rsid w:val="0019517E"/>
    <w:rsid w:val="001A116B"/>
    <w:rsid w:val="001A1CED"/>
    <w:rsid w:val="001A3AF1"/>
    <w:rsid w:val="001A51FF"/>
    <w:rsid w:val="001A72AC"/>
    <w:rsid w:val="001A7926"/>
    <w:rsid w:val="001B1BC9"/>
    <w:rsid w:val="001B6ED8"/>
    <w:rsid w:val="001C1939"/>
    <w:rsid w:val="001C3626"/>
    <w:rsid w:val="001C3BF2"/>
    <w:rsid w:val="001C5D16"/>
    <w:rsid w:val="001C68A9"/>
    <w:rsid w:val="001C697B"/>
    <w:rsid w:val="001D4CC6"/>
    <w:rsid w:val="001D6E1B"/>
    <w:rsid w:val="001D7850"/>
    <w:rsid w:val="001E03DE"/>
    <w:rsid w:val="001E12A7"/>
    <w:rsid w:val="001E38EF"/>
    <w:rsid w:val="001E4BEB"/>
    <w:rsid w:val="001E4F73"/>
    <w:rsid w:val="001F15C4"/>
    <w:rsid w:val="001F4F02"/>
    <w:rsid w:val="001F671E"/>
    <w:rsid w:val="00201761"/>
    <w:rsid w:val="00217A34"/>
    <w:rsid w:val="00217F4B"/>
    <w:rsid w:val="00220286"/>
    <w:rsid w:val="00222315"/>
    <w:rsid w:val="0022682D"/>
    <w:rsid w:val="002271EB"/>
    <w:rsid w:val="00235B3B"/>
    <w:rsid w:val="00237596"/>
    <w:rsid w:val="00243359"/>
    <w:rsid w:val="00250206"/>
    <w:rsid w:val="00251AA9"/>
    <w:rsid w:val="002532FF"/>
    <w:rsid w:val="00255320"/>
    <w:rsid w:val="00256331"/>
    <w:rsid w:val="00260039"/>
    <w:rsid w:val="00260DDE"/>
    <w:rsid w:val="00261841"/>
    <w:rsid w:val="00262747"/>
    <w:rsid w:val="00265320"/>
    <w:rsid w:val="00267A1F"/>
    <w:rsid w:val="002705DE"/>
    <w:rsid w:val="00272402"/>
    <w:rsid w:val="00274BB1"/>
    <w:rsid w:val="002773B7"/>
    <w:rsid w:val="0028239C"/>
    <w:rsid w:val="002862F1"/>
    <w:rsid w:val="00286664"/>
    <w:rsid w:val="00286D48"/>
    <w:rsid w:val="00290058"/>
    <w:rsid w:val="00291942"/>
    <w:rsid w:val="00291BF9"/>
    <w:rsid w:val="002942C3"/>
    <w:rsid w:val="002964A7"/>
    <w:rsid w:val="00297AC5"/>
    <w:rsid w:val="002B020F"/>
    <w:rsid w:val="002B56CD"/>
    <w:rsid w:val="002C2C56"/>
    <w:rsid w:val="002C3DBA"/>
    <w:rsid w:val="002C6363"/>
    <w:rsid w:val="002C6C6A"/>
    <w:rsid w:val="002D13E3"/>
    <w:rsid w:val="002D1E35"/>
    <w:rsid w:val="002D264E"/>
    <w:rsid w:val="002D2BAD"/>
    <w:rsid w:val="002D30F5"/>
    <w:rsid w:val="002D529B"/>
    <w:rsid w:val="002E05C6"/>
    <w:rsid w:val="002E3451"/>
    <w:rsid w:val="002E42CC"/>
    <w:rsid w:val="002E5367"/>
    <w:rsid w:val="002E66F8"/>
    <w:rsid w:val="002E6F8C"/>
    <w:rsid w:val="002F1665"/>
    <w:rsid w:val="002F2F2C"/>
    <w:rsid w:val="002F46B0"/>
    <w:rsid w:val="002F4972"/>
    <w:rsid w:val="002F7084"/>
    <w:rsid w:val="003036DC"/>
    <w:rsid w:val="00303A4B"/>
    <w:rsid w:val="003060F0"/>
    <w:rsid w:val="00307A23"/>
    <w:rsid w:val="00307C80"/>
    <w:rsid w:val="00310257"/>
    <w:rsid w:val="00311BB5"/>
    <w:rsid w:val="00312B21"/>
    <w:rsid w:val="003130DE"/>
    <w:rsid w:val="00314A30"/>
    <w:rsid w:val="0031698A"/>
    <w:rsid w:val="003225C6"/>
    <w:rsid w:val="0032346A"/>
    <w:rsid w:val="0032400D"/>
    <w:rsid w:val="003279D5"/>
    <w:rsid w:val="00334AE3"/>
    <w:rsid w:val="00336DAC"/>
    <w:rsid w:val="00337CFE"/>
    <w:rsid w:val="00340214"/>
    <w:rsid w:val="00342255"/>
    <w:rsid w:val="003450B7"/>
    <w:rsid w:val="00346BDF"/>
    <w:rsid w:val="003475CC"/>
    <w:rsid w:val="00355C6F"/>
    <w:rsid w:val="00356BBF"/>
    <w:rsid w:val="00360B29"/>
    <w:rsid w:val="00362B8C"/>
    <w:rsid w:val="00365BAC"/>
    <w:rsid w:val="00366231"/>
    <w:rsid w:val="00366897"/>
    <w:rsid w:val="0037173E"/>
    <w:rsid w:val="00380A6F"/>
    <w:rsid w:val="00381F32"/>
    <w:rsid w:val="00383262"/>
    <w:rsid w:val="00384682"/>
    <w:rsid w:val="003847F7"/>
    <w:rsid w:val="00386BA0"/>
    <w:rsid w:val="00387C4D"/>
    <w:rsid w:val="0039198C"/>
    <w:rsid w:val="00394705"/>
    <w:rsid w:val="00395EFA"/>
    <w:rsid w:val="003A198F"/>
    <w:rsid w:val="003B3E35"/>
    <w:rsid w:val="003B6117"/>
    <w:rsid w:val="003B7362"/>
    <w:rsid w:val="003C1B1B"/>
    <w:rsid w:val="003C70C0"/>
    <w:rsid w:val="003D2895"/>
    <w:rsid w:val="003D726D"/>
    <w:rsid w:val="003E09BB"/>
    <w:rsid w:val="003E13EC"/>
    <w:rsid w:val="003E3659"/>
    <w:rsid w:val="003E72E4"/>
    <w:rsid w:val="003E7E0C"/>
    <w:rsid w:val="003F2658"/>
    <w:rsid w:val="00401614"/>
    <w:rsid w:val="00401B44"/>
    <w:rsid w:val="0041187A"/>
    <w:rsid w:val="004130A0"/>
    <w:rsid w:val="00422E19"/>
    <w:rsid w:val="004245A7"/>
    <w:rsid w:val="00424A69"/>
    <w:rsid w:val="00424B15"/>
    <w:rsid w:val="00427ACC"/>
    <w:rsid w:val="00427B27"/>
    <w:rsid w:val="00427D0E"/>
    <w:rsid w:val="00430D24"/>
    <w:rsid w:val="00433917"/>
    <w:rsid w:val="00435399"/>
    <w:rsid w:val="00435886"/>
    <w:rsid w:val="00437A04"/>
    <w:rsid w:val="00444CE9"/>
    <w:rsid w:val="0044750E"/>
    <w:rsid w:val="00450C83"/>
    <w:rsid w:val="00451C28"/>
    <w:rsid w:val="00454E86"/>
    <w:rsid w:val="00455635"/>
    <w:rsid w:val="00456558"/>
    <w:rsid w:val="004566CC"/>
    <w:rsid w:val="00460A45"/>
    <w:rsid w:val="00462BB6"/>
    <w:rsid w:val="0046487A"/>
    <w:rsid w:val="0047203F"/>
    <w:rsid w:val="00473F82"/>
    <w:rsid w:val="00476BE9"/>
    <w:rsid w:val="00477B1F"/>
    <w:rsid w:val="0048111A"/>
    <w:rsid w:val="00483C2A"/>
    <w:rsid w:val="00487579"/>
    <w:rsid w:val="004902AB"/>
    <w:rsid w:val="004913C9"/>
    <w:rsid w:val="00492164"/>
    <w:rsid w:val="00496303"/>
    <w:rsid w:val="00496F25"/>
    <w:rsid w:val="00497C5A"/>
    <w:rsid w:val="004A4149"/>
    <w:rsid w:val="004A6632"/>
    <w:rsid w:val="004A6CA1"/>
    <w:rsid w:val="004B16EB"/>
    <w:rsid w:val="004B1D2E"/>
    <w:rsid w:val="004B2AA3"/>
    <w:rsid w:val="004C3A49"/>
    <w:rsid w:val="004C48CF"/>
    <w:rsid w:val="004D0738"/>
    <w:rsid w:val="004D4654"/>
    <w:rsid w:val="004D5ECB"/>
    <w:rsid w:val="004E0F9B"/>
    <w:rsid w:val="004E2383"/>
    <w:rsid w:val="004E4BDA"/>
    <w:rsid w:val="004F0CDB"/>
    <w:rsid w:val="004F30C6"/>
    <w:rsid w:val="004F3F6A"/>
    <w:rsid w:val="004F43A8"/>
    <w:rsid w:val="004F453C"/>
    <w:rsid w:val="005003F8"/>
    <w:rsid w:val="005049ED"/>
    <w:rsid w:val="005100B3"/>
    <w:rsid w:val="0051029D"/>
    <w:rsid w:val="005111B5"/>
    <w:rsid w:val="005118DC"/>
    <w:rsid w:val="00515D82"/>
    <w:rsid w:val="0051790C"/>
    <w:rsid w:val="0052063C"/>
    <w:rsid w:val="00520944"/>
    <w:rsid w:val="005241E6"/>
    <w:rsid w:val="005255CF"/>
    <w:rsid w:val="00525AA8"/>
    <w:rsid w:val="0053189D"/>
    <w:rsid w:val="005336CB"/>
    <w:rsid w:val="00533E36"/>
    <w:rsid w:val="0053720B"/>
    <w:rsid w:val="00542031"/>
    <w:rsid w:val="00546C97"/>
    <w:rsid w:val="00547A15"/>
    <w:rsid w:val="005504A9"/>
    <w:rsid w:val="00551EDF"/>
    <w:rsid w:val="00552340"/>
    <w:rsid w:val="00552D28"/>
    <w:rsid w:val="00557887"/>
    <w:rsid w:val="0056270A"/>
    <w:rsid w:val="005701CF"/>
    <w:rsid w:val="00570CEF"/>
    <w:rsid w:val="005733E7"/>
    <w:rsid w:val="00574B50"/>
    <w:rsid w:val="00577C7A"/>
    <w:rsid w:val="005801A1"/>
    <w:rsid w:val="00584100"/>
    <w:rsid w:val="0059756F"/>
    <w:rsid w:val="00597FA7"/>
    <w:rsid w:val="005B0139"/>
    <w:rsid w:val="005B1348"/>
    <w:rsid w:val="005B1788"/>
    <w:rsid w:val="005B49FC"/>
    <w:rsid w:val="005B532F"/>
    <w:rsid w:val="005B7F02"/>
    <w:rsid w:val="005C0504"/>
    <w:rsid w:val="005C3793"/>
    <w:rsid w:val="005D008D"/>
    <w:rsid w:val="005D014A"/>
    <w:rsid w:val="005D072B"/>
    <w:rsid w:val="005D0918"/>
    <w:rsid w:val="005E041E"/>
    <w:rsid w:val="005E186A"/>
    <w:rsid w:val="005E589D"/>
    <w:rsid w:val="005E7F08"/>
    <w:rsid w:val="00600DF1"/>
    <w:rsid w:val="00602503"/>
    <w:rsid w:val="006058CF"/>
    <w:rsid w:val="00605EA7"/>
    <w:rsid w:val="00605F56"/>
    <w:rsid w:val="00611F0C"/>
    <w:rsid w:val="00613910"/>
    <w:rsid w:val="00615352"/>
    <w:rsid w:val="00620D76"/>
    <w:rsid w:val="00621AEB"/>
    <w:rsid w:val="00621EB8"/>
    <w:rsid w:val="00621EF8"/>
    <w:rsid w:val="00622316"/>
    <w:rsid w:val="00624693"/>
    <w:rsid w:val="00624D72"/>
    <w:rsid w:val="00625722"/>
    <w:rsid w:val="006301BA"/>
    <w:rsid w:val="00632A06"/>
    <w:rsid w:val="00640A69"/>
    <w:rsid w:val="0064243C"/>
    <w:rsid w:val="00643ABC"/>
    <w:rsid w:val="006446EF"/>
    <w:rsid w:val="00644848"/>
    <w:rsid w:val="00644E0D"/>
    <w:rsid w:val="00647E89"/>
    <w:rsid w:val="00654C80"/>
    <w:rsid w:val="00657B9C"/>
    <w:rsid w:val="00660351"/>
    <w:rsid w:val="006622AE"/>
    <w:rsid w:val="00662790"/>
    <w:rsid w:val="006645FB"/>
    <w:rsid w:val="00666D06"/>
    <w:rsid w:val="00666D1B"/>
    <w:rsid w:val="00667974"/>
    <w:rsid w:val="006704DD"/>
    <w:rsid w:val="00673122"/>
    <w:rsid w:val="00676BD7"/>
    <w:rsid w:val="00676D71"/>
    <w:rsid w:val="00680CA4"/>
    <w:rsid w:val="00682815"/>
    <w:rsid w:val="00683593"/>
    <w:rsid w:val="00687EF9"/>
    <w:rsid w:val="006905AE"/>
    <w:rsid w:val="006922C9"/>
    <w:rsid w:val="00692F37"/>
    <w:rsid w:val="00694F45"/>
    <w:rsid w:val="006A1FE8"/>
    <w:rsid w:val="006A2900"/>
    <w:rsid w:val="006A4263"/>
    <w:rsid w:val="006A44C7"/>
    <w:rsid w:val="006A6974"/>
    <w:rsid w:val="006A7FDD"/>
    <w:rsid w:val="006B44C1"/>
    <w:rsid w:val="006B6751"/>
    <w:rsid w:val="006C4274"/>
    <w:rsid w:val="006D08F5"/>
    <w:rsid w:val="006D22AA"/>
    <w:rsid w:val="006D5ADA"/>
    <w:rsid w:val="006D5CB0"/>
    <w:rsid w:val="006E11AA"/>
    <w:rsid w:val="006E248E"/>
    <w:rsid w:val="006E2C28"/>
    <w:rsid w:val="006E378D"/>
    <w:rsid w:val="006E6B53"/>
    <w:rsid w:val="006E754E"/>
    <w:rsid w:val="006F0041"/>
    <w:rsid w:val="006F699C"/>
    <w:rsid w:val="006F7F46"/>
    <w:rsid w:val="0070142B"/>
    <w:rsid w:val="00702429"/>
    <w:rsid w:val="0070547C"/>
    <w:rsid w:val="007075B6"/>
    <w:rsid w:val="0070779A"/>
    <w:rsid w:val="00707C92"/>
    <w:rsid w:val="00714EAA"/>
    <w:rsid w:val="00716083"/>
    <w:rsid w:val="00723D80"/>
    <w:rsid w:val="00726DAB"/>
    <w:rsid w:val="007279BA"/>
    <w:rsid w:val="00730023"/>
    <w:rsid w:val="007304FC"/>
    <w:rsid w:val="00730EBE"/>
    <w:rsid w:val="007333DE"/>
    <w:rsid w:val="00733B4D"/>
    <w:rsid w:val="007373FA"/>
    <w:rsid w:val="007403E5"/>
    <w:rsid w:val="00743B60"/>
    <w:rsid w:val="00743BE0"/>
    <w:rsid w:val="00750ED5"/>
    <w:rsid w:val="00753ED1"/>
    <w:rsid w:val="00756BC4"/>
    <w:rsid w:val="00761D55"/>
    <w:rsid w:val="007656DB"/>
    <w:rsid w:val="0077242F"/>
    <w:rsid w:val="00773B49"/>
    <w:rsid w:val="00774060"/>
    <w:rsid w:val="00774DFF"/>
    <w:rsid w:val="00775640"/>
    <w:rsid w:val="00776822"/>
    <w:rsid w:val="00776A5C"/>
    <w:rsid w:val="007800F4"/>
    <w:rsid w:val="0078058C"/>
    <w:rsid w:val="00781043"/>
    <w:rsid w:val="0078563F"/>
    <w:rsid w:val="00786680"/>
    <w:rsid w:val="00787A7E"/>
    <w:rsid w:val="00791127"/>
    <w:rsid w:val="00793D06"/>
    <w:rsid w:val="00794D28"/>
    <w:rsid w:val="007A2E80"/>
    <w:rsid w:val="007A3B13"/>
    <w:rsid w:val="007B0F36"/>
    <w:rsid w:val="007B10F0"/>
    <w:rsid w:val="007B37CB"/>
    <w:rsid w:val="007B4AE4"/>
    <w:rsid w:val="007B4D0D"/>
    <w:rsid w:val="007B7BEF"/>
    <w:rsid w:val="007C4B8B"/>
    <w:rsid w:val="007C5C3F"/>
    <w:rsid w:val="007C5DD9"/>
    <w:rsid w:val="007C6392"/>
    <w:rsid w:val="007D1685"/>
    <w:rsid w:val="007D380E"/>
    <w:rsid w:val="007D4539"/>
    <w:rsid w:val="007D47A1"/>
    <w:rsid w:val="007D5187"/>
    <w:rsid w:val="007D7395"/>
    <w:rsid w:val="007E0174"/>
    <w:rsid w:val="007E0ECB"/>
    <w:rsid w:val="007E2966"/>
    <w:rsid w:val="007E3B9C"/>
    <w:rsid w:val="007E6E51"/>
    <w:rsid w:val="007F332D"/>
    <w:rsid w:val="007F4482"/>
    <w:rsid w:val="007F659D"/>
    <w:rsid w:val="0080043E"/>
    <w:rsid w:val="00807E49"/>
    <w:rsid w:val="008126A8"/>
    <w:rsid w:val="0081302D"/>
    <w:rsid w:val="00813B02"/>
    <w:rsid w:val="00814ABC"/>
    <w:rsid w:val="00817676"/>
    <w:rsid w:val="008215E9"/>
    <w:rsid w:val="00823670"/>
    <w:rsid w:val="008265A9"/>
    <w:rsid w:val="00831F92"/>
    <w:rsid w:val="00831FA2"/>
    <w:rsid w:val="00840500"/>
    <w:rsid w:val="00840701"/>
    <w:rsid w:val="0084289B"/>
    <w:rsid w:val="00843118"/>
    <w:rsid w:val="00843529"/>
    <w:rsid w:val="00844071"/>
    <w:rsid w:val="0084785A"/>
    <w:rsid w:val="00850538"/>
    <w:rsid w:val="008506B3"/>
    <w:rsid w:val="00851202"/>
    <w:rsid w:val="00851C23"/>
    <w:rsid w:val="00857701"/>
    <w:rsid w:val="00867C26"/>
    <w:rsid w:val="00871CC2"/>
    <w:rsid w:val="008800D6"/>
    <w:rsid w:val="008801B8"/>
    <w:rsid w:val="0088280F"/>
    <w:rsid w:val="00882B6B"/>
    <w:rsid w:val="00885CB8"/>
    <w:rsid w:val="0088600D"/>
    <w:rsid w:val="00891A4E"/>
    <w:rsid w:val="00893E4E"/>
    <w:rsid w:val="0089528E"/>
    <w:rsid w:val="008953FA"/>
    <w:rsid w:val="00896227"/>
    <w:rsid w:val="00897ED6"/>
    <w:rsid w:val="008A2A90"/>
    <w:rsid w:val="008A33F8"/>
    <w:rsid w:val="008A34C9"/>
    <w:rsid w:val="008A5CE1"/>
    <w:rsid w:val="008A5E96"/>
    <w:rsid w:val="008A70BF"/>
    <w:rsid w:val="008B4D32"/>
    <w:rsid w:val="008C115B"/>
    <w:rsid w:val="008D054D"/>
    <w:rsid w:val="008D05D1"/>
    <w:rsid w:val="008D2396"/>
    <w:rsid w:val="008D68B6"/>
    <w:rsid w:val="008E0CF5"/>
    <w:rsid w:val="008E2475"/>
    <w:rsid w:val="008F16CE"/>
    <w:rsid w:val="008F26F2"/>
    <w:rsid w:val="008F4FBB"/>
    <w:rsid w:val="008F6152"/>
    <w:rsid w:val="0090271C"/>
    <w:rsid w:val="00915BE7"/>
    <w:rsid w:val="009161F1"/>
    <w:rsid w:val="00916874"/>
    <w:rsid w:val="00924EE0"/>
    <w:rsid w:val="00924F08"/>
    <w:rsid w:val="009301B9"/>
    <w:rsid w:val="009325B5"/>
    <w:rsid w:val="0094019C"/>
    <w:rsid w:val="009403BF"/>
    <w:rsid w:val="0094135F"/>
    <w:rsid w:val="0094462C"/>
    <w:rsid w:val="00944A7F"/>
    <w:rsid w:val="00945BF8"/>
    <w:rsid w:val="009462C8"/>
    <w:rsid w:val="0094676C"/>
    <w:rsid w:val="00957E6D"/>
    <w:rsid w:val="0096128C"/>
    <w:rsid w:val="00963C4B"/>
    <w:rsid w:val="00965697"/>
    <w:rsid w:val="0097153A"/>
    <w:rsid w:val="0097296C"/>
    <w:rsid w:val="00974CA7"/>
    <w:rsid w:val="00975823"/>
    <w:rsid w:val="009802B1"/>
    <w:rsid w:val="00980349"/>
    <w:rsid w:val="00980D07"/>
    <w:rsid w:val="009831D0"/>
    <w:rsid w:val="00983763"/>
    <w:rsid w:val="009845F7"/>
    <w:rsid w:val="009856BD"/>
    <w:rsid w:val="009912AF"/>
    <w:rsid w:val="00992915"/>
    <w:rsid w:val="00994BD0"/>
    <w:rsid w:val="009A2249"/>
    <w:rsid w:val="009A4892"/>
    <w:rsid w:val="009A6BAC"/>
    <w:rsid w:val="009A75E9"/>
    <w:rsid w:val="009B744D"/>
    <w:rsid w:val="009C2347"/>
    <w:rsid w:val="009C2700"/>
    <w:rsid w:val="009C33E6"/>
    <w:rsid w:val="009C35D1"/>
    <w:rsid w:val="009C5036"/>
    <w:rsid w:val="009D4113"/>
    <w:rsid w:val="009D4590"/>
    <w:rsid w:val="009D535F"/>
    <w:rsid w:val="009D6B99"/>
    <w:rsid w:val="009E34E2"/>
    <w:rsid w:val="009F42F2"/>
    <w:rsid w:val="009F667D"/>
    <w:rsid w:val="00A01CD2"/>
    <w:rsid w:val="00A022BA"/>
    <w:rsid w:val="00A05E05"/>
    <w:rsid w:val="00A0614C"/>
    <w:rsid w:val="00A070C7"/>
    <w:rsid w:val="00A07840"/>
    <w:rsid w:val="00A11212"/>
    <w:rsid w:val="00A15FDB"/>
    <w:rsid w:val="00A16DCA"/>
    <w:rsid w:val="00A24A94"/>
    <w:rsid w:val="00A24B2C"/>
    <w:rsid w:val="00A25D0C"/>
    <w:rsid w:val="00A25FBB"/>
    <w:rsid w:val="00A2604B"/>
    <w:rsid w:val="00A277B2"/>
    <w:rsid w:val="00A309D8"/>
    <w:rsid w:val="00A320CA"/>
    <w:rsid w:val="00A32659"/>
    <w:rsid w:val="00A3461E"/>
    <w:rsid w:val="00A35ACC"/>
    <w:rsid w:val="00A376AA"/>
    <w:rsid w:val="00A43333"/>
    <w:rsid w:val="00A442E3"/>
    <w:rsid w:val="00A44A2E"/>
    <w:rsid w:val="00A4739D"/>
    <w:rsid w:val="00A51E67"/>
    <w:rsid w:val="00A5248D"/>
    <w:rsid w:val="00A543BE"/>
    <w:rsid w:val="00A56B2F"/>
    <w:rsid w:val="00A56E19"/>
    <w:rsid w:val="00A607F4"/>
    <w:rsid w:val="00A62557"/>
    <w:rsid w:val="00A62AE3"/>
    <w:rsid w:val="00A642B8"/>
    <w:rsid w:val="00A65AEB"/>
    <w:rsid w:val="00A73339"/>
    <w:rsid w:val="00A757DC"/>
    <w:rsid w:val="00A77741"/>
    <w:rsid w:val="00A83117"/>
    <w:rsid w:val="00A84CFF"/>
    <w:rsid w:val="00A90936"/>
    <w:rsid w:val="00A90A41"/>
    <w:rsid w:val="00A970D2"/>
    <w:rsid w:val="00A972CF"/>
    <w:rsid w:val="00AB00F5"/>
    <w:rsid w:val="00AB524F"/>
    <w:rsid w:val="00AB5A05"/>
    <w:rsid w:val="00AB74EB"/>
    <w:rsid w:val="00AC0EA5"/>
    <w:rsid w:val="00AC5F3A"/>
    <w:rsid w:val="00AC7999"/>
    <w:rsid w:val="00AD2366"/>
    <w:rsid w:val="00AD3034"/>
    <w:rsid w:val="00AD56DE"/>
    <w:rsid w:val="00AD63DA"/>
    <w:rsid w:val="00AE41B6"/>
    <w:rsid w:val="00AE57F8"/>
    <w:rsid w:val="00AF07E8"/>
    <w:rsid w:val="00AF24CC"/>
    <w:rsid w:val="00AF55DE"/>
    <w:rsid w:val="00B0039E"/>
    <w:rsid w:val="00B02477"/>
    <w:rsid w:val="00B028B0"/>
    <w:rsid w:val="00B03D22"/>
    <w:rsid w:val="00B074DF"/>
    <w:rsid w:val="00B07908"/>
    <w:rsid w:val="00B07B2E"/>
    <w:rsid w:val="00B11BB5"/>
    <w:rsid w:val="00B1357E"/>
    <w:rsid w:val="00B15B9F"/>
    <w:rsid w:val="00B16179"/>
    <w:rsid w:val="00B16B31"/>
    <w:rsid w:val="00B263A5"/>
    <w:rsid w:val="00B26F69"/>
    <w:rsid w:val="00B341DE"/>
    <w:rsid w:val="00B42E35"/>
    <w:rsid w:val="00B43B41"/>
    <w:rsid w:val="00B43E34"/>
    <w:rsid w:val="00B44EBA"/>
    <w:rsid w:val="00B478DD"/>
    <w:rsid w:val="00B50168"/>
    <w:rsid w:val="00B5133C"/>
    <w:rsid w:val="00B5147C"/>
    <w:rsid w:val="00B520AC"/>
    <w:rsid w:val="00B52241"/>
    <w:rsid w:val="00B554ED"/>
    <w:rsid w:val="00B559E6"/>
    <w:rsid w:val="00B55F1D"/>
    <w:rsid w:val="00B57812"/>
    <w:rsid w:val="00B62740"/>
    <w:rsid w:val="00B64A29"/>
    <w:rsid w:val="00B73704"/>
    <w:rsid w:val="00B75839"/>
    <w:rsid w:val="00B80710"/>
    <w:rsid w:val="00B81C13"/>
    <w:rsid w:val="00B84B6F"/>
    <w:rsid w:val="00B878D7"/>
    <w:rsid w:val="00B917CC"/>
    <w:rsid w:val="00B918E4"/>
    <w:rsid w:val="00B952FB"/>
    <w:rsid w:val="00B96384"/>
    <w:rsid w:val="00B9794C"/>
    <w:rsid w:val="00BA37D7"/>
    <w:rsid w:val="00BA38B7"/>
    <w:rsid w:val="00BA3E42"/>
    <w:rsid w:val="00BA7872"/>
    <w:rsid w:val="00BB0D9D"/>
    <w:rsid w:val="00BB107D"/>
    <w:rsid w:val="00BB1570"/>
    <w:rsid w:val="00BB2B45"/>
    <w:rsid w:val="00BB55C1"/>
    <w:rsid w:val="00BB72C4"/>
    <w:rsid w:val="00BB736A"/>
    <w:rsid w:val="00BB73FA"/>
    <w:rsid w:val="00BC0C40"/>
    <w:rsid w:val="00BC5D97"/>
    <w:rsid w:val="00BC7E29"/>
    <w:rsid w:val="00BD1158"/>
    <w:rsid w:val="00BD4850"/>
    <w:rsid w:val="00BE1384"/>
    <w:rsid w:val="00BE1E1D"/>
    <w:rsid w:val="00BF049E"/>
    <w:rsid w:val="00BF3155"/>
    <w:rsid w:val="00BF3A0C"/>
    <w:rsid w:val="00BF5DD0"/>
    <w:rsid w:val="00BF6176"/>
    <w:rsid w:val="00C031EE"/>
    <w:rsid w:val="00C132E4"/>
    <w:rsid w:val="00C14D22"/>
    <w:rsid w:val="00C16716"/>
    <w:rsid w:val="00C16C7C"/>
    <w:rsid w:val="00C16F54"/>
    <w:rsid w:val="00C172C3"/>
    <w:rsid w:val="00C24371"/>
    <w:rsid w:val="00C24C5C"/>
    <w:rsid w:val="00C32F37"/>
    <w:rsid w:val="00C474CB"/>
    <w:rsid w:val="00C4760E"/>
    <w:rsid w:val="00C47690"/>
    <w:rsid w:val="00C476B4"/>
    <w:rsid w:val="00C5077F"/>
    <w:rsid w:val="00C540F6"/>
    <w:rsid w:val="00C56302"/>
    <w:rsid w:val="00C64235"/>
    <w:rsid w:val="00C65F37"/>
    <w:rsid w:val="00C66544"/>
    <w:rsid w:val="00C67649"/>
    <w:rsid w:val="00C70F13"/>
    <w:rsid w:val="00C711FE"/>
    <w:rsid w:val="00C71814"/>
    <w:rsid w:val="00C71A15"/>
    <w:rsid w:val="00C75321"/>
    <w:rsid w:val="00C80C20"/>
    <w:rsid w:val="00C80E8B"/>
    <w:rsid w:val="00C85029"/>
    <w:rsid w:val="00C851C9"/>
    <w:rsid w:val="00C86A5F"/>
    <w:rsid w:val="00C87218"/>
    <w:rsid w:val="00C90C42"/>
    <w:rsid w:val="00C90FAF"/>
    <w:rsid w:val="00C94891"/>
    <w:rsid w:val="00CA06AD"/>
    <w:rsid w:val="00CB12AE"/>
    <w:rsid w:val="00CB24A6"/>
    <w:rsid w:val="00CB5194"/>
    <w:rsid w:val="00CC2DBD"/>
    <w:rsid w:val="00CD3431"/>
    <w:rsid w:val="00CD43C3"/>
    <w:rsid w:val="00CD7B19"/>
    <w:rsid w:val="00CE0326"/>
    <w:rsid w:val="00CE788D"/>
    <w:rsid w:val="00CE7E1A"/>
    <w:rsid w:val="00CF02A1"/>
    <w:rsid w:val="00CF2617"/>
    <w:rsid w:val="00CF3445"/>
    <w:rsid w:val="00CF3A37"/>
    <w:rsid w:val="00CF3DFB"/>
    <w:rsid w:val="00CF5567"/>
    <w:rsid w:val="00CF68B1"/>
    <w:rsid w:val="00D15AEE"/>
    <w:rsid w:val="00D15DFD"/>
    <w:rsid w:val="00D208EF"/>
    <w:rsid w:val="00D248C5"/>
    <w:rsid w:val="00D268DF"/>
    <w:rsid w:val="00D27F30"/>
    <w:rsid w:val="00D43678"/>
    <w:rsid w:val="00D43D46"/>
    <w:rsid w:val="00D4461D"/>
    <w:rsid w:val="00D44D47"/>
    <w:rsid w:val="00D46298"/>
    <w:rsid w:val="00D5169C"/>
    <w:rsid w:val="00D53433"/>
    <w:rsid w:val="00D56395"/>
    <w:rsid w:val="00D62C40"/>
    <w:rsid w:val="00D669DB"/>
    <w:rsid w:val="00D67F30"/>
    <w:rsid w:val="00D72DBB"/>
    <w:rsid w:val="00D73033"/>
    <w:rsid w:val="00D756AF"/>
    <w:rsid w:val="00D80FEC"/>
    <w:rsid w:val="00D81EDD"/>
    <w:rsid w:val="00D81EE5"/>
    <w:rsid w:val="00D821DC"/>
    <w:rsid w:val="00D824F5"/>
    <w:rsid w:val="00D841A8"/>
    <w:rsid w:val="00D8447B"/>
    <w:rsid w:val="00D91DD7"/>
    <w:rsid w:val="00D9405A"/>
    <w:rsid w:val="00D94AB9"/>
    <w:rsid w:val="00D962F3"/>
    <w:rsid w:val="00D965ED"/>
    <w:rsid w:val="00DA14B6"/>
    <w:rsid w:val="00DA38D9"/>
    <w:rsid w:val="00DA65DC"/>
    <w:rsid w:val="00DA7379"/>
    <w:rsid w:val="00DA79A6"/>
    <w:rsid w:val="00DB11A8"/>
    <w:rsid w:val="00DB2BD3"/>
    <w:rsid w:val="00DB75CB"/>
    <w:rsid w:val="00DC11AE"/>
    <w:rsid w:val="00DC3669"/>
    <w:rsid w:val="00DC5871"/>
    <w:rsid w:val="00DD1D4B"/>
    <w:rsid w:val="00DD400A"/>
    <w:rsid w:val="00DD4570"/>
    <w:rsid w:val="00DD489E"/>
    <w:rsid w:val="00DD77FC"/>
    <w:rsid w:val="00DE0E98"/>
    <w:rsid w:val="00DE18AD"/>
    <w:rsid w:val="00DE22C2"/>
    <w:rsid w:val="00DE7271"/>
    <w:rsid w:val="00DF397C"/>
    <w:rsid w:val="00E01049"/>
    <w:rsid w:val="00E04A08"/>
    <w:rsid w:val="00E07F31"/>
    <w:rsid w:val="00E11982"/>
    <w:rsid w:val="00E13752"/>
    <w:rsid w:val="00E14723"/>
    <w:rsid w:val="00E16427"/>
    <w:rsid w:val="00E1657E"/>
    <w:rsid w:val="00E16E15"/>
    <w:rsid w:val="00E30288"/>
    <w:rsid w:val="00E31630"/>
    <w:rsid w:val="00E33DB6"/>
    <w:rsid w:val="00E429D9"/>
    <w:rsid w:val="00E42E1D"/>
    <w:rsid w:val="00E4349F"/>
    <w:rsid w:val="00E46361"/>
    <w:rsid w:val="00E46ABC"/>
    <w:rsid w:val="00E55101"/>
    <w:rsid w:val="00E57D85"/>
    <w:rsid w:val="00E6583D"/>
    <w:rsid w:val="00E7168B"/>
    <w:rsid w:val="00E73784"/>
    <w:rsid w:val="00E7503C"/>
    <w:rsid w:val="00E76E1D"/>
    <w:rsid w:val="00E779A4"/>
    <w:rsid w:val="00E852DA"/>
    <w:rsid w:val="00E85F28"/>
    <w:rsid w:val="00E869BB"/>
    <w:rsid w:val="00E87B85"/>
    <w:rsid w:val="00E90C07"/>
    <w:rsid w:val="00E9149F"/>
    <w:rsid w:val="00E97ACF"/>
    <w:rsid w:val="00EA1B80"/>
    <w:rsid w:val="00EA6568"/>
    <w:rsid w:val="00EA75D9"/>
    <w:rsid w:val="00EB1933"/>
    <w:rsid w:val="00EC0F0A"/>
    <w:rsid w:val="00EC13A8"/>
    <w:rsid w:val="00EC3193"/>
    <w:rsid w:val="00EC447F"/>
    <w:rsid w:val="00EC61F6"/>
    <w:rsid w:val="00EC6E0E"/>
    <w:rsid w:val="00EC798C"/>
    <w:rsid w:val="00ED40F5"/>
    <w:rsid w:val="00ED5140"/>
    <w:rsid w:val="00ED6136"/>
    <w:rsid w:val="00ED71DF"/>
    <w:rsid w:val="00EE310B"/>
    <w:rsid w:val="00EE59D4"/>
    <w:rsid w:val="00EF31E1"/>
    <w:rsid w:val="00EF584C"/>
    <w:rsid w:val="00EF65FA"/>
    <w:rsid w:val="00EF6649"/>
    <w:rsid w:val="00EF6F67"/>
    <w:rsid w:val="00F01195"/>
    <w:rsid w:val="00F013F6"/>
    <w:rsid w:val="00F048D7"/>
    <w:rsid w:val="00F05903"/>
    <w:rsid w:val="00F07F38"/>
    <w:rsid w:val="00F07F85"/>
    <w:rsid w:val="00F14475"/>
    <w:rsid w:val="00F1756E"/>
    <w:rsid w:val="00F24033"/>
    <w:rsid w:val="00F24B1F"/>
    <w:rsid w:val="00F26A3A"/>
    <w:rsid w:val="00F278AA"/>
    <w:rsid w:val="00F34EF8"/>
    <w:rsid w:val="00F363E6"/>
    <w:rsid w:val="00F37F1D"/>
    <w:rsid w:val="00F44A84"/>
    <w:rsid w:val="00F51DF2"/>
    <w:rsid w:val="00F55DB7"/>
    <w:rsid w:val="00F56E2A"/>
    <w:rsid w:val="00F605F6"/>
    <w:rsid w:val="00F60E87"/>
    <w:rsid w:val="00F66D9F"/>
    <w:rsid w:val="00F6724F"/>
    <w:rsid w:val="00F71697"/>
    <w:rsid w:val="00F77D5F"/>
    <w:rsid w:val="00F81B22"/>
    <w:rsid w:val="00F81C83"/>
    <w:rsid w:val="00F82A9E"/>
    <w:rsid w:val="00F84480"/>
    <w:rsid w:val="00F8533C"/>
    <w:rsid w:val="00F86491"/>
    <w:rsid w:val="00F91FBA"/>
    <w:rsid w:val="00F926CB"/>
    <w:rsid w:val="00F93109"/>
    <w:rsid w:val="00F938AA"/>
    <w:rsid w:val="00F93D80"/>
    <w:rsid w:val="00F965D4"/>
    <w:rsid w:val="00FB0C43"/>
    <w:rsid w:val="00FB1CC8"/>
    <w:rsid w:val="00FB5DE1"/>
    <w:rsid w:val="00FC1176"/>
    <w:rsid w:val="00FC31C5"/>
    <w:rsid w:val="00FC3A64"/>
    <w:rsid w:val="00FC418A"/>
    <w:rsid w:val="00FC6544"/>
    <w:rsid w:val="00FD1375"/>
    <w:rsid w:val="00FD28E3"/>
    <w:rsid w:val="00FD3382"/>
    <w:rsid w:val="00FD3B09"/>
    <w:rsid w:val="00FD5066"/>
    <w:rsid w:val="00FD75E1"/>
    <w:rsid w:val="00FE218A"/>
    <w:rsid w:val="00FF0E69"/>
    <w:rsid w:val="00FF2CD4"/>
    <w:rsid w:val="00FF351A"/>
    <w:rsid w:val="00FF3613"/>
    <w:rsid w:val="00FF5088"/>
    <w:rsid w:val="00FF51EB"/>
    <w:rsid w:val="00FF5982"/>
    <w:rsid w:val="00FF5EE0"/>
    <w:rsid w:val="00FF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D6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5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 w:type="paragraph" w:styleId="NormalWeb">
    <w:name w:val="Normal (Web)"/>
    <w:basedOn w:val="Normal"/>
    <w:uiPriority w:val="99"/>
    <w:unhideWhenUsed/>
    <w:rsid w:val="005701CF"/>
    <w:pPr>
      <w:widowControl/>
      <w:autoSpaceDE/>
      <w:autoSpaceDN/>
      <w:adjustRightInd/>
      <w:spacing w:before="100" w:beforeAutospacing="1" w:after="100" w:afterAutospacing="1"/>
    </w:pPr>
  </w:style>
  <w:style w:type="character" w:customStyle="1" w:styleId="apple-converted-space">
    <w:name w:val="apple-converted-space"/>
    <w:basedOn w:val="DefaultParagraphFont"/>
    <w:rsid w:val="005701CF"/>
  </w:style>
  <w:style w:type="paragraph" w:styleId="Revision">
    <w:name w:val="Revision"/>
    <w:hidden/>
    <w:uiPriority w:val="99"/>
    <w:semiHidden/>
    <w:rsid w:val="00D756AF"/>
    <w:rPr>
      <w:sz w:val="24"/>
      <w:szCs w:val="24"/>
    </w:rPr>
  </w:style>
  <w:style w:type="paragraph" w:styleId="FootnoteText">
    <w:name w:val="footnote text"/>
    <w:basedOn w:val="Normal"/>
    <w:link w:val="FootnoteTextChar"/>
    <w:semiHidden/>
    <w:unhideWhenUsed/>
    <w:rsid w:val="00291942"/>
    <w:rPr>
      <w:sz w:val="20"/>
      <w:szCs w:val="20"/>
    </w:rPr>
  </w:style>
  <w:style w:type="character" w:customStyle="1" w:styleId="FootnoteTextChar">
    <w:name w:val="Footnote Text Char"/>
    <w:basedOn w:val="DefaultParagraphFont"/>
    <w:link w:val="FootnoteText"/>
    <w:semiHidden/>
    <w:rsid w:val="00291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5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 w:type="paragraph" w:styleId="NormalWeb">
    <w:name w:val="Normal (Web)"/>
    <w:basedOn w:val="Normal"/>
    <w:uiPriority w:val="99"/>
    <w:unhideWhenUsed/>
    <w:rsid w:val="005701CF"/>
    <w:pPr>
      <w:widowControl/>
      <w:autoSpaceDE/>
      <w:autoSpaceDN/>
      <w:adjustRightInd/>
      <w:spacing w:before="100" w:beforeAutospacing="1" w:after="100" w:afterAutospacing="1"/>
    </w:pPr>
  </w:style>
  <w:style w:type="character" w:customStyle="1" w:styleId="apple-converted-space">
    <w:name w:val="apple-converted-space"/>
    <w:basedOn w:val="DefaultParagraphFont"/>
    <w:rsid w:val="005701CF"/>
  </w:style>
  <w:style w:type="paragraph" w:styleId="Revision">
    <w:name w:val="Revision"/>
    <w:hidden/>
    <w:uiPriority w:val="99"/>
    <w:semiHidden/>
    <w:rsid w:val="00D756AF"/>
    <w:rPr>
      <w:sz w:val="24"/>
      <w:szCs w:val="24"/>
    </w:rPr>
  </w:style>
  <w:style w:type="paragraph" w:styleId="FootnoteText">
    <w:name w:val="footnote text"/>
    <w:basedOn w:val="Normal"/>
    <w:link w:val="FootnoteTextChar"/>
    <w:semiHidden/>
    <w:unhideWhenUsed/>
    <w:rsid w:val="00291942"/>
    <w:rPr>
      <w:sz w:val="20"/>
      <w:szCs w:val="20"/>
    </w:rPr>
  </w:style>
  <w:style w:type="character" w:customStyle="1" w:styleId="FootnoteTextChar">
    <w:name w:val="Footnote Text Char"/>
    <w:basedOn w:val="DefaultParagraphFont"/>
    <w:link w:val="FootnoteText"/>
    <w:semiHidden/>
    <w:rsid w:val="0029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7Eames/NAOs/Chap_216/naos_216_100.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7Eames/NAOs/Chap_216/naos_216_10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ls.gov/oes/current/oes_research_estimate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laskafisheries.noaa.gov/webapps/efish/login" TargetMode="External"/><Relationship Id="rId4" Type="http://schemas.microsoft.com/office/2007/relationships/stylesWithEffects" Target="stylesWithEffects.xml"/><Relationship Id="rId9" Type="http://schemas.openxmlformats.org/officeDocument/2006/relationships/hyperlink" Target="https://alaskafisheries.noaa.gov/" TargetMode="External"/><Relationship Id="rId14" Type="http://schemas.openxmlformats.org/officeDocument/2006/relationships/hyperlink" Target="http://www.osec.doc.gov/opog/PrivacyAct/SORNs/noaa-19.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laskafisheries.noaa.gov/webapps/efish/login" TargetMode="External"/><Relationship Id="rId2" Type="http://schemas.openxmlformats.org/officeDocument/2006/relationships/hyperlink" Target="https://www.fisheries.noaa.gov/permit/american-fisheries-act-afa-pollock-applications-and-forms" TargetMode="External"/><Relationship Id="rId1" Type="http://schemas.openxmlformats.org/officeDocument/2006/relationships/hyperlink" Target="https://www.fisheries.noaa.gov/alaska/rules-and-regulations/regulations-acts-treaties-and-agreements-federal-fisheries-alaska" TargetMode="External"/><Relationship Id="rId4" Type="http://schemas.openxmlformats.org/officeDocument/2006/relationships/hyperlink" Target="https://www.fisheries.noaa.gov/alaska/commercial-fishing/permits-and-licenses-issued-alaska%23american-fisherie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07F21-F29E-4C87-9F88-A0E1BE5D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4745</Words>
  <Characters>27052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0393 AFA Permits supporting statement</vt:lpstr>
    </vt:vector>
  </TitlesOfParts>
  <Company/>
  <LinksUpToDate>false</LinksUpToDate>
  <CharactersWithSpaces>31734</CharactersWithSpaces>
  <SharedDoc>false</SharedDoc>
  <HLinks>
    <vt:vector size="42" baseType="variant">
      <vt:variant>
        <vt:i4>5963901</vt:i4>
      </vt:variant>
      <vt:variant>
        <vt:i4>18</vt:i4>
      </vt:variant>
      <vt:variant>
        <vt:i4>0</vt:i4>
      </vt:variant>
      <vt:variant>
        <vt:i4>5</vt:i4>
      </vt:variant>
      <vt:variant>
        <vt:lpwstr>http://www.corporateservices.noaa.gov/~ames/NAOs/Chap_216/naos_216_100.html</vt:lpwstr>
      </vt:variant>
      <vt:variant>
        <vt:lpwstr/>
      </vt:variant>
      <vt:variant>
        <vt:i4>4915280</vt:i4>
      </vt:variant>
      <vt:variant>
        <vt:i4>15</vt:i4>
      </vt:variant>
      <vt:variant>
        <vt:i4>0</vt:i4>
      </vt:variant>
      <vt:variant>
        <vt:i4>5</vt:i4>
      </vt:variant>
      <vt:variant>
        <vt:lpwstr>http://alaskafisheries.noaa.gov/</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2031617</vt:i4>
      </vt:variant>
      <vt:variant>
        <vt:i4>9</vt:i4>
      </vt:variant>
      <vt:variant>
        <vt:i4>0</vt:i4>
      </vt:variant>
      <vt:variant>
        <vt:i4>5</vt:i4>
      </vt:variant>
      <vt:variant>
        <vt:lpwstr>http://vlex.com/vid/19230530</vt:lpwstr>
      </vt:variant>
      <vt:variant>
        <vt:lpwstr/>
      </vt:variant>
      <vt:variant>
        <vt:i4>1376326</vt:i4>
      </vt:variant>
      <vt:variant>
        <vt:i4>6</vt:i4>
      </vt:variant>
      <vt:variant>
        <vt:i4>0</vt:i4>
      </vt:variant>
      <vt:variant>
        <vt:i4>5</vt:i4>
      </vt:variant>
      <vt:variant>
        <vt:lpwstr>http://www.marad.dot.gov/documents/American_Fisheries_Act.pdf</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0393 AFA Permits supporting statement</dc:title>
  <dc:subject>0393 AFA Permits supporting statement</dc:subject>
  <dc:creator>NOAA Fisheries Alaska Regional Office</dc:creator>
  <cp:keywords>0393 AFA Permits supporting statement</cp:keywords>
  <cp:lastModifiedBy>SYSTEM</cp:lastModifiedBy>
  <cp:revision>2</cp:revision>
  <cp:lastPrinted>2019-12-21T02:16:00Z</cp:lastPrinted>
  <dcterms:created xsi:type="dcterms:W3CDTF">2020-01-08T15:42:00Z</dcterms:created>
  <dcterms:modified xsi:type="dcterms:W3CDTF">2020-01-08T15:42:00Z</dcterms:modified>
</cp:coreProperties>
</file>