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86710" w14:textId="77777777" w:rsidR="0072341D" w:rsidRDefault="00B01177" w:rsidP="001123DD">
      <w:pPr>
        <w:tabs>
          <w:tab w:val="center" w:pos="4680"/>
        </w:tabs>
        <w:jc w:val="center"/>
        <w:rPr>
          <w:b/>
          <w:bCs/>
        </w:rPr>
      </w:pPr>
      <w:bookmarkStart w:id="0" w:name="_GoBack"/>
      <w:bookmarkEnd w:id="0"/>
      <w:r w:rsidRPr="003C746E">
        <w:rPr>
          <w:b/>
          <w:bCs/>
        </w:rPr>
        <w:t>SUPPORTING STATEMENT</w:t>
      </w:r>
    </w:p>
    <w:p w14:paraId="2CB5246D" w14:textId="0AD684C9" w:rsidR="0072341D" w:rsidRPr="0072341D" w:rsidRDefault="0072341D" w:rsidP="0072341D">
      <w:pPr>
        <w:tabs>
          <w:tab w:val="center" w:pos="4680"/>
        </w:tabs>
        <w:jc w:val="center"/>
        <w:rPr>
          <w:b/>
          <w:bCs/>
        </w:rPr>
      </w:pPr>
      <w:r w:rsidRPr="0072341D">
        <w:rPr>
          <w:b/>
          <w:bCs/>
        </w:rPr>
        <w:t>U.S. Department of Commerce</w:t>
      </w:r>
    </w:p>
    <w:p w14:paraId="12B64EE5" w14:textId="3C433F77" w:rsidR="00B01177" w:rsidRDefault="0072341D" w:rsidP="0072341D">
      <w:pPr>
        <w:tabs>
          <w:tab w:val="center" w:pos="4680"/>
        </w:tabs>
        <w:jc w:val="center"/>
        <w:rPr>
          <w:b/>
          <w:bCs/>
        </w:rPr>
      </w:pPr>
      <w:r w:rsidRPr="0072341D">
        <w:rPr>
          <w:b/>
          <w:bCs/>
        </w:rPr>
        <w:t xml:space="preserve">  National Oceanic &amp; Atmospheric Administration </w:t>
      </w:r>
    </w:p>
    <w:p w14:paraId="71A01760" w14:textId="08AD3EC4" w:rsidR="00B01177" w:rsidRDefault="00B01177" w:rsidP="001123DD">
      <w:pPr>
        <w:tabs>
          <w:tab w:val="center" w:pos="4680"/>
        </w:tabs>
        <w:jc w:val="center"/>
        <w:rPr>
          <w:b/>
          <w:bCs/>
        </w:rPr>
      </w:pPr>
      <w:r w:rsidRPr="003C746E">
        <w:rPr>
          <w:b/>
          <w:bCs/>
        </w:rPr>
        <w:t>W</w:t>
      </w:r>
      <w:r w:rsidR="0072341D">
        <w:rPr>
          <w:b/>
          <w:bCs/>
        </w:rPr>
        <w:t>estern Alaska Community Development Quota (CDQ) Program</w:t>
      </w:r>
    </w:p>
    <w:p w14:paraId="1384AC7C" w14:textId="0D5EA68A" w:rsidR="00B01177" w:rsidRPr="003C746E" w:rsidRDefault="00B01177" w:rsidP="0058587E">
      <w:pPr>
        <w:tabs>
          <w:tab w:val="center" w:pos="4680"/>
        </w:tabs>
        <w:spacing w:after="480"/>
        <w:jc w:val="center"/>
        <w:rPr>
          <w:b/>
          <w:bCs/>
        </w:rPr>
      </w:pPr>
      <w:r w:rsidRPr="003C746E">
        <w:rPr>
          <w:b/>
          <w:bCs/>
        </w:rPr>
        <w:t>OMB C</w:t>
      </w:r>
      <w:r w:rsidR="0072341D">
        <w:rPr>
          <w:b/>
          <w:bCs/>
        </w:rPr>
        <w:t>ontrol NO</w:t>
      </w:r>
      <w:r w:rsidRPr="003C746E">
        <w:rPr>
          <w:b/>
          <w:bCs/>
        </w:rPr>
        <w:t>. 0648-0269</w:t>
      </w:r>
    </w:p>
    <w:p w14:paraId="3457FA39" w14:textId="39E7A39E" w:rsidR="0046547E" w:rsidRDefault="0046547E" w:rsidP="0058587E">
      <w:pPr>
        <w:spacing w:after="240"/>
      </w:pPr>
      <w:r>
        <w:t xml:space="preserve">This </w:t>
      </w:r>
      <w:r w:rsidR="005B4AD8">
        <w:t>action requests extension</w:t>
      </w:r>
      <w:r>
        <w:t xml:space="preserve"> for </w:t>
      </w:r>
      <w:r w:rsidR="005B4AD8">
        <w:t xml:space="preserve">this </w:t>
      </w:r>
      <w:r>
        <w:t>information</w:t>
      </w:r>
      <w:r w:rsidR="00B0063D">
        <w:t xml:space="preserve"> collection</w:t>
      </w:r>
      <w:r>
        <w:t>.</w:t>
      </w:r>
    </w:p>
    <w:p w14:paraId="3270BC94" w14:textId="77777777" w:rsidR="00582702" w:rsidRPr="00D928F9" w:rsidRDefault="00582702" w:rsidP="0058587E">
      <w:pPr>
        <w:spacing w:after="240"/>
        <w:rPr>
          <w:b/>
        </w:rPr>
      </w:pPr>
      <w:r w:rsidRPr="00D928F9">
        <w:rPr>
          <w:b/>
        </w:rPr>
        <w:t>INTRODUCTION</w:t>
      </w:r>
    </w:p>
    <w:p w14:paraId="1BC38FF8" w14:textId="1536C9BE" w:rsidR="005B4AD8" w:rsidRDefault="00582702" w:rsidP="0058587E">
      <w:pPr>
        <w:spacing w:after="120"/>
      </w:pPr>
      <w:r>
        <w:t>N</w:t>
      </w:r>
      <w:r w:rsidR="00BD4283" w:rsidRPr="001D26BF">
        <w:t xml:space="preserve">ational Marine Fisheries Service (NMFS) </w:t>
      </w:r>
      <w:r w:rsidR="00FE339E">
        <w:t xml:space="preserve">and the North Pacific Fishery Management Council (Council) manage the </w:t>
      </w:r>
      <w:r w:rsidR="00BD4283" w:rsidRPr="001D26BF">
        <w:t xml:space="preserve">groundfish fisheries in the exclusive economic zone (EEZ) </w:t>
      </w:r>
      <w:r w:rsidR="00BD4283">
        <w:t>off Alaska</w:t>
      </w:r>
      <w:r w:rsidR="00FE339E">
        <w:t xml:space="preserve"> under the authority of the </w:t>
      </w:r>
      <w:r w:rsidR="00FE339E" w:rsidRPr="00C92BA4">
        <w:t xml:space="preserve">Magnuson-Stevens Fishery Conservation </w:t>
      </w:r>
      <w:r w:rsidR="00FE339E">
        <w:t xml:space="preserve">and </w:t>
      </w:r>
      <w:r w:rsidR="00FE339E" w:rsidRPr="00C92BA4">
        <w:t>Management Act</w:t>
      </w:r>
      <w:r w:rsidR="00FE339E" w:rsidRPr="001D26BF">
        <w:t xml:space="preserve"> (16 U.S.C. 1801 </w:t>
      </w:r>
      <w:r w:rsidR="00FE339E" w:rsidRPr="001D26BF">
        <w:rPr>
          <w:i/>
          <w:iCs/>
        </w:rPr>
        <w:t>et seq</w:t>
      </w:r>
      <w:r w:rsidR="00FE339E" w:rsidRPr="001D26BF">
        <w:t>.)</w:t>
      </w:r>
      <w:r w:rsidR="003066D5">
        <w:t xml:space="preserve"> (Magnuson-Stevens Act)</w:t>
      </w:r>
      <w:r w:rsidR="00BD4283">
        <w:t xml:space="preserve">. </w:t>
      </w:r>
      <w:r w:rsidR="00FE339E">
        <w:t xml:space="preserve">The groundfish fisheries </w:t>
      </w:r>
      <w:r w:rsidR="007F1A77">
        <w:t xml:space="preserve">in the Bering Sea and Aleutian Islands </w:t>
      </w:r>
      <w:r w:rsidR="00FE339E">
        <w:t>are managed under th</w:t>
      </w:r>
      <w:r w:rsidR="005B4AD8">
        <w:t xml:space="preserve">e Fishery Management Plan for Groundfish of the </w:t>
      </w:r>
      <w:r w:rsidR="007F1A77">
        <w:t>Bering Sea and Aleutian Islands Management Area (</w:t>
      </w:r>
      <w:r w:rsidR="005B4AD8">
        <w:t>B</w:t>
      </w:r>
      <w:r w:rsidR="007F1A77">
        <w:t xml:space="preserve">SAI FMP). </w:t>
      </w:r>
      <w:r w:rsidR="005B4AD8">
        <w:t xml:space="preserve"> </w:t>
      </w:r>
    </w:p>
    <w:p w14:paraId="6550DC1E" w14:textId="369B7695" w:rsidR="003066D5" w:rsidRDefault="00D928F9" w:rsidP="003066D5">
      <w:pPr>
        <w:tabs>
          <w:tab w:val="left" w:pos="360"/>
          <w:tab w:val="left" w:pos="720"/>
          <w:tab w:val="left" w:pos="1080"/>
        </w:tabs>
        <w:spacing w:after="240"/>
      </w:pPr>
      <w:r>
        <w:t xml:space="preserve">The </w:t>
      </w:r>
      <w:r w:rsidR="0050691F">
        <w:t xml:space="preserve">Western Alaska Community Development Quota (CDQ) </w:t>
      </w:r>
      <w:r>
        <w:t>Program is an economic</w:t>
      </w:r>
      <w:r w:rsidR="0050691F">
        <w:t xml:space="preserve"> </w:t>
      </w:r>
      <w:r>
        <w:t xml:space="preserve">development program </w:t>
      </w:r>
      <w:r w:rsidR="00FE339E">
        <w:t xml:space="preserve">authorized under </w:t>
      </w:r>
      <w:r w:rsidR="007F1A77">
        <w:t>Magnuson Stevens Act</w:t>
      </w:r>
      <w:r w:rsidR="00FE339E">
        <w:t xml:space="preserve"> to provide eligible western Alaska villages with the opportunity to participate and invest in fisheries in the Bering Sea and Aleutian Islands Management Area (BSAI); to support economic development in western Alaska; to alleviate poverty and provide economic and social benefits for residents of western Alaska; and to achieve sustainable and diversified local economies in western Alaska. </w:t>
      </w:r>
    </w:p>
    <w:p w14:paraId="40D1F341" w14:textId="3BF6C890" w:rsidR="00885629" w:rsidRPr="00842E39" w:rsidRDefault="00885629" w:rsidP="0058587E">
      <w:pPr>
        <w:pStyle w:val="ListParagraph"/>
        <w:numPr>
          <w:ilvl w:val="0"/>
          <w:numId w:val="9"/>
        </w:numPr>
        <w:spacing w:after="240"/>
        <w:ind w:left="360"/>
        <w:rPr>
          <w:b/>
        </w:rPr>
      </w:pPr>
      <w:r w:rsidRPr="00842E39">
        <w:rPr>
          <w:b/>
        </w:rPr>
        <w:t>JUSTIFICATION</w:t>
      </w:r>
    </w:p>
    <w:p w14:paraId="0579151B" w14:textId="77777777" w:rsidR="00885629" w:rsidRDefault="00885629" w:rsidP="0058587E">
      <w:pPr>
        <w:pStyle w:val="ListParagraph"/>
        <w:spacing w:after="240"/>
        <w:ind w:left="360"/>
      </w:pPr>
    </w:p>
    <w:p w14:paraId="236358E3" w14:textId="2197BBA2" w:rsidR="00B01177" w:rsidRPr="003C746E" w:rsidRDefault="00B01177" w:rsidP="004F60AF">
      <w:pPr>
        <w:pStyle w:val="ListParagraph"/>
        <w:numPr>
          <w:ilvl w:val="0"/>
          <w:numId w:val="8"/>
        </w:numPr>
        <w:spacing w:before="240" w:after="240"/>
        <w:ind w:left="360"/>
      </w:pPr>
      <w:r w:rsidRPr="0058587E">
        <w:rPr>
          <w:b/>
          <w:bCs/>
          <w:u w:val="single"/>
        </w:rPr>
        <w:t>Explain the circumstances that make the collection of information necessary.</w:t>
      </w:r>
      <w:r w:rsidR="004F60AF" w:rsidRPr="004F60AF">
        <w:t xml:space="preserve"> </w:t>
      </w:r>
      <w:r w:rsidR="004F60AF" w:rsidRPr="004F60AF">
        <w:rPr>
          <w:b/>
          <w:bCs/>
          <w:u w:val="single"/>
        </w:rPr>
        <w:t>Cite all applicable authorities for this information collection.</w:t>
      </w:r>
    </w:p>
    <w:p w14:paraId="108811ED" w14:textId="77777777" w:rsidR="00496A38" w:rsidRDefault="003066D5" w:rsidP="0058587E">
      <w:pPr>
        <w:tabs>
          <w:tab w:val="left" w:pos="360"/>
          <w:tab w:val="left" w:pos="720"/>
          <w:tab w:val="left" w:pos="1080"/>
        </w:tabs>
        <w:spacing w:after="240"/>
      </w:pPr>
      <w:r w:rsidRPr="003066D5">
        <w:t xml:space="preserve">The Magnuson-Stevens </w:t>
      </w:r>
      <w:r>
        <w:t>A</w:t>
      </w:r>
      <w:r w:rsidRPr="003066D5">
        <w:t xml:space="preserve">ct allocates a portion of the annual catch limit for each directed fishery of the Bering Sea and Aleutian Islands management area among six </w:t>
      </w:r>
      <w:r w:rsidR="007F1A77">
        <w:t xml:space="preserve">non-profit corporations (CDQ groups) </w:t>
      </w:r>
      <w:r w:rsidRPr="003066D5">
        <w:t>representing 65 western Alaska villages.</w:t>
      </w:r>
      <w:r>
        <w:t xml:space="preserve"> </w:t>
      </w:r>
      <w:r w:rsidRPr="003066D5">
        <w:t xml:space="preserve">The CDQ groups and the villages associated with each of </w:t>
      </w:r>
      <w:r w:rsidR="007F1A77">
        <w:t xml:space="preserve">the groups </w:t>
      </w:r>
      <w:r w:rsidRPr="003066D5">
        <w:t xml:space="preserve">are specifically named in </w:t>
      </w:r>
      <w:r w:rsidR="007F1A77">
        <w:t xml:space="preserve">section 305(i)(1) of </w:t>
      </w:r>
      <w:r w:rsidRPr="003066D5">
        <w:t xml:space="preserve">the </w:t>
      </w:r>
      <w:r w:rsidR="007F1A77">
        <w:t xml:space="preserve">Magnuson-Stevens Act. </w:t>
      </w:r>
      <w:r w:rsidRPr="003066D5">
        <w:t xml:space="preserve">The CDQ groups </w:t>
      </w:r>
      <w:r>
        <w:t xml:space="preserve">are </w:t>
      </w:r>
      <w:r w:rsidRPr="003066D5">
        <w:t>the Aleutian Pribilof Island Community Development Association, the Bristol Bay Economic Development Corporation, the Central Bering Sea Fishermen’s Association, the Coastal Villages Region Fund, the Norton Sound Economic Development Corporation, and the Yukon Delta Fisheries Development Association. The CDQ groups</w:t>
      </w:r>
      <w:r w:rsidR="007F1A77">
        <w:t>’</w:t>
      </w:r>
      <w:r w:rsidRPr="003066D5">
        <w:t xml:space="preserve"> board</w:t>
      </w:r>
      <w:r w:rsidR="007F1A77">
        <w:t>s</w:t>
      </w:r>
      <w:r w:rsidRPr="003066D5">
        <w:t xml:space="preserve"> of directors and staff manage and administer CDQ allocations, investments, and economic development projects. </w:t>
      </w:r>
      <w:r>
        <w:t xml:space="preserve">The person authorized </w:t>
      </w:r>
      <w:r w:rsidR="007F1A77">
        <w:t xml:space="preserve">and required </w:t>
      </w:r>
      <w:r>
        <w:t xml:space="preserve">to submit information </w:t>
      </w:r>
      <w:r w:rsidR="007F1A77">
        <w:t xml:space="preserve">to NMFS </w:t>
      </w:r>
      <w:r>
        <w:t xml:space="preserve">on behalf of a CDQ group is a “CDQ representative.” </w:t>
      </w:r>
    </w:p>
    <w:p w14:paraId="6DF0335A" w14:textId="3955180A" w:rsidR="003066D5" w:rsidRDefault="003066D5" w:rsidP="0058587E">
      <w:pPr>
        <w:tabs>
          <w:tab w:val="left" w:pos="360"/>
          <w:tab w:val="left" w:pos="720"/>
          <w:tab w:val="left" w:pos="1080"/>
        </w:tabs>
        <w:spacing w:after="240"/>
      </w:pPr>
      <w:r>
        <w:lastRenderedPageBreak/>
        <w:t>This information collection contains four components necessary to manage the CDQ fisheries.</w:t>
      </w:r>
      <w:r w:rsidR="0000755D" w:rsidRPr="007F1A77">
        <w:rPr>
          <w:rStyle w:val="FootnoteReference"/>
          <w:vertAlign w:val="superscript"/>
        </w:rPr>
        <w:footnoteReference w:id="2"/>
      </w:r>
      <w:r>
        <w:t xml:space="preserve"> </w:t>
      </w:r>
    </w:p>
    <w:p w14:paraId="7ED35A0E" w14:textId="77777777" w:rsidR="003066D5" w:rsidRPr="00196DF8" w:rsidRDefault="003066D5" w:rsidP="00A27D61">
      <w:pPr>
        <w:pStyle w:val="ListParagraph"/>
        <w:tabs>
          <w:tab w:val="left" w:pos="360"/>
        </w:tabs>
        <w:spacing w:before="240" w:after="240"/>
        <w:ind w:left="0"/>
      </w:pPr>
      <w:r w:rsidRPr="00196DF8">
        <w:rPr>
          <w:b/>
        </w:rPr>
        <w:t>CDQ Vessel Registration</w:t>
      </w:r>
      <w:r w:rsidRPr="00B10B31">
        <w:rPr>
          <w:b/>
        </w:rPr>
        <w:t xml:space="preserve"> System</w:t>
      </w:r>
    </w:p>
    <w:p w14:paraId="620FBDDA" w14:textId="77777777" w:rsidR="00CE24AC" w:rsidRDefault="003066D5" w:rsidP="003066D5">
      <w:pPr>
        <w:tabs>
          <w:tab w:val="left" w:pos="360"/>
          <w:tab w:val="left" w:pos="720"/>
          <w:tab w:val="left" w:pos="1080"/>
        </w:tabs>
        <w:spacing w:after="240"/>
      </w:pPr>
      <w:r>
        <w:t xml:space="preserve">Participation in most federally managed groundfish fisheries in the BSAI </w:t>
      </w:r>
      <w:r w:rsidR="00932B99">
        <w:t xml:space="preserve">require that catcher vessels </w:t>
      </w:r>
      <w:r w:rsidR="00D35F0C">
        <w:t>greater than 32-ft in length overall</w:t>
      </w:r>
      <w:r>
        <w:t xml:space="preserve"> </w:t>
      </w:r>
      <w:r w:rsidR="00B853F2">
        <w:t xml:space="preserve">(LOA) </w:t>
      </w:r>
      <w:r w:rsidR="00932B99">
        <w:t xml:space="preserve">must be </w:t>
      </w:r>
      <w:r>
        <w:t xml:space="preserve">named on a License Limitation Program (LLP) license. Only a limited number of licenses were issued and people or entities like the CDQ groups who want to </w:t>
      </w:r>
      <w:r w:rsidR="00932B99">
        <w:t xml:space="preserve">use a vessel that is not named on an LLP license </w:t>
      </w:r>
      <w:r>
        <w:t xml:space="preserve">must obtain </w:t>
      </w:r>
      <w:r w:rsidR="00932B99">
        <w:t xml:space="preserve">an LLP </w:t>
      </w:r>
      <w:r>
        <w:t xml:space="preserve">license by transfer, generally at a cost. </w:t>
      </w:r>
      <w:r w:rsidR="00D35F0C">
        <w:t>Through Amendment 109 to the BSAI FMP, the Council authorized the CDQ groups to</w:t>
      </w:r>
      <w:r w:rsidR="00932B99">
        <w:t xml:space="preserve"> use catcher vessel up to 46-ft LOA in the BSAI groundfish fisheries without an LLP license, under certain circumstances. </w:t>
      </w:r>
      <w:r w:rsidR="008F1CDB">
        <w:t>More information about the small vessel groundfish CDQ fisheries authorized under Amendment 109 is in the final rule for this action (81 FR 26738; May 4, 2016).</w:t>
      </w:r>
      <w:r w:rsidR="005C3F6F">
        <w:t xml:space="preserve"> </w:t>
      </w:r>
      <w:r w:rsidR="00CE24AC">
        <w:t xml:space="preserve"> </w:t>
      </w:r>
    </w:p>
    <w:p w14:paraId="7FAB2FAE" w14:textId="45852E75" w:rsidR="00932B99" w:rsidRDefault="00CE24AC" w:rsidP="003066D5">
      <w:pPr>
        <w:tabs>
          <w:tab w:val="left" w:pos="360"/>
          <w:tab w:val="left" w:pos="720"/>
          <w:tab w:val="left" w:pos="1080"/>
        </w:tabs>
        <w:spacing w:after="240"/>
      </w:pPr>
      <w:r>
        <w:t xml:space="preserve">The CDQ Vessel Registration System is the means through which NMFS maintains a list of vessels that have received exemptions from the LLP license requirements. </w:t>
      </w:r>
      <w:r w:rsidR="00932B99">
        <w:t xml:space="preserve">The </w:t>
      </w:r>
      <w:r w:rsidR="00BF67D3">
        <w:t xml:space="preserve">information requirements for the </w:t>
      </w:r>
      <w:r w:rsidR="00932B99">
        <w:t>CDQ</w:t>
      </w:r>
      <w:r w:rsidR="00BF67D3">
        <w:t xml:space="preserve"> Vessel Registration System are described at </w:t>
      </w:r>
      <w:r w:rsidR="00932B99">
        <w:t>50 CFR §</w:t>
      </w:r>
      <w:r w:rsidR="00BF67D3">
        <w:t xml:space="preserve"> </w:t>
      </w:r>
      <w:r w:rsidR="005C3F6F">
        <w:t xml:space="preserve">679.32(c)(3)(iii) and § </w:t>
      </w:r>
      <w:r w:rsidR="00BF67D3">
        <w:t xml:space="preserve">679.5(m). </w:t>
      </w:r>
      <w:r w:rsidR="00932B99">
        <w:t xml:space="preserve"> </w:t>
      </w:r>
    </w:p>
    <w:p w14:paraId="6D73E3B3" w14:textId="77777777" w:rsidR="00E56E8F" w:rsidRPr="00E41EA2" w:rsidRDefault="00E56E8F" w:rsidP="00A27D61">
      <w:pPr>
        <w:pStyle w:val="ListParagraph"/>
        <w:tabs>
          <w:tab w:val="left" w:pos="360"/>
          <w:tab w:val="left" w:pos="450"/>
        </w:tabs>
        <w:spacing w:after="240"/>
        <w:ind w:left="0"/>
        <w:rPr>
          <w:u w:val="single"/>
        </w:rPr>
      </w:pPr>
      <w:r w:rsidRPr="0058587E">
        <w:rPr>
          <w:b/>
        </w:rPr>
        <w:t>Groundfish/Halibut CDQ and Prohibited Species Quota (PSQ) Transfer Request</w:t>
      </w:r>
    </w:p>
    <w:p w14:paraId="0C000539" w14:textId="3E770D21" w:rsidR="008D0773" w:rsidRDefault="00776C86" w:rsidP="008B15C1">
      <w:pPr>
        <w:tabs>
          <w:tab w:val="left" w:pos="360"/>
          <w:tab w:val="left" w:pos="720"/>
          <w:tab w:val="left" w:pos="1080"/>
        </w:tabs>
        <w:spacing w:after="240"/>
      </w:pPr>
      <w:r>
        <w:t>The CDQ Program is a catch share program that allocates a portion of the BSAI total allowable catch limits for specific groundfish species, a portion of the commercial catch limits for halibut, and portions of certain prohibited species catch (PSC) limits to the CDQ Program. These amounts are then further allocated among the six</w:t>
      </w:r>
      <w:r w:rsidR="00885629">
        <w:t xml:space="preserve"> </w:t>
      </w:r>
      <w:r>
        <w:t>CDQ groups as allocations that may be transferred among the CDQ groups.</w:t>
      </w:r>
      <w:r w:rsidR="006F3492">
        <w:t xml:space="preserve"> The transferable allocations of the groundfish species or halibut are called groundfish CDQ or halibut CDQ. The transferable allocation of the prohibited species are called “prohibited species quota” or PSQ. </w:t>
      </w:r>
      <w:r w:rsidR="008B15C1">
        <w:t xml:space="preserve"> </w:t>
      </w:r>
    </w:p>
    <w:p w14:paraId="5DF8AC1E" w14:textId="421988E5" w:rsidR="008B15C1" w:rsidRDefault="008B15C1" w:rsidP="008B15C1">
      <w:pPr>
        <w:tabs>
          <w:tab w:val="left" w:pos="360"/>
          <w:tab w:val="left" w:pos="720"/>
          <w:tab w:val="left" w:pos="1080"/>
        </w:tabs>
        <w:spacing w:after="240"/>
      </w:pPr>
      <w:r>
        <w:t xml:space="preserve">The CDQ/PSQ transfer request is described at 50 CFR § 679.5(n).  </w:t>
      </w:r>
    </w:p>
    <w:p w14:paraId="13B80F07" w14:textId="3967C5BB" w:rsidR="007B7E15" w:rsidRDefault="007B7E15" w:rsidP="00A27D61">
      <w:pPr>
        <w:pStyle w:val="ListParagraph"/>
        <w:tabs>
          <w:tab w:val="left" w:pos="-1180"/>
          <w:tab w:val="left" w:pos="-720"/>
          <w:tab w:val="left" w:pos="360"/>
          <w:tab w:val="left" w:pos="720"/>
          <w:tab w:val="left" w:pos="1080"/>
        </w:tabs>
        <w:spacing w:after="240"/>
        <w:ind w:left="0"/>
        <w:rPr>
          <w:b/>
        </w:rPr>
      </w:pPr>
      <w:r w:rsidRPr="0058587E">
        <w:rPr>
          <w:b/>
        </w:rPr>
        <w:t>Application for Approval of Use of Non-CDQ Harvest Regulations</w:t>
      </w:r>
    </w:p>
    <w:p w14:paraId="3700E734" w14:textId="5850B25B" w:rsidR="008D0773" w:rsidRDefault="00670EA2" w:rsidP="009E786A">
      <w:pPr>
        <w:tabs>
          <w:tab w:val="left" w:pos="360"/>
          <w:tab w:val="left" w:pos="720"/>
          <w:tab w:val="left" w:pos="1080"/>
        </w:tabs>
        <w:spacing w:after="240"/>
      </w:pPr>
      <w:r>
        <w:t>Section 305(i)(1)(B)(iv) of the Magnuson-Stevens Act requires that “the harvest of allocations under the program (the CDQ Program) for fisheries with individual quotas or fishing cooperatives shall be regulated by the Secretary in a</w:t>
      </w:r>
      <w:r w:rsidR="00B853F2">
        <w:t xml:space="preserve"> manner no more restrictive than</w:t>
      </w:r>
      <w:r>
        <w:t xml:space="preserve"> for other participants in the applicable sector, including with respect to the harvest of nontarget species.” NMFS interprets the statement “in a manner no more restrictive than for other participants in the applicable sector” to mean that the fishery management regulations associated with regulating the harvest of CDQ allocations should be no more costly, complex, or burdensome than those that apply to comparable non-CDQ sectors managed under individual fishing quotas (IFQs) or </w:t>
      </w:r>
      <w:r>
        <w:lastRenderedPageBreak/>
        <w:t xml:space="preserve">cooperative allocations. The harvest regulations that apply to non-CDQ sectors for IFQs or cooperative allocations that are regulated by NMFS are described in Federal regulations. However, in rare cases, a group of fishing vessel owners may form a voluntary cooperative that is not licensed or permitted by NMFS. The Application for Approval of Use of Non-CDQ Harvest Regulations provides the information NMFS needs to verify that a voluntary cooperative exists. This information is needed before NMFS can authorize the use of non-CDQ harvest regulations for these vessels. </w:t>
      </w:r>
      <w:r w:rsidR="00B853F2">
        <w:t>More information about this provision of the CDQ Program is in the final rule that implemented the authorizing regulations (</w:t>
      </w:r>
      <w:r w:rsidR="0092219F" w:rsidRPr="0092219F">
        <w:t>77 FR 6492</w:t>
      </w:r>
      <w:r w:rsidR="0092219F">
        <w:t xml:space="preserve">; February 8, 2012). </w:t>
      </w:r>
    </w:p>
    <w:p w14:paraId="05F60D4C" w14:textId="5875B72C" w:rsidR="009E786A" w:rsidRDefault="009E786A" w:rsidP="009E786A">
      <w:pPr>
        <w:tabs>
          <w:tab w:val="left" w:pos="360"/>
          <w:tab w:val="left" w:pos="720"/>
          <w:tab w:val="left" w:pos="1080"/>
        </w:tabs>
        <w:spacing w:after="240"/>
      </w:pPr>
      <w:r>
        <w:t xml:space="preserve">The requirements for this application are at 50 CFR § 679.32(e).  </w:t>
      </w:r>
    </w:p>
    <w:p w14:paraId="49FC7A92" w14:textId="3CF5EF12" w:rsidR="009E786A" w:rsidRDefault="007B7E15" w:rsidP="00A27D61">
      <w:pPr>
        <w:pStyle w:val="ListParagraph"/>
        <w:tabs>
          <w:tab w:val="left" w:pos="-1180"/>
          <w:tab w:val="left" w:pos="-720"/>
          <w:tab w:val="left" w:pos="360"/>
          <w:tab w:val="left" w:pos="720"/>
          <w:tab w:val="left" w:pos="1080"/>
        </w:tabs>
        <w:spacing w:after="240"/>
        <w:ind w:left="0"/>
        <w:rPr>
          <w:b/>
        </w:rPr>
      </w:pPr>
      <w:r>
        <w:rPr>
          <w:b/>
        </w:rPr>
        <w:t>Appeals</w:t>
      </w:r>
    </w:p>
    <w:p w14:paraId="6C0F76EA" w14:textId="77777777" w:rsidR="008D0773" w:rsidRDefault="009E786A" w:rsidP="009E786A">
      <w:pPr>
        <w:tabs>
          <w:tab w:val="left" w:pos="-1180"/>
          <w:tab w:val="left" w:pos="-720"/>
          <w:tab w:val="left" w:pos="360"/>
          <w:tab w:val="left" w:pos="720"/>
          <w:tab w:val="left" w:pos="1080"/>
        </w:tabs>
        <w:spacing w:after="240"/>
      </w:pPr>
      <w:r>
        <w:t xml:space="preserve">The decision to approve or disapprove an Application for Approval of Use of Non-CDQ Harvest Regulations is an administrative determination. NMFS must provide an opportunity for an administrative appeal if NMFS issues an initial administrative determination to deny such an application. </w:t>
      </w:r>
    </w:p>
    <w:p w14:paraId="60B7FFA9" w14:textId="359DB77E" w:rsidR="008840E2" w:rsidRDefault="009E786A" w:rsidP="009E786A">
      <w:pPr>
        <w:tabs>
          <w:tab w:val="left" w:pos="-1180"/>
          <w:tab w:val="left" w:pos="-720"/>
          <w:tab w:val="left" w:pos="360"/>
          <w:tab w:val="left" w:pos="720"/>
          <w:tab w:val="left" w:pos="1080"/>
        </w:tabs>
        <w:spacing w:after="240"/>
      </w:pPr>
      <w:r>
        <w:t>An explanation of the right to an administrative appeal are at 50 CFR § 679.32(e)</w:t>
      </w:r>
      <w:r w:rsidR="008D4078">
        <w:t xml:space="preserve">. The instructions for filing an administrative appeal are at 15 CFR part 906. </w:t>
      </w:r>
    </w:p>
    <w:p w14:paraId="1ADD1E87" w14:textId="77777777" w:rsidR="008840E2" w:rsidRDefault="008840E2">
      <w:pPr>
        <w:widowControl/>
        <w:autoSpaceDE/>
        <w:autoSpaceDN/>
        <w:adjustRightInd/>
      </w:pPr>
      <w:r>
        <w:br w:type="page"/>
      </w:r>
    </w:p>
    <w:p w14:paraId="185ABDA5" w14:textId="0074ABE3" w:rsidR="00B01177" w:rsidRPr="006F3492" w:rsidRDefault="00B01177" w:rsidP="0058587E">
      <w:pPr>
        <w:pStyle w:val="ListParagraph"/>
        <w:numPr>
          <w:ilvl w:val="0"/>
          <w:numId w:val="8"/>
        </w:numPr>
        <w:spacing w:after="240"/>
        <w:ind w:left="360"/>
      </w:pPr>
      <w:r w:rsidRPr="003C746E">
        <w:rPr>
          <w:b/>
          <w:bCs/>
          <w:u w:val="single"/>
        </w:rPr>
        <w:t>Explain how, by whom, how frequently, and for what purpose the information will be used</w:t>
      </w:r>
      <w:r w:rsidRPr="003C746E">
        <w:rPr>
          <w:b/>
          <w:bCs/>
        </w:rPr>
        <w:t xml:space="preserve">. </w:t>
      </w:r>
      <w:r w:rsidRPr="003C746E">
        <w:rPr>
          <w:b/>
          <w:bCs/>
          <w:u w:val="single"/>
        </w:rPr>
        <w:t>If the information collected will be disseminated to the public or used to support information that will be disseminated to the public, then explain how the collection complies with applicable NOAA Information Quality Guidelines</w:t>
      </w:r>
      <w:r w:rsidRPr="003C746E">
        <w:rPr>
          <w:b/>
          <w:bCs/>
        </w:rPr>
        <w:t xml:space="preserve">. </w:t>
      </w:r>
    </w:p>
    <w:p w14:paraId="67E954B3" w14:textId="32A8B27F" w:rsidR="008F1CDB" w:rsidRDefault="008F1CDB" w:rsidP="008F1CDB">
      <w:pPr>
        <w:spacing w:after="240"/>
      </w:pPr>
      <w:r>
        <w:t xml:space="preserve">The following table summarizes how, by whom, and how frequently each of the components of this collection are submitted. </w:t>
      </w:r>
    </w:p>
    <w:tbl>
      <w:tblPr>
        <w:tblW w:w="9456" w:type="dxa"/>
        <w:tblLayout w:type="fixed"/>
        <w:tblCellMar>
          <w:left w:w="0" w:type="dxa"/>
          <w:right w:w="0" w:type="dxa"/>
        </w:tblCellMar>
        <w:tblLook w:val="01E0" w:firstRow="1" w:lastRow="1" w:firstColumn="1" w:lastColumn="1" w:noHBand="0" w:noVBand="0"/>
      </w:tblPr>
      <w:tblGrid>
        <w:gridCol w:w="3246"/>
        <w:gridCol w:w="1980"/>
        <w:gridCol w:w="2160"/>
        <w:gridCol w:w="2070"/>
      </w:tblGrid>
      <w:tr w:rsidR="008F1CDB" w:rsidRPr="002C6363" w14:paraId="17DBB670" w14:textId="68F8724C" w:rsidTr="008B3CFF">
        <w:trPr>
          <w:trHeight w:hRule="exact" w:val="849"/>
        </w:trPr>
        <w:tc>
          <w:tcPr>
            <w:tcW w:w="3246"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7D6341DF" w14:textId="77777777" w:rsidR="008F1CDB" w:rsidRPr="002C6363" w:rsidRDefault="008F1CDB" w:rsidP="00A27D61">
            <w:pPr>
              <w:autoSpaceDE/>
              <w:autoSpaceDN/>
              <w:adjustRightInd/>
              <w:jc w:val="center"/>
              <w:rPr>
                <w:rFonts w:ascii="Calibri" w:hAnsi="Calibri"/>
                <w:sz w:val="20"/>
                <w:szCs w:val="20"/>
              </w:rPr>
            </w:pPr>
            <w:r w:rsidRPr="002C6363">
              <w:rPr>
                <w:rFonts w:ascii="Calibri" w:eastAsia="Calibri" w:hAnsi="Calibri"/>
                <w:b/>
                <w:sz w:val="20"/>
                <w:szCs w:val="20"/>
              </w:rPr>
              <w:t>Component</w:t>
            </w:r>
          </w:p>
        </w:tc>
        <w:tc>
          <w:tcPr>
            <w:tcW w:w="198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63E308F6" w14:textId="7415C77E" w:rsidR="008F1CDB" w:rsidRPr="002C6363" w:rsidRDefault="00A463EB" w:rsidP="00F22AD0">
            <w:pPr>
              <w:autoSpaceDE/>
              <w:autoSpaceDN/>
              <w:adjustRightInd/>
              <w:ind w:hanging="14"/>
              <w:jc w:val="center"/>
              <w:rPr>
                <w:rFonts w:ascii="Calibri" w:eastAsia="Calibri" w:hAnsi="Calibri"/>
                <w:b/>
                <w:sz w:val="20"/>
                <w:szCs w:val="20"/>
              </w:rPr>
            </w:pPr>
            <w:r>
              <w:rPr>
                <w:rFonts w:ascii="Calibri" w:eastAsia="Calibri" w:hAnsi="Calibri"/>
                <w:b/>
                <w:sz w:val="20"/>
                <w:szCs w:val="20"/>
              </w:rPr>
              <w:t>How is the Information Submitted?</w:t>
            </w:r>
            <w:r w:rsidR="008F1CDB">
              <w:rPr>
                <w:rFonts w:ascii="Calibri" w:eastAsia="Calibri" w:hAnsi="Calibri"/>
                <w:b/>
                <w:sz w:val="20"/>
                <w:szCs w:val="20"/>
                <w:vertAlign w:val="superscript"/>
              </w:rPr>
              <w:t>1/</w:t>
            </w:r>
          </w:p>
        </w:tc>
        <w:tc>
          <w:tcPr>
            <w:tcW w:w="216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43399159" w14:textId="6C2BCBB5" w:rsidR="008F1CDB" w:rsidRPr="002C6363" w:rsidRDefault="008F1CDB" w:rsidP="00F22AD0">
            <w:pPr>
              <w:autoSpaceDE/>
              <w:autoSpaceDN/>
              <w:adjustRightInd/>
              <w:ind w:hanging="14"/>
              <w:jc w:val="center"/>
              <w:rPr>
                <w:rFonts w:ascii="Calibri" w:eastAsia="Calibri" w:hAnsi="Calibri"/>
                <w:b/>
                <w:sz w:val="20"/>
                <w:szCs w:val="20"/>
              </w:rPr>
            </w:pPr>
            <w:r>
              <w:rPr>
                <w:rFonts w:ascii="Calibri" w:eastAsia="Calibri" w:hAnsi="Calibri"/>
                <w:b/>
                <w:sz w:val="20"/>
                <w:szCs w:val="20"/>
              </w:rPr>
              <w:t xml:space="preserve">Who Submits the Information? </w:t>
            </w:r>
          </w:p>
        </w:tc>
        <w:tc>
          <w:tcPr>
            <w:tcW w:w="207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1E45B1CA" w14:textId="68855F77" w:rsidR="008F1CDB" w:rsidRPr="002C6363" w:rsidRDefault="00F22AD0" w:rsidP="00F22AD0">
            <w:pPr>
              <w:autoSpaceDE/>
              <w:autoSpaceDN/>
              <w:adjustRightInd/>
              <w:ind w:hanging="14"/>
              <w:rPr>
                <w:rFonts w:ascii="Calibri" w:eastAsia="Calibri" w:hAnsi="Calibri"/>
                <w:b/>
                <w:sz w:val="20"/>
                <w:szCs w:val="20"/>
              </w:rPr>
            </w:pPr>
            <w:r>
              <w:rPr>
                <w:rFonts w:ascii="Calibri" w:eastAsia="Calibri" w:hAnsi="Calibri"/>
                <w:b/>
                <w:sz w:val="20"/>
                <w:szCs w:val="20"/>
              </w:rPr>
              <w:t>H</w:t>
            </w:r>
            <w:r w:rsidR="008F1CDB">
              <w:rPr>
                <w:rFonts w:ascii="Calibri" w:eastAsia="Calibri" w:hAnsi="Calibri"/>
                <w:b/>
                <w:sz w:val="20"/>
                <w:szCs w:val="20"/>
              </w:rPr>
              <w:t>ow Frequently is the Information Submitted?</w:t>
            </w:r>
          </w:p>
        </w:tc>
      </w:tr>
      <w:tr w:rsidR="008F1CDB" w:rsidRPr="002C6363" w14:paraId="14F0DE7F" w14:textId="72C26699" w:rsidTr="008B3CFF">
        <w:trPr>
          <w:trHeight w:hRule="exact" w:val="1344"/>
        </w:trPr>
        <w:tc>
          <w:tcPr>
            <w:tcW w:w="32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F29DD5" w14:textId="5DDE1F3E" w:rsidR="008F1CDB" w:rsidRPr="002C6363" w:rsidRDefault="008F1CDB" w:rsidP="00C176D3">
            <w:pPr>
              <w:autoSpaceDE/>
              <w:autoSpaceDN/>
              <w:adjustRightInd/>
              <w:rPr>
                <w:rFonts w:ascii="Calibri" w:eastAsia="Calibri" w:hAnsi="Calibri"/>
                <w:sz w:val="20"/>
                <w:szCs w:val="20"/>
              </w:rPr>
            </w:pPr>
            <w:r w:rsidRPr="008D38A1">
              <w:rPr>
                <w:rFonts w:ascii="Calibri" w:eastAsia="Calibri" w:hAnsi="Calibri"/>
                <w:sz w:val="20"/>
                <w:szCs w:val="20"/>
              </w:rPr>
              <w:t>CDQ Vessel Registration System</w:t>
            </w:r>
          </w:p>
        </w:tc>
        <w:tc>
          <w:tcPr>
            <w:tcW w:w="198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9DE899" w14:textId="242BA1E5" w:rsidR="008F1CDB" w:rsidRPr="002C6363" w:rsidRDefault="008840E2" w:rsidP="00A27D61">
            <w:pPr>
              <w:autoSpaceDE/>
              <w:autoSpaceDN/>
              <w:adjustRightInd/>
              <w:jc w:val="center"/>
              <w:rPr>
                <w:rFonts w:ascii="Calibri" w:eastAsia="Calibri" w:hAnsi="Calibri"/>
                <w:sz w:val="20"/>
                <w:szCs w:val="20"/>
              </w:rPr>
            </w:pPr>
            <w:r>
              <w:rPr>
                <w:rFonts w:ascii="Calibri" w:eastAsia="Calibri" w:hAnsi="Calibri"/>
                <w:sz w:val="20"/>
                <w:szCs w:val="20"/>
              </w:rPr>
              <w:t>Electronically through online system “</w:t>
            </w:r>
            <w:r w:rsidR="008F1CDB">
              <w:rPr>
                <w:rFonts w:ascii="Calibri" w:eastAsia="Calibri" w:hAnsi="Calibri"/>
                <w:sz w:val="20"/>
                <w:szCs w:val="20"/>
              </w:rPr>
              <w:t>eFISH</w:t>
            </w:r>
            <w:r>
              <w:rPr>
                <w:rFonts w:ascii="Calibri" w:eastAsia="Calibri" w:hAnsi="Calibri"/>
                <w:sz w:val="20"/>
                <w:szCs w:val="20"/>
              </w:rPr>
              <w:t>”</w:t>
            </w:r>
          </w:p>
        </w:tc>
        <w:tc>
          <w:tcPr>
            <w:tcW w:w="2160" w:type="dxa"/>
            <w:tcBorders>
              <w:top w:val="single" w:sz="5" w:space="0" w:color="000000"/>
              <w:left w:val="single" w:sz="5" w:space="0" w:color="000000"/>
              <w:bottom w:val="single" w:sz="5" w:space="0" w:color="000000"/>
              <w:right w:val="single" w:sz="5" w:space="0" w:color="000000"/>
            </w:tcBorders>
            <w:vAlign w:val="center"/>
          </w:tcPr>
          <w:p w14:paraId="4E780CD6" w14:textId="172EFB2F" w:rsidR="008F1CDB" w:rsidRDefault="00C176D3" w:rsidP="009202AB">
            <w:pPr>
              <w:autoSpaceDE/>
              <w:autoSpaceDN/>
              <w:adjustRightInd/>
              <w:jc w:val="center"/>
              <w:rPr>
                <w:rFonts w:ascii="Calibri" w:eastAsia="Calibri" w:hAnsi="Calibri"/>
                <w:sz w:val="20"/>
                <w:szCs w:val="20"/>
              </w:rPr>
            </w:pPr>
            <w:r>
              <w:rPr>
                <w:rFonts w:ascii="Calibri" w:eastAsia="Calibri" w:hAnsi="Calibri"/>
                <w:sz w:val="20"/>
                <w:szCs w:val="20"/>
              </w:rPr>
              <w:t>CDQ representative</w:t>
            </w:r>
          </w:p>
        </w:tc>
        <w:tc>
          <w:tcPr>
            <w:tcW w:w="2070" w:type="dxa"/>
            <w:tcBorders>
              <w:top w:val="single" w:sz="5" w:space="0" w:color="000000"/>
              <w:left w:val="single" w:sz="5" w:space="0" w:color="000000"/>
              <w:bottom w:val="single" w:sz="5" w:space="0" w:color="000000"/>
              <w:right w:val="single" w:sz="5" w:space="0" w:color="000000"/>
            </w:tcBorders>
            <w:vAlign w:val="center"/>
          </w:tcPr>
          <w:p w14:paraId="26E70215" w14:textId="4F24FAC8" w:rsidR="008F1CDB" w:rsidRDefault="00C176D3" w:rsidP="00A27D61">
            <w:pPr>
              <w:autoSpaceDE/>
              <w:autoSpaceDN/>
              <w:adjustRightInd/>
              <w:jc w:val="center"/>
              <w:rPr>
                <w:rFonts w:ascii="Calibri" w:eastAsia="Calibri" w:hAnsi="Calibri"/>
                <w:sz w:val="20"/>
                <w:szCs w:val="20"/>
              </w:rPr>
            </w:pPr>
            <w:r>
              <w:rPr>
                <w:rFonts w:ascii="Calibri" w:eastAsia="Calibri" w:hAnsi="Calibri"/>
                <w:sz w:val="20"/>
                <w:szCs w:val="20"/>
              </w:rPr>
              <w:t>As needed. None have been received since the program was implemented in 2016.</w:t>
            </w:r>
          </w:p>
        </w:tc>
      </w:tr>
      <w:tr w:rsidR="008F1CDB" w:rsidRPr="002C6363" w14:paraId="6F4A544D" w14:textId="074794E8" w:rsidTr="008B3CFF">
        <w:trPr>
          <w:trHeight w:hRule="exact" w:val="1560"/>
        </w:trPr>
        <w:tc>
          <w:tcPr>
            <w:tcW w:w="3246" w:type="dxa"/>
            <w:tcBorders>
              <w:top w:val="single" w:sz="5" w:space="0" w:color="000000"/>
              <w:left w:val="single" w:sz="5" w:space="0" w:color="000000"/>
              <w:bottom w:val="single" w:sz="5" w:space="0" w:color="000000"/>
              <w:right w:val="single" w:sz="5" w:space="0" w:color="000000"/>
            </w:tcBorders>
            <w:vAlign w:val="center"/>
          </w:tcPr>
          <w:p w14:paraId="7794685A" w14:textId="1317C55B" w:rsidR="008F1CDB" w:rsidRPr="002C6363" w:rsidRDefault="008F1CDB" w:rsidP="00C176D3">
            <w:pPr>
              <w:autoSpaceDE/>
              <w:autoSpaceDN/>
              <w:adjustRightInd/>
              <w:rPr>
                <w:rFonts w:ascii="Calibri" w:eastAsia="Calibri" w:hAnsi="Calibri"/>
                <w:sz w:val="20"/>
                <w:szCs w:val="20"/>
              </w:rPr>
            </w:pPr>
            <w:r w:rsidRPr="008D38A1">
              <w:rPr>
                <w:rFonts w:ascii="Calibri" w:eastAsia="Calibri" w:hAnsi="Calibri"/>
                <w:sz w:val="20"/>
                <w:szCs w:val="20"/>
              </w:rPr>
              <w:t>Groundfish/Halibut CDQ and Prohibited Species Quota (PSQ) Transfer Request</w:t>
            </w:r>
          </w:p>
        </w:tc>
        <w:tc>
          <w:tcPr>
            <w:tcW w:w="1980" w:type="dxa"/>
            <w:tcBorders>
              <w:top w:val="single" w:sz="5" w:space="0" w:color="000000"/>
              <w:left w:val="single" w:sz="5" w:space="0" w:color="000000"/>
              <w:bottom w:val="single" w:sz="5" w:space="0" w:color="000000"/>
              <w:right w:val="single" w:sz="5" w:space="0" w:color="000000"/>
            </w:tcBorders>
            <w:vAlign w:val="center"/>
          </w:tcPr>
          <w:p w14:paraId="13744A12" w14:textId="1DF98BB9" w:rsidR="008F1CDB" w:rsidRPr="002C6363" w:rsidRDefault="00F307B5" w:rsidP="00F307B5">
            <w:pPr>
              <w:autoSpaceDE/>
              <w:autoSpaceDN/>
              <w:adjustRightInd/>
              <w:jc w:val="center"/>
              <w:rPr>
                <w:rFonts w:ascii="Calibri" w:eastAsia="Calibri" w:hAnsi="Calibri"/>
                <w:sz w:val="20"/>
                <w:szCs w:val="20"/>
              </w:rPr>
            </w:pPr>
            <w:r>
              <w:rPr>
                <w:rFonts w:ascii="Calibri" w:eastAsia="Calibri" w:hAnsi="Calibri"/>
                <w:sz w:val="20"/>
                <w:szCs w:val="20"/>
              </w:rPr>
              <w:t xml:space="preserve">Electronically through online system </w:t>
            </w:r>
            <w:r w:rsidR="008F1CDB">
              <w:rPr>
                <w:rFonts w:ascii="Calibri" w:eastAsia="Calibri" w:hAnsi="Calibri"/>
                <w:sz w:val="20"/>
                <w:szCs w:val="20"/>
              </w:rPr>
              <w:t>eFISH</w:t>
            </w:r>
            <w:r>
              <w:rPr>
                <w:rFonts w:ascii="Calibri" w:eastAsia="Calibri" w:hAnsi="Calibri"/>
                <w:sz w:val="20"/>
                <w:szCs w:val="20"/>
              </w:rPr>
              <w:t xml:space="preserve">. Mail and fax also allowed. </w:t>
            </w:r>
          </w:p>
        </w:tc>
        <w:tc>
          <w:tcPr>
            <w:tcW w:w="2160" w:type="dxa"/>
            <w:tcBorders>
              <w:top w:val="single" w:sz="5" w:space="0" w:color="000000"/>
              <w:left w:val="single" w:sz="5" w:space="0" w:color="000000"/>
              <w:bottom w:val="single" w:sz="5" w:space="0" w:color="000000"/>
              <w:right w:val="single" w:sz="5" w:space="0" w:color="000000"/>
            </w:tcBorders>
            <w:vAlign w:val="center"/>
          </w:tcPr>
          <w:p w14:paraId="57570695" w14:textId="29F92DF2" w:rsidR="004B7FD5" w:rsidRDefault="00C176D3" w:rsidP="009202AB">
            <w:pPr>
              <w:autoSpaceDE/>
              <w:autoSpaceDN/>
              <w:adjustRightInd/>
              <w:jc w:val="center"/>
              <w:rPr>
                <w:rFonts w:ascii="Calibri" w:eastAsia="Calibri" w:hAnsi="Calibri"/>
                <w:sz w:val="20"/>
                <w:szCs w:val="20"/>
              </w:rPr>
            </w:pPr>
            <w:r>
              <w:rPr>
                <w:rFonts w:ascii="Calibri" w:eastAsia="Calibri" w:hAnsi="Calibri"/>
                <w:sz w:val="20"/>
                <w:szCs w:val="20"/>
              </w:rPr>
              <w:t>CDQ representative</w:t>
            </w:r>
          </w:p>
        </w:tc>
        <w:tc>
          <w:tcPr>
            <w:tcW w:w="2070" w:type="dxa"/>
            <w:tcBorders>
              <w:top w:val="single" w:sz="5" w:space="0" w:color="000000"/>
              <w:left w:val="single" w:sz="5" w:space="0" w:color="000000"/>
              <w:bottom w:val="single" w:sz="5" w:space="0" w:color="000000"/>
              <w:right w:val="single" w:sz="5" w:space="0" w:color="000000"/>
            </w:tcBorders>
            <w:vAlign w:val="center"/>
          </w:tcPr>
          <w:p w14:paraId="60284160" w14:textId="608F8FDA" w:rsidR="008F1CDB" w:rsidRDefault="00C176D3" w:rsidP="00A27D61">
            <w:pPr>
              <w:autoSpaceDE/>
              <w:autoSpaceDN/>
              <w:adjustRightInd/>
              <w:jc w:val="center"/>
              <w:rPr>
                <w:rFonts w:ascii="Calibri" w:eastAsia="Calibri" w:hAnsi="Calibri"/>
                <w:sz w:val="20"/>
                <w:szCs w:val="20"/>
              </w:rPr>
            </w:pPr>
            <w:r>
              <w:rPr>
                <w:rFonts w:ascii="Calibri" w:eastAsia="Calibri" w:hAnsi="Calibri"/>
                <w:sz w:val="20"/>
                <w:szCs w:val="20"/>
              </w:rPr>
              <w:t xml:space="preserve">As needed whenever a CDQ group wants to transfer CDQ or PSQ to another CDQ group. </w:t>
            </w:r>
          </w:p>
        </w:tc>
      </w:tr>
      <w:tr w:rsidR="008F1CDB" w:rsidRPr="002C6363" w14:paraId="3318E4AD" w14:textId="0360E974" w:rsidTr="008B3CFF">
        <w:trPr>
          <w:trHeight w:hRule="exact" w:val="1407"/>
        </w:trPr>
        <w:tc>
          <w:tcPr>
            <w:tcW w:w="3246" w:type="dxa"/>
            <w:tcBorders>
              <w:top w:val="single" w:sz="5" w:space="0" w:color="000000"/>
              <w:left w:val="single" w:sz="5" w:space="0" w:color="000000"/>
              <w:bottom w:val="single" w:sz="5" w:space="0" w:color="000000"/>
              <w:right w:val="single" w:sz="5" w:space="0" w:color="000000"/>
            </w:tcBorders>
            <w:vAlign w:val="center"/>
          </w:tcPr>
          <w:p w14:paraId="1190FDEB" w14:textId="77777777" w:rsidR="008F1CDB" w:rsidRPr="002C6363" w:rsidRDefault="008F1CDB" w:rsidP="00C176D3">
            <w:pPr>
              <w:autoSpaceDE/>
              <w:autoSpaceDN/>
              <w:adjustRightInd/>
              <w:rPr>
                <w:rFonts w:ascii="Calibri" w:eastAsia="Calibri" w:hAnsi="Calibri"/>
                <w:sz w:val="20"/>
                <w:szCs w:val="20"/>
              </w:rPr>
            </w:pPr>
            <w:r w:rsidRPr="008D38A1">
              <w:rPr>
                <w:rFonts w:ascii="Calibri" w:eastAsia="Calibri" w:hAnsi="Calibri"/>
                <w:sz w:val="20"/>
                <w:szCs w:val="20"/>
              </w:rPr>
              <w:t>Application for Approval of Use of Non-CDQ Harvest Regulations</w:t>
            </w:r>
          </w:p>
        </w:tc>
        <w:tc>
          <w:tcPr>
            <w:tcW w:w="1980" w:type="dxa"/>
            <w:tcBorders>
              <w:top w:val="single" w:sz="5" w:space="0" w:color="000000"/>
              <w:left w:val="single" w:sz="5" w:space="0" w:color="000000"/>
              <w:bottom w:val="single" w:sz="5" w:space="0" w:color="000000"/>
              <w:right w:val="single" w:sz="5" w:space="0" w:color="000000"/>
            </w:tcBorders>
            <w:vAlign w:val="center"/>
          </w:tcPr>
          <w:p w14:paraId="0269E23D" w14:textId="77777777" w:rsidR="008F1CDB" w:rsidRPr="002C6363" w:rsidRDefault="008F1CDB" w:rsidP="00A27D61">
            <w:pPr>
              <w:autoSpaceDE/>
              <w:autoSpaceDN/>
              <w:adjustRightInd/>
              <w:jc w:val="center"/>
              <w:rPr>
                <w:rFonts w:ascii="Calibri" w:eastAsia="Calibri" w:hAnsi="Calibri"/>
                <w:sz w:val="20"/>
                <w:szCs w:val="20"/>
              </w:rPr>
            </w:pPr>
            <w:r>
              <w:rPr>
                <w:rFonts w:ascii="Calibri" w:eastAsia="Calibri" w:hAnsi="Calibri"/>
                <w:sz w:val="20"/>
                <w:szCs w:val="20"/>
              </w:rPr>
              <w:t>Mail, fax</w:t>
            </w:r>
          </w:p>
        </w:tc>
        <w:tc>
          <w:tcPr>
            <w:tcW w:w="2160" w:type="dxa"/>
            <w:tcBorders>
              <w:top w:val="single" w:sz="5" w:space="0" w:color="000000"/>
              <w:left w:val="single" w:sz="5" w:space="0" w:color="000000"/>
              <w:bottom w:val="single" w:sz="5" w:space="0" w:color="000000"/>
              <w:right w:val="single" w:sz="5" w:space="0" w:color="000000"/>
            </w:tcBorders>
            <w:vAlign w:val="center"/>
          </w:tcPr>
          <w:p w14:paraId="7F4EA965" w14:textId="5D5541B5" w:rsidR="008F1CDB" w:rsidRDefault="00C176D3" w:rsidP="00F307B5">
            <w:pPr>
              <w:autoSpaceDE/>
              <w:autoSpaceDN/>
              <w:adjustRightInd/>
              <w:jc w:val="center"/>
              <w:rPr>
                <w:rFonts w:ascii="Calibri" w:eastAsia="Calibri" w:hAnsi="Calibri"/>
                <w:sz w:val="20"/>
                <w:szCs w:val="20"/>
              </w:rPr>
            </w:pPr>
            <w:r>
              <w:rPr>
                <w:rFonts w:ascii="Calibri" w:eastAsia="Calibri" w:hAnsi="Calibri"/>
                <w:sz w:val="20"/>
                <w:szCs w:val="20"/>
              </w:rPr>
              <w:t xml:space="preserve">CDQ </w:t>
            </w:r>
            <w:r w:rsidR="004B7FD5">
              <w:rPr>
                <w:rFonts w:ascii="Calibri" w:eastAsia="Calibri" w:hAnsi="Calibri"/>
                <w:sz w:val="20"/>
                <w:szCs w:val="20"/>
              </w:rPr>
              <w:t>representative</w:t>
            </w:r>
          </w:p>
        </w:tc>
        <w:tc>
          <w:tcPr>
            <w:tcW w:w="2070" w:type="dxa"/>
            <w:tcBorders>
              <w:top w:val="single" w:sz="5" w:space="0" w:color="000000"/>
              <w:left w:val="single" w:sz="5" w:space="0" w:color="000000"/>
              <w:bottom w:val="single" w:sz="5" w:space="0" w:color="000000"/>
              <w:right w:val="single" w:sz="5" w:space="0" w:color="000000"/>
            </w:tcBorders>
            <w:vAlign w:val="center"/>
          </w:tcPr>
          <w:p w14:paraId="37E8B7FF" w14:textId="01DCD63D" w:rsidR="008F1CDB" w:rsidRDefault="00C176D3" w:rsidP="00A27D61">
            <w:pPr>
              <w:autoSpaceDE/>
              <w:autoSpaceDN/>
              <w:adjustRightInd/>
              <w:jc w:val="center"/>
              <w:rPr>
                <w:rFonts w:ascii="Calibri" w:eastAsia="Calibri" w:hAnsi="Calibri"/>
                <w:sz w:val="20"/>
                <w:szCs w:val="20"/>
              </w:rPr>
            </w:pPr>
            <w:r>
              <w:rPr>
                <w:rFonts w:ascii="Calibri" w:eastAsia="Calibri" w:hAnsi="Calibri"/>
                <w:sz w:val="20"/>
                <w:szCs w:val="20"/>
              </w:rPr>
              <w:t xml:space="preserve">As needed. One application was received in </w:t>
            </w:r>
            <w:r w:rsidR="008840E2">
              <w:rPr>
                <w:rFonts w:ascii="Calibri" w:eastAsia="Calibri" w:hAnsi="Calibri"/>
                <w:sz w:val="20"/>
                <w:szCs w:val="20"/>
              </w:rPr>
              <w:t>2012, none since then.</w:t>
            </w:r>
          </w:p>
        </w:tc>
      </w:tr>
      <w:tr w:rsidR="008F1CDB" w:rsidRPr="002C6363" w14:paraId="68AA9100" w14:textId="75E77598" w:rsidTr="008B3CFF">
        <w:trPr>
          <w:trHeight w:hRule="exact" w:val="2532"/>
        </w:trPr>
        <w:tc>
          <w:tcPr>
            <w:tcW w:w="3246" w:type="dxa"/>
            <w:tcBorders>
              <w:top w:val="single" w:sz="5" w:space="0" w:color="000000"/>
              <w:left w:val="single" w:sz="5" w:space="0" w:color="000000"/>
              <w:bottom w:val="single" w:sz="5" w:space="0" w:color="000000"/>
              <w:right w:val="single" w:sz="5" w:space="0" w:color="000000"/>
            </w:tcBorders>
            <w:vAlign w:val="center"/>
          </w:tcPr>
          <w:p w14:paraId="5D098243" w14:textId="4F259E82" w:rsidR="008F1CDB" w:rsidRPr="002C6363" w:rsidRDefault="008F1CDB" w:rsidP="00C176D3">
            <w:pPr>
              <w:autoSpaceDE/>
              <w:autoSpaceDN/>
              <w:adjustRightInd/>
              <w:rPr>
                <w:rFonts w:ascii="Calibri" w:hAnsi="Calibri"/>
                <w:sz w:val="20"/>
                <w:szCs w:val="20"/>
              </w:rPr>
            </w:pPr>
            <w:r w:rsidRPr="008D38A1">
              <w:rPr>
                <w:rFonts w:ascii="Calibri" w:hAnsi="Calibri"/>
                <w:sz w:val="20"/>
                <w:szCs w:val="20"/>
              </w:rPr>
              <w:t>Appeals</w:t>
            </w:r>
          </w:p>
        </w:tc>
        <w:tc>
          <w:tcPr>
            <w:tcW w:w="1980" w:type="dxa"/>
            <w:tcBorders>
              <w:top w:val="single" w:sz="5" w:space="0" w:color="000000"/>
              <w:left w:val="single" w:sz="5" w:space="0" w:color="000000"/>
              <w:bottom w:val="single" w:sz="5" w:space="0" w:color="000000"/>
              <w:right w:val="single" w:sz="5" w:space="0" w:color="000000"/>
            </w:tcBorders>
            <w:vAlign w:val="center"/>
          </w:tcPr>
          <w:p w14:paraId="50D724C6" w14:textId="77777777" w:rsidR="008F1CDB" w:rsidRPr="002C6363" w:rsidRDefault="008F1CDB" w:rsidP="00A27D61">
            <w:pPr>
              <w:autoSpaceDE/>
              <w:autoSpaceDN/>
              <w:adjustRightInd/>
              <w:jc w:val="center"/>
              <w:rPr>
                <w:rFonts w:ascii="Calibri" w:eastAsia="Calibri" w:hAnsi="Calibri"/>
                <w:sz w:val="20"/>
                <w:szCs w:val="20"/>
              </w:rPr>
            </w:pPr>
            <w:r w:rsidRPr="00B55F1D">
              <w:rPr>
                <w:rFonts w:ascii="Calibri" w:eastAsia="Calibri" w:hAnsi="Calibri"/>
                <w:sz w:val="20"/>
                <w:szCs w:val="20"/>
              </w:rPr>
              <w:t>Fax</w:t>
            </w:r>
            <w:r>
              <w:rPr>
                <w:rFonts w:ascii="Calibri" w:eastAsia="Calibri" w:hAnsi="Calibri"/>
                <w:sz w:val="20"/>
                <w:szCs w:val="20"/>
              </w:rPr>
              <w:t>, mail, or delivery</w:t>
            </w:r>
            <w:r w:rsidRPr="00DF6F02">
              <w:rPr>
                <w:rFonts w:ascii="Calibri" w:eastAsia="Calibri" w:hAnsi="Calibri"/>
                <w:sz w:val="20"/>
                <w:szCs w:val="20"/>
                <w:vertAlign w:val="superscript"/>
              </w:rPr>
              <w:t>2/</w:t>
            </w:r>
          </w:p>
        </w:tc>
        <w:tc>
          <w:tcPr>
            <w:tcW w:w="2160" w:type="dxa"/>
            <w:tcBorders>
              <w:top w:val="single" w:sz="5" w:space="0" w:color="000000"/>
              <w:left w:val="single" w:sz="5" w:space="0" w:color="000000"/>
              <w:bottom w:val="single" w:sz="5" w:space="0" w:color="000000"/>
              <w:right w:val="single" w:sz="5" w:space="0" w:color="000000"/>
            </w:tcBorders>
            <w:vAlign w:val="center"/>
          </w:tcPr>
          <w:p w14:paraId="418D9BD5" w14:textId="37A34182" w:rsidR="008F1CDB" w:rsidRPr="00B55F1D" w:rsidRDefault="00C176D3" w:rsidP="009202AB">
            <w:pPr>
              <w:autoSpaceDE/>
              <w:autoSpaceDN/>
              <w:adjustRightInd/>
              <w:jc w:val="center"/>
              <w:rPr>
                <w:rFonts w:ascii="Calibri" w:eastAsia="Calibri" w:hAnsi="Calibri"/>
                <w:sz w:val="20"/>
                <w:szCs w:val="20"/>
              </w:rPr>
            </w:pPr>
            <w:r>
              <w:rPr>
                <w:rFonts w:ascii="Calibri" w:eastAsia="Calibri" w:hAnsi="Calibri"/>
                <w:sz w:val="20"/>
                <w:szCs w:val="20"/>
              </w:rPr>
              <w:t xml:space="preserve">CDQ </w:t>
            </w:r>
            <w:r w:rsidR="004B7FD5">
              <w:rPr>
                <w:rFonts w:ascii="Calibri" w:eastAsia="Calibri" w:hAnsi="Calibri"/>
                <w:sz w:val="20"/>
                <w:szCs w:val="20"/>
              </w:rPr>
              <w:t>representative</w:t>
            </w:r>
          </w:p>
        </w:tc>
        <w:tc>
          <w:tcPr>
            <w:tcW w:w="2070" w:type="dxa"/>
            <w:tcBorders>
              <w:top w:val="single" w:sz="5" w:space="0" w:color="000000"/>
              <w:left w:val="single" w:sz="5" w:space="0" w:color="000000"/>
              <w:bottom w:val="single" w:sz="5" w:space="0" w:color="000000"/>
              <w:right w:val="single" w:sz="5" w:space="0" w:color="000000"/>
            </w:tcBorders>
            <w:vAlign w:val="center"/>
          </w:tcPr>
          <w:p w14:paraId="4B973EC1" w14:textId="0CD776E2" w:rsidR="008F1CDB" w:rsidRPr="00B55F1D" w:rsidRDefault="00C176D3" w:rsidP="00A27D61">
            <w:pPr>
              <w:autoSpaceDE/>
              <w:autoSpaceDN/>
              <w:adjustRightInd/>
              <w:jc w:val="center"/>
              <w:rPr>
                <w:rFonts w:ascii="Calibri" w:eastAsia="Calibri" w:hAnsi="Calibri"/>
                <w:sz w:val="20"/>
                <w:szCs w:val="20"/>
              </w:rPr>
            </w:pPr>
            <w:r>
              <w:rPr>
                <w:rFonts w:ascii="Calibri" w:eastAsia="Calibri" w:hAnsi="Calibri"/>
                <w:sz w:val="20"/>
                <w:szCs w:val="20"/>
              </w:rPr>
              <w:t>By choice of the CDQ group if NMFS were to disapprove an Application for Approval of Use of Non-CDQ Harvest Regulations. NMFS has not disapproved any appli</w:t>
            </w:r>
            <w:r w:rsidR="008840E2">
              <w:rPr>
                <w:rFonts w:ascii="Calibri" w:eastAsia="Calibri" w:hAnsi="Calibri"/>
                <w:sz w:val="20"/>
                <w:szCs w:val="20"/>
              </w:rPr>
              <w:t>cations to date.</w:t>
            </w:r>
          </w:p>
        </w:tc>
      </w:tr>
    </w:tbl>
    <w:p w14:paraId="72899B5E" w14:textId="77777777" w:rsidR="008F1CDB" w:rsidRPr="00E76E1D" w:rsidRDefault="008F1CDB" w:rsidP="008F1CDB">
      <w:pPr>
        <w:widowControl/>
        <w:autoSpaceDE/>
        <w:autoSpaceDN/>
        <w:adjustRightInd/>
        <w:rPr>
          <w:rFonts w:asciiTheme="minorHAnsi" w:eastAsia="Calibri" w:hAnsiTheme="minorHAnsi" w:cstheme="minorHAnsi"/>
          <w:sz w:val="20"/>
          <w:szCs w:val="20"/>
        </w:rPr>
      </w:pPr>
      <w:r w:rsidRPr="00B55F1D">
        <w:rPr>
          <w:rFonts w:ascii="Calibri" w:eastAsia="Calibri" w:hAnsi="Calibri"/>
          <w:sz w:val="20"/>
          <w:szCs w:val="20"/>
          <w:vertAlign w:val="superscript"/>
        </w:rPr>
        <w:t>1</w:t>
      </w:r>
      <w:r>
        <w:rPr>
          <w:rFonts w:ascii="Calibri" w:eastAsia="Calibri" w:hAnsi="Calibri"/>
          <w:sz w:val="20"/>
          <w:szCs w:val="20"/>
          <w:vertAlign w:val="superscript"/>
        </w:rPr>
        <w:t>/</w:t>
      </w:r>
      <w:r w:rsidRPr="00B55F1D">
        <w:rPr>
          <w:rFonts w:ascii="Calibri" w:eastAsia="Calibri" w:hAnsi="Calibri"/>
          <w:sz w:val="20"/>
          <w:szCs w:val="20"/>
        </w:rPr>
        <w:t xml:space="preserve"> </w:t>
      </w:r>
      <w:r w:rsidRPr="00E76E1D">
        <w:rPr>
          <w:rFonts w:asciiTheme="minorHAnsi" w:eastAsia="Calibri" w:hAnsiTheme="minorHAnsi" w:cstheme="minorHAnsi"/>
          <w:b/>
          <w:sz w:val="20"/>
          <w:szCs w:val="20"/>
        </w:rPr>
        <w:t>eFISH</w:t>
      </w:r>
      <w:r w:rsidRPr="00E76E1D">
        <w:rPr>
          <w:rFonts w:asciiTheme="minorHAnsi" w:eastAsia="Calibri" w:hAnsiTheme="minorHAnsi" w:cstheme="minorHAnsi"/>
          <w:sz w:val="20"/>
          <w:szCs w:val="20"/>
        </w:rPr>
        <w:t xml:space="preserve">: </w:t>
      </w:r>
      <w:hyperlink r:id="rId10" w:history="1">
        <w:r w:rsidRPr="00E76E1D">
          <w:rPr>
            <w:rFonts w:asciiTheme="minorHAnsi" w:hAnsiTheme="minorHAnsi" w:cstheme="minorHAnsi"/>
            <w:color w:val="0000FF"/>
            <w:sz w:val="20"/>
            <w:szCs w:val="20"/>
            <w:u w:val="single"/>
          </w:rPr>
          <w:t>https://alaskafisheries.noaa.gov/webapps/efish/login</w:t>
        </w:r>
      </w:hyperlink>
    </w:p>
    <w:p w14:paraId="241A5458" w14:textId="77777777" w:rsidR="008F1CDB" w:rsidRPr="00B55F1D" w:rsidRDefault="008F1CDB" w:rsidP="008F1CDB">
      <w:pPr>
        <w:widowControl/>
        <w:autoSpaceDE/>
        <w:autoSpaceDN/>
        <w:adjustRightInd/>
        <w:rPr>
          <w:rFonts w:ascii="Calibri" w:eastAsia="Calibri" w:hAnsi="Calibri"/>
          <w:sz w:val="20"/>
          <w:szCs w:val="20"/>
        </w:rPr>
      </w:pPr>
      <w:r>
        <w:rPr>
          <w:rFonts w:ascii="Calibri" w:eastAsia="Calibri" w:hAnsi="Calibri"/>
          <w:b/>
          <w:sz w:val="20"/>
          <w:szCs w:val="20"/>
        </w:rPr>
        <w:t xml:space="preserve">    </w:t>
      </w:r>
      <w:r w:rsidRPr="00E76E1D">
        <w:rPr>
          <w:rFonts w:ascii="Calibri" w:eastAsia="Calibri" w:hAnsi="Calibri"/>
          <w:b/>
          <w:sz w:val="20"/>
          <w:szCs w:val="20"/>
        </w:rPr>
        <w:t>Mail</w:t>
      </w:r>
      <w:r>
        <w:rPr>
          <w:rFonts w:ascii="Calibri" w:eastAsia="Calibri" w:hAnsi="Calibri"/>
          <w:sz w:val="20"/>
          <w:szCs w:val="20"/>
        </w:rPr>
        <w:t xml:space="preserve">: </w:t>
      </w:r>
      <w:r w:rsidRPr="00775640">
        <w:rPr>
          <w:rFonts w:ascii="Calibri" w:eastAsia="Calibri" w:hAnsi="Calibri"/>
          <w:sz w:val="20"/>
          <w:szCs w:val="20"/>
        </w:rPr>
        <w:t>NMFS Alaska Region</w:t>
      </w:r>
      <w:r>
        <w:rPr>
          <w:rFonts w:ascii="Calibri" w:eastAsia="Calibri" w:hAnsi="Calibri"/>
          <w:sz w:val="20"/>
          <w:szCs w:val="20"/>
        </w:rPr>
        <w:t xml:space="preserve">, </w:t>
      </w:r>
      <w:r w:rsidRPr="00775640">
        <w:rPr>
          <w:rFonts w:ascii="Calibri" w:eastAsia="Calibri" w:hAnsi="Calibri"/>
          <w:sz w:val="20"/>
          <w:szCs w:val="20"/>
        </w:rPr>
        <w:t>Sustainable Fisheries Division</w:t>
      </w:r>
      <w:r>
        <w:rPr>
          <w:rFonts w:ascii="Calibri" w:eastAsia="Calibri" w:hAnsi="Calibri"/>
          <w:sz w:val="20"/>
          <w:szCs w:val="20"/>
        </w:rPr>
        <w:t xml:space="preserve">, </w:t>
      </w:r>
      <w:r w:rsidRPr="00775640">
        <w:rPr>
          <w:rFonts w:ascii="Calibri" w:eastAsia="Calibri" w:hAnsi="Calibri"/>
          <w:sz w:val="20"/>
          <w:szCs w:val="20"/>
        </w:rPr>
        <w:t>P.O. Box 21668</w:t>
      </w:r>
      <w:r>
        <w:rPr>
          <w:rFonts w:ascii="Calibri" w:eastAsia="Calibri" w:hAnsi="Calibri"/>
          <w:sz w:val="20"/>
          <w:szCs w:val="20"/>
        </w:rPr>
        <w:t xml:space="preserve">, </w:t>
      </w:r>
      <w:r w:rsidRPr="00775640">
        <w:rPr>
          <w:rFonts w:ascii="Calibri" w:eastAsia="Calibri" w:hAnsi="Calibri"/>
          <w:sz w:val="20"/>
          <w:szCs w:val="20"/>
        </w:rPr>
        <w:t>Juneau, AK 99802-1668</w:t>
      </w:r>
    </w:p>
    <w:p w14:paraId="21227CBA" w14:textId="77777777" w:rsidR="008F1CDB" w:rsidRDefault="008F1CDB" w:rsidP="008F1CDB">
      <w:pPr>
        <w:widowControl/>
        <w:autoSpaceDE/>
        <w:autoSpaceDN/>
        <w:adjustRightInd/>
        <w:rPr>
          <w:rFonts w:ascii="Calibri" w:eastAsia="Calibri" w:hAnsi="Calibri"/>
          <w:sz w:val="20"/>
          <w:szCs w:val="20"/>
        </w:rPr>
      </w:pPr>
      <w:r w:rsidRPr="00B55F1D">
        <w:rPr>
          <w:rFonts w:ascii="Calibri" w:eastAsia="Calibri" w:hAnsi="Calibri"/>
          <w:sz w:val="20"/>
          <w:szCs w:val="20"/>
        </w:rPr>
        <w:t xml:space="preserve">  </w:t>
      </w:r>
      <w:r>
        <w:rPr>
          <w:rFonts w:ascii="Calibri" w:eastAsia="Calibri" w:hAnsi="Calibri"/>
          <w:sz w:val="20"/>
          <w:szCs w:val="20"/>
        </w:rPr>
        <w:t xml:space="preserve">  </w:t>
      </w:r>
      <w:r w:rsidRPr="00B55F1D">
        <w:rPr>
          <w:rFonts w:ascii="Calibri" w:eastAsia="Calibri" w:hAnsi="Calibri"/>
          <w:b/>
          <w:sz w:val="20"/>
          <w:szCs w:val="20"/>
        </w:rPr>
        <w:t>Fax</w:t>
      </w:r>
      <w:r>
        <w:rPr>
          <w:rFonts w:ascii="Calibri" w:eastAsia="Calibri" w:hAnsi="Calibri"/>
          <w:sz w:val="20"/>
          <w:szCs w:val="20"/>
        </w:rPr>
        <w:t>: (907) 586-7131</w:t>
      </w:r>
    </w:p>
    <w:p w14:paraId="4317AD5C" w14:textId="1D6E7338" w:rsidR="008F1CDB" w:rsidRPr="00B55F1D" w:rsidRDefault="008F1CDB" w:rsidP="008F1CDB">
      <w:pPr>
        <w:widowControl/>
        <w:autoSpaceDE/>
        <w:autoSpaceDN/>
        <w:adjustRightInd/>
        <w:ind w:left="144" w:hanging="144"/>
        <w:rPr>
          <w:rFonts w:ascii="Calibri" w:eastAsia="Calibri" w:hAnsi="Calibri"/>
          <w:sz w:val="20"/>
          <w:szCs w:val="20"/>
        </w:rPr>
      </w:pPr>
      <w:r w:rsidRPr="00DF6F02">
        <w:rPr>
          <w:rFonts w:ascii="Calibri" w:eastAsia="Calibri" w:hAnsi="Calibri"/>
          <w:sz w:val="20"/>
          <w:szCs w:val="20"/>
          <w:vertAlign w:val="superscript"/>
        </w:rPr>
        <w:t>2/</w:t>
      </w:r>
      <w:r>
        <w:rPr>
          <w:rFonts w:ascii="Calibri" w:eastAsia="Calibri" w:hAnsi="Calibri"/>
          <w:sz w:val="20"/>
          <w:szCs w:val="20"/>
        </w:rPr>
        <w:t xml:space="preserve"> Appeals</w:t>
      </w:r>
      <w:r>
        <w:rPr>
          <w:rFonts w:ascii="Calibri" w:eastAsia="Calibri" w:hAnsi="Calibri" w:cs="Calibri"/>
          <w:sz w:val="20"/>
          <w:szCs w:val="20"/>
        </w:rPr>
        <w:t>—</w:t>
      </w:r>
      <w:r w:rsidRPr="00DF6F02">
        <w:rPr>
          <w:rFonts w:ascii="Calibri" w:eastAsia="Calibri" w:hAnsi="Calibri"/>
          <w:b/>
          <w:sz w:val="20"/>
          <w:szCs w:val="20"/>
        </w:rPr>
        <w:t>Fax</w:t>
      </w:r>
      <w:r w:rsidRPr="00DF6F02">
        <w:rPr>
          <w:rFonts w:ascii="Calibri" w:eastAsia="Calibri" w:hAnsi="Calibri"/>
          <w:sz w:val="20"/>
          <w:szCs w:val="20"/>
        </w:rPr>
        <w:t>: (301) 713–2384</w:t>
      </w:r>
      <w:r>
        <w:rPr>
          <w:rFonts w:ascii="Calibri" w:eastAsia="Calibri" w:hAnsi="Calibri"/>
          <w:sz w:val="20"/>
          <w:szCs w:val="20"/>
        </w:rPr>
        <w:t>; M</w:t>
      </w:r>
      <w:r w:rsidRPr="007F28BA">
        <w:rPr>
          <w:rFonts w:ascii="Calibri" w:eastAsia="Calibri" w:hAnsi="Calibri"/>
          <w:sz w:val="20"/>
          <w:szCs w:val="20"/>
        </w:rPr>
        <w:t>ail or delivery</w:t>
      </w:r>
      <w:r>
        <w:rPr>
          <w:rFonts w:ascii="Calibri" w:eastAsia="Calibri" w:hAnsi="Calibri"/>
          <w:sz w:val="20"/>
          <w:szCs w:val="20"/>
        </w:rPr>
        <w:t xml:space="preserve">: </w:t>
      </w:r>
      <w:r w:rsidRPr="00DF6F02">
        <w:rPr>
          <w:rFonts w:ascii="Calibri" w:eastAsia="Calibri" w:hAnsi="Calibri"/>
          <w:sz w:val="20"/>
          <w:szCs w:val="20"/>
        </w:rPr>
        <w:t>National Appeals Office</w:t>
      </w:r>
      <w:r>
        <w:rPr>
          <w:rFonts w:ascii="Calibri" w:eastAsia="Calibri" w:hAnsi="Calibri"/>
          <w:sz w:val="20"/>
          <w:szCs w:val="20"/>
        </w:rPr>
        <w:t xml:space="preserve">, 1315 East-West Highway, </w:t>
      </w:r>
      <w:r w:rsidRPr="00DF6F02">
        <w:rPr>
          <w:rFonts w:ascii="Calibri" w:eastAsia="Calibri" w:hAnsi="Calibri"/>
          <w:sz w:val="20"/>
          <w:szCs w:val="20"/>
        </w:rPr>
        <w:t>Silver Spring, MD 20910</w:t>
      </w:r>
      <w:r>
        <w:rPr>
          <w:rFonts w:ascii="Calibri" w:eastAsia="Calibri" w:hAnsi="Calibri"/>
          <w:sz w:val="20"/>
          <w:szCs w:val="20"/>
        </w:rPr>
        <w:t>.</w:t>
      </w:r>
      <w:r w:rsidR="008D4078">
        <w:rPr>
          <w:rFonts w:ascii="Calibri" w:eastAsia="Calibri" w:hAnsi="Calibri"/>
          <w:sz w:val="20"/>
          <w:szCs w:val="20"/>
        </w:rPr>
        <w:t xml:space="preserve"> </w:t>
      </w:r>
    </w:p>
    <w:p w14:paraId="1CA234C9" w14:textId="77777777" w:rsidR="008840E2" w:rsidRDefault="008840E2">
      <w:pPr>
        <w:widowControl/>
        <w:autoSpaceDE/>
        <w:autoSpaceDN/>
        <w:adjustRightInd/>
      </w:pPr>
    </w:p>
    <w:p w14:paraId="44C355C7" w14:textId="116D3A61" w:rsidR="008840E2" w:rsidRDefault="008840E2">
      <w:pPr>
        <w:widowControl/>
        <w:autoSpaceDE/>
        <w:autoSpaceDN/>
        <w:adjustRightInd/>
      </w:pPr>
    </w:p>
    <w:p w14:paraId="26656592" w14:textId="21CC783C" w:rsidR="005C3F6F" w:rsidRDefault="005C3F6F">
      <w:pPr>
        <w:widowControl/>
        <w:autoSpaceDE/>
        <w:autoSpaceDN/>
        <w:adjustRightInd/>
      </w:pPr>
    </w:p>
    <w:p w14:paraId="3C2D6A8B" w14:textId="77777777" w:rsidR="005C3F6F" w:rsidRDefault="005C3F6F">
      <w:pPr>
        <w:widowControl/>
        <w:autoSpaceDE/>
        <w:autoSpaceDN/>
        <w:adjustRightInd/>
      </w:pPr>
    </w:p>
    <w:p w14:paraId="6ACF8CDA" w14:textId="42D6C5B0" w:rsidR="00915E43" w:rsidRPr="00CE24AC" w:rsidRDefault="008840E2" w:rsidP="00A27D61">
      <w:pPr>
        <w:widowControl/>
        <w:autoSpaceDE/>
        <w:autoSpaceDN/>
        <w:adjustRightInd/>
        <w:rPr>
          <w:b/>
        </w:rPr>
      </w:pPr>
      <w:r w:rsidRPr="00CE24AC">
        <w:rPr>
          <w:b/>
        </w:rPr>
        <w:t xml:space="preserve">The following </w:t>
      </w:r>
      <w:r w:rsidR="00CE24AC" w:rsidRPr="00CE24AC">
        <w:rPr>
          <w:b/>
        </w:rPr>
        <w:t xml:space="preserve">addresses the purpose for which the information is collection and some additional information about </w:t>
      </w:r>
      <w:r w:rsidR="0051712D" w:rsidRPr="00CE24AC">
        <w:rPr>
          <w:b/>
        </w:rPr>
        <w:t>how the information is collected</w:t>
      </w:r>
      <w:r w:rsidR="00A27D61" w:rsidRPr="00CE24AC">
        <w:rPr>
          <w:b/>
        </w:rPr>
        <w:t xml:space="preserve">. </w:t>
      </w:r>
    </w:p>
    <w:p w14:paraId="51D2EA99" w14:textId="77777777" w:rsidR="00A27D61" w:rsidRDefault="00A27D61" w:rsidP="00A27D61">
      <w:pPr>
        <w:widowControl/>
        <w:autoSpaceDE/>
        <w:autoSpaceDN/>
        <w:adjustRightInd/>
      </w:pPr>
    </w:p>
    <w:p w14:paraId="2D1665E6" w14:textId="4AA8E125" w:rsidR="0051712D" w:rsidRDefault="0051712D">
      <w:pPr>
        <w:widowControl/>
        <w:autoSpaceDE/>
        <w:autoSpaceDN/>
        <w:adjustRightInd/>
        <w:rPr>
          <w:b/>
        </w:rPr>
      </w:pPr>
      <w:r>
        <w:rPr>
          <w:b/>
        </w:rPr>
        <w:t xml:space="preserve">CDQ Vessel Registration System </w:t>
      </w:r>
    </w:p>
    <w:p w14:paraId="0D08E31D" w14:textId="2ECA190C" w:rsidR="0051712D" w:rsidRDefault="0051712D">
      <w:pPr>
        <w:widowControl/>
        <w:autoSpaceDE/>
        <w:autoSpaceDN/>
        <w:adjustRightInd/>
        <w:rPr>
          <w:b/>
        </w:rPr>
      </w:pPr>
    </w:p>
    <w:p w14:paraId="27408397" w14:textId="77777777" w:rsidR="00CE24AC" w:rsidRDefault="00CE24AC" w:rsidP="00CE24AC">
      <w:pPr>
        <w:spacing w:after="240"/>
      </w:pPr>
      <w:r>
        <w:t xml:space="preserve">The CDQ Vessel Registration System is necessary for the CDQ to register with NMFS those vessels that will be participating in groundfish CDQ fisheries in the BSAI under an LLP exemption and under different and less restrictive prohibited species catch requirements and observer coverage requirements. </w:t>
      </w:r>
    </w:p>
    <w:p w14:paraId="41F5D5DA" w14:textId="725EE3F3" w:rsidR="0051712D" w:rsidRDefault="0051712D" w:rsidP="0051712D">
      <w:pPr>
        <w:spacing w:after="240"/>
      </w:pPr>
      <w:r w:rsidRPr="00494E1E">
        <w:t>The CDQ representative may add vessels to the CDQ vessel registration list at any time by logging into the CDQ vessel registration system through eFISH.</w:t>
      </w:r>
      <w:r w:rsidR="00C8258B">
        <w:t xml:space="preserve"> eFISH is NMFS’s online application used to perform many information collection functions for the NMFS Alaska Region. </w:t>
      </w:r>
      <w:r w:rsidRPr="00196DF8">
        <w:t xml:space="preserve">The CDQ group representative must log into the online system using the group’s existing NMFS </w:t>
      </w:r>
      <w:r w:rsidR="00CE24AC">
        <w:t xml:space="preserve">Person </w:t>
      </w:r>
      <w:r w:rsidRPr="00196DF8">
        <w:t>ID and password. Use of the NMFS Person ID and password certifies that all information is true, correct, and complete.</w:t>
      </w:r>
      <w:r>
        <w:t xml:space="preserve"> </w:t>
      </w:r>
      <w:r w:rsidRPr="00196DF8">
        <w:t xml:space="preserve">The CDQ group representative may add vessels to or remove vessels from the CDQ vessel registration system at any time during the year by logging into the online system. Through the </w:t>
      </w:r>
      <w:r>
        <w:t xml:space="preserve">CDQ </w:t>
      </w:r>
      <w:r w:rsidRPr="00196DF8">
        <w:t>registration</w:t>
      </w:r>
      <w:r>
        <w:t xml:space="preserve"> system</w:t>
      </w:r>
      <w:r w:rsidRPr="00196DF8">
        <w:t xml:space="preserve">, each registered vessel is added to the CDQ vessel registration list on the </w:t>
      </w:r>
      <w:hyperlink r:id="rId11" w:history="1">
        <w:r w:rsidRPr="00703FB0">
          <w:rPr>
            <w:rStyle w:val="Hyperlink"/>
          </w:rPr>
          <w:t>NMFS Alaska Region Web site</w:t>
        </w:r>
      </w:hyperlink>
      <w:r w:rsidRPr="00196DF8">
        <w:t>.</w:t>
      </w:r>
      <w:r>
        <w:t xml:space="preserve"> </w:t>
      </w:r>
      <w:r w:rsidRPr="00196DF8">
        <w:t>Once registered, a vessel will remain on the CDQ vessel registration list until removed by a CDQ representative.</w:t>
      </w:r>
      <w:r>
        <w:t xml:space="preserve"> </w:t>
      </w:r>
    </w:p>
    <w:p w14:paraId="6663EE55" w14:textId="6178D10C" w:rsidR="0051712D" w:rsidRDefault="00B55E9A" w:rsidP="0051712D">
      <w:pPr>
        <w:spacing w:after="240"/>
      </w:pPr>
      <w:r>
        <w:t>For those vessels that are eligible for an LLP exemption, t</w:t>
      </w:r>
      <w:r w:rsidR="0051712D" w:rsidRPr="00196DF8">
        <w:t>he CDQ vessel registration system provide</w:t>
      </w:r>
      <w:r>
        <w:t>s</w:t>
      </w:r>
      <w:r w:rsidR="0051712D" w:rsidRPr="00196DF8">
        <w:t xml:space="preserve"> a</w:t>
      </w:r>
      <w:r w:rsidR="0051712D">
        <w:t xml:space="preserve"> </w:t>
      </w:r>
      <w:r w:rsidR="0051712D" w:rsidRPr="00196DF8">
        <w:t xml:space="preserve">letter documenting </w:t>
      </w:r>
      <w:r>
        <w:t xml:space="preserve">that the exemption applies while the vessel is groundfish </w:t>
      </w:r>
      <w:r w:rsidR="0051712D" w:rsidRPr="00196DF8">
        <w:t xml:space="preserve">CDQ fishing. The CDQ representative must provide a copy of the LLP exemption letter to </w:t>
      </w:r>
      <w:r w:rsidR="0051712D">
        <w:t>each</w:t>
      </w:r>
      <w:r w:rsidR="0051712D" w:rsidRPr="00196DF8">
        <w:t xml:space="preserve"> vessel operator. The vessel operator must maintain a legible copy of the LLP exemption letter on board </w:t>
      </w:r>
      <w:r w:rsidR="0051712D">
        <w:t xml:space="preserve">at all times </w:t>
      </w:r>
      <w:r w:rsidR="0051712D" w:rsidRPr="00196DF8">
        <w:t>while that vessel is groundfish CDQ fishing.</w:t>
      </w:r>
      <w:r w:rsidR="0051712D">
        <w:t xml:space="preserve"> </w:t>
      </w:r>
    </w:p>
    <w:p w14:paraId="46543F01" w14:textId="77777777" w:rsidR="00B55E9A" w:rsidRDefault="00B55E9A" w:rsidP="00B55E9A">
      <w:pPr>
        <w:tabs>
          <w:tab w:val="left" w:pos="360"/>
          <w:tab w:val="left" w:pos="720"/>
          <w:tab w:val="left" w:pos="1080"/>
        </w:tabs>
        <w:spacing w:after="240"/>
      </w:pPr>
      <w:r>
        <w:t xml:space="preserve">To remove a </w:t>
      </w:r>
      <w:r w:rsidRPr="00C100F6">
        <w:t>registered vessel from the CDQ vessel registration list</w:t>
      </w:r>
      <w:r>
        <w:t>, a</w:t>
      </w:r>
      <w:r w:rsidRPr="00C100F6">
        <w:t xml:space="preserve"> CDQ group representative </w:t>
      </w:r>
      <w:r>
        <w:t xml:space="preserve">must: </w:t>
      </w:r>
    </w:p>
    <w:p w14:paraId="2901D438" w14:textId="77777777" w:rsidR="00B55E9A" w:rsidRDefault="00B55E9A" w:rsidP="00B55E9A">
      <w:pPr>
        <w:pStyle w:val="ListParagraph"/>
        <w:numPr>
          <w:ilvl w:val="0"/>
          <w:numId w:val="7"/>
        </w:numPr>
        <w:tabs>
          <w:tab w:val="left" w:pos="360"/>
          <w:tab w:val="left" w:pos="720"/>
          <w:tab w:val="left" w:pos="1080"/>
        </w:tabs>
        <w:spacing w:after="240"/>
      </w:pPr>
      <w:r>
        <w:t>Provide notice to the operator of the registered vessel that the vessel is being removed from the vessel registration list;</w:t>
      </w:r>
    </w:p>
    <w:p w14:paraId="46372D6D" w14:textId="53446E9A" w:rsidR="00B55E9A" w:rsidRDefault="00B55E9A" w:rsidP="00952DBF">
      <w:pPr>
        <w:tabs>
          <w:tab w:val="left" w:pos="720"/>
        </w:tabs>
        <w:spacing w:after="240"/>
        <w:ind w:left="360"/>
      </w:pPr>
      <w:r>
        <w:t>♦</w:t>
      </w:r>
      <w:r>
        <w:tab/>
        <w:t>C</w:t>
      </w:r>
      <w:r w:rsidRPr="00C100F6">
        <w:t xml:space="preserve">ertify at the time of removal that the vessel operator </w:t>
      </w:r>
      <w:r>
        <w:t xml:space="preserve">was </w:t>
      </w:r>
      <w:r w:rsidRPr="00C100F6">
        <w:t>given notice by the CDQ group</w:t>
      </w:r>
      <w:r>
        <w:t xml:space="preserve"> </w:t>
      </w:r>
      <w:r w:rsidRPr="00C100F6">
        <w:t xml:space="preserve">that the vessel </w:t>
      </w:r>
      <w:r>
        <w:t>was</w:t>
      </w:r>
      <w:r w:rsidRPr="00C100F6">
        <w:t xml:space="preserve"> going to be removed from the list</w:t>
      </w:r>
      <w:r>
        <w:t>; and</w:t>
      </w:r>
    </w:p>
    <w:p w14:paraId="4DD69A92" w14:textId="3FC4BD02" w:rsidR="00B55E9A" w:rsidRDefault="00B55E9A" w:rsidP="00952DBF">
      <w:pPr>
        <w:tabs>
          <w:tab w:val="left" w:pos="720"/>
        </w:tabs>
        <w:spacing w:after="240"/>
        <w:ind w:left="360"/>
      </w:pPr>
      <w:r>
        <w:t>♦</w:t>
      </w:r>
      <w:r>
        <w:tab/>
        <w:t xml:space="preserve">Certify </w:t>
      </w:r>
      <w:r w:rsidRPr="00C100F6">
        <w:t xml:space="preserve">that the vessel </w:t>
      </w:r>
      <w:r>
        <w:t>was</w:t>
      </w:r>
      <w:r w:rsidRPr="00C100F6">
        <w:t xml:space="preserve"> not groundfish CDQ fishing at the time of removal. </w:t>
      </w:r>
    </w:p>
    <w:p w14:paraId="08643E84" w14:textId="42829D5B" w:rsidR="0051712D" w:rsidRDefault="00B55E9A" w:rsidP="00B55E9A">
      <w:pPr>
        <w:tabs>
          <w:tab w:val="left" w:pos="360"/>
          <w:tab w:val="left" w:pos="720"/>
          <w:tab w:val="left" w:pos="1080"/>
        </w:tabs>
        <w:spacing w:after="240"/>
      </w:pPr>
      <w:r>
        <w:t>If a vessel is removed from the CDQ</w:t>
      </w:r>
      <w:r w:rsidR="00CE24AC">
        <w:t xml:space="preserve"> vessel registration list, eFISH</w:t>
      </w:r>
      <w:r>
        <w:t xml:space="preserve"> </w:t>
      </w:r>
      <w:r w:rsidR="0051712D">
        <w:t xml:space="preserve">will provide a printable confirmation that a vessel has been removed. Once a vessel is removed from the CDQ vessel registration list, that vessel is no longer exempt from the LLP requirements, even if the operator was still in possession of the LLP exemption letter. </w:t>
      </w:r>
    </w:p>
    <w:p w14:paraId="5DAFACA7" w14:textId="6F9413DB" w:rsidR="00A27D61" w:rsidRPr="00196DF8" w:rsidRDefault="00A27D61" w:rsidP="00A27D61">
      <w:pPr>
        <w:spacing w:after="240"/>
      </w:pPr>
      <w:r>
        <w:t xml:space="preserve">To date, since this exemption opportunity was implemented in 2016, NMFS has received no registrations through the CDQ Vessel Registration System. The CDQ groups requested this program because </w:t>
      </w:r>
      <w:r w:rsidR="00CC4055">
        <w:t xml:space="preserve">they </w:t>
      </w:r>
      <w:r>
        <w:t xml:space="preserve">wanted the opportunity to develop small boat fisheries without having to purchase potentially expensive LLP licenses or to comply with some of the other catch monitoring requirements that apply in the CDQ fisheries. The Council approved and NMFS implemented this program. However, thus far, the CDQ groups have not </w:t>
      </w:r>
      <w:r w:rsidR="00CC4055">
        <w:t>wanted to use vessels in their groundfish fisheries that needed an LLP license exemption</w:t>
      </w:r>
      <w:r>
        <w:t xml:space="preserve">. Therefore, no information has yet been </w:t>
      </w:r>
      <w:r w:rsidR="00CC4055">
        <w:t xml:space="preserve">collected by NMFS through this system. </w:t>
      </w:r>
      <w:r>
        <w:t xml:space="preserve">  </w:t>
      </w:r>
    </w:p>
    <w:p w14:paraId="1460D9F4" w14:textId="77777777" w:rsidR="00915E43" w:rsidRDefault="00915E43" w:rsidP="00915E43">
      <w:pPr>
        <w:tabs>
          <w:tab w:val="left" w:pos="-1180"/>
          <w:tab w:val="left" w:pos="-720"/>
          <w:tab w:val="left" w:pos="360"/>
          <w:tab w:val="left" w:pos="720"/>
          <w:tab w:val="left" w:pos="1080"/>
        </w:tabs>
        <w:spacing w:after="240"/>
      </w:pPr>
      <w:r w:rsidRPr="00915E43">
        <w:rPr>
          <w:b/>
        </w:rPr>
        <w:t>Groundfish/Halibut CDQ and Prohibited Species Quota (PSQ) Transfer Request</w:t>
      </w:r>
      <w:r>
        <w:t xml:space="preserve"> </w:t>
      </w:r>
    </w:p>
    <w:p w14:paraId="6D9FE764" w14:textId="30147FF5" w:rsidR="00CC4055" w:rsidRDefault="00CC4055" w:rsidP="00CC4055">
      <w:pPr>
        <w:tabs>
          <w:tab w:val="left" w:pos="360"/>
          <w:tab w:val="left" w:pos="720"/>
          <w:tab w:val="left" w:pos="1080"/>
        </w:tabs>
        <w:spacing w:after="240"/>
      </w:pPr>
      <w:r>
        <w:t xml:space="preserve">All of the CDQ groups are annually issued account balances for amounts of groundfish and halibut that may be harvested by vessels fishing on behalf of the group that year. In addition, all of the CDQ groups are issued annual account balances for halibut PSQ. These allocations may be transferred among the CDQ groups. If a CDQ group wishes to transfer groundfish CDQ, halibut CDQ, or halibut PSQ to another CDQ group, it must submit a transfer request to NMFS. The transfer request provides NMFS with the necessary information to transfer the CDQ or PSQ from one CDQ group’s account to another. </w:t>
      </w:r>
    </w:p>
    <w:p w14:paraId="34A1CA16" w14:textId="76B726FD" w:rsidR="00C8258B" w:rsidRDefault="00C8258B" w:rsidP="00915E43">
      <w:pPr>
        <w:tabs>
          <w:tab w:val="left" w:pos="-1180"/>
          <w:tab w:val="left" w:pos="-720"/>
          <w:tab w:val="left" w:pos="360"/>
          <w:tab w:val="left" w:pos="720"/>
          <w:tab w:val="left" w:pos="1080"/>
        </w:tabs>
        <w:spacing w:after="240"/>
      </w:pPr>
      <w:r>
        <w:t>The transfer request may be submitted electronically through eFISH or by mail or fax. All CDQ transfer requests in the last three years have been submitted electronically through eFISH. For online transfer requests, the t</w:t>
      </w:r>
      <w:r w:rsidRPr="00C8258B">
        <w:t xml:space="preserve">ransferor's and </w:t>
      </w:r>
      <w:r>
        <w:t>t</w:t>
      </w:r>
      <w:r w:rsidRPr="00C8258B">
        <w:t xml:space="preserve">ransferee’s designated representative must log into the system and create a transfer request </w:t>
      </w:r>
      <w:r>
        <w:t xml:space="preserve">following the instructions on the </w:t>
      </w:r>
      <w:r w:rsidRPr="00C8258B">
        <w:t xml:space="preserve">computer screen. By using the transferor's NMFS </w:t>
      </w:r>
      <w:r w:rsidR="00CC4055">
        <w:t xml:space="preserve">Person </w:t>
      </w:r>
      <w:r w:rsidRPr="00C8258B">
        <w:t>ID, password, and Transfer Key and submitting the transfer request, the designated representative certifies that all information is true, correct, and complete.</w:t>
      </w:r>
      <w:r>
        <w:t xml:space="preserve"> The i</w:t>
      </w:r>
      <w:r w:rsidR="003B11C2">
        <w:t>nformation that is required in eFISH</w:t>
      </w:r>
      <w:r>
        <w:t xml:space="preserve"> is the same information that is indicated on the form associated with this collection. </w:t>
      </w:r>
    </w:p>
    <w:p w14:paraId="66C3BA0D" w14:textId="4E689C9B" w:rsidR="00145442" w:rsidRPr="0058587E" w:rsidRDefault="00145442" w:rsidP="00145442">
      <w:pPr>
        <w:tabs>
          <w:tab w:val="left" w:pos="360"/>
          <w:tab w:val="left" w:pos="720"/>
          <w:tab w:val="left" w:pos="1080"/>
        </w:tabs>
        <w:spacing w:after="240"/>
        <w:rPr>
          <w:b/>
        </w:rPr>
      </w:pPr>
      <w:r w:rsidRPr="0058587E">
        <w:rPr>
          <w:b/>
        </w:rPr>
        <w:t>Application for Approval of Use of Non-CDQ Harvest Regulations</w:t>
      </w:r>
    </w:p>
    <w:p w14:paraId="3E1D0EFB" w14:textId="77777777" w:rsidR="00CC4055" w:rsidRDefault="00CC4055" w:rsidP="00CC4055">
      <w:pPr>
        <w:tabs>
          <w:tab w:val="left" w:pos="-1180"/>
          <w:tab w:val="left" w:pos="-720"/>
          <w:tab w:val="left" w:pos="0"/>
          <w:tab w:val="left" w:pos="360"/>
          <w:tab w:val="left" w:pos="720"/>
          <w:tab w:val="left" w:pos="1080"/>
        </w:tabs>
        <w:spacing w:after="240"/>
      </w:pPr>
      <w:r>
        <w:t>The information required to be submitted in the A</w:t>
      </w:r>
      <w:r w:rsidRPr="00715410">
        <w:t xml:space="preserve">pplication </w:t>
      </w:r>
      <w:r>
        <w:t>for Approval to U</w:t>
      </w:r>
      <w:r w:rsidRPr="00715410">
        <w:t xml:space="preserve">se </w:t>
      </w:r>
      <w:r>
        <w:t xml:space="preserve">Non-CDQ Harvest Regulations is necessary for NMFS to identify the fishing sector that may have formed a voluntary cooperative and may be eligible to fish in the CDQ fisheries under regulations developed for a non-CDQ fishing sector.   </w:t>
      </w:r>
    </w:p>
    <w:p w14:paraId="3B10B829" w14:textId="262E06DD" w:rsidR="00592E7B" w:rsidRDefault="00145442" w:rsidP="00592E7B">
      <w:pPr>
        <w:tabs>
          <w:tab w:val="left" w:pos="360"/>
          <w:tab w:val="left" w:pos="1080"/>
        </w:tabs>
        <w:spacing w:after="240"/>
      </w:pPr>
      <w:r w:rsidRPr="00715410">
        <w:t>A</w:t>
      </w:r>
      <w:r>
        <w:t>n</w:t>
      </w:r>
      <w:r w:rsidRPr="00715410">
        <w:t xml:space="preserve"> </w:t>
      </w:r>
      <w:r>
        <w:t xml:space="preserve">authorized </w:t>
      </w:r>
      <w:r w:rsidRPr="00715410">
        <w:t>representative</w:t>
      </w:r>
      <w:r>
        <w:t xml:space="preserve"> of a </w:t>
      </w:r>
      <w:r w:rsidRPr="00715410">
        <w:t>CDQ group, an association representing CDQ groups, or a voluntary fis</w:t>
      </w:r>
      <w:r w:rsidR="00592E7B">
        <w:t>hing cooperative may submit an A</w:t>
      </w:r>
      <w:r w:rsidRPr="00715410">
        <w:t xml:space="preserve">pplication </w:t>
      </w:r>
      <w:r w:rsidR="00592E7B">
        <w:t>for Approval to U</w:t>
      </w:r>
      <w:r w:rsidRPr="00715410">
        <w:t xml:space="preserve">se </w:t>
      </w:r>
      <w:r w:rsidR="00592E7B">
        <w:t xml:space="preserve">Non-CDQ Harvest Regulations. </w:t>
      </w:r>
      <w:r w:rsidR="00592E7B" w:rsidRPr="009D1226">
        <w:t xml:space="preserve">A completed application </w:t>
      </w:r>
      <w:r w:rsidR="00592E7B">
        <w:t xml:space="preserve">consists </w:t>
      </w:r>
      <w:r w:rsidR="00592E7B" w:rsidRPr="009D1226">
        <w:t>of an application form and a copy of the cooperative contract or an affidavit</w:t>
      </w:r>
      <w:r w:rsidR="00592E7B">
        <w:t xml:space="preserve">. A copy of the </w:t>
      </w:r>
      <w:hyperlink r:id="rId12" w:history="1">
        <w:r w:rsidR="00592E7B" w:rsidRPr="00BE7638">
          <w:rPr>
            <w:rStyle w:val="Hyperlink"/>
          </w:rPr>
          <w:t>application form</w:t>
        </w:r>
      </w:hyperlink>
      <w:r w:rsidR="00592E7B">
        <w:t xml:space="preserve"> is available on NMFS webpage. This application may be submitted to NMFS at any time. </w:t>
      </w:r>
    </w:p>
    <w:p w14:paraId="7D2F37AE" w14:textId="47AB92DD" w:rsidR="00592E7B" w:rsidRDefault="00592E7B" w:rsidP="00592E7B">
      <w:pPr>
        <w:tabs>
          <w:tab w:val="left" w:pos="360"/>
          <w:tab w:val="left" w:pos="720"/>
          <w:tab w:val="left" w:pos="1080"/>
        </w:tabs>
        <w:spacing w:after="240"/>
      </w:pPr>
      <w:r>
        <w:t xml:space="preserve">NMFS approves the application if it contains of the information required in 50 CFR § 679.32(e), the vessels listed on the application form represent a majority of vessels participating in an applicable sector, and the CDQ harvest regulations are more restrictive than the non-CDQ regulations for the applicable sector. NMFS documents approval of an application through a letter to the applicant.  </w:t>
      </w:r>
    </w:p>
    <w:p w14:paraId="06A7C679" w14:textId="7BB7B3B1" w:rsidR="00592E7B" w:rsidRDefault="00592E7B" w:rsidP="00592E7B">
      <w:pPr>
        <w:tabs>
          <w:tab w:val="left" w:pos="360"/>
          <w:tab w:val="left" w:pos="720"/>
          <w:tab w:val="left" w:pos="1080"/>
        </w:tabs>
        <w:spacing w:after="240"/>
      </w:pPr>
      <w:r>
        <w:t xml:space="preserve">If NMFS determines that the application is deficient, NMFS will notify the applicant in writing to identify the discrepancies and provide the applicant with an opportunity to correct them. If the applicant fails to address the deficiencies, NMFS will issue an initial administrative determination (IAD) denying the application. The applicant may appeal this IAD under the process described below for “Appeals.” </w:t>
      </w:r>
    </w:p>
    <w:p w14:paraId="77950936" w14:textId="77777777" w:rsidR="003E00D5" w:rsidRDefault="00F307B5" w:rsidP="00145442">
      <w:pPr>
        <w:tabs>
          <w:tab w:val="left" w:pos="-1180"/>
          <w:tab w:val="left" w:pos="-720"/>
          <w:tab w:val="left" w:pos="0"/>
          <w:tab w:val="left" w:pos="360"/>
          <w:tab w:val="left" w:pos="720"/>
          <w:tab w:val="left" w:pos="1080"/>
        </w:tabs>
        <w:spacing w:after="240"/>
      </w:pPr>
      <w:r>
        <w:t>Only one application has been received in 2012, and it was submitted by a representative of the CDQ groups.</w:t>
      </w:r>
      <w:r w:rsidR="00896D67">
        <w:t xml:space="preserve"> NMFS approved this application and the vessels in the Freezer Longline Cooperative have been fishing under non-CDQ Program harvest regulations since mid-2012.</w:t>
      </w:r>
      <w:r w:rsidR="003E00D5">
        <w:t xml:space="preserve"> </w:t>
      </w:r>
    </w:p>
    <w:p w14:paraId="2785ADAB" w14:textId="7AC401FF" w:rsidR="00915E43" w:rsidRPr="00915E43" w:rsidRDefault="00915E43" w:rsidP="00145442">
      <w:pPr>
        <w:tabs>
          <w:tab w:val="left" w:pos="360"/>
          <w:tab w:val="left" w:pos="720"/>
          <w:tab w:val="left" w:pos="1080"/>
        </w:tabs>
        <w:spacing w:after="240"/>
        <w:rPr>
          <w:b/>
        </w:rPr>
      </w:pPr>
      <w:r w:rsidRPr="00915E43">
        <w:rPr>
          <w:b/>
        </w:rPr>
        <w:t xml:space="preserve">Appeals </w:t>
      </w:r>
    </w:p>
    <w:p w14:paraId="54D7E9C8" w14:textId="77777777" w:rsidR="00ED4DA1" w:rsidRDefault="00391C1F" w:rsidP="00ED4DA1">
      <w:pPr>
        <w:widowControl/>
        <w:autoSpaceDE/>
        <w:autoSpaceDN/>
        <w:adjustRightInd/>
        <w:spacing w:after="240"/>
      </w:pPr>
      <w:r>
        <w:t xml:space="preserve">Appeals of any NOAA initial administrative determination are handled by the NOAA’s National Appeals Office (NAO). </w:t>
      </w:r>
      <w:r w:rsidR="00896D67">
        <w:t>The appeal component of this information collection is provided in case NMFS were to deny an A</w:t>
      </w:r>
      <w:r w:rsidR="00896D67" w:rsidRPr="00715410">
        <w:t xml:space="preserve">pplication </w:t>
      </w:r>
      <w:r w:rsidR="00896D67">
        <w:t>for Approval to U</w:t>
      </w:r>
      <w:r w:rsidR="00896D67" w:rsidRPr="00715410">
        <w:t xml:space="preserve">se </w:t>
      </w:r>
      <w:r w:rsidR="00896D67">
        <w:t xml:space="preserve">Non-CDQ Harvest Regulations in the future. </w:t>
      </w:r>
      <w:r w:rsidR="00ED4DA1">
        <w:t xml:space="preserve">The information required to be submitted for an appeal is necessary to provide the NAO with the information that the appellant wishes NAO to consider in its appeal of NMFS’s IAD. </w:t>
      </w:r>
    </w:p>
    <w:p w14:paraId="2B79E217" w14:textId="00261292" w:rsidR="008D4078" w:rsidRDefault="008D4078" w:rsidP="00ED4DA1">
      <w:pPr>
        <w:tabs>
          <w:tab w:val="left" w:pos="360"/>
          <w:tab w:val="left" w:pos="720"/>
          <w:tab w:val="left" w:pos="1080"/>
        </w:tabs>
        <w:spacing w:after="240"/>
      </w:pPr>
      <w:r>
        <w:t xml:space="preserve">The instructions for filing an administrative appeal are at 50 CFR part 906. These regulations require that appeals shall be submitted to NOA via facsimile, unless the person does not have access to a fax machine, in which case he or she may file by regular mail or commercial carrier. </w:t>
      </w:r>
    </w:p>
    <w:p w14:paraId="1F67A248" w14:textId="1F845E0E" w:rsidR="00562AA4" w:rsidRPr="008840E2" w:rsidRDefault="008840E2" w:rsidP="008840E2">
      <w:pPr>
        <w:widowControl/>
        <w:autoSpaceDE/>
        <w:autoSpaceDN/>
        <w:adjustRightInd/>
        <w:rPr>
          <w:b/>
        </w:rPr>
      </w:pPr>
      <w:r w:rsidRPr="008840E2">
        <w:rPr>
          <w:b/>
        </w:rPr>
        <w:t xml:space="preserve">The following section addresses whether </w:t>
      </w:r>
      <w:r w:rsidR="00562AA4" w:rsidRPr="008840E2">
        <w:rPr>
          <w:b/>
          <w:bCs/>
        </w:rPr>
        <w:t>the information collected will be disseminated to the public or used to support information that will be disseminated to the public</w:t>
      </w:r>
      <w:r w:rsidR="00ED4DA1">
        <w:rPr>
          <w:b/>
          <w:bCs/>
        </w:rPr>
        <w:t xml:space="preserve"> and </w:t>
      </w:r>
      <w:r w:rsidR="00562AA4" w:rsidRPr="008840E2">
        <w:rPr>
          <w:b/>
          <w:bCs/>
        </w:rPr>
        <w:t>how the collection complies with all applicable Information Quality Guidelines.</w:t>
      </w:r>
    </w:p>
    <w:p w14:paraId="222CAF1C" w14:textId="540F9C3E" w:rsidR="00562AA4" w:rsidRDefault="00562AA4" w:rsidP="00562AA4">
      <w:pPr>
        <w:tabs>
          <w:tab w:val="left" w:pos="-1180"/>
          <w:tab w:val="left" w:pos="-720"/>
          <w:tab w:val="left" w:pos="0"/>
          <w:tab w:val="left" w:pos="360"/>
          <w:tab w:val="left" w:pos="720"/>
          <w:tab w:val="left" w:pos="1080"/>
        </w:tabs>
      </w:pPr>
    </w:p>
    <w:p w14:paraId="683608ED" w14:textId="7BCD0D96" w:rsidR="0051712D" w:rsidRDefault="0051712D" w:rsidP="00562AA4">
      <w:pPr>
        <w:tabs>
          <w:tab w:val="left" w:pos="-1180"/>
          <w:tab w:val="left" w:pos="-720"/>
          <w:tab w:val="left" w:pos="0"/>
          <w:tab w:val="left" w:pos="360"/>
          <w:tab w:val="left" w:pos="720"/>
          <w:tab w:val="left" w:pos="1080"/>
        </w:tabs>
      </w:pPr>
      <w:r>
        <w:t xml:space="preserve">The list of vessels </w:t>
      </w:r>
      <w:r w:rsidR="00ED4DA1">
        <w:t xml:space="preserve">that have been granted an exemption to the LLP license requirement to participate in the groundfish CDQ fisheries is maintained through the </w:t>
      </w:r>
      <w:r>
        <w:t>CDQ Vessel Registration List</w:t>
      </w:r>
      <w:r w:rsidR="00ED4DA1">
        <w:t xml:space="preserve">. If a CDQ group registers a vessel under this provision in the future, the name of that vessel would be posted </w:t>
      </w:r>
      <w:r>
        <w:t xml:space="preserve">on the NMFS Alaska Region webpage so that information </w:t>
      </w:r>
      <w:r w:rsidR="00ED4DA1">
        <w:t xml:space="preserve">about the exemption </w:t>
      </w:r>
      <w:r>
        <w:t>is readily available to the public and law enforcement.</w:t>
      </w:r>
      <w:r w:rsidR="00A27D61">
        <w:t xml:space="preserve"> Because no vessel registrations have been received by NMFS, to date, no information actually has been disseminated t</w:t>
      </w:r>
      <w:r w:rsidR="00ED4DA1">
        <w:t>o the public from this system</w:t>
      </w:r>
      <w:r w:rsidR="00A27D61">
        <w:t xml:space="preserve">. </w:t>
      </w:r>
    </w:p>
    <w:p w14:paraId="14E8BA02" w14:textId="770364C2" w:rsidR="0080747A" w:rsidRDefault="0080747A" w:rsidP="00562AA4">
      <w:pPr>
        <w:tabs>
          <w:tab w:val="left" w:pos="-1180"/>
          <w:tab w:val="left" w:pos="-720"/>
          <w:tab w:val="left" w:pos="0"/>
          <w:tab w:val="left" w:pos="360"/>
          <w:tab w:val="left" w:pos="720"/>
          <w:tab w:val="left" w:pos="1080"/>
        </w:tabs>
      </w:pPr>
    </w:p>
    <w:p w14:paraId="421F526A" w14:textId="4B69DABC" w:rsidR="0080747A" w:rsidRDefault="0080747A" w:rsidP="0080747A">
      <w:pPr>
        <w:tabs>
          <w:tab w:val="left" w:pos="-1180"/>
          <w:tab w:val="left" w:pos="-720"/>
          <w:tab w:val="left" w:pos="0"/>
          <w:tab w:val="left" w:pos="360"/>
          <w:tab w:val="left" w:pos="720"/>
          <w:tab w:val="left" w:pos="1080"/>
        </w:tabs>
      </w:pPr>
      <w:r>
        <w:t xml:space="preserve">Information about individual CDQ or PSQ transfers are not disseminated to the public. Information summarizing the number of transfers or the types of transfers may be included in analysis of proposed management measures under consideration by the North Pacific Fishery Management Council. If this information were to be provided in summary form, the identify of the CDQ groups transferring CDQ or PSQ and the actual amounts transferred would not be disseminated to the public.  </w:t>
      </w:r>
    </w:p>
    <w:p w14:paraId="583D6D6C" w14:textId="77777777" w:rsidR="0080747A" w:rsidRDefault="0080747A" w:rsidP="00562AA4">
      <w:pPr>
        <w:tabs>
          <w:tab w:val="left" w:pos="-1180"/>
          <w:tab w:val="left" w:pos="-720"/>
          <w:tab w:val="left" w:pos="0"/>
          <w:tab w:val="left" w:pos="360"/>
          <w:tab w:val="left" w:pos="720"/>
          <w:tab w:val="left" w:pos="1080"/>
        </w:tabs>
      </w:pPr>
    </w:p>
    <w:p w14:paraId="5736A881" w14:textId="77777777" w:rsidR="00114C66" w:rsidRDefault="0021719E" w:rsidP="0021719E">
      <w:pPr>
        <w:tabs>
          <w:tab w:val="left" w:pos="360"/>
          <w:tab w:val="left" w:pos="720"/>
          <w:tab w:val="left" w:pos="1080"/>
        </w:tabs>
        <w:spacing w:after="240"/>
      </w:pPr>
      <w:r>
        <w:t xml:space="preserve">For the single </w:t>
      </w:r>
      <w:r w:rsidRPr="0021719E">
        <w:t>Application for Approval of Use of Non-CDQ Harvest Regulations</w:t>
      </w:r>
      <w:r>
        <w:t xml:space="preserve"> that NMFS received in 2012, NMFS issued a letter approving the application and providing a list of vessel </w:t>
      </w:r>
    </w:p>
    <w:p w14:paraId="690F0F48" w14:textId="513C97CA" w:rsidR="0021719E" w:rsidRPr="0021719E" w:rsidRDefault="0021719E" w:rsidP="0021719E">
      <w:pPr>
        <w:tabs>
          <w:tab w:val="left" w:pos="360"/>
          <w:tab w:val="left" w:pos="720"/>
          <w:tab w:val="left" w:pos="1080"/>
        </w:tabs>
        <w:spacing w:after="240"/>
      </w:pPr>
      <w:r>
        <w:t xml:space="preserve">names and associated LLP license numbers. None of the information </w:t>
      </w:r>
      <w:r w:rsidR="00E85170">
        <w:t xml:space="preserve">included in NMFS’s </w:t>
      </w:r>
      <w:r w:rsidR="00114C66">
        <w:t xml:space="preserve">approval </w:t>
      </w:r>
      <w:r w:rsidR="00E85170">
        <w:t xml:space="preserve">letter is considered confidential. </w:t>
      </w:r>
      <w:r>
        <w:t xml:space="preserve"> </w:t>
      </w:r>
    </w:p>
    <w:p w14:paraId="628A66DF" w14:textId="319FFA2B" w:rsidR="00A27D61" w:rsidRDefault="00072BB5" w:rsidP="00562AA4">
      <w:pPr>
        <w:tabs>
          <w:tab w:val="left" w:pos="-1180"/>
          <w:tab w:val="left" w:pos="-720"/>
          <w:tab w:val="left" w:pos="0"/>
          <w:tab w:val="left" w:pos="360"/>
          <w:tab w:val="left" w:pos="720"/>
          <w:tab w:val="left" w:pos="1080"/>
        </w:tabs>
      </w:pPr>
      <w:r>
        <w:t xml:space="preserve">The National Appeals Office posts its appeal decisions on its </w:t>
      </w:r>
      <w:r w:rsidR="00A27D61">
        <w:t xml:space="preserve">website. </w:t>
      </w:r>
      <w:r>
        <w:t xml:space="preserve">However, it redacts any information that would identify the appellant or any identifying information about the appeals case. Therefore, no information from respondent’s submission is disseminated to the public. </w:t>
      </w:r>
    </w:p>
    <w:p w14:paraId="7D57E631" w14:textId="07F183D2" w:rsidR="0051712D" w:rsidRDefault="0051712D" w:rsidP="00562AA4">
      <w:pPr>
        <w:tabs>
          <w:tab w:val="left" w:pos="-1180"/>
          <w:tab w:val="left" w:pos="-720"/>
          <w:tab w:val="left" w:pos="0"/>
          <w:tab w:val="left" w:pos="360"/>
          <w:tab w:val="left" w:pos="720"/>
          <w:tab w:val="left" w:pos="1080"/>
        </w:tabs>
      </w:pPr>
    </w:p>
    <w:p w14:paraId="11101DB2" w14:textId="77777777" w:rsidR="00E85170" w:rsidRDefault="008840E2" w:rsidP="008840E2">
      <w:pPr>
        <w:widowControl/>
        <w:rPr>
          <w:color w:val="000000"/>
        </w:rPr>
      </w:pPr>
      <w:r w:rsidRPr="002A6621">
        <w:rPr>
          <w:color w:val="000000"/>
        </w:rPr>
        <w:t xml:space="preserve">Section 515 of Public Law 106-554 (the Information Quality Act) requires NMFS to ensure the quality, objectivity, utility, and integrity of information it publicly disseminates. </w:t>
      </w:r>
      <w:r w:rsidR="00E85170">
        <w:rPr>
          <w:color w:val="000000"/>
        </w:rPr>
        <w:t xml:space="preserve">If data submitted under this collection is released to the public, it either is not confidential information or it is </w:t>
      </w:r>
      <w:r w:rsidRPr="002A6621">
        <w:rPr>
          <w:color w:val="000000"/>
        </w:rPr>
        <w:t xml:space="preserve">aggregated, synthesized, summarized, and presented in a non-confidential format to the public. </w:t>
      </w:r>
    </w:p>
    <w:p w14:paraId="4F761B91" w14:textId="77777777" w:rsidR="00E85170" w:rsidRDefault="00E85170" w:rsidP="008840E2">
      <w:pPr>
        <w:widowControl/>
        <w:rPr>
          <w:color w:val="000000"/>
        </w:rPr>
      </w:pPr>
    </w:p>
    <w:p w14:paraId="43C6BD23" w14:textId="03B4F05F" w:rsidR="008840E2" w:rsidRDefault="008840E2" w:rsidP="008840E2">
      <w:pPr>
        <w:widowControl/>
        <w:rPr>
          <w:color w:val="000000"/>
        </w:rPr>
      </w:pPr>
      <w:r w:rsidRPr="002A6621">
        <w:rPr>
          <w:color w:val="000000"/>
        </w:rPr>
        <w:t>Public dissemination of these data is governed by NOAA's information quality guidelines, which were issued on October 30, 2004</w:t>
      </w:r>
      <w:r>
        <w:rPr>
          <w:color w:val="000000"/>
        </w:rPr>
        <w:t xml:space="preserve"> </w:t>
      </w:r>
      <w:r w:rsidRPr="002A6621">
        <w:rPr>
          <w:color w:val="000000"/>
        </w:rPr>
        <w:t>(</w:t>
      </w:r>
      <w:hyperlink r:id="rId13" w:history="1">
        <w:r w:rsidRPr="0005061E">
          <w:rPr>
            <w:rStyle w:val="Hyperlink"/>
          </w:rPr>
          <w:t>http://www.cio.noaa.gov/services_programs/IQ_Guidelines_103014.html</w:t>
        </w:r>
      </w:hyperlink>
      <w:r w:rsidRPr="002A6621">
        <w:rPr>
          <w:color w:val="000000"/>
        </w:rPr>
        <w:t>).</w:t>
      </w:r>
      <w:r w:rsidR="00E85170">
        <w:rPr>
          <w:color w:val="000000"/>
        </w:rPr>
        <w:t xml:space="preserve"> </w:t>
      </w:r>
    </w:p>
    <w:p w14:paraId="3A52CB25" w14:textId="24A55869" w:rsidR="008840E2" w:rsidRDefault="008840E2" w:rsidP="008840E2">
      <w:pPr>
        <w:widowControl/>
        <w:rPr>
          <w:color w:val="000000"/>
        </w:rPr>
      </w:pPr>
      <w:r w:rsidRPr="002A6621">
        <w:rPr>
          <w:color w:val="000000"/>
        </w:rPr>
        <w:t xml:space="preserve">Reports and analyses prepared </w:t>
      </w:r>
      <w:r w:rsidR="00E85170">
        <w:rPr>
          <w:color w:val="000000"/>
        </w:rPr>
        <w:t xml:space="preserve">using the </w:t>
      </w:r>
      <w:r w:rsidR="00114C66">
        <w:rPr>
          <w:color w:val="000000"/>
        </w:rPr>
        <w:t xml:space="preserve">information obtained through the </w:t>
      </w:r>
      <w:r w:rsidR="00E85170">
        <w:rPr>
          <w:color w:val="000000"/>
        </w:rPr>
        <w:t xml:space="preserve">CDQ and PSQ transfer request </w:t>
      </w:r>
      <w:r w:rsidRPr="002A6621">
        <w:rPr>
          <w:color w:val="000000"/>
        </w:rPr>
        <w:t>generally fall under NOAA's information quality category "synthesized products." These products have been developed through analysis of original data by applying methods that require some sci</w:t>
      </w:r>
      <w:r>
        <w:rPr>
          <w:color w:val="000000"/>
        </w:rPr>
        <w:t>entific evaluation and judgment;</w:t>
      </w:r>
      <w:r w:rsidRPr="002A6621">
        <w:rPr>
          <w:color w:val="000000"/>
        </w:rPr>
        <w:t xml:space="preserve"> however, these methods of analysis generally are well documented and relatively routine. </w:t>
      </w:r>
      <w:r>
        <w:rPr>
          <w:color w:val="000000"/>
        </w:rPr>
        <w:t>T</w:t>
      </w:r>
      <w:r w:rsidRPr="002A6621">
        <w:rPr>
          <w:color w:val="000000"/>
        </w:rPr>
        <w:t xml:space="preserve">herefore, peer review is generally not required for reports and analyses prepared using </w:t>
      </w:r>
      <w:r w:rsidR="00E85170">
        <w:rPr>
          <w:color w:val="000000"/>
        </w:rPr>
        <w:t xml:space="preserve">these </w:t>
      </w:r>
      <w:r w:rsidRPr="002A6621">
        <w:rPr>
          <w:color w:val="000000"/>
        </w:rPr>
        <w:t>data.</w:t>
      </w:r>
      <w:r>
        <w:rPr>
          <w:color w:val="000000"/>
        </w:rPr>
        <w:t xml:space="preserve"> </w:t>
      </w:r>
    </w:p>
    <w:p w14:paraId="154825B5" w14:textId="77777777" w:rsidR="008840E2" w:rsidRDefault="008840E2" w:rsidP="008840E2">
      <w:pPr>
        <w:widowControl/>
        <w:rPr>
          <w:color w:val="000000"/>
        </w:rPr>
      </w:pPr>
    </w:p>
    <w:p w14:paraId="0BDB4D60" w14:textId="77777777" w:rsidR="008840E2" w:rsidRDefault="008840E2" w:rsidP="008840E2">
      <w:pPr>
        <w:widowControl/>
        <w:rPr>
          <w:color w:val="000000"/>
        </w:rPr>
      </w:pPr>
      <w:r w:rsidRPr="002A6621">
        <w:rPr>
          <w:color w:val="000000"/>
        </w:rPr>
        <w:t>Reports and analyses undergo internal agency review by people familiar with the underlying data and fisheries being described. In addition, analyses presented to the North Pacific Fishery Management Council are reviewed by its Scientific and Statistical Committee.</w:t>
      </w:r>
    </w:p>
    <w:p w14:paraId="7BB93BD0" w14:textId="5C5D128F" w:rsidR="008840E2" w:rsidRDefault="008840E2" w:rsidP="00562AA4">
      <w:pPr>
        <w:tabs>
          <w:tab w:val="left" w:pos="-1180"/>
          <w:tab w:val="left" w:pos="-720"/>
          <w:tab w:val="left" w:pos="0"/>
          <w:tab w:val="left" w:pos="360"/>
          <w:tab w:val="left" w:pos="720"/>
          <w:tab w:val="left" w:pos="1080"/>
        </w:tabs>
      </w:pPr>
    </w:p>
    <w:p w14:paraId="2B1DA88E" w14:textId="450A1FB2" w:rsidR="00B01177" w:rsidRDefault="00B01177" w:rsidP="0058587E">
      <w:pPr>
        <w:pStyle w:val="ListParagraph"/>
        <w:numPr>
          <w:ilvl w:val="0"/>
          <w:numId w:val="8"/>
        </w:numPr>
        <w:tabs>
          <w:tab w:val="left" w:pos="-1180"/>
          <w:tab w:val="left" w:pos="-720"/>
          <w:tab w:val="left" w:pos="0"/>
          <w:tab w:val="left" w:pos="360"/>
          <w:tab w:val="left" w:pos="720"/>
        </w:tabs>
        <w:spacing w:after="240"/>
        <w:ind w:left="360"/>
      </w:pPr>
      <w:r w:rsidRPr="0058587E">
        <w:rPr>
          <w:b/>
          <w:bCs/>
          <w:u w:val="single"/>
        </w:rPr>
        <w:t>Describe whether, and to what extent, the collection of information involves the use of automated, electronic, mechanical, or other technological techniques or other forms of information technology</w:t>
      </w:r>
      <w:r w:rsidRPr="0058587E">
        <w:rPr>
          <w:b/>
          <w:bCs/>
        </w:rPr>
        <w:t>.</w:t>
      </w:r>
    </w:p>
    <w:p w14:paraId="6CCFA6E5" w14:textId="77777777" w:rsidR="00270574" w:rsidRDefault="00114C66" w:rsidP="00270574">
      <w:pPr>
        <w:tabs>
          <w:tab w:val="left" w:pos="-1180"/>
          <w:tab w:val="left" w:pos="-720"/>
          <w:tab w:val="left" w:pos="0"/>
          <w:tab w:val="left" w:pos="360"/>
          <w:tab w:val="left" w:pos="720"/>
          <w:tab w:val="left" w:pos="1080"/>
        </w:tabs>
        <w:spacing w:after="240"/>
      </w:pPr>
      <w:r>
        <w:t xml:space="preserve">The </w:t>
      </w:r>
      <w:r w:rsidR="00E85170" w:rsidRPr="00E85170">
        <w:t>CDQ Vessel Registration System</w:t>
      </w:r>
      <w:r w:rsidR="00E85170">
        <w:t xml:space="preserve"> and the </w:t>
      </w:r>
      <w:r w:rsidR="00E85170" w:rsidRPr="00E85170">
        <w:t xml:space="preserve">Groundfish/Halibut CDQ and Prohibited Species Quota (PSQ) Transfer Request </w:t>
      </w:r>
      <w:r w:rsidR="00E85170">
        <w:t xml:space="preserve">are submitted through NMFS Alaska Region’s online application eFISH. The </w:t>
      </w:r>
      <w:r w:rsidR="00E85170" w:rsidRPr="00E85170">
        <w:t>Application for Approval of Use of Non-CDQ Harvest Regulations</w:t>
      </w:r>
      <w:r w:rsidR="00E85170">
        <w:t xml:space="preserve"> is required to be submitted by mail or fax</w:t>
      </w:r>
      <w:r w:rsidR="00270574">
        <w:t xml:space="preserve"> because, in addition to the form, the submission likely would involve a written description of a set of circumstances that are conveyed to NMFS by letter and may contain additional attached documents. The National Appeals Office must require the submission of documents by fax, mail, or delivery to provide the appropriate record for legal proceedings. </w:t>
      </w:r>
    </w:p>
    <w:p w14:paraId="75CC6DCE" w14:textId="3C075535" w:rsidR="00B01177" w:rsidRDefault="00B01177" w:rsidP="0058587E">
      <w:pPr>
        <w:tabs>
          <w:tab w:val="left" w:pos="-1180"/>
          <w:tab w:val="left" w:pos="-720"/>
          <w:tab w:val="left" w:pos="0"/>
          <w:tab w:val="left" w:pos="360"/>
          <w:tab w:val="left" w:pos="720"/>
          <w:tab w:val="left" w:pos="1080"/>
        </w:tabs>
        <w:spacing w:after="240"/>
      </w:pPr>
      <w:r>
        <w:rPr>
          <w:b/>
          <w:bCs/>
        </w:rPr>
        <w:t>4.</w:t>
      </w:r>
      <w:r w:rsidR="00775879">
        <w:rPr>
          <w:b/>
          <w:bCs/>
        </w:rPr>
        <w:tab/>
      </w:r>
      <w:r>
        <w:rPr>
          <w:b/>
          <w:bCs/>
          <w:u w:val="single"/>
        </w:rPr>
        <w:t>Describe efforts to identify duplication</w:t>
      </w:r>
      <w:r>
        <w:rPr>
          <w:b/>
          <w:bCs/>
        </w:rPr>
        <w:t>.</w:t>
      </w:r>
    </w:p>
    <w:p w14:paraId="37BD0448" w14:textId="77FACDB4" w:rsidR="00BA64AD" w:rsidRDefault="00E85170" w:rsidP="0058587E">
      <w:pPr>
        <w:spacing w:after="240"/>
      </w:pPr>
      <w:r>
        <w:t xml:space="preserve">NMFS has reviewed this information collection and identified no </w:t>
      </w:r>
      <w:r w:rsidR="00BA64AD" w:rsidRPr="003A2A0C">
        <w:t>duplication with other information collections.</w:t>
      </w:r>
    </w:p>
    <w:p w14:paraId="6BB26D6C" w14:textId="77777777" w:rsidR="00DC40C2" w:rsidRDefault="00DC40C2" w:rsidP="0058587E">
      <w:pPr>
        <w:spacing w:after="240"/>
      </w:pPr>
    </w:p>
    <w:p w14:paraId="3D8BA383" w14:textId="7A81D7E7" w:rsidR="00B01177" w:rsidRDefault="00B01177" w:rsidP="0058587E">
      <w:pPr>
        <w:tabs>
          <w:tab w:val="left" w:pos="-1180"/>
          <w:tab w:val="left" w:pos="-720"/>
          <w:tab w:val="left" w:pos="360"/>
          <w:tab w:val="left" w:pos="720"/>
          <w:tab w:val="left" w:pos="1080"/>
        </w:tabs>
        <w:spacing w:after="240"/>
        <w:ind w:left="360" w:hanging="360"/>
      </w:pPr>
      <w:r>
        <w:rPr>
          <w:b/>
          <w:bCs/>
        </w:rPr>
        <w:t>5.</w:t>
      </w:r>
      <w:r w:rsidR="00775879">
        <w:rPr>
          <w:b/>
          <w:bCs/>
        </w:rPr>
        <w:tab/>
      </w:r>
      <w:r>
        <w:rPr>
          <w:b/>
          <w:bCs/>
          <w:u w:val="single"/>
        </w:rPr>
        <w:t>If the collection of information involves small businesses or other small entities, describe the methods used to minimize burden</w:t>
      </w:r>
      <w:r>
        <w:rPr>
          <w:b/>
          <w:bCs/>
        </w:rPr>
        <w:t>.</w:t>
      </w:r>
    </w:p>
    <w:p w14:paraId="530045BA" w14:textId="086E491D" w:rsidR="00A8291C" w:rsidRDefault="000475E9" w:rsidP="0058587E">
      <w:pPr>
        <w:tabs>
          <w:tab w:val="left" w:pos="-1180"/>
          <w:tab w:val="left" w:pos="-720"/>
          <w:tab w:val="left" w:pos="0"/>
          <w:tab w:val="left" w:pos="360"/>
          <w:tab w:val="left" w:pos="720"/>
          <w:tab w:val="left" w:pos="1080"/>
        </w:tabs>
        <w:spacing w:after="240"/>
      </w:pPr>
      <w:r>
        <w:t>The CDQ groups</w:t>
      </w:r>
      <w:r w:rsidR="00270574">
        <w:t xml:space="preserve"> are </w:t>
      </w:r>
      <w:r w:rsidR="00E85170">
        <w:t>considered small entities under the Regulatory Flexibility Act</w:t>
      </w:r>
      <w:r w:rsidR="00270574">
        <w:t xml:space="preserve"> because they are non-profit corporations</w:t>
      </w:r>
      <w:r w:rsidR="00E85170">
        <w:t xml:space="preserve">. In most cases, use of the online application eFISH to submit applications and requests is the </w:t>
      </w:r>
      <w:r w:rsidR="00270574">
        <w:t xml:space="preserve">preferred and </w:t>
      </w:r>
      <w:r w:rsidR="00E85170">
        <w:t xml:space="preserve">most cost effective method for </w:t>
      </w:r>
      <w:r w:rsidR="00A8291C">
        <w:t xml:space="preserve">the CDQ groups to submit information to NMFS. Allowing the back-up method of submitting a form by fax or mail provides options in the case of internet outages or other operational difficulties. </w:t>
      </w:r>
    </w:p>
    <w:p w14:paraId="1FFCA479" w14:textId="38D9B3F9" w:rsidR="00B01177" w:rsidRDefault="00B01177" w:rsidP="0058587E">
      <w:pPr>
        <w:tabs>
          <w:tab w:val="left" w:pos="-1180"/>
          <w:tab w:val="left" w:pos="-720"/>
          <w:tab w:val="left" w:pos="360"/>
          <w:tab w:val="left" w:pos="720"/>
          <w:tab w:val="left" w:pos="1080"/>
        </w:tabs>
        <w:spacing w:after="240"/>
        <w:ind w:left="360" w:hanging="360"/>
        <w:rPr>
          <w:b/>
          <w:bCs/>
        </w:rPr>
      </w:pPr>
      <w:r w:rsidRPr="00320284">
        <w:rPr>
          <w:b/>
          <w:bCs/>
        </w:rPr>
        <w:t>6.</w:t>
      </w:r>
      <w:r w:rsidR="00775879">
        <w:rPr>
          <w:b/>
          <w:bCs/>
        </w:rPr>
        <w:tab/>
      </w:r>
      <w:r w:rsidRPr="00320284">
        <w:rPr>
          <w:b/>
          <w:bCs/>
          <w:u w:val="single"/>
        </w:rPr>
        <w:t>Describe the consequences to the Federal program or policy activities if the collection is not conducted or is conducted less frequently</w:t>
      </w:r>
      <w:r w:rsidRPr="00320284">
        <w:rPr>
          <w:b/>
          <w:bCs/>
        </w:rPr>
        <w:t>.</w:t>
      </w:r>
    </w:p>
    <w:p w14:paraId="7C79671A" w14:textId="77777777" w:rsidR="0000755D" w:rsidRDefault="00A8291C" w:rsidP="00A8291C">
      <w:pPr>
        <w:tabs>
          <w:tab w:val="left" w:pos="-1180"/>
          <w:tab w:val="left" w:pos="-720"/>
          <w:tab w:val="left" w:pos="720"/>
          <w:tab w:val="left" w:pos="1080"/>
        </w:tabs>
        <w:spacing w:after="240"/>
      </w:pPr>
      <w:r>
        <w:rPr>
          <w:bCs/>
        </w:rPr>
        <w:t xml:space="preserve">Most of the components of this collection were established at the request of the CDQ groups and the North Pacific Fishery Management Council and are not used frequently, if at all. Although some of the components of this collection are mandatory if a CDQ group wants to invoke a provision allowed in regulation, </w:t>
      </w:r>
      <w:r w:rsidR="00DC40C2">
        <w:rPr>
          <w:bCs/>
        </w:rPr>
        <w:t xml:space="preserve">none of them have a specific deadline. They all may be submitted at any time that the CDQ group wishes to </w:t>
      </w:r>
      <w:r w:rsidR="0000755D">
        <w:rPr>
          <w:bCs/>
        </w:rPr>
        <w:t>apply for a beneficial provision of the program or a CDQ or PSQ transfer that they w</w:t>
      </w:r>
      <w:r w:rsidR="00DC40C2">
        <w:t>ish to have completed by NMFS.</w:t>
      </w:r>
    </w:p>
    <w:p w14:paraId="5A95F49F" w14:textId="24EE3FB2" w:rsidR="00DC40C2" w:rsidRDefault="0000755D" w:rsidP="00A8291C">
      <w:pPr>
        <w:tabs>
          <w:tab w:val="left" w:pos="-1180"/>
          <w:tab w:val="left" w:pos="-720"/>
          <w:tab w:val="left" w:pos="720"/>
          <w:tab w:val="left" w:pos="1080"/>
        </w:tabs>
        <w:spacing w:after="240"/>
      </w:pPr>
      <w:r>
        <w:t xml:space="preserve">If these information collections were not established, NMFS would not have a reliable way to collect the information necessary to evaluate a CDQ group’s request or application for a particular program component or quota transfer. </w:t>
      </w:r>
      <w:r w:rsidR="00DC40C2">
        <w:t xml:space="preserve"> </w:t>
      </w:r>
    </w:p>
    <w:p w14:paraId="3D93F035" w14:textId="27EE6023" w:rsidR="00B01177" w:rsidRDefault="00B01177" w:rsidP="0058587E">
      <w:pPr>
        <w:tabs>
          <w:tab w:val="left" w:pos="-1180"/>
          <w:tab w:val="left" w:pos="-720"/>
          <w:tab w:val="left" w:pos="360"/>
          <w:tab w:val="left" w:pos="720"/>
          <w:tab w:val="left" w:pos="1080"/>
        </w:tabs>
        <w:spacing w:after="240"/>
        <w:ind w:left="360" w:hanging="360"/>
        <w:rPr>
          <w:b/>
          <w:bCs/>
        </w:rPr>
      </w:pPr>
      <w:r>
        <w:rPr>
          <w:b/>
          <w:bCs/>
        </w:rPr>
        <w:t>7.</w:t>
      </w:r>
      <w:r w:rsidR="00775879">
        <w:rPr>
          <w:b/>
          <w:bCs/>
        </w:rPr>
        <w:tab/>
      </w:r>
      <w:r>
        <w:rPr>
          <w:b/>
          <w:bCs/>
          <w:u w:val="single"/>
        </w:rPr>
        <w:t>Explain any special circumstances that require the collection to be conducted in a manner inconsistent with OMB guidelines</w:t>
      </w:r>
      <w:r>
        <w:rPr>
          <w:b/>
          <w:bCs/>
        </w:rPr>
        <w:t>.</w:t>
      </w:r>
    </w:p>
    <w:p w14:paraId="280F254A" w14:textId="301590B4" w:rsidR="00B01177" w:rsidRDefault="00B92786" w:rsidP="0058587E">
      <w:pPr>
        <w:tabs>
          <w:tab w:val="left" w:pos="-1180"/>
          <w:tab w:val="left" w:pos="-720"/>
          <w:tab w:val="left" w:pos="0"/>
          <w:tab w:val="left" w:pos="360"/>
          <w:tab w:val="left" w:pos="720"/>
          <w:tab w:val="left" w:pos="1080"/>
        </w:tabs>
        <w:spacing w:after="240"/>
      </w:pPr>
      <w:r>
        <w:t>There are no special circumstances</w:t>
      </w:r>
      <w:r w:rsidRPr="00B92786">
        <w:t xml:space="preserve"> that require the collection to be conducted in a manner inconsistent with OMB guidelines</w:t>
      </w:r>
      <w:r w:rsidR="00DF62D6">
        <w:t>.</w:t>
      </w:r>
    </w:p>
    <w:p w14:paraId="3CF2106A" w14:textId="3E1CACF8" w:rsidR="00B01177" w:rsidRDefault="00B01177" w:rsidP="0058587E">
      <w:pPr>
        <w:tabs>
          <w:tab w:val="left" w:pos="-1180"/>
          <w:tab w:val="left" w:pos="-720"/>
          <w:tab w:val="left" w:pos="360"/>
          <w:tab w:val="left" w:pos="720"/>
          <w:tab w:val="left" w:pos="1080"/>
        </w:tabs>
        <w:spacing w:after="240"/>
        <w:ind w:left="360" w:hanging="360"/>
        <w:rPr>
          <w:b/>
          <w:bCs/>
        </w:rPr>
      </w:pPr>
      <w:r>
        <w:rPr>
          <w:b/>
          <w:bCs/>
        </w:rPr>
        <w:t>8.</w:t>
      </w:r>
      <w:r w:rsidR="00775879">
        <w:rPr>
          <w:b/>
          <w:bCs/>
        </w:rPr>
        <w:tab/>
      </w:r>
      <w:r>
        <w:rPr>
          <w:b/>
          <w:bCs/>
          <w:u w:val="single"/>
        </w:rPr>
        <w:t xml:space="preserve">Provide </w:t>
      </w:r>
      <w:r w:rsidR="0011754C">
        <w:rPr>
          <w:b/>
          <w:bCs/>
          <w:u w:val="single"/>
        </w:rPr>
        <w:t>information on</w:t>
      </w:r>
      <w:r>
        <w:rPr>
          <w:b/>
          <w:bCs/>
          <w:u w:val="single"/>
        </w:rPr>
        <w:t xml:space="preserve"> the PRA Federal Register </w:t>
      </w:r>
      <w:r w:rsidR="0011754C">
        <w:rPr>
          <w:b/>
          <w:bCs/>
          <w:u w:val="single"/>
        </w:rPr>
        <w:t xml:space="preserve">Notice </w:t>
      </w:r>
      <w:r>
        <w:rPr>
          <w:b/>
          <w:bCs/>
          <w:u w:val="single"/>
        </w:rPr>
        <w:t>that solicited public comments on the information collection prior to this submission. Summarize the public comments received in response to that notice and describe the actions taken by the agency in response to those comments.</w:t>
      </w:r>
      <w:r>
        <w:rPr>
          <w:u w:val="single"/>
        </w:rP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14:paraId="38C3FED5" w14:textId="1CD2CCAD" w:rsidR="00ED15F0" w:rsidRDefault="0011754C" w:rsidP="0058587E">
      <w:pPr>
        <w:tabs>
          <w:tab w:val="left" w:pos="-1180"/>
          <w:tab w:val="left" w:pos="-720"/>
          <w:tab w:val="left" w:pos="0"/>
          <w:tab w:val="left" w:pos="360"/>
          <w:tab w:val="left" w:pos="720"/>
          <w:tab w:val="left" w:pos="1080"/>
        </w:tabs>
        <w:spacing w:after="240"/>
      </w:pPr>
      <w:r>
        <w:t xml:space="preserve">A </w:t>
      </w:r>
      <w:r w:rsidRPr="004F60AF">
        <w:rPr>
          <w:i/>
        </w:rPr>
        <w:t>Federal Register</w:t>
      </w:r>
      <w:r w:rsidRPr="005C16FF">
        <w:t xml:space="preserve"> </w:t>
      </w:r>
      <w:r w:rsidR="004F60AF">
        <w:t>No</w:t>
      </w:r>
      <w:r w:rsidR="004F60AF" w:rsidRPr="005C16FF">
        <w:t>tice</w:t>
      </w:r>
      <w:r w:rsidR="004F60AF">
        <w:t xml:space="preserve"> </w:t>
      </w:r>
      <w:r>
        <w:t xml:space="preserve">published on </w:t>
      </w:r>
      <w:r w:rsidR="004F60AF">
        <w:t>October 3</w:t>
      </w:r>
      <w:r>
        <w:t xml:space="preserve">, </w:t>
      </w:r>
      <w:r w:rsidR="004F60AF">
        <w:t xml:space="preserve">2019 </w:t>
      </w:r>
      <w:r w:rsidR="00B01177">
        <w:t>(</w:t>
      </w:r>
      <w:r w:rsidR="004F60AF">
        <w:t xml:space="preserve">84 </w:t>
      </w:r>
      <w:r w:rsidR="00B01177">
        <w:t xml:space="preserve">FR </w:t>
      </w:r>
      <w:r w:rsidR="004F60AF">
        <w:t>52872</w:t>
      </w:r>
      <w:r w:rsidR="001B4B9C">
        <w:t>)</w:t>
      </w:r>
      <w:r w:rsidR="00B01177">
        <w:t xml:space="preserve"> solicit</w:t>
      </w:r>
      <w:r>
        <w:t>ed</w:t>
      </w:r>
      <w:r w:rsidR="00B01177">
        <w:t xml:space="preserve"> public comments. </w:t>
      </w:r>
      <w:r w:rsidR="004F60AF">
        <w:t xml:space="preserve">The </w:t>
      </w:r>
      <w:r w:rsidR="004F60AF" w:rsidRPr="004F60AF">
        <w:t>comment period ended</w:t>
      </w:r>
      <w:r w:rsidR="004F60AF">
        <w:t xml:space="preserve"> December 2</w:t>
      </w:r>
      <w:r w:rsidR="004F60AF" w:rsidRPr="004F60AF">
        <w:t>, 2019.</w:t>
      </w:r>
      <w:r w:rsidR="004F60AF">
        <w:t xml:space="preserve"> </w:t>
      </w:r>
      <w:r w:rsidR="00B37F45">
        <w:t xml:space="preserve">No </w:t>
      </w:r>
      <w:r w:rsidR="00ED15F0">
        <w:t>comment</w:t>
      </w:r>
      <w:r w:rsidR="00B37F45">
        <w:t>s were</w:t>
      </w:r>
      <w:r w:rsidR="00ED15F0">
        <w:t xml:space="preserve"> received.</w:t>
      </w:r>
    </w:p>
    <w:p w14:paraId="5C5FDC0E" w14:textId="4D2005C5" w:rsidR="00B01177" w:rsidRDefault="00B01177" w:rsidP="0058587E">
      <w:pPr>
        <w:widowControl/>
        <w:tabs>
          <w:tab w:val="left" w:pos="360"/>
        </w:tabs>
        <w:autoSpaceDE/>
        <w:autoSpaceDN/>
        <w:adjustRightInd/>
        <w:spacing w:after="240"/>
        <w:ind w:left="360" w:hanging="360"/>
      </w:pPr>
      <w:r>
        <w:rPr>
          <w:b/>
          <w:bCs/>
        </w:rPr>
        <w:t>9.</w:t>
      </w:r>
      <w:r w:rsidR="00775879">
        <w:rPr>
          <w:b/>
          <w:bCs/>
        </w:rPr>
        <w:tab/>
      </w:r>
      <w:r>
        <w:rPr>
          <w:b/>
          <w:bCs/>
          <w:u w:val="single"/>
        </w:rPr>
        <w:t>Explain any decisions to provide payments or gifts to respondents, other than remuneration of contractors or grantees</w:t>
      </w:r>
      <w:r>
        <w:rPr>
          <w:b/>
          <w:bCs/>
        </w:rPr>
        <w:t>.</w:t>
      </w:r>
    </w:p>
    <w:p w14:paraId="19C0EA2F" w14:textId="77777777" w:rsidR="00B01177" w:rsidRDefault="00B01177" w:rsidP="0058587E">
      <w:pPr>
        <w:tabs>
          <w:tab w:val="left" w:pos="-1180"/>
          <w:tab w:val="left" w:pos="-720"/>
          <w:tab w:val="left" w:pos="0"/>
          <w:tab w:val="left" w:pos="360"/>
          <w:tab w:val="left" w:pos="720"/>
          <w:tab w:val="left" w:pos="1080"/>
        </w:tabs>
        <w:spacing w:after="240"/>
      </w:pPr>
      <w:r>
        <w:t xml:space="preserve">No payment or gift will be provided under this program.  </w:t>
      </w:r>
    </w:p>
    <w:p w14:paraId="1CE959CF" w14:textId="7657EAE9" w:rsidR="00B01177" w:rsidRDefault="00B01177" w:rsidP="0058587E">
      <w:pPr>
        <w:tabs>
          <w:tab w:val="left" w:pos="-1180"/>
          <w:tab w:val="left" w:pos="-720"/>
          <w:tab w:val="left" w:pos="360"/>
          <w:tab w:val="left" w:pos="720"/>
          <w:tab w:val="left" w:pos="1080"/>
        </w:tabs>
        <w:spacing w:after="240"/>
        <w:ind w:left="360" w:hanging="360"/>
      </w:pPr>
      <w:r>
        <w:rPr>
          <w:b/>
          <w:bCs/>
        </w:rPr>
        <w:t>10.</w:t>
      </w:r>
      <w:r w:rsidR="00775879">
        <w:rPr>
          <w:b/>
          <w:bCs/>
        </w:rPr>
        <w:tab/>
      </w:r>
      <w:r>
        <w:rPr>
          <w:b/>
          <w:bCs/>
          <w:u w:val="single"/>
        </w:rPr>
        <w:t>Describe any assurance of confidentiality provided to respondents and the basis for assurance in statute, regulation, or agency policy</w:t>
      </w:r>
      <w:r>
        <w:rPr>
          <w:b/>
          <w:bCs/>
        </w:rPr>
        <w:t>.</w:t>
      </w:r>
    </w:p>
    <w:p w14:paraId="591EEDB1" w14:textId="259AB6B3" w:rsidR="00B01177" w:rsidRDefault="00CF3A7A" w:rsidP="0058587E">
      <w:pPr>
        <w:tabs>
          <w:tab w:val="left" w:pos="-1180"/>
          <w:tab w:val="left" w:pos="-720"/>
          <w:tab w:val="left" w:pos="0"/>
          <w:tab w:val="left" w:pos="360"/>
          <w:tab w:val="left" w:pos="720"/>
          <w:tab w:val="left" w:pos="1080"/>
        </w:tabs>
        <w:spacing w:after="240"/>
      </w:pPr>
      <w:r>
        <w:t>T</w:t>
      </w:r>
      <w:r w:rsidR="00B01177">
        <w:t xml:space="preserve">he information collected is confidential under section 402(b) of the Magnuson-Stevens Act. It is also confidential under </w:t>
      </w:r>
      <w:hyperlink r:id="rId14" w:history="1">
        <w:r w:rsidR="00DF62D6">
          <w:rPr>
            <w:rStyle w:val="Hyperlink"/>
          </w:rPr>
          <w:t>NOAA Administrative Order 216-</w:t>
        </w:r>
        <w:r w:rsidR="00B01177" w:rsidRPr="00DF62D6">
          <w:rPr>
            <w:rStyle w:val="Hyperlink"/>
          </w:rPr>
          <w:t>100</w:t>
        </w:r>
      </w:hyperlink>
      <w:r w:rsidR="00B01177">
        <w:t xml:space="preserve">, which sets forth procedures to protect confidentiality of fishery statistics. </w:t>
      </w:r>
    </w:p>
    <w:p w14:paraId="70DE7763" w14:textId="15C1A602" w:rsidR="00B542E2" w:rsidRDefault="00D860CD" w:rsidP="0058587E">
      <w:pPr>
        <w:tabs>
          <w:tab w:val="left" w:pos="-1180"/>
          <w:tab w:val="left" w:pos="-720"/>
          <w:tab w:val="left" w:pos="0"/>
          <w:tab w:val="left" w:pos="360"/>
          <w:tab w:val="left" w:pos="720"/>
          <w:tab w:val="left" w:pos="1080"/>
        </w:tabs>
        <w:spacing w:after="240"/>
      </w:pPr>
      <w:r>
        <w:t>All information collected is part of a system of records: NOAA #</w:t>
      </w:r>
      <w:r w:rsidR="0011754C">
        <w:t>19</w:t>
      </w:r>
      <w:r>
        <w:t xml:space="preserve">, </w:t>
      </w:r>
      <w:r w:rsidR="0053427F">
        <w:t>published</w:t>
      </w:r>
      <w:r>
        <w:t xml:space="preserve"> </w:t>
      </w:r>
      <w:r w:rsidR="0011754C">
        <w:t>April 17, 2008.</w:t>
      </w:r>
    </w:p>
    <w:p w14:paraId="39808721" w14:textId="07148A29" w:rsidR="00B01177" w:rsidRDefault="00B01177" w:rsidP="0058587E">
      <w:pPr>
        <w:tabs>
          <w:tab w:val="left" w:pos="-1180"/>
          <w:tab w:val="left" w:pos="-720"/>
          <w:tab w:val="left" w:pos="360"/>
          <w:tab w:val="left" w:pos="720"/>
          <w:tab w:val="left" w:pos="1080"/>
        </w:tabs>
        <w:spacing w:after="240"/>
        <w:ind w:left="360" w:hanging="360"/>
        <w:rPr>
          <w:b/>
          <w:bCs/>
        </w:rPr>
      </w:pPr>
      <w:r>
        <w:rPr>
          <w:b/>
          <w:bCs/>
        </w:rPr>
        <w:t>11.</w:t>
      </w:r>
      <w:r w:rsidR="00775879">
        <w:rPr>
          <w:b/>
          <w:bCs/>
        </w:rPr>
        <w:tab/>
      </w:r>
      <w:r>
        <w:rPr>
          <w:b/>
          <w:bCs/>
          <w:u w:val="single"/>
        </w:rPr>
        <w:t>Provide additional justification for any questions of a sensitive nature, such as sexual behavior and attitudes, religious beliefs, and other matters that are commonly considered private</w:t>
      </w:r>
      <w:r>
        <w:rPr>
          <w:b/>
          <w:bCs/>
        </w:rPr>
        <w:t>.</w:t>
      </w:r>
    </w:p>
    <w:p w14:paraId="57CA6FA5" w14:textId="77777777" w:rsidR="00A51CE4" w:rsidRDefault="00A51CE4" w:rsidP="0058587E">
      <w:pPr>
        <w:tabs>
          <w:tab w:val="left" w:pos="-1180"/>
          <w:tab w:val="left" w:pos="-720"/>
          <w:tab w:val="left" w:pos="0"/>
          <w:tab w:val="left" w:pos="360"/>
          <w:tab w:val="left" w:pos="720"/>
          <w:tab w:val="left" w:pos="1080"/>
        </w:tabs>
        <w:spacing w:after="240"/>
      </w:pPr>
      <w:r>
        <w:t>Information collected for the CDQ Program does not include information of a private or sensitive nature.</w:t>
      </w:r>
    </w:p>
    <w:p w14:paraId="5E648208" w14:textId="77777777" w:rsidR="006174EB" w:rsidRDefault="006174EB" w:rsidP="0058587E">
      <w:pPr>
        <w:tabs>
          <w:tab w:val="left" w:pos="-1180"/>
          <w:tab w:val="left" w:pos="-720"/>
          <w:tab w:val="left" w:pos="0"/>
          <w:tab w:val="left" w:pos="360"/>
          <w:tab w:val="left" w:pos="720"/>
          <w:tab w:val="left" w:pos="1080"/>
        </w:tabs>
        <w:spacing w:after="240"/>
        <w:rPr>
          <w:b/>
          <w:bCs/>
        </w:rPr>
        <w:sectPr w:rsidR="006174EB" w:rsidSect="0033530A">
          <w:footerReference w:type="default" r:id="rId15"/>
          <w:pgSz w:w="12240" w:h="15840"/>
          <w:pgMar w:top="1440" w:right="1440" w:bottom="1440" w:left="1440" w:header="1440" w:footer="1440" w:gutter="0"/>
          <w:cols w:space="720"/>
          <w:noEndnote/>
        </w:sectPr>
      </w:pPr>
    </w:p>
    <w:p w14:paraId="168C46B9" w14:textId="77777777" w:rsidR="00003277" w:rsidRDefault="00B01177" w:rsidP="006174EB">
      <w:pPr>
        <w:tabs>
          <w:tab w:val="left" w:pos="-1180"/>
          <w:tab w:val="left" w:pos="-720"/>
          <w:tab w:val="left" w:pos="0"/>
          <w:tab w:val="left" w:pos="360"/>
          <w:tab w:val="left" w:pos="720"/>
          <w:tab w:val="left" w:pos="1080"/>
        </w:tabs>
        <w:spacing w:after="240"/>
      </w:pPr>
      <w:r>
        <w:rPr>
          <w:b/>
          <w:bCs/>
        </w:rPr>
        <w:t>12.</w:t>
      </w:r>
      <w:r w:rsidR="00775879">
        <w:rPr>
          <w:b/>
          <w:bCs/>
        </w:rPr>
        <w:tab/>
      </w:r>
      <w:r>
        <w:rPr>
          <w:b/>
          <w:bCs/>
          <w:u w:val="single"/>
        </w:rPr>
        <w:t>Provide an estimate in hours of the burden of the collection of information</w:t>
      </w:r>
      <w:r>
        <w:rPr>
          <w:b/>
          <w:bCs/>
        </w:rPr>
        <w:t>.</w:t>
      </w:r>
      <w:r w:rsidR="00003277" w:rsidRPr="00003277">
        <w:t xml:space="preserve"> </w:t>
      </w:r>
    </w:p>
    <w:p w14:paraId="126EB8A0" w14:textId="2DDE6234" w:rsidR="005A44ED" w:rsidRDefault="005A44ED" w:rsidP="005F50EE">
      <w:pPr>
        <w:tabs>
          <w:tab w:val="left" w:pos="-1180"/>
          <w:tab w:val="left" w:pos="-720"/>
          <w:tab w:val="left" w:pos="0"/>
          <w:tab w:val="left" w:pos="360"/>
          <w:tab w:val="left" w:pos="720"/>
          <w:tab w:val="left" w:pos="1080"/>
        </w:tabs>
      </w:pPr>
    </w:p>
    <w:tbl>
      <w:tblPr>
        <w:tblW w:w="12438" w:type="dxa"/>
        <w:tblLook w:val="04A0" w:firstRow="1" w:lastRow="0" w:firstColumn="1" w:lastColumn="0" w:noHBand="0" w:noVBand="1"/>
      </w:tblPr>
      <w:tblGrid>
        <w:gridCol w:w="2268"/>
        <w:gridCol w:w="1530"/>
        <w:gridCol w:w="1188"/>
        <w:gridCol w:w="1332"/>
        <w:gridCol w:w="1260"/>
        <w:gridCol w:w="1170"/>
        <w:gridCol w:w="1080"/>
        <w:gridCol w:w="1350"/>
        <w:gridCol w:w="1260"/>
      </w:tblGrid>
      <w:tr w:rsidR="00026DB9" w:rsidRPr="007B0F36" w14:paraId="091B7CE9" w14:textId="77777777" w:rsidTr="00026DB9">
        <w:trPr>
          <w:trHeight w:val="1140"/>
        </w:trPr>
        <w:tc>
          <w:tcPr>
            <w:tcW w:w="2268" w:type="dxa"/>
            <w:tcBorders>
              <w:top w:val="single" w:sz="8" w:space="0" w:color="auto"/>
              <w:left w:val="single" w:sz="8" w:space="0" w:color="auto"/>
              <w:bottom w:val="single" w:sz="8" w:space="0" w:color="auto"/>
              <w:right w:val="single" w:sz="8" w:space="0" w:color="000000"/>
            </w:tcBorders>
            <w:shd w:val="clear" w:color="auto" w:fill="5B9BD5"/>
            <w:vAlign w:val="center"/>
            <w:hideMark/>
          </w:tcPr>
          <w:p w14:paraId="0598553E" w14:textId="77777777" w:rsidR="006174EB" w:rsidRPr="007B0F36" w:rsidRDefault="006174EB" w:rsidP="008D38A1">
            <w:pPr>
              <w:widowControl/>
              <w:autoSpaceDE/>
              <w:autoSpaceDN/>
              <w:adjustRightInd/>
              <w:jc w:val="center"/>
              <w:rPr>
                <w:rFonts w:ascii="Calibri" w:hAnsi="Calibri" w:cs="Calibri"/>
                <w:b/>
                <w:bCs/>
                <w:color w:val="000000"/>
                <w:sz w:val="18"/>
                <w:szCs w:val="18"/>
              </w:rPr>
            </w:pPr>
            <w:r w:rsidRPr="007B0F36">
              <w:rPr>
                <w:rFonts w:ascii="Calibri" w:hAnsi="Calibri" w:cs="Calibri"/>
                <w:b/>
                <w:bCs/>
                <w:color w:val="000000"/>
                <w:sz w:val="18"/>
                <w:szCs w:val="18"/>
              </w:rPr>
              <w:t>Information Collection</w:t>
            </w:r>
          </w:p>
        </w:tc>
        <w:tc>
          <w:tcPr>
            <w:tcW w:w="1530" w:type="dxa"/>
            <w:tcBorders>
              <w:top w:val="single" w:sz="8" w:space="0" w:color="auto"/>
              <w:left w:val="nil"/>
              <w:bottom w:val="single" w:sz="8" w:space="0" w:color="auto"/>
              <w:right w:val="single" w:sz="8" w:space="0" w:color="000000"/>
            </w:tcBorders>
            <w:shd w:val="clear" w:color="auto" w:fill="5B9BD5"/>
            <w:vAlign w:val="center"/>
            <w:hideMark/>
          </w:tcPr>
          <w:p w14:paraId="400AECA3" w14:textId="77777777" w:rsidR="006174EB" w:rsidRPr="007B0F36" w:rsidRDefault="006174EB" w:rsidP="008D38A1">
            <w:pPr>
              <w:widowControl/>
              <w:autoSpaceDE/>
              <w:autoSpaceDN/>
              <w:adjustRightInd/>
              <w:jc w:val="center"/>
              <w:rPr>
                <w:rFonts w:ascii="Calibri" w:hAnsi="Calibri" w:cs="Calibri"/>
                <w:b/>
                <w:bCs/>
                <w:color w:val="000000"/>
                <w:sz w:val="18"/>
                <w:szCs w:val="18"/>
              </w:rPr>
            </w:pPr>
            <w:r w:rsidRPr="007B0F36">
              <w:rPr>
                <w:rFonts w:ascii="Calibri" w:hAnsi="Calibri" w:cs="Calibri"/>
                <w:b/>
                <w:bCs/>
                <w:color w:val="000000"/>
                <w:sz w:val="18"/>
                <w:szCs w:val="18"/>
              </w:rPr>
              <w:t>Type of Respondent (Occupational Title)</w:t>
            </w:r>
          </w:p>
        </w:tc>
        <w:tc>
          <w:tcPr>
            <w:tcW w:w="1188" w:type="dxa"/>
            <w:tcBorders>
              <w:top w:val="single" w:sz="8" w:space="0" w:color="auto"/>
              <w:left w:val="nil"/>
              <w:bottom w:val="single" w:sz="8" w:space="0" w:color="auto"/>
              <w:right w:val="single" w:sz="8" w:space="0" w:color="000000"/>
            </w:tcBorders>
            <w:shd w:val="clear" w:color="auto" w:fill="5B9BD5"/>
            <w:vAlign w:val="center"/>
            <w:hideMark/>
          </w:tcPr>
          <w:p w14:paraId="7E24FD22" w14:textId="77777777" w:rsidR="006174EB" w:rsidRPr="007B0F36" w:rsidRDefault="006174EB" w:rsidP="008D38A1">
            <w:pPr>
              <w:widowControl/>
              <w:autoSpaceDE/>
              <w:autoSpaceDN/>
              <w:adjustRightInd/>
              <w:jc w:val="center"/>
              <w:rPr>
                <w:rFonts w:ascii="Calibri" w:hAnsi="Calibri" w:cs="Calibri"/>
                <w:b/>
                <w:bCs/>
                <w:color w:val="000000"/>
                <w:sz w:val="18"/>
                <w:szCs w:val="18"/>
              </w:rPr>
            </w:pPr>
            <w:r w:rsidRPr="007B0F36">
              <w:rPr>
                <w:rFonts w:ascii="Calibri" w:hAnsi="Calibri" w:cs="Calibri"/>
                <w:b/>
                <w:bCs/>
                <w:color w:val="000000"/>
                <w:sz w:val="18"/>
                <w:szCs w:val="18"/>
              </w:rPr>
              <w:t># of Respondents</w:t>
            </w:r>
          </w:p>
        </w:tc>
        <w:tc>
          <w:tcPr>
            <w:tcW w:w="1332" w:type="dxa"/>
            <w:tcBorders>
              <w:top w:val="single" w:sz="8" w:space="0" w:color="auto"/>
              <w:left w:val="nil"/>
              <w:bottom w:val="single" w:sz="8" w:space="0" w:color="auto"/>
              <w:right w:val="single" w:sz="8" w:space="0" w:color="auto"/>
            </w:tcBorders>
            <w:shd w:val="clear" w:color="auto" w:fill="5B9BD5"/>
            <w:vAlign w:val="center"/>
            <w:hideMark/>
          </w:tcPr>
          <w:p w14:paraId="6C0FEBF9" w14:textId="77777777" w:rsidR="006174EB" w:rsidRPr="007B0F36" w:rsidRDefault="006174EB" w:rsidP="008D38A1">
            <w:pPr>
              <w:widowControl/>
              <w:autoSpaceDE/>
              <w:autoSpaceDN/>
              <w:adjustRightInd/>
              <w:jc w:val="center"/>
              <w:rPr>
                <w:rFonts w:ascii="Calibri" w:hAnsi="Calibri" w:cs="Calibri"/>
                <w:b/>
                <w:bCs/>
                <w:color w:val="000000"/>
                <w:sz w:val="18"/>
                <w:szCs w:val="18"/>
              </w:rPr>
            </w:pPr>
            <w:r w:rsidRPr="007B0F36">
              <w:rPr>
                <w:rFonts w:ascii="Calibri" w:hAnsi="Calibri" w:cs="Calibri"/>
                <w:b/>
                <w:bCs/>
                <w:color w:val="000000"/>
                <w:sz w:val="18"/>
                <w:szCs w:val="18"/>
              </w:rPr>
              <w:t>Annual # of Responses / Respondent</w:t>
            </w:r>
          </w:p>
        </w:tc>
        <w:tc>
          <w:tcPr>
            <w:tcW w:w="1260" w:type="dxa"/>
            <w:tcBorders>
              <w:top w:val="single" w:sz="8" w:space="0" w:color="auto"/>
              <w:left w:val="nil"/>
              <w:bottom w:val="single" w:sz="8" w:space="0" w:color="auto"/>
              <w:right w:val="single" w:sz="8" w:space="0" w:color="auto"/>
            </w:tcBorders>
            <w:shd w:val="clear" w:color="auto" w:fill="5B9BD5"/>
            <w:vAlign w:val="center"/>
            <w:hideMark/>
          </w:tcPr>
          <w:p w14:paraId="39DC9B94" w14:textId="77777777" w:rsidR="006174EB" w:rsidRPr="007B0F36" w:rsidRDefault="006174EB" w:rsidP="008D38A1">
            <w:pPr>
              <w:widowControl/>
              <w:autoSpaceDE/>
              <w:autoSpaceDN/>
              <w:adjustRightInd/>
              <w:jc w:val="center"/>
              <w:rPr>
                <w:rFonts w:ascii="Calibri" w:hAnsi="Calibri" w:cs="Calibri"/>
                <w:b/>
                <w:bCs/>
                <w:color w:val="000000"/>
                <w:sz w:val="18"/>
                <w:szCs w:val="18"/>
              </w:rPr>
            </w:pPr>
            <w:r w:rsidRPr="007B0F36">
              <w:rPr>
                <w:rFonts w:ascii="Calibri" w:hAnsi="Calibri" w:cs="Calibri"/>
                <w:b/>
                <w:bCs/>
                <w:color w:val="000000"/>
                <w:sz w:val="18"/>
                <w:szCs w:val="18"/>
              </w:rPr>
              <w:t xml:space="preserve"> Total # of Annual Responses</w:t>
            </w:r>
          </w:p>
        </w:tc>
        <w:tc>
          <w:tcPr>
            <w:tcW w:w="1170" w:type="dxa"/>
            <w:tcBorders>
              <w:top w:val="single" w:sz="8" w:space="0" w:color="auto"/>
              <w:left w:val="nil"/>
              <w:bottom w:val="single" w:sz="8" w:space="0" w:color="auto"/>
              <w:right w:val="single" w:sz="8" w:space="0" w:color="auto"/>
            </w:tcBorders>
            <w:shd w:val="clear" w:color="auto" w:fill="5B9BD5"/>
            <w:vAlign w:val="center"/>
            <w:hideMark/>
          </w:tcPr>
          <w:p w14:paraId="5F495ACD" w14:textId="77777777" w:rsidR="006174EB" w:rsidRPr="007B0F36" w:rsidRDefault="006174EB" w:rsidP="008D38A1">
            <w:pPr>
              <w:widowControl/>
              <w:autoSpaceDE/>
              <w:autoSpaceDN/>
              <w:adjustRightInd/>
              <w:jc w:val="center"/>
              <w:rPr>
                <w:rFonts w:ascii="Calibri" w:hAnsi="Calibri" w:cs="Calibri"/>
                <w:b/>
                <w:bCs/>
                <w:color w:val="000000"/>
                <w:sz w:val="18"/>
                <w:szCs w:val="18"/>
              </w:rPr>
            </w:pPr>
            <w:r w:rsidRPr="007B0F36">
              <w:rPr>
                <w:rFonts w:ascii="Calibri" w:hAnsi="Calibri" w:cs="Calibri"/>
                <w:b/>
                <w:bCs/>
                <w:color w:val="000000"/>
                <w:sz w:val="18"/>
                <w:szCs w:val="18"/>
              </w:rPr>
              <w:t>Burden Hrs / Response</w:t>
            </w:r>
          </w:p>
        </w:tc>
        <w:tc>
          <w:tcPr>
            <w:tcW w:w="1080" w:type="dxa"/>
            <w:tcBorders>
              <w:top w:val="single" w:sz="8" w:space="0" w:color="auto"/>
              <w:left w:val="nil"/>
              <w:bottom w:val="single" w:sz="8" w:space="0" w:color="auto"/>
              <w:right w:val="single" w:sz="8" w:space="0" w:color="auto"/>
            </w:tcBorders>
            <w:shd w:val="clear" w:color="auto" w:fill="5B9BD5"/>
            <w:vAlign w:val="center"/>
            <w:hideMark/>
          </w:tcPr>
          <w:p w14:paraId="1C2D42BE" w14:textId="77777777" w:rsidR="006174EB" w:rsidRPr="007B0F36" w:rsidRDefault="006174EB" w:rsidP="008D38A1">
            <w:pPr>
              <w:widowControl/>
              <w:autoSpaceDE/>
              <w:autoSpaceDN/>
              <w:adjustRightInd/>
              <w:jc w:val="center"/>
              <w:rPr>
                <w:rFonts w:ascii="Calibri" w:hAnsi="Calibri" w:cs="Calibri"/>
                <w:b/>
                <w:bCs/>
                <w:color w:val="000000"/>
                <w:sz w:val="18"/>
                <w:szCs w:val="18"/>
              </w:rPr>
            </w:pPr>
            <w:r w:rsidRPr="007B0F36">
              <w:rPr>
                <w:rFonts w:ascii="Calibri" w:hAnsi="Calibri" w:cs="Calibri"/>
                <w:b/>
                <w:bCs/>
                <w:color w:val="000000"/>
                <w:sz w:val="18"/>
                <w:szCs w:val="18"/>
              </w:rPr>
              <w:t>Total Annual Burden Hrs</w:t>
            </w:r>
          </w:p>
        </w:tc>
        <w:tc>
          <w:tcPr>
            <w:tcW w:w="1350" w:type="dxa"/>
            <w:tcBorders>
              <w:top w:val="single" w:sz="8" w:space="0" w:color="auto"/>
              <w:left w:val="nil"/>
              <w:bottom w:val="single" w:sz="8" w:space="0" w:color="auto"/>
              <w:right w:val="single" w:sz="8" w:space="0" w:color="auto"/>
            </w:tcBorders>
            <w:shd w:val="clear" w:color="auto" w:fill="5B9BD5"/>
            <w:vAlign w:val="center"/>
            <w:hideMark/>
          </w:tcPr>
          <w:p w14:paraId="0F662574" w14:textId="5FAD069D" w:rsidR="006174EB" w:rsidRPr="007B0F36" w:rsidRDefault="006174EB" w:rsidP="008D38A1">
            <w:pPr>
              <w:widowControl/>
              <w:autoSpaceDE/>
              <w:autoSpaceDN/>
              <w:adjustRightInd/>
              <w:jc w:val="center"/>
              <w:rPr>
                <w:rFonts w:ascii="Calibri" w:hAnsi="Calibri" w:cs="Calibri"/>
                <w:b/>
                <w:bCs/>
                <w:color w:val="000000"/>
                <w:sz w:val="18"/>
                <w:szCs w:val="18"/>
              </w:rPr>
            </w:pPr>
            <w:r w:rsidRPr="007B0F36">
              <w:rPr>
                <w:rFonts w:ascii="Calibri" w:hAnsi="Calibri" w:cs="Calibri"/>
                <w:b/>
                <w:bCs/>
                <w:color w:val="000000"/>
                <w:sz w:val="18"/>
                <w:szCs w:val="18"/>
              </w:rPr>
              <w:t>Mean Hourly Wage Rate  (for Type of Respondent)</w:t>
            </w:r>
            <w:r w:rsidR="00026DB9" w:rsidRPr="009B1E07">
              <w:rPr>
                <w:rFonts w:ascii="Calibri" w:hAnsi="Calibri" w:cs="Calibri"/>
                <w:color w:val="000000"/>
                <w:sz w:val="20"/>
                <w:szCs w:val="20"/>
                <w:vertAlign w:val="superscript"/>
              </w:rPr>
              <w:t xml:space="preserve"> </w:t>
            </w:r>
            <w:r w:rsidR="009B1E07">
              <w:rPr>
                <w:rFonts w:ascii="Calibri" w:hAnsi="Calibri" w:cs="Calibri"/>
                <w:color w:val="000000"/>
                <w:sz w:val="20"/>
                <w:szCs w:val="20"/>
                <w:u w:val="single"/>
                <w:vertAlign w:val="superscript"/>
              </w:rPr>
              <w:t>6</w:t>
            </w:r>
            <w:r w:rsidR="00026DB9" w:rsidRPr="004B0468">
              <w:rPr>
                <w:rFonts w:ascii="Calibri" w:hAnsi="Calibri" w:cs="Calibri"/>
                <w:color w:val="000000"/>
                <w:sz w:val="20"/>
                <w:szCs w:val="20"/>
                <w:vertAlign w:val="superscript"/>
              </w:rPr>
              <w:t>/</w:t>
            </w:r>
          </w:p>
        </w:tc>
        <w:tc>
          <w:tcPr>
            <w:tcW w:w="1260" w:type="dxa"/>
            <w:tcBorders>
              <w:top w:val="single" w:sz="8" w:space="0" w:color="auto"/>
              <w:left w:val="nil"/>
              <w:bottom w:val="single" w:sz="8" w:space="0" w:color="auto"/>
              <w:right w:val="single" w:sz="8" w:space="0" w:color="auto"/>
            </w:tcBorders>
            <w:shd w:val="clear" w:color="auto" w:fill="5B9BD5"/>
            <w:vAlign w:val="center"/>
            <w:hideMark/>
          </w:tcPr>
          <w:p w14:paraId="5CB78FFB" w14:textId="77777777" w:rsidR="006174EB" w:rsidRPr="007B0F36" w:rsidRDefault="006174EB" w:rsidP="008D38A1">
            <w:pPr>
              <w:widowControl/>
              <w:autoSpaceDE/>
              <w:autoSpaceDN/>
              <w:adjustRightInd/>
              <w:jc w:val="center"/>
              <w:rPr>
                <w:rFonts w:ascii="Calibri" w:hAnsi="Calibri" w:cs="Calibri"/>
                <w:b/>
                <w:bCs/>
                <w:color w:val="000000"/>
                <w:sz w:val="18"/>
                <w:szCs w:val="18"/>
              </w:rPr>
            </w:pPr>
            <w:r w:rsidRPr="007B0F36">
              <w:rPr>
                <w:rFonts w:ascii="Calibri" w:hAnsi="Calibri" w:cs="Calibri"/>
                <w:b/>
                <w:bCs/>
                <w:color w:val="000000"/>
                <w:sz w:val="18"/>
                <w:szCs w:val="18"/>
              </w:rPr>
              <w:t>Total Annual Wage Burden Costs</w:t>
            </w:r>
          </w:p>
        </w:tc>
      </w:tr>
      <w:tr w:rsidR="00026DB9" w:rsidRPr="00292AD5" w14:paraId="38C863CB" w14:textId="77777777" w:rsidTr="00026DB9">
        <w:trPr>
          <w:trHeight w:val="300"/>
        </w:trPr>
        <w:tc>
          <w:tcPr>
            <w:tcW w:w="2268" w:type="dxa"/>
            <w:tcBorders>
              <w:top w:val="nil"/>
              <w:left w:val="single" w:sz="8" w:space="0" w:color="auto"/>
              <w:bottom w:val="single" w:sz="4" w:space="0" w:color="auto"/>
              <w:right w:val="single" w:sz="4" w:space="0" w:color="auto"/>
            </w:tcBorders>
            <w:shd w:val="clear" w:color="auto" w:fill="auto"/>
            <w:vAlign w:val="center"/>
            <w:hideMark/>
          </w:tcPr>
          <w:p w14:paraId="7E939942" w14:textId="6EFC61D1" w:rsidR="006174EB" w:rsidRPr="004B0468" w:rsidRDefault="00292AD5" w:rsidP="008D38A1">
            <w:pPr>
              <w:widowControl/>
              <w:autoSpaceDE/>
              <w:autoSpaceDN/>
              <w:adjustRightInd/>
              <w:rPr>
                <w:rFonts w:ascii="Calibri" w:hAnsi="Calibri" w:cs="Calibri"/>
                <w:color w:val="000000"/>
                <w:sz w:val="16"/>
                <w:szCs w:val="16"/>
                <w:vertAlign w:val="superscript"/>
              </w:rPr>
            </w:pPr>
            <w:r w:rsidRPr="00292AD5">
              <w:rPr>
                <w:rFonts w:ascii="Calibri" w:hAnsi="Calibri" w:cs="Calibri"/>
                <w:color w:val="000000"/>
                <w:sz w:val="16"/>
                <w:szCs w:val="16"/>
              </w:rPr>
              <w:t>CDQ Vessel Registration System</w:t>
            </w:r>
            <w:r w:rsidR="004B0468">
              <w:rPr>
                <w:rFonts w:ascii="Calibri" w:hAnsi="Calibri" w:cs="Calibri"/>
                <w:color w:val="000000"/>
                <w:sz w:val="16"/>
                <w:szCs w:val="16"/>
                <w:vertAlign w:val="superscript"/>
              </w:rPr>
              <w:t xml:space="preserve"> </w:t>
            </w:r>
            <w:r w:rsidR="004B0468" w:rsidRPr="004B0468">
              <w:rPr>
                <w:rFonts w:ascii="Calibri" w:hAnsi="Calibri" w:cs="Calibri"/>
                <w:color w:val="000000"/>
                <w:sz w:val="20"/>
                <w:szCs w:val="20"/>
                <w:u w:val="single"/>
                <w:vertAlign w:val="superscript"/>
              </w:rPr>
              <w:t>1</w:t>
            </w:r>
            <w:r w:rsidR="004B0468" w:rsidRPr="004B0468">
              <w:rPr>
                <w:rFonts w:ascii="Calibri" w:hAnsi="Calibri" w:cs="Calibri"/>
                <w:color w:val="000000"/>
                <w:sz w:val="20"/>
                <w:szCs w:val="20"/>
                <w:vertAlign w:val="superscript"/>
              </w:rPr>
              <w:t>/</w:t>
            </w:r>
          </w:p>
        </w:tc>
        <w:tc>
          <w:tcPr>
            <w:tcW w:w="1530" w:type="dxa"/>
            <w:tcBorders>
              <w:top w:val="nil"/>
              <w:left w:val="nil"/>
              <w:bottom w:val="single" w:sz="4" w:space="0" w:color="auto"/>
              <w:right w:val="single" w:sz="4" w:space="0" w:color="auto"/>
            </w:tcBorders>
            <w:shd w:val="clear" w:color="auto" w:fill="auto"/>
            <w:vAlign w:val="center"/>
            <w:hideMark/>
          </w:tcPr>
          <w:p w14:paraId="7F6B7607" w14:textId="0D281F6C" w:rsidR="006174EB" w:rsidRPr="00292AD5" w:rsidRDefault="00026DB9" w:rsidP="008D38A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CDQ group representative</w:t>
            </w:r>
            <w:r w:rsidR="006174EB" w:rsidRPr="00292AD5">
              <w:rPr>
                <w:rFonts w:ascii="Calibri" w:hAnsi="Calibri" w:cs="Calibri"/>
                <w:color w:val="000000"/>
                <w:sz w:val="16"/>
                <w:szCs w:val="16"/>
              </w:rPr>
              <w:t> </w:t>
            </w:r>
          </w:p>
        </w:tc>
        <w:tc>
          <w:tcPr>
            <w:tcW w:w="1188" w:type="dxa"/>
            <w:tcBorders>
              <w:top w:val="nil"/>
              <w:left w:val="nil"/>
              <w:bottom w:val="single" w:sz="4" w:space="0" w:color="auto"/>
              <w:right w:val="single" w:sz="4" w:space="0" w:color="auto"/>
            </w:tcBorders>
            <w:shd w:val="clear" w:color="auto" w:fill="auto"/>
            <w:vAlign w:val="center"/>
            <w:hideMark/>
          </w:tcPr>
          <w:p w14:paraId="589BF0E3" w14:textId="25DBE14B" w:rsidR="006174EB" w:rsidRPr="00292AD5" w:rsidRDefault="004B0468"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332" w:type="dxa"/>
            <w:tcBorders>
              <w:top w:val="nil"/>
              <w:left w:val="nil"/>
              <w:bottom w:val="single" w:sz="4" w:space="0" w:color="auto"/>
              <w:right w:val="single" w:sz="4" w:space="0" w:color="auto"/>
            </w:tcBorders>
            <w:shd w:val="clear" w:color="auto" w:fill="auto"/>
            <w:vAlign w:val="center"/>
            <w:hideMark/>
          </w:tcPr>
          <w:p w14:paraId="71752887" w14:textId="459A564C" w:rsidR="006174EB" w:rsidRPr="00292AD5" w:rsidRDefault="004B0468"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hideMark/>
          </w:tcPr>
          <w:p w14:paraId="36A0AABF" w14:textId="1D7FD15E" w:rsidR="006174EB" w:rsidRPr="00292AD5" w:rsidRDefault="004B0468"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vAlign w:val="center"/>
            <w:hideMark/>
          </w:tcPr>
          <w:p w14:paraId="4CC323D9" w14:textId="7876C778" w:rsidR="006174EB" w:rsidRPr="00292AD5" w:rsidRDefault="00F710EF"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 min.</w:t>
            </w:r>
          </w:p>
        </w:tc>
        <w:tc>
          <w:tcPr>
            <w:tcW w:w="1080" w:type="dxa"/>
            <w:tcBorders>
              <w:top w:val="nil"/>
              <w:left w:val="nil"/>
              <w:bottom w:val="single" w:sz="4" w:space="0" w:color="auto"/>
              <w:right w:val="single" w:sz="4" w:space="0" w:color="auto"/>
            </w:tcBorders>
            <w:shd w:val="clear" w:color="auto" w:fill="auto"/>
            <w:vAlign w:val="center"/>
            <w:hideMark/>
          </w:tcPr>
          <w:p w14:paraId="75431A17" w14:textId="5D4AB85A" w:rsidR="006174EB" w:rsidRPr="00292AD5" w:rsidRDefault="009B1E07" w:rsidP="00974EB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xml:space="preserve">1 </w:t>
            </w:r>
            <w:r>
              <w:rPr>
                <w:rFonts w:ascii="Calibri" w:hAnsi="Calibri" w:cs="Calibri"/>
                <w:color w:val="000000"/>
                <w:sz w:val="20"/>
                <w:szCs w:val="20"/>
                <w:u w:val="single"/>
                <w:vertAlign w:val="superscript"/>
              </w:rPr>
              <w:t>5</w:t>
            </w:r>
            <w:r w:rsidRPr="004B0468">
              <w:rPr>
                <w:rFonts w:ascii="Calibri" w:hAnsi="Calibri" w:cs="Calibri"/>
                <w:color w:val="000000"/>
                <w:sz w:val="20"/>
                <w:szCs w:val="20"/>
                <w:vertAlign w:val="superscript"/>
              </w:rPr>
              <w:t>/</w:t>
            </w:r>
          </w:p>
        </w:tc>
        <w:tc>
          <w:tcPr>
            <w:tcW w:w="1350" w:type="dxa"/>
            <w:tcBorders>
              <w:top w:val="nil"/>
              <w:left w:val="nil"/>
              <w:bottom w:val="single" w:sz="4" w:space="0" w:color="auto"/>
              <w:right w:val="single" w:sz="4" w:space="0" w:color="auto"/>
            </w:tcBorders>
            <w:shd w:val="clear" w:color="auto" w:fill="auto"/>
            <w:noWrap/>
            <w:vAlign w:val="center"/>
            <w:hideMark/>
          </w:tcPr>
          <w:p w14:paraId="2A4CD187" w14:textId="7AF71108" w:rsidR="006174EB" w:rsidRPr="00292AD5" w:rsidRDefault="008517EB"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$54.13</w:t>
            </w:r>
          </w:p>
        </w:tc>
        <w:tc>
          <w:tcPr>
            <w:tcW w:w="1260" w:type="dxa"/>
            <w:tcBorders>
              <w:top w:val="nil"/>
              <w:left w:val="nil"/>
              <w:bottom w:val="single" w:sz="4" w:space="0" w:color="auto"/>
              <w:right w:val="single" w:sz="8" w:space="0" w:color="auto"/>
            </w:tcBorders>
            <w:shd w:val="clear" w:color="auto" w:fill="auto"/>
            <w:noWrap/>
            <w:vAlign w:val="center"/>
            <w:hideMark/>
          </w:tcPr>
          <w:p w14:paraId="600EF48B" w14:textId="7653C2BE" w:rsidR="006174EB" w:rsidRPr="00292AD5" w:rsidRDefault="00602C25" w:rsidP="00602C2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974EB0">
              <w:rPr>
                <w:rFonts w:ascii="Calibri" w:hAnsi="Calibri" w:cs="Calibri"/>
                <w:color w:val="000000"/>
                <w:sz w:val="16"/>
                <w:szCs w:val="16"/>
              </w:rPr>
              <w:t>54</w:t>
            </w:r>
          </w:p>
        </w:tc>
      </w:tr>
      <w:tr w:rsidR="00026DB9" w:rsidRPr="00292AD5" w14:paraId="6DE00E76" w14:textId="77777777" w:rsidTr="00026DB9">
        <w:trPr>
          <w:trHeight w:val="300"/>
        </w:trPr>
        <w:tc>
          <w:tcPr>
            <w:tcW w:w="2268" w:type="dxa"/>
            <w:tcBorders>
              <w:top w:val="nil"/>
              <w:left w:val="single" w:sz="8" w:space="0" w:color="auto"/>
              <w:bottom w:val="single" w:sz="4" w:space="0" w:color="auto"/>
              <w:right w:val="single" w:sz="4" w:space="0" w:color="auto"/>
            </w:tcBorders>
            <w:shd w:val="clear" w:color="auto" w:fill="auto"/>
            <w:vAlign w:val="center"/>
            <w:hideMark/>
          </w:tcPr>
          <w:p w14:paraId="7AA940C7" w14:textId="085AEA2E" w:rsidR="006174EB" w:rsidRPr="00292AD5" w:rsidRDefault="00292AD5" w:rsidP="008D38A1">
            <w:pPr>
              <w:widowControl/>
              <w:autoSpaceDE/>
              <w:autoSpaceDN/>
              <w:adjustRightInd/>
              <w:rPr>
                <w:rFonts w:ascii="Calibri" w:hAnsi="Calibri" w:cs="Calibri"/>
                <w:color w:val="000000"/>
                <w:sz w:val="16"/>
                <w:szCs w:val="16"/>
              </w:rPr>
            </w:pPr>
            <w:r w:rsidRPr="00292AD5">
              <w:rPr>
                <w:rFonts w:ascii="Calibri" w:hAnsi="Calibri" w:cs="Calibri"/>
                <w:color w:val="000000"/>
                <w:sz w:val="16"/>
                <w:szCs w:val="16"/>
              </w:rPr>
              <w:t>Groundfish/Halibut CDQ and Prohibited Species Quota (PSQ) Transfer Request</w:t>
            </w:r>
          </w:p>
        </w:tc>
        <w:tc>
          <w:tcPr>
            <w:tcW w:w="1530" w:type="dxa"/>
            <w:tcBorders>
              <w:top w:val="nil"/>
              <w:left w:val="nil"/>
              <w:bottom w:val="single" w:sz="4" w:space="0" w:color="auto"/>
              <w:right w:val="single" w:sz="4" w:space="0" w:color="auto"/>
            </w:tcBorders>
            <w:shd w:val="clear" w:color="auto" w:fill="auto"/>
            <w:vAlign w:val="center"/>
            <w:hideMark/>
          </w:tcPr>
          <w:p w14:paraId="4A2710EC" w14:textId="5E327270" w:rsidR="006174EB" w:rsidRPr="00292AD5" w:rsidRDefault="00026DB9" w:rsidP="008D38A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CDQ group representative</w:t>
            </w:r>
            <w:r w:rsidR="006174EB" w:rsidRPr="00292AD5">
              <w:rPr>
                <w:rFonts w:ascii="Calibri" w:hAnsi="Calibri" w:cs="Calibri"/>
                <w:color w:val="000000"/>
                <w:sz w:val="16"/>
                <w:szCs w:val="16"/>
              </w:rPr>
              <w:t> </w:t>
            </w:r>
          </w:p>
        </w:tc>
        <w:tc>
          <w:tcPr>
            <w:tcW w:w="1188" w:type="dxa"/>
            <w:tcBorders>
              <w:top w:val="nil"/>
              <w:left w:val="nil"/>
              <w:bottom w:val="single" w:sz="4" w:space="0" w:color="auto"/>
              <w:right w:val="single" w:sz="4" w:space="0" w:color="auto"/>
            </w:tcBorders>
            <w:shd w:val="clear" w:color="auto" w:fill="auto"/>
            <w:vAlign w:val="center"/>
            <w:hideMark/>
          </w:tcPr>
          <w:p w14:paraId="57C106AC" w14:textId="39A662AA" w:rsidR="006174EB" w:rsidRPr="00292AD5" w:rsidRDefault="00F710EF"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w:t>
            </w:r>
          </w:p>
        </w:tc>
        <w:tc>
          <w:tcPr>
            <w:tcW w:w="1332" w:type="dxa"/>
            <w:tcBorders>
              <w:top w:val="nil"/>
              <w:left w:val="nil"/>
              <w:bottom w:val="single" w:sz="4" w:space="0" w:color="auto"/>
              <w:right w:val="single" w:sz="4" w:space="0" w:color="auto"/>
            </w:tcBorders>
            <w:shd w:val="clear" w:color="auto" w:fill="auto"/>
            <w:vAlign w:val="center"/>
            <w:hideMark/>
          </w:tcPr>
          <w:p w14:paraId="2329E5A1" w14:textId="48E3B17D" w:rsidR="006174EB" w:rsidRPr="00292AD5" w:rsidRDefault="00F710EF"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w:t>
            </w:r>
          </w:p>
        </w:tc>
        <w:tc>
          <w:tcPr>
            <w:tcW w:w="1260" w:type="dxa"/>
            <w:tcBorders>
              <w:top w:val="nil"/>
              <w:left w:val="nil"/>
              <w:bottom w:val="single" w:sz="4" w:space="0" w:color="auto"/>
              <w:right w:val="single" w:sz="4" w:space="0" w:color="auto"/>
            </w:tcBorders>
            <w:shd w:val="clear" w:color="auto" w:fill="auto"/>
            <w:vAlign w:val="center"/>
            <w:hideMark/>
          </w:tcPr>
          <w:p w14:paraId="195B0F9B" w14:textId="5F1D20C1" w:rsidR="006174EB" w:rsidRPr="00292AD5" w:rsidRDefault="00F710EF"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72</w:t>
            </w:r>
          </w:p>
        </w:tc>
        <w:tc>
          <w:tcPr>
            <w:tcW w:w="1170" w:type="dxa"/>
            <w:tcBorders>
              <w:top w:val="nil"/>
              <w:left w:val="nil"/>
              <w:bottom w:val="single" w:sz="4" w:space="0" w:color="auto"/>
              <w:right w:val="single" w:sz="4" w:space="0" w:color="auto"/>
            </w:tcBorders>
            <w:shd w:val="clear" w:color="auto" w:fill="auto"/>
            <w:vAlign w:val="center"/>
            <w:hideMark/>
          </w:tcPr>
          <w:p w14:paraId="55727709" w14:textId="48A7334A" w:rsidR="006174EB" w:rsidRPr="00292AD5" w:rsidRDefault="00F04001"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r w:rsidR="00F710EF">
              <w:rPr>
                <w:rFonts w:ascii="Calibri" w:hAnsi="Calibri" w:cs="Calibri"/>
                <w:color w:val="000000"/>
                <w:sz w:val="16"/>
                <w:szCs w:val="16"/>
              </w:rPr>
              <w:t>0 min.</w:t>
            </w:r>
          </w:p>
        </w:tc>
        <w:tc>
          <w:tcPr>
            <w:tcW w:w="1080" w:type="dxa"/>
            <w:tcBorders>
              <w:top w:val="nil"/>
              <w:left w:val="nil"/>
              <w:bottom w:val="single" w:sz="4" w:space="0" w:color="auto"/>
              <w:right w:val="single" w:sz="4" w:space="0" w:color="auto"/>
            </w:tcBorders>
            <w:shd w:val="clear" w:color="auto" w:fill="auto"/>
            <w:vAlign w:val="center"/>
            <w:hideMark/>
          </w:tcPr>
          <w:p w14:paraId="234D8A49" w14:textId="3BC2037A" w:rsidR="006174EB" w:rsidRPr="00292AD5" w:rsidRDefault="00602C25"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36</w:t>
            </w:r>
          </w:p>
        </w:tc>
        <w:tc>
          <w:tcPr>
            <w:tcW w:w="1350" w:type="dxa"/>
            <w:tcBorders>
              <w:top w:val="nil"/>
              <w:left w:val="nil"/>
              <w:bottom w:val="single" w:sz="4" w:space="0" w:color="auto"/>
              <w:right w:val="single" w:sz="4" w:space="0" w:color="auto"/>
            </w:tcBorders>
            <w:shd w:val="clear" w:color="auto" w:fill="auto"/>
            <w:noWrap/>
            <w:vAlign w:val="center"/>
            <w:hideMark/>
          </w:tcPr>
          <w:p w14:paraId="70BEC937" w14:textId="4E47246F" w:rsidR="006174EB" w:rsidRPr="00292AD5" w:rsidRDefault="008517EB"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$54.13</w:t>
            </w:r>
          </w:p>
        </w:tc>
        <w:tc>
          <w:tcPr>
            <w:tcW w:w="1260" w:type="dxa"/>
            <w:tcBorders>
              <w:top w:val="nil"/>
              <w:left w:val="nil"/>
              <w:bottom w:val="single" w:sz="4" w:space="0" w:color="auto"/>
              <w:right w:val="single" w:sz="8" w:space="0" w:color="auto"/>
            </w:tcBorders>
            <w:shd w:val="clear" w:color="auto" w:fill="auto"/>
            <w:noWrap/>
            <w:vAlign w:val="center"/>
            <w:hideMark/>
          </w:tcPr>
          <w:p w14:paraId="623A33BF" w14:textId="1134AE2D" w:rsidR="006174EB" w:rsidRPr="00292AD5" w:rsidRDefault="00974EB0" w:rsidP="00602C2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$1,949</w:t>
            </w:r>
          </w:p>
        </w:tc>
      </w:tr>
      <w:tr w:rsidR="00026DB9" w:rsidRPr="00292AD5" w14:paraId="3E467FCB" w14:textId="77777777" w:rsidTr="00026DB9">
        <w:trPr>
          <w:trHeight w:val="300"/>
        </w:trPr>
        <w:tc>
          <w:tcPr>
            <w:tcW w:w="2268" w:type="dxa"/>
            <w:tcBorders>
              <w:top w:val="nil"/>
              <w:left w:val="single" w:sz="8" w:space="0" w:color="auto"/>
              <w:bottom w:val="single" w:sz="4" w:space="0" w:color="auto"/>
              <w:right w:val="single" w:sz="4" w:space="0" w:color="auto"/>
            </w:tcBorders>
            <w:shd w:val="clear" w:color="auto" w:fill="auto"/>
            <w:vAlign w:val="center"/>
            <w:hideMark/>
          </w:tcPr>
          <w:p w14:paraId="4797AA2C" w14:textId="00A44F2A" w:rsidR="006174EB" w:rsidRPr="00292AD5" w:rsidRDefault="00292AD5" w:rsidP="008D38A1">
            <w:pPr>
              <w:widowControl/>
              <w:autoSpaceDE/>
              <w:autoSpaceDN/>
              <w:adjustRightInd/>
              <w:rPr>
                <w:rFonts w:ascii="Calibri" w:hAnsi="Calibri" w:cs="Calibri"/>
                <w:color w:val="000000"/>
                <w:sz w:val="16"/>
                <w:szCs w:val="16"/>
              </w:rPr>
            </w:pPr>
            <w:r w:rsidRPr="00292AD5">
              <w:rPr>
                <w:rFonts w:ascii="Calibri" w:hAnsi="Calibri" w:cs="Calibri"/>
                <w:color w:val="000000"/>
                <w:sz w:val="16"/>
                <w:szCs w:val="16"/>
              </w:rPr>
              <w:t>Application for Approval of Use of Non-CDQ Harvest Regulations</w:t>
            </w:r>
            <w:r w:rsidR="009B1E07">
              <w:rPr>
                <w:rFonts w:ascii="Calibri" w:hAnsi="Calibri" w:cs="Calibri"/>
                <w:color w:val="000000"/>
                <w:sz w:val="16"/>
                <w:szCs w:val="16"/>
              </w:rPr>
              <w:t xml:space="preserve"> </w:t>
            </w:r>
            <w:r w:rsidR="004B0468">
              <w:rPr>
                <w:rFonts w:ascii="Calibri" w:hAnsi="Calibri" w:cs="Calibri"/>
                <w:color w:val="000000"/>
                <w:sz w:val="20"/>
                <w:szCs w:val="20"/>
                <w:u w:val="single"/>
                <w:vertAlign w:val="superscript"/>
              </w:rPr>
              <w:t>2</w:t>
            </w:r>
            <w:r w:rsidR="004B0468" w:rsidRPr="004B0468">
              <w:rPr>
                <w:rFonts w:ascii="Calibri" w:hAnsi="Calibri" w:cs="Calibri"/>
                <w:color w:val="000000"/>
                <w:sz w:val="20"/>
                <w:szCs w:val="20"/>
                <w:vertAlign w:val="superscript"/>
              </w:rPr>
              <w:t>/</w:t>
            </w:r>
          </w:p>
        </w:tc>
        <w:tc>
          <w:tcPr>
            <w:tcW w:w="1530" w:type="dxa"/>
            <w:tcBorders>
              <w:top w:val="nil"/>
              <w:left w:val="nil"/>
              <w:bottom w:val="single" w:sz="4" w:space="0" w:color="auto"/>
              <w:right w:val="single" w:sz="4" w:space="0" w:color="auto"/>
            </w:tcBorders>
            <w:shd w:val="clear" w:color="auto" w:fill="auto"/>
            <w:vAlign w:val="center"/>
            <w:hideMark/>
          </w:tcPr>
          <w:p w14:paraId="206823A4" w14:textId="42F9816A" w:rsidR="006174EB" w:rsidRPr="00292AD5" w:rsidRDefault="0079775C" w:rsidP="0079775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CDQ group representative</w:t>
            </w:r>
          </w:p>
        </w:tc>
        <w:tc>
          <w:tcPr>
            <w:tcW w:w="1188" w:type="dxa"/>
            <w:tcBorders>
              <w:top w:val="nil"/>
              <w:left w:val="nil"/>
              <w:bottom w:val="single" w:sz="4" w:space="0" w:color="auto"/>
              <w:right w:val="single" w:sz="4" w:space="0" w:color="auto"/>
            </w:tcBorders>
            <w:shd w:val="clear" w:color="auto" w:fill="auto"/>
            <w:vAlign w:val="center"/>
            <w:hideMark/>
          </w:tcPr>
          <w:p w14:paraId="562C1342" w14:textId="14C41ED9" w:rsidR="006174EB" w:rsidRPr="00292AD5" w:rsidRDefault="004B0468"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332" w:type="dxa"/>
            <w:tcBorders>
              <w:top w:val="nil"/>
              <w:left w:val="nil"/>
              <w:bottom w:val="single" w:sz="4" w:space="0" w:color="auto"/>
              <w:right w:val="single" w:sz="4" w:space="0" w:color="auto"/>
            </w:tcBorders>
            <w:shd w:val="clear" w:color="auto" w:fill="auto"/>
            <w:vAlign w:val="center"/>
            <w:hideMark/>
          </w:tcPr>
          <w:p w14:paraId="73EBAC28" w14:textId="652D8522" w:rsidR="006174EB" w:rsidRPr="00292AD5" w:rsidRDefault="00F710EF"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hideMark/>
          </w:tcPr>
          <w:p w14:paraId="33386AED" w14:textId="27026FA2" w:rsidR="006174EB" w:rsidRPr="00292AD5" w:rsidRDefault="00F710EF"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vAlign w:val="center"/>
            <w:hideMark/>
          </w:tcPr>
          <w:p w14:paraId="166ACB42" w14:textId="2FD8CDBB" w:rsidR="006174EB" w:rsidRPr="00292AD5" w:rsidRDefault="00F04001"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 hrs</w:t>
            </w:r>
          </w:p>
        </w:tc>
        <w:tc>
          <w:tcPr>
            <w:tcW w:w="1080" w:type="dxa"/>
            <w:tcBorders>
              <w:top w:val="nil"/>
              <w:left w:val="nil"/>
              <w:bottom w:val="single" w:sz="4" w:space="0" w:color="auto"/>
              <w:right w:val="single" w:sz="4" w:space="0" w:color="auto"/>
            </w:tcBorders>
            <w:shd w:val="clear" w:color="auto" w:fill="auto"/>
            <w:vAlign w:val="center"/>
            <w:hideMark/>
          </w:tcPr>
          <w:p w14:paraId="1A046F8E" w14:textId="5045D301" w:rsidR="006174EB" w:rsidRPr="00292AD5" w:rsidRDefault="00602C25"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350" w:type="dxa"/>
            <w:tcBorders>
              <w:top w:val="nil"/>
              <w:left w:val="nil"/>
              <w:bottom w:val="single" w:sz="4" w:space="0" w:color="auto"/>
              <w:right w:val="single" w:sz="4" w:space="0" w:color="auto"/>
            </w:tcBorders>
            <w:shd w:val="clear" w:color="auto" w:fill="auto"/>
            <w:noWrap/>
            <w:vAlign w:val="center"/>
            <w:hideMark/>
          </w:tcPr>
          <w:p w14:paraId="3738667D" w14:textId="14D5C07E" w:rsidR="006174EB" w:rsidRPr="00292AD5" w:rsidRDefault="008517EB"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$54.13</w:t>
            </w:r>
          </w:p>
        </w:tc>
        <w:tc>
          <w:tcPr>
            <w:tcW w:w="1260" w:type="dxa"/>
            <w:tcBorders>
              <w:top w:val="nil"/>
              <w:left w:val="nil"/>
              <w:bottom w:val="single" w:sz="4" w:space="0" w:color="auto"/>
              <w:right w:val="single" w:sz="8" w:space="0" w:color="auto"/>
            </w:tcBorders>
            <w:shd w:val="clear" w:color="auto" w:fill="auto"/>
            <w:noWrap/>
            <w:vAlign w:val="center"/>
            <w:hideMark/>
          </w:tcPr>
          <w:p w14:paraId="09C0A354" w14:textId="78A6A4EB" w:rsidR="006174EB" w:rsidRPr="00292AD5" w:rsidRDefault="00974EB0" w:rsidP="00602C2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$271</w:t>
            </w:r>
          </w:p>
        </w:tc>
      </w:tr>
      <w:tr w:rsidR="00026DB9" w:rsidRPr="00292AD5" w14:paraId="0CE60D20" w14:textId="77777777" w:rsidTr="00026DB9">
        <w:trPr>
          <w:trHeight w:val="300"/>
        </w:trPr>
        <w:tc>
          <w:tcPr>
            <w:tcW w:w="2268" w:type="dxa"/>
            <w:tcBorders>
              <w:top w:val="nil"/>
              <w:left w:val="single" w:sz="8" w:space="0" w:color="auto"/>
              <w:bottom w:val="single" w:sz="4" w:space="0" w:color="auto"/>
              <w:right w:val="single" w:sz="4" w:space="0" w:color="auto"/>
            </w:tcBorders>
            <w:shd w:val="clear" w:color="auto" w:fill="auto"/>
            <w:vAlign w:val="center"/>
          </w:tcPr>
          <w:p w14:paraId="31A16404" w14:textId="48F2826D" w:rsidR="006174EB" w:rsidRPr="00292AD5" w:rsidRDefault="00292AD5" w:rsidP="008D38A1">
            <w:pPr>
              <w:widowControl/>
              <w:autoSpaceDE/>
              <w:autoSpaceDN/>
              <w:adjustRightInd/>
              <w:rPr>
                <w:rFonts w:ascii="Calibri" w:hAnsi="Calibri" w:cs="Calibri"/>
                <w:color w:val="000000"/>
                <w:sz w:val="16"/>
                <w:szCs w:val="16"/>
              </w:rPr>
            </w:pPr>
            <w:r w:rsidRPr="00292AD5">
              <w:rPr>
                <w:rFonts w:ascii="Calibri" w:hAnsi="Calibri" w:cs="Calibri"/>
                <w:color w:val="000000"/>
                <w:sz w:val="16"/>
                <w:szCs w:val="16"/>
              </w:rPr>
              <w:t>Appeals</w:t>
            </w:r>
            <w:r w:rsidR="009B1E07">
              <w:rPr>
                <w:rFonts w:ascii="Calibri" w:hAnsi="Calibri" w:cs="Calibri"/>
                <w:color w:val="000000"/>
                <w:sz w:val="16"/>
                <w:szCs w:val="16"/>
              </w:rPr>
              <w:t xml:space="preserve"> </w:t>
            </w:r>
            <w:r w:rsidR="00F710EF">
              <w:rPr>
                <w:rFonts w:ascii="Calibri" w:hAnsi="Calibri" w:cs="Calibri"/>
                <w:color w:val="000000"/>
                <w:sz w:val="20"/>
                <w:szCs w:val="20"/>
                <w:u w:val="single"/>
                <w:vertAlign w:val="superscript"/>
              </w:rPr>
              <w:t>3</w:t>
            </w:r>
            <w:r w:rsidR="004B0468" w:rsidRPr="004B0468">
              <w:rPr>
                <w:rFonts w:ascii="Calibri" w:hAnsi="Calibri" w:cs="Calibri"/>
                <w:color w:val="000000"/>
                <w:sz w:val="20"/>
                <w:szCs w:val="20"/>
                <w:vertAlign w:val="superscript"/>
              </w:rPr>
              <w:t>/</w:t>
            </w:r>
          </w:p>
        </w:tc>
        <w:tc>
          <w:tcPr>
            <w:tcW w:w="1530" w:type="dxa"/>
            <w:tcBorders>
              <w:top w:val="nil"/>
              <w:left w:val="nil"/>
              <w:bottom w:val="single" w:sz="4" w:space="0" w:color="auto"/>
              <w:right w:val="single" w:sz="4" w:space="0" w:color="auto"/>
            </w:tcBorders>
            <w:shd w:val="clear" w:color="auto" w:fill="auto"/>
            <w:vAlign w:val="center"/>
          </w:tcPr>
          <w:p w14:paraId="1786BC0E" w14:textId="230EA902" w:rsidR="006174EB" w:rsidRPr="00292AD5" w:rsidRDefault="00F710EF" w:rsidP="00F710E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CDQ group representative</w:t>
            </w:r>
            <w:r w:rsidR="008560EF" w:rsidRPr="008560EF">
              <w:rPr>
                <w:rFonts w:ascii="Calibri" w:hAnsi="Calibri" w:cs="Calibri"/>
                <w:color w:val="000000"/>
                <w:sz w:val="16"/>
                <w:szCs w:val="16"/>
              </w:rPr>
              <w:t xml:space="preserve">  </w:t>
            </w:r>
          </w:p>
        </w:tc>
        <w:tc>
          <w:tcPr>
            <w:tcW w:w="1188" w:type="dxa"/>
            <w:tcBorders>
              <w:top w:val="nil"/>
              <w:left w:val="nil"/>
              <w:bottom w:val="single" w:sz="4" w:space="0" w:color="auto"/>
              <w:right w:val="single" w:sz="4" w:space="0" w:color="auto"/>
            </w:tcBorders>
            <w:shd w:val="clear" w:color="auto" w:fill="auto"/>
            <w:vAlign w:val="center"/>
          </w:tcPr>
          <w:p w14:paraId="26E92D52" w14:textId="4591EE47" w:rsidR="006174EB" w:rsidRPr="00292AD5" w:rsidRDefault="00FD1EFF"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332" w:type="dxa"/>
            <w:tcBorders>
              <w:top w:val="nil"/>
              <w:left w:val="nil"/>
              <w:bottom w:val="single" w:sz="4" w:space="0" w:color="auto"/>
              <w:right w:val="single" w:sz="4" w:space="0" w:color="auto"/>
            </w:tcBorders>
            <w:shd w:val="clear" w:color="auto" w:fill="auto"/>
            <w:vAlign w:val="center"/>
          </w:tcPr>
          <w:p w14:paraId="5A7C5A29" w14:textId="38EF6F9D" w:rsidR="006174EB" w:rsidRPr="00292AD5" w:rsidRDefault="00FD1EFF"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14:paraId="6F9BB9A6" w14:textId="1CAA20CD" w:rsidR="006174EB" w:rsidRPr="00292AD5" w:rsidRDefault="00FD1EFF"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vAlign w:val="center"/>
          </w:tcPr>
          <w:p w14:paraId="442DFE94" w14:textId="00CBE8CA" w:rsidR="006174EB" w:rsidRPr="00292AD5" w:rsidRDefault="00F04001"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 hrs</w:t>
            </w:r>
          </w:p>
        </w:tc>
        <w:tc>
          <w:tcPr>
            <w:tcW w:w="1080" w:type="dxa"/>
            <w:tcBorders>
              <w:top w:val="nil"/>
              <w:left w:val="nil"/>
              <w:bottom w:val="single" w:sz="4" w:space="0" w:color="auto"/>
              <w:right w:val="single" w:sz="4" w:space="0" w:color="auto"/>
            </w:tcBorders>
            <w:shd w:val="clear" w:color="auto" w:fill="auto"/>
            <w:vAlign w:val="center"/>
          </w:tcPr>
          <w:p w14:paraId="338C558C" w14:textId="7496D632" w:rsidR="006174EB" w:rsidRPr="00292AD5" w:rsidRDefault="00974EB0"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350" w:type="dxa"/>
            <w:tcBorders>
              <w:top w:val="nil"/>
              <w:left w:val="nil"/>
              <w:bottom w:val="single" w:sz="4" w:space="0" w:color="auto"/>
              <w:right w:val="single" w:sz="4" w:space="0" w:color="auto"/>
            </w:tcBorders>
            <w:shd w:val="clear" w:color="auto" w:fill="auto"/>
            <w:noWrap/>
            <w:vAlign w:val="center"/>
          </w:tcPr>
          <w:p w14:paraId="29BAB746" w14:textId="058EA1C7" w:rsidR="006174EB" w:rsidRPr="00292AD5" w:rsidRDefault="008517EB" w:rsidP="00A72D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$54.13</w:t>
            </w:r>
          </w:p>
        </w:tc>
        <w:tc>
          <w:tcPr>
            <w:tcW w:w="1260" w:type="dxa"/>
            <w:tcBorders>
              <w:top w:val="nil"/>
              <w:left w:val="nil"/>
              <w:bottom w:val="single" w:sz="4" w:space="0" w:color="auto"/>
              <w:right w:val="single" w:sz="8" w:space="0" w:color="auto"/>
            </w:tcBorders>
            <w:shd w:val="clear" w:color="auto" w:fill="auto"/>
            <w:noWrap/>
            <w:vAlign w:val="center"/>
          </w:tcPr>
          <w:p w14:paraId="7B15C2FB" w14:textId="01016029" w:rsidR="006174EB" w:rsidRPr="00292AD5" w:rsidRDefault="00602C25" w:rsidP="00602C2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974EB0">
              <w:rPr>
                <w:rFonts w:ascii="Calibri" w:hAnsi="Calibri" w:cs="Calibri"/>
                <w:color w:val="000000"/>
                <w:sz w:val="16"/>
                <w:szCs w:val="16"/>
              </w:rPr>
              <w:t>217</w:t>
            </w:r>
          </w:p>
        </w:tc>
      </w:tr>
      <w:tr w:rsidR="00026DB9" w:rsidRPr="00292AD5" w14:paraId="25F61DC3" w14:textId="77777777" w:rsidTr="00026DB9">
        <w:trPr>
          <w:trHeight w:val="315"/>
        </w:trPr>
        <w:tc>
          <w:tcPr>
            <w:tcW w:w="2268" w:type="dxa"/>
            <w:tcBorders>
              <w:top w:val="nil"/>
              <w:left w:val="single" w:sz="8" w:space="0" w:color="auto"/>
              <w:bottom w:val="single" w:sz="8" w:space="0" w:color="auto"/>
              <w:right w:val="single" w:sz="8" w:space="0" w:color="auto"/>
            </w:tcBorders>
            <w:shd w:val="clear" w:color="000000" w:fill="BDD7EE"/>
            <w:noWrap/>
            <w:vAlign w:val="center"/>
            <w:hideMark/>
          </w:tcPr>
          <w:p w14:paraId="7FF97FC1" w14:textId="77777777" w:rsidR="006174EB" w:rsidRPr="00292AD5" w:rsidRDefault="006174EB" w:rsidP="008D38A1">
            <w:pPr>
              <w:widowControl/>
              <w:autoSpaceDE/>
              <w:autoSpaceDN/>
              <w:adjustRightInd/>
              <w:rPr>
                <w:rFonts w:ascii="Calibri" w:hAnsi="Calibri" w:cs="Calibri"/>
                <w:b/>
                <w:bCs/>
                <w:color w:val="000000"/>
                <w:sz w:val="16"/>
                <w:szCs w:val="16"/>
              </w:rPr>
            </w:pPr>
            <w:r w:rsidRPr="00292AD5">
              <w:rPr>
                <w:rFonts w:ascii="Calibri" w:hAnsi="Calibri" w:cs="Calibri"/>
                <w:b/>
                <w:bCs/>
                <w:color w:val="000000"/>
                <w:sz w:val="16"/>
                <w:szCs w:val="16"/>
              </w:rPr>
              <w:t>Totals</w:t>
            </w:r>
          </w:p>
        </w:tc>
        <w:tc>
          <w:tcPr>
            <w:tcW w:w="1530" w:type="dxa"/>
            <w:tcBorders>
              <w:top w:val="nil"/>
              <w:left w:val="nil"/>
              <w:bottom w:val="single" w:sz="8" w:space="0" w:color="auto"/>
              <w:right w:val="single" w:sz="8" w:space="0" w:color="auto"/>
            </w:tcBorders>
            <w:shd w:val="clear" w:color="000000" w:fill="000000"/>
            <w:noWrap/>
            <w:vAlign w:val="center"/>
            <w:hideMark/>
          </w:tcPr>
          <w:p w14:paraId="21A70D12" w14:textId="77777777" w:rsidR="006174EB" w:rsidRPr="00292AD5" w:rsidRDefault="006174EB" w:rsidP="008D38A1">
            <w:pPr>
              <w:widowControl/>
              <w:autoSpaceDE/>
              <w:autoSpaceDN/>
              <w:adjustRightInd/>
              <w:rPr>
                <w:rFonts w:ascii="Calibri" w:hAnsi="Calibri" w:cs="Calibri"/>
                <w:b/>
                <w:bCs/>
                <w:color w:val="000000"/>
                <w:sz w:val="16"/>
                <w:szCs w:val="16"/>
              </w:rPr>
            </w:pPr>
            <w:r w:rsidRPr="00292AD5">
              <w:rPr>
                <w:rFonts w:ascii="Calibri" w:hAnsi="Calibri" w:cs="Calibri"/>
                <w:b/>
                <w:bCs/>
                <w:color w:val="000000"/>
                <w:sz w:val="16"/>
                <w:szCs w:val="16"/>
              </w:rPr>
              <w:t> </w:t>
            </w:r>
          </w:p>
        </w:tc>
        <w:tc>
          <w:tcPr>
            <w:tcW w:w="1188" w:type="dxa"/>
            <w:tcBorders>
              <w:top w:val="nil"/>
              <w:left w:val="nil"/>
              <w:bottom w:val="single" w:sz="8" w:space="0" w:color="auto"/>
              <w:right w:val="single" w:sz="8" w:space="0" w:color="auto"/>
            </w:tcBorders>
            <w:shd w:val="clear" w:color="auto" w:fill="C6D9F1" w:themeFill="text2" w:themeFillTint="33"/>
            <w:noWrap/>
            <w:vAlign w:val="center"/>
            <w:hideMark/>
          </w:tcPr>
          <w:p w14:paraId="20AD2C0E" w14:textId="36C7C4D3" w:rsidR="006174EB" w:rsidRPr="00292AD5" w:rsidRDefault="009B1E07" w:rsidP="00602C25">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 xml:space="preserve">6 </w:t>
            </w:r>
            <w:r>
              <w:rPr>
                <w:rFonts w:ascii="Calibri" w:hAnsi="Calibri" w:cs="Calibri"/>
                <w:color w:val="000000"/>
                <w:sz w:val="20"/>
                <w:szCs w:val="20"/>
                <w:u w:val="single"/>
                <w:vertAlign w:val="superscript"/>
              </w:rPr>
              <w:t>4</w:t>
            </w:r>
            <w:r w:rsidRPr="004B0468">
              <w:rPr>
                <w:rFonts w:ascii="Calibri" w:hAnsi="Calibri" w:cs="Calibri"/>
                <w:color w:val="000000"/>
                <w:sz w:val="20"/>
                <w:szCs w:val="20"/>
                <w:vertAlign w:val="superscript"/>
              </w:rPr>
              <w:t>/</w:t>
            </w:r>
          </w:p>
        </w:tc>
        <w:tc>
          <w:tcPr>
            <w:tcW w:w="1332" w:type="dxa"/>
            <w:tcBorders>
              <w:top w:val="nil"/>
              <w:left w:val="nil"/>
              <w:bottom w:val="single" w:sz="8" w:space="0" w:color="auto"/>
              <w:right w:val="single" w:sz="8" w:space="0" w:color="auto"/>
            </w:tcBorders>
            <w:shd w:val="clear" w:color="000000" w:fill="000000"/>
            <w:noWrap/>
            <w:vAlign w:val="center"/>
            <w:hideMark/>
          </w:tcPr>
          <w:p w14:paraId="2E7FD7A0" w14:textId="77777777" w:rsidR="006174EB" w:rsidRPr="00292AD5" w:rsidRDefault="006174EB" w:rsidP="008D38A1">
            <w:pPr>
              <w:widowControl/>
              <w:autoSpaceDE/>
              <w:autoSpaceDN/>
              <w:adjustRightInd/>
              <w:rPr>
                <w:rFonts w:ascii="Calibri" w:hAnsi="Calibri" w:cs="Calibri"/>
                <w:b/>
                <w:bCs/>
                <w:color w:val="000000"/>
                <w:sz w:val="16"/>
                <w:szCs w:val="16"/>
              </w:rPr>
            </w:pPr>
            <w:r w:rsidRPr="00292AD5">
              <w:rPr>
                <w:rFonts w:ascii="Calibri" w:hAnsi="Calibri" w:cs="Calibri"/>
                <w:b/>
                <w:bCs/>
                <w:color w:val="000000"/>
                <w:sz w:val="16"/>
                <w:szCs w:val="16"/>
              </w:rPr>
              <w:t> </w:t>
            </w:r>
          </w:p>
        </w:tc>
        <w:tc>
          <w:tcPr>
            <w:tcW w:w="1260" w:type="dxa"/>
            <w:tcBorders>
              <w:top w:val="nil"/>
              <w:left w:val="nil"/>
              <w:bottom w:val="single" w:sz="8" w:space="0" w:color="auto"/>
              <w:right w:val="single" w:sz="8" w:space="0" w:color="auto"/>
            </w:tcBorders>
            <w:shd w:val="clear" w:color="000000" w:fill="BDD7EE"/>
            <w:noWrap/>
            <w:vAlign w:val="center"/>
            <w:hideMark/>
          </w:tcPr>
          <w:p w14:paraId="797FD3FD" w14:textId="18D44A13" w:rsidR="006174EB" w:rsidRPr="00292AD5" w:rsidRDefault="008E43C3" w:rsidP="008E43C3">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7</w:t>
            </w:r>
            <w:r w:rsidR="00974EB0">
              <w:rPr>
                <w:rFonts w:ascii="Calibri" w:hAnsi="Calibri" w:cs="Calibri"/>
                <w:b/>
                <w:bCs/>
                <w:color w:val="000000"/>
                <w:sz w:val="16"/>
                <w:szCs w:val="16"/>
              </w:rPr>
              <w:t>5</w:t>
            </w:r>
          </w:p>
        </w:tc>
        <w:tc>
          <w:tcPr>
            <w:tcW w:w="1170" w:type="dxa"/>
            <w:tcBorders>
              <w:top w:val="nil"/>
              <w:left w:val="nil"/>
              <w:bottom w:val="single" w:sz="8" w:space="0" w:color="auto"/>
              <w:right w:val="single" w:sz="8" w:space="0" w:color="auto"/>
            </w:tcBorders>
            <w:shd w:val="clear" w:color="000000" w:fill="000000"/>
            <w:noWrap/>
            <w:vAlign w:val="center"/>
            <w:hideMark/>
          </w:tcPr>
          <w:p w14:paraId="37F479F6" w14:textId="77777777" w:rsidR="006174EB" w:rsidRPr="00292AD5" w:rsidRDefault="006174EB" w:rsidP="008D38A1">
            <w:pPr>
              <w:widowControl/>
              <w:autoSpaceDE/>
              <w:autoSpaceDN/>
              <w:adjustRightInd/>
              <w:rPr>
                <w:rFonts w:ascii="Calibri" w:hAnsi="Calibri" w:cs="Calibri"/>
                <w:b/>
                <w:bCs/>
                <w:color w:val="000000"/>
                <w:sz w:val="16"/>
                <w:szCs w:val="16"/>
              </w:rPr>
            </w:pPr>
            <w:r w:rsidRPr="00292AD5">
              <w:rPr>
                <w:rFonts w:ascii="Calibri" w:hAnsi="Calibri" w:cs="Calibri"/>
                <w:b/>
                <w:bCs/>
                <w:color w:val="000000"/>
                <w:sz w:val="16"/>
                <w:szCs w:val="16"/>
              </w:rPr>
              <w:t> </w:t>
            </w:r>
          </w:p>
        </w:tc>
        <w:tc>
          <w:tcPr>
            <w:tcW w:w="1080" w:type="dxa"/>
            <w:tcBorders>
              <w:top w:val="nil"/>
              <w:left w:val="nil"/>
              <w:bottom w:val="single" w:sz="8" w:space="0" w:color="auto"/>
              <w:right w:val="single" w:sz="8" w:space="0" w:color="auto"/>
            </w:tcBorders>
            <w:shd w:val="clear" w:color="000000" w:fill="BDD7EE"/>
            <w:noWrap/>
            <w:vAlign w:val="center"/>
            <w:hideMark/>
          </w:tcPr>
          <w:p w14:paraId="38F79F52" w14:textId="086740ED" w:rsidR="006174EB" w:rsidRPr="00292AD5" w:rsidRDefault="00602C25" w:rsidP="00602C25">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4</w:t>
            </w:r>
            <w:r w:rsidR="00974EB0">
              <w:rPr>
                <w:rFonts w:ascii="Calibri" w:hAnsi="Calibri" w:cs="Calibri"/>
                <w:b/>
                <w:bCs/>
                <w:color w:val="000000"/>
                <w:sz w:val="16"/>
                <w:szCs w:val="16"/>
              </w:rPr>
              <w:t>6</w:t>
            </w:r>
          </w:p>
        </w:tc>
        <w:tc>
          <w:tcPr>
            <w:tcW w:w="1350" w:type="dxa"/>
            <w:tcBorders>
              <w:top w:val="nil"/>
              <w:left w:val="nil"/>
              <w:bottom w:val="single" w:sz="8" w:space="0" w:color="auto"/>
              <w:right w:val="single" w:sz="8" w:space="0" w:color="auto"/>
            </w:tcBorders>
            <w:shd w:val="clear" w:color="000000" w:fill="000000"/>
            <w:noWrap/>
            <w:vAlign w:val="center"/>
            <w:hideMark/>
          </w:tcPr>
          <w:p w14:paraId="0EA7D52C" w14:textId="77777777" w:rsidR="006174EB" w:rsidRPr="00292AD5" w:rsidRDefault="006174EB" w:rsidP="008D38A1">
            <w:pPr>
              <w:widowControl/>
              <w:autoSpaceDE/>
              <w:autoSpaceDN/>
              <w:adjustRightInd/>
              <w:rPr>
                <w:rFonts w:ascii="Calibri" w:hAnsi="Calibri" w:cs="Calibri"/>
                <w:b/>
                <w:bCs/>
                <w:color w:val="000000"/>
                <w:sz w:val="16"/>
                <w:szCs w:val="16"/>
              </w:rPr>
            </w:pPr>
            <w:r w:rsidRPr="00292AD5">
              <w:rPr>
                <w:rFonts w:ascii="Calibri" w:hAnsi="Calibri" w:cs="Calibri"/>
                <w:b/>
                <w:bCs/>
                <w:color w:val="000000"/>
                <w:sz w:val="16"/>
                <w:szCs w:val="16"/>
              </w:rPr>
              <w:t> </w:t>
            </w:r>
          </w:p>
        </w:tc>
        <w:tc>
          <w:tcPr>
            <w:tcW w:w="1260" w:type="dxa"/>
            <w:tcBorders>
              <w:top w:val="nil"/>
              <w:left w:val="nil"/>
              <w:bottom w:val="single" w:sz="8" w:space="0" w:color="auto"/>
              <w:right w:val="single" w:sz="8" w:space="0" w:color="auto"/>
            </w:tcBorders>
            <w:shd w:val="clear" w:color="000000" w:fill="BDD7EE"/>
            <w:noWrap/>
            <w:vAlign w:val="center"/>
            <w:hideMark/>
          </w:tcPr>
          <w:p w14:paraId="57A9BE4B" w14:textId="2A786EEF" w:rsidR="006174EB" w:rsidRPr="00292AD5" w:rsidRDefault="006174EB" w:rsidP="00602C25">
            <w:pPr>
              <w:widowControl/>
              <w:autoSpaceDE/>
              <w:autoSpaceDN/>
              <w:adjustRightInd/>
              <w:jc w:val="right"/>
              <w:rPr>
                <w:rFonts w:ascii="Calibri" w:hAnsi="Calibri" w:cs="Calibri"/>
                <w:b/>
                <w:bCs/>
                <w:color w:val="000000"/>
                <w:sz w:val="16"/>
                <w:szCs w:val="16"/>
              </w:rPr>
            </w:pPr>
            <w:r w:rsidRPr="00292AD5">
              <w:rPr>
                <w:rFonts w:ascii="Calibri" w:hAnsi="Calibri" w:cs="Calibri"/>
                <w:b/>
                <w:bCs/>
                <w:color w:val="000000"/>
                <w:sz w:val="16"/>
                <w:szCs w:val="16"/>
              </w:rPr>
              <w:t> </w:t>
            </w:r>
            <w:r w:rsidR="00974EB0">
              <w:rPr>
                <w:rFonts w:ascii="Calibri" w:hAnsi="Calibri" w:cs="Calibri"/>
                <w:b/>
                <w:bCs/>
                <w:color w:val="000000"/>
                <w:sz w:val="16"/>
                <w:szCs w:val="16"/>
              </w:rPr>
              <w:t>$2,491</w:t>
            </w:r>
          </w:p>
        </w:tc>
      </w:tr>
    </w:tbl>
    <w:p w14:paraId="26BC0269" w14:textId="77777777" w:rsidR="009B1E07" w:rsidRDefault="004B0468" w:rsidP="009B1E07">
      <w:pPr>
        <w:tabs>
          <w:tab w:val="left" w:pos="-1180"/>
          <w:tab w:val="left" w:pos="-720"/>
          <w:tab w:val="left" w:pos="0"/>
          <w:tab w:val="left" w:pos="360"/>
          <w:tab w:val="left" w:pos="720"/>
          <w:tab w:val="left" w:pos="1080"/>
        </w:tabs>
        <w:rPr>
          <w:rFonts w:ascii="Calibri" w:hAnsi="Calibri" w:cs="Calibri"/>
          <w:color w:val="000000"/>
          <w:sz w:val="18"/>
          <w:szCs w:val="18"/>
        </w:rPr>
      </w:pPr>
      <w:r w:rsidRPr="004B0468">
        <w:rPr>
          <w:rFonts w:ascii="Calibri" w:hAnsi="Calibri" w:cs="Calibri"/>
          <w:color w:val="000000"/>
          <w:sz w:val="20"/>
          <w:szCs w:val="20"/>
          <w:u w:val="single"/>
          <w:vertAlign w:val="superscript"/>
        </w:rPr>
        <w:t>1</w:t>
      </w:r>
      <w:r w:rsidRPr="004B0468">
        <w:rPr>
          <w:rFonts w:ascii="Calibri" w:hAnsi="Calibri" w:cs="Calibri"/>
          <w:color w:val="000000"/>
          <w:sz w:val="20"/>
          <w:szCs w:val="20"/>
          <w:vertAlign w:val="superscript"/>
        </w:rPr>
        <w:t>/</w:t>
      </w:r>
      <w:r>
        <w:rPr>
          <w:rFonts w:ascii="Calibri" w:hAnsi="Calibri" w:cs="Calibri"/>
          <w:color w:val="000000"/>
          <w:sz w:val="20"/>
          <w:szCs w:val="20"/>
        </w:rPr>
        <w:t xml:space="preserve"> </w:t>
      </w:r>
      <w:r>
        <w:rPr>
          <w:rFonts w:ascii="Calibri" w:hAnsi="Calibri" w:cs="Calibri"/>
          <w:color w:val="000000"/>
          <w:sz w:val="18"/>
          <w:szCs w:val="18"/>
        </w:rPr>
        <w:t xml:space="preserve">NMFS has not received any </w:t>
      </w:r>
      <w:r w:rsidR="008E43C3">
        <w:rPr>
          <w:rFonts w:ascii="Calibri" w:hAnsi="Calibri" w:cs="Calibri"/>
          <w:color w:val="000000"/>
          <w:sz w:val="18"/>
          <w:szCs w:val="18"/>
        </w:rPr>
        <w:t xml:space="preserve">registrations </w:t>
      </w:r>
      <w:r>
        <w:rPr>
          <w:rFonts w:ascii="Calibri" w:hAnsi="Calibri" w:cs="Calibri"/>
          <w:color w:val="000000"/>
          <w:sz w:val="18"/>
          <w:szCs w:val="18"/>
        </w:rPr>
        <w:t xml:space="preserve">through the CDQ Vessel Registration System since it was implemented in 2016. For purposes of this information collection, NMFS is assuming it is possible that it may receive one </w:t>
      </w:r>
      <w:r w:rsidR="008E43C3">
        <w:rPr>
          <w:rFonts w:ascii="Calibri" w:hAnsi="Calibri" w:cs="Calibri"/>
          <w:color w:val="000000"/>
          <w:sz w:val="18"/>
          <w:szCs w:val="18"/>
        </w:rPr>
        <w:t xml:space="preserve">registration </w:t>
      </w:r>
      <w:r>
        <w:rPr>
          <w:rFonts w:ascii="Calibri" w:hAnsi="Calibri" w:cs="Calibri"/>
          <w:color w:val="000000"/>
          <w:sz w:val="18"/>
          <w:szCs w:val="18"/>
        </w:rPr>
        <w:t xml:space="preserve">from one respondent in </w:t>
      </w:r>
      <w:r w:rsidR="00F710EF">
        <w:rPr>
          <w:rFonts w:ascii="Calibri" w:hAnsi="Calibri" w:cs="Calibri"/>
          <w:color w:val="000000"/>
          <w:sz w:val="18"/>
          <w:szCs w:val="18"/>
        </w:rPr>
        <w:t xml:space="preserve">each of </w:t>
      </w:r>
      <w:r>
        <w:rPr>
          <w:rFonts w:ascii="Calibri" w:hAnsi="Calibri" w:cs="Calibri"/>
          <w:color w:val="000000"/>
          <w:sz w:val="18"/>
          <w:szCs w:val="18"/>
        </w:rPr>
        <w:t xml:space="preserve">the next three years. </w:t>
      </w:r>
    </w:p>
    <w:p w14:paraId="37B14D25" w14:textId="54DFBF55" w:rsidR="009B1E07" w:rsidRDefault="004B0468" w:rsidP="009B1E07">
      <w:pPr>
        <w:tabs>
          <w:tab w:val="left" w:pos="-1180"/>
          <w:tab w:val="left" w:pos="-720"/>
          <w:tab w:val="left" w:pos="0"/>
          <w:tab w:val="left" w:pos="360"/>
          <w:tab w:val="left" w:pos="720"/>
          <w:tab w:val="left" w:pos="1080"/>
        </w:tabs>
        <w:rPr>
          <w:rFonts w:ascii="Calibri" w:hAnsi="Calibri" w:cs="Calibri"/>
          <w:color w:val="000000"/>
          <w:sz w:val="18"/>
          <w:szCs w:val="18"/>
        </w:rPr>
      </w:pPr>
      <w:r>
        <w:rPr>
          <w:rFonts w:ascii="Calibri" w:hAnsi="Calibri" w:cs="Calibri"/>
          <w:color w:val="000000"/>
          <w:sz w:val="18"/>
          <w:szCs w:val="18"/>
        </w:rPr>
        <w:t xml:space="preserve"> </w:t>
      </w:r>
    </w:p>
    <w:p w14:paraId="69FE57FE" w14:textId="1F20AD07" w:rsidR="004B0468" w:rsidRDefault="004B0468" w:rsidP="009B1E07">
      <w:pPr>
        <w:tabs>
          <w:tab w:val="left" w:pos="-1180"/>
          <w:tab w:val="left" w:pos="-720"/>
          <w:tab w:val="left" w:pos="0"/>
          <w:tab w:val="left" w:pos="360"/>
          <w:tab w:val="left" w:pos="720"/>
          <w:tab w:val="left" w:pos="1080"/>
        </w:tabs>
        <w:rPr>
          <w:rFonts w:ascii="Calibri" w:hAnsi="Calibri" w:cs="Calibri"/>
          <w:color w:val="000000"/>
          <w:sz w:val="18"/>
          <w:szCs w:val="18"/>
        </w:rPr>
      </w:pPr>
      <w:r>
        <w:rPr>
          <w:rFonts w:ascii="Calibri" w:hAnsi="Calibri" w:cs="Calibri"/>
          <w:color w:val="000000"/>
          <w:sz w:val="20"/>
          <w:szCs w:val="20"/>
          <w:u w:val="single"/>
          <w:vertAlign w:val="superscript"/>
        </w:rPr>
        <w:t>2</w:t>
      </w:r>
      <w:r w:rsidRPr="004B0468">
        <w:rPr>
          <w:rFonts w:ascii="Calibri" w:hAnsi="Calibri" w:cs="Calibri"/>
          <w:color w:val="000000"/>
          <w:sz w:val="20"/>
          <w:szCs w:val="20"/>
          <w:vertAlign w:val="superscript"/>
        </w:rPr>
        <w:t>/</w:t>
      </w:r>
      <w:r>
        <w:rPr>
          <w:rFonts w:ascii="Calibri" w:hAnsi="Calibri" w:cs="Calibri"/>
          <w:color w:val="000000"/>
          <w:sz w:val="20"/>
          <w:szCs w:val="20"/>
        </w:rPr>
        <w:t xml:space="preserve"> </w:t>
      </w:r>
      <w:r>
        <w:rPr>
          <w:rFonts w:ascii="Calibri" w:hAnsi="Calibri" w:cs="Calibri"/>
          <w:color w:val="000000"/>
          <w:sz w:val="18"/>
          <w:szCs w:val="18"/>
        </w:rPr>
        <w:t xml:space="preserve">NMFS received one Application for Approval of Use of Non-CDQ Harvest Regulations in 2012. NMFS does not expect to receive any additional applications in the next three years. However, for purposes of this information collection, NMFS is assuming it Is possible it may receive one application from one respondent in </w:t>
      </w:r>
      <w:r w:rsidR="00F710EF">
        <w:rPr>
          <w:rFonts w:ascii="Calibri" w:hAnsi="Calibri" w:cs="Calibri"/>
          <w:color w:val="000000"/>
          <w:sz w:val="18"/>
          <w:szCs w:val="18"/>
        </w:rPr>
        <w:t xml:space="preserve">each of </w:t>
      </w:r>
      <w:r>
        <w:rPr>
          <w:rFonts w:ascii="Calibri" w:hAnsi="Calibri" w:cs="Calibri"/>
          <w:color w:val="000000"/>
          <w:sz w:val="18"/>
          <w:szCs w:val="18"/>
        </w:rPr>
        <w:t xml:space="preserve">the next three years. </w:t>
      </w:r>
    </w:p>
    <w:p w14:paraId="439AA981" w14:textId="77777777" w:rsidR="009B1E07" w:rsidRDefault="009B1E07" w:rsidP="009B1E07">
      <w:pPr>
        <w:tabs>
          <w:tab w:val="left" w:pos="-1180"/>
          <w:tab w:val="left" w:pos="-720"/>
          <w:tab w:val="left" w:pos="0"/>
          <w:tab w:val="left" w:pos="360"/>
          <w:tab w:val="left" w:pos="720"/>
          <w:tab w:val="left" w:pos="1080"/>
        </w:tabs>
        <w:rPr>
          <w:rFonts w:ascii="Calibri" w:hAnsi="Calibri" w:cs="Calibri"/>
          <w:color w:val="000000"/>
          <w:sz w:val="18"/>
          <w:szCs w:val="18"/>
        </w:rPr>
      </w:pPr>
    </w:p>
    <w:p w14:paraId="7F1BA07B" w14:textId="309EE593" w:rsidR="00270574" w:rsidRDefault="00F710EF" w:rsidP="00270574">
      <w:pPr>
        <w:tabs>
          <w:tab w:val="left" w:pos="-1180"/>
          <w:tab w:val="left" w:pos="-720"/>
          <w:tab w:val="left" w:pos="0"/>
          <w:tab w:val="left" w:pos="360"/>
          <w:tab w:val="left" w:pos="720"/>
          <w:tab w:val="left" w:pos="1080"/>
        </w:tabs>
        <w:rPr>
          <w:rFonts w:ascii="Calibri" w:hAnsi="Calibri" w:cs="Calibri"/>
          <w:color w:val="000000"/>
          <w:sz w:val="18"/>
          <w:szCs w:val="18"/>
        </w:rPr>
      </w:pPr>
      <w:r>
        <w:rPr>
          <w:rFonts w:ascii="Calibri" w:hAnsi="Calibri" w:cs="Calibri"/>
          <w:color w:val="000000"/>
          <w:sz w:val="20"/>
          <w:szCs w:val="20"/>
          <w:u w:val="single"/>
          <w:vertAlign w:val="superscript"/>
        </w:rPr>
        <w:t>3</w:t>
      </w:r>
      <w:r w:rsidRPr="004B0468">
        <w:rPr>
          <w:rFonts w:ascii="Calibri" w:hAnsi="Calibri" w:cs="Calibri"/>
          <w:color w:val="000000"/>
          <w:sz w:val="20"/>
          <w:szCs w:val="20"/>
          <w:vertAlign w:val="superscript"/>
        </w:rPr>
        <w:t>/</w:t>
      </w:r>
      <w:r>
        <w:rPr>
          <w:rFonts w:ascii="Calibri" w:hAnsi="Calibri" w:cs="Calibri"/>
          <w:color w:val="000000"/>
          <w:sz w:val="20"/>
          <w:szCs w:val="20"/>
        </w:rPr>
        <w:t xml:space="preserve"> </w:t>
      </w:r>
      <w:r w:rsidRPr="00FD1EFF">
        <w:rPr>
          <w:rFonts w:ascii="Calibri" w:hAnsi="Calibri" w:cs="Calibri"/>
          <w:color w:val="000000"/>
          <w:sz w:val="18"/>
          <w:szCs w:val="18"/>
        </w:rPr>
        <w:t>NMFS has not received any administrative appeals related to this collection because NMFS has not issued any disapprovals of an Application for Approval of Use of Non-CDQ Harvest Regulations, nor does NMFS expect to in the future.</w:t>
      </w:r>
      <w:r w:rsidR="00CD6E00" w:rsidRPr="00FD1EFF">
        <w:rPr>
          <w:rFonts w:ascii="Calibri" w:hAnsi="Calibri" w:cs="Calibri"/>
          <w:color w:val="000000"/>
          <w:sz w:val="18"/>
          <w:szCs w:val="18"/>
        </w:rPr>
        <w:t xml:space="preserve"> The opportunity to submit an administrative appeal must be provided in our regulations, but it is very rarely used except for issuance of initial allocations or permits for Alaska Region catch share programs.</w:t>
      </w:r>
      <w:r w:rsidR="00FD1EFF">
        <w:rPr>
          <w:rFonts w:ascii="Calibri" w:hAnsi="Calibri" w:cs="Calibri"/>
          <w:color w:val="000000"/>
          <w:sz w:val="18"/>
          <w:szCs w:val="18"/>
        </w:rPr>
        <w:t xml:space="preserve"> </w:t>
      </w:r>
      <w:r w:rsidR="00270574">
        <w:rPr>
          <w:rFonts w:ascii="Calibri" w:hAnsi="Calibri" w:cs="Calibri"/>
          <w:color w:val="000000"/>
          <w:sz w:val="18"/>
          <w:szCs w:val="18"/>
        </w:rPr>
        <w:t xml:space="preserve">However, for purposes of this information collection, NMFS is assuming it Is possible it may receive one appeal from one respondent in each of the next three years. </w:t>
      </w:r>
    </w:p>
    <w:p w14:paraId="261D6070" w14:textId="77777777" w:rsidR="009B1E07" w:rsidRDefault="009B1E07" w:rsidP="009B1E07">
      <w:pPr>
        <w:tabs>
          <w:tab w:val="left" w:pos="-1180"/>
          <w:tab w:val="left" w:pos="-720"/>
          <w:tab w:val="left" w:pos="0"/>
          <w:tab w:val="left" w:pos="360"/>
          <w:tab w:val="left" w:pos="720"/>
          <w:tab w:val="left" w:pos="1080"/>
        </w:tabs>
        <w:rPr>
          <w:rFonts w:ascii="Calibri" w:hAnsi="Calibri" w:cs="Calibri"/>
          <w:color w:val="000000"/>
          <w:sz w:val="20"/>
          <w:szCs w:val="20"/>
        </w:rPr>
      </w:pPr>
    </w:p>
    <w:p w14:paraId="7820ABFE" w14:textId="32C61CE9" w:rsidR="009B1E07" w:rsidRDefault="009B1E07" w:rsidP="009B1E0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bCs/>
          <w:sz w:val="18"/>
          <w:szCs w:val="18"/>
        </w:rPr>
      </w:pPr>
      <w:r>
        <w:rPr>
          <w:rFonts w:asciiTheme="minorHAnsi" w:hAnsiTheme="minorHAnsi" w:cstheme="minorHAnsi"/>
          <w:bCs/>
          <w:sz w:val="18"/>
          <w:szCs w:val="18"/>
          <w:vertAlign w:val="superscript"/>
        </w:rPr>
        <w:t>4</w:t>
      </w:r>
      <w:r w:rsidRPr="00A06018">
        <w:rPr>
          <w:rFonts w:asciiTheme="minorHAnsi" w:hAnsiTheme="minorHAnsi" w:cstheme="minorHAnsi"/>
          <w:bCs/>
          <w:sz w:val="18"/>
          <w:szCs w:val="18"/>
          <w:vertAlign w:val="superscript"/>
        </w:rPr>
        <w:t>/</w:t>
      </w:r>
      <w:r w:rsidRPr="00A06018">
        <w:rPr>
          <w:rFonts w:asciiTheme="minorHAnsi" w:hAnsiTheme="minorHAnsi" w:cstheme="minorHAnsi"/>
          <w:bCs/>
          <w:sz w:val="18"/>
          <w:szCs w:val="18"/>
        </w:rPr>
        <w:t xml:space="preserve">Some participants in the </w:t>
      </w:r>
      <w:r>
        <w:rPr>
          <w:rFonts w:asciiTheme="minorHAnsi" w:hAnsiTheme="minorHAnsi" w:cstheme="minorHAnsi"/>
          <w:bCs/>
          <w:sz w:val="18"/>
          <w:szCs w:val="18"/>
        </w:rPr>
        <w:t>CDQ</w:t>
      </w:r>
      <w:r w:rsidRPr="00A06018">
        <w:rPr>
          <w:rFonts w:asciiTheme="minorHAnsi" w:hAnsiTheme="minorHAnsi" w:cstheme="minorHAnsi"/>
          <w:bCs/>
          <w:sz w:val="18"/>
          <w:szCs w:val="18"/>
        </w:rPr>
        <w:t xml:space="preserve"> Program submit more than one instrument in this information collection. Therefore, the number of unique respondents is used to show the estimated number of </w:t>
      </w:r>
      <w:r>
        <w:rPr>
          <w:rFonts w:asciiTheme="minorHAnsi" w:hAnsiTheme="minorHAnsi" w:cstheme="minorHAnsi"/>
          <w:bCs/>
          <w:sz w:val="18"/>
          <w:szCs w:val="18"/>
        </w:rPr>
        <w:t>individual participants</w:t>
      </w:r>
      <w:r w:rsidRPr="00A06018">
        <w:rPr>
          <w:rFonts w:asciiTheme="minorHAnsi" w:hAnsiTheme="minorHAnsi" w:cstheme="minorHAnsi"/>
          <w:bCs/>
          <w:sz w:val="18"/>
          <w:szCs w:val="18"/>
        </w:rPr>
        <w:t xml:space="preserve"> who are expected to annually submit information during the renewal period for this information collection. The estimated number of unique respon</w:t>
      </w:r>
      <w:r>
        <w:rPr>
          <w:rFonts w:asciiTheme="minorHAnsi" w:hAnsiTheme="minorHAnsi" w:cstheme="minorHAnsi"/>
          <w:bCs/>
          <w:sz w:val="18"/>
          <w:szCs w:val="18"/>
        </w:rPr>
        <w:t xml:space="preserve">dents consist of the representatives of the six CDQ groups. </w:t>
      </w:r>
    </w:p>
    <w:p w14:paraId="30F5F4C2" w14:textId="77777777" w:rsidR="009B1E07" w:rsidRDefault="009B1E07" w:rsidP="009B1E0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bCs/>
          <w:sz w:val="18"/>
          <w:szCs w:val="18"/>
        </w:rPr>
      </w:pPr>
    </w:p>
    <w:p w14:paraId="30C2F8D4" w14:textId="44F88BDC" w:rsidR="009B1E07" w:rsidRDefault="009B1E07" w:rsidP="009B1E0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color w:val="000000"/>
          <w:sz w:val="18"/>
          <w:szCs w:val="18"/>
        </w:rPr>
      </w:pPr>
      <w:r>
        <w:rPr>
          <w:rFonts w:ascii="Calibri" w:hAnsi="Calibri" w:cs="Calibri"/>
          <w:color w:val="000000"/>
          <w:sz w:val="20"/>
          <w:szCs w:val="20"/>
          <w:u w:val="single"/>
          <w:vertAlign w:val="superscript"/>
        </w:rPr>
        <w:t>5</w:t>
      </w:r>
      <w:r w:rsidRPr="004B0468">
        <w:rPr>
          <w:rFonts w:ascii="Calibri" w:hAnsi="Calibri" w:cs="Calibri"/>
          <w:color w:val="000000"/>
          <w:sz w:val="20"/>
          <w:szCs w:val="20"/>
          <w:vertAlign w:val="superscript"/>
        </w:rPr>
        <w:t>/</w:t>
      </w:r>
      <w:r>
        <w:rPr>
          <w:rFonts w:ascii="Calibri" w:hAnsi="Calibri" w:cs="Calibri"/>
          <w:color w:val="000000"/>
          <w:sz w:val="20"/>
          <w:szCs w:val="20"/>
        </w:rPr>
        <w:t xml:space="preserve"> </w:t>
      </w:r>
      <w:r>
        <w:rPr>
          <w:rFonts w:ascii="Calibri" w:hAnsi="Calibri" w:cs="Calibri"/>
          <w:color w:val="000000"/>
          <w:sz w:val="18"/>
          <w:szCs w:val="18"/>
        </w:rPr>
        <w:t xml:space="preserve">Rounded up from 0.17 hrs. </w:t>
      </w:r>
    </w:p>
    <w:p w14:paraId="436E4FDC" w14:textId="2D3ECCD9" w:rsidR="009B1E07" w:rsidRDefault="009B1E07" w:rsidP="009B1E0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sz w:val="18"/>
          <w:szCs w:val="18"/>
        </w:rPr>
      </w:pPr>
      <w:r>
        <w:rPr>
          <w:rFonts w:ascii="Calibri" w:hAnsi="Calibri" w:cs="Calibri"/>
          <w:color w:val="000000"/>
          <w:sz w:val="20"/>
          <w:szCs w:val="20"/>
          <w:u w:val="single"/>
          <w:vertAlign w:val="superscript"/>
        </w:rPr>
        <w:t>6</w:t>
      </w:r>
      <w:r w:rsidR="00026DB9" w:rsidRPr="004B0468">
        <w:rPr>
          <w:rFonts w:ascii="Calibri" w:hAnsi="Calibri" w:cs="Calibri"/>
          <w:color w:val="000000"/>
          <w:sz w:val="20"/>
          <w:szCs w:val="20"/>
          <w:vertAlign w:val="superscript"/>
        </w:rPr>
        <w:t>/</w:t>
      </w:r>
      <w:r w:rsidR="00026DB9">
        <w:rPr>
          <w:rFonts w:ascii="Calibri" w:hAnsi="Calibri" w:cs="Calibri"/>
          <w:color w:val="000000"/>
          <w:sz w:val="20"/>
          <w:szCs w:val="20"/>
          <w:vertAlign w:val="superscript"/>
        </w:rPr>
        <w:t xml:space="preserve"> </w:t>
      </w:r>
      <w:r w:rsidR="00C76C47">
        <w:rPr>
          <w:rFonts w:asciiTheme="minorHAnsi" w:hAnsiTheme="minorHAnsi" w:cstheme="minorHAnsi"/>
          <w:sz w:val="18"/>
          <w:szCs w:val="18"/>
        </w:rPr>
        <w:t>The m</w:t>
      </w:r>
      <w:r w:rsidR="00FC7476" w:rsidRPr="001C52F0">
        <w:rPr>
          <w:rFonts w:asciiTheme="minorHAnsi" w:hAnsiTheme="minorHAnsi" w:cstheme="minorHAnsi"/>
          <w:sz w:val="18"/>
          <w:szCs w:val="18"/>
        </w:rPr>
        <w:t xml:space="preserve">ean hourly wage for </w:t>
      </w:r>
      <w:r w:rsidR="00C76C47">
        <w:rPr>
          <w:rFonts w:asciiTheme="minorHAnsi" w:hAnsiTheme="minorHAnsi" w:cstheme="minorHAnsi"/>
          <w:sz w:val="18"/>
          <w:szCs w:val="18"/>
        </w:rPr>
        <w:t xml:space="preserve">the CDQ group representative is based on U.S. Bureau of Labor Statistics wage estimates for </w:t>
      </w:r>
      <w:r w:rsidR="00FC7476" w:rsidRPr="001C52F0">
        <w:rPr>
          <w:rFonts w:asciiTheme="minorHAnsi" w:hAnsiTheme="minorHAnsi" w:cstheme="minorHAnsi"/>
          <w:sz w:val="18"/>
          <w:szCs w:val="18"/>
        </w:rPr>
        <w:t xml:space="preserve">Occupation Code </w:t>
      </w:r>
      <w:r w:rsidR="008517EB">
        <w:rPr>
          <w:rFonts w:asciiTheme="minorHAnsi" w:hAnsiTheme="minorHAnsi" w:cstheme="minorHAnsi"/>
          <w:sz w:val="18"/>
          <w:szCs w:val="18"/>
        </w:rPr>
        <w:t>11-1021</w:t>
      </w:r>
      <w:r w:rsidR="00C76C47">
        <w:rPr>
          <w:rFonts w:asciiTheme="minorHAnsi" w:hAnsiTheme="minorHAnsi" w:cstheme="minorHAnsi"/>
          <w:sz w:val="18"/>
          <w:szCs w:val="18"/>
        </w:rPr>
        <w:t xml:space="preserve"> (</w:t>
      </w:r>
      <w:r w:rsidR="008517EB">
        <w:rPr>
          <w:rFonts w:asciiTheme="minorHAnsi" w:hAnsiTheme="minorHAnsi" w:cstheme="minorHAnsi"/>
          <w:sz w:val="18"/>
          <w:szCs w:val="18"/>
        </w:rPr>
        <w:t>General and Operations Managers)</w:t>
      </w:r>
      <w:r w:rsidR="00C76C47">
        <w:rPr>
          <w:rFonts w:asciiTheme="minorHAnsi" w:hAnsiTheme="minorHAnsi" w:cstheme="minorHAnsi"/>
          <w:sz w:val="18"/>
          <w:szCs w:val="18"/>
        </w:rPr>
        <w:t xml:space="preserve">. </w:t>
      </w:r>
      <w:hyperlink r:id="rId16" w:anchor="11-0000" w:history="1">
        <w:r w:rsidR="00C76C47" w:rsidRPr="008517EB">
          <w:rPr>
            <w:rStyle w:val="Hyperlink"/>
            <w:rFonts w:asciiTheme="minorHAnsi" w:hAnsiTheme="minorHAnsi" w:cstheme="minorHAnsi"/>
            <w:sz w:val="18"/>
            <w:szCs w:val="18"/>
          </w:rPr>
          <w:t>May 2018 Occupational Employment Statistic</w:t>
        </w:r>
        <w:r w:rsidR="008517EB" w:rsidRPr="008517EB">
          <w:rPr>
            <w:rStyle w:val="Hyperlink"/>
            <w:rFonts w:asciiTheme="minorHAnsi" w:hAnsiTheme="minorHAnsi" w:cstheme="minorHAnsi"/>
            <w:sz w:val="18"/>
            <w:szCs w:val="18"/>
          </w:rPr>
          <w:t>s Research Estimates, Alaska</w:t>
        </w:r>
      </w:hyperlink>
      <w:r w:rsidR="00C76C47">
        <w:rPr>
          <w:rFonts w:asciiTheme="minorHAnsi" w:hAnsiTheme="minorHAnsi" w:cstheme="minorHAnsi"/>
          <w:sz w:val="18"/>
          <w:szCs w:val="18"/>
        </w:rPr>
        <w:t xml:space="preserve">. </w:t>
      </w:r>
      <w:r>
        <w:rPr>
          <w:rFonts w:asciiTheme="minorHAnsi" w:hAnsiTheme="minorHAnsi" w:cstheme="minorHAnsi"/>
          <w:sz w:val="18"/>
          <w:szCs w:val="18"/>
        </w:rPr>
        <w:br w:type="page"/>
      </w:r>
    </w:p>
    <w:p w14:paraId="3E75FDDA" w14:textId="77777777" w:rsidR="00FC7476" w:rsidRDefault="00FC7476" w:rsidP="009B1E0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sz w:val="18"/>
          <w:szCs w:val="18"/>
        </w:rPr>
      </w:pPr>
    </w:p>
    <w:p w14:paraId="686C90CC" w14:textId="4DD85305" w:rsidR="00B01177" w:rsidRDefault="00B01177" w:rsidP="002E0DF4">
      <w:pPr>
        <w:keepNext/>
        <w:tabs>
          <w:tab w:val="left" w:pos="-1180"/>
          <w:tab w:val="left" w:pos="-720"/>
          <w:tab w:val="left" w:pos="360"/>
          <w:tab w:val="left" w:pos="720"/>
          <w:tab w:val="left" w:pos="1080"/>
        </w:tabs>
        <w:spacing w:after="240"/>
        <w:ind w:left="360" w:hanging="360"/>
      </w:pPr>
      <w:r>
        <w:rPr>
          <w:b/>
          <w:bCs/>
        </w:rPr>
        <w:t>13.</w:t>
      </w:r>
      <w:r w:rsidR="00775879">
        <w:rPr>
          <w:b/>
          <w:bCs/>
        </w:rPr>
        <w:tab/>
      </w:r>
      <w:r>
        <w:rPr>
          <w:b/>
          <w:bCs/>
          <w:u w:val="single"/>
        </w:rPr>
        <w:t xml:space="preserve">Provide an estimate of the total annual cost burden to the respondents or record-keepers resulting from the collection (excluding the value of the burden hours in </w:t>
      </w:r>
      <w:r w:rsidR="00DF62D6">
        <w:rPr>
          <w:b/>
          <w:bCs/>
          <w:u w:val="single"/>
        </w:rPr>
        <w:t xml:space="preserve">Question </w:t>
      </w:r>
      <w:r>
        <w:rPr>
          <w:b/>
          <w:bCs/>
          <w:u w:val="single"/>
        </w:rPr>
        <w:t>12 above)</w:t>
      </w:r>
      <w:r>
        <w:rPr>
          <w:b/>
          <w:bCs/>
        </w:rPr>
        <w:t>.</w:t>
      </w:r>
    </w:p>
    <w:p w14:paraId="004940BD" w14:textId="76A59FC5" w:rsidR="00B01177" w:rsidRDefault="00B01177" w:rsidP="002E0DF4">
      <w:pPr>
        <w:keepNext/>
        <w:tabs>
          <w:tab w:val="left" w:pos="-1180"/>
          <w:tab w:val="left" w:pos="-720"/>
          <w:tab w:val="left" w:pos="0"/>
          <w:tab w:val="left" w:pos="360"/>
          <w:tab w:val="left" w:pos="720"/>
          <w:tab w:val="left" w:pos="1080"/>
        </w:tabs>
      </w:pPr>
    </w:p>
    <w:tbl>
      <w:tblPr>
        <w:tblW w:w="12258" w:type="dxa"/>
        <w:tblLook w:val="04A0" w:firstRow="1" w:lastRow="0" w:firstColumn="1" w:lastColumn="0" w:noHBand="0" w:noVBand="1"/>
      </w:tblPr>
      <w:tblGrid>
        <w:gridCol w:w="3970"/>
        <w:gridCol w:w="1358"/>
        <w:gridCol w:w="1350"/>
        <w:gridCol w:w="1710"/>
        <w:gridCol w:w="2160"/>
        <w:gridCol w:w="1710"/>
      </w:tblGrid>
      <w:tr w:rsidR="002507E2" w:rsidRPr="00B81C13" w14:paraId="6E32056B" w14:textId="77777777" w:rsidTr="00050021">
        <w:trPr>
          <w:trHeight w:val="690"/>
        </w:trPr>
        <w:tc>
          <w:tcPr>
            <w:tcW w:w="3970" w:type="dxa"/>
            <w:tcBorders>
              <w:top w:val="single" w:sz="8" w:space="0" w:color="auto"/>
              <w:left w:val="single" w:sz="8" w:space="0" w:color="auto"/>
              <w:bottom w:val="single" w:sz="8" w:space="0" w:color="auto"/>
              <w:right w:val="single" w:sz="8" w:space="0" w:color="auto"/>
            </w:tcBorders>
            <w:shd w:val="clear" w:color="auto" w:fill="5B9BD5"/>
            <w:vAlign w:val="center"/>
            <w:hideMark/>
          </w:tcPr>
          <w:p w14:paraId="7E60872C" w14:textId="77777777" w:rsidR="002507E2" w:rsidRPr="00B81C13" w:rsidRDefault="002507E2" w:rsidP="002E0DF4">
            <w:pPr>
              <w:keepNext/>
              <w:widowControl/>
              <w:autoSpaceDE/>
              <w:autoSpaceDN/>
              <w:adjustRightInd/>
              <w:jc w:val="center"/>
              <w:rPr>
                <w:rFonts w:ascii="Calibri" w:hAnsi="Calibri" w:cs="Calibri"/>
                <w:b/>
                <w:bCs/>
                <w:color w:val="000000"/>
                <w:sz w:val="18"/>
                <w:szCs w:val="18"/>
              </w:rPr>
            </w:pPr>
            <w:r w:rsidRPr="00B81C13">
              <w:rPr>
                <w:rFonts w:ascii="Calibri" w:hAnsi="Calibri" w:cs="Calibri"/>
                <w:b/>
                <w:bCs/>
                <w:color w:val="000000"/>
                <w:sz w:val="18"/>
                <w:szCs w:val="18"/>
              </w:rPr>
              <w:t>Information Collection</w:t>
            </w:r>
          </w:p>
        </w:tc>
        <w:tc>
          <w:tcPr>
            <w:tcW w:w="1358" w:type="dxa"/>
            <w:tcBorders>
              <w:top w:val="single" w:sz="8" w:space="0" w:color="auto"/>
              <w:left w:val="nil"/>
              <w:bottom w:val="single" w:sz="8" w:space="0" w:color="auto"/>
              <w:right w:val="single" w:sz="8" w:space="0" w:color="auto"/>
            </w:tcBorders>
            <w:shd w:val="clear" w:color="auto" w:fill="5B9BD5"/>
            <w:vAlign w:val="center"/>
            <w:hideMark/>
          </w:tcPr>
          <w:p w14:paraId="582EABCD" w14:textId="77777777" w:rsidR="002507E2" w:rsidRPr="00B81C13" w:rsidRDefault="002507E2" w:rsidP="002E0DF4">
            <w:pPr>
              <w:keepNext/>
              <w:widowControl/>
              <w:autoSpaceDE/>
              <w:autoSpaceDN/>
              <w:adjustRightInd/>
              <w:jc w:val="center"/>
              <w:rPr>
                <w:rFonts w:ascii="Calibri" w:hAnsi="Calibri" w:cs="Calibri"/>
                <w:b/>
                <w:bCs/>
                <w:color w:val="000000"/>
                <w:sz w:val="18"/>
                <w:szCs w:val="18"/>
              </w:rPr>
            </w:pPr>
            <w:r w:rsidRPr="00B81C13">
              <w:rPr>
                <w:rFonts w:ascii="Calibri" w:hAnsi="Calibri" w:cs="Calibri"/>
                <w:b/>
                <w:bCs/>
                <w:color w:val="000000"/>
                <w:sz w:val="18"/>
                <w:szCs w:val="18"/>
              </w:rPr>
              <w:t># of Respondents</w:t>
            </w:r>
          </w:p>
        </w:tc>
        <w:tc>
          <w:tcPr>
            <w:tcW w:w="1350" w:type="dxa"/>
            <w:tcBorders>
              <w:top w:val="single" w:sz="8" w:space="0" w:color="auto"/>
              <w:left w:val="nil"/>
              <w:bottom w:val="single" w:sz="8" w:space="0" w:color="auto"/>
              <w:right w:val="single" w:sz="8" w:space="0" w:color="auto"/>
            </w:tcBorders>
            <w:shd w:val="clear" w:color="auto" w:fill="5B9BD5"/>
            <w:vAlign w:val="center"/>
            <w:hideMark/>
          </w:tcPr>
          <w:p w14:paraId="1181CB64" w14:textId="77777777" w:rsidR="002507E2" w:rsidRPr="00B81C13" w:rsidRDefault="002507E2" w:rsidP="002E0DF4">
            <w:pPr>
              <w:keepNext/>
              <w:widowControl/>
              <w:autoSpaceDE/>
              <w:autoSpaceDN/>
              <w:adjustRightInd/>
              <w:jc w:val="center"/>
              <w:rPr>
                <w:rFonts w:ascii="Calibri" w:hAnsi="Calibri" w:cs="Calibri"/>
                <w:b/>
                <w:bCs/>
                <w:color w:val="000000"/>
                <w:sz w:val="18"/>
                <w:szCs w:val="18"/>
              </w:rPr>
            </w:pPr>
            <w:r w:rsidRPr="00B81C13">
              <w:rPr>
                <w:rFonts w:ascii="Calibri" w:hAnsi="Calibri" w:cs="Calibri"/>
                <w:b/>
                <w:bCs/>
                <w:color w:val="000000"/>
                <w:sz w:val="18"/>
                <w:szCs w:val="18"/>
              </w:rPr>
              <w:t>Annual # of Responses / Respondent</w:t>
            </w:r>
          </w:p>
        </w:tc>
        <w:tc>
          <w:tcPr>
            <w:tcW w:w="1710" w:type="dxa"/>
            <w:tcBorders>
              <w:top w:val="single" w:sz="8" w:space="0" w:color="auto"/>
              <w:left w:val="nil"/>
              <w:bottom w:val="single" w:sz="8" w:space="0" w:color="auto"/>
              <w:right w:val="single" w:sz="8" w:space="0" w:color="auto"/>
            </w:tcBorders>
            <w:shd w:val="clear" w:color="auto" w:fill="5B9BD5"/>
            <w:vAlign w:val="center"/>
            <w:hideMark/>
          </w:tcPr>
          <w:p w14:paraId="3B646EBB" w14:textId="77777777" w:rsidR="002507E2" w:rsidRPr="00B81C13" w:rsidRDefault="002507E2" w:rsidP="002E0DF4">
            <w:pPr>
              <w:keepNext/>
              <w:widowControl/>
              <w:autoSpaceDE/>
              <w:autoSpaceDN/>
              <w:adjustRightInd/>
              <w:jc w:val="center"/>
              <w:rPr>
                <w:rFonts w:ascii="Calibri" w:hAnsi="Calibri" w:cs="Calibri"/>
                <w:b/>
                <w:bCs/>
                <w:color w:val="000000"/>
                <w:sz w:val="18"/>
                <w:szCs w:val="18"/>
              </w:rPr>
            </w:pPr>
            <w:r w:rsidRPr="00B81C13">
              <w:rPr>
                <w:rFonts w:ascii="Calibri" w:hAnsi="Calibri" w:cs="Calibri"/>
                <w:b/>
                <w:bCs/>
                <w:color w:val="000000"/>
                <w:sz w:val="18"/>
                <w:szCs w:val="18"/>
              </w:rPr>
              <w:t xml:space="preserve"> Total # of Annual Responses</w:t>
            </w:r>
          </w:p>
        </w:tc>
        <w:tc>
          <w:tcPr>
            <w:tcW w:w="2160" w:type="dxa"/>
            <w:tcBorders>
              <w:top w:val="single" w:sz="8" w:space="0" w:color="auto"/>
              <w:left w:val="nil"/>
              <w:bottom w:val="single" w:sz="8" w:space="0" w:color="auto"/>
              <w:right w:val="single" w:sz="8" w:space="0" w:color="auto"/>
            </w:tcBorders>
            <w:shd w:val="clear" w:color="auto" w:fill="5B9BD5"/>
            <w:vAlign w:val="center"/>
            <w:hideMark/>
          </w:tcPr>
          <w:p w14:paraId="16F8C6A4" w14:textId="264FA183" w:rsidR="002507E2" w:rsidRPr="00B81C13" w:rsidRDefault="002507E2" w:rsidP="00026DB9">
            <w:pPr>
              <w:keepNext/>
              <w:widowControl/>
              <w:autoSpaceDE/>
              <w:autoSpaceDN/>
              <w:adjustRightInd/>
              <w:jc w:val="center"/>
              <w:rPr>
                <w:rFonts w:ascii="Calibri" w:hAnsi="Calibri" w:cs="Calibri"/>
                <w:b/>
                <w:bCs/>
                <w:color w:val="000000"/>
                <w:sz w:val="18"/>
                <w:szCs w:val="18"/>
              </w:rPr>
            </w:pPr>
            <w:r w:rsidRPr="00B81C13">
              <w:rPr>
                <w:rFonts w:ascii="Calibri" w:hAnsi="Calibri" w:cs="Calibri"/>
                <w:b/>
                <w:bCs/>
                <w:color w:val="000000"/>
                <w:sz w:val="18"/>
                <w:szCs w:val="18"/>
              </w:rPr>
              <w:t>Cost Burden / Respondent</w:t>
            </w:r>
          </w:p>
        </w:tc>
        <w:tc>
          <w:tcPr>
            <w:tcW w:w="1710" w:type="dxa"/>
            <w:tcBorders>
              <w:top w:val="single" w:sz="8" w:space="0" w:color="auto"/>
              <w:left w:val="nil"/>
              <w:bottom w:val="single" w:sz="8" w:space="0" w:color="auto"/>
              <w:right w:val="single" w:sz="8" w:space="0" w:color="auto"/>
            </w:tcBorders>
            <w:shd w:val="clear" w:color="auto" w:fill="5B9BD5"/>
            <w:vAlign w:val="center"/>
            <w:hideMark/>
          </w:tcPr>
          <w:p w14:paraId="60E938B9" w14:textId="77777777" w:rsidR="002507E2" w:rsidRPr="00B81C13" w:rsidRDefault="002507E2" w:rsidP="002E0DF4">
            <w:pPr>
              <w:keepNext/>
              <w:widowControl/>
              <w:autoSpaceDE/>
              <w:autoSpaceDN/>
              <w:adjustRightInd/>
              <w:jc w:val="center"/>
              <w:rPr>
                <w:rFonts w:ascii="Calibri" w:hAnsi="Calibri" w:cs="Calibri"/>
                <w:b/>
                <w:bCs/>
                <w:color w:val="000000"/>
                <w:sz w:val="18"/>
                <w:szCs w:val="18"/>
              </w:rPr>
            </w:pPr>
            <w:r w:rsidRPr="00B81C13">
              <w:rPr>
                <w:rFonts w:ascii="Calibri" w:hAnsi="Calibri" w:cs="Calibri"/>
                <w:b/>
                <w:bCs/>
                <w:color w:val="000000"/>
                <w:sz w:val="18"/>
                <w:szCs w:val="18"/>
              </w:rPr>
              <w:t>Total Annual Cost Burden</w:t>
            </w:r>
          </w:p>
        </w:tc>
      </w:tr>
      <w:tr w:rsidR="00292AD5" w:rsidRPr="00B81C13" w14:paraId="0A84149F" w14:textId="77777777" w:rsidTr="00050021">
        <w:trPr>
          <w:trHeight w:val="30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1006CF83" w14:textId="774CB2E1" w:rsidR="00292AD5" w:rsidRPr="00292AD5" w:rsidRDefault="00292AD5" w:rsidP="002E0DF4">
            <w:pPr>
              <w:keepNext/>
              <w:widowControl/>
              <w:autoSpaceDE/>
              <w:autoSpaceDN/>
              <w:adjustRightInd/>
              <w:rPr>
                <w:rFonts w:asciiTheme="minorHAnsi" w:hAnsiTheme="minorHAnsi" w:cstheme="minorHAnsi"/>
                <w:color w:val="000000"/>
                <w:sz w:val="16"/>
                <w:szCs w:val="16"/>
              </w:rPr>
            </w:pPr>
            <w:r w:rsidRPr="00292AD5">
              <w:rPr>
                <w:rFonts w:asciiTheme="minorHAnsi" w:hAnsiTheme="minorHAnsi" w:cstheme="minorHAnsi"/>
                <w:sz w:val="16"/>
                <w:szCs w:val="16"/>
              </w:rPr>
              <w:t>CDQ Vessel Registration System</w:t>
            </w:r>
          </w:p>
        </w:tc>
        <w:tc>
          <w:tcPr>
            <w:tcW w:w="1358" w:type="dxa"/>
            <w:tcBorders>
              <w:top w:val="nil"/>
              <w:left w:val="nil"/>
              <w:bottom w:val="single" w:sz="4" w:space="0" w:color="auto"/>
              <w:right w:val="single" w:sz="4" w:space="0" w:color="auto"/>
            </w:tcBorders>
            <w:shd w:val="clear" w:color="000000" w:fill="FFFFFF"/>
            <w:vAlign w:val="center"/>
            <w:hideMark/>
          </w:tcPr>
          <w:p w14:paraId="70538EF5" w14:textId="7F692F1A" w:rsidR="00292AD5" w:rsidRPr="00B81C13" w:rsidRDefault="00B90D84" w:rsidP="00272A18">
            <w:pPr>
              <w:keepNext/>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hideMark/>
          </w:tcPr>
          <w:p w14:paraId="50A039F3" w14:textId="03EC1DA1" w:rsidR="00292AD5" w:rsidRPr="00B81C13" w:rsidRDefault="00B90D84" w:rsidP="00272A18">
            <w:pPr>
              <w:keepNext/>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710" w:type="dxa"/>
            <w:tcBorders>
              <w:top w:val="nil"/>
              <w:left w:val="nil"/>
              <w:bottom w:val="single" w:sz="4" w:space="0" w:color="auto"/>
              <w:right w:val="single" w:sz="4" w:space="0" w:color="auto"/>
            </w:tcBorders>
            <w:shd w:val="clear" w:color="000000" w:fill="FFFFFF"/>
            <w:vAlign w:val="center"/>
            <w:hideMark/>
          </w:tcPr>
          <w:p w14:paraId="2DDBFD50" w14:textId="1D2CAA63" w:rsidR="00292AD5" w:rsidRPr="00B81C13" w:rsidRDefault="00B90D84" w:rsidP="00272A18">
            <w:pPr>
              <w:keepNext/>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2160" w:type="dxa"/>
            <w:tcBorders>
              <w:top w:val="nil"/>
              <w:left w:val="nil"/>
              <w:bottom w:val="single" w:sz="4" w:space="0" w:color="auto"/>
              <w:right w:val="single" w:sz="4" w:space="0" w:color="auto"/>
            </w:tcBorders>
            <w:shd w:val="clear" w:color="000000" w:fill="FFFFFF"/>
            <w:vAlign w:val="center"/>
            <w:hideMark/>
          </w:tcPr>
          <w:p w14:paraId="6B91BE53" w14:textId="733B5E6E" w:rsidR="00292AD5" w:rsidRPr="00B81C13" w:rsidRDefault="00B90D84" w:rsidP="00272A18">
            <w:pPr>
              <w:keepNext/>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r w:rsidR="00F04001">
              <w:rPr>
                <w:rFonts w:ascii="Calibri" w:hAnsi="Calibri" w:cs="Calibri"/>
                <w:color w:val="000000"/>
                <w:sz w:val="16"/>
                <w:szCs w:val="16"/>
              </w:rPr>
              <w:t>0</w:t>
            </w:r>
            <w:r w:rsidR="007A2F02">
              <w:rPr>
                <w:rFonts w:ascii="Calibri" w:hAnsi="Calibri" w:cs="Calibri"/>
                <w:color w:val="000000"/>
                <w:sz w:val="16"/>
                <w:szCs w:val="16"/>
              </w:rPr>
              <w:t xml:space="preserve"> </w:t>
            </w:r>
            <w:r w:rsidR="00026DB9" w:rsidRPr="004B0468">
              <w:rPr>
                <w:rFonts w:ascii="Calibri" w:hAnsi="Calibri" w:cs="Calibri"/>
                <w:color w:val="000000"/>
                <w:sz w:val="20"/>
                <w:szCs w:val="20"/>
                <w:u w:val="single"/>
                <w:vertAlign w:val="superscript"/>
              </w:rPr>
              <w:t>1</w:t>
            </w:r>
            <w:r w:rsidR="00026DB9" w:rsidRPr="004B0468">
              <w:rPr>
                <w:rFonts w:ascii="Calibri" w:hAnsi="Calibri" w:cs="Calibri"/>
                <w:color w:val="000000"/>
                <w:sz w:val="20"/>
                <w:szCs w:val="20"/>
                <w:vertAlign w:val="superscript"/>
              </w:rPr>
              <w:t>/</w:t>
            </w:r>
          </w:p>
        </w:tc>
        <w:tc>
          <w:tcPr>
            <w:tcW w:w="1710" w:type="dxa"/>
            <w:tcBorders>
              <w:top w:val="nil"/>
              <w:left w:val="nil"/>
              <w:bottom w:val="single" w:sz="4" w:space="0" w:color="auto"/>
              <w:right w:val="single" w:sz="8" w:space="0" w:color="auto"/>
            </w:tcBorders>
            <w:shd w:val="clear" w:color="000000" w:fill="FFFFFF"/>
            <w:vAlign w:val="center"/>
            <w:hideMark/>
          </w:tcPr>
          <w:p w14:paraId="513F754E" w14:textId="31A0FA19" w:rsidR="00292AD5" w:rsidRPr="00B81C13" w:rsidRDefault="00B90D84" w:rsidP="00050021">
            <w:pPr>
              <w:keepNext/>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292AD5" w:rsidRPr="00B81C13" w14:paraId="336F1769" w14:textId="77777777" w:rsidTr="00050021">
        <w:trPr>
          <w:trHeight w:val="300"/>
        </w:trPr>
        <w:tc>
          <w:tcPr>
            <w:tcW w:w="3970" w:type="dxa"/>
            <w:tcBorders>
              <w:top w:val="nil"/>
              <w:left w:val="single" w:sz="4" w:space="0" w:color="auto"/>
              <w:bottom w:val="single" w:sz="4" w:space="0" w:color="auto"/>
              <w:right w:val="single" w:sz="4" w:space="0" w:color="auto"/>
            </w:tcBorders>
            <w:shd w:val="clear" w:color="auto" w:fill="auto"/>
            <w:vAlign w:val="center"/>
          </w:tcPr>
          <w:p w14:paraId="0817BEBA" w14:textId="54775D98" w:rsidR="00292AD5" w:rsidRPr="00292AD5" w:rsidRDefault="00292AD5" w:rsidP="002E0DF4">
            <w:pPr>
              <w:keepNext/>
              <w:widowControl/>
              <w:autoSpaceDE/>
              <w:autoSpaceDN/>
              <w:adjustRightInd/>
              <w:rPr>
                <w:rFonts w:asciiTheme="minorHAnsi" w:hAnsiTheme="minorHAnsi" w:cstheme="minorHAnsi"/>
                <w:color w:val="000000"/>
                <w:sz w:val="16"/>
                <w:szCs w:val="16"/>
              </w:rPr>
            </w:pPr>
            <w:r w:rsidRPr="00292AD5">
              <w:rPr>
                <w:rFonts w:asciiTheme="minorHAnsi" w:hAnsiTheme="minorHAnsi" w:cstheme="minorHAnsi"/>
                <w:sz w:val="16"/>
                <w:szCs w:val="16"/>
              </w:rPr>
              <w:t>Groundfish/Halibut CDQ and Prohibited Species Quota (PSQ) Transfer Request</w:t>
            </w:r>
          </w:p>
        </w:tc>
        <w:tc>
          <w:tcPr>
            <w:tcW w:w="1358" w:type="dxa"/>
            <w:tcBorders>
              <w:top w:val="nil"/>
              <w:left w:val="nil"/>
              <w:bottom w:val="single" w:sz="4" w:space="0" w:color="auto"/>
              <w:right w:val="single" w:sz="4" w:space="0" w:color="auto"/>
            </w:tcBorders>
            <w:shd w:val="clear" w:color="000000" w:fill="FFFFFF"/>
            <w:vAlign w:val="center"/>
          </w:tcPr>
          <w:p w14:paraId="11FCAA6F" w14:textId="52D4D6D2" w:rsidR="00292AD5" w:rsidRPr="00B81C13" w:rsidRDefault="0079775C" w:rsidP="00272A18">
            <w:pPr>
              <w:keepNext/>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w:t>
            </w:r>
          </w:p>
        </w:tc>
        <w:tc>
          <w:tcPr>
            <w:tcW w:w="1350" w:type="dxa"/>
            <w:tcBorders>
              <w:top w:val="nil"/>
              <w:left w:val="nil"/>
              <w:bottom w:val="single" w:sz="4" w:space="0" w:color="auto"/>
              <w:right w:val="single" w:sz="4" w:space="0" w:color="auto"/>
            </w:tcBorders>
            <w:shd w:val="clear" w:color="000000" w:fill="FFFFFF"/>
            <w:vAlign w:val="center"/>
          </w:tcPr>
          <w:p w14:paraId="25231508" w14:textId="7C96495D" w:rsidR="00292AD5" w:rsidRPr="00B81C13" w:rsidRDefault="005D07DE" w:rsidP="00272A18">
            <w:pPr>
              <w:keepNext/>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w:t>
            </w:r>
          </w:p>
        </w:tc>
        <w:tc>
          <w:tcPr>
            <w:tcW w:w="1710" w:type="dxa"/>
            <w:tcBorders>
              <w:top w:val="nil"/>
              <w:left w:val="nil"/>
              <w:bottom w:val="single" w:sz="4" w:space="0" w:color="auto"/>
              <w:right w:val="single" w:sz="4" w:space="0" w:color="auto"/>
            </w:tcBorders>
            <w:shd w:val="clear" w:color="000000" w:fill="FFFFFF"/>
            <w:vAlign w:val="center"/>
          </w:tcPr>
          <w:p w14:paraId="4DEA89EE" w14:textId="4977A15C" w:rsidR="00292AD5" w:rsidRPr="00B81C13" w:rsidRDefault="005D07DE" w:rsidP="00272A18">
            <w:pPr>
              <w:keepNext/>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72</w:t>
            </w:r>
          </w:p>
        </w:tc>
        <w:tc>
          <w:tcPr>
            <w:tcW w:w="2160" w:type="dxa"/>
            <w:tcBorders>
              <w:top w:val="nil"/>
              <w:left w:val="nil"/>
              <w:bottom w:val="single" w:sz="4" w:space="0" w:color="auto"/>
              <w:right w:val="single" w:sz="4" w:space="0" w:color="auto"/>
            </w:tcBorders>
            <w:shd w:val="clear" w:color="000000" w:fill="FFFFFF"/>
            <w:vAlign w:val="center"/>
          </w:tcPr>
          <w:p w14:paraId="39BA47E1" w14:textId="69E94998" w:rsidR="00292AD5" w:rsidRPr="00B81C13" w:rsidRDefault="00B90D84" w:rsidP="00272A18">
            <w:pPr>
              <w:keepNext/>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r w:rsidR="00F04001">
              <w:rPr>
                <w:rFonts w:ascii="Calibri" w:hAnsi="Calibri" w:cs="Calibri"/>
                <w:color w:val="000000"/>
                <w:sz w:val="16"/>
                <w:szCs w:val="16"/>
              </w:rPr>
              <w:t>0</w:t>
            </w:r>
            <w:r w:rsidR="007A2F02">
              <w:rPr>
                <w:rFonts w:ascii="Calibri" w:hAnsi="Calibri" w:cs="Calibri"/>
                <w:color w:val="000000"/>
                <w:sz w:val="16"/>
                <w:szCs w:val="16"/>
              </w:rPr>
              <w:t xml:space="preserve"> </w:t>
            </w:r>
            <w:r w:rsidR="00026DB9" w:rsidRPr="004B0468">
              <w:rPr>
                <w:rFonts w:ascii="Calibri" w:hAnsi="Calibri" w:cs="Calibri"/>
                <w:color w:val="000000"/>
                <w:sz w:val="20"/>
                <w:szCs w:val="20"/>
                <w:u w:val="single"/>
                <w:vertAlign w:val="superscript"/>
              </w:rPr>
              <w:t>1</w:t>
            </w:r>
            <w:r w:rsidR="00026DB9" w:rsidRPr="004B0468">
              <w:rPr>
                <w:rFonts w:ascii="Calibri" w:hAnsi="Calibri" w:cs="Calibri"/>
                <w:color w:val="000000"/>
                <w:sz w:val="20"/>
                <w:szCs w:val="20"/>
                <w:vertAlign w:val="superscript"/>
              </w:rPr>
              <w:t>/</w:t>
            </w:r>
          </w:p>
        </w:tc>
        <w:tc>
          <w:tcPr>
            <w:tcW w:w="1710" w:type="dxa"/>
            <w:tcBorders>
              <w:top w:val="nil"/>
              <w:left w:val="nil"/>
              <w:bottom w:val="single" w:sz="4" w:space="0" w:color="auto"/>
              <w:right w:val="single" w:sz="8" w:space="0" w:color="auto"/>
            </w:tcBorders>
            <w:shd w:val="clear" w:color="000000" w:fill="FFFFFF"/>
            <w:vAlign w:val="center"/>
          </w:tcPr>
          <w:p w14:paraId="3A64431A" w14:textId="1F762603" w:rsidR="00292AD5" w:rsidRPr="00B81C13" w:rsidRDefault="00B90D84" w:rsidP="00050021">
            <w:pPr>
              <w:keepNext/>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292AD5" w:rsidRPr="00B81C13" w14:paraId="155B8A30" w14:textId="77777777" w:rsidTr="00050021">
        <w:trPr>
          <w:trHeight w:val="300"/>
        </w:trPr>
        <w:tc>
          <w:tcPr>
            <w:tcW w:w="3970" w:type="dxa"/>
            <w:tcBorders>
              <w:top w:val="nil"/>
              <w:left w:val="single" w:sz="4" w:space="0" w:color="auto"/>
              <w:bottom w:val="single" w:sz="4" w:space="0" w:color="auto"/>
              <w:right w:val="single" w:sz="4" w:space="0" w:color="auto"/>
            </w:tcBorders>
            <w:shd w:val="clear" w:color="auto" w:fill="auto"/>
            <w:vAlign w:val="center"/>
          </w:tcPr>
          <w:p w14:paraId="47E1DE40" w14:textId="024E73CD" w:rsidR="00292AD5" w:rsidRPr="00292AD5" w:rsidRDefault="00292AD5" w:rsidP="002E0DF4">
            <w:pPr>
              <w:keepNext/>
              <w:widowControl/>
              <w:autoSpaceDE/>
              <w:autoSpaceDN/>
              <w:adjustRightInd/>
              <w:rPr>
                <w:rFonts w:asciiTheme="minorHAnsi" w:hAnsiTheme="minorHAnsi" w:cstheme="minorHAnsi"/>
                <w:color w:val="000000"/>
                <w:sz w:val="16"/>
                <w:szCs w:val="16"/>
              </w:rPr>
            </w:pPr>
            <w:r w:rsidRPr="00292AD5">
              <w:rPr>
                <w:rFonts w:asciiTheme="minorHAnsi" w:hAnsiTheme="minorHAnsi" w:cstheme="minorHAnsi"/>
                <w:sz w:val="16"/>
                <w:szCs w:val="16"/>
              </w:rPr>
              <w:t>Application for Approval of Use of Non-CDQ Harvest Regulations</w:t>
            </w:r>
          </w:p>
        </w:tc>
        <w:tc>
          <w:tcPr>
            <w:tcW w:w="1358" w:type="dxa"/>
            <w:tcBorders>
              <w:top w:val="nil"/>
              <w:left w:val="nil"/>
              <w:bottom w:val="single" w:sz="4" w:space="0" w:color="auto"/>
              <w:right w:val="single" w:sz="4" w:space="0" w:color="auto"/>
            </w:tcBorders>
            <w:shd w:val="clear" w:color="000000" w:fill="FFFFFF"/>
            <w:vAlign w:val="center"/>
          </w:tcPr>
          <w:p w14:paraId="3F18258D" w14:textId="66FCE132" w:rsidR="00292AD5" w:rsidRPr="00B81C13" w:rsidRDefault="0079775C" w:rsidP="00272A18">
            <w:pPr>
              <w:keepNext/>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tcPr>
          <w:p w14:paraId="1C656612" w14:textId="09B106ED" w:rsidR="00292AD5" w:rsidRPr="00B81C13" w:rsidRDefault="005D07DE" w:rsidP="00272A18">
            <w:pPr>
              <w:keepNext/>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710" w:type="dxa"/>
            <w:tcBorders>
              <w:top w:val="nil"/>
              <w:left w:val="nil"/>
              <w:bottom w:val="single" w:sz="4" w:space="0" w:color="auto"/>
              <w:right w:val="single" w:sz="4" w:space="0" w:color="auto"/>
            </w:tcBorders>
            <w:shd w:val="clear" w:color="000000" w:fill="FFFFFF"/>
            <w:vAlign w:val="center"/>
          </w:tcPr>
          <w:p w14:paraId="79097DD4" w14:textId="2BFFD8CA" w:rsidR="00292AD5" w:rsidRPr="00B81C13" w:rsidRDefault="005D07DE" w:rsidP="00272A18">
            <w:pPr>
              <w:keepNext/>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2160" w:type="dxa"/>
            <w:tcBorders>
              <w:top w:val="nil"/>
              <w:left w:val="nil"/>
              <w:bottom w:val="single" w:sz="4" w:space="0" w:color="auto"/>
              <w:right w:val="single" w:sz="4" w:space="0" w:color="auto"/>
            </w:tcBorders>
            <w:shd w:val="clear" w:color="000000" w:fill="FFFFFF"/>
            <w:vAlign w:val="center"/>
          </w:tcPr>
          <w:p w14:paraId="7C2D1E2E" w14:textId="0D31618D" w:rsidR="00292AD5" w:rsidRPr="00B81C13" w:rsidRDefault="00026DB9" w:rsidP="00272A18">
            <w:pPr>
              <w:keepNext/>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$20</w:t>
            </w:r>
            <w:r w:rsidR="007A2F02">
              <w:rPr>
                <w:rFonts w:ascii="Calibri" w:hAnsi="Calibri" w:cs="Calibri"/>
                <w:color w:val="000000"/>
                <w:sz w:val="16"/>
                <w:szCs w:val="16"/>
              </w:rPr>
              <w:t xml:space="preserve"> </w:t>
            </w:r>
            <w:r>
              <w:rPr>
                <w:rFonts w:ascii="Calibri" w:hAnsi="Calibri" w:cs="Calibri"/>
                <w:color w:val="000000"/>
                <w:sz w:val="20"/>
                <w:szCs w:val="20"/>
                <w:u w:val="single"/>
                <w:vertAlign w:val="superscript"/>
              </w:rPr>
              <w:t>2</w:t>
            </w:r>
            <w:r w:rsidRPr="004B0468">
              <w:rPr>
                <w:rFonts w:ascii="Calibri" w:hAnsi="Calibri" w:cs="Calibri"/>
                <w:color w:val="000000"/>
                <w:sz w:val="20"/>
                <w:szCs w:val="20"/>
                <w:vertAlign w:val="superscript"/>
              </w:rPr>
              <w:t>/</w:t>
            </w:r>
          </w:p>
        </w:tc>
        <w:tc>
          <w:tcPr>
            <w:tcW w:w="1710" w:type="dxa"/>
            <w:tcBorders>
              <w:top w:val="nil"/>
              <w:left w:val="nil"/>
              <w:bottom w:val="single" w:sz="4" w:space="0" w:color="auto"/>
              <w:right w:val="single" w:sz="8" w:space="0" w:color="auto"/>
            </w:tcBorders>
            <w:shd w:val="clear" w:color="000000" w:fill="FFFFFF"/>
            <w:vAlign w:val="center"/>
          </w:tcPr>
          <w:p w14:paraId="69EBC7C4" w14:textId="161E3310" w:rsidR="00292AD5" w:rsidRPr="00B81C13" w:rsidRDefault="00026DB9" w:rsidP="00050021">
            <w:pPr>
              <w:keepNext/>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r>
      <w:tr w:rsidR="00292AD5" w:rsidRPr="00B81C13" w14:paraId="3257A260" w14:textId="77777777" w:rsidTr="00050021">
        <w:trPr>
          <w:trHeight w:val="300"/>
        </w:trPr>
        <w:tc>
          <w:tcPr>
            <w:tcW w:w="3970" w:type="dxa"/>
            <w:tcBorders>
              <w:top w:val="nil"/>
              <w:left w:val="single" w:sz="4" w:space="0" w:color="auto"/>
              <w:bottom w:val="single" w:sz="4" w:space="0" w:color="auto"/>
              <w:right w:val="single" w:sz="4" w:space="0" w:color="auto"/>
            </w:tcBorders>
            <w:shd w:val="clear" w:color="auto" w:fill="auto"/>
            <w:vAlign w:val="center"/>
          </w:tcPr>
          <w:p w14:paraId="73D1210F" w14:textId="16BD4250" w:rsidR="00292AD5" w:rsidRPr="00292AD5" w:rsidRDefault="00292AD5" w:rsidP="002E0DF4">
            <w:pPr>
              <w:keepNext/>
              <w:widowControl/>
              <w:autoSpaceDE/>
              <w:autoSpaceDN/>
              <w:adjustRightInd/>
              <w:rPr>
                <w:rFonts w:asciiTheme="minorHAnsi" w:hAnsiTheme="minorHAnsi" w:cstheme="minorHAnsi"/>
                <w:color w:val="000000"/>
                <w:sz w:val="16"/>
                <w:szCs w:val="16"/>
              </w:rPr>
            </w:pPr>
            <w:r w:rsidRPr="00292AD5">
              <w:rPr>
                <w:rFonts w:asciiTheme="minorHAnsi" w:hAnsiTheme="minorHAnsi" w:cstheme="minorHAnsi"/>
                <w:sz w:val="16"/>
                <w:szCs w:val="16"/>
              </w:rPr>
              <w:t>Appeals</w:t>
            </w:r>
          </w:p>
        </w:tc>
        <w:tc>
          <w:tcPr>
            <w:tcW w:w="1358" w:type="dxa"/>
            <w:tcBorders>
              <w:top w:val="nil"/>
              <w:left w:val="nil"/>
              <w:bottom w:val="single" w:sz="4" w:space="0" w:color="auto"/>
              <w:right w:val="single" w:sz="4" w:space="0" w:color="auto"/>
            </w:tcBorders>
            <w:shd w:val="clear" w:color="000000" w:fill="FFFFFF"/>
            <w:vAlign w:val="center"/>
          </w:tcPr>
          <w:p w14:paraId="38EE438C" w14:textId="03CA4066" w:rsidR="00292AD5" w:rsidRPr="00B81C13" w:rsidRDefault="007A2F02" w:rsidP="00272A18">
            <w:pPr>
              <w:keepNext/>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tcPr>
          <w:p w14:paraId="27A21885" w14:textId="72F983CA" w:rsidR="00292AD5" w:rsidRPr="00B81C13" w:rsidRDefault="007A2F02" w:rsidP="00272A18">
            <w:pPr>
              <w:keepNext/>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710" w:type="dxa"/>
            <w:tcBorders>
              <w:top w:val="nil"/>
              <w:left w:val="nil"/>
              <w:bottom w:val="single" w:sz="4" w:space="0" w:color="auto"/>
              <w:right w:val="single" w:sz="4" w:space="0" w:color="auto"/>
            </w:tcBorders>
            <w:shd w:val="clear" w:color="000000" w:fill="FFFFFF"/>
            <w:vAlign w:val="center"/>
          </w:tcPr>
          <w:p w14:paraId="109364CF" w14:textId="075E864E" w:rsidR="00292AD5" w:rsidRPr="00B81C13" w:rsidRDefault="007A2F02" w:rsidP="00272A18">
            <w:pPr>
              <w:keepNext/>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2160" w:type="dxa"/>
            <w:tcBorders>
              <w:top w:val="nil"/>
              <w:left w:val="nil"/>
              <w:bottom w:val="single" w:sz="4" w:space="0" w:color="auto"/>
              <w:right w:val="single" w:sz="4" w:space="0" w:color="auto"/>
            </w:tcBorders>
            <w:shd w:val="clear" w:color="000000" w:fill="FFFFFF"/>
            <w:vAlign w:val="center"/>
          </w:tcPr>
          <w:p w14:paraId="21BB06AD" w14:textId="77777777" w:rsidR="002F216E" w:rsidRDefault="002F216E" w:rsidP="00E57D36">
            <w:pPr>
              <w:keepNext/>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$234 (attorney)</w:t>
            </w:r>
          </w:p>
          <w:p w14:paraId="018F1F69" w14:textId="66298C15" w:rsidR="00E57D36" w:rsidRPr="00B81C13" w:rsidRDefault="002F216E" w:rsidP="00E57D36">
            <w:pPr>
              <w:keepNext/>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$20 (mail or delivery)</w:t>
            </w:r>
            <w:r w:rsidR="007A2F02">
              <w:rPr>
                <w:rFonts w:ascii="Calibri" w:hAnsi="Calibri" w:cs="Calibri"/>
                <w:color w:val="000000"/>
                <w:sz w:val="16"/>
                <w:szCs w:val="16"/>
              </w:rPr>
              <w:t xml:space="preserve"> </w:t>
            </w:r>
            <w:r w:rsidR="007A2F02">
              <w:rPr>
                <w:rFonts w:ascii="Calibri" w:hAnsi="Calibri" w:cs="Calibri"/>
                <w:color w:val="000000"/>
                <w:sz w:val="20"/>
                <w:szCs w:val="20"/>
                <w:u w:val="single"/>
                <w:vertAlign w:val="superscript"/>
              </w:rPr>
              <w:t>3</w:t>
            </w:r>
            <w:r w:rsidR="007A2F02" w:rsidRPr="004B0468">
              <w:rPr>
                <w:rFonts w:ascii="Calibri" w:hAnsi="Calibri" w:cs="Calibri"/>
                <w:color w:val="000000"/>
                <w:sz w:val="20"/>
                <w:szCs w:val="20"/>
                <w:vertAlign w:val="superscript"/>
              </w:rPr>
              <w:t>/</w:t>
            </w:r>
          </w:p>
        </w:tc>
        <w:tc>
          <w:tcPr>
            <w:tcW w:w="1710" w:type="dxa"/>
            <w:tcBorders>
              <w:top w:val="nil"/>
              <w:left w:val="nil"/>
              <w:bottom w:val="single" w:sz="4" w:space="0" w:color="auto"/>
              <w:right w:val="single" w:sz="8" w:space="0" w:color="auto"/>
            </w:tcBorders>
            <w:shd w:val="clear" w:color="000000" w:fill="FFFFFF"/>
            <w:vAlign w:val="center"/>
          </w:tcPr>
          <w:p w14:paraId="6AB4BA30" w14:textId="693F60CC" w:rsidR="00292AD5" w:rsidRPr="00B81C13" w:rsidRDefault="00026DB9" w:rsidP="00050021">
            <w:pPr>
              <w:keepNext/>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2F216E">
              <w:rPr>
                <w:rFonts w:ascii="Calibri" w:hAnsi="Calibri" w:cs="Calibri"/>
                <w:color w:val="000000"/>
                <w:sz w:val="16"/>
                <w:szCs w:val="16"/>
              </w:rPr>
              <w:t>254</w:t>
            </w:r>
          </w:p>
        </w:tc>
      </w:tr>
      <w:tr w:rsidR="002507E2" w:rsidRPr="00B81C13" w14:paraId="0D205F33" w14:textId="77777777" w:rsidTr="00050021">
        <w:trPr>
          <w:trHeight w:val="315"/>
        </w:trPr>
        <w:tc>
          <w:tcPr>
            <w:tcW w:w="3970" w:type="dxa"/>
            <w:tcBorders>
              <w:top w:val="single" w:sz="8" w:space="0" w:color="auto"/>
              <w:left w:val="single" w:sz="8" w:space="0" w:color="auto"/>
              <w:bottom w:val="single" w:sz="8" w:space="0" w:color="auto"/>
              <w:right w:val="single" w:sz="4" w:space="0" w:color="auto"/>
            </w:tcBorders>
            <w:shd w:val="clear" w:color="auto" w:fill="BDD6EE"/>
            <w:vAlign w:val="center"/>
            <w:hideMark/>
          </w:tcPr>
          <w:p w14:paraId="643F0929" w14:textId="77777777" w:rsidR="002507E2" w:rsidRPr="00B81C13" w:rsidRDefault="002507E2" w:rsidP="002E0DF4">
            <w:pPr>
              <w:keepNext/>
              <w:widowControl/>
              <w:autoSpaceDE/>
              <w:autoSpaceDN/>
              <w:adjustRightInd/>
              <w:rPr>
                <w:rFonts w:ascii="Calibri" w:hAnsi="Calibri" w:cs="Calibri"/>
                <w:b/>
                <w:bCs/>
                <w:color w:val="000000"/>
                <w:sz w:val="16"/>
                <w:szCs w:val="16"/>
              </w:rPr>
            </w:pPr>
            <w:r w:rsidRPr="00B81C13">
              <w:rPr>
                <w:rFonts w:ascii="Calibri" w:hAnsi="Calibri" w:cs="Calibri"/>
                <w:b/>
                <w:bCs/>
                <w:color w:val="000000"/>
                <w:sz w:val="16"/>
                <w:szCs w:val="16"/>
              </w:rPr>
              <w:t>TOTALS</w:t>
            </w:r>
          </w:p>
        </w:tc>
        <w:tc>
          <w:tcPr>
            <w:tcW w:w="1358" w:type="dxa"/>
            <w:tcBorders>
              <w:top w:val="single" w:sz="8" w:space="0" w:color="auto"/>
              <w:left w:val="nil"/>
              <w:bottom w:val="single" w:sz="8" w:space="0" w:color="auto"/>
              <w:right w:val="single" w:sz="4" w:space="0" w:color="auto"/>
            </w:tcBorders>
            <w:shd w:val="clear" w:color="auto" w:fill="000000"/>
            <w:vAlign w:val="center"/>
            <w:hideMark/>
          </w:tcPr>
          <w:p w14:paraId="614F56D7" w14:textId="77777777" w:rsidR="002507E2" w:rsidRPr="00B81C13" w:rsidRDefault="002507E2" w:rsidP="002E0DF4">
            <w:pPr>
              <w:keepNext/>
              <w:widowControl/>
              <w:autoSpaceDE/>
              <w:autoSpaceDN/>
              <w:adjustRightInd/>
              <w:jc w:val="right"/>
              <w:rPr>
                <w:rFonts w:ascii="Calibri" w:hAnsi="Calibri" w:cs="Calibri"/>
                <w:b/>
                <w:bCs/>
                <w:color w:val="000000"/>
                <w:sz w:val="16"/>
                <w:szCs w:val="16"/>
              </w:rPr>
            </w:pPr>
            <w:r w:rsidRPr="00B81C13">
              <w:rPr>
                <w:rFonts w:ascii="Calibri" w:hAnsi="Calibri" w:cs="Calibri"/>
                <w:b/>
                <w:bCs/>
                <w:color w:val="000000"/>
                <w:sz w:val="16"/>
                <w:szCs w:val="16"/>
              </w:rPr>
              <w:t> </w:t>
            </w:r>
          </w:p>
        </w:tc>
        <w:tc>
          <w:tcPr>
            <w:tcW w:w="1350" w:type="dxa"/>
            <w:tcBorders>
              <w:top w:val="single" w:sz="8" w:space="0" w:color="auto"/>
              <w:left w:val="nil"/>
              <w:bottom w:val="single" w:sz="8" w:space="0" w:color="auto"/>
              <w:right w:val="single" w:sz="4" w:space="0" w:color="auto"/>
            </w:tcBorders>
            <w:shd w:val="clear" w:color="auto" w:fill="000000"/>
            <w:vAlign w:val="center"/>
            <w:hideMark/>
          </w:tcPr>
          <w:p w14:paraId="3BC353FE" w14:textId="77777777" w:rsidR="002507E2" w:rsidRPr="00B81C13" w:rsidRDefault="002507E2" w:rsidP="002E0DF4">
            <w:pPr>
              <w:keepNext/>
              <w:widowControl/>
              <w:autoSpaceDE/>
              <w:autoSpaceDN/>
              <w:adjustRightInd/>
              <w:jc w:val="right"/>
              <w:rPr>
                <w:rFonts w:ascii="Calibri" w:hAnsi="Calibri" w:cs="Calibri"/>
                <w:b/>
                <w:bCs/>
                <w:color w:val="000000"/>
                <w:sz w:val="16"/>
                <w:szCs w:val="16"/>
              </w:rPr>
            </w:pPr>
            <w:r w:rsidRPr="00B81C13">
              <w:rPr>
                <w:rFonts w:ascii="Calibri" w:hAnsi="Calibri" w:cs="Calibri"/>
                <w:b/>
                <w:bCs/>
                <w:color w:val="000000"/>
                <w:sz w:val="16"/>
                <w:szCs w:val="16"/>
              </w:rPr>
              <w:t> </w:t>
            </w:r>
          </w:p>
        </w:tc>
        <w:tc>
          <w:tcPr>
            <w:tcW w:w="1710" w:type="dxa"/>
            <w:tcBorders>
              <w:top w:val="single" w:sz="8" w:space="0" w:color="auto"/>
              <w:left w:val="nil"/>
              <w:bottom w:val="single" w:sz="8" w:space="0" w:color="auto"/>
              <w:right w:val="single" w:sz="4" w:space="0" w:color="auto"/>
            </w:tcBorders>
            <w:shd w:val="clear" w:color="auto" w:fill="BDD6EE"/>
            <w:vAlign w:val="center"/>
          </w:tcPr>
          <w:p w14:paraId="4F7A019A" w14:textId="52B02577" w:rsidR="002507E2" w:rsidRPr="008E43C3" w:rsidRDefault="00050021" w:rsidP="00050021">
            <w:pPr>
              <w:keepNext/>
              <w:widowControl/>
              <w:autoSpaceDE/>
              <w:autoSpaceDN/>
              <w:adjustRightInd/>
              <w:jc w:val="center"/>
              <w:rPr>
                <w:rFonts w:ascii="Calibri" w:hAnsi="Calibri" w:cs="Calibri"/>
                <w:b/>
                <w:bCs/>
                <w:color w:val="000000"/>
                <w:sz w:val="16"/>
                <w:szCs w:val="16"/>
              </w:rPr>
            </w:pPr>
            <w:r w:rsidRPr="008E43C3">
              <w:rPr>
                <w:rFonts w:ascii="Calibri" w:hAnsi="Calibri" w:cs="Calibri"/>
                <w:b/>
                <w:bCs/>
                <w:color w:val="000000"/>
                <w:sz w:val="16"/>
                <w:szCs w:val="16"/>
              </w:rPr>
              <w:t>7</w:t>
            </w:r>
            <w:r w:rsidR="00270574">
              <w:rPr>
                <w:rFonts w:ascii="Calibri" w:hAnsi="Calibri" w:cs="Calibri"/>
                <w:b/>
                <w:bCs/>
                <w:color w:val="000000"/>
                <w:sz w:val="16"/>
                <w:szCs w:val="16"/>
              </w:rPr>
              <w:t>5</w:t>
            </w:r>
          </w:p>
        </w:tc>
        <w:tc>
          <w:tcPr>
            <w:tcW w:w="2160" w:type="dxa"/>
            <w:tcBorders>
              <w:top w:val="single" w:sz="8" w:space="0" w:color="auto"/>
              <w:left w:val="nil"/>
              <w:bottom w:val="single" w:sz="8" w:space="0" w:color="auto"/>
              <w:right w:val="single" w:sz="4" w:space="0" w:color="auto"/>
            </w:tcBorders>
            <w:shd w:val="clear" w:color="auto" w:fill="000000"/>
            <w:vAlign w:val="center"/>
            <w:hideMark/>
          </w:tcPr>
          <w:p w14:paraId="169C51FB" w14:textId="77777777" w:rsidR="002507E2" w:rsidRPr="00B81C13" w:rsidRDefault="002507E2" w:rsidP="002E0DF4">
            <w:pPr>
              <w:keepNext/>
              <w:widowControl/>
              <w:autoSpaceDE/>
              <w:autoSpaceDN/>
              <w:adjustRightInd/>
              <w:jc w:val="right"/>
              <w:rPr>
                <w:rFonts w:ascii="Calibri" w:hAnsi="Calibri" w:cs="Calibri"/>
                <w:b/>
                <w:bCs/>
                <w:color w:val="000000"/>
                <w:sz w:val="16"/>
                <w:szCs w:val="16"/>
              </w:rPr>
            </w:pPr>
            <w:r w:rsidRPr="00B81C13">
              <w:rPr>
                <w:rFonts w:ascii="Calibri" w:hAnsi="Calibri" w:cs="Calibri"/>
                <w:b/>
                <w:bCs/>
                <w:color w:val="000000"/>
                <w:sz w:val="16"/>
                <w:szCs w:val="16"/>
              </w:rPr>
              <w:t> </w:t>
            </w:r>
          </w:p>
        </w:tc>
        <w:tc>
          <w:tcPr>
            <w:tcW w:w="1710" w:type="dxa"/>
            <w:tcBorders>
              <w:top w:val="single" w:sz="8" w:space="0" w:color="auto"/>
              <w:left w:val="nil"/>
              <w:bottom w:val="single" w:sz="8" w:space="0" w:color="auto"/>
              <w:right w:val="single" w:sz="8" w:space="0" w:color="auto"/>
            </w:tcBorders>
            <w:shd w:val="clear" w:color="auto" w:fill="BDD6EE"/>
            <w:vAlign w:val="center"/>
            <w:hideMark/>
          </w:tcPr>
          <w:p w14:paraId="0601C648" w14:textId="0AC3DB1D" w:rsidR="002507E2" w:rsidRPr="008E43C3" w:rsidRDefault="00050021" w:rsidP="00050021">
            <w:pPr>
              <w:keepNext/>
              <w:widowControl/>
              <w:autoSpaceDE/>
              <w:autoSpaceDN/>
              <w:adjustRightInd/>
              <w:jc w:val="right"/>
              <w:rPr>
                <w:rFonts w:ascii="Calibri" w:hAnsi="Calibri" w:cs="Calibri"/>
                <w:b/>
                <w:bCs/>
                <w:color w:val="000000"/>
                <w:sz w:val="16"/>
                <w:szCs w:val="16"/>
              </w:rPr>
            </w:pPr>
            <w:r w:rsidRPr="008E43C3">
              <w:rPr>
                <w:rFonts w:ascii="Calibri" w:hAnsi="Calibri" w:cs="Calibri"/>
                <w:b/>
                <w:bCs/>
                <w:color w:val="000000"/>
                <w:sz w:val="16"/>
                <w:szCs w:val="16"/>
              </w:rPr>
              <w:t>$2</w:t>
            </w:r>
            <w:r w:rsidR="002F216E">
              <w:rPr>
                <w:rFonts w:ascii="Calibri" w:hAnsi="Calibri" w:cs="Calibri"/>
                <w:b/>
                <w:bCs/>
                <w:color w:val="000000"/>
                <w:sz w:val="16"/>
                <w:szCs w:val="16"/>
              </w:rPr>
              <w:t>74</w:t>
            </w:r>
          </w:p>
        </w:tc>
      </w:tr>
    </w:tbl>
    <w:p w14:paraId="2BAA8DF2" w14:textId="05F049F4" w:rsidR="00026DB9" w:rsidRDefault="00B90D84" w:rsidP="00B90D84">
      <w:pPr>
        <w:tabs>
          <w:tab w:val="left" w:pos="-1180"/>
          <w:tab w:val="left" w:pos="-720"/>
          <w:tab w:val="left" w:pos="0"/>
          <w:tab w:val="left" w:pos="360"/>
          <w:tab w:val="left" w:pos="720"/>
          <w:tab w:val="left" w:pos="1080"/>
        </w:tabs>
        <w:spacing w:after="240"/>
        <w:rPr>
          <w:rFonts w:asciiTheme="minorHAnsi" w:hAnsiTheme="minorHAnsi" w:cstheme="minorHAnsi"/>
          <w:sz w:val="18"/>
          <w:szCs w:val="18"/>
        </w:rPr>
      </w:pPr>
      <w:r w:rsidRPr="004B0468">
        <w:rPr>
          <w:rFonts w:ascii="Calibri" w:hAnsi="Calibri" w:cs="Calibri"/>
          <w:color w:val="000000"/>
          <w:sz w:val="20"/>
          <w:szCs w:val="20"/>
          <w:u w:val="single"/>
          <w:vertAlign w:val="superscript"/>
        </w:rPr>
        <w:t>1</w:t>
      </w:r>
      <w:r w:rsidRPr="004B0468">
        <w:rPr>
          <w:rFonts w:ascii="Calibri" w:hAnsi="Calibri" w:cs="Calibri"/>
          <w:color w:val="000000"/>
          <w:sz w:val="20"/>
          <w:szCs w:val="20"/>
          <w:vertAlign w:val="superscript"/>
        </w:rPr>
        <w:t>/</w:t>
      </w:r>
      <w:r w:rsidR="00026DB9">
        <w:rPr>
          <w:rFonts w:asciiTheme="minorHAnsi" w:hAnsiTheme="minorHAnsi" w:cstheme="minorHAnsi"/>
          <w:sz w:val="18"/>
          <w:szCs w:val="18"/>
        </w:rPr>
        <w:t xml:space="preserve">Submission of information for the </w:t>
      </w:r>
      <w:r>
        <w:rPr>
          <w:rFonts w:asciiTheme="minorHAnsi" w:hAnsiTheme="minorHAnsi" w:cstheme="minorHAnsi"/>
          <w:sz w:val="18"/>
          <w:szCs w:val="18"/>
        </w:rPr>
        <w:t>CDQ Vessel Registration System and the CDQ and PSQ Transfer Request are all done online and assumed to have zero additional cost burden to the respondent because the costs of using the internet to submi</w:t>
      </w:r>
      <w:r w:rsidR="003B11C2">
        <w:rPr>
          <w:rFonts w:asciiTheme="minorHAnsi" w:hAnsiTheme="minorHAnsi" w:cstheme="minorHAnsi"/>
          <w:sz w:val="18"/>
          <w:szCs w:val="18"/>
        </w:rPr>
        <w:t>t this information through eFISH</w:t>
      </w:r>
      <w:r>
        <w:rPr>
          <w:rFonts w:asciiTheme="minorHAnsi" w:hAnsiTheme="minorHAnsi" w:cstheme="minorHAnsi"/>
          <w:sz w:val="18"/>
          <w:szCs w:val="18"/>
        </w:rPr>
        <w:t xml:space="preserve"> would not </w:t>
      </w:r>
      <w:r w:rsidR="00026DB9">
        <w:rPr>
          <w:rFonts w:asciiTheme="minorHAnsi" w:hAnsiTheme="minorHAnsi" w:cstheme="minorHAnsi"/>
          <w:sz w:val="18"/>
          <w:szCs w:val="18"/>
        </w:rPr>
        <w:t xml:space="preserve">change their overall annual costs for internet services. </w:t>
      </w:r>
    </w:p>
    <w:p w14:paraId="22A9F180" w14:textId="440AF099" w:rsidR="00026DB9" w:rsidRDefault="00026DB9" w:rsidP="00B90D84">
      <w:pPr>
        <w:tabs>
          <w:tab w:val="left" w:pos="-1180"/>
          <w:tab w:val="left" w:pos="-720"/>
          <w:tab w:val="left" w:pos="0"/>
          <w:tab w:val="left" w:pos="360"/>
          <w:tab w:val="left" w:pos="720"/>
          <w:tab w:val="left" w:pos="1080"/>
        </w:tabs>
        <w:spacing w:after="240"/>
        <w:rPr>
          <w:rFonts w:asciiTheme="minorHAnsi" w:hAnsiTheme="minorHAnsi" w:cstheme="minorHAnsi"/>
          <w:sz w:val="18"/>
          <w:szCs w:val="18"/>
        </w:rPr>
      </w:pPr>
      <w:r>
        <w:rPr>
          <w:rFonts w:ascii="Calibri" w:hAnsi="Calibri" w:cs="Calibri"/>
          <w:color w:val="000000"/>
          <w:sz w:val="20"/>
          <w:szCs w:val="20"/>
          <w:u w:val="single"/>
          <w:vertAlign w:val="superscript"/>
        </w:rPr>
        <w:t>2</w:t>
      </w:r>
      <w:r>
        <w:rPr>
          <w:rFonts w:ascii="Calibri" w:hAnsi="Calibri" w:cs="Calibri"/>
          <w:color w:val="000000"/>
          <w:sz w:val="20"/>
          <w:szCs w:val="20"/>
          <w:vertAlign w:val="superscript"/>
        </w:rPr>
        <w:t xml:space="preserve">/ </w:t>
      </w:r>
      <w:r>
        <w:rPr>
          <w:rFonts w:asciiTheme="minorHAnsi" w:hAnsiTheme="minorHAnsi" w:cstheme="minorHAnsi"/>
          <w:sz w:val="18"/>
          <w:szCs w:val="18"/>
        </w:rPr>
        <w:t>This application may be submitted by mail or fax. Th</w:t>
      </w:r>
      <w:r w:rsidR="00935BD5">
        <w:rPr>
          <w:rFonts w:asciiTheme="minorHAnsi" w:hAnsiTheme="minorHAnsi" w:cstheme="minorHAnsi"/>
          <w:sz w:val="18"/>
          <w:szCs w:val="18"/>
        </w:rPr>
        <w:t xml:space="preserve">is cost estimate is for mailing. </w:t>
      </w:r>
    </w:p>
    <w:p w14:paraId="72BCF6C8" w14:textId="2FB0179D" w:rsidR="007A2F02" w:rsidRPr="007A2F02" w:rsidRDefault="007A2F02" w:rsidP="00B90D84">
      <w:pPr>
        <w:tabs>
          <w:tab w:val="left" w:pos="-1180"/>
          <w:tab w:val="left" w:pos="-720"/>
          <w:tab w:val="left" w:pos="0"/>
          <w:tab w:val="left" w:pos="360"/>
          <w:tab w:val="left" w:pos="720"/>
          <w:tab w:val="left" w:pos="1080"/>
        </w:tabs>
        <w:spacing w:after="240"/>
        <w:rPr>
          <w:rFonts w:asciiTheme="minorHAnsi" w:hAnsiTheme="minorHAnsi" w:cstheme="minorHAnsi"/>
          <w:sz w:val="18"/>
          <w:szCs w:val="18"/>
        </w:rPr>
      </w:pPr>
      <w:r>
        <w:rPr>
          <w:rFonts w:ascii="Calibri" w:hAnsi="Calibri" w:cs="Calibri"/>
          <w:color w:val="000000"/>
          <w:sz w:val="20"/>
          <w:szCs w:val="20"/>
          <w:u w:val="single"/>
          <w:vertAlign w:val="superscript"/>
        </w:rPr>
        <w:t>3</w:t>
      </w:r>
      <w:r w:rsidRPr="004B0468">
        <w:rPr>
          <w:rFonts w:ascii="Calibri" w:hAnsi="Calibri" w:cs="Calibri"/>
          <w:color w:val="000000"/>
          <w:sz w:val="20"/>
          <w:szCs w:val="20"/>
          <w:vertAlign w:val="superscript"/>
        </w:rPr>
        <w:t>/</w:t>
      </w:r>
      <w:r>
        <w:rPr>
          <w:rFonts w:ascii="Calibri" w:hAnsi="Calibri" w:cs="Calibri"/>
          <w:color w:val="000000"/>
          <w:sz w:val="20"/>
          <w:szCs w:val="20"/>
          <w:vertAlign w:val="superscript"/>
        </w:rPr>
        <w:t xml:space="preserve"> </w:t>
      </w:r>
      <w:r>
        <w:rPr>
          <w:rFonts w:ascii="Calibri" w:hAnsi="Calibri" w:cs="Calibri"/>
          <w:color w:val="000000"/>
          <w:sz w:val="18"/>
          <w:szCs w:val="18"/>
        </w:rPr>
        <w:t>In addition to the 4 hours that are estimated for a CDQ group representative to prepare and submit information necessary for an appeal, the CDQ also would be likely to hire an attorney to prepare the actual appeal documents. NMFS estimates that preparation of the appeal would take 4 hours of an attorney time.</w:t>
      </w:r>
      <w:r w:rsidR="002F216E">
        <w:rPr>
          <w:rFonts w:ascii="Calibri" w:hAnsi="Calibri" w:cs="Calibri"/>
          <w:color w:val="000000"/>
          <w:sz w:val="18"/>
          <w:szCs w:val="18"/>
        </w:rPr>
        <w:t xml:space="preserve"> </w:t>
      </w:r>
      <w:r w:rsidR="002F216E">
        <w:rPr>
          <w:rFonts w:asciiTheme="minorHAnsi" w:hAnsiTheme="minorHAnsi" w:cstheme="minorHAnsi"/>
          <w:sz w:val="18"/>
          <w:szCs w:val="18"/>
        </w:rPr>
        <w:t>The m</w:t>
      </w:r>
      <w:r w:rsidR="002F216E" w:rsidRPr="001C52F0">
        <w:rPr>
          <w:rFonts w:asciiTheme="minorHAnsi" w:hAnsiTheme="minorHAnsi" w:cstheme="minorHAnsi"/>
          <w:sz w:val="18"/>
          <w:szCs w:val="18"/>
        </w:rPr>
        <w:t xml:space="preserve">ean hourly wage for </w:t>
      </w:r>
      <w:r w:rsidR="002F216E">
        <w:rPr>
          <w:rFonts w:asciiTheme="minorHAnsi" w:hAnsiTheme="minorHAnsi" w:cstheme="minorHAnsi"/>
          <w:sz w:val="18"/>
          <w:szCs w:val="18"/>
        </w:rPr>
        <w:t xml:space="preserve">the attorney is based on U.S. Bureau of Labor Statistics wage estimates for </w:t>
      </w:r>
      <w:r w:rsidR="002F216E" w:rsidRPr="001C52F0">
        <w:rPr>
          <w:rFonts w:asciiTheme="minorHAnsi" w:hAnsiTheme="minorHAnsi" w:cstheme="minorHAnsi"/>
          <w:sz w:val="18"/>
          <w:szCs w:val="18"/>
        </w:rPr>
        <w:t xml:space="preserve">Occupation Code </w:t>
      </w:r>
      <w:r w:rsidR="002F216E">
        <w:rPr>
          <w:rFonts w:asciiTheme="minorHAnsi" w:hAnsiTheme="minorHAnsi" w:cstheme="minorHAnsi"/>
          <w:sz w:val="18"/>
          <w:szCs w:val="18"/>
        </w:rPr>
        <w:t xml:space="preserve">23-1011 (Lawyers; $58.50/hr). </w:t>
      </w:r>
      <w:hyperlink r:id="rId17" w:anchor="11-0000" w:history="1">
        <w:r w:rsidR="002F216E" w:rsidRPr="008517EB">
          <w:rPr>
            <w:rStyle w:val="Hyperlink"/>
            <w:rFonts w:asciiTheme="minorHAnsi" w:hAnsiTheme="minorHAnsi" w:cstheme="minorHAnsi"/>
            <w:sz w:val="18"/>
            <w:szCs w:val="18"/>
          </w:rPr>
          <w:t>May 2018 Occupational Employment Statistics Research Estimates, Alaska</w:t>
        </w:r>
      </w:hyperlink>
      <w:r w:rsidR="002F216E">
        <w:rPr>
          <w:rFonts w:asciiTheme="minorHAnsi" w:hAnsiTheme="minorHAnsi" w:cstheme="minorHAnsi"/>
          <w:sz w:val="18"/>
          <w:szCs w:val="18"/>
        </w:rPr>
        <w:t xml:space="preserve">. </w:t>
      </w:r>
      <w:r w:rsidR="0042247C">
        <w:rPr>
          <w:rFonts w:ascii="Calibri" w:hAnsi="Calibri" w:cs="Calibri"/>
          <w:color w:val="000000"/>
          <w:sz w:val="18"/>
          <w:szCs w:val="18"/>
        </w:rPr>
        <w:t xml:space="preserve">  </w:t>
      </w:r>
    </w:p>
    <w:p w14:paraId="197CF257" w14:textId="4F19CBC1" w:rsidR="006256BB" w:rsidRDefault="00B90D84" w:rsidP="00B90D84">
      <w:pPr>
        <w:tabs>
          <w:tab w:val="left" w:pos="-1180"/>
          <w:tab w:val="left" w:pos="-720"/>
          <w:tab w:val="left" w:pos="0"/>
          <w:tab w:val="left" w:pos="360"/>
          <w:tab w:val="left" w:pos="720"/>
          <w:tab w:val="left" w:pos="1080"/>
        </w:tabs>
        <w:spacing w:after="240"/>
        <w:rPr>
          <w:rFonts w:asciiTheme="minorHAnsi" w:hAnsiTheme="minorHAnsi" w:cstheme="minorHAnsi"/>
          <w:sz w:val="18"/>
          <w:szCs w:val="18"/>
        </w:rPr>
      </w:pPr>
      <w:r>
        <w:rPr>
          <w:rFonts w:asciiTheme="minorHAnsi" w:hAnsiTheme="minorHAnsi" w:cstheme="minorHAnsi"/>
          <w:sz w:val="18"/>
          <w:szCs w:val="18"/>
        </w:rPr>
        <w:t xml:space="preserve"> </w:t>
      </w:r>
    </w:p>
    <w:p w14:paraId="499BFB9C" w14:textId="70A03A17" w:rsidR="00026DB9" w:rsidRDefault="00026DB9" w:rsidP="00B90D84">
      <w:pPr>
        <w:tabs>
          <w:tab w:val="left" w:pos="-1180"/>
          <w:tab w:val="left" w:pos="-720"/>
          <w:tab w:val="left" w:pos="0"/>
          <w:tab w:val="left" w:pos="360"/>
          <w:tab w:val="left" w:pos="720"/>
          <w:tab w:val="left" w:pos="1080"/>
        </w:tabs>
        <w:spacing w:after="240"/>
        <w:rPr>
          <w:rFonts w:asciiTheme="minorHAnsi" w:hAnsiTheme="minorHAnsi" w:cstheme="minorHAnsi"/>
          <w:sz w:val="18"/>
          <w:szCs w:val="18"/>
        </w:rPr>
      </w:pPr>
    </w:p>
    <w:p w14:paraId="4DE16E27" w14:textId="77777777" w:rsidR="00026DB9" w:rsidRPr="00B90D84" w:rsidRDefault="00026DB9" w:rsidP="00B90D84">
      <w:pPr>
        <w:tabs>
          <w:tab w:val="left" w:pos="-1180"/>
          <w:tab w:val="left" w:pos="-720"/>
          <w:tab w:val="left" w:pos="0"/>
          <w:tab w:val="left" w:pos="360"/>
          <w:tab w:val="left" w:pos="720"/>
          <w:tab w:val="left" w:pos="1080"/>
        </w:tabs>
        <w:spacing w:after="240"/>
        <w:rPr>
          <w:rFonts w:asciiTheme="minorHAnsi" w:hAnsiTheme="minorHAnsi" w:cstheme="minorHAnsi"/>
          <w:sz w:val="18"/>
          <w:szCs w:val="18"/>
        </w:rPr>
        <w:sectPr w:rsidR="00026DB9" w:rsidRPr="00B90D84" w:rsidSect="0078604F">
          <w:pgSz w:w="15840" w:h="12240" w:orient="landscape"/>
          <w:pgMar w:top="1440" w:right="1440" w:bottom="1440" w:left="1440" w:header="1440" w:footer="1440" w:gutter="0"/>
          <w:cols w:space="720"/>
          <w:noEndnote/>
          <w:docGrid w:linePitch="326"/>
        </w:sectPr>
      </w:pPr>
    </w:p>
    <w:p w14:paraId="1AC37F5E" w14:textId="4B363316" w:rsidR="00B01177" w:rsidRDefault="00B01177" w:rsidP="002E0DF4">
      <w:pPr>
        <w:keepNext/>
        <w:tabs>
          <w:tab w:val="left" w:pos="-1180"/>
          <w:tab w:val="left" w:pos="-720"/>
          <w:tab w:val="left" w:pos="0"/>
          <w:tab w:val="left" w:pos="360"/>
          <w:tab w:val="left" w:pos="720"/>
          <w:tab w:val="left" w:pos="1080"/>
        </w:tabs>
        <w:spacing w:after="240"/>
      </w:pPr>
      <w:r>
        <w:rPr>
          <w:b/>
          <w:bCs/>
        </w:rPr>
        <w:t>14.</w:t>
      </w:r>
      <w:r w:rsidR="00775879">
        <w:rPr>
          <w:b/>
          <w:bCs/>
        </w:rPr>
        <w:tab/>
      </w:r>
      <w:r>
        <w:rPr>
          <w:b/>
          <w:bCs/>
          <w:u w:val="single"/>
        </w:rPr>
        <w:t>Provide estimates of annualized cost to the Federal government</w:t>
      </w:r>
      <w:r>
        <w:rPr>
          <w:b/>
          <w:bCs/>
        </w:rPr>
        <w:t>.</w:t>
      </w:r>
    </w:p>
    <w:p w14:paraId="48492BBC" w14:textId="128B8634" w:rsidR="00270574" w:rsidRDefault="00270574" w:rsidP="00270574">
      <w:pPr>
        <w:widowControl/>
        <w:autoSpaceDE/>
        <w:autoSpaceDN/>
        <w:adjustRightInd/>
        <w:rPr>
          <w:color w:val="000000"/>
        </w:rPr>
      </w:pPr>
      <w:r>
        <w:rPr>
          <w:color w:val="000000"/>
        </w:rPr>
        <w:t xml:space="preserve">The following provides additional explanation for the estimated 15 hours of time per year by a Fishery Management Specialist in the NMFS Alaska Region, Sustainable Fisheries Division to support the components of this information collection. </w:t>
      </w:r>
      <w:r>
        <w:t>A table summarizing estimated costs to the Federal government are on the following page.</w:t>
      </w:r>
    </w:p>
    <w:p w14:paraId="534C2CF2" w14:textId="77777777" w:rsidR="00270574" w:rsidRDefault="00270574" w:rsidP="00270574">
      <w:pPr>
        <w:widowControl/>
        <w:autoSpaceDE/>
        <w:autoSpaceDN/>
        <w:adjustRightInd/>
        <w:rPr>
          <w:color w:val="000000"/>
        </w:rPr>
      </w:pPr>
    </w:p>
    <w:p w14:paraId="09168964" w14:textId="5BCC9A66" w:rsidR="00270574" w:rsidRDefault="00270574" w:rsidP="00270574">
      <w:pPr>
        <w:widowControl/>
        <w:autoSpaceDE/>
        <w:autoSpaceDN/>
        <w:adjustRightInd/>
        <w:rPr>
          <w:color w:val="000000"/>
        </w:rPr>
      </w:pPr>
      <w:r>
        <w:rPr>
          <w:color w:val="000000"/>
        </w:rPr>
        <w:t>NMFS incurred considerable costs to develop the CDQ Vessel Registration System, however, those development costs were incurred prior to or during 2016. The CDQ Vessel Registration System is now an established component of eFISH. NMFS does not incur recurring costs associated with the CDQ Vessel Registration System because the CDQ groups have not yet used this system and, based on experience of the last few years, are unlikely to do so in the future. However, f</w:t>
      </w:r>
      <w:r w:rsidRPr="008E43C3">
        <w:rPr>
          <w:color w:val="000000"/>
        </w:rPr>
        <w:t xml:space="preserve">or purposes of this information collection, NMFS is assuming it is possible that it may receive one </w:t>
      </w:r>
      <w:r>
        <w:rPr>
          <w:color w:val="000000"/>
        </w:rPr>
        <w:t xml:space="preserve">registration </w:t>
      </w:r>
      <w:r w:rsidRPr="008E43C3">
        <w:rPr>
          <w:color w:val="000000"/>
        </w:rPr>
        <w:t>from one respondent in each of the next three years.</w:t>
      </w:r>
      <w:r>
        <w:rPr>
          <w:color w:val="000000"/>
        </w:rPr>
        <w:t xml:space="preserve"> NMFS assumes that it could take one staff person approximately </w:t>
      </w:r>
      <w:r>
        <w:rPr>
          <w:b/>
          <w:color w:val="000000"/>
        </w:rPr>
        <w:t>1</w:t>
      </w:r>
      <w:r w:rsidRPr="008E43C3">
        <w:rPr>
          <w:b/>
          <w:color w:val="000000"/>
        </w:rPr>
        <w:t xml:space="preserve"> hour</w:t>
      </w:r>
      <w:r>
        <w:rPr>
          <w:color w:val="000000"/>
        </w:rPr>
        <w:t xml:space="preserve"> to explain the CDQ Vessel Registration System and confirm that the registration is displayed properly on NMFS’s website.  </w:t>
      </w:r>
      <w:r w:rsidRPr="008E43C3">
        <w:rPr>
          <w:color w:val="000000"/>
        </w:rPr>
        <w:t xml:space="preserve">  </w:t>
      </w:r>
    </w:p>
    <w:p w14:paraId="5FE16CE6" w14:textId="77777777" w:rsidR="00270574" w:rsidRDefault="00270574" w:rsidP="00A22969">
      <w:pPr>
        <w:keepNext/>
        <w:tabs>
          <w:tab w:val="left" w:pos="-1180"/>
          <w:tab w:val="left" w:pos="-720"/>
          <w:tab w:val="left" w:pos="0"/>
          <w:tab w:val="left" w:pos="360"/>
          <w:tab w:val="left" w:pos="720"/>
          <w:tab w:val="left" w:pos="1080"/>
        </w:tabs>
      </w:pPr>
    </w:p>
    <w:p w14:paraId="7CC6CE3A" w14:textId="6D39DD08" w:rsidR="00A22969" w:rsidRDefault="002425AB" w:rsidP="00A22969">
      <w:pPr>
        <w:keepNext/>
        <w:tabs>
          <w:tab w:val="left" w:pos="-1180"/>
          <w:tab w:val="left" w:pos="-720"/>
          <w:tab w:val="left" w:pos="0"/>
          <w:tab w:val="left" w:pos="360"/>
          <w:tab w:val="left" w:pos="720"/>
          <w:tab w:val="left" w:pos="1080"/>
        </w:tabs>
      </w:pPr>
      <w:r>
        <w:t xml:space="preserve">NMFS incurs </w:t>
      </w:r>
      <w:r w:rsidR="00A22969">
        <w:t xml:space="preserve">costs </w:t>
      </w:r>
      <w:r>
        <w:t xml:space="preserve">for </w:t>
      </w:r>
      <w:r w:rsidR="00A22969">
        <w:t>answering questions about and</w:t>
      </w:r>
      <w:r w:rsidR="003D6459">
        <w:t xml:space="preserve"> addressing minor issues with the online transfer application and process for t</w:t>
      </w:r>
      <w:r w:rsidR="00A22969">
        <w:t xml:space="preserve">he </w:t>
      </w:r>
      <w:r w:rsidR="00A22969" w:rsidRPr="006256BB">
        <w:t>Groundfish/Halibut CDQ and Prohibited Species Quota (PSQ) Transfer Request</w:t>
      </w:r>
      <w:r w:rsidR="00A22969">
        <w:t>.</w:t>
      </w:r>
      <w:r w:rsidR="00461DAD">
        <w:t xml:space="preserve"> NMFS estimates that this takes one staff person approximately</w:t>
      </w:r>
      <w:r w:rsidR="003D6459">
        <w:t xml:space="preserve"> </w:t>
      </w:r>
      <w:r w:rsidR="003D6459" w:rsidRPr="008E43C3">
        <w:rPr>
          <w:b/>
        </w:rPr>
        <w:t>10 hours</w:t>
      </w:r>
      <w:r w:rsidR="003D6459">
        <w:t xml:space="preserve"> per year. </w:t>
      </w:r>
      <w:r w:rsidR="00824766">
        <w:t xml:space="preserve"> </w:t>
      </w:r>
      <w:r w:rsidR="00461DAD">
        <w:t xml:space="preserve"> </w:t>
      </w:r>
      <w:r w:rsidR="00A22969">
        <w:t xml:space="preserve">   </w:t>
      </w:r>
    </w:p>
    <w:p w14:paraId="62D06D49" w14:textId="5C642966" w:rsidR="008E43C3" w:rsidRDefault="008E43C3" w:rsidP="00A22969">
      <w:pPr>
        <w:keepNext/>
        <w:tabs>
          <w:tab w:val="left" w:pos="-1180"/>
          <w:tab w:val="left" w:pos="-720"/>
          <w:tab w:val="left" w:pos="0"/>
          <w:tab w:val="left" w:pos="360"/>
          <w:tab w:val="left" w:pos="720"/>
          <w:tab w:val="left" w:pos="1080"/>
        </w:tabs>
      </w:pPr>
    </w:p>
    <w:p w14:paraId="31159E95" w14:textId="786DB767" w:rsidR="008E43C3" w:rsidRDefault="008E43C3" w:rsidP="008E43C3">
      <w:pPr>
        <w:widowControl/>
        <w:autoSpaceDE/>
        <w:autoSpaceDN/>
        <w:adjustRightInd/>
        <w:rPr>
          <w:color w:val="000000"/>
        </w:rPr>
      </w:pPr>
      <w:r>
        <w:rPr>
          <w:color w:val="000000"/>
        </w:rPr>
        <w:t xml:space="preserve">NMFS also does not expect to incur future costs for the </w:t>
      </w:r>
      <w:r w:rsidRPr="009E491F">
        <w:t>Application for Approval of Use of Non-CDQ Harvest Regulations</w:t>
      </w:r>
      <w:r>
        <w:t xml:space="preserve"> or related appeals. The one voluntary cooperative that exists in the BSAI groundfish fisheries submitted its application in 2012 and has not submitted any amendments or withdrawn its application since then. However, </w:t>
      </w:r>
      <w:r>
        <w:rPr>
          <w:color w:val="000000"/>
        </w:rPr>
        <w:t>f</w:t>
      </w:r>
      <w:r w:rsidRPr="008E43C3">
        <w:rPr>
          <w:color w:val="000000"/>
        </w:rPr>
        <w:t>or purposes of this information collection, NMFS is assuming it is possible that it may receive one application from one respondent in each of the next three years.</w:t>
      </w:r>
      <w:r>
        <w:rPr>
          <w:color w:val="000000"/>
        </w:rPr>
        <w:t xml:space="preserve"> Answering questions, reviewing, and preparing a NMFS letter of approval for the application is estimated to take one staff person approximately </w:t>
      </w:r>
      <w:r w:rsidR="006A4735">
        <w:rPr>
          <w:b/>
          <w:color w:val="000000"/>
        </w:rPr>
        <w:t>4</w:t>
      </w:r>
      <w:r w:rsidRPr="008E43C3">
        <w:rPr>
          <w:b/>
          <w:color w:val="000000"/>
        </w:rPr>
        <w:t xml:space="preserve"> hours.</w:t>
      </w:r>
      <w:r>
        <w:rPr>
          <w:color w:val="000000"/>
        </w:rPr>
        <w:t xml:space="preserve"> </w:t>
      </w:r>
    </w:p>
    <w:p w14:paraId="2421E4A1" w14:textId="685E2AE4" w:rsidR="00270574" w:rsidRDefault="00270574" w:rsidP="008E43C3">
      <w:pPr>
        <w:widowControl/>
        <w:autoSpaceDE/>
        <w:autoSpaceDN/>
        <w:adjustRightInd/>
        <w:rPr>
          <w:color w:val="000000"/>
        </w:rPr>
      </w:pPr>
    </w:p>
    <w:p w14:paraId="1027ECC1" w14:textId="77BE59CE" w:rsidR="006A4735" w:rsidRDefault="006A4735" w:rsidP="008E43C3">
      <w:pPr>
        <w:widowControl/>
        <w:autoSpaceDE/>
        <w:autoSpaceDN/>
        <w:adjustRightInd/>
      </w:pPr>
    </w:p>
    <w:p w14:paraId="69842FD6" w14:textId="1A61F223" w:rsidR="006A4735" w:rsidRDefault="006A4735">
      <w:pPr>
        <w:widowControl/>
        <w:autoSpaceDE/>
        <w:autoSpaceDN/>
        <w:adjustRightInd/>
      </w:pPr>
      <w:r>
        <w:br w:type="page"/>
      </w:r>
    </w:p>
    <w:tbl>
      <w:tblPr>
        <w:tblW w:w="9555" w:type="dxa"/>
        <w:tblCellMar>
          <w:left w:w="0" w:type="dxa"/>
          <w:right w:w="0" w:type="dxa"/>
        </w:tblCellMar>
        <w:tblLook w:val="04A0" w:firstRow="1" w:lastRow="0" w:firstColumn="1" w:lastColumn="0" w:noHBand="0" w:noVBand="1"/>
      </w:tblPr>
      <w:tblGrid>
        <w:gridCol w:w="2085"/>
        <w:gridCol w:w="1440"/>
        <w:gridCol w:w="1530"/>
        <w:gridCol w:w="1415"/>
        <w:gridCol w:w="1555"/>
        <w:gridCol w:w="1530"/>
      </w:tblGrid>
      <w:tr w:rsidR="003D6459" w:rsidRPr="006E2A86" w14:paraId="43A92F37" w14:textId="77777777" w:rsidTr="006E2A86">
        <w:trPr>
          <w:trHeight w:val="415"/>
        </w:trPr>
        <w:tc>
          <w:tcPr>
            <w:tcW w:w="2085" w:type="dxa"/>
            <w:tcBorders>
              <w:top w:val="single" w:sz="8" w:space="0" w:color="auto"/>
              <w:left w:val="single" w:sz="8" w:space="0" w:color="auto"/>
              <w:bottom w:val="nil"/>
              <w:right w:val="single" w:sz="8" w:space="0" w:color="auto"/>
            </w:tcBorders>
            <w:shd w:val="clear" w:color="auto" w:fill="BDD7EE"/>
            <w:tcMar>
              <w:top w:w="15" w:type="dxa"/>
              <w:left w:w="15" w:type="dxa"/>
              <w:bottom w:w="0" w:type="dxa"/>
              <w:right w:w="15" w:type="dxa"/>
            </w:tcMar>
            <w:vAlign w:val="center"/>
            <w:hideMark/>
          </w:tcPr>
          <w:p w14:paraId="17D71998" w14:textId="77777777" w:rsidR="003D6459" w:rsidRPr="006E2A86" w:rsidRDefault="003D6459" w:rsidP="00A27D61">
            <w:pPr>
              <w:widowControl/>
              <w:autoSpaceDE/>
              <w:autoSpaceDN/>
              <w:adjustRightInd/>
              <w:jc w:val="center"/>
              <w:rPr>
                <w:rFonts w:asciiTheme="minorHAnsi" w:hAnsiTheme="minorHAnsi" w:cstheme="minorHAnsi"/>
                <w:b/>
                <w:bCs/>
                <w:color w:val="000000"/>
                <w:sz w:val="18"/>
                <w:szCs w:val="18"/>
              </w:rPr>
            </w:pPr>
            <w:r w:rsidRPr="006E2A86">
              <w:rPr>
                <w:rFonts w:asciiTheme="minorHAnsi" w:hAnsiTheme="minorHAnsi" w:cstheme="minorHAnsi"/>
                <w:b/>
                <w:bCs/>
                <w:color w:val="000000"/>
                <w:sz w:val="18"/>
                <w:szCs w:val="18"/>
              </w:rPr>
              <w:t>Cost Descriptions</w:t>
            </w:r>
          </w:p>
        </w:tc>
        <w:tc>
          <w:tcPr>
            <w:tcW w:w="1440" w:type="dxa"/>
            <w:tcBorders>
              <w:top w:val="single" w:sz="8" w:space="0" w:color="auto"/>
              <w:left w:val="nil"/>
              <w:bottom w:val="nil"/>
              <w:right w:val="single" w:sz="8" w:space="0" w:color="auto"/>
            </w:tcBorders>
            <w:shd w:val="clear" w:color="auto" w:fill="BDD7EE"/>
            <w:tcMar>
              <w:top w:w="15" w:type="dxa"/>
              <w:left w:w="15" w:type="dxa"/>
              <w:bottom w:w="0" w:type="dxa"/>
              <w:right w:w="15" w:type="dxa"/>
            </w:tcMar>
            <w:vAlign w:val="center"/>
            <w:hideMark/>
          </w:tcPr>
          <w:p w14:paraId="31FD88F4" w14:textId="77777777" w:rsidR="003D6459" w:rsidRPr="006E2A86" w:rsidRDefault="003D6459" w:rsidP="00A27D61">
            <w:pPr>
              <w:widowControl/>
              <w:autoSpaceDE/>
              <w:autoSpaceDN/>
              <w:adjustRightInd/>
              <w:jc w:val="center"/>
              <w:rPr>
                <w:rFonts w:asciiTheme="minorHAnsi" w:hAnsiTheme="minorHAnsi" w:cstheme="minorHAnsi"/>
                <w:b/>
                <w:bCs/>
                <w:color w:val="000000"/>
                <w:sz w:val="18"/>
                <w:szCs w:val="18"/>
              </w:rPr>
            </w:pPr>
            <w:r w:rsidRPr="006E2A86">
              <w:rPr>
                <w:rFonts w:asciiTheme="minorHAnsi" w:hAnsiTheme="minorHAnsi" w:cstheme="minorHAnsi"/>
                <w:b/>
                <w:bCs/>
                <w:color w:val="000000"/>
                <w:sz w:val="18"/>
                <w:szCs w:val="18"/>
              </w:rPr>
              <w:t>Grade/Step</w:t>
            </w:r>
          </w:p>
        </w:tc>
        <w:tc>
          <w:tcPr>
            <w:tcW w:w="1530" w:type="dxa"/>
            <w:tcBorders>
              <w:top w:val="single" w:sz="8" w:space="0" w:color="auto"/>
              <w:left w:val="nil"/>
              <w:bottom w:val="nil"/>
              <w:right w:val="single" w:sz="8" w:space="0" w:color="auto"/>
            </w:tcBorders>
            <w:shd w:val="clear" w:color="auto" w:fill="BDD7EE"/>
            <w:tcMar>
              <w:top w:w="15" w:type="dxa"/>
              <w:left w:w="15" w:type="dxa"/>
              <w:bottom w:w="0" w:type="dxa"/>
              <w:right w:w="15" w:type="dxa"/>
            </w:tcMar>
            <w:vAlign w:val="center"/>
            <w:hideMark/>
          </w:tcPr>
          <w:p w14:paraId="667BBCF9" w14:textId="77777777" w:rsidR="003D6459" w:rsidRPr="006E2A86" w:rsidRDefault="003D6459" w:rsidP="00A27D61">
            <w:pPr>
              <w:widowControl/>
              <w:autoSpaceDE/>
              <w:autoSpaceDN/>
              <w:adjustRightInd/>
              <w:jc w:val="center"/>
              <w:rPr>
                <w:rFonts w:asciiTheme="minorHAnsi" w:hAnsiTheme="minorHAnsi" w:cstheme="minorHAnsi"/>
                <w:b/>
                <w:bCs/>
                <w:color w:val="000000"/>
                <w:sz w:val="18"/>
                <w:szCs w:val="18"/>
              </w:rPr>
            </w:pPr>
            <w:r w:rsidRPr="006E2A86">
              <w:rPr>
                <w:rFonts w:asciiTheme="minorHAnsi" w:hAnsiTheme="minorHAnsi" w:cstheme="minorHAnsi"/>
                <w:b/>
                <w:bCs/>
                <w:color w:val="000000"/>
                <w:sz w:val="18"/>
                <w:szCs w:val="18"/>
              </w:rPr>
              <w:t>Loaded Salary /Cost</w:t>
            </w:r>
          </w:p>
        </w:tc>
        <w:tc>
          <w:tcPr>
            <w:tcW w:w="1415" w:type="dxa"/>
            <w:tcBorders>
              <w:top w:val="single" w:sz="8" w:space="0" w:color="auto"/>
              <w:left w:val="nil"/>
              <w:bottom w:val="nil"/>
              <w:right w:val="single" w:sz="8" w:space="0" w:color="auto"/>
            </w:tcBorders>
            <w:shd w:val="clear" w:color="auto" w:fill="BDD7EE"/>
            <w:tcMar>
              <w:top w:w="15" w:type="dxa"/>
              <w:left w:w="15" w:type="dxa"/>
              <w:bottom w:w="0" w:type="dxa"/>
              <w:right w:w="15" w:type="dxa"/>
            </w:tcMar>
            <w:vAlign w:val="center"/>
            <w:hideMark/>
          </w:tcPr>
          <w:p w14:paraId="340D8F79" w14:textId="603C5A22" w:rsidR="003D6459" w:rsidRPr="006E2A86" w:rsidRDefault="000B722B" w:rsidP="00A27D61">
            <w:pPr>
              <w:widowControl/>
              <w:autoSpaceDE/>
              <w:autoSpaceDN/>
              <w:adjustRightInd/>
              <w:jc w:val="center"/>
              <w:rPr>
                <w:rFonts w:asciiTheme="minorHAnsi" w:hAnsiTheme="minorHAnsi" w:cstheme="minorHAnsi"/>
                <w:b/>
                <w:bCs/>
                <w:color w:val="000000"/>
                <w:sz w:val="18"/>
                <w:szCs w:val="18"/>
              </w:rPr>
            </w:pPr>
            <w:r w:rsidRPr="006E2A86">
              <w:rPr>
                <w:rFonts w:asciiTheme="minorHAnsi" w:hAnsiTheme="minorHAnsi" w:cstheme="minorHAnsi"/>
                <w:b/>
                <w:bCs/>
                <w:color w:val="000000"/>
                <w:sz w:val="18"/>
                <w:szCs w:val="18"/>
              </w:rPr>
              <w:t>% of Effort</w:t>
            </w:r>
          </w:p>
        </w:tc>
        <w:tc>
          <w:tcPr>
            <w:tcW w:w="1555" w:type="dxa"/>
            <w:tcBorders>
              <w:top w:val="single" w:sz="8" w:space="0" w:color="auto"/>
              <w:left w:val="nil"/>
              <w:bottom w:val="nil"/>
              <w:right w:val="single" w:sz="8" w:space="0" w:color="auto"/>
            </w:tcBorders>
            <w:shd w:val="clear" w:color="auto" w:fill="BDD7EE"/>
            <w:tcMar>
              <w:top w:w="15" w:type="dxa"/>
              <w:left w:w="15" w:type="dxa"/>
              <w:bottom w:w="0" w:type="dxa"/>
              <w:right w:w="15" w:type="dxa"/>
            </w:tcMar>
            <w:vAlign w:val="center"/>
            <w:hideMark/>
          </w:tcPr>
          <w:p w14:paraId="0745E7D5" w14:textId="77777777" w:rsidR="003D6459" w:rsidRPr="006E2A86" w:rsidRDefault="003D6459" w:rsidP="00A27D61">
            <w:pPr>
              <w:widowControl/>
              <w:autoSpaceDE/>
              <w:autoSpaceDN/>
              <w:adjustRightInd/>
              <w:jc w:val="center"/>
              <w:rPr>
                <w:rFonts w:asciiTheme="minorHAnsi" w:hAnsiTheme="minorHAnsi" w:cstheme="minorHAnsi"/>
                <w:b/>
                <w:bCs/>
                <w:color w:val="000000"/>
                <w:sz w:val="18"/>
                <w:szCs w:val="18"/>
              </w:rPr>
            </w:pPr>
            <w:r w:rsidRPr="006E2A86">
              <w:rPr>
                <w:rFonts w:asciiTheme="minorHAnsi" w:hAnsiTheme="minorHAnsi" w:cstheme="minorHAnsi"/>
                <w:b/>
                <w:bCs/>
                <w:color w:val="000000"/>
                <w:sz w:val="18"/>
                <w:szCs w:val="18"/>
              </w:rPr>
              <w:t>Fringe (if Applicable)</w:t>
            </w:r>
          </w:p>
        </w:tc>
        <w:tc>
          <w:tcPr>
            <w:tcW w:w="1530" w:type="dxa"/>
            <w:tcBorders>
              <w:top w:val="single" w:sz="8" w:space="0" w:color="auto"/>
              <w:left w:val="nil"/>
              <w:bottom w:val="nil"/>
              <w:right w:val="single" w:sz="8" w:space="0" w:color="auto"/>
            </w:tcBorders>
            <w:shd w:val="clear" w:color="auto" w:fill="BDD7EE"/>
            <w:tcMar>
              <w:top w:w="15" w:type="dxa"/>
              <w:left w:w="15" w:type="dxa"/>
              <w:bottom w:w="0" w:type="dxa"/>
              <w:right w:w="15" w:type="dxa"/>
            </w:tcMar>
            <w:vAlign w:val="center"/>
            <w:hideMark/>
          </w:tcPr>
          <w:p w14:paraId="1FDB85D0" w14:textId="77777777" w:rsidR="003D6459" w:rsidRPr="006E2A86" w:rsidRDefault="003D6459" w:rsidP="00A27D61">
            <w:pPr>
              <w:widowControl/>
              <w:autoSpaceDE/>
              <w:autoSpaceDN/>
              <w:adjustRightInd/>
              <w:jc w:val="center"/>
              <w:rPr>
                <w:rFonts w:asciiTheme="minorHAnsi" w:hAnsiTheme="minorHAnsi" w:cstheme="minorHAnsi"/>
                <w:b/>
                <w:bCs/>
                <w:color w:val="000000"/>
                <w:sz w:val="18"/>
                <w:szCs w:val="18"/>
              </w:rPr>
            </w:pPr>
            <w:r w:rsidRPr="006E2A86">
              <w:rPr>
                <w:rFonts w:asciiTheme="minorHAnsi" w:hAnsiTheme="minorHAnsi" w:cstheme="minorHAnsi"/>
                <w:b/>
                <w:bCs/>
                <w:color w:val="000000"/>
                <w:sz w:val="18"/>
                <w:szCs w:val="18"/>
              </w:rPr>
              <w:t>Total Cost to Government</w:t>
            </w:r>
          </w:p>
        </w:tc>
      </w:tr>
      <w:tr w:rsidR="003D6459" w:rsidRPr="006E2A86" w14:paraId="01F7C613" w14:textId="77777777" w:rsidTr="006E2A86">
        <w:trPr>
          <w:trHeight w:val="308"/>
        </w:trPr>
        <w:tc>
          <w:tcPr>
            <w:tcW w:w="2085" w:type="dxa"/>
            <w:tcBorders>
              <w:top w:val="single" w:sz="4" w:space="0" w:color="auto"/>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4C8522BA" w14:textId="77777777" w:rsidR="003D6459" w:rsidRPr="006E2A86" w:rsidRDefault="003D6459" w:rsidP="00A27D61">
            <w:pPr>
              <w:widowControl/>
              <w:autoSpaceDE/>
              <w:autoSpaceDN/>
              <w:adjustRightInd/>
              <w:rPr>
                <w:rFonts w:asciiTheme="minorHAnsi" w:hAnsiTheme="minorHAnsi" w:cstheme="minorHAnsi"/>
                <w:b/>
                <w:bCs/>
                <w:color w:val="000000"/>
                <w:sz w:val="18"/>
                <w:szCs w:val="18"/>
              </w:rPr>
            </w:pPr>
            <w:r w:rsidRPr="006E2A86">
              <w:rPr>
                <w:rFonts w:asciiTheme="minorHAnsi" w:hAnsiTheme="minorHAnsi" w:cstheme="minorHAnsi"/>
                <w:b/>
                <w:bCs/>
                <w:color w:val="000000"/>
                <w:sz w:val="18"/>
                <w:szCs w:val="18"/>
              </w:rPr>
              <w:t>Federal Oversight</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A9219EE" w14:textId="77777777"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c>
          <w:tcPr>
            <w:tcW w:w="153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1F98991" w14:textId="77777777" w:rsidR="003D6459" w:rsidRPr="006E2A86" w:rsidRDefault="003D6459" w:rsidP="00A27D61">
            <w:pPr>
              <w:widowControl/>
              <w:autoSpaceDE/>
              <w:autoSpaceDN/>
              <w:adjustRightInd/>
              <w:jc w:val="center"/>
              <w:rPr>
                <w:rFonts w:asciiTheme="minorHAnsi" w:hAnsiTheme="minorHAnsi" w:cstheme="minorHAnsi"/>
                <w:color w:val="000000"/>
                <w:sz w:val="18"/>
                <w:szCs w:val="18"/>
              </w:rPr>
            </w:pPr>
          </w:p>
        </w:tc>
        <w:tc>
          <w:tcPr>
            <w:tcW w:w="14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D1F4BCE" w14:textId="77777777" w:rsidR="003D6459" w:rsidRPr="006E2A86" w:rsidRDefault="003D6459" w:rsidP="00A27D61">
            <w:pPr>
              <w:widowControl/>
              <w:autoSpaceDE/>
              <w:autoSpaceDN/>
              <w:adjustRightInd/>
              <w:jc w:val="center"/>
              <w:rPr>
                <w:rFonts w:asciiTheme="minorHAnsi" w:hAnsiTheme="minorHAnsi" w:cstheme="minorHAnsi"/>
                <w:color w:val="000000"/>
                <w:sz w:val="18"/>
                <w:szCs w:val="18"/>
              </w:rPr>
            </w:pPr>
          </w:p>
        </w:tc>
        <w:tc>
          <w:tcPr>
            <w:tcW w:w="1555" w:type="dxa"/>
            <w:tcBorders>
              <w:top w:val="single" w:sz="4" w:space="0" w:color="auto"/>
              <w:left w:val="nil"/>
              <w:bottom w:val="single" w:sz="4" w:space="0" w:color="auto"/>
              <w:right w:val="single" w:sz="4" w:space="0" w:color="auto"/>
            </w:tcBorders>
            <w:shd w:val="clear" w:color="auto" w:fill="808080"/>
            <w:noWrap/>
            <w:tcMar>
              <w:top w:w="15" w:type="dxa"/>
              <w:left w:w="15" w:type="dxa"/>
              <w:bottom w:w="0" w:type="dxa"/>
              <w:right w:w="15" w:type="dxa"/>
            </w:tcMar>
            <w:vAlign w:val="center"/>
            <w:hideMark/>
          </w:tcPr>
          <w:p w14:paraId="54ABE64A" w14:textId="77777777"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c>
          <w:tcPr>
            <w:tcW w:w="153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61AE9785" w14:textId="452B6701" w:rsidR="003D6459" w:rsidRPr="006E2A86" w:rsidRDefault="003D6459" w:rsidP="00A27D61">
            <w:pPr>
              <w:widowControl/>
              <w:autoSpaceDE/>
              <w:autoSpaceDN/>
              <w:adjustRightInd/>
              <w:jc w:val="right"/>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r>
      <w:tr w:rsidR="003D6459" w:rsidRPr="006E2A86" w14:paraId="1E03A714" w14:textId="77777777" w:rsidTr="006E2A86">
        <w:trPr>
          <w:trHeight w:val="300"/>
        </w:trPr>
        <w:tc>
          <w:tcPr>
            <w:tcW w:w="2085"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hideMark/>
          </w:tcPr>
          <w:p w14:paraId="19768AF1" w14:textId="230035C7" w:rsidR="003D6459" w:rsidRPr="006E2A86" w:rsidRDefault="002425AB"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Fishery Management Specialist</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BCF054" w14:textId="77777777"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xml:space="preserve"> GS12 step 10</w:t>
            </w:r>
          </w:p>
        </w:tc>
        <w:tc>
          <w:tcPr>
            <w:tcW w:w="153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5CC0E0" w14:textId="77777777" w:rsidR="003D6459" w:rsidRPr="006E2A86" w:rsidRDefault="003D6459" w:rsidP="00A27D61">
            <w:pPr>
              <w:widowControl/>
              <w:autoSpaceDE/>
              <w:autoSpaceDN/>
              <w:adjustRightInd/>
              <w:jc w:val="center"/>
              <w:rPr>
                <w:rFonts w:asciiTheme="minorHAnsi" w:hAnsiTheme="minorHAnsi" w:cstheme="minorHAnsi"/>
                <w:color w:val="000000"/>
                <w:sz w:val="18"/>
                <w:szCs w:val="18"/>
              </w:rPr>
            </w:pPr>
            <w:r w:rsidRPr="006E2A86">
              <w:rPr>
                <w:rFonts w:asciiTheme="minorHAnsi" w:hAnsiTheme="minorHAnsi" w:cstheme="minorHAnsi"/>
                <w:color w:val="000000"/>
                <w:sz w:val="18"/>
                <w:szCs w:val="18"/>
              </w:rPr>
              <w:t>$164,253</w:t>
            </w:r>
          </w:p>
        </w:tc>
        <w:tc>
          <w:tcPr>
            <w:tcW w:w="141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3907BE" w14:textId="77ABCD89" w:rsidR="003D6459" w:rsidRPr="006E2A86" w:rsidRDefault="006A4735" w:rsidP="006A4735">
            <w:pPr>
              <w:widowControl/>
              <w:autoSpaceDE/>
              <w:autoSpaceDN/>
              <w:adjustRightInd/>
              <w:jc w:val="center"/>
              <w:rPr>
                <w:rFonts w:asciiTheme="minorHAnsi" w:hAnsiTheme="minorHAnsi" w:cstheme="minorHAnsi"/>
                <w:color w:val="000000"/>
                <w:sz w:val="18"/>
                <w:szCs w:val="18"/>
              </w:rPr>
            </w:pPr>
            <w:r w:rsidRPr="006E2A86">
              <w:rPr>
                <w:rFonts w:asciiTheme="minorHAnsi" w:hAnsiTheme="minorHAnsi" w:cstheme="minorHAnsi"/>
                <w:color w:val="000000"/>
                <w:sz w:val="18"/>
                <w:szCs w:val="18"/>
              </w:rPr>
              <w:t>15 hrs or 1</w:t>
            </w:r>
            <w:r w:rsidR="003D6459" w:rsidRPr="006E2A86">
              <w:rPr>
                <w:rFonts w:asciiTheme="minorHAnsi" w:hAnsiTheme="minorHAnsi" w:cstheme="minorHAnsi"/>
                <w:color w:val="000000"/>
                <w:sz w:val="18"/>
                <w:szCs w:val="18"/>
              </w:rPr>
              <w:t xml:space="preserve">% </w:t>
            </w:r>
          </w:p>
        </w:tc>
        <w:tc>
          <w:tcPr>
            <w:tcW w:w="1555" w:type="dxa"/>
            <w:tcBorders>
              <w:top w:val="nil"/>
              <w:left w:val="nil"/>
              <w:bottom w:val="single" w:sz="4" w:space="0" w:color="auto"/>
              <w:right w:val="single" w:sz="4" w:space="0" w:color="auto"/>
            </w:tcBorders>
            <w:shd w:val="clear" w:color="auto" w:fill="808080"/>
            <w:noWrap/>
            <w:tcMar>
              <w:top w:w="15" w:type="dxa"/>
              <w:left w:w="15" w:type="dxa"/>
              <w:bottom w:w="0" w:type="dxa"/>
              <w:right w:w="15" w:type="dxa"/>
            </w:tcMar>
            <w:vAlign w:val="center"/>
            <w:hideMark/>
          </w:tcPr>
          <w:p w14:paraId="23EAD745" w14:textId="77777777"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c>
          <w:tcPr>
            <w:tcW w:w="1530"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FB78203" w14:textId="5942EC7A" w:rsidR="003D6459" w:rsidRPr="006E2A86" w:rsidRDefault="006A4735" w:rsidP="005B2CF8">
            <w:pPr>
              <w:widowControl/>
              <w:autoSpaceDE/>
              <w:autoSpaceDN/>
              <w:adjustRightInd/>
              <w:jc w:val="right"/>
              <w:rPr>
                <w:rFonts w:asciiTheme="minorHAnsi" w:hAnsiTheme="minorHAnsi" w:cstheme="minorHAnsi"/>
                <w:color w:val="000000"/>
                <w:sz w:val="18"/>
                <w:szCs w:val="18"/>
              </w:rPr>
            </w:pPr>
            <w:r w:rsidRPr="006E2A86">
              <w:rPr>
                <w:rFonts w:asciiTheme="minorHAnsi" w:hAnsiTheme="minorHAnsi" w:cstheme="minorHAnsi"/>
                <w:color w:val="000000"/>
                <w:sz w:val="18"/>
                <w:szCs w:val="18"/>
              </w:rPr>
              <w:t>$1,181</w:t>
            </w:r>
            <w:r w:rsidR="003D6459" w:rsidRPr="006E2A86">
              <w:rPr>
                <w:rFonts w:asciiTheme="minorHAnsi" w:hAnsiTheme="minorHAnsi" w:cstheme="minorHAnsi"/>
                <w:color w:val="000000"/>
                <w:sz w:val="18"/>
                <w:szCs w:val="18"/>
              </w:rPr>
              <w:t> </w:t>
            </w:r>
          </w:p>
        </w:tc>
      </w:tr>
      <w:tr w:rsidR="003D6459" w:rsidRPr="006E2A86" w14:paraId="5F04E85B" w14:textId="77777777" w:rsidTr="006E2A86">
        <w:trPr>
          <w:trHeight w:val="300"/>
        </w:trPr>
        <w:tc>
          <w:tcPr>
            <w:tcW w:w="2085"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hideMark/>
          </w:tcPr>
          <w:p w14:paraId="0D2D69A9" w14:textId="609351FC"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r w:rsidR="002F216E" w:rsidRPr="006E2A86">
              <w:rPr>
                <w:rFonts w:asciiTheme="minorHAnsi" w:hAnsiTheme="minorHAnsi" w:cstheme="minorHAnsi"/>
                <w:color w:val="000000"/>
                <w:sz w:val="18"/>
                <w:szCs w:val="18"/>
              </w:rPr>
              <w:t>Appeals Attorney</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3B1F22" w14:textId="148CC021"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r w:rsidR="00F62A6A" w:rsidRPr="006E2A86">
              <w:rPr>
                <w:rFonts w:asciiTheme="minorHAnsi" w:hAnsiTheme="minorHAnsi" w:cstheme="minorHAnsi"/>
                <w:color w:val="000000"/>
                <w:sz w:val="18"/>
                <w:szCs w:val="18"/>
              </w:rPr>
              <w:t>GS14 step 10</w:t>
            </w:r>
          </w:p>
        </w:tc>
        <w:tc>
          <w:tcPr>
            <w:tcW w:w="153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2631AB" w14:textId="75D70709" w:rsidR="003D6459" w:rsidRPr="006E2A86" w:rsidRDefault="00F62A6A" w:rsidP="00A27D61">
            <w:pPr>
              <w:widowControl/>
              <w:autoSpaceDE/>
              <w:autoSpaceDN/>
              <w:adjustRightInd/>
              <w:jc w:val="center"/>
              <w:rPr>
                <w:rFonts w:asciiTheme="minorHAnsi" w:hAnsiTheme="minorHAnsi" w:cstheme="minorHAnsi"/>
                <w:color w:val="000000"/>
                <w:sz w:val="18"/>
                <w:szCs w:val="18"/>
              </w:rPr>
            </w:pPr>
            <w:r w:rsidRPr="006E2A86">
              <w:rPr>
                <w:rFonts w:asciiTheme="minorHAnsi" w:hAnsiTheme="minorHAnsi" w:cstheme="minorHAnsi"/>
                <w:color w:val="000000"/>
                <w:sz w:val="18"/>
                <w:szCs w:val="18"/>
              </w:rPr>
              <w:t>$231,575</w:t>
            </w:r>
          </w:p>
        </w:tc>
        <w:tc>
          <w:tcPr>
            <w:tcW w:w="141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4C508D" w14:textId="7A2301F5" w:rsidR="000B722B" w:rsidRPr="006E2A86" w:rsidRDefault="000B722B" w:rsidP="006E2A86">
            <w:pPr>
              <w:widowControl/>
              <w:autoSpaceDE/>
              <w:autoSpaceDN/>
              <w:adjustRightInd/>
              <w:jc w:val="center"/>
              <w:rPr>
                <w:rFonts w:asciiTheme="minorHAnsi" w:hAnsiTheme="minorHAnsi" w:cstheme="minorHAnsi"/>
                <w:color w:val="000000"/>
                <w:sz w:val="18"/>
                <w:szCs w:val="18"/>
              </w:rPr>
            </w:pPr>
            <w:r w:rsidRPr="006E2A86">
              <w:rPr>
                <w:rFonts w:asciiTheme="minorHAnsi" w:hAnsiTheme="minorHAnsi" w:cstheme="minorHAnsi"/>
                <w:color w:val="000000"/>
                <w:sz w:val="18"/>
                <w:szCs w:val="18"/>
              </w:rPr>
              <w:t>4 hr or</w:t>
            </w:r>
            <w:r w:rsidR="006E2A86">
              <w:rPr>
                <w:rFonts w:asciiTheme="minorHAnsi" w:hAnsiTheme="minorHAnsi" w:cstheme="minorHAnsi"/>
                <w:color w:val="000000"/>
                <w:sz w:val="18"/>
                <w:szCs w:val="18"/>
              </w:rPr>
              <w:t xml:space="preserve"> </w:t>
            </w:r>
            <w:r w:rsidRPr="006E2A86">
              <w:rPr>
                <w:rFonts w:asciiTheme="minorHAnsi" w:hAnsiTheme="minorHAnsi" w:cstheme="minorHAnsi"/>
                <w:color w:val="000000"/>
                <w:sz w:val="18"/>
                <w:szCs w:val="18"/>
              </w:rPr>
              <w:t>.2%</w:t>
            </w:r>
          </w:p>
        </w:tc>
        <w:tc>
          <w:tcPr>
            <w:tcW w:w="1555" w:type="dxa"/>
            <w:tcBorders>
              <w:top w:val="nil"/>
              <w:left w:val="nil"/>
              <w:bottom w:val="single" w:sz="4" w:space="0" w:color="auto"/>
              <w:right w:val="single" w:sz="4" w:space="0" w:color="auto"/>
            </w:tcBorders>
            <w:shd w:val="clear" w:color="auto" w:fill="808080"/>
            <w:noWrap/>
            <w:tcMar>
              <w:top w:w="15" w:type="dxa"/>
              <w:left w:w="15" w:type="dxa"/>
              <w:bottom w:w="0" w:type="dxa"/>
              <w:right w:w="15" w:type="dxa"/>
            </w:tcMar>
            <w:vAlign w:val="center"/>
            <w:hideMark/>
          </w:tcPr>
          <w:p w14:paraId="27BB0C7D" w14:textId="77777777"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c>
          <w:tcPr>
            <w:tcW w:w="1530"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DDAD407" w14:textId="5A9B41A3" w:rsidR="003D6459" w:rsidRPr="006E2A86" w:rsidRDefault="000B722B" w:rsidP="005B2CF8">
            <w:pPr>
              <w:widowControl/>
              <w:autoSpaceDE/>
              <w:autoSpaceDN/>
              <w:adjustRightInd/>
              <w:jc w:val="right"/>
              <w:rPr>
                <w:rFonts w:asciiTheme="minorHAnsi" w:hAnsiTheme="minorHAnsi" w:cstheme="minorHAnsi"/>
                <w:color w:val="000000"/>
                <w:sz w:val="18"/>
                <w:szCs w:val="18"/>
              </w:rPr>
            </w:pPr>
            <w:r w:rsidRPr="006E2A86">
              <w:rPr>
                <w:rFonts w:asciiTheme="minorHAnsi" w:hAnsiTheme="minorHAnsi" w:cstheme="minorHAnsi"/>
                <w:color w:val="000000"/>
                <w:sz w:val="18"/>
                <w:szCs w:val="18"/>
              </w:rPr>
              <w:t>$444</w:t>
            </w:r>
            <w:r w:rsidR="003D6459" w:rsidRPr="006E2A86">
              <w:rPr>
                <w:rFonts w:asciiTheme="minorHAnsi" w:hAnsiTheme="minorHAnsi" w:cstheme="minorHAnsi"/>
                <w:color w:val="000000"/>
                <w:sz w:val="18"/>
                <w:szCs w:val="18"/>
              </w:rPr>
              <w:t> </w:t>
            </w:r>
          </w:p>
        </w:tc>
      </w:tr>
      <w:tr w:rsidR="003D6459" w:rsidRPr="006E2A86" w14:paraId="220468AC" w14:textId="77777777" w:rsidTr="006E2A86">
        <w:trPr>
          <w:trHeight w:val="300"/>
        </w:trPr>
        <w:tc>
          <w:tcPr>
            <w:tcW w:w="2085"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hideMark/>
          </w:tcPr>
          <w:p w14:paraId="5A52E6C4" w14:textId="77777777"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96BC2C6" w14:textId="77777777"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c>
          <w:tcPr>
            <w:tcW w:w="153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1BEA09" w14:textId="77777777" w:rsidR="003D6459" w:rsidRPr="006E2A86" w:rsidRDefault="003D6459" w:rsidP="00A27D61">
            <w:pPr>
              <w:widowControl/>
              <w:autoSpaceDE/>
              <w:autoSpaceDN/>
              <w:adjustRightInd/>
              <w:jc w:val="center"/>
              <w:rPr>
                <w:rFonts w:asciiTheme="minorHAnsi" w:hAnsiTheme="minorHAnsi" w:cstheme="minorHAnsi"/>
                <w:color w:val="000000"/>
                <w:sz w:val="18"/>
                <w:szCs w:val="18"/>
              </w:rPr>
            </w:pPr>
          </w:p>
        </w:tc>
        <w:tc>
          <w:tcPr>
            <w:tcW w:w="141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7EE5FBF" w14:textId="77777777" w:rsidR="003D6459" w:rsidRPr="006E2A86" w:rsidRDefault="003D6459" w:rsidP="00A27D61">
            <w:pPr>
              <w:widowControl/>
              <w:autoSpaceDE/>
              <w:autoSpaceDN/>
              <w:adjustRightInd/>
              <w:jc w:val="center"/>
              <w:rPr>
                <w:rFonts w:asciiTheme="minorHAnsi" w:hAnsiTheme="minorHAnsi" w:cstheme="minorHAnsi"/>
                <w:color w:val="000000"/>
                <w:sz w:val="18"/>
                <w:szCs w:val="18"/>
              </w:rPr>
            </w:pPr>
          </w:p>
        </w:tc>
        <w:tc>
          <w:tcPr>
            <w:tcW w:w="1555" w:type="dxa"/>
            <w:tcBorders>
              <w:top w:val="nil"/>
              <w:left w:val="nil"/>
              <w:bottom w:val="single" w:sz="4" w:space="0" w:color="auto"/>
              <w:right w:val="single" w:sz="4" w:space="0" w:color="auto"/>
            </w:tcBorders>
            <w:shd w:val="clear" w:color="auto" w:fill="808080"/>
            <w:noWrap/>
            <w:tcMar>
              <w:top w:w="15" w:type="dxa"/>
              <w:left w:w="15" w:type="dxa"/>
              <w:bottom w:w="0" w:type="dxa"/>
              <w:right w:w="15" w:type="dxa"/>
            </w:tcMar>
            <w:vAlign w:val="center"/>
            <w:hideMark/>
          </w:tcPr>
          <w:p w14:paraId="7EDBDB41" w14:textId="77777777"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c>
          <w:tcPr>
            <w:tcW w:w="1530"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37747A5" w14:textId="77777777" w:rsidR="003D6459" w:rsidRPr="006E2A86" w:rsidRDefault="003D6459" w:rsidP="00A27D61">
            <w:pPr>
              <w:widowControl/>
              <w:autoSpaceDE/>
              <w:autoSpaceDN/>
              <w:adjustRightInd/>
              <w:jc w:val="right"/>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r>
      <w:tr w:rsidR="003D6459" w:rsidRPr="006E2A86" w14:paraId="1DA0D5AA" w14:textId="77777777" w:rsidTr="006E2A86">
        <w:trPr>
          <w:trHeight w:val="345"/>
        </w:trPr>
        <w:tc>
          <w:tcPr>
            <w:tcW w:w="2085"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1E305F42" w14:textId="77777777" w:rsidR="003D6459" w:rsidRPr="006E2A86" w:rsidRDefault="003D6459" w:rsidP="00A27D61">
            <w:pPr>
              <w:widowControl/>
              <w:autoSpaceDE/>
              <w:autoSpaceDN/>
              <w:adjustRightInd/>
              <w:rPr>
                <w:rFonts w:asciiTheme="minorHAnsi" w:hAnsiTheme="minorHAnsi" w:cstheme="minorHAnsi"/>
                <w:b/>
                <w:bCs/>
                <w:color w:val="000000"/>
                <w:sz w:val="18"/>
                <w:szCs w:val="18"/>
              </w:rPr>
            </w:pPr>
            <w:r w:rsidRPr="006E2A86">
              <w:rPr>
                <w:rFonts w:asciiTheme="minorHAnsi" w:hAnsiTheme="minorHAnsi" w:cstheme="minorHAnsi"/>
                <w:b/>
                <w:bCs/>
                <w:color w:val="000000"/>
                <w:sz w:val="18"/>
                <w:szCs w:val="18"/>
              </w:rPr>
              <w:t>Contractor Cost</w:t>
            </w:r>
          </w:p>
        </w:tc>
        <w:tc>
          <w:tcPr>
            <w:tcW w:w="1440" w:type="dxa"/>
            <w:tcBorders>
              <w:top w:val="nil"/>
              <w:left w:val="nil"/>
              <w:bottom w:val="single" w:sz="4" w:space="0" w:color="auto"/>
              <w:right w:val="single" w:sz="4" w:space="0" w:color="auto"/>
            </w:tcBorders>
            <w:shd w:val="clear" w:color="auto" w:fill="808080"/>
            <w:noWrap/>
            <w:tcMar>
              <w:top w:w="15" w:type="dxa"/>
              <w:left w:w="15" w:type="dxa"/>
              <w:bottom w:w="0" w:type="dxa"/>
              <w:right w:w="15" w:type="dxa"/>
            </w:tcMar>
            <w:vAlign w:val="center"/>
            <w:hideMark/>
          </w:tcPr>
          <w:p w14:paraId="40C33979" w14:textId="77777777"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c>
          <w:tcPr>
            <w:tcW w:w="153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80B046" w14:textId="77777777" w:rsidR="003D6459" w:rsidRPr="006E2A86" w:rsidRDefault="003D6459" w:rsidP="00A27D61">
            <w:pPr>
              <w:widowControl/>
              <w:autoSpaceDE/>
              <w:autoSpaceDN/>
              <w:adjustRightInd/>
              <w:jc w:val="center"/>
              <w:rPr>
                <w:rFonts w:asciiTheme="minorHAnsi" w:hAnsiTheme="minorHAnsi" w:cstheme="minorHAnsi"/>
                <w:color w:val="000000"/>
                <w:sz w:val="18"/>
                <w:szCs w:val="18"/>
              </w:rPr>
            </w:pPr>
          </w:p>
        </w:tc>
        <w:tc>
          <w:tcPr>
            <w:tcW w:w="141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F734B1" w14:textId="77777777" w:rsidR="003D6459" w:rsidRPr="006E2A86" w:rsidRDefault="003D6459" w:rsidP="00A27D61">
            <w:pPr>
              <w:widowControl/>
              <w:autoSpaceDE/>
              <w:autoSpaceDN/>
              <w:adjustRightInd/>
              <w:jc w:val="center"/>
              <w:rPr>
                <w:rFonts w:asciiTheme="minorHAnsi" w:hAnsiTheme="minorHAnsi" w:cstheme="minorHAnsi"/>
                <w:color w:val="000000"/>
                <w:sz w:val="18"/>
                <w:szCs w:val="18"/>
              </w:rPr>
            </w:pPr>
          </w:p>
        </w:tc>
        <w:tc>
          <w:tcPr>
            <w:tcW w:w="155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AD13D0" w14:textId="77777777"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c>
          <w:tcPr>
            <w:tcW w:w="1530"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FDDDE2B" w14:textId="77777777" w:rsidR="003D6459" w:rsidRPr="006E2A86" w:rsidRDefault="003D6459" w:rsidP="00A27D61">
            <w:pPr>
              <w:widowControl/>
              <w:autoSpaceDE/>
              <w:autoSpaceDN/>
              <w:adjustRightInd/>
              <w:jc w:val="right"/>
              <w:rPr>
                <w:rFonts w:asciiTheme="minorHAnsi" w:hAnsiTheme="minorHAnsi" w:cstheme="minorHAnsi"/>
                <w:color w:val="000000"/>
                <w:sz w:val="18"/>
                <w:szCs w:val="18"/>
              </w:rPr>
            </w:pPr>
            <w:r w:rsidRPr="006E2A86">
              <w:rPr>
                <w:rFonts w:asciiTheme="minorHAnsi" w:hAnsiTheme="minorHAnsi" w:cstheme="minorHAnsi"/>
                <w:color w:val="000000"/>
                <w:sz w:val="18"/>
                <w:szCs w:val="18"/>
              </w:rPr>
              <w:t> $0</w:t>
            </w:r>
          </w:p>
        </w:tc>
      </w:tr>
      <w:tr w:rsidR="003D6459" w:rsidRPr="006E2A86" w14:paraId="4BF2AB7C" w14:textId="77777777" w:rsidTr="006E2A86">
        <w:trPr>
          <w:trHeight w:val="300"/>
        </w:trPr>
        <w:tc>
          <w:tcPr>
            <w:tcW w:w="2085"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hideMark/>
          </w:tcPr>
          <w:p w14:paraId="3E319D85" w14:textId="77777777"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74CB17" w14:textId="77777777"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c>
          <w:tcPr>
            <w:tcW w:w="153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9FE7AD" w14:textId="77777777" w:rsidR="003D6459" w:rsidRPr="006E2A86" w:rsidRDefault="003D6459" w:rsidP="00A27D61">
            <w:pPr>
              <w:widowControl/>
              <w:autoSpaceDE/>
              <w:autoSpaceDN/>
              <w:adjustRightInd/>
              <w:jc w:val="center"/>
              <w:rPr>
                <w:rFonts w:asciiTheme="minorHAnsi" w:hAnsiTheme="minorHAnsi" w:cstheme="minorHAnsi"/>
                <w:color w:val="000000"/>
                <w:sz w:val="18"/>
                <w:szCs w:val="18"/>
              </w:rPr>
            </w:pPr>
          </w:p>
        </w:tc>
        <w:tc>
          <w:tcPr>
            <w:tcW w:w="141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87CC22" w14:textId="77777777" w:rsidR="003D6459" w:rsidRPr="006E2A86" w:rsidRDefault="003D6459" w:rsidP="00A27D61">
            <w:pPr>
              <w:widowControl/>
              <w:autoSpaceDE/>
              <w:autoSpaceDN/>
              <w:adjustRightInd/>
              <w:jc w:val="center"/>
              <w:rPr>
                <w:rFonts w:asciiTheme="minorHAnsi" w:hAnsiTheme="minorHAnsi" w:cstheme="minorHAnsi"/>
                <w:color w:val="000000"/>
                <w:sz w:val="18"/>
                <w:szCs w:val="18"/>
              </w:rPr>
            </w:pPr>
          </w:p>
        </w:tc>
        <w:tc>
          <w:tcPr>
            <w:tcW w:w="155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4AF30F6" w14:textId="77777777"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c>
          <w:tcPr>
            <w:tcW w:w="1530"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FF6038A" w14:textId="77777777" w:rsidR="003D6459" w:rsidRPr="006E2A86" w:rsidRDefault="003D6459" w:rsidP="00A27D61">
            <w:pPr>
              <w:widowControl/>
              <w:autoSpaceDE/>
              <w:autoSpaceDN/>
              <w:adjustRightInd/>
              <w:jc w:val="right"/>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r>
      <w:tr w:rsidR="003D6459" w:rsidRPr="006E2A86" w14:paraId="3C7758F1" w14:textId="77777777" w:rsidTr="006E2A86">
        <w:trPr>
          <w:trHeight w:val="300"/>
        </w:trPr>
        <w:tc>
          <w:tcPr>
            <w:tcW w:w="2085"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hideMark/>
          </w:tcPr>
          <w:p w14:paraId="54ADF079" w14:textId="77777777" w:rsidR="003D6459" w:rsidRPr="006E2A86" w:rsidRDefault="003D6459" w:rsidP="00A27D61">
            <w:pPr>
              <w:widowControl/>
              <w:autoSpaceDE/>
              <w:autoSpaceDN/>
              <w:adjustRightInd/>
              <w:rPr>
                <w:rFonts w:asciiTheme="minorHAnsi" w:hAnsiTheme="minorHAnsi" w:cstheme="minorHAnsi"/>
                <w:b/>
                <w:bCs/>
                <w:color w:val="000000"/>
                <w:sz w:val="18"/>
                <w:szCs w:val="18"/>
              </w:rPr>
            </w:pPr>
            <w:r w:rsidRPr="006E2A86">
              <w:rPr>
                <w:rFonts w:asciiTheme="minorHAnsi" w:hAnsiTheme="minorHAnsi" w:cstheme="minorHAnsi"/>
                <w:b/>
                <w:bCs/>
                <w:color w:val="000000"/>
                <w:sz w:val="18"/>
                <w:szCs w:val="18"/>
              </w:rPr>
              <w:t>Travel</w:t>
            </w:r>
          </w:p>
        </w:tc>
        <w:tc>
          <w:tcPr>
            <w:tcW w:w="1440" w:type="dxa"/>
            <w:tcBorders>
              <w:top w:val="nil"/>
              <w:left w:val="nil"/>
              <w:bottom w:val="single" w:sz="4" w:space="0" w:color="auto"/>
              <w:right w:val="single" w:sz="4" w:space="0" w:color="auto"/>
            </w:tcBorders>
            <w:shd w:val="clear" w:color="auto" w:fill="808080"/>
            <w:noWrap/>
            <w:tcMar>
              <w:top w:w="15" w:type="dxa"/>
              <w:left w:w="15" w:type="dxa"/>
              <w:bottom w:w="0" w:type="dxa"/>
              <w:right w:w="15" w:type="dxa"/>
            </w:tcMar>
            <w:vAlign w:val="center"/>
            <w:hideMark/>
          </w:tcPr>
          <w:p w14:paraId="2FEF3E28" w14:textId="77777777"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c>
          <w:tcPr>
            <w:tcW w:w="1530" w:type="dxa"/>
            <w:tcBorders>
              <w:top w:val="nil"/>
              <w:left w:val="nil"/>
              <w:bottom w:val="single" w:sz="4" w:space="0" w:color="auto"/>
              <w:right w:val="single" w:sz="4" w:space="0" w:color="auto"/>
            </w:tcBorders>
            <w:shd w:val="clear" w:color="auto" w:fill="808080"/>
            <w:noWrap/>
            <w:tcMar>
              <w:top w:w="15" w:type="dxa"/>
              <w:left w:w="15" w:type="dxa"/>
              <w:bottom w:w="0" w:type="dxa"/>
              <w:right w:w="15" w:type="dxa"/>
            </w:tcMar>
            <w:vAlign w:val="center"/>
            <w:hideMark/>
          </w:tcPr>
          <w:p w14:paraId="0830431A" w14:textId="77777777" w:rsidR="003D6459" w:rsidRPr="006E2A86" w:rsidRDefault="003D6459" w:rsidP="00A27D61">
            <w:pPr>
              <w:widowControl/>
              <w:autoSpaceDE/>
              <w:autoSpaceDN/>
              <w:adjustRightInd/>
              <w:jc w:val="center"/>
              <w:rPr>
                <w:rFonts w:asciiTheme="minorHAnsi" w:hAnsiTheme="minorHAnsi" w:cstheme="minorHAnsi"/>
                <w:color w:val="000000"/>
                <w:sz w:val="18"/>
                <w:szCs w:val="18"/>
              </w:rPr>
            </w:pPr>
          </w:p>
        </w:tc>
        <w:tc>
          <w:tcPr>
            <w:tcW w:w="1415" w:type="dxa"/>
            <w:tcBorders>
              <w:top w:val="nil"/>
              <w:left w:val="nil"/>
              <w:bottom w:val="single" w:sz="4" w:space="0" w:color="auto"/>
              <w:right w:val="single" w:sz="4" w:space="0" w:color="auto"/>
            </w:tcBorders>
            <w:shd w:val="clear" w:color="auto" w:fill="808080"/>
            <w:noWrap/>
            <w:tcMar>
              <w:top w:w="15" w:type="dxa"/>
              <w:left w:w="15" w:type="dxa"/>
              <w:bottom w:w="0" w:type="dxa"/>
              <w:right w:w="15" w:type="dxa"/>
            </w:tcMar>
            <w:vAlign w:val="center"/>
            <w:hideMark/>
          </w:tcPr>
          <w:p w14:paraId="3E8AE342" w14:textId="77777777"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c>
          <w:tcPr>
            <w:tcW w:w="1555" w:type="dxa"/>
            <w:tcBorders>
              <w:top w:val="nil"/>
              <w:left w:val="nil"/>
              <w:bottom w:val="single" w:sz="4" w:space="0" w:color="auto"/>
              <w:right w:val="single" w:sz="4" w:space="0" w:color="auto"/>
            </w:tcBorders>
            <w:shd w:val="clear" w:color="auto" w:fill="808080"/>
            <w:noWrap/>
            <w:tcMar>
              <w:top w:w="15" w:type="dxa"/>
              <w:left w:w="15" w:type="dxa"/>
              <w:bottom w:w="0" w:type="dxa"/>
              <w:right w:w="15" w:type="dxa"/>
            </w:tcMar>
            <w:vAlign w:val="center"/>
            <w:hideMark/>
          </w:tcPr>
          <w:p w14:paraId="713D3842" w14:textId="77777777"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c>
          <w:tcPr>
            <w:tcW w:w="1530"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4A441A6" w14:textId="77777777" w:rsidR="003D6459" w:rsidRPr="006E2A86" w:rsidRDefault="003D6459" w:rsidP="00A27D61">
            <w:pPr>
              <w:widowControl/>
              <w:autoSpaceDE/>
              <w:autoSpaceDN/>
              <w:adjustRightInd/>
              <w:jc w:val="right"/>
              <w:rPr>
                <w:rFonts w:asciiTheme="minorHAnsi" w:hAnsiTheme="minorHAnsi" w:cstheme="minorHAnsi"/>
                <w:color w:val="000000"/>
                <w:sz w:val="18"/>
                <w:szCs w:val="18"/>
              </w:rPr>
            </w:pPr>
            <w:r w:rsidRPr="006E2A86">
              <w:rPr>
                <w:rFonts w:asciiTheme="minorHAnsi" w:hAnsiTheme="minorHAnsi" w:cstheme="minorHAnsi"/>
                <w:color w:val="000000"/>
                <w:sz w:val="18"/>
                <w:szCs w:val="18"/>
              </w:rPr>
              <w:t> $0</w:t>
            </w:r>
          </w:p>
        </w:tc>
      </w:tr>
      <w:tr w:rsidR="003D6459" w:rsidRPr="006E2A86" w14:paraId="2C96F499" w14:textId="77777777" w:rsidTr="006E2A86">
        <w:trPr>
          <w:trHeight w:val="525"/>
        </w:trPr>
        <w:tc>
          <w:tcPr>
            <w:tcW w:w="2085" w:type="dxa"/>
            <w:tcBorders>
              <w:top w:val="nil"/>
              <w:left w:val="single" w:sz="8" w:space="0" w:color="auto"/>
              <w:bottom w:val="nil"/>
              <w:right w:val="single" w:sz="8" w:space="0" w:color="auto"/>
            </w:tcBorders>
            <w:tcMar>
              <w:top w:w="15" w:type="dxa"/>
              <w:left w:w="15" w:type="dxa"/>
              <w:bottom w:w="0" w:type="dxa"/>
              <w:right w:w="15" w:type="dxa"/>
            </w:tcMar>
            <w:vAlign w:val="center"/>
            <w:hideMark/>
          </w:tcPr>
          <w:p w14:paraId="499BF502" w14:textId="77777777" w:rsidR="003D6459" w:rsidRPr="006E2A86" w:rsidRDefault="003D6459" w:rsidP="00A27D61">
            <w:pPr>
              <w:widowControl/>
              <w:autoSpaceDE/>
              <w:autoSpaceDN/>
              <w:adjustRightInd/>
              <w:rPr>
                <w:rFonts w:asciiTheme="minorHAnsi" w:hAnsiTheme="minorHAnsi" w:cstheme="minorHAnsi"/>
                <w:b/>
                <w:bCs/>
                <w:color w:val="000000"/>
                <w:sz w:val="18"/>
                <w:szCs w:val="18"/>
              </w:rPr>
            </w:pPr>
            <w:r w:rsidRPr="006E2A86">
              <w:rPr>
                <w:rFonts w:asciiTheme="minorHAnsi" w:hAnsiTheme="minorHAnsi" w:cstheme="minorHAnsi"/>
                <w:b/>
                <w:bCs/>
                <w:color w:val="000000"/>
                <w:sz w:val="18"/>
                <w:szCs w:val="18"/>
              </w:rPr>
              <w:t>Other Costs: </w:t>
            </w:r>
          </w:p>
        </w:tc>
        <w:tc>
          <w:tcPr>
            <w:tcW w:w="1440" w:type="dxa"/>
            <w:tcBorders>
              <w:top w:val="nil"/>
              <w:left w:val="nil"/>
              <w:bottom w:val="single" w:sz="4" w:space="0" w:color="auto"/>
              <w:right w:val="single" w:sz="4" w:space="0" w:color="auto"/>
            </w:tcBorders>
            <w:shd w:val="clear" w:color="auto" w:fill="808080"/>
            <w:noWrap/>
            <w:tcMar>
              <w:top w:w="15" w:type="dxa"/>
              <w:left w:w="15" w:type="dxa"/>
              <w:bottom w:w="0" w:type="dxa"/>
              <w:right w:w="15" w:type="dxa"/>
            </w:tcMar>
            <w:vAlign w:val="center"/>
            <w:hideMark/>
          </w:tcPr>
          <w:p w14:paraId="7F13374C" w14:textId="77777777"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c>
          <w:tcPr>
            <w:tcW w:w="1530" w:type="dxa"/>
            <w:tcBorders>
              <w:top w:val="nil"/>
              <w:left w:val="nil"/>
              <w:bottom w:val="single" w:sz="4" w:space="0" w:color="auto"/>
              <w:right w:val="single" w:sz="4" w:space="0" w:color="auto"/>
            </w:tcBorders>
            <w:shd w:val="clear" w:color="auto" w:fill="808080"/>
            <w:noWrap/>
            <w:tcMar>
              <w:top w:w="15" w:type="dxa"/>
              <w:left w:w="15" w:type="dxa"/>
              <w:bottom w:w="0" w:type="dxa"/>
              <w:right w:w="15" w:type="dxa"/>
            </w:tcMar>
            <w:vAlign w:val="center"/>
            <w:hideMark/>
          </w:tcPr>
          <w:p w14:paraId="1F3D5C31" w14:textId="77777777" w:rsidR="003D6459" w:rsidRPr="006E2A86" w:rsidRDefault="003D6459" w:rsidP="00A27D61">
            <w:pPr>
              <w:widowControl/>
              <w:autoSpaceDE/>
              <w:autoSpaceDN/>
              <w:adjustRightInd/>
              <w:jc w:val="center"/>
              <w:rPr>
                <w:rFonts w:asciiTheme="minorHAnsi" w:hAnsiTheme="minorHAnsi" w:cstheme="minorHAnsi"/>
                <w:color w:val="000000"/>
                <w:sz w:val="18"/>
                <w:szCs w:val="18"/>
              </w:rPr>
            </w:pPr>
          </w:p>
        </w:tc>
        <w:tc>
          <w:tcPr>
            <w:tcW w:w="1415" w:type="dxa"/>
            <w:tcBorders>
              <w:top w:val="nil"/>
              <w:left w:val="nil"/>
              <w:bottom w:val="single" w:sz="4" w:space="0" w:color="auto"/>
              <w:right w:val="single" w:sz="4" w:space="0" w:color="auto"/>
            </w:tcBorders>
            <w:shd w:val="clear" w:color="auto" w:fill="808080"/>
            <w:noWrap/>
            <w:tcMar>
              <w:top w:w="15" w:type="dxa"/>
              <w:left w:w="15" w:type="dxa"/>
              <w:bottom w:w="0" w:type="dxa"/>
              <w:right w:w="15" w:type="dxa"/>
            </w:tcMar>
            <w:vAlign w:val="center"/>
            <w:hideMark/>
          </w:tcPr>
          <w:p w14:paraId="100687C4" w14:textId="77777777"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c>
          <w:tcPr>
            <w:tcW w:w="1555" w:type="dxa"/>
            <w:tcBorders>
              <w:top w:val="nil"/>
              <w:left w:val="nil"/>
              <w:bottom w:val="single" w:sz="4" w:space="0" w:color="auto"/>
              <w:right w:val="single" w:sz="4" w:space="0" w:color="auto"/>
            </w:tcBorders>
            <w:shd w:val="clear" w:color="auto" w:fill="808080"/>
            <w:noWrap/>
            <w:tcMar>
              <w:top w:w="15" w:type="dxa"/>
              <w:left w:w="15" w:type="dxa"/>
              <w:bottom w:w="0" w:type="dxa"/>
              <w:right w:w="15" w:type="dxa"/>
            </w:tcMar>
            <w:vAlign w:val="center"/>
            <w:hideMark/>
          </w:tcPr>
          <w:p w14:paraId="65931403" w14:textId="77777777"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c>
          <w:tcPr>
            <w:tcW w:w="1530"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6739E91" w14:textId="77777777" w:rsidR="003D6459" w:rsidRPr="006E2A86" w:rsidRDefault="003D6459" w:rsidP="00A27D61">
            <w:pPr>
              <w:widowControl/>
              <w:autoSpaceDE/>
              <w:autoSpaceDN/>
              <w:adjustRightInd/>
              <w:jc w:val="right"/>
              <w:rPr>
                <w:rFonts w:asciiTheme="minorHAnsi" w:hAnsiTheme="minorHAnsi" w:cstheme="minorHAnsi"/>
                <w:color w:val="000000"/>
                <w:sz w:val="18"/>
                <w:szCs w:val="18"/>
              </w:rPr>
            </w:pPr>
            <w:r w:rsidRPr="006E2A86">
              <w:rPr>
                <w:rFonts w:asciiTheme="minorHAnsi" w:hAnsiTheme="minorHAnsi" w:cstheme="minorHAnsi"/>
                <w:color w:val="000000"/>
                <w:sz w:val="18"/>
                <w:szCs w:val="18"/>
              </w:rPr>
              <w:t> $0</w:t>
            </w:r>
          </w:p>
        </w:tc>
      </w:tr>
      <w:tr w:rsidR="003D6459" w:rsidRPr="006E2A86" w14:paraId="55CB1975" w14:textId="77777777" w:rsidTr="006E2A86">
        <w:trPr>
          <w:trHeight w:val="235"/>
        </w:trPr>
        <w:tc>
          <w:tcPr>
            <w:tcW w:w="2085" w:type="dxa"/>
            <w:tcBorders>
              <w:top w:val="single" w:sz="8" w:space="0" w:color="auto"/>
              <w:left w:val="single" w:sz="8" w:space="0" w:color="auto"/>
              <w:bottom w:val="single" w:sz="8" w:space="0" w:color="auto"/>
              <w:right w:val="single" w:sz="8" w:space="0" w:color="auto"/>
            </w:tcBorders>
            <w:shd w:val="clear" w:color="auto" w:fill="DDEBF7"/>
            <w:noWrap/>
            <w:tcMar>
              <w:top w:w="15" w:type="dxa"/>
              <w:left w:w="15" w:type="dxa"/>
              <w:bottom w:w="0" w:type="dxa"/>
              <w:right w:w="15" w:type="dxa"/>
            </w:tcMar>
            <w:vAlign w:val="center"/>
            <w:hideMark/>
          </w:tcPr>
          <w:p w14:paraId="363255D8" w14:textId="77777777" w:rsidR="003D6459" w:rsidRPr="006E2A86" w:rsidRDefault="003D6459" w:rsidP="00A27D61">
            <w:pPr>
              <w:widowControl/>
              <w:autoSpaceDE/>
              <w:autoSpaceDN/>
              <w:adjustRightInd/>
              <w:rPr>
                <w:rFonts w:asciiTheme="minorHAnsi" w:hAnsiTheme="minorHAnsi" w:cstheme="minorHAnsi"/>
                <w:b/>
                <w:bCs/>
                <w:color w:val="000000"/>
                <w:sz w:val="18"/>
                <w:szCs w:val="18"/>
              </w:rPr>
            </w:pPr>
            <w:r w:rsidRPr="006E2A86">
              <w:rPr>
                <w:rFonts w:asciiTheme="minorHAnsi" w:hAnsiTheme="minorHAnsi" w:cstheme="minorHAnsi"/>
                <w:b/>
                <w:bCs/>
                <w:color w:val="000000"/>
                <w:sz w:val="18"/>
                <w:szCs w:val="18"/>
              </w:rPr>
              <w:t>TOTAL</w:t>
            </w:r>
          </w:p>
        </w:tc>
        <w:tc>
          <w:tcPr>
            <w:tcW w:w="1440" w:type="dxa"/>
            <w:tcBorders>
              <w:top w:val="single" w:sz="8" w:space="0" w:color="auto"/>
              <w:left w:val="nil"/>
              <w:bottom w:val="single" w:sz="8" w:space="0" w:color="auto"/>
              <w:right w:val="single" w:sz="8" w:space="0" w:color="auto"/>
            </w:tcBorders>
            <w:shd w:val="clear" w:color="auto" w:fill="808080"/>
            <w:noWrap/>
            <w:tcMar>
              <w:top w:w="15" w:type="dxa"/>
              <w:left w:w="15" w:type="dxa"/>
              <w:bottom w:w="0" w:type="dxa"/>
              <w:right w:w="15" w:type="dxa"/>
            </w:tcMar>
            <w:vAlign w:val="center"/>
            <w:hideMark/>
          </w:tcPr>
          <w:p w14:paraId="44140527" w14:textId="77777777"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c>
          <w:tcPr>
            <w:tcW w:w="1530" w:type="dxa"/>
            <w:tcBorders>
              <w:top w:val="single" w:sz="8" w:space="0" w:color="auto"/>
              <w:left w:val="nil"/>
              <w:bottom w:val="single" w:sz="8" w:space="0" w:color="auto"/>
              <w:right w:val="single" w:sz="8" w:space="0" w:color="auto"/>
            </w:tcBorders>
            <w:shd w:val="clear" w:color="auto" w:fill="DDEBF7"/>
            <w:noWrap/>
            <w:tcMar>
              <w:top w:w="15" w:type="dxa"/>
              <w:left w:w="15" w:type="dxa"/>
              <w:bottom w:w="0" w:type="dxa"/>
              <w:right w:w="15" w:type="dxa"/>
            </w:tcMar>
            <w:vAlign w:val="center"/>
            <w:hideMark/>
          </w:tcPr>
          <w:p w14:paraId="4F168029" w14:textId="77777777" w:rsidR="003D6459" w:rsidRPr="006E2A86" w:rsidRDefault="003D6459" w:rsidP="00A27D61">
            <w:pPr>
              <w:widowControl/>
              <w:autoSpaceDE/>
              <w:autoSpaceDN/>
              <w:adjustRightInd/>
              <w:jc w:val="center"/>
              <w:rPr>
                <w:rFonts w:asciiTheme="minorHAnsi" w:hAnsiTheme="minorHAnsi" w:cstheme="minorHAnsi"/>
                <w:color w:val="000000"/>
                <w:sz w:val="18"/>
                <w:szCs w:val="18"/>
              </w:rPr>
            </w:pPr>
          </w:p>
        </w:tc>
        <w:tc>
          <w:tcPr>
            <w:tcW w:w="1415" w:type="dxa"/>
            <w:tcBorders>
              <w:top w:val="single" w:sz="8" w:space="0" w:color="auto"/>
              <w:left w:val="nil"/>
              <w:bottom w:val="single" w:sz="8" w:space="0" w:color="auto"/>
              <w:right w:val="single" w:sz="8" w:space="0" w:color="auto"/>
            </w:tcBorders>
            <w:shd w:val="clear" w:color="auto" w:fill="757171"/>
            <w:noWrap/>
            <w:tcMar>
              <w:top w:w="15" w:type="dxa"/>
              <w:left w:w="15" w:type="dxa"/>
              <w:bottom w:w="0" w:type="dxa"/>
              <w:right w:w="15" w:type="dxa"/>
            </w:tcMar>
            <w:vAlign w:val="center"/>
            <w:hideMark/>
          </w:tcPr>
          <w:p w14:paraId="2D3F7A50" w14:textId="77777777"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c>
          <w:tcPr>
            <w:tcW w:w="1555" w:type="dxa"/>
            <w:tcBorders>
              <w:top w:val="single" w:sz="8" w:space="0" w:color="auto"/>
              <w:left w:val="nil"/>
              <w:bottom w:val="single" w:sz="8" w:space="0" w:color="auto"/>
              <w:right w:val="single" w:sz="8" w:space="0" w:color="auto"/>
            </w:tcBorders>
            <w:shd w:val="clear" w:color="auto" w:fill="DDEBF7"/>
            <w:noWrap/>
            <w:tcMar>
              <w:top w:w="15" w:type="dxa"/>
              <w:left w:w="15" w:type="dxa"/>
              <w:bottom w:w="0" w:type="dxa"/>
              <w:right w:w="15" w:type="dxa"/>
            </w:tcMar>
            <w:vAlign w:val="center"/>
            <w:hideMark/>
          </w:tcPr>
          <w:p w14:paraId="77442B99" w14:textId="77777777" w:rsidR="003D6459" w:rsidRPr="006E2A86" w:rsidRDefault="003D6459" w:rsidP="00A27D61">
            <w:pPr>
              <w:widowControl/>
              <w:autoSpaceDE/>
              <w:autoSpaceDN/>
              <w:adjustRightInd/>
              <w:rPr>
                <w:rFonts w:asciiTheme="minorHAnsi" w:hAnsiTheme="minorHAnsi" w:cstheme="minorHAnsi"/>
                <w:color w:val="000000"/>
                <w:sz w:val="18"/>
                <w:szCs w:val="18"/>
              </w:rPr>
            </w:pPr>
            <w:r w:rsidRPr="006E2A86">
              <w:rPr>
                <w:rFonts w:asciiTheme="minorHAnsi" w:hAnsiTheme="minorHAnsi" w:cstheme="minorHAnsi"/>
                <w:color w:val="000000"/>
                <w:sz w:val="18"/>
                <w:szCs w:val="18"/>
              </w:rPr>
              <w:t> </w:t>
            </w:r>
          </w:p>
        </w:tc>
        <w:tc>
          <w:tcPr>
            <w:tcW w:w="1530" w:type="dxa"/>
            <w:tcBorders>
              <w:top w:val="single" w:sz="8" w:space="0" w:color="auto"/>
              <w:left w:val="nil"/>
              <w:bottom w:val="single" w:sz="8" w:space="0" w:color="auto"/>
              <w:right w:val="single" w:sz="8" w:space="0" w:color="auto"/>
            </w:tcBorders>
            <w:shd w:val="clear" w:color="auto" w:fill="DDEBF7"/>
            <w:noWrap/>
            <w:tcMar>
              <w:top w:w="15" w:type="dxa"/>
              <w:left w:w="15" w:type="dxa"/>
              <w:bottom w:w="0" w:type="dxa"/>
              <w:right w:w="15" w:type="dxa"/>
            </w:tcMar>
            <w:vAlign w:val="center"/>
            <w:hideMark/>
          </w:tcPr>
          <w:p w14:paraId="0D4972F0" w14:textId="29C2E492" w:rsidR="003D6459" w:rsidRPr="006E2A86" w:rsidRDefault="000B722B" w:rsidP="00A27D61">
            <w:pPr>
              <w:widowControl/>
              <w:autoSpaceDE/>
              <w:autoSpaceDN/>
              <w:adjustRightInd/>
              <w:jc w:val="right"/>
              <w:rPr>
                <w:rFonts w:asciiTheme="minorHAnsi" w:hAnsiTheme="minorHAnsi" w:cstheme="minorHAnsi"/>
                <w:b/>
                <w:color w:val="000000"/>
                <w:sz w:val="18"/>
                <w:szCs w:val="18"/>
              </w:rPr>
            </w:pPr>
            <w:r w:rsidRPr="006E2A86">
              <w:rPr>
                <w:rFonts w:asciiTheme="minorHAnsi" w:hAnsiTheme="minorHAnsi" w:cstheme="minorHAnsi"/>
                <w:b/>
                <w:color w:val="000000"/>
                <w:sz w:val="18"/>
                <w:szCs w:val="18"/>
              </w:rPr>
              <w:t>$1,625</w:t>
            </w:r>
            <w:r w:rsidR="003D6459" w:rsidRPr="006E2A86">
              <w:rPr>
                <w:rFonts w:asciiTheme="minorHAnsi" w:hAnsiTheme="minorHAnsi" w:cstheme="minorHAnsi"/>
                <w:b/>
                <w:color w:val="000000"/>
                <w:sz w:val="18"/>
                <w:szCs w:val="18"/>
              </w:rPr>
              <w:t> </w:t>
            </w:r>
          </w:p>
        </w:tc>
      </w:tr>
    </w:tbl>
    <w:p w14:paraId="6B9C8727" w14:textId="243015ED" w:rsidR="003D6459" w:rsidRPr="006E2A86" w:rsidRDefault="00F62A6A" w:rsidP="003D6459">
      <w:pPr>
        <w:widowControl/>
        <w:autoSpaceDE/>
        <w:autoSpaceDN/>
        <w:adjustRightInd/>
        <w:rPr>
          <w:color w:val="000000"/>
          <w:sz w:val="20"/>
          <w:szCs w:val="20"/>
        </w:rPr>
      </w:pPr>
      <w:r w:rsidRPr="006E2A86">
        <w:rPr>
          <w:color w:val="000000"/>
          <w:sz w:val="20"/>
          <w:szCs w:val="20"/>
          <w:u w:val="single"/>
        </w:rPr>
        <w:t>GS 12 step</w:t>
      </w:r>
      <w:r w:rsidR="003D6459" w:rsidRPr="006E2A86">
        <w:rPr>
          <w:color w:val="000000"/>
          <w:sz w:val="20"/>
          <w:szCs w:val="20"/>
          <w:u w:val="single"/>
        </w:rPr>
        <w:t xml:space="preserve"> 10 salary</w:t>
      </w:r>
      <w:r w:rsidRPr="006E2A86">
        <w:rPr>
          <w:color w:val="000000"/>
          <w:sz w:val="20"/>
          <w:szCs w:val="20"/>
        </w:rPr>
        <w:t xml:space="preserve"> (capped out ZP-3 in Juneau, AK</w:t>
      </w:r>
      <w:r w:rsidR="003D6459" w:rsidRPr="006E2A86">
        <w:rPr>
          <w:color w:val="000000"/>
          <w:sz w:val="20"/>
          <w:szCs w:val="20"/>
        </w:rPr>
        <w:t>) = $108,061. Loaded salary</w:t>
      </w:r>
      <w:r w:rsidR="006E2A86">
        <w:rPr>
          <w:color w:val="000000"/>
          <w:sz w:val="20"/>
          <w:szCs w:val="20"/>
        </w:rPr>
        <w:t>:</w:t>
      </w:r>
      <w:r w:rsidR="003D6459" w:rsidRPr="006E2A86">
        <w:rPr>
          <w:color w:val="000000"/>
          <w:sz w:val="20"/>
          <w:szCs w:val="20"/>
        </w:rPr>
        <w:t xml:space="preserve"> add 52% of salary ($108,061 * 1.52 = $164,253). </w:t>
      </w:r>
    </w:p>
    <w:p w14:paraId="6EF9C15A" w14:textId="77777777" w:rsidR="003D6459" w:rsidRPr="006E2A86" w:rsidRDefault="003D6459" w:rsidP="003D6459">
      <w:pPr>
        <w:widowControl/>
        <w:autoSpaceDE/>
        <w:autoSpaceDN/>
        <w:adjustRightInd/>
        <w:rPr>
          <w:color w:val="000000"/>
          <w:sz w:val="20"/>
          <w:szCs w:val="20"/>
        </w:rPr>
      </w:pPr>
      <w:r w:rsidRPr="006E2A86">
        <w:rPr>
          <w:color w:val="000000"/>
          <w:sz w:val="20"/>
          <w:szCs w:val="20"/>
        </w:rPr>
        <w:t xml:space="preserve">Assuming 2,087 hours in a Federal work year, the loaded hourly salary is $78.70 ($164,253 / 2,087). </w:t>
      </w:r>
    </w:p>
    <w:p w14:paraId="31CF8E1E" w14:textId="77777777" w:rsidR="005B2CF8" w:rsidRPr="006E2A86" w:rsidRDefault="003D6459" w:rsidP="003D6459">
      <w:pPr>
        <w:widowControl/>
        <w:autoSpaceDE/>
        <w:autoSpaceDN/>
        <w:adjustRightInd/>
        <w:rPr>
          <w:color w:val="000000"/>
          <w:sz w:val="20"/>
          <w:szCs w:val="20"/>
        </w:rPr>
      </w:pPr>
      <w:r w:rsidRPr="006E2A86">
        <w:rPr>
          <w:color w:val="000000"/>
          <w:sz w:val="20"/>
          <w:szCs w:val="20"/>
        </w:rPr>
        <w:t xml:space="preserve">To calculate % of effort: </w:t>
      </w:r>
      <w:r w:rsidR="006A4735" w:rsidRPr="006E2A86">
        <w:rPr>
          <w:color w:val="000000"/>
          <w:sz w:val="20"/>
          <w:szCs w:val="20"/>
        </w:rPr>
        <w:t>15</w:t>
      </w:r>
      <w:r w:rsidRPr="006E2A86">
        <w:rPr>
          <w:color w:val="000000"/>
          <w:sz w:val="20"/>
          <w:szCs w:val="20"/>
        </w:rPr>
        <w:t xml:space="preserve"> hrs/2,087 hrs = 0.00</w:t>
      </w:r>
      <w:r w:rsidR="006A4735" w:rsidRPr="006E2A86">
        <w:rPr>
          <w:color w:val="000000"/>
          <w:sz w:val="20"/>
          <w:szCs w:val="20"/>
        </w:rPr>
        <w:t>72</w:t>
      </w:r>
      <w:r w:rsidRPr="006E2A86">
        <w:rPr>
          <w:color w:val="000000"/>
          <w:sz w:val="20"/>
          <w:szCs w:val="20"/>
        </w:rPr>
        <w:t xml:space="preserve"> or about </w:t>
      </w:r>
      <w:r w:rsidR="006A4735" w:rsidRPr="006E2A86">
        <w:rPr>
          <w:color w:val="000000"/>
          <w:sz w:val="20"/>
          <w:szCs w:val="20"/>
        </w:rPr>
        <w:t>1</w:t>
      </w:r>
      <w:r w:rsidRPr="006E2A86">
        <w:rPr>
          <w:color w:val="000000"/>
          <w:sz w:val="20"/>
          <w:szCs w:val="20"/>
        </w:rPr>
        <w:t>% of effort.</w:t>
      </w:r>
      <w:r w:rsidR="005B2CF8" w:rsidRPr="006E2A86">
        <w:rPr>
          <w:color w:val="000000"/>
          <w:sz w:val="20"/>
          <w:szCs w:val="20"/>
        </w:rPr>
        <w:t xml:space="preserve"> </w:t>
      </w:r>
    </w:p>
    <w:p w14:paraId="2C9DD313" w14:textId="047D19F8" w:rsidR="00F62A6A" w:rsidRPr="006E2A86" w:rsidRDefault="005B2CF8" w:rsidP="003D6459">
      <w:pPr>
        <w:widowControl/>
        <w:autoSpaceDE/>
        <w:autoSpaceDN/>
        <w:adjustRightInd/>
        <w:rPr>
          <w:color w:val="000000"/>
          <w:sz w:val="20"/>
          <w:szCs w:val="20"/>
        </w:rPr>
      </w:pPr>
      <w:r w:rsidRPr="006E2A86">
        <w:rPr>
          <w:color w:val="000000"/>
          <w:sz w:val="20"/>
          <w:szCs w:val="20"/>
        </w:rPr>
        <w:t xml:space="preserve">Total cost to government = $78.70 x 15 = $1,181. </w:t>
      </w:r>
      <w:r w:rsidR="003D6459" w:rsidRPr="006E2A86">
        <w:rPr>
          <w:color w:val="000000"/>
          <w:sz w:val="20"/>
          <w:szCs w:val="20"/>
        </w:rPr>
        <w:t xml:space="preserve">  </w:t>
      </w:r>
    </w:p>
    <w:p w14:paraId="359B7C96" w14:textId="77777777" w:rsidR="00F62A6A" w:rsidRDefault="00F62A6A" w:rsidP="00F62A6A">
      <w:pPr>
        <w:widowControl/>
        <w:autoSpaceDE/>
        <w:autoSpaceDN/>
        <w:adjustRightInd/>
        <w:rPr>
          <w:color w:val="000000"/>
        </w:rPr>
      </w:pPr>
    </w:p>
    <w:p w14:paraId="3AFF7DC5" w14:textId="4EF5163D" w:rsidR="006E2A86" w:rsidRPr="006E2A86" w:rsidRDefault="00F62A6A" w:rsidP="00F62A6A">
      <w:pPr>
        <w:widowControl/>
        <w:autoSpaceDE/>
        <w:autoSpaceDN/>
        <w:adjustRightInd/>
        <w:rPr>
          <w:color w:val="000000"/>
          <w:sz w:val="20"/>
          <w:szCs w:val="20"/>
        </w:rPr>
      </w:pPr>
      <w:r w:rsidRPr="006E2A86">
        <w:rPr>
          <w:color w:val="000000"/>
          <w:sz w:val="20"/>
          <w:szCs w:val="20"/>
          <w:u w:val="single"/>
        </w:rPr>
        <w:t>GS 14 step 10</w:t>
      </w:r>
      <w:r w:rsidRPr="006E2A86">
        <w:rPr>
          <w:color w:val="000000"/>
          <w:sz w:val="20"/>
          <w:szCs w:val="20"/>
        </w:rPr>
        <w:t xml:space="preserve"> </w:t>
      </w:r>
      <w:r w:rsidR="000B722B" w:rsidRPr="006E2A86">
        <w:rPr>
          <w:color w:val="000000"/>
          <w:sz w:val="20"/>
          <w:szCs w:val="20"/>
        </w:rPr>
        <w:t xml:space="preserve">2019 salary </w:t>
      </w:r>
      <w:r w:rsidRPr="006E2A86">
        <w:rPr>
          <w:color w:val="000000"/>
          <w:sz w:val="20"/>
          <w:szCs w:val="20"/>
        </w:rPr>
        <w:t xml:space="preserve">for Silver Spring </w:t>
      </w:r>
      <w:r w:rsidR="000B722B" w:rsidRPr="006E2A86">
        <w:rPr>
          <w:color w:val="000000"/>
          <w:sz w:val="20"/>
          <w:szCs w:val="20"/>
        </w:rPr>
        <w:t xml:space="preserve">= </w:t>
      </w:r>
      <w:r w:rsidR="00153D80">
        <w:rPr>
          <w:color w:val="000000"/>
          <w:sz w:val="20"/>
          <w:szCs w:val="20"/>
        </w:rPr>
        <w:tab/>
      </w:r>
      <w:r w:rsidRPr="006E2A86">
        <w:rPr>
          <w:color w:val="000000"/>
          <w:sz w:val="20"/>
          <w:szCs w:val="20"/>
        </w:rPr>
        <w:t xml:space="preserve">$152,352. </w:t>
      </w:r>
      <w:r w:rsidR="006E2A86" w:rsidRPr="006E2A86">
        <w:rPr>
          <w:color w:val="000000"/>
          <w:sz w:val="20"/>
          <w:szCs w:val="20"/>
        </w:rPr>
        <w:t>Loaded salary: a</w:t>
      </w:r>
      <w:r w:rsidRPr="006E2A86">
        <w:rPr>
          <w:color w:val="000000"/>
          <w:sz w:val="20"/>
          <w:szCs w:val="20"/>
        </w:rPr>
        <w:t xml:space="preserve">dd 52% </w:t>
      </w:r>
      <w:r w:rsidR="006E2A86" w:rsidRPr="006E2A86">
        <w:rPr>
          <w:color w:val="000000"/>
          <w:sz w:val="20"/>
          <w:szCs w:val="20"/>
        </w:rPr>
        <w:t>of salary</w:t>
      </w:r>
      <w:r w:rsidRPr="006E2A86">
        <w:rPr>
          <w:color w:val="000000"/>
          <w:sz w:val="20"/>
          <w:szCs w:val="20"/>
        </w:rPr>
        <w:t xml:space="preserve"> ($152,352 * 1.52 = $231,575).</w:t>
      </w:r>
    </w:p>
    <w:p w14:paraId="3C0F66AF" w14:textId="5BEF9515" w:rsidR="00F62A6A" w:rsidRPr="006E2A86" w:rsidRDefault="006E2A86" w:rsidP="00F62A6A">
      <w:pPr>
        <w:widowControl/>
        <w:autoSpaceDE/>
        <w:autoSpaceDN/>
        <w:adjustRightInd/>
        <w:rPr>
          <w:color w:val="000000"/>
          <w:sz w:val="20"/>
          <w:szCs w:val="20"/>
        </w:rPr>
      </w:pPr>
      <w:r w:rsidRPr="006E2A86">
        <w:rPr>
          <w:color w:val="000000"/>
          <w:sz w:val="20"/>
          <w:szCs w:val="20"/>
        </w:rPr>
        <w:t>Assuming 2,087 hours in a Federal work year, the</w:t>
      </w:r>
      <w:r w:rsidR="00F62A6A" w:rsidRPr="006E2A86">
        <w:rPr>
          <w:color w:val="000000"/>
          <w:sz w:val="20"/>
          <w:szCs w:val="20"/>
        </w:rPr>
        <w:t xml:space="preserve"> loaded </w:t>
      </w:r>
      <w:r w:rsidRPr="006E2A86">
        <w:rPr>
          <w:color w:val="000000"/>
          <w:sz w:val="20"/>
          <w:szCs w:val="20"/>
        </w:rPr>
        <w:t>hourly salary</w:t>
      </w:r>
      <w:r w:rsidR="00F62A6A" w:rsidRPr="006E2A86">
        <w:rPr>
          <w:color w:val="000000"/>
          <w:sz w:val="20"/>
          <w:szCs w:val="20"/>
        </w:rPr>
        <w:t xml:space="preserve"> is $110.96/hour ($231,575</w:t>
      </w:r>
      <w:r w:rsidRPr="006E2A86">
        <w:rPr>
          <w:color w:val="000000"/>
          <w:sz w:val="20"/>
          <w:szCs w:val="20"/>
        </w:rPr>
        <w:t xml:space="preserve"> </w:t>
      </w:r>
      <w:r w:rsidR="00F62A6A" w:rsidRPr="006E2A86">
        <w:rPr>
          <w:color w:val="000000"/>
          <w:sz w:val="20"/>
          <w:szCs w:val="20"/>
        </w:rPr>
        <w:t>/</w:t>
      </w:r>
      <w:r w:rsidRPr="006E2A86">
        <w:rPr>
          <w:color w:val="000000"/>
          <w:sz w:val="20"/>
          <w:szCs w:val="20"/>
        </w:rPr>
        <w:t xml:space="preserve"> </w:t>
      </w:r>
      <w:r w:rsidR="00F62A6A" w:rsidRPr="006E2A86">
        <w:rPr>
          <w:color w:val="000000"/>
          <w:sz w:val="20"/>
          <w:szCs w:val="20"/>
        </w:rPr>
        <w:t xml:space="preserve">2,087).  </w:t>
      </w:r>
    </w:p>
    <w:p w14:paraId="621BD87E" w14:textId="7C3816DF" w:rsidR="00F62A6A" w:rsidRPr="006E2A86" w:rsidRDefault="006E2A86" w:rsidP="00F62A6A">
      <w:pPr>
        <w:widowControl/>
        <w:autoSpaceDE/>
        <w:autoSpaceDN/>
        <w:adjustRightInd/>
        <w:rPr>
          <w:color w:val="000000"/>
          <w:sz w:val="20"/>
          <w:szCs w:val="20"/>
        </w:rPr>
      </w:pPr>
      <w:r w:rsidRPr="006E2A86">
        <w:rPr>
          <w:color w:val="000000"/>
          <w:sz w:val="20"/>
          <w:szCs w:val="20"/>
        </w:rPr>
        <w:t>To calculate % of effort:  4</w:t>
      </w:r>
      <w:r w:rsidR="000B722B" w:rsidRPr="006E2A86">
        <w:rPr>
          <w:color w:val="000000"/>
          <w:sz w:val="20"/>
          <w:szCs w:val="20"/>
        </w:rPr>
        <w:t xml:space="preserve"> hrs/2,087 hrs = 0.0019 or .2</w:t>
      </w:r>
      <w:r w:rsidR="00F62A6A" w:rsidRPr="006E2A86">
        <w:rPr>
          <w:color w:val="000000"/>
          <w:sz w:val="20"/>
          <w:szCs w:val="20"/>
        </w:rPr>
        <w:t>% of effort.</w:t>
      </w:r>
    </w:p>
    <w:p w14:paraId="7E7B7FF8" w14:textId="796DAD8C" w:rsidR="003D6459" w:rsidRPr="006E2A86" w:rsidRDefault="005B2CF8" w:rsidP="00F62A6A">
      <w:pPr>
        <w:widowControl/>
        <w:autoSpaceDE/>
        <w:autoSpaceDN/>
        <w:adjustRightInd/>
        <w:rPr>
          <w:color w:val="000000"/>
          <w:sz w:val="20"/>
          <w:szCs w:val="20"/>
        </w:rPr>
      </w:pPr>
      <w:r w:rsidRPr="006E2A86">
        <w:rPr>
          <w:color w:val="000000"/>
          <w:sz w:val="20"/>
          <w:szCs w:val="20"/>
        </w:rPr>
        <w:t>T</w:t>
      </w:r>
      <w:r w:rsidR="00F62A6A" w:rsidRPr="006E2A86">
        <w:rPr>
          <w:color w:val="000000"/>
          <w:sz w:val="20"/>
          <w:szCs w:val="20"/>
        </w:rPr>
        <w:t xml:space="preserve">otal cost to government </w:t>
      </w:r>
      <w:r w:rsidRPr="006E2A86">
        <w:rPr>
          <w:color w:val="000000"/>
          <w:sz w:val="20"/>
          <w:szCs w:val="20"/>
        </w:rPr>
        <w:t>= $110.96 x 4 = $444</w:t>
      </w:r>
      <w:r w:rsidR="00F62A6A" w:rsidRPr="006E2A86">
        <w:rPr>
          <w:color w:val="000000"/>
          <w:sz w:val="20"/>
          <w:szCs w:val="20"/>
        </w:rPr>
        <w:t>.</w:t>
      </w:r>
      <w:r w:rsidR="003D6459" w:rsidRPr="006E2A86">
        <w:rPr>
          <w:color w:val="000000"/>
          <w:sz w:val="20"/>
          <w:szCs w:val="20"/>
        </w:rPr>
        <w:t xml:space="preserve"> </w:t>
      </w:r>
    </w:p>
    <w:p w14:paraId="074F07D3" w14:textId="1030CE54" w:rsidR="00F62A6A" w:rsidRDefault="00F62A6A" w:rsidP="003D6459">
      <w:pPr>
        <w:widowControl/>
        <w:autoSpaceDE/>
        <w:autoSpaceDN/>
        <w:adjustRightInd/>
        <w:rPr>
          <w:color w:val="000000"/>
        </w:rPr>
      </w:pPr>
    </w:p>
    <w:p w14:paraId="2CADA21E" w14:textId="7DEF5FB7" w:rsidR="006A4735" w:rsidRDefault="006A4735" w:rsidP="003D6459">
      <w:pPr>
        <w:widowControl/>
        <w:autoSpaceDE/>
        <w:autoSpaceDN/>
        <w:adjustRightInd/>
        <w:rPr>
          <w:color w:val="000000"/>
        </w:rPr>
      </w:pPr>
    </w:p>
    <w:p w14:paraId="3941A3AD" w14:textId="77777777" w:rsidR="006A4735" w:rsidRDefault="006A4735" w:rsidP="003D6459">
      <w:pPr>
        <w:widowControl/>
        <w:autoSpaceDE/>
        <w:autoSpaceDN/>
        <w:adjustRightInd/>
        <w:rPr>
          <w:color w:val="000000"/>
        </w:rPr>
        <w:sectPr w:rsidR="006A4735" w:rsidSect="006256BB">
          <w:pgSz w:w="12240" w:h="15840"/>
          <w:pgMar w:top="1440" w:right="1440" w:bottom="1440" w:left="1440" w:header="1440" w:footer="1440" w:gutter="0"/>
          <w:cols w:space="720"/>
          <w:noEndnote/>
          <w:docGrid w:linePitch="326"/>
        </w:sectPr>
      </w:pPr>
    </w:p>
    <w:p w14:paraId="52E79F9E" w14:textId="15E00AAB" w:rsidR="00B01177" w:rsidRDefault="00B01177" w:rsidP="006E2A86">
      <w:pPr>
        <w:keepNext/>
        <w:spacing w:after="240"/>
        <w:rPr>
          <w:b/>
          <w:bCs/>
        </w:rPr>
      </w:pPr>
      <w:r>
        <w:rPr>
          <w:b/>
          <w:bCs/>
        </w:rPr>
        <w:t>15.</w:t>
      </w:r>
      <w:r w:rsidR="00F331DD">
        <w:rPr>
          <w:b/>
          <w:bCs/>
        </w:rPr>
        <w:tab/>
      </w:r>
      <w:r>
        <w:rPr>
          <w:b/>
          <w:bCs/>
          <w:u w:val="single"/>
        </w:rPr>
        <w:t>Explain the reasons for any program changes or</w:t>
      </w:r>
      <w:r w:rsidR="00DF62D6">
        <w:rPr>
          <w:b/>
          <w:bCs/>
          <w:u w:val="single"/>
        </w:rPr>
        <w:t xml:space="preserve"> adjustments</w:t>
      </w:r>
      <w:r>
        <w:rPr>
          <w:b/>
          <w:bCs/>
        </w:rPr>
        <w:t>.</w:t>
      </w:r>
    </w:p>
    <w:p w14:paraId="468AD92B" w14:textId="206F86F5" w:rsidR="00BF4AAE" w:rsidRDefault="00BF4AAE" w:rsidP="006E2A86">
      <w:pPr>
        <w:keepNext/>
        <w:rPr>
          <w:bCs/>
        </w:rPr>
      </w:pPr>
      <w:r w:rsidRPr="00BF4AAE">
        <w:rPr>
          <w:bCs/>
        </w:rPr>
        <w:t>The following tables show the changes and in the number of respondents, responses, time estimates, labor costs, and miscellaneous costs; and explains the reasons for these changes.</w:t>
      </w:r>
    </w:p>
    <w:p w14:paraId="719930FA" w14:textId="134515EF" w:rsidR="00BF4AAE" w:rsidRDefault="00BF4AAE" w:rsidP="006E2A86">
      <w:pPr>
        <w:keepNext/>
        <w:rPr>
          <w:bCs/>
        </w:rPr>
      </w:pPr>
    </w:p>
    <w:tbl>
      <w:tblPr>
        <w:tblW w:w="1339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1071"/>
        <w:gridCol w:w="1062"/>
        <w:gridCol w:w="1003"/>
        <w:gridCol w:w="1129"/>
        <w:gridCol w:w="1129"/>
        <w:gridCol w:w="1130"/>
        <w:gridCol w:w="4390"/>
      </w:tblGrid>
      <w:tr w:rsidR="00BF4AAE" w:rsidRPr="009831D0" w14:paraId="386D22A5" w14:textId="77777777" w:rsidTr="008D38A1">
        <w:tc>
          <w:tcPr>
            <w:tcW w:w="2478" w:type="dxa"/>
            <w:vMerge w:val="restart"/>
            <w:shd w:val="clear" w:color="auto" w:fill="5B9BD5"/>
            <w:vAlign w:val="center"/>
          </w:tcPr>
          <w:p w14:paraId="3B35A648" w14:textId="77777777" w:rsidR="00BF4AAE" w:rsidRPr="009831D0" w:rsidRDefault="00BF4AAE" w:rsidP="002E0DF4">
            <w:pPr>
              <w:keepNext/>
              <w:jc w:val="center"/>
              <w:rPr>
                <w:rFonts w:ascii="Calibri" w:eastAsia="Calibri" w:hAnsi="Calibri"/>
                <w:b/>
                <w:sz w:val="16"/>
                <w:szCs w:val="16"/>
              </w:rPr>
            </w:pPr>
            <w:r w:rsidRPr="009831D0">
              <w:rPr>
                <w:rFonts w:ascii="Calibri" w:eastAsia="Calibri" w:hAnsi="Calibri"/>
                <w:b/>
                <w:sz w:val="16"/>
                <w:szCs w:val="16"/>
              </w:rPr>
              <w:t>Information Collection</w:t>
            </w:r>
          </w:p>
        </w:tc>
        <w:tc>
          <w:tcPr>
            <w:tcW w:w="2133" w:type="dxa"/>
            <w:gridSpan w:val="2"/>
            <w:tcBorders>
              <w:bottom w:val="single" w:sz="4" w:space="0" w:color="auto"/>
            </w:tcBorders>
            <w:shd w:val="clear" w:color="auto" w:fill="5B9BD5"/>
            <w:vAlign w:val="center"/>
          </w:tcPr>
          <w:p w14:paraId="1438E0B1" w14:textId="77777777" w:rsidR="00BF4AAE" w:rsidRPr="009831D0" w:rsidRDefault="00BF4AAE" w:rsidP="002E0DF4">
            <w:pPr>
              <w:keepNext/>
              <w:jc w:val="center"/>
              <w:rPr>
                <w:rFonts w:ascii="Calibri" w:eastAsia="Calibri" w:hAnsi="Calibri"/>
                <w:b/>
                <w:sz w:val="16"/>
                <w:szCs w:val="16"/>
              </w:rPr>
            </w:pPr>
            <w:r w:rsidRPr="009831D0">
              <w:rPr>
                <w:rFonts w:ascii="Calibri" w:eastAsia="Calibri" w:hAnsi="Calibri"/>
                <w:b/>
                <w:sz w:val="16"/>
                <w:szCs w:val="16"/>
              </w:rPr>
              <w:t>Respondents</w:t>
            </w:r>
          </w:p>
        </w:tc>
        <w:tc>
          <w:tcPr>
            <w:tcW w:w="2132" w:type="dxa"/>
            <w:gridSpan w:val="2"/>
            <w:tcBorders>
              <w:bottom w:val="single" w:sz="4" w:space="0" w:color="auto"/>
            </w:tcBorders>
            <w:shd w:val="clear" w:color="auto" w:fill="5B9BD5"/>
            <w:vAlign w:val="center"/>
          </w:tcPr>
          <w:p w14:paraId="6510932E" w14:textId="77777777" w:rsidR="00BF4AAE" w:rsidRPr="009831D0" w:rsidRDefault="00BF4AAE" w:rsidP="002E0DF4">
            <w:pPr>
              <w:keepNext/>
              <w:jc w:val="center"/>
              <w:rPr>
                <w:rFonts w:ascii="Calibri" w:eastAsia="Calibri" w:hAnsi="Calibri"/>
                <w:b/>
                <w:sz w:val="16"/>
                <w:szCs w:val="16"/>
              </w:rPr>
            </w:pPr>
            <w:r w:rsidRPr="009831D0">
              <w:rPr>
                <w:rFonts w:ascii="Calibri" w:eastAsia="Calibri" w:hAnsi="Calibri"/>
                <w:b/>
                <w:sz w:val="16"/>
                <w:szCs w:val="16"/>
              </w:rPr>
              <w:t>Responses</w:t>
            </w:r>
          </w:p>
        </w:tc>
        <w:tc>
          <w:tcPr>
            <w:tcW w:w="2259" w:type="dxa"/>
            <w:gridSpan w:val="2"/>
            <w:tcBorders>
              <w:bottom w:val="single" w:sz="4" w:space="0" w:color="auto"/>
            </w:tcBorders>
            <w:shd w:val="clear" w:color="auto" w:fill="5B9BD5"/>
            <w:vAlign w:val="center"/>
          </w:tcPr>
          <w:p w14:paraId="47EB4458" w14:textId="77777777" w:rsidR="00BF4AAE" w:rsidRPr="009831D0" w:rsidRDefault="00BF4AAE" w:rsidP="002E0DF4">
            <w:pPr>
              <w:keepNext/>
              <w:jc w:val="center"/>
              <w:rPr>
                <w:rFonts w:ascii="Calibri" w:eastAsia="Calibri" w:hAnsi="Calibri"/>
                <w:b/>
                <w:sz w:val="16"/>
                <w:szCs w:val="16"/>
              </w:rPr>
            </w:pPr>
            <w:r w:rsidRPr="009831D0">
              <w:rPr>
                <w:rFonts w:ascii="Calibri" w:eastAsia="Calibri" w:hAnsi="Calibri"/>
                <w:b/>
                <w:sz w:val="16"/>
                <w:szCs w:val="16"/>
              </w:rPr>
              <w:t>Burden Hours</w:t>
            </w:r>
          </w:p>
        </w:tc>
        <w:tc>
          <w:tcPr>
            <w:tcW w:w="4390" w:type="dxa"/>
            <w:vMerge w:val="restart"/>
            <w:shd w:val="clear" w:color="auto" w:fill="5B9BD5"/>
            <w:vAlign w:val="center"/>
          </w:tcPr>
          <w:p w14:paraId="27A9CEBE" w14:textId="77777777" w:rsidR="00BF4AAE" w:rsidRPr="009831D0" w:rsidRDefault="00BF4AAE" w:rsidP="002E0DF4">
            <w:pPr>
              <w:keepNext/>
              <w:jc w:val="center"/>
              <w:rPr>
                <w:rFonts w:ascii="Calibri" w:eastAsia="Calibri" w:hAnsi="Calibri"/>
                <w:b/>
                <w:sz w:val="16"/>
                <w:szCs w:val="16"/>
              </w:rPr>
            </w:pPr>
            <w:r w:rsidRPr="009831D0">
              <w:rPr>
                <w:rFonts w:ascii="Calibri" w:eastAsia="Calibri" w:hAnsi="Calibri"/>
                <w:b/>
                <w:sz w:val="16"/>
                <w:szCs w:val="16"/>
              </w:rPr>
              <w:t>Reason for change or adjustment</w:t>
            </w:r>
          </w:p>
        </w:tc>
      </w:tr>
      <w:tr w:rsidR="00BF4AAE" w:rsidRPr="009831D0" w14:paraId="07AA3521" w14:textId="77777777" w:rsidTr="008D38A1">
        <w:tc>
          <w:tcPr>
            <w:tcW w:w="2478" w:type="dxa"/>
            <w:vMerge/>
            <w:shd w:val="clear" w:color="auto" w:fill="5B9BD5"/>
            <w:vAlign w:val="center"/>
          </w:tcPr>
          <w:p w14:paraId="4DD6E2B1" w14:textId="77777777" w:rsidR="00BF4AAE" w:rsidRPr="009831D0" w:rsidRDefault="00BF4AAE" w:rsidP="002E0DF4">
            <w:pPr>
              <w:keepNext/>
              <w:rPr>
                <w:rFonts w:ascii="Calibri" w:eastAsia="Calibri" w:hAnsi="Calibri"/>
                <w:sz w:val="16"/>
                <w:szCs w:val="16"/>
              </w:rPr>
            </w:pPr>
          </w:p>
        </w:tc>
        <w:tc>
          <w:tcPr>
            <w:tcW w:w="1071" w:type="dxa"/>
            <w:tcBorders>
              <w:bottom w:val="single" w:sz="4" w:space="0" w:color="auto"/>
              <w:right w:val="dashed" w:sz="4" w:space="0" w:color="auto"/>
            </w:tcBorders>
            <w:shd w:val="clear" w:color="auto" w:fill="FBE4D5"/>
            <w:vAlign w:val="center"/>
          </w:tcPr>
          <w:p w14:paraId="47C37678" w14:textId="77777777" w:rsidR="00BF4AAE" w:rsidRPr="009831D0" w:rsidRDefault="00BF4AAE" w:rsidP="002E0DF4">
            <w:pPr>
              <w:keepNext/>
              <w:jc w:val="center"/>
              <w:rPr>
                <w:rFonts w:ascii="Calibri" w:eastAsia="Calibri" w:hAnsi="Calibri"/>
                <w:sz w:val="16"/>
                <w:szCs w:val="16"/>
              </w:rPr>
            </w:pPr>
            <w:r w:rsidRPr="009831D0">
              <w:rPr>
                <w:rFonts w:ascii="Calibri" w:eastAsia="Calibri" w:hAnsi="Calibri"/>
                <w:sz w:val="16"/>
                <w:szCs w:val="16"/>
              </w:rPr>
              <w:t>Current Renewal / Revision</w:t>
            </w:r>
          </w:p>
        </w:tc>
        <w:tc>
          <w:tcPr>
            <w:tcW w:w="1062" w:type="dxa"/>
            <w:tcBorders>
              <w:left w:val="dashed" w:sz="4" w:space="0" w:color="auto"/>
              <w:bottom w:val="single" w:sz="4" w:space="0" w:color="auto"/>
            </w:tcBorders>
            <w:shd w:val="clear" w:color="auto" w:fill="FBE4D5"/>
            <w:vAlign w:val="center"/>
          </w:tcPr>
          <w:p w14:paraId="30A4AF17" w14:textId="77777777" w:rsidR="00BF4AAE" w:rsidRPr="009831D0" w:rsidRDefault="00BF4AAE" w:rsidP="002E0DF4">
            <w:pPr>
              <w:keepNext/>
              <w:jc w:val="center"/>
              <w:rPr>
                <w:rFonts w:ascii="Calibri" w:eastAsia="Calibri" w:hAnsi="Calibri"/>
                <w:sz w:val="16"/>
                <w:szCs w:val="16"/>
              </w:rPr>
            </w:pPr>
            <w:r w:rsidRPr="009831D0">
              <w:rPr>
                <w:rFonts w:ascii="Calibri" w:eastAsia="Calibri" w:hAnsi="Calibri"/>
                <w:sz w:val="16"/>
                <w:szCs w:val="16"/>
              </w:rPr>
              <w:t>Previous Renewal / Revision</w:t>
            </w:r>
          </w:p>
        </w:tc>
        <w:tc>
          <w:tcPr>
            <w:tcW w:w="1003" w:type="dxa"/>
            <w:tcBorders>
              <w:right w:val="dashed" w:sz="4" w:space="0" w:color="auto"/>
            </w:tcBorders>
            <w:shd w:val="clear" w:color="auto" w:fill="FBE4D5"/>
            <w:vAlign w:val="center"/>
          </w:tcPr>
          <w:p w14:paraId="38DDC27F" w14:textId="77777777" w:rsidR="00BF4AAE" w:rsidRPr="009831D0" w:rsidRDefault="00BF4AAE" w:rsidP="002E0DF4">
            <w:pPr>
              <w:keepNext/>
              <w:jc w:val="center"/>
              <w:rPr>
                <w:rFonts w:ascii="Calibri" w:eastAsia="Calibri" w:hAnsi="Calibri"/>
                <w:sz w:val="16"/>
                <w:szCs w:val="16"/>
              </w:rPr>
            </w:pPr>
            <w:r w:rsidRPr="009831D0">
              <w:rPr>
                <w:rFonts w:ascii="Calibri" w:eastAsia="Calibri" w:hAnsi="Calibri"/>
                <w:sz w:val="16"/>
                <w:szCs w:val="16"/>
              </w:rPr>
              <w:t>Current Renewal / Revision</w:t>
            </w:r>
          </w:p>
        </w:tc>
        <w:tc>
          <w:tcPr>
            <w:tcW w:w="1129" w:type="dxa"/>
            <w:tcBorders>
              <w:left w:val="dashed" w:sz="4" w:space="0" w:color="auto"/>
            </w:tcBorders>
            <w:shd w:val="clear" w:color="auto" w:fill="FBE4D5"/>
            <w:vAlign w:val="center"/>
          </w:tcPr>
          <w:p w14:paraId="2E7B645E" w14:textId="77777777" w:rsidR="00BF4AAE" w:rsidRPr="009831D0" w:rsidRDefault="00BF4AAE" w:rsidP="002E0DF4">
            <w:pPr>
              <w:keepNext/>
              <w:jc w:val="center"/>
              <w:rPr>
                <w:rFonts w:ascii="Calibri" w:eastAsia="Calibri" w:hAnsi="Calibri"/>
                <w:sz w:val="16"/>
                <w:szCs w:val="16"/>
              </w:rPr>
            </w:pPr>
            <w:r w:rsidRPr="009831D0">
              <w:rPr>
                <w:rFonts w:ascii="Calibri" w:eastAsia="Calibri" w:hAnsi="Calibri"/>
                <w:sz w:val="16"/>
                <w:szCs w:val="16"/>
              </w:rPr>
              <w:t>Previous Renewal / Revision</w:t>
            </w:r>
          </w:p>
        </w:tc>
        <w:tc>
          <w:tcPr>
            <w:tcW w:w="1129" w:type="dxa"/>
            <w:tcBorders>
              <w:bottom w:val="single" w:sz="4" w:space="0" w:color="auto"/>
              <w:right w:val="dashed" w:sz="4" w:space="0" w:color="auto"/>
            </w:tcBorders>
            <w:shd w:val="clear" w:color="auto" w:fill="FBE4D5"/>
            <w:vAlign w:val="center"/>
          </w:tcPr>
          <w:p w14:paraId="4EC64902" w14:textId="77777777" w:rsidR="00BF4AAE" w:rsidRPr="009831D0" w:rsidRDefault="00BF4AAE" w:rsidP="002E0DF4">
            <w:pPr>
              <w:keepNext/>
              <w:jc w:val="center"/>
              <w:rPr>
                <w:rFonts w:ascii="Calibri" w:eastAsia="Calibri" w:hAnsi="Calibri"/>
                <w:sz w:val="16"/>
                <w:szCs w:val="16"/>
              </w:rPr>
            </w:pPr>
            <w:r w:rsidRPr="009831D0">
              <w:rPr>
                <w:rFonts w:ascii="Calibri" w:eastAsia="Calibri" w:hAnsi="Calibri"/>
                <w:sz w:val="16"/>
                <w:szCs w:val="16"/>
              </w:rPr>
              <w:t>Current Renewal / Revision</w:t>
            </w:r>
          </w:p>
        </w:tc>
        <w:tc>
          <w:tcPr>
            <w:tcW w:w="1130" w:type="dxa"/>
            <w:tcBorders>
              <w:left w:val="dashed" w:sz="4" w:space="0" w:color="auto"/>
            </w:tcBorders>
            <w:shd w:val="clear" w:color="auto" w:fill="FBE4D5"/>
            <w:vAlign w:val="center"/>
          </w:tcPr>
          <w:p w14:paraId="27EBA9EB" w14:textId="77777777" w:rsidR="00BF4AAE" w:rsidRPr="009831D0" w:rsidRDefault="00BF4AAE" w:rsidP="002E0DF4">
            <w:pPr>
              <w:keepNext/>
              <w:jc w:val="center"/>
              <w:rPr>
                <w:rFonts w:ascii="Calibri" w:eastAsia="Calibri" w:hAnsi="Calibri"/>
                <w:sz w:val="16"/>
                <w:szCs w:val="16"/>
              </w:rPr>
            </w:pPr>
            <w:r w:rsidRPr="009831D0">
              <w:rPr>
                <w:rFonts w:ascii="Calibri" w:eastAsia="Calibri" w:hAnsi="Calibri"/>
                <w:sz w:val="16"/>
                <w:szCs w:val="16"/>
              </w:rPr>
              <w:t>Previous Renewal / Revision</w:t>
            </w:r>
          </w:p>
        </w:tc>
        <w:tc>
          <w:tcPr>
            <w:tcW w:w="4390" w:type="dxa"/>
            <w:vMerge/>
            <w:shd w:val="clear" w:color="auto" w:fill="FBE4D5"/>
            <w:vAlign w:val="center"/>
          </w:tcPr>
          <w:p w14:paraId="16E26E32" w14:textId="77777777" w:rsidR="00BF4AAE" w:rsidRPr="009831D0" w:rsidRDefault="00BF4AAE" w:rsidP="002E0DF4">
            <w:pPr>
              <w:keepNext/>
              <w:rPr>
                <w:rFonts w:ascii="Calibri" w:eastAsia="Calibri" w:hAnsi="Calibri"/>
                <w:sz w:val="16"/>
                <w:szCs w:val="16"/>
              </w:rPr>
            </w:pPr>
          </w:p>
        </w:tc>
      </w:tr>
      <w:tr w:rsidR="00A06018" w:rsidRPr="009831D0" w14:paraId="1D54D555" w14:textId="77777777" w:rsidTr="00A06018">
        <w:tc>
          <w:tcPr>
            <w:tcW w:w="2478" w:type="dxa"/>
            <w:tcBorders>
              <w:top w:val="nil"/>
              <w:left w:val="single" w:sz="4" w:space="0" w:color="auto"/>
              <w:bottom w:val="single" w:sz="4" w:space="0" w:color="auto"/>
              <w:right w:val="single" w:sz="4" w:space="0" w:color="auto"/>
            </w:tcBorders>
            <w:shd w:val="clear" w:color="auto" w:fill="auto"/>
            <w:vAlign w:val="center"/>
          </w:tcPr>
          <w:p w14:paraId="27C4F8F9" w14:textId="645BDD3A" w:rsidR="00A06018" w:rsidRPr="009831D0" w:rsidRDefault="00A06018" w:rsidP="00A06018">
            <w:pPr>
              <w:keepNext/>
              <w:rPr>
                <w:rFonts w:ascii="Calibri" w:hAnsi="Calibri"/>
                <w:sz w:val="16"/>
                <w:szCs w:val="16"/>
              </w:rPr>
            </w:pPr>
            <w:r w:rsidRPr="00292AD5">
              <w:rPr>
                <w:rFonts w:asciiTheme="minorHAnsi" w:hAnsiTheme="minorHAnsi" w:cstheme="minorHAnsi"/>
                <w:sz w:val="16"/>
                <w:szCs w:val="16"/>
              </w:rPr>
              <w:t>CDQ Vessel Registration System</w:t>
            </w:r>
          </w:p>
        </w:tc>
        <w:tc>
          <w:tcPr>
            <w:tcW w:w="1071" w:type="dxa"/>
            <w:tcBorders>
              <w:bottom w:val="dotted" w:sz="4" w:space="0" w:color="auto"/>
              <w:right w:val="dashed" w:sz="4" w:space="0" w:color="auto"/>
            </w:tcBorders>
            <w:shd w:val="clear" w:color="auto" w:fill="auto"/>
            <w:vAlign w:val="center"/>
          </w:tcPr>
          <w:p w14:paraId="4A9034F5" w14:textId="74A2A2CB" w:rsidR="00A06018" w:rsidRPr="009831D0" w:rsidRDefault="00FF2AAD" w:rsidP="00A06018">
            <w:pPr>
              <w:keepNext/>
              <w:jc w:val="center"/>
              <w:rPr>
                <w:rFonts w:ascii="Calibri" w:eastAsia="Calibri" w:hAnsi="Calibri"/>
                <w:sz w:val="16"/>
                <w:szCs w:val="16"/>
              </w:rPr>
            </w:pPr>
            <w:r>
              <w:rPr>
                <w:rFonts w:ascii="Calibri" w:eastAsia="Calibri" w:hAnsi="Calibri"/>
                <w:sz w:val="16"/>
                <w:szCs w:val="16"/>
              </w:rPr>
              <w:t>1</w:t>
            </w:r>
          </w:p>
        </w:tc>
        <w:tc>
          <w:tcPr>
            <w:tcW w:w="1062" w:type="dxa"/>
            <w:tcBorders>
              <w:left w:val="dashed" w:sz="4" w:space="0" w:color="auto"/>
              <w:bottom w:val="dotted" w:sz="4" w:space="0" w:color="auto"/>
            </w:tcBorders>
            <w:shd w:val="clear" w:color="auto" w:fill="auto"/>
            <w:vAlign w:val="center"/>
          </w:tcPr>
          <w:p w14:paraId="194C864E" w14:textId="1B5071A3" w:rsidR="00A06018" w:rsidRPr="009831D0" w:rsidRDefault="00A06018" w:rsidP="00A06018">
            <w:pPr>
              <w:keepNext/>
              <w:jc w:val="center"/>
              <w:rPr>
                <w:rFonts w:ascii="Calibri" w:eastAsia="Calibri" w:hAnsi="Calibri"/>
                <w:sz w:val="16"/>
                <w:szCs w:val="16"/>
              </w:rPr>
            </w:pPr>
            <w:r>
              <w:rPr>
                <w:rFonts w:ascii="Calibri" w:eastAsia="Calibri" w:hAnsi="Calibri"/>
                <w:sz w:val="16"/>
                <w:szCs w:val="16"/>
              </w:rPr>
              <w:t>6</w:t>
            </w:r>
          </w:p>
        </w:tc>
        <w:tc>
          <w:tcPr>
            <w:tcW w:w="1003" w:type="dxa"/>
            <w:tcBorders>
              <w:bottom w:val="dotted" w:sz="4" w:space="0" w:color="auto"/>
              <w:right w:val="dashed" w:sz="4" w:space="0" w:color="auto"/>
            </w:tcBorders>
            <w:shd w:val="clear" w:color="auto" w:fill="auto"/>
            <w:vAlign w:val="center"/>
          </w:tcPr>
          <w:p w14:paraId="27C91602" w14:textId="2A332172" w:rsidR="00A06018" w:rsidRPr="009831D0" w:rsidRDefault="009B1E07" w:rsidP="00A06018">
            <w:pPr>
              <w:keepNext/>
              <w:jc w:val="center"/>
              <w:rPr>
                <w:rFonts w:ascii="Calibri" w:eastAsia="Calibri" w:hAnsi="Calibri"/>
                <w:sz w:val="16"/>
                <w:szCs w:val="16"/>
              </w:rPr>
            </w:pPr>
            <w:r>
              <w:rPr>
                <w:rFonts w:ascii="Calibri" w:eastAsia="Calibri" w:hAnsi="Calibri"/>
                <w:sz w:val="16"/>
                <w:szCs w:val="16"/>
              </w:rPr>
              <w:t>1</w:t>
            </w:r>
          </w:p>
        </w:tc>
        <w:tc>
          <w:tcPr>
            <w:tcW w:w="1129" w:type="dxa"/>
            <w:tcBorders>
              <w:left w:val="dashed" w:sz="4" w:space="0" w:color="auto"/>
              <w:bottom w:val="dotted" w:sz="4" w:space="0" w:color="auto"/>
            </w:tcBorders>
            <w:shd w:val="clear" w:color="auto" w:fill="auto"/>
            <w:vAlign w:val="center"/>
          </w:tcPr>
          <w:p w14:paraId="685E22FD" w14:textId="3A5F65B6" w:rsidR="00A06018" w:rsidRPr="009831D0" w:rsidRDefault="00A06018" w:rsidP="00A06018">
            <w:pPr>
              <w:keepNext/>
              <w:jc w:val="center"/>
              <w:rPr>
                <w:rFonts w:ascii="Calibri" w:eastAsia="Calibri" w:hAnsi="Calibri"/>
                <w:sz w:val="16"/>
                <w:szCs w:val="16"/>
              </w:rPr>
            </w:pPr>
            <w:r>
              <w:rPr>
                <w:rFonts w:ascii="Calibri" w:eastAsia="Calibri" w:hAnsi="Calibri"/>
                <w:sz w:val="16"/>
                <w:szCs w:val="16"/>
              </w:rPr>
              <w:t>6</w:t>
            </w:r>
          </w:p>
        </w:tc>
        <w:tc>
          <w:tcPr>
            <w:tcW w:w="1129" w:type="dxa"/>
            <w:tcBorders>
              <w:bottom w:val="dotted" w:sz="4" w:space="0" w:color="auto"/>
              <w:right w:val="dashed" w:sz="4" w:space="0" w:color="auto"/>
            </w:tcBorders>
            <w:shd w:val="clear" w:color="auto" w:fill="auto"/>
            <w:vAlign w:val="center"/>
          </w:tcPr>
          <w:p w14:paraId="7E71430F" w14:textId="6694A755" w:rsidR="00A06018" w:rsidRPr="009831D0" w:rsidRDefault="001C461F" w:rsidP="00A06018">
            <w:pPr>
              <w:keepNext/>
              <w:jc w:val="center"/>
              <w:rPr>
                <w:rFonts w:ascii="Calibri" w:eastAsia="Calibri" w:hAnsi="Calibri"/>
                <w:sz w:val="16"/>
                <w:szCs w:val="16"/>
              </w:rPr>
            </w:pPr>
            <w:r>
              <w:rPr>
                <w:rFonts w:ascii="Calibri" w:eastAsia="Calibri" w:hAnsi="Calibri"/>
                <w:sz w:val="16"/>
                <w:szCs w:val="16"/>
              </w:rPr>
              <w:t>1</w:t>
            </w:r>
          </w:p>
        </w:tc>
        <w:tc>
          <w:tcPr>
            <w:tcW w:w="1130" w:type="dxa"/>
            <w:tcBorders>
              <w:left w:val="dashed" w:sz="4" w:space="0" w:color="auto"/>
              <w:bottom w:val="dotted" w:sz="4" w:space="0" w:color="auto"/>
            </w:tcBorders>
            <w:shd w:val="clear" w:color="auto" w:fill="auto"/>
            <w:vAlign w:val="center"/>
          </w:tcPr>
          <w:p w14:paraId="5A26A004" w14:textId="6FDCC5A9" w:rsidR="00A06018" w:rsidRPr="009831D0" w:rsidRDefault="00A06018" w:rsidP="00A06018">
            <w:pPr>
              <w:keepNext/>
              <w:jc w:val="center"/>
              <w:rPr>
                <w:rFonts w:ascii="Calibri" w:eastAsia="Calibri" w:hAnsi="Calibri"/>
                <w:sz w:val="16"/>
                <w:szCs w:val="16"/>
              </w:rPr>
            </w:pPr>
            <w:r>
              <w:rPr>
                <w:rFonts w:ascii="Calibri" w:eastAsia="Calibri" w:hAnsi="Calibri"/>
                <w:sz w:val="16"/>
                <w:szCs w:val="16"/>
              </w:rPr>
              <w:t>2</w:t>
            </w:r>
          </w:p>
        </w:tc>
        <w:tc>
          <w:tcPr>
            <w:tcW w:w="4390" w:type="dxa"/>
            <w:tcBorders>
              <w:left w:val="dotted" w:sz="4" w:space="0" w:color="auto"/>
              <w:bottom w:val="dotted" w:sz="4" w:space="0" w:color="auto"/>
            </w:tcBorders>
            <w:shd w:val="clear" w:color="auto" w:fill="auto"/>
            <w:vAlign w:val="center"/>
          </w:tcPr>
          <w:p w14:paraId="16D5A62D" w14:textId="234800D8" w:rsidR="00A06018" w:rsidRPr="009831D0" w:rsidRDefault="009B1E07" w:rsidP="009B1E07">
            <w:pPr>
              <w:keepNext/>
              <w:rPr>
                <w:rFonts w:ascii="Calibri" w:eastAsia="Calibri" w:hAnsi="Calibri"/>
                <w:sz w:val="16"/>
                <w:szCs w:val="16"/>
              </w:rPr>
            </w:pPr>
            <w:r>
              <w:rPr>
                <w:rFonts w:ascii="Calibri" w:eastAsia="Calibri" w:hAnsi="Calibri"/>
                <w:sz w:val="16"/>
                <w:szCs w:val="16"/>
              </w:rPr>
              <w:t xml:space="preserve">Adjusted the estimate of the number of registrations because we have received no registrations since the provision was implemented in 2016. </w:t>
            </w:r>
          </w:p>
        </w:tc>
      </w:tr>
      <w:tr w:rsidR="00A06018" w:rsidRPr="009831D0" w14:paraId="1D208326" w14:textId="77777777" w:rsidTr="00A06018">
        <w:tc>
          <w:tcPr>
            <w:tcW w:w="2478" w:type="dxa"/>
            <w:tcBorders>
              <w:top w:val="nil"/>
              <w:left w:val="single" w:sz="4" w:space="0" w:color="auto"/>
              <w:bottom w:val="single" w:sz="4" w:space="0" w:color="auto"/>
              <w:right w:val="single" w:sz="4" w:space="0" w:color="auto"/>
            </w:tcBorders>
            <w:shd w:val="clear" w:color="auto" w:fill="auto"/>
            <w:vAlign w:val="center"/>
          </w:tcPr>
          <w:p w14:paraId="5A88CE35" w14:textId="3342DF99" w:rsidR="00A06018" w:rsidRPr="009831D0" w:rsidRDefault="00A06018" w:rsidP="00A06018">
            <w:pPr>
              <w:keepNext/>
              <w:rPr>
                <w:rFonts w:ascii="Calibri" w:hAnsi="Calibri"/>
                <w:sz w:val="16"/>
                <w:szCs w:val="16"/>
              </w:rPr>
            </w:pPr>
            <w:r w:rsidRPr="00292AD5">
              <w:rPr>
                <w:rFonts w:asciiTheme="minorHAnsi" w:hAnsiTheme="minorHAnsi" w:cstheme="minorHAnsi"/>
                <w:sz w:val="16"/>
                <w:szCs w:val="16"/>
              </w:rPr>
              <w:t>Groundfish/Halibut CDQ and Prohibited Species Quota (PSQ) Transfer Request</w:t>
            </w:r>
          </w:p>
        </w:tc>
        <w:tc>
          <w:tcPr>
            <w:tcW w:w="1071" w:type="dxa"/>
            <w:tcBorders>
              <w:bottom w:val="dotted" w:sz="4" w:space="0" w:color="auto"/>
              <w:right w:val="dashed" w:sz="4" w:space="0" w:color="auto"/>
            </w:tcBorders>
            <w:shd w:val="clear" w:color="auto" w:fill="auto"/>
            <w:vAlign w:val="center"/>
          </w:tcPr>
          <w:p w14:paraId="4D5BA729" w14:textId="5991B5A8" w:rsidR="00A06018" w:rsidRPr="009831D0" w:rsidRDefault="00FF2AAD" w:rsidP="00A06018">
            <w:pPr>
              <w:keepNext/>
              <w:jc w:val="center"/>
              <w:rPr>
                <w:rFonts w:ascii="Calibri" w:eastAsia="Calibri" w:hAnsi="Calibri"/>
                <w:sz w:val="16"/>
                <w:szCs w:val="16"/>
              </w:rPr>
            </w:pPr>
            <w:r>
              <w:rPr>
                <w:rFonts w:ascii="Calibri" w:eastAsia="Calibri" w:hAnsi="Calibri"/>
                <w:sz w:val="16"/>
                <w:szCs w:val="16"/>
              </w:rPr>
              <w:t>6</w:t>
            </w:r>
          </w:p>
        </w:tc>
        <w:tc>
          <w:tcPr>
            <w:tcW w:w="1062" w:type="dxa"/>
            <w:tcBorders>
              <w:left w:val="dashed" w:sz="4" w:space="0" w:color="auto"/>
              <w:bottom w:val="dotted" w:sz="4" w:space="0" w:color="auto"/>
            </w:tcBorders>
            <w:shd w:val="clear" w:color="auto" w:fill="auto"/>
            <w:vAlign w:val="center"/>
          </w:tcPr>
          <w:p w14:paraId="5028BCEA" w14:textId="2A4C7ED6" w:rsidR="00A06018" w:rsidRPr="009831D0" w:rsidRDefault="00A06018" w:rsidP="00A06018">
            <w:pPr>
              <w:keepNext/>
              <w:jc w:val="center"/>
              <w:rPr>
                <w:rFonts w:ascii="Calibri" w:eastAsia="Calibri" w:hAnsi="Calibri"/>
                <w:sz w:val="16"/>
                <w:szCs w:val="16"/>
              </w:rPr>
            </w:pPr>
            <w:r>
              <w:rPr>
                <w:rFonts w:ascii="Calibri" w:eastAsia="Calibri" w:hAnsi="Calibri"/>
                <w:sz w:val="16"/>
                <w:szCs w:val="16"/>
              </w:rPr>
              <w:t>12</w:t>
            </w:r>
          </w:p>
        </w:tc>
        <w:tc>
          <w:tcPr>
            <w:tcW w:w="1003" w:type="dxa"/>
            <w:tcBorders>
              <w:bottom w:val="dotted" w:sz="4" w:space="0" w:color="auto"/>
              <w:right w:val="dashed" w:sz="4" w:space="0" w:color="auto"/>
            </w:tcBorders>
            <w:shd w:val="clear" w:color="auto" w:fill="auto"/>
            <w:vAlign w:val="center"/>
          </w:tcPr>
          <w:p w14:paraId="45E441DC" w14:textId="3F08D2FF" w:rsidR="00A06018" w:rsidRPr="009831D0" w:rsidRDefault="009B1E07" w:rsidP="00A06018">
            <w:pPr>
              <w:keepNext/>
              <w:jc w:val="center"/>
              <w:rPr>
                <w:rFonts w:ascii="Calibri" w:hAnsi="Calibri"/>
                <w:sz w:val="16"/>
                <w:szCs w:val="16"/>
              </w:rPr>
            </w:pPr>
            <w:r>
              <w:rPr>
                <w:rFonts w:ascii="Calibri" w:hAnsi="Calibri"/>
                <w:sz w:val="16"/>
                <w:szCs w:val="16"/>
              </w:rPr>
              <w:t>72</w:t>
            </w:r>
          </w:p>
        </w:tc>
        <w:tc>
          <w:tcPr>
            <w:tcW w:w="1129" w:type="dxa"/>
            <w:tcBorders>
              <w:left w:val="dashed" w:sz="4" w:space="0" w:color="auto"/>
              <w:bottom w:val="dotted" w:sz="4" w:space="0" w:color="auto"/>
            </w:tcBorders>
            <w:shd w:val="clear" w:color="auto" w:fill="auto"/>
            <w:vAlign w:val="center"/>
          </w:tcPr>
          <w:p w14:paraId="60BF817E" w14:textId="1DDDF8F0" w:rsidR="00A06018" w:rsidRPr="009831D0" w:rsidRDefault="00A06018" w:rsidP="00A06018">
            <w:pPr>
              <w:keepNext/>
              <w:jc w:val="center"/>
              <w:rPr>
                <w:rFonts w:ascii="Calibri" w:eastAsia="Calibri" w:hAnsi="Calibri"/>
                <w:sz w:val="16"/>
                <w:szCs w:val="16"/>
              </w:rPr>
            </w:pPr>
            <w:r>
              <w:rPr>
                <w:rFonts w:ascii="Calibri" w:eastAsia="Calibri" w:hAnsi="Calibri"/>
                <w:sz w:val="16"/>
                <w:szCs w:val="16"/>
              </w:rPr>
              <w:t>2</w:t>
            </w:r>
            <w:r w:rsidR="008F175C">
              <w:rPr>
                <w:rFonts w:ascii="Calibri" w:eastAsia="Calibri" w:hAnsi="Calibri"/>
                <w:sz w:val="16"/>
                <w:szCs w:val="16"/>
              </w:rPr>
              <w:t>4</w:t>
            </w:r>
          </w:p>
        </w:tc>
        <w:tc>
          <w:tcPr>
            <w:tcW w:w="1129" w:type="dxa"/>
            <w:tcBorders>
              <w:bottom w:val="dotted" w:sz="4" w:space="0" w:color="auto"/>
              <w:right w:val="dashed" w:sz="4" w:space="0" w:color="auto"/>
            </w:tcBorders>
            <w:shd w:val="clear" w:color="auto" w:fill="auto"/>
            <w:vAlign w:val="center"/>
          </w:tcPr>
          <w:p w14:paraId="2DD7A02F" w14:textId="72DF8C84" w:rsidR="00A06018" w:rsidRPr="009831D0" w:rsidRDefault="009B1E07" w:rsidP="00A06018">
            <w:pPr>
              <w:keepNext/>
              <w:jc w:val="center"/>
              <w:rPr>
                <w:rFonts w:ascii="Calibri" w:eastAsia="Calibri" w:hAnsi="Calibri"/>
                <w:sz w:val="16"/>
                <w:szCs w:val="16"/>
              </w:rPr>
            </w:pPr>
            <w:r>
              <w:rPr>
                <w:rFonts w:ascii="Calibri" w:eastAsia="Calibri" w:hAnsi="Calibri"/>
                <w:sz w:val="16"/>
                <w:szCs w:val="16"/>
              </w:rPr>
              <w:t>36</w:t>
            </w:r>
          </w:p>
        </w:tc>
        <w:tc>
          <w:tcPr>
            <w:tcW w:w="1130" w:type="dxa"/>
            <w:tcBorders>
              <w:left w:val="dashed" w:sz="4" w:space="0" w:color="auto"/>
              <w:bottom w:val="dotted" w:sz="4" w:space="0" w:color="auto"/>
            </w:tcBorders>
            <w:shd w:val="clear" w:color="auto" w:fill="auto"/>
            <w:vAlign w:val="center"/>
          </w:tcPr>
          <w:p w14:paraId="4428E3A5" w14:textId="70698ED1" w:rsidR="00A06018" w:rsidRPr="009831D0" w:rsidRDefault="00A06018" w:rsidP="00A06018">
            <w:pPr>
              <w:keepNext/>
              <w:jc w:val="center"/>
              <w:rPr>
                <w:rFonts w:ascii="Calibri" w:eastAsia="Calibri" w:hAnsi="Calibri"/>
                <w:sz w:val="16"/>
                <w:szCs w:val="16"/>
              </w:rPr>
            </w:pPr>
            <w:r>
              <w:rPr>
                <w:rFonts w:ascii="Calibri" w:eastAsia="Calibri" w:hAnsi="Calibri"/>
                <w:sz w:val="16"/>
                <w:szCs w:val="16"/>
              </w:rPr>
              <w:t>14</w:t>
            </w:r>
          </w:p>
        </w:tc>
        <w:tc>
          <w:tcPr>
            <w:tcW w:w="4390" w:type="dxa"/>
            <w:tcBorders>
              <w:left w:val="dotted" w:sz="4" w:space="0" w:color="auto"/>
              <w:bottom w:val="dotted" w:sz="4" w:space="0" w:color="auto"/>
            </w:tcBorders>
            <w:shd w:val="clear" w:color="auto" w:fill="auto"/>
            <w:vAlign w:val="center"/>
          </w:tcPr>
          <w:p w14:paraId="6FB21019" w14:textId="3A600624" w:rsidR="00A06018" w:rsidRPr="009831D0" w:rsidRDefault="009B1E07" w:rsidP="00A06018">
            <w:pPr>
              <w:keepNext/>
              <w:rPr>
                <w:rFonts w:ascii="Calibri" w:eastAsia="Calibri" w:hAnsi="Calibri"/>
                <w:sz w:val="16"/>
                <w:szCs w:val="16"/>
              </w:rPr>
            </w:pPr>
            <w:r>
              <w:rPr>
                <w:rFonts w:ascii="Calibri" w:eastAsia="Calibri" w:hAnsi="Calibri"/>
                <w:sz w:val="16"/>
                <w:szCs w:val="16"/>
              </w:rPr>
              <w:t xml:space="preserve">Adjusted the number of respondents to reflect that the 6 CDQ groups are the only respondents. Adjusted the number of responses based on the average number of transfers requested in the last three years. </w:t>
            </w:r>
            <w:r w:rsidR="00D05A33">
              <w:rPr>
                <w:rFonts w:ascii="Calibri" w:eastAsia="Calibri" w:hAnsi="Calibri"/>
                <w:sz w:val="16"/>
                <w:szCs w:val="16"/>
              </w:rPr>
              <w:t xml:space="preserve">Adjusted time per response from 35 min to 30 min. to reflect the accuracy at which we can project the average time per response. </w:t>
            </w:r>
          </w:p>
        </w:tc>
      </w:tr>
      <w:tr w:rsidR="00BF4AAE" w:rsidRPr="009831D0" w14:paraId="5353BDA7" w14:textId="77777777" w:rsidTr="008D38A1">
        <w:tc>
          <w:tcPr>
            <w:tcW w:w="2478" w:type="dxa"/>
            <w:shd w:val="clear" w:color="auto" w:fill="BDD6EE"/>
            <w:vAlign w:val="center"/>
          </w:tcPr>
          <w:p w14:paraId="5A4BC323" w14:textId="77777777" w:rsidR="00BF4AAE" w:rsidRPr="009831D0" w:rsidRDefault="00BF4AAE" w:rsidP="002E0DF4">
            <w:pPr>
              <w:keepNext/>
              <w:jc w:val="center"/>
              <w:rPr>
                <w:rFonts w:ascii="Calibri" w:eastAsia="Calibri" w:hAnsi="Calibri"/>
                <w:b/>
                <w:sz w:val="16"/>
                <w:szCs w:val="16"/>
              </w:rPr>
            </w:pPr>
            <w:r w:rsidRPr="009831D0">
              <w:rPr>
                <w:rFonts w:ascii="Calibri" w:eastAsia="Calibri" w:hAnsi="Calibri"/>
                <w:b/>
                <w:sz w:val="16"/>
                <w:szCs w:val="16"/>
              </w:rPr>
              <w:t>Total for Collection</w:t>
            </w:r>
          </w:p>
        </w:tc>
        <w:tc>
          <w:tcPr>
            <w:tcW w:w="1071" w:type="dxa"/>
            <w:tcBorders>
              <w:right w:val="dashed" w:sz="4" w:space="0" w:color="auto"/>
            </w:tcBorders>
            <w:shd w:val="clear" w:color="auto" w:fill="BDD6EE"/>
            <w:vAlign w:val="center"/>
          </w:tcPr>
          <w:p w14:paraId="2789EDCB" w14:textId="1E6E2C11" w:rsidR="00BF4AAE" w:rsidRPr="00A06018" w:rsidRDefault="009B1E07" w:rsidP="002E0DF4">
            <w:pPr>
              <w:keepNext/>
              <w:jc w:val="center"/>
              <w:rPr>
                <w:rFonts w:ascii="Calibri" w:eastAsia="Calibri" w:hAnsi="Calibri"/>
                <w:b/>
                <w:sz w:val="16"/>
                <w:szCs w:val="16"/>
                <w:vertAlign w:val="superscript"/>
              </w:rPr>
            </w:pPr>
            <w:r>
              <w:rPr>
                <w:rFonts w:ascii="Calibri" w:eastAsia="Calibri" w:hAnsi="Calibri"/>
                <w:b/>
                <w:sz w:val="16"/>
                <w:szCs w:val="16"/>
              </w:rPr>
              <w:t xml:space="preserve">6 </w:t>
            </w:r>
            <w:r w:rsidR="00A06018" w:rsidRPr="00A06018">
              <w:rPr>
                <w:rFonts w:ascii="Calibri" w:eastAsia="Calibri" w:hAnsi="Calibri"/>
                <w:b/>
                <w:sz w:val="16"/>
                <w:szCs w:val="16"/>
                <w:vertAlign w:val="superscript"/>
              </w:rPr>
              <w:t>1/</w:t>
            </w:r>
          </w:p>
        </w:tc>
        <w:tc>
          <w:tcPr>
            <w:tcW w:w="1062" w:type="dxa"/>
            <w:tcBorders>
              <w:left w:val="dashed" w:sz="4" w:space="0" w:color="auto"/>
            </w:tcBorders>
            <w:shd w:val="clear" w:color="auto" w:fill="BDD6EE"/>
            <w:vAlign w:val="center"/>
          </w:tcPr>
          <w:p w14:paraId="71745F42" w14:textId="2566C21C" w:rsidR="00BF4AAE" w:rsidRPr="009831D0" w:rsidRDefault="00A06018" w:rsidP="00E16300">
            <w:pPr>
              <w:keepNext/>
              <w:jc w:val="center"/>
              <w:rPr>
                <w:rFonts w:ascii="Calibri" w:eastAsia="Calibri" w:hAnsi="Calibri"/>
                <w:b/>
                <w:sz w:val="16"/>
                <w:szCs w:val="16"/>
              </w:rPr>
            </w:pPr>
            <w:r>
              <w:rPr>
                <w:rFonts w:ascii="Calibri" w:eastAsia="Calibri" w:hAnsi="Calibri"/>
                <w:b/>
                <w:sz w:val="16"/>
                <w:szCs w:val="16"/>
              </w:rPr>
              <w:t>13</w:t>
            </w:r>
          </w:p>
        </w:tc>
        <w:tc>
          <w:tcPr>
            <w:tcW w:w="1003" w:type="dxa"/>
            <w:tcBorders>
              <w:bottom w:val="single" w:sz="4" w:space="0" w:color="auto"/>
              <w:right w:val="dashed" w:sz="4" w:space="0" w:color="auto"/>
            </w:tcBorders>
            <w:shd w:val="clear" w:color="auto" w:fill="BDD6EE"/>
            <w:vAlign w:val="center"/>
          </w:tcPr>
          <w:p w14:paraId="18775101" w14:textId="1E7B98AD" w:rsidR="00BF4AAE" w:rsidRPr="009831D0" w:rsidRDefault="00D05A33" w:rsidP="002E0DF4">
            <w:pPr>
              <w:keepNext/>
              <w:jc w:val="center"/>
              <w:rPr>
                <w:rFonts w:ascii="Calibri" w:eastAsia="Calibri" w:hAnsi="Calibri"/>
                <w:b/>
                <w:sz w:val="16"/>
                <w:szCs w:val="16"/>
              </w:rPr>
            </w:pPr>
            <w:r>
              <w:rPr>
                <w:rFonts w:ascii="Calibri" w:eastAsia="Calibri" w:hAnsi="Calibri"/>
                <w:b/>
                <w:sz w:val="16"/>
                <w:szCs w:val="16"/>
              </w:rPr>
              <w:t>75</w:t>
            </w:r>
          </w:p>
        </w:tc>
        <w:tc>
          <w:tcPr>
            <w:tcW w:w="1129" w:type="dxa"/>
            <w:tcBorders>
              <w:left w:val="dashed" w:sz="4" w:space="0" w:color="auto"/>
              <w:bottom w:val="single" w:sz="4" w:space="0" w:color="auto"/>
            </w:tcBorders>
            <w:shd w:val="clear" w:color="auto" w:fill="BDD6EE"/>
            <w:vAlign w:val="center"/>
          </w:tcPr>
          <w:p w14:paraId="346B47BD" w14:textId="612665AB" w:rsidR="00BF4AAE" w:rsidRPr="009831D0" w:rsidRDefault="00C57757" w:rsidP="002E0DF4">
            <w:pPr>
              <w:keepNext/>
              <w:jc w:val="center"/>
              <w:rPr>
                <w:rFonts w:ascii="Calibri" w:eastAsia="Calibri" w:hAnsi="Calibri"/>
                <w:b/>
                <w:sz w:val="16"/>
                <w:szCs w:val="16"/>
              </w:rPr>
            </w:pPr>
            <w:r>
              <w:rPr>
                <w:rFonts w:ascii="Calibri" w:eastAsia="Calibri" w:hAnsi="Calibri"/>
                <w:b/>
                <w:sz w:val="16"/>
                <w:szCs w:val="16"/>
              </w:rPr>
              <w:t>32</w:t>
            </w:r>
          </w:p>
        </w:tc>
        <w:tc>
          <w:tcPr>
            <w:tcW w:w="1129" w:type="dxa"/>
            <w:tcBorders>
              <w:right w:val="dashed" w:sz="4" w:space="0" w:color="auto"/>
            </w:tcBorders>
            <w:shd w:val="clear" w:color="auto" w:fill="BDD6EE"/>
            <w:vAlign w:val="center"/>
          </w:tcPr>
          <w:p w14:paraId="12ABF63A" w14:textId="7C8E1E03" w:rsidR="00BF4AAE" w:rsidRPr="009831D0" w:rsidRDefault="001C461F" w:rsidP="002E0DF4">
            <w:pPr>
              <w:keepNext/>
              <w:jc w:val="center"/>
              <w:rPr>
                <w:rFonts w:ascii="Calibri" w:eastAsia="Calibri" w:hAnsi="Calibri"/>
                <w:b/>
                <w:sz w:val="16"/>
                <w:szCs w:val="16"/>
              </w:rPr>
            </w:pPr>
            <w:r>
              <w:rPr>
                <w:rFonts w:ascii="Calibri" w:eastAsia="Calibri" w:hAnsi="Calibri"/>
                <w:b/>
                <w:sz w:val="16"/>
                <w:szCs w:val="16"/>
              </w:rPr>
              <w:t>4</w:t>
            </w:r>
            <w:r w:rsidR="00D05A33">
              <w:rPr>
                <w:rFonts w:ascii="Calibri" w:eastAsia="Calibri" w:hAnsi="Calibri"/>
                <w:b/>
                <w:sz w:val="16"/>
                <w:szCs w:val="16"/>
              </w:rPr>
              <w:t>6</w:t>
            </w:r>
          </w:p>
        </w:tc>
        <w:tc>
          <w:tcPr>
            <w:tcW w:w="1130" w:type="dxa"/>
            <w:tcBorders>
              <w:left w:val="dashed" w:sz="4" w:space="0" w:color="auto"/>
            </w:tcBorders>
            <w:shd w:val="clear" w:color="auto" w:fill="BDD6EE"/>
            <w:vAlign w:val="center"/>
          </w:tcPr>
          <w:p w14:paraId="6A11DD5E" w14:textId="6677189E" w:rsidR="00BF4AAE" w:rsidRPr="009831D0" w:rsidRDefault="00C57757" w:rsidP="002E0DF4">
            <w:pPr>
              <w:keepNext/>
              <w:jc w:val="center"/>
              <w:rPr>
                <w:rFonts w:ascii="Calibri" w:eastAsia="Calibri" w:hAnsi="Calibri"/>
                <w:b/>
                <w:sz w:val="16"/>
                <w:szCs w:val="16"/>
              </w:rPr>
            </w:pPr>
            <w:r>
              <w:rPr>
                <w:rFonts w:ascii="Calibri" w:eastAsia="Calibri" w:hAnsi="Calibri"/>
                <w:b/>
                <w:sz w:val="16"/>
                <w:szCs w:val="16"/>
              </w:rPr>
              <w:t>25</w:t>
            </w:r>
          </w:p>
        </w:tc>
        <w:tc>
          <w:tcPr>
            <w:tcW w:w="4390" w:type="dxa"/>
            <w:tcBorders>
              <w:left w:val="dotted" w:sz="4" w:space="0" w:color="auto"/>
            </w:tcBorders>
            <w:shd w:val="clear" w:color="auto" w:fill="BDD6EE"/>
            <w:vAlign w:val="center"/>
          </w:tcPr>
          <w:p w14:paraId="4A66583B" w14:textId="77777777" w:rsidR="00BF4AAE" w:rsidRPr="009831D0" w:rsidRDefault="00BF4AAE" w:rsidP="002E0DF4">
            <w:pPr>
              <w:keepNext/>
              <w:jc w:val="center"/>
              <w:rPr>
                <w:rFonts w:ascii="Calibri" w:eastAsia="Calibri" w:hAnsi="Calibri"/>
                <w:b/>
                <w:sz w:val="16"/>
                <w:szCs w:val="16"/>
              </w:rPr>
            </w:pPr>
          </w:p>
        </w:tc>
      </w:tr>
    </w:tbl>
    <w:p w14:paraId="5C673B54" w14:textId="64E72F53" w:rsidR="00BF4AAE" w:rsidRPr="00A06018" w:rsidRDefault="00A06018" w:rsidP="006E2A86">
      <w:pPr>
        <w:keepNext/>
        <w:rPr>
          <w:rFonts w:asciiTheme="minorHAnsi" w:hAnsiTheme="minorHAnsi" w:cstheme="minorHAnsi"/>
          <w:bCs/>
          <w:sz w:val="18"/>
          <w:szCs w:val="18"/>
        </w:rPr>
      </w:pPr>
      <w:r w:rsidRPr="00A06018">
        <w:rPr>
          <w:rFonts w:asciiTheme="minorHAnsi" w:hAnsiTheme="minorHAnsi" w:cstheme="minorHAnsi"/>
          <w:bCs/>
          <w:sz w:val="18"/>
          <w:szCs w:val="18"/>
          <w:vertAlign w:val="superscript"/>
        </w:rPr>
        <w:t>1/</w:t>
      </w:r>
      <w:r w:rsidRPr="00A06018">
        <w:rPr>
          <w:rFonts w:asciiTheme="minorHAnsi" w:hAnsiTheme="minorHAnsi" w:cstheme="minorHAnsi"/>
          <w:bCs/>
          <w:sz w:val="18"/>
          <w:szCs w:val="18"/>
        </w:rPr>
        <w:t xml:space="preserve">Some participants in the </w:t>
      </w:r>
      <w:r w:rsidR="0072676C">
        <w:rPr>
          <w:rFonts w:asciiTheme="minorHAnsi" w:hAnsiTheme="minorHAnsi" w:cstheme="minorHAnsi"/>
          <w:bCs/>
          <w:sz w:val="18"/>
          <w:szCs w:val="18"/>
        </w:rPr>
        <w:t>CDQ</w:t>
      </w:r>
      <w:r w:rsidRPr="00A06018">
        <w:rPr>
          <w:rFonts w:asciiTheme="minorHAnsi" w:hAnsiTheme="minorHAnsi" w:cstheme="minorHAnsi"/>
          <w:bCs/>
          <w:sz w:val="18"/>
          <w:szCs w:val="18"/>
        </w:rPr>
        <w:t xml:space="preserve"> Program submit more than one instrument in this information collection. Therefore, the number of unique respondents is used to show the estimated number of </w:t>
      </w:r>
      <w:r w:rsidR="0072676C">
        <w:rPr>
          <w:rFonts w:asciiTheme="minorHAnsi" w:hAnsiTheme="minorHAnsi" w:cstheme="minorHAnsi"/>
          <w:bCs/>
          <w:sz w:val="18"/>
          <w:szCs w:val="18"/>
        </w:rPr>
        <w:t>individual participants</w:t>
      </w:r>
      <w:r w:rsidRPr="00A06018">
        <w:rPr>
          <w:rFonts w:asciiTheme="minorHAnsi" w:hAnsiTheme="minorHAnsi" w:cstheme="minorHAnsi"/>
          <w:bCs/>
          <w:sz w:val="18"/>
          <w:szCs w:val="18"/>
        </w:rPr>
        <w:t xml:space="preserve"> who are expected to annually submit information during the renewal period for this information collection. The estimated number of unique respon</w:t>
      </w:r>
      <w:r w:rsidR="0072676C">
        <w:rPr>
          <w:rFonts w:asciiTheme="minorHAnsi" w:hAnsiTheme="minorHAnsi" w:cstheme="minorHAnsi"/>
          <w:bCs/>
          <w:sz w:val="18"/>
          <w:szCs w:val="18"/>
        </w:rPr>
        <w:t>dents consist of the representatives of the six CDQ groups</w:t>
      </w:r>
      <w:r w:rsidR="009B1E07">
        <w:rPr>
          <w:rFonts w:asciiTheme="minorHAnsi" w:hAnsiTheme="minorHAnsi" w:cstheme="minorHAnsi"/>
          <w:bCs/>
          <w:sz w:val="18"/>
          <w:szCs w:val="18"/>
        </w:rPr>
        <w:t xml:space="preserve">. </w:t>
      </w:r>
    </w:p>
    <w:p w14:paraId="5A9B8FD4" w14:textId="77777777" w:rsidR="00A06018" w:rsidRDefault="00A06018" w:rsidP="006E2A86">
      <w:pPr>
        <w:keepNext/>
        <w:rPr>
          <w:bCs/>
        </w:rPr>
      </w:pPr>
    </w:p>
    <w:tbl>
      <w:tblPr>
        <w:tblW w:w="1337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1251"/>
        <w:gridCol w:w="1155"/>
        <w:gridCol w:w="1058"/>
        <w:gridCol w:w="1252"/>
        <w:gridCol w:w="6177"/>
      </w:tblGrid>
      <w:tr w:rsidR="00BF4AAE" w:rsidRPr="009831D0" w14:paraId="4B18FD53" w14:textId="77777777" w:rsidTr="008D38A1">
        <w:tc>
          <w:tcPr>
            <w:tcW w:w="2478" w:type="dxa"/>
            <w:vMerge w:val="restart"/>
            <w:shd w:val="clear" w:color="auto" w:fill="5B9BD5"/>
            <w:vAlign w:val="center"/>
          </w:tcPr>
          <w:p w14:paraId="252DF64B" w14:textId="77777777" w:rsidR="00BF4AAE" w:rsidRPr="009831D0" w:rsidRDefault="00BF4AAE" w:rsidP="002E0DF4">
            <w:pPr>
              <w:keepNext/>
              <w:shd w:val="clear" w:color="auto" w:fill="5B9BD5"/>
              <w:jc w:val="center"/>
              <w:rPr>
                <w:rFonts w:ascii="Calibri" w:eastAsia="Calibri" w:hAnsi="Calibri"/>
                <w:b/>
                <w:sz w:val="16"/>
                <w:szCs w:val="16"/>
              </w:rPr>
            </w:pPr>
            <w:r w:rsidRPr="009831D0">
              <w:rPr>
                <w:rFonts w:ascii="Calibri" w:eastAsia="Calibri" w:hAnsi="Calibri"/>
                <w:b/>
                <w:sz w:val="16"/>
                <w:szCs w:val="16"/>
              </w:rPr>
              <w:t>Information Collection</w:t>
            </w:r>
          </w:p>
        </w:tc>
        <w:tc>
          <w:tcPr>
            <w:tcW w:w="2406" w:type="dxa"/>
            <w:gridSpan w:val="2"/>
            <w:tcBorders>
              <w:bottom w:val="single" w:sz="4" w:space="0" w:color="auto"/>
            </w:tcBorders>
            <w:shd w:val="clear" w:color="auto" w:fill="5B9BD5"/>
            <w:vAlign w:val="center"/>
          </w:tcPr>
          <w:p w14:paraId="6F4E5AA2" w14:textId="77777777" w:rsidR="00BF4AAE" w:rsidRPr="009831D0" w:rsidRDefault="00BF4AAE" w:rsidP="002E0DF4">
            <w:pPr>
              <w:keepNext/>
              <w:shd w:val="clear" w:color="auto" w:fill="5B9BD5"/>
              <w:jc w:val="center"/>
              <w:rPr>
                <w:rFonts w:ascii="Calibri" w:eastAsia="Calibri" w:hAnsi="Calibri"/>
                <w:b/>
                <w:sz w:val="16"/>
                <w:szCs w:val="16"/>
              </w:rPr>
            </w:pPr>
            <w:r w:rsidRPr="009831D0">
              <w:rPr>
                <w:rFonts w:ascii="Calibri" w:eastAsia="Calibri" w:hAnsi="Calibri"/>
                <w:b/>
                <w:sz w:val="16"/>
                <w:szCs w:val="16"/>
              </w:rPr>
              <w:t>Labor Costs</w:t>
            </w:r>
          </w:p>
        </w:tc>
        <w:tc>
          <w:tcPr>
            <w:tcW w:w="2310" w:type="dxa"/>
            <w:gridSpan w:val="2"/>
            <w:shd w:val="clear" w:color="auto" w:fill="5B9BD5"/>
          </w:tcPr>
          <w:p w14:paraId="2BF7EC51" w14:textId="77777777" w:rsidR="00BF4AAE" w:rsidRPr="009831D0" w:rsidRDefault="00BF4AAE" w:rsidP="002E0DF4">
            <w:pPr>
              <w:keepNext/>
              <w:shd w:val="clear" w:color="auto" w:fill="5B9BD5"/>
              <w:jc w:val="center"/>
              <w:rPr>
                <w:rFonts w:ascii="Calibri" w:eastAsia="Calibri" w:hAnsi="Calibri"/>
                <w:b/>
                <w:sz w:val="16"/>
                <w:szCs w:val="16"/>
              </w:rPr>
            </w:pPr>
            <w:r w:rsidRPr="009831D0">
              <w:rPr>
                <w:rFonts w:ascii="Calibri" w:eastAsia="Calibri" w:hAnsi="Calibri"/>
                <w:b/>
                <w:sz w:val="16"/>
                <w:szCs w:val="16"/>
              </w:rPr>
              <w:t>Miscellaneous Costs</w:t>
            </w:r>
          </w:p>
        </w:tc>
        <w:tc>
          <w:tcPr>
            <w:tcW w:w="6177" w:type="dxa"/>
            <w:vMerge w:val="restart"/>
            <w:tcBorders>
              <w:right w:val="single" w:sz="4" w:space="0" w:color="auto"/>
            </w:tcBorders>
            <w:shd w:val="clear" w:color="auto" w:fill="5B9BD5"/>
            <w:vAlign w:val="center"/>
          </w:tcPr>
          <w:p w14:paraId="6131B5D1" w14:textId="77777777" w:rsidR="00BF4AAE" w:rsidRPr="009831D0" w:rsidRDefault="00BF4AAE" w:rsidP="002E0DF4">
            <w:pPr>
              <w:keepNext/>
              <w:shd w:val="clear" w:color="auto" w:fill="5B9BD5"/>
              <w:jc w:val="center"/>
              <w:rPr>
                <w:rFonts w:ascii="Calibri" w:eastAsia="Calibri" w:hAnsi="Calibri"/>
                <w:b/>
                <w:sz w:val="16"/>
                <w:szCs w:val="16"/>
              </w:rPr>
            </w:pPr>
            <w:r w:rsidRPr="009831D0">
              <w:rPr>
                <w:rFonts w:ascii="Calibri" w:eastAsia="Calibri" w:hAnsi="Calibri"/>
                <w:b/>
                <w:sz w:val="16"/>
                <w:szCs w:val="16"/>
              </w:rPr>
              <w:t>Reason for change or adjustment</w:t>
            </w:r>
          </w:p>
        </w:tc>
      </w:tr>
      <w:tr w:rsidR="00BF4AAE" w:rsidRPr="009831D0" w14:paraId="46945D7D" w14:textId="77777777" w:rsidTr="008D38A1">
        <w:tc>
          <w:tcPr>
            <w:tcW w:w="2478" w:type="dxa"/>
            <w:vMerge/>
            <w:shd w:val="clear" w:color="auto" w:fill="5B9BD5"/>
            <w:vAlign w:val="center"/>
          </w:tcPr>
          <w:p w14:paraId="18BB304C" w14:textId="77777777" w:rsidR="00BF4AAE" w:rsidRPr="009831D0" w:rsidRDefault="00BF4AAE" w:rsidP="002E0DF4">
            <w:pPr>
              <w:keepNext/>
              <w:jc w:val="center"/>
              <w:rPr>
                <w:rFonts w:ascii="Calibri" w:eastAsia="Calibri" w:hAnsi="Calibri"/>
                <w:sz w:val="16"/>
                <w:szCs w:val="16"/>
              </w:rPr>
            </w:pPr>
          </w:p>
        </w:tc>
        <w:tc>
          <w:tcPr>
            <w:tcW w:w="1251" w:type="dxa"/>
            <w:tcBorders>
              <w:bottom w:val="single" w:sz="4" w:space="0" w:color="auto"/>
              <w:right w:val="dashSmallGap" w:sz="4" w:space="0" w:color="auto"/>
            </w:tcBorders>
            <w:shd w:val="clear" w:color="auto" w:fill="FBE4D5"/>
            <w:vAlign w:val="center"/>
          </w:tcPr>
          <w:p w14:paraId="60389099" w14:textId="77777777" w:rsidR="00BF4AAE" w:rsidRPr="009831D0" w:rsidRDefault="00BF4AAE" w:rsidP="002E0DF4">
            <w:pPr>
              <w:keepNext/>
              <w:jc w:val="center"/>
              <w:rPr>
                <w:rFonts w:ascii="Calibri" w:eastAsia="Calibri" w:hAnsi="Calibri"/>
                <w:sz w:val="16"/>
                <w:szCs w:val="16"/>
              </w:rPr>
            </w:pPr>
            <w:r w:rsidRPr="009831D0">
              <w:rPr>
                <w:rFonts w:ascii="Calibri" w:eastAsia="Calibri" w:hAnsi="Calibri"/>
                <w:sz w:val="16"/>
                <w:szCs w:val="16"/>
              </w:rPr>
              <w:t>Current</w:t>
            </w:r>
          </w:p>
        </w:tc>
        <w:tc>
          <w:tcPr>
            <w:tcW w:w="1155" w:type="dxa"/>
            <w:tcBorders>
              <w:left w:val="dashSmallGap" w:sz="4" w:space="0" w:color="auto"/>
              <w:bottom w:val="single" w:sz="4" w:space="0" w:color="auto"/>
            </w:tcBorders>
            <w:shd w:val="clear" w:color="auto" w:fill="FBE4D5"/>
            <w:vAlign w:val="center"/>
          </w:tcPr>
          <w:p w14:paraId="7510383D" w14:textId="77777777" w:rsidR="00BF4AAE" w:rsidRPr="009831D0" w:rsidRDefault="00BF4AAE" w:rsidP="002E0DF4">
            <w:pPr>
              <w:keepNext/>
              <w:jc w:val="center"/>
              <w:rPr>
                <w:rFonts w:ascii="Calibri" w:eastAsia="Calibri" w:hAnsi="Calibri"/>
                <w:sz w:val="16"/>
                <w:szCs w:val="16"/>
              </w:rPr>
            </w:pPr>
            <w:r w:rsidRPr="009831D0">
              <w:rPr>
                <w:rFonts w:ascii="Calibri" w:eastAsia="Calibri" w:hAnsi="Calibri"/>
                <w:sz w:val="16"/>
                <w:szCs w:val="16"/>
              </w:rPr>
              <w:t>Previous</w:t>
            </w:r>
          </w:p>
        </w:tc>
        <w:tc>
          <w:tcPr>
            <w:tcW w:w="1058" w:type="dxa"/>
            <w:tcBorders>
              <w:right w:val="dashSmallGap" w:sz="4" w:space="0" w:color="auto"/>
            </w:tcBorders>
            <w:shd w:val="clear" w:color="auto" w:fill="FBE4D5"/>
            <w:vAlign w:val="center"/>
          </w:tcPr>
          <w:p w14:paraId="0A4A6344" w14:textId="77777777" w:rsidR="00BF4AAE" w:rsidRPr="009831D0" w:rsidRDefault="00BF4AAE" w:rsidP="002E0DF4">
            <w:pPr>
              <w:keepNext/>
              <w:jc w:val="center"/>
              <w:rPr>
                <w:rFonts w:ascii="Calibri" w:eastAsia="Calibri" w:hAnsi="Calibri"/>
                <w:sz w:val="16"/>
                <w:szCs w:val="16"/>
              </w:rPr>
            </w:pPr>
            <w:r w:rsidRPr="009831D0">
              <w:rPr>
                <w:rFonts w:ascii="Calibri" w:eastAsia="Calibri" w:hAnsi="Calibri"/>
                <w:sz w:val="16"/>
                <w:szCs w:val="16"/>
              </w:rPr>
              <w:t>Current</w:t>
            </w:r>
          </w:p>
        </w:tc>
        <w:tc>
          <w:tcPr>
            <w:tcW w:w="1252" w:type="dxa"/>
            <w:tcBorders>
              <w:left w:val="dashSmallGap" w:sz="4" w:space="0" w:color="auto"/>
            </w:tcBorders>
            <w:shd w:val="clear" w:color="auto" w:fill="FBE4D5"/>
            <w:vAlign w:val="center"/>
          </w:tcPr>
          <w:p w14:paraId="62CED8C8" w14:textId="77777777" w:rsidR="00BF4AAE" w:rsidRPr="009831D0" w:rsidRDefault="00BF4AAE" w:rsidP="002E0DF4">
            <w:pPr>
              <w:keepNext/>
              <w:jc w:val="center"/>
              <w:rPr>
                <w:rFonts w:ascii="Calibri" w:eastAsia="Calibri" w:hAnsi="Calibri"/>
                <w:sz w:val="16"/>
                <w:szCs w:val="16"/>
              </w:rPr>
            </w:pPr>
            <w:r w:rsidRPr="009831D0">
              <w:rPr>
                <w:rFonts w:ascii="Calibri" w:eastAsia="Calibri" w:hAnsi="Calibri"/>
                <w:sz w:val="16"/>
                <w:szCs w:val="16"/>
              </w:rPr>
              <w:t>Previous</w:t>
            </w:r>
          </w:p>
        </w:tc>
        <w:tc>
          <w:tcPr>
            <w:tcW w:w="6177" w:type="dxa"/>
            <w:vMerge/>
            <w:tcBorders>
              <w:right w:val="single" w:sz="4" w:space="0" w:color="auto"/>
            </w:tcBorders>
            <w:shd w:val="clear" w:color="auto" w:fill="FBE4D5"/>
            <w:vAlign w:val="center"/>
          </w:tcPr>
          <w:p w14:paraId="345F4986" w14:textId="77777777" w:rsidR="00BF4AAE" w:rsidRPr="009831D0" w:rsidRDefault="00BF4AAE" w:rsidP="002E0DF4">
            <w:pPr>
              <w:keepNext/>
              <w:rPr>
                <w:rFonts w:ascii="Calibri" w:eastAsia="Calibri" w:hAnsi="Calibri"/>
                <w:sz w:val="16"/>
                <w:szCs w:val="16"/>
              </w:rPr>
            </w:pPr>
          </w:p>
        </w:tc>
      </w:tr>
      <w:tr w:rsidR="00A06018" w:rsidRPr="009831D0" w14:paraId="55DBBB54" w14:textId="77777777" w:rsidTr="00A06018">
        <w:tc>
          <w:tcPr>
            <w:tcW w:w="2478" w:type="dxa"/>
            <w:tcBorders>
              <w:top w:val="nil"/>
              <w:left w:val="single" w:sz="4" w:space="0" w:color="auto"/>
              <w:bottom w:val="single" w:sz="4" w:space="0" w:color="auto"/>
              <w:right w:val="single" w:sz="4" w:space="0" w:color="auto"/>
            </w:tcBorders>
            <w:shd w:val="clear" w:color="auto" w:fill="auto"/>
            <w:vAlign w:val="center"/>
          </w:tcPr>
          <w:p w14:paraId="44D36D03" w14:textId="33A7217E" w:rsidR="00A06018" w:rsidRPr="009831D0" w:rsidRDefault="00A06018" w:rsidP="00A06018">
            <w:pPr>
              <w:keepNext/>
              <w:rPr>
                <w:rFonts w:ascii="Calibri" w:eastAsia="Calibri" w:hAnsi="Calibri"/>
                <w:sz w:val="16"/>
                <w:szCs w:val="16"/>
              </w:rPr>
            </w:pPr>
            <w:r w:rsidRPr="00292AD5">
              <w:rPr>
                <w:rFonts w:asciiTheme="minorHAnsi" w:hAnsiTheme="minorHAnsi" w:cstheme="minorHAnsi"/>
                <w:sz w:val="16"/>
                <w:szCs w:val="16"/>
              </w:rPr>
              <w:t>CDQ Vessel Registration System</w:t>
            </w:r>
          </w:p>
        </w:tc>
        <w:tc>
          <w:tcPr>
            <w:tcW w:w="1251" w:type="dxa"/>
            <w:tcBorders>
              <w:bottom w:val="dotted" w:sz="4" w:space="0" w:color="auto"/>
              <w:right w:val="dashSmallGap" w:sz="4" w:space="0" w:color="auto"/>
            </w:tcBorders>
            <w:shd w:val="clear" w:color="auto" w:fill="auto"/>
            <w:vAlign w:val="center"/>
          </w:tcPr>
          <w:p w14:paraId="7E09D571" w14:textId="6A79D944" w:rsidR="00A06018" w:rsidRPr="009831D0" w:rsidRDefault="00D05A33" w:rsidP="00A06018">
            <w:pPr>
              <w:keepNext/>
              <w:jc w:val="center"/>
              <w:rPr>
                <w:rFonts w:ascii="Calibri" w:eastAsia="Calibri" w:hAnsi="Calibri"/>
                <w:sz w:val="16"/>
                <w:szCs w:val="16"/>
              </w:rPr>
            </w:pPr>
            <w:r>
              <w:rPr>
                <w:rFonts w:ascii="Calibri" w:eastAsia="Calibri" w:hAnsi="Calibri"/>
                <w:sz w:val="16"/>
                <w:szCs w:val="16"/>
              </w:rPr>
              <w:t>54</w:t>
            </w:r>
          </w:p>
        </w:tc>
        <w:tc>
          <w:tcPr>
            <w:tcW w:w="1155" w:type="dxa"/>
            <w:tcBorders>
              <w:left w:val="dashSmallGap" w:sz="4" w:space="0" w:color="auto"/>
              <w:bottom w:val="dotted" w:sz="4" w:space="0" w:color="auto"/>
            </w:tcBorders>
            <w:shd w:val="clear" w:color="auto" w:fill="auto"/>
            <w:vAlign w:val="center"/>
          </w:tcPr>
          <w:p w14:paraId="5A4E4995" w14:textId="65CCC8FA" w:rsidR="00A06018" w:rsidRPr="009831D0" w:rsidRDefault="00A06018" w:rsidP="00A06018">
            <w:pPr>
              <w:keepNext/>
              <w:jc w:val="center"/>
              <w:rPr>
                <w:rFonts w:ascii="Calibri" w:eastAsia="Calibri" w:hAnsi="Calibri"/>
                <w:sz w:val="16"/>
                <w:szCs w:val="16"/>
              </w:rPr>
            </w:pPr>
            <w:r>
              <w:rPr>
                <w:rFonts w:ascii="Calibri" w:eastAsia="Calibri" w:hAnsi="Calibri"/>
                <w:sz w:val="16"/>
                <w:szCs w:val="16"/>
              </w:rPr>
              <w:t>74</w:t>
            </w:r>
          </w:p>
        </w:tc>
        <w:tc>
          <w:tcPr>
            <w:tcW w:w="1058" w:type="dxa"/>
            <w:tcBorders>
              <w:left w:val="dotted" w:sz="4" w:space="0" w:color="auto"/>
              <w:bottom w:val="dotted" w:sz="4" w:space="0" w:color="auto"/>
              <w:right w:val="dashSmallGap" w:sz="4" w:space="0" w:color="auto"/>
            </w:tcBorders>
            <w:vAlign w:val="center"/>
          </w:tcPr>
          <w:p w14:paraId="0869CAF3" w14:textId="61E4775B" w:rsidR="00A06018" w:rsidRPr="009831D0" w:rsidRDefault="00D05A33" w:rsidP="00A06018">
            <w:pPr>
              <w:keepNext/>
              <w:jc w:val="center"/>
              <w:rPr>
                <w:rFonts w:ascii="Calibri" w:eastAsia="Calibri" w:hAnsi="Calibri"/>
                <w:sz w:val="16"/>
                <w:szCs w:val="16"/>
              </w:rPr>
            </w:pPr>
            <w:r>
              <w:rPr>
                <w:rFonts w:ascii="Calibri" w:eastAsia="Calibri" w:hAnsi="Calibri"/>
                <w:sz w:val="16"/>
                <w:szCs w:val="16"/>
              </w:rPr>
              <w:t>0</w:t>
            </w:r>
          </w:p>
        </w:tc>
        <w:tc>
          <w:tcPr>
            <w:tcW w:w="1252" w:type="dxa"/>
            <w:tcBorders>
              <w:left w:val="dashSmallGap" w:sz="4" w:space="0" w:color="auto"/>
              <w:bottom w:val="dotted" w:sz="4" w:space="0" w:color="auto"/>
              <w:right w:val="single" w:sz="4" w:space="0" w:color="auto"/>
            </w:tcBorders>
            <w:vAlign w:val="center"/>
          </w:tcPr>
          <w:p w14:paraId="5D9B7C61" w14:textId="495E7133" w:rsidR="00A06018" w:rsidRPr="009831D0" w:rsidRDefault="00A06018" w:rsidP="00A06018">
            <w:pPr>
              <w:keepNext/>
              <w:jc w:val="center"/>
              <w:rPr>
                <w:rFonts w:ascii="Calibri" w:eastAsia="Calibri" w:hAnsi="Calibri"/>
                <w:sz w:val="16"/>
                <w:szCs w:val="16"/>
              </w:rPr>
            </w:pPr>
            <w:r>
              <w:rPr>
                <w:rFonts w:ascii="Calibri" w:eastAsia="Calibri" w:hAnsi="Calibri"/>
                <w:sz w:val="16"/>
                <w:szCs w:val="16"/>
              </w:rPr>
              <w:t>0</w:t>
            </w:r>
          </w:p>
        </w:tc>
        <w:tc>
          <w:tcPr>
            <w:tcW w:w="6177" w:type="dxa"/>
            <w:tcBorders>
              <w:left w:val="single" w:sz="4" w:space="0" w:color="auto"/>
              <w:bottom w:val="dotted" w:sz="4" w:space="0" w:color="auto"/>
              <w:right w:val="single" w:sz="4" w:space="0" w:color="auto"/>
            </w:tcBorders>
            <w:shd w:val="clear" w:color="auto" w:fill="auto"/>
            <w:vAlign w:val="center"/>
          </w:tcPr>
          <w:p w14:paraId="30FF869B" w14:textId="3C4808C8" w:rsidR="00A06018" w:rsidRPr="009831D0" w:rsidRDefault="00D05A33" w:rsidP="00A06018">
            <w:pPr>
              <w:keepNext/>
              <w:rPr>
                <w:rFonts w:ascii="Calibri" w:eastAsia="Calibri" w:hAnsi="Calibri"/>
                <w:sz w:val="16"/>
                <w:szCs w:val="16"/>
              </w:rPr>
            </w:pPr>
            <w:r>
              <w:rPr>
                <w:rFonts w:ascii="Calibri" w:eastAsia="Calibri" w:hAnsi="Calibri"/>
                <w:sz w:val="16"/>
                <w:szCs w:val="16"/>
              </w:rPr>
              <w:t xml:space="preserve">Adjusted estimated number of burden hours and used a more recent wage rate estimate. </w:t>
            </w:r>
          </w:p>
        </w:tc>
      </w:tr>
      <w:tr w:rsidR="00D05A33" w:rsidRPr="009831D0" w14:paraId="304E5C86" w14:textId="77777777" w:rsidTr="00A06018">
        <w:tc>
          <w:tcPr>
            <w:tcW w:w="2478" w:type="dxa"/>
            <w:tcBorders>
              <w:top w:val="nil"/>
              <w:left w:val="single" w:sz="4" w:space="0" w:color="auto"/>
              <w:bottom w:val="single" w:sz="4" w:space="0" w:color="auto"/>
              <w:right w:val="single" w:sz="4" w:space="0" w:color="auto"/>
            </w:tcBorders>
            <w:shd w:val="clear" w:color="auto" w:fill="auto"/>
            <w:vAlign w:val="center"/>
          </w:tcPr>
          <w:p w14:paraId="69AE693E" w14:textId="2DBCB278" w:rsidR="00D05A33" w:rsidRPr="009831D0" w:rsidRDefault="00D05A33" w:rsidP="00D05A33">
            <w:pPr>
              <w:keepNext/>
              <w:rPr>
                <w:rFonts w:ascii="Calibri" w:eastAsia="Calibri" w:hAnsi="Calibri"/>
                <w:sz w:val="16"/>
                <w:szCs w:val="16"/>
              </w:rPr>
            </w:pPr>
            <w:r w:rsidRPr="00292AD5">
              <w:rPr>
                <w:rFonts w:asciiTheme="minorHAnsi" w:hAnsiTheme="minorHAnsi" w:cstheme="minorHAnsi"/>
                <w:sz w:val="16"/>
                <w:szCs w:val="16"/>
              </w:rPr>
              <w:t>Groundfish/Halibut CDQ and Prohibited Species Quota (PSQ) Transfer Request</w:t>
            </w:r>
          </w:p>
        </w:tc>
        <w:tc>
          <w:tcPr>
            <w:tcW w:w="1251" w:type="dxa"/>
            <w:tcBorders>
              <w:bottom w:val="dotted" w:sz="4" w:space="0" w:color="auto"/>
              <w:right w:val="dashSmallGap" w:sz="4" w:space="0" w:color="auto"/>
            </w:tcBorders>
            <w:shd w:val="clear" w:color="auto" w:fill="auto"/>
            <w:vAlign w:val="center"/>
          </w:tcPr>
          <w:p w14:paraId="630866A8" w14:textId="66C7005C" w:rsidR="00D05A33" w:rsidRPr="009831D0" w:rsidRDefault="00D05A33" w:rsidP="00D05A33">
            <w:pPr>
              <w:keepNext/>
              <w:jc w:val="center"/>
              <w:rPr>
                <w:rFonts w:ascii="Calibri" w:eastAsia="Calibri" w:hAnsi="Calibri"/>
                <w:sz w:val="16"/>
                <w:szCs w:val="16"/>
              </w:rPr>
            </w:pPr>
            <w:r>
              <w:rPr>
                <w:rFonts w:ascii="Calibri" w:eastAsia="Calibri" w:hAnsi="Calibri"/>
                <w:sz w:val="16"/>
                <w:szCs w:val="16"/>
              </w:rPr>
              <w:t>1,949</w:t>
            </w:r>
          </w:p>
        </w:tc>
        <w:tc>
          <w:tcPr>
            <w:tcW w:w="1155" w:type="dxa"/>
            <w:tcBorders>
              <w:left w:val="dashSmallGap" w:sz="4" w:space="0" w:color="auto"/>
              <w:bottom w:val="dotted" w:sz="4" w:space="0" w:color="auto"/>
            </w:tcBorders>
            <w:shd w:val="clear" w:color="auto" w:fill="auto"/>
            <w:vAlign w:val="center"/>
          </w:tcPr>
          <w:p w14:paraId="545733E4" w14:textId="17F5EF08" w:rsidR="00D05A33" w:rsidRPr="009831D0" w:rsidRDefault="00D05A33" w:rsidP="00D05A33">
            <w:pPr>
              <w:keepNext/>
              <w:jc w:val="center"/>
              <w:rPr>
                <w:rFonts w:ascii="Calibri" w:eastAsia="Calibri" w:hAnsi="Calibri"/>
                <w:sz w:val="16"/>
                <w:szCs w:val="16"/>
              </w:rPr>
            </w:pPr>
            <w:r>
              <w:rPr>
                <w:rFonts w:ascii="Calibri" w:eastAsia="Calibri" w:hAnsi="Calibri"/>
                <w:sz w:val="16"/>
                <w:szCs w:val="16"/>
              </w:rPr>
              <w:t>518</w:t>
            </w:r>
          </w:p>
        </w:tc>
        <w:tc>
          <w:tcPr>
            <w:tcW w:w="1058" w:type="dxa"/>
            <w:tcBorders>
              <w:left w:val="dotted" w:sz="4" w:space="0" w:color="auto"/>
              <w:bottom w:val="dotted" w:sz="4" w:space="0" w:color="auto"/>
              <w:right w:val="dashSmallGap" w:sz="4" w:space="0" w:color="auto"/>
            </w:tcBorders>
            <w:vAlign w:val="center"/>
          </w:tcPr>
          <w:p w14:paraId="306E8B25" w14:textId="529BE3A7" w:rsidR="00D05A33" w:rsidRPr="009831D0" w:rsidRDefault="00D05A33" w:rsidP="00D05A33">
            <w:pPr>
              <w:keepNext/>
              <w:jc w:val="center"/>
              <w:rPr>
                <w:rFonts w:ascii="Calibri" w:eastAsia="Calibri" w:hAnsi="Calibri"/>
                <w:sz w:val="16"/>
                <w:szCs w:val="16"/>
              </w:rPr>
            </w:pPr>
            <w:r>
              <w:rPr>
                <w:rFonts w:ascii="Calibri" w:eastAsia="Calibri" w:hAnsi="Calibri"/>
                <w:sz w:val="16"/>
                <w:szCs w:val="16"/>
              </w:rPr>
              <w:t>0</w:t>
            </w:r>
          </w:p>
        </w:tc>
        <w:tc>
          <w:tcPr>
            <w:tcW w:w="1252" w:type="dxa"/>
            <w:tcBorders>
              <w:left w:val="dashSmallGap" w:sz="4" w:space="0" w:color="auto"/>
              <w:bottom w:val="dotted" w:sz="4" w:space="0" w:color="auto"/>
              <w:right w:val="single" w:sz="4" w:space="0" w:color="auto"/>
            </w:tcBorders>
            <w:vAlign w:val="center"/>
          </w:tcPr>
          <w:p w14:paraId="1BDCD1B3" w14:textId="28CADD79" w:rsidR="00D05A33" w:rsidRPr="009831D0" w:rsidRDefault="00D05A33" w:rsidP="00D05A33">
            <w:pPr>
              <w:keepNext/>
              <w:jc w:val="center"/>
              <w:rPr>
                <w:rFonts w:ascii="Calibri" w:eastAsia="Calibri" w:hAnsi="Calibri"/>
                <w:sz w:val="16"/>
                <w:szCs w:val="16"/>
              </w:rPr>
            </w:pPr>
            <w:r>
              <w:rPr>
                <w:rFonts w:ascii="Calibri" w:eastAsia="Calibri" w:hAnsi="Calibri"/>
                <w:sz w:val="16"/>
                <w:szCs w:val="16"/>
              </w:rPr>
              <w:t>0</w:t>
            </w:r>
          </w:p>
        </w:tc>
        <w:tc>
          <w:tcPr>
            <w:tcW w:w="6177" w:type="dxa"/>
            <w:tcBorders>
              <w:left w:val="single" w:sz="4" w:space="0" w:color="auto"/>
              <w:bottom w:val="dotted" w:sz="4" w:space="0" w:color="auto"/>
              <w:right w:val="single" w:sz="4" w:space="0" w:color="auto"/>
            </w:tcBorders>
            <w:shd w:val="clear" w:color="auto" w:fill="auto"/>
            <w:vAlign w:val="center"/>
          </w:tcPr>
          <w:p w14:paraId="01658FE8" w14:textId="501EEA56" w:rsidR="00D05A33" w:rsidRPr="009831D0" w:rsidRDefault="00D05A33" w:rsidP="00D05A33">
            <w:pPr>
              <w:keepNext/>
              <w:rPr>
                <w:rFonts w:ascii="Calibri" w:eastAsia="Calibri" w:hAnsi="Calibri"/>
                <w:sz w:val="16"/>
                <w:szCs w:val="16"/>
              </w:rPr>
            </w:pPr>
            <w:r>
              <w:rPr>
                <w:rFonts w:ascii="Calibri" w:eastAsia="Calibri" w:hAnsi="Calibri"/>
                <w:sz w:val="16"/>
                <w:szCs w:val="16"/>
              </w:rPr>
              <w:t xml:space="preserve">Adjusted estimated number of burden hours and used a more recent wage rate estimate. </w:t>
            </w:r>
          </w:p>
        </w:tc>
      </w:tr>
      <w:tr w:rsidR="00D05A33" w:rsidRPr="009831D0" w14:paraId="2D4FFFC1" w14:textId="77777777" w:rsidTr="00D05A33">
        <w:tc>
          <w:tcPr>
            <w:tcW w:w="2478" w:type="dxa"/>
            <w:tcBorders>
              <w:top w:val="nil"/>
              <w:left w:val="single" w:sz="4" w:space="0" w:color="auto"/>
              <w:bottom w:val="single" w:sz="4" w:space="0" w:color="auto"/>
              <w:right w:val="single" w:sz="4" w:space="0" w:color="auto"/>
            </w:tcBorders>
            <w:shd w:val="clear" w:color="auto" w:fill="auto"/>
            <w:vAlign w:val="center"/>
          </w:tcPr>
          <w:p w14:paraId="49403EB9" w14:textId="3B177B50" w:rsidR="00D05A33" w:rsidRPr="009831D0" w:rsidRDefault="00D05A33" w:rsidP="00D05A33">
            <w:pPr>
              <w:keepNext/>
              <w:rPr>
                <w:rFonts w:ascii="Calibri" w:eastAsia="Calibri" w:hAnsi="Calibri"/>
                <w:sz w:val="16"/>
                <w:szCs w:val="16"/>
              </w:rPr>
            </w:pPr>
            <w:r w:rsidRPr="00292AD5">
              <w:rPr>
                <w:rFonts w:asciiTheme="minorHAnsi" w:hAnsiTheme="minorHAnsi" w:cstheme="minorHAnsi"/>
                <w:sz w:val="16"/>
                <w:szCs w:val="16"/>
              </w:rPr>
              <w:t>Application for Approval of Use of Non-CDQ Harvest Regulations</w:t>
            </w:r>
          </w:p>
        </w:tc>
        <w:tc>
          <w:tcPr>
            <w:tcW w:w="1251" w:type="dxa"/>
            <w:tcBorders>
              <w:bottom w:val="dotted" w:sz="4" w:space="0" w:color="auto"/>
              <w:right w:val="dashSmallGap" w:sz="4" w:space="0" w:color="auto"/>
            </w:tcBorders>
            <w:shd w:val="clear" w:color="auto" w:fill="auto"/>
            <w:vAlign w:val="center"/>
          </w:tcPr>
          <w:p w14:paraId="40B30D78" w14:textId="5118141F" w:rsidR="00D05A33" w:rsidRPr="009831D0" w:rsidRDefault="00D05A33" w:rsidP="00D05A33">
            <w:pPr>
              <w:keepNext/>
              <w:jc w:val="center"/>
              <w:rPr>
                <w:rFonts w:ascii="Calibri" w:hAnsi="Calibri"/>
                <w:color w:val="000000"/>
                <w:sz w:val="16"/>
                <w:szCs w:val="16"/>
              </w:rPr>
            </w:pPr>
            <w:r>
              <w:rPr>
                <w:rFonts w:ascii="Calibri" w:hAnsi="Calibri"/>
                <w:color w:val="000000"/>
                <w:sz w:val="16"/>
                <w:szCs w:val="16"/>
              </w:rPr>
              <w:t>271</w:t>
            </w:r>
          </w:p>
        </w:tc>
        <w:tc>
          <w:tcPr>
            <w:tcW w:w="1155" w:type="dxa"/>
            <w:tcBorders>
              <w:left w:val="dashSmallGap" w:sz="4" w:space="0" w:color="auto"/>
              <w:bottom w:val="dotted" w:sz="4" w:space="0" w:color="auto"/>
            </w:tcBorders>
            <w:shd w:val="clear" w:color="auto" w:fill="auto"/>
            <w:vAlign w:val="center"/>
          </w:tcPr>
          <w:p w14:paraId="3018970D" w14:textId="3496DC86" w:rsidR="00D05A33" w:rsidRPr="009831D0" w:rsidRDefault="00D05A33" w:rsidP="00D05A33">
            <w:pPr>
              <w:keepNext/>
              <w:jc w:val="center"/>
              <w:rPr>
                <w:rFonts w:ascii="Calibri" w:eastAsia="Calibri" w:hAnsi="Calibri"/>
                <w:sz w:val="16"/>
                <w:szCs w:val="16"/>
              </w:rPr>
            </w:pPr>
            <w:r>
              <w:rPr>
                <w:rFonts w:ascii="Calibri" w:eastAsia="Calibri" w:hAnsi="Calibri"/>
                <w:sz w:val="16"/>
                <w:szCs w:val="16"/>
              </w:rPr>
              <w:t>185</w:t>
            </w:r>
          </w:p>
        </w:tc>
        <w:tc>
          <w:tcPr>
            <w:tcW w:w="1058" w:type="dxa"/>
            <w:tcBorders>
              <w:left w:val="dotted" w:sz="4" w:space="0" w:color="auto"/>
              <w:bottom w:val="dotted" w:sz="4" w:space="0" w:color="auto"/>
              <w:right w:val="dashSmallGap" w:sz="4" w:space="0" w:color="auto"/>
            </w:tcBorders>
            <w:shd w:val="clear" w:color="auto" w:fill="auto"/>
            <w:vAlign w:val="center"/>
          </w:tcPr>
          <w:p w14:paraId="3A679B20" w14:textId="1F3E3C23" w:rsidR="00D05A33" w:rsidRPr="009831D0" w:rsidRDefault="00D05A33" w:rsidP="00D05A33">
            <w:pPr>
              <w:keepNext/>
              <w:jc w:val="center"/>
              <w:rPr>
                <w:rFonts w:ascii="Calibri" w:eastAsia="Calibri" w:hAnsi="Calibri"/>
                <w:sz w:val="16"/>
                <w:szCs w:val="16"/>
                <w:highlight w:val="cyan"/>
              </w:rPr>
            </w:pPr>
            <w:r w:rsidRPr="00D05A33">
              <w:rPr>
                <w:rFonts w:ascii="Calibri" w:eastAsia="Calibri" w:hAnsi="Calibri"/>
                <w:sz w:val="16"/>
                <w:szCs w:val="16"/>
              </w:rPr>
              <w:t>20</w:t>
            </w:r>
          </w:p>
        </w:tc>
        <w:tc>
          <w:tcPr>
            <w:tcW w:w="1252" w:type="dxa"/>
            <w:tcBorders>
              <w:left w:val="dashSmallGap" w:sz="4" w:space="0" w:color="auto"/>
              <w:bottom w:val="dotted" w:sz="4" w:space="0" w:color="auto"/>
              <w:right w:val="single" w:sz="4" w:space="0" w:color="auto"/>
            </w:tcBorders>
            <w:vAlign w:val="center"/>
          </w:tcPr>
          <w:p w14:paraId="33B6E674" w14:textId="2A089D8E" w:rsidR="00D05A33" w:rsidRPr="009831D0" w:rsidRDefault="00D05A33" w:rsidP="00D05A33">
            <w:pPr>
              <w:keepNext/>
              <w:jc w:val="center"/>
              <w:rPr>
                <w:rFonts w:ascii="Calibri" w:eastAsia="Calibri" w:hAnsi="Calibri"/>
                <w:sz w:val="16"/>
                <w:szCs w:val="16"/>
              </w:rPr>
            </w:pPr>
            <w:r>
              <w:rPr>
                <w:rFonts w:ascii="Calibri" w:eastAsia="Calibri" w:hAnsi="Calibri"/>
                <w:sz w:val="16"/>
                <w:szCs w:val="16"/>
              </w:rPr>
              <w:t>6</w:t>
            </w:r>
          </w:p>
        </w:tc>
        <w:tc>
          <w:tcPr>
            <w:tcW w:w="6177" w:type="dxa"/>
            <w:tcBorders>
              <w:left w:val="single" w:sz="4" w:space="0" w:color="auto"/>
              <w:bottom w:val="dotted" w:sz="4" w:space="0" w:color="auto"/>
              <w:right w:val="single" w:sz="4" w:space="0" w:color="auto"/>
            </w:tcBorders>
            <w:shd w:val="clear" w:color="auto" w:fill="auto"/>
            <w:vAlign w:val="center"/>
          </w:tcPr>
          <w:p w14:paraId="0AB3C317" w14:textId="27009390" w:rsidR="00D05A33" w:rsidRPr="009831D0" w:rsidRDefault="00D05A33" w:rsidP="00D05A33">
            <w:pPr>
              <w:keepNext/>
              <w:rPr>
                <w:rFonts w:ascii="Calibri" w:eastAsia="Calibri" w:hAnsi="Calibri"/>
                <w:sz w:val="16"/>
                <w:szCs w:val="16"/>
              </w:rPr>
            </w:pPr>
            <w:r>
              <w:rPr>
                <w:rFonts w:ascii="Calibri" w:eastAsia="Calibri" w:hAnsi="Calibri"/>
                <w:sz w:val="16"/>
                <w:szCs w:val="16"/>
              </w:rPr>
              <w:t xml:space="preserve">Adjusted based on a more recent wage rate estimate. Increased estimate for mailing costs to allow for the possibility that the application will be delivered by a carrier other than the U.S. mail. </w:t>
            </w:r>
          </w:p>
        </w:tc>
      </w:tr>
      <w:tr w:rsidR="00D05A33" w:rsidRPr="009831D0" w14:paraId="3768FDE1" w14:textId="77777777" w:rsidTr="00A06018">
        <w:tc>
          <w:tcPr>
            <w:tcW w:w="2478" w:type="dxa"/>
            <w:tcBorders>
              <w:top w:val="nil"/>
              <w:left w:val="single" w:sz="4" w:space="0" w:color="auto"/>
              <w:bottom w:val="single" w:sz="4" w:space="0" w:color="auto"/>
              <w:right w:val="single" w:sz="4" w:space="0" w:color="auto"/>
            </w:tcBorders>
            <w:shd w:val="clear" w:color="auto" w:fill="auto"/>
            <w:vAlign w:val="center"/>
          </w:tcPr>
          <w:p w14:paraId="71136401" w14:textId="0EE27E1D" w:rsidR="00D05A33" w:rsidRPr="009831D0" w:rsidRDefault="00D05A33" w:rsidP="00D05A33">
            <w:pPr>
              <w:keepNext/>
              <w:rPr>
                <w:rFonts w:ascii="Calibri" w:eastAsia="Calibri" w:hAnsi="Calibri"/>
                <w:sz w:val="16"/>
                <w:szCs w:val="16"/>
              </w:rPr>
            </w:pPr>
            <w:r w:rsidRPr="00292AD5">
              <w:rPr>
                <w:rFonts w:asciiTheme="minorHAnsi" w:hAnsiTheme="minorHAnsi" w:cstheme="minorHAnsi"/>
                <w:sz w:val="16"/>
                <w:szCs w:val="16"/>
              </w:rPr>
              <w:t>Appeals</w:t>
            </w:r>
          </w:p>
        </w:tc>
        <w:tc>
          <w:tcPr>
            <w:tcW w:w="1251" w:type="dxa"/>
            <w:tcBorders>
              <w:bottom w:val="dotted" w:sz="4" w:space="0" w:color="auto"/>
              <w:right w:val="dashSmallGap" w:sz="4" w:space="0" w:color="auto"/>
            </w:tcBorders>
            <w:shd w:val="clear" w:color="auto" w:fill="auto"/>
            <w:vAlign w:val="center"/>
          </w:tcPr>
          <w:p w14:paraId="0FF072DA" w14:textId="2E185319" w:rsidR="00D05A33" w:rsidRPr="009831D0" w:rsidRDefault="00D05A33" w:rsidP="00D05A33">
            <w:pPr>
              <w:keepNext/>
              <w:jc w:val="center"/>
              <w:rPr>
                <w:rFonts w:ascii="Calibri" w:hAnsi="Calibri"/>
                <w:color w:val="000000"/>
                <w:sz w:val="16"/>
                <w:szCs w:val="16"/>
              </w:rPr>
            </w:pPr>
            <w:r>
              <w:rPr>
                <w:rFonts w:ascii="Calibri" w:hAnsi="Calibri"/>
                <w:color w:val="000000"/>
                <w:sz w:val="16"/>
                <w:szCs w:val="16"/>
              </w:rPr>
              <w:t>217</w:t>
            </w:r>
          </w:p>
        </w:tc>
        <w:tc>
          <w:tcPr>
            <w:tcW w:w="1155" w:type="dxa"/>
            <w:tcBorders>
              <w:left w:val="dashSmallGap" w:sz="4" w:space="0" w:color="auto"/>
              <w:bottom w:val="dotted" w:sz="4" w:space="0" w:color="auto"/>
            </w:tcBorders>
            <w:shd w:val="clear" w:color="auto" w:fill="auto"/>
            <w:vAlign w:val="center"/>
          </w:tcPr>
          <w:p w14:paraId="1672CBAC" w14:textId="43805E59" w:rsidR="00D05A33" w:rsidRPr="009831D0" w:rsidRDefault="00D05A33" w:rsidP="00D05A33">
            <w:pPr>
              <w:keepNext/>
              <w:jc w:val="center"/>
              <w:rPr>
                <w:rFonts w:ascii="Calibri" w:eastAsia="Calibri" w:hAnsi="Calibri"/>
                <w:sz w:val="16"/>
                <w:szCs w:val="16"/>
              </w:rPr>
            </w:pPr>
            <w:r>
              <w:rPr>
                <w:rFonts w:ascii="Calibri" w:eastAsia="Calibri" w:hAnsi="Calibri"/>
                <w:sz w:val="16"/>
                <w:szCs w:val="16"/>
              </w:rPr>
              <w:t>148</w:t>
            </w:r>
          </w:p>
        </w:tc>
        <w:tc>
          <w:tcPr>
            <w:tcW w:w="1058" w:type="dxa"/>
            <w:tcBorders>
              <w:left w:val="dotted" w:sz="4" w:space="0" w:color="auto"/>
              <w:bottom w:val="dotted" w:sz="4" w:space="0" w:color="auto"/>
              <w:right w:val="dashSmallGap" w:sz="4" w:space="0" w:color="auto"/>
            </w:tcBorders>
            <w:vAlign w:val="center"/>
          </w:tcPr>
          <w:p w14:paraId="4CFC3AFC" w14:textId="2DCBE799" w:rsidR="00D05A33" w:rsidRPr="009831D0" w:rsidRDefault="00D05A33" w:rsidP="00D05A33">
            <w:pPr>
              <w:keepNext/>
              <w:jc w:val="center"/>
              <w:rPr>
                <w:rFonts w:ascii="Calibri" w:eastAsia="Calibri" w:hAnsi="Calibri"/>
                <w:sz w:val="16"/>
                <w:szCs w:val="16"/>
              </w:rPr>
            </w:pPr>
            <w:r>
              <w:rPr>
                <w:rFonts w:ascii="Calibri" w:eastAsia="Calibri" w:hAnsi="Calibri"/>
                <w:sz w:val="16"/>
                <w:szCs w:val="16"/>
              </w:rPr>
              <w:t>254</w:t>
            </w:r>
          </w:p>
        </w:tc>
        <w:tc>
          <w:tcPr>
            <w:tcW w:w="1252" w:type="dxa"/>
            <w:tcBorders>
              <w:left w:val="dashSmallGap" w:sz="4" w:space="0" w:color="auto"/>
              <w:bottom w:val="dotted" w:sz="4" w:space="0" w:color="auto"/>
              <w:right w:val="single" w:sz="4" w:space="0" w:color="auto"/>
            </w:tcBorders>
            <w:vAlign w:val="center"/>
          </w:tcPr>
          <w:p w14:paraId="036FA38D" w14:textId="49C26D9A" w:rsidR="00D05A33" w:rsidRPr="009831D0" w:rsidRDefault="00D05A33" w:rsidP="00D05A33">
            <w:pPr>
              <w:keepNext/>
              <w:jc w:val="center"/>
              <w:rPr>
                <w:rFonts w:ascii="Calibri" w:eastAsia="Calibri" w:hAnsi="Calibri"/>
                <w:sz w:val="16"/>
                <w:szCs w:val="16"/>
              </w:rPr>
            </w:pPr>
            <w:r>
              <w:rPr>
                <w:rFonts w:ascii="Calibri" w:eastAsia="Calibri" w:hAnsi="Calibri"/>
                <w:sz w:val="16"/>
                <w:szCs w:val="16"/>
              </w:rPr>
              <w:t>1</w:t>
            </w:r>
          </w:p>
        </w:tc>
        <w:tc>
          <w:tcPr>
            <w:tcW w:w="6177" w:type="dxa"/>
            <w:tcBorders>
              <w:left w:val="single" w:sz="4" w:space="0" w:color="auto"/>
              <w:bottom w:val="dotted" w:sz="4" w:space="0" w:color="auto"/>
              <w:right w:val="single" w:sz="4" w:space="0" w:color="auto"/>
            </w:tcBorders>
            <w:shd w:val="clear" w:color="auto" w:fill="auto"/>
            <w:vAlign w:val="center"/>
          </w:tcPr>
          <w:p w14:paraId="6CE20F11" w14:textId="2C524C0D" w:rsidR="00D05A33" w:rsidRPr="009831D0" w:rsidRDefault="00D05A33" w:rsidP="00D05A33">
            <w:pPr>
              <w:keepNext/>
              <w:rPr>
                <w:rFonts w:ascii="Calibri" w:eastAsia="Calibri" w:hAnsi="Calibri"/>
                <w:sz w:val="16"/>
                <w:szCs w:val="16"/>
              </w:rPr>
            </w:pPr>
            <w:r>
              <w:rPr>
                <w:rFonts w:ascii="Calibri" w:eastAsia="Calibri" w:hAnsi="Calibri"/>
                <w:sz w:val="16"/>
                <w:szCs w:val="16"/>
              </w:rPr>
              <w:t xml:space="preserve">Adjusted based on a more recent wage rate estimate. Included the possibility that the CDQ group would need to hire an attorney to assist with the appeal and used an estimate of $20 for mailing or delivery charges.  </w:t>
            </w:r>
          </w:p>
        </w:tc>
      </w:tr>
      <w:tr w:rsidR="00D05A33" w:rsidRPr="009831D0" w14:paraId="23B74D0F" w14:textId="77777777" w:rsidTr="008D38A1">
        <w:tc>
          <w:tcPr>
            <w:tcW w:w="2478" w:type="dxa"/>
            <w:shd w:val="clear" w:color="auto" w:fill="BDD6EE"/>
            <w:vAlign w:val="center"/>
          </w:tcPr>
          <w:p w14:paraId="51E08092" w14:textId="77777777" w:rsidR="00D05A33" w:rsidRPr="009831D0" w:rsidRDefault="00D05A33" w:rsidP="00D05A33">
            <w:pPr>
              <w:keepNext/>
              <w:jc w:val="center"/>
              <w:rPr>
                <w:rFonts w:ascii="Calibri" w:eastAsia="Calibri" w:hAnsi="Calibri"/>
                <w:b/>
                <w:sz w:val="16"/>
                <w:szCs w:val="16"/>
              </w:rPr>
            </w:pPr>
            <w:r w:rsidRPr="009831D0">
              <w:rPr>
                <w:rFonts w:ascii="Calibri" w:eastAsia="Calibri" w:hAnsi="Calibri"/>
                <w:b/>
                <w:sz w:val="16"/>
                <w:szCs w:val="16"/>
              </w:rPr>
              <w:t>Total for Collection</w:t>
            </w:r>
          </w:p>
        </w:tc>
        <w:tc>
          <w:tcPr>
            <w:tcW w:w="1251" w:type="dxa"/>
            <w:tcBorders>
              <w:right w:val="dashSmallGap" w:sz="4" w:space="0" w:color="auto"/>
            </w:tcBorders>
            <w:shd w:val="clear" w:color="auto" w:fill="BDD6EE"/>
            <w:vAlign w:val="center"/>
          </w:tcPr>
          <w:p w14:paraId="2CB14718" w14:textId="78AFC3E2" w:rsidR="00D05A33" w:rsidRPr="009831D0" w:rsidRDefault="00E81F14" w:rsidP="00D05A33">
            <w:pPr>
              <w:keepNext/>
              <w:jc w:val="center"/>
              <w:rPr>
                <w:rFonts w:ascii="Calibri" w:eastAsia="Calibri" w:hAnsi="Calibri"/>
                <w:b/>
                <w:sz w:val="16"/>
                <w:szCs w:val="16"/>
              </w:rPr>
            </w:pPr>
            <w:r>
              <w:rPr>
                <w:rFonts w:ascii="Calibri" w:eastAsia="Calibri" w:hAnsi="Calibri"/>
                <w:b/>
                <w:sz w:val="16"/>
                <w:szCs w:val="16"/>
              </w:rPr>
              <w:t>2,491</w:t>
            </w:r>
          </w:p>
        </w:tc>
        <w:tc>
          <w:tcPr>
            <w:tcW w:w="1155" w:type="dxa"/>
            <w:tcBorders>
              <w:left w:val="dashSmallGap" w:sz="4" w:space="0" w:color="auto"/>
            </w:tcBorders>
            <w:shd w:val="clear" w:color="auto" w:fill="BDD6EE"/>
            <w:vAlign w:val="center"/>
          </w:tcPr>
          <w:p w14:paraId="28012655" w14:textId="05ACA78F" w:rsidR="00D05A33" w:rsidRPr="009831D0" w:rsidRDefault="00D05A33" w:rsidP="00D05A33">
            <w:pPr>
              <w:keepNext/>
              <w:jc w:val="center"/>
              <w:rPr>
                <w:rFonts w:ascii="Calibri" w:eastAsia="Calibri" w:hAnsi="Calibri"/>
                <w:b/>
                <w:bCs/>
                <w:sz w:val="16"/>
                <w:szCs w:val="16"/>
              </w:rPr>
            </w:pPr>
            <w:r>
              <w:rPr>
                <w:rFonts w:ascii="Calibri" w:eastAsia="Calibri" w:hAnsi="Calibri"/>
                <w:b/>
                <w:bCs/>
                <w:sz w:val="16"/>
                <w:szCs w:val="16"/>
              </w:rPr>
              <w:t>925</w:t>
            </w:r>
          </w:p>
        </w:tc>
        <w:tc>
          <w:tcPr>
            <w:tcW w:w="1058" w:type="dxa"/>
            <w:tcBorders>
              <w:left w:val="dotted" w:sz="4" w:space="0" w:color="auto"/>
              <w:right w:val="dashSmallGap" w:sz="4" w:space="0" w:color="auto"/>
            </w:tcBorders>
            <w:shd w:val="clear" w:color="auto" w:fill="BDD6EE"/>
            <w:vAlign w:val="center"/>
          </w:tcPr>
          <w:p w14:paraId="4F2850B6" w14:textId="60C45079" w:rsidR="00D05A33" w:rsidRPr="009831D0" w:rsidRDefault="00D05A33" w:rsidP="00D05A33">
            <w:pPr>
              <w:keepNext/>
              <w:jc w:val="center"/>
              <w:rPr>
                <w:rFonts w:ascii="Calibri" w:eastAsia="Calibri" w:hAnsi="Calibri"/>
                <w:b/>
                <w:sz w:val="16"/>
                <w:szCs w:val="16"/>
              </w:rPr>
            </w:pPr>
            <w:r>
              <w:rPr>
                <w:rFonts w:ascii="Calibri" w:eastAsia="Calibri" w:hAnsi="Calibri"/>
                <w:b/>
                <w:sz w:val="16"/>
                <w:szCs w:val="16"/>
              </w:rPr>
              <w:t>274</w:t>
            </w:r>
          </w:p>
        </w:tc>
        <w:tc>
          <w:tcPr>
            <w:tcW w:w="1252" w:type="dxa"/>
            <w:tcBorders>
              <w:left w:val="dashSmallGap" w:sz="4" w:space="0" w:color="auto"/>
              <w:right w:val="single" w:sz="4" w:space="0" w:color="auto"/>
            </w:tcBorders>
            <w:shd w:val="clear" w:color="auto" w:fill="BDD6EE"/>
            <w:vAlign w:val="center"/>
          </w:tcPr>
          <w:p w14:paraId="58AD3B0B" w14:textId="15B90B90" w:rsidR="00D05A33" w:rsidRPr="009831D0" w:rsidRDefault="00D05A33" w:rsidP="00D05A33">
            <w:pPr>
              <w:keepNext/>
              <w:jc w:val="center"/>
              <w:rPr>
                <w:rFonts w:ascii="Calibri" w:eastAsia="Calibri" w:hAnsi="Calibri"/>
                <w:b/>
                <w:sz w:val="16"/>
                <w:szCs w:val="16"/>
              </w:rPr>
            </w:pPr>
            <w:r>
              <w:rPr>
                <w:rFonts w:ascii="Calibri" w:eastAsia="Calibri" w:hAnsi="Calibri"/>
                <w:b/>
                <w:sz w:val="16"/>
                <w:szCs w:val="16"/>
              </w:rPr>
              <w:t>7</w:t>
            </w:r>
          </w:p>
        </w:tc>
        <w:tc>
          <w:tcPr>
            <w:tcW w:w="6177" w:type="dxa"/>
            <w:tcBorders>
              <w:left w:val="single" w:sz="4" w:space="0" w:color="auto"/>
              <w:bottom w:val="single" w:sz="4" w:space="0" w:color="auto"/>
              <w:right w:val="single" w:sz="4" w:space="0" w:color="auto"/>
            </w:tcBorders>
            <w:shd w:val="clear" w:color="auto" w:fill="BDD6EE"/>
            <w:vAlign w:val="center"/>
          </w:tcPr>
          <w:p w14:paraId="08BF088A" w14:textId="77777777" w:rsidR="00D05A33" w:rsidRPr="009831D0" w:rsidRDefault="00D05A33" w:rsidP="00D05A33">
            <w:pPr>
              <w:keepNext/>
              <w:jc w:val="center"/>
              <w:rPr>
                <w:rFonts w:ascii="Calibri" w:eastAsia="Calibri" w:hAnsi="Calibri"/>
                <w:b/>
                <w:sz w:val="16"/>
                <w:szCs w:val="16"/>
              </w:rPr>
            </w:pPr>
          </w:p>
        </w:tc>
      </w:tr>
    </w:tbl>
    <w:p w14:paraId="41992AEA" w14:textId="77777777" w:rsidR="00BF4AAE" w:rsidRPr="00BF4AAE" w:rsidRDefault="00BF4AAE" w:rsidP="00BF4A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p>
    <w:p w14:paraId="2141D396" w14:textId="77777777" w:rsidR="0078604F" w:rsidRDefault="0078604F" w:rsidP="006E2A86">
      <w:pPr>
        <w:spacing w:after="240"/>
        <w:ind w:left="360" w:hanging="360"/>
        <w:rPr>
          <w:b/>
          <w:bCs/>
        </w:rPr>
        <w:sectPr w:rsidR="0078604F" w:rsidSect="006E2A86">
          <w:pgSz w:w="15840" w:h="12240" w:orient="landscape"/>
          <w:pgMar w:top="1440" w:right="1440" w:bottom="1440" w:left="1440" w:header="1440" w:footer="1005" w:gutter="0"/>
          <w:cols w:space="720"/>
          <w:noEndnote/>
          <w:docGrid w:linePitch="326"/>
        </w:sectPr>
      </w:pPr>
    </w:p>
    <w:p w14:paraId="141E1672" w14:textId="26EB0594" w:rsidR="00B01177" w:rsidRDefault="006939EA" w:rsidP="001B3EC7">
      <w:pPr>
        <w:spacing w:after="240"/>
        <w:ind w:left="360" w:hanging="360"/>
      </w:pPr>
      <w:r>
        <w:rPr>
          <w:b/>
          <w:bCs/>
        </w:rPr>
        <w:t>1</w:t>
      </w:r>
      <w:r w:rsidR="00B01177">
        <w:rPr>
          <w:b/>
          <w:bCs/>
        </w:rPr>
        <w:t>6.</w:t>
      </w:r>
      <w:r w:rsidR="00F331DD">
        <w:rPr>
          <w:b/>
          <w:bCs/>
        </w:rPr>
        <w:tab/>
      </w:r>
      <w:r w:rsidR="00B01177">
        <w:rPr>
          <w:b/>
          <w:bCs/>
          <w:u w:val="single"/>
        </w:rPr>
        <w:t>For collections whose results will be published, outline the plans for tabulation and publication</w:t>
      </w:r>
      <w:r w:rsidR="00B01177">
        <w:rPr>
          <w:b/>
          <w:bCs/>
        </w:rPr>
        <w:t>.</w:t>
      </w:r>
    </w:p>
    <w:p w14:paraId="4CAAA935" w14:textId="1F449E53" w:rsidR="00CA2869" w:rsidRPr="009872FF" w:rsidRDefault="00CA2869" w:rsidP="001B3EC7">
      <w:pPr>
        <w:spacing w:after="240"/>
        <w:rPr>
          <w:bCs/>
        </w:rPr>
      </w:pPr>
      <w:r w:rsidRPr="009872FF">
        <w:t xml:space="preserve">The information obtained from this collection </w:t>
      </w:r>
      <w:r w:rsidR="009872FF">
        <w:t xml:space="preserve">will not be tabulated or published in a report specifically about this data collection. Some of the information may be summarized qualitatively or quantitatively in general reports about the CDQ Program or for analyses of proposed revisions to CDQ Program regulations in the future. This information may be provided to the North Pacific Fishery Management Council or the public with appropriate application of confidentiality requirements.  </w:t>
      </w:r>
    </w:p>
    <w:p w14:paraId="4F056015" w14:textId="19C0134A" w:rsidR="00B01177" w:rsidRDefault="00B01177" w:rsidP="001B3EC7">
      <w:pPr>
        <w:spacing w:after="240"/>
        <w:ind w:left="360" w:hanging="360"/>
      </w:pPr>
      <w:r>
        <w:rPr>
          <w:b/>
          <w:bCs/>
        </w:rPr>
        <w:t>17.</w:t>
      </w:r>
      <w:r w:rsidR="00F331DD">
        <w:rPr>
          <w:b/>
          <w:bCs/>
        </w:rPr>
        <w:tab/>
      </w:r>
      <w:r>
        <w:rPr>
          <w:b/>
          <w:bCs/>
          <w:u w:val="single"/>
        </w:rPr>
        <w:t>If seeking approval to not display the expiration date for OMB approval of the information collection, explain the reasons why display would be inappropriate</w:t>
      </w:r>
      <w:r>
        <w:rPr>
          <w:b/>
          <w:bCs/>
        </w:rPr>
        <w:t>.</w:t>
      </w:r>
    </w:p>
    <w:p w14:paraId="713D2325" w14:textId="3FA7DAC7" w:rsidR="00B01177" w:rsidRDefault="00BF4AAE" w:rsidP="001B3EC7">
      <w:pPr>
        <w:spacing w:after="240"/>
      </w:pPr>
      <w:r w:rsidRPr="00BF4AAE">
        <w:t>The expiration date will be displayed for this information collection</w:t>
      </w:r>
      <w:r>
        <w:t>.</w:t>
      </w:r>
    </w:p>
    <w:p w14:paraId="58789B6A" w14:textId="02692627" w:rsidR="00B01177" w:rsidRPr="00DF62D6" w:rsidRDefault="00B01177" w:rsidP="001B3EC7">
      <w:pPr>
        <w:spacing w:after="240"/>
        <w:rPr>
          <w:b/>
          <w:bCs/>
        </w:rPr>
      </w:pPr>
      <w:r>
        <w:rPr>
          <w:b/>
          <w:bCs/>
        </w:rPr>
        <w:t>18.</w:t>
      </w:r>
      <w:r w:rsidR="00F331DD">
        <w:rPr>
          <w:b/>
          <w:bCs/>
        </w:rPr>
        <w:tab/>
      </w:r>
      <w:r>
        <w:rPr>
          <w:b/>
          <w:bCs/>
          <w:u w:val="single"/>
        </w:rPr>
        <w:t>Explain each exception to the certification</w:t>
      </w:r>
      <w:r w:rsidR="00DF62D6">
        <w:rPr>
          <w:b/>
          <w:bCs/>
          <w:u w:val="single"/>
        </w:rPr>
        <w:t xml:space="preserve"> statement</w:t>
      </w:r>
      <w:r>
        <w:rPr>
          <w:b/>
          <w:bCs/>
        </w:rPr>
        <w:t>.</w:t>
      </w:r>
    </w:p>
    <w:p w14:paraId="5FD238A6" w14:textId="27FB5E46" w:rsidR="00B01177" w:rsidRDefault="001B3EC7" w:rsidP="001B3EC7">
      <w:pPr>
        <w:spacing w:after="240"/>
      </w:pPr>
      <w:r w:rsidRPr="001B3EC7">
        <w:t>There are no exceptions for compliance with provisions in the certification statement.</w:t>
      </w:r>
    </w:p>
    <w:p w14:paraId="04353639" w14:textId="5303D209" w:rsidR="001B3EC7" w:rsidRDefault="001B3EC7" w:rsidP="001B3EC7">
      <w:pPr>
        <w:spacing w:after="240"/>
      </w:pPr>
    </w:p>
    <w:p w14:paraId="75C6FEA9" w14:textId="77777777" w:rsidR="001B3EC7" w:rsidRPr="0058587E" w:rsidRDefault="001B3EC7" w:rsidP="001B3EC7">
      <w:pPr>
        <w:pStyle w:val="ListParagraph"/>
        <w:numPr>
          <w:ilvl w:val="0"/>
          <w:numId w:val="9"/>
        </w:numPr>
        <w:ind w:left="360"/>
        <w:rPr>
          <w:b/>
        </w:rPr>
      </w:pPr>
      <w:r w:rsidRPr="0058587E">
        <w:rPr>
          <w:b/>
        </w:rPr>
        <w:t>COLLECTIONS OF INFORMATION EMPLOYING STATISTICAL METHODS</w:t>
      </w:r>
    </w:p>
    <w:p w14:paraId="6E2488D0" w14:textId="77777777" w:rsidR="001B3EC7" w:rsidRDefault="001B3EC7" w:rsidP="001B3EC7">
      <w:pPr>
        <w:spacing w:before="240" w:after="240"/>
      </w:pPr>
      <w:r>
        <w:t>This collection does not employ statistical methods.</w:t>
      </w:r>
    </w:p>
    <w:p w14:paraId="549D81D4" w14:textId="77777777" w:rsidR="001B3EC7" w:rsidRDefault="001B3EC7" w:rsidP="00585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pPr>
    </w:p>
    <w:p w14:paraId="7666E1A3" w14:textId="77777777" w:rsidR="0078604F" w:rsidRDefault="0078604F" w:rsidP="0078604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747C8DA8" w14:textId="77777777" w:rsidR="00551221" w:rsidRDefault="00551221" w:rsidP="001B3EC7"/>
    <w:sectPr w:rsidR="00551221" w:rsidSect="001B3EC7">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B8443" w14:textId="77777777" w:rsidR="00A27D61" w:rsidRDefault="00A27D61">
      <w:r>
        <w:separator/>
      </w:r>
    </w:p>
  </w:endnote>
  <w:endnote w:type="continuationSeparator" w:id="0">
    <w:p w14:paraId="7B064C71" w14:textId="77777777" w:rsidR="00A27D61" w:rsidRDefault="00A27D61">
      <w:r>
        <w:continuationSeparator/>
      </w:r>
    </w:p>
  </w:endnote>
  <w:endnote w:type="continuationNotice" w:id="1">
    <w:p w14:paraId="54E9178A" w14:textId="77777777" w:rsidR="00A27D61" w:rsidRDefault="00A27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52FB8" w14:textId="77777777" w:rsidR="00A27D61" w:rsidRDefault="00A27D61">
    <w:pPr>
      <w:spacing w:line="240" w:lineRule="exact"/>
    </w:pPr>
  </w:p>
  <w:p w14:paraId="11F44EFC" w14:textId="6B73F661" w:rsidR="00A27D61" w:rsidRDefault="00A27D61">
    <w:pPr>
      <w:framePr w:w="9361" w:wrap="notBeside" w:vAnchor="text" w:hAnchor="text" w:x="1" w:y="1"/>
      <w:jc w:val="center"/>
    </w:pPr>
    <w:r>
      <w:fldChar w:fldCharType="begin"/>
    </w:r>
    <w:r>
      <w:instrText xml:space="preserve">PAGE </w:instrText>
    </w:r>
    <w:r>
      <w:fldChar w:fldCharType="separate"/>
    </w:r>
    <w:r w:rsidR="00572957">
      <w:rPr>
        <w:noProof/>
      </w:rPr>
      <w:t>1</w:t>
    </w:r>
    <w:r>
      <w:fldChar w:fldCharType="end"/>
    </w:r>
  </w:p>
  <w:p w14:paraId="6486C24E" w14:textId="77777777" w:rsidR="00A27D61" w:rsidRDefault="00A27D61" w:rsidP="006E2A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3F02F" w14:textId="77777777" w:rsidR="00A27D61" w:rsidRDefault="00A27D61">
      <w:r>
        <w:separator/>
      </w:r>
    </w:p>
  </w:footnote>
  <w:footnote w:type="continuationSeparator" w:id="0">
    <w:p w14:paraId="69391C46" w14:textId="77777777" w:rsidR="00A27D61" w:rsidRDefault="00A27D61">
      <w:r>
        <w:continuationSeparator/>
      </w:r>
    </w:p>
  </w:footnote>
  <w:footnote w:type="continuationNotice" w:id="1">
    <w:p w14:paraId="1A542250" w14:textId="77777777" w:rsidR="00A27D61" w:rsidRDefault="00A27D61"/>
  </w:footnote>
  <w:footnote w:id="2">
    <w:p w14:paraId="0F043D82" w14:textId="5113A671" w:rsidR="0000755D" w:rsidRDefault="0000755D">
      <w:pPr>
        <w:pStyle w:val="FootnoteText"/>
      </w:pPr>
      <w:r>
        <w:rPr>
          <w:rStyle w:val="FootnoteReference"/>
        </w:rPr>
        <w:footnoteRef/>
      </w:r>
      <w:r>
        <w:t xml:space="preserve"> The CDQ groups also are required under Section </w:t>
      </w:r>
      <w:r w:rsidR="00DE1DF7">
        <w:t xml:space="preserve">305(i)(1)(E)(v) to submit an Annual Statement of Compliance to the Secretary of Commerce. Because this statement is required by statute, it does not require OMB approval or inclusion in this supporting statement or information collection budget.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C497FC"/>
    <w:lvl w:ilvl="0">
      <w:numFmt w:val="bullet"/>
      <w:lvlText w:val="*"/>
      <w:lvlJc w:val="left"/>
    </w:lvl>
  </w:abstractNum>
  <w:abstractNum w:abstractNumId="1">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D174D15"/>
    <w:multiLevelType w:val="hybridMultilevel"/>
    <w:tmpl w:val="D3643786"/>
    <w:lvl w:ilvl="0" w:tplc="BF349E1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919BC"/>
    <w:multiLevelType w:val="hybridMultilevel"/>
    <w:tmpl w:val="3F38CF9E"/>
    <w:lvl w:ilvl="0" w:tplc="2BA013C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7D0EBF"/>
    <w:multiLevelType w:val="hybridMultilevel"/>
    <w:tmpl w:val="E9502AA6"/>
    <w:lvl w:ilvl="0" w:tplc="BF349E16">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0E188E"/>
    <w:multiLevelType w:val="hybridMultilevel"/>
    <w:tmpl w:val="C32640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24085F"/>
    <w:multiLevelType w:val="hybridMultilevel"/>
    <w:tmpl w:val="2AB25600"/>
    <w:lvl w:ilvl="0" w:tplc="12EEAFD0">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3D5B50"/>
    <w:multiLevelType w:val="hybridMultilevel"/>
    <w:tmpl w:val="843A41FA"/>
    <w:lvl w:ilvl="0" w:tplc="12EEAFD0">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C55EE"/>
    <w:multiLevelType w:val="hybridMultilevel"/>
    <w:tmpl w:val="AF1A04AE"/>
    <w:lvl w:ilvl="0" w:tplc="24DEDC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235B16"/>
    <w:multiLevelType w:val="hybridMultilevel"/>
    <w:tmpl w:val="2D6A8D82"/>
    <w:lvl w:ilvl="0" w:tplc="12EEAFD0">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D95536"/>
    <w:multiLevelType w:val="hybridMultilevel"/>
    <w:tmpl w:val="80408EC0"/>
    <w:lvl w:ilvl="0" w:tplc="12EEAFD0">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C31AE5"/>
    <w:multiLevelType w:val="hybridMultilevel"/>
    <w:tmpl w:val="D600779A"/>
    <w:lvl w:ilvl="0" w:tplc="FF4CC8A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F210F1"/>
    <w:multiLevelType w:val="hybridMultilevel"/>
    <w:tmpl w:val="4546FA3A"/>
    <w:lvl w:ilvl="0" w:tplc="1298CF9C">
      <w:start w:val="1"/>
      <w:numFmt w:val="lowerLetter"/>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5B0CF3"/>
    <w:multiLevelType w:val="hybridMultilevel"/>
    <w:tmpl w:val="569E75A8"/>
    <w:lvl w:ilvl="0" w:tplc="94ACF1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2">
    <w:abstractNumId w:val="12"/>
  </w:num>
  <w:num w:numId="3">
    <w:abstractNumId w:val="8"/>
  </w:num>
  <w:num w:numId="4">
    <w:abstractNumId w:val="3"/>
  </w:num>
  <w:num w:numId="5">
    <w:abstractNumId w:val="11"/>
  </w:num>
  <w:num w:numId="6">
    <w:abstractNumId w:val="4"/>
  </w:num>
  <w:num w:numId="7">
    <w:abstractNumId w:val="2"/>
  </w:num>
  <w:num w:numId="8">
    <w:abstractNumId w:val="13"/>
  </w:num>
  <w:num w:numId="9">
    <w:abstractNumId w:val="5"/>
  </w:num>
  <w:num w:numId="10">
    <w:abstractNumId w:val="10"/>
  </w:num>
  <w:num w:numId="11">
    <w:abstractNumId w:val="9"/>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177"/>
    <w:rsid w:val="0000310C"/>
    <w:rsid w:val="00003277"/>
    <w:rsid w:val="00003F4C"/>
    <w:rsid w:val="00004E49"/>
    <w:rsid w:val="000069E9"/>
    <w:rsid w:val="0000755D"/>
    <w:rsid w:val="00007891"/>
    <w:rsid w:val="000110FF"/>
    <w:rsid w:val="00016F13"/>
    <w:rsid w:val="00017271"/>
    <w:rsid w:val="000201A8"/>
    <w:rsid w:val="000264A9"/>
    <w:rsid w:val="00026DB9"/>
    <w:rsid w:val="000362FF"/>
    <w:rsid w:val="00040031"/>
    <w:rsid w:val="00041759"/>
    <w:rsid w:val="00045DED"/>
    <w:rsid w:val="000474ED"/>
    <w:rsid w:val="000475E9"/>
    <w:rsid w:val="00047C74"/>
    <w:rsid w:val="00050021"/>
    <w:rsid w:val="00060FBF"/>
    <w:rsid w:val="00064FC3"/>
    <w:rsid w:val="000704CE"/>
    <w:rsid w:val="00070875"/>
    <w:rsid w:val="00071E08"/>
    <w:rsid w:val="00072830"/>
    <w:rsid w:val="00072BB5"/>
    <w:rsid w:val="00072EB2"/>
    <w:rsid w:val="00081BDB"/>
    <w:rsid w:val="000914A1"/>
    <w:rsid w:val="00092FB7"/>
    <w:rsid w:val="00095056"/>
    <w:rsid w:val="00097492"/>
    <w:rsid w:val="00097A22"/>
    <w:rsid w:val="00097D7D"/>
    <w:rsid w:val="000A38CF"/>
    <w:rsid w:val="000A701D"/>
    <w:rsid w:val="000A7590"/>
    <w:rsid w:val="000A75FD"/>
    <w:rsid w:val="000B55C7"/>
    <w:rsid w:val="000B5D26"/>
    <w:rsid w:val="000B5EB2"/>
    <w:rsid w:val="000B722B"/>
    <w:rsid w:val="000C08E5"/>
    <w:rsid w:val="000C33BD"/>
    <w:rsid w:val="000C3B05"/>
    <w:rsid w:val="000D51E7"/>
    <w:rsid w:val="000D5311"/>
    <w:rsid w:val="000D7A6E"/>
    <w:rsid w:val="000E35D6"/>
    <w:rsid w:val="000F2480"/>
    <w:rsid w:val="000F35B9"/>
    <w:rsid w:val="001123DD"/>
    <w:rsid w:val="00114C66"/>
    <w:rsid w:val="00115439"/>
    <w:rsid w:val="0011754C"/>
    <w:rsid w:val="0012740C"/>
    <w:rsid w:val="00130330"/>
    <w:rsid w:val="00130FD7"/>
    <w:rsid w:val="00135163"/>
    <w:rsid w:val="001372DB"/>
    <w:rsid w:val="00145442"/>
    <w:rsid w:val="00146315"/>
    <w:rsid w:val="00153D80"/>
    <w:rsid w:val="001569AA"/>
    <w:rsid w:val="0016056C"/>
    <w:rsid w:val="0016112C"/>
    <w:rsid w:val="00164AD4"/>
    <w:rsid w:val="001651BC"/>
    <w:rsid w:val="00165B8B"/>
    <w:rsid w:val="0016657C"/>
    <w:rsid w:val="0017022F"/>
    <w:rsid w:val="00170604"/>
    <w:rsid w:val="001717DE"/>
    <w:rsid w:val="00171BCB"/>
    <w:rsid w:val="00172481"/>
    <w:rsid w:val="0017459A"/>
    <w:rsid w:val="0017601F"/>
    <w:rsid w:val="00183A65"/>
    <w:rsid w:val="00183D84"/>
    <w:rsid w:val="00193033"/>
    <w:rsid w:val="001A00FC"/>
    <w:rsid w:val="001A1991"/>
    <w:rsid w:val="001A2578"/>
    <w:rsid w:val="001A3A8F"/>
    <w:rsid w:val="001A7C60"/>
    <w:rsid w:val="001B175C"/>
    <w:rsid w:val="001B17C2"/>
    <w:rsid w:val="001B3EC7"/>
    <w:rsid w:val="001B4123"/>
    <w:rsid w:val="001B4B9C"/>
    <w:rsid w:val="001C3FBE"/>
    <w:rsid w:val="001C461F"/>
    <w:rsid w:val="001C4BEB"/>
    <w:rsid w:val="001D0A9F"/>
    <w:rsid w:val="001E1216"/>
    <w:rsid w:val="001E1A02"/>
    <w:rsid w:val="001E2536"/>
    <w:rsid w:val="001E6F00"/>
    <w:rsid w:val="001E7572"/>
    <w:rsid w:val="001F2580"/>
    <w:rsid w:val="001F2FC4"/>
    <w:rsid w:val="001F4BEA"/>
    <w:rsid w:val="001F7A79"/>
    <w:rsid w:val="00210248"/>
    <w:rsid w:val="002108C3"/>
    <w:rsid w:val="00212D55"/>
    <w:rsid w:val="0021447E"/>
    <w:rsid w:val="0021719E"/>
    <w:rsid w:val="00231B8F"/>
    <w:rsid w:val="002411FA"/>
    <w:rsid w:val="002425AB"/>
    <w:rsid w:val="002428BD"/>
    <w:rsid w:val="00242DAB"/>
    <w:rsid w:val="00245706"/>
    <w:rsid w:val="002507E2"/>
    <w:rsid w:val="0025204A"/>
    <w:rsid w:val="00254584"/>
    <w:rsid w:val="00254C7F"/>
    <w:rsid w:val="00254F80"/>
    <w:rsid w:val="00270574"/>
    <w:rsid w:val="00272A18"/>
    <w:rsid w:val="00277F38"/>
    <w:rsid w:val="00282115"/>
    <w:rsid w:val="00283502"/>
    <w:rsid w:val="002838D8"/>
    <w:rsid w:val="00285D4A"/>
    <w:rsid w:val="00290742"/>
    <w:rsid w:val="00292AD5"/>
    <w:rsid w:val="00293602"/>
    <w:rsid w:val="00293A39"/>
    <w:rsid w:val="00293C20"/>
    <w:rsid w:val="0029405C"/>
    <w:rsid w:val="002962F7"/>
    <w:rsid w:val="00296975"/>
    <w:rsid w:val="00297B13"/>
    <w:rsid w:val="00297CC0"/>
    <w:rsid w:val="002A3C1D"/>
    <w:rsid w:val="002A5DAE"/>
    <w:rsid w:val="002B062E"/>
    <w:rsid w:val="002B175E"/>
    <w:rsid w:val="002B2A1F"/>
    <w:rsid w:val="002B3F9A"/>
    <w:rsid w:val="002C347F"/>
    <w:rsid w:val="002C7F55"/>
    <w:rsid w:val="002D7FF7"/>
    <w:rsid w:val="002E0DF4"/>
    <w:rsid w:val="002E35D4"/>
    <w:rsid w:val="002E37F5"/>
    <w:rsid w:val="002F216E"/>
    <w:rsid w:val="002F48BB"/>
    <w:rsid w:val="002F5118"/>
    <w:rsid w:val="002F7628"/>
    <w:rsid w:val="0030629B"/>
    <w:rsid w:val="003066D5"/>
    <w:rsid w:val="00317363"/>
    <w:rsid w:val="00320284"/>
    <w:rsid w:val="00323AA6"/>
    <w:rsid w:val="003244E6"/>
    <w:rsid w:val="00326A7C"/>
    <w:rsid w:val="00330BC6"/>
    <w:rsid w:val="00333D57"/>
    <w:rsid w:val="0033530A"/>
    <w:rsid w:val="00335B8B"/>
    <w:rsid w:val="00335BE5"/>
    <w:rsid w:val="00341C8E"/>
    <w:rsid w:val="0034250C"/>
    <w:rsid w:val="00355552"/>
    <w:rsid w:val="00363D6E"/>
    <w:rsid w:val="0036547E"/>
    <w:rsid w:val="003666FE"/>
    <w:rsid w:val="00366C62"/>
    <w:rsid w:val="003710E9"/>
    <w:rsid w:val="003738A3"/>
    <w:rsid w:val="00373A30"/>
    <w:rsid w:val="00381073"/>
    <w:rsid w:val="003852A5"/>
    <w:rsid w:val="00385303"/>
    <w:rsid w:val="00391C1F"/>
    <w:rsid w:val="00393F24"/>
    <w:rsid w:val="003A5F9E"/>
    <w:rsid w:val="003B11C2"/>
    <w:rsid w:val="003B53D2"/>
    <w:rsid w:val="003B5561"/>
    <w:rsid w:val="003B59AA"/>
    <w:rsid w:val="003B59CB"/>
    <w:rsid w:val="003C6D29"/>
    <w:rsid w:val="003C746E"/>
    <w:rsid w:val="003D3356"/>
    <w:rsid w:val="003D4808"/>
    <w:rsid w:val="003D48F1"/>
    <w:rsid w:val="003D6459"/>
    <w:rsid w:val="003D7DED"/>
    <w:rsid w:val="003E00D5"/>
    <w:rsid w:val="003E4388"/>
    <w:rsid w:val="003E57A5"/>
    <w:rsid w:val="003E7F62"/>
    <w:rsid w:val="003F07D5"/>
    <w:rsid w:val="003F57FF"/>
    <w:rsid w:val="00400B24"/>
    <w:rsid w:val="00402126"/>
    <w:rsid w:val="004079AE"/>
    <w:rsid w:val="004123D0"/>
    <w:rsid w:val="00416979"/>
    <w:rsid w:val="0042247C"/>
    <w:rsid w:val="00427374"/>
    <w:rsid w:val="004305C3"/>
    <w:rsid w:val="00431F04"/>
    <w:rsid w:val="00436F4E"/>
    <w:rsid w:val="00445441"/>
    <w:rsid w:val="00461DAD"/>
    <w:rsid w:val="0046547E"/>
    <w:rsid w:val="00482AC1"/>
    <w:rsid w:val="004835C9"/>
    <w:rsid w:val="004841A5"/>
    <w:rsid w:val="00490067"/>
    <w:rsid w:val="00494E1E"/>
    <w:rsid w:val="00496A38"/>
    <w:rsid w:val="00497963"/>
    <w:rsid w:val="00497DC7"/>
    <w:rsid w:val="004A1B45"/>
    <w:rsid w:val="004A5D30"/>
    <w:rsid w:val="004B0468"/>
    <w:rsid w:val="004B16FC"/>
    <w:rsid w:val="004B7FD5"/>
    <w:rsid w:val="004C3E3A"/>
    <w:rsid w:val="004C7108"/>
    <w:rsid w:val="004D1AF3"/>
    <w:rsid w:val="004D68BA"/>
    <w:rsid w:val="004E36B6"/>
    <w:rsid w:val="004E6101"/>
    <w:rsid w:val="004F0706"/>
    <w:rsid w:val="004F2256"/>
    <w:rsid w:val="004F3285"/>
    <w:rsid w:val="004F60AF"/>
    <w:rsid w:val="004F6A25"/>
    <w:rsid w:val="00501895"/>
    <w:rsid w:val="00502E73"/>
    <w:rsid w:val="0050691F"/>
    <w:rsid w:val="0051712D"/>
    <w:rsid w:val="00517B85"/>
    <w:rsid w:val="005214E5"/>
    <w:rsid w:val="00525FE8"/>
    <w:rsid w:val="0053427F"/>
    <w:rsid w:val="005366D7"/>
    <w:rsid w:val="005401D1"/>
    <w:rsid w:val="005503AF"/>
    <w:rsid w:val="00551221"/>
    <w:rsid w:val="0056021B"/>
    <w:rsid w:val="00562AA4"/>
    <w:rsid w:val="00563466"/>
    <w:rsid w:val="00566AC8"/>
    <w:rsid w:val="005674C2"/>
    <w:rsid w:val="00570677"/>
    <w:rsid w:val="00572957"/>
    <w:rsid w:val="00576839"/>
    <w:rsid w:val="00582702"/>
    <w:rsid w:val="0058587E"/>
    <w:rsid w:val="00585AD3"/>
    <w:rsid w:val="00590067"/>
    <w:rsid w:val="00592E7B"/>
    <w:rsid w:val="00592F2B"/>
    <w:rsid w:val="0059306C"/>
    <w:rsid w:val="00594E09"/>
    <w:rsid w:val="0059635C"/>
    <w:rsid w:val="00597977"/>
    <w:rsid w:val="005A21EF"/>
    <w:rsid w:val="005A22FC"/>
    <w:rsid w:val="005A2CF8"/>
    <w:rsid w:val="005A44ED"/>
    <w:rsid w:val="005A67FF"/>
    <w:rsid w:val="005A7C75"/>
    <w:rsid w:val="005B2CF8"/>
    <w:rsid w:val="005B3CBF"/>
    <w:rsid w:val="005B4AD8"/>
    <w:rsid w:val="005C1140"/>
    <w:rsid w:val="005C16FF"/>
    <w:rsid w:val="005C3F6F"/>
    <w:rsid w:val="005C4099"/>
    <w:rsid w:val="005D07DE"/>
    <w:rsid w:val="005D403C"/>
    <w:rsid w:val="005E1406"/>
    <w:rsid w:val="005E1C11"/>
    <w:rsid w:val="005E3567"/>
    <w:rsid w:val="005E4AD1"/>
    <w:rsid w:val="005E5DAB"/>
    <w:rsid w:val="005F01FC"/>
    <w:rsid w:val="005F50EE"/>
    <w:rsid w:val="00602C25"/>
    <w:rsid w:val="00604672"/>
    <w:rsid w:val="006103A6"/>
    <w:rsid w:val="006105BD"/>
    <w:rsid w:val="0061094B"/>
    <w:rsid w:val="006113E0"/>
    <w:rsid w:val="006174EB"/>
    <w:rsid w:val="00620E65"/>
    <w:rsid w:val="006256BB"/>
    <w:rsid w:val="0063025A"/>
    <w:rsid w:val="00633293"/>
    <w:rsid w:val="006346D3"/>
    <w:rsid w:val="00642957"/>
    <w:rsid w:val="00646703"/>
    <w:rsid w:val="00651C8E"/>
    <w:rsid w:val="00654231"/>
    <w:rsid w:val="0066065F"/>
    <w:rsid w:val="00660DFC"/>
    <w:rsid w:val="00663843"/>
    <w:rsid w:val="00664099"/>
    <w:rsid w:val="00667755"/>
    <w:rsid w:val="006701C2"/>
    <w:rsid w:val="00670EA2"/>
    <w:rsid w:val="0067438A"/>
    <w:rsid w:val="00684B95"/>
    <w:rsid w:val="00684F98"/>
    <w:rsid w:val="006939EA"/>
    <w:rsid w:val="006943AB"/>
    <w:rsid w:val="006978F8"/>
    <w:rsid w:val="006A2B6C"/>
    <w:rsid w:val="006A4735"/>
    <w:rsid w:val="006A592A"/>
    <w:rsid w:val="006A7A68"/>
    <w:rsid w:val="006A7B72"/>
    <w:rsid w:val="006B0CC4"/>
    <w:rsid w:val="006C74D1"/>
    <w:rsid w:val="006D19EE"/>
    <w:rsid w:val="006D2E3E"/>
    <w:rsid w:val="006D3C6F"/>
    <w:rsid w:val="006E2A86"/>
    <w:rsid w:val="006E4399"/>
    <w:rsid w:val="006E5532"/>
    <w:rsid w:val="006F3492"/>
    <w:rsid w:val="00702FE3"/>
    <w:rsid w:val="00703FB0"/>
    <w:rsid w:val="0070410E"/>
    <w:rsid w:val="007049F6"/>
    <w:rsid w:val="00706659"/>
    <w:rsid w:val="0070720F"/>
    <w:rsid w:val="007128DD"/>
    <w:rsid w:val="00713129"/>
    <w:rsid w:val="00715410"/>
    <w:rsid w:val="007170BF"/>
    <w:rsid w:val="0072341D"/>
    <w:rsid w:val="0072676C"/>
    <w:rsid w:val="00730372"/>
    <w:rsid w:val="007400FA"/>
    <w:rsid w:val="00742074"/>
    <w:rsid w:val="00751261"/>
    <w:rsid w:val="0075613F"/>
    <w:rsid w:val="0076150D"/>
    <w:rsid w:val="007620D8"/>
    <w:rsid w:val="00762AED"/>
    <w:rsid w:val="00766F4A"/>
    <w:rsid w:val="00773146"/>
    <w:rsid w:val="007751E0"/>
    <w:rsid w:val="00775879"/>
    <w:rsid w:val="00776C86"/>
    <w:rsid w:val="00776C97"/>
    <w:rsid w:val="007800FB"/>
    <w:rsid w:val="00781B79"/>
    <w:rsid w:val="0078604F"/>
    <w:rsid w:val="0079506B"/>
    <w:rsid w:val="0079775C"/>
    <w:rsid w:val="007A2F02"/>
    <w:rsid w:val="007A66AA"/>
    <w:rsid w:val="007B011B"/>
    <w:rsid w:val="007B4D6A"/>
    <w:rsid w:val="007B50F7"/>
    <w:rsid w:val="007B7D6B"/>
    <w:rsid w:val="007B7E15"/>
    <w:rsid w:val="007C15D7"/>
    <w:rsid w:val="007C548C"/>
    <w:rsid w:val="007C598B"/>
    <w:rsid w:val="007C5C9D"/>
    <w:rsid w:val="007D2557"/>
    <w:rsid w:val="007D6D1B"/>
    <w:rsid w:val="007E085A"/>
    <w:rsid w:val="007E65A2"/>
    <w:rsid w:val="007F1A77"/>
    <w:rsid w:val="007F28BA"/>
    <w:rsid w:val="007F4DB8"/>
    <w:rsid w:val="007F6C7E"/>
    <w:rsid w:val="007F7D5F"/>
    <w:rsid w:val="008049B5"/>
    <w:rsid w:val="0080747A"/>
    <w:rsid w:val="00812E50"/>
    <w:rsid w:val="00814473"/>
    <w:rsid w:val="00817689"/>
    <w:rsid w:val="00821B47"/>
    <w:rsid w:val="00823F03"/>
    <w:rsid w:val="00824766"/>
    <w:rsid w:val="00842E39"/>
    <w:rsid w:val="00847256"/>
    <w:rsid w:val="0084791C"/>
    <w:rsid w:val="008517EB"/>
    <w:rsid w:val="00854453"/>
    <w:rsid w:val="008560EF"/>
    <w:rsid w:val="0085659F"/>
    <w:rsid w:val="00866A6E"/>
    <w:rsid w:val="008672FA"/>
    <w:rsid w:val="00867F4E"/>
    <w:rsid w:val="00870342"/>
    <w:rsid w:val="00874FE1"/>
    <w:rsid w:val="008840E2"/>
    <w:rsid w:val="00885629"/>
    <w:rsid w:val="00886194"/>
    <w:rsid w:val="0089178D"/>
    <w:rsid w:val="00894C54"/>
    <w:rsid w:val="00896576"/>
    <w:rsid w:val="00896D67"/>
    <w:rsid w:val="008A0B31"/>
    <w:rsid w:val="008A46FA"/>
    <w:rsid w:val="008B0BC8"/>
    <w:rsid w:val="008B15C1"/>
    <w:rsid w:val="008B22D3"/>
    <w:rsid w:val="008B3CFF"/>
    <w:rsid w:val="008B6BBA"/>
    <w:rsid w:val="008C3397"/>
    <w:rsid w:val="008C585A"/>
    <w:rsid w:val="008D0773"/>
    <w:rsid w:val="008D381F"/>
    <w:rsid w:val="008D38A1"/>
    <w:rsid w:val="008D4078"/>
    <w:rsid w:val="008D6A9C"/>
    <w:rsid w:val="008E3405"/>
    <w:rsid w:val="008E43C3"/>
    <w:rsid w:val="008E7AEF"/>
    <w:rsid w:val="008F175C"/>
    <w:rsid w:val="008F1CDB"/>
    <w:rsid w:val="008F4EA9"/>
    <w:rsid w:val="009009B5"/>
    <w:rsid w:val="00906E9B"/>
    <w:rsid w:val="00906F5A"/>
    <w:rsid w:val="0090775C"/>
    <w:rsid w:val="0091235D"/>
    <w:rsid w:val="00914588"/>
    <w:rsid w:val="00915E43"/>
    <w:rsid w:val="009202AB"/>
    <w:rsid w:val="0092219F"/>
    <w:rsid w:val="00932B99"/>
    <w:rsid w:val="00935BD5"/>
    <w:rsid w:val="009401B0"/>
    <w:rsid w:val="0094104F"/>
    <w:rsid w:val="00943135"/>
    <w:rsid w:val="00943DE4"/>
    <w:rsid w:val="009467B0"/>
    <w:rsid w:val="00952DBF"/>
    <w:rsid w:val="00953772"/>
    <w:rsid w:val="009547AC"/>
    <w:rsid w:val="00961B73"/>
    <w:rsid w:val="009659E7"/>
    <w:rsid w:val="00965E4C"/>
    <w:rsid w:val="00971A3A"/>
    <w:rsid w:val="00974EB0"/>
    <w:rsid w:val="00974F05"/>
    <w:rsid w:val="00975CDD"/>
    <w:rsid w:val="009809AC"/>
    <w:rsid w:val="00981C4A"/>
    <w:rsid w:val="00981FB0"/>
    <w:rsid w:val="00983E7F"/>
    <w:rsid w:val="009872FF"/>
    <w:rsid w:val="00991876"/>
    <w:rsid w:val="0099352C"/>
    <w:rsid w:val="009A2C68"/>
    <w:rsid w:val="009A3667"/>
    <w:rsid w:val="009A3D3F"/>
    <w:rsid w:val="009B0C6C"/>
    <w:rsid w:val="009B1E07"/>
    <w:rsid w:val="009C672B"/>
    <w:rsid w:val="009D0E3C"/>
    <w:rsid w:val="009D1226"/>
    <w:rsid w:val="009D20DA"/>
    <w:rsid w:val="009D2999"/>
    <w:rsid w:val="009D5098"/>
    <w:rsid w:val="009E491F"/>
    <w:rsid w:val="009E56AB"/>
    <w:rsid w:val="009E7863"/>
    <w:rsid w:val="009E786A"/>
    <w:rsid w:val="009E79B8"/>
    <w:rsid w:val="009F164E"/>
    <w:rsid w:val="009F1AC6"/>
    <w:rsid w:val="009F52D9"/>
    <w:rsid w:val="009F5C86"/>
    <w:rsid w:val="00A00BBB"/>
    <w:rsid w:val="00A01E2E"/>
    <w:rsid w:val="00A02317"/>
    <w:rsid w:val="00A06018"/>
    <w:rsid w:val="00A104E8"/>
    <w:rsid w:val="00A138FB"/>
    <w:rsid w:val="00A16B02"/>
    <w:rsid w:val="00A177C2"/>
    <w:rsid w:val="00A22969"/>
    <w:rsid w:val="00A25AEA"/>
    <w:rsid w:val="00A27D61"/>
    <w:rsid w:val="00A32341"/>
    <w:rsid w:val="00A35852"/>
    <w:rsid w:val="00A35BFD"/>
    <w:rsid w:val="00A463EB"/>
    <w:rsid w:val="00A51CE4"/>
    <w:rsid w:val="00A520B3"/>
    <w:rsid w:val="00A546C0"/>
    <w:rsid w:val="00A54D6E"/>
    <w:rsid w:val="00A6129E"/>
    <w:rsid w:val="00A6524C"/>
    <w:rsid w:val="00A66419"/>
    <w:rsid w:val="00A66FDA"/>
    <w:rsid w:val="00A729DF"/>
    <w:rsid w:val="00A72D50"/>
    <w:rsid w:val="00A74F57"/>
    <w:rsid w:val="00A76885"/>
    <w:rsid w:val="00A8291C"/>
    <w:rsid w:val="00A83EC9"/>
    <w:rsid w:val="00A8403E"/>
    <w:rsid w:val="00A85CF2"/>
    <w:rsid w:val="00A87048"/>
    <w:rsid w:val="00AA0D4D"/>
    <w:rsid w:val="00AA615F"/>
    <w:rsid w:val="00AA6351"/>
    <w:rsid w:val="00AA7692"/>
    <w:rsid w:val="00AA7EAA"/>
    <w:rsid w:val="00AB20BF"/>
    <w:rsid w:val="00AB21A1"/>
    <w:rsid w:val="00AB43D7"/>
    <w:rsid w:val="00AB7E1A"/>
    <w:rsid w:val="00AC1BDB"/>
    <w:rsid w:val="00AC1D95"/>
    <w:rsid w:val="00AC2100"/>
    <w:rsid w:val="00AC25B6"/>
    <w:rsid w:val="00AC500A"/>
    <w:rsid w:val="00AD059A"/>
    <w:rsid w:val="00AD228B"/>
    <w:rsid w:val="00AF10AA"/>
    <w:rsid w:val="00AF2989"/>
    <w:rsid w:val="00AF5123"/>
    <w:rsid w:val="00AF6857"/>
    <w:rsid w:val="00AF76BB"/>
    <w:rsid w:val="00AF7725"/>
    <w:rsid w:val="00B0063D"/>
    <w:rsid w:val="00B01177"/>
    <w:rsid w:val="00B01861"/>
    <w:rsid w:val="00B0237B"/>
    <w:rsid w:val="00B10B31"/>
    <w:rsid w:val="00B10D6C"/>
    <w:rsid w:val="00B11670"/>
    <w:rsid w:val="00B1293B"/>
    <w:rsid w:val="00B14272"/>
    <w:rsid w:val="00B16094"/>
    <w:rsid w:val="00B23E89"/>
    <w:rsid w:val="00B24E7F"/>
    <w:rsid w:val="00B3299F"/>
    <w:rsid w:val="00B32A69"/>
    <w:rsid w:val="00B3482A"/>
    <w:rsid w:val="00B357E9"/>
    <w:rsid w:val="00B37E4E"/>
    <w:rsid w:val="00B37F45"/>
    <w:rsid w:val="00B40265"/>
    <w:rsid w:val="00B40EE4"/>
    <w:rsid w:val="00B42074"/>
    <w:rsid w:val="00B424F7"/>
    <w:rsid w:val="00B472D4"/>
    <w:rsid w:val="00B50637"/>
    <w:rsid w:val="00B5098F"/>
    <w:rsid w:val="00B542E2"/>
    <w:rsid w:val="00B54380"/>
    <w:rsid w:val="00B55E9A"/>
    <w:rsid w:val="00B67A5E"/>
    <w:rsid w:val="00B67F09"/>
    <w:rsid w:val="00B7046F"/>
    <w:rsid w:val="00B73101"/>
    <w:rsid w:val="00B7696D"/>
    <w:rsid w:val="00B8381F"/>
    <w:rsid w:val="00B84FD6"/>
    <w:rsid w:val="00B853F2"/>
    <w:rsid w:val="00B90D84"/>
    <w:rsid w:val="00B92786"/>
    <w:rsid w:val="00B92E23"/>
    <w:rsid w:val="00B96E87"/>
    <w:rsid w:val="00B97F2D"/>
    <w:rsid w:val="00BA3510"/>
    <w:rsid w:val="00BA4061"/>
    <w:rsid w:val="00BA4AAD"/>
    <w:rsid w:val="00BA64AD"/>
    <w:rsid w:val="00BB39B4"/>
    <w:rsid w:val="00BB5461"/>
    <w:rsid w:val="00BB6CC9"/>
    <w:rsid w:val="00BC4F93"/>
    <w:rsid w:val="00BD4283"/>
    <w:rsid w:val="00BD560A"/>
    <w:rsid w:val="00BD5AA8"/>
    <w:rsid w:val="00BE0259"/>
    <w:rsid w:val="00BE0951"/>
    <w:rsid w:val="00BE63F5"/>
    <w:rsid w:val="00BE71D2"/>
    <w:rsid w:val="00BE7638"/>
    <w:rsid w:val="00BF017A"/>
    <w:rsid w:val="00BF1107"/>
    <w:rsid w:val="00BF4380"/>
    <w:rsid w:val="00BF4AAE"/>
    <w:rsid w:val="00BF51BD"/>
    <w:rsid w:val="00BF67D3"/>
    <w:rsid w:val="00BF6B5F"/>
    <w:rsid w:val="00BF71E7"/>
    <w:rsid w:val="00C03184"/>
    <w:rsid w:val="00C0664E"/>
    <w:rsid w:val="00C13FB5"/>
    <w:rsid w:val="00C15EF8"/>
    <w:rsid w:val="00C17273"/>
    <w:rsid w:val="00C176D3"/>
    <w:rsid w:val="00C2188C"/>
    <w:rsid w:val="00C2244B"/>
    <w:rsid w:val="00C307CC"/>
    <w:rsid w:val="00C325A1"/>
    <w:rsid w:val="00C418B7"/>
    <w:rsid w:val="00C41B3D"/>
    <w:rsid w:val="00C57757"/>
    <w:rsid w:val="00C6492C"/>
    <w:rsid w:val="00C767D6"/>
    <w:rsid w:val="00C76C47"/>
    <w:rsid w:val="00C80E53"/>
    <w:rsid w:val="00C81BAB"/>
    <w:rsid w:val="00C8258B"/>
    <w:rsid w:val="00C8504E"/>
    <w:rsid w:val="00C8738E"/>
    <w:rsid w:val="00C92BA4"/>
    <w:rsid w:val="00C94B4F"/>
    <w:rsid w:val="00C962BE"/>
    <w:rsid w:val="00C9788C"/>
    <w:rsid w:val="00C97E16"/>
    <w:rsid w:val="00CA0318"/>
    <w:rsid w:val="00CA20FA"/>
    <w:rsid w:val="00CA2869"/>
    <w:rsid w:val="00CA36DD"/>
    <w:rsid w:val="00CB006D"/>
    <w:rsid w:val="00CB07D0"/>
    <w:rsid w:val="00CB595E"/>
    <w:rsid w:val="00CC03E9"/>
    <w:rsid w:val="00CC12C5"/>
    <w:rsid w:val="00CC27F0"/>
    <w:rsid w:val="00CC4055"/>
    <w:rsid w:val="00CD6CB1"/>
    <w:rsid w:val="00CD6CFC"/>
    <w:rsid w:val="00CD6E00"/>
    <w:rsid w:val="00CD716B"/>
    <w:rsid w:val="00CE24AC"/>
    <w:rsid w:val="00CE2BAE"/>
    <w:rsid w:val="00CF3A7A"/>
    <w:rsid w:val="00CF4558"/>
    <w:rsid w:val="00D01B4E"/>
    <w:rsid w:val="00D03F93"/>
    <w:rsid w:val="00D05A33"/>
    <w:rsid w:val="00D0748B"/>
    <w:rsid w:val="00D10F20"/>
    <w:rsid w:val="00D1126C"/>
    <w:rsid w:val="00D152CA"/>
    <w:rsid w:val="00D16FD6"/>
    <w:rsid w:val="00D1723A"/>
    <w:rsid w:val="00D2032F"/>
    <w:rsid w:val="00D2092A"/>
    <w:rsid w:val="00D234C3"/>
    <w:rsid w:val="00D24605"/>
    <w:rsid w:val="00D24F58"/>
    <w:rsid w:val="00D27D37"/>
    <w:rsid w:val="00D309C0"/>
    <w:rsid w:val="00D30E1E"/>
    <w:rsid w:val="00D31CBC"/>
    <w:rsid w:val="00D35F0C"/>
    <w:rsid w:val="00D41001"/>
    <w:rsid w:val="00D4382B"/>
    <w:rsid w:val="00D519A4"/>
    <w:rsid w:val="00D602AA"/>
    <w:rsid w:val="00D6127F"/>
    <w:rsid w:val="00D63C4A"/>
    <w:rsid w:val="00D65E40"/>
    <w:rsid w:val="00D73529"/>
    <w:rsid w:val="00D75AD4"/>
    <w:rsid w:val="00D817E3"/>
    <w:rsid w:val="00D81AB6"/>
    <w:rsid w:val="00D860CD"/>
    <w:rsid w:val="00D928F9"/>
    <w:rsid w:val="00D93C1A"/>
    <w:rsid w:val="00D96813"/>
    <w:rsid w:val="00DA1D42"/>
    <w:rsid w:val="00DA20DB"/>
    <w:rsid w:val="00DA3628"/>
    <w:rsid w:val="00DA3B7F"/>
    <w:rsid w:val="00DB0B85"/>
    <w:rsid w:val="00DB6969"/>
    <w:rsid w:val="00DC01A2"/>
    <w:rsid w:val="00DC40C2"/>
    <w:rsid w:val="00DD32F6"/>
    <w:rsid w:val="00DE058D"/>
    <w:rsid w:val="00DE062E"/>
    <w:rsid w:val="00DE1DF7"/>
    <w:rsid w:val="00DE77BC"/>
    <w:rsid w:val="00DF2C9B"/>
    <w:rsid w:val="00DF30AB"/>
    <w:rsid w:val="00DF45D5"/>
    <w:rsid w:val="00DF62D6"/>
    <w:rsid w:val="00DF6F02"/>
    <w:rsid w:val="00E16300"/>
    <w:rsid w:val="00E22556"/>
    <w:rsid w:val="00E226EE"/>
    <w:rsid w:val="00E25A28"/>
    <w:rsid w:val="00E304C7"/>
    <w:rsid w:val="00E35ED2"/>
    <w:rsid w:val="00E41EA2"/>
    <w:rsid w:val="00E42E79"/>
    <w:rsid w:val="00E445C5"/>
    <w:rsid w:val="00E44FB8"/>
    <w:rsid w:val="00E53186"/>
    <w:rsid w:val="00E55A28"/>
    <w:rsid w:val="00E56E8F"/>
    <w:rsid w:val="00E573E0"/>
    <w:rsid w:val="00E57D36"/>
    <w:rsid w:val="00E57F50"/>
    <w:rsid w:val="00E61159"/>
    <w:rsid w:val="00E627BD"/>
    <w:rsid w:val="00E651E5"/>
    <w:rsid w:val="00E7559B"/>
    <w:rsid w:val="00E756B9"/>
    <w:rsid w:val="00E81F14"/>
    <w:rsid w:val="00E85170"/>
    <w:rsid w:val="00E91165"/>
    <w:rsid w:val="00E9324B"/>
    <w:rsid w:val="00E93673"/>
    <w:rsid w:val="00EA04EA"/>
    <w:rsid w:val="00EA3DA2"/>
    <w:rsid w:val="00EA7C3C"/>
    <w:rsid w:val="00EB5827"/>
    <w:rsid w:val="00EC3019"/>
    <w:rsid w:val="00EC345A"/>
    <w:rsid w:val="00EC612F"/>
    <w:rsid w:val="00ED15F0"/>
    <w:rsid w:val="00ED2F41"/>
    <w:rsid w:val="00ED4DA1"/>
    <w:rsid w:val="00ED7CDF"/>
    <w:rsid w:val="00EE26D1"/>
    <w:rsid w:val="00EE4E2D"/>
    <w:rsid w:val="00EE77CA"/>
    <w:rsid w:val="00EF0D65"/>
    <w:rsid w:val="00EF37D5"/>
    <w:rsid w:val="00EF48A7"/>
    <w:rsid w:val="00F04001"/>
    <w:rsid w:val="00F05432"/>
    <w:rsid w:val="00F07BAD"/>
    <w:rsid w:val="00F1245A"/>
    <w:rsid w:val="00F16EB8"/>
    <w:rsid w:val="00F213C7"/>
    <w:rsid w:val="00F21DFD"/>
    <w:rsid w:val="00F22AD0"/>
    <w:rsid w:val="00F22D19"/>
    <w:rsid w:val="00F23688"/>
    <w:rsid w:val="00F257B9"/>
    <w:rsid w:val="00F262DD"/>
    <w:rsid w:val="00F307B5"/>
    <w:rsid w:val="00F32507"/>
    <w:rsid w:val="00F331DD"/>
    <w:rsid w:val="00F409FF"/>
    <w:rsid w:val="00F53278"/>
    <w:rsid w:val="00F5367F"/>
    <w:rsid w:val="00F62A6A"/>
    <w:rsid w:val="00F64215"/>
    <w:rsid w:val="00F70741"/>
    <w:rsid w:val="00F710EF"/>
    <w:rsid w:val="00F767DA"/>
    <w:rsid w:val="00F81A7B"/>
    <w:rsid w:val="00F946C0"/>
    <w:rsid w:val="00FA0DE2"/>
    <w:rsid w:val="00FA104E"/>
    <w:rsid w:val="00FA2DCB"/>
    <w:rsid w:val="00FA67C8"/>
    <w:rsid w:val="00FA6EF8"/>
    <w:rsid w:val="00FB6830"/>
    <w:rsid w:val="00FC3F87"/>
    <w:rsid w:val="00FC4066"/>
    <w:rsid w:val="00FC5FD0"/>
    <w:rsid w:val="00FC7476"/>
    <w:rsid w:val="00FD197F"/>
    <w:rsid w:val="00FD1EFF"/>
    <w:rsid w:val="00FE15DB"/>
    <w:rsid w:val="00FE339E"/>
    <w:rsid w:val="00FF0B77"/>
    <w:rsid w:val="00FF2AAD"/>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3F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paragraph" w:customStyle="1" w:styleId="Level1">
    <w:name w:val="Level 1"/>
    <w:basedOn w:val="Normal"/>
    <w:pPr>
      <w:ind w:left="360" w:hanging="360"/>
    </w:pPr>
  </w:style>
  <w:style w:type="character" w:styleId="Hyperlink">
    <w:name w:val="Hyperlink"/>
    <w:basedOn w:val="DefaultParagraphFont"/>
    <w:uiPriority w:val="99"/>
    <w:rsid w:val="001B4123"/>
    <w:rPr>
      <w:color w:val="0000FF"/>
      <w:u w:val="single"/>
    </w:rPr>
  </w:style>
  <w:style w:type="paragraph" w:styleId="BalloonText">
    <w:name w:val="Balloon Text"/>
    <w:basedOn w:val="Normal"/>
    <w:link w:val="BalloonTextChar"/>
    <w:rsid w:val="003C6D29"/>
    <w:rPr>
      <w:rFonts w:ascii="Tahoma" w:hAnsi="Tahoma" w:cs="Tahoma"/>
      <w:sz w:val="16"/>
      <w:szCs w:val="16"/>
    </w:rPr>
  </w:style>
  <w:style w:type="character" w:customStyle="1" w:styleId="BalloonTextChar">
    <w:name w:val="Balloon Text Char"/>
    <w:basedOn w:val="DefaultParagraphFont"/>
    <w:link w:val="BalloonText"/>
    <w:rsid w:val="003C6D29"/>
    <w:rPr>
      <w:rFonts w:ascii="Tahoma" w:hAnsi="Tahoma" w:cs="Tahoma"/>
      <w:sz w:val="16"/>
      <w:szCs w:val="16"/>
    </w:rPr>
  </w:style>
  <w:style w:type="character" w:styleId="CommentReference">
    <w:name w:val="annotation reference"/>
    <w:basedOn w:val="DefaultParagraphFont"/>
    <w:rsid w:val="003C6D29"/>
    <w:rPr>
      <w:sz w:val="16"/>
      <w:szCs w:val="16"/>
    </w:rPr>
  </w:style>
  <w:style w:type="paragraph" w:styleId="CommentText">
    <w:name w:val="annotation text"/>
    <w:basedOn w:val="Normal"/>
    <w:link w:val="CommentTextChar"/>
    <w:rsid w:val="003C6D29"/>
    <w:rPr>
      <w:sz w:val="20"/>
      <w:szCs w:val="20"/>
    </w:rPr>
  </w:style>
  <w:style w:type="character" w:customStyle="1" w:styleId="CommentTextChar">
    <w:name w:val="Comment Text Char"/>
    <w:basedOn w:val="DefaultParagraphFont"/>
    <w:link w:val="CommentText"/>
    <w:rsid w:val="003C6D29"/>
  </w:style>
  <w:style w:type="paragraph" w:styleId="CommentSubject">
    <w:name w:val="annotation subject"/>
    <w:basedOn w:val="CommentText"/>
    <w:next w:val="CommentText"/>
    <w:link w:val="CommentSubjectChar"/>
    <w:rsid w:val="003C6D29"/>
    <w:rPr>
      <w:b/>
      <w:bCs/>
    </w:rPr>
  </w:style>
  <w:style w:type="character" w:customStyle="1" w:styleId="CommentSubjectChar">
    <w:name w:val="Comment Subject Char"/>
    <w:basedOn w:val="CommentTextChar"/>
    <w:link w:val="CommentSubject"/>
    <w:rsid w:val="003C6D29"/>
    <w:rPr>
      <w:b/>
      <w:bCs/>
    </w:rPr>
  </w:style>
  <w:style w:type="paragraph" w:styleId="FootnoteText">
    <w:name w:val="footnote text"/>
    <w:basedOn w:val="Normal"/>
    <w:link w:val="FootnoteTextChar"/>
    <w:rsid w:val="00D31CBC"/>
    <w:rPr>
      <w:sz w:val="20"/>
      <w:szCs w:val="20"/>
    </w:rPr>
  </w:style>
  <w:style w:type="character" w:customStyle="1" w:styleId="FootnoteTextChar">
    <w:name w:val="Footnote Text Char"/>
    <w:basedOn w:val="DefaultParagraphFont"/>
    <w:link w:val="FootnoteText"/>
    <w:rsid w:val="00D31CBC"/>
  </w:style>
  <w:style w:type="paragraph" w:styleId="PlainText">
    <w:name w:val="Plain Text"/>
    <w:basedOn w:val="Normal"/>
    <w:link w:val="PlainTextChar"/>
    <w:uiPriority w:val="99"/>
    <w:unhideWhenUsed/>
    <w:rsid w:val="009B0C6C"/>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B0C6C"/>
    <w:rPr>
      <w:rFonts w:ascii="Consolas" w:eastAsia="Calibri" w:hAnsi="Consolas"/>
      <w:sz w:val="21"/>
      <w:szCs w:val="21"/>
    </w:rPr>
  </w:style>
  <w:style w:type="table" w:styleId="TableGrid">
    <w:name w:val="Table Grid"/>
    <w:basedOn w:val="TableNormal"/>
    <w:uiPriority w:val="59"/>
    <w:rsid w:val="00551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00FB"/>
    <w:pPr>
      <w:tabs>
        <w:tab w:val="center" w:pos="4680"/>
        <w:tab w:val="right" w:pos="9360"/>
      </w:tabs>
    </w:pPr>
  </w:style>
  <w:style w:type="character" w:customStyle="1" w:styleId="HeaderChar">
    <w:name w:val="Header Char"/>
    <w:basedOn w:val="DefaultParagraphFont"/>
    <w:link w:val="Header"/>
    <w:rsid w:val="007800FB"/>
    <w:rPr>
      <w:sz w:val="24"/>
      <w:szCs w:val="24"/>
    </w:rPr>
  </w:style>
  <w:style w:type="paragraph" w:styleId="ListParagraph">
    <w:name w:val="List Paragraph"/>
    <w:basedOn w:val="Normal"/>
    <w:uiPriority w:val="34"/>
    <w:qFormat/>
    <w:rsid w:val="001123DD"/>
    <w:pPr>
      <w:ind w:left="720"/>
      <w:contextualSpacing/>
    </w:pPr>
  </w:style>
  <w:style w:type="character" w:styleId="FollowedHyperlink">
    <w:name w:val="FollowedHyperlink"/>
    <w:basedOn w:val="DefaultParagraphFont"/>
    <w:semiHidden/>
    <w:unhideWhenUsed/>
    <w:rsid w:val="005B3CBF"/>
    <w:rPr>
      <w:color w:val="800080" w:themeColor="followedHyperlink"/>
      <w:u w:val="single"/>
    </w:rPr>
  </w:style>
  <w:style w:type="paragraph" w:styleId="Revision">
    <w:name w:val="Revision"/>
    <w:hidden/>
    <w:uiPriority w:val="99"/>
    <w:semiHidden/>
    <w:rsid w:val="00817689"/>
    <w:rPr>
      <w:sz w:val="24"/>
      <w:szCs w:val="24"/>
    </w:rPr>
  </w:style>
  <w:style w:type="paragraph" w:styleId="BodyText">
    <w:name w:val="Body Text"/>
    <w:basedOn w:val="Normal"/>
    <w:link w:val="BodyTextChar"/>
    <w:uiPriority w:val="1"/>
    <w:qFormat/>
    <w:rsid w:val="006256BB"/>
    <w:pPr>
      <w:adjustRightInd/>
      <w:ind w:left="120"/>
    </w:pPr>
    <w:rPr>
      <w:rFonts w:ascii="Arial Narrow" w:eastAsia="Arial Narrow" w:hAnsi="Arial Narrow" w:cs="Arial Narrow"/>
      <w:sz w:val="20"/>
      <w:szCs w:val="20"/>
    </w:rPr>
  </w:style>
  <w:style w:type="character" w:customStyle="1" w:styleId="BodyTextChar">
    <w:name w:val="Body Text Char"/>
    <w:basedOn w:val="DefaultParagraphFont"/>
    <w:link w:val="BodyText"/>
    <w:uiPriority w:val="1"/>
    <w:rsid w:val="006256BB"/>
    <w:rPr>
      <w:rFonts w:ascii="Arial Narrow" w:eastAsia="Arial Narrow" w:hAnsi="Arial Narrow" w:cs="Arial Narrow"/>
    </w:rPr>
  </w:style>
  <w:style w:type="paragraph" w:customStyle="1" w:styleId="TableParagraph">
    <w:name w:val="Table Paragraph"/>
    <w:basedOn w:val="Normal"/>
    <w:uiPriority w:val="1"/>
    <w:qFormat/>
    <w:rsid w:val="006256BB"/>
    <w:pPr>
      <w:adjustRightInd/>
      <w:spacing w:before="98"/>
      <w:ind w:right="65"/>
      <w:jc w:val="right"/>
    </w:pPr>
    <w:rPr>
      <w:rFonts w:ascii="Arial Narrow" w:eastAsia="Arial Narrow" w:hAnsi="Arial Narrow" w:cs="Arial Narrow"/>
      <w:sz w:val="22"/>
      <w:szCs w:val="22"/>
    </w:rPr>
  </w:style>
  <w:style w:type="paragraph" w:styleId="Footer">
    <w:name w:val="footer"/>
    <w:basedOn w:val="Normal"/>
    <w:link w:val="FooterChar"/>
    <w:unhideWhenUsed/>
    <w:rsid w:val="00E25A28"/>
    <w:pPr>
      <w:tabs>
        <w:tab w:val="center" w:pos="4680"/>
        <w:tab w:val="right" w:pos="9360"/>
      </w:tabs>
    </w:pPr>
  </w:style>
  <w:style w:type="character" w:customStyle="1" w:styleId="FooterChar">
    <w:name w:val="Footer Char"/>
    <w:basedOn w:val="DefaultParagraphFont"/>
    <w:link w:val="Footer"/>
    <w:rsid w:val="00E25A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paragraph" w:customStyle="1" w:styleId="Level1">
    <w:name w:val="Level 1"/>
    <w:basedOn w:val="Normal"/>
    <w:pPr>
      <w:ind w:left="360" w:hanging="360"/>
    </w:pPr>
  </w:style>
  <w:style w:type="character" w:styleId="Hyperlink">
    <w:name w:val="Hyperlink"/>
    <w:basedOn w:val="DefaultParagraphFont"/>
    <w:uiPriority w:val="99"/>
    <w:rsid w:val="001B4123"/>
    <w:rPr>
      <w:color w:val="0000FF"/>
      <w:u w:val="single"/>
    </w:rPr>
  </w:style>
  <w:style w:type="paragraph" w:styleId="BalloonText">
    <w:name w:val="Balloon Text"/>
    <w:basedOn w:val="Normal"/>
    <w:link w:val="BalloonTextChar"/>
    <w:rsid w:val="003C6D29"/>
    <w:rPr>
      <w:rFonts w:ascii="Tahoma" w:hAnsi="Tahoma" w:cs="Tahoma"/>
      <w:sz w:val="16"/>
      <w:szCs w:val="16"/>
    </w:rPr>
  </w:style>
  <w:style w:type="character" w:customStyle="1" w:styleId="BalloonTextChar">
    <w:name w:val="Balloon Text Char"/>
    <w:basedOn w:val="DefaultParagraphFont"/>
    <w:link w:val="BalloonText"/>
    <w:rsid w:val="003C6D29"/>
    <w:rPr>
      <w:rFonts w:ascii="Tahoma" w:hAnsi="Tahoma" w:cs="Tahoma"/>
      <w:sz w:val="16"/>
      <w:szCs w:val="16"/>
    </w:rPr>
  </w:style>
  <w:style w:type="character" w:styleId="CommentReference">
    <w:name w:val="annotation reference"/>
    <w:basedOn w:val="DefaultParagraphFont"/>
    <w:rsid w:val="003C6D29"/>
    <w:rPr>
      <w:sz w:val="16"/>
      <w:szCs w:val="16"/>
    </w:rPr>
  </w:style>
  <w:style w:type="paragraph" w:styleId="CommentText">
    <w:name w:val="annotation text"/>
    <w:basedOn w:val="Normal"/>
    <w:link w:val="CommentTextChar"/>
    <w:rsid w:val="003C6D29"/>
    <w:rPr>
      <w:sz w:val="20"/>
      <w:szCs w:val="20"/>
    </w:rPr>
  </w:style>
  <w:style w:type="character" w:customStyle="1" w:styleId="CommentTextChar">
    <w:name w:val="Comment Text Char"/>
    <w:basedOn w:val="DefaultParagraphFont"/>
    <w:link w:val="CommentText"/>
    <w:rsid w:val="003C6D29"/>
  </w:style>
  <w:style w:type="paragraph" w:styleId="CommentSubject">
    <w:name w:val="annotation subject"/>
    <w:basedOn w:val="CommentText"/>
    <w:next w:val="CommentText"/>
    <w:link w:val="CommentSubjectChar"/>
    <w:rsid w:val="003C6D29"/>
    <w:rPr>
      <w:b/>
      <w:bCs/>
    </w:rPr>
  </w:style>
  <w:style w:type="character" w:customStyle="1" w:styleId="CommentSubjectChar">
    <w:name w:val="Comment Subject Char"/>
    <w:basedOn w:val="CommentTextChar"/>
    <w:link w:val="CommentSubject"/>
    <w:rsid w:val="003C6D29"/>
    <w:rPr>
      <w:b/>
      <w:bCs/>
    </w:rPr>
  </w:style>
  <w:style w:type="paragraph" w:styleId="FootnoteText">
    <w:name w:val="footnote text"/>
    <w:basedOn w:val="Normal"/>
    <w:link w:val="FootnoteTextChar"/>
    <w:rsid w:val="00D31CBC"/>
    <w:rPr>
      <w:sz w:val="20"/>
      <w:szCs w:val="20"/>
    </w:rPr>
  </w:style>
  <w:style w:type="character" w:customStyle="1" w:styleId="FootnoteTextChar">
    <w:name w:val="Footnote Text Char"/>
    <w:basedOn w:val="DefaultParagraphFont"/>
    <w:link w:val="FootnoteText"/>
    <w:rsid w:val="00D31CBC"/>
  </w:style>
  <w:style w:type="paragraph" w:styleId="PlainText">
    <w:name w:val="Plain Text"/>
    <w:basedOn w:val="Normal"/>
    <w:link w:val="PlainTextChar"/>
    <w:uiPriority w:val="99"/>
    <w:unhideWhenUsed/>
    <w:rsid w:val="009B0C6C"/>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B0C6C"/>
    <w:rPr>
      <w:rFonts w:ascii="Consolas" w:eastAsia="Calibri" w:hAnsi="Consolas"/>
      <w:sz w:val="21"/>
      <w:szCs w:val="21"/>
    </w:rPr>
  </w:style>
  <w:style w:type="table" w:styleId="TableGrid">
    <w:name w:val="Table Grid"/>
    <w:basedOn w:val="TableNormal"/>
    <w:uiPriority w:val="59"/>
    <w:rsid w:val="00551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00FB"/>
    <w:pPr>
      <w:tabs>
        <w:tab w:val="center" w:pos="4680"/>
        <w:tab w:val="right" w:pos="9360"/>
      </w:tabs>
    </w:pPr>
  </w:style>
  <w:style w:type="character" w:customStyle="1" w:styleId="HeaderChar">
    <w:name w:val="Header Char"/>
    <w:basedOn w:val="DefaultParagraphFont"/>
    <w:link w:val="Header"/>
    <w:rsid w:val="007800FB"/>
    <w:rPr>
      <w:sz w:val="24"/>
      <w:szCs w:val="24"/>
    </w:rPr>
  </w:style>
  <w:style w:type="paragraph" w:styleId="ListParagraph">
    <w:name w:val="List Paragraph"/>
    <w:basedOn w:val="Normal"/>
    <w:uiPriority w:val="34"/>
    <w:qFormat/>
    <w:rsid w:val="001123DD"/>
    <w:pPr>
      <w:ind w:left="720"/>
      <w:contextualSpacing/>
    </w:pPr>
  </w:style>
  <w:style w:type="character" w:styleId="FollowedHyperlink">
    <w:name w:val="FollowedHyperlink"/>
    <w:basedOn w:val="DefaultParagraphFont"/>
    <w:semiHidden/>
    <w:unhideWhenUsed/>
    <w:rsid w:val="005B3CBF"/>
    <w:rPr>
      <w:color w:val="800080" w:themeColor="followedHyperlink"/>
      <w:u w:val="single"/>
    </w:rPr>
  </w:style>
  <w:style w:type="paragraph" w:styleId="Revision">
    <w:name w:val="Revision"/>
    <w:hidden/>
    <w:uiPriority w:val="99"/>
    <w:semiHidden/>
    <w:rsid w:val="00817689"/>
    <w:rPr>
      <w:sz w:val="24"/>
      <w:szCs w:val="24"/>
    </w:rPr>
  </w:style>
  <w:style w:type="paragraph" w:styleId="BodyText">
    <w:name w:val="Body Text"/>
    <w:basedOn w:val="Normal"/>
    <w:link w:val="BodyTextChar"/>
    <w:uiPriority w:val="1"/>
    <w:qFormat/>
    <w:rsid w:val="006256BB"/>
    <w:pPr>
      <w:adjustRightInd/>
      <w:ind w:left="120"/>
    </w:pPr>
    <w:rPr>
      <w:rFonts w:ascii="Arial Narrow" w:eastAsia="Arial Narrow" w:hAnsi="Arial Narrow" w:cs="Arial Narrow"/>
      <w:sz w:val="20"/>
      <w:szCs w:val="20"/>
    </w:rPr>
  </w:style>
  <w:style w:type="character" w:customStyle="1" w:styleId="BodyTextChar">
    <w:name w:val="Body Text Char"/>
    <w:basedOn w:val="DefaultParagraphFont"/>
    <w:link w:val="BodyText"/>
    <w:uiPriority w:val="1"/>
    <w:rsid w:val="006256BB"/>
    <w:rPr>
      <w:rFonts w:ascii="Arial Narrow" w:eastAsia="Arial Narrow" w:hAnsi="Arial Narrow" w:cs="Arial Narrow"/>
    </w:rPr>
  </w:style>
  <w:style w:type="paragraph" w:customStyle="1" w:styleId="TableParagraph">
    <w:name w:val="Table Paragraph"/>
    <w:basedOn w:val="Normal"/>
    <w:uiPriority w:val="1"/>
    <w:qFormat/>
    <w:rsid w:val="006256BB"/>
    <w:pPr>
      <w:adjustRightInd/>
      <w:spacing w:before="98"/>
      <w:ind w:right="65"/>
      <w:jc w:val="right"/>
    </w:pPr>
    <w:rPr>
      <w:rFonts w:ascii="Arial Narrow" w:eastAsia="Arial Narrow" w:hAnsi="Arial Narrow" w:cs="Arial Narrow"/>
      <w:sz w:val="22"/>
      <w:szCs w:val="22"/>
    </w:rPr>
  </w:style>
  <w:style w:type="paragraph" w:styleId="Footer">
    <w:name w:val="footer"/>
    <w:basedOn w:val="Normal"/>
    <w:link w:val="FooterChar"/>
    <w:unhideWhenUsed/>
    <w:rsid w:val="00E25A28"/>
    <w:pPr>
      <w:tabs>
        <w:tab w:val="center" w:pos="4680"/>
        <w:tab w:val="right" w:pos="9360"/>
      </w:tabs>
    </w:pPr>
  </w:style>
  <w:style w:type="character" w:customStyle="1" w:styleId="FooterChar">
    <w:name w:val="Footer Char"/>
    <w:basedOn w:val="DefaultParagraphFont"/>
    <w:link w:val="Footer"/>
    <w:rsid w:val="00E25A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93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io.noaa.gov/services_programs/IQ_Guidelines_103014.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fisheries.noaa.gov/permit/alaska-community-development-quota-program-applications-and-forms" TargetMode="External"/><Relationship Id="rId17" Type="http://schemas.openxmlformats.org/officeDocument/2006/relationships/hyperlink" Target="https://www.bls.gov/oes/current/oes_ak.htm" TargetMode="External"/><Relationship Id="rId2" Type="http://schemas.openxmlformats.org/officeDocument/2006/relationships/customXml" Target="../customXml/item2.xml"/><Relationship Id="rId16" Type="http://schemas.openxmlformats.org/officeDocument/2006/relationships/hyperlink" Target="https://www.bls.gov/oes/current/oes_ak.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sheries.noaa.gov/permit/alaska-community-development-quota-program-applications-and-forms"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s://alaskafisheries.noaa.gov/webapps/efish/logi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orporateservices.noaa.gov/~ames/NAOs/Chap_216/naos_216_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A1463-EAA3-49DE-8353-1CB734F09BA7}">
  <ds:schemaRefs>
    <ds:schemaRef ds:uri="http://schemas.openxmlformats.org/officeDocument/2006/bibliography"/>
  </ds:schemaRefs>
</ds:datastoreItem>
</file>

<file path=customXml/itemProps2.xml><?xml version="1.0" encoding="utf-8"?>
<ds:datastoreItem xmlns:ds="http://schemas.openxmlformats.org/officeDocument/2006/customXml" ds:itemID="{C78164A7-CD6B-4817-AD60-60ACD7D34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5239</Words>
  <Characters>29865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35034</CharactersWithSpaces>
  <SharedDoc>false</SharedDoc>
  <HLinks>
    <vt:vector size="24" baseType="variant">
      <vt:variant>
        <vt:i4>5963901</vt:i4>
      </vt:variant>
      <vt:variant>
        <vt:i4>9</vt:i4>
      </vt:variant>
      <vt:variant>
        <vt:i4>0</vt:i4>
      </vt:variant>
      <vt:variant>
        <vt:i4>5</vt:i4>
      </vt:variant>
      <vt:variant>
        <vt:lpwstr>http://www.corporateservices.noaa.gov/~ames/NAOs/Chap_216/naos_216_100.html</vt:lpwstr>
      </vt:variant>
      <vt:variant>
        <vt:lpwstr/>
      </vt:variant>
      <vt:variant>
        <vt:i4>852034</vt:i4>
      </vt:variant>
      <vt:variant>
        <vt:i4>6</vt:i4>
      </vt:variant>
      <vt:variant>
        <vt:i4>0</vt:i4>
      </vt:variant>
      <vt:variant>
        <vt:i4>5</vt:i4>
      </vt:variant>
      <vt:variant>
        <vt:lpwstr>http://www.fws.gov/informationquality/section515.html</vt:lpwstr>
      </vt:variant>
      <vt:variant>
        <vt:lpwstr/>
      </vt:variant>
      <vt:variant>
        <vt:i4>5636191</vt:i4>
      </vt:variant>
      <vt:variant>
        <vt:i4>3</vt:i4>
      </vt:variant>
      <vt:variant>
        <vt:i4>0</vt:i4>
      </vt:variant>
      <vt:variant>
        <vt:i4>5</vt:i4>
      </vt:variant>
      <vt:variant>
        <vt:lpwstr>http://ecfr.gpoaccess.gov/cgi/t/text/text-idx?c=ecfr&amp;sid=d91c69687cb166819ff53aadef5df636&amp;tpl=/ecfrbrowse/Title50/50cfr679_main_02.tpl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pbearden</dc:creator>
  <cp:lastModifiedBy>SYSTEM</cp:lastModifiedBy>
  <cp:revision>2</cp:revision>
  <cp:lastPrinted>2019-12-17T02:03:00Z</cp:lastPrinted>
  <dcterms:created xsi:type="dcterms:W3CDTF">2020-01-16T14:01:00Z</dcterms:created>
  <dcterms:modified xsi:type="dcterms:W3CDTF">2020-01-16T14:01:00Z</dcterms:modified>
</cp:coreProperties>
</file>