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8DE" w:rsidP="007528DE" w:rsidRDefault="007528DE">
      <w:pPr>
        <w:jc w:val="center"/>
        <w:rPr>
          <w:b/>
        </w:rPr>
      </w:pPr>
      <w:r>
        <w:rPr>
          <w:b/>
        </w:rPr>
        <w:t>Supporting Statement</w:t>
      </w:r>
    </w:p>
    <w:p w:rsidR="007528DE" w:rsidP="007528DE" w:rsidRDefault="007528DE">
      <w:pPr>
        <w:jc w:val="center"/>
        <w:rPr>
          <w:b/>
        </w:rPr>
      </w:pPr>
      <w:r>
        <w:rPr>
          <w:b/>
        </w:rPr>
        <w:t>U.S. Department of Commerce</w:t>
      </w:r>
    </w:p>
    <w:p w:rsidR="007528DE" w:rsidP="007528DE" w:rsidRDefault="007528DE">
      <w:pPr>
        <w:jc w:val="center"/>
        <w:rPr>
          <w:b/>
        </w:rPr>
      </w:pPr>
      <w:r>
        <w:rPr>
          <w:b/>
        </w:rPr>
        <w:t>Bureau of Economic Analysis</w:t>
      </w:r>
    </w:p>
    <w:p w:rsidRPr="000215BF" w:rsidR="00192A9F" w:rsidP="007528DE" w:rsidRDefault="00192A9F">
      <w:pPr>
        <w:jc w:val="center"/>
        <w:rPr>
          <w:b/>
        </w:rPr>
      </w:pPr>
      <w:r w:rsidRPr="000215BF">
        <w:rPr>
          <w:b/>
        </w:rPr>
        <w:t xml:space="preserve">Benchmark Survey of Financial Services Transactions between U.S. </w:t>
      </w:r>
    </w:p>
    <w:p w:rsidR="007528DE" w:rsidP="007528DE" w:rsidRDefault="00192A9F">
      <w:pPr>
        <w:jc w:val="center"/>
        <w:rPr>
          <w:b/>
        </w:rPr>
      </w:pPr>
      <w:r w:rsidRPr="000215BF">
        <w:rPr>
          <w:b/>
        </w:rPr>
        <w:t>Financial Services Providers and Foreign Persons</w:t>
      </w:r>
      <w:r w:rsidDel="00192A9F">
        <w:rPr>
          <w:b/>
        </w:rPr>
        <w:t xml:space="preserve"> </w:t>
      </w:r>
      <w:r w:rsidR="00BB57CA">
        <w:rPr>
          <w:b/>
        </w:rPr>
        <w:t>(Form BE-</w:t>
      </w:r>
      <w:r>
        <w:rPr>
          <w:b/>
        </w:rPr>
        <w:t>180</w:t>
      </w:r>
      <w:r w:rsidR="00BB57CA">
        <w:rPr>
          <w:b/>
        </w:rPr>
        <w:t>)</w:t>
      </w:r>
    </w:p>
    <w:p w:rsidR="007528DE" w:rsidP="007528DE" w:rsidRDefault="007528DE">
      <w:pPr>
        <w:jc w:val="center"/>
        <w:rPr>
          <w:b/>
        </w:rPr>
      </w:pPr>
      <w:r>
        <w:rPr>
          <w:b/>
        </w:rPr>
        <w:t xml:space="preserve"> OMB Control Number: </w:t>
      </w:r>
      <w:r w:rsidR="00F65FBF">
        <w:rPr>
          <w:b/>
        </w:rPr>
        <w:t>0608-</w:t>
      </w:r>
      <w:r w:rsidR="0043666B">
        <w:rPr>
          <w:b/>
        </w:rPr>
        <w:t>0062</w:t>
      </w:r>
      <w:r w:rsidR="00A33586">
        <w:rPr>
          <w:b/>
        </w:rPr>
        <w:t xml:space="preserve"> </w:t>
      </w:r>
    </w:p>
    <w:p w:rsidRPr="00E528BB" w:rsidR="005553BE" w:rsidP="005553BE" w:rsidRDefault="005553BE"/>
    <w:p w:rsidRPr="00E528BB" w:rsidR="009C3ABD" w:rsidP="009C3ABD" w:rsidRDefault="009C3ABD">
      <w:r w:rsidRPr="00E528BB">
        <w:rPr>
          <w:b/>
        </w:rPr>
        <w:t xml:space="preserve">B.  </w:t>
      </w:r>
      <w:r w:rsidR="00DE4DEF">
        <w:rPr>
          <w:b/>
        </w:rPr>
        <w:t>Collections of Information Employing Statistical Methods</w:t>
      </w:r>
    </w:p>
    <w:p w:rsidRPr="00E528BB" w:rsidR="009C3ABD" w:rsidP="009C3ABD" w:rsidRDefault="009C3ABD"/>
    <w:p w:rsidRPr="00E528BB" w:rsidR="009C3ABD" w:rsidP="009C3ABD" w:rsidRDefault="009C3ABD">
      <w:pPr>
        <w:rPr>
          <w:b/>
        </w:rPr>
      </w:pPr>
      <w:r w:rsidRPr="00E528BB">
        <w:rPr>
          <w:b/>
        </w:rPr>
        <w:t xml:space="preserve">1.  </w:t>
      </w:r>
      <w:r w:rsidRPr="00E528BB">
        <w:rPr>
          <w:b/>
          <w:u w:val="single"/>
        </w:rPr>
        <w:t xml:space="preserve">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w:t>
      </w:r>
      <w:proofErr w:type="gramStart"/>
      <w:r w:rsidRPr="00E528BB">
        <w:rPr>
          <w:b/>
          <w:u w:val="single"/>
        </w:rPr>
        <w:t>collection as a whole</w:t>
      </w:r>
      <w:proofErr w:type="gramEnd"/>
      <w:r w:rsidRPr="00E528BB">
        <w:rPr>
          <w:b/>
          <w:u w:val="single"/>
        </w:rPr>
        <w:t>. If the collection has been conducted before, provide the actual response rate achieved</w:t>
      </w:r>
      <w:r w:rsidRPr="00E528BB">
        <w:rPr>
          <w:b/>
        </w:rPr>
        <w:t>.</w:t>
      </w:r>
    </w:p>
    <w:p w:rsidRPr="00E528BB" w:rsidR="009C3ABD" w:rsidP="009C3ABD" w:rsidRDefault="009C3ABD">
      <w:pPr>
        <w:rPr>
          <w:b/>
        </w:rPr>
      </w:pPr>
    </w:p>
    <w:p w:rsidRPr="00494ACD" w:rsidR="00775088" w:rsidP="000215BF" w:rsidRDefault="004A15BC">
      <w:pPr>
        <w:pStyle w:val="ListParagraph"/>
        <w:autoSpaceDE w:val="0"/>
        <w:autoSpaceDN w:val="0"/>
        <w:adjustRightInd w:val="0"/>
        <w:ind w:left="0"/>
        <w:rPr>
          <w:bCs/>
        </w:rPr>
      </w:pPr>
      <w:r>
        <w:t xml:space="preserve">This survey is a benchmark survey, or census. </w:t>
      </w:r>
      <w:r w:rsidRPr="0099235E" w:rsidR="00E80A9F">
        <w:t>The potential respondent universe for the BE-</w:t>
      </w:r>
      <w:r w:rsidRPr="0099235E" w:rsidR="00192A9F">
        <w:t xml:space="preserve">180 </w:t>
      </w:r>
      <w:r w:rsidRPr="0099235E" w:rsidR="00584156">
        <w:t>benchmark</w:t>
      </w:r>
      <w:r w:rsidRPr="0099235E" w:rsidR="00DE4DEF">
        <w:t xml:space="preserve"> </w:t>
      </w:r>
      <w:r w:rsidRPr="0099235E" w:rsidR="00E80A9F">
        <w:t xml:space="preserve">survey is all U.S. </w:t>
      </w:r>
      <w:r w:rsidRPr="0099235E" w:rsidR="00192A9F">
        <w:t xml:space="preserve">financial services </w:t>
      </w:r>
      <w:r w:rsidRPr="0099235E" w:rsidR="009A72C9">
        <w:t xml:space="preserve">companies </w:t>
      </w:r>
      <w:r w:rsidRPr="0099235E" w:rsidR="00E80A9F">
        <w:t xml:space="preserve">that engaged in </w:t>
      </w:r>
      <w:r w:rsidRPr="0099235E" w:rsidR="002A5698">
        <w:t>transactions</w:t>
      </w:r>
      <w:r w:rsidR="002A5698">
        <w:t xml:space="preserve"> (either sales or purchases) with foreign persons, in the </w:t>
      </w:r>
      <w:r w:rsidR="00192A9F">
        <w:t>covered financial service</w:t>
      </w:r>
      <w:r w:rsidR="00C512F8">
        <w:t xml:space="preserve"> </w:t>
      </w:r>
      <w:r w:rsidR="002A5698">
        <w:t xml:space="preserve">categories, </w:t>
      </w:r>
      <w:r w:rsidR="00584156">
        <w:t xml:space="preserve">in </w:t>
      </w:r>
      <w:r w:rsidR="00192A9F">
        <w:t xml:space="preserve">fiscal </w:t>
      </w:r>
      <w:r w:rsidR="00584156">
        <w:t>year 201</w:t>
      </w:r>
      <w:r w:rsidR="00192A9F">
        <w:t>9</w:t>
      </w:r>
      <w:r w:rsidRPr="00E80A9F" w:rsidR="00E80A9F">
        <w:t xml:space="preserve">. </w:t>
      </w:r>
      <w:r w:rsidRPr="00A10A6E" w:rsidR="00E75B0F">
        <w:t xml:space="preserve">The survey </w:t>
      </w:r>
      <w:r w:rsidR="001526A1">
        <w:t>will</w:t>
      </w:r>
      <w:r w:rsidRPr="00A10A6E" w:rsidR="004C56AD">
        <w:t xml:space="preserve"> </w:t>
      </w:r>
      <w:r w:rsidR="00E75B0F">
        <w:t xml:space="preserve">obtain annual data from all U.S. </w:t>
      </w:r>
      <w:r w:rsidR="00192A9F">
        <w:t xml:space="preserve">financial services </w:t>
      </w:r>
      <w:r w:rsidR="002A5698">
        <w:t xml:space="preserve">companies </w:t>
      </w:r>
      <w:r w:rsidR="00E75B0F">
        <w:t xml:space="preserve">that engage in the following international </w:t>
      </w:r>
      <w:r w:rsidR="00F26645">
        <w:t xml:space="preserve">financial services </w:t>
      </w:r>
      <w:r w:rsidR="00E75B0F">
        <w:t xml:space="preserve">transactions: </w:t>
      </w:r>
      <w:r w:rsidRPr="00EF2D5E" w:rsidR="00192A9F">
        <w:rPr>
          <w:bCs/>
        </w:rPr>
        <w:t xml:space="preserve">(1) </w:t>
      </w:r>
      <w:r w:rsidR="00192A9F">
        <w:rPr>
          <w:bCs/>
        </w:rPr>
        <w:t>Brokerage services related to equity transactions</w:t>
      </w:r>
      <w:r w:rsidRPr="00EF2D5E" w:rsidR="00192A9F">
        <w:rPr>
          <w:bCs/>
        </w:rPr>
        <w:t xml:space="preserve">; (2) </w:t>
      </w:r>
      <w:r w:rsidR="00192A9F">
        <w:rPr>
          <w:bCs/>
        </w:rPr>
        <w:t>Other brokerage services</w:t>
      </w:r>
      <w:r w:rsidRPr="00EF2D5E" w:rsidR="00192A9F">
        <w:rPr>
          <w:bCs/>
        </w:rPr>
        <w:t xml:space="preserve">; (3) </w:t>
      </w:r>
      <w:r w:rsidR="00192A9F">
        <w:rPr>
          <w:bCs/>
        </w:rPr>
        <w:t>Underwriting and private placement services related to equity transactions</w:t>
      </w:r>
      <w:r w:rsidRPr="00EF2D5E" w:rsidR="00192A9F">
        <w:rPr>
          <w:bCs/>
        </w:rPr>
        <w:t xml:space="preserve">; (4) </w:t>
      </w:r>
      <w:r w:rsidR="00192A9F">
        <w:rPr>
          <w:bCs/>
        </w:rPr>
        <w:t>Underwriting and private placement services related to debt transactions</w:t>
      </w:r>
      <w:r w:rsidRPr="00EF2D5E" w:rsidR="00192A9F">
        <w:rPr>
          <w:bCs/>
        </w:rPr>
        <w:t xml:space="preserve">; (5) </w:t>
      </w:r>
      <w:r w:rsidR="00192A9F">
        <w:rPr>
          <w:bCs/>
        </w:rPr>
        <w:t>Financial management services</w:t>
      </w:r>
      <w:r w:rsidRPr="00EF2D5E" w:rsidR="00192A9F">
        <w:rPr>
          <w:bCs/>
        </w:rPr>
        <w:t xml:space="preserve">; (6) </w:t>
      </w:r>
      <w:r w:rsidR="00192A9F">
        <w:rPr>
          <w:bCs/>
        </w:rPr>
        <w:t>Credit-related service</w:t>
      </w:r>
      <w:r w:rsidR="004E35D0">
        <w:rPr>
          <w:bCs/>
        </w:rPr>
        <w:t>s</w:t>
      </w:r>
      <w:r w:rsidR="00192A9F">
        <w:rPr>
          <w:bCs/>
        </w:rPr>
        <w:t>, except credit card services</w:t>
      </w:r>
      <w:r w:rsidRPr="00EF2D5E" w:rsidR="00192A9F">
        <w:rPr>
          <w:bCs/>
        </w:rPr>
        <w:t xml:space="preserve">; (7) </w:t>
      </w:r>
      <w:r w:rsidR="00192A9F">
        <w:rPr>
          <w:bCs/>
        </w:rPr>
        <w:t>Credit card services</w:t>
      </w:r>
      <w:r w:rsidRPr="00EF2D5E" w:rsidR="00192A9F">
        <w:rPr>
          <w:bCs/>
        </w:rPr>
        <w:t xml:space="preserve">; (8) </w:t>
      </w:r>
      <w:r w:rsidR="00192A9F">
        <w:rPr>
          <w:bCs/>
        </w:rPr>
        <w:t>Financial advisory and custody services; (9) Securities lending services; (10) Electronic funds transfer services; and (11) Other financial services.</w:t>
      </w:r>
      <w:r w:rsidR="00192A9F">
        <w:t xml:space="preserve"> </w:t>
      </w:r>
      <w:r w:rsidRPr="00A10A6E" w:rsidR="00E75B0F">
        <w:t xml:space="preserve">All respondents </w:t>
      </w:r>
      <w:r w:rsidR="001526A1">
        <w:t>will</w:t>
      </w:r>
      <w:r w:rsidR="002A5698">
        <w:t xml:space="preserve"> be</w:t>
      </w:r>
      <w:r w:rsidRPr="00A10A6E" w:rsidR="002A5698">
        <w:t xml:space="preserve"> </w:t>
      </w:r>
      <w:r w:rsidRPr="00A10A6E" w:rsidR="00E75B0F">
        <w:t xml:space="preserve">required to report the total dollar amounts by the </w:t>
      </w:r>
      <w:r w:rsidR="006656E3">
        <w:t>11</w:t>
      </w:r>
      <w:r w:rsidRPr="00A10A6E" w:rsidR="006656E3">
        <w:t xml:space="preserve"> </w:t>
      </w:r>
      <w:r w:rsidRPr="00A10A6E" w:rsidR="00E75B0F">
        <w:t xml:space="preserve">types of </w:t>
      </w:r>
      <w:r w:rsidR="00192A9F">
        <w:t>financial service</w:t>
      </w:r>
      <w:r w:rsidRPr="00A10A6E" w:rsidR="00192A9F">
        <w:t xml:space="preserve"> </w:t>
      </w:r>
      <w:r w:rsidRPr="00A10A6E" w:rsidR="00E75B0F">
        <w:t>transactions</w:t>
      </w:r>
      <w:r w:rsidRPr="0099235E" w:rsidR="00E75B0F">
        <w:t xml:space="preserve">. In addition, </w:t>
      </w:r>
      <w:r w:rsidRPr="0099235E" w:rsidR="00192A9F">
        <w:t>financial services providers</w:t>
      </w:r>
      <w:r w:rsidRPr="0099235E" w:rsidR="00E75B0F">
        <w:t xml:space="preserve"> with </w:t>
      </w:r>
      <w:r w:rsidRPr="0099235E" w:rsidR="00123B54">
        <w:t xml:space="preserve">combined </w:t>
      </w:r>
      <w:r w:rsidRPr="0099235E" w:rsidR="00E75B0F">
        <w:t>transactions</w:t>
      </w:r>
      <w:r w:rsidRPr="0099235E" w:rsidR="00123B54">
        <w:t xml:space="preserve"> (sales and/or purchases)</w:t>
      </w:r>
      <w:r w:rsidRPr="0099235E" w:rsidR="00E75B0F">
        <w:t xml:space="preserve"> that exceeded $</w:t>
      </w:r>
      <w:r w:rsidRPr="0099235E" w:rsidR="00192A9F">
        <w:t xml:space="preserve">3 </w:t>
      </w:r>
      <w:r w:rsidRPr="0099235E" w:rsidR="00E75B0F">
        <w:t>million,</w:t>
      </w:r>
      <w:r w:rsidRPr="0099235E" w:rsidR="002A4CE7">
        <w:t xml:space="preserve"> </w:t>
      </w:r>
      <w:r w:rsidRPr="0099235E" w:rsidR="00E75B0F">
        <w:t>in</w:t>
      </w:r>
      <w:r w:rsidR="0061536A">
        <w:t xml:space="preserve"> </w:t>
      </w:r>
      <w:r w:rsidR="00E75B0F">
        <w:t xml:space="preserve">the </w:t>
      </w:r>
      <w:r w:rsidR="006656E3">
        <w:t xml:space="preserve">11 </w:t>
      </w:r>
      <w:r w:rsidR="00E75B0F">
        <w:t>categories listed above, must disaggregate their transactions by country and relation</w:t>
      </w:r>
      <w:r w:rsidR="00A930C0">
        <w:t>ship</w:t>
      </w:r>
      <w:r w:rsidR="00E75B0F">
        <w:t xml:space="preserve"> to the foreign </w:t>
      </w:r>
      <w:proofErr w:type="spellStart"/>
      <w:r w:rsidR="00192A9F">
        <w:t>transactor</w:t>
      </w:r>
      <w:proofErr w:type="spellEnd"/>
      <w:r w:rsidR="00192A9F">
        <w:t xml:space="preserve"> </w:t>
      </w:r>
      <w:r w:rsidRPr="00BB39EB" w:rsidR="002972B1">
        <w:t>(foreign affiliate, foreign parent group, or unaffiliated</w:t>
      </w:r>
      <w:r w:rsidR="002972B1">
        <w:t xml:space="preserve">) </w:t>
      </w:r>
      <w:r w:rsidR="0022060A">
        <w:t>on the mandatory schedules</w:t>
      </w:r>
      <w:r w:rsidR="00E75B0F">
        <w:t xml:space="preserve">. </w:t>
      </w:r>
      <w:r w:rsidR="00DC4DE7">
        <w:t>Any U.S. person that receives the BE-</w:t>
      </w:r>
      <w:r w:rsidR="00192A9F">
        <w:t xml:space="preserve">180 </w:t>
      </w:r>
      <w:r w:rsidR="00DC4DE7">
        <w:t xml:space="preserve">survey form from BEA, but is not </w:t>
      </w:r>
      <w:r w:rsidRPr="00517E47" w:rsidR="00DC4DE7">
        <w:t>subject to the</w:t>
      </w:r>
      <w:r w:rsidR="00DC4DE7">
        <w:t xml:space="preserve"> </w:t>
      </w:r>
      <w:r w:rsidRPr="00517E47" w:rsidR="00DC4DE7">
        <w:t>reporting requirements</w:t>
      </w:r>
      <w:r w:rsidR="00DC4DE7">
        <w:t>,</w:t>
      </w:r>
      <w:r w:rsidRPr="00517E47" w:rsidR="00DC4DE7">
        <w:t xml:space="preserve"> must file an</w:t>
      </w:r>
      <w:r w:rsidR="00DC4DE7">
        <w:t xml:space="preserve"> </w:t>
      </w:r>
      <w:r w:rsidRPr="00517E47" w:rsidR="00DC4DE7">
        <w:t xml:space="preserve">exemption claim by completing </w:t>
      </w:r>
      <w:r w:rsidR="00DC4DE7">
        <w:rPr>
          <w:color w:val="000000"/>
        </w:rPr>
        <w:t>the determination of reporting status section</w:t>
      </w:r>
      <w:r w:rsidR="00DC4DE7">
        <w:t xml:space="preserve"> </w:t>
      </w:r>
      <w:r w:rsidRPr="00517E47" w:rsidR="00DC4DE7">
        <w:t>of the BE-</w:t>
      </w:r>
      <w:r w:rsidRPr="00517E47" w:rsidR="00192A9F">
        <w:t>1</w:t>
      </w:r>
      <w:r w:rsidR="00192A9F">
        <w:t>8</w:t>
      </w:r>
      <w:r w:rsidRPr="00517E47" w:rsidR="00192A9F">
        <w:t xml:space="preserve">0 </w:t>
      </w:r>
      <w:r w:rsidRPr="00517E47" w:rsidR="00DC4DE7">
        <w:t>survey and</w:t>
      </w:r>
      <w:r w:rsidR="00DC4DE7">
        <w:t xml:space="preserve"> </w:t>
      </w:r>
      <w:r w:rsidRPr="00517E47" w:rsidR="00DC4DE7">
        <w:t xml:space="preserve">returning </w:t>
      </w:r>
      <w:r w:rsidR="00DC4DE7">
        <w:t xml:space="preserve">it </w:t>
      </w:r>
      <w:r w:rsidRPr="00517E47" w:rsidR="00DC4DE7">
        <w:t>to BEA</w:t>
      </w:r>
      <w:r w:rsidR="00DC4DE7">
        <w:t xml:space="preserve"> by the due date of the survey</w:t>
      </w:r>
      <w:r w:rsidRPr="00517E47" w:rsidR="00DC4DE7">
        <w:t>.</w:t>
      </w:r>
      <w:r w:rsidR="00DC4DE7">
        <w:t xml:space="preserve"> </w:t>
      </w:r>
    </w:p>
    <w:p w:rsidR="005E7ADF" w:rsidP="009C3ABD" w:rsidRDefault="005E7ADF"/>
    <w:p w:rsidR="00DE4DEF" w:rsidP="00DE4DEF" w:rsidRDefault="00775088">
      <w:r>
        <w:t xml:space="preserve">BEA intends to mail </w:t>
      </w:r>
      <w:r w:rsidR="00DE4DEF">
        <w:t>a notice</w:t>
      </w:r>
      <w:r>
        <w:t xml:space="preserve"> to approximately </w:t>
      </w:r>
      <w:r w:rsidR="00101E7E">
        <w:t>7,000</w:t>
      </w:r>
      <w:r w:rsidR="00DE4DEF">
        <w:t xml:space="preserve"> </w:t>
      </w:r>
      <w:r>
        <w:t xml:space="preserve">U.S. </w:t>
      </w:r>
      <w:proofErr w:type="spellStart"/>
      <w:r w:rsidR="00F26645">
        <w:t>finacial</w:t>
      </w:r>
      <w:proofErr w:type="spellEnd"/>
      <w:r w:rsidR="00F26645">
        <w:t xml:space="preserve"> services </w:t>
      </w:r>
      <w:r w:rsidR="002A5698">
        <w:t xml:space="preserve">companies </w:t>
      </w:r>
      <w:r w:rsidR="00416395">
        <w:t>alerting</w:t>
      </w:r>
      <w:r w:rsidRPr="00F72A91" w:rsidR="00416395">
        <w:t xml:space="preserve"> </w:t>
      </w:r>
      <w:r w:rsidRPr="00F72A91" w:rsidR="00DE4DEF">
        <w:t>the</w:t>
      </w:r>
      <w:r w:rsidR="007D424C">
        <w:t>m</w:t>
      </w:r>
      <w:r w:rsidRPr="00F72A91" w:rsidR="00DE4DEF">
        <w:t xml:space="preserve"> of the requirement to file the survey and providing links to </w:t>
      </w:r>
      <w:proofErr w:type="spellStart"/>
      <w:r w:rsidRPr="00F72A91" w:rsidR="00DE4DEF">
        <w:t>eFile</w:t>
      </w:r>
      <w:proofErr w:type="spellEnd"/>
      <w:r w:rsidRPr="00F72A91" w:rsidR="00DE4DEF">
        <w:t xml:space="preserve">, </w:t>
      </w:r>
      <w:r w:rsidR="00DE4DEF">
        <w:t xml:space="preserve">BEA’s electronic filing system. </w:t>
      </w:r>
      <w:r w:rsidR="004A15BC">
        <w:t>BEA anticipates that</w:t>
      </w:r>
      <w:r w:rsidR="00B80658">
        <w:t xml:space="preserve"> </w:t>
      </w:r>
      <w:r w:rsidR="00101E7E">
        <w:t>5,500</w:t>
      </w:r>
      <w:r w:rsidR="00B80658">
        <w:t xml:space="preserve"> of the contacted companies will file mandatory data, and</w:t>
      </w:r>
      <w:r w:rsidR="004A15BC">
        <w:t xml:space="preserve"> </w:t>
      </w:r>
      <w:r w:rsidR="00101E7E">
        <w:t>1,500</w:t>
      </w:r>
      <w:r w:rsidR="0020272D">
        <w:t xml:space="preserve"> </w:t>
      </w:r>
      <w:r w:rsidR="004A15BC">
        <w:t xml:space="preserve">companies will not meet the filing criteria and will file an exemption claim. </w:t>
      </w:r>
      <w:r w:rsidR="00DE4DEF">
        <w:t xml:space="preserve">BEA will estimate data for respondents that do not report their data in a timely manner. Estimates </w:t>
      </w:r>
      <w:r w:rsidR="00584156">
        <w:t xml:space="preserve">for these companies </w:t>
      </w:r>
      <w:r w:rsidR="00DE4DEF">
        <w:t xml:space="preserve">will be based on prior reports and growth in the value of transactions from a matched sample of respondents. BEA will allocate the estimated data by country and by type of transaction based on the distribution of reported transactions for inclusion in the published totals. Thus, estimates will cover the entire universe of transactions.  </w:t>
      </w:r>
    </w:p>
    <w:p w:rsidR="00280F85" w:rsidP="00DE4DEF" w:rsidRDefault="00280F85"/>
    <w:p w:rsidR="00B80658" w:rsidP="00DE4DEF" w:rsidRDefault="0020272D">
      <w:r>
        <w:t xml:space="preserve">2019 </w:t>
      </w:r>
      <w:r w:rsidR="00B80658">
        <w:t>BE-</w:t>
      </w:r>
      <w:r>
        <w:t xml:space="preserve">180 </w:t>
      </w:r>
      <w:r w:rsidR="00B80658">
        <w:t>Universe of Respondents</w:t>
      </w:r>
    </w:p>
    <w:tbl>
      <w:tblPr>
        <w:tblW w:w="7491" w:type="dxa"/>
        <w:tblInd w:w="93" w:type="dxa"/>
        <w:tblLayout w:type="fixed"/>
        <w:tblLook w:val="04A0" w:firstRow="1" w:lastRow="0" w:firstColumn="1" w:lastColumn="0" w:noHBand="0" w:noVBand="1"/>
      </w:tblPr>
      <w:tblGrid>
        <w:gridCol w:w="4425"/>
        <w:gridCol w:w="1620"/>
        <w:gridCol w:w="1446"/>
      </w:tblGrid>
      <w:tr w:rsidR="001D2C6D" w:rsidTr="001D2C6D">
        <w:trPr>
          <w:trHeight w:val="1015"/>
        </w:trPr>
        <w:tc>
          <w:tcPr>
            <w:tcW w:w="4425" w:type="dxa"/>
            <w:tcBorders>
              <w:top w:val="single" w:color="auto" w:sz="8" w:space="0"/>
              <w:left w:val="single" w:color="auto" w:sz="8" w:space="0"/>
              <w:bottom w:val="nil"/>
              <w:right w:val="nil"/>
            </w:tcBorders>
            <w:shd w:val="clear" w:color="auto" w:fill="auto"/>
            <w:vAlign w:val="center"/>
            <w:hideMark/>
          </w:tcPr>
          <w:p w:rsidRPr="0033728E" w:rsidR="001D2C6D" w:rsidP="00D67377" w:rsidRDefault="001D2C6D">
            <w:pPr>
              <w:jc w:val="center"/>
              <w:rPr>
                <w:b/>
                <w:color w:val="000000"/>
                <w:sz w:val="22"/>
                <w:szCs w:val="22"/>
              </w:rPr>
            </w:pPr>
            <w:r w:rsidRPr="0033728E">
              <w:rPr>
                <w:b/>
                <w:color w:val="000000"/>
                <w:sz w:val="22"/>
                <w:szCs w:val="22"/>
              </w:rPr>
              <w:lastRenderedPageBreak/>
              <w:t>Response type</w:t>
            </w:r>
          </w:p>
        </w:tc>
        <w:tc>
          <w:tcPr>
            <w:tcW w:w="1620" w:type="dxa"/>
            <w:tcBorders>
              <w:top w:val="single" w:color="auto" w:sz="8" w:space="0"/>
              <w:left w:val="single" w:color="auto" w:sz="4" w:space="0"/>
              <w:bottom w:val="single" w:color="auto" w:sz="4" w:space="0"/>
              <w:right w:val="single" w:color="auto" w:sz="4" w:space="0"/>
            </w:tcBorders>
            <w:shd w:val="clear" w:color="auto" w:fill="auto"/>
            <w:vAlign w:val="center"/>
            <w:hideMark/>
          </w:tcPr>
          <w:p w:rsidRPr="0033728E" w:rsidR="001D2C6D" w:rsidP="00D67377" w:rsidRDefault="001D2C6D">
            <w:pPr>
              <w:jc w:val="center"/>
              <w:rPr>
                <w:color w:val="000000"/>
                <w:sz w:val="22"/>
                <w:szCs w:val="22"/>
              </w:rPr>
            </w:pPr>
            <w:r w:rsidRPr="0033728E">
              <w:rPr>
                <w:color w:val="000000"/>
                <w:sz w:val="22"/>
                <w:szCs w:val="22"/>
              </w:rPr>
              <w:t>Estimated Number of Respondents</w:t>
            </w:r>
          </w:p>
        </w:tc>
        <w:tc>
          <w:tcPr>
            <w:tcW w:w="1446" w:type="dxa"/>
            <w:tcBorders>
              <w:top w:val="nil"/>
              <w:left w:val="nil"/>
              <w:bottom w:val="nil"/>
              <w:right w:val="nil"/>
            </w:tcBorders>
            <w:shd w:val="clear" w:color="auto" w:fill="auto"/>
            <w:vAlign w:val="bottom"/>
            <w:hideMark/>
          </w:tcPr>
          <w:p w:rsidR="001D2C6D" w:rsidP="00D67377" w:rsidRDefault="001D2C6D">
            <w:pPr>
              <w:rPr>
                <w:rFonts w:ascii="Calibri" w:hAnsi="Calibri"/>
                <w:color w:val="000000"/>
                <w:sz w:val="22"/>
                <w:szCs w:val="22"/>
              </w:rPr>
            </w:pPr>
          </w:p>
        </w:tc>
      </w:tr>
      <w:tr w:rsidR="001D2C6D" w:rsidTr="001D2C6D">
        <w:trPr>
          <w:trHeight w:val="377"/>
        </w:trPr>
        <w:tc>
          <w:tcPr>
            <w:tcW w:w="4425" w:type="dxa"/>
            <w:tcBorders>
              <w:top w:val="single" w:color="auto" w:sz="4" w:space="0"/>
              <w:left w:val="single" w:color="auto" w:sz="4" w:space="0"/>
              <w:bottom w:val="single" w:color="auto" w:sz="4" w:space="0"/>
              <w:right w:val="nil"/>
            </w:tcBorders>
            <w:shd w:val="clear" w:color="auto" w:fill="auto"/>
            <w:noWrap/>
            <w:vAlign w:val="bottom"/>
            <w:hideMark/>
          </w:tcPr>
          <w:p w:rsidRPr="0033728E" w:rsidR="001D2C6D" w:rsidP="00D67377" w:rsidRDefault="001D2C6D">
            <w:pPr>
              <w:rPr>
                <w:color w:val="000000"/>
                <w:sz w:val="22"/>
                <w:szCs w:val="22"/>
              </w:rPr>
            </w:pPr>
            <w:r w:rsidRPr="0033728E">
              <w:rPr>
                <w:color w:val="000000"/>
                <w:sz w:val="22"/>
                <w:szCs w:val="22"/>
              </w:rPr>
              <w:t>Mandatory Schedules</w:t>
            </w:r>
          </w:p>
        </w:tc>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33728E" w:rsidR="001D2C6D" w:rsidP="00D67377" w:rsidRDefault="00101E7E">
            <w:pPr>
              <w:jc w:val="center"/>
              <w:rPr>
                <w:color w:val="000000"/>
                <w:sz w:val="22"/>
                <w:szCs w:val="22"/>
              </w:rPr>
            </w:pPr>
            <w:r>
              <w:rPr>
                <w:color w:val="000000"/>
                <w:sz w:val="22"/>
                <w:szCs w:val="22"/>
              </w:rPr>
              <w:t>1,875</w:t>
            </w:r>
          </w:p>
        </w:tc>
        <w:tc>
          <w:tcPr>
            <w:tcW w:w="1446" w:type="dxa"/>
            <w:tcBorders>
              <w:top w:val="nil"/>
              <w:left w:val="nil"/>
              <w:bottom w:val="nil"/>
              <w:right w:val="nil"/>
            </w:tcBorders>
            <w:shd w:val="clear" w:color="auto" w:fill="auto"/>
            <w:noWrap/>
            <w:vAlign w:val="bottom"/>
            <w:hideMark/>
          </w:tcPr>
          <w:p w:rsidR="001D2C6D" w:rsidP="00D67377" w:rsidRDefault="001D2C6D">
            <w:pPr>
              <w:rPr>
                <w:rFonts w:ascii="Calibri" w:hAnsi="Calibri"/>
                <w:color w:val="000000"/>
                <w:sz w:val="22"/>
                <w:szCs w:val="22"/>
              </w:rPr>
            </w:pPr>
          </w:p>
        </w:tc>
      </w:tr>
      <w:tr w:rsidR="001D2C6D" w:rsidTr="001D2C6D">
        <w:trPr>
          <w:trHeight w:val="368"/>
        </w:trPr>
        <w:tc>
          <w:tcPr>
            <w:tcW w:w="4425" w:type="dxa"/>
            <w:tcBorders>
              <w:top w:val="nil"/>
              <w:left w:val="single" w:color="auto" w:sz="4" w:space="0"/>
              <w:bottom w:val="single" w:color="auto" w:sz="4" w:space="0"/>
              <w:right w:val="nil"/>
            </w:tcBorders>
            <w:shd w:val="clear" w:color="auto" w:fill="auto"/>
            <w:noWrap/>
            <w:vAlign w:val="bottom"/>
            <w:hideMark/>
          </w:tcPr>
          <w:p w:rsidRPr="0033728E" w:rsidR="001D2C6D" w:rsidP="00D67377" w:rsidRDefault="001D2C6D">
            <w:pPr>
              <w:rPr>
                <w:color w:val="000000"/>
                <w:sz w:val="22"/>
                <w:szCs w:val="22"/>
              </w:rPr>
            </w:pPr>
            <w:r w:rsidRPr="0033728E">
              <w:rPr>
                <w:color w:val="000000"/>
                <w:sz w:val="22"/>
                <w:szCs w:val="22"/>
              </w:rPr>
              <w:t>Mandatory Totals by Transaction</w:t>
            </w:r>
          </w:p>
        </w:tc>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33728E" w:rsidR="001D2C6D" w:rsidP="001D2C6D" w:rsidRDefault="00101E7E">
            <w:pPr>
              <w:jc w:val="center"/>
              <w:rPr>
                <w:color w:val="000000"/>
                <w:sz w:val="22"/>
                <w:szCs w:val="22"/>
              </w:rPr>
            </w:pPr>
            <w:r>
              <w:rPr>
                <w:color w:val="000000"/>
                <w:sz w:val="22"/>
                <w:szCs w:val="22"/>
              </w:rPr>
              <w:t>3,625</w:t>
            </w:r>
          </w:p>
        </w:tc>
        <w:tc>
          <w:tcPr>
            <w:tcW w:w="1446" w:type="dxa"/>
            <w:tcBorders>
              <w:top w:val="nil"/>
              <w:left w:val="nil"/>
              <w:bottom w:val="nil"/>
              <w:right w:val="nil"/>
            </w:tcBorders>
            <w:shd w:val="clear" w:color="auto" w:fill="auto"/>
            <w:noWrap/>
            <w:vAlign w:val="bottom"/>
            <w:hideMark/>
          </w:tcPr>
          <w:p w:rsidR="001D2C6D" w:rsidP="00D67377" w:rsidRDefault="001D2C6D">
            <w:pPr>
              <w:rPr>
                <w:rFonts w:ascii="Calibri" w:hAnsi="Calibri"/>
                <w:color w:val="000000"/>
                <w:sz w:val="22"/>
                <w:szCs w:val="22"/>
              </w:rPr>
            </w:pPr>
          </w:p>
        </w:tc>
      </w:tr>
      <w:tr w:rsidR="001D2C6D" w:rsidTr="001D2C6D">
        <w:trPr>
          <w:trHeight w:val="332"/>
        </w:trPr>
        <w:tc>
          <w:tcPr>
            <w:tcW w:w="4425" w:type="dxa"/>
            <w:tcBorders>
              <w:top w:val="nil"/>
              <w:left w:val="single" w:color="auto" w:sz="4" w:space="0"/>
              <w:bottom w:val="single" w:color="auto" w:sz="8" w:space="0"/>
              <w:right w:val="nil"/>
            </w:tcBorders>
            <w:shd w:val="clear" w:color="auto" w:fill="auto"/>
            <w:noWrap/>
            <w:vAlign w:val="bottom"/>
            <w:hideMark/>
          </w:tcPr>
          <w:p w:rsidRPr="0033728E" w:rsidR="001D2C6D" w:rsidP="00D67377" w:rsidRDefault="001D2C6D">
            <w:pPr>
              <w:rPr>
                <w:color w:val="000000"/>
                <w:sz w:val="22"/>
                <w:szCs w:val="22"/>
              </w:rPr>
            </w:pPr>
            <w:r w:rsidRPr="0033728E">
              <w:rPr>
                <w:color w:val="000000"/>
                <w:sz w:val="22"/>
                <w:szCs w:val="22"/>
              </w:rPr>
              <w:t>Exempt</w:t>
            </w:r>
          </w:p>
        </w:tc>
        <w:tc>
          <w:tcPr>
            <w:tcW w:w="1620" w:type="dxa"/>
            <w:tcBorders>
              <w:top w:val="nil"/>
              <w:left w:val="single" w:color="auto" w:sz="4" w:space="0"/>
              <w:bottom w:val="single" w:color="auto" w:sz="8" w:space="0"/>
              <w:right w:val="single" w:color="auto" w:sz="4" w:space="0"/>
            </w:tcBorders>
            <w:shd w:val="clear" w:color="auto" w:fill="auto"/>
            <w:noWrap/>
            <w:vAlign w:val="center"/>
            <w:hideMark/>
          </w:tcPr>
          <w:p w:rsidRPr="0033728E" w:rsidR="001D2C6D" w:rsidP="00D67377" w:rsidRDefault="00101E7E">
            <w:pPr>
              <w:jc w:val="center"/>
              <w:rPr>
                <w:color w:val="000000"/>
                <w:sz w:val="22"/>
                <w:szCs w:val="22"/>
              </w:rPr>
            </w:pPr>
            <w:r>
              <w:rPr>
                <w:color w:val="000000"/>
                <w:sz w:val="22"/>
                <w:szCs w:val="22"/>
              </w:rPr>
              <w:t>1,500</w:t>
            </w:r>
          </w:p>
        </w:tc>
        <w:tc>
          <w:tcPr>
            <w:tcW w:w="1446" w:type="dxa"/>
            <w:tcBorders>
              <w:top w:val="nil"/>
              <w:left w:val="nil"/>
              <w:bottom w:val="nil"/>
              <w:right w:val="nil"/>
            </w:tcBorders>
            <w:shd w:val="clear" w:color="auto" w:fill="auto"/>
            <w:noWrap/>
            <w:vAlign w:val="bottom"/>
            <w:hideMark/>
          </w:tcPr>
          <w:p w:rsidR="001D2C6D" w:rsidP="00D67377" w:rsidRDefault="001D2C6D">
            <w:pPr>
              <w:rPr>
                <w:rFonts w:ascii="Calibri" w:hAnsi="Calibri"/>
                <w:color w:val="000000"/>
                <w:sz w:val="22"/>
                <w:szCs w:val="22"/>
              </w:rPr>
            </w:pPr>
          </w:p>
        </w:tc>
      </w:tr>
      <w:tr w:rsidR="001D2C6D" w:rsidTr="001D2C6D">
        <w:trPr>
          <w:trHeight w:val="358"/>
        </w:trPr>
        <w:tc>
          <w:tcPr>
            <w:tcW w:w="4425" w:type="dxa"/>
            <w:tcBorders>
              <w:top w:val="nil"/>
              <w:left w:val="single" w:color="auto" w:sz="8" w:space="0"/>
              <w:bottom w:val="single" w:color="auto" w:sz="8" w:space="0"/>
              <w:right w:val="nil"/>
            </w:tcBorders>
            <w:shd w:val="clear" w:color="auto" w:fill="auto"/>
            <w:noWrap/>
            <w:vAlign w:val="bottom"/>
            <w:hideMark/>
          </w:tcPr>
          <w:p w:rsidRPr="0033728E" w:rsidR="001D2C6D" w:rsidP="00D67377" w:rsidRDefault="001D2C6D">
            <w:pPr>
              <w:rPr>
                <w:color w:val="000000"/>
                <w:sz w:val="22"/>
                <w:szCs w:val="22"/>
              </w:rPr>
            </w:pPr>
            <w:r w:rsidRPr="0033728E">
              <w:rPr>
                <w:color w:val="000000"/>
                <w:sz w:val="22"/>
                <w:szCs w:val="22"/>
              </w:rPr>
              <w:t>Total respondents</w:t>
            </w:r>
          </w:p>
        </w:tc>
        <w:tc>
          <w:tcPr>
            <w:tcW w:w="1620" w:type="dxa"/>
            <w:tcBorders>
              <w:top w:val="nil"/>
              <w:left w:val="single" w:color="auto" w:sz="4" w:space="0"/>
              <w:bottom w:val="single" w:color="auto" w:sz="8" w:space="0"/>
              <w:right w:val="single" w:color="auto" w:sz="4" w:space="0"/>
            </w:tcBorders>
            <w:shd w:val="clear" w:color="auto" w:fill="auto"/>
            <w:noWrap/>
            <w:vAlign w:val="center"/>
            <w:hideMark/>
          </w:tcPr>
          <w:p w:rsidRPr="0033728E" w:rsidR="001D2C6D" w:rsidP="00D67377" w:rsidRDefault="00101E7E">
            <w:pPr>
              <w:jc w:val="center"/>
              <w:rPr>
                <w:color w:val="000000"/>
                <w:sz w:val="22"/>
                <w:szCs w:val="22"/>
              </w:rPr>
            </w:pPr>
            <w:r>
              <w:rPr>
                <w:color w:val="000000"/>
                <w:sz w:val="22"/>
                <w:szCs w:val="22"/>
              </w:rPr>
              <w:t>7,000</w:t>
            </w:r>
          </w:p>
        </w:tc>
        <w:tc>
          <w:tcPr>
            <w:tcW w:w="1446" w:type="dxa"/>
            <w:tcBorders>
              <w:top w:val="nil"/>
              <w:left w:val="nil"/>
              <w:bottom w:val="nil"/>
              <w:right w:val="nil"/>
            </w:tcBorders>
            <w:shd w:val="clear" w:color="auto" w:fill="auto"/>
            <w:noWrap/>
            <w:vAlign w:val="bottom"/>
            <w:hideMark/>
          </w:tcPr>
          <w:p w:rsidR="001D2C6D" w:rsidP="00D67377" w:rsidRDefault="001D2C6D">
            <w:pPr>
              <w:rPr>
                <w:rFonts w:ascii="Calibri" w:hAnsi="Calibri"/>
                <w:color w:val="000000"/>
                <w:sz w:val="22"/>
                <w:szCs w:val="22"/>
              </w:rPr>
            </w:pPr>
          </w:p>
        </w:tc>
      </w:tr>
    </w:tbl>
    <w:p w:rsidR="001D2C6D" w:rsidP="00DE4DEF" w:rsidRDefault="001D2C6D"/>
    <w:p w:rsidR="009C3ABD" w:rsidP="003253B1" w:rsidRDefault="00244DBD">
      <w:r>
        <w:t xml:space="preserve">Response rates have been high for the prior benchmark survey and the related quarterly survey of </w:t>
      </w:r>
      <w:r w:rsidR="0020272D">
        <w:t xml:space="preserve">financial service </w:t>
      </w:r>
      <w:r>
        <w:t>transactions with foreign persons (BE-</w:t>
      </w:r>
      <w:r w:rsidR="0020272D">
        <w:t>185</w:t>
      </w:r>
      <w:r>
        <w:t xml:space="preserve">), with a response rate of </w:t>
      </w:r>
      <w:r w:rsidR="0020272D">
        <w:t xml:space="preserve">85 </w:t>
      </w:r>
      <w:r>
        <w:t xml:space="preserve">percent for the prior benchmark and an average response rate of approximately </w:t>
      </w:r>
      <w:r w:rsidR="0020272D">
        <w:t xml:space="preserve">95 </w:t>
      </w:r>
      <w:r>
        <w:t>percent for the BE-</w:t>
      </w:r>
      <w:r w:rsidR="0020272D">
        <w:t xml:space="preserve">185 </w:t>
      </w:r>
      <w:r>
        <w:t>surveys.</w:t>
      </w:r>
      <w:r w:rsidRPr="0031736D" w:rsidR="0031736D">
        <w:t xml:space="preserve"> BEA expects that these high response rates will continue for the</w:t>
      </w:r>
      <w:r w:rsidR="009A6738">
        <w:t xml:space="preserve"> </w:t>
      </w:r>
      <w:r w:rsidR="0020272D">
        <w:t>2019</w:t>
      </w:r>
      <w:r w:rsidRPr="0031736D" w:rsidR="0020272D">
        <w:t xml:space="preserve"> </w:t>
      </w:r>
      <w:r w:rsidR="009A6738">
        <w:t xml:space="preserve">benchmark </w:t>
      </w:r>
      <w:r w:rsidRPr="0031736D" w:rsidR="0031736D">
        <w:t xml:space="preserve">survey, providing information of </w:t>
      </w:r>
      <w:proofErr w:type="gramStart"/>
      <w:r w:rsidRPr="0031736D" w:rsidR="0031736D">
        <w:t>sufficient</w:t>
      </w:r>
      <w:proofErr w:type="gramEnd"/>
      <w:r w:rsidRPr="0031736D" w:rsidR="0031736D">
        <w:t xml:space="preserve"> accuracy and reliability for its intended purposes.</w:t>
      </w:r>
    </w:p>
    <w:p w:rsidR="00BD19F9" w:rsidP="00BD19F9" w:rsidRDefault="00BD19F9"/>
    <w:p w:rsidR="00105356" w:rsidP="00BD19F9" w:rsidRDefault="00105356">
      <w:r>
        <w:t>BE-</w:t>
      </w:r>
      <w:r w:rsidR="0020272D">
        <w:t xml:space="preserve">180 </w:t>
      </w:r>
      <w:r>
        <w:t>Response Rates</w:t>
      </w:r>
    </w:p>
    <w:tbl>
      <w:tblPr>
        <w:tblW w:w="7491" w:type="dxa"/>
        <w:tblInd w:w="93" w:type="dxa"/>
        <w:tblLayout w:type="fixed"/>
        <w:tblLook w:val="04A0" w:firstRow="1" w:lastRow="0" w:firstColumn="1" w:lastColumn="0" w:noHBand="0" w:noVBand="1"/>
      </w:tblPr>
      <w:tblGrid>
        <w:gridCol w:w="1446"/>
        <w:gridCol w:w="4059"/>
        <w:gridCol w:w="1750"/>
        <w:gridCol w:w="236"/>
      </w:tblGrid>
      <w:tr w:rsidR="00105356" w:rsidTr="00F81673">
        <w:trPr>
          <w:trHeight w:val="1015"/>
        </w:trPr>
        <w:tc>
          <w:tcPr>
            <w:tcW w:w="5505" w:type="dxa"/>
            <w:gridSpan w:val="2"/>
            <w:tcBorders>
              <w:top w:val="single" w:color="auto" w:sz="8" w:space="0"/>
              <w:left w:val="single" w:color="auto" w:sz="8" w:space="0"/>
              <w:bottom w:val="nil"/>
              <w:right w:val="nil"/>
            </w:tcBorders>
            <w:shd w:val="clear" w:color="auto" w:fill="auto"/>
            <w:vAlign w:val="center"/>
            <w:hideMark/>
          </w:tcPr>
          <w:p w:rsidRPr="0033728E" w:rsidR="00105356" w:rsidP="00F81673" w:rsidRDefault="00F81673">
            <w:pPr>
              <w:jc w:val="center"/>
              <w:rPr>
                <w:b/>
                <w:color w:val="000000"/>
                <w:sz w:val="22"/>
                <w:szCs w:val="22"/>
              </w:rPr>
            </w:pPr>
            <w:r w:rsidRPr="0033728E">
              <w:rPr>
                <w:b/>
                <w:color w:val="000000"/>
                <w:sz w:val="22"/>
                <w:szCs w:val="22"/>
              </w:rPr>
              <w:t>Survey r</w:t>
            </w:r>
            <w:r w:rsidRPr="0033728E" w:rsidR="00105356">
              <w:rPr>
                <w:b/>
                <w:color w:val="000000"/>
                <w:sz w:val="22"/>
                <w:szCs w:val="22"/>
              </w:rPr>
              <w:t xml:space="preserve">esponse  </w:t>
            </w:r>
          </w:p>
        </w:tc>
        <w:tc>
          <w:tcPr>
            <w:tcW w:w="1750" w:type="dxa"/>
            <w:tcBorders>
              <w:top w:val="single" w:color="auto" w:sz="8" w:space="0"/>
              <w:left w:val="single" w:color="auto" w:sz="4" w:space="0"/>
              <w:bottom w:val="single" w:color="auto" w:sz="4" w:space="0"/>
              <w:right w:val="single" w:color="auto" w:sz="4" w:space="0"/>
            </w:tcBorders>
            <w:shd w:val="clear" w:color="auto" w:fill="auto"/>
            <w:vAlign w:val="center"/>
            <w:hideMark/>
          </w:tcPr>
          <w:p w:rsidRPr="0033728E" w:rsidR="00105356" w:rsidP="00105356" w:rsidRDefault="00105356">
            <w:pPr>
              <w:jc w:val="center"/>
              <w:rPr>
                <w:b/>
                <w:color w:val="000000"/>
                <w:sz w:val="22"/>
                <w:szCs w:val="22"/>
              </w:rPr>
            </w:pPr>
            <w:r w:rsidRPr="0033728E">
              <w:rPr>
                <w:b/>
                <w:color w:val="000000"/>
                <w:sz w:val="22"/>
                <w:szCs w:val="22"/>
              </w:rPr>
              <w:t>Response rate</w:t>
            </w:r>
          </w:p>
        </w:tc>
        <w:tc>
          <w:tcPr>
            <w:tcW w:w="236" w:type="dxa"/>
            <w:tcBorders>
              <w:top w:val="nil"/>
              <w:left w:val="nil"/>
              <w:bottom w:val="nil"/>
              <w:right w:val="nil"/>
            </w:tcBorders>
            <w:shd w:val="clear" w:color="auto" w:fill="auto"/>
            <w:vAlign w:val="bottom"/>
            <w:hideMark/>
          </w:tcPr>
          <w:p w:rsidR="00105356" w:rsidP="00D67377" w:rsidRDefault="00105356">
            <w:pPr>
              <w:rPr>
                <w:rFonts w:ascii="Calibri" w:hAnsi="Calibri"/>
                <w:color w:val="000000"/>
                <w:sz w:val="22"/>
                <w:szCs w:val="22"/>
              </w:rPr>
            </w:pPr>
          </w:p>
        </w:tc>
      </w:tr>
      <w:tr w:rsidR="00105356" w:rsidTr="00F81673">
        <w:trPr>
          <w:trHeight w:val="377"/>
        </w:trPr>
        <w:tc>
          <w:tcPr>
            <w:tcW w:w="5505" w:type="dxa"/>
            <w:gridSpan w:val="2"/>
            <w:tcBorders>
              <w:top w:val="single" w:color="auto" w:sz="4" w:space="0"/>
              <w:left w:val="single" w:color="auto" w:sz="4" w:space="0"/>
              <w:bottom w:val="single" w:color="auto" w:sz="4" w:space="0"/>
              <w:right w:val="nil"/>
            </w:tcBorders>
            <w:shd w:val="clear" w:color="auto" w:fill="auto"/>
            <w:noWrap/>
            <w:vAlign w:val="bottom"/>
            <w:hideMark/>
          </w:tcPr>
          <w:p w:rsidRPr="0033728E" w:rsidR="00105356" w:rsidP="00F81673" w:rsidRDefault="00105356">
            <w:pPr>
              <w:rPr>
                <w:color w:val="000000"/>
                <w:sz w:val="22"/>
                <w:szCs w:val="22"/>
              </w:rPr>
            </w:pPr>
            <w:r w:rsidRPr="0033728E">
              <w:rPr>
                <w:color w:val="000000"/>
                <w:sz w:val="22"/>
                <w:szCs w:val="22"/>
              </w:rPr>
              <w:t xml:space="preserve">Response rate </w:t>
            </w:r>
            <w:r w:rsidRPr="0033728E" w:rsidR="00F81673">
              <w:rPr>
                <w:color w:val="000000"/>
                <w:sz w:val="22"/>
                <w:szCs w:val="22"/>
              </w:rPr>
              <w:t>for</w:t>
            </w:r>
            <w:r w:rsidRPr="0033728E">
              <w:rPr>
                <w:color w:val="000000"/>
                <w:sz w:val="22"/>
                <w:szCs w:val="22"/>
              </w:rPr>
              <w:t xml:space="preserve"> the </w:t>
            </w:r>
            <w:r w:rsidRPr="0033728E" w:rsidR="0020272D">
              <w:rPr>
                <w:color w:val="000000"/>
                <w:sz w:val="22"/>
                <w:szCs w:val="22"/>
              </w:rPr>
              <w:t>201</w:t>
            </w:r>
            <w:r w:rsidR="0020272D">
              <w:rPr>
                <w:color w:val="000000"/>
                <w:sz w:val="22"/>
                <w:szCs w:val="22"/>
              </w:rPr>
              <w:t xml:space="preserve">4 </w:t>
            </w:r>
            <w:r w:rsidRPr="0033728E">
              <w:rPr>
                <w:color w:val="000000"/>
                <w:sz w:val="22"/>
                <w:szCs w:val="22"/>
              </w:rPr>
              <w:t>BE-</w:t>
            </w:r>
            <w:r w:rsidRPr="0033728E" w:rsidR="0020272D">
              <w:rPr>
                <w:color w:val="000000"/>
                <w:sz w:val="22"/>
                <w:szCs w:val="22"/>
              </w:rPr>
              <w:t>1</w:t>
            </w:r>
            <w:r w:rsidR="0020272D">
              <w:rPr>
                <w:color w:val="000000"/>
                <w:sz w:val="22"/>
                <w:szCs w:val="22"/>
              </w:rPr>
              <w:t>8</w:t>
            </w:r>
            <w:r w:rsidRPr="0033728E" w:rsidR="0020272D">
              <w:rPr>
                <w:color w:val="000000"/>
                <w:sz w:val="22"/>
                <w:szCs w:val="22"/>
              </w:rPr>
              <w:t xml:space="preserve">0 </w:t>
            </w:r>
            <w:r w:rsidRPr="0033728E">
              <w:rPr>
                <w:color w:val="000000"/>
                <w:sz w:val="22"/>
                <w:szCs w:val="22"/>
              </w:rPr>
              <w:t>survey</w:t>
            </w:r>
          </w:p>
        </w:tc>
        <w:tc>
          <w:tcPr>
            <w:tcW w:w="1750" w:type="dxa"/>
            <w:tcBorders>
              <w:top w:val="nil"/>
              <w:left w:val="single" w:color="auto" w:sz="4" w:space="0"/>
              <w:bottom w:val="single" w:color="auto" w:sz="4" w:space="0"/>
              <w:right w:val="single" w:color="auto" w:sz="4" w:space="0"/>
            </w:tcBorders>
            <w:shd w:val="clear" w:color="auto" w:fill="auto"/>
            <w:noWrap/>
            <w:vAlign w:val="center"/>
            <w:hideMark/>
          </w:tcPr>
          <w:p w:rsidRPr="0033728E" w:rsidR="00105356" w:rsidP="00B71697" w:rsidRDefault="007576CE">
            <w:pPr>
              <w:jc w:val="center"/>
              <w:rPr>
                <w:color w:val="000000"/>
                <w:sz w:val="22"/>
                <w:szCs w:val="22"/>
              </w:rPr>
            </w:pPr>
            <w:r>
              <w:rPr>
                <w:color w:val="000000"/>
                <w:sz w:val="22"/>
                <w:szCs w:val="22"/>
              </w:rPr>
              <w:t>8</w:t>
            </w:r>
            <w:r w:rsidR="0020272D">
              <w:rPr>
                <w:color w:val="000000"/>
                <w:sz w:val="22"/>
                <w:szCs w:val="22"/>
              </w:rPr>
              <w:t>5</w:t>
            </w:r>
            <w:r w:rsidRPr="0033728E" w:rsidR="00105356">
              <w:rPr>
                <w:color w:val="000000"/>
                <w:sz w:val="22"/>
                <w:szCs w:val="22"/>
              </w:rPr>
              <w:t>%</w:t>
            </w:r>
          </w:p>
        </w:tc>
        <w:tc>
          <w:tcPr>
            <w:tcW w:w="236" w:type="dxa"/>
            <w:tcBorders>
              <w:top w:val="nil"/>
              <w:left w:val="nil"/>
              <w:bottom w:val="nil"/>
              <w:right w:val="nil"/>
            </w:tcBorders>
            <w:shd w:val="clear" w:color="auto" w:fill="auto"/>
            <w:noWrap/>
            <w:vAlign w:val="bottom"/>
            <w:hideMark/>
          </w:tcPr>
          <w:p w:rsidR="00105356" w:rsidP="00D67377" w:rsidRDefault="00105356">
            <w:pPr>
              <w:rPr>
                <w:rFonts w:ascii="Calibri" w:hAnsi="Calibri"/>
                <w:color w:val="000000"/>
                <w:sz w:val="22"/>
                <w:szCs w:val="22"/>
              </w:rPr>
            </w:pPr>
          </w:p>
        </w:tc>
      </w:tr>
      <w:tr w:rsidR="00105356" w:rsidTr="00F81673">
        <w:trPr>
          <w:trHeight w:val="368"/>
        </w:trPr>
        <w:tc>
          <w:tcPr>
            <w:tcW w:w="5505" w:type="dxa"/>
            <w:gridSpan w:val="2"/>
            <w:tcBorders>
              <w:top w:val="nil"/>
              <w:left w:val="single" w:color="auto" w:sz="4" w:space="0"/>
              <w:bottom w:val="single" w:color="auto" w:sz="4" w:space="0"/>
              <w:right w:val="nil"/>
            </w:tcBorders>
            <w:shd w:val="clear" w:color="auto" w:fill="auto"/>
            <w:noWrap/>
            <w:vAlign w:val="bottom"/>
            <w:hideMark/>
          </w:tcPr>
          <w:p w:rsidRPr="0033728E" w:rsidR="00105356" w:rsidP="00F81673" w:rsidRDefault="00B71697">
            <w:pPr>
              <w:rPr>
                <w:color w:val="000000"/>
                <w:sz w:val="22"/>
                <w:szCs w:val="22"/>
              </w:rPr>
            </w:pPr>
            <w:r w:rsidRPr="0033728E">
              <w:rPr>
                <w:color w:val="000000"/>
                <w:sz w:val="22"/>
                <w:szCs w:val="22"/>
              </w:rPr>
              <w:t>Average r</w:t>
            </w:r>
            <w:r w:rsidRPr="0033728E" w:rsidR="00105356">
              <w:rPr>
                <w:color w:val="000000"/>
                <w:sz w:val="22"/>
                <w:szCs w:val="22"/>
              </w:rPr>
              <w:t xml:space="preserve">esponse rate </w:t>
            </w:r>
            <w:r w:rsidRPr="0033728E" w:rsidR="00F81673">
              <w:rPr>
                <w:color w:val="000000"/>
                <w:sz w:val="22"/>
                <w:szCs w:val="22"/>
              </w:rPr>
              <w:t>for</w:t>
            </w:r>
            <w:r w:rsidRPr="0033728E" w:rsidR="00105356">
              <w:rPr>
                <w:color w:val="000000"/>
                <w:sz w:val="22"/>
                <w:szCs w:val="22"/>
              </w:rPr>
              <w:t xml:space="preserve"> the </w:t>
            </w:r>
            <w:r w:rsidRPr="0033728E" w:rsidR="0020272D">
              <w:rPr>
                <w:color w:val="000000"/>
                <w:sz w:val="22"/>
                <w:szCs w:val="22"/>
              </w:rPr>
              <w:t>201</w:t>
            </w:r>
            <w:r w:rsidR="0020272D">
              <w:rPr>
                <w:color w:val="000000"/>
                <w:sz w:val="22"/>
                <w:szCs w:val="22"/>
              </w:rPr>
              <w:t>5</w:t>
            </w:r>
            <w:r w:rsidRPr="0033728E">
              <w:rPr>
                <w:color w:val="000000"/>
                <w:sz w:val="22"/>
                <w:szCs w:val="22"/>
              </w:rPr>
              <w:t>-</w:t>
            </w:r>
            <w:r w:rsidRPr="0033728E" w:rsidR="0020272D">
              <w:rPr>
                <w:color w:val="000000"/>
                <w:sz w:val="22"/>
                <w:szCs w:val="22"/>
              </w:rPr>
              <w:t>201</w:t>
            </w:r>
            <w:r w:rsidR="0020272D">
              <w:rPr>
                <w:color w:val="000000"/>
                <w:sz w:val="22"/>
                <w:szCs w:val="22"/>
              </w:rPr>
              <w:t xml:space="preserve">9 </w:t>
            </w:r>
            <w:r w:rsidRPr="0033728E" w:rsidR="00105356">
              <w:rPr>
                <w:color w:val="000000"/>
                <w:sz w:val="22"/>
                <w:szCs w:val="22"/>
              </w:rPr>
              <w:t>BE-</w:t>
            </w:r>
            <w:r w:rsidR="0020272D">
              <w:rPr>
                <w:color w:val="000000"/>
                <w:sz w:val="22"/>
                <w:szCs w:val="22"/>
              </w:rPr>
              <w:t>18</w:t>
            </w:r>
            <w:r w:rsidRPr="0033728E" w:rsidR="0020272D">
              <w:rPr>
                <w:color w:val="000000"/>
                <w:sz w:val="22"/>
                <w:szCs w:val="22"/>
              </w:rPr>
              <w:t xml:space="preserve">5 </w:t>
            </w:r>
            <w:r w:rsidRPr="0033728E" w:rsidR="00105356">
              <w:rPr>
                <w:color w:val="000000"/>
                <w:sz w:val="22"/>
                <w:szCs w:val="22"/>
              </w:rPr>
              <w:t>survey</w:t>
            </w:r>
          </w:p>
        </w:tc>
        <w:tc>
          <w:tcPr>
            <w:tcW w:w="1750" w:type="dxa"/>
            <w:tcBorders>
              <w:top w:val="nil"/>
              <w:left w:val="single" w:color="auto" w:sz="4" w:space="0"/>
              <w:bottom w:val="single" w:color="auto" w:sz="4" w:space="0"/>
              <w:right w:val="single" w:color="auto" w:sz="4" w:space="0"/>
            </w:tcBorders>
            <w:shd w:val="clear" w:color="auto" w:fill="auto"/>
            <w:noWrap/>
            <w:vAlign w:val="center"/>
            <w:hideMark/>
          </w:tcPr>
          <w:p w:rsidRPr="0033728E" w:rsidR="00105356" w:rsidP="00B71697" w:rsidRDefault="007576CE">
            <w:pPr>
              <w:jc w:val="center"/>
              <w:rPr>
                <w:color w:val="000000"/>
                <w:sz w:val="22"/>
                <w:szCs w:val="22"/>
              </w:rPr>
            </w:pPr>
            <w:r>
              <w:rPr>
                <w:color w:val="000000"/>
                <w:sz w:val="22"/>
                <w:szCs w:val="22"/>
              </w:rPr>
              <w:t>9</w:t>
            </w:r>
            <w:r w:rsidR="0020272D">
              <w:rPr>
                <w:color w:val="000000"/>
                <w:sz w:val="22"/>
                <w:szCs w:val="22"/>
              </w:rPr>
              <w:t>5</w:t>
            </w:r>
            <w:r w:rsidRPr="0033728E" w:rsidR="00105356">
              <w:rPr>
                <w:color w:val="000000"/>
                <w:sz w:val="22"/>
                <w:szCs w:val="22"/>
              </w:rPr>
              <w:t>%</w:t>
            </w:r>
          </w:p>
        </w:tc>
        <w:tc>
          <w:tcPr>
            <w:tcW w:w="236" w:type="dxa"/>
            <w:tcBorders>
              <w:top w:val="nil"/>
              <w:left w:val="nil"/>
              <w:bottom w:val="nil"/>
              <w:right w:val="nil"/>
            </w:tcBorders>
            <w:shd w:val="clear" w:color="auto" w:fill="auto"/>
            <w:noWrap/>
            <w:vAlign w:val="bottom"/>
            <w:hideMark/>
          </w:tcPr>
          <w:p w:rsidR="00105356" w:rsidP="00D67377" w:rsidRDefault="00105356">
            <w:pPr>
              <w:rPr>
                <w:rFonts w:ascii="Calibri" w:hAnsi="Calibri"/>
                <w:color w:val="000000"/>
                <w:sz w:val="22"/>
                <w:szCs w:val="22"/>
              </w:rPr>
            </w:pPr>
          </w:p>
        </w:tc>
      </w:tr>
      <w:tr w:rsidR="00105356" w:rsidTr="00F81673">
        <w:trPr>
          <w:trHeight w:val="332"/>
        </w:trPr>
        <w:tc>
          <w:tcPr>
            <w:tcW w:w="5505" w:type="dxa"/>
            <w:gridSpan w:val="2"/>
            <w:tcBorders>
              <w:top w:val="nil"/>
              <w:left w:val="single" w:color="auto" w:sz="4" w:space="0"/>
              <w:bottom w:val="single" w:color="auto" w:sz="8" w:space="0"/>
              <w:right w:val="nil"/>
            </w:tcBorders>
            <w:shd w:val="clear" w:color="auto" w:fill="auto"/>
            <w:noWrap/>
            <w:vAlign w:val="bottom"/>
            <w:hideMark/>
          </w:tcPr>
          <w:p w:rsidRPr="0033728E" w:rsidR="00105356" w:rsidP="00F81673" w:rsidRDefault="00105356">
            <w:pPr>
              <w:rPr>
                <w:color w:val="000000"/>
                <w:sz w:val="22"/>
                <w:szCs w:val="22"/>
              </w:rPr>
            </w:pPr>
            <w:r w:rsidRPr="0033728E">
              <w:rPr>
                <w:color w:val="000000"/>
                <w:sz w:val="22"/>
                <w:szCs w:val="22"/>
              </w:rPr>
              <w:t xml:space="preserve">Expected response rate </w:t>
            </w:r>
            <w:r w:rsidRPr="0033728E" w:rsidR="00F81673">
              <w:rPr>
                <w:color w:val="000000"/>
                <w:sz w:val="22"/>
                <w:szCs w:val="22"/>
              </w:rPr>
              <w:t>for</w:t>
            </w:r>
            <w:r w:rsidRPr="0033728E">
              <w:rPr>
                <w:color w:val="000000"/>
                <w:sz w:val="22"/>
                <w:szCs w:val="22"/>
              </w:rPr>
              <w:t xml:space="preserve"> the </w:t>
            </w:r>
            <w:r w:rsidRPr="0033728E" w:rsidR="0020272D">
              <w:rPr>
                <w:color w:val="000000"/>
                <w:sz w:val="22"/>
                <w:szCs w:val="22"/>
              </w:rPr>
              <w:t>201</w:t>
            </w:r>
            <w:r w:rsidR="0020272D">
              <w:rPr>
                <w:color w:val="000000"/>
                <w:sz w:val="22"/>
                <w:szCs w:val="22"/>
              </w:rPr>
              <w:t>9</w:t>
            </w:r>
            <w:r w:rsidRPr="0033728E" w:rsidR="0020272D">
              <w:rPr>
                <w:color w:val="000000"/>
                <w:sz w:val="22"/>
                <w:szCs w:val="22"/>
              </w:rPr>
              <w:t xml:space="preserve"> </w:t>
            </w:r>
            <w:r w:rsidRPr="0033728E">
              <w:rPr>
                <w:color w:val="000000"/>
                <w:sz w:val="22"/>
                <w:szCs w:val="22"/>
              </w:rPr>
              <w:t>BE-</w:t>
            </w:r>
            <w:r w:rsidRPr="0033728E" w:rsidR="0020272D">
              <w:rPr>
                <w:color w:val="000000"/>
                <w:sz w:val="22"/>
                <w:szCs w:val="22"/>
              </w:rPr>
              <w:t>1</w:t>
            </w:r>
            <w:r w:rsidR="0020272D">
              <w:rPr>
                <w:color w:val="000000"/>
                <w:sz w:val="22"/>
                <w:szCs w:val="22"/>
              </w:rPr>
              <w:t>8</w:t>
            </w:r>
            <w:r w:rsidRPr="0033728E" w:rsidR="0020272D">
              <w:rPr>
                <w:color w:val="000000"/>
                <w:sz w:val="22"/>
                <w:szCs w:val="22"/>
              </w:rPr>
              <w:t xml:space="preserve">0 </w:t>
            </w:r>
            <w:r w:rsidRPr="0033728E">
              <w:rPr>
                <w:color w:val="000000"/>
                <w:sz w:val="22"/>
                <w:szCs w:val="22"/>
              </w:rPr>
              <w:t>survey</w:t>
            </w:r>
          </w:p>
        </w:tc>
        <w:tc>
          <w:tcPr>
            <w:tcW w:w="1750" w:type="dxa"/>
            <w:tcBorders>
              <w:top w:val="nil"/>
              <w:left w:val="single" w:color="auto" w:sz="4" w:space="0"/>
              <w:bottom w:val="single" w:color="auto" w:sz="8" w:space="0"/>
              <w:right w:val="single" w:color="auto" w:sz="4" w:space="0"/>
            </w:tcBorders>
            <w:shd w:val="clear" w:color="auto" w:fill="auto"/>
            <w:noWrap/>
            <w:vAlign w:val="center"/>
            <w:hideMark/>
          </w:tcPr>
          <w:p w:rsidRPr="0033728E" w:rsidR="00105356" w:rsidP="00B71697" w:rsidRDefault="009C7098">
            <w:pPr>
              <w:jc w:val="center"/>
              <w:rPr>
                <w:color w:val="000000"/>
                <w:sz w:val="22"/>
                <w:szCs w:val="22"/>
              </w:rPr>
            </w:pPr>
            <w:r>
              <w:rPr>
                <w:color w:val="000000"/>
                <w:sz w:val="22"/>
                <w:szCs w:val="22"/>
              </w:rPr>
              <w:t>9</w:t>
            </w:r>
            <w:r w:rsidR="007576CE">
              <w:rPr>
                <w:color w:val="000000"/>
                <w:sz w:val="22"/>
                <w:szCs w:val="22"/>
              </w:rPr>
              <w:t>0</w:t>
            </w:r>
            <w:r w:rsidRPr="0033728E" w:rsidR="00105356">
              <w:rPr>
                <w:color w:val="000000"/>
                <w:sz w:val="22"/>
                <w:szCs w:val="22"/>
              </w:rPr>
              <w:t>%</w:t>
            </w:r>
          </w:p>
        </w:tc>
        <w:tc>
          <w:tcPr>
            <w:tcW w:w="236" w:type="dxa"/>
            <w:tcBorders>
              <w:top w:val="nil"/>
              <w:left w:val="nil"/>
              <w:bottom w:val="nil"/>
              <w:right w:val="nil"/>
            </w:tcBorders>
            <w:shd w:val="clear" w:color="auto" w:fill="auto"/>
            <w:noWrap/>
            <w:vAlign w:val="bottom"/>
            <w:hideMark/>
          </w:tcPr>
          <w:p w:rsidR="00105356" w:rsidP="00D67377" w:rsidRDefault="00105356">
            <w:pPr>
              <w:rPr>
                <w:rFonts w:ascii="Calibri" w:hAnsi="Calibri"/>
                <w:color w:val="000000"/>
                <w:sz w:val="22"/>
                <w:szCs w:val="22"/>
              </w:rPr>
            </w:pPr>
          </w:p>
        </w:tc>
      </w:tr>
      <w:tr w:rsidR="00105356" w:rsidTr="00D67377">
        <w:trPr>
          <w:gridAfter w:val="3"/>
          <w:wAfter w:w="6045" w:type="dxa"/>
          <w:trHeight w:val="358"/>
        </w:trPr>
        <w:tc>
          <w:tcPr>
            <w:tcW w:w="1446" w:type="dxa"/>
            <w:tcBorders>
              <w:top w:val="nil"/>
              <w:left w:val="nil"/>
              <w:bottom w:val="nil"/>
              <w:right w:val="nil"/>
            </w:tcBorders>
            <w:shd w:val="clear" w:color="auto" w:fill="auto"/>
            <w:noWrap/>
            <w:vAlign w:val="bottom"/>
            <w:hideMark/>
          </w:tcPr>
          <w:p w:rsidR="00105356" w:rsidP="00D67377" w:rsidRDefault="00105356">
            <w:pPr>
              <w:rPr>
                <w:rFonts w:ascii="Calibri" w:hAnsi="Calibri"/>
                <w:color w:val="000000"/>
                <w:sz w:val="22"/>
                <w:szCs w:val="22"/>
              </w:rPr>
            </w:pPr>
          </w:p>
        </w:tc>
      </w:tr>
    </w:tbl>
    <w:p w:rsidRPr="00E528BB" w:rsidR="009C3ABD" w:rsidP="009C3ABD" w:rsidRDefault="009C3ABD">
      <w:pPr>
        <w:rPr>
          <w:b/>
        </w:rPr>
      </w:pPr>
      <w:r w:rsidRPr="00E528BB">
        <w:rPr>
          <w:b/>
        </w:rPr>
        <w:t xml:space="preserve">2.  </w:t>
      </w:r>
      <w:r w:rsidRPr="00E528BB">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E528BB">
        <w:rPr>
          <w:b/>
        </w:rPr>
        <w:t>.</w:t>
      </w:r>
    </w:p>
    <w:p w:rsidRPr="00837853" w:rsidR="009C3ABD" w:rsidP="009C3ABD" w:rsidRDefault="009C3ABD">
      <w:pPr>
        <w:rPr>
          <w:rFonts w:ascii="Arial" w:hAnsi="Arial" w:cs="Arial"/>
        </w:rPr>
      </w:pPr>
    </w:p>
    <w:p w:rsidR="00252A8B" w:rsidP="009C3ABD" w:rsidRDefault="009C3ABD">
      <w:r w:rsidRPr="00E528BB">
        <w:t xml:space="preserve">The </w:t>
      </w:r>
      <w:r w:rsidR="00DE4DEF">
        <w:t>BE-</w:t>
      </w:r>
      <w:r w:rsidR="0020272D">
        <w:t xml:space="preserve">180 </w:t>
      </w:r>
      <w:r w:rsidRPr="00E528BB">
        <w:t xml:space="preserve">survey </w:t>
      </w:r>
      <w:r w:rsidR="001526A1">
        <w:t>will</w:t>
      </w:r>
      <w:r w:rsidRPr="00E528BB" w:rsidR="00A930C0">
        <w:t xml:space="preserve"> </w:t>
      </w:r>
      <w:r w:rsidRPr="00E528BB">
        <w:t xml:space="preserve">be administered to </w:t>
      </w:r>
      <w:r w:rsidR="00A167D4">
        <w:t xml:space="preserve">U.S. </w:t>
      </w:r>
      <w:r w:rsidR="0020272D">
        <w:t xml:space="preserve">financial services </w:t>
      </w:r>
      <w:r w:rsidR="002A5698">
        <w:t xml:space="preserve">companies </w:t>
      </w:r>
      <w:r w:rsidR="0047733E">
        <w:t xml:space="preserve">that </w:t>
      </w:r>
      <w:r w:rsidR="009C7098">
        <w:t xml:space="preserve">had </w:t>
      </w:r>
      <w:r w:rsidR="0020272D">
        <w:t xml:space="preserve">financial services </w:t>
      </w:r>
      <w:r w:rsidR="0047733E">
        <w:t>transactions</w:t>
      </w:r>
      <w:r w:rsidR="002A5698">
        <w:t xml:space="preserve"> (either sales or purchases</w:t>
      </w:r>
      <w:r w:rsidR="004E35D0">
        <w:t>)</w:t>
      </w:r>
      <w:r w:rsidR="007838A4">
        <w:t xml:space="preserve"> </w:t>
      </w:r>
      <w:r w:rsidR="00416395">
        <w:t>with foreign persons</w:t>
      </w:r>
      <w:r w:rsidR="00A167D4">
        <w:t xml:space="preserve">. </w:t>
      </w:r>
      <w:r w:rsidR="00A52723">
        <w:t xml:space="preserve">BEA expects most of the potential respondents to file the survey on a timely basis. In the case that a survey is not </w:t>
      </w:r>
      <w:proofErr w:type="gramStart"/>
      <w:r w:rsidR="00A52723">
        <w:t>filed, or</w:t>
      </w:r>
      <w:proofErr w:type="gramEnd"/>
      <w:r w:rsidR="00A52723">
        <w:t xml:space="preserve"> is filed too late to be used for the current estimate, BEA will generate an estimate based on data previously reported</w:t>
      </w:r>
      <w:r w:rsidR="009A6738">
        <w:t>, where available,</w:t>
      </w:r>
      <w:r w:rsidR="00A52723">
        <w:t xml:space="preserve"> or </w:t>
      </w:r>
      <w:r w:rsidR="00416395">
        <w:t xml:space="preserve">include an </w:t>
      </w:r>
      <w:r w:rsidR="00A52723">
        <w:t xml:space="preserve">estimate for the non-respondent </w:t>
      </w:r>
      <w:r w:rsidR="00CF4390">
        <w:t>using</w:t>
      </w:r>
      <w:r w:rsidR="00A52723">
        <w:t xml:space="preserve"> information </w:t>
      </w:r>
      <w:r w:rsidR="00CF4390">
        <w:t>from</w:t>
      </w:r>
      <w:r w:rsidR="00A52723">
        <w:t xml:space="preserve"> companies that did respond. No unusual problems have been identified that </w:t>
      </w:r>
      <w:r w:rsidR="001526A1">
        <w:t>will</w:t>
      </w:r>
      <w:r w:rsidR="00A52723">
        <w:t xml:space="preserve"> require the use of specialized sampling procedures. BEA will </w:t>
      </w:r>
      <w:r w:rsidR="009A6738">
        <w:t xml:space="preserve">attempt to </w:t>
      </w:r>
      <w:r w:rsidR="00A52723">
        <w:t xml:space="preserve">collect data from </w:t>
      </w:r>
      <w:r w:rsidR="009A6738">
        <w:t>the entire universe</w:t>
      </w:r>
      <w:r w:rsidR="00A52723">
        <w:t xml:space="preserve"> of firms meeting the reporting criteria.</w:t>
      </w:r>
      <w:r w:rsidR="005C29EE">
        <w:t xml:space="preserve">  </w:t>
      </w:r>
    </w:p>
    <w:p w:rsidR="001D4055" w:rsidP="009C3ABD" w:rsidRDefault="001D4055"/>
    <w:p w:rsidR="00A52723" w:rsidP="00A52723" w:rsidRDefault="00A52723">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 xml:space="preserve">The list of respondents will be derived from public and private sources, including business directories and establishment lists.  </w:t>
      </w:r>
    </w:p>
    <w:p w:rsidR="00CF252E" w:rsidP="009C3ABD" w:rsidRDefault="00CF252E"/>
    <w:p w:rsidR="000242F0" w:rsidP="009C3ABD" w:rsidRDefault="00A52723">
      <w:r>
        <w:lastRenderedPageBreak/>
        <w:t xml:space="preserve">A high degree of accuracy is needed for the purposes stated in the justification. The survey is a </w:t>
      </w:r>
      <w:r w:rsidR="009A6738">
        <w:t xml:space="preserve">benchmark </w:t>
      </w:r>
      <w:r>
        <w:t>survey</w:t>
      </w:r>
      <w:r w:rsidR="00416395">
        <w:t xml:space="preserve">, which BEA </w:t>
      </w:r>
      <w:r w:rsidR="006E7938">
        <w:t xml:space="preserve">conducts periodically, </w:t>
      </w:r>
      <w:r w:rsidR="00416395">
        <w:t>every five years</w:t>
      </w:r>
      <w:r w:rsidR="00213DD9">
        <w:t xml:space="preserve">. </w:t>
      </w:r>
      <w:r w:rsidR="00416395">
        <w:t>T</w:t>
      </w:r>
      <w:r w:rsidR="00513A2B">
        <w:t xml:space="preserve">he </w:t>
      </w:r>
      <w:r w:rsidR="006E7938">
        <w:t>BE-</w:t>
      </w:r>
      <w:r w:rsidR="0020272D">
        <w:t xml:space="preserve">180 </w:t>
      </w:r>
      <w:r w:rsidR="00513A2B">
        <w:t xml:space="preserve">survey </w:t>
      </w:r>
      <w:r w:rsidR="006E7938">
        <w:t xml:space="preserve">that is being </w:t>
      </w:r>
      <w:r w:rsidR="001526A1">
        <w:t>conduc</w:t>
      </w:r>
      <w:bookmarkStart w:name="_GoBack" w:id="0"/>
      <w:bookmarkEnd w:id="0"/>
      <w:r w:rsidR="001526A1">
        <w:t>ted</w:t>
      </w:r>
      <w:r w:rsidR="006E7938">
        <w:t xml:space="preserve"> </w:t>
      </w:r>
      <w:r w:rsidR="00513A2B">
        <w:t xml:space="preserve">will apply to the </w:t>
      </w:r>
      <w:r w:rsidR="0020272D">
        <w:t xml:space="preserve">2019 fiscal </w:t>
      </w:r>
      <w:r w:rsidR="00513A2B">
        <w:t>reporting year.</w:t>
      </w:r>
    </w:p>
    <w:p w:rsidR="0015479C" w:rsidP="009C3ABD" w:rsidRDefault="0015479C"/>
    <w:p w:rsidRPr="00E528BB" w:rsidR="009C3ABD" w:rsidP="009C3ABD" w:rsidRDefault="009C3ABD">
      <w:pPr>
        <w:rPr>
          <w:b/>
        </w:rPr>
      </w:pPr>
      <w:r w:rsidRPr="00E528BB">
        <w:rPr>
          <w:b/>
        </w:rPr>
        <w:t xml:space="preserve">3.  </w:t>
      </w:r>
      <w:r w:rsidRPr="00E528BB">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E528BB">
        <w:rPr>
          <w:b/>
        </w:rPr>
        <w:t>.</w:t>
      </w:r>
    </w:p>
    <w:p w:rsidRPr="00E528BB" w:rsidR="009C3ABD" w:rsidP="009C3ABD" w:rsidRDefault="009C3ABD"/>
    <w:p w:rsidR="00682A62" w:rsidP="00A52723" w:rsidRDefault="00735378">
      <w:r>
        <w:t xml:space="preserve">Any </w:t>
      </w:r>
      <w:r w:rsidR="00C25788">
        <w:t xml:space="preserve">company </w:t>
      </w:r>
      <w:r w:rsidR="009A6738">
        <w:t>subject to the reporting requirements of the BE-</w:t>
      </w:r>
      <w:r w:rsidR="0020272D">
        <w:t xml:space="preserve">180 </w:t>
      </w:r>
      <w:r w:rsidR="001526A1">
        <w:t>will</w:t>
      </w:r>
      <w:r w:rsidR="009A6738">
        <w:t xml:space="preserve"> be required to </w:t>
      </w:r>
      <w:r w:rsidR="004C5202">
        <w:t xml:space="preserve">complete the survey </w:t>
      </w:r>
      <w:proofErr w:type="gramStart"/>
      <w:r w:rsidR="009A6738">
        <w:t>whether or not</w:t>
      </w:r>
      <w:proofErr w:type="gramEnd"/>
      <w:r w:rsidR="009A6738">
        <w:t xml:space="preserve"> they are contacted by BEA. </w:t>
      </w:r>
      <w:r w:rsidR="005E32BE">
        <w:t>A response must be received by filing a completed form BE-</w:t>
      </w:r>
      <w:r w:rsidR="0020272D">
        <w:t>180</w:t>
      </w:r>
      <w:r w:rsidR="005E32BE">
        <w:t xml:space="preserve">. </w:t>
      </w:r>
      <w:r w:rsidR="00682A62">
        <w:t xml:space="preserve">Several steps will be taken to maximize response rates. </w:t>
      </w:r>
      <w:r w:rsidR="00494ACD">
        <w:rPr>
          <w:color w:val="000000"/>
        </w:rPr>
        <w:t>Survey</w:t>
      </w:r>
      <w:r w:rsidRPr="00FB7D34" w:rsidR="00682A62">
        <w:rPr>
          <w:color w:val="000000"/>
        </w:rPr>
        <w:t xml:space="preserve"> announcement </w:t>
      </w:r>
      <w:r w:rsidR="00682A62">
        <w:rPr>
          <w:color w:val="000000"/>
        </w:rPr>
        <w:t>letter</w:t>
      </w:r>
      <w:r w:rsidR="00494ACD">
        <w:rPr>
          <w:color w:val="000000"/>
        </w:rPr>
        <w:t>s</w:t>
      </w:r>
      <w:r w:rsidR="00682A62">
        <w:rPr>
          <w:color w:val="000000"/>
        </w:rPr>
        <w:t xml:space="preserve"> </w:t>
      </w:r>
      <w:r w:rsidRPr="00FB7D34" w:rsidR="00682A62">
        <w:rPr>
          <w:color w:val="000000"/>
        </w:rPr>
        <w:t xml:space="preserve">will </w:t>
      </w:r>
      <w:r w:rsidR="00682A62">
        <w:rPr>
          <w:color w:val="000000"/>
        </w:rPr>
        <w:t>highlight significant changes to the survey,</w:t>
      </w:r>
      <w:r w:rsidRPr="00FB7D34" w:rsidR="00682A62">
        <w:rPr>
          <w:color w:val="000000"/>
        </w:rPr>
        <w:t xml:space="preserve"> alert </w:t>
      </w:r>
      <w:r w:rsidR="00682A62">
        <w:rPr>
          <w:color w:val="000000"/>
        </w:rPr>
        <w:t>respondents</w:t>
      </w:r>
      <w:r w:rsidRPr="00FB7D34" w:rsidR="00682A62">
        <w:rPr>
          <w:color w:val="000000"/>
        </w:rPr>
        <w:t xml:space="preserve"> to the availability of </w:t>
      </w:r>
      <w:r w:rsidR="000B0DAB">
        <w:rPr>
          <w:color w:val="000000"/>
        </w:rPr>
        <w:t xml:space="preserve">BEA’s </w:t>
      </w:r>
      <w:r w:rsidRPr="00FB7D34" w:rsidR="00682A62">
        <w:rPr>
          <w:color w:val="000000"/>
        </w:rPr>
        <w:t>electronic filing</w:t>
      </w:r>
      <w:r w:rsidR="000B0DAB">
        <w:rPr>
          <w:color w:val="000000"/>
        </w:rPr>
        <w:t xml:space="preserve"> system</w:t>
      </w:r>
      <w:r w:rsidR="00682A62">
        <w:rPr>
          <w:color w:val="000000"/>
        </w:rPr>
        <w:t xml:space="preserve">, and </w:t>
      </w:r>
      <w:r w:rsidR="00494ACD">
        <w:rPr>
          <w:color w:val="000000"/>
        </w:rPr>
        <w:t>direct</w:t>
      </w:r>
      <w:r w:rsidR="00682A62">
        <w:t xml:space="preserve"> respondents</w:t>
      </w:r>
      <w:r w:rsidR="00494ACD">
        <w:t xml:space="preserve"> to multimedia </w:t>
      </w:r>
      <w:r w:rsidR="006656E3">
        <w:t xml:space="preserve">informational </w:t>
      </w:r>
      <w:r w:rsidR="00494ACD">
        <w:t>resources and copies of the survey form on BEA’s website</w:t>
      </w:r>
      <w:r w:rsidR="00682A62">
        <w:t>.</w:t>
      </w:r>
      <w:r w:rsidRPr="00E528BB" w:rsidR="009C3ABD">
        <w:t xml:space="preserve"> </w:t>
      </w:r>
      <w:r w:rsidR="0089500B">
        <w:t xml:space="preserve"> </w:t>
      </w:r>
    </w:p>
    <w:p w:rsidR="00682A62" w:rsidP="00A52723" w:rsidRDefault="00682A62"/>
    <w:p w:rsidR="00A52723" w:rsidP="00A52723" w:rsidRDefault="00682A62">
      <w:r w:rsidRPr="009A23D8">
        <w:t>Any person contacted by BEA must respond, by filing either a</w:t>
      </w:r>
      <w:r w:rsidRPr="00863E63">
        <w:t xml:space="preserve"> completed form or </w:t>
      </w:r>
      <w:r w:rsidR="00CF252E">
        <w:t xml:space="preserve">a valid </w:t>
      </w:r>
      <w:r>
        <w:t xml:space="preserve">exemption </w:t>
      </w:r>
      <w:proofErr w:type="gramStart"/>
      <w:r>
        <w:t>claim</w:t>
      </w:r>
      <w:proofErr w:type="gramEnd"/>
      <w:r>
        <w:t xml:space="preserve"> by Ju</w:t>
      </w:r>
      <w:r w:rsidR="00E9013F">
        <w:t>ly</w:t>
      </w:r>
      <w:r>
        <w:t xml:space="preserve"> </w:t>
      </w:r>
      <w:r w:rsidR="00E9013F">
        <w:t>31</w:t>
      </w:r>
      <w:r>
        <w:t xml:space="preserve">, </w:t>
      </w:r>
      <w:r w:rsidR="00494ACD">
        <w:t xml:space="preserve">2020 </w:t>
      </w:r>
      <w:r w:rsidR="00213DD9">
        <w:rPr>
          <w:bCs/>
        </w:rPr>
        <w:t xml:space="preserve">(or by </w:t>
      </w:r>
      <w:r w:rsidR="00E9013F">
        <w:rPr>
          <w:bCs/>
        </w:rPr>
        <w:t xml:space="preserve">August </w:t>
      </w:r>
      <w:r w:rsidR="00213DD9">
        <w:rPr>
          <w:bCs/>
        </w:rPr>
        <w:t>3</w:t>
      </w:r>
      <w:r w:rsidR="000E3F47">
        <w:rPr>
          <w:bCs/>
        </w:rPr>
        <w:t>1</w:t>
      </w:r>
      <w:r w:rsidR="00213DD9">
        <w:rPr>
          <w:bCs/>
        </w:rPr>
        <w:t xml:space="preserve">, </w:t>
      </w:r>
      <w:r w:rsidR="00494ACD">
        <w:rPr>
          <w:bCs/>
        </w:rPr>
        <w:t xml:space="preserve">2020 </w:t>
      </w:r>
      <w:r w:rsidR="00213DD9">
        <w:rPr>
          <w:bCs/>
        </w:rPr>
        <w:t xml:space="preserve">for </w:t>
      </w:r>
      <w:r w:rsidR="004C5202">
        <w:rPr>
          <w:bCs/>
        </w:rPr>
        <w:t>those</w:t>
      </w:r>
      <w:r w:rsidR="00213DD9">
        <w:rPr>
          <w:bCs/>
        </w:rPr>
        <w:t xml:space="preserve"> that use BEA’s </w:t>
      </w:r>
      <w:proofErr w:type="spellStart"/>
      <w:r w:rsidR="00213DD9">
        <w:rPr>
          <w:bCs/>
        </w:rPr>
        <w:t>eFile</w:t>
      </w:r>
      <w:proofErr w:type="spellEnd"/>
      <w:r w:rsidR="00213DD9">
        <w:rPr>
          <w:bCs/>
        </w:rPr>
        <w:t xml:space="preserve"> system)</w:t>
      </w:r>
      <w:r>
        <w:t xml:space="preserve">. </w:t>
      </w:r>
      <w:r w:rsidRPr="00F72A91" w:rsidR="00A52723">
        <w:t>Non</w:t>
      </w:r>
      <w:r w:rsidR="00A52723">
        <w:t>-</w:t>
      </w:r>
      <w:r w:rsidRPr="00F72A91" w:rsidR="00A52723">
        <w:t xml:space="preserve">respondents will be contacted by BEA staff and, in the event of continued nonresponse, will be referred to the Office of General Counsel for further action. </w:t>
      </w:r>
      <w:r w:rsidR="00A52723">
        <w:t xml:space="preserve">BEA expects that at the time of the final revised estimates, reports will be received from nearly all companies required to report.  </w:t>
      </w:r>
    </w:p>
    <w:p w:rsidRPr="00E528BB" w:rsidR="009C3ABD" w:rsidP="009C3ABD" w:rsidRDefault="009C3ABD"/>
    <w:p w:rsidRPr="00E528BB" w:rsidR="009C3ABD" w:rsidP="009C3ABD" w:rsidRDefault="009C3ABD">
      <w:pPr>
        <w:rPr>
          <w:b/>
        </w:rPr>
      </w:pPr>
      <w:r w:rsidRPr="00E528BB">
        <w:rPr>
          <w:b/>
        </w:rPr>
        <w:t xml:space="preserve">4.  </w:t>
      </w:r>
      <w:r w:rsidRPr="00E528BB">
        <w:rPr>
          <w:b/>
          <w:u w:val="single"/>
        </w:rPr>
        <w:t>Describe any tests of procedures or methods to be undertaken. Tests are encouraged as effective means to refine collections, but if ten or more test respondents are involved OMB must give prior approval</w:t>
      </w:r>
      <w:r w:rsidRPr="00E528BB">
        <w:rPr>
          <w:b/>
        </w:rPr>
        <w:t>.</w:t>
      </w:r>
    </w:p>
    <w:p w:rsidRPr="004A15BC" w:rsidR="00400935" w:rsidP="009A6738" w:rsidRDefault="00400935"/>
    <w:p w:rsidR="00773BD9" w:rsidP="00773BD9" w:rsidRDefault="00773BD9">
      <w:bookmarkStart w:name="_Hlk29284530" w:id="1"/>
      <w:r>
        <w:t xml:space="preserve">In November 2019, BEA contacted </w:t>
      </w:r>
      <w:r w:rsidRPr="004D5B5B">
        <w:t xml:space="preserve">nine large </w:t>
      </w:r>
      <w:r>
        <w:t>respondents</w:t>
      </w:r>
      <w:r w:rsidRPr="004D5B5B">
        <w:t xml:space="preserve"> currently fil</w:t>
      </w:r>
      <w:r>
        <w:t>ing</w:t>
      </w:r>
      <w:r w:rsidRPr="004D5B5B">
        <w:t xml:space="preserve"> </w:t>
      </w:r>
      <w:r>
        <w:t xml:space="preserve">transactions on the BE-185 quarterly survey to discuss if they would be able to report additional details, for both sales and purchases, about: 1) financial management transactions by type of account, 2) performance (incentive fees) based on the periods during the fiscal year in which they were received and/or paid, for respondents with financial management transactions, 3) information about financial services that were </w:t>
      </w:r>
      <w:r w:rsidR="004E35D0">
        <w:t xml:space="preserve">performed </w:t>
      </w:r>
      <w:r>
        <w:t xml:space="preserve">remotely, e.g. where both the supplier and the consumer were in </w:t>
      </w:r>
      <w:r w:rsidR="002A4CE7">
        <w:t>different</w:t>
      </w:r>
      <w:r>
        <w:t xml:space="preserve"> territories when the service was delivered, for the transaction categories covered by the survey, as well as the identification of </w:t>
      </w:r>
      <w:r w:rsidR="004E35D0">
        <w:t xml:space="preserve">how </w:t>
      </w:r>
      <w:r>
        <w:t xml:space="preserve">services </w:t>
      </w:r>
      <w:r w:rsidR="004E35D0">
        <w:t>not performed remotely were typically performed (e.g. by the provider traveling to the consumer or the consumer traveling to the provider)</w:t>
      </w:r>
      <w:r>
        <w:t>; and 4) cryptocurrency</w:t>
      </w:r>
      <w:r w:rsidR="004E35D0">
        <w:t>-</w:t>
      </w:r>
      <w:r>
        <w:t xml:space="preserve">related financial services transactions. To minimize the impact on respondent burden associated with expanding on this data collection, U.S. financial services companies were informed that this information would not be collected based on the relationship to the foreign </w:t>
      </w:r>
      <w:proofErr w:type="spellStart"/>
      <w:r>
        <w:t>transactor</w:t>
      </w:r>
      <w:proofErr w:type="spellEnd"/>
      <w:r>
        <w:t xml:space="preserve"> </w:t>
      </w:r>
      <w:r w:rsidRPr="00BB39EB">
        <w:t>(foreign affiliate, foreign parent group, or unaffiliated</w:t>
      </w:r>
      <w:r>
        <w:t xml:space="preserve">). Most respondents verified that it is feasible to report this information. </w:t>
      </w:r>
    </w:p>
    <w:bookmarkEnd w:id="1"/>
    <w:p w:rsidR="00101E7E" w:rsidP="00B960A1" w:rsidRDefault="00101E7E"/>
    <w:p w:rsidR="00B960A1" w:rsidP="00B960A1" w:rsidRDefault="00113C5B">
      <w:r>
        <w:t xml:space="preserve">Enhancements made to the 2017 BE-120 Benchmark Survey of Transactions in Selected Services and Intellectual Property with Foreign Persons and the 2018 BE-140 Benchmark Survey of Insurance Transactions by U.S. Insurance Companies with Foreign Persons will also be </w:t>
      </w:r>
      <w:r>
        <w:lastRenderedPageBreak/>
        <w:t>incorporated into the 2019 BE-180 survey</w:t>
      </w:r>
      <w:r w:rsidR="00432713">
        <w:t xml:space="preserve">. </w:t>
      </w:r>
      <w:r w:rsidRPr="000A571B" w:rsidR="007838A4">
        <w:t xml:space="preserve">As part of the development of the revised </w:t>
      </w:r>
      <w:r w:rsidR="007838A4">
        <w:t xml:space="preserve">2017 </w:t>
      </w:r>
      <w:r w:rsidRPr="000A571B" w:rsidR="007838A4">
        <w:t>BE-120</w:t>
      </w:r>
      <w:r w:rsidR="007838A4">
        <w:t xml:space="preserve"> Benchmark Survey of Transactions in Selected Service and Intellectual Property with Foreign Persons, BEA engaged with </w:t>
      </w:r>
      <w:r w:rsidRPr="00400935" w:rsidR="007838A4">
        <w:t xml:space="preserve">staff from the Data Collection Methodology </w:t>
      </w:r>
      <w:r w:rsidR="007838A4">
        <w:t>and</w:t>
      </w:r>
      <w:r w:rsidRPr="00400935" w:rsidR="007838A4">
        <w:t xml:space="preserve"> Research Branch (DCMRB) in the Economic Statistical Methods Division (ESMD) </w:t>
      </w:r>
      <w:r w:rsidR="007838A4">
        <w:t>of</w:t>
      </w:r>
      <w:r w:rsidRPr="00400935" w:rsidR="007838A4">
        <w:t xml:space="preserve"> the U.S</w:t>
      </w:r>
      <w:r w:rsidRPr="004A15BC" w:rsidR="007838A4">
        <w:t>. Census Bureau</w:t>
      </w:r>
      <w:r w:rsidR="007838A4">
        <w:t xml:space="preserve"> to undertake </w:t>
      </w:r>
      <w:r w:rsidR="00E9013F">
        <w:t xml:space="preserve">a </w:t>
      </w:r>
      <w:r w:rsidR="007838A4">
        <w:t xml:space="preserve">cognitive </w:t>
      </w:r>
      <w:r w:rsidR="00E9013F">
        <w:t xml:space="preserve">review of </w:t>
      </w:r>
      <w:r w:rsidR="007838A4">
        <w:t>the survey</w:t>
      </w:r>
      <w:r w:rsidRPr="004A15BC" w:rsidR="007838A4">
        <w:t xml:space="preserve">. In </w:t>
      </w:r>
      <w:r w:rsidR="007838A4">
        <w:t>September 2017</w:t>
      </w:r>
      <w:r w:rsidRPr="004A15BC" w:rsidR="007838A4">
        <w:t xml:space="preserve">, DCMRB </w:t>
      </w:r>
      <w:r w:rsidR="007838A4">
        <w:t>provided</w:t>
      </w:r>
      <w:r w:rsidR="00E93ADC">
        <w:t xml:space="preserve"> a</w:t>
      </w:r>
      <w:r w:rsidR="007838A4">
        <w:t xml:space="preserve"> </w:t>
      </w:r>
      <w:r w:rsidRPr="004A15BC" w:rsidR="007838A4">
        <w:t>comprehensive</w:t>
      </w:r>
      <w:r w:rsidR="007838A4">
        <w:t xml:space="preserve"> </w:t>
      </w:r>
      <w:r w:rsidR="00E9013F">
        <w:t xml:space="preserve">report of </w:t>
      </w:r>
      <w:r w:rsidRPr="0082557F" w:rsidR="007838A4">
        <w:t>findings and recommendation</w:t>
      </w:r>
      <w:r w:rsidR="00E9013F">
        <w:t>s</w:t>
      </w:r>
      <w:r w:rsidRPr="0082557F" w:rsidR="007838A4">
        <w:t xml:space="preserve"> that summarize</w:t>
      </w:r>
      <w:r w:rsidR="007838A4">
        <w:t>d</w:t>
      </w:r>
      <w:r w:rsidRPr="0082557F" w:rsidR="007838A4">
        <w:t xml:space="preserve"> the results of the expert reviews</w:t>
      </w:r>
      <w:r w:rsidR="007838A4">
        <w:t xml:space="preserve"> and</w:t>
      </w:r>
      <w:r w:rsidRPr="0082557F" w:rsidR="007838A4">
        <w:t xml:space="preserve"> cognitive interviews. </w:t>
      </w:r>
      <w:r w:rsidR="007838A4">
        <w:t xml:space="preserve">BEA used this information to </w:t>
      </w:r>
      <w:r w:rsidR="00101E7E">
        <w:t xml:space="preserve">redesign the 2017 BE-120 and 2018 BE-140 surveys, improving on the survey format and clarifying instructions. </w:t>
      </w:r>
    </w:p>
    <w:p w:rsidR="00CE44E1" w:rsidP="00CE44E1" w:rsidRDefault="00CE44E1"/>
    <w:p w:rsidR="00A52723" w:rsidP="00A52723" w:rsidRDefault="00A52723">
      <w:r>
        <w:t xml:space="preserve">Additionally, BEA maintains a continuing dialogue with </w:t>
      </w:r>
      <w:r w:rsidR="00CF4390">
        <w:t xml:space="preserve">respondents and </w:t>
      </w:r>
      <w:r>
        <w:t>data users, including its own internal users through the Bureau’s Source Data Improvement and Evaluation Program, to ensure that, to the extent possible, the required data serve their intended purposes, that the survey instructions are clear, and that unreasonable burdens are not imposed.</w:t>
      </w:r>
    </w:p>
    <w:p w:rsidRPr="00E528BB" w:rsidR="0054070A" w:rsidP="009C3ABD" w:rsidRDefault="0054070A">
      <w:pPr>
        <w:rPr>
          <w:b/>
        </w:rPr>
      </w:pPr>
    </w:p>
    <w:p w:rsidRPr="00E528BB" w:rsidR="009C3ABD" w:rsidP="009C3ABD" w:rsidRDefault="009C3ABD">
      <w:pPr>
        <w:rPr>
          <w:b/>
        </w:rPr>
      </w:pPr>
      <w:r w:rsidRPr="00E528BB">
        <w:rPr>
          <w:b/>
        </w:rPr>
        <w:t xml:space="preserve">5.  </w:t>
      </w:r>
      <w:r w:rsidRPr="00E528BB">
        <w:rPr>
          <w:b/>
          <w:u w:val="single"/>
        </w:rPr>
        <w:t xml:space="preserve">Provide the name and telephone number of individuals consulted on the statistical aspects of the design, and the name of the agency unit, contractor(s), grantee(s), or other person(s) who will </w:t>
      </w:r>
      <w:proofErr w:type="gramStart"/>
      <w:r w:rsidRPr="00E528BB">
        <w:rPr>
          <w:b/>
          <w:u w:val="single"/>
        </w:rPr>
        <w:t>actually collect</w:t>
      </w:r>
      <w:proofErr w:type="gramEnd"/>
      <w:r w:rsidRPr="00E528BB">
        <w:rPr>
          <w:b/>
          <w:u w:val="single"/>
        </w:rPr>
        <w:t xml:space="preserve"> and/or analyze the information for the agency</w:t>
      </w:r>
      <w:r w:rsidRPr="00E528BB">
        <w:rPr>
          <w:b/>
        </w:rPr>
        <w:t>.</w:t>
      </w:r>
    </w:p>
    <w:p w:rsidRPr="00E528BB" w:rsidR="009C3ABD" w:rsidP="009C3ABD" w:rsidRDefault="009C3ABD">
      <w:pPr>
        <w:rPr>
          <w:b/>
        </w:rPr>
      </w:pPr>
    </w:p>
    <w:p w:rsidRPr="00E528BB" w:rsidR="00C672E3" w:rsidP="00785D07" w:rsidRDefault="00A52723">
      <w:r>
        <w:t xml:space="preserve">The survey is designed and conducted within BEA by the Balance of Payments Division. For further information, contact Christopher Stein via email at </w:t>
      </w:r>
      <w:hyperlink w:history="1" r:id="rId8">
        <w:r w:rsidRPr="009D1D2C">
          <w:rPr>
            <w:rStyle w:val="Hyperlink"/>
          </w:rPr>
          <w:t>christopher.stein@bea.gov</w:t>
        </w:r>
      </w:hyperlink>
      <w:r>
        <w:t xml:space="preserve"> or by phone at </w:t>
      </w:r>
      <w:r w:rsidR="0082557F">
        <w:t>301-278-9189</w:t>
      </w:r>
      <w:r w:rsidRPr="00E528BB">
        <w:t>.</w:t>
      </w:r>
    </w:p>
    <w:sectPr w:rsidRPr="00E528BB" w:rsidR="00C672E3" w:rsidSect="00E622C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789" w:rsidRDefault="00B16789">
      <w:r>
        <w:separator/>
      </w:r>
    </w:p>
  </w:endnote>
  <w:endnote w:type="continuationSeparator" w:id="0">
    <w:p w:rsidR="00B16789" w:rsidRDefault="00B1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5D8" w:rsidRDefault="00A615D8" w:rsidP="001B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615D8" w:rsidRDefault="00A615D8" w:rsidP="005703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5D8" w:rsidRPr="005703FF" w:rsidRDefault="00A615D8" w:rsidP="001B2789">
    <w:pPr>
      <w:pStyle w:val="Footer"/>
      <w:framePr w:wrap="around" w:vAnchor="text" w:hAnchor="margin" w:xAlign="center" w:y="1"/>
      <w:rPr>
        <w:rStyle w:val="PageNumber"/>
      </w:rPr>
    </w:pPr>
    <w:r w:rsidRPr="005703FF">
      <w:rPr>
        <w:rStyle w:val="PageNumber"/>
      </w:rPr>
      <w:fldChar w:fldCharType="begin"/>
    </w:r>
    <w:r w:rsidRPr="005703FF">
      <w:rPr>
        <w:rStyle w:val="PageNumber"/>
      </w:rPr>
      <w:instrText xml:space="preserve">PAGE  </w:instrText>
    </w:r>
    <w:r w:rsidRPr="005703FF">
      <w:rPr>
        <w:rStyle w:val="PageNumber"/>
      </w:rPr>
      <w:fldChar w:fldCharType="separate"/>
    </w:r>
    <w:r w:rsidR="00F30013">
      <w:rPr>
        <w:rStyle w:val="PageNumber"/>
        <w:noProof/>
      </w:rPr>
      <w:t>2</w:t>
    </w:r>
    <w:r w:rsidRPr="005703FF">
      <w:rPr>
        <w:rStyle w:val="PageNumber"/>
      </w:rPr>
      <w:fldChar w:fldCharType="end"/>
    </w:r>
  </w:p>
  <w:p w:rsidR="00A615D8" w:rsidRPr="005703FF" w:rsidRDefault="00A615D8" w:rsidP="005703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789" w:rsidRDefault="00B16789"/>
  </w:footnote>
  <w:footnote w:type="continuationSeparator" w:id="0">
    <w:p w:rsidR="00B16789" w:rsidRDefault="00B16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1"/>
  </w:num>
  <w:num w:numId="5">
    <w:abstractNumId w:val="3"/>
  </w:num>
  <w:num w:numId="6">
    <w:abstractNumId w:val="10"/>
  </w:num>
  <w:num w:numId="7">
    <w:abstractNumId w:val="11"/>
  </w:num>
  <w:num w:numId="8">
    <w:abstractNumId w:val="12"/>
  </w:num>
  <w:num w:numId="9">
    <w:abstractNumId w:val="7"/>
  </w:num>
  <w:num w:numId="10">
    <w:abstractNumId w:val="8"/>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47D"/>
    <w:rsid w:val="000020A9"/>
    <w:rsid w:val="000056B1"/>
    <w:rsid w:val="0000571C"/>
    <w:rsid w:val="000057D5"/>
    <w:rsid w:val="00007D45"/>
    <w:rsid w:val="00010506"/>
    <w:rsid w:val="0001263B"/>
    <w:rsid w:val="00012D1B"/>
    <w:rsid w:val="000215BF"/>
    <w:rsid w:val="00023FFC"/>
    <w:rsid w:val="000242F0"/>
    <w:rsid w:val="00024875"/>
    <w:rsid w:val="00024C1F"/>
    <w:rsid w:val="00025610"/>
    <w:rsid w:val="00030FDB"/>
    <w:rsid w:val="00031B04"/>
    <w:rsid w:val="0003439A"/>
    <w:rsid w:val="0004039C"/>
    <w:rsid w:val="00040F61"/>
    <w:rsid w:val="0004328D"/>
    <w:rsid w:val="0004588C"/>
    <w:rsid w:val="00046F77"/>
    <w:rsid w:val="000523C6"/>
    <w:rsid w:val="00053183"/>
    <w:rsid w:val="000553A8"/>
    <w:rsid w:val="000567AE"/>
    <w:rsid w:val="0005709F"/>
    <w:rsid w:val="000573B9"/>
    <w:rsid w:val="0006215B"/>
    <w:rsid w:val="00062877"/>
    <w:rsid w:val="00062CF7"/>
    <w:rsid w:val="00063C05"/>
    <w:rsid w:val="00064C46"/>
    <w:rsid w:val="000678DE"/>
    <w:rsid w:val="00072220"/>
    <w:rsid w:val="000735D0"/>
    <w:rsid w:val="00073B8F"/>
    <w:rsid w:val="0007442C"/>
    <w:rsid w:val="00077BE3"/>
    <w:rsid w:val="00080688"/>
    <w:rsid w:val="0008138B"/>
    <w:rsid w:val="00081F14"/>
    <w:rsid w:val="00084536"/>
    <w:rsid w:val="0008668D"/>
    <w:rsid w:val="00087069"/>
    <w:rsid w:val="0008781F"/>
    <w:rsid w:val="00087BBC"/>
    <w:rsid w:val="0009018F"/>
    <w:rsid w:val="000902D5"/>
    <w:rsid w:val="00094D73"/>
    <w:rsid w:val="00096004"/>
    <w:rsid w:val="0009612E"/>
    <w:rsid w:val="00096363"/>
    <w:rsid w:val="00097431"/>
    <w:rsid w:val="000A40E5"/>
    <w:rsid w:val="000A55D3"/>
    <w:rsid w:val="000A571B"/>
    <w:rsid w:val="000A7E06"/>
    <w:rsid w:val="000B0DAB"/>
    <w:rsid w:val="000B1871"/>
    <w:rsid w:val="000B2B80"/>
    <w:rsid w:val="000B72D1"/>
    <w:rsid w:val="000B78DD"/>
    <w:rsid w:val="000C071C"/>
    <w:rsid w:val="000C2984"/>
    <w:rsid w:val="000C2A5E"/>
    <w:rsid w:val="000C3FE8"/>
    <w:rsid w:val="000C4F45"/>
    <w:rsid w:val="000C5718"/>
    <w:rsid w:val="000D2F48"/>
    <w:rsid w:val="000D33BA"/>
    <w:rsid w:val="000D50AC"/>
    <w:rsid w:val="000D5905"/>
    <w:rsid w:val="000E1A34"/>
    <w:rsid w:val="000E1DC4"/>
    <w:rsid w:val="000E3F47"/>
    <w:rsid w:val="000E43F2"/>
    <w:rsid w:val="000E6009"/>
    <w:rsid w:val="000E6ED2"/>
    <w:rsid w:val="000E6F4C"/>
    <w:rsid w:val="000E701A"/>
    <w:rsid w:val="000E7AB3"/>
    <w:rsid w:val="000E7DB6"/>
    <w:rsid w:val="000F1317"/>
    <w:rsid w:val="000F4829"/>
    <w:rsid w:val="000F5936"/>
    <w:rsid w:val="000F6B4D"/>
    <w:rsid w:val="000F7111"/>
    <w:rsid w:val="000F7D18"/>
    <w:rsid w:val="00100D40"/>
    <w:rsid w:val="00101E7E"/>
    <w:rsid w:val="00104118"/>
    <w:rsid w:val="001049B9"/>
    <w:rsid w:val="00105356"/>
    <w:rsid w:val="001102C3"/>
    <w:rsid w:val="001116BD"/>
    <w:rsid w:val="001135F3"/>
    <w:rsid w:val="00113C5B"/>
    <w:rsid w:val="00116135"/>
    <w:rsid w:val="00116979"/>
    <w:rsid w:val="00123B54"/>
    <w:rsid w:val="00125B35"/>
    <w:rsid w:val="001263CB"/>
    <w:rsid w:val="00126D15"/>
    <w:rsid w:val="00127CFD"/>
    <w:rsid w:val="00130398"/>
    <w:rsid w:val="00131A47"/>
    <w:rsid w:val="0013497E"/>
    <w:rsid w:val="0013539C"/>
    <w:rsid w:val="00135A13"/>
    <w:rsid w:val="0013607C"/>
    <w:rsid w:val="00140FDE"/>
    <w:rsid w:val="0014184E"/>
    <w:rsid w:val="001512FB"/>
    <w:rsid w:val="001526A1"/>
    <w:rsid w:val="00153C60"/>
    <w:rsid w:val="0015479C"/>
    <w:rsid w:val="001563F5"/>
    <w:rsid w:val="00160C24"/>
    <w:rsid w:val="00160EE0"/>
    <w:rsid w:val="00163CBA"/>
    <w:rsid w:val="001655F2"/>
    <w:rsid w:val="00170B47"/>
    <w:rsid w:val="00171F11"/>
    <w:rsid w:val="00173295"/>
    <w:rsid w:val="001756CA"/>
    <w:rsid w:val="00186BA7"/>
    <w:rsid w:val="00186C37"/>
    <w:rsid w:val="00190DCB"/>
    <w:rsid w:val="00191495"/>
    <w:rsid w:val="00192A9F"/>
    <w:rsid w:val="00196B6C"/>
    <w:rsid w:val="001A1F26"/>
    <w:rsid w:val="001A6E0C"/>
    <w:rsid w:val="001A705D"/>
    <w:rsid w:val="001B067B"/>
    <w:rsid w:val="001B2789"/>
    <w:rsid w:val="001B2C20"/>
    <w:rsid w:val="001B5931"/>
    <w:rsid w:val="001B7F93"/>
    <w:rsid w:val="001C1AEA"/>
    <w:rsid w:val="001C2BC4"/>
    <w:rsid w:val="001C3A14"/>
    <w:rsid w:val="001C4F01"/>
    <w:rsid w:val="001C7E06"/>
    <w:rsid w:val="001C7EF7"/>
    <w:rsid w:val="001D2094"/>
    <w:rsid w:val="001D2C6D"/>
    <w:rsid w:val="001D4055"/>
    <w:rsid w:val="001D4E08"/>
    <w:rsid w:val="001E11E8"/>
    <w:rsid w:val="001E540E"/>
    <w:rsid w:val="001E6009"/>
    <w:rsid w:val="001E67A1"/>
    <w:rsid w:val="001F4CD2"/>
    <w:rsid w:val="001F56CB"/>
    <w:rsid w:val="001F68C4"/>
    <w:rsid w:val="001F68F4"/>
    <w:rsid w:val="0020022C"/>
    <w:rsid w:val="00200C97"/>
    <w:rsid w:val="00200E3D"/>
    <w:rsid w:val="002017F3"/>
    <w:rsid w:val="0020272D"/>
    <w:rsid w:val="00204462"/>
    <w:rsid w:val="002049E1"/>
    <w:rsid w:val="0020593B"/>
    <w:rsid w:val="00205E6E"/>
    <w:rsid w:val="00206896"/>
    <w:rsid w:val="0021115A"/>
    <w:rsid w:val="00211BEB"/>
    <w:rsid w:val="00211D8F"/>
    <w:rsid w:val="002127CF"/>
    <w:rsid w:val="00212E76"/>
    <w:rsid w:val="00213DD9"/>
    <w:rsid w:val="002163E6"/>
    <w:rsid w:val="00216812"/>
    <w:rsid w:val="0022060A"/>
    <w:rsid w:val="00220C1B"/>
    <w:rsid w:val="00221790"/>
    <w:rsid w:val="00221F6D"/>
    <w:rsid w:val="00224643"/>
    <w:rsid w:val="0022788D"/>
    <w:rsid w:val="00233602"/>
    <w:rsid w:val="002352BB"/>
    <w:rsid w:val="002359DE"/>
    <w:rsid w:val="00244DBD"/>
    <w:rsid w:val="00246582"/>
    <w:rsid w:val="00252A8B"/>
    <w:rsid w:val="002540C1"/>
    <w:rsid w:val="0025544B"/>
    <w:rsid w:val="0025556B"/>
    <w:rsid w:val="00256CD9"/>
    <w:rsid w:val="00261B7A"/>
    <w:rsid w:val="00263329"/>
    <w:rsid w:val="00265A6A"/>
    <w:rsid w:val="002704BA"/>
    <w:rsid w:val="0027071E"/>
    <w:rsid w:val="00272F19"/>
    <w:rsid w:val="00272FD2"/>
    <w:rsid w:val="00273245"/>
    <w:rsid w:val="00273B20"/>
    <w:rsid w:val="00274666"/>
    <w:rsid w:val="00275CE7"/>
    <w:rsid w:val="00280F85"/>
    <w:rsid w:val="002873A4"/>
    <w:rsid w:val="0029025F"/>
    <w:rsid w:val="00290CEC"/>
    <w:rsid w:val="00291250"/>
    <w:rsid w:val="002919B7"/>
    <w:rsid w:val="0029430F"/>
    <w:rsid w:val="002944E7"/>
    <w:rsid w:val="002972B1"/>
    <w:rsid w:val="002A081E"/>
    <w:rsid w:val="002A1A5D"/>
    <w:rsid w:val="002A314A"/>
    <w:rsid w:val="002A36CD"/>
    <w:rsid w:val="002A4CE7"/>
    <w:rsid w:val="002A5698"/>
    <w:rsid w:val="002A7BDA"/>
    <w:rsid w:val="002B1B86"/>
    <w:rsid w:val="002B20E5"/>
    <w:rsid w:val="002B4916"/>
    <w:rsid w:val="002B49BC"/>
    <w:rsid w:val="002B7F24"/>
    <w:rsid w:val="002C49D4"/>
    <w:rsid w:val="002D0AFE"/>
    <w:rsid w:val="002D2263"/>
    <w:rsid w:val="002D3068"/>
    <w:rsid w:val="002D44B8"/>
    <w:rsid w:val="002D4B6F"/>
    <w:rsid w:val="002D6791"/>
    <w:rsid w:val="002E16E7"/>
    <w:rsid w:val="002E2CE0"/>
    <w:rsid w:val="002F0895"/>
    <w:rsid w:val="002F2C2C"/>
    <w:rsid w:val="002F389D"/>
    <w:rsid w:val="002F5545"/>
    <w:rsid w:val="002F5581"/>
    <w:rsid w:val="002F5C58"/>
    <w:rsid w:val="002F7A21"/>
    <w:rsid w:val="00300003"/>
    <w:rsid w:val="00300B92"/>
    <w:rsid w:val="00300E26"/>
    <w:rsid w:val="00300E66"/>
    <w:rsid w:val="00301C63"/>
    <w:rsid w:val="00301F44"/>
    <w:rsid w:val="003037E0"/>
    <w:rsid w:val="00303856"/>
    <w:rsid w:val="00310DEA"/>
    <w:rsid w:val="003155AC"/>
    <w:rsid w:val="0031736D"/>
    <w:rsid w:val="00321FCF"/>
    <w:rsid w:val="00322DFF"/>
    <w:rsid w:val="00324F96"/>
    <w:rsid w:val="003253B1"/>
    <w:rsid w:val="00325642"/>
    <w:rsid w:val="00326478"/>
    <w:rsid w:val="0033385D"/>
    <w:rsid w:val="0033438A"/>
    <w:rsid w:val="00336B5F"/>
    <w:rsid w:val="0033728E"/>
    <w:rsid w:val="00340BA7"/>
    <w:rsid w:val="0034129D"/>
    <w:rsid w:val="00343699"/>
    <w:rsid w:val="00344741"/>
    <w:rsid w:val="00346E05"/>
    <w:rsid w:val="00346F8D"/>
    <w:rsid w:val="00347FCE"/>
    <w:rsid w:val="0035020A"/>
    <w:rsid w:val="00353175"/>
    <w:rsid w:val="00353DA9"/>
    <w:rsid w:val="003543BA"/>
    <w:rsid w:val="00355B60"/>
    <w:rsid w:val="00356A7A"/>
    <w:rsid w:val="00357A81"/>
    <w:rsid w:val="00360E0F"/>
    <w:rsid w:val="00362953"/>
    <w:rsid w:val="00364372"/>
    <w:rsid w:val="0036647D"/>
    <w:rsid w:val="00366BB0"/>
    <w:rsid w:val="00366C99"/>
    <w:rsid w:val="00367980"/>
    <w:rsid w:val="0037025C"/>
    <w:rsid w:val="00373DCB"/>
    <w:rsid w:val="00374348"/>
    <w:rsid w:val="00374CBC"/>
    <w:rsid w:val="00374D0B"/>
    <w:rsid w:val="00375DD2"/>
    <w:rsid w:val="00376605"/>
    <w:rsid w:val="00377E28"/>
    <w:rsid w:val="003802B6"/>
    <w:rsid w:val="003833D3"/>
    <w:rsid w:val="003917A9"/>
    <w:rsid w:val="00395CF3"/>
    <w:rsid w:val="00396431"/>
    <w:rsid w:val="00396495"/>
    <w:rsid w:val="00396DBA"/>
    <w:rsid w:val="003A04B5"/>
    <w:rsid w:val="003A3F27"/>
    <w:rsid w:val="003B23ED"/>
    <w:rsid w:val="003B3130"/>
    <w:rsid w:val="003B472A"/>
    <w:rsid w:val="003B4883"/>
    <w:rsid w:val="003B54F9"/>
    <w:rsid w:val="003B7945"/>
    <w:rsid w:val="003B79AB"/>
    <w:rsid w:val="003C0D7C"/>
    <w:rsid w:val="003C166F"/>
    <w:rsid w:val="003C2116"/>
    <w:rsid w:val="003C21AA"/>
    <w:rsid w:val="003C405B"/>
    <w:rsid w:val="003C622E"/>
    <w:rsid w:val="003C730C"/>
    <w:rsid w:val="003D3F87"/>
    <w:rsid w:val="003D58F8"/>
    <w:rsid w:val="003D73CD"/>
    <w:rsid w:val="003E0B92"/>
    <w:rsid w:val="003E2176"/>
    <w:rsid w:val="003E290E"/>
    <w:rsid w:val="003E3354"/>
    <w:rsid w:val="003E3C10"/>
    <w:rsid w:val="003E51A0"/>
    <w:rsid w:val="003E659B"/>
    <w:rsid w:val="003E6804"/>
    <w:rsid w:val="003E7533"/>
    <w:rsid w:val="003F1964"/>
    <w:rsid w:val="003F21BE"/>
    <w:rsid w:val="003F3E78"/>
    <w:rsid w:val="003F48D1"/>
    <w:rsid w:val="003F553D"/>
    <w:rsid w:val="003F7429"/>
    <w:rsid w:val="00400935"/>
    <w:rsid w:val="00402B4D"/>
    <w:rsid w:val="00403B6E"/>
    <w:rsid w:val="00403C54"/>
    <w:rsid w:val="00403E6D"/>
    <w:rsid w:val="004050E6"/>
    <w:rsid w:val="0040538D"/>
    <w:rsid w:val="00411727"/>
    <w:rsid w:val="00411851"/>
    <w:rsid w:val="004121F9"/>
    <w:rsid w:val="0041272C"/>
    <w:rsid w:val="00416395"/>
    <w:rsid w:val="00416AD7"/>
    <w:rsid w:val="004257AB"/>
    <w:rsid w:val="004270B6"/>
    <w:rsid w:val="00427DF2"/>
    <w:rsid w:val="00430C97"/>
    <w:rsid w:val="00431A87"/>
    <w:rsid w:val="00431E36"/>
    <w:rsid w:val="00432713"/>
    <w:rsid w:val="00434EAC"/>
    <w:rsid w:val="00435639"/>
    <w:rsid w:val="0043666B"/>
    <w:rsid w:val="004373A3"/>
    <w:rsid w:val="00442DF2"/>
    <w:rsid w:val="00446412"/>
    <w:rsid w:val="0044794E"/>
    <w:rsid w:val="00450918"/>
    <w:rsid w:val="00452083"/>
    <w:rsid w:val="00452904"/>
    <w:rsid w:val="00452A74"/>
    <w:rsid w:val="00454504"/>
    <w:rsid w:val="00463ED2"/>
    <w:rsid w:val="0046688D"/>
    <w:rsid w:val="00471319"/>
    <w:rsid w:val="0047156C"/>
    <w:rsid w:val="004726FA"/>
    <w:rsid w:val="00473B93"/>
    <w:rsid w:val="00473BAB"/>
    <w:rsid w:val="00475FB3"/>
    <w:rsid w:val="0047733E"/>
    <w:rsid w:val="00481070"/>
    <w:rsid w:val="004828F1"/>
    <w:rsid w:val="0048367E"/>
    <w:rsid w:val="004837E2"/>
    <w:rsid w:val="00486597"/>
    <w:rsid w:val="00494ACD"/>
    <w:rsid w:val="004951C1"/>
    <w:rsid w:val="00497C98"/>
    <w:rsid w:val="004A0CA4"/>
    <w:rsid w:val="004A15BC"/>
    <w:rsid w:val="004A1A54"/>
    <w:rsid w:val="004A327C"/>
    <w:rsid w:val="004A3E68"/>
    <w:rsid w:val="004A3E97"/>
    <w:rsid w:val="004A4E8A"/>
    <w:rsid w:val="004A661D"/>
    <w:rsid w:val="004A73F0"/>
    <w:rsid w:val="004B09B1"/>
    <w:rsid w:val="004B10B5"/>
    <w:rsid w:val="004B1A3D"/>
    <w:rsid w:val="004B482A"/>
    <w:rsid w:val="004B5F82"/>
    <w:rsid w:val="004B7354"/>
    <w:rsid w:val="004B79BF"/>
    <w:rsid w:val="004B7A4F"/>
    <w:rsid w:val="004B7B74"/>
    <w:rsid w:val="004C056F"/>
    <w:rsid w:val="004C5202"/>
    <w:rsid w:val="004C56AD"/>
    <w:rsid w:val="004C6931"/>
    <w:rsid w:val="004D0B59"/>
    <w:rsid w:val="004D0C7A"/>
    <w:rsid w:val="004D2087"/>
    <w:rsid w:val="004D31BA"/>
    <w:rsid w:val="004D3C90"/>
    <w:rsid w:val="004D439F"/>
    <w:rsid w:val="004D5CAA"/>
    <w:rsid w:val="004D66CA"/>
    <w:rsid w:val="004E0018"/>
    <w:rsid w:val="004E0CC0"/>
    <w:rsid w:val="004E10FC"/>
    <w:rsid w:val="004E2CC7"/>
    <w:rsid w:val="004E3474"/>
    <w:rsid w:val="004E35D0"/>
    <w:rsid w:val="004E35F6"/>
    <w:rsid w:val="004E3CD1"/>
    <w:rsid w:val="004E539B"/>
    <w:rsid w:val="004F2828"/>
    <w:rsid w:val="004F4243"/>
    <w:rsid w:val="004F4B36"/>
    <w:rsid w:val="004F5976"/>
    <w:rsid w:val="004F5E00"/>
    <w:rsid w:val="004F5F0B"/>
    <w:rsid w:val="00500B43"/>
    <w:rsid w:val="00505BF9"/>
    <w:rsid w:val="005073F5"/>
    <w:rsid w:val="00507681"/>
    <w:rsid w:val="005111F5"/>
    <w:rsid w:val="00511DEE"/>
    <w:rsid w:val="00513948"/>
    <w:rsid w:val="00513A2B"/>
    <w:rsid w:val="00514019"/>
    <w:rsid w:val="00520252"/>
    <w:rsid w:val="00521DB7"/>
    <w:rsid w:val="0052721C"/>
    <w:rsid w:val="00527EC2"/>
    <w:rsid w:val="00532276"/>
    <w:rsid w:val="0053241F"/>
    <w:rsid w:val="00533155"/>
    <w:rsid w:val="005337FF"/>
    <w:rsid w:val="005365D8"/>
    <w:rsid w:val="0054070A"/>
    <w:rsid w:val="005430A4"/>
    <w:rsid w:val="00544D1D"/>
    <w:rsid w:val="00544FF5"/>
    <w:rsid w:val="005468CE"/>
    <w:rsid w:val="0054716E"/>
    <w:rsid w:val="00550525"/>
    <w:rsid w:val="005529D7"/>
    <w:rsid w:val="00553CB1"/>
    <w:rsid w:val="005553BE"/>
    <w:rsid w:val="00555F4D"/>
    <w:rsid w:val="005572BD"/>
    <w:rsid w:val="00561280"/>
    <w:rsid w:val="005617B4"/>
    <w:rsid w:val="00567B98"/>
    <w:rsid w:val="005703FF"/>
    <w:rsid w:val="00572FB4"/>
    <w:rsid w:val="0057330C"/>
    <w:rsid w:val="00573D6F"/>
    <w:rsid w:val="00580C77"/>
    <w:rsid w:val="005828B1"/>
    <w:rsid w:val="00584156"/>
    <w:rsid w:val="005844B6"/>
    <w:rsid w:val="005851A3"/>
    <w:rsid w:val="00587E29"/>
    <w:rsid w:val="005905AE"/>
    <w:rsid w:val="00590AB4"/>
    <w:rsid w:val="00591B19"/>
    <w:rsid w:val="00594911"/>
    <w:rsid w:val="00594EE4"/>
    <w:rsid w:val="005976F9"/>
    <w:rsid w:val="005A07A5"/>
    <w:rsid w:val="005A0863"/>
    <w:rsid w:val="005A2928"/>
    <w:rsid w:val="005A3030"/>
    <w:rsid w:val="005A460D"/>
    <w:rsid w:val="005A4C9D"/>
    <w:rsid w:val="005A6D5A"/>
    <w:rsid w:val="005A7649"/>
    <w:rsid w:val="005B1418"/>
    <w:rsid w:val="005B281A"/>
    <w:rsid w:val="005B5F3A"/>
    <w:rsid w:val="005B6DB1"/>
    <w:rsid w:val="005C030E"/>
    <w:rsid w:val="005C29EE"/>
    <w:rsid w:val="005C3B5B"/>
    <w:rsid w:val="005C59E9"/>
    <w:rsid w:val="005C5DB3"/>
    <w:rsid w:val="005D0912"/>
    <w:rsid w:val="005D2B62"/>
    <w:rsid w:val="005D367E"/>
    <w:rsid w:val="005D4723"/>
    <w:rsid w:val="005D48A6"/>
    <w:rsid w:val="005E006A"/>
    <w:rsid w:val="005E0F57"/>
    <w:rsid w:val="005E299B"/>
    <w:rsid w:val="005E2AFF"/>
    <w:rsid w:val="005E2DB8"/>
    <w:rsid w:val="005E32BE"/>
    <w:rsid w:val="005E4076"/>
    <w:rsid w:val="005E4F0E"/>
    <w:rsid w:val="005E5842"/>
    <w:rsid w:val="005E5C58"/>
    <w:rsid w:val="005E723A"/>
    <w:rsid w:val="005E7ADF"/>
    <w:rsid w:val="005F036E"/>
    <w:rsid w:val="005F2ADB"/>
    <w:rsid w:val="005F6BD6"/>
    <w:rsid w:val="00600BFC"/>
    <w:rsid w:val="0060139F"/>
    <w:rsid w:val="0060403E"/>
    <w:rsid w:val="0060586F"/>
    <w:rsid w:val="0060613F"/>
    <w:rsid w:val="00606175"/>
    <w:rsid w:val="00611E32"/>
    <w:rsid w:val="00612584"/>
    <w:rsid w:val="00613C60"/>
    <w:rsid w:val="00614CAB"/>
    <w:rsid w:val="0061536A"/>
    <w:rsid w:val="006164A7"/>
    <w:rsid w:val="00617CD4"/>
    <w:rsid w:val="00622F03"/>
    <w:rsid w:val="0062627A"/>
    <w:rsid w:val="00631D81"/>
    <w:rsid w:val="006328AE"/>
    <w:rsid w:val="00634ACB"/>
    <w:rsid w:val="00636F35"/>
    <w:rsid w:val="00637C78"/>
    <w:rsid w:val="00640B9B"/>
    <w:rsid w:val="00641701"/>
    <w:rsid w:val="006418D6"/>
    <w:rsid w:val="00641D67"/>
    <w:rsid w:val="0064536A"/>
    <w:rsid w:val="0064650A"/>
    <w:rsid w:val="006513A8"/>
    <w:rsid w:val="00653245"/>
    <w:rsid w:val="006548D1"/>
    <w:rsid w:val="00654F80"/>
    <w:rsid w:val="006561FE"/>
    <w:rsid w:val="006636F7"/>
    <w:rsid w:val="006656E3"/>
    <w:rsid w:val="0066725A"/>
    <w:rsid w:val="00667C69"/>
    <w:rsid w:val="006701EE"/>
    <w:rsid w:val="0067340F"/>
    <w:rsid w:val="00675266"/>
    <w:rsid w:val="006777BE"/>
    <w:rsid w:val="00680640"/>
    <w:rsid w:val="00680FB9"/>
    <w:rsid w:val="00682A62"/>
    <w:rsid w:val="0068414A"/>
    <w:rsid w:val="00684F0D"/>
    <w:rsid w:val="00687262"/>
    <w:rsid w:val="006874BE"/>
    <w:rsid w:val="00691099"/>
    <w:rsid w:val="00691471"/>
    <w:rsid w:val="0069202C"/>
    <w:rsid w:val="00696FC4"/>
    <w:rsid w:val="0069701F"/>
    <w:rsid w:val="006A4D46"/>
    <w:rsid w:val="006B2F49"/>
    <w:rsid w:val="006B5508"/>
    <w:rsid w:val="006B561A"/>
    <w:rsid w:val="006C24A8"/>
    <w:rsid w:val="006C28FE"/>
    <w:rsid w:val="006C2F7C"/>
    <w:rsid w:val="006C5F72"/>
    <w:rsid w:val="006C770A"/>
    <w:rsid w:val="006D0E28"/>
    <w:rsid w:val="006D17B3"/>
    <w:rsid w:val="006D774D"/>
    <w:rsid w:val="006E072D"/>
    <w:rsid w:val="006E110F"/>
    <w:rsid w:val="006E17C2"/>
    <w:rsid w:val="006E3CAE"/>
    <w:rsid w:val="006E74F1"/>
    <w:rsid w:val="006E7938"/>
    <w:rsid w:val="006F35B7"/>
    <w:rsid w:val="006F446E"/>
    <w:rsid w:val="006F5F12"/>
    <w:rsid w:val="006F6B49"/>
    <w:rsid w:val="00700B1D"/>
    <w:rsid w:val="00701EEF"/>
    <w:rsid w:val="007028FA"/>
    <w:rsid w:val="00703227"/>
    <w:rsid w:val="00703468"/>
    <w:rsid w:val="00703B02"/>
    <w:rsid w:val="007046BD"/>
    <w:rsid w:val="00704C4D"/>
    <w:rsid w:val="007054A3"/>
    <w:rsid w:val="00705D67"/>
    <w:rsid w:val="007148BF"/>
    <w:rsid w:val="0072079B"/>
    <w:rsid w:val="00721D20"/>
    <w:rsid w:val="00722B92"/>
    <w:rsid w:val="00722D0D"/>
    <w:rsid w:val="00723A26"/>
    <w:rsid w:val="007245CB"/>
    <w:rsid w:val="007247CA"/>
    <w:rsid w:val="00724BE2"/>
    <w:rsid w:val="007251BF"/>
    <w:rsid w:val="007253B7"/>
    <w:rsid w:val="00726867"/>
    <w:rsid w:val="00726E94"/>
    <w:rsid w:val="0072719C"/>
    <w:rsid w:val="00727AED"/>
    <w:rsid w:val="00732151"/>
    <w:rsid w:val="00733B2C"/>
    <w:rsid w:val="00735378"/>
    <w:rsid w:val="00736C45"/>
    <w:rsid w:val="00737493"/>
    <w:rsid w:val="0074250A"/>
    <w:rsid w:val="00742884"/>
    <w:rsid w:val="00744599"/>
    <w:rsid w:val="00747A70"/>
    <w:rsid w:val="007528DE"/>
    <w:rsid w:val="00752F1B"/>
    <w:rsid w:val="007534E2"/>
    <w:rsid w:val="0075569B"/>
    <w:rsid w:val="00756F0C"/>
    <w:rsid w:val="007576CE"/>
    <w:rsid w:val="00760447"/>
    <w:rsid w:val="00761A42"/>
    <w:rsid w:val="00763854"/>
    <w:rsid w:val="0076396F"/>
    <w:rsid w:val="00764C5D"/>
    <w:rsid w:val="00766038"/>
    <w:rsid w:val="00767DF5"/>
    <w:rsid w:val="007709A0"/>
    <w:rsid w:val="007718CF"/>
    <w:rsid w:val="00773BD9"/>
    <w:rsid w:val="00774FC6"/>
    <w:rsid w:val="00775088"/>
    <w:rsid w:val="00775768"/>
    <w:rsid w:val="00777941"/>
    <w:rsid w:val="00782696"/>
    <w:rsid w:val="007838A4"/>
    <w:rsid w:val="00783F41"/>
    <w:rsid w:val="0078431F"/>
    <w:rsid w:val="00785D07"/>
    <w:rsid w:val="00791251"/>
    <w:rsid w:val="00794753"/>
    <w:rsid w:val="00796A7E"/>
    <w:rsid w:val="00797AE3"/>
    <w:rsid w:val="007A1F0A"/>
    <w:rsid w:val="007A25D4"/>
    <w:rsid w:val="007A39C6"/>
    <w:rsid w:val="007A4CCD"/>
    <w:rsid w:val="007A52D1"/>
    <w:rsid w:val="007A5957"/>
    <w:rsid w:val="007A6128"/>
    <w:rsid w:val="007B1536"/>
    <w:rsid w:val="007B6795"/>
    <w:rsid w:val="007C0CF0"/>
    <w:rsid w:val="007C2EA3"/>
    <w:rsid w:val="007C53DB"/>
    <w:rsid w:val="007C661B"/>
    <w:rsid w:val="007D2C63"/>
    <w:rsid w:val="007D3F32"/>
    <w:rsid w:val="007D424C"/>
    <w:rsid w:val="007E0770"/>
    <w:rsid w:val="007E141C"/>
    <w:rsid w:val="007E492C"/>
    <w:rsid w:val="007E6709"/>
    <w:rsid w:val="007F1BAB"/>
    <w:rsid w:val="007F34FB"/>
    <w:rsid w:val="007F4DC0"/>
    <w:rsid w:val="007F4F20"/>
    <w:rsid w:val="007F51D5"/>
    <w:rsid w:val="007F6A0E"/>
    <w:rsid w:val="00803BED"/>
    <w:rsid w:val="00806D29"/>
    <w:rsid w:val="0081139E"/>
    <w:rsid w:val="00812D15"/>
    <w:rsid w:val="008130AD"/>
    <w:rsid w:val="008140E1"/>
    <w:rsid w:val="00814DE4"/>
    <w:rsid w:val="00823A95"/>
    <w:rsid w:val="00824374"/>
    <w:rsid w:val="0082557F"/>
    <w:rsid w:val="008258C3"/>
    <w:rsid w:val="008264D3"/>
    <w:rsid w:val="00827C27"/>
    <w:rsid w:val="0083167E"/>
    <w:rsid w:val="00832025"/>
    <w:rsid w:val="008363BD"/>
    <w:rsid w:val="00836E46"/>
    <w:rsid w:val="008371D0"/>
    <w:rsid w:val="00837853"/>
    <w:rsid w:val="00840793"/>
    <w:rsid w:val="008411B8"/>
    <w:rsid w:val="00844530"/>
    <w:rsid w:val="00845E62"/>
    <w:rsid w:val="00852E5B"/>
    <w:rsid w:val="00854819"/>
    <w:rsid w:val="00855525"/>
    <w:rsid w:val="00857210"/>
    <w:rsid w:val="00857A02"/>
    <w:rsid w:val="00861CAF"/>
    <w:rsid w:val="00863F32"/>
    <w:rsid w:val="008642F2"/>
    <w:rsid w:val="008646AB"/>
    <w:rsid w:val="008656CD"/>
    <w:rsid w:val="008701B8"/>
    <w:rsid w:val="00871219"/>
    <w:rsid w:val="008720FC"/>
    <w:rsid w:val="008743F8"/>
    <w:rsid w:val="0087453F"/>
    <w:rsid w:val="00874F94"/>
    <w:rsid w:val="00877634"/>
    <w:rsid w:val="00877C60"/>
    <w:rsid w:val="0088054D"/>
    <w:rsid w:val="00881905"/>
    <w:rsid w:val="008830EA"/>
    <w:rsid w:val="00883155"/>
    <w:rsid w:val="00885FB8"/>
    <w:rsid w:val="00887A8D"/>
    <w:rsid w:val="00890544"/>
    <w:rsid w:val="00890908"/>
    <w:rsid w:val="00894A84"/>
    <w:rsid w:val="00894D1A"/>
    <w:rsid w:val="0089500B"/>
    <w:rsid w:val="008A3FBC"/>
    <w:rsid w:val="008B0674"/>
    <w:rsid w:val="008B0699"/>
    <w:rsid w:val="008B1DDF"/>
    <w:rsid w:val="008B25E4"/>
    <w:rsid w:val="008B5B3B"/>
    <w:rsid w:val="008C36A7"/>
    <w:rsid w:val="008C3B46"/>
    <w:rsid w:val="008C57AE"/>
    <w:rsid w:val="008C6020"/>
    <w:rsid w:val="008C6A77"/>
    <w:rsid w:val="008C7082"/>
    <w:rsid w:val="008D239D"/>
    <w:rsid w:val="008E0193"/>
    <w:rsid w:val="008E22FB"/>
    <w:rsid w:val="008E7F09"/>
    <w:rsid w:val="008F0E94"/>
    <w:rsid w:val="008F2035"/>
    <w:rsid w:val="0090219B"/>
    <w:rsid w:val="009032C9"/>
    <w:rsid w:val="009057D1"/>
    <w:rsid w:val="009075CE"/>
    <w:rsid w:val="00912800"/>
    <w:rsid w:val="00912E9B"/>
    <w:rsid w:val="009130C2"/>
    <w:rsid w:val="00913987"/>
    <w:rsid w:val="00913C70"/>
    <w:rsid w:val="00916B2A"/>
    <w:rsid w:val="00917334"/>
    <w:rsid w:val="00923D18"/>
    <w:rsid w:val="0092439F"/>
    <w:rsid w:val="00930C96"/>
    <w:rsid w:val="00932A33"/>
    <w:rsid w:val="009342FD"/>
    <w:rsid w:val="0093436D"/>
    <w:rsid w:val="009348F4"/>
    <w:rsid w:val="009415D1"/>
    <w:rsid w:val="00942314"/>
    <w:rsid w:val="0094337F"/>
    <w:rsid w:val="009446C8"/>
    <w:rsid w:val="009450CB"/>
    <w:rsid w:val="00952FA1"/>
    <w:rsid w:val="009544FC"/>
    <w:rsid w:val="009618A5"/>
    <w:rsid w:val="0096358A"/>
    <w:rsid w:val="00964A1B"/>
    <w:rsid w:val="0096730E"/>
    <w:rsid w:val="0097086E"/>
    <w:rsid w:val="0097297E"/>
    <w:rsid w:val="009732E9"/>
    <w:rsid w:val="00973B46"/>
    <w:rsid w:val="00977082"/>
    <w:rsid w:val="00981E8A"/>
    <w:rsid w:val="00981EFD"/>
    <w:rsid w:val="009820E1"/>
    <w:rsid w:val="00986275"/>
    <w:rsid w:val="0098646C"/>
    <w:rsid w:val="00986FDD"/>
    <w:rsid w:val="00987AC0"/>
    <w:rsid w:val="0099235E"/>
    <w:rsid w:val="009A1B3D"/>
    <w:rsid w:val="009A1C0F"/>
    <w:rsid w:val="009A26EA"/>
    <w:rsid w:val="009A2B07"/>
    <w:rsid w:val="009A345D"/>
    <w:rsid w:val="009A504D"/>
    <w:rsid w:val="009A6738"/>
    <w:rsid w:val="009A72C9"/>
    <w:rsid w:val="009B1A5C"/>
    <w:rsid w:val="009B74CB"/>
    <w:rsid w:val="009B7F46"/>
    <w:rsid w:val="009C0BB1"/>
    <w:rsid w:val="009C1B86"/>
    <w:rsid w:val="009C1F7A"/>
    <w:rsid w:val="009C2679"/>
    <w:rsid w:val="009C3ABD"/>
    <w:rsid w:val="009C4C5A"/>
    <w:rsid w:val="009C7098"/>
    <w:rsid w:val="009D1EDC"/>
    <w:rsid w:val="009D259C"/>
    <w:rsid w:val="009D3D59"/>
    <w:rsid w:val="009D65F2"/>
    <w:rsid w:val="009D68B4"/>
    <w:rsid w:val="009E261D"/>
    <w:rsid w:val="009E3BAE"/>
    <w:rsid w:val="009E43DC"/>
    <w:rsid w:val="009E4541"/>
    <w:rsid w:val="009E547A"/>
    <w:rsid w:val="009E65B6"/>
    <w:rsid w:val="009F1518"/>
    <w:rsid w:val="009F22AD"/>
    <w:rsid w:val="009F232B"/>
    <w:rsid w:val="009F6234"/>
    <w:rsid w:val="009F68A3"/>
    <w:rsid w:val="00A01343"/>
    <w:rsid w:val="00A0364C"/>
    <w:rsid w:val="00A058D0"/>
    <w:rsid w:val="00A123DE"/>
    <w:rsid w:val="00A138F2"/>
    <w:rsid w:val="00A14500"/>
    <w:rsid w:val="00A1605C"/>
    <w:rsid w:val="00A167D4"/>
    <w:rsid w:val="00A168D9"/>
    <w:rsid w:val="00A174D6"/>
    <w:rsid w:val="00A2043D"/>
    <w:rsid w:val="00A238E2"/>
    <w:rsid w:val="00A24ED0"/>
    <w:rsid w:val="00A3145A"/>
    <w:rsid w:val="00A32F97"/>
    <w:rsid w:val="00A33586"/>
    <w:rsid w:val="00A3428E"/>
    <w:rsid w:val="00A407C5"/>
    <w:rsid w:val="00A40A7E"/>
    <w:rsid w:val="00A448BB"/>
    <w:rsid w:val="00A46C35"/>
    <w:rsid w:val="00A46D4A"/>
    <w:rsid w:val="00A511BE"/>
    <w:rsid w:val="00A52723"/>
    <w:rsid w:val="00A615D8"/>
    <w:rsid w:val="00A62D24"/>
    <w:rsid w:val="00A6461B"/>
    <w:rsid w:val="00A712A5"/>
    <w:rsid w:val="00A71779"/>
    <w:rsid w:val="00A7195E"/>
    <w:rsid w:val="00A75523"/>
    <w:rsid w:val="00A76A46"/>
    <w:rsid w:val="00A7723B"/>
    <w:rsid w:val="00A8420D"/>
    <w:rsid w:val="00A8752E"/>
    <w:rsid w:val="00A930C0"/>
    <w:rsid w:val="00A95A95"/>
    <w:rsid w:val="00A9672B"/>
    <w:rsid w:val="00AA13AE"/>
    <w:rsid w:val="00AA194D"/>
    <w:rsid w:val="00AA2B9A"/>
    <w:rsid w:val="00AA310F"/>
    <w:rsid w:val="00AA5D90"/>
    <w:rsid w:val="00AB33B9"/>
    <w:rsid w:val="00AB4ECB"/>
    <w:rsid w:val="00AB6B80"/>
    <w:rsid w:val="00AB7986"/>
    <w:rsid w:val="00AC28E3"/>
    <w:rsid w:val="00AC29C1"/>
    <w:rsid w:val="00AC2F47"/>
    <w:rsid w:val="00AC3738"/>
    <w:rsid w:val="00AC46F4"/>
    <w:rsid w:val="00AC70DA"/>
    <w:rsid w:val="00AD07AE"/>
    <w:rsid w:val="00AD1151"/>
    <w:rsid w:val="00AD2A73"/>
    <w:rsid w:val="00AD3136"/>
    <w:rsid w:val="00AD3AD3"/>
    <w:rsid w:val="00AD724D"/>
    <w:rsid w:val="00AE147C"/>
    <w:rsid w:val="00AE3633"/>
    <w:rsid w:val="00AE4AC4"/>
    <w:rsid w:val="00AE555C"/>
    <w:rsid w:val="00AE570A"/>
    <w:rsid w:val="00AF10FC"/>
    <w:rsid w:val="00AF2AE5"/>
    <w:rsid w:val="00AF308E"/>
    <w:rsid w:val="00B02EBD"/>
    <w:rsid w:val="00B05330"/>
    <w:rsid w:val="00B05382"/>
    <w:rsid w:val="00B05BEE"/>
    <w:rsid w:val="00B07AAC"/>
    <w:rsid w:val="00B10E8F"/>
    <w:rsid w:val="00B12442"/>
    <w:rsid w:val="00B12DB5"/>
    <w:rsid w:val="00B15A3D"/>
    <w:rsid w:val="00B16789"/>
    <w:rsid w:val="00B1784C"/>
    <w:rsid w:val="00B20ED7"/>
    <w:rsid w:val="00B21E28"/>
    <w:rsid w:val="00B30852"/>
    <w:rsid w:val="00B3106A"/>
    <w:rsid w:val="00B334C0"/>
    <w:rsid w:val="00B34E64"/>
    <w:rsid w:val="00B34EB4"/>
    <w:rsid w:val="00B36B80"/>
    <w:rsid w:val="00B37766"/>
    <w:rsid w:val="00B41E35"/>
    <w:rsid w:val="00B430A7"/>
    <w:rsid w:val="00B4342D"/>
    <w:rsid w:val="00B43605"/>
    <w:rsid w:val="00B52F60"/>
    <w:rsid w:val="00B537E7"/>
    <w:rsid w:val="00B53B59"/>
    <w:rsid w:val="00B550AB"/>
    <w:rsid w:val="00B56029"/>
    <w:rsid w:val="00B569AC"/>
    <w:rsid w:val="00B621D3"/>
    <w:rsid w:val="00B6539F"/>
    <w:rsid w:val="00B70010"/>
    <w:rsid w:val="00B71697"/>
    <w:rsid w:val="00B72E20"/>
    <w:rsid w:val="00B80658"/>
    <w:rsid w:val="00B81351"/>
    <w:rsid w:val="00B82B8D"/>
    <w:rsid w:val="00B84E5F"/>
    <w:rsid w:val="00B872F8"/>
    <w:rsid w:val="00B87C05"/>
    <w:rsid w:val="00B90ECE"/>
    <w:rsid w:val="00B91B73"/>
    <w:rsid w:val="00B9254A"/>
    <w:rsid w:val="00B94EE3"/>
    <w:rsid w:val="00B960A1"/>
    <w:rsid w:val="00B96842"/>
    <w:rsid w:val="00BA0811"/>
    <w:rsid w:val="00BA09B6"/>
    <w:rsid w:val="00BA4BB2"/>
    <w:rsid w:val="00BA7237"/>
    <w:rsid w:val="00BA7567"/>
    <w:rsid w:val="00BB24E0"/>
    <w:rsid w:val="00BB272B"/>
    <w:rsid w:val="00BB2BB6"/>
    <w:rsid w:val="00BB2C34"/>
    <w:rsid w:val="00BB5401"/>
    <w:rsid w:val="00BB57CA"/>
    <w:rsid w:val="00BB639C"/>
    <w:rsid w:val="00BB742F"/>
    <w:rsid w:val="00BB7C7B"/>
    <w:rsid w:val="00BC0570"/>
    <w:rsid w:val="00BC22DA"/>
    <w:rsid w:val="00BC425B"/>
    <w:rsid w:val="00BC72C0"/>
    <w:rsid w:val="00BC7578"/>
    <w:rsid w:val="00BC7D60"/>
    <w:rsid w:val="00BD040A"/>
    <w:rsid w:val="00BD19F9"/>
    <w:rsid w:val="00BD295D"/>
    <w:rsid w:val="00BD3722"/>
    <w:rsid w:val="00BD418A"/>
    <w:rsid w:val="00BD4733"/>
    <w:rsid w:val="00BD5EAD"/>
    <w:rsid w:val="00BE0C6C"/>
    <w:rsid w:val="00BE3479"/>
    <w:rsid w:val="00BE427F"/>
    <w:rsid w:val="00BF0B54"/>
    <w:rsid w:val="00BF1492"/>
    <w:rsid w:val="00BF2E9B"/>
    <w:rsid w:val="00BF5216"/>
    <w:rsid w:val="00BF71DD"/>
    <w:rsid w:val="00BF7E50"/>
    <w:rsid w:val="00C0044E"/>
    <w:rsid w:val="00C042FF"/>
    <w:rsid w:val="00C05BC3"/>
    <w:rsid w:val="00C06A91"/>
    <w:rsid w:val="00C06D6C"/>
    <w:rsid w:val="00C07856"/>
    <w:rsid w:val="00C135B7"/>
    <w:rsid w:val="00C13BA7"/>
    <w:rsid w:val="00C1450B"/>
    <w:rsid w:val="00C16E25"/>
    <w:rsid w:val="00C175D8"/>
    <w:rsid w:val="00C20007"/>
    <w:rsid w:val="00C204FF"/>
    <w:rsid w:val="00C206A2"/>
    <w:rsid w:val="00C20B25"/>
    <w:rsid w:val="00C25788"/>
    <w:rsid w:val="00C27ED1"/>
    <w:rsid w:val="00C34B2A"/>
    <w:rsid w:val="00C37BDC"/>
    <w:rsid w:val="00C4138F"/>
    <w:rsid w:val="00C4588C"/>
    <w:rsid w:val="00C50C14"/>
    <w:rsid w:val="00C512F8"/>
    <w:rsid w:val="00C524FF"/>
    <w:rsid w:val="00C53160"/>
    <w:rsid w:val="00C54207"/>
    <w:rsid w:val="00C545D9"/>
    <w:rsid w:val="00C54CB4"/>
    <w:rsid w:val="00C55CEE"/>
    <w:rsid w:val="00C57C60"/>
    <w:rsid w:val="00C606BD"/>
    <w:rsid w:val="00C65B87"/>
    <w:rsid w:val="00C6636A"/>
    <w:rsid w:val="00C672E3"/>
    <w:rsid w:val="00C72DA4"/>
    <w:rsid w:val="00C77640"/>
    <w:rsid w:val="00C802D3"/>
    <w:rsid w:val="00C8216B"/>
    <w:rsid w:val="00C9167D"/>
    <w:rsid w:val="00C91727"/>
    <w:rsid w:val="00C91E72"/>
    <w:rsid w:val="00C91F38"/>
    <w:rsid w:val="00C926E5"/>
    <w:rsid w:val="00C927A6"/>
    <w:rsid w:val="00C92871"/>
    <w:rsid w:val="00C92B26"/>
    <w:rsid w:val="00C97BB7"/>
    <w:rsid w:val="00CA1680"/>
    <w:rsid w:val="00CA41EB"/>
    <w:rsid w:val="00CA5DF1"/>
    <w:rsid w:val="00CA66B2"/>
    <w:rsid w:val="00CB15E8"/>
    <w:rsid w:val="00CB3211"/>
    <w:rsid w:val="00CB37EB"/>
    <w:rsid w:val="00CB3BE1"/>
    <w:rsid w:val="00CB62C5"/>
    <w:rsid w:val="00CC10AC"/>
    <w:rsid w:val="00CC31A8"/>
    <w:rsid w:val="00CC464D"/>
    <w:rsid w:val="00CC5098"/>
    <w:rsid w:val="00CC53DB"/>
    <w:rsid w:val="00CC6869"/>
    <w:rsid w:val="00CC68CD"/>
    <w:rsid w:val="00CC730B"/>
    <w:rsid w:val="00CC76DE"/>
    <w:rsid w:val="00CD0040"/>
    <w:rsid w:val="00CD07FB"/>
    <w:rsid w:val="00CD31C4"/>
    <w:rsid w:val="00CD66B2"/>
    <w:rsid w:val="00CD6ED8"/>
    <w:rsid w:val="00CD7107"/>
    <w:rsid w:val="00CD7AFF"/>
    <w:rsid w:val="00CD7C73"/>
    <w:rsid w:val="00CE29DC"/>
    <w:rsid w:val="00CE3A72"/>
    <w:rsid w:val="00CE4380"/>
    <w:rsid w:val="00CE44E1"/>
    <w:rsid w:val="00CE5400"/>
    <w:rsid w:val="00CF04AE"/>
    <w:rsid w:val="00CF145C"/>
    <w:rsid w:val="00CF252E"/>
    <w:rsid w:val="00CF4163"/>
    <w:rsid w:val="00CF4390"/>
    <w:rsid w:val="00CF7657"/>
    <w:rsid w:val="00D00682"/>
    <w:rsid w:val="00D007CF"/>
    <w:rsid w:val="00D02E21"/>
    <w:rsid w:val="00D02F1B"/>
    <w:rsid w:val="00D04F6A"/>
    <w:rsid w:val="00D1130F"/>
    <w:rsid w:val="00D11D8F"/>
    <w:rsid w:val="00D12590"/>
    <w:rsid w:val="00D129D5"/>
    <w:rsid w:val="00D147A7"/>
    <w:rsid w:val="00D14A16"/>
    <w:rsid w:val="00D15208"/>
    <w:rsid w:val="00D17294"/>
    <w:rsid w:val="00D22D46"/>
    <w:rsid w:val="00D23CD8"/>
    <w:rsid w:val="00D258DC"/>
    <w:rsid w:val="00D30B49"/>
    <w:rsid w:val="00D3116E"/>
    <w:rsid w:val="00D325A5"/>
    <w:rsid w:val="00D33C76"/>
    <w:rsid w:val="00D34402"/>
    <w:rsid w:val="00D34FF5"/>
    <w:rsid w:val="00D356FB"/>
    <w:rsid w:val="00D35DE0"/>
    <w:rsid w:val="00D457A9"/>
    <w:rsid w:val="00D45C9B"/>
    <w:rsid w:val="00D46B97"/>
    <w:rsid w:val="00D471A2"/>
    <w:rsid w:val="00D5456F"/>
    <w:rsid w:val="00D615C9"/>
    <w:rsid w:val="00D67377"/>
    <w:rsid w:val="00D72690"/>
    <w:rsid w:val="00D81FA2"/>
    <w:rsid w:val="00D82335"/>
    <w:rsid w:val="00D823F5"/>
    <w:rsid w:val="00D869F1"/>
    <w:rsid w:val="00D87665"/>
    <w:rsid w:val="00D90527"/>
    <w:rsid w:val="00D91903"/>
    <w:rsid w:val="00D91D6E"/>
    <w:rsid w:val="00D92E23"/>
    <w:rsid w:val="00DA03CB"/>
    <w:rsid w:val="00DA0B12"/>
    <w:rsid w:val="00DA255F"/>
    <w:rsid w:val="00DA2DF8"/>
    <w:rsid w:val="00DA3F43"/>
    <w:rsid w:val="00DA56D1"/>
    <w:rsid w:val="00DA66B5"/>
    <w:rsid w:val="00DB2E04"/>
    <w:rsid w:val="00DB5078"/>
    <w:rsid w:val="00DB5D74"/>
    <w:rsid w:val="00DB6B6A"/>
    <w:rsid w:val="00DC04FA"/>
    <w:rsid w:val="00DC0DBF"/>
    <w:rsid w:val="00DC2EF5"/>
    <w:rsid w:val="00DC4DE7"/>
    <w:rsid w:val="00DC69E0"/>
    <w:rsid w:val="00DD1E38"/>
    <w:rsid w:val="00DD3FF4"/>
    <w:rsid w:val="00DE01F2"/>
    <w:rsid w:val="00DE0237"/>
    <w:rsid w:val="00DE35D5"/>
    <w:rsid w:val="00DE4DEF"/>
    <w:rsid w:val="00DE5E8F"/>
    <w:rsid w:val="00DE7879"/>
    <w:rsid w:val="00DE7BB2"/>
    <w:rsid w:val="00DF0121"/>
    <w:rsid w:val="00DF0772"/>
    <w:rsid w:val="00DF40A9"/>
    <w:rsid w:val="00DF4F3C"/>
    <w:rsid w:val="00DF5473"/>
    <w:rsid w:val="00DF676A"/>
    <w:rsid w:val="00DF7556"/>
    <w:rsid w:val="00E06E2A"/>
    <w:rsid w:val="00E07B29"/>
    <w:rsid w:val="00E10601"/>
    <w:rsid w:val="00E14CA5"/>
    <w:rsid w:val="00E161E3"/>
    <w:rsid w:val="00E204E1"/>
    <w:rsid w:val="00E22F97"/>
    <w:rsid w:val="00E237BD"/>
    <w:rsid w:val="00E2386D"/>
    <w:rsid w:val="00E25BA8"/>
    <w:rsid w:val="00E25F10"/>
    <w:rsid w:val="00E267F6"/>
    <w:rsid w:val="00E3005F"/>
    <w:rsid w:val="00E30B55"/>
    <w:rsid w:val="00E30FEF"/>
    <w:rsid w:val="00E32F57"/>
    <w:rsid w:val="00E3379B"/>
    <w:rsid w:val="00E36F6D"/>
    <w:rsid w:val="00E4164D"/>
    <w:rsid w:val="00E43706"/>
    <w:rsid w:val="00E459BC"/>
    <w:rsid w:val="00E45ED3"/>
    <w:rsid w:val="00E47235"/>
    <w:rsid w:val="00E47BE2"/>
    <w:rsid w:val="00E50C2F"/>
    <w:rsid w:val="00E51406"/>
    <w:rsid w:val="00E528BB"/>
    <w:rsid w:val="00E55DEA"/>
    <w:rsid w:val="00E605BB"/>
    <w:rsid w:val="00E622C7"/>
    <w:rsid w:val="00E62658"/>
    <w:rsid w:val="00E630BE"/>
    <w:rsid w:val="00E668C0"/>
    <w:rsid w:val="00E67C1B"/>
    <w:rsid w:val="00E71071"/>
    <w:rsid w:val="00E72120"/>
    <w:rsid w:val="00E73608"/>
    <w:rsid w:val="00E74D20"/>
    <w:rsid w:val="00E758E0"/>
    <w:rsid w:val="00E75B0F"/>
    <w:rsid w:val="00E80A9F"/>
    <w:rsid w:val="00E81A1C"/>
    <w:rsid w:val="00E821EC"/>
    <w:rsid w:val="00E85830"/>
    <w:rsid w:val="00E9013F"/>
    <w:rsid w:val="00E91216"/>
    <w:rsid w:val="00E92EA8"/>
    <w:rsid w:val="00E93ADC"/>
    <w:rsid w:val="00E955F4"/>
    <w:rsid w:val="00E96548"/>
    <w:rsid w:val="00EA320F"/>
    <w:rsid w:val="00EA33D6"/>
    <w:rsid w:val="00EB0738"/>
    <w:rsid w:val="00EB14B1"/>
    <w:rsid w:val="00EB27F1"/>
    <w:rsid w:val="00EB3E97"/>
    <w:rsid w:val="00EB4863"/>
    <w:rsid w:val="00EB5253"/>
    <w:rsid w:val="00EB592A"/>
    <w:rsid w:val="00EB5C45"/>
    <w:rsid w:val="00EB6AD4"/>
    <w:rsid w:val="00EB6EC9"/>
    <w:rsid w:val="00EC1281"/>
    <w:rsid w:val="00EC53EF"/>
    <w:rsid w:val="00EC55A2"/>
    <w:rsid w:val="00EC5800"/>
    <w:rsid w:val="00EC7558"/>
    <w:rsid w:val="00ED05C6"/>
    <w:rsid w:val="00ED26C5"/>
    <w:rsid w:val="00ED5347"/>
    <w:rsid w:val="00ED5CAE"/>
    <w:rsid w:val="00ED5CBF"/>
    <w:rsid w:val="00ED74BA"/>
    <w:rsid w:val="00EF0242"/>
    <w:rsid w:val="00EF0AEA"/>
    <w:rsid w:val="00EF1719"/>
    <w:rsid w:val="00EF21D1"/>
    <w:rsid w:val="00EF39CB"/>
    <w:rsid w:val="00EF3A03"/>
    <w:rsid w:val="00EF449A"/>
    <w:rsid w:val="00EF598C"/>
    <w:rsid w:val="00F0024E"/>
    <w:rsid w:val="00F05FC8"/>
    <w:rsid w:val="00F0633C"/>
    <w:rsid w:val="00F07055"/>
    <w:rsid w:val="00F10D77"/>
    <w:rsid w:val="00F1213B"/>
    <w:rsid w:val="00F1252F"/>
    <w:rsid w:val="00F13DFC"/>
    <w:rsid w:val="00F145DD"/>
    <w:rsid w:val="00F14D9B"/>
    <w:rsid w:val="00F15512"/>
    <w:rsid w:val="00F16D06"/>
    <w:rsid w:val="00F20926"/>
    <w:rsid w:val="00F20D5D"/>
    <w:rsid w:val="00F263AA"/>
    <w:rsid w:val="00F26645"/>
    <w:rsid w:val="00F27D9D"/>
    <w:rsid w:val="00F30013"/>
    <w:rsid w:val="00F33DC8"/>
    <w:rsid w:val="00F34367"/>
    <w:rsid w:val="00F34D4D"/>
    <w:rsid w:val="00F35308"/>
    <w:rsid w:val="00F3561E"/>
    <w:rsid w:val="00F358B3"/>
    <w:rsid w:val="00F358ED"/>
    <w:rsid w:val="00F36205"/>
    <w:rsid w:val="00F36EF8"/>
    <w:rsid w:val="00F3706E"/>
    <w:rsid w:val="00F4105E"/>
    <w:rsid w:val="00F419FE"/>
    <w:rsid w:val="00F41DF1"/>
    <w:rsid w:val="00F421BA"/>
    <w:rsid w:val="00F51BC1"/>
    <w:rsid w:val="00F57D35"/>
    <w:rsid w:val="00F60853"/>
    <w:rsid w:val="00F609CC"/>
    <w:rsid w:val="00F60A5A"/>
    <w:rsid w:val="00F61E58"/>
    <w:rsid w:val="00F62B74"/>
    <w:rsid w:val="00F63B08"/>
    <w:rsid w:val="00F64D36"/>
    <w:rsid w:val="00F65A33"/>
    <w:rsid w:val="00F65FBF"/>
    <w:rsid w:val="00F70B4A"/>
    <w:rsid w:val="00F711B4"/>
    <w:rsid w:val="00F7152A"/>
    <w:rsid w:val="00F727B2"/>
    <w:rsid w:val="00F73BAE"/>
    <w:rsid w:val="00F74CF8"/>
    <w:rsid w:val="00F74D75"/>
    <w:rsid w:val="00F7711E"/>
    <w:rsid w:val="00F80DE6"/>
    <w:rsid w:val="00F81673"/>
    <w:rsid w:val="00F817B2"/>
    <w:rsid w:val="00F8421C"/>
    <w:rsid w:val="00F8490C"/>
    <w:rsid w:val="00F8497B"/>
    <w:rsid w:val="00F849E9"/>
    <w:rsid w:val="00F8577E"/>
    <w:rsid w:val="00F85C45"/>
    <w:rsid w:val="00F860B5"/>
    <w:rsid w:val="00F86E70"/>
    <w:rsid w:val="00F87212"/>
    <w:rsid w:val="00F9287E"/>
    <w:rsid w:val="00F92FEE"/>
    <w:rsid w:val="00F948FD"/>
    <w:rsid w:val="00FA1753"/>
    <w:rsid w:val="00FA1A0A"/>
    <w:rsid w:val="00FA22E0"/>
    <w:rsid w:val="00FA4FB6"/>
    <w:rsid w:val="00FB332B"/>
    <w:rsid w:val="00FB370F"/>
    <w:rsid w:val="00FB410B"/>
    <w:rsid w:val="00FB5266"/>
    <w:rsid w:val="00FB6BEB"/>
    <w:rsid w:val="00FB71BD"/>
    <w:rsid w:val="00FC15AA"/>
    <w:rsid w:val="00FC2145"/>
    <w:rsid w:val="00FC2574"/>
    <w:rsid w:val="00FC299A"/>
    <w:rsid w:val="00FC7582"/>
    <w:rsid w:val="00FD29B6"/>
    <w:rsid w:val="00FD2D97"/>
    <w:rsid w:val="00FD33F9"/>
    <w:rsid w:val="00FD7383"/>
    <w:rsid w:val="00FD7A22"/>
    <w:rsid w:val="00FE0CDB"/>
    <w:rsid w:val="00FE29CF"/>
    <w:rsid w:val="00FE6E97"/>
    <w:rsid w:val="00FF1863"/>
    <w:rsid w:val="00FF2CAF"/>
    <w:rsid w:val="00FF36EA"/>
    <w:rsid w:val="00FF49D7"/>
    <w:rsid w:val="00FF52A7"/>
    <w:rsid w:val="00FF59FC"/>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BA3A950"/>
  <w15:chartTrackingRefBased/>
  <w15:docId w15:val="{BED7328C-84B1-4EF1-BD1A-4F387D9D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13497E"/>
    <w:rPr>
      <w:sz w:val="16"/>
      <w:szCs w:val="16"/>
    </w:rPr>
  </w:style>
  <w:style w:type="paragraph" w:styleId="CommentText">
    <w:name w:val="annotation text"/>
    <w:basedOn w:val="Normal"/>
    <w:link w:val="CommentTextChar"/>
    <w:uiPriority w:val="99"/>
    <w:rsid w:val="0013497E"/>
    <w:rPr>
      <w:sz w:val="20"/>
      <w:szCs w:val="20"/>
    </w:rPr>
  </w:style>
  <w:style w:type="paragraph" w:styleId="CommentSubject">
    <w:name w:val="annotation subject"/>
    <w:basedOn w:val="CommentText"/>
    <w:next w:val="CommentText"/>
    <w:semiHidden/>
    <w:rsid w:val="0013497E"/>
    <w:rPr>
      <w:b/>
      <w:bCs/>
    </w:rPr>
  </w:style>
  <w:style w:type="character" w:customStyle="1" w:styleId="CommentTextChar">
    <w:name w:val="Comment Text Char"/>
    <w:link w:val="CommentText"/>
    <w:uiPriority w:val="99"/>
    <w:rsid w:val="00513A2B"/>
  </w:style>
  <w:style w:type="paragraph" w:styleId="ListParagraph">
    <w:name w:val="List Paragraph"/>
    <w:basedOn w:val="Normal"/>
    <w:uiPriority w:val="1"/>
    <w:qFormat/>
    <w:rsid w:val="00CF252E"/>
    <w:pPr>
      <w:ind w:left="720"/>
    </w:pPr>
  </w:style>
  <w:style w:type="paragraph" w:styleId="Revision">
    <w:name w:val="Revision"/>
    <w:hidden/>
    <w:uiPriority w:val="99"/>
    <w:semiHidden/>
    <w:rsid w:val="00CD00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652443">
      <w:bodyDiv w:val="1"/>
      <w:marLeft w:val="0"/>
      <w:marRight w:val="0"/>
      <w:marTop w:val="0"/>
      <w:marBottom w:val="0"/>
      <w:divBdr>
        <w:top w:val="none" w:sz="0" w:space="0" w:color="auto"/>
        <w:left w:val="none" w:sz="0" w:space="0" w:color="auto"/>
        <w:bottom w:val="none" w:sz="0" w:space="0" w:color="auto"/>
        <w:right w:val="none" w:sz="0" w:space="0" w:color="auto"/>
      </w:divBdr>
    </w:div>
    <w:div w:id="1021249542">
      <w:bodyDiv w:val="1"/>
      <w:marLeft w:val="0"/>
      <w:marRight w:val="0"/>
      <w:marTop w:val="0"/>
      <w:marBottom w:val="0"/>
      <w:divBdr>
        <w:top w:val="none" w:sz="0" w:space="0" w:color="auto"/>
        <w:left w:val="none" w:sz="0" w:space="0" w:color="auto"/>
        <w:bottom w:val="none" w:sz="0" w:space="0" w:color="auto"/>
        <w:right w:val="none" w:sz="0" w:space="0" w:color="auto"/>
      </w:divBdr>
    </w:div>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 w:id="1929145244">
      <w:bodyDiv w:val="1"/>
      <w:marLeft w:val="0"/>
      <w:marRight w:val="0"/>
      <w:marTop w:val="0"/>
      <w:marBottom w:val="0"/>
      <w:divBdr>
        <w:top w:val="none" w:sz="0" w:space="0" w:color="auto"/>
        <w:left w:val="none" w:sz="0" w:space="0" w:color="auto"/>
        <w:bottom w:val="none" w:sz="0" w:space="0" w:color="auto"/>
        <w:right w:val="none" w:sz="0" w:space="0" w:color="auto"/>
      </w:divBdr>
    </w:div>
    <w:div w:id="207068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stein@be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EBC0-E095-4A6D-BD36-C70DF590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10464</CharactersWithSpaces>
  <SharedDoc>false</SharedDoc>
  <HLinks>
    <vt:vector size="6" baseType="variant">
      <vt:variant>
        <vt:i4>2031741</vt:i4>
      </vt:variant>
      <vt:variant>
        <vt:i4>0</vt:i4>
      </vt:variant>
      <vt:variant>
        <vt:i4>0</vt:i4>
      </vt:variant>
      <vt:variant>
        <vt:i4>5</vt:i4>
      </vt:variant>
      <vt:variant>
        <vt:lpwstr>mailto:christopher.stein@bea.gov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subject/>
  <dc:creator>U.S. Department of Commerce</dc:creator>
  <cp:keywords/>
  <cp:lastModifiedBy>Stein, Christopher</cp:lastModifiedBy>
  <cp:revision>2</cp:revision>
  <cp:lastPrinted>2019-11-20T18:13:00Z</cp:lastPrinted>
  <dcterms:created xsi:type="dcterms:W3CDTF">2020-06-02T14:53:00Z</dcterms:created>
  <dcterms:modified xsi:type="dcterms:W3CDTF">2020-06-02T14:53:00Z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