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324" w:rsidP="00CC1089" w:rsidRDefault="00D62324">
      <w:pPr>
        <w:jc w:val="center"/>
        <w:rPr>
          <w:b/>
        </w:rPr>
      </w:pPr>
      <w:r>
        <w:rPr>
          <w:b/>
        </w:rPr>
        <w:t>Supporting Statement</w:t>
      </w:r>
    </w:p>
    <w:p w:rsidR="00D62324" w:rsidP="00CC1089" w:rsidRDefault="00D62324">
      <w:pPr>
        <w:jc w:val="center"/>
        <w:rPr>
          <w:b/>
        </w:rPr>
      </w:pPr>
      <w:r>
        <w:rPr>
          <w:b/>
        </w:rPr>
        <w:t>U.S. Department of Commerce</w:t>
      </w:r>
    </w:p>
    <w:p w:rsidR="00242631" w:rsidP="00CC1089" w:rsidRDefault="00D62324">
      <w:pPr>
        <w:jc w:val="center"/>
        <w:rPr>
          <w:b/>
        </w:rPr>
      </w:pPr>
      <w:r>
        <w:rPr>
          <w:b/>
        </w:rPr>
        <w:t>Bureau of Economic Analysis</w:t>
      </w:r>
    </w:p>
    <w:p w:rsidRPr="006366B0" w:rsidR="00E068B7" w:rsidP="00CC1089" w:rsidRDefault="00E068B7">
      <w:pPr>
        <w:jc w:val="center"/>
        <w:rPr>
          <w:b/>
        </w:rPr>
      </w:pPr>
      <w:r w:rsidRPr="006366B0">
        <w:rPr>
          <w:b/>
        </w:rPr>
        <w:t xml:space="preserve">Benchmark Survey of Financial Services Transactions between U.S. </w:t>
      </w:r>
    </w:p>
    <w:p w:rsidR="00D62324" w:rsidP="00CC1089" w:rsidRDefault="00E068B7">
      <w:pPr>
        <w:jc w:val="center"/>
        <w:rPr>
          <w:b/>
        </w:rPr>
      </w:pPr>
      <w:r w:rsidRPr="006366B0">
        <w:rPr>
          <w:b/>
        </w:rPr>
        <w:t>Financial Services Providers and Foreign Persons</w:t>
      </w:r>
      <w:r w:rsidDel="00E068B7">
        <w:rPr>
          <w:b/>
        </w:rPr>
        <w:t xml:space="preserve"> </w:t>
      </w:r>
      <w:r w:rsidR="003C44FB">
        <w:rPr>
          <w:b/>
        </w:rPr>
        <w:t>(Form BE-</w:t>
      </w:r>
      <w:r>
        <w:rPr>
          <w:b/>
        </w:rPr>
        <w:t>180</w:t>
      </w:r>
      <w:r w:rsidR="003C44FB">
        <w:rPr>
          <w:b/>
        </w:rPr>
        <w:t>)</w:t>
      </w:r>
    </w:p>
    <w:p w:rsidR="00D62324" w:rsidP="00D62324" w:rsidRDefault="00D62324">
      <w:pPr>
        <w:jc w:val="center"/>
        <w:rPr>
          <w:b/>
        </w:rPr>
      </w:pPr>
      <w:r>
        <w:rPr>
          <w:b/>
        </w:rPr>
        <w:t xml:space="preserve"> </w:t>
      </w:r>
      <w:r w:rsidR="00B25159">
        <w:rPr>
          <w:b/>
        </w:rPr>
        <w:t>OMB Control Number:</w:t>
      </w:r>
      <w:r w:rsidR="00997AF2">
        <w:rPr>
          <w:b/>
        </w:rPr>
        <w:t xml:space="preserve"> </w:t>
      </w:r>
      <w:r w:rsidR="00865CCD">
        <w:rPr>
          <w:b/>
        </w:rPr>
        <w:t>0608-</w:t>
      </w:r>
      <w:r w:rsidR="00EB60C5">
        <w:rPr>
          <w:b/>
        </w:rPr>
        <w:t>0062</w:t>
      </w:r>
      <w:r w:rsidR="00FA5847">
        <w:rPr>
          <w:b/>
        </w:rPr>
        <w:t xml:space="preserve"> </w:t>
      </w:r>
    </w:p>
    <w:p w:rsidR="005D488B" w:rsidP="00242631" w:rsidRDefault="005D488B">
      <w:pPr>
        <w:jc w:val="center"/>
        <w:rPr>
          <w:b/>
        </w:rPr>
      </w:pPr>
    </w:p>
    <w:p w:rsidR="005D488B" w:rsidP="00A77266" w:rsidRDefault="00A77266">
      <w:pPr>
        <w:rPr>
          <w:b/>
        </w:rPr>
      </w:pPr>
      <w:r>
        <w:rPr>
          <w:b/>
        </w:rPr>
        <w:t xml:space="preserve">A.   </w:t>
      </w:r>
      <w:r w:rsidR="005D488B">
        <w:rPr>
          <w:b/>
        </w:rPr>
        <w:t>Justification</w:t>
      </w:r>
    </w:p>
    <w:p w:rsidR="005D488B" w:rsidP="005D488B" w:rsidRDefault="005D488B">
      <w:pPr>
        <w:rPr>
          <w:b/>
        </w:rPr>
      </w:pPr>
    </w:p>
    <w:p w:rsidR="005D488B" w:rsidP="00A77266" w:rsidRDefault="00A77266">
      <w:pPr>
        <w:rPr>
          <w:b/>
          <w:u w:val="single"/>
        </w:rPr>
      </w:pPr>
      <w:r>
        <w:rPr>
          <w:b/>
        </w:rPr>
        <w:t xml:space="preserve">1.   </w:t>
      </w:r>
      <w:r w:rsidRPr="005D488B" w:rsidR="005D488B">
        <w:rPr>
          <w:b/>
          <w:u w:val="single"/>
        </w:rPr>
        <w:t>Explain the circumstances that make the collection of information necessary.</w:t>
      </w:r>
    </w:p>
    <w:p w:rsidR="007522BF" w:rsidP="005D488B" w:rsidRDefault="007522BF"/>
    <w:p w:rsidR="007522BF" w:rsidP="005D488B" w:rsidRDefault="00E259BC">
      <w:r>
        <w:t>The BE-</w:t>
      </w:r>
      <w:r w:rsidR="00EB60C5">
        <w:t xml:space="preserve">180 </w:t>
      </w:r>
      <w:r w:rsidRPr="005D1250" w:rsidR="00EB60C5">
        <w:t xml:space="preserve">Benchmark Survey of </w:t>
      </w:r>
      <w:r w:rsidR="00EB60C5">
        <w:t xml:space="preserve">Financial Services </w:t>
      </w:r>
      <w:r w:rsidRPr="005D1250" w:rsidR="00EB60C5">
        <w:t xml:space="preserve">Transactions </w:t>
      </w:r>
      <w:r w:rsidR="00EB60C5">
        <w:t>between U.S. Financial Services Providers and</w:t>
      </w:r>
      <w:r w:rsidRPr="005D1250" w:rsidR="00EB60C5">
        <w:t xml:space="preserve"> Foreign Persons</w:t>
      </w:r>
      <w:r w:rsidR="00F46F2B">
        <w:t xml:space="preserve"> </w:t>
      </w:r>
      <w:r>
        <w:t xml:space="preserve">is necessary to obtain complete and accurate data used by the </w:t>
      </w:r>
      <w:r w:rsidR="0042523A">
        <w:t>Bureau of Economic Analysis (</w:t>
      </w:r>
      <w:r w:rsidRPr="00B05BEE" w:rsidR="0042523A">
        <w:t>BEA</w:t>
      </w:r>
      <w:r w:rsidR="0042523A">
        <w:t>)</w:t>
      </w:r>
      <w:r w:rsidRPr="00B05BEE" w:rsidR="0042523A">
        <w:t xml:space="preserve"> </w:t>
      </w:r>
      <w:r>
        <w:t xml:space="preserve">to </w:t>
      </w:r>
      <w:r w:rsidRPr="00B05BEE" w:rsidR="0042523A">
        <w:t xml:space="preserve">produce the International Transactions Accounts (ITAs) of the United States. These accounts provide a comprehensive and detailed view of economic transactions between the United States and other countries. In addition, they provide input into other </w:t>
      </w:r>
      <w:r w:rsidR="0042523A">
        <w:t>U.S. economic measures and accounts</w:t>
      </w:r>
      <w:r w:rsidRPr="00B05BEE" w:rsidR="0042523A">
        <w:t>, contributing particularly to the National Income and Product Accounts</w:t>
      </w:r>
      <w:r w:rsidR="0042523A">
        <w:t xml:space="preserve"> (NIPAs)</w:t>
      </w:r>
      <w:r>
        <w:t xml:space="preserve"> and Input-Output accounts</w:t>
      </w:r>
      <w:r w:rsidRPr="00B05BEE" w:rsidR="0042523A">
        <w:t xml:space="preserve">. </w:t>
      </w:r>
      <w:r w:rsidR="0042523A">
        <w:t>The ITAs</w:t>
      </w:r>
      <w:r w:rsidRPr="00E528BB" w:rsidR="0042523A">
        <w:t xml:space="preserve"> are used extensively by both government and private organizations for national and international economic policy </w:t>
      </w:r>
      <w:r w:rsidR="0042523A">
        <w:t>support</w:t>
      </w:r>
      <w:r w:rsidRPr="00E528BB" w:rsidR="0042523A">
        <w:t xml:space="preserve"> and for analytical purposes. </w:t>
      </w:r>
      <w:r w:rsidRPr="00B05BEE" w:rsidR="0042523A">
        <w:t xml:space="preserve">The services transactions accounts are contained within the current account of the ITAs and are divided into several major </w:t>
      </w:r>
      <w:r w:rsidR="0042523A">
        <w:t>components</w:t>
      </w:r>
      <w:r w:rsidRPr="00B05BEE" w:rsidR="0042523A">
        <w:t xml:space="preserve">. </w:t>
      </w:r>
      <w:r w:rsidR="00507E84">
        <w:t xml:space="preserve">The </w:t>
      </w:r>
      <w:r w:rsidR="00EB60C5">
        <w:t xml:space="preserve">financial </w:t>
      </w:r>
      <w:r w:rsidR="00507E84">
        <w:t xml:space="preserve">services </w:t>
      </w:r>
      <w:r w:rsidR="00057E44">
        <w:t xml:space="preserve">transactions </w:t>
      </w:r>
      <w:r w:rsidR="00507E84">
        <w:t xml:space="preserve">covered by </w:t>
      </w:r>
      <w:r w:rsidR="00057E44">
        <w:t xml:space="preserve">this </w:t>
      </w:r>
      <w:r w:rsidR="00507E84">
        <w:t>survey</w:t>
      </w:r>
      <w:r w:rsidR="006B7907">
        <w:t xml:space="preserve"> </w:t>
      </w:r>
      <w:r w:rsidRPr="00E528BB" w:rsidR="007522BF">
        <w:t>account</w:t>
      </w:r>
      <w:r w:rsidR="001B1482">
        <w:t>ed</w:t>
      </w:r>
      <w:r w:rsidR="00450730">
        <w:t xml:space="preserve"> </w:t>
      </w:r>
      <w:r w:rsidRPr="00E528BB" w:rsidR="007522BF">
        <w:t xml:space="preserve">for </w:t>
      </w:r>
      <w:r w:rsidR="0059583C">
        <w:t>13.5</w:t>
      </w:r>
      <w:r w:rsidR="004E4E4C">
        <w:t xml:space="preserve"> </w:t>
      </w:r>
      <w:r w:rsidR="0008680F">
        <w:t xml:space="preserve">percent of U.S. </w:t>
      </w:r>
      <w:r w:rsidR="00450730">
        <w:t xml:space="preserve">services </w:t>
      </w:r>
      <w:r w:rsidR="0008680F">
        <w:t xml:space="preserve">exports and </w:t>
      </w:r>
      <w:r w:rsidR="00D10FAD">
        <w:t>5.5</w:t>
      </w:r>
      <w:r w:rsidRPr="00E528BB" w:rsidR="004E4E4C">
        <w:t xml:space="preserve"> </w:t>
      </w:r>
      <w:r w:rsidRPr="00E528BB" w:rsidR="007522BF">
        <w:t xml:space="preserve">percent of </w:t>
      </w:r>
      <w:r w:rsidR="003E05BB">
        <w:t xml:space="preserve">U.S. </w:t>
      </w:r>
      <w:r w:rsidR="00450730">
        <w:t xml:space="preserve">services </w:t>
      </w:r>
      <w:r w:rsidRPr="00E528BB" w:rsidR="007522BF">
        <w:t xml:space="preserve">imports </w:t>
      </w:r>
      <w:r w:rsidR="00A227A4">
        <w:t xml:space="preserve">in </w:t>
      </w:r>
      <w:r w:rsidR="00EB60C5">
        <w:t>2018</w:t>
      </w:r>
      <w:r w:rsidRPr="00E528BB" w:rsidR="007522BF">
        <w:t xml:space="preserve">.  </w:t>
      </w:r>
    </w:p>
    <w:p w:rsidR="00A227A4" w:rsidP="005D488B" w:rsidRDefault="00A227A4"/>
    <w:p w:rsidR="00293CD5" w:rsidP="005D488B" w:rsidRDefault="00E259BC">
      <w:r>
        <w:t>The information collection, BE-</w:t>
      </w:r>
      <w:r w:rsidR="00EB60C5">
        <w:t xml:space="preserve">180 </w:t>
      </w:r>
      <w:r w:rsidRPr="005D1250" w:rsidR="00EB60C5">
        <w:t xml:space="preserve">Benchmark Survey of </w:t>
      </w:r>
      <w:r w:rsidR="00EB60C5">
        <w:t xml:space="preserve">Financial Services </w:t>
      </w:r>
      <w:r w:rsidRPr="005D1250" w:rsidR="00EB60C5">
        <w:t xml:space="preserve">Transactions </w:t>
      </w:r>
      <w:r w:rsidR="00EB60C5">
        <w:t>between U.S. Financial Services Providers and</w:t>
      </w:r>
      <w:r w:rsidRPr="005D1250" w:rsidR="00EB60C5">
        <w:t xml:space="preserve"> Foreign Persons</w:t>
      </w:r>
      <w:r>
        <w:t xml:space="preserve">, is associated with the </w:t>
      </w:r>
      <w:r w:rsidR="003B1FD3">
        <w:t>final</w:t>
      </w:r>
      <w:r w:rsidR="003B1FD3">
        <w:t xml:space="preserve"> </w:t>
      </w:r>
      <w:r>
        <w:t xml:space="preserve">rule </w:t>
      </w:r>
      <w:r w:rsidR="004E4E4C">
        <w:t>(</w:t>
      </w:r>
      <w:r>
        <w:t xml:space="preserve">RIN </w:t>
      </w:r>
      <w:r w:rsidR="00743551">
        <w:t>0691</w:t>
      </w:r>
      <w:r w:rsidR="006D103F">
        <w:t>-</w:t>
      </w:r>
      <w:r w:rsidR="003B1FD3">
        <w:t>AA90</w:t>
      </w:r>
      <w:r w:rsidR="004E4E4C">
        <w:t>)</w:t>
      </w:r>
      <w:r>
        <w:t xml:space="preserve"> and is necessary to provide baseline information on U.S. trade in </w:t>
      </w:r>
      <w:r w:rsidR="00EB60C5">
        <w:t xml:space="preserve">financial </w:t>
      </w:r>
      <w:r w:rsidR="00E75A8F">
        <w:t>services</w:t>
      </w:r>
      <w:r>
        <w:t xml:space="preserve">. The survey </w:t>
      </w:r>
      <w:r w:rsidR="003B1FD3">
        <w:t>will</w:t>
      </w:r>
      <w:r w:rsidR="003B1FD3">
        <w:t xml:space="preserve"> </w:t>
      </w:r>
      <w:r>
        <w:t>ask U.S.</w:t>
      </w:r>
      <w:r w:rsidR="00B07D6C">
        <w:t xml:space="preserve"> financial services </w:t>
      </w:r>
      <w:r w:rsidR="00134C55">
        <w:t xml:space="preserve">companies </w:t>
      </w:r>
      <w:r>
        <w:t xml:space="preserve">to report their </w:t>
      </w:r>
      <w:r w:rsidR="00EB60C5">
        <w:t xml:space="preserve">financial services </w:t>
      </w:r>
      <w:r>
        <w:t>transactions with foreign persons. The BE-</w:t>
      </w:r>
      <w:r w:rsidR="00EB60C5">
        <w:t xml:space="preserve">180 </w:t>
      </w:r>
      <w:r>
        <w:t xml:space="preserve">survey </w:t>
      </w:r>
      <w:r w:rsidR="003B1FD3">
        <w:t>will</w:t>
      </w:r>
      <w:r w:rsidR="003B1FD3">
        <w:t xml:space="preserve"> </w:t>
      </w:r>
      <w:r>
        <w:t>be mandatory and conducted under the International Investment and Trade in Services Survey Act</w:t>
      </w:r>
      <w:r w:rsidR="00DE32AA">
        <w:t xml:space="preserve"> </w:t>
      </w:r>
      <w:r w:rsidRPr="000B1594">
        <w:t>(P.L. 94-472, 22 U.S.C. 3101-3108, as amended by P.L. 98-573 and P.L. 101-533), hereinafter “the Act</w:t>
      </w:r>
      <w:r w:rsidR="00EB60C5">
        <w:t>,</w:t>
      </w:r>
      <w:r w:rsidRPr="000B1594">
        <w:t>”</w:t>
      </w:r>
      <w:r w:rsidR="00EB60C5">
        <w:t xml:space="preserve"> and by Section 5408 of the Omnibus Trade and Competitiveness Act of 1988 (P.L. 100-418, 15 U.S.C. 4908(b)).</w:t>
      </w:r>
      <w:r>
        <w:t xml:space="preserve"> It is the subject of this supporting statement.</w:t>
      </w:r>
      <w:r w:rsidRPr="00BD2E3B">
        <w:t xml:space="preserve"> </w:t>
      </w:r>
    </w:p>
    <w:p w:rsidR="00842946" w:rsidP="005D488B" w:rsidRDefault="00842946"/>
    <w:p w:rsidR="0042523A" w:rsidP="000A6EF2" w:rsidRDefault="0042523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0B1594">
        <w:t xml:space="preserve">In Section 3 of Executive Order 11961, as amended by Executive Orders 12318 and 12518, the President delegated </w:t>
      </w:r>
      <w:r>
        <w:t>responsibility for performing functions</w:t>
      </w:r>
      <w:r w:rsidRPr="000B1594">
        <w:t xml:space="preserve"> under the Act concerning </w:t>
      </w:r>
      <w:r>
        <w:t>trade in services</w:t>
      </w:r>
      <w:r w:rsidRPr="000B1594">
        <w:t xml:space="preserve"> to the Secretary of Commerce, who has re</w:t>
      </w:r>
      <w:r>
        <w:t>-</w:t>
      </w:r>
      <w:r w:rsidRPr="000B1594">
        <w:t xml:space="preserve">delegated it to BEA. 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p>
    <w:p w:rsidRPr="00E528BB" w:rsidR="007522BF" w:rsidP="007522BF" w:rsidRDefault="002571AC">
      <w:r w:rsidRPr="00E528BB">
        <w:t xml:space="preserve"> </w:t>
      </w:r>
    </w:p>
    <w:p w:rsidR="007522BF" w:rsidP="007522BF" w:rsidRDefault="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rsidRDefault="00641D1A"/>
    <w:p w:rsidR="00E75A8F" w:rsidP="001874A6" w:rsidRDefault="00E75A8F">
      <w:pPr>
        <w:autoSpaceDE w:val="0"/>
        <w:autoSpaceDN w:val="0"/>
        <w:adjustRightInd w:val="0"/>
      </w:pPr>
      <w:r>
        <w:t xml:space="preserve">The benchmark survey covers the </w:t>
      </w:r>
      <w:r w:rsidR="00450730">
        <w:t xml:space="preserve">universe of </w:t>
      </w:r>
      <w:r w:rsidR="00EB60C5">
        <w:t xml:space="preserve">financial services </w:t>
      </w:r>
      <w:r w:rsidR="006D103F">
        <w:t>transa</w:t>
      </w:r>
      <w:r w:rsidR="00E52486">
        <w:t>c</w:t>
      </w:r>
      <w:r w:rsidR="006D103F">
        <w:t>tions</w:t>
      </w:r>
      <w:r>
        <w:t xml:space="preserve"> and is BEA’s most comprehensive survey of such services. The benchmark survey collects </w:t>
      </w:r>
      <w:r w:rsidR="00EB60C5">
        <w:t xml:space="preserve">financial services </w:t>
      </w:r>
      <w:r>
        <w:t xml:space="preserve">transactions data </w:t>
      </w:r>
      <w:r w:rsidR="003C197E">
        <w:t xml:space="preserve">from </w:t>
      </w:r>
      <w:r>
        <w:t xml:space="preserve">U.S. </w:t>
      </w:r>
      <w:r w:rsidR="00442776">
        <w:t>persons</w:t>
      </w:r>
      <w:r w:rsidR="001874A6">
        <w:t xml:space="preserve"> (any person subject to the jurisdiction of the United States)</w:t>
      </w:r>
      <w:r w:rsidR="00442776">
        <w:t xml:space="preserve"> </w:t>
      </w:r>
      <w:r w:rsidR="006D103F">
        <w:t xml:space="preserve">for </w:t>
      </w:r>
      <w:r w:rsidR="00134C55">
        <w:t xml:space="preserve">sales to, and purchases from foreign persons in </w:t>
      </w:r>
      <w:r w:rsidR="00EB60C5">
        <w:t>the transaction categories covered by the survey</w:t>
      </w:r>
      <w:r>
        <w:t>.</w:t>
      </w:r>
      <w:r w:rsidRPr="001874A6">
        <w:t xml:space="preserve"> </w:t>
      </w:r>
      <w:r w:rsidRPr="000B1594">
        <w:t>Some specific uses of the data to be collected are discussed in greater detail below.</w:t>
      </w:r>
    </w:p>
    <w:p w:rsidR="00457B33" w:rsidP="00457B33" w:rsidRDefault="00D736F8">
      <w:r>
        <w:t xml:space="preserve">  </w:t>
      </w:r>
    </w:p>
    <w:p w:rsidRPr="000B1594" w:rsidR="0042523A" w:rsidP="0042523A" w:rsidRDefault="0042523A">
      <w:r w:rsidRPr="000B1594">
        <w:t>(a) Compile and improve the U.S. economic accounts:</w:t>
      </w:r>
    </w:p>
    <w:p w:rsidRPr="000B1594" w:rsidR="0042523A" w:rsidP="0042523A" w:rsidRDefault="0042523A"/>
    <w:p w:rsidRPr="000B1594" w:rsidR="0042523A" w:rsidP="0042523A" w:rsidRDefault="0042523A">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EB60C5">
        <w:t>180</w:t>
      </w:r>
      <w:r w:rsidRPr="000B1594" w:rsidR="00EB60C5">
        <w:t xml:space="preserve"> </w:t>
      </w:r>
      <w:r w:rsidRPr="000B1594">
        <w:t xml:space="preserve">survey </w:t>
      </w:r>
      <w:r>
        <w:t xml:space="preserve">will be used by BEA to estimate </w:t>
      </w:r>
      <w:r w:rsidR="00EB60C5">
        <w:t xml:space="preserve">financial services </w:t>
      </w:r>
      <w:r w:rsidR="00F46F2B">
        <w:t xml:space="preserve">transactions for </w:t>
      </w:r>
      <w:r>
        <w:t xml:space="preserve">the U.S. ITAs, which also enter the NIPAs and the Input-Output Accounts. </w:t>
      </w:r>
      <w:r w:rsidRPr="0062345A">
        <w:t xml:space="preserve"> </w:t>
      </w:r>
      <w:r w:rsidRPr="000B1594">
        <w:t xml:space="preserve">  </w:t>
      </w:r>
    </w:p>
    <w:p w:rsidRPr="000B1594" w:rsidR="0042523A" w:rsidP="0042523A" w:rsidRDefault="0042523A"/>
    <w:p w:rsidRPr="000B1594" w:rsidR="0042523A" w:rsidP="0042523A" w:rsidRDefault="0042523A">
      <w:r w:rsidRPr="000B1594">
        <w:t xml:space="preserve">(b) Support U.S. </w:t>
      </w:r>
      <w:r>
        <w:t>g</w:t>
      </w:r>
      <w:r w:rsidRPr="000B1594">
        <w:t xml:space="preserve">overnment policy on </w:t>
      </w:r>
      <w:r>
        <w:t>services trade</w:t>
      </w:r>
      <w:r w:rsidRPr="000B1594">
        <w:t>:</w:t>
      </w:r>
    </w:p>
    <w:p w:rsidR="0042523A" w:rsidP="0042523A" w:rsidRDefault="0042523A"/>
    <w:p w:rsidR="0042523A" w:rsidP="0042523A" w:rsidRDefault="008E2FC3">
      <w:r>
        <w:t>Data from the survey are needed to monitor U.S. trade in</w:t>
      </w:r>
      <w:r w:rsidR="00802CCB">
        <w:t xml:space="preserve"> </w:t>
      </w:r>
      <w:r w:rsidR="00EB60C5">
        <w:t xml:space="preserve">financial </w:t>
      </w:r>
      <w:r>
        <w:t xml:space="preserve">services, to analyze the impact on the U.S. </w:t>
      </w:r>
      <w:r w:rsidR="00442776">
        <w:t xml:space="preserve">economy </w:t>
      </w:r>
      <w:r>
        <w:t xml:space="preserve">and </w:t>
      </w:r>
      <w:r w:rsidR="00442776">
        <w:t xml:space="preserve">on </w:t>
      </w:r>
      <w:r>
        <w:t xml:space="preserve">foreign economies, to support U.S. commercial policy on trade in </w:t>
      </w:r>
      <w:r w:rsidR="00EB60C5">
        <w:t xml:space="preserve">financial </w:t>
      </w:r>
      <w:r>
        <w:t xml:space="preserve">services, to conduct trade promotion, and to improve the ability of U.S. businesses to identify and evaluate market opportunities. </w:t>
      </w:r>
    </w:p>
    <w:p w:rsidRPr="000B1594" w:rsidR="002F0A2F" w:rsidP="0042523A" w:rsidRDefault="002F0A2F"/>
    <w:p w:rsidR="0042523A" w:rsidP="0042523A" w:rsidRDefault="0042523A">
      <w:r w:rsidRPr="000B1594">
        <w:t>The data are used by s</w:t>
      </w:r>
      <w:r>
        <w:t>everal U.S. government agencies</w:t>
      </w:r>
      <w:r w:rsidR="00F441DB">
        <w:t>,</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 xml:space="preserve">The data also help identify areas where U.S. trade in </w:t>
      </w:r>
      <w:r w:rsidR="00E72F63">
        <w:t xml:space="preserve">financial </w:t>
      </w:r>
      <w:r>
        <w:t>services may be restricted.</w:t>
      </w:r>
    </w:p>
    <w:p w:rsidR="0042523A" w:rsidP="0042523A" w:rsidRDefault="0042523A"/>
    <w:p w:rsidRPr="000B1594" w:rsidR="0042523A" w:rsidP="0042523A" w:rsidRDefault="0042523A">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 xml:space="preserve">are covered both by the General Agreement on Trade in Services, which is the principal World Trade Organization agreement on trade in services, and by </w:t>
      </w:r>
      <w:r w:rsidRPr="00690E2F" w:rsidR="00FA6708">
        <w:t>the North American Free Trade Agreement among the United States, Canada, and Mexico.</w:t>
      </w:r>
    </w:p>
    <w:p w:rsidRPr="000B1594" w:rsidR="0042523A" w:rsidP="0042523A" w:rsidRDefault="0042523A"/>
    <w:p w:rsidRPr="000B1594" w:rsidR="0042523A" w:rsidP="0042523A" w:rsidRDefault="0042523A">
      <w:r w:rsidRPr="000B1594">
        <w:t xml:space="preserve">(c) Other </w:t>
      </w:r>
      <w:r>
        <w:t>g</w:t>
      </w:r>
      <w:r w:rsidRPr="000B1594">
        <w:t>overnment</w:t>
      </w:r>
      <w:r w:rsidR="006F12B5">
        <w:t>al</w:t>
      </w:r>
      <w:r w:rsidRPr="000B1594">
        <w:t xml:space="preserve"> uses:</w:t>
      </w:r>
    </w:p>
    <w:p w:rsidRPr="000B1594" w:rsidR="0042523A" w:rsidP="0042523A" w:rsidRDefault="0042523A"/>
    <w:p w:rsidRPr="000B1594" w:rsidR="0042523A" w:rsidP="0042523A" w:rsidRDefault="0042523A">
      <w:r w:rsidRPr="000B1594">
        <w:t>Several agencies, including the U.S. Commercial Service</w:t>
      </w:r>
      <w:r>
        <w:t xml:space="preserve"> (Commerce</w:t>
      </w:r>
      <w:r w:rsidR="006F12B5">
        <w:t xml:space="preserve"> Department</w:t>
      </w:r>
      <w:r>
        <w:t>)</w:t>
      </w:r>
      <w:r w:rsidR="007C3958">
        <w:t>,</w:t>
      </w:r>
      <w:r w:rsidRPr="000B1594">
        <w:t xml:space="preserve"> facilitate U.S. </w:t>
      </w:r>
      <w:r>
        <w:t>trade</w:t>
      </w:r>
      <w:r w:rsidRPr="000B1594">
        <w:t xml:space="preserve"> by providing information and assistance to </w:t>
      </w:r>
      <w:r>
        <w:t>businesses</w:t>
      </w:r>
      <w:r w:rsidRPr="000B1594">
        <w:t xml:space="preserve">. They use data from the </w:t>
      </w:r>
      <w:r w:rsidR="00B119CB">
        <w:t>benchmark</w:t>
      </w:r>
      <w:r w:rsidRPr="000B1594" w:rsidR="00B119CB">
        <w:t xml:space="preserve"> </w:t>
      </w:r>
      <w:r w:rsidRPr="000B1594">
        <w:t xml:space="preserve">survey for this purpose. They also use the data to examine the impact of </w:t>
      </w:r>
      <w:r>
        <w:t>trade in services</w:t>
      </w:r>
      <w:r w:rsidRPr="000B1594">
        <w:t xml:space="preserve"> on developing countries.</w:t>
      </w:r>
    </w:p>
    <w:p w:rsidRPr="000B1594" w:rsidR="0042523A" w:rsidP="0042523A" w:rsidRDefault="0042523A"/>
    <w:p w:rsidRPr="000B1594" w:rsidR="0042523A" w:rsidP="0042523A" w:rsidRDefault="0042523A">
      <w:r w:rsidRPr="000B1594">
        <w:t>(d) Non-</w:t>
      </w:r>
      <w:r>
        <w:t>g</w:t>
      </w:r>
      <w:r w:rsidRPr="000B1594">
        <w:t>overnment</w:t>
      </w:r>
      <w:r w:rsidR="006F12B5">
        <w:t>al</w:t>
      </w:r>
      <w:r w:rsidRPr="000B1594">
        <w:t xml:space="preserve"> uses:</w:t>
      </w:r>
    </w:p>
    <w:p w:rsidRPr="000B1594" w:rsidR="0042523A" w:rsidP="0042523A" w:rsidRDefault="0042523A"/>
    <w:p w:rsidR="0042523A" w:rsidP="0042523A" w:rsidRDefault="0042523A">
      <w:r w:rsidRPr="000B1594">
        <w:t xml:space="preserve">International organizations and private researchers use data from the </w:t>
      </w:r>
      <w:r w:rsidR="00B119CB">
        <w:t>benchmark</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Organization for Economic Cooperation and Development, and World Bank. </w:t>
      </w:r>
    </w:p>
    <w:p w:rsidR="0042523A" w:rsidP="0042523A" w:rsidRDefault="0042523A"/>
    <w:p w:rsidR="0042523A" w:rsidP="0042523A" w:rsidRDefault="0042523A">
      <w:r w:rsidRPr="002352BB">
        <w:t>The Section 515 Information Quality Guidelines</w:t>
      </w:r>
      <w:r w:rsidR="00883D50">
        <w:t xml:space="preserve"> of the Office of Management and Budget (OMB)</w:t>
      </w:r>
      <w:r w:rsidRPr="002352BB">
        <w:t xml:space="preserve"> 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883D50">
        <w:t>,</w:t>
      </w:r>
      <w:r>
        <w:t xml:space="preserve"> best practice standards</w:t>
      </w:r>
      <w:r w:rsidR="00883D50">
        <w:t>, and</w:t>
      </w:r>
      <w:r w:rsidRPr="002352BB">
        <w:t xml:space="preserve"> on-going review by the appropriate supervisor. The quality of the data </w:t>
      </w:r>
      <w:r w:rsidR="008C1E2F">
        <w:t>is</w:t>
      </w:r>
      <w:r w:rsidRPr="002352BB" w:rsidR="008C1E2F">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w:t>
      </w:r>
      <w:r w:rsidRPr="002352BB">
        <w:lastRenderedPageBreak/>
        <w:t xml:space="preserve">become available. The collection and use of this information </w:t>
      </w:r>
      <w:proofErr w:type="gramStart"/>
      <w:r w:rsidRPr="002352BB">
        <w:t>complies</w:t>
      </w:r>
      <w:proofErr w:type="gramEnd"/>
      <w:r w:rsidRPr="002352BB">
        <w:t xml:space="preserve"> with all applicable information quality guidelines, i.e., those of</w:t>
      </w:r>
      <w:r w:rsidR="00883D50">
        <w:t xml:space="preserve"> OMB,</w:t>
      </w:r>
      <w:r w:rsidRPr="002352BB">
        <w:t xml:space="preserve"> the Department of Commerce, and </w:t>
      </w:r>
      <w:r>
        <w:t>BEA.</w:t>
      </w:r>
    </w:p>
    <w:p w:rsidRPr="00E528BB" w:rsidR="00641D1A" w:rsidP="007522BF" w:rsidRDefault="00641D1A"/>
    <w:p w:rsidRPr="00E528BB" w:rsidR="00AF7A5F" w:rsidP="00AF7A5F" w:rsidRDefault="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rsidRDefault="007522BF"/>
    <w:p w:rsidRPr="001B2D0A" w:rsidR="0042523A" w:rsidP="0042523A" w:rsidRDefault="0042523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BEA offers electronic filing through its eFile system for reporting the BE-</w:t>
      </w:r>
      <w:r w:rsidR="00EB60C5">
        <w:t>180</w:t>
      </w:r>
      <w:r w:rsidRPr="001B2D0A" w:rsidR="00EB60C5">
        <w:t xml:space="preserve"> </w:t>
      </w:r>
      <w:r w:rsidR="00E75A8F">
        <w:t>benchmark</w:t>
      </w:r>
      <w:r w:rsidRPr="001B2D0A" w:rsidR="00E75A8F">
        <w:t xml:space="preserve"> </w:t>
      </w:r>
      <w:r w:rsidRPr="001B2D0A">
        <w:t xml:space="preserve">survey form. The eFile system enables respondents to download the survey forms in PDF format for each reportable U.S. </w:t>
      </w:r>
      <w:r w:rsidR="00B07D6C">
        <w:t xml:space="preserve">financial services </w:t>
      </w:r>
      <w:r w:rsidR="00134C55">
        <w:t>company</w:t>
      </w:r>
      <w:r w:rsidRPr="001B2D0A">
        <w:t>, enter the required data, and submit the forms securely to BEA.</w:t>
      </w:r>
      <w:r w:rsidR="008602BD">
        <w:t xml:space="preserve"> BEA utilizes a secure messaging system, accessible through the eFile system, to ensure the confidentiality of correspondence with respondents.</w:t>
      </w:r>
      <w:r w:rsidRPr="001B2D0A" w:rsidR="008602BD">
        <w:t xml:space="preserve"> </w:t>
      </w:r>
      <w:r w:rsidRPr="001B2D0A">
        <w:t xml:space="preserve">  </w:t>
      </w:r>
    </w:p>
    <w:p w:rsidRPr="001B2D0A" w:rsidR="0042523A" w:rsidP="0042523A" w:rsidRDefault="0042523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rsidRDefault="0042523A">
      <w:r w:rsidRPr="001B2D0A">
        <w:t xml:space="preserve">In addition, BEA provides </w:t>
      </w:r>
      <w:r w:rsidRPr="001B2D0A" w:rsidR="006F12B5">
        <w:t xml:space="preserve">reporting instructions </w:t>
      </w:r>
      <w:r w:rsidR="006F12B5">
        <w:t xml:space="preserve">and </w:t>
      </w:r>
      <w:r w:rsidRPr="001B2D0A">
        <w:t>links to all its survey forms on its web site (</w:t>
      </w:r>
      <w:hyperlink w:history="1" r:id="rId8">
        <w:r w:rsidRPr="001B2D0A">
          <w:rPr>
            <w:color w:val="0000FF"/>
            <w:u w:val="single"/>
          </w:rPr>
          <w:t>www.bea.gov</w:t>
        </w:r>
      </w:hyperlink>
      <w:r w:rsidRPr="001B2D0A">
        <w:t xml:space="preserve">). </w:t>
      </w:r>
      <w:r>
        <w:t>Survey forms</w:t>
      </w:r>
      <w:r w:rsidRPr="001B2D0A">
        <w:t xml:space="preserve"> may be downloaded, printed, and submitted via fax or mail.</w:t>
      </w:r>
    </w:p>
    <w:p w:rsidR="00392BB7" w:rsidP="005D488B" w:rsidRDefault="00392BB7">
      <w:pPr>
        <w:rPr>
          <w:b/>
        </w:rPr>
      </w:pPr>
    </w:p>
    <w:p w:rsidRPr="00E528BB" w:rsidR="00080946" w:rsidP="00080946" w:rsidRDefault="00080946">
      <w:pPr>
        <w:rPr>
          <w:b/>
        </w:rPr>
      </w:pPr>
      <w:r w:rsidRPr="00E528BB">
        <w:rPr>
          <w:b/>
        </w:rPr>
        <w:t xml:space="preserve">4.  </w:t>
      </w:r>
      <w:r w:rsidRPr="00E528BB">
        <w:rPr>
          <w:b/>
          <w:u w:val="single"/>
        </w:rPr>
        <w:t>Describe efforts to identify duplication</w:t>
      </w:r>
      <w:r w:rsidRPr="00E528BB">
        <w:rPr>
          <w:b/>
        </w:rPr>
        <w:t>.</w:t>
      </w:r>
    </w:p>
    <w:p w:rsidRPr="00E528BB" w:rsidR="00080946" w:rsidP="00080946" w:rsidRDefault="00080946"/>
    <w:p w:rsidR="0054770D" w:rsidP="005D488B" w:rsidRDefault="00CF4455">
      <w:r>
        <w:t xml:space="preserve">Data on U.S. international transactions </w:t>
      </w:r>
      <w:r w:rsidR="00DF3194">
        <w:t xml:space="preserve">in </w:t>
      </w:r>
      <w:r w:rsidR="00EB60C5">
        <w:t>financial</w:t>
      </w:r>
      <w:r w:rsidR="006F32EA">
        <w:t xml:space="preserve"> </w:t>
      </w:r>
      <w:r w:rsidR="00DF3194">
        <w:t xml:space="preserve">services </w:t>
      </w:r>
      <w:r w:rsidR="00B119CB">
        <w:t>with foreign persons</w:t>
      </w:r>
      <w:r w:rsidR="00DF3194">
        <w:t xml:space="preserve"> </w:t>
      </w:r>
      <w:r>
        <w:t>are available only from surveys conducted by BEA.</w:t>
      </w:r>
      <w:r w:rsidR="007C3958">
        <w:t xml:space="preserve"> </w:t>
      </w:r>
      <w:r w:rsidRPr="00E87A51" w:rsidR="007C3958">
        <w:rPr>
          <w:rFonts w:cs="Arial"/>
        </w:rPr>
        <w:t xml:space="preserve">The Census Bureau conducts economic surveys of establishments in services industries and includes on those surveys broad questions pertaining to revenues derived from sales to foreign persons. </w:t>
      </w:r>
      <w:r w:rsidR="007C3958">
        <w:rPr>
          <w:rFonts w:cs="Arial"/>
        </w:rPr>
        <w:t xml:space="preserve">However, these surveys do not identify the type of service or the country of the foreign customer, both of which are required </w:t>
      </w:r>
      <w:r w:rsidR="005E448B">
        <w:rPr>
          <w:rFonts w:cs="Arial"/>
        </w:rPr>
        <w:t>for</w:t>
      </w:r>
      <w:r w:rsidR="007C3958">
        <w:rPr>
          <w:rFonts w:cs="Arial"/>
        </w:rPr>
        <w:t xml:space="preserve"> the ITAs.</w:t>
      </w:r>
      <w:r w:rsidR="0010447A">
        <w:t xml:space="preserve">  </w:t>
      </w:r>
      <w:r w:rsidR="00571645">
        <w:t xml:space="preserve">  </w:t>
      </w:r>
    </w:p>
    <w:p w:rsidR="007E0D23" w:rsidP="007E0D23" w:rsidRDefault="007E0D23">
      <w:pPr>
        <w:rPr>
          <w:rFonts w:ascii="Arial" w:hAnsi="Arial" w:cs="Arial"/>
        </w:rPr>
      </w:pPr>
    </w:p>
    <w:p w:rsidR="00E75A8F" w:rsidP="007E0D23" w:rsidRDefault="00E75A8F">
      <w:r>
        <w:t>The BE-</w:t>
      </w:r>
      <w:r w:rsidR="00EB60C5">
        <w:t xml:space="preserve">180 </w:t>
      </w:r>
      <w:r w:rsidR="00D90B0A">
        <w:t xml:space="preserve">benchmark </w:t>
      </w:r>
      <w:r>
        <w:t xml:space="preserve">survey will provide comprehensive information on the types of </w:t>
      </w:r>
      <w:r w:rsidR="00EB60C5">
        <w:t>financial</w:t>
      </w:r>
      <w:r>
        <w:t xml:space="preserve"> services </w:t>
      </w:r>
      <w:r w:rsidR="007B7FD0">
        <w:t>covered by the survey,</w:t>
      </w:r>
      <w:r>
        <w:t xml:space="preserve"> for which data had been collected on a sample basis on the BE-</w:t>
      </w:r>
      <w:r w:rsidR="00EB60C5">
        <w:t>185</w:t>
      </w:r>
      <w:r>
        <w:t xml:space="preserve">, Quarterly Survey of </w:t>
      </w:r>
      <w:r w:rsidR="00EB60C5">
        <w:t xml:space="preserve">Financial Services </w:t>
      </w:r>
      <w:r w:rsidRPr="005D1250" w:rsidR="00EB60C5">
        <w:t xml:space="preserve">Transactions </w:t>
      </w:r>
      <w:r w:rsidR="00EB60C5">
        <w:t>between U.S. Financial Services Providers and</w:t>
      </w:r>
      <w:r w:rsidRPr="005D1250" w:rsidR="00EB60C5">
        <w:t xml:space="preserve"> Foreign Persons</w:t>
      </w:r>
      <w:r>
        <w:t>. The quarterly collection of data is required to provide timely indicators of quarterly movements in transactions. The benchmark collection, conducted after the companies have closed their books for the year, is required not only to verify the accuracy of the quarterly data, but also to collect data on transactions</w:t>
      </w:r>
      <w:r w:rsidR="00134C55">
        <w:t xml:space="preserve"> from companies</w:t>
      </w:r>
      <w:r>
        <w:t xml:space="preserve"> that fall below the reporting threshold on the quarterly survey.</w:t>
      </w:r>
    </w:p>
    <w:p w:rsidR="00E75A8F" w:rsidP="007E0D23" w:rsidRDefault="00E75A8F">
      <w:pPr>
        <w:rPr>
          <w:rFonts w:ascii="Arial" w:hAnsi="Arial" w:cs="Arial"/>
        </w:rPr>
      </w:pPr>
    </w:p>
    <w:p w:rsidR="00C26719" w:rsidP="005D488B" w:rsidRDefault="00C26719"/>
    <w:p w:rsidRPr="00E528BB" w:rsidR="000C5729" w:rsidP="000C5729" w:rsidRDefault="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rsidRDefault="000C5729">
      <w:pPr>
        <w:rPr>
          <w:b/>
        </w:rPr>
      </w:pPr>
    </w:p>
    <w:p w:rsidR="00DC2709" w:rsidP="00DC2709" w:rsidRDefault="00DC2709">
      <w:r w:rsidRPr="009676E8">
        <w:t xml:space="preserve">A </w:t>
      </w:r>
      <w:r w:rsidR="005E5139">
        <w:t>complete</w:t>
      </w:r>
      <w:r w:rsidR="00D639BD">
        <w:t>d</w:t>
      </w:r>
      <w:r w:rsidR="005E5139">
        <w:t xml:space="preserve"> </w:t>
      </w:r>
      <w:r w:rsidRPr="009676E8">
        <w:t>BE-</w:t>
      </w:r>
      <w:r w:rsidR="00EB60C5">
        <w:t>180</w:t>
      </w:r>
      <w:r w:rsidRPr="009676E8" w:rsidR="00EB60C5">
        <w:t xml:space="preserve"> </w:t>
      </w:r>
      <w:r w:rsidR="00D90B0A">
        <w:t xml:space="preserve">benchmark </w:t>
      </w:r>
      <w:r>
        <w:t>survey</w:t>
      </w:r>
      <w:r w:rsidR="00450730">
        <w:t xml:space="preserve"> </w:t>
      </w:r>
      <w:r w:rsidR="003B1FD3">
        <w:t>will</w:t>
      </w:r>
      <w:r w:rsidR="003B1FD3">
        <w:t xml:space="preserve"> </w:t>
      </w:r>
      <w:r w:rsidR="00450730">
        <w:t xml:space="preserve">be required </w:t>
      </w:r>
      <w:r w:rsidR="00D639BD">
        <w:t xml:space="preserve">from </w:t>
      </w:r>
      <w:r w:rsidR="00450730">
        <w:t xml:space="preserve">any U.S. </w:t>
      </w:r>
      <w:r w:rsidR="00EB60C5">
        <w:t xml:space="preserve">financial services </w:t>
      </w:r>
      <w:r w:rsidR="00134C55">
        <w:t xml:space="preserve">company </w:t>
      </w:r>
      <w:r w:rsidR="009714A9">
        <w:t xml:space="preserve">that </w:t>
      </w:r>
      <w:r w:rsidR="00775FCB">
        <w:t>had</w:t>
      </w:r>
      <w:r w:rsidR="003A7D71">
        <w:t xml:space="preserve"> </w:t>
      </w:r>
      <w:r w:rsidR="00EB60C5">
        <w:t xml:space="preserve">financial services </w:t>
      </w:r>
      <w:r w:rsidR="00450730">
        <w:t>transactions</w:t>
      </w:r>
      <w:r w:rsidR="00593A3D">
        <w:t xml:space="preserve"> in any of the covered categories with foreign persons</w:t>
      </w:r>
      <w:r w:rsidR="00450730">
        <w:t xml:space="preserve">. Any </w:t>
      </w:r>
      <w:r w:rsidRPr="0019323B">
        <w:t xml:space="preserve">U.S. </w:t>
      </w:r>
      <w:r w:rsidR="00EB60C5">
        <w:t xml:space="preserve">financial services </w:t>
      </w:r>
      <w:r w:rsidR="00134C55">
        <w:t xml:space="preserve">company </w:t>
      </w:r>
      <w:r w:rsidRPr="0019323B">
        <w:t>whose</w:t>
      </w:r>
      <w:r w:rsidR="0003427D">
        <w:t xml:space="preserve"> combined</w:t>
      </w:r>
      <w:r w:rsidRPr="0019323B">
        <w:t xml:space="preserve"> </w:t>
      </w:r>
      <w:r w:rsidR="00EB60C5">
        <w:t xml:space="preserve">sales </w:t>
      </w:r>
      <w:r w:rsidR="00D10FAD">
        <w:t>and/</w:t>
      </w:r>
      <w:r w:rsidR="00EB60C5">
        <w:t xml:space="preserve">or purchases of financial services </w:t>
      </w:r>
      <w:r w:rsidR="003A7D71">
        <w:t>transactions</w:t>
      </w:r>
      <w:r w:rsidRPr="0019323B">
        <w:t xml:space="preserve"> </w:t>
      </w:r>
      <w:r w:rsidR="003A7D71">
        <w:t xml:space="preserve">with foreign persons </w:t>
      </w:r>
      <w:r w:rsidRPr="0019323B">
        <w:t>exceeded $</w:t>
      </w:r>
      <w:r w:rsidR="00EB60C5">
        <w:t xml:space="preserve">3 </w:t>
      </w:r>
      <w:r w:rsidR="00280E92">
        <w:t>million</w:t>
      </w:r>
      <w:r w:rsidRPr="0019323B">
        <w:t xml:space="preserve"> for the </w:t>
      </w:r>
      <w:r w:rsidR="00EB60C5">
        <w:t>2019</w:t>
      </w:r>
      <w:r w:rsidRPr="0019323B" w:rsidR="00EB60C5">
        <w:t xml:space="preserve"> </w:t>
      </w:r>
      <w:r w:rsidR="00EB60C5">
        <w:t>fiscal</w:t>
      </w:r>
      <w:r w:rsidRPr="0019323B" w:rsidR="00EB60C5">
        <w:t xml:space="preserve"> </w:t>
      </w:r>
      <w:r w:rsidRPr="0019323B">
        <w:t>year</w:t>
      </w:r>
      <w:r w:rsidR="00254EF9">
        <w:t xml:space="preserve"> on an accrual basis</w:t>
      </w:r>
      <w:r w:rsidR="00DD0E85">
        <w:t>,</w:t>
      </w:r>
      <w:r w:rsidR="00450730">
        <w:t xml:space="preserve"> </w:t>
      </w:r>
      <w:r w:rsidR="00537B8D">
        <w:t xml:space="preserve">in the </w:t>
      </w:r>
      <w:r w:rsidR="00EB60C5">
        <w:t xml:space="preserve">financial services </w:t>
      </w:r>
      <w:r w:rsidR="0003427D">
        <w:t>categories covered by the survey</w:t>
      </w:r>
      <w:r w:rsidR="00537B8D">
        <w:t xml:space="preserve">, </w:t>
      </w:r>
      <w:r w:rsidR="003B1FD3">
        <w:t>will</w:t>
      </w:r>
      <w:r w:rsidR="003B1FD3">
        <w:t xml:space="preserve"> </w:t>
      </w:r>
      <w:r w:rsidR="000133EE">
        <w:t xml:space="preserve">be required to </w:t>
      </w:r>
      <w:r w:rsidR="008F6727">
        <w:t xml:space="preserve">report </w:t>
      </w:r>
      <w:r w:rsidR="00450730">
        <w:t>data on</w:t>
      </w:r>
      <w:r w:rsidR="008F6727">
        <w:t xml:space="preserve"> </w:t>
      </w:r>
      <w:r w:rsidR="000133EE">
        <w:t>each</w:t>
      </w:r>
      <w:r w:rsidR="00C15A77">
        <w:t xml:space="preserve"> of the </w:t>
      </w:r>
      <w:r w:rsidR="008F6727">
        <w:t>type</w:t>
      </w:r>
      <w:r w:rsidR="004D039C">
        <w:t>s</w:t>
      </w:r>
      <w:r w:rsidR="008F6727">
        <w:t xml:space="preserve"> </w:t>
      </w:r>
      <w:r w:rsidR="000133EE">
        <w:t xml:space="preserve">of </w:t>
      </w:r>
      <w:r w:rsidR="008F6727">
        <w:t>transaction</w:t>
      </w:r>
      <w:r w:rsidR="004D039C">
        <w:t>s</w:t>
      </w:r>
      <w:r w:rsidR="008F6727">
        <w:t xml:space="preserve"> </w:t>
      </w:r>
      <w:r w:rsidR="00C15A77">
        <w:t>with totals</w:t>
      </w:r>
      <w:r w:rsidR="00D90B0A">
        <w:t xml:space="preserve"> disaggregated</w:t>
      </w:r>
      <w:r w:rsidR="008F6727">
        <w:t xml:space="preserve"> by country and </w:t>
      </w:r>
      <w:r w:rsidR="00C15A77">
        <w:t xml:space="preserve">by relationship to the foreign </w:t>
      </w:r>
      <w:r w:rsidR="00134C55">
        <w:t xml:space="preserve">transactor </w:t>
      </w:r>
      <w:r w:rsidRPr="00BB39EB" w:rsidR="005712E7">
        <w:t>(foreign affiliate, foreign parent group, or unaffiliated</w:t>
      </w:r>
      <w:r w:rsidR="00D47229">
        <w:t>)</w:t>
      </w:r>
      <w:r w:rsidRPr="0019323B">
        <w:t>.</w:t>
      </w:r>
      <w:r w:rsidR="00FB6BD9">
        <w:t xml:space="preserve"> Any U.S. </w:t>
      </w:r>
      <w:r w:rsidR="00D10FAD">
        <w:t xml:space="preserve">financial services </w:t>
      </w:r>
      <w:r w:rsidR="00134C55">
        <w:t>company</w:t>
      </w:r>
      <w:r w:rsidR="00D10FAD">
        <w:t xml:space="preserve"> </w:t>
      </w:r>
      <w:r w:rsidR="0003427D">
        <w:t xml:space="preserve">that had combined sales to, or purchases from </w:t>
      </w:r>
      <w:proofErr w:type="spellStart"/>
      <w:r w:rsidR="0003427D">
        <w:t>foreing</w:t>
      </w:r>
      <w:proofErr w:type="spellEnd"/>
      <w:r w:rsidR="0003427D">
        <w:t xml:space="preserve"> persons that were </w:t>
      </w:r>
      <w:r w:rsidR="00FB6BD9">
        <w:t>$</w:t>
      </w:r>
      <w:r w:rsidR="0003427D">
        <w:t xml:space="preserve">3 </w:t>
      </w:r>
      <w:r w:rsidR="00280E92">
        <w:t>million</w:t>
      </w:r>
      <w:r w:rsidR="00755FFF">
        <w:t xml:space="preserve"> or less</w:t>
      </w:r>
      <w:r w:rsidR="00254EF9">
        <w:t xml:space="preserve"> for the 2019 fiscal year on an accrual basis,</w:t>
      </w:r>
      <w:r w:rsidR="00FB6BD9">
        <w:t xml:space="preserve"> </w:t>
      </w:r>
      <w:r w:rsidR="0003427D">
        <w:t>in the financial services categories covered by the survey</w:t>
      </w:r>
      <w:r w:rsidR="00254EF9">
        <w:t>,</w:t>
      </w:r>
      <w:r w:rsidR="0003427D">
        <w:t xml:space="preserve"> </w:t>
      </w:r>
      <w:r w:rsidR="003B1FD3">
        <w:t>will</w:t>
      </w:r>
      <w:r w:rsidR="003B1FD3">
        <w:t xml:space="preserve"> </w:t>
      </w:r>
      <w:r w:rsidR="000133EE">
        <w:t>be</w:t>
      </w:r>
      <w:r w:rsidRPr="00517E47" w:rsidR="000133EE">
        <w:t xml:space="preserve"> </w:t>
      </w:r>
      <w:r w:rsidR="00FB6BD9">
        <w:t>required</w:t>
      </w:r>
      <w:r w:rsidRPr="00517E47" w:rsidR="00FB6BD9">
        <w:t xml:space="preserve"> to </w:t>
      </w:r>
      <w:r w:rsidR="008F6727">
        <w:t>report</w:t>
      </w:r>
      <w:r w:rsidRPr="00517E47" w:rsidR="008F6727">
        <w:t xml:space="preserve"> </w:t>
      </w:r>
      <w:r w:rsidRPr="00517E47" w:rsidR="00FB6BD9">
        <w:t>the total</w:t>
      </w:r>
      <w:r w:rsidR="0003427D">
        <w:t xml:space="preserve"> sales and/or purchases for</w:t>
      </w:r>
      <w:r w:rsidRPr="00517E47" w:rsidR="00FB6BD9">
        <w:t xml:space="preserve"> each type of </w:t>
      </w:r>
      <w:r w:rsidR="00FB6BD9">
        <w:t>transaction in which they engaged</w:t>
      </w:r>
      <w:r w:rsidRPr="00517E47" w:rsidR="00FB6BD9">
        <w:t>.</w:t>
      </w:r>
      <w:r>
        <w:t xml:space="preserve"> While the </w:t>
      </w:r>
      <w:r w:rsidR="005A22AD">
        <w:t xml:space="preserve">survey </w:t>
      </w:r>
      <w:r w:rsidR="003B1FD3">
        <w:t>will</w:t>
      </w:r>
      <w:r w:rsidR="003B1FD3">
        <w:t xml:space="preserve"> </w:t>
      </w:r>
      <w:r>
        <w:t xml:space="preserve">not collect data on total sales or other measures of the </w:t>
      </w:r>
      <w:r>
        <w:lastRenderedPageBreak/>
        <w:t>overall size of the respond</w:t>
      </w:r>
      <w:r w:rsidR="00775FCB">
        <w:t>ents</w:t>
      </w:r>
      <w:r>
        <w:t xml:space="preserve"> to the survey, historically the respondents to the existing quarterly survey of </w:t>
      </w:r>
      <w:r w:rsidR="00211DBD">
        <w:t xml:space="preserve">financial </w:t>
      </w:r>
      <w:r>
        <w:t xml:space="preserve">services </w:t>
      </w:r>
      <w:r w:rsidR="003263CE">
        <w:t xml:space="preserve">were </w:t>
      </w:r>
      <w:r>
        <w:t xml:space="preserve">major U.S. </w:t>
      </w:r>
      <w:r w:rsidR="00134C55">
        <w:t>corporations</w:t>
      </w:r>
      <w:r>
        <w:t xml:space="preserve">. </w:t>
      </w:r>
    </w:p>
    <w:p w:rsidR="00DC2709" w:rsidP="00DC2709" w:rsidRDefault="00DC2709"/>
    <w:p w:rsidR="007B7FD0" w:rsidP="007B7FD0" w:rsidRDefault="007B7FD0">
      <w:r>
        <w:t xml:space="preserve">This information collection excludes most small businesses from mandatory reporting. The reporting threshold for this survey is set at </w:t>
      </w:r>
      <w:r w:rsidR="000021EE">
        <w:t xml:space="preserve">a </w:t>
      </w:r>
      <w:r>
        <w:t>level that will exempt most small businesses from reporting</w:t>
      </w:r>
      <w:r w:rsidR="00573800">
        <w:t xml:space="preserve"> by country and </w:t>
      </w:r>
      <w:r w:rsidR="00130B2C">
        <w:t xml:space="preserve">by relationship to the foreign </w:t>
      </w:r>
      <w:r w:rsidR="00134C55">
        <w:t xml:space="preserve">transactor </w:t>
      </w:r>
      <w:r w:rsidRPr="00BB39EB" w:rsidR="00D47229">
        <w:t>(foreign affiliate, foreign parent group, or unaffiliated</w:t>
      </w:r>
      <w:r w:rsidR="00D47229">
        <w:t>)</w:t>
      </w:r>
      <w:r>
        <w:t xml:space="preserve">. Any small businesses that may be required to report would likely have engaged in </w:t>
      </w:r>
      <w:r w:rsidR="00442776">
        <w:t>a small number of</w:t>
      </w:r>
      <w:r>
        <w:t xml:space="preserve"> covered transactions</w:t>
      </w:r>
      <w:r w:rsidR="008F51CA">
        <w:t>.</w:t>
      </w:r>
      <w:r w:rsidR="00770D2F">
        <w:t xml:space="preserve"> </w:t>
      </w:r>
      <w:r w:rsidR="008F51CA">
        <w:t>T</w:t>
      </w:r>
      <w:r>
        <w:t>herefore</w:t>
      </w:r>
      <w:r w:rsidR="008F51CA">
        <w:t>, they would</w:t>
      </w:r>
      <w:r>
        <w:t xml:space="preserve"> be expected </w:t>
      </w:r>
      <w:r w:rsidR="008F51CA">
        <w:t xml:space="preserve">to </w:t>
      </w:r>
      <w:r>
        <w:t xml:space="preserve">experience less than the average burden of </w:t>
      </w:r>
      <w:r w:rsidR="006366B0">
        <w:t xml:space="preserve">4 </w:t>
      </w:r>
      <w:r>
        <w:t>hours per response</w:t>
      </w:r>
      <w:r w:rsidR="008F51CA">
        <w:t xml:space="preserve"> since the additional country and affiliation detail collected on the mandatory schedules </w:t>
      </w:r>
      <w:r w:rsidR="003B1FD3">
        <w:t>will</w:t>
      </w:r>
      <w:r w:rsidR="003B1FD3">
        <w:t xml:space="preserve"> </w:t>
      </w:r>
      <w:r w:rsidR="008F51CA">
        <w:t>not be required</w:t>
      </w:r>
      <w:r>
        <w:t xml:space="preserve">. Even if the responses for small businesses took the expected average burden of </w:t>
      </w:r>
      <w:r w:rsidR="006366B0">
        <w:t>4</w:t>
      </w:r>
      <w:r w:rsidR="0003427D">
        <w:t xml:space="preserve"> </w:t>
      </w:r>
      <w:r>
        <w:t>hours per response, that would not constitute a significant impact on any small business or other entity.</w:t>
      </w:r>
    </w:p>
    <w:p w:rsidR="007B7FD0" w:rsidP="007B7FD0" w:rsidRDefault="007B7FD0"/>
    <w:p w:rsidR="007B7FD0" w:rsidP="007B7FD0" w:rsidRDefault="007B7FD0">
      <w:r>
        <w:t>Finally, to reduce burden, respondents may provide estimates of their transactions with foreign persons where precise data cannot be obtained without undue burden.</w:t>
      </w:r>
    </w:p>
    <w:p w:rsidRPr="00E528BB" w:rsidR="00DC2709" w:rsidP="000C5729" w:rsidRDefault="00DC2709">
      <w:pPr>
        <w:rPr>
          <w:b/>
        </w:rPr>
      </w:pPr>
    </w:p>
    <w:p w:rsidRPr="00E528BB" w:rsidR="000C5729" w:rsidP="000C5729" w:rsidRDefault="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rsidRDefault="000C5729">
      <w:pPr>
        <w:rPr>
          <w:b/>
        </w:rPr>
      </w:pPr>
    </w:p>
    <w:p w:rsidR="007B7FD0" w:rsidP="007B7FD0" w:rsidRDefault="007B7FD0">
      <w:r w:rsidRPr="00576DEE">
        <w:rPr>
          <w:rFonts w:cs="Arial"/>
        </w:rPr>
        <w:t xml:space="preserve">This </w:t>
      </w:r>
      <w:r>
        <w:rPr>
          <w:rFonts w:cs="Arial"/>
        </w:rPr>
        <w:t xml:space="preserve">is a benchmark </w:t>
      </w:r>
      <w:r w:rsidRPr="00576DEE">
        <w:rPr>
          <w:rFonts w:cs="Arial"/>
        </w:rPr>
        <w:t xml:space="preserve">survey </w:t>
      </w:r>
      <w:r>
        <w:rPr>
          <w:rFonts w:cs="Arial"/>
        </w:rPr>
        <w:t>designed</w:t>
      </w:r>
      <w:r w:rsidRPr="00576DEE">
        <w:rPr>
          <w:rFonts w:cs="Arial"/>
        </w:rPr>
        <w:t xml:space="preserve"> to yield universe data for the covered</w:t>
      </w:r>
      <w:r>
        <w:rPr>
          <w:rFonts w:cs="Arial"/>
        </w:rPr>
        <w:t xml:space="preserve"> U.S. international </w:t>
      </w:r>
      <w:r w:rsidR="00E60782">
        <w:t xml:space="preserve">financial </w:t>
      </w:r>
      <w:r>
        <w:t>services</w:t>
      </w:r>
      <w:r w:rsidR="00D550D6">
        <w:t xml:space="preserve"> transactions</w:t>
      </w:r>
      <w:r w:rsidRPr="00576DEE">
        <w:rPr>
          <w:rFonts w:cs="Arial"/>
        </w:rPr>
        <w:t>. In non</w:t>
      </w:r>
      <w:r>
        <w:rPr>
          <w:rFonts w:cs="Arial"/>
        </w:rPr>
        <w:t>-</w:t>
      </w:r>
      <w:r w:rsidRPr="00576DEE">
        <w:rPr>
          <w:rFonts w:cs="Arial"/>
        </w:rPr>
        <w:t>benchmark years, universe estimates covering these transactions will be derived from the sample data reported on BEA’s</w:t>
      </w:r>
      <w:r w:rsidR="00FF09E7">
        <w:rPr>
          <w:rFonts w:cs="Arial"/>
        </w:rPr>
        <w:t xml:space="preserve"> BE-</w:t>
      </w:r>
      <w:r w:rsidR="0062087F">
        <w:rPr>
          <w:rFonts w:cs="Arial"/>
        </w:rPr>
        <w:t>18</w:t>
      </w:r>
      <w:r w:rsidR="00FF09E7">
        <w:rPr>
          <w:rFonts w:cs="Arial"/>
        </w:rPr>
        <w:t>5</w:t>
      </w:r>
      <w:r w:rsidRPr="00576DEE">
        <w:rPr>
          <w:rFonts w:cs="Arial"/>
        </w:rPr>
        <w:t xml:space="preserve"> </w:t>
      </w:r>
      <w:r w:rsidR="00FF09E7">
        <w:rPr>
          <w:rFonts w:cs="Arial"/>
        </w:rPr>
        <w:t xml:space="preserve">Survey </w:t>
      </w:r>
      <w:r w:rsidRPr="00576DEE">
        <w:rPr>
          <w:rFonts w:cs="Arial"/>
        </w:rPr>
        <w:t xml:space="preserve">by extrapolating </w:t>
      </w:r>
      <w:r>
        <w:rPr>
          <w:rFonts w:cs="Arial"/>
        </w:rPr>
        <w:t xml:space="preserve">from </w:t>
      </w:r>
      <w:r w:rsidRPr="00576DEE">
        <w:rPr>
          <w:rFonts w:cs="Arial"/>
        </w:rPr>
        <w:t xml:space="preserve">the universe data collected on the benchmark survey. </w:t>
      </w:r>
      <w:r w:rsidR="003A7D71">
        <w:t>The</w:t>
      </w:r>
      <w:r w:rsidR="00C837EA">
        <w:t xml:space="preserve"> BE-</w:t>
      </w:r>
      <w:r w:rsidR="0062087F">
        <w:t xml:space="preserve">180 </w:t>
      </w:r>
      <w:r w:rsidR="00C837EA">
        <w:t xml:space="preserve">benchmark survey is conducted once every five years. </w:t>
      </w:r>
      <w:r w:rsidRPr="000B1594">
        <w:t xml:space="preserve">The benchmark survey data are updated between benchmark years by means of quarterly sample surveys that </w:t>
      </w:r>
      <w:r w:rsidR="003E0395">
        <w:t xml:space="preserve">collect similar information but at a higher reporting threshold for the covered </w:t>
      </w:r>
      <w:r w:rsidR="0062087F">
        <w:t xml:space="preserve">financial services </w:t>
      </w:r>
      <w:r w:rsidR="003E0395">
        <w:t>transactions</w:t>
      </w:r>
      <w:r w:rsidRPr="000B1594">
        <w:t xml:space="preserve">. A period beyond the normal benchmark interval would require reliance on universe estimates linked to an aging base. The reliability of the estimates becomes increasingly questionable as the base ages. </w:t>
      </w:r>
      <w:r w:rsidRPr="00576DEE">
        <w:rPr>
          <w:rFonts w:cs="Arial"/>
        </w:rPr>
        <w:t xml:space="preserve">This problem is particularly serious during a period when </w:t>
      </w:r>
      <w:r>
        <w:rPr>
          <w:rFonts w:cs="Arial"/>
        </w:rPr>
        <w:t xml:space="preserve">international </w:t>
      </w:r>
      <w:r w:rsidRPr="00576DEE">
        <w:rPr>
          <w:rFonts w:cs="Arial"/>
        </w:rPr>
        <w:t xml:space="preserve">trade in </w:t>
      </w:r>
      <w:r w:rsidR="00AA3D60">
        <w:rPr>
          <w:rFonts w:cs="Arial"/>
        </w:rPr>
        <w:t xml:space="preserve">financial </w:t>
      </w:r>
      <w:r>
        <w:rPr>
          <w:rFonts w:cs="Arial"/>
        </w:rPr>
        <w:t>s</w:t>
      </w:r>
      <w:r w:rsidRPr="00576DEE">
        <w:rPr>
          <w:rFonts w:cs="Arial"/>
        </w:rPr>
        <w:t>ervices</w:t>
      </w:r>
      <w:r w:rsidR="00B45929">
        <w:rPr>
          <w:rFonts w:cs="Arial"/>
        </w:rPr>
        <w:t xml:space="preserve"> </w:t>
      </w:r>
      <w:r w:rsidRPr="00576DEE">
        <w:rPr>
          <w:rFonts w:cs="Arial"/>
        </w:rPr>
        <w:t>is growing rapidly in size, variety, and complexity, and as the geographic pattern of trade changes, due partly to the expansion of trade with emerging economies.</w:t>
      </w:r>
      <w:r>
        <w:rPr>
          <w:rFonts w:cs="Arial"/>
        </w:rPr>
        <w:t xml:space="preserve"> </w:t>
      </w:r>
      <w:r w:rsidRPr="000B1594">
        <w:t>Conducting the survey less frequently would also reduce the timelin</w:t>
      </w:r>
      <w:r>
        <w:t>ess of the detailed information</w:t>
      </w:r>
      <w:r w:rsidRPr="000B1594">
        <w:t xml:space="preserve"> collected only </w:t>
      </w:r>
      <w:r>
        <w:t>o</w:t>
      </w:r>
      <w:r w:rsidRPr="000B1594">
        <w:t xml:space="preserve">n </w:t>
      </w:r>
      <w:r>
        <w:t>benchmark surveys</w:t>
      </w:r>
      <w:r w:rsidRPr="000B1594">
        <w:t xml:space="preserve"> </w:t>
      </w:r>
      <w:r>
        <w:t>that is</w:t>
      </w:r>
      <w:r w:rsidRPr="000B1594">
        <w:t xml:space="preserve"> needed for policymaking purposes.</w:t>
      </w:r>
    </w:p>
    <w:p w:rsidR="00C16893" w:rsidP="004D7EFF" w:rsidRDefault="00C16893"/>
    <w:p w:rsidRPr="00E528BB" w:rsidR="00714E1B" w:rsidP="00714E1B" w:rsidRDefault="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Pr="00E528BB" w:rsidR="00714E1B" w:rsidP="00714E1B" w:rsidRDefault="00714E1B">
      <w:pPr>
        <w:rPr>
          <w:b/>
        </w:rPr>
      </w:pPr>
    </w:p>
    <w:p w:rsidRPr="00E528BB" w:rsidR="00714E1B" w:rsidP="00714E1B" w:rsidRDefault="00714E1B">
      <w:r w:rsidRPr="00E528BB">
        <w:t xml:space="preserve">No aspects of the </w:t>
      </w:r>
      <w:r w:rsidR="00380987">
        <w:t>BE-</w:t>
      </w:r>
      <w:r w:rsidR="0062087F">
        <w:t xml:space="preserve">180 </w:t>
      </w:r>
      <w:r w:rsidRPr="005D1250" w:rsidR="0062087F">
        <w:t xml:space="preserve">Benchmark Survey of </w:t>
      </w:r>
      <w:r w:rsidR="0062087F">
        <w:t xml:space="preserve">Financial Services </w:t>
      </w:r>
      <w:r w:rsidRPr="005D1250" w:rsidR="0062087F">
        <w:t xml:space="preserve">Transactions </w:t>
      </w:r>
      <w:r w:rsidR="0062087F">
        <w:t>between U.S. Financial Services Providers and</w:t>
      </w:r>
      <w:r w:rsidRPr="005D1250" w:rsidR="0062087F">
        <w:t xml:space="preserve"> Foreign Persons</w:t>
      </w:r>
      <w:r w:rsidRPr="00E528BB">
        <w:t xml:space="preserve"> require a special justification.</w:t>
      </w:r>
    </w:p>
    <w:p w:rsidRPr="00E528BB" w:rsidR="00714E1B" w:rsidP="00714E1B" w:rsidRDefault="00714E1B"/>
    <w:p w:rsidRPr="00E528BB" w:rsidR="00714E1B" w:rsidP="00714E1B" w:rsidRDefault="00714E1B">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Pr="00E528BB" w:rsidR="00714E1B" w:rsidP="00714E1B" w:rsidRDefault="00714E1B"/>
    <w:p w:rsidR="000F1D61" w:rsidP="000F1D61" w:rsidRDefault="000F1D61">
      <w:bookmarkStart w:name="_Hlk29284530" w:id="0"/>
      <w:r>
        <w:lastRenderedPageBreak/>
        <w:t xml:space="preserve">In </w:t>
      </w:r>
      <w:r w:rsidR="0062087F">
        <w:t>November</w:t>
      </w:r>
      <w:r>
        <w:t xml:space="preserve"> 201</w:t>
      </w:r>
      <w:r w:rsidR="0062087F">
        <w:t>9</w:t>
      </w:r>
      <w:r>
        <w:t xml:space="preserve">, BEA contacted </w:t>
      </w:r>
      <w:r w:rsidRPr="004D5B5B">
        <w:t xml:space="preserve">nine large </w:t>
      </w:r>
      <w:r w:rsidR="00E50933">
        <w:t>respondents</w:t>
      </w:r>
      <w:r w:rsidRPr="004D5B5B">
        <w:t xml:space="preserve"> currently fil</w:t>
      </w:r>
      <w:r>
        <w:t>ing</w:t>
      </w:r>
      <w:r w:rsidRPr="004D5B5B">
        <w:t xml:space="preserve"> </w:t>
      </w:r>
      <w:r>
        <w:t>transactions on the BE-</w:t>
      </w:r>
      <w:r w:rsidR="0062087F">
        <w:t xml:space="preserve">185 </w:t>
      </w:r>
      <w:r>
        <w:t>quarterly survey</w:t>
      </w:r>
      <w:r w:rsidR="0062087F">
        <w:t xml:space="preserve"> </w:t>
      </w:r>
      <w:r>
        <w:t xml:space="preserve">to discuss if they would be able to report </w:t>
      </w:r>
      <w:r w:rsidR="0062087F">
        <w:t>additional details</w:t>
      </w:r>
      <w:r w:rsidR="00AA3D60">
        <w:t>, for both sales and purchases,</w:t>
      </w:r>
      <w:r w:rsidR="0062087F">
        <w:t xml:space="preserve"> about: 1) financial management transactions by type of account, 2) performance (incentive fees) based on </w:t>
      </w:r>
      <w:r w:rsidR="005C3B6F">
        <w:t xml:space="preserve">the </w:t>
      </w:r>
      <w:r w:rsidR="0062087F">
        <w:t xml:space="preserve">periods during the </w:t>
      </w:r>
      <w:r w:rsidR="005C3B6F">
        <w:t xml:space="preserve">fiscal </w:t>
      </w:r>
      <w:r w:rsidR="0062087F">
        <w:t>year</w:t>
      </w:r>
      <w:r w:rsidR="005C3B6F">
        <w:t xml:space="preserve"> in which they were received and/or paid</w:t>
      </w:r>
      <w:r w:rsidR="0062087F">
        <w:t>,</w:t>
      </w:r>
      <w:r w:rsidR="00451246">
        <w:t xml:space="preserve"> for respondents with financial management transactions,</w:t>
      </w:r>
      <w:r w:rsidR="0062087F">
        <w:t xml:space="preserve"> 3) information about </w:t>
      </w:r>
      <w:r w:rsidR="00451246">
        <w:t xml:space="preserve">financial services that were </w:t>
      </w:r>
      <w:r w:rsidR="009B2160">
        <w:t xml:space="preserve">performed </w:t>
      </w:r>
      <w:r w:rsidR="00451246">
        <w:t xml:space="preserve">remotely, e.g. where both the supplier and the consumer were in </w:t>
      </w:r>
      <w:r w:rsidR="00BA39F6">
        <w:t>different</w:t>
      </w:r>
      <w:r w:rsidR="00451246">
        <w:t xml:space="preserve"> territories when the service was delivered</w:t>
      </w:r>
      <w:r w:rsidR="0062087F">
        <w:t xml:space="preserve">, </w:t>
      </w:r>
      <w:r w:rsidR="005C3B6F">
        <w:t>for the</w:t>
      </w:r>
      <w:r w:rsidR="0062087F">
        <w:t xml:space="preserve"> transaction categories</w:t>
      </w:r>
      <w:r w:rsidR="005C3B6F">
        <w:t xml:space="preserve"> covered by the survey</w:t>
      </w:r>
      <w:r w:rsidR="0062087F">
        <w:t xml:space="preserve">, as well as the identification of </w:t>
      </w:r>
      <w:r w:rsidR="009B2160">
        <w:t>how services not performed remotely were typically performed (e.g. by the provider traveling to the consumer or by the consumer traveling to the provider)</w:t>
      </w:r>
      <w:r w:rsidR="007321EF">
        <w:t xml:space="preserve">; and 4) </w:t>
      </w:r>
      <w:r w:rsidR="009B2160">
        <w:t>cryptocurrency-</w:t>
      </w:r>
      <w:r w:rsidR="007321EF">
        <w:t>related financial services transactions</w:t>
      </w:r>
      <w:r w:rsidR="0062087F">
        <w:t xml:space="preserve">. To minimize the impact on </w:t>
      </w:r>
      <w:r w:rsidR="00E50933">
        <w:t>respondent</w:t>
      </w:r>
      <w:r w:rsidR="0062087F">
        <w:t xml:space="preserve"> burden associated with expanding on this data collection,</w:t>
      </w:r>
      <w:r>
        <w:t xml:space="preserve"> U.S. </w:t>
      </w:r>
      <w:r w:rsidR="00B07D6C">
        <w:t xml:space="preserve">financial services </w:t>
      </w:r>
      <w:r w:rsidR="005C3B6F">
        <w:t xml:space="preserve">companies </w:t>
      </w:r>
      <w:r w:rsidR="0062087F">
        <w:t>were informed that this information would not be collected based on the</w:t>
      </w:r>
      <w:r>
        <w:t xml:space="preserve"> relationship to the foreign </w:t>
      </w:r>
      <w:r w:rsidR="005C3B6F">
        <w:t xml:space="preserve">transactor </w:t>
      </w:r>
      <w:r w:rsidRPr="00BB39EB" w:rsidR="00D47229">
        <w:t>(foreign affiliate, foreign parent group, or unaffiliated</w:t>
      </w:r>
      <w:r w:rsidR="00A17F1A">
        <w:t>)</w:t>
      </w:r>
      <w:r>
        <w:t xml:space="preserve">. </w:t>
      </w:r>
      <w:r w:rsidR="009E4B3B">
        <w:t>S</w:t>
      </w:r>
      <w:r w:rsidR="00B02F54">
        <w:t xml:space="preserve">even of the nine </w:t>
      </w:r>
      <w:r w:rsidR="009E4B3B">
        <w:t xml:space="preserve">respondents BEA </w:t>
      </w:r>
      <w:r w:rsidR="00B02F54">
        <w:t>contacted</w:t>
      </w:r>
      <w:r>
        <w:t xml:space="preserve"> verified that it is feasible </w:t>
      </w:r>
      <w:r w:rsidR="005543B0">
        <w:t>to report this information</w:t>
      </w:r>
      <w:r>
        <w:t xml:space="preserve">. </w:t>
      </w:r>
    </w:p>
    <w:bookmarkEnd w:id="0"/>
    <w:p w:rsidR="000F1D61" w:rsidP="000F1D61" w:rsidRDefault="000F1D61"/>
    <w:p w:rsidR="000F1D61" w:rsidP="000F1D61" w:rsidRDefault="000C58A7">
      <w:r>
        <w:t>Enhancements made to the 2017 BE-120 Benchmark Survey of Transactions in Selected Services and Intellectual Property with Foreign Persons and the 2018 BE-140 Benchmark Survey of Insurance Transactions by U.S. Insurance Companies with Foreign Persons will also be incorporated into the 2019 BE-180 survey</w:t>
      </w:r>
      <w:r w:rsidR="003B5925">
        <w:t xml:space="preserve">. </w:t>
      </w:r>
      <w:r w:rsidRPr="000A571B" w:rsidR="000F1D61">
        <w:t xml:space="preserve">As part of the development of the revised </w:t>
      </w:r>
      <w:r w:rsidR="000F1D61">
        <w:t xml:space="preserve">2017 </w:t>
      </w:r>
      <w:r w:rsidRPr="000A571B" w:rsidR="000F1D61">
        <w:t>BE-120</w:t>
      </w:r>
      <w:r w:rsidR="000F1D61">
        <w:t xml:space="preserve"> Benchmark Survey of Transactions in Selected Service and Intellectual Property with Foreign Persons, BEA engaged with </w:t>
      </w:r>
      <w:r w:rsidRPr="00400935" w:rsidR="000F1D61">
        <w:t xml:space="preserve">staff from the Data Collection Methodology </w:t>
      </w:r>
      <w:r w:rsidR="000F1D61">
        <w:t>and</w:t>
      </w:r>
      <w:r w:rsidRPr="00400935" w:rsidR="000F1D61">
        <w:t xml:space="preserve"> Research Branch (DCMRB) in the Economic Statistical Methods Division (ESMD) </w:t>
      </w:r>
      <w:r w:rsidR="000F1D61">
        <w:t>of</w:t>
      </w:r>
      <w:r w:rsidRPr="00400935" w:rsidR="000F1D61">
        <w:t xml:space="preserve"> the U.S</w:t>
      </w:r>
      <w:r w:rsidRPr="004A15BC" w:rsidR="000F1D61">
        <w:t>. Census Bureau</w:t>
      </w:r>
      <w:r w:rsidR="000F1D61">
        <w:t xml:space="preserve"> to undertake </w:t>
      </w:r>
      <w:r w:rsidR="003263CE">
        <w:t xml:space="preserve">a </w:t>
      </w:r>
      <w:r w:rsidR="000F1D61">
        <w:t xml:space="preserve">cognitive </w:t>
      </w:r>
      <w:r w:rsidR="003263CE">
        <w:t xml:space="preserve">review of </w:t>
      </w:r>
      <w:r w:rsidR="000F1D61">
        <w:t>the survey</w:t>
      </w:r>
      <w:r w:rsidRPr="004A15BC" w:rsidR="000F1D61">
        <w:t xml:space="preserve">. In </w:t>
      </w:r>
      <w:r w:rsidR="000F1D61">
        <w:t>September 2017</w:t>
      </w:r>
      <w:r w:rsidRPr="004A15BC" w:rsidR="000F1D61">
        <w:t xml:space="preserve">, DCMRB </w:t>
      </w:r>
      <w:r w:rsidR="000F1D61">
        <w:t xml:space="preserve">provided </w:t>
      </w:r>
      <w:r w:rsidR="00C07FCA">
        <w:t xml:space="preserve">a </w:t>
      </w:r>
      <w:r w:rsidRPr="004A15BC" w:rsidR="000F1D61">
        <w:t>comprehensive</w:t>
      </w:r>
      <w:r w:rsidR="000F1D61">
        <w:t xml:space="preserve"> </w:t>
      </w:r>
      <w:r w:rsidR="003263CE">
        <w:t xml:space="preserve">report of </w:t>
      </w:r>
      <w:r w:rsidRPr="0082557F" w:rsidR="000F1D61">
        <w:t>findings and recommendation</w:t>
      </w:r>
      <w:r w:rsidR="003263CE">
        <w:t>s</w:t>
      </w:r>
      <w:r w:rsidRPr="0082557F" w:rsidR="000F1D61">
        <w:t xml:space="preserve"> that summarize</w:t>
      </w:r>
      <w:r w:rsidR="000F1D61">
        <w:t>d</w:t>
      </w:r>
      <w:r w:rsidRPr="0082557F" w:rsidR="000F1D61">
        <w:t xml:space="preserve"> the results of the expert reviews</w:t>
      </w:r>
      <w:r w:rsidR="000F1D61">
        <w:t xml:space="preserve"> and</w:t>
      </w:r>
      <w:r w:rsidRPr="0082557F" w:rsidR="000F1D61">
        <w:t xml:space="preserve"> cognitive interviews. </w:t>
      </w:r>
      <w:r w:rsidR="000F1D61">
        <w:t xml:space="preserve">BEA used this information to redesign the </w:t>
      </w:r>
      <w:r w:rsidR="0062087F">
        <w:t xml:space="preserve">2017 </w:t>
      </w:r>
      <w:r w:rsidR="000F1D61">
        <w:t xml:space="preserve">BE-120 </w:t>
      </w:r>
      <w:r w:rsidR="0062087F">
        <w:t xml:space="preserve">and 2018 BE-140 </w:t>
      </w:r>
      <w:r w:rsidR="000F1D61">
        <w:t>survey</w:t>
      </w:r>
      <w:r w:rsidR="0062087F">
        <w:t>s</w:t>
      </w:r>
      <w:r w:rsidR="000F1D61">
        <w:t xml:space="preserve">, improving on the survey format and clarifying instructions. </w:t>
      </w:r>
    </w:p>
    <w:p w:rsidR="00882CBF" w:rsidP="002C1B90" w:rsidRDefault="000E4B97">
      <w:pPr>
        <w:pStyle w:val="ListParagraph"/>
        <w:ind w:left="0"/>
        <w:contextualSpacing/>
      </w:pPr>
      <w:r w:rsidDel="000E4B97">
        <w:t xml:space="preserve"> </w:t>
      </w:r>
    </w:p>
    <w:p w:rsidRPr="00E528BB" w:rsidR="00714E1B" w:rsidP="002F0A2F" w:rsidRDefault="00714E1B">
      <w:pPr>
        <w:pStyle w:val="ListParagraph"/>
        <w:ind w:left="0"/>
        <w:contextualSpacing/>
        <w:rPr>
          <w:b/>
        </w:rPr>
      </w:pPr>
      <w:r w:rsidRPr="00E528BB">
        <w:rPr>
          <w:b/>
        </w:rPr>
        <w:t xml:space="preserve">9.  </w:t>
      </w:r>
      <w:r w:rsidRPr="00E528BB">
        <w:rPr>
          <w:b/>
          <w:u w:val="single"/>
        </w:rPr>
        <w:t>Explain any decisions to provide payments or gifts to respondents, other than remuneration of contractors or grantees</w:t>
      </w:r>
      <w:r w:rsidRPr="00E528BB">
        <w:rPr>
          <w:b/>
        </w:rPr>
        <w:t>.</w:t>
      </w:r>
    </w:p>
    <w:p w:rsidRPr="00E528BB" w:rsidR="00714E1B" w:rsidP="00714E1B" w:rsidRDefault="00714E1B"/>
    <w:p w:rsidRPr="00E528BB" w:rsidR="00714E1B" w:rsidP="00714E1B" w:rsidRDefault="0063415B">
      <w:r>
        <w:t xml:space="preserve">No payments or gifts to the respondents will be made.  </w:t>
      </w:r>
    </w:p>
    <w:p w:rsidR="00C16893" w:rsidP="004D7EFF" w:rsidRDefault="00C16893"/>
    <w:p w:rsidRPr="00E528BB" w:rsidR="00F51A14" w:rsidP="00F51A14" w:rsidRDefault="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Pr="00E528BB" w:rsidR="00F51A14" w:rsidP="00F51A14" w:rsidRDefault="00F51A14">
      <w:pPr>
        <w:rPr>
          <w:b/>
        </w:rPr>
      </w:pPr>
    </w:p>
    <w:p w:rsidR="00957179" w:rsidP="00DC2709" w:rsidRDefault="00DC2709">
      <w:pPr>
        <w:autoSpaceDE w:val="0"/>
        <w:autoSpaceDN w:val="0"/>
        <w:adjustRightInd w:val="0"/>
        <w:rPr>
          <w:bCs/>
        </w:rPr>
      </w:pPr>
      <w:r>
        <w:rPr>
          <w:bCs/>
        </w:rPr>
        <w:t>BEA provides respondents with assurance that it will keep the reported data confidential. The following statement is taken directly from the reporting instructions for the survey:</w:t>
      </w:r>
    </w:p>
    <w:p w:rsidR="00957179" w:rsidP="001F4ED5" w:rsidRDefault="00957179">
      <w:pPr>
        <w:autoSpaceDE w:val="0"/>
        <w:autoSpaceDN w:val="0"/>
        <w:adjustRightInd w:val="0"/>
        <w:ind w:left="720"/>
        <w:rPr>
          <w:bCs/>
        </w:rPr>
      </w:pPr>
    </w:p>
    <w:p w:rsidRPr="000B1594" w:rsidR="00DC2709" w:rsidP="001F4ED5" w:rsidRDefault="00DC2709">
      <w:pPr>
        <w:autoSpaceDE w:val="0"/>
        <w:autoSpaceDN w:val="0"/>
        <w:adjustRightInd w:val="0"/>
        <w:ind w:left="720"/>
      </w:pPr>
      <w:r>
        <w:rPr>
          <w:bCs/>
        </w:rPr>
        <w:t>“</w:t>
      </w:r>
      <w:r w:rsidRPr="00B11527">
        <w:rPr>
          <w:b/>
          <w:bCs/>
        </w:rPr>
        <w:t xml:space="preserve">Confidentiality – </w:t>
      </w:r>
      <w:r w:rsidRPr="00B11527">
        <w:t xml:space="preserve">The Act provides that your report </w:t>
      </w:r>
      <w:r w:rsidR="00A1117B">
        <w:t xml:space="preserve">to this Bureau </w:t>
      </w:r>
      <w:r w:rsidRPr="00B11527">
        <w:t>is</w:t>
      </w:r>
      <w:r>
        <w:t xml:space="preserve"> </w:t>
      </w:r>
      <w:r w:rsidR="0097108F">
        <w:rPr>
          <w:b/>
        </w:rPr>
        <w:t xml:space="preserve">confidential </w:t>
      </w:r>
      <w:r w:rsidRPr="00B11527">
        <w:t>and may be used only for analytical or statistical</w:t>
      </w:r>
      <w:r>
        <w:t xml:space="preserve"> </w:t>
      </w:r>
      <w:r w:rsidRPr="00B11527">
        <w:t>purposes. Without your prior written permission, the information</w:t>
      </w:r>
      <w:r>
        <w:t xml:space="preserve"> </w:t>
      </w:r>
      <w:r w:rsidRPr="00B11527">
        <w:t xml:space="preserve">filed in your report </w:t>
      </w:r>
      <w:r w:rsidR="0097108F">
        <w:rPr>
          <w:b/>
        </w:rPr>
        <w:t>cannot</w:t>
      </w:r>
      <w:r w:rsidRPr="00B11527">
        <w:t xml:space="preserve"> be presented in a manner that allows</w:t>
      </w:r>
      <w:r>
        <w:t xml:space="preserve"> </w:t>
      </w:r>
      <w:r w:rsidRPr="00B11527">
        <w:t>it to be individually identified.</w:t>
      </w:r>
      <w:r>
        <w:t xml:space="preserve"> Y</w:t>
      </w:r>
      <w:r w:rsidRPr="00B11527">
        <w:t xml:space="preserve">our report </w:t>
      </w:r>
      <w:r w:rsidR="0097108F">
        <w:rPr>
          <w:b/>
        </w:rPr>
        <w:t>cannot</w:t>
      </w:r>
      <w:r w:rsidRPr="00B11527">
        <w:t xml:space="preserve"> be used for</w:t>
      </w:r>
      <w:r>
        <w:t xml:space="preserve"> </w:t>
      </w:r>
      <w:r w:rsidRPr="00B11527">
        <w:t>purposes of taxation, investigation, or regulation.</w:t>
      </w:r>
      <w:r>
        <w:t xml:space="preserve"> </w:t>
      </w:r>
      <w:r w:rsidRPr="00B11527">
        <w:t>Copies retained</w:t>
      </w:r>
      <w:r>
        <w:t xml:space="preserve"> </w:t>
      </w:r>
      <w:r w:rsidRPr="00B11527">
        <w:t>in your files are immune from legal process.</w:t>
      </w:r>
      <w:r w:rsidR="003B4A69">
        <w:t xml:space="preserve"> </w:t>
      </w:r>
      <w:r w:rsidRPr="00E02F90" w:rsidR="003B4A69">
        <w:t>Per the Cybersecurity Enhancement Act of 2015, your data are protected from cybersecurity risks through security monitoring of the BEA information systems.”</w:t>
      </w:r>
    </w:p>
    <w:p w:rsidR="00DC2709" w:rsidP="00DD79AC" w:rsidRDefault="00DC2709">
      <w:pPr>
        <w:autoSpaceDE w:val="0"/>
        <w:autoSpaceDN w:val="0"/>
        <w:adjustRightInd w:val="0"/>
      </w:pPr>
    </w:p>
    <w:p w:rsidR="00DC2709" w:rsidP="00DD79AC" w:rsidRDefault="00DC2709">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w:t>
      </w:r>
      <w:r w:rsidRPr="000B1594">
        <w:lastRenderedPageBreak/>
        <w:t>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rsidRDefault="00DC2709">
      <w:pPr>
        <w:autoSpaceDE w:val="0"/>
        <w:autoSpaceDN w:val="0"/>
        <w:adjustRightInd w:val="0"/>
      </w:pPr>
    </w:p>
    <w:p w:rsidRPr="00E528BB" w:rsidR="00F51A14" w:rsidP="00F51A14" w:rsidRDefault="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Pr="00E528BB" w:rsidR="00F51A14" w:rsidP="00F51A14" w:rsidRDefault="00F51A14">
      <w:pPr>
        <w:rPr>
          <w:b/>
        </w:rPr>
      </w:pPr>
    </w:p>
    <w:p w:rsidRPr="00E528BB" w:rsidR="00F51A14" w:rsidP="00F51A14" w:rsidRDefault="00F51A14">
      <w:r w:rsidRPr="00E528BB">
        <w:t>No questions of a sensitive nature are asked.</w:t>
      </w:r>
    </w:p>
    <w:p w:rsidRPr="00E528BB" w:rsidR="00F51A14" w:rsidP="00F51A14" w:rsidRDefault="00F51A14"/>
    <w:p w:rsidRPr="00E528BB" w:rsidR="00F51A14" w:rsidP="00F51A14" w:rsidRDefault="00F51A14">
      <w:pPr>
        <w:rPr>
          <w:b/>
        </w:rPr>
      </w:pPr>
      <w:r w:rsidRPr="00E528BB">
        <w:rPr>
          <w:b/>
        </w:rPr>
        <w:t xml:space="preserve">12.  </w:t>
      </w:r>
      <w:r w:rsidRPr="00E528BB">
        <w:rPr>
          <w:b/>
          <w:u w:val="single"/>
        </w:rPr>
        <w:t>Provide estimates of the hour burden of the collection of information</w:t>
      </w:r>
      <w:r w:rsidRPr="00E528BB">
        <w:rPr>
          <w:b/>
        </w:rPr>
        <w:t>.</w:t>
      </w:r>
    </w:p>
    <w:p w:rsidRPr="00E528BB" w:rsidR="00F51A14" w:rsidP="00F51A14" w:rsidRDefault="00F51A14">
      <w:pPr>
        <w:rPr>
          <w:b/>
        </w:rPr>
      </w:pPr>
    </w:p>
    <w:p w:rsidRPr="00713DE1" w:rsidR="002205DC" w:rsidP="002205DC" w:rsidRDefault="002205DC">
      <w:pPr>
        <w:tabs>
          <w:tab w:val="left" w:pos="-1080"/>
          <w:tab w:val="left" w:pos="-720"/>
          <w:tab w:val="left" w:pos="0"/>
          <w:tab w:val="left" w:pos="360"/>
          <w:tab w:val="left" w:pos="540"/>
          <w:tab w:val="left" w:pos="810"/>
          <w:tab w:val="left" w:pos="2160"/>
        </w:tabs>
      </w:pPr>
      <w:r w:rsidRPr="00E66B48">
        <w:t xml:space="preserve">The table below provides details on average burden, estimated number of respondents, and estimated burden hours by </w:t>
      </w:r>
      <w:r w:rsidR="001468A6">
        <w:t>response</w:t>
      </w:r>
      <w:r w:rsidRPr="00E66B48">
        <w:t xml:space="preserve"> type.</w:t>
      </w:r>
    </w:p>
    <w:p w:rsidR="00FD550C" w:rsidP="00FD550C" w:rsidRDefault="00FD550C"/>
    <w:tbl>
      <w:tblPr>
        <w:tblW w:w="11091" w:type="dxa"/>
        <w:tblInd w:w="93" w:type="dxa"/>
        <w:tblLayout w:type="fixed"/>
        <w:tblLook w:val="04A0" w:firstRow="1" w:lastRow="0" w:firstColumn="1" w:lastColumn="0" w:noHBand="0" w:noVBand="1"/>
      </w:tblPr>
      <w:tblGrid>
        <w:gridCol w:w="4425"/>
        <w:gridCol w:w="1620"/>
        <w:gridCol w:w="270"/>
        <w:gridCol w:w="1530"/>
        <w:gridCol w:w="270"/>
        <w:gridCol w:w="1530"/>
        <w:gridCol w:w="1446"/>
      </w:tblGrid>
      <w:tr w:rsidR="009B0176" w:rsidTr="00B23649">
        <w:trPr>
          <w:trHeight w:val="1015"/>
        </w:trPr>
        <w:tc>
          <w:tcPr>
            <w:tcW w:w="4425" w:type="dxa"/>
            <w:tcBorders>
              <w:top w:val="single" w:color="auto" w:sz="8" w:space="0"/>
              <w:left w:val="single" w:color="auto" w:sz="8" w:space="0"/>
              <w:bottom w:val="nil"/>
              <w:right w:val="nil"/>
            </w:tcBorders>
            <w:shd w:val="clear" w:color="auto" w:fill="auto"/>
            <w:vAlign w:val="center"/>
            <w:hideMark/>
          </w:tcPr>
          <w:p w:rsidRPr="001F4ED5" w:rsidR="009B0176" w:rsidP="00763E03" w:rsidRDefault="009B0176">
            <w:pPr>
              <w:jc w:val="center"/>
              <w:rPr>
                <w:b/>
                <w:color w:val="000000"/>
                <w:sz w:val="22"/>
                <w:szCs w:val="22"/>
              </w:rPr>
            </w:pPr>
            <w:r w:rsidRPr="001F4ED5">
              <w:rPr>
                <w:b/>
                <w:color w:val="000000"/>
                <w:sz w:val="22"/>
                <w:szCs w:val="22"/>
              </w:rPr>
              <w:t>Response type</w:t>
            </w:r>
          </w:p>
        </w:tc>
        <w:tc>
          <w:tcPr>
            <w:tcW w:w="162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1F4ED5" w:rsidR="009B0176" w:rsidP="00763E03" w:rsidRDefault="009B0176">
            <w:pPr>
              <w:jc w:val="center"/>
              <w:rPr>
                <w:color w:val="000000"/>
                <w:sz w:val="22"/>
                <w:szCs w:val="22"/>
              </w:rPr>
            </w:pPr>
            <w:r w:rsidRPr="001F4ED5">
              <w:rPr>
                <w:color w:val="000000"/>
                <w:sz w:val="22"/>
                <w:szCs w:val="22"/>
              </w:rPr>
              <w:t>Average Burden</w:t>
            </w:r>
            <w:r w:rsidR="003F32E4">
              <w:rPr>
                <w:color w:val="000000"/>
                <w:sz w:val="22"/>
                <w:szCs w:val="22"/>
              </w:rPr>
              <w:t xml:space="preserve"> Hours</w:t>
            </w:r>
            <w:r w:rsidRPr="001F4ED5">
              <w:rPr>
                <w:color w:val="000000"/>
                <w:sz w:val="22"/>
                <w:szCs w:val="22"/>
              </w:rPr>
              <w:t xml:space="preserve"> Per Response</w:t>
            </w:r>
          </w:p>
        </w:tc>
        <w:tc>
          <w:tcPr>
            <w:tcW w:w="270" w:type="dxa"/>
            <w:tcBorders>
              <w:top w:val="single" w:color="auto" w:sz="8" w:space="0"/>
              <w:left w:val="nil"/>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single" w:color="auto" w:sz="8" w:space="0"/>
              <w:left w:val="nil"/>
              <w:bottom w:val="nil"/>
              <w:right w:val="nil"/>
            </w:tcBorders>
            <w:shd w:val="clear" w:color="auto" w:fill="auto"/>
            <w:vAlign w:val="center"/>
            <w:hideMark/>
          </w:tcPr>
          <w:p w:rsidRPr="001F4ED5" w:rsidR="009B0176" w:rsidP="00763E03" w:rsidRDefault="009B0176">
            <w:pPr>
              <w:jc w:val="center"/>
              <w:rPr>
                <w:color w:val="000000"/>
                <w:sz w:val="22"/>
                <w:szCs w:val="22"/>
              </w:rPr>
            </w:pPr>
            <w:r w:rsidRPr="001F4ED5">
              <w:rPr>
                <w:color w:val="000000"/>
                <w:sz w:val="22"/>
                <w:szCs w:val="22"/>
              </w:rPr>
              <w:t>Estimated Number of Respondents</w:t>
            </w:r>
          </w:p>
        </w:tc>
        <w:tc>
          <w:tcPr>
            <w:tcW w:w="270" w:type="dxa"/>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single" w:color="auto" w:sz="8" w:space="0"/>
              <w:left w:val="nil"/>
              <w:bottom w:val="nil"/>
              <w:right w:val="single" w:color="auto" w:sz="8" w:space="0"/>
            </w:tcBorders>
            <w:shd w:val="clear" w:color="auto" w:fill="auto"/>
            <w:vAlign w:val="center"/>
            <w:hideMark/>
          </w:tcPr>
          <w:p w:rsidRPr="001F4ED5" w:rsidR="009B0176" w:rsidP="00763E03" w:rsidRDefault="009B0176">
            <w:pPr>
              <w:jc w:val="center"/>
              <w:rPr>
                <w:color w:val="000000"/>
                <w:sz w:val="22"/>
                <w:szCs w:val="22"/>
              </w:rPr>
            </w:pPr>
            <w:r w:rsidRPr="001F4ED5">
              <w:rPr>
                <w:color w:val="000000"/>
                <w:sz w:val="22"/>
                <w:szCs w:val="22"/>
              </w:rPr>
              <w:t>Estimated Total Burden Hours</w:t>
            </w:r>
          </w:p>
        </w:tc>
        <w:tc>
          <w:tcPr>
            <w:tcW w:w="1446" w:type="dxa"/>
            <w:tcBorders>
              <w:top w:val="nil"/>
              <w:left w:val="nil"/>
              <w:bottom w:val="nil"/>
              <w:right w:val="nil"/>
            </w:tcBorders>
            <w:shd w:val="clear" w:color="auto" w:fill="auto"/>
            <w:vAlign w:val="bottom"/>
            <w:hideMark/>
          </w:tcPr>
          <w:p w:rsidR="009B0176" w:rsidP="00763E03" w:rsidRDefault="009B0176">
            <w:pPr>
              <w:rPr>
                <w:rFonts w:ascii="Calibri" w:hAnsi="Calibri"/>
                <w:color w:val="000000"/>
                <w:sz w:val="22"/>
                <w:szCs w:val="22"/>
              </w:rPr>
            </w:pPr>
          </w:p>
        </w:tc>
      </w:tr>
      <w:tr w:rsidR="009B0176" w:rsidTr="00B23649">
        <w:trPr>
          <w:trHeight w:val="377"/>
        </w:trPr>
        <w:tc>
          <w:tcPr>
            <w:tcW w:w="4425" w:type="dxa"/>
            <w:tcBorders>
              <w:top w:val="single" w:color="auto" w:sz="4" w:space="0"/>
              <w:left w:val="single" w:color="auto" w:sz="4" w:space="0"/>
              <w:bottom w:val="single" w:color="auto" w:sz="4" w:space="0"/>
              <w:right w:val="nil"/>
            </w:tcBorders>
            <w:shd w:val="clear" w:color="auto" w:fill="auto"/>
            <w:noWrap/>
            <w:vAlign w:val="bottom"/>
            <w:hideMark/>
          </w:tcPr>
          <w:p w:rsidRPr="001F4ED5" w:rsidR="009B0176" w:rsidP="00763E03" w:rsidRDefault="009B0176">
            <w:pPr>
              <w:rPr>
                <w:color w:val="000000"/>
                <w:sz w:val="22"/>
                <w:szCs w:val="22"/>
              </w:rPr>
            </w:pPr>
            <w:r w:rsidRPr="001F4ED5">
              <w:rPr>
                <w:color w:val="000000"/>
                <w:sz w:val="22"/>
                <w:szCs w:val="22"/>
              </w:rPr>
              <w:t>Mandatory Schedules</w:t>
            </w:r>
          </w:p>
        </w:tc>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1F4ED5" w:rsidR="009B0176" w:rsidP="00763E03" w:rsidRDefault="00174D83">
            <w:pPr>
              <w:jc w:val="center"/>
              <w:rPr>
                <w:color w:val="000000"/>
                <w:sz w:val="22"/>
                <w:szCs w:val="22"/>
              </w:rPr>
            </w:pPr>
            <w:r>
              <w:rPr>
                <w:color w:val="000000"/>
                <w:sz w:val="22"/>
                <w:szCs w:val="22"/>
              </w:rPr>
              <w:t>11</w:t>
            </w:r>
          </w:p>
        </w:tc>
        <w:tc>
          <w:tcPr>
            <w:tcW w:w="270" w:type="dxa"/>
            <w:tcBorders>
              <w:top w:val="nil"/>
              <w:left w:val="nil"/>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1F4ED5" w:rsidR="009B0176" w:rsidP="008D7859" w:rsidRDefault="00174D83">
            <w:pPr>
              <w:jc w:val="center"/>
              <w:rPr>
                <w:color w:val="000000"/>
                <w:sz w:val="22"/>
                <w:szCs w:val="22"/>
              </w:rPr>
            </w:pPr>
            <w:r>
              <w:rPr>
                <w:color w:val="000000"/>
                <w:sz w:val="22"/>
                <w:szCs w:val="22"/>
              </w:rPr>
              <w:t>1,</w:t>
            </w:r>
            <w:r w:rsidR="00BE4383">
              <w:rPr>
                <w:color w:val="000000"/>
                <w:sz w:val="22"/>
                <w:szCs w:val="22"/>
              </w:rPr>
              <w:t>875</w:t>
            </w:r>
          </w:p>
        </w:tc>
        <w:tc>
          <w:tcPr>
            <w:tcW w:w="270" w:type="dxa"/>
            <w:tcBorders>
              <w:top w:val="nil"/>
              <w:left w:val="nil"/>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single" w:color="auto" w:sz="4" w:space="0"/>
              <w:left w:val="nil"/>
              <w:bottom w:val="single" w:color="auto" w:sz="4" w:space="0"/>
              <w:right w:val="single" w:color="auto" w:sz="8" w:space="0"/>
            </w:tcBorders>
            <w:shd w:val="clear" w:color="auto" w:fill="auto"/>
            <w:noWrap/>
            <w:vAlign w:val="center"/>
            <w:hideMark/>
          </w:tcPr>
          <w:p w:rsidRPr="001F4ED5" w:rsidR="009B0176" w:rsidP="008D7859" w:rsidRDefault="00BE4383">
            <w:pPr>
              <w:jc w:val="center"/>
              <w:rPr>
                <w:color w:val="000000"/>
                <w:sz w:val="22"/>
                <w:szCs w:val="22"/>
              </w:rPr>
            </w:pPr>
            <w:r>
              <w:rPr>
                <w:color w:val="000000"/>
                <w:sz w:val="22"/>
                <w:szCs w:val="22"/>
              </w:rPr>
              <w:t>20,625</w:t>
            </w:r>
          </w:p>
        </w:tc>
        <w:tc>
          <w:tcPr>
            <w:tcW w:w="1446" w:type="dxa"/>
            <w:tcBorders>
              <w:top w:val="nil"/>
              <w:left w:val="nil"/>
              <w:bottom w:val="nil"/>
              <w:right w:val="nil"/>
            </w:tcBorders>
            <w:shd w:val="clear" w:color="auto" w:fill="auto"/>
            <w:noWrap/>
            <w:vAlign w:val="bottom"/>
            <w:hideMark/>
          </w:tcPr>
          <w:p w:rsidR="009B0176" w:rsidP="00763E03" w:rsidRDefault="009B0176">
            <w:pPr>
              <w:rPr>
                <w:rFonts w:ascii="Calibri" w:hAnsi="Calibri"/>
                <w:color w:val="000000"/>
                <w:sz w:val="22"/>
                <w:szCs w:val="22"/>
              </w:rPr>
            </w:pPr>
          </w:p>
        </w:tc>
      </w:tr>
      <w:tr w:rsidR="009B0176" w:rsidTr="00B23649">
        <w:trPr>
          <w:trHeight w:val="368"/>
        </w:trPr>
        <w:tc>
          <w:tcPr>
            <w:tcW w:w="4425" w:type="dxa"/>
            <w:tcBorders>
              <w:top w:val="nil"/>
              <w:left w:val="single" w:color="auto" w:sz="4" w:space="0"/>
              <w:bottom w:val="single" w:color="auto" w:sz="4" w:space="0"/>
              <w:right w:val="nil"/>
            </w:tcBorders>
            <w:shd w:val="clear" w:color="auto" w:fill="auto"/>
            <w:noWrap/>
            <w:vAlign w:val="bottom"/>
            <w:hideMark/>
          </w:tcPr>
          <w:p w:rsidRPr="001F4ED5" w:rsidR="009B0176" w:rsidP="00763E03" w:rsidRDefault="009B0176">
            <w:pPr>
              <w:rPr>
                <w:color w:val="000000"/>
                <w:sz w:val="22"/>
                <w:szCs w:val="22"/>
              </w:rPr>
            </w:pPr>
            <w:r w:rsidRPr="001F4ED5">
              <w:rPr>
                <w:color w:val="000000"/>
                <w:sz w:val="22"/>
                <w:szCs w:val="22"/>
              </w:rPr>
              <w:t>Mandatory Totals by Transaction</w:t>
            </w:r>
          </w:p>
        </w:tc>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1F4ED5" w:rsidR="009B0176" w:rsidP="00763E03" w:rsidRDefault="002F608E">
            <w:pPr>
              <w:jc w:val="center"/>
              <w:rPr>
                <w:color w:val="000000"/>
                <w:sz w:val="22"/>
                <w:szCs w:val="22"/>
              </w:rPr>
            </w:pPr>
            <w:r>
              <w:rPr>
                <w:color w:val="000000"/>
                <w:sz w:val="22"/>
                <w:szCs w:val="22"/>
              </w:rPr>
              <w:t>2</w:t>
            </w:r>
          </w:p>
        </w:tc>
        <w:tc>
          <w:tcPr>
            <w:tcW w:w="270" w:type="dxa"/>
            <w:tcBorders>
              <w:top w:val="nil"/>
              <w:left w:val="nil"/>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4" w:space="0"/>
              <w:right w:val="single" w:color="auto" w:sz="4" w:space="0"/>
            </w:tcBorders>
            <w:shd w:val="clear" w:color="auto" w:fill="auto"/>
            <w:noWrap/>
            <w:vAlign w:val="center"/>
            <w:hideMark/>
          </w:tcPr>
          <w:p w:rsidRPr="001F4ED5" w:rsidR="009B0176" w:rsidP="008D7859" w:rsidRDefault="00BE4383">
            <w:pPr>
              <w:jc w:val="center"/>
              <w:rPr>
                <w:color w:val="000000"/>
                <w:sz w:val="22"/>
                <w:szCs w:val="22"/>
              </w:rPr>
            </w:pPr>
            <w:r>
              <w:rPr>
                <w:color w:val="000000"/>
                <w:sz w:val="22"/>
                <w:szCs w:val="22"/>
              </w:rPr>
              <w:t>3,625</w:t>
            </w:r>
          </w:p>
        </w:tc>
        <w:tc>
          <w:tcPr>
            <w:tcW w:w="270" w:type="dxa"/>
            <w:tcBorders>
              <w:top w:val="nil"/>
              <w:left w:val="nil"/>
              <w:bottom w:val="single" w:color="auto" w:sz="4"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4" w:space="0"/>
              <w:right w:val="single" w:color="auto" w:sz="8" w:space="0"/>
            </w:tcBorders>
            <w:shd w:val="clear" w:color="auto" w:fill="auto"/>
            <w:noWrap/>
            <w:vAlign w:val="center"/>
            <w:hideMark/>
          </w:tcPr>
          <w:p w:rsidRPr="001F4ED5" w:rsidR="009B0176" w:rsidP="008D7859" w:rsidRDefault="00BE4383">
            <w:pPr>
              <w:jc w:val="center"/>
              <w:rPr>
                <w:color w:val="000000"/>
                <w:sz w:val="22"/>
                <w:szCs w:val="22"/>
              </w:rPr>
            </w:pPr>
            <w:r>
              <w:rPr>
                <w:color w:val="000000"/>
                <w:sz w:val="22"/>
                <w:szCs w:val="22"/>
              </w:rPr>
              <w:t>7,250</w:t>
            </w:r>
          </w:p>
        </w:tc>
        <w:tc>
          <w:tcPr>
            <w:tcW w:w="1446" w:type="dxa"/>
            <w:tcBorders>
              <w:top w:val="nil"/>
              <w:left w:val="nil"/>
              <w:bottom w:val="nil"/>
              <w:right w:val="nil"/>
            </w:tcBorders>
            <w:shd w:val="clear" w:color="auto" w:fill="auto"/>
            <w:noWrap/>
            <w:vAlign w:val="bottom"/>
            <w:hideMark/>
          </w:tcPr>
          <w:p w:rsidR="009B0176" w:rsidP="00763E03" w:rsidRDefault="009B0176">
            <w:pPr>
              <w:rPr>
                <w:rFonts w:ascii="Calibri" w:hAnsi="Calibri"/>
                <w:color w:val="000000"/>
                <w:sz w:val="22"/>
                <w:szCs w:val="22"/>
              </w:rPr>
            </w:pPr>
          </w:p>
        </w:tc>
      </w:tr>
      <w:tr w:rsidR="009B0176" w:rsidTr="00B23649">
        <w:trPr>
          <w:trHeight w:val="332"/>
        </w:trPr>
        <w:tc>
          <w:tcPr>
            <w:tcW w:w="4425" w:type="dxa"/>
            <w:tcBorders>
              <w:top w:val="nil"/>
              <w:left w:val="single" w:color="auto" w:sz="4" w:space="0"/>
              <w:bottom w:val="single" w:color="auto" w:sz="8" w:space="0"/>
              <w:right w:val="nil"/>
            </w:tcBorders>
            <w:shd w:val="clear" w:color="auto" w:fill="auto"/>
            <w:noWrap/>
            <w:vAlign w:val="bottom"/>
            <w:hideMark/>
          </w:tcPr>
          <w:p w:rsidRPr="001F4ED5" w:rsidR="009B0176" w:rsidP="00763E03" w:rsidRDefault="009B0176">
            <w:pPr>
              <w:rPr>
                <w:color w:val="000000"/>
                <w:sz w:val="22"/>
                <w:szCs w:val="22"/>
              </w:rPr>
            </w:pPr>
            <w:r w:rsidRPr="001F4ED5">
              <w:rPr>
                <w:color w:val="000000"/>
                <w:sz w:val="22"/>
                <w:szCs w:val="22"/>
              </w:rPr>
              <w:t>Exempt</w:t>
            </w:r>
          </w:p>
        </w:tc>
        <w:tc>
          <w:tcPr>
            <w:tcW w:w="1620" w:type="dxa"/>
            <w:tcBorders>
              <w:top w:val="nil"/>
              <w:left w:val="single" w:color="auto" w:sz="4" w:space="0"/>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1</w:t>
            </w:r>
          </w:p>
        </w:tc>
        <w:tc>
          <w:tcPr>
            <w:tcW w:w="27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174D83">
            <w:pPr>
              <w:jc w:val="center"/>
              <w:rPr>
                <w:color w:val="000000"/>
                <w:sz w:val="22"/>
                <w:szCs w:val="22"/>
              </w:rPr>
            </w:pPr>
            <w:r>
              <w:rPr>
                <w:color w:val="000000"/>
                <w:sz w:val="22"/>
                <w:szCs w:val="22"/>
              </w:rPr>
              <w:t>1,</w:t>
            </w:r>
            <w:r w:rsidR="00BE4383">
              <w:rPr>
                <w:color w:val="000000"/>
                <w:sz w:val="22"/>
                <w:szCs w:val="22"/>
              </w:rPr>
              <w:t>5</w:t>
            </w:r>
            <w:r>
              <w:rPr>
                <w:color w:val="000000"/>
                <w:sz w:val="22"/>
                <w:szCs w:val="22"/>
              </w:rPr>
              <w:t>00</w:t>
            </w:r>
          </w:p>
        </w:tc>
        <w:tc>
          <w:tcPr>
            <w:tcW w:w="27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8" w:space="0"/>
              <w:right w:val="single" w:color="auto" w:sz="8" w:space="0"/>
            </w:tcBorders>
            <w:shd w:val="clear" w:color="auto" w:fill="auto"/>
            <w:noWrap/>
            <w:vAlign w:val="center"/>
            <w:hideMark/>
          </w:tcPr>
          <w:p w:rsidRPr="001F4ED5" w:rsidR="009B0176" w:rsidP="00763E03" w:rsidRDefault="00174D83">
            <w:pPr>
              <w:jc w:val="center"/>
              <w:rPr>
                <w:color w:val="000000"/>
                <w:sz w:val="22"/>
                <w:szCs w:val="22"/>
              </w:rPr>
            </w:pPr>
            <w:r>
              <w:rPr>
                <w:color w:val="000000"/>
                <w:sz w:val="22"/>
                <w:szCs w:val="22"/>
              </w:rPr>
              <w:t>1,</w:t>
            </w:r>
            <w:r w:rsidR="00BE4383">
              <w:rPr>
                <w:color w:val="000000"/>
                <w:sz w:val="22"/>
                <w:szCs w:val="22"/>
              </w:rPr>
              <w:t>5</w:t>
            </w:r>
            <w:r>
              <w:rPr>
                <w:color w:val="000000"/>
                <w:sz w:val="22"/>
                <w:szCs w:val="22"/>
              </w:rPr>
              <w:t>00</w:t>
            </w:r>
          </w:p>
        </w:tc>
        <w:tc>
          <w:tcPr>
            <w:tcW w:w="1446" w:type="dxa"/>
            <w:tcBorders>
              <w:top w:val="nil"/>
              <w:left w:val="nil"/>
              <w:bottom w:val="nil"/>
              <w:right w:val="nil"/>
            </w:tcBorders>
            <w:shd w:val="clear" w:color="auto" w:fill="auto"/>
            <w:noWrap/>
            <w:vAlign w:val="bottom"/>
            <w:hideMark/>
          </w:tcPr>
          <w:p w:rsidR="009B0176" w:rsidP="00763E03" w:rsidRDefault="009B0176">
            <w:pPr>
              <w:rPr>
                <w:rFonts w:ascii="Calibri" w:hAnsi="Calibri"/>
                <w:color w:val="000000"/>
                <w:sz w:val="22"/>
                <w:szCs w:val="22"/>
              </w:rPr>
            </w:pPr>
          </w:p>
        </w:tc>
      </w:tr>
      <w:tr w:rsidR="009B0176" w:rsidTr="00B23649">
        <w:trPr>
          <w:trHeight w:val="358"/>
        </w:trPr>
        <w:tc>
          <w:tcPr>
            <w:tcW w:w="4425" w:type="dxa"/>
            <w:tcBorders>
              <w:top w:val="nil"/>
              <w:left w:val="single" w:color="auto" w:sz="8" w:space="0"/>
              <w:bottom w:val="single" w:color="auto" w:sz="8" w:space="0"/>
              <w:right w:val="nil"/>
            </w:tcBorders>
            <w:shd w:val="clear" w:color="auto" w:fill="auto"/>
            <w:noWrap/>
            <w:vAlign w:val="bottom"/>
            <w:hideMark/>
          </w:tcPr>
          <w:p w:rsidRPr="001F4ED5" w:rsidR="009B0176" w:rsidP="00763E03" w:rsidRDefault="009B0176">
            <w:pPr>
              <w:rPr>
                <w:color w:val="000000"/>
                <w:sz w:val="22"/>
                <w:szCs w:val="22"/>
              </w:rPr>
            </w:pPr>
            <w:r w:rsidRPr="001F4ED5">
              <w:rPr>
                <w:color w:val="000000"/>
                <w:sz w:val="22"/>
                <w:szCs w:val="22"/>
              </w:rPr>
              <w:t xml:space="preserve">Total </w:t>
            </w:r>
          </w:p>
        </w:tc>
        <w:tc>
          <w:tcPr>
            <w:tcW w:w="1620" w:type="dxa"/>
            <w:tcBorders>
              <w:top w:val="nil"/>
              <w:left w:val="single" w:color="auto" w:sz="4" w:space="0"/>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w:t>
            </w:r>
            <w:r w:rsidR="00BE4383">
              <w:rPr>
                <w:color w:val="000000"/>
                <w:sz w:val="22"/>
                <w:szCs w:val="22"/>
              </w:rPr>
              <w:t>4</w:t>
            </w:r>
          </w:p>
        </w:tc>
        <w:tc>
          <w:tcPr>
            <w:tcW w:w="27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BE4383">
            <w:pPr>
              <w:jc w:val="center"/>
              <w:rPr>
                <w:color w:val="000000"/>
                <w:sz w:val="22"/>
                <w:szCs w:val="22"/>
              </w:rPr>
            </w:pPr>
            <w:r>
              <w:rPr>
                <w:color w:val="000000"/>
                <w:sz w:val="22"/>
                <w:szCs w:val="22"/>
              </w:rPr>
              <w:t>7,000</w:t>
            </w:r>
            <w:r w:rsidRPr="001F4ED5" w:rsidR="009B0176">
              <w:rPr>
                <w:color w:val="000000"/>
                <w:sz w:val="22"/>
                <w:szCs w:val="22"/>
              </w:rPr>
              <w:t xml:space="preserve">               </w:t>
            </w:r>
          </w:p>
        </w:tc>
        <w:tc>
          <w:tcPr>
            <w:tcW w:w="270" w:type="dxa"/>
            <w:tcBorders>
              <w:top w:val="nil"/>
              <w:left w:val="nil"/>
              <w:bottom w:val="single" w:color="auto" w:sz="8" w:space="0"/>
              <w:right w:val="single" w:color="auto" w:sz="4" w:space="0"/>
            </w:tcBorders>
            <w:shd w:val="clear" w:color="auto" w:fill="auto"/>
            <w:noWrap/>
            <w:vAlign w:val="center"/>
            <w:hideMark/>
          </w:tcPr>
          <w:p w:rsidRPr="001F4ED5" w:rsidR="009B0176" w:rsidP="00763E03" w:rsidRDefault="009B0176">
            <w:pPr>
              <w:jc w:val="center"/>
              <w:rPr>
                <w:color w:val="000000"/>
                <w:sz w:val="22"/>
                <w:szCs w:val="22"/>
              </w:rPr>
            </w:pPr>
            <w:r w:rsidRPr="001F4ED5">
              <w:rPr>
                <w:color w:val="000000"/>
                <w:sz w:val="22"/>
                <w:szCs w:val="22"/>
              </w:rPr>
              <w:t> </w:t>
            </w:r>
          </w:p>
        </w:tc>
        <w:tc>
          <w:tcPr>
            <w:tcW w:w="1530" w:type="dxa"/>
            <w:tcBorders>
              <w:top w:val="nil"/>
              <w:left w:val="nil"/>
              <w:bottom w:val="single" w:color="auto" w:sz="8" w:space="0"/>
              <w:right w:val="single" w:color="auto" w:sz="8" w:space="0"/>
            </w:tcBorders>
            <w:shd w:val="clear" w:color="auto" w:fill="auto"/>
            <w:noWrap/>
            <w:vAlign w:val="center"/>
            <w:hideMark/>
          </w:tcPr>
          <w:p w:rsidRPr="001F4ED5" w:rsidR="009B0176" w:rsidP="00763E03" w:rsidRDefault="00174D83">
            <w:pPr>
              <w:jc w:val="center"/>
              <w:rPr>
                <w:color w:val="000000"/>
                <w:sz w:val="22"/>
                <w:szCs w:val="22"/>
              </w:rPr>
            </w:pPr>
            <w:r>
              <w:rPr>
                <w:color w:val="000000"/>
                <w:sz w:val="22"/>
                <w:szCs w:val="22"/>
              </w:rPr>
              <w:t>2</w:t>
            </w:r>
            <w:r w:rsidR="00BE4383">
              <w:rPr>
                <w:color w:val="000000"/>
                <w:sz w:val="22"/>
                <w:szCs w:val="22"/>
              </w:rPr>
              <w:t>9,375</w:t>
            </w:r>
            <w:r w:rsidRPr="001F4ED5" w:rsidR="009B0176">
              <w:rPr>
                <w:color w:val="000000"/>
                <w:sz w:val="22"/>
                <w:szCs w:val="22"/>
              </w:rPr>
              <w:t xml:space="preserve">        </w:t>
            </w:r>
          </w:p>
        </w:tc>
        <w:tc>
          <w:tcPr>
            <w:tcW w:w="1446" w:type="dxa"/>
            <w:tcBorders>
              <w:top w:val="nil"/>
              <w:left w:val="nil"/>
              <w:bottom w:val="nil"/>
              <w:right w:val="nil"/>
            </w:tcBorders>
            <w:shd w:val="clear" w:color="auto" w:fill="auto"/>
            <w:noWrap/>
            <w:vAlign w:val="bottom"/>
            <w:hideMark/>
          </w:tcPr>
          <w:p w:rsidR="009B0176" w:rsidP="00763E03" w:rsidRDefault="009B0176">
            <w:pPr>
              <w:rPr>
                <w:rFonts w:ascii="Calibri" w:hAnsi="Calibri"/>
                <w:color w:val="000000"/>
                <w:sz w:val="22"/>
                <w:szCs w:val="22"/>
              </w:rPr>
            </w:pPr>
          </w:p>
        </w:tc>
      </w:tr>
    </w:tbl>
    <w:p w:rsidR="009B0176" w:rsidP="00FD550C" w:rsidRDefault="009B0176">
      <w:r>
        <w:t xml:space="preserve">* </w:t>
      </w:r>
      <w:r w:rsidR="00BC1C7C">
        <w:t>Rounded</w:t>
      </w:r>
      <w:r>
        <w:t>.</w:t>
      </w:r>
    </w:p>
    <w:p w:rsidR="009B0176" w:rsidP="00FD550C" w:rsidRDefault="009B0176"/>
    <w:p w:rsidR="002205DC" w:rsidP="00FD550C" w:rsidRDefault="002205DC">
      <w:r>
        <w:t>Respondent burden is estimated based on the estimated burden in the last BE-</w:t>
      </w:r>
      <w:r w:rsidR="00174D83">
        <w:t xml:space="preserve">180 </w:t>
      </w:r>
      <w:r w:rsidR="0037142C">
        <w:t>benchmark</w:t>
      </w:r>
      <w:r>
        <w:t xml:space="preserve"> survey and other BEA surveys, feedback from respondents, and on changes to the form. </w:t>
      </w:r>
      <w:r w:rsidR="008D1FA7">
        <w:t xml:space="preserve">The actual burden will vary from respondent to respondent depending on the number and amounts of their transactions and the ease of assembling the data.  </w:t>
      </w:r>
    </w:p>
    <w:p w:rsidR="002205DC" w:rsidP="00FD550C" w:rsidRDefault="002205DC"/>
    <w:p w:rsidR="006B03D8" w:rsidP="00F51A14" w:rsidRDefault="008D1FA7">
      <w:r>
        <w:t>The estimated cost to the public is $</w:t>
      </w:r>
      <w:r w:rsidR="003350F6">
        <w:t>995,519</w:t>
      </w:r>
      <w:r w:rsidR="006E091F">
        <w:t xml:space="preserve"> </w:t>
      </w:r>
      <w:r>
        <w:t xml:space="preserve">based on an estimated reporting burden of </w:t>
      </w:r>
      <w:r w:rsidR="00BE4383">
        <w:t>29,375</w:t>
      </w:r>
      <w:r>
        <w:t xml:space="preserve"> hours and estimated hourly cost of </w:t>
      </w:r>
      <w:r w:rsidR="00500C47">
        <w:t>$</w:t>
      </w:r>
      <w:r w:rsidR="003350F6">
        <w:t>33.89</w:t>
      </w:r>
      <w:r w:rsidR="00500C47">
        <w:t>. The hourly cost reflects the median hourly wage of accountants and auditors from the Bureau of Labor Statistics’ May 201</w:t>
      </w:r>
      <w:r w:rsidR="000F1C6C">
        <w:t>8</w:t>
      </w:r>
      <w:r w:rsidR="00500C47">
        <w:t xml:space="preserve"> Occupational Employment Statistics.</w:t>
      </w:r>
    </w:p>
    <w:p w:rsidR="003263CE" w:rsidP="00F51A14" w:rsidRDefault="003263CE"/>
    <w:p w:rsidRPr="00E528BB" w:rsidR="00F51A14" w:rsidP="00F51A14" w:rsidRDefault="00F51A14">
      <w:pPr>
        <w:rPr>
          <w:b/>
        </w:rPr>
      </w:pPr>
      <w:r w:rsidRPr="00E528BB">
        <w:rPr>
          <w:b/>
        </w:rPr>
        <w:t xml:space="preserve">13.  </w:t>
      </w:r>
      <w:r w:rsidRPr="00E528BB">
        <w:rPr>
          <w:b/>
          <w:u w:val="single"/>
        </w:rPr>
        <w:t xml:space="preserve">Provide an estimate of the total annual cost burden to the respondents or record-keepers resulting from the collection (excluding the value of the burden hours in </w:t>
      </w:r>
      <w:r w:rsidR="00A77266">
        <w:rPr>
          <w:b/>
          <w:u w:val="single"/>
        </w:rPr>
        <w:t xml:space="preserve">Question </w:t>
      </w:r>
      <w:r w:rsidRPr="00E528BB">
        <w:rPr>
          <w:b/>
          <w:u w:val="single"/>
        </w:rPr>
        <w:t>12 above)</w:t>
      </w:r>
      <w:r w:rsidRPr="00E528BB">
        <w:rPr>
          <w:b/>
        </w:rPr>
        <w:t>.</w:t>
      </w:r>
    </w:p>
    <w:p w:rsidRPr="00E528BB" w:rsidR="00F51A14" w:rsidP="00F51A14" w:rsidRDefault="00F51A14">
      <w:pPr>
        <w:rPr>
          <w:b/>
        </w:rPr>
      </w:pPr>
    </w:p>
    <w:p w:rsidRPr="00E528BB" w:rsidR="00F51A14" w:rsidP="00F51A14" w:rsidRDefault="00CB4482">
      <w:r>
        <w:t>Other than respondent cost associate</w:t>
      </w:r>
      <w:r w:rsidR="00E90A8B">
        <w:t>d</w:t>
      </w:r>
      <w:r>
        <w:t xml:space="preserve"> with the estimated burden of </w:t>
      </w:r>
      <w:r w:rsidR="00BE4383">
        <w:t>29,375</w:t>
      </w:r>
      <w:r w:rsidR="00DC5165">
        <w:t xml:space="preserve"> </w:t>
      </w:r>
      <w:r>
        <w:t xml:space="preserve">hours (see A.12 above), </w:t>
      </w:r>
      <w:r w:rsidR="008D1FA7">
        <w:t xml:space="preserve">the total additional annual cost burden to respondents is expected to be negligible. Total capital and start-up costs are insignificant because new technology or capital equipment would not be needed </w:t>
      </w:r>
      <w:r w:rsidR="008D1FA7">
        <w:lastRenderedPageBreak/>
        <w:t xml:space="preserve">by respondents to prepare their responses to the survey. </w:t>
      </w:r>
      <w:r w:rsidR="008C1E2F">
        <w:t>Therefore</w:t>
      </w:r>
      <w:r w:rsidR="008D1FA7">
        <w:t>, the total cost of operating and maintaining the technology and capital equipment will also be insignificant. Purchases of services to complete the information collection are also expected to be insignificant.</w:t>
      </w:r>
    </w:p>
    <w:p w:rsidRPr="00E528BB" w:rsidR="008C1241" w:rsidP="00F51A14" w:rsidRDefault="008C1241">
      <w:pPr>
        <w:rPr>
          <w:b/>
        </w:rPr>
      </w:pPr>
    </w:p>
    <w:p w:rsidRPr="00E528BB" w:rsidR="00F51A14" w:rsidP="00F51A14" w:rsidRDefault="00F51A14">
      <w:pPr>
        <w:rPr>
          <w:b/>
        </w:rPr>
      </w:pPr>
      <w:r w:rsidRPr="00E528BB">
        <w:rPr>
          <w:b/>
        </w:rPr>
        <w:t xml:space="preserve">14.  </w:t>
      </w:r>
      <w:r w:rsidRPr="00E528BB">
        <w:rPr>
          <w:b/>
          <w:u w:val="single"/>
        </w:rPr>
        <w:t>Provide estimates of annualized cost to the Federal government</w:t>
      </w:r>
      <w:r w:rsidRPr="00E528BB">
        <w:rPr>
          <w:b/>
        </w:rPr>
        <w:t>.</w:t>
      </w:r>
    </w:p>
    <w:p w:rsidRPr="00E528BB" w:rsidR="00F51A14" w:rsidP="00F51A14" w:rsidRDefault="00F51A14"/>
    <w:p w:rsidRPr="001C0CE5" w:rsidR="00F51A14" w:rsidP="00F51A14" w:rsidRDefault="001C0CE5">
      <w:pPr>
        <w:rPr>
          <w:rFonts w:cs="Arial"/>
        </w:rPr>
      </w:pPr>
      <w:r w:rsidRPr="001C0CE5">
        <w:rPr>
          <w:rFonts w:cs="Arial"/>
        </w:rPr>
        <w:t>The annual project cost to the Federal Government for this survey is estimated at $</w:t>
      </w:r>
      <w:r w:rsidR="00174D83">
        <w:rPr>
          <w:rFonts w:cs="Arial"/>
        </w:rPr>
        <w:t>420</w:t>
      </w:r>
      <w:r w:rsidR="002F608E">
        <w:rPr>
          <w:rFonts w:cs="Arial"/>
        </w:rPr>
        <w:t>,000</w:t>
      </w:r>
      <w:r w:rsidRPr="001C0CE5">
        <w:rPr>
          <w:rFonts w:cs="Arial"/>
        </w:rPr>
        <w:t>, which consists of $</w:t>
      </w:r>
      <w:r w:rsidR="00174D83">
        <w:rPr>
          <w:rFonts w:cs="Arial"/>
        </w:rPr>
        <w:t>335</w:t>
      </w:r>
      <w:r w:rsidR="00680E1C">
        <w:rPr>
          <w:rFonts w:cs="Arial"/>
        </w:rPr>
        <w:t>,000</w:t>
      </w:r>
      <w:r w:rsidR="00A273C4">
        <w:rPr>
          <w:rFonts w:cs="Arial"/>
        </w:rPr>
        <w:t xml:space="preserve"> </w:t>
      </w:r>
      <w:r w:rsidRPr="001C0CE5">
        <w:rPr>
          <w:rFonts w:cs="Arial"/>
        </w:rPr>
        <w:t>for salaries and related overhead and $</w:t>
      </w:r>
      <w:r w:rsidR="002F608E">
        <w:rPr>
          <w:rFonts w:cs="Arial"/>
        </w:rPr>
        <w:t>85</w:t>
      </w:r>
      <w:r w:rsidRPr="001C0CE5">
        <w:rPr>
          <w:rFonts w:cs="Arial"/>
        </w:rPr>
        <w:t>,000 for equipment, supplies, form design, and computer processing.</w:t>
      </w:r>
    </w:p>
    <w:p w:rsidRPr="00E528BB" w:rsidR="001C0CE5" w:rsidP="00F51A14" w:rsidRDefault="001C0CE5"/>
    <w:p w:rsidRPr="00E528BB" w:rsidR="00F51A14" w:rsidP="00F51A14" w:rsidRDefault="00F51A14">
      <w:pPr>
        <w:rPr>
          <w:b/>
          <w:u w:val="single"/>
        </w:rPr>
      </w:pPr>
      <w:r w:rsidRPr="00E528BB">
        <w:rPr>
          <w:b/>
        </w:rPr>
        <w:t xml:space="preserve">15.  </w:t>
      </w:r>
      <w:r w:rsidRPr="00E528BB">
        <w:rPr>
          <w:b/>
          <w:u w:val="single"/>
        </w:rPr>
        <w:t>Explain the reasons for any program changes or adjustments reported</w:t>
      </w:r>
      <w:r w:rsidRPr="00E528BB">
        <w:rPr>
          <w:b/>
        </w:rPr>
        <w:t>.</w:t>
      </w:r>
    </w:p>
    <w:p w:rsidRPr="00E528BB" w:rsidR="00F51A14" w:rsidP="00F51A14" w:rsidRDefault="00F51A14">
      <w:pPr>
        <w:rPr>
          <w:b/>
        </w:rPr>
      </w:pPr>
    </w:p>
    <w:p w:rsidR="00D02D3C" w:rsidP="00F51A14" w:rsidRDefault="00425FDC">
      <w:r>
        <w:t xml:space="preserve">This request is for </w:t>
      </w:r>
      <w:r w:rsidR="00D02D3C">
        <w:t xml:space="preserve">a </w:t>
      </w:r>
      <w:r w:rsidR="00672F61">
        <w:t>renewal</w:t>
      </w:r>
      <w:r w:rsidR="00D02D3C">
        <w:t>,</w:t>
      </w:r>
      <w:r>
        <w:t xml:space="preserve"> </w:t>
      </w:r>
      <w:r w:rsidR="008D1FA7">
        <w:t>with change</w:t>
      </w:r>
      <w:r w:rsidR="00D02D3C">
        <w:t>,</w:t>
      </w:r>
      <w:r w:rsidR="008D1FA7">
        <w:t xml:space="preserve"> </w:t>
      </w:r>
      <w:r>
        <w:t xml:space="preserve">of a </w:t>
      </w:r>
      <w:r w:rsidR="00D02D3C">
        <w:t>previously</w:t>
      </w:r>
      <w:r>
        <w:t xml:space="preserve"> approved </w:t>
      </w:r>
      <w:r w:rsidR="00487957">
        <w:t xml:space="preserve">mandatory </w:t>
      </w:r>
      <w:r>
        <w:t>collection</w:t>
      </w:r>
      <w:r w:rsidR="00D02D3C">
        <w:t xml:space="preserve"> for which approval has expired</w:t>
      </w:r>
      <w:r>
        <w:t xml:space="preserve">. </w:t>
      </w:r>
      <w:r w:rsidR="00D02D3C">
        <w:t xml:space="preserve">Currently, there are no burden hours for the </w:t>
      </w:r>
      <w:r w:rsidR="00174D83">
        <w:t xml:space="preserve">2019 </w:t>
      </w:r>
      <w:r w:rsidR="00D02D3C">
        <w:t>BE-</w:t>
      </w:r>
      <w:r w:rsidR="00174D83">
        <w:t xml:space="preserve">180 </w:t>
      </w:r>
      <w:r w:rsidR="0037142C">
        <w:t xml:space="preserve">benchmark </w:t>
      </w:r>
      <w:r w:rsidR="00D02D3C">
        <w:t>survey in the inventory maintained by the OMB. Therefore, t</w:t>
      </w:r>
      <w:r>
        <w:t xml:space="preserve">he estimated </w:t>
      </w:r>
      <w:r w:rsidR="00926DFA">
        <w:t xml:space="preserve">burden </w:t>
      </w:r>
      <w:r w:rsidR="00033A5F">
        <w:t xml:space="preserve">of </w:t>
      </w:r>
      <w:r w:rsidR="00BE4383">
        <w:t>29,375</w:t>
      </w:r>
      <w:r w:rsidR="008D1FA7">
        <w:t xml:space="preserve"> </w:t>
      </w:r>
      <w:r w:rsidR="00535774">
        <w:t>hours</w:t>
      </w:r>
      <w:r w:rsidR="008D1FA7">
        <w:t xml:space="preserve"> (</w:t>
      </w:r>
      <w:r w:rsidR="00D02D3C">
        <w:t>see A.12 above</w:t>
      </w:r>
      <w:r w:rsidR="008D1FA7">
        <w:t>)</w:t>
      </w:r>
      <w:r w:rsidR="00D02D3C">
        <w:t xml:space="preserve"> for this periodic collection is shown entirely as a program change in the ROCIS</w:t>
      </w:r>
      <w:r w:rsidR="00535774">
        <w:t xml:space="preserve">.  </w:t>
      </w:r>
    </w:p>
    <w:p w:rsidR="00D02D3C" w:rsidP="00F51A14" w:rsidRDefault="00D02D3C"/>
    <w:p w:rsidRPr="00E528BB" w:rsidR="00D02D3C" w:rsidP="00D02D3C" w:rsidRDefault="00D02D3C">
      <w:r w:rsidRPr="000B1594">
        <w:t xml:space="preserve">The estimate for the </w:t>
      </w:r>
      <w:r w:rsidR="00174D83">
        <w:t>2019</w:t>
      </w:r>
      <w:r w:rsidRPr="000B1594" w:rsidR="00174D83">
        <w:t xml:space="preserve"> </w:t>
      </w:r>
      <w:r w:rsidRPr="000B1594">
        <w:t>BE-1</w:t>
      </w:r>
      <w:r w:rsidR="005C3B6F">
        <w:t>8</w:t>
      </w:r>
      <w:r>
        <w:t>0</w:t>
      </w:r>
      <w:r w:rsidRPr="000B1594">
        <w:t xml:space="preserve"> benchmark survey of </w:t>
      </w:r>
      <w:r w:rsidR="00BE4383">
        <w:t>29,375</w:t>
      </w:r>
      <w:r>
        <w:t xml:space="preserve"> </w:t>
      </w:r>
      <w:r w:rsidRPr="000B1594">
        <w:t xml:space="preserve">burden hours is </w:t>
      </w:r>
      <w:r w:rsidR="00BE4383">
        <w:t>1,875</w:t>
      </w:r>
      <w:r w:rsidR="00542092">
        <w:t xml:space="preserve"> </w:t>
      </w:r>
      <w:r w:rsidRPr="000B1594">
        <w:t xml:space="preserve">more than the </w:t>
      </w:r>
      <w:r>
        <w:t xml:space="preserve">estimated </w:t>
      </w:r>
      <w:r w:rsidRPr="000B1594">
        <w:t>respondent burden for the previous (20</w:t>
      </w:r>
      <w:r>
        <w:t>1</w:t>
      </w:r>
      <w:r w:rsidR="00174D83">
        <w:t>4</w:t>
      </w:r>
      <w:r w:rsidRPr="000B1594">
        <w:t xml:space="preserve">) benchmark survey. For the </w:t>
      </w:r>
      <w:r w:rsidRPr="000B1594" w:rsidR="00174D83">
        <w:t>20</w:t>
      </w:r>
      <w:r w:rsidR="00174D83">
        <w:t>14</w:t>
      </w:r>
      <w:r w:rsidRPr="000B1594" w:rsidR="00174D83">
        <w:t xml:space="preserve"> </w:t>
      </w:r>
      <w:r w:rsidRPr="000B1594">
        <w:t xml:space="preserve">survey, the estimated burden was </w:t>
      </w:r>
      <w:r w:rsidR="00174D83">
        <w:t>27,500</w:t>
      </w:r>
      <w:r w:rsidRPr="000B1594">
        <w:t xml:space="preserve"> hours. The increase in burden hours </w:t>
      </w:r>
      <w:r w:rsidR="001B038C">
        <w:t xml:space="preserve">results from </w:t>
      </w:r>
      <w:r w:rsidR="00BE4383">
        <w:t>changes in the expected response composition</w:t>
      </w:r>
      <w:r w:rsidRPr="000B1594">
        <w:t xml:space="preserve"> </w:t>
      </w:r>
      <w:r w:rsidR="00BE4383">
        <w:t>of</w:t>
      </w:r>
      <w:r w:rsidRPr="000B1594">
        <w:t xml:space="preserve"> the respondent universe</w:t>
      </w:r>
      <w:r w:rsidR="00AA3D60">
        <w:t xml:space="preserve"> from 2014 to 2019</w:t>
      </w:r>
      <w:r w:rsidR="00BE4383">
        <w:t>,</w:t>
      </w:r>
      <w:r w:rsidR="00542092">
        <w:t xml:space="preserve"> as well as </w:t>
      </w:r>
      <w:r w:rsidR="00AA3D60">
        <w:t>changes to the content of the</w:t>
      </w:r>
      <w:r w:rsidR="00174D83">
        <w:t xml:space="preserve"> </w:t>
      </w:r>
      <w:r w:rsidR="00542092">
        <w:t>survey</w:t>
      </w:r>
      <w:r>
        <w:t>.</w:t>
      </w:r>
    </w:p>
    <w:p w:rsidR="008D1FA7" w:rsidP="00F51A14" w:rsidRDefault="008D1FA7">
      <w:bookmarkStart w:name="_GoBack" w:id="1"/>
      <w:bookmarkEnd w:id="1"/>
    </w:p>
    <w:p w:rsidR="00542092" w:rsidP="00F51A14" w:rsidRDefault="00542092">
      <w:r>
        <w:t>BEA proposes to add and modify some data</w:t>
      </w:r>
      <w:r w:rsidR="00CA37B7">
        <w:t xml:space="preserve"> items</w:t>
      </w:r>
      <w:r>
        <w:t xml:space="preserve"> collected on the benchmark survey form.</w:t>
      </w:r>
      <w:r w:rsidRPr="001E7AB9">
        <w:t xml:space="preserve"> </w:t>
      </w:r>
      <w:r w:rsidR="00FA0424">
        <w:t>The changes</w:t>
      </w:r>
      <w:r w:rsidRPr="009556E7">
        <w:t xml:space="preserve"> </w:t>
      </w:r>
      <w:r>
        <w:t xml:space="preserve">are </w:t>
      </w:r>
      <w:r w:rsidR="003B1FD3">
        <w:t xml:space="preserve">intended </w:t>
      </w:r>
      <w:r>
        <w:t xml:space="preserve">to more closely align collected </w:t>
      </w:r>
      <w:r w:rsidR="00174D83">
        <w:t xml:space="preserve">financial </w:t>
      </w:r>
      <w:r>
        <w:t xml:space="preserve">services categories with international </w:t>
      </w:r>
      <w:r w:rsidR="007365B0">
        <w:t>guidelines</w:t>
      </w:r>
      <w:r w:rsidR="00FA0424">
        <w:t xml:space="preserve">, to improve on current </w:t>
      </w:r>
      <w:r w:rsidR="00211DBD">
        <w:t xml:space="preserve">financial </w:t>
      </w:r>
      <w:r w:rsidR="00FA0424">
        <w:t>services estimation methodologies,</w:t>
      </w:r>
      <w:r w:rsidR="007365B0">
        <w:t xml:space="preserve"> </w:t>
      </w:r>
      <w:r>
        <w:t xml:space="preserve">and </w:t>
      </w:r>
      <w:r w:rsidR="007A3439">
        <w:t xml:space="preserve">to provide </w:t>
      </w:r>
      <w:r w:rsidR="0011540A">
        <w:t>users with</w:t>
      </w:r>
      <w:r>
        <w:t xml:space="preserve"> additional information about U.S. </w:t>
      </w:r>
      <w:r w:rsidR="00174D83">
        <w:t xml:space="preserve">financial </w:t>
      </w:r>
      <w:r>
        <w:t>services transactions with foreign persons.</w:t>
      </w:r>
    </w:p>
    <w:p w:rsidRPr="00E528BB" w:rsidR="00F51A14" w:rsidP="00F51A14" w:rsidRDefault="00F51A14">
      <w:pPr>
        <w:rPr>
          <w:b/>
        </w:rPr>
      </w:pPr>
    </w:p>
    <w:p w:rsidRPr="00E528BB" w:rsidR="00F51A14" w:rsidP="00F51A14" w:rsidRDefault="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Pr="00E528BB" w:rsidR="00F51A14" w:rsidP="00F51A14" w:rsidRDefault="00F51A14"/>
    <w:p w:rsidR="00A273C4" w:rsidP="00F51A14" w:rsidRDefault="00A273C4">
      <w:r>
        <w:t xml:space="preserve">Completed benchmark survey forms </w:t>
      </w:r>
      <w:r w:rsidR="003B1FD3">
        <w:t>are</w:t>
      </w:r>
      <w:r w:rsidR="00AA3D60">
        <w:t xml:space="preserve"> </w:t>
      </w:r>
      <w:r>
        <w:t>due by</w:t>
      </w:r>
      <w:r w:rsidRPr="00E605BB">
        <w:t xml:space="preserve"> </w:t>
      </w:r>
      <w:r w:rsidR="00ED0ADF">
        <w:t>August</w:t>
      </w:r>
      <w:r w:rsidR="00ED0ADF">
        <w:t xml:space="preserve"> </w:t>
      </w:r>
      <w:r w:rsidR="007A3439">
        <w:t>31</w:t>
      </w:r>
      <w:r w:rsidRPr="00E605BB">
        <w:t xml:space="preserve">, </w:t>
      </w:r>
      <w:r w:rsidRPr="00E605BB" w:rsidR="002737D4">
        <w:t>20</w:t>
      </w:r>
      <w:r w:rsidR="002737D4">
        <w:t>20</w:t>
      </w:r>
      <w:r w:rsidR="002737D4">
        <w:rPr>
          <w:bCs/>
        </w:rPr>
        <w:t xml:space="preserve"> </w:t>
      </w:r>
      <w:r>
        <w:rPr>
          <w:bCs/>
        </w:rPr>
        <w:t xml:space="preserve">(or by </w:t>
      </w:r>
      <w:r w:rsidR="00ED0ADF">
        <w:rPr>
          <w:bCs/>
        </w:rPr>
        <w:t>September 30</w:t>
      </w:r>
      <w:r>
        <w:rPr>
          <w:bCs/>
        </w:rPr>
        <w:t xml:space="preserve">, </w:t>
      </w:r>
      <w:r w:rsidR="002737D4">
        <w:rPr>
          <w:bCs/>
        </w:rPr>
        <w:t xml:space="preserve">2020 </w:t>
      </w:r>
      <w:r>
        <w:rPr>
          <w:bCs/>
        </w:rPr>
        <w:t xml:space="preserve">for </w:t>
      </w:r>
      <w:r w:rsidR="000B41A4">
        <w:rPr>
          <w:bCs/>
        </w:rPr>
        <w:t>respondents</w:t>
      </w:r>
      <w:r>
        <w:rPr>
          <w:bCs/>
        </w:rPr>
        <w:t xml:space="preserve"> that use BEA’s eFile system)</w:t>
      </w:r>
      <w:r w:rsidRPr="00E605BB">
        <w:t xml:space="preserve">.  </w:t>
      </w:r>
    </w:p>
    <w:p w:rsidR="00A273C4" w:rsidP="00F51A14" w:rsidRDefault="00A273C4"/>
    <w:p w:rsidR="00F51A14" w:rsidP="00F51A14" w:rsidRDefault="008E1180">
      <w:r w:rsidRPr="00E528BB">
        <w:t xml:space="preserve">The data from this survey will be </w:t>
      </w:r>
      <w:r>
        <w:t>used to estimate</w:t>
      </w:r>
      <w:r w:rsidR="00721B72">
        <w:t xml:space="preserve"> trade in</w:t>
      </w:r>
      <w:r w:rsidR="00754E15">
        <w:t xml:space="preserve"> </w:t>
      </w:r>
      <w:r w:rsidR="002737D4">
        <w:t xml:space="preserve">financial </w:t>
      </w:r>
      <w:r>
        <w:t>services</w:t>
      </w:r>
      <w:r w:rsidR="006B238A">
        <w:t xml:space="preserve"> </w:t>
      </w:r>
      <w:r>
        <w:t xml:space="preserve">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detailed annual presentation of U.S. international services that is published in the </w:t>
      </w:r>
      <w:r>
        <w:rPr>
          <w:i/>
        </w:rPr>
        <w:t>Survey of Current Business</w:t>
      </w:r>
      <w:r w:rsidR="001B038C">
        <w:t>, typically</w:t>
      </w:r>
      <w:r>
        <w:rPr>
          <w:i/>
        </w:rPr>
        <w:t xml:space="preserve"> </w:t>
      </w:r>
      <w:r>
        <w:t>each October</w:t>
      </w:r>
      <w:r w:rsidRPr="00E528BB">
        <w:t xml:space="preserve">. </w:t>
      </w:r>
      <w:r>
        <w:t>These estimates will be published on BEA’s web site (</w:t>
      </w:r>
      <w:hyperlink w:history="1" r:id="rId9">
        <w:r>
          <w:rPr>
            <w:rStyle w:val="Hyperlink"/>
          </w:rPr>
          <w:t>www.bea.gov</w:t>
        </w:r>
      </w:hyperlink>
      <w:r>
        <w:t>).</w:t>
      </w:r>
      <w:r w:rsidR="00D448B9">
        <w:t xml:space="preserve"> The data will also be used to provide the basis for the estimates of transactions in </w:t>
      </w:r>
      <w:r w:rsidR="002737D4">
        <w:t xml:space="preserve">financial </w:t>
      </w:r>
      <w:r w:rsidR="004E4ED5">
        <w:t>services</w:t>
      </w:r>
      <w:r w:rsidR="00D448B9">
        <w:t xml:space="preserve"> in monthly estimates of international services transactions, which are included in a BEA-Census Bureau news release on U.S. trade in goods and services.</w:t>
      </w:r>
    </w:p>
    <w:p w:rsidR="00D02D3C" w:rsidP="00F51A14" w:rsidRDefault="00D02D3C"/>
    <w:p w:rsidR="00D02D3C" w:rsidP="00D02D3C" w:rsidRDefault="00D02D3C">
      <w:r>
        <w:t>The d</w:t>
      </w:r>
      <w:r w:rsidRPr="00E528BB">
        <w:t>ata</w:t>
      </w:r>
      <w:r>
        <w:t xml:space="preserve"> collected</w:t>
      </w:r>
      <w:r w:rsidRPr="00E528BB">
        <w:t xml:space="preserve"> will be </w:t>
      </w:r>
      <w:r>
        <w:t xml:space="preserve">used to estimate the universe of </w:t>
      </w:r>
      <w:r w:rsidR="002737D4">
        <w:t xml:space="preserve">financial </w:t>
      </w:r>
      <w:r>
        <w:t>services transactions necessary to publish revised 201</w:t>
      </w:r>
      <w:r w:rsidR="002737D4">
        <w:t>9</w:t>
      </w:r>
      <w:r>
        <w:t xml:space="preserve"> and 20</w:t>
      </w:r>
      <w:r w:rsidR="002737D4">
        <w:t>20</w:t>
      </w:r>
      <w:r>
        <w:t xml:space="preserve"> quarterly estimates</w:t>
      </w:r>
      <w:r w:rsidR="00B02F54">
        <w:t>, and revise earlier estimates as necessary,</w:t>
      </w:r>
      <w:r>
        <w:t xml:space="preserve"> in June 20</w:t>
      </w:r>
      <w:r w:rsidR="00754E15">
        <w:t>2</w:t>
      </w:r>
      <w:r w:rsidR="002737D4">
        <w:t>1</w:t>
      </w:r>
      <w:r>
        <w:t>.</w:t>
      </w:r>
    </w:p>
    <w:p w:rsidR="00D02D3C" w:rsidP="00F51A14" w:rsidRDefault="00D02D3C"/>
    <w:p w:rsidRPr="00E528BB" w:rsidR="00F51A14" w:rsidP="00F51A14" w:rsidRDefault="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Pr="00E528BB" w:rsidR="00F51A14" w:rsidP="00F51A14" w:rsidRDefault="00F51A14">
      <w:pPr>
        <w:rPr>
          <w:b/>
        </w:rPr>
      </w:pPr>
    </w:p>
    <w:p w:rsidRPr="00E528BB" w:rsidR="00F51A14" w:rsidP="00F51A14" w:rsidRDefault="00F51A14">
      <w:r w:rsidRPr="00E528BB">
        <w:lastRenderedPageBreak/>
        <w:t>The OMB expiration date will be displayed on the forms.</w:t>
      </w:r>
    </w:p>
    <w:p w:rsidRPr="00E528BB" w:rsidR="00F51A14" w:rsidP="00F51A14" w:rsidRDefault="00F51A14"/>
    <w:p w:rsidRPr="00A77266" w:rsidR="00F51A14" w:rsidP="00F51A14" w:rsidRDefault="00F51A14">
      <w:pPr>
        <w:rPr>
          <w:b/>
          <w:u w:val="single"/>
        </w:rPr>
      </w:pPr>
      <w:r w:rsidRPr="00E528BB">
        <w:rPr>
          <w:b/>
        </w:rPr>
        <w:t xml:space="preserve">18.  </w:t>
      </w:r>
      <w:r w:rsidRPr="00E528BB">
        <w:rPr>
          <w:b/>
          <w:u w:val="single"/>
        </w:rPr>
        <w:t>Explain each exception to the certification statement</w:t>
      </w:r>
      <w:r w:rsidRPr="00E528BB">
        <w:rPr>
          <w:b/>
        </w:rPr>
        <w:t>.</w:t>
      </w:r>
    </w:p>
    <w:p w:rsidRPr="00E528BB" w:rsidR="00F51A14" w:rsidP="00F51A14" w:rsidRDefault="00F51A14">
      <w:pPr>
        <w:rPr>
          <w:b/>
        </w:rPr>
      </w:pPr>
    </w:p>
    <w:p w:rsidRPr="00242631" w:rsidR="00327495" w:rsidP="005E5139" w:rsidRDefault="00D448B9">
      <w:pPr>
        <w:rPr>
          <w:b/>
        </w:rPr>
      </w:pPr>
      <w:r w:rsidRPr="000B1594">
        <w:t>The BE-</w:t>
      </w:r>
      <w:r w:rsidR="002737D4">
        <w:t>180</w:t>
      </w:r>
      <w:r w:rsidRPr="000B1594" w:rsidR="002737D4">
        <w:t xml:space="preserve"> </w:t>
      </w:r>
      <w:r w:rsidRPr="000B1594">
        <w:t>information collection is consistent with the certification in all aspects.</w:t>
      </w:r>
    </w:p>
    <w:sectPr w:rsidRPr="00242631" w:rsidR="00327495" w:rsidSect="00104828">
      <w:footerReference w:type="even" r:id="rId10"/>
      <w:footerReference w:type="default" r:id="rId11"/>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5C6" w:rsidRDefault="002535C6">
      <w:r>
        <w:separator/>
      </w:r>
    </w:p>
  </w:endnote>
  <w:endnote w:type="continuationSeparator" w:id="0">
    <w:p w:rsidR="002535C6" w:rsidRDefault="0025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3E" w:rsidRDefault="00592A3E"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rsidRDefault="00592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A3E" w:rsidRDefault="00592A3E"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957">
      <w:rPr>
        <w:rStyle w:val="PageNumber"/>
        <w:noProof/>
      </w:rPr>
      <w:t>4</w:t>
    </w:r>
    <w:r>
      <w:rPr>
        <w:rStyle w:val="PageNumber"/>
      </w:rPr>
      <w:fldChar w:fldCharType="end"/>
    </w:r>
  </w:p>
  <w:p w:rsidR="00592A3E" w:rsidRDefault="0059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5C6" w:rsidRDefault="002535C6">
      <w:r>
        <w:separator/>
      </w:r>
    </w:p>
  </w:footnote>
  <w:footnote w:type="continuationSeparator" w:id="0">
    <w:p w:rsidR="002535C6" w:rsidRDefault="00253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3A06D8"/>
    <w:multiLevelType w:val="hybridMultilevel"/>
    <w:tmpl w:val="D8561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61093"/>
    <w:multiLevelType w:val="hybridMultilevel"/>
    <w:tmpl w:val="A600C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631"/>
    <w:rsid w:val="000021EE"/>
    <w:rsid w:val="00002574"/>
    <w:rsid w:val="00003071"/>
    <w:rsid w:val="00004AAE"/>
    <w:rsid w:val="00004AD5"/>
    <w:rsid w:val="000051B7"/>
    <w:rsid w:val="0000671E"/>
    <w:rsid w:val="00006A7B"/>
    <w:rsid w:val="00007646"/>
    <w:rsid w:val="00010E88"/>
    <w:rsid w:val="00011650"/>
    <w:rsid w:val="00011F9F"/>
    <w:rsid w:val="00012D2E"/>
    <w:rsid w:val="000133EE"/>
    <w:rsid w:val="000136D3"/>
    <w:rsid w:val="00013707"/>
    <w:rsid w:val="00013D1D"/>
    <w:rsid w:val="00014119"/>
    <w:rsid w:val="000143AA"/>
    <w:rsid w:val="00014C0C"/>
    <w:rsid w:val="000155E4"/>
    <w:rsid w:val="000168E7"/>
    <w:rsid w:val="00016E1A"/>
    <w:rsid w:val="00016E1C"/>
    <w:rsid w:val="00020E28"/>
    <w:rsid w:val="00021982"/>
    <w:rsid w:val="00021D15"/>
    <w:rsid w:val="0002213E"/>
    <w:rsid w:val="00022CB7"/>
    <w:rsid w:val="00023534"/>
    <w:rsid w:val="00023671"/>
    <w:rsid w:val="00023985"/>
    <w:rsid w:val="000243F8"/>
    <w:rsid w:val="000258A6"/>
    <w:rsid w:val="00027405"/>
    <w:rsid w:val="000275F0"/>
    <w:rsid w:val="00030ABA"/>
    <w:rsid w:val="00032149"/>
    <w:rsid w:val="000322FC"/>
    <w:rsid w:val="000339FB"/>
    <w:rsid w:val="00033A5F"/>
    <w:rsid w:val="00034161"/>
    <w:rsid w:val="0003427D"/>
    <w:rsid w:val="0003493B"/>
    <w:rsid w:val="00035199"/>
    <w:rsid w:val="00036CC5"/>
    <w:rsid w:val="00037B4F"/>
    <w:rsid w:val="00037DF3"/>
    <w:rsid w:val="0004018A"/>
    <w:rsid w:val="00040F49"/>
    <w:rsid w:val="0004128E"/>
    <w:rsid w:val="0004188E"/>
    <w:rsid w:val="00041F06"/>
    <w:rsid w:val="00042B7A"/>
    <w:rsid w:val="00043469"/>
    <w:rsid w:val="00043624"/>
    <w:rsid w:val="000437D4"/>
    <w:rsid w:val="000437DF"/>
    <w:rsid w:val="00044864"/>
    <w:rsid w:val="00044FDB"/>
    <w:rsid w:val="0004501A"/>
    <w:rsid w:val="000454CB"/>
    <w:rsid w:val="00046021"/>
    <w:rsid w:val="000468BB"/>
    <w:rsid w:val="000473C1"/>
    <w:rsid w:val="00052863"/>
    <w:rsid w:val="00052AE6"/>
    <w:rsid w:val="0005372D"/>
    <w:rsid w:val="00053B66"/>
    <w:rsid w:val="00055032"/>
    <w:rsid w:val="000576B9"/>
    <w:rsid w:val="00057E44"/>
    <w:rsid w:val="00061904"/>
    <w:rsid w:val="00061DF1"/>
    <w:rsid w:val="000657BD"/>
    <w:rsid w:val="00065DD6"/>
    <w:rsid w:val="00066A83"/>
    <w:rsid w:val="00070B54"/>
    <w:rsid w:val="00070E34"/>
    <w:rsid w:val="00073551"/>
    <w:rsid w:val="0007367F"/>
    <w:rsid w:val="00073779"/>
    <w:rsid w:val="00074048"/>
    <w:rsid w:val="00074946"/>
    <w:rsid w:val="00074D4A"/>
    <w:rsid w:val="000756F6"/>
    <w:rsid w:val="00076E35"/>
    <w:rsid w:val="0007720D"/>
    <w:rsid w:val="000774DA"/>
    <w:rsid w:val="00077EAA"/>
    <w:rsid w:val="00080946"/>
    <w:rsid w:val="00080D2D"/>
    <w:rsid w:val="000810CD"/>
    <w:rsid w:val="00082107"/>
    <w:rsid w:val="000821F1"/>
    <w:rsid w:val="0008361D"/>
    <w:rsid w:val="00083AC4"/>
    <w:rsid w:val="00083F95"/>
    <w:rsid w:val="00084041"/>
    <w:rsid w:val="00084C53"/>
    <w:rsid w:val="00085AAF"/>
    <w:rsid w:val="00085C51"/>
    <w:rsid w:val="000865CB"/>
    <w:rsid w:val="0008680F"/>
    <w:rsid w:val="000868E3"/>
    <w:rsid w:val="00090602"/>
    <w:rsid w:val="0009154C"/>
    <w:rsid w:val="000925FF"/>
    <w:rsid w:val="00095058"/>
    <w:rsid w:val="000959B2"/>
    <w:rsid w:val="00095AA8"/>
    <w:rsid w:val="000960B4"/>
    <w:rsid w:val="00096180"/>
    <w:rsid w:val="00096C59"/>
    <w:rsid w:val="00097897"/>
    <w:rsid w:val="00097CA8"/>
    <w:rsid w:val="000A01A6"/>
    <w:rsid w:val="000A1DF5"/>
    <w:rsid w:val="000A3849"/>
    <w:rsid w:val="000A410E"/>
    <w:rsid w:val="000A4914"/>
    <w:rsid w:val="000A4A00"/>
    <w:rsid w:val="000A58A3"/>
    <w:rsid w:val="000A613D"/>
    <w:rsid w:val="000A6C44"/>
    <w:rsid w:val="000A6EF2"/>
    <w:rsid w:val="000A6F05"/>
    <w:rsid w:val="000A72EA"/>
    <w:rsid w:val="000B024D"/>
    <w:rsid w:val="000B1453"/>
    <w:rsid w:val="000B1588"/>
    <w:rsid w:val="000B1E68"/>
    <w:rsid w:val="000B28EE"/>
    <w:rsid w:val="000B338B"/>
    <w:rsid w:val="000B41A4"/>
    <w:rsid w:val="000B42C0"/>
    <w:rsid w:val="000B4B8E"/>
    <w:rsid w:val="000B4F58"/>
    <w:rsid w:val="000B544D"/>
    <w:rsid w:val="000B547D"/>
    <w:rsid w:val="000B686C"/>
    <w:rsid w:val="000B6D00"/>
    <w:rsid w:val="000B7B81"/>
    <w:rsid w:val="000C16AF"/>
    <w:rsid w:val="000C26E5"/>
    <w:rsid w:val="000C501F"/>
    <w:rsid w:val="000C5729"/>
    <w:rsid w:val="000C58A7"/>
    <w:rsid w:val="000C5CF2"/>
    <w:rsid w:val="000C7B0F"/>
    <w:rsid w:val="000C7EC8"/>
    <w:rsid w:val="000D0BE7"/>
    <w:rsid w:val="000D1C9D"/>
    <w:rsid w:val="000D2BEC"/>
    <w:rsid w:val="000D4700"/>
    <w:rsid w:val="000D4BE7"/>
    <w:rsid w:val="000D4DD4"/>
    <w:rsid w:val="000D5E58"/>
    <w:rsid w:val="000D6B5B"/>
    <w:rsid w:val="000D7277"/>
    <w:rsid w:val="000D76EE"/>
    <w:rsid w:val="000E0BA3"/>
    <w:rsid w:val="000E1944"/>
    <w:rsid w:val="000E230C"/>
    <w:rsid w:val="000E35CB"/>
    <w:rsid w:val="000E3950"/>
    <w:rsid w:val="000E4110"/>
    <w:rsid w:val="000E42E2"/>
    <w:rsid w:val="000E47EB"/>
    <w:rsid w:val="000E4B97"/>
    <w:rsid w:val="000E6706"/>
    <w:rsid w:val="000E795A"/>
    <w:rsid w:val="000F0F71"/>
    <w:rsid w:val="000F11AC"/>
    <w:rsid w:val="000F1296"/>
    <w:rsid w:val="000F1C6C"/>
    <w:rsid w:val="000F1D61"/>
    <w:rsid w:val="000F2B29"/>
    <w:rsid w:val="000F33A6"/>
    <w:rsid w:val="000F38A6"/>
    <w:rsid w:val="000F4305"/>
    <w:rsid w:val="000F546D"/>
    <w:rsid w:val="000F56C3"/>
    <w:rsid w:val="000F6DDB"/>
    <w:rsid w:val="000F7C76"/>
    <w:rsid w:val="000F7CE8"/>
    <w:rsid w:val="000F7D2D"/>
    <w:rsid w:val="001015F0"/>
    <w:rsid w:val="00101F21"/>
    <w:rsid w:val="0010447A"/>
    <w:rsid w:val="0010472B"/>
    <w:rsid w:val="00104828"/>
    <w:rsid w:val="00105975"/>
    <w:rsid w:val="001067ED"/>
    <w:rsid w:val="001069B0"/>
    <w:rsid w:val="00107E26"/>
    <w:rsid w:val="00114C30"/>
    <w:rsid w:val="0011540A"/>
    <w:rsid w:val="00115758"/>
    <w:rsid w:val="00116140"/>
    <w:rsid w:val="00116543"/>
    <w:rsid w:val="00116A05"/>
    <w:rsid w:val="00116CA7"/>
    <w:rsid w:val="00117A44"/>
    <w:rsid w:val="00117D7E"/>
    <w:rsid w:val="00120BFA"/>
    <w:rsid w:val="00121DD9"/>
    <w:rsid w:val="00122D3C"/>
    <w:rsid w:val="00123974"/>
    <w:rsid w:val="0012467C"/>
    <w:rsid w:val="001253E2"/>
    <w:rsid w:val="00125401"/>
    <w:rsid w:val="001255D1"/>
    <w:rsid w:val="001265FE"/>
    <w:rsid w:val="0012722F"/>
    <w:rsid w:val="00127388"/>
    <w:rsid w:val="00130646"/>
    <w:rsid w:val="00130715"/>
    <w:rsid w:val="00130B2C"/>
    <w:rsid w:val="00130E50"/>
    <w:rsid w:val="00131776"/>
    <w:rsid w:val="001318EA"/>
    <w:rsid w:val="001322EC"/>
    <w:rsid w:val="00132D05"/>
    <w:rsid w:val="0013300C"/>
    <w:rsid w:val="00133CFD"/>
    <w:rsid w:val="00134C55"/>
    <w:rsid w:val="00134F4E"/>
    <w:rsid w:val="00135D61"/>
    <w:rsid w:val="00136838"/>
    <w:rsid w:val="00137F47"/>
    <w:rsid w:val="001408A3"/>
    <w:rsid w:val="00140D19"/>
    <w:rsid w:val="0014426B"/>
    <w:rsid w:val="00145BEE"/>
    <w:rsid w:val="00146054"/>
    <w:rsid w:val="00146072"/>
    <w:rsid w:val="001468A6"/>
    <w:rsid w:val="001469FB"/>
    <w:rsid w:val="00147F20"/>
    <w:rsid w:val="00151652"/>
    <w:rsid w:val="00152DEC"/>
    <w:rsid w:val="00153A0D"/>
    <w:rsid w:val="00153ACD"/>
    <w:rsid w:val="00154701"/>
    <w:rsid w:val="00154DAE"/>
    <w:rsid w:val="00156463"/>
    <w:rsid w:val="00157034"/>
    <w:rsid w:val="00157C41"/>
    <w:rsid w:val="00160676"/>
    <w:rsid w:val="00160D09"/>
    <w:rsid w:val="00161AAC"/>
    <w:rsid w:val="001620E8"/>
    <w:rsid w:val="00162394"/>
    <w:rsid w:val="00162A7C"/>
    <w:rsid w:val="001636B5"/>
    <w:rsid w:val="00163929"/>
    <w:rsid w:val="00165159"/>
    <w:rsid w:val="001661B7"/>
    <w:rsid w:val="0016637E"/>
    <w:rsid w:val="00166B5F"/>
    <w:rsid w:val="0016776D"/>
    <w:rsid w:val="00167867"/>
    <w:rsid w:val="001711A3"/>
    <w:rsid w:val="00171231"/>
    <w:rsid w:val="00171BBE"/>
    <w:rsid w:val="001729A1"/>
    <w:rsid w:val="001732DA"/>
    <w:rsid w:val="001736EF"/>
    <w:rsid w:val="00174044"/>
    <w:rsid w:val="00174C86"/>
    <w:rsid w:val="00174D83"/>
    <w:rsid w:val="0017603F"/>
    <w:rsid w:val="00176F3C"/>
    <w:rsid w:val="0017731A"/>
    <w:rsid w:val="001776D3"/>
    <w:rsid w:val="001778DC"/>
    <w:rsid w:val="00181714"/>
    <w:rsid w:val="00181759"/>
    <w:rsid w:val="0018386A"/>
    <w:rsid w:val="00183D74"/>
    <w:rsid w:val="00184F82"/>
    <w:rsid w:val="001874A6"/>
    <w:rsid w:val="001904E0"/>
    <w:rsid w:val="001915F1"/>
    <w:rsid w:val="001926F3"/>
    <w:rsid w:val="0019323B"/>
    <w:rsid w:val="00193C1B"/>
    <w:rsid w:val="00194554"/>
    <w:rsid w:val="00195B66"/>
    <w:rsid w:val="00196899"/>
    <w:rsid w:val="001970B5"/>
    <w:rsid w:val="001A0A6D"/>
    <w:rsid w:val="001A24E0"/>
    <w:rsid w:val="001A5041"/>
    <w:rsid w:val="001A542F"/>
    <w:rsid w:val="001B038C"/>
    <w:rsid w:val="001B0A3E"/>
    <w:rsid w:val="001B1482"/>
    <w:rsid w:val="001B1611"/>
    <w:rsid w:val="001B1FEA"/>
    <w:rsid w:val="001B32E1"/>
    <w:rsid w:val="001B37F4"/>
    <w:rsid w:val="001B431A"/>
    <w:rsid w:val="001B4C14"/>
    <w:rsid w:val="001B5F28"/>
    <w:rsid w:val="001B7021"/>
    <w:rsid w:val="001B7CAC"/>
    <w:rsid w:val="001C0CE5"/>
    <w:rsid w:val="001C18F8"/>
    <w:rsid w:val="001C1AC5"/>
    <w:rsid w:val="001C24D9"/>
    <w:rsid w:val="001C2849"/>
    <w:rsid w:val="001C29C8"/>
    <w:rsid w:val="001C49DB"/>
    <w:rsid w:val="001C50B1"/>
    <w:rsid w:val="001C769B"/>
    <w:rsid w:val="001C7757"/>
    <w:rsid w:val="001C787E"/>
    <w:rsid w:val="001C7EA4"/>
    <w:rsid w:val="001D00AD"/>
    <w:rsid w:val="001D063E"/>
    <w:rsid w:val="001D20F5"/>
    <w:rsid w:val="001D2A26"/>
    <w:rsid w:val="001D2A63"/>
    <w:rsid w:val="001D4524"/>
    <w:rsid w:val="001D570B"/>
    <w:rsid w:val="001D5AC7"/>
    <w:rsid w:val="001D5CA5"/>
    <w:rsid w:val="001D6927"/>
    <w:rsid w:val="001D7188"/>
    <w:rsid w:val="001E0452"/>
    <w:rsid w:val="001E131B"/>
    <w:rsid w:val="001E22EB"/>
    <w:rsid w:val="001E24E4"/>
    <w:rsid w:val="001E34C2"/>
    <w:rsid w:val="001E3D1D"/>
    <w:rsid w:val="001E5017"/>
    <w:rsid w:val="001E6968"/>
    <w:rsid w:val="001E6DF2"/>
    <w:rsid w:val="001E7266"/>
    <w:rsid w:val="001E77B2"/>
    <w:rsid w:val="001F1325"/>
    <w:rsid w:val="001F15A3"/>
    <w:rsid w:val="001F194C"/>
    <w:rsid w:val="001F1A0E"/>
    <w:rsid w:val="001F2365"/>
    <w:rsid w:val="001F25DF"/>
    <w:rsid w:val="001F28E2"/>
    <w:rsid w:val="001F2D00"/>
    <w:rsid w:val="001F36C6"/>
    <w:rsid w:val="001F3AFA"/>
    <w:rsid w:val="001F4E30"/>
    <w:rsid w:val="001F4ED5"/>
    <w:rsid w:val="001F5CA2"/>
    <w:rsid w:val="001F771C"/>
    <w:rsid w:val="001F7A49"/>
    <w:rsid w:val="00200A21"/>
    <w:rsid w:val="002022A3"/>
    <w:rsid w:val="00203213"/>
    <w:rsid w:val="00203574"/>
    <w:rsid w:val="00203AFA"/>
    <w:rsid w:val="00203C82"/>
    <w:rsid w:val="0020408B"/>
    <w:rsid w:val="002049CD"/>
    <w:rsid w:val="00204A49"/>
    <w:rsid w:val="002052C8"/>
    <w:rsid w:val="00205471"/>
    <w:rsid w:val="002059EE"/>
    <w:rsid w:val="00207207"/>
    <w:rsid w:val="00207359"/>
    <w:rsid w:val="00207CA6"/>
    <w:rsid w:val="00210F66"/>
    <w:rsid w:val="002119B7"/>
    <w:rsid w:val="00211DBD"/>
    <w:rsid w:val="002125F7"/>
    <w:rsid w:val="0021369F"/>
    <w:rsid w:val="00214B87"/>
    <w:rsid w:val="0021566F"/>
    <w:rsid w:val="00215A84"/>
    <w:rsid w:val="00215E64"/>
    <w:rsid w:val="002168F7"/>
    <w:rsid w:val="00216A86"/>
    <w:rsid w:val="00216C9C"/>
    <w:rsid w:val="0021719A"/>
    <w:rsid w:val="002205B5"/>
    <w:rsid w:val="002205DC"/>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64"/>
    <w:rsid w:val="0023467B"/>
    <w:rsid w:val="00234A53"/>
    <w:rsid w:val="00235078"/>
    <w:rsid w:val="00236D59"/>
    <w:rsid w:val="002374DA"/>
    <w:rsid w:val="00237B46"/>
    <w:rsid w:val="00237EEC"/>
    <w:rsid w:val="00242261"/>
    <w:rsid w:val="00242631"/>
    <w:rsid w:val="0024444A"/>
    <w:rsid w:val="00245C62"/>
    <w:rsid w:val="00247D24"/>
    <w:rsid w:val="002501A1"/>
    <w:rsid w:val="00250B69"/>
    <w:rsid w:val="00250D8B"/>
    <w:rsid w:val="00251F7A"/>
    <w:rsid w:val="00252310"/>
    <w:rsid w:val="00252BFA"/>
    <w:rsid w:val="002535C6"/>
    <w:rsid w:val="00253A23"/>
    <w:rsid w:val="00253A53"/>
    <w:rsid w:val="00254EF9"/>
    <w:rsid w:val="00255C39"/>
    <w:rsid w:val="002567D1"/>
    <w:rsid w:val="00256812"/>
    <w:rsid w:val="00256F4A"/>
    <w:rsid w:val="00257010"/>
    <w:rsid w:val="002571AC"/>
    <w:rsid w:val="00257517"/>
    <w:rsid w:val="002579E1"/>
    <w:rsid w:val="00260E89"/>
    <w:rsid w:val="0026180A"/>
    <w:rsid w:val="0026202E"/>
    <w:rsid w:val="00264605"/>
    <w:rsid w:val="00264915"/>
    <w:rsid w:val="00265922"/>
    <w:rsid w:val="00265926"/>
    <w:rsid w:val="00266932"/>
    <w:rsid w:val="00266A5B"/>
    <w:rsid w:val="00267225"/>
    <w:rsid w:val="00267835"/>
    <w:rsid w:val="002737D4"/>
    <w:rsid w:val="002746FC"/>
    <w:rsid w:val="0027489A"/>
    <w:rsid w:val="00274AAC"/>
    <w:rsid w:val="00274BCE"/>
    <w:rsid w:val="0027502E"/>
    <w:rsid w:val="00275770"/>
    <w:rsid w:val="00275F3E"/>
    <w:rsid w:val="0027639F"/>
    <w:rsid w:val="002764C7"/>
    <w:rsid w:val="00280905"/>
    <w:rsid w:val="00280E92"/>
    <w:rsid w:val="0028122C"/>
    <w:rsid w:val="00282088"/>
    <w:rsid w:val="00282C5A"/>
    <w:rsid w:val="00285103"/>
    <w:rsid w:val="0028573C"/>
    <w:rsid w:val="002858FA"/>
    <w:rsid w:val="00285B80"/>
    <w:rsid w:val="00285E52"/>
    <w:rsid w:val="0028609A"/>
    <w:rsid w:val="002862A6"/>
    <w:rsid w:val="00286857"/>
    <w:rsid w:val="00286BAD"/>
    <w:rsid w:val="00286EBC"/>
    <w:rsid w:val="00287888"/>
    <w:rsid w:val="002915D1"/>
    <w:rsid w:val="00292444"/>
    <w:rsid w:val="00292EFB"/>
    <w:rsid w:val="00293CD5"/>
    <w:rsid w:val="00293F9E"/>
    <w:rsid w:val="00294C2B"/>
    <w:rsid w:val="00295768"/>
    <w:rsid w:val="002A14DA"/>
    <w:rsid w:val="002A2434"/>
    <w:rsid w:val="002A54D7"/>
    <w:rsid w:val="002A5D66"/>
    <w:rsid w:val="002A6141"/>
    <w:rsid w:val="002A7248"/>
    <w:rsid w:val="002A7605"/>
    <w:rsid w:val="002B0AED"/>
    <w:rsid w:val="002B19BA"/>
    <w:rsid w:val="002B1E85"/>
    <w:rsid w:val="002B1E96"/>
    <w:rsid w:val="002B2000"/>
    <w:rsid w:val="002B2511"/>
    <w:rsid w:val="002B25BC"/>
    <w:rsid w:val="002C09B9"/>
    <w:rsid w:val="002C1B90"/>
    <w:rsid w:val="002C25F5"/>
    <w:rsid w:val="002C3A81"/>
    <w:rsid w:val="002C517A"/>
    <w:rsid w:val="002C719E"/>
    <w:rsid w:val="002D02A6"/>
    <w:rsid w:val="002D343B"/>
    <w:rsid w:val="002D48F0"/>
    <w:rsid w:val="002D4C02"/>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E7F70"/>
    <w:rsid w:val="002F0A2F"/>
    <w:rsid w:val="002F0E0B"/>
    <w:rsid w:val="002F0F79"/>
    <w:rsid w:val="002F21F7"/>
    <w:rsid w:val="002F2AEA"/>
    <w:rsid w:val="002F323B"/>
    <w:rsid w:val="002F44B5"/>
    <w:rsid w:val="002F466F"/>
    <w:rsid w:val="002F524A"/>
    <w:rsid w:val="002F608E"/>
    <w:rsid w:val="003027D1"/>
    <w:rsid w:val="00303400"/>
    <w:rsid w:val="00303567"/>
    <w:rsid w:val="0030466E"/>
    <w:rsid w:val="003052C6"/>
    <w:rsid w:val="0030595A"/>
    <w:rsid w:val="00306F58"/>
    <w:rsid w:val="0030749F"/>
    <w:rsid w:val="00312A1F"/>
    <w:rsid w:val="00312EB7"/>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1C3"/>
    <w:rsid w:val="0032524B"/>
    <w:rsid w:val="00325955"/>
    <w:rsid w:val="00325D04"/>
    <w:rsid w:val="003263CE"/>
    <w:rsid w:val="00326C28"/>
    <w:rsid w:val="00326EA2"/>
    <w:rsid w:val="00327495"/>
    <w:rsid w:val="003274A2"/>
    <w:rsid w:val="00327E29"/>
    <w:rsid w:val="00330FE5"/>
    <w:rsid w:val="003318FB"/>
    <w:rsid w:val="00331BA0"/>
    <w:rsid w:val="003326B1"/>
    <w:rsid w:val="00332921"/>
    <w:rsid w:val="003330AA"/>
    <w:rsid w:val="003332E3"/>
    <w:rsid w:val="00333F26"/>
    <w:rsid w:val="003350F6"/>
    <w:rsid w:val="00337DA4"/>
    <w:rsid w:val="003400F8"/>
    <w:rsid w:val="00340287"/>
    <w:rsid w:val="0034107D"/>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42C"/>
    <w:rsid w:val="003715C3"/>
    <w:rsid w:val="003723F6"/>
    <w:rsid w:val="00372595"/>
    <w:rsid w:val="003725BB"/>
    <w:rsid w:val="003735EB"/>
    <w:rsid w:val="00373E7D"/>
    <w:rsid w:val="00374A5A"/>
    <w:rsid w:val="00375769"/>
    <w:rsid w:val="00376791"/>
    <w:rsid w:val="00377035"/>
    <w:rsid w:val="00380987"/>
    <w:rsid w:val="00381B76"/>
    <w:rsid w:val="00381F08"/>
    <w:rsid w:val="00382F42"/>
    <w:rsid w:val="00384C30"/>
    <w:rsid w:val="00385CDE"/>
    <w:rsid w:val="00387A06"/>
    <w:rsid w:val="0039043C"/>
    <w:rsid w:val="00391874"/>
    <w:rsid w:val="00391972"/>
    <w:rsid w:val="003925CD"/>
    <w:rsid w:val="00392BB7"/>
    <w:rsid w:val="0039573D"/>
    <w:rsid w:val="00395D3A"/>
    <w:rsid w:val="003960BF"/>
    <w:rsid w:val="0039648E"/>
    <w:rsid w:val="00396947"/>
    <w:rsid w:val="0039713C"/>
    <w:rsid w:val="00397977"/>
    <w:rsid w:val="00397CC5"/>
    <w:rsid w:val="003A0CF6"/>
    <w:rsid w:val="003A13E7"/>
    <w:rsid w:val="003A26C9"/>
    <w:rsid w:val="003A309E"/>
    <w:rsid w:val="003A331B"/>
    <w:rsid w:val="003A3CDD"/>
    <w:rsid w:val="003A7D71"/>
    <w:rsid w:val="003B0985"/>
    <w:rsid w:val="003B0BAD"/>
    <w:rsid w:val="003B16C3"/>
    <w:rsid w:val="003B17AA"/>
    <w:rsid w:val="003B1FD3"/>
    <w:rsid w:val="003B2BBB"/>
    <w:rsid w:val="003B2E56"/>
    <w:rsid w:val="003B3946"/>
    <w:rsid w:val="003B468C"/>
    <w:rsid w:val="003B4A69"/>
    <w:rsid w:val="003B51FB"/>
    <w:rsid w:val="003B5693"/>
    <w:rsid w:val="003B5925"/>
    <w:rsid w:val="003B608E"/>
    <w:rsid w:val="003B630C"/>
    <w:rsid w:val="003B680D"/>
    <w:rsid w:val="003B7103"/>
    <w:rsid w:val="003B745E"/>
    <w:rsid w:val="003B7671"/>
    <w:rsid w:val="003B7922"/>
    <w:rsid w:val="003C197E"/>
    <w:rsid w:val="003C3218"/>
    <w:rsid w:val="003C362E"/>
    <w:rsid w:val="003C44FB"/>
    <w:rsid w:val="003C59E7"/>
    <w:rsid w:val="003C5E8D"/>
    <w:rsid w:val="003C6477"/>
    <w:rsid w:val="003C6A88"/>
    <w:rsid w:val="003C6C69"/>
    <w:rsid w:val="003C7381"/>
    <w:rsid w:val="003D0A5E"/>
    <w:rsid w:val="003D1C65"/>
    <w:rsid w:val="003D1D7C"/>
    <w:rsid w:val="003D27F9"/>
    <w:rsid w:val="003D343E"/>
    <w:rsid w:val="003D487B"/>
    <w:rsid w:val="003D4A5F"/>
    <w:rsid w:val="003D5C68"/>
    <w:rsid w:val="003E0395"/>
    <w:rsid w:val="003E05BB"/>
    <w:rsid w:val="003E186C"/>
    <w:rsid w:val="003E38EB"/>
    <w:rsid w:val="003E3F0C"/>
    <w:rsid w:val="003E420D"/>
    <w:rsid w:val="003E44D3"/>
    <w:rsid w:val="003E6727"/>
    <w:rsid w:val="003E69DA"/>
    <w:rsid w:val="003E6C8B"/>
    <w:rsid w:val="003E759D"/>
    <w:rsid w:val="003E769C"/>
    <w:rsid w:val="003E7E9B"/>
    <w:rsid w:val="003F1C0A"/>
    <w:rsid w:val="003F1D7D"/>
    <w:rsid w:val="003F22F0"/>
    <w:rsid w:val="003F2A12"/>
    <w:rsid w:val="003F32E4"/>
    <w:rsid w:val="003F4234"/>
    <w:rsid w:val="003F4F3A"/>
    <w:rsid w:val="003F5D3F"/>
    <w:rsid w:val="003F71BA"/>
    <w:rsid w:val="003F75B2"/>
    <w:rsid w:val="00400A43"/>
    <w:rsid w:val="00400F1F"/>
    <w:rsid w:val="0040170E"/>
    <w:rsid w:val="0040242E"/>
    <w:rsid w:val="00403535"/>
    <w:rsid w:val="00403737"/>
    <w:rsid w:val="00403EBC"/>
    <w:rsid w:val="00404589"/>
    <w:rsid w:val="00405F77"/>
    <w:rsid w:val="00406AAA"/>
    <w:rsid w:val="004073D0"/>
    <w:rsid w:val="00407D78"/>
    <w:rsid w:val="00410583"/>
    <w:rsid w:val="004108B8"/>
    <w:rsid w:val="00411204"/>
    <w:rsid w:val="00411228"/>
    <w:rsid w:val="0041364B"/>
    <w:rsid w:val="004139FF"/>
    <w:rsid w:val="00413DA6"/>
    <w:rsid w:val="0041471F"/>
    <w:rsid w:val="00415178"/>
    <w:rsid w:val="00416197"/>
    <w:rsid w:val="00416860"/>
    <w:rsid w:val="00420085"/>
    <w:rsid w:val="0042014E"/>
    <w:rsid w:val="004221B7"/>
    <w:rsid w:val="00422833"/>
    <w:rsid w:val="00424EDB"/>
    <w:rsid w:val="0042523A"/>
    <w:rsid w:val="004253A0"/>
    <w:rsid w:val="00425CAD"/>
    <w:rsid w:val="00425FDC"/>
    <w:rsid w:val="00426FFF"/>
    <w:rsid w:val="00427A60"/>
    <w:rsid w:val="004307AB"/>
    <w:rsid w:val="004310F9"/>
    <w:rsid w:val="00431598"/>
    <w:rsid w:val="00431738"/>
    <w:rsid w:val="00434100"/>
    <w:rsid w:val="00434FE2"/>
    <w:rsid w:val="004355E6"/>
    <w:rsid w:val="00436D4C"/>
    <w:rsid w:val="00437A37"/>
    <w:rsid w:val="00440100"/>
    <w:rsid w:val="00440386"/>
    <w:rsid w:val="00441497"/>
    <w:rsid w:val="00441E2A"/>
    <w:rsid w:val="00442776"/>
    <w:rsid w:val="0044328E"/>
    <w:rsid w:val="00443541"/>
    <w:rsid w:val="0044464A"/>
    <w:rsid w:val="0044505C"/>
    <w:rsid w:val="004464B6"/>
    <w:rsid w:val="00446624"/>
    <w:rsid w:val="004473AD"/>
    <w:rsid w:val="0044799F"/>
    <w:rsid w:val="00447D42"/>
    <w:rsid w:val="004504AD"/>
    <w:rsid w:val="00450730"/>
    <w:rsid w:val="00451246"/>
    <w:rsid w:val="00452F79"/>
    <w:rsid w:val="004544B9"/>
    <w:rsid w:val="00454D7C"/>
    <w:rsid w:val="004568E4"/>
    <w:rsid w:val="004569E9"/>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14D"/>
    <w:rsid w:val="0047223C"/>
    <w:rsid w:val="004722B8"/>
    <w:rsid w:val="00472F98"/>
    <w:rsid w:val="00473EDC"/>
    <w:rsid w:val="00474A1E"/>
    <w:rsid w:val="00476541"/>
    <w:rsid w:val="004767B2"/>
    <w:rsid w:val="00476DA8"/>
    <w:rsid w:val="00477A07"/>
    <w:rsid w:val="00482010"/>
    <w:rsid w:val="00483D9C"/>
    <w:rsid w:val="00483DE5"/>
    <w:rsid w:val="00484431"/>
    <w:rsid w:val="004844AA"/>
    <w:rsid w:val="00484D38"/>
    <w:rsid w:val="00486038"/>
    <w:rsid w:val="004866E8"/>
    <w:rsid w:val="00487957"/>
    <w:rsid w:val="004900FE"/>
    <w:rsid w:val="0049087C"/>
    <w:rsid w:val="00490C96"/>
    <w:rsid w:val="00491232"/>
    <w:rsid w:val="004926B5"/>
    <w:rsid w:val="004927AB"/>
    <w:rsid w:val="0049291B"/>
    <w:rsid w:val="0049316F"/>
    <w:rsid w:val="0049576F"/>
    <w:rsid w:val="00495E2F"/>
    <w:rsid w:val="0049608B"/>
    <w:rsid w:val="00496C1D"/>
    <w:rsid w:val="00497635"/>
    <w:rsid w:val="00497F83"/>
    <w:rsid w:val="004A02B4"/>
    <w:rsid w:val="004A33B7"/>
    <w:rsid w:val="004A4256"/>
    <w:rsid w:val="004A4CFE"/>
    <w:rsid w:val="004A5047"/>
    <w:rsid w:val="004A567A"/>
    <w:rsid w:val="004A5BF4"/>
    <w:rsid w:val="004A601D"/>
    <w:rsid w:val="004A7F1D"/>
    <w:rsid w:val="004B04B7"/>
    <w:rsid w:val="004B3507"/>
    <w:rsid w:val="004B3990"/>
    <w:rsid w:val="004B3A69"/>
    <w:rsid w:val="004B3C04"/>
    <w:rsid w:val="004B4111"/>
    <w:rsid w:val="004B44A7"/>
    <w:rsid w:val="004B5681"/>
    <w:rsid w:val="004B66C5"/>
    <w:rsid w:val="004C162C"/>
    <w:rsid w:val="004C4A7F"/>
    <w:rsid w:val="004C4F02"/>
    <w:rsid w:val="004C5255"/>
    <w:rsid w:val="004C615E"/>
    <w:rsid w:val="004C65D5"/>
    <w:rsid w:val="004C705E"/>
    <w:rsid w:val="004C7B34"/>
    <w:rsid w:val="004C7EDC"/>
    <w:rsid w:val="004D039C"/>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4E4C"/>
    <w:rsid w:val="004E4ED5"/>
    <w:rsid w:val="004E538C"/>
    <w:rsid w:val="004E6085"/>
    <w:rsid w:val="004E7C6E"/>
    <w:rsid w:val="004F0AFC"/>
    <w:rsid w:val="004F0B37"/>
    <w:rsid w:val="004F2AF1"/>
    <w:rsid w:val="004F39F6"/>
    <w:rsid w:val="004F3E6F"/>
    <w:rsid w:val="004F5D0D"/>
    <w:rsid w:val="004F664B"/>
    <w:rsid w:val="00500C47"/>
    <w:rsid w:val="005013BC"/>
    <w:rsid w:val="00501B50"/>
    <w:rsid w:val="00501DD9"/>
    <w:rsid w:val="0050300F"/>
    <w:rsid w:val="00504021"/>
    <w:rsid w:val="00504A9E"/>
    <w:rsid w:val="00505F34"/>
    <w:rsid w:val="00506800"/>
    <w:rsid w:val="00507E84"/>
    <w:rsid w:val="00510C53"/>
    <w:rsid w:val="005110CA"/>
    <w:rsid w:val="00512545"/>
    <w:rsid w:val="0051289E"/>
    <w:rsid w:val="005134DD"/>
    <w:rsid w:val="0051370B"/>
    <w:rsid w:val="0051469F"/>
    <w:rsid w:val="00515F6C"/>
    <w:rsid w:val="00516C81"/>
    <w:rsid w:val="005173A6"/>
    <w:rsid w:val="005178FC"/>
    <w:rsid w:val="00520E59"/>
    <w:rsid w:val="005211F9"/>
    <w:rsid w:val="005222CF"/>
    <w:rsid w:val="00522534"/>
    <w:rsid w:val="00524FBF"/>
    <w:rsid w:val="0052641E"/>
    <w:rsid w:val="005278C7"/>
    <w:rsid w:val="00531491"/>
    <w:rsid w:val="005323AA"/>
    <w:rsid w:val="005342D7"/>
    <w:rsid w:val="0053466C"/>
    <w:rsid w:val="00535774"/>
    <w:rsid w:val="005358D4"/>
    <w:rsid w:val="00536226"/>
    <w:rsid w:val="0053653B"/>
    <w:rsid w:val="00537445"/>
    <w:rsid w:val="00537B8D"/>
    <w:rsid w:val="0054093D"/>
    <w:rsid w:val="00540A1A"/>
    <w:rsid w:val="00541C76"/>
    <w:rsid w:val="00541CA5"/>
    <w:rsid w:val="00542092"/>
    <w:rsid w:val="00544602"/>
    <w:rsid w:val="00546FCA"/>
    <w:rsid w:val="0054767C"/>
    <w:rsid w:val="0054770D"/>
    <w:rsid w:val="00547E9D"/>
    <w:rsid w:val="00547F6B"/>
    <w:rsid w:val="00550BAE"/>
    <w:rsid w:val="00550BB9"/>
    <w:rsid w:val="00550D38"/>
    <w:rsid w:val="00551BE2"/>
    <w:rsid w:val="00551CE9"/>
    <w:rsid w:val="00552B2B"/>
    <w:rsid w:val="00553C08"/>
    <w:rsid w:val="005543B0"/>
    <w:rsid w:val="00554A5E"/>
    <w:rsid w:val="00554D48"/>
    <w:rsid w:val="00554D85"/>
    <w:rsid w:val="005554C9"/>
    <w:rsid w:val="00556A12"/>
    <w:rsid w:val="00557E8C"/>
    <w:rsid w:val="00560125"/>
    <w:rsid w:val="00560644"/>
    <w:rsid w:val="0056083B"/>
    <w:rsid w:val="00561963"/>
    <w:rsid w:val="00561CE9"/>
    <w:rsid w:val="00562679"/>
    <w:rsid w:val="00563B97"/>
    <w:rsid w:val="005641A1"/>
    <w:rsid w:val="00564B87"/>
    <w:rsid w:val="005669C4"/>
    <w:rsid w:val="005704D1"/>
    <w:rsid w:val="005712E7"/>
    <w:rsid w:val="00571342"/>
    <w:rsid w:val="00571645"/>
    <w:rsid w:val="00571A5F"/>
    <w:rsid w:val="00571C0B"/>
    <w:rsid w:val="005724F4"/>
    <w:rsid w:val="00572DDB"/>
    <w:rsid w:val="0057338C"/>
    <w:rsid w:val="00573800"/>
    <w:rsid w:val="00576052"/>
    <w:rsid w:val="00576256"/>
    <w:rsid w:val="00576D7F"/>
    <w:rsid w:val="00576DEE"/>
    <w:rsid w:val="0057774A"/>
    <w:rsid w:val="00577D85"/>
    <w:rsid w:val="00580C9A"/>
    <w:rsid w:val="00583665"/>
    <w:rsid w:val="0058470C"/>
    <w:rsid w:val="00584A30"/>
    <w:rsid w:val="00584B7B"/>
    <w:rsid w:val="00585C03"/>
    <w:rsid w:val="005903A3"/>
    <w:rsid w:val="00590E72"/>
    <w:rsid w:val="005911C3"/>
    <w:rsid w:val="00592A3E"/>
    <w:rsid w:val="00592BA5"/>
    <w:rsid w:val="00593A3D"/>
    <w:rsid w:val="00594564"/>
    <w:rsid w:val="005947DA"/>
    <w:rsid w:val="0059583C"/>
    <w:rsid w:val="00597310"/>
    <w:rsid w:val="005A22AD"/>
    <w:rsid w:val="005A2EFD"/>
    <w:rsid w:val="005A3CFC"/>
    <w:rsid w:val="005A4A55"/>
    <w:rsid w:val="005A6A01"/>
    <w:rsid w:val="005A6AED"/>
    <w:rsid w:val="005A6B76"/>
    <w:rsid w:val="005A6B8E"/>
    <w:rsid w:val="005A75B0"/>
    <w:rsid w:val="005A7FC6"/>
    <w:rsid w:val="005B077C"/>
    <w:rsid w:val="005B3F43"/>
    <w:rsid w:val="005B5609"/>
    <w:rsid w:val="005B572E"/>
    <w:rsid w:val="005B6334"/>
    <w:rsid w:val="005B6EB8"/>
    <w:rsid w:val="005B7260"/>
    <w:rsid w:val="005B7BE8"/>
    <w:rsid w:val="005B7EC1"/>
    <w:rsid w:val="005C0F70"/>
    <w:rsid w:val="005C33CD"/>
    <w:rsid w:val="005C3B6F"/>
    <w:rsid w:val="005C3EE7"/>
    <w:rsid w:val="005C422C"/>
    <w:rsid w:val="005C457A"/>
    <w:rsid w:val="005C6F89"/>
    <w:rsid w:val="005D0A9F"/>
    <w:rsid w:val="005D17CD"/>
    <w:rsid w:val="005D2F48"/>
    <w:rsid w:val="005D3FE0"/>
    <w:rsid w:val="005D424E"/>
    <w:rsid w:val="005D488B"/>
    <w:rsid w:val="005D5029"/>
    <w:rsid w:val="005D66E9"/>
    <w:rsid w:val="005D6FAC"/>
    <w:rsid w:val="005D772F"/>
    <w:rsid w:val="005D786E"/>
    <w:rsid w:val="005E0837"/>
    <w:rsid w:val="005E0B98"/>
    <w:rsid w:val="005E209A"/>
    <w:rsid w:val="005E2216"/>
    <w:rsid w:val="005E25F7"/>
    <w:rsid w:val="005E28A6"/>
    <w:rsid w:val="005E2C74"/>
    <w:rsid w:val="005E3B35"/>
    <w:rsid w:val="005E3E57"/>
    <w:rsid w:val="005E448B"/>
    <w:rsid w:val="005E46BD"/>
    <w:rsid w:val="005E4EC6"/>
    <w:rsid w:val="005E4FED"/>
    <w:rsid w:val="005E5139"/>
    <w:rsid w:val="005E51DC"/>
    <w:rsid w:val="005E576F"/>
    <w:rsid w:val="005E761B"/>
    <w:rsid w:val="005F050C"/>
    <w:rsid w:val="005F0E79"/>
    <w:rsid w:val="005F19CE"/>
    <w:rsid w:val="005F1C17"/>
    <w:rsid w:val="005F1D73"/>
    <w:rsid w:val="005F40B6"/>
    <w:rsid w:val="005F4BB2"/>
    <w:rsid w:val="005F5162"/>
    <w:rsid w:val="005F5230"/>
    <w:rsid w:val="005F5912"/>
    <w:rsid w:val="005F64AB"/>
    <w:rsid w:val="005F7292"/>
    <w:rsid w:val="005F742F"/>
    <w:rsid w:val="0060084F"/>
    <w:rsid w:val="00602B70"/>
    <w:rsid w:val="006030C8"/>
    <w:rsid w:val="006031D8"/>
    <w:rsid w:val="006039F0"/>
    <w:rsid w:val="00603EE5"/>
    <w:rsid w:val="006047E1"/>
    <w:rsid w:val="00604FEF"/>
    <w:rsid w:val="006050D6"/>
    <w:rsid w:val="0060523B"/>
    <w:rsid w:val="00611418"/>
    <w:rsid w:val="0061316E"/>
    <w:rsid w:val="006134E5"/>
    <w:rsid w:val="006138D9"/>
    <w:rsid w:val="0061458B"/>
    <w:rsid w:val="006146E8"/>
    <w:rsid w:val="006159D6"/>
    <w:rsid w:val="00616272"/>
    <w:rsid w:val="006173E6"/>
    <w:rsid w:val="0061744A"/>
    <w:rsid w:val="0062051D"/>
    <w:rsid w:val="006207DF"/>
    <w:rsid w:val="0062087F"/>
    <w:rsid w:val="00620C13"/>
    <w:rsid w:val="00621787"/>
    <w:rsid w:val="00621E50"/>
    <w:rsid w:val="0062484B"/>
    <w:rsid w:val="00625902"/>
    <w:rsid w:val="00625BD8"/>
    <w:rsid w:val="0062657F"/>
    <w:rsid w:val="006267E1"/>
    <w:rsid w:val="006271CE"/>
    <w:rsid w:val="006273B0"/>
    <w:rsid w:val="006305DB"/>
    <w:rsid w:val="00630B45"/>
    <w:rsid w:val="0063415B"/>
    <w:rsid w:val="0063423E"/>
    <w:rsid w:val="00634E33"/>
    <w:rsid w:val="00634FD1"/>
    <w:rsid w:val="00635061"/>
    <w:rsid w:val="00635D23"/>
    <w:rsid w:val="00635E19"/>
    <w:rsid w:val="006366B0"/>
    <w:rsid w:val="00637717"/>
    <w:rsid w:val="006402F4"/>
    <w:rsid w:val="006404D3"/>
    <w:rsid w:val="006410BA"/>
    <w:rsid w:val="00641D1A"/>
    <w:rsid w:val="00641DC9"/>
    <w:rsid w:val="00642528"/>
    <w:rsid w:val="00643EA3"/>
    <w:rsid w:val="006442BD"/>
    <w:rsid w:val="0064564C"/>
    <w:rsid w:val="006460BE"/>
    <w:rsid w:val="00646402"/>
    <w:rsid w:val="00646E8A"/>
    <w:rsid w:val="0065361D"/>
    <w:rsid w:val="006536D5"/>
    <w:rsid w:val="00653E0B"/>
    <w:rsid w:val="00654A28"/>
    <w:rsid w:val="00654D26"/>
    <w:rsid w:val="006570A3"/>
    <w:rsid w:val="00660180"/>
    <w:rsid w:val="00660DBD"/>
    <w:rsid w:val="00662FFB"/>
    <w:rsid w:val="006637E5"/>
    <w:rsid w:val="0066385B"/>
    <w:rsid w:val="0066442D"/>
    <w:rsid w:val="006656B0"/>
    <w:rsid w:val="0066588C"/>
    <w:rsid w:val="00666D51"/>
    <w:rsid w:val="00666F74"/>
    <w:rsid w:val="006672EB"/>
    <w:rsid w:val="00670803"/>
    <w:rsid w:val="006711CD"/>
    <w:rsid w:val="006717F1"/>
    <w:rsid w:val="00671FB0"/>
    <w:rsid w:val="00672408"/>
    <w:rsid w:val="00672CFE"/>
    <w:rsid w:val="00672F61"/>
    <w:rsid w:val="006737FE"/>
    <w:rsid w:val="00674396"/>
    <w:rsid w:val="00674B8D"/>
    <w:rsid w:val="00675DB5"/>
    <w:rsid w:val="00675E8B"/>
    <w:rsid w:val="00676117"/>
    <w:rsid w:val="006766AF"/>
    <w:rsid w:val="00677496"/>
    <w:rsid w:val="006775F7"/>
    <w:rsid w:val="0067760A"/>
    <w:rsid w:val="00677CBB"/>
    <w:rsid w:val="00677E2A"/>
    <w:rsid w:val="00680103"/>
    <w:rsid w:val="006808D3"/>
    <w:rsid w:val="00680E1C"/>
    <w:rsid w:val="00681E4F"/>
    <w:rsid w:val="006848E6"/>
    <w:rsid w:val="0068561F"/>
    <w:rsid w:val="00685C2F"/>
    <w:rsid w:val="00691285"/>
    <w:rsid w:val="00691758"/>
    <w:rsid w:val="00692326"/>
    <w:rsid w:val="00692D6F"/>
    <w:rsid w:val="0069480B"/>
    <w:rsid w:val="00695C99"/>
    <w:rsid w:val="00696855"/>
    <w:rsid w:val="00696897"/>
    <w:rsid w:val="0069747A"/>
    <w:rsid w:val="006A001B"/>
    <w:rsid w:val="006A0F48"/>
    <w:rsid w:val="006A1ECA"/>
    <w:rsid w:val="006A1F04"/>
    <w:rsid w:val="006A2AE6"/>
    <w:rsid w:val="006A3495"/>
    <w:rsid w:val="006A3598"/>
    <w:rsid w:val="006A3FD5"/>
    <w:rsid w:val="006A4B94"/>
    <w:rsid w:val="006A585F"/>
    <w:rsid w:val="006A5AA6"/>
    <w:rsid w:val="006A5ED1"/>
    <w:rsid w:val="006B03D8"/>
    <w:rsid w:val="006B074B"/>
    <w:rsid w:val="006B074F"/>
    <w:rsid w:val="006B11B7"/>
    <w:rsid w:val="006B183F"/>
    <w:rsid w:val="006B1E27"/>
    <w:rsid w:val="006B238A"/>
    <w:rsid w:val="006B2794"/>
    <w:rsid w:val="006B29CB"/>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4CED"/>
    <w:rsid w:val="006C68DA"/>
    <w:rsid w:val="006D103F"/>
    <w:rsid w:val="006D27AA"/>
    <w:rsid w:val="006D28C9"/>
    <w:rsid w:val="006D2A76"/>
    <w:rsid w:val="006D4A79"/>
    <w:rsid w:val="006D4AE8"/>
    <w:rsid w:val="006D51A1"/>
    <w:rsid w:val="006D555A"/>
    <w:rsid w:val="006D56AF"/>
    <w:rsid w:val="006D670C"/>
    <w:rsid w:val="006E0681"/>
    <w:rsid w:val="006E070A"/>
    <w:rsid w:val="006E091F"/>
    <w:rsid w:val="006E14B9"/>
    <w:rsid w:val="006E170A"/>
    <w:rsid w:val="006E2EE9"/>
    <w:rsid w:val="006E4891"/>
    <w:rsid w:val="006E6131"/>
    <w:rsid w:val="006E6171"/>
    <w:rsid w:val="006E6268"/>
    <w:rsid w:val="006E7137"/>
    <w:rsid w:val="006F12B5"/>
    <w:rsid w:val="006F32EA"/>
    <w:rsid w:val="006F396C"/>
    <w:rsid w:val="006F3DA4"/>
    <w:rsid w:val="006F4299"/>
    <w:rsid w:val="006F5324"/>
    <w:rsid w:val="006F5671"/>
    <w:rsid w:val="006F5A26"/>
    <w:rsid w:val="0070019B"/>
    <w:rsid w:val="007009D1"/>
    <w:rsid w:val="00700CDD"/>
    <w:rsid w:val="00700F71"/>
    <w:rsid w:val="00701D98"/>
    <w:rsid w:val="007030E1"/>
    <w:rsid w:val="00704452"/>
    <w:rsid w:val="00704B36"/>
    <w:rsid w:val="00704F44"/>
    <w:rsid w:val="0070509B"/>
    <w:rsid w:val="007058CC"/>
    <w:rsid w:val="00706472"/>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C7C"/>
    <w:rsid w:val="00722F58"/>
    <w:rsid w:val="007233B8"/>
    <w:rsid w:val="00723B2A"/>
    <w:rsid w:val="00725102"/>
    <w:rsid w:val="00725408"/>
    <w:rsid w:val="007278E2"/>
    <w:rsid w:val="00730627"/>
    <w:rsid w:val="00731248"/>
    <w:rsid w:val="007312EC"/>
    <w:rsid w:val="00731D95"/>
    <w:rsid w:val="00731FA0"/>
    <w:rsid w:val="007321EF"/>
    <w:rsid w:val="007323C3"/>
    <w:rsid w:val="007324D4"/>
    <w:rsid w:val="00732A6C"/>
    <w:rsid w:val="007365B0"/>
    <w:rsid w:val="007370D8"/>
    <w:rsid w:val="007370E0"/>
    <w:rsid w:val="007377A8"/>
    <w:rsid w:val="00740AF5"/>
    <w:rsid w:val="00743551"/>
    <w:rsid w:val="0074393B"/>
    <w:rsid w:val="00743EF3"/>
    <w:rsid w:val="00744E1E"/>
    <w:rsid w:val="00745FBC"/>
    <w:rsid w:val="00747516"/>
    <w:rsid w:val="00750807"/>
    <w:rsid w:val="0075176B"/>
    <w:rsid w:val="007522BF"/>
    <w:rsid w:val="007531F0"/>
    <w:rsid w:val="00753344"/>
    <w:rsid w:val="007548D5"/>
    <w:rsid w:val="00754E15"/>
    <w:rsid w:val="00755FFF"/>
    <w:rsid w:val="00757971"/>
    <w:rsid w:val="0076037B"/>
    <w:rsid w:val="00760BF1"/>
    <w:rsid w:val="00761B87"/>
    <w:rsid w:val="007628F7"/>
    <w:rsid w:val="00762D7F"/>
    <w:rsid w:val="00763152"/>
    <w:rsid w:val="00763304"/>
    <w:rsid w:val="00763820"/>
    <w:rsid w:val="00763D1B"/>
    <w:rsid w:val="00763E03"/>
    <w:rsid w:val="00764833"/>
    <w:rsid w:val="007651D3"/>
    <w:rsid w:val="00766A6F"/>
    <w:rsid w:val="00767B96"/>
    <w:rsid w:val="007700F9"/>
    <w:rsid w:val="0077088E"/>
    <w:rsid w:val="0077090F"/>
    <w:rsid w:val="00770D2F"/>
    <w:rsid w:val="00771125"/>
    <w:rsid w:val="0077199F"/>
    <w:rsid w:val="00771D6F"/>
    <w:rsid w:val="0077291B"/>
    <w:rsid w:val="00772A1F"/>
    <w:rsid w:val="00772F46"/>
    <w:rsid w:val="0077355D"/>
    <w:rsid w:val="00775FCB"/>
    <w:rsid w:val="00776FE0"/>
    <w:rsid w:val="00780454"/>
    <w:rsid w:val="00781571"/>
    <w:rsid w:val="00781C72"/>
    <w:rsid w:val="00782420"/>
    <w:rsid w:val="00782A25"/>
    <w:rsid w:val="00782AD8"/>
    <w:rsid w:val="007833DD"/>
    <w:rsid w:val="00783A98"/>
    <w:rsid w:val="007844BE"/>
    <w:rsid w:val="0078564B"/>
    <w:rsid w:val="00785BA2"/>
    <w:rsid w:val="007864D8"/>
    <w:rsid w:val="007868AA"/>
    <w:rsid w:val="00786CBE"/>
    <w:rsid w:val="00786DC7"/>
    <w:rsid w:val="00792AFE"/>
    <w:rsid w:val="00792D13"/>
    <w:rsid w:val="00792F4C"/>
    <w:rsid w:val="00797AC3"/>
    <w:rsid w:val="007A01B4"/>
    <w:rsid w:val="007A0341"/>
    <w:rsid w:val="007A2283"/>
    <w:rsid w:val="007A3439"/>
    <w:rsid w:val="007A3844"/>
    <w:rsid w:val="007A3945"/>
    <w:rsid w:val="007A4A14"/>
    <w:rsid w:val="007A5173"/>
    <w:rsid w:val="007A5309"/>
    <w:rsid w:val="007A56B2"/>
    <w:rsid w:val="007A65F7"/>
    <w:rsid w:val="007A6D43"/>
    <w:rsid w:val="007A71CF"/>
    <w:rsid w:val="007B03C4"/>
    <w:rsid w:val="007B09A4"/>
    <w:rsid w:val="007B0DFB"/>
    <w:rsid w:val="007B12BB"/>
    <w:rsid w:val="007B1D4D"/>
    <w:rsid w:val="007B234A"/>
    <w:rsid w:val="007B26EE"/>
    <w:rsid w:val="007B3463"/>
    <w:rsid w:val="007B43FC"/>
    <w:rsid w:val="007B522F"/>
    <w:rsid w:val="007B615F"/>
    <w:rsid w:val="007B7FD0"/>
    <w:rsid w:val="007C04B3"/>
    <w:rsid w:val="007C0903"/>
    <w:rsid w:val="007C0DBC"/>
    <w:rsid w:val="007C139A"/>
    <w:rsid w:val="007C193E"/>
    <w:rsid w:val="007C22E3"/>
    <w:rsid w:val="007C2600"/>
    <w:rsid w:val="007C2E56"/>
    <w:rsid w:val="007C3958"/>
    <w:rsid w:val="007C3F56"/>
    <w:rsid w:val="007C3F5B"/>
    <w:rsid w:val="007C5961"/>
    <w:rsid w:val="007C618D"/>
    <w:rsid w:val="007C695C"/>
    <w:rsid w:val="007C6E9F"/>
    <w:rsid w:val="007D06E8"/>
    <w:rsid w:val="007D1A80"/>
    <w:rsid w:val="007D31F2"/>
    <w:rsid w:val="007D3C95"/>
    <w:rsid w:val="007D451E"/>
    <w:rsid w:val="007D5F05"/>
    <w:rsid w:val="007D6A32"/>
    <w:rsid w:val="007E0D23"/>
    <w:rsid w:val="007E17BF"/>
    <w:rsid w:val="007E2036"/>
    <w:rsid w:val="007E2637"/>
    <w:rsid w:val="007E3E8C"/>
    <w:rsid w:val="007E3EEA"/>
    <w:rsid w:val="007E51F5"/>
    <w:rsid w:val="007E5790"/>
    <w:rsid w:val="007E676D"/>
    <w:rsid w:val="007E6DE7"/>
    <w:rsid w:val="007F1658"/>
    <w:rsid w:val="007F20C7"/>
    <w:rsid w:val="007F2175"/>
    <w:rsid w:val="007F3A89"/>
    <w:rsid w:val="007F3F68"/>
    <w:rsid w:val="007F7072"/>
    <w:rsid w:val="007F71D1"/>
    <w:rsid w:val="00801207"/>
    <w:rsid w:val="00802CCB"/>
    <w:rsid w:val="008030BA"/>
    <w:rsid w:val="00805BC3"/>
    <w:rsid w:val="00805FE4"/>
    <w:rsid w:val="00806C26"/>
    <w:rsid w:val="0081119B"/>
    <w:rsid w:val="00811459"/>
    <w:rsid w:val="008117BE"/>
    <w:rsid w:val="008135A0"/>
    <w:rsid w:val="00813DFA"/>
    <w:rsid w:val="00814050"/>
    <w:rsid w:val="008145DD"/>
    <w:rsid w:val="0081494D"/>
    <w:rsid w:val="00814BFA"/>
    <w:rsid w:val="0081555B"/>
    <w:rsid w:val="00815890"/>
    <w:rsid w:val="008161FB"/>
    <w:rsid w:val="00816B0F"/>
    <w:rsid w:val="00822473"/>
    <w:rsid w:val="0082258F"/>
    <w:rsid w:val="00823EC3"/>
    <w:rsid w:val="00824B24"/>
    <w:rsid w:val="00827F89"/>
    <w:rsid w:val="008300A1"/>
    <w:rsid w:val="00830440"/>
    <w:rsid w:val="008329BC"/>
    <w:rsid w:val="008338AF"/>
    <w:rsid w:val="00833932"/>
    <w:rsid w:val="008348A8"/>
    <w:rsid w:val="00835760"/>
    <w:rsid w:val="00835817"/>
    <w:rsid w:val="00837720"/>
    <w:rsid w:val="008379F4"/>
    <w:rsid w:val="008409B1"/>
    <w:rsid w:val="00840CFF"/>
    <w:rsid w:val="00841B63"/>
    <w:rsid w:val="00841D9A"/>
    <w:rsid w:val="00842946"/>
    <w:rsid w:val="00843028"/>
    <w:rsid w:val="008440EF"/>
    <w:rsid w:val="008453C2"/>
    <w:rsid w:val="008456CA"/>
    <w:rsid w:val="00845D90"/>
    <w:rsid w:val="00846011"/>
    <w:rsid w:val="00846571"/>
    <w:rsid w:val="008512F6"/>
    <w:rsid w:val="008513F9"/>
    <w:rsid w:val="008517FE"/>
    <w:rsid w:val="00851DDF"/>
    <w:rsid w:val="008521AE"/>
    <w:rsid w:val="008538D2"/>
    <w:rsid w:val="00854742"/>
    <w:rsid w:val="00854D86"/>
    <w:rsid w:val="008555A3"/>
    <w:rsid w:val="00855F85"/>
    <w:rsid w:val="008562D9"/>
    <w:rsid w:val="00856BC8"/>
    <w:rsid w:val="008602BD"/>
    <w:rsid w:val="00861ACF"/>
    <w:rsid w:val="00863D57"/>
    <w:rsid w:val="00864561"/>
    <w:rsid w:val="00864C3B"/>
    <w:rsid w:val="00865A0E"/>
    <w:rsid w:val="00865A28"/>
    <w:rsid w:val="00865CCD"/>
    <w:rsid w:val="00867AF3"/>
    <w:rsid w:val="008703DB"/>
    <w:rsid w:val="00870841"/>
    <w:rsid w:val="008709CA"/>
    <w:rsid w:val="0087172E"/>
    <w:rsid w:val="0087297A"/>
    <w:rsid w:val="008733B5"/>
    <w:rsid w:val="00876886"/>
    <w:rsid w:val="00876EEA"/>
    <w:rsid w:val="008771A9"/>
    <w:rsid w:val="008817AA"/>
    <w:rsid w:val="00882CBF"/>
    <w:rsid w:val="0088307F"/>
    <w:rsid w:val="008832F8"/>
    <w:rsid w:val="008834B4"/>
    <w:rsid w:val="00883D50"/>
    <w:rsid w:val="00884455"/>
    <w:rsid w:val="00885FF2"/>
    <w:rsid w:val="00886AC8"/>
    <w:rsid w:val="00887AF7"/>
    <w:rsid w:val="008916B6"/>
    <w:rsid w:val="008916C4"/>
    <w:rsid w:val="008917DE"/>
    <w:rsid w:val="00892466"/>
    <w:rsid w:val="00894B56"/>
    <w:rsid w:val="008958DD"/>
    <w:rsid w:val="00895B3F"/>
    <w:rsid w:val="00895FC6"/>
    <w:rsid w:val="00896714"/>
    <w:rsid w:val="008A1278"/>
    <w:rsid w:val="008A1740"/>
    <w:rsid w:val="008A3698"/>
    <w:rsid w:val="008A3B75"/>
    <w:rsid w:val="008A58CC"/>
    <w:rsid w:val="008A5C2B"/>
    <w:rsid w:val="008A625D"/>
    <w:rsid w:val="008A6F6F"/>
    <w:rsid w:val="008A6FE7"/>
    <w:rsid w:val="008B0333"/>
    <w:rsid w:val="008B0341"/>
    <w:rsid w:val="008B1470"/>
    <w:rsid w:val="008B3FB0"/>
    <w:rsid w:val="008B403A"/>
    <w:rsid w:val="008B4382"/>
    <w:rsid w:val="008B4EE9"/>
    <w:rsid w:val="008B52A8"/>
    <w:rsid w:val="008B5520"/>
    <w:rsid w:val="008B5BFC"/>
    <w:rsid w:val="008B6C17"/>
    <w:rsid w:val="008B7171"/>
    <w:rsid w:val="008B7F4B"/>
    <w:rsid w:val="008C1241"/>
    <w:rsid w:val="008C161A"/>
    <w:rsid w:val="008C1744"/>
    <w:rsid w:val="008C1E2F"/>
    <w:rsid w:val="008C47DD"/>
    <w:rsid w:val="008C553C"/>
    <w:rsid w:val="008C57F7"/>
    <w:rsid w:val="008C6433"/>
    <w:rsid w:val="008D0DFF"/>
    <w:rsid w:val="008D1FA7"/>
    <w:rsid w:val="008D28C0"/>
    <w:rsid w:val="008D2EC7"/>
    <w:rsid w:val="008D2EF9"/>
    <w:rsid w:val="008D36BF"/>
    <w:rsid w:val="008D3D61"/>
    <w:rsid w:val="008D4748"/>
    <w:rsid w:val="008D4F9A"/>
    <w:rsid w:val="008D6ED0"/>
    <w:rsid w:val="008D7859"/>
    <w:rsid w:val="008D787E"/>
    <w:rsid w:val="008D7E70"/>
    <w:rsid w:val="008E0504"/>
    <w:rsid w:val="008E100F"/>
    <w:rsid w:val="008E1180"/>
    <w:rsid w:val="008E2FC3"/>
    <w:rsid w:val="008E3CB1"/>
    <w:rsid w:val="008E58E1"/>
    <w:rsid w:val="008E6A64"/>
    <w:rsid w:val="008E7795"/>
    <w:rsid w:val="008E783E"/>
    <w:rsid w:val="008E7BB1"/>
    <w:rsid w:val="008F0690"/>
    <w:rsid w:val="008F0F2D"/>
    <w:rsid w:val="008F11DB"/>
    <w:rsid w:val="008F22CA"/>
    <w:rsid w:val="008F51CA"/>
    <w:rsid w:val="008F5D09"/>
    <w:rsid w:val="008F6727"/>
    <w:rsid w:val="008F7DEE"/>
    <w:rsid w:val="00900778"/>
    <w:rsid w:val="0090093D"/>
    <w:rsid w:val="00901F12"/>
    <w:rsid w:val="00902441"/>
    <w:rsid w:val="00903B13"/>
    <w:rsid w:val="009046A6"/>
    <w:rsid w:val="00904A5E"/>
    <w:rsid w:val="00904C9F"/>
    <w:rsid w:val="00905121"/>
    <w:rsid w:val="009063C5"/>
    <w:rsid w:val="00906D6C"/>
    <w:rsid w:val="00907D86"/>
    <w:rsid w:val="00907F4E"/>
    <w:rsid w:val="009101A1"/>
    <w:rsid w:val="00910EA0"/>
    <w:rsid w:val="00911041"/>
    <w:rsid w:val="0091187D"/>
    <w:rsid w:val="009130EE"/>
    <w:rsid w:val="00913894"/>
    <w:rsid w:val="00914976"/>
    <w:rsid w:val="009208CC"/>
    <w:rsid w:val="00920C73"/>
    <w:rsid w:val="00922035"/>
    <w:rsid w:val="0092625C"/>
    <w:rsid w:val="00926DFA"/>
    <w:rsid w:val="00927CD0"/>
    <w:rsid w:val="009316C9"/>
    <w:rsid w:val="0093222D"/>
    <w:rsid w:val="00933281"/>
    <w:rsid w:val="009333B0"/>
    <w:rsid w:val="009342A6"/>
    <w:rsid w:val="00935548"/>
    <w:rsid w:val="00935EB6"/>
    <w:rsid w:val="00936072"/>
    <w:rsid w:val="009364FC"/>
    <w:rsid w:val="00937B12"/>
    <w:rsid w:val="00937BC6"/>
    <w:rsid w:val="00937D59"/>
    <w:rsid w:val="009412CC"/>
    <w:rsid w:val="0094427B"/>
    <w:rsid w:val="00944B29"/>
    <w:rsid w:val="00944CB8"/>
    <w:rsid w:val="00945A02"/>
    <w:rsid w:val="00945AEE"/>
    <w:rsid w:val="00946317"/>
    <w:rsid w:val="00947EAC"/>
    <w:rsid w:val="00947FB4"/>
    <w:rsid w:val="0095039E"/>
    <w:rsid w:val="00950FB9"/>
    <w:rsid w:val="00951087"/>
    <w:rsid w:val="00951321"/>
    <w:rsid w:val="00953F37"/>
    <w:rsid w:val="009540C8"/>
    <w:rsid w:val="00954A85"/>
    <w:rsid w:val="00954AD3"/>
    <w:rsid w:val="00954E6E"/>
    <w:rsid w:val="009558A6"/>
    <w:rsid w:val="0095694C"/>
    <w:rsid w:val="0095711D"/>
    <w:rsid w:val="00957179"/>
    <w:rsid w:val="00960E44"/>
    <w:rsid w:val="00960F31"/>
    <w:rsid w:val="00961773"/>
    <w:rsid w:val="0096259C"/>
    <w:rsid w:val="0096279B"/>
    <w:rsid w:val="00962D84"/>
    <w:rsid w:val="00963963"/>
    <w:rsid w:val="00964165"/>
    <w:rsid w:val="0096584D"/>
    <w:rsid w:val="009658CB"/>
    <w:rsid w:val="00965B82"/>
    <w:rsid w:val="00965BF3"/>
    <w:rsid w:val="0096654C"/>
    <w:rsid w:val="0096755C"/>
    <w:rsid w:val="0097108F"/>
    <w:rsid w:val="00971423"/>
    <w:rsid w:val="00971463"/>
    <w:rsid w:val="009714A9"/>
    <w:rsid w:val="00971A4B"/>
    <w:rsid w:val="00971C48"/>
    <w:rsid w:val="00972444"/>
    <w:rsid w:val="00972D39"/>
    <w:rsid w:val="00974159"/>
    <w:rsid w:val="0097449D"/>
    <w:rsid w:val="0097772A"/>
    <w:rsid w:val="00980E5B"/>
    <w:rsid w:val="0098214E"/>
    <w:rsid w:val="009827A1"/>
    <w:rsid w:val="00982F68"/>
    <w:rsid w:val="00983AAA"/>
    <w:rsid w:val="00985F62"/>
    <w:rsid w:val="00985F79"/>
    <w:rsid w:val="00986F64"/>
    <w:rsid w:val="00990A15"/>
    <w:rsid w:val="009920BF"/>
    <w:rsid w:val="00993471"/>
    <w:rsid w:val="009957A2"/>
    <w:rsid w:val="00995AFE"/>
    <w:rsid w:val="00995B06"/>
    <w:rsid w:val="009967BC"/>
    <w:rsid w:val="00996A37"/>
    <w:rsid w:val="00996E4D"/>
    <w:rsid w:val="00997303"/>
    <w:rsid w:val="00997AF2"/>
    <w:rsid w:val="00997B8E"/>
    <w:rsid w:val="00997F71"/>
    <w:rsid w:val="009A0AB0"/>
    <w:rsid w:val="009A23EE"/>
    <w:rsid w:val="009A287E"/>
    <w:rsid w:val="009A31C3"/>
    <w:rsid w:val="009A35CD"/>
    <w:rsid w:val="009A4532"/>
    <w:rsid w:val="009A4893"/>
    <w:rsid w:val="009A5BFD"/>
    <w:rsid w:val="009A5F1F"/>
    <w:rsid w:val="009A772B"/>
    <w:rsid w:val="009A7CD6"/>
    <w:rsid w:val="009B0176"/>
    <w:rsid w:val="009B06D6"/>
    <w:rsid w:val="009B0E83"/>
    <w:rsid w:val="009B10E6"/>
    <w:rsid w:val="009B1113"/>
    <w:rsid w:val="009B2160"/>
    <w:rsid w:val="009B2B53"/>
    <w:rsid w:val="009B4150"/>
    <w:rsid w:val="009B431C"/>
    <w:rsid w:val="009B44EA"/>
    <w:rsid w:val="009B49D2"/>
    <w:rsid w:val="009B50CB"/>
    <w:rsid w:val="009B53C8"/>
    <w:rsid w:val="009B60D2"/>
    <w:rsid w:val="009B6F8F"/>
    <w:rsid w:val="009B715D"/>
    <w:rsid w:val="009B72B1"/>
    <w:rsid w:val="009B7A8F"/>
    <w:rsid w:val="009B7C6B"/>
    <w:rsid w:val="009C02D0"/>
    <w:rsid w:val="009C1579"/>
    <w:rsid w:val="009C19E5"/>
    <w:rsid w:val="009C1C6C"/>
    <w:rsid w:val="009C359B"/>
    <w:rsid w:val="009C3F10"/>
    <w:rsid w:val="009C4059"/>
    <w:rsid w:val="009C43F5"/>
    <w:rsid w:val="009C4D7F"/>
    <w:rsid w:val="009C5F69"/>
    <w:rsid w:val="009C69C9"/>
    <w:rsid w:val="009D01DF"/>
    <w:rsid w:val="009D07B9"/>
    <w:rsid w:val="009D07DD"/>
    <w:rsid w:val="009D145E"/>
    <w:rsid w:val="009D1FB5"/>
    <w:rsid w:val="009D313F"/>
    <w:rsid w:val="009D3D32"/>
    <w:rsid w:val="009D3D42"/>
    <w:rsid w:val="009D5DEA"/>
    <w:rsid w:val="009D65AC"/>
    <w:rsid w:val="009D702C"/>
    <w:rsid w:val="009D741D"/>
    <w:rsid w:val="009E0E75"/>
    <w:rsid w:val="009E2672"/>
    <w:rsid w:val="009E31E9"/>
    <w:rsid w:val="009E36D4"/>
    <w:rsid w:val="009E3C4F"/>
    <w:rsid w:val="009E4B3B"/>
    <w:rsid w:val="009E4BF3"/>
    <w:rsid w:val="009E6AFC"/>
    <w:rsid w:val="009E7076"/>
    <w:rsid w:val="009E70DC"/>
    <w:rsid w:val="009E7988"/>
    <w:rsid w:val="009F122E"/>
    <w:rsid w:val="009F218E"/>
    <w:rsid w:val="009F2BFB"/>
    <w:rsid w:val="009F3FC1"/>
    <w:rsid w:val="009F4145"/>
    <w:rsid w:val="009F4DD1"/>
    <w:rsid w:val="009F4FDD"/>
    <w:rsid w:val="009F50EC"/>
    <w:rsid w:val="009F5119"/>
    <w:rsid w:val="009F6A8D"/>
    <w:rsid w:val="009F73E9"/>
    <w:rsid w:val="009F7465"/>
    <w:rsid w:val="009F7818"/>
    <w:rsid w:val="00A00C7F"/>
    <w:rsid w:val="00A00E01"/>
    <w:rsid w:val="00A02126"/>
    <w:rsid w:val="00A0229B"/>
    <w:rsid w:val="00A028E5"/>
    <w:rsid w:val="00A03F00"/>
    <w:rsid w:val="00A04D5C"/>
    <w:rsid w:val="00A051DD"/>
    <w:rsid w:val="00A05897"/>
    <w:rsid w:val="00A05A0D"/>
    <w:rsid w:val="00A07589"/>
    <w:rsid w:val="00A07808"/>
    <w:rsid w:val="00A10ED6"/>
    <w:rsid w:val="00A1117B"/>
    <w:rsid w:val="00A11C41"/>
    <w:rsid w:val="00A11C46"/>
    <w:rsid w:val="00A15FEC"/>
    <w:rsid w:val="00A17F1A"/>
    <w:rsid w:val="00A20079"/>
    <w:rsid w:val="00A22194"/>
    <w:rsid w:val="00A227A4"/>
    <w:rsid w:val="00A227D6"/>
    <w:rsid w:val="00A227EF"/>
    <w:rsid w:val="00A2346D"/>
    <w:rsid w:val="00A2447E"/>
    <w:rsid w:val="00A270BF"/>
    <w:rsid w:val="00A273C4"/>
    <w:rsid w:val="00A27D66"/>
    <w:rsid w:val="00A30482"/>
    <w:rsid w:val="00A3095C"/>
    <w:rsid w:val="00A30A84"/>
    <w:rsid w:val="00A31151"/>
    <w:rsid w:val="00A31368"/>
    <w:rsid w:val="00A32760"/>
    <w:rsid w:val="00A32BE8"/>
    <w:rsid w:val="00A338B1"/>
    <w:rsid w:val="00A34636"/>
    <w:rsid w:val="00A34850"/>
    <w:rsid w:val="00A367BF"/>
    <w:rsid w:val="00A36E61"/>
    <w:rsid w:val="00A4103C"/>
    <w:rsid w:val="00A4171F"/>
    <w:rsid w:val="00A420AD"/>
    <w:rsid w:val="00A44D96"/>
    <w:rsid w:val="00A46225"/>
    <w:rsid w:val="00A46C87"/>
    <w:rsid w:val="00A501C8"/>
    <w:rsid w:val="00A515EC"/>
    <w:rsid w:val="00A52AE4"/>
    <w:rsid w:val="00A52DF8"/>
    <w:rsid w:val="00A53304"/>
    <w:rsid w:val="00A5386B"/>
    <w:rsid w:val="00A53E21"/>
    <w:rsid w:val="00A57F2A"/>
    <w:rsid w:val="00A60D55"/>
    <w:rsid w:val="00A61EEA"/>
    <w:rsid w:val="00A62115"/>
    <w:rsid w:val="00A62748"/>
    <w:rsid w:val="00A640EC"/>
    <w:rsid w:val="00A66646"/>
    <w:rsid w:val="00A67816"/>
    <w:rsid w:val="00A70D4E"/>
    <w:rsid w:val="00A72382"/>
    <w:rsid w:val="00A72AEA"/>
    <w:rsid w:val="00A737C0"/>
    <w:rsid w:val="00A749A3"/>
    <w:rsid w:val="00A75A41"/>
    <w:rsid w:val="00A766C4"/>
    <w:rsid w:val="00A77266"/>
    <w:rsid w:val="00A7745D"/>
    <w:rsid w:val="00A7779E"/>
    <w:rsid w:val="00A80130"/>
    <w:rsid w:val="00A802B8"/>
    <w:rsid w:val="00A80DA7"/>
    <w:rsid w:val="00A81E5E"/>
    <w:rsid w:val="00A827E0"/>
    <w:rsid w:val="00A82F64"/>
    <w:rsid w:val="00A83167"/>
    <w:rsid w:val="00A84442"/>
    <w:rsid w:val="00A854DA"/>
    <w:rsid w:val="00A856C6"/>
    <w:rsid w:val="00A85911"/>
    <w:rsid w:val="00A877AB"/>
    <w:rsid w:val="00A8781A"/>
    <w:rsid w:val="00A87965"/>
    <w:rsid w:val="00A87A1D"/>
    <w:rsid w:val="00A902CC"/>
    <w:rsid w:val="00A906B1"/>
    <w:rsid w:val="00A90E44"/>
    <w:rsid w:val="00A91957"/>
    <w:rsid w:val="00A919B1"/>
    <w:rsid w:val="00A93206"/>
    <w:rsid w:val="00A94655"/>
    <w:rsid w:val="00A949CA"/>
    <w:rsid w:val="00A96143"/>
    <w:rsid w:val="00AA19AB"/>
    <w:rsid w:val="00AA267D"/>
    <w:rsid w:val="00AA3D60"/>
    <w:rsid w:val="00AA4C08"/>
    <w:rsid w:val="00AA515A"/>
    <w:rsid w:val="00AA5797"/>
    <w:rsid w:val="00AA5AB0"/>
    <w:rsid w:val="00AA741D"/>
    <w:rsid w:val="00AB2150"/>
    <w:rsid w:val="00AB2374"/>
    <w:rsid w:val="00AB46A8"/>
    <w:rsid w:val="00AB4F5A"/>
    <w:rsid w:val="00AB5671"/>
    <w:rsid w:val="00AB648A"/>
    <w:rsid w:val="00AB6B67"/>
    <w:rsid w:val="00AB7775"/>
    <w:rsid w:val="00AC19AC"/>
    <w:rsid w:val="00AC4767"/>
    <w:rsid w:val="00AC510A"/>
    <w:rsid w:val="00AC5E89"/>
    <w:rsid w:val="00AC6507"/>
    <w:rsid w:val="00AD0118"/>
    <w:rsid w:val="00AD0216"/>
    <w:rsid w:val="00AD1739"/>
    <w:rsid w:val="00AD2B5B"/>
    <w:rsid w:val="00AD357E"/>
    <w:rsid w:val="00AD410C"/>
    <w:rsid w:val="00AD612E"/>
    <w:rsid w:val="00AD6AB2"/>
    <w:rsid w:val="00AD703C"/>
    <w:rsid w:val="00AE1F52"/>
    <w:rsid w:val="00AE29F2"/>
    <w:rsid w:val="00AE2A32"/>
    <w:rsid w:val="00AE2D70"/>
    <w:rsid w:val="00AE3535"/>
    <w:rsid w:val="00AE3E30"/>
    <w:rsid w:val="00AE412D"/>
    <w:rsid w:val="00AE42A4"/>
    <w:rsid w:val="00AE46FB"/>
    <w:rsid w:val="00AE4AD5"/>
    <w:rsid w:val="00AE51D3"/>
    <w:rsid w:val="00AE596C"/>
    <w:rsid w:val="00AE5C7A"/>
    <w:rsid w:val="00AE5CDB"/>
    <w:rsid w:val="00AE5F32"/>
    <w:rsid w:val="00AE704B"/>
    <w:rsid w:val="00AE72AE"/>
    <w:rsid w:val="00AF14BE"/>
    <w:rsid w:val="00AF209D"/>
    <w:rsid w:val="00AF2D46"/>
    <w:rsid w:val="00AF39AB"/>
    <w:rsid w:val="00AF42C8"/>
    <w:rsid w:val="00AF44E2"/>
    <w:rsid w:val="00AF6C97"/>
    <w:rsid w:val="00AF7A5F"/>
    <w:rsid w:val="00B0067D"/>
    <w:rsid w:val="00B006E7"/>
    <w:rsid w:val="00B0148F"/>
    <w:rsid w:val="00B02070"/>
    <w:rsid w:val="00B02F54"/>
    <w:rsid w:val="00B03326"/>
    <w:rsid w:val="00B03771"/>
    <w:rsid w:val="00B070F6"/>
    <w:rsid w:val="00B07635"/>
    <w:rsid w:val="00B077A2"/>
    <w:rsid w:val="00B07D6C"/>
    <w:rsid w:val="00B119CB"/>
    <w:rsid w:val="00B130D1"/>
    <w:rsid w:val="00B14598"/>
    <w:rsid w:val="00B14A54"/>
    <w:rsid w:val="00B14C89"/>
    <w:rsid w:val="00B16521"/>
    <w:rsid w:val="00B17717"/>
    <w:rsid w:val="00B204FC"/>
    <w:rsid w:val="00B2157C"/>
    <w:rsid w:val="00B21733"/>
    <w:rsid w:val="00B22EBF"/>
    <w:rsid w:val="00B23649"/>
    <w:rsid w:val="00B236D6"/>
    <w:rsid w:val="00B242AE"/>
    <w:rsid w:val="00B25159"/>
    <w:rsid w:val="00B2652E"/>
    <w:rsid w:val="00B3045C"/>
    <w:rsid w:val="00B30C37"/>
    <w:rsid w:val="00B30F7A"/>
    <w:rsid w:val="00B31102"/>
    <w:rsid w:val="00B31666"/>
    <w:rsid w:val="00B3235A"/>
    <w:rsid w:val="00B32880"/>
    <w:rsid w:val="00B33653"/>
    <w:rsid w:val="00B34CBF"/>
    <w:rsid w:val="00B34D07"/>
    <w:rsid w:val="00B354DD"/>
    <w:rsid w:val="00B3581C"/>
    <w:rsid w:val="00B362CD"/>
    <w:rsid w:val="00B36545"/>
    <w:rsid w:val="00B40098"/>
    <w:rsid w:val="00B40713"/>
    <w:rsid w:val="00B413B4"/>
    <w:rsid w:val="00B4284A"/>
    <w:rsid w:val="00B43647"/>
    <w:rsid w:val="00B4376A"/>
    <w:rsid w:val="00B43A32"/>
    <w:rsid w:val="00B43B56"/>
    <w:rsid w:val="00B44EE0"/>
    <w:rsid w:val="00B4583F"/>
    <w:rsid w:val="00B45929"/>
    <w:rsid w:val="00B46058"/>
    <w:rsid w:val="00B46A27"/>
    <w:rsid w:val="00B47999"/>
    <w:rsid w:val="00B47EFD"/>
    <w:rsid w:val="00B5055D"/>
    <w:rsid w:val="00B50FAC"/>
    <w:rsid w:val="00B51EB1"/>
    <w:rsid w:val="00B52949"/>
    <w:rsid w:val="00B53743"/>
    <w:rsid w:val="00B54891"/>
    <w:rsid w:val="00B56227"/>
    <w:rsid w:val="00B5637F"/>
    <w:rsid w:val="00B565BA"/>
    <w:rsid w:val="00B56E18"/>
    <w:rsid w:val="00B57EE9"/>
    <w:rsid w:val="00B62110"/>
    <w:rsid w:val="00B63762"/>
    <w:rsid w:val="00B66145"/>
    <w:rsid w:val="00B66168"/>
    <w:rsid w:val="00B67259"/>
    <w:rsid w:val="00B67319"/>
    <w:rsid w:val="00B70606"/>
    <w:rsid w:val="00B70FDF"/>
    <w:rsid w:val="00B72FAC"/>
    <w:rsid w:val="00B75CFE"/>
    <w:rsid w:val="00B76151"/>
    <w:rsid w:val="00B80854"/>
    <w:rsid w:val="00B80AB0"/>
    <w:rsid w:val="00B817C2"/>
    <w:rsid w:val="00B81EC5"/>
    <w:rsid w:val="00B83DD6"/>
    <w:rsid w:val="00B83FD2"/>
    <w:rsid w:val="00B844D5"/>
    <w:rsid w:val="00B845DC"/>
    <w:rsid w:val="00B84863"/>
    <w:rsid w:val="00B84A98"/>
    <w:rsid w:val="00B9005C"/>
    <w:rsid w:val="00B910A3"/>
    <w:rsid w:val="00B91495"/>
    <w:rsid w:val="00B921E1"/>
    <w:rsid w:val="00B922C7"/>
    <w:rsid w:val="00B927C2"/>
    <w:rsid w:val="00B92E7F"/>
    <w:rsid w:val="00B9602D"/>
    <w:rsid w:val="00B96161"/>
    <w:rsid w:val="00B96DC8"/>
    <w:rsid w:val="00B97349"/>
    <w:rsid w:val="00BA0855"/>
    <w:rsid w:val="00BA258B"/>
    <w:rsid w:val="00BA260C"/>
    <w:rsid w:val="00BA3144"/>
    <w:rsid w:val="00BA39F6"/>
    <w:rsid w:val="00BA3EF3"/>
    <w:rsid w:val="00BA724B"/>
    <w:rsid w:val="00BA7899"/>
    <w:rsid w:val="00BB0629"/>
    <w:rsid w:val="00BB1C7F"/>
    <w:rsid w:val="00BB2466"/>
    <w:rsid w:val="00BB3C3A"/>
    <w:rsid w:val="00BB3FD6"/>
    <w:rsid w:val="00BB4AFC"/>
    <w:rsid w:val="00BB51A5"/>
    <w:rsid w:val="00BB53E9"/>
    <w:rsid w:val="00BB5701"/>
    <w:rsid w:val="00BB64F6"/>
    <w:rsid w:val="00BC021F"/>
    <w:rsid w:val="00BC1AD1"/>
    <w:rsid w:val="00BC1C7C"/>
    <w:rsid w:val="00BC2240"/>
    <w:rsid w:val="00BC2618"/>
    <w:rsid w:val="00BC331F"/>
    <w:rsid w:val="00BC3DD4"/>
    <w:rsid w:val="00BC40DE"/>
    <w:rsid w:val="00BC457A"/>
    <w:rsid w:val="00BC506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B75"/>
    <w:rsid w:val="00BE2D83"/>
    <w:rsid w:val="00BE380B"/>
    <w:rsid w:val="00BE3FBA"/>
    <w:rsid w:val="00BE4383"/>
    <w:rsid w:val="00BE44BC"/>
    <w:rsid w:val="00BE49AE"/>
    <w:rsid w:val="00BE4BCC"/>
    <w:rsid w:val="00BE4E80"/>
    <w:rsid w:val="00BE51D5"/>
    <w:rsid w:val="00BE527E"/>
    <w:rsid w:val="00BE6C58"/>
    <w:rsid w:val="00BE6C82"/>
    <w:rsid w:val="00BF0B0E"/>
    <w:rsid w:val="00BF38EB"/>
    <w:rsid w:val="00BF3EA5"/>
    <w:rsid w:val="00BF46F3"/>
    <w:rsid w:val="00BF46FD"/>
    <w:rsid w:val="00BF5F4C"/>
    <w:rsid w:val="00BF650F"/>
    <w:rsid w:val="00BF6C4C"/>
    <w:rsid w:val="00C00159"/>
    <w:rsid w:val="00C00F62"/>
    <w:rsid w:val="00C01D56"/>
    <w:rsid w:val="00C01F16"/>
    <w:rsid w:val="00C031B9"/>
    <w:rsid w:val="00C0336B"/>
    <w:rsid w:val="00C047B8"/>
    <w:rsid w:val="00C05A56"/>
    <w:rsid w:val="00C05A69"/>
    <w:rsid w:val="00C06133"/>
    <w:rsid w:val="00C07FCA"/>
    <w:rsid w:val="00C07FE5"/>
    <w:rsid w:val="00C10E19"/>
    <w:rsid w:val="00C11D0D"/>
    <w:rsid w:val="00C11E9A"/>
    <w:rsid w:val="00C13178"/>
    <w:rsid w:val="00C13CF8"/>
    <w:rsid w:val="00C14EB8"/>
    <w:rsid w:val="00C15A77"/>
    <w:rsid w:val="00C15AA5"/>
    <w:rsid w:val="00C15C5B"/>
    <w:rsid w:val="00C16893"/>
    <w:rsid w:val="00C16C61"/>
    <w:rsid w:val="00C20393"/>
    <w:rsid w:val="00C21D20"/>
    <w:rsid w:val="00C22406"/>
    <w:rsid w:val="00C22E00"/>
    <w:rsid w:val="00C23A0E"/>
    <w:rsid w:val="00C24124"/>
    <w:rsid w:val="00C25C1D"/>
    <w:rsid w:val="00C26719"/>
    <w:rsid w:val="00C3026D"/>
    <w:rsid w:val="00C31285"/>
    <w:rsid w:val="00C33FC9"/>
    <w:rsid w:val="00C350EB"/>
    <w:rsid w:val="00C35302"/>
    <w:rsid w:val="00C36438"/>
    <w:rsid w:val="00C36970"/>
    <w:rsid w:val="00C36D5E"/>
    <w:rsid w:val="00C3783B"/>
    <w:rsid w:val="00C4056F"/>
    <w:rsid w:val="00C40C7E"/>
    <w:rsid w:val="00C40E51"/>
    <w:rsid w:val="00C41464"/>
    <w:rsid w:val="00C4244E"/>
    <w:rsid w:val="00C43687"/>
    <w:rsid w:val="00C450E3"/>
    <w:rsid w:val="00C4567D"/>
    <w:rsid w:val="00C457D5"/>
    <w:rsid w:val="00C45D1E"/>
    <w:rsid w:val="00C46F9C"/>
    <w:rsid w:val="00C51AE0"/>
    <w:rsid w:val="00C520B0"/>
    <w:rsid w:val="00C52188"/>
    <w:rsid w:val="00C53712"/>
    <w:rsid w:val="00C5444B"/>
    <w:rsid w:val="00C546B9"/>
    <w:rsid w:val="00C55E25"/>
    <w:rsid w:val="00C5660B"/>
    <w:rsid w:val="00C60CB1"/>
    <w:rsid w:val="00C629CF"/>
    <w:rsid w:val="00C63F9D"/>
    <w:rsid w:val="00C64D68"/>
    <w:rsid w:val="00C661E6"/>
    <w:rsid w:val="00C668DF"/>
    <w:rsid w:val="00C67942"/>
    <w:rsid w:val="00C712ED"/>
    <w:rsid w:val="00C713EC"/>
    <w:rsid w:val="00C718ED"/>
    <w:rsid w:val="00C7256D"/>
    <w:rsid w:val="00C727D9"/>
    <w:rsid w:val="00C7457D"/>
    <w:rsid w:val="00C74C9D"/>
    <w:rsid w:val="00C766E7"/>
    <w:rsid w:val="00C77A7D"/>
    <w:rsid w:val="00C800B9"/>
    <w:rsid w:val="00C80F38"/>
    <w:rsid w:val="00C82E38"/>
    <w:rsid w:val="00C82FDD"/>
    <w:rsid w:val="00C837EA"/>
    <w:rsid w:val="00C83B16"/>
    <w:rsid w:val="00C844FD"/>
    <w:rsid w:val="00C8603B"/>
    <w:rsid w:val="00C86702"/>
    <w:rsid w:val="00C867B4"/>
    <w:rsid w:val="00C87125"/>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2A5E"/>
    <w:rsid w:val="00CA3742"/>
    <w:rsid w:val="00CA37B7"/>
    <w:rsid w:val="00CA4B40"/>
    <w:rsid w:val="00CA63D0"/>
    <w:rsid w:val="00CA688D"/>
    <w:rsid w:val="00CA6E84"/>
    <w:rsid w:val="00CA7C30"/>
    <w:rsid w:val="00CA7CC9"/>
    <w:rsid w:val="00CA7F84"/>
    <w:rsid w:val="00CB00F0"/>
    <w:rsid w:val="00CB0287"/>
    <w:rsid w:val="00CB18FC"/>
    <w:rsid w:val="00CB35A9"/>
    <w:rsid w:val="00CB3AB5"/>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0863"/>
    <w:rsid w:val="00CD1601"/>
    <w:rsid w:val="00CD1E7D"/>
    <w:rsid w:val="00CD3ACD"/>
    <w:rsid w:val="00CD40DD"/>
    <w:rsid w:val="00CD43D3"/>
    <w:rsid w:val="00CD576E"/>
    <w:rsid w:val="00CD5917"/>
    <w:rsid w:val="00CD5B9B"/>
    <w:rsid w:val="00CD7285"/>
    <w:rsid w:val="00CE1E17"/>
    <w:rsid w:val="00CE2221"/>
    <w:rsid w:val="00CE3D1B"/>
    <w:rsid w:val="00CE4FF5"/>
    <w:rsid w:val="00CE5D09"/>
    <w:rsid w:val="00CE7C5F"/>
    <w:rsid w:val="00CE7E7C"/>
    <w:rsid w:val="00CE7ECD"/>
    <w:rsid w:val="00CF0EF6"/>
    <w:rsid w:val="00CF1EB8"/>
    <w:rsid w:val="00CF2636"/>
    <w:rsid w:val="00CF2A81"/>
    <w:rsid w:val="00CF3FB9"/>
    <w:rsid w:val="00CF4455"/>
    <w:rsid w:val="00CF45DA"/>
    <w:rsid w:val="00CF5158"/>
    <w:rsid w:val="00CF5CB9"/>
    <w:rsid w:val="00CF6B6B"/>
    <w:rsid w:val="00CF6D05"/>
    <w:rsid w:val="00CF6EAA"/>
    <w:rsid w:val="00CF759D"/>
    <w:rsid w:val="00D00357"/>
    <w:rsid w:val="00D01AC3"/>
    <w:rsid w:val="00D02D3C"/>
    <w:rsid w:val="00D05235"/>
    <w:rsid w:val="00D054B3"/>
    <w:rsid w:val="00D05E35"/>
    <w:rsid w:val="00D0626A"/>
    <w:rsid w:val="00D06A56"/>
    <w:rsid w:val="00D10180"/>
    <w:rsid w:val="00D10FAD"/>
    <w:rsid w:val="00D113A3"/>
    <w:rsid w:val="00D11B0A"/>
    <w:rsid w:val="00D11D1B"/>
    <w:rsid w:val="00D12127"/>
    <w:rsid w:val="00D133B2"/>
    <w:rsid w:val="00D13BD6"/>
    <w:rsid w:val="00D14422"/>
    <w:rsid w:val="00D148CC"/>
    <w:rsid w:val="00D15B08"/>
    <w:rsid w:val="00D15D32"/>
    <w:rsid w:val="00D1640C"/>
    <w:rsid w:val="00D1736F"/>
    <w:rsid w:val="00D175F9"/>
    <w:rsid w:val="00D17A7B"/>
    <w:rsid w:val="00D207F7"/>
    <w:rsid w:val="00D20CC3"/>
    <w:rsid w:val="00D21DC8"/>
    <w:rsid w:val="00D224D7"/>
    <w:rsid w:val="00D2468F"/>
    <w:rsid w:val="00D25024"/>
    <w:rsid w:val="00D25992"/>
    <w:rsid w:val="00D26692"/>
    <w:rsid w:val="00D27B23"/>
    <w:rsid w:val="00D30A77"/>
    <w:rsid w:val="00D32F38"/>
    <w:rsid w:val="00D33508"/>
    <w:rsid w:val="00D33F71"/>
    <w:rsid w:val="00D3721B"/>
    <w:rsid w:val="00D37D2B"/>
    <w:rsid w:val="00D4014A"/>
    <w:rsid w:val="00D401E8"/>
    <w:rsid w:val="00D407E4"/>
    <w:rsid w:val="00D40ECA"/>
    <w:rsid w:val="00D41FEF"/>
    <w:rsid w:val="00D4281D"/>
    <w:rsid w:val="00D42879"/>
    <w:rsid w:val="00D42A3D"/>
    <w:rsid w:val="00D42C84"/>
    <w:rsid w:val="00D43D45"/>
    <w:rsid w:val="00D44576"/>
    <w:rsid w:val="00D448B9"/>
    <w:rsid w:val="00D454D4"/>
    <w:rsid w:val="00D45569"/>
    <w:rsid w:val="00D45DB7"/>
    <w:rsid w:val="00D4684E"/>
    <w:rsid w:val="00D47229"/>
    <w:rsid w:val="00D47F00"/>
    <w:rsid w:val="00D51374"/>
    <w:rsid w:val="00D52D11"/>
    <w:rsid w:val="00D54035"/>
    <w:rsid w:val="00D5417B"/>
    <w:rsid w:val="00D543E5"/>
    <w:rsid w:val="00D54495"/>
    <w:rsid w:val="00D54790"/>
    <w:rsid w:val="00D54D01"/>
    <w:rsid w:val="00D550D6"/>
    <w:rsid w:val="00D55C37"/>
    <w:rsid w:val="00D5665F"/>
    <w:rsid w:val="00D57491"/>
    <w:rsid w:val="00D60C4B"/>
    <w:rsid w:val="00D62324"/>
    <w:rsid w:val="00D6317F"/>
    <w:rsid w:val="00D63195"/>
    <w:rsid w:val="00D634BB"/>
    <w:rsid w:val="00D639BD"/>
    <w:rsid w:val="00D6452A"/>
    <w:rsid w:val="00D6515D"/>
    <w:rsid w:val="00D659EA"/>
    <w:rsid w:val="00D679DB"/>
    <w:rsid w:val="00D705A5"/>
    <w:rsid w:val="00D725F7"/>
    <w:rsid w:val="00D72F92"/>
    <w:rsid w:val="00D72FA5"/>
    <w:rsid w:val="00D736F8"/>
    <w:rsid w:val="00D752CC"/>
    <w:rsid w:val="00D75668"/>
    <w:rsid w:val="00D76865"/>
    <w:rsid w:val="00D76A09"/>
    <w:rsid w:val="00D77126"/>
    <w:rsid w:val="00D77D49"/>
    <w:rsid w:val="00D77F97"/>
    <w:rsid w:val="00D813D0"/>
    <w:rsid w:val="00D81A76"/>
    <w:rsid w:val="00D82461"/>
    <w:rsid w:val="00D834BA"/>
    <w:rsid w:val="00D83FD4"/>
    <w:rsid w:val="00D845A4"/>
    <w:rsid w:val="00D84B86"/>
    <w:rsid w:val="00D853A5"/>
    <w:rsid w:val="00D8569C"/>
    <w:rsid w:val="00D8606D"/>
    <w:rsid w:val="00D874BB"/>
    <w:rsid w:val="00D87BD5"/>
    <w:rsid w:val="00D90135"/>
    <w:rsid w:val="00D904F7"/>
    <w:rsid w:val="00D90B0A"/>
    <w:rsid w:val="00D90D36"/>
    <w:rsid w:val="00D9324C"/>
    <w:rsid w:val="00D93B8C"/>
    <w:rsid w:val="00D94914"/>
    <w:rsid w:val="00D94B87"/>
    <w:rsid w:val="00D965BC"/>
    <w:rsid w:val="00D9778A"/>
    <w:rsid w:val="00DA026D"/>
    <w:rsid w:val="00DA148A"/>
    <w:rsid w:val="00DA249A"/>
    <w:rsid w:val="00DA3409"/>
    <w:rsid w:val="00DA3B79"/>
    <w:rsid w:val="00DA4ED0"/>
    <w:rsid w:val="00DA5855"/>
    <w:rsid w:val="00DA63C4"/>
    <w:rsid w:val="00DA6B3B"/>
    <w:rsid w:val="00DA7298"/>
    <w:rsid w:val="00DA7D8B"/>
    <w:rsid w:val="00DB01F7"/>
    <w:rsid w:val="00DB0522"/>
    <w:rsid w:val="00DB112C"/>
    <w:rsid w:val="00DB189B"/>
    <w:rsid w:val="00DB222E"/>
    <w:rsid w:val="00DB2DC1"/>
    <w:rsid w:val="00DB2F87"/>
    <w:rsid w:val="00DB61D3"/>
    <w:rsid w:val="00DB69FF"/>
    <w:rsid w:val="00DC007D"/>
    <w:rsid w:val="00DC01C6"/>
    <w:rsid w:val="00DC0423"/>
    <w:rsid w:val="00DC1FCD"/>
    <w:rsid w:val="00DC2709"/>
    <w:rsid w:val="00DC35F3"/>
    <w:rsid w:val="00DC36DE"/>
    <w:rsid w:val="00DC3D39"/>
    <w:rsid w:val="00DC5165"/>
    <w:rsid w:val="00DC6BF6"/>
    <w:rsid w:val="00DC7B27"/>
    <w:rsid w:val="00DC7E19"/>
    <w:rsid w:val="00DD0456"/>
    <w:rsid w:val="00DD0E85"/>
    <w:rsid w:val="00DD0FD3"/>
    <w:rsid w:val="00DD1379"/>
    <w:rsid w:val="00DD1BEA"/>
    <w:rsid w:val="00DD26B1"/>
    <w:rsid w:val="00DD2C02"/>
    <w:rsid w:val="00DD32D8"/>
    <w:rsid w:val="00DD41C7"/>
    <w:rsid w:val="00DD5785"/>
    <w:rsid w:val="00DD5F5E"/>
    <w:rsid w:val="00DD697A"/>
    <w:rsid w:val="00DD72B4"/>
    <w:rsid w:val="00DD79AC"/>
    <w:rsid w:val="00DE0511"/>
    <w:rsid w:val="00DE0550"/>
    <w:rsid w:val="00DE1B4B"/>
    <w:rsid w:val="00DE32AA"/>
    <w:rsid w:val="00DE36F9"/>
    <w:rsid w:val="00DE43D7"/>
    <w:rsid w:val="00DE67F9"/>
    <w:rsid w:val="00DE6FD6"/>
    <w:rsid w:val="00DE71C0"/>
    <w:rsid w:val="00DE76ED"/>
    <w:rsid w:val="00DE774E"/>
    <w:rsid w:val="00DF0BD3"/>
    <w:rsid w:val="00DF17A8"/>
    <w:rsid w:val="00DF25E4"/>
    <w:rsid w:val="00DF2C73"/>
    <w:rsid w:val="00DF2DF6"/>
    <w:rsid w:val="00DF3194"/>
    <w:rsid w:val="00DF3632"/>
    <w:rsid w:val="00DF3932"/>
    <w:rsid w:val="00DF4B37"/>
    <w:rsid w:val="00DF4D25"/>
    <w:rsid w:val="00DF518F"/>
    <w:rsid w:val="00DF59DD"/>
    <w:rsid w:val="00DF6978"/>
    <w:rsid w:val="00E00C07"/>
    <w:rsid w:val="00E0273F"/>
    <w:rsid w:val="00E03097"/>
    <w:rsid w:val="00E03E4E"/>
    <w:rsid w:val="00E0413D"/>
    <w:rsid w:val="00E042D3"/>
    <w:rsid w:val="00E05028"/>
    <w:rsid w:val="00E068B7"/>
    <w:rsid w:val="00E07FCC"/>
    <w:rsid w:val="00E10E61"/>
    <w:rsid w:val="00E13D69"/>
    <w:rsid w:val="00E1512C"/>
    <w:rsid w:val="00E16C56"/>
    <w:rsid w:val="00E218A5"/>
    <w:rsid w:val="00E21B66"/>
    <w:rsid w:val="00E220A6"/>
    <w:rsid w:val="00E222BB"/>
    <w:rsid w:val="00E2272C"/>
    <w:rsid w:val="00E23D63"/>
    <w:rsid w:val="00E24734"/>
    <w:rsid w:val="00E2492D"/>
    <w:rsid w:val="00E2514C"/>
    <w:rsid w:val="00E2566B"/>
    <w:rsid w:val="00E259BC"/>
    <w:rsid w:val="00E26EC0"/>
    <w:rsid w:val="00E27543"/>
    <w:rsid w:val="00E27DBF"/>
    <w:rsid w:val="00E30C28"/>
    <w:rsid w:val="00E31F3C"/>
    <w:rsid w:val="00E32F42"/>
    <w:rsid w:val="00E33122"/>
    <w:rsid w:val="00E33CD5"/>
    <w:rsid w:val="00E3576C"/>
    <w:rsid w:val="00E35DC0"/>
    <w:rsid w:val="00E37CF7"/>
    <w:rsid w:val="00E4067F"/>
    <w:rsid w:val="00E408EC"/>
    <w:rsid w:val="00E41FCE"/>
    <w:rsid w:val="00E42617"/>
    <w:rsid w:val="00E43680"/>
    <w:rsid w:val="00E44718"/>
    <w:rsid w:val="00E44AC8"/>
    <w:rsid w:val="00E44F9C"/>
    <w:rsid w:val="00E45004"/>
    <w:rsid w:val="00E45BEC"/>
    <w:rsid w:val="00E45D4B"/>
    <w:rsid w:val="00E46C62"/>
    <w:rsid w:val="00E50933"/>
    <w:rsid w:val="00E50B33"/>
    <w:rsid w:val="00E52486"/>
    <w:rsid w:val="00E52AFF"/>
    <w:rsid w:val="00E534D5"/>
    <w:rsid w:val="00E53DBF"/>
    <w:rsid w:val="00E540FC"/>
    <w:rsid w:val="00E5415D"/>
    <w:rsid w:val="00E54C72"/>
    <w:rsid w:val="00E5545D"/>
    <w:rsid w:val="00E557AD"/>
    <w:rsid w:val="00E559AA"/>
    <w:rsid w:val="00E56E1C"/>
    <w:rsid w:val="00E57531"/>
    <w:rsid w:val="00E6012F"/>
    <w:rsid w:val="00E606F2"/>
    <w:rsid w:val="00E60782"/>
    <w:rsid w:val="00E60B96"/>
    <w:rsid w:val="00E63043"/>
    <w:rsid w:val="00E63190"/>
    <w:rsid w:val="00E63886"/>
    <w:rsid w:val="00E646A8"/>
    <w:rsid w:val="00E64A02"/>
    <w:rsid w:val="00E64E18"/>
    <w:rsid w:val="00E655AA"/>
    <w:rsid w:val="00E65D5F"/>
    <w:rsid w:val="00E65D89"/>
    <w:rsid w:val="00E66ADC"/>
    <w:rsid w:val="00E67C91"/>
    <w:rsid w:val="00E703F5"/>
    <w:rsid w:val="00E712D4"/>
    <w:rsid w:val="00E718C9"/>
    <w:rsid w:val="00E72F63"/>
    <w:rsid w:val="00E74488"/>
    <w:rsid w:val="00E75A8F"/>
    <w:rsid w:val="00E769F1"/>
    <w:rsid w:val="00E7742E"/>
    <w:rsid w:val="00E8095B"/>
    <w:rsid w:val="00E80EA8"/>
    <w:rsid w:val="00E821A6"/>
    <w:rsid w:val="00E82463"/>
    <w:rsid w:val="00E83CDF"/>
    <w:rsid w:val="00E84059"/>
    <w:rsid w:val="00E8503B"/>
    <w:rsid w:val="00E85A63"/>
    <w:rsid w:val="00E85AE9"/>
    <w:rsid w:val="00E86984"/>
    <w:rsid w:val="00E8730B"/>
    <w:rsid w:val="00E87A51"/>
    <w:rsid w:val="00E9033E"/>
    <w:rsid w:val="00E90A8B"/>
    <w:rsid w:val="00E91A94"/>
    <w:rsid w:val="00E92273"/>
    <w:rsid w:val="00E927C2"/>
    <w:rsid w:val="00E94862"/>
    <w:rsid w:val="00E94C51"/>
    <w:rsid w:val="00E95703"/>
    <w:rsid w:val="00E967F4"/>
    <w:rsid w:val="00E96D13"/>
    <w:rsid w:val="00E973AF"/>
    <w:rsid w:val="00E978D7"/>
    <w:rsid w:val="00EA1749"/>
    <w:rsid w:val="00EA37B6"/>
    <w:rsid w:val="00EA3982"/>
    <w:rsid w:val="00EA6412"/>
    <w:rsid w:val="00EA6747"/>
    <w:rsid w:val="00EA713D"/>
    <w:rsid w:val="00EA738B"/>
    <w:rsid w:val="00EA7965"/>
    <w:rsid w:val="00EA7C27"/>
    <w:rsid w:val="00EB0A1F"/>
    <w:rsid w:val="00EB1211"/>
    <w:rsid w:val="00EB1714"/>
    <w:rsid w:val="00EB45C9"/>
    <w:rsid w:val="00EB5D34"/>
    <w:rsid w:val="00EB60C5"/>
    <w:rsid w:val="00EB6A6C"/>
    <w:rsid w:val="00EB6D7E"/>
    <w:rsid w:val="00EB7297"/>
    <w:rsid w:val="00EB77F9"/>
    <w:rsid w:val="00EB7E87"/>
    <w:rsid w:val="00EC05EF"/>
    <w:rsid w:val="00EC0AF7"/>
    <w:rsid w:val="00EC1601"/>
    <w:rsid w:val="00EC19E3"/>
    <w:rsid w:val="00EC255C"/>
    <w:rsid w:val="00EC2BC3"/>
    <w:rsid w:val="00EC36A9"/>
    <w:rsid w:val="00EC4EA6"/>
    <w:rsid w:val="00EC4EF3"/>
    <w:rsid w:val="00EC5A6A"/>
    <w:rsid w:val="00EC5AAC"/>
    <w:rsid w:val="00EC5EEF"/>
    <w:rsid w:val="00EC6520"/>
    <w:rsid w:val="00EC659E"/>
    <w:rsid w:val="00EC719B"/>
    <w:rsid w:val="00EC7E2D"/>
    <w:rsid w:val="00ED0176"/>
    <w:rsid w:val="00ED0ADF"/>
    <w:rsid w:val="00ED22F5"/>
    <w:rsid w:val="00ED2726"/>
    <w:rsid w:val="00ED2CD8"/>
    <w:rsid w:val="00ED3292"/>
    <w:rsid w:val="00ED58E7"/>
    <w:rsid w:val="00EE15E6"/>
    <w:rsid w:val="00EE1CFD"/>
    <w:rsid w:val="00EE2EE7"/>
    <w:rsid w:val="00EE3EF5"/>
    <w:rsid w:val="00EE5B3B"/>
    <w:rsid w:val="00EE6DE1"/>
    <w:rsid w:val="00EE70CB"/>
    <w:rsid w:val="00EE7518"/>
    <w:rsid w:val="00EF1DD2"/>
    <w:rsid w:val="00EF1E82"/>
    <w:rsid w:val="00EF2240"/>
    <w:rsid w:val="00EF2A25"/>
    <w:rsid w:val="00EF2AAF"/>
    <w:rsid w:val="00EF4E07"/>
    <w:rsid w:val="00EF51AA"/>
    <w:rsid w:val="00EF61F8"/>
    <w:rsid w:val="00EF70D2"/>
    <w:rsid w:val="00F00B8F"/>
    <w:rsid w:val="00F03F69"/>
    <w:rsid w:val="00F04867"/>
    <w:rsid w:val="00F04DF4"/>
    <w:rsid w:val="00F0520E"/>
    <w:rsid w:val="00F0697E"/>
    <w:rsid w:val="00F10024"/>
    <w:rsid w:val="00F101F4"/>
    <w:rsid w:val="00F10BC2"/>
    <w:rsid w:val="00F10C46"/>
    <w:rsid w:val="00F121F2"/>
    <w:rsid w:val="00F12305"/>
    <w:rsid w:val="00F14139"/>
    <w:rsid w:val="00F168ED"/>
    <w:rsid w:val="00F17413"/>
    <w:rsid w:val="00F17630"/>
    <w:rsid w:val="00F17A7A"/>
    <w:rsid w:val="00F17F93"/>
    <w:rsid w:val="00F202C5"/>
    <w:rsid w:val="00F23D75"/>
    <w:rsid w:val="00F24274"/>
    <w:rsid w:val="00F246A6"/>
    <w:rsid w:val="00F2495B"/>
    <w:rsid w:val="00F24F59"/>
    <w:rsid w:val="00F26555"/>
    <w:rsid w:val="00F26DA7"/>
    <w:rsid w:val="00F270BA"/>
    <w:rsid w:val="00F3102A"/>
    <w:rsid w:val="00F31AD1"/>
    <w:rsid w:val="00F31FC0"/>
    <w:rsid w:val="00F33372"/>
    <w:rsid w:val="00F3386A"/>
    <w:rsid w:val="00F35E4E"/>
    <w:rsid w:val="00F36340"/>
    <w:rsid w:val="00F36A6C"/>
    <w:rsid w:val="00F36A75"/>
    <w:rsid w:val="00F36D7D"/>
    <w:rsid w:val="00F36F95"/>
    <w:rsid w:val="00F405AA"/>
    <w:rsid w:val="00F411D2"/>
    <w:rsid w:val="00F4233A"/>
    <w:rsid w:val="00F4272D"/>
    <w:rsid w:val="00F430D2"/>
    <w:rsid w:val="00F4334A"/>
    <w:rsid w:val="00F43F1D"/>
    <w:rsid w:val="00F441DB"/>
    <w:rsid w:val="00F453A4"/>
    <w:rsid w:val="00F45479"/>
    <w:rsid w:val="00F45FDA"/>
    <w:rsid w:val="00F467A7"/>
    <w:rsid w:val="00F46A4C"/>
    <w:rsid w:val="00F46F2B"/>
    <w:rsid w:val="00F500C0"/>
    <w:rsid w:val="00F50704"/>
    <w:rsid w:val="00F5099F"/>
    <w:rsid w:val="00F511B7"/>
    <w:rsid w:val="00F5143B"/>
    <w:rsid w:val="00F51A14"/>
    <w:rsid w:val="00F51C32"/>
    <w:rsid w:val="00F51E63"/>
    <w:rsid w:val="00F53335"/>
    <w:rsid w:val="00F53888"/>
    <w:rsid w:val="00F53A3C"/>
    <w:rsid w:val="00F543AA"/>
    <w:rsid w:val="00F546EC"/>
    <w:rsid w:val="00F54C8E"/>
    <w:rsid w:val="00F56990"/>
    <w:rsid w:val="00F56A3D"/>
    <w:rsid w:val="00F624BE"/>
    <w:rsid w:val="00F62641"/>
    <w:rsid w:val="00F64FC0"/>
    <w:rsid w:val="00F6679B"/>
    <w:rsid w:val="00F66CD1"/>
    <w:rsid w:val="00F66D60"/>
    <w:rsid w:val="00F6712E"/>
    <w:rsid w:val="00F674C2"/>
    <w:rsid w:val="00F67960"/>
    <w:rsid w:val="00F67ACC"/>
    <w:rsid w:val="00F67D23"/>
    <w:rsid w:val="00F702D3"/>
    <w:rsid w:val="00F70991"/>
    <w:rsid w:val="00F70CE1"/>
    <w:rsid w:val="00F7228F"/>
    <w:rsid w:val="00F75171"/>
    <w:rsid w:val="00F7530E"/>
    <w:rsid w:val="00F80383"/>
    <w:rsid w:val="00F82785"/>
    <w:rsid w:val="00F82DDD"/>
    <w:rsid w:val="00F8313C"/>
    <w:rsid w:val="00F8351D"/>
    <w:rsid w:val="00F83B6C"/>
    <w:rsid w:val="00F8593A"/>
    <w:rsid w:val="00F85B8E"/>
    <w:rsid w:val="00F86025"/>
    <w:rsid w:val="00F9176D"/>
    <w:rsid w:val="00F92305"/>
    <w:rsid w:val="00F94DD4"/>
    <w:rsid w:val="00F94EDC"/>
    <w:rsid w:val="00F95EFB"/>
    <w:rsid w:val="00F96997"/>
    <w:rsid w:val="00FA0424"/>
    <w:rsid w:val="00FA06A4"/>
    <w:rsid w:val="00FA0F0D"/>
    <w:rsid w:val="00FA13AF"/>
    <w:rsid w:val="00FA1595"/>
    <w:rsid w:val="00FA1FC3"/>
    <w:rsid w:val="00FA2B79"/>
    <w:rsid w:val="00FA452C"/>
    <w:rsid w:val="00FA4F27"/>
    <w:rsid w:val="00FA5847"/>
    <w:rsid w:val="00FA611B"/>
    <w:rsid w:val="00FA6708"/>
    <w:rsid w:val="00FA6F47"/>
    <w:rsid w:val="00FA7105"/>
    <w:rsid w:val="00FA7361"/>
    <w:rsid w:val="00FB00B6"/>
    <w:rsid w:val="00FB12BF"/>
    <w:rsid w:val="00FB175B"/>
    <w:rsid w:val="00FB1E4D"/>
    <w:rsid w:val="00FB4BE7"/>
    <w:rsid w:val="00FB66E7"/>
    <w:rsid w:val="00FB6BD9"/>
    <w:rsid w:val="00FB73E7"/>
    <w:rsid w:val="00FC03EF"/>
    <w:rsid w:val="00FC0577"/>
    <w:rsid w:val="00FC1370"/>
    <w:rsid w:val="00FC16CE"/>
    <w:rsid w:val="00FC1B45"/>
    <w:rsid w:val="00FC2058"/>
    <w:rsid w:val="00FC3411"/>
    <w:rsid w:val="00FC5150"/>
    <w:rsid w:val="00FC5A3E"/>
    <w:rsid w:val="00FC5AC9"/>
    <w:rsid w:val="00FC7F3D"/>
    <w:rsid w:val="00FD0720"/>
    <w:rsid w:val="00FD09BC"/>
    <w:rsid w:val="00FD0C72"/>
    <w:rsid w:val="00FD2869"/>
    <w:rsid w:val="00FD4F19"/>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09E7"/>
    <w:rsid w:val="00FF1327"/>
    <w:rsid w:val="00FF1A3F"/>
    <w:rsid w:val="00FF21B6"/>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77972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uiPriority w:val="99"/>
    <w:rsid w:val="00057E44"/>
    <w:rPr>
      <w:sz w:val="16"/>
      <w:szCs w:val="16"/>
    </w:rPr>
  </w:style>
  <w:style w:type="paragraph" w:styleId="CommentText">
    <w:name w:val="annotation text"/>
    <w:basedOn w:val="Normal"/>
    <w:link w:val="CommentTextChar"/>
    <w:uiPriority w:val="99"/>
    <w:rsid w:val="00057E44"/>
    <w:rPr>
      <w:sz w:val="20"/>
      <w:szCs w:val="20"/>
    </w:rPr>
  </w:style>
  <w:style w:type="character" w:customStyle="1" w:styleId="CommentTextChar">
    <w:name w:val="Comment Text Char"/>
    <w:basedOn w:val="DefaultParagraphFont"/>
    <w:link w:val="CommentText"/>
    <w:uiPriority w:val="99"/>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FollowedHyperlink">
    <w:name w:val="FollowedHyperlink"/>
    <w:rsid w:val="003E769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be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DC1A-5830-4834-B6CA-E9023F1E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22981</CharactersWithSpaces>
  <SharedDoc>false</SharedDoc>
  <HLinks>
    <vt:vector size="12" baseType="variant">
      <vt:variant>
        <vt:i4>3735668</vt:i4>
      </vt:variant>
      <vt:variant>
        <vt:i4>3</vt:i4>
      </vt:variant>
      <vt:variant>
        <vt:i4>0</vt:i4>
      </vt:variant>
      <vt:variant>
        <vt:i4>5</vt:i4>
      </vt:variant>
      <vt:variant>
        <vt:lpwstr>http://www.bea.gov/</vt:lpwstr>
      </vt:variant>
      <vt:variant>
        <vt:lpwstr/>
      </vt: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2020-06-02T14:51:00Z</dcterms:created>
  <dcterms:modified xsi:type="dcterms:W3CDTF">2020-06-02T14:51:00Z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