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95" w:rsidP="004C1895" w:rsidRDefault="004C1895">
      <w:pPr>
        <w:suppressAutoHyphens/>
        <w:rPr>
          <w:rFonts w:ascii="Times New Roman" w:hAnsi="Times New Roman"/>
        </w:rPr>
      </w:pPr>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4C1895" w:rsidP="004C1895" w:rsidRDefault="004C1895">
      <w:pPr>
        <w:suppressAutoHyphens/>
        <w:rPr>
          <w:rFonts w:ascii="Times New Roman" w:hAnsi="Times New Roman"/>
        </w:rPr>
      </w:pPr>
    </w:p>
    <w:p w:rsidR="004C1895" w:rsidP="004C1895" w:rsidRDefault="004C1895">
      <w:pPr>
        <w:tabs>
          <w:tab w:val="center" w:pos="4680"/>
        </w:tabs>
        <w:suppressAutoHyphens/>
        <w:rPr>
          <w:rFonts w:ascii="Times New Roman" w:hAnsi="Times New Roman"/>
        </w:rPr>
      </w:pPr>
      <w:r>
        <w:rPr>
          <w:rFonts w:ascii="Times New Roman" w:hAnsi="Times New Roman"/>
        </w:rPr>
        <w:tab/>
        <w:t>OMB CONTROL NUMBER 3038-0023</w:t>
      </w:r>
    </w:p>
    <w:p w:rsidR="00585718" w:rsidRDefault="00585718"/>
    <w:p w:rsidR="004C1895" w:rsidP="004C1895" w:rsidRDefault="004C1895">
      <w:pPr>
        <w:tabs>
          <w:tab w:val="left" w:pos="-720"/>
        </w:tabs>
        <w:suppressAutoHyphens/>
        <w:rPr>
          <w:rFonts w:ascii="Times New Roman" w:hAnsi="Times New Roman"/>
        </w:rPr>
      </w:pPr>
      <w:r>
        <w:rPr>
          <w:rFonts w:ascii="Times New Roman" w:hAnsi="Times New Roman"/>
          <w:u w:val="single"/>
        </w:rPr>
        <w:t>Justification</w:t>
      </w:r>
    </w:p>
    <w:p w:rsidR="004C1895" w:rsidP="004C1895" w:rsidRDefault="004C1895">
      <w:pPr>
        <w:tabs>
          <w:tab w:val="left" w:pos="-720"/>
        </w:tabs>
        <w:suppressAutoHyphens/>
        <w:rPr>
          <w:rFonts w:ascii="Times New Roman" w:hAnsi="Times New Roman"/>
        </w:rPr>
      </w:pPr>
    </w:p>
    <w:p w:rsidRPr="004C1895" w:rsidR="004C1895" w:rsidP="004C1895" w:rsidRDefault="004C1895">
      <w:pPr>
        <w:pStyle w:val="ListParagraph"/>
        <w:numPr>
          <w:ilvl w:val="0"/>
          <w:numId w:val="1"/>
        </w:numPr>
        <w:tabs>
          <w:tab w:val="left" w:pos="-720"/>
          <w:tab w:val="left" w:pos="0"/>
        </w:tabs>
        <w:suppressAutoHyphens/>
        <w:ind w:hanging="720"/>
        <w:rPr>
          <w:rFonts w:ascii="Times New Roman" w:hAnsi="Times New Roman"/>
        </w:rPr>
      </w:pPr>
      <w:r w:rsidRPr="004C1895">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4C1895">
        <w:rPr>
          <w:rFonts w:ascii="Times New Roman" w:hAnsi="Times New Roman"/>
        </w:rPr>
        <w:t>.</w:t>
      </w:r>
    </w:p>
    <w:p w:rsidRPr="004C1895" w:rsidR="004C1895" w:rsidP="004C1895" w:rsidRDefault="004C1895">
      <w:pPr>
        <w:pStyle w:val="ListParagraph"/>
        <w:tabs>
          <w:tab w:val="left" w:pos="-720"/>
          <w:tab w:val="left" w:pos="0"/>
        </w:tabs>
        <w:suppressAutoHyphens/>
        <w:rPr>
          <w:rFonts w:ascii="Times New Roman" w:hAnsi="Times New Roman"/>
        </w:rPr>
      </w:pPr>
    </w:p>
    <w:p w:rsidR="004C1895" w:rsidP="004C1895" w:rsidRDefault="004C1895">
      <w:pPr>
        <w:ind w:firstLine="720"/>
        <w:rPr>
          <w:color w:val="000000"/>
        </w:rPr>
      </w:pPr>
      <w:r w:rsidRPr="00236E22">
        <w:rPr>
          <w:rFonts w:ascii="Times New Roman" w:hAnsi="Times New Roman"/>
          <w:color w:val="000000"/>
        </w:rPr>
        <w:t>Persons engaging in specified activities involving some or all commodity interests are required pursuant to the Commodity Exchange Act</w:t>
      </w:r>
      <w:r>
        <w:rPr>
          <w:rFonts w:ascii="Times New Roman" w:hAnsi="Times New Roman"/>
          <w:color w:val="000000"/>
        </w:rPr>
        <w:t xml:space="preserve"> (CEA or Act)</w:t>
      </w:r>
      <w:r w:rsidRPr="00236E22">
        <w:rPr>
          <w:rFonts w:ascii="Times New Roman" w:hAnsi="Times New Roman"/>
          <w:color w:val="000000"/>
        </w:rPr>
        <w:t xml:space="preserve"> and/or regulations of the Commodity Futures Trading Commission (Commission) to register with the Commission in certain registration categories.  These include registration as a futures commission merchant, retail foreign exchange dealer, introducing broker,</w:t>
      </w:r>
      <w:r w:rsidRPr="00236E22" w:rsidDel="00FE41CF">
        <w:rPr>
          <w:rFonts w:ascii="Times New Roman" w:hAnsi="Times New Roman"/>
          <w:color w:val="000000"/>
        </w:rPr>
        <w:t xml:space="preserve"> </w:t>
      </w:r>
      <w:r w:rsidRPr="00236E22">
        <w:rPr>
          <w:rFonts w:ascii="Times New Roman" w:hAnsi="Times New Roman"/>
          <w:color w:val="000000"/>
        </w:rPr>
        <w:t>commodity pool operator</w:t>
      </w:r>
      <w:r>
        <w:rPr>
          <w:rFonts w:ascii="Times New Roman" w:hAnsi="Times New Roman"/>
          <w:color w:val="000000"/>
        </w:rPr>
        <w:t xml:space="preserve"> (CPO)</w:t>
      </w:r>
      <w:r w:rsidRPr="00236E22">
        <w:rPr>
          <w:rFonts w:ascii="Times New Roman" w:hAnsi="Times New Roman"/>
          <w:color w:val="000000"/>
        </w:rPr>
        <w:t>, commodity trading advisor</w:t>
      </w:r>
      <w:r>
        <w:rPr>
          <w:rFonts w:ascii="Times New Roman" w:hAnsi="Times New Roman"/>
          <w:color w:val="000000"/>
        </w:rPr>
        <w:t xml:space="preserve"> (CTA)</w:t>
      </w:r>
      <w:r w:rsidRPr="00236E22">
        <w:rPr>
          <w:rFonts w:ascii="Times New Roman" w:hAnsi="Times New Roman"/>
          <w:color w:val="000000"/>
        </w:rPr>
        <w:t>,</w:t>
      </w:r>
      <w:r w:rsidRPr="00236E22" w:rsidDel="00FE41CF">
        <w:rPr>
          <w:rFonts w:ascii="Times New Roman" w:hAnsi="Times New Roman"/>
          <w:color w:val="000000"/>
        </w:rPr>
        <w:t xml:space="preserve"> </w:t>
      </w:r>
      <w:r w:rsidRPr="00236E22">
        <w:rPr>
          <w:rFonts w:ascii="Times New Roman" w:hAnsi="Times New Roman"/>
          <w:color w:val="000000"/>
        </w:rPr>
        <w:t xml:space="preserve">swap dealer, major swap participant, leverage transaction merchant, floor broker, and floor trader.  For definitions of terms used herein, please see </w:t>
      </w:r>
      <w:r w:rsidR="00FF1498">
        <w:rPr>
          <w:rFonts w:ascii="Times New Roman" w:hAnsi="Times New Roman"/>
          <w:color w:val="000000"/>
        </w:rPr>
        <w:t>s</w:t>
      </w:r>
      <w:r w:rsidRPr="00236E22">
        <w:rPr>
          <w:rFonts w:ascii="Times New Roman" w:hAnsi="Times New Roman"/>
          <w:color w:val="000000"/>
        </w:rPr>
        <w:t xml:space="preserve">ection 1a of the CEA and </w:t>
      </w:r>
      <w:r w:rsidR="00FF1498">
        <w:rPr>
          <w:rFonts w:ascii="Times New Roman" w:hAnsi="Times New Roman"/>
          <w:color w:val="000000"/>
        </w:rPr>
        <w:t>p</w:t>
      </w:r>
      <w:r w:rsidRPr="00236E22">
        <w:rPr>
          <w:rFonts w:ascii="Times New Roman" w:hAnsi="Times New Roman"/>
          <w:color w:val="000000"/>
        </w:rPr>
        <w:t>art</w:t>
      </w:r>
      <w:r>
        <w:rPr>
          <w:rFonts w:ascii="Times New Roman" w:hAnsi="Times New Roman"/>
          <w:color w:val="000000"/>
        </w:rPr>
        <w:t>s</w:t>
      </w:r>
      <w:r w:rsidRPr="00236E22">
        <w:rPr>
          <w:rFonts w:ascii="Times New Roman" w:hAnsi="Times New Roman"/>
          <w:color w:val="000000"/>
        </w:rPr>
        <w:t xml:space="preserve"> 1</w:t>
      </w:r>
      <w:r>
        <w:rPr>
          <w:rFonts w:ascii="Times New Roman" w:hAnsi="Times New Roman"/>
          <w:color w:val="000000"/>
        </w:rPr>
        <w:t xml:space="preserve"> and 5</w:t>
      </w:r>
      <w:r w:rsidRPr="00236E22">
        <w:rPr>
          <w:rFonts w:ascii="Times New Roman" w:hAnsi="Times New Roman"/>
          <w:color w:val="000000"/>
        </w:rPr>
        <w:t xml:space="preserve"> of the Commission’s regulations</w:t>
      </w:r>
      <w:r w:rsidR="00FF1498">
        <w:rPr>
          <w:rFonts w:ascii="Times New Roman" w:hAnsi="Times New Roman"/>
          <w:color w:val="000000"/>
        </w:rPr>
        <w:t xml:space="preserve">, </w:t>
      </w:r>
      <w:r w:rsidR="00F83787">
        <w:rPr>
          <w:rFonts w:ascii="Times New Roman" w:hAnsi="Times New Roman"/>
          <w:color w:val="000000"/>
        </w:rPr>
        <w:t xml:space="preserve">all of which are </w:t>
      </w:r>
      <w:r w:rsidR="00FF1498">
        <w:rPr>
          <w:rFonts w:ascii="Times New Roman" w:hAnsi="Times New Roman"/>
          <w:color w:val="000000"/>
        </w:rPr>
        <w:t xml:space="preserve">found </w:t>
      </w:r>
      <w:r w:rsidR="00FF1498">
        <w:rPr>
          <w:rFonts w:ascii="Times New Roman" w:hAnsi="Times New Roman"/>
        </w:rPr>
        <w:t xml:space="preserve">in </w:t>
      </w:r>
      <w:r w:rsidRPr="005E0F6F" w:rsidR="00FF1498">
        <w:rPr>
          <w:rFonts w:ascii="Times New Roman" w:hAnsi="Times New Roman"/>
        </w:rPr>
        <w:t>title 17 of the Code of Federal Regulations</w:t>
      </w:r>
      <w:r w:rsidRPr="00236E22">
        <w:rPr>
          <w:rFonts w:ascii="Times New Roman" w:hAnsi="Times New Roman"/>
          <w:color w:val="000000"/>
        </w:rPr>
        <w:t>.</w:t>
      </w:r>
      <w:r>
        <w:rPr>
          <w:color w:val="000000"/>
        </w:rPr>
        <w:t xml:space="preserve">  </w:t>
      </w:r>
    </w:p>
    <w:p w:rsidR="004C1895" w:rsidP="004C1895" w:rsidRDefault="004C1895">
      <w:pPr>
        <w:ind w:firstLine="720"/>
      </w:pPr>
    </w:p>
    <w:p w:rsidR="004C1895" w:rsidP="004C1895" w:rsidRDefault="004C1895">
      <w:pPr>
        <w:ind w:firstLine="720"/>
        <w:rPr>
          <w:rFonts w:ascii="Times New Roman" w:hAnsi="Times New Roman"/>
        </w:rPr>
      </w:pPr>
      <w:r>
        <w:rPr>
          <w:rFonts w:ascii="Times New Roman" w:hAnsi="Times New Roman"/>
        </w:rPr>
        <w:t xml:space="preserve">The CEA </w:t>
      </w:r>
      <w:r w:rsidRPr="00FC26B2">
        <w:rPr>
          <w:rFonts w:ascii="Times New Roman" w:hAnsi="Times New Roman"/>
        </w:rPr>
        <w:t>empowers the Commission with the authority to deny, revoke, or condition registrati</w:t>
      </w:r>
      <w:r>
        <w:rPr>
          <w:rFonts w:ascii="Times New Roman" w:hAnsi="Times New Roman"/>
        </w:rPr>
        <w:t>on of CPOs</w:t>
      </w:r>
      <w:r w:rsidRPr="00FC26B2">
        <w:rPr>
          <w:rFonts w:ascii="Times New Roman" w:hAnsi="Times New Roman"/>
        </w:rPr>
        <w:t xml:space="preserve"> and </w:t>
      </w:r>
      <w:r>
        <w:rPr>
          <w:rFonts w:ascii="Times New Roman" w:hAnsi="Times New Roman"/>
        </w:rPr>
        <w:t>CTAs</w:t>
      </w:r>
      <w:r w:rsidRPr="00FC26B2">
        <w:rPr>
          <w:rFonts w:ascii="Times New Roman" w:hAnsi="Times New Roman"/>
        </w:rPr>
        <w:t xml:space="preserve"> and to exclude any entity from the definition of CPO</w:t>
      </w:r>
      <w:r w:rsidR="00FF1498">
        <w:rPr>
          <w:rFonts w:ascii="Times New Roman" w:hAnsi="Times New Roman"/>
        </w:rPr>
        <w:t xml:space="preserve"> or CTA</w:t>
      </w:r>
      <w:r w:rsidRPr="00FC26B2">
        <w:rPr>
          <w:rFonts w:ascii="Times New Roman" w:hAnsi="Times New Roman"/>
        </w:rPr>
        <w:t>.  The Commission also has the power to promulgate such regulations as it deems necessary to implement the purposes of the CEA.  It is pursuant to this authority that the Commission promulgated various exemptions from registration as a CPO as well as exclusions from the definition of CPO.  The registration application, which must be updated as necessary, requires information about an applicant’s or registrant’s disciplinary history</w:t>
      </w:r>
      <w:r w:rsidR="004C0494">
        <w:rPr>
          <w:rFonts w:ascii="Times New Roman" w:hAnsi="Times New Roman"/>
        </w:rPr>
        <w:t>,</w:t>
      </w:r>
      <w:r w:rsidRPr="00FC26B2">
        <w:rPr>
          <w:rFonts w:ascii="Times New Roman" w:hAnsi="Times New Roman"/>
        </w:rPr>
        <w:t xml:space="preserve"> so that the person’s fitness for registration may be evaluated.  In addition, basic identifying information is required so that a database will be available to current and prospective customers, the public and news media.</w:t>
      </w:r>
    </w:p>
    <w:p w:rsidR="004C1895" w:rsidP="004C1895" w:rsidRDefault="004C1895">
      <w:pPr>
        <w:ind w:firstLine="720"/>
        <w:rPr>
          <w:rFonts w:ascii="Times New Roman" w:hAnsi="Times New Roman"/>
        </w:rPr>
      </w:pPr>
    </w:p>
    <w:p w:rsidR="004C1895" w:rsidP="004C1895" w:rsidRDefault="004C1895">
      <w:pPr>
        <w:ind w:firstLine="720"/>
        <w:rPr>
          <w:rFonts w:ascii="Times New Roman" w:hAnsi="Times New Roman"/>
        </w:rPr>
      </w:pPr>
      <w:r w:rsidRPr="00FC26B2">
        <w:rPr>
          <w:rFonts w:ascii="Times New Roman" w:hAnsi="Times New Roman"/>
        </w:rPr>
        <w:t xml:space="preserve">Following the passage of </w:t>
      </w:r>
      <w:r>
        <w:rPr>
          <w:rFonts w:ascii="Times New Roman" w:hAnsi="Times New Roman"/>
        </w:rPr>
        <w:t xml:space="preserve">the </w:t>
      </w:r>
      <w:r w:rsidRPr="00FC26B2">
        <w:rPr>
          <w:rFonts w:ascii="Times New Roman" w:hAnsi="Times New Roman"/>
        </w:rPr>
        <w:t>Dodd-Frank</w:t>
      </w:r>
      <w:r>
        <w:rPr>
          <w:rFonts w:ascii="Times New Roman" w:hAnsi="Times New Roman"/>
        </w:rPr>
        <w:t xml:space="preserve"> Wall Street Reform and Consumer Protection Act (Dodd-Frank) in 2010</w:t>
      </w:r>
      <w:r w:rsidRPr="00FC26B2">
        <w:rPr>
          <w:rFonts w:ascii="Times New Roman" w:hAnsi="Times New Roman"/>
        </w:rPr>
        <w:t xml:space="preserve">, and consistent with its tenor, the Commission reconsidered the level of regulation that it believed appropriate with respect to entities participating in the commodity </w:t>
      </w:r>
      <w:r w:rsidR="004C0494">
        <w:rPr>
          <w:rFonts w:ascii="Times New Roman" w:hAnsi="Times New Roman"/>
        </w:rPr>
        <w:t>interest</w:t>
      </w:r>
      <w:r w:rsidRPr="00FC26B2">
        <w:rPr>
          <w:rFonts w:ascii="Times New Roman" w:hAnsi="Times New Roman"/>
        </w:rPr>
        <w:t xml:space="preserve"> markets.  The Commission believed it necessary to rescind or modify several of its </w:t>
      </w:r>
      <w:r w:rsidR="004C0494">
        <w:rPr>
          <w:rFonts w:ascii="Times New Roman" w:hAnsi="Times New Roman"/>
        </w:rPr>
        <w:t xml:space="preserve">registration </w:t>
      </w:r>
      <w:r w:rsidRPr="00FC26B2">
        <w:rPr>
          <w:rFonts w:ascii="Times New Roman" w:hAnsi="Times New Roman"/>
        </w:rPr>
        <w:t xml:space="preserve">exemptions and </w:t>
      </w:r>
      <w:r w:rsidR="004C0494">
        <w:rPr>
          <w:rFonts w:ascii="Times New Roman" w:hAnsi="Times New Roman"/>
        </w:rPr>
        <w:t xml:space="preserve">definitional </w:t>
      </w:r>
      <w:r w:rsidRPr="00FC26B2">
        <w:rPr>
          <w:rFonts w:ascii="Times New Roman" w:hAnsi="Times New Roman"/>
        </w:rPr>
        <w:t xml:space="preserve">exclusions </w:t>
      </w:r>
      <w:r w:rsidR="004C0494">
        <w:rPr>
          <w:rFonts w:ascii="Times New Roman" w:hAnsi="Times New Roman"/>
        </w:rPr>
        <w:t>with an aim</w:t>
      </w:r>
      <w:r w:rsidRPr="00FC26B2">
        <w:rPr>
          <w:rFonts w:ascii="Times New Roman" w:hAnsi="Times New Roman"/>
        </w:rPr>
        <w:t xml:space="preserve"> to more effectively oversee its market participants and manage the risks that such participants pose to the markets</w:t>
      </w:r>
      <w:r w:rsidR="004C0494">
        <w:rPr>
          <w:rFonts w:ascii="Times New Roman" w:hAnsi="Times New Roman"/>
        </w:rPr>
        <w:t xml:space="preserve"> the Commission regulates</w:t>
      </w:r>
      <w:r w:rsidRPr="00FC26B2">
        <w:rPr>
          <w:rFonts w:ascii="Times New Roman" w:hAnsi="Times New Roman"/>
        </w:rPr>
        <w:t xml:space="preserve">.  </w:t>
      </w:r>
      <w:r>
        <w:rPr>
          <w:rFonts w:ascii="Times New Roman" w:hAnsi="Times New Roman"/>
        </w:rPr>
        <w:t xml:space="preserve">After several years of becoming more familiar with the various types of entities that were </w:t>
      </w:r>
      <w:r w:rsidR="004C0494">
        <w:rPr>
          <w:rFonts w:ascii="Times New Roman" w:hAnsi="Times New Roman"/>
        </w:rPr>
        <w:t xml:space="preserve">initially </w:t>
      </w:r>
      <w:r>
        <w:rPr>
          <w:rFonts w:ascii="Times New Roman" w:hAnsi="Times New Roman"/>
        </w:rPr>
        <w:t xml:space="preserve">captured within the Commission’s jurisdiction post-Dodd-Frank and </w:t>
      </w:r>
      <w:r w:rsidR="004C0494">
        <w:rPr>
          <w:rFonts w:ascii="Times New Roman" w:hAnsi="Times New Roman"/>
        </w:rPr>
        <w:t xml:space="preserve">adjusting to </w:t>
      </w:r>
      <w:r>
        <w:rPr>
          <w:rFonts w:ascii="Times New Roman" w:hAnsi="Times New Roman"/>
        </w:rPr>
        <w:t xml:space="preserve">the subsequent regulatory changes, the Commission has determined to </w:t>
      </w:r>
      <w:r w:rsidR="00597B68">
        <w:rPr>
          <w:rFonts w:ascii="Times New Roman" w:hAnsi="Times New Roman"/>
        </w:rPr>
        <w:t>adopt</w:t>
      </w:r>
      <w:r>
        <w:rPr>
          <w:rFonts w:ascii="Times New Roman" w:hAnsi="Times New Roman"/>
        </w:rPr>
        <w:t xml:space="preserve"> </w:t>
      </w:r>
      <w:r w:rsidR="004C0494">
        <w:rPr>
          <w:rFonts w:ascii="Times New Roman" w:hAnsi="Times New Roman"/>
        </w:rPr>
        <w:t xml:space="preserve">via </w:t>
      </w:r>
      <w:r w:rsidR="00597B68">
        <w:rPr>
          <w:rFonts w:ascii="Times New Roman" w:hAnsi="Times New Roman"/>
        </w:rPr>
        <w:t xml:space="preserve">final </w:t>
      </w:r>
      <w:r w:rsidR="004C0494">
        <w:rPr>
          <w:rFonts w:ascii="Times New Roman" w:hAnsi="Times New Roman"/>
        </w:rPr>
        <w:t xml:space="preserve">rulemaking </w:t>
      </w:r>
      <w:r w:rsidR="00597B68">
        <w:rPr>
          <w:rFonts w:ascii="Times New Roman" w:hAnsi="Times New Roman"/>
        </w:rPr>
        <w:t>two</w:t>
      </w:r>
      <w:r>
        <w:rPr>
          <w:rFonts w:ascii="Times New Roman" w:hAnsi="Times New Roman"/>
        </w:rPr>
        <w:t xml:space="preserve"> new exemptions and </w:t>
      </w:r>
      <w:r w:rsidR="004C0494">
        <w:rPr>
          <w:rFonts w:ascii="Times New Roman" w:hAnsi="Times New Roman"/>
        </w:rPr>
        <w:t xml:space="preserve">an </w:t>
      </w:r>
      <w:r>
        <w:rPr>
          <w:rFonts w:ascii="Times New Roman" w:hAnsi="Times New Roman"/>
        </w:rPr>
        <w:t xml:space="preserve">exclusion </w:t>
      </w:r>
      <w:r w:rsidR="004C0494">
        <w:rPr>
          <w:rFonts w:ascii="Times New Roman" w:hAnsi="Times New Roman"/>
        </w:rPr>
        <w:t xml:space="preserve">that generally would provide relief </w:t>
      </w:r>
      <w:r>
        <w:rPr>
          <w:rFonts w:ascii="Times New Roman" w:hAnsi="Times New Roman"/>
        </w:rPr>
        <w:t>from CPO and</w:t>
      </w:r>
      <w:r w:rsidR="004C0494">
        <w:rPr>
          <w:rFonts w:ascii="Times New Roman" w:hAnsi="Times New Roman"/>
        </w:rPr>
        <w:t>/or</w:t>
      </w:r>
      <w:r>
        <w:rPr>
          <w:rFonts w:ascii="Times New Roman" w:hAnsi="Times New Roman"/>
        </w:rPr>
        <w:t xml:space="preserve"> CTA registration and compliance.  </w:t>
      </w:r>
      <w:r w:rsidRPr="00FC26B2">
        <w:rPr>
          <w:rFonts w:ascii="Times New Roman" w:hAnsi="Times New Roman"/>
        </w:rPr>
        <w:t xml:space="preserve">Accordingly, the Commission </w:t>
      </w:r>
      <w:r>
        <w:rPr>
          <w:rFonts w:ascii="Times New Roman" w:hAnsi="Times New Roman"/>
        </w:rPr>
        <w:t>is amend</w:t>
      </w:r>
      <w:r w:rsidR="00597B68">
        <w:rPr>
          <w:rFonts w:ascii="Times New Roman" w:hAnsi="Times New Roman"/>
        </w:rPr>
        <w:t>ing</w:t>
      </w:r>
      <w:r w:rsidRPr="00FC26B2">
        <w:rPr>
          <w:rFonts w:ascii="Times New Roman" w:hAnsi="Times New Roman"/>
        </w:rPr>
        <w:t xml:space="preserve"> this </w:t>
      </w:r>
      <w:r w:rsidR="00597B68">
        <w:rPr>
          <w:rFonts w:ascii="Times New Roman" w:hAnsi="Times New Roman"/>
        </w:rPr>
        <w:t xml:space="preserve">information </w:t>
      </w:r>
      <w:r w:rsidRPr="00FC26B2">
        <w:rPr>
          <w:rFonts w:ascii="Times New Roman" w:hAnsi="Times New Roman"/>
        </w:rPr>
        <w:t xml:space="preserve">collection to reflect </w:t>
      </w:r>
      <w:proofErr w:type="gramStart"/>
      <w:r w:rsidRPr="00FC26B2" w:rsidR="005E254C">
        <w:rPr>
          <w:rFonts w:ascii="Times New Roman" w:hAnsi="Times New Roman"/>
        </w:rPr>
        <w:t>the</w:t>
      </w:r>
      <w:r w:rsidR="005E254C">
        <w:rPr>
          <w:rFonts w:ascii="Times New Roman" w:hAnsi="Times New Roman"/>
        </w:rPr>
        <w:t xml:space="preserve"> d</w:t>
      </w:r>
      <w:r w:rsidRPr="00FC26B2" w:rsidR="005E254C">
        <w:rPr>
          <w:rFonts w:ascii="Times New Roman" w:hAnsi="Times New Roman"/>
        </w:rPr>
        <w:t>eregistration</w:t>
      </w:r>
      <w:proofErr w:type="gramEnd"/>
      <w:r w:rsidRPr="00FC26B2">
        <w:rPr>
          <w:rFonts w:ascii="Times New Roman" w:hAnsi="Times New Roman"/>
        </w:rPr>
        <w:t xml:space="preserve"> of entities </w:t>
      </w:r>
      <w:r w:rsidR="00597B68">
        <w:rPr>
          <w:rFonts w:ascii="Times New Roman" w:hAnsi="Times New Roman"/>
        </w:rPr>
        <w:t>eligible for this new relief, who</w:t>
      </w:r>
      <w:r w:rsidRPr="00FC26B2">
        <w:rPr>
          <w:rFonts w:ascii="Times New Roman" w:hAnsi="Times New Roman"/>
        </w:rPr>
        <w:t xml:space="preserve"> were previously </w:t>
      </w:r>
      <w:r>
        <w:rPr>
          <w:rFonts w:ascii="Times New Roman" w:hAnsi="Times New Roman"/>
        </w:rPr>
        <w:t xml:space="preserve">subject to registration as </w:t>
      </w:r>
      <w:r w:rsidRPr="00FC26B2">
        <w:rPr>
          <w:rFonts w:ascii="Times New Roman" w:hAnsi="Times New Roman"/>
        </w:rPr>
        <w:t>CPO</w:t>
      </w:r>
      <w:r>
        <w:rPr>
          <w:rFonts w:ascii="Times New Roman" w:hAnsi="Times New Roman"/>
        </w:rPr>
        <w:t>s and/or CTAs</w:t>
      </w:r>
      <w:r w:rsidRPr="00FC26B2">
        <w:rPr>
          <w:rFonts w:ascii="Times New Roman" w:hAnsi="Times New Roman"/>
        </w:rPr>
        <w:t xml:space="preserve"> under the </w:t>
      </w:r>
      <w:r w:rsidR="006B1C5F">
        <w:rPr>
          <w:rFonts w:ascii="Times New Roman" w:hAnsi="Times New Roman"/>
        </w:rPr>
        <w:t xml:space="preserve">CEA and the </w:t>
      </w:r>
      <w:r w:rsidRPr="00FC26B2">
        <w:rPr>
          <w:rFonts w:ascii="Times New Roman" w:hAnsi="Times New Roman"/>
        </w:rPr>
        <w:t xml:space="preserve">Commission’s regulations.  </w:t>
      </w:r>
      <w:r w:rsidR="00597B68">
        <w:rPr>
          <w:rFonts w:ascii="Times New Roman" w:hAnsi="Times New Roman"/>
        </w:rPr>
        <w:t xml:space="preserve">The Commission also proposed an exemption for CPOs operating offshore commodity pools and to prohibit statutory disqualifications in most exempt CPOs, </w:t>
      </w:r>
      <w:r w:rsidR="00597B68">
        <w:rPr>
          <w:rFonts w:ascii="Times New Roman" w:hAnsi="Times New Roman"/>
        </w:rPr>
        <w:lastRenderedPageBreak/>
        <w:t>including their principals.  Based on the public comments received, the Commission believes these aspects of the proposal require additional consideration before being finalized.  Nevertheless, t</w:t>
      </w:r>
      <w:r w:rsidRPr="00FC26B2">
        <w:rPr>
          <w:rFonts w:ascii="Times New Roman" w:hAnsi="Times New Roman"/>
        </w:rPr>
        <w:t>he expected burdens for regist</w:t>
      </w:r>
      <w:r w:rsidR="00597B68">
        <w:rPr>
          <w:rFonts w:ascii="Times New Roman" w:hAnsi="Times New Roman"/>
        </w:rPr>
        <w:t>ration</w:t>
      </w:r>
      <w:r w:rsidRPr="00FC26B2">
        <w:rPr>
          <w:rFonts w:ascii="Times New Roman" w:hAnsi="Times New Roman"/>
        </w:rPr>
        <w:t xml:space="preserve"> </w:t>
      </w:r>
      <w:r w:rsidR="00597B68">
        <w:rPr>
          <w:rFonts w:ascii="Times New Roman" w:hAnsi="Times New Roman"/>
        </w:rPr>
        <w:t xml:space="preserve">generally </w:t>
      </w:r>
      <w:r w:rsidRPr="00FC26B2">
        <w:rPr>
          <w:rFonts w:ascii="Times New Roman" w:hAnsi="Times New Roman"/>
        </w:rPr>
        <w:t xml:space="preserve">have not changed under this collection, or its current </w:t>
      </w:r>
      <w:r w:rsidR="004A27E9">
        <w:rPr>
          <w:rFonts w:ascii="Times New Roman" w:hAnsi="Times New Roman"/>
        </w:rPr>
        <w:t>revision</w:t>
      </w:r>
      <w:r w:rsidR="00530AB4">
        <w:rPr>
          <w:rFonts w:ascii="Times New Roman" w:hAnsi="Times New Roman"/>
        </w:rPr>
        <w:t>.</w:t>
      </w:r>
      <w:r w:rsidR="006B1C5F">
        <w:rPr>
          <w:rFonts w:ascii="Times New Roman" w:hAnsi="Times New Roman"/>
        </w:rPr>
        <w:t xml:space="preserve">  </w:t>
      </w:r>
      <w:r w:rsidR="00530AB4">
        <w:rPr>
          <w:rFonts w:ascii="Times New Roman" w:hAnsi="Times New Roman"/>
        </w:rPr>
        <w:t>T</w:t>
      </w:r>
      <w:r w:rsidR="006B1C5F">
        <w:rPr>
          <w:rFonts w:ascii="Times New Roman" w:hAnsi="Times New Roman"/>
        </w:rPr>
        <w:t xml:space="preserve">he Commission </w:t>
      </w:r>
      <w:r w:rsidR="00597B68">
        <w:rPr>
          <w:rFonts w:ascii="Times New Roman" w:hAnsi="Times New Roman"/>
        </w:rPr>
        <w:t xml:space="preserve">continues to </w:t>
      </w:r>
      <w:r w:rsidR="006B1C5F">
        <w:rPr>
          <w:rFonts w:ascii="Times New Roman" w:hAnsi="Times New Roman"/>
        </w:rPr>
        <w:t>project a de</w:t>
      </w:r>
      <w:r w:rsidRPr="00FC26B2">
        <w:rPr>
          <w:rFonts w:ascii="Times New Roman" w:hAnsi="Times New Roman"/>
        </w:rPr>
        <w:t xml:space="preserve">crease in the number of registrants consistent with </w:t>
      </w:r>
      <w:r w:rsidR="00530AB4">
        <w:rPr>
          <w:rFonts w:ascii="Times New Roman" w:hAnsi="Times New Roman"/>
        </w:rPr>
        <w:t>the exclusion and exemptions adopted</w:t>
      </w:r>
      <w:r w:rsidRPr="00FC26B2">
        <w:rPr>
          <w:rFonts w:ascii="Times New Roman" w:hAnsi="Times New Roman"/>
        </w:rPr>
        <w:t xml:space="preserve"> in </w:t>
      </w:r>
      <w:r w:rsidR="006B1C5F">
        <w:rPr>
          <w:rFonts w:ascii="Times New Roman" w:hAnsi="Times New Roman"/>
        </w:rPr>
        <w:t xml:space="preserve">this </w:t>
      </w:r>
      <w:r w:rsidR="00597B68">
        <w:rPr>
          <w:rFonts w:ascii="Times New Roman" w:hAnsi="Times New Roman"/>
        </w:rPr>
        <w:t>final</w:t>
      </w:r>
      <w:r w:rsidRPr="00FC26B2" w:rsidR="00597B68">
        <w:rPr>
          <w:rFonts w:ascii="Times New Roman" w:hAnsi="Times New Roman"/>
        </w:rPr>
        <w:t xml:space="preserve"> </w:t>
      </w:r>
      <w:r w:rsidRPr="00FC26B2">
        <w:rPr>
          <w:rFonts w:ascii="Times New Roman" w:hAnsi="Times New Roman"/>
        </w:rPr>
        <w:t xml:space="preserve">rule, and therefore, </w:t>
      </w:r>
      <w:r w:rsidR="006B1C5F">
        <w:rPr>
          <w:rFonts w:ascii="Times New Roman" w:hAnsi="Times New Roman"/>
        </w:rPr>
        <w:t>decrease</w:t>
      </w:r>
      <w:r w:rsidR="00C23B42">
        <w:rPr>
          <w:rFonts w:ascii="Times New Roman" w:hAnsi="Times New Roman"/>
        </w:rPr>
        <w:t>s</w:t>
      </w:r>
      <w:r w:rsidR="006B1C5F">
        <w:rPr>
          <w:rFonts w:ascii="Times New Roman" w:hAnsi="Times New Roman"/>
        </w:rPr>
        <w:t xml:space="preserve"> </w:t>
      </w:r>
      <w:r w:rsidRPr="00FC26B2">
        <w:rPr>
          <w:rFonts w:ascii="Times New Roman" w:hAnsi="Times New Roman"/>
        </w:rPr>
        <w:t xml:space="preserve">in the </w:t>
      </w:r>
      <w:r w:rsidR="00C23B42">
        <w:rPr>
          <w:rFonts w:ascii="Times New Roman" w:hAnsi="Times New Roman"/>
        </w:rPr>
        <w:t xml:space="preserve">respondents, responses, and </w:t>
      </w:r>
      <w:r w:rsidRPr="00FC26B2">
        <w:rPr>
          <w:rFonts w:ascii="Times New Roman" w:hAnsi="Times New Roman"/>
        </w:rPr>
        <w:t>overall burden</w:t>
      </w:r>
      <w:r w:rsidR="00C23B42">
        <w:rPr>
          <w:rFonts w:ascii="Times New Roman" w:hAnsi="Times New Roman"/>
        </w:rPr>
        <w:t xml:space="preserve"> of this collection</w:t>
      </w:r>
      <w:r w:rsidRPr="00FC26B2">
        <w:rPr>
          <w:rFonts w:ascii="Times New Roman" w:hAnsi="Times New Roman"/>
        </w:rPr>
        <w:t>.</w:t>
      </w:r>
      <w:r w:rsidR="00597B68">
        <w:rPr>
          <w:rFonts w:ascii="Times New Roman" w:hAnsi="Times New Roman"/>
        </w:rPr>
        <w:t xml:space="preserve">  </w:t>
      </w:r>
    </w:p>
    <w:p w:rsidR="006B1C5F" w:rsidP="004C1895" w:rsidRDefault="006B1C5F">
      <w:pPr>
        <w:ind w:firstLine="720"/>
        <w:rPr>
          <w:rFonts w:ascii="Times New Roman" w:hAnsi="Times New Roman"/>
        </w:rPr>
      </w:pPr>
    </w:p>
    <w:p w:rsidRPr="003E1569" w:rsidR="006B1C5F" w:rsidP="006B1C5F" w:rsidRDefault="006B1C5F">
      <w:pPr>
        <w:tabs>
          <w:tab w:val="left" w:pos="-720"/>
        </w:tabs>
        <w:spacing w:after="240"/>
        <w:rPr>
          <w:rFonts w:ascii="Times New Roman" w:hAnsi="Times New Roman"/>
          <w:b/>
        </w:rPr>
      </w:pPr>
      <w:r w:rsidRPr="003E1569">
        <w:rPr>
          <w:rFonts w:ascii="Times New Roman" w:hAnsi="Times New Roman"/>
          <w:b/>
        </w:rPr>
        <w:t>2.</w:t>
      </w:r>
      <w:r w:rsidRPr="003E1569">
        <w:rPr>
          <w:rFonts w:ascii="Times New Roman" w:hAnsi="Times New Roman"/>
          <w:b/>
        </w:rPr>
        <w:tab/>
        <w:t>Indicate how, by who</w:t>
      </w:r>
      <w:r>
        <w:rPr>
          <w:rFonts w:ascii="Times New Roman" w:hAnsi="Times New Roman"/>
          <w:b/>
        </w:rPr>
        <w:t>m, and for what purpose the data</w:t>
      </w:r>
      <w:r w:rsidRPr="003E1569">
        <w:rPr>
          <w:rFonts w:ascii="Times New Roman" w:hAnsi="Times New Roman"/>
          <w:b/>
        </w:rPr>
        <w:t xml:space="preserve"> would be used.  Except for a new collection, indicate the actual use the agency has made of the information received from the current collection.</w:t>
      </w:r>
    </w:p>
    <w:p w:rsidR="00697F17" w:rsidP="00697F17" w:rsidRDefault="00697F17">
      <w:pPr>
        <w:suppressAutoHyphens/>
        <w:ind w:firstLine="720"/>
        <w:rPr>
          <w:rFonts w:ascii="Times New Roman" w:hAnsi="Times New Roman"/>
        </w:rPr>
      </w:pPr>
      <w:r>
        <w:rPr>
          <w:rFonts w:ascii="Times New Roman" w:hAnsi="Times New Roman"/>
        </w:rPr>
        <w:t>The information on registration applications is used to determine fitness for registration under the Act.  This determination is normally made, in the first instance, by the National Futures Association (NFA), an industry-funded self-regulatory organization registered as a futures association under the Act that the Commission has authorized to perform registration functions.  The information on registration applications is used to develop the NFA database known as BASIC (Background Affiliation Status Information Center), which is Internet-accessible and consulted frequently by customers, prospective customers, the general public and the news media to review data provided by applicants and registrants and to compare it to information provided by entities making solicitations.  Notices filed to claim relief from registration, whether through exemption or exclusion, are used to assess the continued propriety of maintaining the applicable provision as is, or whether amendments are necessary to effectuate the Commission’s obligations under the CEA.</w:t>
      </w:r>
      <w:r w:rsidR="00DA1263">
        <w:rPr>
          <w:rStyle w:val="FootnoteReference"/>
          <w:rFonts w:ascii="Times New Roman" w:hAnsi="Times New Roman"/>
        </w:rPr>
        <w:footnoteReference w:id="1"/>
      </w:r>
      <w:r w:rsidR="002A0EAB">
        <w:rPr>
          <w:rFonts w:ascii="Times New Roman" w:hAnsi="Times New Roman"/>
        </w:rPr>
        <w:t xml:space="preserve">  </w:t>
      </w:r>
    </w:p>
    <w:p w:rsidRPr="00B21457" w:rsidR="006B1C5F" w:rsidP="004C1895" w:rsidRDefault="006B1C5F">
      <w:pPr>
        <w:ind w:firstLine="720"/>
        <w:rPr>
          <w:rFonts w:ascii="Times New Roman" w:hAnsi="Times New Roman"/>
        </w:rPr>
      </w:pPr>
    </w:p>
    <w:p w:rsidRPr="003E1569" w:rsidR="00697F17" w:rsidP="00697F17" w:rsidRDefault="00697F17">
      <w:pPr>
        <w:keepNext/>
        <w:tabs>
          <w:tab w:val="left" w:pos="-720"/>
          <w:tab w:val="left" w:pos="0"/>
        </w:tabs>
        <w:spacing w:after="240"/>
        <w:rPr>
          <w:rFonts w:ascii="Times New Roman" w:hAnsi="Times New Roman"/>
          <w:b/>
        </w:rPr>
      </w:pPr>
      <w:r>
        <w:rPr>
          <w:rFonts w:ascii="Times New Roman" w:hAnsi="Times New Roman"/>
          <w:b/>
        </w:rPr>
        <w:t>3</w:t>
      </w:r>
      <w:r w:rsidRPr="003E1569">
        <w:rPr>
          <w:rFonts w:ascii="Times New Roman" w:hAnsi="Times New Roman"/>
          <w:b/>
        </w:rPr>
        <w:t>.</w:t>
      </w:r>
      <w:r w:rsidRPr="003E156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97F17" w:rsidP="00697F17" w:rsidRDefault="00697F17">
      <w:pPr>
        <w:tabs>
          <w:tab w:val="left" w:pos="-720"/>
          <w:tab w:val="left" w:pos="0"/>
        </w:tabs>
        <w:spacing w:after="240"/>
        <w:rPr>
          <w:rFonts w:ascii="Times New Roman" w:hAnsi="Times New Roman"/>
        </w:rPr>
      </w:pPr>
      <w:r>
        <w:rPr>
          <w:rFonts w:ascii="Times New Roman" w:hAnsi="Times New Roman"/>
        </w:rPr>
        <w:tab/>
      </w:r>
      <w:r w:rsidRPr="00E55417">
        <w:rPr>
          <w:rFonts w:ascii="Times New Roman" w:hAnsi="Times New Roman"/>
        </w:rPr>
        <w:t xml:space="preserve">The information is collected electronically to the extent possible.  Certain data, such as fingerprint cards, are generally provided by paper, although submission of fingerprints digitally has begun.  </w:t>
      </w:r>
      <w:r>
        <w:rPr>
          <w:rFonts w:ascii="Times New Roman" w:hAnsi="Times New Roman"/>
        </w:rPr>
        <w:t>The Commission anticipates that nearly 100% of the collection of information will b</w:t>
      </w:r>
      <w:r w:rsidR="002A0EAB">
        <w:rPr>
          <w:rFonts w:ascii="Times New Roman" w:hAnsi="Times New Roman"/>
        </w:rPr>
        <w:t>e</w:t>
      </w:r>
      <w:r>
        <w:rPr>
          <w:rFonts w:ascii="Times New Roman" w:hAnsi="Times New Roman"/>
        </w:rPr>
        <w:t xml:space="preserve"> submitted electronically in the future.</w:t>
      </w:r>
      <w:r w:rsidR="002A0EAB">
        <w:rPr>
          <w:rFonts w:ascii="Times New Roman" w:hAnsi="Times New Roman"/>
        </w:rPr>
        <w:t xml:space="preserve">  </w:t>
      </w:r>
    </w:p>
    <w:p w:rsidR="00697F17" w:rsidP="00697F17" w:rsidRDefault="00697F17">
      <w:pPr>
        <w:tabs>
          <w:tab w:val="left" w:pos="-720"/>
          <w:tab w:val="left" w:pos="0"/>
        </w:tabs>
        <w:spacing w:after="240"/>
        <w:rPr>
          <w:rFonts w:ascii="Times New Roman" w:hAnsi="Times New Roman"/>
        </w:rPr>
      </w:pPr>
      <w:r w:rsidRPr="0019376E">
        <w:rPr>
          <w:rFonts w:ascii="Times New Roman" w:hAnsi="Times New Roman"/>
          <w:b/>
        </w:rPr>
        <w:t>4.</w:t>
      </w:r>
      <w:r w:rsidRPr="0019376E">
        <w:rPr>
          <w:rFonts w:ascii="Times New Roman" w:hAnsi="Times New Roman"/>
          <w:b/>
        </w:rPr>
        <w:tab/>
        <w:t>Describe efforts to identify duplication.  Show specifically why any similar information already available cannot be used or modified for use for the purposes described in Item 2 above.</w:t>
      </w:r>
      <w:r w:rsidRPr="003E1569">
        <w:rPr>
          <w:rFonts w:ascii="Times New Roman" w:hAnsi="Times New Roman"/>
        </w:rPr>
        <w:tab/>
      </w:r>
    </w:p>
    <w:p w:rsidR="00697F17" w:rsidP="00697F17" w:rsidRDefault="00697F17">
      <w:pPr>
        <w:tabs>
          <w:tab w:val="left" w:pos="-720"/>
        </w:tabs>
        <w:spacing w:after="240"/>
        <w:ind w:firstLine="720"/>
        <w:jc w:val="both"/>
        <w:rPr>
          <w:rFonts w:ascii="Times New Roman" w:hAnsi="Times New Roman"/>
        </w:rPr>
      </w:pPr>
      <w:r w:rsidRPr="00E55417">
        <w:rPr>
          <w:rFonts w:ascii="Times New Roman" w:hAnsi="Times New Roman"/>
        </w:rPr>
        <w:t>Information of the type required to be collected as part of the registration process is not otherwise collected by the Commission</w:t>
      </w:r>
      <w:r w:rsidR="004B6178">
        <w:rPr>
          <w:rFonts w:ascii="Times New Roman" w:hAnsi="Times New Roman"/>
        </w:rPr>
        <w:t xml:space="preserve"> or other agency</w:t>
      </w:r>
      <w:r w:rsidRPr="00E55417">
        <w:rPr>
          <w:rFonts w:ascii="Times New Roman" w:hAnsi="Times New Roman"/>
        </w:rPr>
        <w:t>.  If an applicant concurrently or recently (within the preceding 90 days) submits a fingerprint card to another federal agency (</w:t>
      </w:r>
      <w:r w:rsidR="005948A0">
        <w:rPr>
          <w:rFonts w:ascii="Times New Roman" w:hAnsi="Times New Roman"/>
          <w:i/>
        </w:rPr>
        <w:t>e.g.</w:t>
      </w:r>
      <w:r w:rsidR="005948A0">
        <w:rPr>
          <w:rFonts w:ascii="Times New Roman" w:hAnsi="Times New Roman"/>
        </w:rPr>
        <w:t xml:space="preserve">, </w:t>
      </w:r>
      <w:r w:rsidRPr="00E55417">
        <w:rPr>
          <w:rFonts w:ascii="Times New Roman" w:hAnsi="Times New Roman"/>
        </w:rPr>
        <w:t>the S</w:t>
      </w:r>
      <w:r w:rsidR="005948A0">
        <w:rPr>
          <w:rFonts w:ascii="Times New Roman" w:hAnsi="Times New Roman"/>
        </w:rPr>
        <w:t xml:space="preserve">ecurities and </w:t>
      </w:r>
      <w:r w:rsidRPr="00E55417">
        <w:rPr>
          <w:rFonts w:ascii="Times New Roman" w:hAnsi="Times New Roman"/>
        </w:rPr>
        <w:t>E</w:t>
      </w:r>
      <w:r w:rsidR="005948A0">
        <w:rPr>
          <w:rFonts w:ascii="Times New Roman" w:hAnsi="Times New Roman"/>
        </w:rPr>
        <w:t xml:space="preserve">xchange </w:t>
      </w:r>
      <w:r w:rsidRPr="00E55417">
        <w:rPr>
          <w:rFonts w:ascii="Times New Roman" w:hAnsi="Times New Roman"/>
        </w:rPr>
        <w:t>C</w:t>
      </w:r>
      <w:r w:rsidR="005948A0">
        <w:rPr>
          <w:rFonts w:ascii="Times New Roman" w:hAnsi="Times New Roman"/>
        </w:rPr>
        <w:t>ommission</w:t>
      </w:r>
      <w:r w:rsidRPr="00E55417">
        <w:rPr>
          <w:rFonts w:ascii="Times New Roman" w:hAnsi="Times New Roman"/>
        </w:rPr>
        <w:t>), another set of fingerprints is not required.</w:t>
      </w:r>
    </w:p>
    <w:p w:rsidRPr="0019376E" w:rsidR="00697F17" w:rsidP="00697F17" w:rsidRDefault="00697F17">
      <w:pPr>
        <w:tabs>
          <w:tab w:val="left" w:pos="-720"/>
          <w:tab w:val="left" w:pos="0"/>
        </w:tabs>
        <w:spacing w:after="240"/>
        <w:rPr>
          <w:rFonts w:ascii="Times New Roman" w:hAnsi="Times New Roman"/>
          <w:b/>
        </w:rPr>
      </w:pPr>
      <w:r w:rsidRPr="0019376E">
        <w:rPr>
          <w:rFonts w:ascii="Times New Roman" w:hAnsi="Times New Roman"/>
          <w:b/>
        </w:rPr>
        <w:lastRenderedPageBreak/>
        <w:t>5.</w:t>
      </w:r>
      <w:r w:rsidRPr="0019376E">
        <w:rPr>
          <w:rFonts w:ascii="Times New Roman" w:hAnsi="Times New Roman"/>
          <w:b/>
        </w:rPr>
        <w:tab/>
        <w:t>If the collection of information involves small business or other small entities (Item 5 of OMB From 83-I), describe the methods used to minimize burden.</w:t>
      </w:r>
    </w:p>
    <w:p w:rsidRPr="004B6178" w:rsidR="004B6178" w:rsidP="004B6178" w:rsidRDefault="00697F17">
      <w:pPr>
        <w:tabs>
          <w:tab w:val="left" w:pos="-720"/>
        </w:tabs>
        <w:spacing w:after="240"/>
        <w:rPr>
          <w:rFonts w:ascii="Times New Roman" w:hAnsi="Times New Roman"/>
        </w:rPr>
      </w:pPr>
      <w:r>
        <w:rPr>
          <w:rFonts w:ascii="Times New Roman" w:hAnsi="Times New Roman"/>
        </w:rPr>
        <w:tab/>
      </w:r>
      <w:r w:rsidRPr="00E50A40">
        <w:rPr>
          <w:rFonts w:ascii="Times New Roman" w:hAnsi="Times New Roman"/>
        </w:rPr>
        <w:t>Information required by the registration process is essentially limited to statutorily mandated information or basic identifying data.</w:t>
      </w:r>
      <w:r>
        <w:rPr>
          <w:rFonts w:ascii="Times New Roman" w:hAnsi="Times New Roman"/>
        </w:rPr>
        <w:t xml:space="preserve">  </w:t>
      </w:r>
      <w:r w:rsidR="004B6178">
        <w:rPr>
          <w:rFonts w:ascii="Times New Roman" w:hAnsi="Times New Roman"/>
        </w:rPr>
        <w:t>Furthermore, w</w:t>
      </w:r>
      <w:r w:rsidRPr="004B6178" w:rsidR="004B6178">
        <w:rPr>
          <w:rFonts w:ascii="Times New Roman" w:hAnsi="Times New Roman"/>
        </w:rPr>
        <w:t>ith respect to CPOs exempt from registration, the Commission has previously determined that a CPO is a small entity if it meets the criteria for exemption from registration under current Regulation 4.13(a</w:t>
      </w:r>
      <w:proofErr w:type="gramStart"/>
      <w:r w:rsidRPr="004B6178" w:rsidR="004B6178">
        <w:rPr>
          <w:rFonts w:ascii="Times New Roman" w:hAnsi="Times New Roman"/>
        </w:rPr>
        <w:t>)(</w:t>
      </w:r>
      <w:proofErr w:type="gramEnd"/>
      <w:r w:rsidRPr="004B6178" w:rsidR="004B6178">
        <w:rPr>
          <w:rFonts w:ascii="Times New Roman" w:hAnsi="Times New Roman"/>
        </w:rPr>
        <w:t xml:space="preserve">2).  </w:t>
      </w:r>
      <w:r w:rsidR="004B6178">
        <w:rPr>
          <w:rFonts w:ascii="Times New Roman" w:hAnsi="Times New Roman"/>
        </w:rPr>
        <w:t>S</w:t>
      </w:r>
      <w:r w:rsidRPr="004B6178" w:rsidR="004B6178">
        <w:rPr>
          <w:rFonts w:ascii="Times New Roman" w:hAnsi="Times New Roman"/>
        </w:rPr>
        <w:t xml:space="preserve">uch CPOs </w:t>
      </w:r>
      <w:proofErr w:type="gramStart"/>
      <w:r w:rsidRPr="004B6178" w:rsidR="004B6178">
        <w:rPr>
          <w:rFonts w:ascii="Times New Roman" w:hAnsi="Times New Roman"/>
        </w:rPr>
        <w:t>continue</w:t>
      </w:r>
      <w:proofErr w:type="gramEnd"/>
      <w:r w:rsidRPr="004B6178" w:rsidR="004B6178">
        <w:rPr>
          <w:rFonts w:ascii="Times New Roman" w:hAnsi="Times New Roman"/>
        </w:rPr>
        <w:t xml:space="preserve"> to qualify for exemption from registration with the Commission; however, they continue to have an annual notice filing obligation to confirm their eligibility for such registration exemption.  The Commission still estimates that the time required to complete the annual notice filing does not </w:t>
      </w:r>
      <w:r w:rsidR="002677CF">
        <w:rPr>
          <w:rFonts w:ascii="Times New Roman" w:hAnsi="Times New Roman"/>
        </w:rPr>
        <w:t>require</w:t>
      </w:r>
      <w:r w:rsidRPr="004B6178" w:rsidR="004B6178">
        <w:rPr>
          <w:rFonts w:ascii="Times New Roman" w:hAnsi="Times New Roman"/>
        </w:rPr>
        <w:t xml:space="preserve"> </w:t>
      </w:r>
      <w:r w:rsidRPr="004B6178" w:rsidR="00530AB4">
        <w:rPr>
          <w:rFonts w:ascii="Times New Roman" w:hAnsi="Times New Roman"/>
        </w:rPr>
        <w:t>significant</w:t>
      </w:r>
      <w:r w:rsidRPr="004B6178" w:rsidR="004B6178">
        <w:rPr>
          <w:rFonts w:ascii="Times New Roman" w:hAnsi="Times New Roman"/>
        </w:rPr>
        <w:t xml:space="preserve"> time expenditure, and therefore, </w:t>
      </w:r>
      <w:r w:rsidR="00C23B42">
        <w:rPr>
          <w:rFonts w:ascii="Times New Roman" w:hAnsi="Times New Roman"/>
        </w:rPr>
        <w:t xml:space="preserve">concludes that it </w:t>
      </w:r>
      <w:r w:rsidRPr="004B6178" w:rsidR="004B6178">
        <w:rPr>
          <w:rFonts w:ascii="Times New Roman" w:hAnsi="Times New Roman"/>
        </w:rPr>
        <w:t xml:space="preserve">does not create a significant economic impact on a substantial number of small entities. </w:t>
      </w:r>
    </w:p>
    <w:p w:rsidR="004B6178" w:rsidP="004B6178" w:rsidRDefault="004B6178">
      <w:pPr>
        <w:tabs>
          <w:tab w:val="left" w:pos="-720"/>
        </w:tabs>
        <w:spacing w:after="240"/>
        <w:rPr>
          <w:rFonts w:ascii="Times New Roman" w:hAnsi="Times New Roman"/>
        </w:rPr>
      </w:pPr>
      <w:r w:rsidRPr="004B6178">
        <w:rPr>
          <w:rFonts w:ascii="Times New Roman" w:hAnsi="Times New Roman"/>
        </w:rPr>
        <w:t xml:space="preserve"> </w:t>
      </w:r>
      <w:r>
        <w:rPr>
          <w:rFonts w:ascii="Times New Roman" w:hAnsi="Times New Roman"/>
        </w:rPr>
        <w:tab/>
      </w:r>
      <w:r w:rsidRPr="004B6178">
        <w:rPr>
          <w:rFonts w:ascii="Times New Roman" w:hAnsi="Times New Roman"/>
        </w:rPr>
        <w:t xml:space="preserve">With respect to CTAs, the Commission has previously considered whether such registrants should be deemed small entities for purposes of the RFA on a case-by-case basis, in the context of the particular Commission regulation at issue.  Moreover, with respect to the exemption from CTA registration in the </w:t>
      </w:r>
      <w:r w:rsidR="002677CF">
        <w:rPr>
          <w:rFonts w:ascii="Times New Roman" w:hAnsi="Times New Roman"/>
        </w:rPr>
        <w:t>final</w:t>
      </w:r>
      <w:r w:rsidRPr="004B6178">
        <w:rPr>
          <w:rFonts w:ascii="Times New Roman" w:hAnsi="Times New Roman"/>
        </w:rPr>
        <w:t xml:space="preserve"> rules, the Commission has determined to make claiming such exemption self-effectuating and to forego any notice filing to claim the relief, a practice that is consistent with the majority of CTA exemptions in </w:t>
      </w:r>
      <w:r w:rsidR="00C23B42">
        <w:rPr>
          <w:rFonts w:ascii="Times New Roman" w:hAnsi="Times New Roman"/>
        </w:rPr>
        <w:t xml:space="preserve">Commission </w:t>
      </w:r>
      <w:r w:rsidRPr="004B6178">
        <w:rPr>
          <w:rFonts w:ascii="Times New Roman" w:hAnsi="Times New Roman"/>
        </w:rPr>
        <w:t>Regulation 4.14.</w:t>
      </w:r>
      <w:r w:rsidR="002677CF">
        <w:rPr>
          <w:rFonts w:ascii="Times New Roman" w:hAnsi="Times New Roman"/>
        </w:rPr>
        <w:t xml:space="preserve">  The Commission concludes</w:t>
      </w:r>
      <w:r w:rsidR="00530AB4">
        <w:rPr>
          <w:rFonts w:ascii="Times New Roman" w:hAnsi="Times New Roman"/>
        </w:rPr>
        <w:t xml:space="preserve"> therefore</w:t>
      </w:r>
      <w:r w:rsidR="002677CF">
        <w:rPr>
          <w:rFonts w:ascii="Times New Roman" w:hAnsi="Times New Roman"/>
        </w:rPr>
        <w:t xml:space="preserve"> that this amendment affecting CTAs will also not create a significant economic impact on a substantial number of small entities.</w:t>
      </w:r>
    </w:p>
    <w:p w:rsidR="00697F17" w:rsidP="00697F17" w:rsidRDefault="00697F17">
      <w:pPr>
        <w:tabs>
          <w:tab w:val="left" w:pos="-720"/>
          <w:tab w:val="left" w:pos="0"/>
        </w:tabs>
        <w:spacing w:after="240"/>
        <w:rPr>
          <w:rFonts w:ascii="Times New Roman" w:hAnsi="Times New Roman"/>
        </w:rPr>
      </w:pPr>
      <w:r w:rsidRPr="0019376E">
        <w:rPr>
          <w:rFonts w:ascii="Times New Roman" w:hAnsi="Times New Roman"/>
          <w:b/>
        </w:rPr>
        <w:t>6.</w:t>
      </w:r>
      <w:r w:rsidRPr="0019376E">
        <w:rPr>
          <w:rFonts w:ascii="Times New Roman" w:hAnsi="Times New Roman"/>
          <w:b/>
        </w:rPr>
        <w:tab/>
        <w:t>Describe the consequence to the Federal Program or policy activities if the collection were conducted less frequently as well as any technical or legal obstacles to reducing burden.</w:t>
      </w:r>
      <w:r w:rsidRPr="003E1569">
        <w:rPr>
          <w:rFonts w:ascii="Times New Roman" w:hAnsi="Times New Roman"/>
        </w:rPr>
        <w:tab/>
      </w:r>
    </w:p>
    <w:p w:rsidR="00697F17" w:rsidP="00697F17" w:rsidRDefault="00697F17">
      <w:pPr>
        <w:tabs>
          <w:tab w:val="left" w:pos="-720"/>
        </w:tabs>
        <w:spacing w:after="240"/>
        <w:rPr>
          <w:rFonts w:ascii="Times New Roman" w:hAnsi="Times New Roman"/>
        </w:rPr>
      </w:pPr>
      <w:r>
        <w:rPr>
          <w:rFonts w:ascii="Times New Roman" w:hAnsi="Times New Roman"/>
        </w:rPr>
        <w:tab/>
      </w:r>
      <w:r w:rsidRPr="00E50A40">
        <w:rPr>
          <w:rFonts w:ascii="Times New Roman" w:hAnsi="Times New Roman"/>
        </w:rPr>
        <w:t>The collection is only required once.  Moreover, it is mandated by law.</w:t>
      </w:r>
    </w:p>
    <w:p w:rsidRPr="0019376E" w:rsidR="00697F17" w:rsidP="00697F17" w:rsidRDefault="00697F17">
      <w:pPr>
        <w:tabs>
          <w:tab w:val="left" w:pos="-720"/>
          <w:tab w:val="left" w:pos="0"/>
        </w:tabs>
        <w:spacing w:after="240"/>
        <w:rPr>
          <w:rFonts w:ascii="Times New Roman" w:hAnsi="Times New Roman"/>
          <w:b/>
        </w:rPr>
      </w:pPr>
      <w:r w:rsidRPr="0019376E">
        <w:rPr>
          <w:rFonts w:ascii="Times New Roman" w:hAnsi="Times New Roman"/>
          <w:b/>
        </w:rPr>
        <w:t>7.</w:t>
      </w:r>
      <w:r w:rsidRPr="0019376E">
        <w:rPr>
          <w:rFonts w:ascii="Times New Roman" w:hAnsi="Times New Roman"/>
          <w:b/>
        </w:rPr>
        <w:tab/>
        <w:t>Explain any special circumstances that require the collection to be conducted in a manner:</w:t>
      </w:r>
    </w:p>
    <w:p w:rsidR="00697F17" w:rsidP="00697F17" w:rsidRDefault="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report information to the agency more often than quarterly;</w:t>
      </w:r>
    </w:p>
    <w:p w:rsidR="00697F17" w:rsidP="00697F17" w:rsidRDefault="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 xml:space="preserve">The regulations covered by this collection do not require the respondent to report any information to the Commission more often than quarterly, or even as often as quarterly.  However, updating of information is required whenever necessary to maintain accurate and current registration information.  </w:t>
      </w:r>
    </w:p>
    <w:p w:rsidR="00697F17" w:rsidP="00697F17" w:rsidRDefault="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prepare a written response to a collection of information in fewer than 30 days after receipt of it:</w:t>
      </w:r>
    </w:p>
    <w:p w:rsidR="00697F17" w:rsidP="00697F17" w:rsidRDefault="00697F17">
      <w:pPr>
        <w:pStyle w:val="ListParagraph"/>
        <w:tabs>
          <w:tab w:val="left" w:pos="-720"/>
          <w:tab w:val="left" w:pos="0"/>
          <w:tab w:val="left" w:pos="720"/>
        </w:tabs>
        <w:spacing w:after="240"/>
        <w:ind w:left="936"/>
        <w:rPr>
          <w:rFonts w:ascii="Times New Roman" w:hAnsi="Times New Roman"/>
        </w:rPr>
      </w:pPr>
      <w:r w:rsidRPr="00697F17">
        <w:rPr>
          <w:rFonts w:ascii="Times New Roman" w:hAnsi="Times New Roman"/>
        </w:rPr>
        <w:t>This question does not apply.</w:t>
      </w:r>
    </w:p>
    <w:p w:rsidR="00697F17" w:rsidP="00697F17" w:rsidRDefault="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submit more tha</w:t>
      </w:r>
      <w:r>
        <w:rPr>
          <w:rFonts w:ascii="Times New Roman" w:hAnsi="Times New Roman"/>
          <w:b/>
        </w:rPr>
        <w:t>n</w:t>
      </w:r>
      <w:r w:rsidRPr="0019376E">
        <w:rPr>
          <w:rFonts w:ascii="Times New Roman" w:hAnsi="Times New Roman"/>
          <w:b/>
        </w:rPr>
        <w:t xml:space="preserve"> an original and two copies of any document;</w:t>
      </w:r>
    </w:p>
    <w:p w:rsidRPr="00697F17" w:rsidR="00697F17" w:rsidP="00697F17" w:rsidRDefault="00697F17">
      <w:pPr>
        <w:tabs>
          <w:tab w:val="left" w:pos="-720"/>
          <w:tab w:val="left" w:pos="0"/>
          <w:tab w:val="left" w:pos="720"/>
        </w:tabs>
        <w:spacing w:after="240"/>
        <w:rPr>
          <w:rFonts w:ascii="Times New Roman" w:hAnsi="Times New Roman"/>
        </w:rPr>
      </w:pPr>
      <w:r>
        <w:rPr>
          <w:rFonts w:ascii="Times New Roman" w:hAnsi="Times New Roman"/>
        </w:rPr>
        <w:lastRenderedPageBreak/>
        <w:tab/>
      </w:r>
      <w:r w:rsidRPr="00697F17">
        <w:rPr>
          <w:rFonts w:ascii="Times New Roman" w:hAnsi="Times New Roman"/>
        </w:rPr>
        <w:t>Respondents are not required to submit more than an original and two copies of any document.</w:t>
      </w:r>
    </w:p>
    <w:p w:rsidR="00697F17" w:rsidP="00697F17" w:rsidRDefault="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retain records other than health, medical, government contract, grant-in-aid, or tax records, for more than three years;</w:t>
      </w:r>
    </w:p>
    <w:p w:rsidR="005948A0" w:rsidP="00C00485" w:rsidRDefault="005948A0">
      <w:pPr>
        <w:tabs>
          <w:tab w:val="left" w:pos="-720"/>
          <w:tab w:val="left" w:pos="0"/>
          <w:tab w:val="left" w:pos="720"/>
        </w:tabs>
        <w:suppressAutoHyphens/>
        <w:rPr>
          <w:rFonts w:ascii="Times New Roman" w:hAnsi="Times New Roman"/>
        </w:rPr>
      </w:pPr>
      <w:r>
        <w:rPr>
          <w:rFonts w:ascii="Times New Roman" w:hAnsi="Times New Roman"/>
        </w:rPr>
        <w:tab/>
      </w:r>
      <w:r w:rsidRPr="00C00485">
        <w:rPr>
          <w:rFonts w:ascii="Times New Roman" w:hAnsi="Times New Roman"/>
        </w:rPr>
        <w:t xml:space="preserve">Respondents must maintain certain records in order to demonstrate compliance with the </w:t>
      </w:r>
      <w:r w:rsidR="004F45A1">
        <w:rPr>
          <w:rFonts w:ascii="Times New Roman" w:hAnsi="Times New Roman"/>
        </w:rPr>
        <w:t>Commission’s</w:t>
      </w:r>
      <w:r w:rsidRPr="00C00485">
        <w:rPr>
          <w:rFonts w:ascii="Times New Roman" w:hAnsi="Times New Roman"/>
        </w:rPr>
        <w:t xml:space="preserve"> regulations.  For enforcement purposes, Commission Regulation 1.31 defines “regulatory records,” in pertinent part, as “all books and records required to be kept by the [CEA] or Commission regulations in this chapter,” and requires that such regulatory records be kept “for a period of not less than five years from the date on which the record was created,” and “in a form and manner that ensures the authenticity and reliability of such regulatory records in accordance with the [CEA] and Commission regulations in this chapter.”</w:t>
      </w:r>
    </w:p>
    <w:p w:rsidRPr="00C00485" w:rsidR="001B78BB" w:rsidP="00C00485" w:rsidRDefault="001B78BB">
      <w:pPr>
        <w:tabs>
          <w:tab w:val="left" w:pos="-720"/>
          <w:tab w:val="left" w:pos="0"/>
          <w:tab w:val="left" w:pos="720"/>
        </w:tabs>
        <w:suppressAutoHyphens/>
        <w:rPr>
          <w:rFonts w:ascii="Times New Roman" w:hAnsi="Times New Roman"/>
        </w:rPr>
      </w:pPr>
    </w:p>
    <w:p w:rsidR="00697F17" w:rsidP="00697F17" w:rsidRDefault="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 xml:space="preserve">in connection with a statistical survey, that is not designed to produce valid and reliable results that can be generalized to the universe of study; </w:t>
      </w:r>
    </w:p>
    <w:p w:rsidR="00697F17" w:rsidP="00697F17" w:rsidRDefault="00697F17">
      <w:pPr>
        <w:pStyle w:val="ListParagraph"/>
        <w:tabs>
          <w:tab w:val="left" w:pos="-720"/>
          <w:tab w:val="left" w:pos="0"/>
          <w:tab w:val="left" w:pos="720"/>
        </w:tabs>
        <w:spacing w:after="240"/>
        <w:ind w:left="936"/>
        <w:rPr>
          <w:rFonts w:ascii="Times New Roman" w:hAnsi="Times New Roman"/>
        </w:rPr>
      </w:pPr>
      <w:r w:rsidRPr="00697F17">
        <w:rPr>
          <w:rFonts w:ascii="Times New Roman" w:hAnsi="Times New Roman"/>
        </w:rPr>
        <w:t>The regulations covered by this collection do not involve statistical surveys.</w:t>
      </w:r>
    </w:p>
    <w:p w:rsidR="00697F17" w:rsidP="00697F17" w:rsidRDefault="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the use of a statistical data classification that has not been reviewed and approved by OMB;</w:t>
      </w:r>
    </w:p>
    <w:p w:rsidR="00697F17" w:rsidP="00697F17" w:rsidRDefault="00697F17">
      <w:pPr>
        <w:pStyle w:val="ListParagraph"/>
        <w:ind w:left="936"/>
        <w:rPr>
          <w:rFonts w:ascii="Times New Roman" w:hAnsi="Times New Roman"/>
        </w:rPr>
      </w:pPr>
      <w:r w:rsidRPr="00697F17">
        <w:rPr>
          <w:rFonts w:ascii="Times New Roman" w:hAnsi="Times New Roman"/>
        </w:rPr>
        <w:t>The regulations covered by this collection do not involve the use of statistical data.</w:t>
      </w:r>
    </w:p>
    <w:p w:rsidR="00697F17" w:rsidP="00697F17" w:rsidRDefault="00697F17">
      <w:pPr>
        <w:pStyle w:val="ListParagraph"/>
        <w:ind w:left="936"/>
        <w:rPr>
          <w:rFonts w:ascii="Times New Roman" w:hAnsi="Times New Roman"/>
        </w:rPr>
      </w:pPr>
    </w:p>
    <w:p w:rsidR="00697F17" w:rsidP="00697F17" w:rsidRDefault="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697F17" w:rsidP="00697F17" w:rsidRDefault="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The regulations covered by this collection do not involve a pledge of confidentiality.</w:t>
      </w:r>
    </w:p>
    <w:p w:rsidR="00697F17" w:rsidP="00697F17" w:rsidRDefault="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proofErr w:type="gramStart"/>
      <w:r w:rsidRPr="0019376E">
        <w:rPr>
          <w:rFonts w:ascii="Times New Roman" w:hAnsi="Times New Roman"/>
          <w:b/>
        </w:rPr>
        <w:t>requiring</w:t>
      </w:r>
      <w:proofErr w:type="gramEnd"/>
      <w:r w:rsidRPr="0019376E">
        <w:rPr>
          <w:rFonts w:ascii="Times New Roman" w:hAnsi="Times New Roman"/>
          <w:b/>
        </w:rPr>
        <w:t xml:space="preserve"> respondents to submit proprietary trade secrets, or other confidential information unless the agency can demonstrate that it has instituted procedures to protect the information's confidentiality to the extent permitted by law.</w:t>
      </w:r>
    </w:p>
    <w:p w:rsidR="00697F17" w:rsidP="00697F17" w:rsidRDefault="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The Commission has procedures to protect the confidentiality of a respondent’s information. These are set forth in the Commission’s regulations at parts 145 and 147.</w:t>
      </w:r>
    </w:p>
    <w:p w:rsidR="00697F17" w:rsidP="00697F17" w:rsidRDefault="00697F17">
      <w:pPr>
        <w:tabs>
          <w:tab w:val="left" w:pos="-720"/>
          <w:tab w:val="left" w:pos="0"/>
        </w:tabs>
        <w:spacing w:after="240"/>
        <w:rPr>
          <w:rFonts w:ascii="Times New Roman" w:hAnsi="Times New Roman"/>
        </w:rPr>
      </w:pPr>
      <w:r w:rsidRPr="0019376E">
        <w:rPr>
          <w:rFonts w:ascii="Times New Roman" w:hAnsi="Times New Roman"/>
          <w:b/>
        </w:rPr>
        <w:t>8.</w:t>
      </w:r>
      <w:r w:rsidRPr="0019376E">
        <w:rPr>
          <w:rFonts w:ascii="Times New Roman" w:hAnsi="Times New Roman"/>
          <w:b/>
        </w:rPr>
        <w:tab/>
        <w:t xml:space="preserve">If applicable, provide a copy and identify the date and page number of publication in the </w:t>
      </w:r>
      <w:r w:rsidRPr="0019376E">
        <w:rPr>
          <w:rFonts w:ascii="Times New Roman" w:hAnsi="Times New Roman"/>
          <w:b/>
          <w:i/>
        </w:rPr>
        <w:t>Federal Register</w:t>
      </w:r>
      <w:r w:rsidRPr="0019376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3E1569">
        <w:rPr>
          <w:rFonts w:ascii="Times New Roman" w:hAnsi="Times New Roman"/>
        </w:rPr>
        <w:tab/>
      </w:r>
    </w:p>
    <w:p w:rsidRPr="00674558" w:rsidR="0043183F" w:rsidP="00323EC9" w:rsidRDefault="0043183F">
      <w:pPr>
        <w:tabs>
          <w:tab w:val="left" w:pos="-720"/>
          <w:tab w:val="left" w:pos="0"/>
          <w:tab w:val="left" w:pos="720"/>
        </w:tabs>
        <w:spacing w:after="240"/>
        <w:rPr>
          <w:rFonts w:ascii="Times New Roman" w:hAnsi="Times New Roman"/>
          <w:b/>
        </w:rPr>
      </w:pPr>
      <w:r>
        <w:rPr>
          <w:rFonts w:ascii="Times New Roman" w:hAnsi="Times New Roman"/>
          <w:b/>
        </w:rPr>
        <w:tab/>
      </w:r>
      <w:r w:rsidRPr="00674558">
        <w:rPr>
          <w:rFonts w:ascii="Times New Roman" w:hAnsi="Times New Roman"/>
          <w:b/>
        </w:rPr>
        <w:t xml:space="preserve">Describe efforts to consult with persons outside the agency to obtain their views on the availability of data, frequency of collection, the clarity of instructions and </w:t>
      </w:r>
      <w:r w:rsidRPr="00674558">
        <w:rPr>
          <w:rFonts w:ascii="Times New Roman" w:hAnsi="Times New Roman"/>
          <w:b/>
        </w:rPr>
        <w:lastRenderedPageBreak/>
        <w:t>recordkeeping disclosure, or reporting format (if any, and on the data elements to be recorded, disclosed, or reported.</w:t>
      </w:r>
    </w:p>
    <w:p w:rsidRPr="0043183F" w:rsidR="0043183F" w:rsidP="00697F17" w:rsidRDefault="0043183F">
      <w:pPr>
        <w:tabs>
          <w:tab w:val="left" w:pos="-720"/>
          <w:tab w:val="left" w:pos="0"/>
          <w:tab w:val="left" w:pos="720"/>
        </w:tabs>
        <w:spacing w:after="240"/>
        <w:rPr>
          <w:rFonts w:ascii="Times New Roman" w:hAnsi="Times New Roman"/>
        </w:rPr>
      </w:pPr>
      <w:r>
        <w:rPr>
          <w:rFonts w:ascii="Times New Roman" w:hAnsi="Times New Roman"/>
        </w:rPr>
        <w:tab/>
      </w:r>
      <w:r w:rsidRPr="00674558">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rPr>
        <w:t xml:space="preserve"> </w:t>
      </w:r>
    </w:p>
    <w:p w:rsidR="0043183F" w:rsidP="0043183F" w:rsidRDefault="0043183F">
      <w:pPr>
        <w:tabs>
          <w:tab w:val="left" w:pos="-720"/>
        </w:tabs>
        <w:spacing w:after="240"/>
        <w:rPr>
          <w:rFonts w:ascii="Times New Roman" w:hAnsi="Times New Roman"/>
        </w:rPr>
      </w:pPr>
      <w:r>
        <w:rPr>
          <w:rFonts w:ascii="Times New Roman" w:hAnsi="Times New Roman"/>
        </w:rPr>
        <w:tab/>
      </w:r>
      <w:r w:rsidRPr="00A42C5A" w:rsidR="00A42C5A">
        <w:rPr>
          <w:rFonts w:ascii="Times New Roman" w:hAnsi="Times New Roman"/>
        </w:rPr>
        <w:t xml:space="preserve">In the proposing Federal Register release, the Commission </w:t>
      </w:r>
      <w:r w:rsidR="002677CF">
        <w:rPr>
          <w:rFonts w:ascii="Times New Roman" w:hAnsi="Times New Roman"/>
        </w:rPr>
        <w:t>sought</w:t>
      </w:r>
      <w:r w:rsidRPr="00A42C5A" w:rsidR="002677CF">
        <w:rPr>
          <w:rFonts w:ascii="Times New Roman" w:hAnsi="Times New Roman"/>
        </w:rPr>
        <w:t xml:space="preserve"> </w:t>
      </w:r>
      <w:r w:rsidRPr="00A42C5A" w:rsidR="00A42C5A">
        <w:rPr>
          <w:rFonts w:ascii="Times New Roman" w:hAnsi="Times New Roman"/>
        </w:rPr>
        <w:t xml:space="preserve">input from outside sources through the public comment process on any aspect of the proposed collection of information.  </w:t>
      </w:r>
      <w:r w:rsidR="002677CF">
        <w:rPr>
          <w:rFonts w:ascii="Times New Roman" w:hAnsi="Times New Roman"/>
        </w:rPr>
        <w:t>83 FR 52902, 52920 (Oct. 18, 2018).</w:t>
      </w:r>
      <w:r w:rsidR="00530AB4">
        <w:rPr>
          <w:rFonts w:ascii="Times New Roman" w:hAnsi="Times New Roman"/>
        </w:rPr>
        <w:t xml:space="preserve">  The Commission received no public comments on its Paperwork Reduction Act analysis.  </w:t>
      </w:r>
    </w:p>
    <w:p w:rsidRPr="00674558" w:rsidR="0043183F" w:rsidP="0043183F" w:rsidRDefault="0043183F">
      <w:pPr>
        <w:tabs>
          <w:tab w:val="left" w:pos="-720"/>
          <w:tab w:val="left" w:pos="0"/>
        </w:tabs>
        <w:spacing w:after="240"/>
        <w:rPr>
          <w:rFonts w:ascii="Times New Roman" w:hAnsi="Times New Roman"/>
          <w:b/>
        </w:rPr>
      </w:pPr>
      <w:r w:rsidRPr="00674558">
        <w:rPr>
          <w:rFonts w:ascii="Times New Roman" w:hAnsi="Times New Roman"/>
          <w:b/>
        </w:rPr>
        <w:t>9.</w:t>
      </w:r>
      <w:r w:rsidRPr="00674558">
        <w:rPr>
          <w:rFonts w:ascii="Times New Roman" w:hAnsi="Times New Roman"/>
          <w:b/>
        </w:rPr>
        <w:tab/>
        <w:t>Explain any decision to provide any payment or gift to respondents, other than re</w:t>
      </w:r>
      <w:r>
        <w:rPr>
          <w:rFonts w:ascii="Times New Roman" w:hAnsi="Times New Roman"/>
          <w:b/>
        </w:rPr>
        <w:t>mun</w:t>
      </w:r>
      <w:r w:rsidRPr="00674558">
        <w:rPr>
          <w:rFonts w:ascii="Times New Roman" w:hAnsi="Times New Roman"/>
          <w:b/>
        </w:rPr>
        <w:t>eration of contractors or grantees.</w:t>
      </w:r>
    </w:p>
    <w:p w:rsidR="0043183F" w:rsidP="0043183F" w:rsidRDefault="0043183F">
      <w:pPr>
        <w:tabs>
          <w:tab w:val="left" w:pos="-720"/>
        </w:tabs>
        <w:spacing w:after="240"/>
        <w:rPr>
          <w:rFonts w:ascii="Times New Roman" w:hAnsi="Times New Roman"/>
        </w:rPr>
      </w:pPr>
      <w:r>
        <w:rPr>
          <w:rFonts w:ascii="Times New Roman" w:hAnsi="Times New Roman"/>
        </w:rPr>
        <w:tab/>
        <w:t>This question does not apply.</w:t>
      </w:r>
    </w:p>
    <w:p w:rsidRPr="00674558" w:rsidR="0043183F" w:rsidP="0043183F" w:rsidRDefault="0043183F">
      <w:pPr>
        <w:tabs>
          <w:tab w:val="left" w:pos="-720"/>
        </w:tabs>
        <w:spacing w:after="240"/>
        <w:rPr>
          <w:rFonts w:ascii="Times New Roman" w:hAnsi="Times New Roman"/>
          <w:b/>
        </w:rPr>
      </w:pPr>
      <w:r w:rsidRPr="00674558">
        <w:rPr>
          <w:rFonts w:ascii="Times New Roman" w:hAnsi="Times New Roman"/>
          <w:b/>
        </w:rPr>
        <w:t>10.</w:t>
      </w:r>
      <w:r w:rsidRPr="00674558">
        <w:rPr>
          <w:rFonts w:ascii="Times New Roman" w:hAnsi="Times New Roman"/>
          <w:b/>
        </w:rPr>
        <w:tab/>
        <w:t>Describe any assurance of confidentiality provided to respondents and the basis for the assurance in statute, regulations, or agency policy.</w:t>
      </w:r>
    </w:p>
    <w:p w:rsidR="0043183F" w:rsidP="0043183F" w:rsidRDefault="0043183F">
      <w:pPr>
        <w:tabs>
          <w:tab w:val="left" w:pos="-720"/>
          <w:tab w:val="left" w:pos="0"/>
          <w:tab w:val="left" w:pos="720"/>
        </w:tabs>
        <w:spacing w:after="240"/>
        <w:jc w:val="both"/>
        <w:rPr>
          <w:rFonts w:ascii="Times New Roman" w:hAnsi="Times New Roman"/>
        </w:rPr>
      </w:pPr>
      <w:r>
        <w:rPr>
          <w:rFonts w:ascii="Times New Roman" w:hAnsi="Times New Roman"/>
        </w:rPr>
        <w:tab/>
        <w:t>The Commission does not provide respondents with an assurance of confidentiality beyond that provided by applicable law.  The Commission fully complies with s</w:t>
      </w:r>
      <w:r w:rsidRPr="003E1569">
        <w:rPr>
          <w:rFonts w:ascii="Times New Roman" w:hAnsi="Times New Roman"/>
        </w:rPr>
        <w:t>ection 8(a)</w:t>
      </w:r>
      <w:r>
        <w:rPr>
          <w:rFonts w:ascii="Times New Roman" w:hAnsi="Times New Roman"/>
        </w:rPr>
        <w:t xml:space="preserve">(1) of the </w:t>
      </w:r>
      <w:r w:rsidR="005948A0">
        <w:rPr>
          <w:rFonts w:ascii="Times New Roman" w:hAnsi="Times New Roman"/>
        </w:rPr>
        <w:t>CEA</w:t>
      </w:r>
      <w:r>
        <w:rPr>
          <w:rFonts w:ascii="Times New Roman" w:hAnsi="Times New Roman"/>
        </w:rPr>
        <w:t>, which strictly prohibits the Commission, unless specifically authorized by the Act, from making public “data and information that would separately disclose the business transactions or market positions of any person and trade secrets or names of customers</w:t>
      </w:r>
      <w:r w:rsidRPr="003E1569">
        <w:rPr>
          <w:rFonts w:ascii="Times New Roman" w:hAnsi="Times New Roman"/>
        </w:rPr>
        <w:t>.</w:t>
      </w:r>
      <w:r>
        <w:rPr>
          <w:rFonts w:ascii="Times New Roman" w:hAnsi="Times New Roman"/>
        </w:rPr>
        <w:t>”  The Commission has procedures to protect the confidentiality of a respondent’s data.  These are set forth in the Commission’s regulations at parts 145 and 147.</w:t>
      </w:r>
    </w:p>
    <w:p w:rsidRPr="00674558" w:rsidR="0043183F" w:rsidP="0043183F" w:rsidRDefault="0043183F">
      <w:pPr>
        <w:tabs>
          <w:tab w:val="left" w:pos="-720"/>
        </w:tabs>
        <w:spacing w:after="240"/>
        <w:rPr>
          <w:rFonts w:ascii="Times New Roman" w:hAnsi="Times New Roman"/>
          <w:b/>
        </w:rPr>
      </w:pPr>
      <w:r w:rsidRPr="00674558">
        <w:rPr>
          <w:rFonts w:ascii="Times New Roman" w:hAnsi="Times New Roman"/>
          <w:b/>
        </w:rPr>
        <w:t>11.</w:t>
      </w:r>
      <w:r w:rsidRPr="0067455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E1569" w:rsidR="0043183F" w:rsidP="0043183F" w:rsidRDefault="0043183F">
      <w:pPr>
        <w:tabs>
          <w:tab w:val="left" w:pos="-720"/>
        </w:tabs>
        <w:spacing w:after="240"/>
        <w:rPr>
          <w:rFonts w:ascii="Times New Roman" w:hAnsi="Times New Roman"/>
        </w:rPr>
      </w:pPr>
      <w:r>
        <w:rPr>
          <w:rFonts w:ascii="Times New Roman" w:hAnsi="Times New Roman"/>
        </w:rPr>
        <w:tab/>
        <w:t xml:space="preserve">This question does not apply.  </w:t>
      </w:r>
      <w:r w:rsidRPr="003E1569">
        <w:rPr>
          <w:rFonts w:ascii="Times New Roman" w:hAnsi="Times New Roman"/>
        </w:rPr>
        <w:t xml:space="preserve">None of the </w:t>
      </w:r>
      <w:r>
        <w:rPr>
          <w:rFonts w:ascii="Times New Roman" w:hAnsi="Times New Roman"/>
        </w:rPr>
        <w:t>required information is</w:t>
      </w:r>
      <w:r w:rsidRPr="003E1569">
        <w:rPr>
          <w:rFonts w:ascii="Times New Roman" w:hAnsi="Times New Roman"/>
        </w:rPr>
        <w:t xml:space="preserve"> sensitive, as that term is used in Question 11.</w:t>
      </w:r>
    </w:p>
    <w:p w:rsidRPr="00674558" w:rsidR="0043183F" w:rsidP="0043183F" w:rsidRDefault="0043183F">
      <w:pPr>
        <w:tabs>
          <w:tab w:val="left" w:pos="-720"/>
          <w:tab w:val="left" w:pos="0"/>
        </w:tabs>
        <w:spacing w:after="240"/>
        <w:rPr>
          <w:rFonts w:ascii="Times New Roman" w:hAnsi="Times New Roman"/>
          <w:b/>
        </w:rPr>
      </w:pPr>
      <w:r w:rsidRPr="00674558">
        <w:rPr>
          <w:rFonts w:ascii="Times New Roman" w:hAnsi="Times New Roman"/>
          <w:b/>
        </w:rPr>
        <w:t>12.</w:t>
      </w:r>
      <w:r w:rsidRPr="00674558">
        <w:rPr>
          <w:rFonts w:ascii="Times New Roman" w:hAnsi="Times New Roman"/>
          <w:b/>
        </w:rPr>
        <w:tab/>
        <w:t>Provide estimates of the hour burden of the collection of information.  The Statement should:</w:t>
      </w:r>
    </w:p>
    <w:p w:rsidRPr="00674558" w:rsidR="0043183F" w:rsidP="0043183F" w:rsidRDefault="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w:t>
      </w:r>
      <w:r w:rsidRPr="00674558">
        <w:rPr>
          <w:rFonts w:ascii="Times New Roman" w:hAnsi="Times New Roman"/>
          <w:b/>
        </w:rPr>
        <w:lastRenderedPageBreak/>
        <w:t>expected to vary widely because of differences in activity, size or complexity, show the range of estimated hour burden, and explain the reasons for the variance.  Generally, estimates should not include burden hours for customary and usual business practices.</w:t>
      </w:r>
    </w:p>
    <w:p w:rsidRPr="00674558" w:rsidR="0043183F" w:rsidP="0043183F" w:rsidRDefault="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the request for approval covers more than one form, provide separate hour burden estimates for each form and aggregate the hour burdens in Item 13 of OMB Form 83-I.</w:t>
      </w:r>
    </w:p>
    <w:p w:rsidRPr="00674558" w:rsidR="0043183F" w:rsidP="0043183F" w:rsidRDefault="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Provide estimates of annualized cost to respondents for the hours burdens for collections of information, identifying and using appropriate wage rate categories.  The cost of contracting ou</w:t>
      </w:r>
      <w:r>
        <w:rPr>
          <w:rFonts w:ascii="Times New Roman" w:hAnsi="Times New Roman"/>
          <w:b/>
        </w:rPr>
        <w:t>t</w:t>
      </w:r>
      <w:r w:rsidRPr="00674558">
        <w:rPr>
          <w:rFonts w:ascii="Times New Roman" w:hAnsi="Times New Roman"/>
          <w:b/>
        </w:rPr>
        <w:t xml:space="preserve"> or paying outside parties for information collection activities should not be included here.  Instead, this cost should be included in Item 13.</w:t>
      </w:r>
    </w:p>
    <w:p w:rsidRPr="00323EC9" w:rsidR="005F1C18" w:rsidP="00323EC9" w:rsidRDefault="00C23975">
      <w:pPr>
        <w:tabs>
          <w:tab w:val="left" w:pos="-720"/>
        </w:tabs>
        <w:spacing w:after="240"/>
        <w:rPr>
          <w:rFonts w:ascii="Times New Roman" w:hAnsi="Times New Roman"/>
        </w:rPr>
      </w:pPr>
      <w:r>
        <w:rPr>
          <w:rFonts w:ascii="Times New Roman" w:hAnsi="Times New Roman"/>
        </w:rPr>
        <w:tab/>
      </w:r>
      <w:r w:rsidRPr="00323EC9" w:rsidR="005F1C18">
        <w:rPr>
          <w:rFonts w:ascii="Times New Roman" w:hAnsi="Times New Roman"/>
        </w:rPr>
        <w:t>See Attachment A.</w:t>
      </w:r>
      <w:r w:rsidRPr="00B90139" w:rsidR="005F1C18">
        <w:t xml:space="preserve"> </w:t>
      </w:r>
      <w:r w:rsidR="00D91150">
        <w:rPr>
          <w:rFonts w:ascii="Times New Roman" w:hAnsi="Times New Roman"/>
        </w:rPr>
        <w:t xml:space="preserve">As discussed above, the Commission is adding to its part 4 regulations a CPO exclusion and two registration exemptions; the Commission is adjusting the instant information collection to account for the number of eligible entities that would likely deregister for the purpose of claiming that new relief.  </w:t>
      </w:r>
      <w:r w:rsidR="00C23B42">
        <w:rPr>
          <w:rFonts w:ascii="Times New Roman" w:hAnsi="Times New Roman"/>
        </w:rPr>
        <w:t>To accomplish this, t</w:t>
      </w:r>
      <w:r w:rsidR="00D91150">
        <w:rPr>
          <w:rFonts w:ascii="Times New Roman" w:hAnsi="Times New Roman"/>
        </w:rPr>
        <w:t>he</w:t>
      </w:r>
      <w:r w:rsidRPr="00323EC9" w:rsidR="005F1C18">
        <w:rPr>
          <w:rFonts w:ascii="Times New Roman" w:hAnsi="Times New Roman"/>
        </w:rPr>
        <w:t xml:space="preserve"> Commission is reduc</w:t>
      </w:r>
      <w:r w:rsidR="00D91150">
        <w:rPr>
          <w:rFonts w:ascii="Times New Roman" w:hAnsi="Times New Roman"/>
        </w:rPr>
        <w:t>ing</w:t>
      </w:r>
      <w:r w:rsidRPr="00323EC9" w:rsidR="005F1C18">
        <w:rPr>
          <w:rFonts w:ascii="Times New Roman" w:hAnsi="Times New Roman"/>
        </w:rPr>
        <w:t xml:space="preserve"> the number of registrants by the estimated number of claimants with respect to each of the registration exemptions and exclusion </w:t>
      </w:r>
      <w:r w:rsidR="00D91150">
        <w:rPr>
          <w:rFonts w:ascii="Times New Roman" w:hAnsi="Times New Roman"/>
        </w:rPr>
        <w:t>adopted</w:t>
      </w:r>
      <w:r w:rsidRPr="00323EC9" w:rsidR="00D91150">
        <w:rPr>
          <w:rFonts w:ascii="Times New Roman" w:hAnsi="Times New Roman"/>
        </w:rPr>
        <w:t xml:space="preserve"> </w:t>
      </w:r>
      <w:r w:rsidR="00D91150">
        <w:rPr>
          <w:rFonts w:ascii="Times New Roman" w:hAnsi="Times New Roman"/>
        </w:rPr>
        <w:t>by the final rules</w:t>
      </w:r>
      <w:r w:rsidRPr="00323EC9" w:rsidR="005F1C18">
        <w:rPr>
          <w:rFonts w:ascii="Times New Roman" w:hAnsi="Times New Roman"/>
        </w:rPr>
        <w:t xml:space="preserve">.  Specifically, the Commission estimates 200 persons will claim relief from registration as the CPO of a qualifying </w:t>
      </w:r>
      <w:r w:rsidR="00D91150">
        <w:rPr>
          <w:rFonts w:ascii="Times New Roman" w:hAnsi="Times New Roman"/>
        </w:rPr>
        <w:t>f</w:t>
      </w:r>
      <w:r w:rsidRPr="00323EC9" w:rsidR="005F1C18">
        <w:rPr>
          <w:rFonts w:ascii="Times New Roman" w:hAnsi="Times New Roman"/>
        </w:rPr>
        <w:t xml:space="preserve">amily </w:t>
      </w:r>
      <w:r w:rsidR="00D91150">
        <w:rPr>
          <w:rFonts w:ascii="Times New Roman" w:hAnsi="Times New Roman"/>
        </w:rPr>
        <w:t>o</w:t>
      </w:r>
      <w:r w:rsidRPr="00323EC9" w:rsidR="005F1C18">
        <w:rPr>
          <w:rFonts w:ascii="Times New Roman" w:hAnsi="Times New Roman"/>
        </w:rPr>
        <w:t xml:space="preserve">ffice, 100 persons will claim relief from registration as the CTA of a qualifying </w:t>
      </w:r>
      <w:r w:rsidR="00D91150">
        <w:rPr>
          <w:rFonts w:ascii="Times New Roman" w:hAnsi="Times New Roman"/>
        </w:rPr>
        <w:t>f</w:t>
      </w:r>
      <w:r w:rsidRPr="00323EC9" w:rsidR="005F1C18">
        <w:rPr>
          <w:rFonts w:ascii="Times New Roman" w:hAnsi="Times New Roman"/>
        </w:rPr>
        <w:t xml:space="preserve">amily </w:t>
      </w:r>
      <w:r w:rsidR="00D91150">
        <w:rPr>
          <w:rFonts w:ascii="Times New Roman" w:hAnsi="Times New Roman"/>
        </w:rPr>
        <w:t>o</w:t>
      </w:r>
      <w:r w:rsidRPr="00323EC9" w:rsidR="005F1C18">
        <w:rPr>
          <w:rFonts w:ascii="Times New Roman" w:hAnsi="Times New Roman"/>
        </w:rPr>
        <w:t>ffice or</w:t>
      </w:r>
      <w:r w:rsidR="00D91150">
        <w:rPr>
          <w:rFonts w:ascii="Times New Roman" w:hAnsi="Times New Roman"/>
        </w:rPr>
        <w:t xml:space="preserve"> of</w:t>
      </w:r>
      <w:r w:rsidRPr="00323EC9" w:rsidR="005F1C18">
        <w:rPr>
          <w:rFonts w:ascii="Times New Roman" w:hAnsi="Times New Roman"/>
        </w:rPr>
        <w:t xml:space="preserve"> </w:t>
      </w:r>
      <w:r w:rsidR="00D91150">
        <w:rPr>
          <w:rFonts w:ascii="Times New Roman" w:hAnsi="Times New Roman"/>
        </w:rPr>
        <w:t>f</w:t>
      </w:r>
      <w:r w:rsidRPr="00323EC9" w:rsidR="005F1C18">
        <w:rPr>
          <w:rFonts w:ascii="Times New Roman" w:hAnsi="Times New Roman"/>
        </w:rPr>
        <w:t xml:space="preserve">amily </w:t>
      </w:r>
      <w:r w:rsidR="00D91150">
        <w:rPr>
          <w:rFonts w:ascii="Times New Roman" w:hAnsi="Times New Roman"/>
        </w:rPr>
        <w:t>c</w:t>
      </w:r>
      <w:r w:rsidRPr="00323EC9" w:rsidR="005F1C18">
        <w:rPr>
          <w:rFonts w:ascii="Times New Roman" w:hAnsi="Times New Roman"/>
        </w:rPr>
        <w:t xml:space="preserve">lients, and </w:t>
      </w:r>
      <w:r w:rsidR="00D91150">
        <w:rPr>
          <w:rFonts w:ascii="Times New Roman" w:hAnsi="Times New Roman"/>
        </w:rPr>
        <w:t>65</w:t>
      </w:r>
      <w:r w:rsidRPr="00323EC9" w:rsidR="005F1C18">
        <w:rPr>
          <w:rFonts w:ascii="Times New Roman" w:hAnsi="Times New Roman"/>
        </w:rPr>
        <w:t xml:space="preserve"> persons will claim relief from registration associated with the operation of a BDC pursuant to the expanded exclusion in </w:t>
      </w:r>
      <w:r w:rsidR="00C23B42">
        <w:rPr>
          <w:rFonts w:ascii="Times New Roman" w:hAnsi="Times New Roman"/>
        </w:rPr>
        <w:t>Commission Regulation</w:t>
      </w:r>
      <w:r w:rsidRPr="00323EC9" w:rsidR="005F1C18">
        <w:rPr>
          <w:rFonts w:ascii="Times New Roman" w:hAnsi="Times New Roman"/>
        </w:rPr>
        <w:t xml:space="preserve"> 4.5.  </w:t>
      </w:r>
      <w:r w:rsidR="00C23B42">
        <w:rPr>
          <w:rFonts w:ascii="Times New Roman" w:hAnsi="Times New Roman"/>
        </w:rPr>
        <w:t>Therefore, the Commission reduced the number of respondents and responses accordingly and updated the total burden hours and cost calculations of this collection.</w:t>
      </w:r>
    </w:p>
    <w:p w:rsidRPr="00674558" w:rsidR="0043183F" w:rsidP="0043183F" w:rsidRDefault="0043183F">
      <w:pPr>
        <w:tabs>
          <w:tab w:val="left" w:pos="-720"/>
        </w:tabs>
        <w:spacing w:after="240"/>
        <w:rPr>
          <w:rFonts w:ascii="Times New Roman" w:hAnsi="Times New Roman"/>
          <w:b/>
        </w:rPr>
      </w:pPr>
      <w:r w:rsidRPr="00674558">
        <w:rPr>
          <w:rFonts w:ascii="Times New Roman" w:hAnsi="Times New Roman"/>
          <w:b/>
        </w:rPr>
        <w:t>13.</w:t>
      </w:r>
      <w:r w:rsidRPr="00674558">
        <w:rPr>
          <w:rFonts w:ascii="Times New Roman" w:hAnsi="Times New Roman"/>
          <w:b/>
        </w:rPr>
        <w:tab/>
        <w:t xml:space="preserve">Provide an estimate of the total annual cost burden to respondents or </w:t>
      </w:r>
      <w:proofErr w:type="spellStart"/>
      <w:r w:rsidRPr="00674558">
        <w:rPr>
          <w:rFonts w:ascii="Times New Roman" w:hAnsi="Times New Roman"/>
          <w:b/>
        </w:rPr>
        <w:t>recordkeepers</w:t>
      </w:r>
      <w:proofErr w:type="spellEnd"/>
      <w:r w:rsidRPr="00674558">
        <w:rPr>
          <w:rFonts w:ascii="Times New Roman" w:hAnsi="Times New Roman"/>
          <w:b/>
        </w:rPr>
        <w:t xml:space="preserve"> resulting fr</w:t>
      </w:r>
      <w:r>
        <w:rPr>
          <w:rFonts w:ascii="Times New Roman" w:hAnsi="Times New Roman"/>
          <w:b/>
        </w:rPr>
        <w:t>o</w:t>
      </w:r>
      <w:r w:rsidRPr="00674558">
        <w:rPr>
          <w:rFonts w:ascii="Times New Roman" w:hAnsi="Times New Roman"/>
          <w:b/>
        </w:rPr>
        <w:t>m the collection of information.  (Do not include the cost of any hour burden shown in Items 12 and 14).</w:t>
      </w:r>
    </w:p>
    <w:p w:rsidRPr="00674558" w:rsidR="0043183F" w:rsidP="0043183F" w:rsidRDefault="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74558" w:rsidR="0043183F" w:rsidP="0043183F" w:rsidRDefault="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w:t>
      </w:r>
      <w:r w:rsidRPr="00674558">
        <w:rPr>
          <w:rFonts w:ascii="Times New Roman" w:hAnsi="Times New Roman"/>
          <w:b/>
        </w:rPr>
        <w:lastRenderedPageBreak/>
        <w:t>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74558" w:rsidR="0043183F" w:rsidP="0043183F" w:rsidRDefault="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74558">
        <w:rPr>
          <w:rFonts w:ascii="Times New Roman" w:hAnsi="Times New Roman"/>
          <w:b/>
        </w:rPr>
        <w:t>government,</w:t>
      </w:r>
      <w:proofErr w:type="gramEnd"/>
      <w:r w:rsidRPr="00674558">
        <w:rPr>
          <w:rFonts w:ascii="Times New Roman" w:hAnsi="Times New Roman"/>
          <w:b/>
        </w:rPr>
        <w:t xml:space="preserve"> or (4) as part of customary and usual business or private practices.</w:t>
      </w:r>
    </w:p>
    <w:p w:rsidR="00C23975" w:rsidP="0043183F" w:rsidRDefault="00C23975">
      <w:pPr>
        <w:tabs>
          <w:tab w:val="left" w:pos="-720"/>
        </w:tabs>
        <w:spacing w:after="240"/>
        <w:rPr>
          <w:rFonts w:ascii="Times New Roman" w:hAnsi="Times New Roman"/>
        </w:rPr>
      </w:pPr>
      <w:r>
        <w:rPr>
          <w:rFonts w:ascii="Times New Roman" w:hAnsi="Times New Roman"/>
        </w:rPr>
        <w:tab/>
      </w:r>
      <w:r w:rsidR="005F1C18">
        <w:rPr>
          <w:rFonts w:ascii="Times New Roman" w:hAnsi="Times New Roman"/>
        </w:rPr>
        <w:t>There are no startup and operational costs associated with this collection.</w:t>
      </w:r>
    </w:p>
    <w:p w:rsidRPr="00674558" w:rsidR="0043183F" w:rsidP="0043183F" w:rsidRDefault="0043183F">
      <w:pPr>
        <w:tabs>
          <w:tab w:val="left" w:pos="-720"/>
        </w:tabs>
        <w:spacing w:after="240"/>
        <w:rPr>
          <w:rFonts w:ascii="Times New Roman" w:hAnsi="Times New Roman"/>
          <w:b/>
        </w:rPr>
      </w:pPr>
      <w:r w:rsidRPr="00674558">
        <w:rPr>
          <w:rFonts w:ascii="Times New Roman" w:hAnsi="Times New Roman"/>
          <w:b/>
        </w:rPr>
        <w:t>14.</w:t>
      </w:r>
      <w:r w:rsidRPr="0067455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43183F" w:rsidP="0043183F" w:rsidRDefault="0043183F">
      <w:pPr>
        <w:tabs>
          <w:tab w:val="left" w:pos="-720"/>
        </w:tabs>
        <w:spacing w:after="240"/>
        <w:rPr>
          <w:rFonts w:ascii="Times New Roman" w:hAnsi="Times New Roman"/>
        </w:rPr>
      </w:pPr>
      <w:r>
        <w:rPr>
          <w:rFonts w:ascii="Times New Roman" w:hAnsi="Times New Roman"/>
        </w:rPr>
        <w:tab/>
      </w:r>
      <w:r w:rsidRPr="00C00B04">
        <w:rPr>
          <w:rFonts w:ascii="Times New Roman" w:hAnsi="Times New Roman"/>
        </w:rPr>
        <w:t xml:space="preserve">As noted above in the response to Question 2, the information on registration applications is used to determine fitness for registration under the Act.  This determination is normally made, in the first instance, by NFA, an industry-funded self-regulatory organization registered as a futures association under the Act that the Commission has authorized to perform registration functions.  The CFTC has oversight responsibilities with regard to NFA’s registration program, and the costs associated with this are the salaries and benefits for Commission staff. </w:t>
      </w:r>
      <w:r w:rsidR="005948A0">
        <w:rPr>
          <w:rFonts w:ascii="Times New Roman" w:hAnsi="Times New Roman"/>
        </w:rPr>
        <w:t xml:space="preserve"> </w:t>
      </w:r>
      <w:r w:rsidRPr="00C00B04">
        <w:rPr>
          <w:rFonts w:ascii="Times New Roman" w:hAnsi="Times New Roman"/>
        </w:rPr>
        <w:t xml:space="preserve">The </w:t>
      </w:r>
      <w:r w:rsidR="00D91150">
        <w:rPr>
          <w:rFonts w:ascii="Times New Roman" w:hAnsi="Times New Roman"/>
        </w:rPr>
        <w:t>final</w:t>
      </w:r>
      <w:r w:rsidRPr="00C00B04">
        <w:rPr>
          <w:rFonts w:ascii="Times New Roman" w:hAnsi="Times New Roman"/>
        </w:rPr>
        <w:t xml:space="preserve"> </w:t>
      </w:r>
      <w:r w:rsidR="005948A0">
        <w:rPr>
          <w:rFonts w:ascii="Times New Roman" w:hAnsi="Times New Roman"/>
        </w:rPr>
        <w:t>rules</w:t>
      </w:r>
      <w:r w:rsidRPr="00C00B04" w:rsidR="005948A0">
        <w:rPr>
          <w:rFonts w:ascii="Times New Roman" w:hAnsi="Times New Roman"/>
        </w:rPr>
        <w:t xml:space="preserve"> </w:t>
      </w:r>
      <w:r w:rsidRPr="00C00B04">
        <w:rPr>
          <w:rFonts w:ascii="Times New Roman" w:hAnsi="Times New Roman"/>
        </w:rPr>
        <w:t xml:space="preserve">should not add to these existing costs, because the information collected </w:t>
      </w:r>
      <w:r w:rsidR="005948A0">
        <w:rPr>
          <w:rFonts w:ascii="Times New Roman" w:hAnsi="Times New Roman"/>
        </w:rPr>
        <w:t xml:space="preserve">hereunder will remain the same; as stated above, this Collection is only being revised to reduce the number of entities subject to CPO and/or CTA registration, by virtue of the exemptions and exclusion for CPOs and CTAs </w:t>
      </w:r>
      <w:r w:rsidR="00D91150">
        <w:rPr>
          <w:rFonts w:ascii="Times New Roman" w:hAnsi="Times New Roman"/>
        </w:rPr>
        <w:t xml:space="preserve">adopted </w:t>
      </w:r>
      <w:r w:rsidR="005948A0">
        <w:rPr>
          <w:rFonts w:ascii="Times New Roman" w:hAnsi="Times New Roman"/>
        </w:rPr>
        <w:t>by the Commission</w:t>
      </w:r>
      <w:r w:rsidRPr="00C00B04">
        <w:rPr>
          <w:rFonts w:ascii="Times New Roman" w:hAnsi="Times New Roman"/>
        </w:rPr>
        <w:t xml:space="preserve">.     </w:t>
      </w:r>
    </w:p>
    <w:p w:rsidRPr="00674558" w:rsidR="0043183F" w:rsidP="0043183F" w:rsidRDefault="0043183F">
      <w:pPr>
        <w:tabs>
          <w:tab w:val="left" w:pos="-720"/>
          <w:tab w:val="left" w:pos="0"/>
        </w:tabs>
        <w:spacing w:after="240"/>
        <w:rPr>
          <w:rFonts w:ascii="Times New Roman" w:hAnsi="Times New Roman"/>
          <w:b/>
        </w:rPr>
      </w:pPr>
      <w:r w:rsidRPr="00674558">
        <w:rPr>
          <w:rFonts w:ascii="Times New Roman" w:hAnsi="Times New Roman"/>
          <w:b/>
        </w:rPr>
        <w:t>15.</w:t>
      </w:r>
      <w:r w:rsidRPr="00674558">
        <w:rPr>
          <w:rFonts w:ascii="Times New Roman" w:hAnsi="Times New Roman"/>
          <w:b/>
        </w:rPr>
        <w:tab/>
        <w:t>Explain the reasons for any program changes or adjustments reported in Items 13 or 14 of the OMB Form 83-I.</w:t>
      </w:r>
    </w:p>
    <w:p w:rsidRPr="00B111F8" w:rsidR="0043183F" w:rsidP="0043183F" w:rsidRDefault="0043183F">
      <w:pPr>
        <w:tabs>
          <w:tab w:val="left" w:pos="-720"/>
          <w:tab w:val="left" w:pos="0"/>
        </w:tabs>
        <w:spacing w:after="240"/>
        <w:rPr>
          <w:rFonts w:ascii="Times New Roman" w:hAnsi="Times New Roman"/>
        </w:rPr>
      </w:pPr>
      <w:r>
        <w:rPr>
          <w:rFonts w:ascii="Times New Roman" w:hAnsi="Times New Roman"/>
        </w:rPr>
        <w:tab/>
      </w:r>
      <w:r w:rsidRPr="00B111F8">
        <w:rPr>
          <w:rFonts w:ascii="Times New Roman" w:hAnsi="Times New Roman"/>
        </w:rPr>
        <w:t>Overall, estimated burd</w:t>
      </w:r>
      <w:r>
        <w:rPr>
          <w:rFonts w:ascii="Times New Roman" w:hAnsi="Times New Roman"/>
        </w:rPr>
        <w:t>en hours are decreased due to a de</w:t>
      </w:r>
      <w:r w:rsidRPr="00B111F8">
        <w:rPr>
          <w:rFonts w:ascii="Times New Roman" w:hAnsi="Times New Roman"/>
        </w:rPr>
        <w:t>crease in the number of persons expected to apply for and maintain registration</w:t>
      </w:r>
      <w:r>
        <w:rPr>
          <w:rFonts w:ascii="Times New Roman" w:hAnsi="Times New Roman"/>
        </w:rPr>
        <w:t xml:space="preserve"> as a result of the </w:t>
      </w:r>
      <w:r w:rsidR="00D91150">
        <w:rPr>
          <w:rFonts w:ascii="Times New Roman" w:hAnsi="Times New Roman"/>
        </w:rPr>
        <w:t>final rules</w:t>
      </w:r>
      <w:r w:rsidRPr="00B111F8">
        <w:rPr>
          <w:rFonts w:ascii="Times New Roman" w:hAnsi="Times New Roman"/>
        </w:rPr>
        <w:t xml:space="preserve">.  The total number of registrants </w:t>
      </w:r>
      <w:r>
        <w:rPr>
          <w:rFonts w:ascii="Times New Roman" w:hAnsi="Times New Roman"/>
        </w:rPr>
        <w:t>is expected to decrease</w:t>
      </w:r>
      <w:r w:rsidRPr="00B111F8">
        <w:rPr>
          <w:rFonts w:ascii="Times New Roman" w:hAnsi="Times New Roman"/>
        </w:rPr>
        <w:t xml:space="preserve"> from year to year due to several factors, including, among other things, the adoption by the Commission of regulations that provide additional exemptions</w:t>
      </w:r>
      <w:r>
        <w:rPr>
          <w:rFonts w:ascii="Times New Roman" w:hAnsi="Times New Roman"/>
        </w:rPr>
        <w:t xml:space="preserve"> and exclusions</w:t>
      </w:r>
      <w:r w:rsidRPr="00B111F8">
        <w:rPr>
          <w:rFonts w:ascii="Times New Roman" w:hAnsi="Times New Roman"/>
        </w:rPr>
        <w:t xml:space="preserve"> from the requirement to register as a </w:t>
      </w:r>
      <w:r>
        <w:rPr>
          <w:rFonts w:ascii="Times New Roman" w:hAnsi="Times New Roman"/>
        </w:rPr>
        <w:t>CPO</w:t>
      </w:r>
      <w:r w:rsidRPr="00B111F8">
        <w:rPr>
          <w:rFonts w:ascii="Times New Roman" w:hAnsi="Times New Roman"/>
        </w:rPr>
        <w:t xml:space="preserve"> or </w:t>
      </w:r>
      <w:r>
        <w:rPr>
          <w:rFonts w:ascii="Times New Roman" w:hAnsi="Times New Roman"/>
        </w:rPr>
        <w:t>CTA</w:t>
      </w:r>
      <w:r w:rsidRPr="00B111F8">
        <w:rPr>
          <w:rFonts w:ascii="Times New Roman" w:hAnsi="Times New Roman"/>
        </w:rPr>
        <w:t xml:space="preserve">, and the industry trend away from open outcry trading to electronic trading.  </w:t>
      </w:r>
    </w:p>
    <w:p w:rsidR="0043183F" w:rsidP="0043183F" w:rsidRDefault="0043183F">
      <w:pPr>
        <w:tabs>
          <w:tab w:val="left" w:pos="-720"/>
          <w:tab w:val="left" w:pos="0"/>
        </w:tabs>
        <w:spacing w:after="240"/>
        <w:rPr>
          <w:rFonts w:ascii="Times New Roman" w:hAnsi="Times New Roman"/>
        </w:rPr>
      </w:pPr>
      <w:r>
        <w:rPr>
          <w:rFonts w:ascii="Times New Roman" w:hAnsi="Times New Roman"/>
        </w:rPr>
        <w:tab/>
      </w:r>
      <w:r w:rsidRPr="00B111F8">
        <w:rPr>
          <w:rFonts w:ascii="Times New Roman" w:hAnsi="Times New Roman"/>
        </w:rPr>
        <w:t xml:space="preserve">On Attachment A, the estimated number of respondents or </w:t>
      </w:r>
      <w:proofErr w:type="spellStart"/>
      <w:r w:rsidRPr="00B111F8">
        <w:rPr>
          <w:rFonts w:ascii="Times New Roman" w:hAnsi="Times New Roman"/>
        </w:rPr>
        <w:t>recordkeepers</w:t>
      </w:r>
      <w:proofErr w:type="spellEnd"/>
      <w:r w:rsidRPr="00B111F8">
        <w:rPr>
          <w:rFonts w:ascii="Times New Roman" w:hAnsi="Times New Roman"/>
        </w:rPr>
        <w:t xml:space="preserve"> per year does not correspond to the total annual responses because</w:t>
      </w:r>
      <w:r w:rsidR="00D91150">
        <w:rPr>
          <w:rFonts w:ascii="Times New Roman" w:hAnsi="Times New Roman"/>
        </w:rPr>
        <w:t>,</w:t>
      </w:r>
      <w:r w:rsidRPr="00B111F8">
        <w:rPr>
          <w:rFonts w:ascii="Times New Roman" w:hAnsi="Times New Roman"/>
        </w:rPr>
        <w:t xml:space="preserve"> in many cases, a respondent registers with the Commission in more than one capacity.  For example, a </w:t>
      </w:r>
      <w:r>
        <w:rPr>
          <w:rFonts w:ascii="Times New Roman" w:hAnsi="Times New Roman"/>
        </w:rPr>
        <w:t>CPO</w:t>
      </w:r>
      <w:r w:rsidRPr="00B111F8">
        <w:rPr>
          <w:rFonts w:ascii="Times New Roman" w:hAnsi="Times New Roman"/>
        </w:rPr>
        <w:t xml:space="preserve"> may also register as a </w:t>
      </w:r>
      <w:r>
        <w:rPr>
          <w:rFonts w:ascii="Times New Roman" w:hAnsi="Times New Roman"/>
        </w:rPr>
        <w:t>CTA</w:t>
      </w:r>
      <w:r w:rsidRPr="00B111F8">
        <w:rPr>
          <w:rFonts w:ascii="Times New Roman" w:hAnsi="Times New Roman"/>
        </w:rPr>
        <w:t xml:space="preserve">, or a </w:t>
      </w:r>
      <w:r>
        <w:rPr>
          <w:rFonts w:ascii="Times New Roman" w:hAnsi="Times New Roman"/>
        </w:rPr>
        <w:t>CTA</w:t>
      </w:r>
      <w:r w:rsidRPr="00B111F8">
        <w:rPr>
          <w:rFonts w:ascii="Times New Roman" w:hAnsi="Times New Roman"/>
        </w:rPr>
        <w:t xml:space="preserve"> may also register as an associated person.  See Attachment A.</w:t>
      </w:r>
    </w:p>
    <w:p w:rsidRPr="00674558" w:rsidR="0043183F" w:rsidP="0043183F" w:rsidRDefault="0043183F">
      <w:pPr>
        <w:tabs>
          <w:tab w:val="left" w:pos="-720"/>
          <w:tab w:val="left" w:pos="0"/>
        </w:tabs>
        <w:spacing w:after="240"/>
        <w:rPr>
          <w:rFonts w:ascii="Times New Roman" w:hAnsi="Times New Roman"/>
          <w:b/>
        </w:rPr>
      </w:pPr>
      <w:r w:rsidRPr="00674558">
        <w:rPr>
          <w:rFonts w:ascii="Times New Roman" w:hAnsi="Times New Roman"/>
          <w:b/>
        </w:rPr>
        <w:t>16.</w:t>
      </w:r>
      <w:r w:rsidRPr="00674558">
        <w:rPr>
          <w:rFonts w:ascii="Times New Roman" w:hAnsi="Times New Roman"/>
          <w:b/>
        </w:rPr>
        <w:tab/>
        <w:t xml:space="preserve">For collection of information whose results are planned to be published for statistical use, outline plans for tabulation, statistical analysis, and publication.  Provide the </w:t>
      </w:r>
      <w:r w:rsidRPr="00674558">
        <w:rPr>
          <w:rFonts w:ascii="Times New Roman" w:hAnsi="Times New Roman"/>
          <w:b/>
        </w:rPr>
        <w:lastRenderedPageBreak/>
        <w:t>time schedule for the entire project, including beginning and ending dates of the collection of information, completion of report, publication dates, and other actions.</w:t>
      </w:r>
    </w:p>
    <w:p w:rsidRPr="003E1569" w:rsidR="0043183F" w:rsidP="0043183F" w:rsidRDefault="0043183F">
      <w:pPr>
        <w:tabs>
          <w:tab w:val="left" w:pos="-720"/>
        </w:tabs>
        <w:spacing w:after="240"/>
        <w:rPr>
          <w:rFonts w:ascii="Times New Roman" w:hAnsi="Times New Roman"/>
        </w:rPr>
      </w:pPr>
      <w:r>
        <w:rPr>
          <w:rFonts w:ascii="Times New Roman" w:hAnsi="Times New Roman"/>
        </w:rPr>
        <w:tab/>
      </w:r>
      <w:r w:rsidRPr="003E1569">
        <w:rPr>
          <w:rFonts w:ascii="Times New Roman" w:hAnsi="Times New Roman"/>
        </w:rPr>
        <w:t>This question does not apply.</w:t>
      </w:r>
    </w:p>
    <w:p w:rsidRPr="00674558" w:rsidR="0043183F" w:rsidP="0043183F" w:rsidRDefault="0043183F">
      <w:pPr>
        <w:tabs>
          <w:tab w:val="left" w:pos="-720"/>
          <w:tab w:val="left" w:pos="0"/>
        </w:tabs>
        <w:spacing w:after="240"/>
        <w:rPr>
          <w:rFonts w:ascii="Times New Roman" w:hAnsi="Times New Roman"/>
          <w:b/>
        </w:rPr>
      </w:pPr>
      <w:r w:rsidRPr="00674558">
        <w:rPr>
          <w:rFonts w:ascii="Times New Roman" w:hAnsi="Times New Roman"/>
          <w:b/>
        </w:rPr>
        <w:t>17.</w:t>
      </w:r>
      <w:r w:rsidRPr="00674558">
        <w:rPr>
          <w:rFonts w:ascii="Times New Roman" w:hAnsi="Times New Roman"/>
          <w:b/>
        </w:rPr>
        <w:tab/>
        <w:t>If seeking approval to not display the expiration date for OMB approval of the information collection, explain the reasons that display would be inappropriate.</w:t>
      </w:r>
    </w:p>
    <w:p w:rsidRPr="003E1569" w:rsidR="0043183F" w:rsidP="0043183F" w:rsidRDefault="0043183F">
      <w:pPr>
        <w:tabs>
          <w:tab w:val="left" w:pos="-720"/>
        </w:tabs>
        <w:spacing w:after="240"/>
        <w:rPr>
          <w:rFonts w:ascii="Times New Roman" w:hAnsi="Times New Roman"/>
        </w:rPr>
      </w:pPr>
      <w:r>
        <w:rPr>
          <w:rFonts w:ascii="Times New Roman" w:hAnsi="Times New Roman"/>
        </w:rPr>
        <w:tab/>
      </w:r>
      <w:r w:rsidRPr="003E1569">
        <w:rPr>
          <w:rFonts w:ascii="Times New Roman" w:hAnsi="Times New Roman"/>
        </w:rPr>
        <w:t>This question does not apply.</w:t>
      </w:r>
    </w:p>
    <w:p w:rsidRPr="00674558" w:rsidR="0043183F" w:rsidP="0043183F" w:rsidRDefault="0043183F">
      <w:pPr>
        <w:keepNext/>
        <w:tabs>
          <w:tab w:val="left" w:pos="-720"/>
          <w:tab w:val="left" w:pos="0"/>
        </w:tabs>
        <w:spacing w:after="240"/>
        <w:rPr>
          <w:rFonts w:ascii="Times New Roman" w:hAnsi="Times New Roman"/>
          <w:b/>
        </w:rPr>
      </w:pPr>
      <w:r w:rsidRPr="00674558">
        <w:rPr>
          <w:rFonts w:ascii="Times New Roman" w:hAnsi="Times New Roman"/>
          <w:b/>
        </w:rPr>
        <w:t>18.</w:t>
      </w:r>
      <w:r w:rsidRPr="00674558">
        <w:rPr>
          <w:rFonts w:ascii="Times New Roman" w:hAnsi="Times New Roman"/>
          <w:b/>
        </w:rPr>
        <w:tab/>
        <w:t>Explain each exception to the certification statement identified in Item 19, "Certification for Paperwork Reduction Act Submissions," of OMB Form 83-I.</w:t>
      </w:r>
    </w:p>
    <w:p w:rsidR="005948A0" w:rsidP="00C00485" w:rsidRDefault="0043183F">
      <w:pPr>
        <w:tabs>
          <w:tab w:val="left" w:pos="-720"/>
        </w:tabs>
        <w:spacing w:after="120"/>
        <w:rPr>
          <w:rFonts w:ascii="Times New Roman" w:hAnsi="Times New Roman"/>
          <w:b/>
        </w:rPr>
        <w:sectPr w:rsidR="005948A0" w:rsidSect="00585718">
          <w:footerReference w:type="default" r:id="rId9"/>
          <w:pgSz w:w="12240" w:h="15840"/>
          <w:pgMar w:top="1440" w:right="1440" w:bottom="1440" w:left="1440" w:header="720" w:footer="720" w:gutter="0"/>
          <w:cols w:space="720"/>
          <w:docGrid w:linePitch="360"/>
        </w:sectPr>
      </w:pPr>
      <w:r>
        <w:rPr>
          <w:rFonts w:ascii="Times New Roman" w:hAnsi="Times New Roman"/>
        </w:rPr>
        <w:tab/>
      </w:r>
      <w:r w:rsidRPr="003E1569">
        <w:rPr>
          <w:rFonts w:ascii="Times New Roman" w:hAnsi="Times New Roman"/>
        </w:rPr>
        <w:t>This question does not apply.</w:t>
      </w:r>
    </w:p>
    <w:p w:rsidR="007274F8" w:rsidP="007274F8" w:rsidRDefault="007274F8">
      <w:pPr>
        <w:tabs>
          <w:tab w:val="left" w:pos="-720"/>
        </w:tabs>
        <w:spacing w:after="120"/>
        <w:jc w:val="center"/>
        <w:rPr>
          <w:rFonts w:ascii="Times New Roman" w:hAnsi="Times New Roman"/>
          <w:b/>
        </w:rPr>
      </w:pPr>
      <w:r w:rsidRPr="0099405B">
        <w:rPr>
          <w:rFonts w:ascii="Times New Roman" w:hAnsi="Times New Roman"/>
          <w:b/>
        </w:rPr>
        <w:lastRenderedPageBreak/>
        <w:t>Attachment A</w:t>
      </w:r>
    </w:p>
    <w:p w:rsidR="007274F8" w:rsidP="007274F8" w:rsidRDefault="007274F8">
      <w:pPr>
        <w:ind w:firstLine="720"/>
        <w:rPr>
          <w:rFonts w:ascii="Times New Roman" w:hAnsi="Times New Roman"/>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88"/>
        <w:gridCol w:w="1326"/>
        <w:gridCol w:w="1194"/>
        <w:gridCol w:w="1440"/>
        <w:gridCol w:w="1080"/>
        <w:gridCol w:w="1004"/>
        <w:gridCol w:w="1156"/>
        <w:gridCol w:w="990"/>
        <w:gridCol w:w="900"/>
        <w:gridCol w:w="1530"/>
      </w:tblGrid>
      <w:tr w:rsidRPr="00897DB1" w:rsidR="009D7370" w:rsidTr="009D7370">
        <w:tc>
          <w:tcPr>
            <w:tcW w:w="1188"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1.</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Regulation</w:t>
            </w:r>
          </w:p>
        </w:tc>
        <w:tc>
          <w:tcPr>
            <w:tcW w:w="1326"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2.</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 xml:space="preserve">Estimated No. of Respondents </w:t>
            </w:r>
          </w:p>
          <w:p w:rsidRPr="00897DB1" w:rsidR="007274F8" w:rsidP="009F335B" w:rsidRDefault="007274F8">
            <w:pPr>
              <w:rPr>
                <w:rFonts w:ascii="Times New Roman" w:hAnsi="Times New Roman"/>
                <w:sz w:val="16"/>
                <w:szCs w:val="16"/>
              </w:rPr>
            </w:pPr>
          </w:p>
        </w:tc>
        <w:tc>
          <w:tcPr>
            <w:tcW w:w="1194"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3.</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Estimated No. of Reports</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by Each Respondent</w:t>
            </w:r>
          </w:p>
        </w:tc>
        <w:tc>
          <w:tcPr>
            <w:tcW w:w="1440"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4.</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Estimated Average No. of Burden Hours per Response</w:t>
            </w:r>
          </w:p>
        </w:tc>
        <w:tc>
          <w:tcPr>
            <w:tcW w:w="1080"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5.</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Annual  No. of Burden Hours per Respondent</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(3 x 4)</w:t>
            </w:r>
          </w:p>
        </w:tc>
        <w:tc>
          <w:tcPr>
            <w:tcW w:w="1004"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 xml:space="preserve">6. </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Estimated Average Burden Hour Cost</w:t>
            </w:r>
            <w:r w:rsidR="00A16465">
              <w:rPr>
                <w:rStyle w:val="FootnoteReference"/>
                <w:rFonts w:ascii="Times New Roman" w:hAnsi="Times New Roman"/>
                <w:b/>
                <w:sz w:val="16"/>
                <w:szCs w:val="16"/>
              </w:rPr>
              <w:footnoteReference w:id="2"/>
            </w:r>
          </w:p>
          <w:p w:rsidRPr="00897DB1" w:rsidR="007274F8" w:rsidP="009F335B" w:rsidRDefault="007274F8">
            <w:pPr>
              <w:rPr>
                <w:rFonts w:ascii="Times New Roman" w:hAnsi="Times New Roman"/>
                <w:sz w:val="16"/>
                <w:szCs w:val="16"/>
              </w:rPr>
            </w:pPr>
          </w:p>
        </w:tc>
        <w:tc>
          <w:tcPr>
            <w:tcW w:w="1156"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7.</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 xml:space="preserve">Total Average Burden </w:t>
            </w:r>
            <w:r w:rsidR="009D7370">
              <w:rPr>
                <w:rFonts w:ascii="Times New Roman" w:hAnsi="Times New Roman"/>
                <w:b/>
                <w:sz w:val="16"/>
                <w:szCs w:val="16"/>
              </w:rPr>
              <w:t xml:space="preserve">Hour </w:t>
            </w:r>
            <w:r w:rsidRPr="00897DB1">
              <w:rPr>
                <w:rFonts w:ascii="Times New Roman" w:hAnsi="Times New Roman"/>
                <w:b/>
                <w:sz w:val="16"/>
                <w:szCs w:val="16"/>
              </w:rPr>
              <w:t>Cost Per Respondent</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(5 x 6)</w:t>
            </w:r>
          </w:p>
        </w:tc>
        <w:tc>
          <w:tcPr>
            <w:tcW w:w="990"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8.</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Total Annual</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Responses</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(2 x 3)</w:t>
            </w:r>
          </w:p>
        </w:tc>
        <w:tc>
          <w:tcPr>
            <w:tcW w:w="900"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9.</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Total Annual  Burden Hours</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(2 x 5)</w:t>
            </w:r>
          </w:p>
        </w:tc>
        <w:tc>
          <w:tcPr>
            <w:tcW w:w="1530"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10.</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Total Annual Burden Hour Cost of All Responses</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(2 x 7)</w:t>
            </w:r>
          </w:p>
        </w:tc>
      </w:tr>
      <w:tr w:rsidRPr="00897DB1" w:rsidR="009D7370" w:rsidTr="00C00485">
        <w:trPr>
          <w:trHeight w:val="647"/>
        </w:trPr>
        <w:tc>
          <w:tcPr>
            <w:tcW w:w="1188" w:type="dxa"/>
            <w:shd w:val="clear" w:color="auto" w:fill="auto"/>
            <w:vAlign w:val="center"/>
          </w:tcPr>
          <w:p w:rsidRPr="00897DB1" w:rsidR="007274F8" w:rsidP="009D7370" w:rsidRDefault="007274F8">
            <w:pPr>
              <w:rPr>
                <w:rFonts w:ascii="Times New Roman" w:hAnsi="Times New Roman"/>
                <w:sz w:val="16"/>
                <w:szCs w:val="16"/>
              </w:rPr>
            </w:pPr>
            <w:r w:rsidRPr="00897DB1">
              <w:rPr>
                <w:rFonts w:ascii="Times New Roman" w:hAnsi="Times New Roman"/>
                <w:sz w:val="16"/>
                <w:szCs w:val="16"/>
              </w:rPr>
              <w:t>3.21(e)</w:t>
            </w:r>
          </w:p>
          <w:p w:rsidRPr="00897DB1" w:rsidR="007274F8" w:rsidP="009D7370" w:rsidRDefault="007274F8">
            <w:pPr>
              <w:rPr>
                <w:rFonts w:ascii="Times New Roman" w:hAnsi="Times New Roman"/>
                <w:sz w:val="16"/>
                <w:szCs w:val="16"/>
              </w:rPr>
            </w:pPr>
            <w:r w:rsidRPr="00897DB1">
              <w:rPr>
                <w:rFonts w:ascii="Times New Roman" w:hAnsi="Times New Roman"/>
                <w:sz w:val="16"/>
                <w:szCs w:val="16"/>
              </w:rPr>
              <w:t>Third Party Disclosure</w:t>
            </w:r>
          </w:p>
        </w:tc>
        <w:tc>
          <w:tcPr>
            <w:tcW w:w="1326" w:type="dxa"/>
            <w:shd w:val="clear" w:color="auto" w:fill="auto"/>
            <w:vAlign w:val="center"/>
          </w:tcPr>
          <w:p w:rsidRPr="00897DB1" w:rsidR="007274F8" w:rsidP="009D7370" w:rsidRDefault="007274F8">
            <w:pPr>
              <w:rPr>
                <w:rFonts w:ascii="Times New Roman" w:hAnsi="Times New Roman"/>
                <w:sz w:val="16"/>
                <w:szCs w:val="16"/>
              </w:rPr>
            </w:pPr>
            <w:r>
              <w:rPr>
                <w:rFonts w:ascii="Times New Roman" w:hAnsi="Times New Roman"/>
                <w:sz w:val="16"/>
                <w:szCs w:val="16"/>
              </w:rPr>
              <w:t>198</w:t>
            </w:r>
          </w:p>
        </w:tc>
        <w:tc>
          <w:tcPr>
            <w:tcW w:w="1194" w:type="dxa"/>
            <w:shd w:val="clear" w:color="auto" w:fill="auto"/>
            <w:vAlign w:val="center"/>
          </w:tcPr>
          <w:p w:rsidRPr="00897DB1" w:rsidR="007274F8" w:rsidP="009D7370" w:rsidRDefault="007274F8">
            <w:pPr>
              <w:rPr>
                <w:rFonts w:ascii="Times New Roman" w:hAnsi="Times New Roman"/>
                <w:sz w:val="16"/>
                <w:szCs w:val="16"/>
              </w:rPr>
            </w:pPr>
            <w:r w:rsidRPr="00897DB1">
              <w:rPr>
                <w:rFonts w:ascii="Times New Roman" w:hAnsi="Times New Roman"/>
                <w:sz w:val="16"/>
                <w:szCs w:val="16"/>
              </w:rPr>
              <w:t>1</w:t>
            </w:r>
          </w:p>
        </w:tc>
        <w:tc>
          <w:tcPr>
            <w:tcW w:w="1440" w:type="dxa"/>
            <w:shd w:val="clear" w:color="auto" w:fill="auto"/>
            <w:vAlign w:val="center"/>
          </w:tcPr>
          <w:p w:rsidRPr="00897DB1" w:rsidR="007274F8" w:rsidP="009D7370" w:rsidRDefault="007274F8">
            <w:pPr>
              <w:rPr>
                <w:rFonts w:ascii="Times New Roman" w:hAnsi="Times New Roman"/>
                <w:sz w:val="16"/>
                <w:szCs w:val="16"/>
              </w:rPr>
            </w:pPr>
            <w:r w:rsidRPr="00897DB1">
              <w:rPr>
                <w:rFonts w:ascii="Times New Roman" w:hAnsi="Times New Roman"/>
                <w:sz w:val="16"/>
                <w:szCs w:val="16"/>
              </w:rPr>
              <w:t>2</w:t>
            </w:r>
          </w:p>
        </w:tc>
        <w:tc>
          <w:tcPr>
            <w:tcW w:w="1080" w:type="dxa"/>
            <w:shd w:val="clear" w:color="auto" w:fill="auto"/>
            <w:vAlign w:val="center"/>
          </w:tcPr>
          <w:p w:rsidRPr="00897DB1" w:rsidR="007274F8" w:rsidP="009D7370" w:rsidRDefault="007274F8">
            <w:pPr>
              <w:rPr>
                <w:rFonts w:ascii="Times New Roman" w:hAnsi="Times New Roman"/>
                <w:sz w:val="16"/>
                <w:szCs w:val="16"/>
              </w:rPr>
            </w:pPr>
            <w:r w:rsidRPr="00897DB1">
              <w:rPr>
                <w:rFonts w:ascii="Times New Roman" w:hAnsi="Times New Roman"/>
                <w:sz w:val="16"/>
                <w:szCs w:val="16"/>
              </w:rPr>
              <w:t>2</w:t>
            </w:r>
          </w:p>
        </w:tc>
        <w:tc>
          <w:tcPr>
            <w:tcW w:w="1004" w:type="dxa"/>
            <w:shd w:val="clear" w:color="auto" w:fill="auto"/>
            <w:vAlign w:val="center"/>
          </w:tcPr>
          <w:p w:rsidRPr="00897DB1" w:rsidR="007274F8" w:rsidP="009D7370" w:rsidRDefault="00A16465">
            <w:pPr>
              <w:rPr>
                <w:rFonts w:ascii="Times New Roman" w:hAnsi="Times New Roman"/>
                <w:sz w:val="16"/>
                <w:szCs w:val="16"/>
              </w:rPr>
            </w:pPr>
            <w:r>
              <w:rPr>
                <w:rFonts w:ascii="Times New Roman" w:hAnsi="Times New Roman"/>
                <w:sz w:val="16"/>
                <w:szCs w:val="16"/>
              </w:rPr>
              <w:t>$57</w:t>
            </w:r>
          </w:p>
        </w:tc>
        <w:tc>
          <w:tcPr>
            <w:tcW w:w="1156" w:type="dxa"/>
            <w:shd w:val="clear" w:color="auto" w:fill="auto"/>
            <w:vAlign w:val="center"/>
          </w:tcPr>
          <w:p w:rsidRPr="00897DB1" w:rsidR="007274F8" w:rsidP="009D7370" w:rsidRDefault="007274F8">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114</w:t>
            </w:r>
          </w:p>
        </w:tc>
        <w:tc>
          <w:tcPr>
            <w:tcW w:w="990" w:type="dxa"/>
            <w:shd w:val="clear" w:color="auto" w:fill="auto"/>
            <w:vAlign w:val="center"/>
          </w:tcPr>
          <w:p w:rsidRPr="00897DB1" w:rsidR="007274F8" w:rsidP="009D7370" w:rsidRDefault="007274F8">
            <w:pPr>
              <w:rPr>
                <w:rFonts w:ascii="Times New Roman" w:hAnsi="Times New Roman"/>
                <w:sz w:val="16"/>
                <w:szCs w:val="16"/>
              </w:rPr>
            </w:pPr>
            <w:r>
              <w:rPr>
                <w:rFonts w:ascii="Times New Roman" w:hAnsi="Times New Roman"/>
                <w:sz w:val="16"/>
                <w:szCs w:val="16"/>
              </w:rPr>
              <w:t>198</w:t>
            </w:r>
          </w:p>
        </w:tc>
        <w:tc>
          <w:tcPr>
            <w:tcW w:w="900" w:type="dxa"/>
            <w:shd w:val="clear" w:color="auto" w:fill="auto"/>
            <w:vAlign w:val="center"/>
          </w:tcPr>
          <w:p w:rsidRPr="00897DB1" w:rsidR="007274F8" w:rsidP="009D7370" w:rsidRDefault="007274F8">
            <w:pPr>
              <w:rPr>
                <w:rFonts w:ascii="Times New Roman" w:hAnsi="Times New Roman"/>
                <w:sz w:val="16"/>
                <w:szCs w:val="16"/>
              </w:rPr>
            </w:pPr>
            <w:r>
              <w:rPr>
                <w:rFonts w:ascii="Times New Roman" w:hAnsi="Times New Roman"/>
                <w:sz w:val="16"/>
                <w:szCs w:val="16"/>
              </w:rPr>
              <w:t>396</w:t>
            </w:r>
          </w:p>
        </w:tc>
        <w:tc>
          <w:tcPr>
            <w:tcW w:w="1530" w:type="dxa"/>
            <w:shd w:val="clear" w:color="auto" w:fill="auto"/>
            <w:vAlign w:val="center"/>
          </w:tcPr>
          <w:p w:rsidRPr="00897DB1" w:rsidR="007274F8" w:rsidP="009D7370" w:rsidRDefault="007274F8">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22,572</w:t>
            </w:r>
          </w:p>
        </w:tc>
      </w:tr>
      <w:tr w:rsidRPr="00897DB1" w:rsidR="009D7370" w:rsidTr="00C00485">
        <w:trPr>
          <w:trHeight w:val="548"/>
        </w:trPr>
        <w:tc>
          <w:tcPr>
            <w:tcW w:w="1188" w:type="dxa"/>
            <w:shd w:val="clear" w:color="auto" w:fill="auto"/>
            <w:vAlign w:val="center"/>
          </w:tcPr>
          <w:p w:rsidRPr="00897DB1" w:rsidR="007274F8" w:rsidP="009D7370" w:rsidRDefault="007274F8">
            <w:pPr>
              <w:rPr>
                <w:rFonts w:ascii="Times New Roman" w:hAnsi="Times New Roman"/>
                <w:sz w:val="16"/>
                <w:szCs w:val="16"/>
              </w:rPr>
            </w:pPr>
            <w:r w:rsidRPr="00897DB1">
              <w:rPr>
                <w:rFonts w:ascii="Times New Roman" w:hAnsi="Times New Roman"/>
                <w:sz w:val="16"/>
                <w:szCs w:val="16"/>
              </w:rPr>
              <w:t>3.21(e)</w:t>
            </w:r>
          </w:p>
          <w:p w:rsidRPr="00897DB1" w:rsidR="007274F8" w:rsidP="009D7370" w:rsidRDefault="007274F8">
            <w:pPr>
              <w:rPr>
                <w:rFonts w:ascii="Times New Roman" w:hAnsi="Times New Roman"/>
                <w:sz w:val="16"/>
                <w:szCs w:val="16"/>
              </w:rPr>
            </w:pPr>
            <w:r w:rsidRPr="00897DB1">
              <w:rPr>
                <w:rFonts w:ascii="Times New Roman" w:hAnsi="Times New Roman"/>
                <w:sz w:val="16"/>
                <w:szCs w:val="16"/>
              </w:rPr>
              <w:t>Recordkeeping</w:t>
            </w:r>
          </w:p>
        </w:tc>
        <w:tc>
          <w:tcPr>
            <w:tcW w:w="1326" w:type="dxa"/>
            <w:shd w:val="clear" w:color="auto" w:fill="auto"/>
            <w:vAlign w:val="center"/>
          </w:tcPr>
          <w:p w:rsidRPr="00897DB1" w:rsidR="007274F8" w:rsidP="009D7370" w:rsidRDefault="007274F8">
            <w:pPr>
              <w:rPr>
                <w:rFonts w:ascii="Times New Roman" w:hAnsi="Times New Roman"/>
                <w:sz w:val="16"/>
                <w:szCs w:val="16"/>
              </w:rPr>
            </w:pPr>
            <w:r>
              <w:rPr>
                <w:rFonts w:ascii="Times New Roman" w:hAnsi="Times New Roman"/>
                <w:sz w:val="16"/>
                <w:szCs w:val="16"/>
              </w:rPr>
              <w:t>198</w:t>
            </w:r>
          </w:p>
        </w:tc>
        <w:tc>
          <w:tcPr>
            <w:tcW w:w="1194" w:type="dxa"/>
            <w:shd w:val="clear" w:color="auto" w:fill="auto"/>
            <w:vAlign w:val="center"/>
          </w:tcPr>
          <w:p w:rsidRPr="00897DB1" w:rsidR="007274F8" w:rsidP="009D7370" w:rsidRDefault="007274F8">
            <w:pPr>
              <w:rPr>
                <w:rFonts w:ascii="Times New Roman" w:hAnsi="Times New Roman"/>
                <w:sz w:val="16"/>
                <w:szCs w:val="16"/>
              </w:rPr>
            </w:pPr>
            <w:r w:rsidRPr="00897DB1">
              <w:rPr>
                <w:rFonts w:ascii="Times New Roman" w:hAnsi="Times New Roman"/>
                <w:sz w:val="16"/>
                <w:szCs w:val="16"/>
              </w:rPr>
              <w:t>1</w:t>
            </w:r>
          </w:p>
        </w:tc>
        <w:tc>
          <w:tcPr>
            <w:tcW w:w="1440" w:type="dxa"/>
            <w:shd w:val="clear" w:color="auto" w:fill="auto"/>
            <w:vAlign w:val="center"/>
          </w:tcPr>
          <w:p w:rsidRPr="00897DB1" w:rsidR="007274F8" w:rsidP="009D7370" w:rsidRDefault="007274F8">
            <w:pPr>
              <w:rPr>
                <w:rFonts w:ascii="Times New Roman" w:hAnsi="Times New Roman"/>
                <w:sz w:val="16"/>
                <w:szCs w:val="16"/>
              </w:rPr>
            </w:pPr>
            <w:r w:rsidRPr="00897DB1">
              <w:rPr>
                <w:rFonts w:ascii="Times New Roman" w:hAnsi="Times New Roman"/>
                <w:sz w:val="16"/>
                <w:szCs w:val="16"/>
              </w:rPr>
              <w:t>.5</w:t>
            </w:r>
          </w:p>
        </w:tc>
        <w:tc>
          <w:tcPr>
            <w:tcW w:w="1080" w:type="dxa"/>
            <w:shd w:val="clear" w:color="auto" w:fill="auto"/>
            <w:vAlign w:val="center"/>
          </w:tcPr>
          <w:p w:rsidRPr="00897DB1" w:rsidR="007274F8" w:rsidP="009D7370" w:rsidRDefault="007274F8">
            <w:pPr>
              <w:rPr>
                <w:rFonts w:ascii="Times New Roman" w:hAnsi="Times New Roman"/>
                <w:sz w:val="16"/>
                <w:szCs w:val="16"/>
              </w:rPr>
            </w:pPr>
            <w:r w:rsidRPr="00897DB1">
              <w:rPr>
                <w:rFonts w:ascii="Times New Roman" w:hAnsi="Times New Roman"/>
                <w:sz w:val="16"/>
                <w:szCs w:val="16"/>
              </w:rPr>
              <w:t>.5</w:t>
            </w:r>
          </w:p>
        </w:tc>
        <w:tc>
          <w:tcPr>
            <w:tcW w:w="1004" w:type="dxa"/>
            <w:shd w:val="clear" w:color="auto" w:fill="auto"/>
            <w:vAlign w:val="center"/>
          </w:tcPr>
          <w:p w:rsidRPr="00897DB1" w:rsidR="007274F8" w:rsidP="009D7370" w:rsidRDefault="007274F8">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57</w:t>
            </w:r>
          </w:p>
        </w:tc>
        <w:tc>
          <w:tcPr>
            <w:tcW w:w="1156" w:type="dxa"/>
            <w:shd w:val="clear" w:color="auto" w:fill="auto"/>
            <w:vAlign w:val="center"/>
          </w:tcPr>
          <w:p w:rsidRPr="00897DB1" w:rsidR="007274F8" w:rsidP="009D7370" w:rsidRDefault="007274F8">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28.5</w:t>
            </w:r>
          </w:p>
        </w:tc>
        <w:tc>
          <w:tcPr>
            <w:tcW w:w="990" w:type="dxa"/>
            <w:shd w:val="clear" w:color="auto" w:fill="auto"/>
            <w:vAlign w:val="center"/>
          </w:tcPr>
          <w:p w:rsidRPr="00897DB1" w:rsidR="007274F8" w:rsidP="00F83787" w:rsidRDefault="007274F8">
            <w:pPr>
              <w:rPr>
                <w:rFonts w:ascii="Times New Roman" w:hAnsi="Times New Roman"/>
                <w:sz w:val="16"/>
                <w:szCs w:val="16"/>
              </w:rPr>
            </w:pPr>
            <w:r>
              <w:rPr>
                <w:rFonts w:ascii="Times New Roman" w:hAnsi="Times New Roman"/>
                <w:sz w:val="16"/>
                <w:szCs w:val="16"/>
              </w:rPr>
              <w:t>198</w:t>
            </w:r>
          </w:p>
        </w:tc>
        <w:tc>
          <w:tcPr>
            <w:tcW w:w="900" w:type="dxa"/>
            <w:shd w:val="clear" w:color="auto" w:fill="auto"/>
            <w:vAlign w:val="center"/>
          </w:tcPr>
          <w:p w:rsidRPr="00897DB1" w:rsidR="007274F8" w:rsidP="00C00485" w:rsidRDefault="007274F8">
            <w:pPr>
              <w:rPr>
                <w:rFonts w:ascii="Times New Roman" w:hAnsi="Times New Roman"/>
                <w:sz w:val="16"/>
                <w:szCs w:val="16"/>
              </w:rPr>
            </w:pPr>
            <w:r>
              <w:rPr>
                <w:rFonts w:ascii="Times New Roman" w:hAnsi="Times New Roman"/>
                <w:sz w:val="16"/>
                <w:szCs w:val="16"/>
              </w:rPr>
              <w:t>99</w:t>
            </w:r>
          </w:p>
        </w:tc>
        <w:tc>
          <w:tcPr>
            <w:tcW w:w="1530" w:type="dxa"/>
            <w:shd w:val="clear" w:color="auto" w:fill="auto"/>
            <w:vAlign w:val="center"/>
          </w:tcPr>
          <w:p w:rsidRPr="00897DB1" w:rsidR="007274F8" w:rsidP="00C00485" w:rsidRDefault="007274F8">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5,643</w:t>
            </w:r>
          </w:p>
        </w:tc>
      </w:tr>
      <w:tr w:rsidRPr="00897DB1" w:rsidR="009D7370" w:rsidTr="00C00485">
        <w:trPr>
          <w:trHeight w:val="530"/>
        </w:trPr>
        <w:tc>
          <w:tcPr>
            <w:tcW w:w="1188" w:type="dxa"/>
            <w:shd w:val="clear" w:color="auto" w:fill="auto"/>
            <w:vAlign w:val="center"/>
          </w:tcPr>
          <w:p w:rsidRPr="00897DB1" w:rsidR="007274F8" w:rsidP="009D7370" w:rsidRDefault="007274F8">
            <w:pPr>
              <w:rPr>
                <w:rFonts w:ascii="Times New Roman" w:hAnsi="Times New Roman"/>
                <w:b/>
                <w:sz w:val="16"/>
                <w:szCs w:val="16"/>
              </w:rPr>
            </w:pPr>
            <w:r w:rsidRPr="00897DB1">
              <w:rPr>
                <w:rFonts w:ascii="Times New Roman" w:hAnsi="Times New Roman"/>
                <w:b/>
                <w:sz w:val="16"/>
                <w:szCs w:val="16"/>
              </w:rPr>
              <w:t>Total Burden</w:t>
            </w:r>
            <w:r>
              <w:rPr>
                <w:rFonts w:ascii="Times New Roman" w:hAnsi="Times New Roman"/>
                <w:b/>
                <w:sz w:val="16"/>
                <w:szCs w:val="16"/>
              </w:rPr>
              <w:t xml:space="preserve"> Hours</w:t>
            </w:r>
            <w:r w:rsidRPr="00897DB1">
              <w:rPr>
                <w:rFonts w:ascii="Times New Roman" w:hAnsi="Times New Roman"/>
                <w:b/>
                <w:sz w:val="16"/>
                <w:szCs w:val="16"/>
              </w:rPr>
              <w:t>/Cost:</w:t>
            </w:r>
          </w:p>
        </w:tc>
        <w:tc>
          <w:tcPr>
            <w:tcW w:w="1326" w:type="dxa"/>
            <w:shd w:val="clear" w:color="auto" w:fill="auto"/>
            <w:vAlign w:val="center"/>
          </w:tcPr>
          <w:p w:rsidRPr="00897DB1" w:rsidR="007274F8" w:rsidP="009D7370" w:rsidRDefault="007274F8">
            <w:pPr>
              <w:rPr>
                <w:rFonts w:ascii="Times New Roman" w:hAnsi="Times New Roman"/>
                <w:b/>
                <w:sz w:val="16"/>
                <w:szCs w:val="16"/>
              </w:rPr>
            </w:pPr>
          </w:p>
        </w:tc>
        <w:tc>
          <w:tcPr>
            <w:tcW w:w="1194" w:type="dxa"/>
            <w:shd w:val="clear" w:color="auto" w:fill="auto"/>
            <w:vAlign w:val="center"/>
          </w:tcPr>
          <w:p w:rsidRPr="00897DB1" w:rsidR="007274F8" w:rsidP="009D7370" w:rsidRDefault="007274F8">
            <w:pPr>
              <w:rPr>
                <w:rFonts w:ascii="Times New Roman" w:hAnsi="Times New Roman"/>
                <w:b/>
                <w:sz w:val="16"/>
                <w:szCs w:val="16"/>
              </w:rPr>
            </w:pPr>
          </w:p>
        </w:tc>
        <w:tc>
          <w:tcPr>
            <w:tcW w:w="1440" w:type="dxa"/>
            <w:shd w:val="clear" w:color="auto" w:fill="auto"/>
            <w:vAlign w:val="center"/>
          </w:tcPr>
          <w:p w:rsidRPr="00897DB1" w:rsidR="007274F8" w:rsidP="009D7370" w:rsidRDefault="007274F8">
            <w:pPr>
              <w:rPr>
                <w:rFonts w:ascii="Times New Roman" w:hAnsi="Times New Roman"/>
                <w:b/>
                <w:sz w:val="16"/>
                <w:szCs w:val="16"/>
              </w:rPr>
            </w:pPr>
          </w:p>
        </w:tc>
        <w:tc>
          <w:tcPr>
            <w:tcW w:w="1080" w:type="dxa"/>
            <w:shd w:val="clear" w:color="auto" w:fill="auto"/>
            <w:vAlign w:val="center"/>
          </w:tcPr>
          <w:p w:rsidRPr="00897DB1" w:rsidR="007274F8" w:rsidP="009D7370" w:rsidRDefault="007274F8">
            <w:pPr>
              <w:rPr>
                <w:rFonts w:ascii="Times New Roman" w:hAnsi="Times New Roman"/>
                <w:b/>
                <w:sz w:val="16"/>
                <w:szCs w:val="16"/>
              </w:rPr>
            </w:pPr>
          </w:p>
        </w:tc>
        <w:tc>
          <w:tcPr>
            <w:tcW w:w="1004" w:type="dxa"/>
            <w:shd w:val="clear" w:color="auto" w:fill="auto"/>
            <w:vAlign w:val="center"/>
          </w:tcPr>
          <w:p w:rsidRPr="00897DB1" w:rsidR="007274F8" w:rsidP="009D7370" w:rsidRDefault="007274F8">
            <w:pPr>
              <w:rPr>
                <w:rFonts w:ascii="Times New Roman" w:hAnsi="Times New Roman"/>
                <w:b/>
                <w:sz w:val="16"/>
                <w:szCs w:val="16"/>
              </w:rPr>
            </w:pPr>
          </w:p>
        </w:tc>
        <w:tc>
          <w:tcPr>
            <w:tcW w:w="1156" w:type="dxa"/>
            <w:shd w:val="clear" w:color="auto" w:fill="auto"/>
            <w:vAlign w:val="center"/>
          </w:tcPr>
          <w:p w:rsidRPr="00897DB1" w:rsidR="007274F8" w:rsidP="00F83787" w:rsidRDefault="007274F8">
            <w:pPr>
              <w:rPr>
                <w:rFonts w:ascii="Times New Roman" w:hAnsi="Times New Roman"/>
                <w:b/>
                <w:sz w:val="16"/>
                <w:szCs w:val="16"/>
              </w:rPr>
            </w:pPr>
          </w:p>
        </w:tc>
        <w:tc>
          <w:tcPr>
            <w:tcW w:w="990" w:type="dxa"/>
            <w:shd w:val="clear" w:color="auto" w:fill="auto"/>
            <w:vAlign w:val="center"/>
          </w:tcPr>
          <w:p w:rsidRPr="00897DB1" w:rsidR="007274F8" w:rsidP="00C00485" w:rsidRDefault="007274F8">
            <w:pPr>
              <w:rPr>
                <w:rFonts w:ascii="Times New Roman" w:hAnsi="Times New Roman"/>
                <w:b/>
                <w:sz w:val="16"/>
                <w:szCs w:val="16"/>
              </w:rPr>
            </w:pPr>
          </w:p>
        </w:tc>
        <w:tc>
          <w:tcPr>
            <w:tcW w:w="900" w:type="dxa"/>
            <w:shd w:val="clear" w:color="auto" w:fill="auto"/>
            <w:vAlign w:val="center"/>
          </w:tcPr>
          <w:p w:rsidRPr="00897DB1" w:rsidR="007274F8" w:rsidP="00C00485" w:rsidRDefault="007274F8">
            <w:pPr>
              <w:rPr>
                <w:rFonts w:ascii="Times New Roman" w:hAnsi="Times New Roman"/>
                <w:b/>
                <w:sz w:val="16"/>
                <w:szCs w:val="16"/>
              </w:rPr>
            </w:pPr>
            <w:r>
              <w:rPr>
                <w:rFonts w:ascii="Times New Roman" w:hAnsi="Times New Roman"/>
                <w:b/>
                <w:sz w:val="16"/>
                <w:szCs w:val="16"/>
              </w:rPr>
              <w:t>49</w:t>
            </w:r>
            <w:r w:rsidRPr="00897DB1">
              <w:rPr>
                <w:rFonts w:ascii="Times New Roman" w:hAnsi="Times New Roman"/>
                <w:b/>
                <w:sz w:val="16"/>
                <w:szCs w:val="16"/>
              </w:rPr>
              <w:t>5</w:t>
            </w:r>
          </w:p>
        </w:tc>
        <w:tc>
          <w:tcPr>
            <w:tcW w:w="1530" w:type="dxa"/>
            <w:shd w:val="clear" w:color="auto" w:fill="auto"/>
            <w:vAlign w:val="center"/>
          </w:tcPr>
          <w:p w:rsidRPr="00897DB1" w:rsidR="007274F8" w:rsidP="00C00485" w:rsidRDefault="007274F8">
            <w:pPr>
              <w:rPr>
                <w:rFonts w:ascii="Times New Roman" w:hAnsi="Times New Roman"/>
                <w:b/>
                <w:sz w:val="16"/>
                <w:szCs w:val="16"/>
              </w:rPr>
            </w:pPr>
            <w:r w:rsidRPr="00897DB1">
              <w:rPr>
                <w:rFonts w:ascii="Times New Roman" w:hAnsi="Times New Roman"/>
                <w:b/>
                <w:sz w:val="16"/>
                <w:szCs w:val="16"/>
              </w:rPr>
              <w:t>$</w:t>
            </w:r>
            <w:r w:rsidR="00A16465">
              <w:rPr>
                <w:rFonts w:ascii="Times New Roman" w:hAnsi="Times New Roman"/>
                <w:b/>
                <w:sz w:val="16"/>
                <w:szCs w:val="16"/>
              </w:rPr>
              <w:t>28,215</w:t>
            </w:r>
          </w:p>
        </w:tc>
      </w:tr>
    </w:tbl>
    <w:p w:rsidR="009D7370" w:rsidP="007274F8" w:rsidRDefault="009D7370">
      <w:pPr>
        <w:ind w:firstLine="720"/>
        <w:rPr>
          <w:rFonts w:ascii="Times New Roman" w:hAnsi="Times New Roman"/>
          <w:sz w:val="16"/>
          <w:szCs w:val="16"/>
        </w:rPr>
      </w:pPr>
    </w:p>
    <w:p w:rsidR="009D7370" w:rsidRDefault="009D7370">
      <w:pPr>
        <w:spacing w:after="200" w:line="276" w:lineRule="auto"/>
        <w:rPr>
          <w:rFonts w:ascii="Times New Roman" w:hAnsi="Times New Roman"/>
          <w:sz w:val="16"/>
          <w:szCs w:val="16"/>
        </w:rPr>
      </w:pPr>
      <w:r>
        <w:rPr>
          <w:rFonts w:ascii="Times New Roman" w:hAnsi="Times New Roman"/>
          <w:sz w:val="16"/>
          <w:szCs w:val="16"/>
        </w:rPr>
        <w:br w:type="page"/>
      </w:r>
    </w:p>
    <w:p w:rsidR="007274F8" w:rsidP="007274F8" w:rsidRDefault="007274F8">
      <w:pPr>
        <w:ind w:firstLine="720"/>
        <w:rPr>
          <w:rFonts w:ascii="Times New Roman" w:hAnsi="Times New Roman"/>
          <w:sz w:val="16"/>
          <w:szCs w:val="16"/>
        </w:rPr>
      </w:pPr>
    </w:p>
    <w:p w:rsidRPr="00897DB1" w:rsidR="009D7370" w:rsidP="007274F8" w:rsidRDefault="009D7370">
      <w:pPr>
        <w:ind w:firstLine="720"/>
        <w:rPr>
          <w:rFonts w:ascii="Times New Roman" w:hAnsi="Times New Roman"/>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88"/>
        <w:gridCol w:w="1326"/>
        <w:gridCol w:w="1194"/>
        <w:gridCol w:w="1440"/>
        <w:gridCol w:w="1080"/>
        <w:gridCol w:w="990"/>
        <w:gridCol w:w="1170"/>
        <w:gridCol w:w="990"/>
        <w:gridCol w:w="900"/>
        <w:gridCol w:w="1530"/>
      </w:tblGrid>
      <w:tr w:rsidRPr="00897DB1" w:rsidR="00C00485" w:rsidTr="00C00485">
        <w:tc>
          <w:tcPr>
            <w:tcW w:w="1188"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1.</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Regulation</w:t>
            </w:r>
          </w:p>
        </w:tc>
        <w:tc>
          <w:tcPr>
            <w:tcW w:w="1326"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2.</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 xml:space="preserve">Estimated No. of Respondents </w:t>
            </w:r>
          </w:p>
          <w:p w:rsidRPr="00897DB1" w:rsidR="007274F8" w:rsidP="009F335B" w:rsidRDefault="007274F8">
            <w:pPr>
              <w:rPr>
                <w:rFonts w:ascii="Times New Roman" w:hAnsi="Times New Roman"/>
                <w:sz w:val="16"/>
                <w:szCs w:val="16"/>
              </w:rPr>
            </w:pPr>
          </w:p>
        </w:tc>
        <w:tc>
          <w:tcPr>
            <w:tcW w:w="1194"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3.</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Estimated No. of Reports</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by Each Respondent</w:t>
            </w:r>
          </w:p>
        </w:tc>
        <w:tc>
          <w:tcPr>
            <w:tcW w:w="1440"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4.</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Estimated Average No. of Burden Hours per Response</w:t>
            </w:r>
          </w:p>
        </w:tc>
        <w:tc>
          <w:tcPr>
            <w:tcW w:w="1080"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5.</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Annual  No. of Burden Hours per Respondent</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(3 x 4)</w:t>
            </w:r>
          </w:p>
        </w:tc>
        <w:tc>
          <w:tcPr>
            <w:tcW w:w="990"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 xml:space="preserve">6. </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Estimated Average Burden Hour Cost</w:t>
            </w:r>
          </w:p>
          <w:p w:rsidRPr="00897DB1" w:rsidR="007274F8" w:rsidP="009F335B" w:rsidRDefault="007274F8">
            <w:pPr>
              <w:rPr>
                <w:rFonts w:ascii="Times New Roman" w:hAnsi="Times New Roman"/>
                <w:sz w:val="16"/>
                <w:szCs w:val="16"/>
              </w:rPr>
            </w:pPr>
          </w:p>
        </w:tc>
        <w:tc>
          <w:tcPr>
            <w:tcW w:w="1170"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7.</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Total Average Hour Burden Cost Per Respondent</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(5 x 6)</w:t>
            </w:r>
          </w:p>
        </w:tc>
        <w:tc>
          <w:tcPr>
            <w:tcW w:w="990"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8.</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Total Annual</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Responses</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(2 x 3)</w:t>
            </w:r>
          </w:p>
        </w:tc>
        <w:tc>
          <w:tcPr>
            <w:tcW w:w="900"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9.</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Total Annual  Burden Hours</w:t>
            </w:r>
          </w:p>
          <w:p w:rsidRPr="00897DB1" w:rsidR="007274F8" w:rsidP="00582C01" w:rsidRDefault="007274F8">
            <w:pPr>
              <w:rPr>
                <w:rFonts w:ascii="Times New Roman" w:hAnsi="Times New Roman"/>
                <w:sz w:val="16"/>
                <w:szCs w:val="16"/>
              </w:rPr>
            </w:pPr>
            <w:r w:rsidRPr="00897DB1">
              <w:rPr>
                <w:rFonts w:ascii="Times New Roman" w:hAnsi="Times New Roman"/>
                <w:b/>
                <w:sz w:val="16"/>
                <w:szCs w:val="16"/>
              </w:rPr>
              <w:t>(</w:t>
            </w:r>
            <w:r w:rsidR="00582C01">
              <w:rPr>
                <w:rFonts w:ascii="Times New Roman" w:hAnsi="Times New Roman"/>
                <w:b/>
                <w:sz w:val="16"/>
                <w:szCs w:val="16"/>
              </w:rPr>
              <w:t>8</w:t>
            </w:r>
            <w:r w:rsidRPr="00897DB1" w:rsidR="00582C01">
              <w:rPr>
                <w:rFonts w:ascii="Times New Roman" w:hAnsi="Times New Roman"/>
                <w:b/>
                <w:sz w:val="16"/>
                <w:szCs w:val="16"/>
              </w:rPr>
              <w:t xml:space="preserve"> </w:t>
            </w:r>
            <w:r w:rsidRPr="00897DB1">
              <w:rPr>
                <w:rFonts w:ascii="Times New Roman" w:hAnsi="Times New Roman"/>
                <w:b/>
                <w:sz w:val="16"/>
                <w:szCs w:val="16"/>
              </w:rPr>
              <w:t>x 5)</w:t>
            </w:r>
          </w:p>
        </w:tc>
        <w:tc>
          <w:tcPr>
            <w:tcW w:w="1530"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10.</w:t>
            </w:r>
          </w:p>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Total Annual Burden Hour Cost of All Responses</w:t>
            </w:r>
          </w:p>
          <w:p w:rsidRPr="00897DB1" w:rsidR="007274F8" w:rsidP="009F335B" w:rsidRDefault="007274F8">
            <w:pPr>
              <w:rPr>
                <w:rFonts w:ascii="Times New Roman" w:hAnsi="Times New Roman"/>
                <w:sz w:val="16"/>
                <w:szCs w:val="16"/>
              </w:rPr>
            </w:pPr>
            <w:r w:rsidRPr="00897DB1">
              <w:rPr>
                <w:rFonts w:ascii="Times New Roman" w:hAnsi="Times New Roman"/>
                <w:b/>
                <w:sz w:val="16"/>
                <w:szCs w:val="16"/>
              </w:rPr>
              <w:t>(</w:t>
            </w:r>
            <w:r w:rsidR="00582C01">
              <w:rPr>
                <w:rFonts w:ascii="Times New Roman" w:hAnsi="Times New Roman"/>
                <w:b/>
                <w:sz w:val="16"/>
                <w:szCs w:val="16"/>
              </w:rPr>
              <w:t>8</w:t>
            </w:r>
            <w:r w:rsidRPr="00897DB1">
              <w:rPr>
                <w:rFonts w:ascii="Times New Roman" w:hAnsi="Times New Roman"/>
                <w:b/>
                <w:sz w:val="16"/>
                <w:szCs w:val="16"/>
              </w:rPr>
              <w:t xml:space="preserve"> x 7)</w:t>
            </w:r>
          </w:p>
        </w:tc>
      </w:tr>
      <w:tr w:rsidRPr="00897DB1" w:rsidR="009D7370" w:rsidTr="009D7370">
        <w:tc>
          <w:tcPr>
            <w:tcW w:w="1188" w:type="dxa"/>
            <w:shd w:val="clear" w:color="auto" w:fill="auto"/>
          </w:tcPr>
          <w:p w:rsidRPr="00897DB1" w:rsidR="007274F8" w:rsidP="009F335B" w:rsidRDefault="007274F8">
            <w:pPr>
              <w:rPr>
                <w:rFonts w:ascii="Times New Roman" w:hAnsi="Times New Roman"/>
                <w:sz w:val="16"/>
                <w:szCs w:val="16"/>
              </w:rPr>
            </w:pPr>
            <w:r>
              <w:rPr>
                <w:rFonts w:ascii="Times New Roman" w:hAnsi="Times New Roman"/>
                <w:sz w:val="16"/>
                <w:szCs w:val="16"/>
              </w:rPr>
              <w:t>Part 3 (except 3.21(e))</w:t>
            </w:r>
          </w:p>
        </w:tc>
        <w:tc>
          <w:tcPr>
            <w:tcW w:w="1326" w:type="dxa"/>
            <w:shd w:val="clear" w:color="auto" w:fill="auto"/>
          </w:tcPr>
          <w:p w:rsidRPr="00897DB1" w:rsidR="00D91150" w:rsidP="00D91150" w:rsidRDefault="00D91150">
            <w:pPr>
              <w:rPr>
                <w:rFonts w:ascii="Times New Roman" w:hAnsi="Times New Roman"/>
                <w:sz w:val="16"/>
                <w:szCs w:val="16"/>
              </w:rPr>
            </w:pPr>
            <w:r>
              <w:rPr>
                <w:rFonts w:ascii="Times New Roman" w:hAnsi="Times New Roman"/>
                <w:sz w:val="16"/>
                <w:szCs w:val="16"/>
              </w:rPr>
              <w:t>77,492</w:t>
            </w:r>
          </w:p>
        </w:tc>
        <w:tc>
          <w:tcPr>
            <w:tcW w:w="1194" w:type="dxa"/>
            <w:shd w:val="clear" w:color="auto" w:fill="auto"/>
          </w:tcPr>
          <w:p w:rsidRPr="00897DB1" w:rsidR="007274F8" w:rsidP="009D7370" w:rsidRDefault="007274F8">
            <w:pPr>
              <w:rPr>
                <w:rFonts w:ascii="Times New Roman" w:hAnsi="Times New Roman"/>
                <w:sz w:val="16"/>
                <w:szCs w:val="16"/>
              </w:rPr>
            </w:pPr>
            <w:r w:rsidRPr="00897DB1">
              <w:rPr>
                <w:rFonts w:ascii="Times New Roman" w:hAnsi="Times New Roman"/>
                <w:sz w:val="16"/>
                <w:szCs w:val="16"/>
              </w:rPr>
              <w:t>1</w:t>
            </w:r>
          </w:p>
        </w:tc>
        <w:tc>
          <w:tcPr>
            <w:tcW w:w="1440" w:type="dxa"/>
            <w:shd w:val="clear" w:color="auto" w:fill="auto"/>
          </w:tcPr>
          <w:p w:rsidRPr="00897DB1" w:rsidR="007274F8" w:rsidP="009F335B" w:rsidRDefault="007274F8">
            <w:pPr>
              <w:rPr>
                <w:rFonts w:ascii="Times New Roman" w:hAnsi="Times New Roman"/>
                <w:sz w:val="16"/>
                <w:szCs w:val="16"/>
              </w:rPr>
            </w:pPr>
            <w:r>
              <w:rPr>
                <w:rFonts w:ascii="Times New Roman" w:hAnsi="Times New Roman"/>
                <w:sz w:val="16"/>
                <w:szCs w:val="16"/>
              </w:rPr>
              <w:t>0.09</w:t>
            </w:r>
          </w:p>
        </w:tc>
        <w:tc>
          <w:tcPr>
            <w:tcW w:w="1080" w:type="dxa"/>
            <w:shd w:val="clear" w:color="auto" w:fill="auto"/>
          </w:tcPr>
          <w:p w:rsidRPr="00897DB1" w:rsidR="007274F8" w:rsidP="009F335B" w:rsidRDefault="007274F8">
            <w:pPr>
              <w:rPr>
                <w:rFonts w:ascii="Times New Roman" w:hAnsi="Times New Roman"/>
                <w:sz w:val="16"/>
                <w:szCs w:val="16"/>
              </w:rPr>
            </w:pPr>
            <w:r>
              <w:rPr>
                <w:rFonts w:ascii="Times New Roman" w:hAnsi="Times New Roman"/>
                <w:sz w:val="16"/>
                <w:szCs w:val="16"/>
              </w:rPr>
              <w:t>0.09</w:t>
            </w:r>
          </w:p>
        </w:tc>
        <w:tc>
          <w:tcPr>
            <w:tcW w:w="990" w:type="dxa"/>
            <w:shd w:val="clear" w:color="auto" w:fill="auto"/>
          </w:tcPr>
          <w:p w:rsidRPr="00897DB1" w:rsidR="007274F8" w:rsidP="009F335B" w:rsidRDefault="007274F8">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57</w:t>
            </w:r>
          </w:p>
        </w:tc>
        <w:tc>
          <w:tcPr>
            <w:tcW w:w="1170" w:type="dxa"/>
            <w:shd w:val="clear" w:color="auto" w:fill="auto"/>
          </w:tcPr>
          <w:p w:rsidRPr="00897DB1" w:rsidR="007274F8" w:rsidP="007274F8" w:rsidRDefault="007274F8">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5.13</w:t>
            </w:r>
          </w:p>
        </w:tc>
        <w:tc>
          <w:tcPr>
            <w:tcW w:w="990" w:type="dxa"/>
            <w:shd w:val="clear" w:color="auto" w:fill="auto"/>
          </w:tcPr>
          <w:p w:rsidRPr="00897DB1" w:rsidR="00D91150" w:rsidP="00C23B42" w:rsidRDefault="00A16465">
            <w:pPr>
              <w:rPr>
                <w:rFonts w:ascii="Times New Roman" w:hAnsi="Times New Roman"/>
                <w:sz w:val="16"/>
                <w:szCs w:val="16"/>
              </w:rPr>
            </w:pPr>
            <w:r>
              <w:rPr>
                <w:rFonts w:ascii="Times New Roman" w:hAnsi="Times New Roman"/>
                <w:sz w:val="16"/>
                <w:szCs w:val="16"/>
              </w:rPr>
              <w:t>77,</w:t>
            </w:r>
            <w:r w:rsidR="00AD4AF8">
              <w:rPr>
                <w:rFonts w:ascii="Times New Roman" w:hAnsi="Times New Roman"/>
                <w:sz w:val="16"/>
                <w:szCs w:val="16"/>
              </w:rPr>
              <w:t>492</w:t>
            </w:r>
          </w:p>
        </w:tc>
        <w:tc>
          <w:tcPr>
            <w:tcW w:w="900" w:type="dxa"/>
            <w:shd w:val="clear" w:color="auto" w:fill="auto"/>
          </w:tcPr>
          <w:p w:rsidRPr="00897DB1" w:rsidR="00D91150" w:rsidP="00D91150" w:rsidRDefault="00D91150">
            <w:pPr>
              <w:rPr>
                <w:rFonts w:ascii="Times New Roman" w:hAnsi="Times New Roman"/>
                <w:sz w:val="16"/>
                <w:szCs w:val="16"/>
              </w:rPr>
            </w:pPr>
            <w:r>
              <w:rPr>
                <w:rFonts w:ascii="Times New Roman" w:hAnsi="Times New Roman"/>
                <w:sz w:val="16"/>
                <w:szCs w:val="16"/>
              </w:rPr>
              <w:t>6,9</w:t>
            </w:r>
            <w:r w:rsidR="00AD4AF8">
              <w:rPr>
                <w:rFonts w:ascii="Times New Roman" w:hAnsi="Times New Roman"/>
                <w:sz w:val="16"/>
                <w:szCs w:val="16"/>
              </w:rPr>
              <w:t>74</w:t>
            </w:r>
          </w:p>
        </w:tc>
        <w:tc>
          <w:tcPr>
            <w:tcW w:w="1530" w:type="dxa"/>
            <w:shd w:val="clear" w:color="auto" w:fill="auto"/>
          </w:tcPr>
          <w:p w:rsidRPr="00897DB1" w:rsidR="00D91150" w:rsidP="00D91150" w:rsidRDefault="00D91150">
            <w:pPr>
              <w:rPr>
                <w:rFonts w:ascii="Times New Roman" w:hAnsi="Times New Roman"/>
                <w:sz w:val="16"/>
                <w:szCs w:val="16"/>
              </w:rPr>
            </w:pPr>
            <w:r>
              <w:rPr>
                <w:rFonts w:ascii="Times New Roman" w:hAnsi="Times New Roman"/>
                <w:sz w:val="16"/>
                <w:szCs w:val="16"/>
              </w:rPr>
              <w:t>$</w:t>
            </w:r>
            <w:r w:rsidR="00E045E2">
              <w:rPr>
                <w:rFonts w:ascii="Times New Roman" w:hAnsi="Times New Roman"/>
                <w:sz w:val="16"/>
                <w:szCs w:val="16"/>
              </w:rPr>
              <w:t>398,801</w:t>
            </w:r>
          </w:p>
        </w:tc>
      </w:tr>
      <w:tr w:rsidRPr="00897DB1" w:rsidR="009D7370" w:rsidTr="009D7370">
        <w:tc>
          <w:tcPr>
            <w:tcW w:w="1188" w:type="dxa"/>
            <w:shd w:val="clear" w:color="auto" w:fill="auto"/>
          </w:tcPr>
          <w:p w:rsidRPr="00897DB1" w:rsidR="007274F8" w:rsidP="009F335B" w:rsidRDefault="007274F8">
            <w:pPr>
              <w:rPr>
                <w:rFonts w:ascii="Times New Roman" w:hAnsi="Times New Roman"/>
                <w:b/>
                <w:sz w:val="16"/>
                <w:szCs w:val="16"/>
              </w:rPr>
            </w:pPr>
            <w:r w:rsidRPr="00897DB1">
              <w:rPr>
                <w:rFonts w:ascii="Times New Roman" w:hAnsi="Times New Roman"/>
                <w:b/>
                <w:sz w:val="16"/>
                <w:szCs w:val="16"/>
              </w:rPr>
              <w:t>Total Burden</w:t>
            </w:r>
            <w:r>
              <w:rPr>
                <w:rFonts w:ascii="Times New Roman" w:hAnsi="Times New Roman"/>
                <w:b/>
                <w:sz w:val="16"/>
                <w:szCs w:val="16"/>
              </w:rPr>
              <w:t xml:space="preserve"> Hours</w:t>
            </w:r>
            <w:r w:rsidRPr="00897DB1">
              <w:rPr>
                <w:rFonts w:ascii="Times New Roman" w:hAnsi="Times New Roman"/>
                <w:b/>
                <w:sz w:val="16"/>
                <w:szCs w:val="16"/>
              </w:rPr>
              <w:t>/Cost:</w:t>
            </w:r>
          </w:p>
        </w:tc>
        <w:tc>
          <w:tcPr>
            <w:tcW w:w="1326" w:type="dxa"/>
            <w:shd w:val="clear" w:color="auto" w:fill="auto"/>
          </w:tcPr>
          <w:p w:rsidRPr="00897DB1" w:rsidR="007274F8" w:rsidP="009F335B" w:rsidRDefault="007274F8">
            <w:pPr>
              <w:rPr>
                <w:rFonts w:ascii="Times New Roman" w:hAnsi="Times New Roman"/>
                <w:b/>
                <w:sz w:val="16"/>
                <w:szCs w:val="16"/>
              </w:rPr>
            </w:pPr>
          </w:p>
        </w:tc>
        <w:tc>
          <w:tcPr>
            <w:tcW w:w="1194" w:type="dxa"/>
            <w:shd w:val="clear" w:color="auto" w:fill="auto"/>
          </w:tcPr>
          <w:p w:rsidRPr="00897DB1" w:rsidR="007274F8" w:rsidP="009F335B" w:rsidRDefault="007274F8">
            <w:pPr>
              <w:rPr>
                <w:rFonts w:ascii="Times New Roman" w:hAnsi="Times New Roman"/>
                <w:b/>
                <w:sz w:val="16"/>
                <w:szCs w:val="16"/>
              </w:rPr>
            </w:pPr>
          </w:p>
        </w:tc>
        <w:tc>
          <w:tcPr>
            <w:tcW w:w="1440" w:type="dxa"/>
            <w:shd w:val="clear" w:color="auto" w:fill="auto"/>
          </w:tcPr>
          <w:p w:rsidRPr="00897DB1" w:rsidR="007274F8" w:rsidP="009F335B" w:rsidRDefault="007274F8">
            <w:pPr>
              <w:rPr>
                <w:rFonts w:ascii="Times New Roman" w:hAnsi="Times New Roman"/>
                <w:b/>
                <w:sz w:val="16"/>
                <w:szCs w:val="16"/>
              </w:rPr>
            </w:pPr>
          </w:p>
        </w:tc>
        <w:tc>
          <w:tcPr>
            <w:tcW w:w="1080" w:type="dxa"/>
            <w:shd w:val="clear" w:color="auto" w:fill="auto"/>
          </w:tcPr>
          <w:p w:rsidRPr="00897DB1" w:rsidR="007274F8" w:rsidP="009F335B" w:rsidRDefault="007274F8">
            <w:pPr>
              <w:rPr>
                <w:rFonts w:ascii="Times New Roman" w:hAnsi="Times New Roman"/>
                <w:b/>
                <w:sz w:val="16"/>
                <w:szCs w:val="16"/>
              </w:rPr>
            </w:pPr>
          </w:p>
        </w:tc>
        <w:tc>
          <w:tcPr>
            <w:tcW w:w="990" w:type="dxa"/>
            <w:shd w:val="clear" w:color="auto" w:fill="auto"/>
          </w:tcPr>
          <w:p w:rsidRPr="00897DB1" w:rsidR="007274F8" w:rsidP="009F335B" w:rsidRDefault="007274F8">
            <w:pPr>
              <w:rPr>
                <w:rFonts w:ascii="Times New Roman" w:hAnsi="Times New Roman"/>
                <w:b/>
                <w:sz w:val="16"/>
                <w:szCs w:val="16"/>
              </w:rPr>
            </w:pPr>
          </w:p>
        </w:tc>
        <w:tc>
          <w:tcPr>
            <w:tcW w:w="1170" w:type="dxa"/>
            <w:shd w:val="clear" w:color="auto" w:fill="auto"/>
          </w:tcPr>
          <w:p w:rsidRPr="00897DB1" w:rsidR="007274F8" w:rsidP="009F335B" w:rsidRDefault="007274F8">
            <w:pPr>
              <w:rPr>
                <w:rFonts w:ascii="Times New Roman" w:hAnsi="Times New Roman"/>
                <w:b/>
                <w:sz w:val="16"/>
                <w:szCs w:val="16"/>
              </w:rPr>
            </w:pPr>
          </w:p>
        </w:tc>
        <w:tc>
          <w:tcPr>
            <w:tcW w:w="990" w:type="dxa"/>
            <w:shd w:val="clear" w:color="auto" w:fill="auto"/>
          </w:tcPr>
          <w:p w:rsidR="009D7370" w:rsidP="009F335B" w:rsidRDefault="009D7370">
            <w:pPr>
              <w:rPr>
                <w:rFonts w:ascii="Times New Roman" w:hAnsi="Times New Roman"/>
                <w:b/>
                <w:sz w:val="16"/>
                <w:szCs w:val="16"/>
              </w:rPr>
            </w:pPr>
          </w:p>
          <w:p w:rsidRPr="00897DB1" w:rsidR="00D91150" w:rsidP="00C23B42" w:rsidRDefault="00A16465">
            <w:pPr>
              <w:rPr>
                <w:rFonts w:ascii="Times New Roman" w:hAnsi="Times New Roman"/>
                <w:b/>
                <w:sz w:val="16"/>
                <w:szCs w:val="16"/>
              </w:rPr>
            </w:pPr>
            <w:r>
              <w:rPr>
                <w:rFonts w:ascii="Times New Roman" w:hAnsi="Times New Roman"/>
                <w:b/>
                <w:sz w:val="16"/>
                <w:szCs w:val="16"/>
              </w:rPr>
              <w:t>77,</w:t>
            </w:r>
            <w:r w:rsidR="00AD4AF8">
              <w:rPr>
                <w:rFonts w:ascii="Times New Roman" w:hAnsi="Times New Roman"/>
                <w:b/>
                <w:sz w:val="16"/>
                <w:szCs w:val="16"/>
              </w:rPr>
              <w:t>492</w:t>
            </w:r>
          </w:p>
        </w:tc>
        <w:tc>
          <w:tcPr>
            <w:tcW w:w="900" w:type="dxa"/>
            <w:shd w:val="clear" w:color="auto" w:fill="auto"/>
          </w:tcPr>
          <w:p w:rsidR="007274F8" w:rsidP="00D91150" w:rsidRDefault="007274F8">
            <w:pPr>
              <w:rPr>
                <w:rFonts w:ascii="Times New Roman" w:hAnsi="Times New Roman"/>
                <w:b/>
                <w:sz w:val="16"/>
                <w:szCs w:val="16"/>
              </w:rPr>
            </w:pPr>
          </w:p>
          <w:p w:rsidRPr="00897DB1" w:rsidR="00D91150" w:rsidP="00D91150" w:rsidRDefault="00D91150">
            <w:pPr>
              <w:rPr>
                <w:rFonts w:ascii="Times New Roman" w:hAnsi="Times New Roman"/>
                <w:b/>
                <w:sz w:val="16"/>
                <w:szCs w:val="16"/>
              </w:rPr>
            </w:pPr>
            <w:r>
              <w:rPr>
                <w:rFonts w:ascii="Times New Roman" w:hAnsi="Times New Roman"/>
                <w:b/>
                <w:sz w:val="16"/>
                <w:szCs w:val="16"/>
              </w:rPr>
              <w:t>6,9</w:t>
            </w:r>
            <w:r w:rsidR="00AD4AF8">
              <w:rPr>
                <w:rFonts w:ascii="Times New Roman" w:hAnsi="Times New Roman"/>
                <w:b/>
                <w:sz w:val="16"/>
                <w:szCs w:val="16"/>
              </w:rPr>
              <w:t>74</w:t>
            </w:r>
            <w:bookmarkStart w:name="_GoBack" w:id="0"/>
            <w:bookmarkEnd w:id="0"/>
          </w:p>
        </w:tc>
        <w:tc>
          <w:tcPr>
            <w:tcW w:w="1530" w:type="dxa"/>
            <w:shd w:val="clear" w:color="auto" w:fill="auto"/>
          </w:tcPr>
          <w:p w:rsidR="007274F8" w:rsidP="00D91150" w:rsidRDefault="007274F8">
            <w:pPr>
              <w:rPr>
                <w:rFonts w:ascii="Times New Roman" w:hAnsi="Times New Roman"/>
                <w:b/>
                <w:sz w:val="16"/>
                <w:szCs w:val="16"/>
              </w:rPr>
            </w:pPr>
          </w:p>
          <w:p w:rsidRPr="00897DB1" w:rsidR="00D91150" w:rsidP="00E045E2" w:rsidRDefault="00D91150">
            <w:pPr>
              <w:rPr>
                <w:rFonts w:ascii="Times New Roman" w:hAnsi="Times New Roman"/>
                <w:b/>
                <w:sz w:val="16"/>
                <w:szCs w:val="16"/>
              </w:rPr>
            </w:pPr>
            <w:r>
              <w:rPr>
                <w:rFonts w:ascii="Times New Roman" w:hAnsi="Times New Roman"/>
                <w:b/>
                <w:sz w:val="16"/>
                <w:szCs w:val="16"/>
              </w:rPr>
              <w:t>$</w:t>
            </w:r>
            <w:r w:rsidR="00E045E2">
              <w:rPr>
                <w:rFonts w:ascii="Times New Roman" w:hAnsi="Times New Roman"/>
                <w:b/>
                <w:sz w:val="16"/>
                <w:szCs w:val="16"/>
              </w:rPr>
              <w:t>398,801</w:t>
            </w:r>
          </w:p>
        </w:tc>
      </w:tr>
    </w:tbl>
    <w:p w:rsidR="007274F8" w:rsidP="007274F8" w:rsidRDefault="007274F8">
      <w:pPr>
        <w:jc w:val="center"/>
        <w:rPr>
          <w:rFonts w:ascii="Times New Roman" w:hAnsi="Times New Roman"/>
          <w:b/>
          <w:sz w:val="22"/>
          <w:szCs w:val="22"/>
          <w:u w:val="single"/>
        </w:rPr>
      </w:pPr>
    </w:p>
    <w:p w:rsidRPr="00CE2CC4" w:rsidR="007274F8" w:rsidP="007274F8" w:rsidRDefault="007274F8">
      <w:pPr>
        <w:overflowPunct w:val="0"/>
        <w:autoSpaceDE w:val="0"/>
        <w:autoSpaceDN w:val="0"/>
        <w:adjustRightInd w:val="0"/>
        <w:textAlignment w:val="baseline"/>
        <w:rPr>
          <w:rFonts w:ascii="Times New Roman" w:hAnsi="Times New Roman"/>
          <w:sz w:val="16"/>
          <w:szCs w:val="16"/>
        </w:rPr>
      </w:pPr>
      <w:r w:rsidRPr="00CE2CC4">
        <w:rPr>
          <w:rFonts w:ascii="Times New Roman" w:hAnsi="Times New Roman"/>
          <w:sz w:val="16"/>
          <w:szCs w:val="16"/>
        </w:rPr>
        <w:t xml:space="preserve">                                                                                                                 </w:t>
      </w:r>
    </w:p>
    <w:p w:rsidRPr="00A16465" w:rsidR="007274F8" w:rsidP="007274F8" w:rsidRDefault="007274F8">
      <w:pPr>
        <w:overflowPunct w:val="0"/>
        <w:autoSpaceDE w:val="0"/>
        <w:autoSpaceDN w:val="0"/>
        <w:adjustRightInd w:val="0"/>
        <w:textAlignment w:val="baseline"/>
        <w:rPr>
          <w:rFonts w:ascii="Times New Roman" w:hAnsi="Times New Roman"/>
          <w:b/>
          <w:bCs/>
          <w:sz w:val="22"/>
          <w:szCs w:val="22"/>
        </w:rPr>
      </w:pPr>
      <w:r w:rsidRPr="00A16465">
        <w:rPr>
          <w:rFonts w:ascii="Times New Roman" w:hAnsi="Times New Roman"/>
          <w:b/>
          <w:bCs/>
          <w:sz w:val="22"/>
          <w:szCs w:val="22"/>
        </w:rPr>
        <w:t xml:space="preserve">                                                                                                                                                                               </w:t>
      </w:r>
    </w:p>
    <w:p w:rsidRPr="004C1895" w:rsidR="004C1895" w:rsidP="00C00485" w:rsidRDefault="004C1895">
      <w:pPr>
        <w:rPr>
          <w:rFonts w:ascii="Times New Roman" w:hAnsi="Times New Roman"/>
        </w:rPr>
      </w:pPr>
    </w:p>
    <w:sectPr w:rsidRPr="004C1895" w:rsidR="004C1895" w:rsidSect="00C004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258" w:rsidRDefault="00E07258" w:rsidP="007274F8">
      <w:r>
        <w:separator/>
      </w:r>
    </w:p>
  </w:endnote>
  <w:endnote w:type="continuationSeparator" w:id="0">
    <w:p w:rsidR="00E07258" w:rsidRDefault="00E07258" w:rsidP="0072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837816"/>
      <w:docPartObj>
        <w:docPartGallery w:val="Page Numbers (Bottom of Page)"/>
        <w:docPartUnique/>
      </w:docPartObj>
    </w:sdtPr>
    <w:sdtEndPr>
      <w:rPr>
        <w:noProof/>
      </w:rPr>
    </w:sdtEndPr>
    <w:sdtContent>
      <w:p w:rsidR="000B461A" w:rsidRDefault="000B461A">
        <w:pPr>
          <w:pStyle w:val="Footer"/>
          <w:jc w:val="right"/>
        </w:pPr>
        <w:r w:rsidRPr="000B461A">
          <w:rPr>
            <w:rFonts w:ascii="Times New Roman" w:hAnsi="Times New Roman"/>
          </w:rPr>
          <w:fldChar w:fldCharType="begin"/>
        </w:r>
        <w:r w:rsidRPr="000B461A">
          <w:rPr>
            <w:rFonts w:ascii="Times New Roman" w:hAnsi="Times New Roman"/>
          </w:rPr>
          <w:instrText xml:space="preserve"> PAGE   \* MERGEFORMAT </w:instrText>
        </w:r>
        <w:r w:rsidRPr="000B461A">
          <w:rPr>
            <w:rFonts w:ascii="Times New Roman" w:hAnsi="Times New Roman"/>
          </w:rPr>
          <w:fldChar w:fldCharType="separate"/>
        </w:r>
        <w:r w:rsidR="00AD4AF8">
          <w:rPr>
            <w:rFonts w:ascii="Times New Roman" w:hAnsi="Times New Roman"/>
            <w:noProof/>
          </w:rPr>
          <w:t>7</w:t>
        </w:r>
        <w:r w:rsidRPr="000B461A">
          <w:rPr>
            <w:rFonts w:ascii="Times New Roman" w:hAnsi="Times New Roman"/>
            <w:noProof/>
          </w:rPr>
          <w:fldChar w:fldCharType="end"/>
        </w:r>
      </w:p>
    </w:sdtContent>
  </w:sdt>
  <w:p w:rsidR="000B461A" w:rsidRDefault="000B4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258" w:rsidRDefault="00E07258" w:rsidP="007274F8">
      <w:r>
        <w:separator/>
      </w:r>
    </w:p>
  </w:footnote>
  <w:footnote w:type="continuationSeparator" w:id="0">
    <w:p w:rsidR="00E07258" w:rsidRDefault="00E07258" w:rsidP="007274F8">
      <w:r>
        <w:continuationSeparator/>
      </w:r>
    </w:p>
  </w:footnote>
  <w:footnote w:id="1">
    <w:p w:rsidR="00DA1263" w:rsidRPr="00323EC9" w:rsidRDefault="00DA1263">
      <w:pPr>
        <w:pStyle w:val="FootnoteText"/>
        <w:rPr>
          <w:rFonts w:ascii="Times New Roman" w:hAnsi="Times New Roman"/>
        </w:rPr>
      </w:pPr>
      <w:r w:rsidRPr="00323EC9">
        <w:rPr>
          <w:rStyle w:val="FootnoteReference"/>
          <w:rFonts w:ascii="Times New Roman" w:hAnsi="Times New Roman"/>
        </w:rPr>
        <w:footnoteRef/>
      </w:r>
      <w:r w:rsidRPr="00323EC9">
        <w:rPr>
          <w:rFonts w:ascii="Times New Roman" w:hAnsi="Times New Roman"/>
        </w:rPr>
        <w:t xml:space="preserve"> The burden associated with the notice filings is reflected in the supporting statement and calculations associated with Collection 3038-0005.</w:t>
      </w:r>
    </w:p>
  </w:footnote>
  <w:footnote w:id="2">
    <w:p w:rsidR="00A16465" w:rsidRDefault="00A16465" w:rsidP="00A16465">
      <w:pPr>
        <w:pStyle w:val="FootnoteText"/>
        <w:rPr>
          <w:rFonts w:ascii="Times New Roman" w:hAnsi="Times New Roman"/>
          <w:sz w:val="22"/>
          <w:szCs w:val="22"/>
        </w:rPr>
      </w:pPr>
      <w:r>
        <w:rPr>
          <w:rStyle w:val="FootnoteReference"/>
        </w:rPr>
        <w:footnoteRef/>
      </w:r>
      <w:r>
        <w:t xml:space="preserve"> </w:t>
      </w:r>
      <w:r w:rsidRPr="005F7B3D">
        <w:rPr>
          <w:rFonts w:ascii="Times New Roman" w:hAnsi="Times New Roman"/>
          <w:sz w:val="22"/>
          <w:szCs w:val="22"/>
        </w:rPr>
        <w:t xml:space="preserve">The Commission notes that the salary estimates are based upon the May 2017 Findings of National Occupational Employment and Wage Estimates from the Bureau of Labor Statistics.  </w:t>
      </w:r>
      <w:r w:rsidRPr="005F7B3D">
        <w:rPr>
          <w:rFonts w:ascii="Times New Roman" w:hAnsi="Times New Roman"/>
          <w:sz w:val="22"/>
          <w:szCs w:val="22"/>
          <w:u w:val="single"/>
        </w:rPr>
        <w:t>See</w:t>
      </w:r>
      <w:r w:rsidRPr="005F7B3D">
        <w:rPr>
          <w:rFonts w:ascii="Times New Roman" w:hAnsi="Times New Roman"/>
          <w:sz w:val="22"/>
          <w:szCs w:val="22"/>
        </w:rPr>
        <w:t xml:space="preserve"> Occupational Employment Statistics, Bureau of Labor Statistics, </w:t>
      </w:r>
      <w:r w:rsidRPr="005F7B3D">
        <w:rPr>
          <w:rFonts w:ascii="Times New Roman" w:hAnsi="Times New Roman"/>
          <w:sz w:val="22"/>
          <w:szCs w:val="22"/>
          <w:u w:val="single"/>
        </w:rPr>
        <w:t>available at</w:t>
      </w:r>
      <w:r w:rsidRPr="005F7B3D">
        <w:rPr>
          <w:rFonts w:ascii="Times New Roman" w:hAnsi="Times New Roman"/>
          <w:sz w:val="22"/>
          <w:szCs w:val="22"/>
        </w:rPr>
        <w:t xml:space="preserve"> </w:t>
      </w:r>
      <w:hyperlink r:id="rId1" w:history="1">
        <w:r w:rsidRPr="005F7B3D">
          <w:rPr>
            <w:rStyle w:val="Hyperlink"/>
            <w:sz w:val="22"/>
            <w:szCs w:val="22"/>
          </w:rPr>
          <w:t>https://www.bls.gov/oes/</w:t>
        </w:r>
      </w:hyperlink>
      <w:r w:rsidRPr="005F7B3D">
        <w:rPr>
          <w:rFonts w:ascii="Times New Roman" w:hAnsi="Times New Roman"/>
          <w:sz w:val="22"/>
          <w:szCs w:val="22"/>
        </w:rPr>
        <w:t xml:space="preserve"> (last visited July 23, 2018).  The Commission’s estimate incorporates the mean hourly wage of persons employed in the “Securities, Commodity Contracts and Other Financial Investments and Related Activities” Industry, under the following occupation codes:  Compliance Officers (13-1041) at $43.27, Lawyers (23-1011), at $94.20, and Paralegals and Legal Assistants (23-2011) at $33.53.  The Commission chose these occupational categories in recognition of the types of staff the Commission preliminarily believes would most commonly be responsible for evaluating eligibility and filing claims for the registration exemptions proposed herein.  The $57 per hour wage estimate is derived from a weighted average, rounded to the nearest dollar, with the salaries attributable to each of the three occupation codes given equal weight.</w:t>
      </w:r>
    </w:p>
    <w:p w:rsidR="00A16465" w:rsidRDefault="00A16465" w:rsidP="00A16465">
      <w:pPr>
        <w:pStyle w:val="FootnoteText"/>
        <w:rPr>
          <w:rFonts w:ascii="Times New Roman" w:hAnsi="Times New Roman"/>
          <w:sz w:val="22"/>
          <w:szCs w:val="22"/>
        </w:rPr>
      </w:pPr>
    </w:p>
    <w:p w:rsidR="00A16465" w:rsidRPr="00BD12F1" w:rsidRDefault="00A16465" w:rsidP="00A16465">
      <w:pPr>
        <w:pStyle w:val="FootnoteText"/>
        <w:rPr>
          <w:rFonts w:ascii="Times New Roman" w:hAnsi="Times New Roman"/>
          <w:sz w:val="16"/>
          <w:szCs w:val="16"/>
        </w:rPr>
      </w:pPr>
      <w:r>
        <w:rPr>
          <w:rFonts w:ascii="Times New Roman" w:hAnsi="Times New Roman"/>
          <w:sz w:val="22"/>
          <w:szCs w:val="22"/>
        </w:rPr>
        <w:t>Total annual costs presented herein are rounded to the nearest dollar.</w:t>
      </w:r>
    </w:p>
    <w:p w:rsidR="00A16465" w:rsidRDefault="00A1646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728E4"/>
    <w:multiLevelType w:val="hybridMultilevel"/>
    <w:tmpl w:val="DB90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95"/>
    <w:rsid w:val="000576BF"/>
    <w:rsid w:val="00072761"/>
    <w:rsid w:val="000803D6"/>
    <w:rsid w:val="000B461A"/>
    <w:rsid w:val="000E1138"/>
    <w:rsid w:val="001721DD"/>
    <w:rsid w:val="001B5483"/>
    <w:rsid w:val="001B78BB"/>
    <w:rsid w:val="00204980"/>
    <w:rsid w:val="002677CF"/>
    <w:rsid w:val="002A0EAB"/>
    <w:rsid w:val="002A7850"/>
    <w:rsid w:val="00307E70"/>
    <w:rsid w:val="00323EC9"/>
    <w:rsid w:val="003A01CE"/>
    <w:rsid w:val="003F5FC2"/>
    <w:rsid w:val="0043183F"/>
    <w:rsid w:val="004319D1"/>
    <w:rsid w:val="004A019A"/>
    <w:rsid w:val="004A27E9"/>
    <w:rsid w:val="004B6178"/>
    <w:rsid w:val="004C0494"/>
    <w:rsid w:val="004C1895"/>
    <w:rsid w:val="004F45A1"/>
    <w:rsid w:val="004F7BA3"/>
    <w:rsid w:val="00530AB4"/>
    <w:rsid w:val="00553037"/>
    <w:rsid w:val="00582C01"/>
    <w:rsid w:val="00585718"/>
    <w:rsid w:val="005948A0"/>
    <w:rsid w:val="00597B68"/>
    <w:rsid w:val="005E254C"/>
    <w:rsid w:val="005F1C18"/>
    <w:rsid w:val="00607D38"/>
    <w:rsid w:val="006243BC"/>
    <w:rsid w:val="0063622E"/>
    <w:rsid w:val="00667CD6"/>
    <w:rsid w:val="00673046"/>
    <w:rsid w:val="00697F17"/>
    <w:rsid w:val="006B1C5F"/>
    <w:rsid w:val="007029A9"/>
    <w:rsid w:val="007274F8"/>
    <w:rsid w:val="007B404F"/>
    <w:rsid w:val="007D3164"/>
    <w:rsid w:val="008D3EDA"/>
    <w:rsid w:val="008E7BC6"/>
    <w:rsid w:val="009309EC"/>
    <w:rsid w:val="00996C6C"/>
    <w:rsid w:val="009A2FC2"/>
    <w:rsid w:val="009B443C"/>
    <w:rsid w:val="009D7370"/>
    <w:rsid w:val="009F2AE1"/>
    <w:rsid w:val="009F42DF"/>
    <w:rsid w:val="00A16465"/>
    <w:rsid w:val="00A42C5A"/>
    <w:rsid w:val="00AD4AF8"/>
    <w:rsid w:val="00B2409F"/>
    <w:rsid w:val="00B404CE"/>
    <w:rsid w:val="00B60D24"/>
    <w:rsid w:val="00B7728A"/>
    <w:rsid w:val="00B90139"/>
    <w:rsid w:val="00B91704"/>
    <w:rsid w:val="00BC48D6"/>
    <w:rsid w:val="00BE6AC8"/>
    <w:rsid w:val="00C00485"/>
    <w:rsid w:val="00C23975"/>
    <w:rsid w:val="00C23A3C"/>
    <w:rsid w:val="00C23B42"/>
    <w:rsid w:val="00C42394"/>
    <w:rsid w:val="00CC60DD"/>
    <w:rsid w:val="00D27AE8"/>
    <w:rsid w:val="00D40CCE"/>
    <w:rsid w:val="00D62219"/>
    <w:rsid w:val="00D7660E"/>
    <w:rsid w:val="00D91150"/>
    <w:rsid w:val="00DA1263"/>
    <w:rsid w:val="00DB1AD1"/>
    <w:rsid w:val="00DB7297"/>
    <w:rsid w:val="00DE4234"/>
    <w:rsid w:val="00E045E2"/>
    <w:rsid w:val="00E07258"/>
    <w:rsid w:val="00E87F90"/>
    <w:rsid w:val="00F378A6"/>
    <w:rsid w:val="00F83787"/>
    <w:rsid w:val="00FF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95"/>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95"/>
    <w:pPr>
      <w:ind w:left="720"/>
      <w:contextualSpacing/>
    </w:pPr>
  </w:style>
  <w:style w:type="paragraph" w:styleId="TOC6">
    <w:name w:val="toc 6"/>
    <w:basedOn w:val="Normal"/>
    <w:next w:val="Normal"/>
    <w:semiHidden/>
    <w:rsid w:val="0043183F"/>
    <w:pPr>
      <w:tabs>
        <w:tab w:val="right" w:pos="9360"/>
      </w:tabs>
      <w:suppressAutoHyphens/>
      <w:overflowPunct w:val="0"/>
      <w:autoSpaceDE w:val="0"/>
      <w:autoSpaceDN w:val="0"/>
      <w:adjustRightInd w:val="0"/>
      <w:ind w:left="720" w:hanging="720"/>
      <w:textAlignment w:val="baseline"/>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rsid w:val="007274F8"/>
    <w:rPr>
      <w:rFonts w:ascii="Arial" w:hAnsi="Arial"/>
      <w:sz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7274F8"/>
    <w:rPr>
      <w:rFonts w:ascii="Arial" w:eastAsia="Times New Roman" w:hAnsi="Arial" w:cs="Times New Roman"/>
      <w:sz w:val="20"/>
      <w:szCs w:val="20"/>
    </w:rPr>
  </w:style>
  <w:style w:type="character" w:styleId="FootnoteReference">
    <w:name w:val="footnote reference"/>
    <w:aliases w:val="Style 19,Style 16,fr,Style 35,Style 39,Style 14,12"/>
    <w:qFormat/>
    <w:rsid w:val="007274F8"/>
    <w:rPr>
      <w:vertAlign w:val="superscript"/>
    </w:rPr>
  </w:style>
  <w:style w:type="paragraph" w:styleId="Title">
    <w:name w:val="Title"/>
    <w:basedOn w:val="Normal"/>
    <w:link w:val="TitleChar"/>
    <w:qFormat/>
    <w:rsid w:val="007274F8"/>
    <w:pPr>
      <w:jc w:val="center"/>
    </w:pPr>
    <w:rPr>
      <w:rFonts w:ascii="Times New Roman" w:hAnsi="Times New Roman"/>
      <w:b/>
      <w:sz w:val="40"/>
    </w:rPr>
  </w:style>
  <w:style w:type="character" w:customStyle="1" w:styleId="TitleChar">
    <w:name w:val="Title Char"/>
    <w:basedOn w:val="DefaultParagraphFont"/>
    <w:link w:val="Title"/>
    <w:rsid w:val="007274F8"/>
    <w:rPr>
      <w:rFonts w:ascii="Times New Roman" w:eastAsia="Times New Roman" w:hAnsi="Times New Roman" w:cs="Times New Roman"/>
      <w:b/>
      <w:sz w:val="40"/>
      <w:szCs w:val="20"/>
    </w:rPr>
  </w:style>
  <w:style w:type="character" w:styleId="Hyperlink">
    <w:name w:val="Hyperlink"/>
    <w:uiPriority w:val="99"/>
    <w:unhideWhenUsed/>
    <w:rsid w:val="00A16465"/>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A16465"/>
    <w:rPr>
      <w:rFonts w:ascii="Tahoma" w:hAnsi="Tahoma" w:cs="Tahoma"/>
      <w:sz w:val="16"/>
      <w:szCs w:val="16"/>
    </w:rPr>
  </w:style>
  <w:style w:type="character" w:customStyle="1" w:styleId="BalloonTextChar">
    <w:name w:val="Balloon Text Char"/>
    <w:basedOn w:val="DefaultParagraphFont"/>
    <w:link w:val="BalloonText"/>
    <w:uiPriority w:val="99"/>
    <w:semiHidden/>
    <w:rsid w:val="00A1646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F1498"/>
    <w:rPr>
      <w:sz w:val="16"/>
      <w:szCs w:val="16"/>
    </w:rPr>
  </w:style>
  <w:style w:type="paragraph" w:styleId="CommentText">
    <w:name w:val="annotation text"/>
    <w:basedOn w:val="Normal"/>
    <w:link w:val="CommentTextChar"/>
    <w:uiPriority w:val="99"/>
    <w:semiHidden/>
    <w:unhideWhenUsed/>
    <w:rsid w:val="00FF1498"/>
    <w:rPr>
      <w:sz w:val="20"/>
    </w:rPr>
  </w:style>
  <w:style w:type="character" w:customStyle="1" w:styleId="CommentTextChar">
    <w:name w:val="Comment Text Char"/>
    <w:basedOn w:val="DefaultParagraphFont"/>
    <w:link w:val="CommentText"/>
    <w:uiPriority w:val="99"/>
    <w:semiHidden/>
    <w:rsid w:val="00FF149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F1498"/>
    <w:rPr>
      <w:b/>
      <w:bCs/>
    </w:rPr>
  </w:style>
  <w:style w:type="character" w:customStyle="1" w:styleId="CommentSubjectChar">
    <w:name w:val="Comment Subject Char"/>
    <w:basedOn w:val="CommentTextChar"/>
    <w:link w:val="CommentSubject"/>
    <w:uiPriority w:val="99"/>
    <w:semiHidden/>
    <w:rsid w:val="00FF1498"/>
    <w:rPr>
      <w:rFonts w:ascii="Courier" w:eastAsia="Times New Roman" w:hAnsi="Courier" w:cs="Times New Roman"/>
      <w:b/>
      <w:bCs/>
      <w:sz w:val="20"/>
      <w:szCs w:val="20"/>
    </w:rPr>
  </w:style>
  <w:style w:type="paragraph" w:styleId="Header">
    <w:name w:val="header"/>
    <w:basedOn w:val="Normal"/>
    <w:link w:val="HeaderChar"/>
    <w:uiPriority w:val="99"/>
    <w:unhideWhenUsed/>
    <w:rsid w:val="009D7370"/>
    <w:pPr>
      <w:tabs>
        <w:tab w:val="center" w:pos="4680"/>
        <w:tab w:val="right" w:pos="9360"/>
      </w:tabs>
    </w:pPr>
  </w:style>
  <w:style w:type="character" w:customStyle="1" w:styleId="HeaderChar">
    <w:name w:val="Header Char"/>
    <w:basedOn w:val="DefaultParagraphFont"/>
    <w:link w:val="Header"/>
    <w:uiPriority w:val="99"/>
    <w:rsid w:val="009D7370"/>
    <w:rPr>
      <w:rFonts w:ascii="Courier" w:eastAsia="Times New Roman" w:hAnsi="Courier" w:cs="Times New Roman"/>
      <w:sz w:val="24"/>
      <w:szCs w:val="20"/>
    </w:rPr>
  </w:style>
  <w:style w:type="paragraph" w:styleId="Footer">
    <w:name w:val="footer"/>
    <w:basedOn w:val="Normal"/>
    <w:link w:val="FooterChar"/>
    <w:uiPriority w:val="99"/>
    <w:unhideWhenUsed/>
    <w:rsid w:val="009D7370"/>
    <w:pPr>
      <w:tabs>
        <w:tab w:val="center" w:pos="4680"/>
        <w:tab w:val="right" w:pos="9360"/>
      </w:tabs>
    </w:pPr>
  </w:style>
  <w:style w:type="character" w:customStyle="1" w:styleId="FooterChar">
    <w:name w:val="Footer Char"/>
    <w:basedOn w:val="DefaultParagraphFont"/>
    <w:link w:val="Footer"/>
    <w:uiPriority w:val="99"/>
    <w:rsid w:val="009D7370"/>
    <w:rPr>
      <w:rFonts w:ascii="Courier" w:eastAsia="Times New Roman" w:hAnsi="Courier" w:cs="Times New Roman"/>
      <w:sz w:val="24"/>
      <w:szCs w:val="20"/>
    </w:rPr>
  </w:style>
  <w:style w:type="paragraph" w:styleId="Revision">
    <w:name w:val="Revision"/>
    <w:hidden/>
    <w:uiPriority w:val="99"/>
    <w:semiHidden/>
    <w:rsid w:val="004A019A"/>
    <w:pPr>
      <w:spacing w:after="0" w:line="240" w:lineRule="auto"/>
    </w:pPr>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95"/>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95"/>
    <w:pPr>
      <w:ind w:left="720"/>
      <w:contextualSpacing/>
    </w:pPr>
  </w:style>
  <w:style w:type="paragraph" w:styleId="TOC6">
    <w:name w:val="toc 6"/>
    <w:basedOn w:val="Normal"/>
    <w:next w:val="Normal"/>
    <w:semiHidden/>
    <w:rsid w:val="0043183F"/>
    <w:pPr>
      <w:tabs>
        <w:tab w:val="right" w:pos="9360"/>
      </w:tabs>
      <w:suppressAutoHyphens/>
      <w:overflowPunct w:val="0"/>
      <w:autoSpaceDE w:val="0"/>
      <w:autoSpaceDN w:val="0"/>
      <w:adjustRightInd w:val="0"/>
      <w:ind w:left="720" w:hanging="720"/>
      <w:textAlignment w:val="baseline"/>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rsid w:val="007274F8"/>
    <w:rPr>
      <w:rFonts w:ascii="Arial" w:hAnsi="Arial"/>
      <w:sz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7274F8"/>
    <w:rPr>
      <w:rFonts w:ascii="Arial" w:eastAsia="Times New Roman" w:hAnsi="Arial" w:cs="Times New Roman"/>
      <w:sz w:val="20"/>
      <w:szCs w:val="20"/>
    </w:rPr>
  </w:style>
  <w:style w:type="character" w:styleId="FootnoteReference">
    <w:name w:val="footnote reference"/>
    <w:aliases w:val="Style 19,Style 16,fr,Style 35,Style 39,Style 14,12"/>
    <w:qFormat/>
    <w:rsid w:val="007274F8"/>
    <w:rPr>
      <w:vertAlign w:val="superscript"/>
    </w:rPr>
  </w:style>
  <w:style w:type="paragraph" w:styleId="Title">
    <w:name w:val="Title"/>
    <w:basedOn w:val="Normal"/>
    <w:link w:val="TitleChar"/>
    <w:qFormat/>
    <w:rsid w:val="007274F8"/>
    <w:pPr>
      <w:jc w:val="center"/>
    </w:pPr>
    <w:rPr>
      <w:rFonts w:ascii="Times New Roman" w:hAnsi="Times New Roman"/>
      <w:b/>
      <w:sz w:val="40"/>
    </w:rPr>
  </w:style>
  <w:style w:type="character" w:customStyle="1" w:styleId="TitleChar">
    <w:name w:val="Title Char"/>
    <w:basedOn w:val="DefaultParagraphFont"/>
    <w:link w:val="Title"/>
    <w:rsid w:val="007274F8"/>
    <w:rPr>
      <w:rFonts w:ascii="Times New Roman" w:eastAsia="Times New Roman" w:hAnsi="Times New Roman" w:cs="Times New Roman"/>
      <w:b/>
      <w:sz w:val="40"/>
      <w:szCs w:val="20"/>
    </w:rPr>
  </w:style>
  <w:style w:type="character" w:styleId="Hyperlink">
    <w:name w:val="Hyperlink"/>
    <w:uiPriority w:val="99"/>
    <w:unhideWhenUsed/>
    <w:rsid w:val="00A16465"/>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A16465"/>
    <w:rPr>
      <w:rFonts w:ascii="Tahoma" w:hAnsi="Tahoma" w:cs="Tahoma"/>
      <w:sz w:val="16"/>
      <w:szCs w:val="16"/>
    </w:rPr>
  </w:style>
  <w:style w:type="character" w:customStyle="1" w:styleId="BalloonTextChar">
    <w:name w:val="Balloon Text Char"/>
    <w:basedOn w:val="DefaultParagraphFont"/>
    <w:link w:val="BalloonText"/>
    <w:uiPriority w:val="99"/>
    <w:semiHidden/>
    <w:rsid w:val="00A1646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F1498"/>
    <w:rPr>
      <w:sz w:val="16"/>
      <w:szCs w:val="16"/>
    </w:rPr>
  </w:style>
  <w:style w:type="paragraph" w:styleId="CommentText">
    <w:name w:val="annotation text"/>
    <w:basedOn w:val="Normal"/>
    <w:link w:val="CommentTextChar"/>
    <w:uiPriority w:val="99"/>
    <w:semiHidden/>
    <w:unhideWhenUsed/>
    <w:rsid w:val="00FF1498"/>
    <w:rPr>
      <w:sz w:val="20"/>
    </w:rPr>
  </w:style>
  <w:style w:type="character" w:customStyle="1" w:styleId="CommentTextChar">
    <w:name w:val="Comment Text Char"/>
    <w:basedOn w:val="DefaultParagraphFont"/>
    <w:link w:val="CommentText"/>
    <w:uiPriority w:val="99"/>
    <w:semiHidden/>
    <w:rsid w:val="00FF149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F1498"/>
    <w:rPr>
      <w:b/>
      <w:bCs/>
    </w:rPr>
  </w:style>
  <w:style w:type="character" w:customStyle="1" w:styleId="CommentSubjectChar">
    <w:name w:val="Comment Subject Char"/>
    <w:basedOn w:val="CommentTextChar"/>
    <w:link w:val="CommentSubject"/>
    <w:uiPriority w:val="99"/>
    <w:semiHidden/>
    <w:rsid w:val="00FF1498"/>
    <w:rPr>
      <w:rFonts w:ascii="Courier" w:eastAsia="Times New Roman" w:hAnsi="Courier" w:cs="Times New Roman"/>
      <w:b/>
      <w:bCs/>
      <w:sz w:val="20"/>
      <w:szCs w:val="20"/>
    </w:rPr>
  </w:style>
  <w:style w:type="paragraph" w:styleId="Header">
    <w:name w:val="header"/>
    <w:basedOn w:val="Normal"/>
    <w:link w:val="HeaderChar"/>
    <w:uiPriority w:val="99"/>
    <w:unhideWhenUsed/>
    <w:rsid w:val="009D7370"/>
    <w:pPr>
      <w:tabs>
        <w:tab w:val="center" w:pos="4680"/>
        <w:tab w:val="right" w:pos="9360"/>
      </w:tabs>
    </w:pPr>
  </w:style>
  <w:style w:type="character" w:customStyle="1" w:styleId="HeaderChar">
    <w:name w:val="Header Char"/>
    <w:basedOn w:val="DefaultParagraphFont"/>
    <w:link w:val="Header"/>
    <w:uiPriority w:val="99"/>
    <w:rsid w:val="009D7370"/>
    <w:rPr>
      <w:rFonts w:ascii="Courier" w:eastAsia="Times New Roman" w:hAnsi="Courier" w:cs="Times New Roman"/>
      <w:sz w:val="24"/>
      <w:szCs w:val="20"/>
    </w:rPr>
  </w:style>
  <w:style w:type="paragraph" w:styleId="Footer">
    <w:name w:val="footer"/>
    <w:basedOn w:val="Normal"/>
    <w:link w:val="FooterChar"/>
    <w:uiPriority w:val="99"/>
    <w:unhideWhenUsed/>
    <w:rsid w:val="009D7370"/>
    <w:pPr>
      <w:tabs>
        <w:tab w:val="center" w:pos="4680"/>
        <w:tab w:val="right" w:pos="9360"/>
      </w:tabs>
    </w:pPr>
  </w:style>
  <w:style w:type="character" w:customStyle="1" w:styleId="FooterChar">
    <w:name w:val="Footer Char"/>
    <w:basedOn w:val="DefaultParagraphFont"/>
    <w:link w:val="Footer"/>
    <w:uiPriority w:val="99"/>
    <w:rsid w:val="009D7370"/>
    <w:rPr>
      <w:rFonts w:ascii="Courier" w:eastAsia="Times New Roman" w:hAnsi="Courier" w:cs="Times New Roman"/>
      <w:sz w:val="24"/>
      <w:szCs w:val="20"/>
    </w:rPr>
  </w:style>
  <w:style w:type="paragraph" w:styleId="Revision">
    <w:name w:val="Revision"/>
    <w:hidden/>
    <w:uiPriority w:val="99"/>
    <w:semiHidden/>
    <w:rsid w:val="004A019A"/>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6FE4-E6A5-4651-8F4C-3F541169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3451</Words>
  <Characters>19675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AOlear</dc:creator>
  <cp:lastModifiedBy>Office of the General Counsel</cp:lastModifiedBy>
  <cp:revision>2</cp:revision>
  <cp:lastPrinted>2018-09-28T16:38:00Z</cp:lastPrinted>
  <dcterms:created xsi:type="dcterms:W3CDTF">2020-03-05T22:51:00Z</dcterms:created>
  <dcterms:modified xsi:type="dcterms:W3CDTF">2020-03-05T22:51:00Z</dcterms:modified>
</cp:coreProperties>
</file>