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A333B" w:rsidR="005C1553" w:rsidP="005C1553" w:rsidRDefault="005C1553" w14:paraId="679BEC8B" w14:textId="77777777">
      <w:pPr>
        <w:spacing w:after="0" w:line="240" w:lineRule="auto"/>
        <w:jc w:val="center"/>
        <w:rPr>
          <w:rFonts w:ascii="Times New Roman" w:hAnsi="Times New Roman" w:eastAsia="Calibri" w:cs="Times New Roman"/>
          <w:sz w:val="26"/>
          <w:szCs w:val="26"/>
        </w:rPr>
      </w:pPr>
      <w:r w:rsidRPr="003A333B">
        <w:rPr>
          <w:rFonts w:ascii="Times New Roman" w:hAnsi="Times New Roman" w:eastAsia="Calibri" w:cs="Times New Roman"/>
          <w:sz w:val="26"/>
          <w:szCs w:val="26"/>
        </w:rPr>
        <w:t>Supporting Statement</w:t>
      </w:r>
    </w:p>
    <w:p w:rsidRPr="003A333B" w:rsidR="005C1553" w:rsidP="005C1553" w:rsidRDefault="005C1553" w14:paraId="63CE7DD1" w14:textId="313A384D">
      <w:pPr>
        <w:spacing w:after="0" w:line="240" w:lineRule="auto"/>
        <w:jc w:val="center"/>
        <w:rPr>
          <w:rFonts w:ascii="Times New Roman" w:hAnsi="Times New Roman" w:eastAsia="Calibri" w:cs="Times New Roman"/>
          <w:b/>
          <w:sz w:val="26"/>
          <w:szCs w:val="26"/>
        </w:rPr>
      </w:pPr>
      <w:r w:rsidRPr="003A333B">
        <w:rPr>
          <w:rFonts w:ascii="Times New Roman" w:hAnsi="Times New Roman" w:eastAsia="Calibri" w:cs="Times New Roman"/>
          <w:b/>
          <w:sz w:val="26"/>
          <w:szCs w:val="26"/>
        </w:rPr>
        <w:t xml:space="preserve">FERC-725N, Mandatory Reliability Standards: </w:t>
      </w:r>
      <w:r w:rsidR="00165760">
        <w:rPr>
          <w:rFonts w:ascii="Times New Roman" w:hAnsi="Times New Roman" w:eastAsia="Calibri" w:cs="Times New Roman"/>
          <w:b/>
          <w:sz w:val="26"/>
          <w:szCs w:val="26"/>
        </w:rPr>
        <w:t>Transmission Planning (</w:t>
      </w:r>
      <w:r w:rsidRPr="003A333B">
        <w:rPr>
          <w:rFonts w:ascii="Times New Roman" w:hAnsi="Times New Roman" w:eastAsia="Calibri" w:cs="Times New Roman"/>
          <w:b/>
          <w:sz w:val="26"/>
          <w:szCs w:val="26"/>
        </w:rPr>
        <w:t>TPL</w:t>
      </w:r>
      <w:r w:rsidR="00165760">
        <w:rPr>
          <w:rFonts w:ascii="Times New Roman" w:hAnsi="Times New Roman" w:eastAsia="Calibri" w:cs="Times New Roman"/>
          <w:b/>
          <w:sz w:val="26"/>
          <w:szCs w:val="26"/>
        </w:rPr>
        <w:t>)</w:t>
      </w:r>
      <w:r w:rsidRPr="003A333B">
        <w:rPr>
          <w:rFonts w:ascii="Times New Roman" w:hAnsi="Times New Roman" w:eastAsia="Calibri" w:cs="Times New Roman"/>
          <w:b/>
          <w:sz w:val="26"/>
          <w:szCs w:val="26"/>
          <w:vertAlign w:val="superscript"/>
        </w:rPr>
        <w:t xml:space="preserve"> </w:t>
      </w:r>
      <w:r w:rsidRPr="003A333B">
        <w:rPr>
          <w:rFonts w:ascii="Times New Roman" w:hAnsi="Times New Roman" w:eastAsia="Calibri" w:cs="Times New Roman"/>
          <w:b/>
          <w:sz w:val="26"/>
          <w:szCs w:val="26"/>
        </w:rPr>
        <w:t xml:space="preserve">Reliability Standards, </w:t>
      </w:r>
    </w:p>
    <w:p w:rsidRPr="003A333B" w:rsidR="005C1553" w:rsidP="005C1553" w:rsidRDefault="003D3C99" w14:paraId="03BD954B" w14:textId="47CF3FC4">
      <w:pPr>
        <w:spacing w:after="0" w:line="240" w:lineRule="auto"/>
        <w:jc w:val="center"/>
        <w:rPr>
          <w:rFonts w:ascii="Times New Roman" w:hAnsi="Times New Roman" w:eastAsia="Calibri" w:cs="Times New Roman"/>
          <w:sz w:val="26"/>
          <w:szCs w:val="26"/>
        </w:rPr>
      </w:pPr>
      <w:r>
        <w:rPr>
          <w:rFonts w:ascii="Times New Roman" w:hAnsi="Times New Roman" w:eastAsia="Calibri" w:cs="Times New Roman"/>
          <w:sz w:val="26"/>
          <w:szCs w:val="26"/>
        </w:rPr>
        <w:t>as modified by the Final Rule</w:t>
      </w:r>
      <w:r w:rsidRPr="003A333B">
        <w:rPr>
          <w:rFonts w:ascii="Times New Roman" w:hAnsi="Times New Roman" w:eastAsia="Calibri" w:cs="Times New Roman"/>
          <w:sz w:val="26"/>
          <w:szCs w:val="26"/>
        </w:rPr>
        <w:t xml:space="preserve"> </w:t>
      </w:r>
      <w:r w:rsidRPr="003A333B" w:rsidR="005C1553">
        <w:rPr>
          <w:rFonts w:ascii="Times New Roman" w:hAnsi="Times New Roman" w:eastAsia="Calibri" w:cs="Times New Roman"/>
          <w:sz w:val="26"/>
          <w:szCs w:val="26"/>
        </w:rPr>
        <w:t>in Docket No. RM1</w:t>
      </w:r>
      <w:r w:rsidRPr="003A333B" w:rsidR="002F2BB0">
        <w:rPr>
          <w:rFonts w:ascii="Times New Roman" w:hAnsi="Times New Roman" w:eastAsia="Calibri" w:cs="Times New Roman"/>
          <w:sz w:val="26"/>
          <w:szCs w:val="26"/>
        </w:rPr>
        <w:t>9-10-000</w:t>
      </w:r>
    </w:p>
    <w:p w:rsidRPr="003A333B" w:rsidR="005C1553" w:rsidP="005C1553" w:rsidRDefault="005C1553" w14:paraId="1B1513F9" w14:textId="77777777">
      <w:pPr>
        <w:spacing w:after="0" w:line="240" w:lineRule="auto"/>
        <w:rPr>
          <w:rFonts w:ascii="Times New Roman" w:hAnsi="Times New Roman" w:eastAsia="Calibri" w:cs="Times New Roman"/>
          <w:sz w:val="26"/>
          <w:szCs w:val="26"/>
        </w:rPr>
      </w:pPr>
    </w:p>
    <w:p w:rsidRPr="00C17ABE" w:rsidR="005C1553" w:rsidP="005C1553" w:rsidRDefault="005C1553" w14:paraId="12ABF401" w14:textId="105B69C8">
      <w:pPr>
        <w:spacing w:after="0" w:line="240" w:lineRule="auto"/>
        <w:rPr>
          <w:rFonts w:ascii="Times New Roman" w:hAnsi="Times New Roman" w:eastAsia="Calibri" w:cs="Times New Roman"/>
          <w:sz w:val="26"/>
          <w:szCs w:val="26"/>
        </w:rPr>
      </w:pPr>
      <w:r w:rsidRPr="003A333B">
        <w:rPr>
          <w:rFonts w:ascii="Times New Roman" w:hAnsi="Times New Roman" w:eastAsia="Calibri" w:cs="Times New Roman"/>
          <w:sz w:val="26"/>
          <w:szCs w:val="26"/>
        </w:rPr>
        <w:t xml:space="preserve">The reporting and recordkeeping </w:t>
      </w:r>
      <w:r w:rsidRPr="00C17ABE">
        <w:rPr>
          <w:rFonts w:ascii="Times New Roman" w:hAnsi="Times New Roman" w:eastAsia="Calibri" w:cs="Times New Roman"/>
          <w:sz w:val="26"/>
          <w:szCs w:val="26"/>
        </w:rPr>
        <w:t xml:space="preserve">requirements for </w:t>
      </w:r>
      <w:r w:rsidRPr="00C17ABE" w:rsidR="00810D56">
        <w:rPr>
          <w:rFonts w:ascii="Times New Roman" w:hAnsi="Times New Roman" w:cs="Times New Roman"/>
          <w:sz w:val="26"/>
          <w:szCs w:val="26"/>
        </w:rPr>
        <w:t xml:space="preserve">Reliability Standard TPL-001-5 </w:t>
      </w:r>
      <w:r w:rsidRPr="00C17ABE" w:rsidR="00810D56">
        <w:rPr>
          <w:rFonts w:ascii="Times New Roman" w:hAnsi="Times New Roman" w:eastAsia="Cambria" w:cs="Times New Roman"/>
          <w:sz w:val="26"/>
          <w:szCs w:val="26"/>
        </w:rPr>
        <w:t>(Transmission System Planning Performance Requirements)</w:t>
      </w:r>
      <w:r w:rsidRPr="00C17ABE" w:rsidR="00810D56">
        <w:rPr>
          <w:rStyle w:val="FootnoteReference"/>
          <w:rFonts w:ascii="Times New Roman" w:hAnsi="Times New Roman" w:cs="Times New Roman"/>
          <w:sz w:val="26"/>
          <w:szCs w:val="26"/>
          <w:vertAlign w:val="superscript"/>
        </w:rPr>
        <w:footnoteReference w:id="1"/>
      </w:r>
      <w:r w:rsidRPr="00C17ABE" w:rsidR="00810D56">
        <w:rPr>
          <w:rFonts w:ascii="Times New Roman" w:hAnsi="Times New Roman" w:cs="Times New Roman"/>
          <w:sz w:val="26"/>
          <w:szCs w:val="26"/>
          <w:vertAlign w:val="superscript"/>
        </w:rPr>
        <w:t xml:space="preserve"> </w:t>
      </w:r>
      <w:r w:rsidRPr="00C17ABE">
        <w:rPr>
          <w:rFonts w:ascii="Times New Roman" w:hAnsi="Times New Roman" w:eastAsia="Calibri" w:cs="Times New Roman"/>
          <w:sz w:val="26"/>
          <w:szCs w:val="26"/>
        </w:rPr>
        <w:t xml:space="preserve">are being included in FERC-725N, as discussed in the </w:t>
      </w:r>
      <w:r w:rsidRPr="00C17ABE" w:rsidR="00E601F8">
        <w:rPr>
          <w:rFonts w:ascii="Times New Roman" w:hAnsi="Times New Roman" w:eastAsia="Calibri" w:cs="Times New Roman"/>
          <w:sz w:val="26"/>
          <w:szCs w:val="26"/>
        </w:rPr>
        <w:t xml:space="preserve">Final Rule </w:t>
      </w:r>
      <w:r w:rsidRPr="00C17ABE">
        <w:rPr>
          <w:rFonts w:ascii="Times New Roman" w:hAnsi="Times New Roman" w:eastAsia="Calibri" w:cs="Times New Roman"/>
          <w:sz w:val="26"/>
          <w:szCs w:val="26"/>
        </w:rPr>
        <w:t>in Docket No. RM1</w:t>
      </w:r>
      <w:r w:rsidRPr="00C17ABE" w:rsidR="002F2BB0">
        <w:rPr>
          <w:rFonts w:ascii="Times New Roman" w:hAnsi="Times New Roman" w:eastAsia="Calibri" w:cs="Times New Roman"/>
          <w:sz w:val="26"/>
          <w:szCs w:val="26"/>
        </w:rPr>
        <w:t>9-10-000</w:t>
      </w:r>
      <w:r w:rsidRPr="00C17ABE">
        <w:rPr>
          <w:rFonts w:ascii="Times New Roman" w:hAnsi="Times New Roman" w:eastAsia="Calibri" w:cs="Times New Roman"/>
          <w:sz w:val="26"/>
          <w:szCs w:val="26"/>
        </w:rPr>
        <w:t>.  The Federal Energy Regulatory Commission (</w:t>
      </w:r>
      <w:r w:rsidRPr="00C17ABE" w:rsidR="00C413AD">
        <w:rPr>
          <w:rFonts w:ascii="Times New Roman" w:hAnsi="Times New Roman" w:eastAsia="Calibri" w:cs="Times New Roman"/>
          <w:sz w:val="26"/>
          <w:szCs w:val="26"/>
        </w:rPr>
        <w:t xml:space="preserve">Commission or </w:t>
      </w:r>
      <w:r w:rsidRPr="00C17ABE">
        <w:rPr>
          <w:rFonts w:ascii="Times New Roman" w:hAnsi="Times New Roman" w:eastAsia="Calibri" w:cs="Times New Roman"/>
          <w:sz w:val="26"/>
          <w:szCs w:val="26"/>
        </w:rPr>
        <w:t>FERC) is requesting that the Office of Management and Budget (OMB) approve the reporting and recordkeeping requirements in FERC-725N</w:t>
      </w:r>
      <w:r w:rsidRPr="00C17ABE" w:rsidR="002F2BB0">
        <w:rPr>
          <w:rFonts w:ascii="Times New Roman" w:hAnsi="Times New Roman" w:eastAsia="Calibri" w:cs="Times New Roman"/>
          <w:sz w:val="26"/>
          <w:szCs w:val="26"/>
        </w:rPr>
        <w:t>.</w:t>
      </w:r>
      <w:r w:rsidRPr="00C17ABE" w:rsidR="008F6889">
        <w:rPr>
          <w:rFonts w:ascii="Times New Roman" w:hAnsi="Times New Roman" w:eastAsia="Calibri" w:cs="Times New Roman"/>
          <w:sz w:val="26"/>
          <w:szCs w:val="26"/>
        </w:rPr>
        <w:t xml:space="preserve">  The text of the reporting and recordkeeping requirements </w:t>
      </w:r>
      <w:r w:rsidRPr="00C17ABE" w:rsidR="00C17ABE">
        <w:rPr>
          <w:rFonts w:ascii="Times New Roman" w:hAnsi="Times New Roman" w:eastAsia="Calibri" w:cs="Times New Roman"/>
          <w:sz w:val="26"/>
          <w:szCs w:val="26"/>
        </w:rPr>
        <w:t xml:space="preserve">of Reliability Standard TPL-001-5 </w:t>
      </w:r>
      <w:r w:rsidRPr="00C17ABE" w:rsidR="008F6889">
        <w:rPr>
          <w:rFonts w:ascii="Times New Roman" w:hAnsi="Times New Roman" w:eastAsia="Calibri" w:cs="Times New Roman"/>
          <w:sz w:val="26"/>
          <w:szCs w:val="26"/>
        </w:rPr>
        <w:t xml:space="preserve">(excerpted from the NERC Petition) is included </w:t>
      </w:r>
      <w:r w:rsidRPr="00C17ABE" w:rsidR="00A74248">
        <w:rPr>
          <w:rFonts w:ascii="Times New Roman" w:hAnsi="Times New Roman" w:eastAsia="Calibri" w:cs="Times New Roman"/>
          <w:sz w:val="26"/>
          <w:szCs w:val="26"/>
        </w:rPr>
        <w:t>in ROCIS and reginfo.gov under Supplementary Documents.</w:t>
      </w:r>
    </w:p>
    <w:p w:rsidRPr="00C17ABE" w:rsidR="005C1553" w:rsidP="005C1553" w:rsidRDefault="005C1553" w14:paraId="69BC74D8" w14:textId="77777777">
      <w:pPr>
        <w:spacing w:after="0" w:line="240" w:lineRule="auto"/>
        <w:rPr>
          <w:rFonts w:ascii="Times New Roman" w:hAnsi="Times New Roman" w:eastAsia="Calibri" w:cs="Times New Roman"/>
          <w:sz w:val="26"/>
          <w:szCs w:val="26"/>
        </w:rPr>
      </w:pPr>
    </w:p>
    <w:p w:rsidRPr="00C17ABE" w:rsidR="005C1553" w:rsidP="005C1553" w:rsidRDefault="005C1553" w14:paraId="7DDB824B" w14:textId="77777777">
      <w:pPr>
        <w:numPr>
          <w:ilvl w:val="0"/>
          <w:numId w:val="1"/>
        </w:numPr>
        <w:spacing w:after="0" w:line="240" w:lineRule="auto"/>
        <w:ind w:left="360"/>
        <w:contextualSpacing/>
        <w:rPr>
          <w:rFonts w:ascii="Times New Roman" w:hAnsi="Times New Roman" w:eastAsia="Calibri" w:cs="Times New Roman"/>
          <w:b/>
          <w:sz w:val="26"/>
          <w:szCs w:val="26"/>
        </w:rPr>
      </w:pPr>
      <w:r w:rsidRPr="00C17ABE">
        <w:rPr>
          <w:rFonts w:ascii="Times New Roman" w:hAnsi="Times New Roman" w:eastAsia="Calibri" w:cs="Times New Roman"/>
          <w:b/>
          <w:sz w:val="26"/>
          <w:szCs w:val="26"/>
        </w:rPr>
        <w:t>CIRCUMSTANCES THAT MAKE THE COLLECTION OF INFORMATION NECESSARY</w:t>
      </w:r>
    </w:p>
    <w:p w:rsidRPr="00C17ABE" w:rsidR="005C1553" w:rsidP="005C1553" w:rsidRDefault="005C1553" w14:paraId="692272CD" w14:textId="77777777">
      <w:pPr>
        <w:spacing w:after="0" w:line="240" w:lineRule="auto"/>
        <w:rPr>
          <w:rFonts w:ascii="Times New Roman" w:hAnsi="Times New Roman" w:eastAsia="Calibri" w:cs="Times New Roman"/>
          <w:sz w:val="26"/>
          <w:szCs w:val="26"/>
        </w:rPr>
      </w:pPr>
    </w:p>
    <w:p w:rsidRPr="003A333B" w:rsidR="005C1553" w:rsidP="005C1553" w:rsidRDefault="005C1553" w14:paraId="699B108A" w14:textId="77777777">
      <w:pPr>
        <w:autoSpaceDE w:val="0"/>
        <w:autoSpaceDN w:val="0"/>
        <w:adjustRightInd w:val="0"/>
        <w:spacing w:after="0" w:line="240" w:lineRule="auto"/>
        <w:rPr>
          <w:rFonts w:ascii="Times New Roman" w:hAnsi="Times New Roman" w:eastAsia="Times New Roman" w:cs="Times New Roman"/>
          <w:sz w:val="26"/>
          <w:szCs w:val="26"/>
        </w:rPr>
      </w:pPr>
      <w:r w:rsidRPr="00C17ABE">
        <w:rPr>
          <w:rFonts w:ascii="Times New Roman" w:hAnsi="Times New Roman" w:eastAsia="Times New Roman" w:cs="Times New Roman"/>
          <w:sz w:val="26"/>
          <w:szCs w:val="26"/>
        </w:rPr>
        <w:t>On August 8, 2005, The Electricity</w:t>
      </w:r>
      <w:r w:rsidRPr="003A333B">
        <w:rPr>
          <w:rFonts w:ascii="Times New Roman" w:hAnsi="Times New Roman" w:eastAsia="Times New Roman" w:cs="Times New Roman"/>
          <w:sz w:val="26"/>
          <w:szCs w:val="26"/>
        </w:rPr>
        <w:t xml:space="preserve"> Modernization Act of 2005, which is Title XII of the Energy Policy Act of 2005 (EPAct 2005), was enacted into law.</w:t>
      </w:r>
      <w:r w:rsidRPr="003A333B">
        <w:rPr>
          <w:rFonts w:ascii="Times New Roman" w:hAnsi="Times New Roman" w:eastAsia="Times New Roman" w:cs="Times New Roman"/>
          <w:sz w:val="26"/>
          <w:szCs w:val="26"/>
          <w:vertAlign w:val="superscript"/>
        </w:rPr>
        <w:footnoteReference w:id="2"/>
      </w:r>
      <w:r w:rsidRPr="003A333B">
        <w:rPr>
          <w:rFonts w:ascii="Times New Roman" w:hAnsi="Times New Roman" w:eastAsia="Times New Roman" w:cs="Times New Roman"/>
          <w:sz w:val="26"/>
          <w:szCs w:val="26"/>
        </w:rPr>
        <w:t xml:space="preserve">  EPAct 2005 added a new section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w:t>
      </w:r>
    </w:p>
    <w:p w:rsidRPr="003A333B" w:rsidR="005C1553" w:rsidP="005C1553" w:rsidRDefault="005C1553" w14:paraId="7CD677D0" w14:textId="77777777">
      <w:pPr>
        <w:spacing w:after="0" w:line="240" w:lineRule="auto"/>
        <w:rPr>
          <w:rFonts w:ascii="Times New Roman" w:hAnsi="Times New Roman" w:eastAsia="Calibri" w:cs="Times New Roman"/>
          <w:sz w:val="26"/>
          <w:szCs w:val="26"/>
        </w:rPr>
      </w:pPr>
    </w:p>
    <w:p w:rsidRPr="003A333B" w:rsidR="00E84EF3" w:rsidP="00E84EF3" w:rsidRDefault="00E84EF3" w14:paraId="4ABF662A" w14:textId="77777777">
      <w:pPr>
        <w:spacing w:after="0" w:line="240" w:lineRule="auto"/>
        <w:rPr>
          <w:rFonts w:ascii="Times New Roman" w:hAnsi="Times New Roman" w:eastAsia="Times New Roman" w:cs="Times New Roman"/>
          <w:sz w:val="26"/>
          <w:szCs w:val="26"/>
        </w:rPr>
      </w:pPr>
      <w:r w:rsidRPr="003A333B">
        <w:rPr>
          <w:rFonts w:ascii="Times New Roman" w:hAnsi="Times New Roman" w:eastAsia="Times New Roman" w:cs="Times New Roman"/>
          <w:sz w:val="26"/>
          <w:szCs w:val="26"/>
        </w:rPr>
        <w:t>Pursuant to section 215(d)(2) of the Federal Power Act (FPA),</w:t>
      </w:r>
      <w:r w:rsidRPr="003A333B">
        <w:rPr>
          <w:rFonts w:ascii="Times New Roman" w:hAnsi="Times New Roman" w:eastAsia="Times New Roman" w:cs="Times New Roman"/>
          <w:b/>
          <w:sz w:val="26"/>
          <w:szCs w:val="26"/>
          <w:vertAlign w:val="superscript"/>
        </w:rPr>
        <w:footnoteReference w:id="3"/>
      </w:r>
      <w:r w:rsidRPr="003A333B">
        <w:rPr>
          <w:rFonts w:ascii="Times New Roman" w:hAnsi="Times New Roman" w:eastAsia="Times New Roman" w:cs="Times New Roman"/>
          <w:sz w:val="26"/>
          <w:szCs w:val="26"/>
        </w:rPr>
        <w:t xml:space="preserve"> the Commission proposes to approve Reliability Standard TPL-001-5 (Transmission System Planning Performance Requirements).  The North American Electric Reliability Corporation (NERC), the Commission-certified Electric Reliability Organization (ERO), submitted the proposed Reliability Standard TPL-001-5 for Commission approval to address:  (1) reliability issues concerning the study of single points of failure of protection systems discussed in Order No. 754;</w:t>
      </w:r>
      <w:r w:rsidRPr="003A333B">
        <w:rPr>
          <w:rFonts w:ascii="Times New Roman" w:hAnsi="Times New Roman" w:eastAsia="Times New Roman" w:cs="Times New Roman"/>
          <w:b/>
          <w:sz w:val="26"/>
          <w:szCs w:val="26"/>
          <w:vertAlign w:val="superscript"/>
        </w:rPr>
        <w:t xml:space="preserve"> </w:t>
      </w:r>
      <w:r w:rsidRPr="003A333B">
        <w:rPr>
          <w:rFonts w:ascii="Times New Roman" w:hAnsi="Times New Roman" w:eastAsia="Times New Roman" w:cs="Times New Roman"/>
          <w:b/>
          <w:sz w:val="26"/>
          <w:szCs w:val="26"/>
          <w:vertAlign w:val="superscript"/>
        </w:rPr>
        <w:footnoteReference w:id="4"/>
      </w:r>
      <w:r w:rsidRPr="003A333B">
        <w:rPr>
          <w:rFonts w:ascii="Times New Roman" w:hAnsi="Times New Roman" w:eastAsia="Times New Roman" w:cs="Times New Roman"/>
          <w:sz w:val="26"/>
          <w:szCs w:val="26"/>
        </w:rPr>
        <w:t xml:space="preserve"> and (2) directives from Order No. 786</w:t>
      </w:r>
      <w:r w:rsidRPr="003A333B">
        <w:rPr>
          <w:rFonts w:ascii="Times New Roman" w:hAnsi="Times New Roman" w:eastAsia="Times New Roman" w:cs="Times New Roman"/>
          <w:b/>
          <w:sz w:val="26"/>
          <w:szCs w:val="26"/>
          <w:vertAlign w:val="superscript"/>
        </w:rPr>
        <w:footnoteReference w:id="5"/>
      </w:r>
      <w:r w:rsidRPr="003A333B">
        <w:rPr>
          <w:rFonts w:ascii="Times New Roman" w:hAnsi="Times New Roman" w:eastAsia="Times New Roman" w:cs="Times New Roman"/>
          <w:sz w:val="26"/>
          <w:szCs w:val="26"/>
        </w:rPr>
        <w:t xml:space="preserve"> regarding planned maintenance outages and stability analysis for spare equipment strategy.  </w:t>
      </w:r>
    </w:p>
    <w:p w:rsidRPr="003A333B" w:rsidR="005C1553" w:rsidP="005C1553" w:rsidRDefault="005C1553" w14:paraId="2BBF3FFC" w14:textId="77777777">
      <w:pPr>
        <w:spacing w:after="0" w:line="240" w:lineRule="auto"/>
        <w:rPr>
          <w:rFonts w:ascii="Times New Roman" w:hAnsi="Times New Roman" w:eastAsia="Times New Roman" w:cs="Times New Roman"/>
          <w:sz w:val="26"/>
          <w:szCs w:val="26"/>
        </w:rPr>
      </w:pPr>
    </w:p>
    <w:p w:rsidRPr="003A333B" w:rsidR="005C1553" w:rsidP="005C1553" w:rsidRDefault="005C1553" w14:paraId="63068182" w14:textId="77777777">
      <w:pPr>
        <w:numPr>
          <w:ilvl w:val="0"/>
          <w:numId w:val="1"/>
        </w:numPr>
        <w:spacing w:after="0" w:line="240" w:lineRule="auto"/>
        <w:ind w:left="360"/>
        <w:contextualSpacing/>
        <w:rPr>
          <w:rFonts w:ascii="Times New Roman" w:hAnsi="Times New Roman" w:eastAsia="Calibri" w:cs="Times New Roman"/>
          <w:b/>
          <w:sz w:val="26"/>
          <w:szCs w:val="26"/>
        </w:rPr>
      </w:pPr>
      <w:r w:rsidRPr="003A333B">
        <w:rPr>
          <w:rFonts w:ascii="Times New Roman" w:hAnsi="Times New Roman" w:eastAsia="Calibri" w:cs="Times New Roman"/>
          <w:b/>
          <w:sz w:val="26"/>
          <w:szCs w:val="26"/>
        </w:rPr>
        <w:t>HOW, BY WHOM, AND FOR WHAT PURPOSE THE INFORMATION IS TO BE USED AND THE CONSEQUENCES OF NOT COLLECTING THE INFORMATION</w:t>
      </w:r>
    </w:p>
    <w:p w:rsidRPr="003A333B" w:rsidR="00EE398B" w:rsidP="00EE398B" w:rsidRDefault="00EE398B" w14:paraId="0BA345B3" w14:textId="77777777">
      <w:pPr>
        <w:pStyle w:val="FERCparanumber"/>
        <w:numPr>
          <w:ilvl w:val="0"/>
          <w:numId w:val="0"/>
        </w:numPr>
        <w:spacing w:line="240" w:lineRule="auto"/>
        <w:rPr>
          <w:szCs w:val="26"/>
        </w:rPr>
      </w:pPr>
    </w:p>
    <w:p w:rsidR="00EE398B" w:rsidP="00EE398B" w:rsidRDefault="00EE398B" w14:paraId="11B5A5F8" w14:textId="2F550E6C">
      <w:pPr>
        <w:pStyle w:val="FERCparanumber"/>
        <w:numPr>
          <w:ilvl w:val="0"/>
          <w:numId w:val="0"/>
        </w:numPr>
        <w:spacing w:line="240" w:lineRule="auto"/>
        <w:rPr>
          <w:szCs w:val="26"/>
        </w:rPr>
      </w:pPr>
      <w:r w:rsidRPr="003A333B">
        <w:rPr>
          <w:szCs w:val="26"/>
        </w:rPr>
        <w:t>Reliability Standard TPL-001-5 requires each planning authority and transmission planner to perform an annual planning assessment of its portion of the bulk electric system considering a number of system conditions and contingencies.  The Reliability Standard employs a risk-based approach to the study of contingencies and the types of corrective action that are required if the entity’s system cannot meet the specified performance requirements.</w:t>
      </w:r>
      <w:r w:rsidRPr="003A333B">
        <w:rPr>
          <w:rStyle w:val="FootnoteReference"/>
          <w:szCs w:val="26"/>
          <w:vertAlign w:val="superscript"/>
        </w:rPr>
        <w:footnoteReference w:id="6"/>
      </w:r>
      <w:r w:rsidRPr="003A333B">
        <w:rPr>
          <w:szCs w:val="26"/>
        </w:rPr>
        <w:t xml:space="preserve">  For scenarios considered to be more commonplace (i.e. planning events), the planning entity must develop a corrective action plan if it determines through studies that its system would experience performance issues.  For the scenarios considered to be less commonplace, but which could result in potentially severe impacts such as cascading (i.e. extreme events), the planning entity must conduct a comprehensive analysis to understand both the potential impacts on its system and the types of actions that could reduce or mitigate those impacts.</w:t>
      </w:r>
      <w:r w:rsidRPr="003A333B">
        <w:rPr>
          <w:rStyle w:val="FootnoteReference"/>
          <w:color w:val="000000" w:themeColor="text1"/>
          <w:szCs w:val="26"/>
          <w:vertAlign w:val="superscript"/>
        </w:rPr>
        <w:footnoteReference w:id="7"/>
      </w:r>
      <w:r w:rsidRPr="003A333B">
        <w:rPr>
          <w:szCs w:val="26"/>
        </w:rPr>
        <w:t xml:space="preserve"> </w:t>
      </w:r>
    </w:p>
    <w:p w:rsidRPr="003A333B" w:rsidR="005C1553" w:rsidP="00EE398B" w:rsidRDefault="005C1553" w14:paraId="00ACC894" w14:textId="77777777">
      <w:pPr>
        <w:spacing w:after="0" w:line="240" w:lineRule="auto"/>
        <w:rPr>
          <w:rFonts w:ascii="Times New Roman" w:hAnsi="Times New Roman" w:eastAsia="Calibri" w:cs="Times New Roman"/>
          <w:sz w:val="26"/>
          <w:szCs w:val="26"/>
        </w:rPr>
      </w:pPr>
    </w:p>
    <w:p w:rsidRPr="003A333B" w:rsidR="005C1553" w:rsidP="005C1553" w:rsidRDefault="005C1553" w14:paraId="7F97930E" w14:textId="77777777">
      <w:pPr>
        <w:numPr>
          <w:ilvl w:val="0"/>
          <w:numId w:val="1"/>
        </w:numPr>
        <w:spacing w:after="0" w:line="240" w:lineRule="auto"/>
        <w:ind w:left="360"/>
        <w:contextualSpacing/>
        <w:rPr>
          <w:rFonts w:ascii="Times New Roman" w:hAnsi="Times New Roman" w:eastAsia="Calibri" w:cs="Times New Roman"/>
          <w:b/>
          <w:sz w:val="26"/>
          <w:szCs w:val="26"/>
        </w:rPr>
      </w:pPr>
      <w:r w:rsidRPr="003A333B">
        <w:rPr>
          <w:rFonts w:ascii="Times New Roman" w:hAnsi="Times New Roman" w:eastAsia="Calibri" w:cs="Times New Roman"/>
          <w:b/>
          <w:sz w:val="26"/>
          <w:szCs w:val="26"/>
        </w:rPr>
        <w:t>DESCRIBE ANY CONSIDERATION OF THE USE OF IMPROVED INFORMATION TECHNOLOGY TO REDUCE THE BURDEN AND TECHNICAL OR LEGAL OBSTACLES TO REDUCING BURDEN</w:t>
      </w:r>
    </w:p>
    <w:p w:rsidRPr="003A333B" w:rsidR="005C1553" w:rsidP="005C1553" w:rsidRDefault="005C1553" w14:paraId="74F17040" w14:textId="77777777">
      <w:pPr>
        <w:spacing w:after="0" w:line="240" w:lineRule="auto"/>
        <w:rPr>
          <w:rFonts w:ascii="Times New Roman" w:hAnsi="Times New Roman" w:eastAsia="Calibri" w:cs="Times New Roman"/>
          <w:sz w:val="26"/>
          <w:szCs w:val="26"/>
        </w:rPr>
      </w:pPr>
    </w:p>
    <w:p w:rsidRPr="003A333B" w:rsidR="005C1553" w:rsidP="005C1553" w:rsidRDefault="005C1553" w14:paraId="6D6C4FD8" w14:textId="35B7C192">
      <w:pPr>
        <w:spacing w:after="0" w:line="240" w:lineRule="auto"/>
        <w:rPr>
          <w:rFonts w:ascii="Times New Roman" w:hAnsi="Times New Roman" w:eastAsia="Calibri" w:cs="Times New Roman"/>
          <w:sz w:val="26"/>
          <w:szCs w:val="26"/>
        </w:rPr>
      </w:pPr>
      <w:r w:rsidRPr="003A333B">
        <w:rPr>
          <w:rFonts w:ascii="Times New Roman" w:hAnsi="Times New Roman" w:eastAsia="Calibri" w:cs="Times New Roman"/>
          <w:sz w:val="26"/>
          <w:szCs w:val="26"/>
        </w:rPr>
        <w:t>The use of current or improved technology is not covered in Reliability Standards</w:t>
      </w:r>
      <w:r w:rsidR="00AD7A16">
        <w:rPr>
          <w:rFonts w:ascii="Times New Roman" w:hAnsi="Times New Roman" w:eastAsia="Calibri" w:cs="Times New Roman"/>
          <w:sz w:val="26"/>
          <w:szCs w:val="26"/>
        </w:rPr>
        <w:t xml:space="preserve"> </w:t>
      </w:r>
      <w:r w:rsidRPr="003A333B">
        <w:rPr>
          <w:rFonts w:ascii="Times New Roman" w:hAnsi="Times New Roman" w:eastAsia="Calibri" w:cs="Times New Roman"/>
          <w:sz w:val="26"/>
          <w:szCs w:val="26"/>
        </w:rPr>
        <w:t>and is</w:t>
      </w:r>
      <w:r w:rsidR="00AD7A16">
        <w:rPr>
          <w:rFonts w:ascii="Times New Roman" w:hAnsi="Times New Roman" w:eastAsia="Calibri" w:cs="Times New Roman"/>
          <w:sz w:val="26"/>
          <w:szCs w:val="26"/>
        </w:rPr>
        <w:t>,</w:t>
      </w:r>
      <w:r w:rsidRPr="003A333B">
        <w:rPr>
          <w:rFonts w:ascii="Times New Roman" w:hAnsi="Times New Roman" w:eastAsia="Calibri" w:cs="Times New Roman"/>
          <w:sz w:val="26"/>
          <w:szCs w:val="26"/>
        </w:rPr>
        <w:t xml:space="preserve"> therefore</w:t>
      </w:r>
      <w:r w:rsidR="00AD7A16">
        <w:rPr>
          <w:rFonts w:ascii="Times New Roman" w:hAnsi="Times New Roman" w:eastAsia="Calibri" w:cs="Times New Roman"/>
          <w:sz w:val="26"/>
          <w:szCs w:val="26"/>
        </w:rPr>
        <w:t>,</w:t>
      </w:r>
      <w:r w:rsidRPr="003A333B">
        <w:rPr>
          <w:rFonts w:ascii="Times New Roman" w:hAnsi="Times New Roman" w:eastAsia="Calibri" w:cs="Times New Roman"/>
          <w:sz w:val="26"/>
          <w:szCs w:val="26"/>
        </w:rPr>
        <w:t xml:space="preserve"> left to the discretion of each reporting entity. </w:t>
      </w:r>
      <w:r w:rsidR="00AD7A16">
        <w:rPr>
          <w:rFonts w:ascii="Times New Roman" w:hAnsi="Times New Roman" w:eastAsia="Calibri" w:cs="Times New Roman"/>
          <w:sz w:val="26"/>
          <w:szCs w:val="26"/>
        </w:rPr>
        <w:t>Commission staff</w:t>
      </w:r>
      <w:r w:rsidRPr="003A333B">
        <w:rPr>
          <w:rFonts w:ascii="Times New Roman" w:hAnsi="Times New Roman" w:eastAsia="Calibri" w:cs="Times New Roman"/>
          <w:sz w:val="26"/>
          <w:szCs w:val="26"/>
        </w:rPr>
        <w:t xml:space="preserve"> think that nearly all of the respondents are likely to make and keep related records in an electronic format.  Each of the </w:t>
      </w:r>
      <w:r w:rsidR="00A82BB4">
        <w:rPr>
          <w:rFonts w:ascii="Times New Roman" w:hAnsi="Times New Roman" w:eastAsia="Calibri" w:cs="Times New Roman"/>
          <w:sz w:val="26"/>
          <w:szCs w:val="26"/>
        </w:rPr>
        <w:t>six</w:t>
      </w:r>
      <w:r w:rsidRPr="003A333B" w:rsidR="00A82BB4">
        <w:rPr>
          <w:rFonts w:ascii="Times New Roman" w:hAnsi="Times New Roman" w:eastAsia="Calibri" w:cs="Times New Roman"/>
          <w:sz w:val="26"/>
          <w:szCs w:val="26"/>
        </w:rPr>
        <w:t xml:space="preserve"> </w:t>
      </w:r>
      <w:r w:rsidRPr="003A333B">
        <w:rPr>
          <w:rFonts w:ascii="Times New Roman" w:hAnsi="Times New Roman" w:eastAsia="Calibri" w:cs="Times New Roman"/>
          <w:sz w:val="26"/>
          <w:szCs w:val="26"/>
        </w:rPr>
        <w:t>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rsidRPr="003A333B" w:rsidR="005C1553" w:rsidP="005C1553" w:rsidRDefault="005C1553" w14:paraId="6F3FF066" w14:textId="77777777">
      <w:pPr>
        <w:spacing w:after="0" w:line="240" w:lineRule="auto"/>
        <w:rPr>
          <w:rFonts w:ascii="Times New Roman" w:hAnsi="Times New Roman" w:eastAsia="Calibri" w:cs="Times New Roman"/>
          <w:sz w:val="26"/>
          <w:szCs w:val="26"/>
        </w:rPr>
      </w:pPr>
    </w:p>
    <w:p w:rsidRPr="003A333B" w:rsidR="005C1553" w:rsidP="005C1553" w:rsidRDefault="005C1553" w14:paraId="02F67EA8" w14:textId="77777777">
      <w:pPr>
        <w:spacing w:after="0" w:line="240" w:lineRule="auto"/>
        <w:rPr>
          <w:rFonts w:ascii="Times New Roman" w:hAnsi="Times New Roman" w:eastAsia="Calibri" w:cs="Times New Roman"/>
          <w:sz w:val="26"/>
          <w:szCs w:val="26"/>
        </w:rPr>
      </w:pPr>
      <w:r w:rsidRPr="003A333B">
        <w:rPr>
          <w:rFonts w:ascii="Times New Roman" w:hAnsi="Times New Roman" w:eastAsia="Calibri" w:cs="Times New Roman"/>
          <w:sz w:val="26"/>
          <w:szCs w:val="26"/>
        </w:rPr>
        <w:t>The submittals are not made to FERC.</w:t>
      </w:r>
    </w:p>
    <w:p w:rsidRPr="003A333B" w:rsidR="005C1553" w:rsidP="005C1553" w:rsidRDefault="005C1553" w14:paraId="4565A169" w14:textId="77777777">
      <w:pPr>
        <w:spacing w:after="0" w:line="240" w:lineRule="auto"/>
        <w:rPr>
          <w:rFonts w:ascii="Times New Roman" w:hAnsi="Times New Roman" w:eastAsia="Calibri" w:cs="Times New Roman"/>
          <w:sz w:val="26"/>
          <w:szCs w:val="26"/>
        </w:rPr>
      </w:pPr>
    </w:p>
    <w:p w:rsidRPr="003A333B" w:rsidR="005C1553" w:rsidP="005C1553" w:rsidRDefault="005C1553" w14:paraId="66EE23B1" w14:textId="77777777">
      <w:pPr>
        <w:numPr>
          <w:ilvl w:val="0"/>
          <w:numId w:val="1"/>
        </w:numPr>
        <w:spacing w:after="0" w:line="240" w:lineRule="auto"/>
        <w:ind w:left="360"/>
        <w:contextualSpacing/>
        <w:rPr>
          <w:rFonts w:ascii="Times New Roman" w:hAnsi="Times New Roman" w:eastAsia="Calibri" w:cs="Times New Roman"/>
          <w:b/>
          <w:sz w:val="26"/>
          <w:szCs w:val="26"/>
        </w:rPr>
      </w:pPr>
      <w:r w:rsidRPr="003A333B">
        <w:rPr>
          <w:rFonts w:ascii="Times New Roman" w:hAnsi="Times New Roman" w:eastAsia="Calibri" w:cs="Times New Roman"/>
          <w:b/>
          <w:sz w:val="26"/>
          <w:szCs w:val="26"/>
        </w:rPr>
        <w:t xml:space="preserve">DESCRIBE EFFORTS TO IDENTIFY DUPLICATION AND SHOW SPECIFICALLY WHY ANY SIMILAR INFORMATION ALREADY </w:t>
      </w:r>
      <w:r w:rsidRPr="003A333B">
        <w:rPr>
          <w:rFonts w:ascii="Times New Roman" w:hAnsi="Times New Roman" w:eastAsia="Calibri" w:cs="Times New Roman"/>
          <w:b/>
          <w:sz w:val="26"/>
          <w:szCs w:val="26"/>
        </w:rPr>
        <w:lastRenderedPageBreak/>
        <w:t>AVAILABLE CANNOT BE USED OR MODIFIED FOR USE FOR THE PURPOSE(S) DESCRIBED IN INSTRUCTION NO. 2</w:t>
      </w:r>
    </w:p>
    <w:p w:rsidRPr="003A333B" w:rsidR="005C1553" w:rsidP="005C1553" w:rsidRDefault="005C1553" w14:paraId="58DC3961" w14:textId="77777777">
      <w:pPr>
        <w:spacing w:after="0" w:line="240" w:lineRule="auto"/>
        <w:rPr>
          <w:rFonts w:ascii="Times New Roman" w:hAnsi="Times New Roman" w:eastAsia="Calibri" w:cs="Times New Roman"/>
          <w:sz w:val="26"/>
          <w:szCs w:val="26"/>
        </w:rPr>
      </w:pPr>
    </w:p>
    <w:p w:rsidRPr="003A333B" w:rsidR="005C1553" w:rsidP="005C1553" w:rsidRDefault="005C1553" w14:paraId="139236A7" w14:textId="00F0A6FE">
      <w:pPr>
        <w:spacing w:after="0" w:line="240" w:lineRule="auto"/>
        <w:rPr>
          <w:rFonts w:ascii="Times New Roman" w:hAnsi="Times New Roman" w:eastAsia="Calibri" w:cs="Times New Roman"/>
          <w:sz w:val="26"/>
          <w:szCs w:val="26"/>
        </w:rPr>
      </w:pPr>
      <w:r w:rsidRPr="003A333B">
        <w:rPr>
          <w:rFonts w:ascii="Times New Roman" w:hAnsi="Times New Roman" w:eastAsia="Calibri" w:cs="Times New Roman"/>
          <w:sz w:val="26"/>
          <w:szCs w:val="26"/>
        </w:rPr>
        <w:t>The information collection requirements are unique to t</w:t>
      </w:r>
      <w:r w:rsidR="00AD7A16">
        <w:rPr>
          <w:rFonts w:ascii="Times New Roman" w:hAnsi="Times New Roman" w:eastAsia="Calibri" w:cs="Times New Roman"/>
          <w:sz w:val="26"/>
          <w:szCs w:val="26"/>
        </w:rPr>
        <w:t>he</w:t>
      </w:r>
      <w:r w:rsidRPr="003A333B">
        <w:rPr>
          <w:rFonts w:ascii="Times New Roman" w:hAnsi="Times New Roman" w:eastAsia="Calibri" w:cs="Times New Roman"/>
          <w:sz w:val="26"/>
          <w:szCs w:val="26"/>
        </w:rPr>
        <w:t xml:space="preserve"> </w:t>
      </w:r>
      <w:r w:rsidR="00AD7A16">
        <w:rPr>
          <w:rFonts w:ascii="Times New Roman" w:hAnsi="Times New Roman" w:eastAsia="Calibri" w:cs="Times New Roman"/>
          <w:sz w:val="26"/>
          <w:szCs w:val="26"/>
        </w:rPr>
        <w:t xml:space="preserve">proposed </w:t>
      </w:r>
      <w:r w:rsidR="00A82BB4">
        <w:rPr>
          <w:rFonts w:ascii="Times New Roman" w:hAnsi="Times New Roman" w:eastAsia="Calibri" w:cs="Times New Roman"/>
          <w:sz w:val="26"/>
          <w:szCs w:val="26"/>
        </w:rPr>
        <w:t>R</w:t>
      </w:r>
      <w:r w:rsidRPr="003A333B">
        <w:rPr>
          <w:rFonts w:ascii="Times New Roman" w:hAnsi="Times New Roman" w:eastAsia="Calibri" w:cs="Times New Roman"/>
          <w:sz w:val="26"/>
          <w:szCs w:val="26"/>
        </w:rPr>
        <w:t xml:space="preserve">eliability </w:t>
      </w:r>
      <w:r w:rsidR="00A82BB4">
        <w:rPr>
          <w:rFonts w:ascii="Times New Roman" w:hAnsi="Times New Roman" w:eastAsia="Calibri" w:cs="Times New Roman"/>
          <w:sz w:val="26"/>
          <w:szCs w:val="26"/>
        </w:rPr>
        <w:t>S</w:t>
      </w:r>
      <w:r w:rsidRPr="003A333B">
        <w:rPr>
          <w:rFonts w:ascii="Times New Roman" w:hAnsi="Times New Roman" w:eastAsia="Calibri" w:cs="Times New Roman"/>
          <w:sz w:val="26"/>
          <w:szCs w:val="26"/>
        </w:rPr>
        <w:t>tandard and to th</w:t>
      </w:r>
      <w:r w:rsidR="00AD7A16">
        <w:rPr>
          <w:rFonts w:ascii="Times New Roman" w:hAnsi="Times New Roman" w:eastAsia="Calibri" w:cs="Times New Roman"/>
          <w:sz w:val="26"/>
          <w:szCs w:val="26"/>
        </w:rPr>
        <w:t>e FERC-725N</w:t>
      </w:r>
      <w:r w:rsidRPr="003A333B">
        <w:rPr>
          <w:rFonts w:ascii="Times New Roman" w:hAnsi="Times New Roman" w:eastAsia="Calibri" w:cs="Times New Roman"/>
          <w:sz w:val="26"/>
          <w:szCs w:val="26"/>
        </w:rPr>
        <w:t xml:space="preserve"> information collection.  The Commission does not know of any duplication in the requirements. </w:t>
      </w:r>
    </w:p>
    <w:p w:rsidRPr="003A333B" w:rsidR="008D31BE" w:rsidP="005C1553" w:rsidRDefault="008D31BE" w14:paraId="6B47542C" w14:textId="77777777">
      <w:pPr>
        <w:spacing w:after="0" w:line="240" w:lineRule="auto"/>
        <w:rPr>
          <w:rFonts w:ascii="Times New Roman" w:hAnsi="Times New Roman" w:eastAsia="Calibri" w:cs="Times New Roman"/>
          <w:sz w:val="26"/>
          <w:szCs w:val="26"/>
        </w:rPr>
      </w:pPr>
    </w:p>
    <w:p w:rsidRPr="003A333B" w:rsidR="005C1553" w:rsidP="005C1553" w:rsidRDefault="005C1553" w14:paraId="2A74FBF8" w14:textId="77777777">
      <w:pPr>
        <w:numPr>
          <w:ilvl w:val="0"/>
          <w:numId w:val="1"/>
        </w:numPr>
        <w:spacing w:after="0" w:line="240" w:lineRule="auto"/>
        <w:ind w:left="360"/>
        <w:contextualSpacing/>
        <w:rPr>
          <w:rFonts w:ascii="Times New Roman" w:hAnsi="Times New Roman" w:eastAsia="Calibri" w:cs="Times New Roman"/>
          <w:b/>
          <w:sz w:val="26"/>
          <w:szCs w:val="26"/>
        </w:rPr>
      </w:pPr>
      <w:r w:rsidRPr="003A333B">
        <w:rPr>
          <w:rFonts w:ascii="Times New Roman" w:hAnsi="Times New Roman" w:eastAsia="Calibri" w:cs="Times New Roman"/>
          <w:b/>
          <w:sz w:val="26"/>
          <w:szCs w:val="26"/>
        </w:rPr>
        <w:t>METHODS USED TO MINIMIZE THE BURDEN IN COLLECTION OF INFORMATION INVOLVING SMALL ENTITIES</w:t>
      </w:r>
    </w:p>
    <w:p w:rsidRPr="003A333B" w:rsidR="005C1553" w:rsidP="005C1553" w:rsidRDefault="005C1553" w14:paraId="64F326CB" w14:textId="77777777">
      <w:pPr>
        <w:spacing w:after="0" w:line="240" w:lineRule="auto"/>
        <w:rPr>
          <w:rFonts w:ascii="Times New Roman" w:hAnsi="Times New Roman" w:eastAsia="Calibri" w:cs="Times New Roman"/>
          <w:sz w:val="26"/>
          <w:szCs w:val="26"/>
        </w:rPr>
      </w:pPr>
    </w:p>
    <w:p w:rsidRPr="003A333B" w:rsidR="005C1553" w:rsidP="005C1553" w:rsidRDefault="005C1553" w14:paraId="5F242172" w14:textId="75EBFB1D">
      <w:pPr>
        <w:spacing w:after="0" w:line="240" w:lineRule="auto"/>
        <w:rPr>
          <w:rFonts w:ascii="Times New Roman" w:hAnsi="Times New Roman" w:eastAsia="Calibri" w:cs="Times New Roman"/>
          <w:sz w:val="26"/>
          <w:szCs w:val="26"/>
        </w:rPr>
      </w:pPr>
      <w:r w:rsidRPr="003A333B">
        <w:rPr>
          <w:rFonts w:ascii="Times New Roman" w:hAnsi="Times New Roman" w:eastAsia="Calibri" w:cs="Times New Roman"/>
          <w:sz w:val="26"/>
          <w:szCs w:val="26"/>
        </w:rPr>
        <w:t>Small entities generally can reduce their burden by taking part in a joint registration organization or a coordinated function</w:t>
      </w:r>
      <w:r w:rsidR="00A82BB4">
        <w:rPr>
          <w:rFonts w:ascii="Times New Roman" w:hAnsi="Times New Roman" w:eastAsia="Calibri" w:cs="Times New Roman"/>
          <w:sz w:val="26"/>
          <w:szCs w:val="26"/>
        </w:rPr>
        <w:t>al</w:t>
      </w:r>
      <w:r w:rsidRPr="003A333B">
        <w:rPr>
          <w:rFonts w:ascii="Times New Roman" w:hAnsi="Times New Roman" w:eastAsia="Calibri" w:cs="Times New Roman"/>
          <w:sz w:val="26"/>
          <w:szCs w:val="26"/>
        </w:rPr>
        <w:t xml:space="preserve"> registration.  These options allow an entity the ability to share its compliance burden with other similar entities.</w:t>
      </w:r>
    </w:p>
    <w:p w:rsidRPr="003A333B" w:rsidR="005C1553" w:rsidP="005C1553" w:rsidRDefault="005C1553" w14:paraId="0823FB3E" w14:textId="77777777">
      <w:pPr>
        <w:spacing w:after="0" w:line="240" w:lineRule="auto"/>
        <w:rPr>
          <w:rFonts w:ascii="Times New Roman" w:hAnsi="Times New Roman" w:eastAsia="Calibri" w:cs="Times New Roman"/>
          <w:sz w:val="26"/>
          <w:szCs w:val="26"/>
        </w:rPr>
      </w:pPr>
    </w:p>
    <w:p w:rsidRPr="003A333B" w:rsidR="005C1553" w:rsidP="005C1553" w:rsidRDefault="005C1553" w14:paraId="676A316B" w14:textId="2B431007">
      <w:pPr>
        <w:spacing w:after="0" w:line="240" w:lineRule="auto"/>
        <w:rPr>
          <w:rFonts w:ascii="Times New Roman" w:hAnsi="Times New Roman" w:eastAsia="Calibri" w:cs="Times New Roman"/>
          <w:sz w:val="26"/>
          <w:szCs w:val="26"/>
        </w:rPr>
      </w:pPr>
      <w:r w:rsidRPr="003A333B">
        <w:rPr>
          <w:rFonts w:ascii="Times New Roman" w:hAnsi="Times New Roman" w:eastAsia="Calibri" w:cs="Times New Roman"/>
          <w:sz w:val="26"/>
          <w:szCs w:val="26"/>
        </w:rPr>
        <w:t>Detailed information regarding these options is available in NERC’s Rules of Procedure at sections 507 and 508</w:t>
      </w:r>
      <w:r w:rsidR="00A82BB4">
        <w:rPr>
          <w:rFonts w:ascii="Times New Roman" w:hAnsi="Times New Roman" w:eastAsia="Calibri" w:cs="Times New Roman"/>
          <w:sz w:val="26"/>
          <w:szCs w:val="26"/>
        </w:rPr>
        <w:t>.</w:t>
      </w:r>
      <w:r w:rsidRPr="003A333B">
        <w:rPr>
          <w:rFonts w:ascii="Times New Roman" w:hAnsi="Times New Roman" w:eastAsia="Calibri" w:cs="Times New Roman"/>
          <w:sz w:val="26"/>
          <w:szCs w:val="26"/>
          <w:vertAlign w:val="superscript"/>
        </w:rPr>
        <w:footnoteReference w:id="8"/>
      </w:r>
    </w:p>
    <w:p w:rsidRPr="003A333B" w:rsidR="005C1553" w:rsidP="005C1553" w:rsidRDefault="005C1553" w14:paraId="6FF6C30A" w14:textId="77777777">
      <w:pPr>
        <w:spacing w:after="0" w:line="240" w:lineRule="auto"/>
        <w:rPr>
          <w:rFonts w:ascii="Times New Roman" w:hAnsi="Times New Roman" w:eastAsia="Calibri" w:cs="Times New Roman"/>
          <w:sz w:val="26"/>
          <w:szCs w:val="26"/>
        </w:rPr>
      </w:pPr>
    </w:p>
    <w:p w:rsidRPr="003A333B" w:rsidR="005C1553" w:rsidP="005C1553" w:rsidRDefault="005C1553" w14:paraId="68A5496C" w14:textId="77777777">
      <w:pPr>
        <w:numPr>
          <w:ilvl w:val="0"/>
          <w:numId w:val="1"/>
        </w:numPr>
        <w:spacing w:after="0" w:line="240" w:lineRule="auto"/>
        <w:ind w:left="360"/>
        <w:contextualSpacing/>
        <w:rPr>
          <w:rFonts w:ascii="Times New Roman" w:hAnsi="Times New Roman" w:eastAsia="Calibri" w:cs="Times New Roman"/>
          <w:b/>
          <w:sz w:val="26"/>
          <w:szCs w:val="26"/>
        </w:rPr>
      </w:pPr>
      <w:r w:rsidRPr="003A333B">
        <w:rPr>
          <w:rFonts w:ascii="Times New Roman" w:hAnsi="Times New Roman" w:eastAsia="Calibri" w:cs="Times New Roman"/>
          <w:b/>
          <w:sz w:val="26"/>
          <w:szCs w:val="26"/>
        </w:rPr>
        <w:t>CONSEQUENCE TO FEDERAL PROGRAM IF COLLECTION WERE CONDUCTED LESS FREQUENTLY</w:t>
      </w:r>
    </w:p>
    <w:p w:rsidRPr="003A333B" w:rsidR="005C1553" w:rsidP="005C1553" w:rsidRDefault="005C1553" w14:paraId="27FE9891" w14:textId="77777777">
      <w:pPr>
        <w:spacing w:after="0" w:line="240" w:lineRule="auto"/>
        <w:rPr>
          <w:rFonts w:ascii="Times New Roman" w:hAnsi="Times New Roman" w:eastAsia="Calibri" w:cs="Times New Roman"/>
          <w:sz w:val="26"/>
          <w:szCs w:val="26"/>
        </w:rPr>
      </w:pPr>
    </w:p>
    <w:p w:rsidRPr="003A333B" w:rsidR="005C1553" w:rsidP="005C1553" w:rsidRDefault="005C1553" w14:paraId="6D2FAE77" w14:textId="77777777">
      <w:pPr>
        <w:spacing w:after="0" w:line="240" w:lineRule="auto"/>
        <w:rPr>
          <w:rFonts w:ascii="Times New Roman" w:hAnsi="Times New Roman" w:eastAsia="Calibri" w:cs="Times New Roman"/>
          <w:sz w:val="26"/>
          <w:szCs w:val="26"/>
        </w:rPr>
      </w:pPr>
      <w:r w:rsidRPr="003A333B">
        <w:rPr>
          <w:rFonts w:ascii="Times New Roman" w:hAnsi="Times New Roman" w:eastAsia="Calibri" w:cs="Times New Roman"/>
          <w:sz w:val="26"/>
          <w:szCs w:val="26"/>
        </w:rPr>
        <w:t>If this standard and the associated information collection requirements did not exist or were performed less frequently, the reduction or elimination of transmission system planning would likely lead to lower system reliability and higher vulnerability and risk, such as transmission system outages and loss of load.</w:t>
      </w:r>
    </w:p>
    <w:p w:rsidRPr="003A333B" w:rsidR="005C1553" w:rsidP="005C1553" w:rsidRDefault="005C1553" w14:paraId="5945097C" w14:textId="77777777">
      <w:pPr>
        <w:spacing w:after="0" w:line="240" w:lineRule="auto"/>
        <w:rPr>
          <w:rFonts w:ascii="Times New Roman" w:hAnsi="Times New Roman" w:eastAsia="Calibri" w:cs="Times New Roman"/>
          <w:sz w:val="26"/>
          <w:szCs w:val="26"/>
        </w:rPr>
      </w:pPr>
    </w:p>
    <w:p w:rsidRPr="003A333B" w:rsidR="005C1553" w:rsidP="005C1553" w:rsidRDefault="005C1553" w14:paraId="4889B66F" w14:textId="77777777">
      <w:pPr>
        <w:numPr>
          <w:ilvl w:val="0"/>
          <w:numId w:val="1"/>
        </w:numPr>
        <w:spacing w:after="0" w:line="240" w:lineRule="auto"/>
        <w:ind w:left="360"/>
        <w:contextualSpacing/>
        <w:rPr>
          <w:rFonts w:ascii="Times New Roman" w:hAnsi="Times New Roman" w:eastAsia="Calibri" w:cs="Times New Roman"/>
          <w:b/>
          <w:sz w:val="26"/>
          <w:szCs w:val="26"/>
        </w:rPr>
      </w:pPr>
      <w:r w:rsidRPr="003A333B">
        <w:rPr>
          <w:rFonts w:ascii="Times New Roman" w:hAnsi="Times New Roman" w:eastAsia="Calibri" w:cs="Times New Roman"/>
          <w:b/>
          <w:sz w:val="26"/>
          <w:szCs w:val="26"/>
        </w:rPr>
        <w:t>EXPLAIN ANY SPECIAL CIRCUMSTANCES RELATING TO THE INFORMATION COLLECTION</w:t>
      </w:r>
    </w:p>
    <w:p w:rsidRPr="003A333B" w:rsidR="005C1553" w:rsidP="005C1553" w:rsidRDefault="005C1553" w14:paraId="662898BD" w14:textId="77777777">
      <w:pPr>
        <w:spacing w:after="0" w:line="240" w:lineRule="auto"/>
        <w:rPr>
          <w:rFonts w:ascii="Times New Roman" w:hAnsi="Times New Roman" w:eastAsia="Calibri" w:cs="Times New Roman"/>
          <w:sz w:val="26"/>
          <w:szCs w:val="26"/>
        </w:rPr>
      </w:pPr>
    </w:p>
    <w:p w:rsidRPr="003A333B" w:rsidR="005C1553" w:rsidP="003A333B" w:rsidRDefault="005C1553" w14:paraId="575D1A91" w14:textId="6C7898A7">
      <w:pPr>
        <w:spacing w:after="0" w:line="240" w:lineRule="auto"/>
        <w:rPr>
          <w:rFonts w:ascii="Times New Roman" w:hAnsi="Times New Roman" w:eastAsia="Calibri" w:cs="Times New Roman"/>
          <w:color w:val="000000"/>
          <w:sz w:val="26"/>
          <w:szCs w:val="26"/>
        </w:rPr>
      </w:pPr>
      <w:r w:rsidRPr="003A333B">
        <w:rPr>
          <w:rFonts w:ascii="Times New Roman" w:hAnsi="Times New Roman" w:eastAsia="Calibri" w:cs="Times New Roman"/>
          <w:sz w:val="26"/>
          <w:szCs w:val="26"/>
        </w:rPr>
        <w:t xml:space="preserve">There are </w:t>
      </w:r>
      <w:r w:rsidRPr="003A333B" w:rsidR="003A333B">
        <w:rPr>
          <w:rFonts w:ascii="Times New Roman" w:hAnsi="Times New Roman" w:eastAsia="Calibri" w:cs="Times New Roman"/>
          <w:sz w:val="26"/>
          <w:szCs w:val="26"/>
        </w:rPr>
        <w:t xml:space="preserve">no special circumstances related to </w:t>
      </w:r>
      <w:r w:rsidR="00AD7A16">
        <w:rPr>
          <w:rFonts w:ascii="Times New Roman" w:hAnsi="Times New Roman" w:eastAsia="Calibri" w:cs="Times New Roman"/>
          <w:sz w:val="26"/>
          <w:szCs w:val="26"/>
        </w:rPr>
        <w:t xml:space="preserve">the </w:t>
      </w:r>
      <w:r w:rsidRPr="003A333B" w:rsidR="003A333B">
        <w:rPr>
          <w:rFonts w:ascii="Times New Roman" w:hAnsi="Times New Roman" w:eastAsia="Calibri" w:cs="Times New Roman"/>
          <w:sz w:val="26"/>
          <w:szCs w:val="26"/>
        </w:rPr>
        <w:t>Reliability Standard TPL-001-5.</w:t>
      </w:r>
    </w:p>
    <w:p w:rsidRPr="003A333B" w:rsidR="005C1553" w:rsidP="005C1553" w:rsidRDefault="005C1553" w14:paraId="29D114FA" w14:textId="77777777">
      <w:pPr>
        <w:autoSpaceDE w:val="0"/>
        <w:autoSpaceDN w:val="0"/>
        <w:adjustRightInd w:val="0"/>
        <w:spacing w:after="0" w:line="240" w:lineRule="auto"/>
        <w:rPr>
          <w:rFonts w:ascii="Times New Roman" w:hAnsi="Times New Roman" w:eastAsia="Calibri" w:cs="Times New Roman"/>
          <w:color w:val="000000"/>
          <w:sz w:val="26"/>
          <w:szCs w:val="26"/>
        </w:rPr>
      </w:pPr>
    </w:p>
    <w:p w:rsidRPr="003A333B" w:rsidR="005C1553" w:rsidP="005C1553" w:rsidRDefault="005C1553" w14:paraId="551E8EAA" w14:textId="77777777">
      <w:pPr>
        <w:numPr>
          <w:ilvl w:val="0"/>
          <w:numId w:val="1"/>
        </w:numPr>
        <w:spacing w:after="0" w:line="240" w:lineRule="auto"/>
        <w:ind w:left="360"/>
        <w:contextualSpacing/>
        <w:rPr>
          <w:rFonts w:ascii="Times New Roman" w:hAnsi="Times New Roman" w:eastAsia="Calibri" w:cs="Times New Roman"/>
          <w:b/>
          <w:sz w:val="26"/>
          <w:szCs w:val="26"/>
        </w:rPr>
      </w:pPr>
      <w:r w:rsidRPr="003A333B">
        <w:rPr>
          <w:rFonts w:ascii="Times New Roman" w:hAnsi="Times New Roman" w:eastAsia="Calibri" w:cs="Times New Roman"/>
          <w:b/>
          <w:sz w:val="26"/>
          <w:szCs w:val="26"/>
        </w:rPr>
        <w:t>DESCRIBE EFFORTS TO CONSULT OUTSIDE THE AGENCY: SUMMARIZE PUBLIC COMMENTS AND THE AGENCY’S RESPONSE</w:t>
      </w:r>
    </w:p>
    <w:p w:rsidRPr="003A333B" w:rsidR="005C1553" w:rsidP="005C1553" w:rsidRDefault="005C1553" w14:paraId="1053F36A" w14:textId="77777777">
      <w:pPr>
        <w:spacing w:after="0" w:line="240" w:lineRule="auto"/>
        <w:rPr>
          <w:rFonts w:ascii="Times New Roman" w:hAnsi="Times New Roman" w:eastAsia="Calibri" w:cs="Times New Roman"/>
          <w:bCs/>
          <w:sz w:val="26"/>
          <w:szCs w:val="26"/>
        </w:rPr>
      </w:pPr>
    </w:p>
    <w:p w:rsidR="001F5AC0" w:rsidP="001F5AC0" w:rsidRDefault="005C1553" w14:paraId="7FADF34F" w14:textId="1851DE64">
      <w:pPr>
        <w:spacing w:after="0" w:line="240" w:lineRule="auto"/>
        <w:rPr>
          <w:rFonts w:ascii="Times New Roman" w:hAnsi="Times New Roman" w:eastAsia="Calibri" w:cs="Times New Roman"/>
          <w:bCs/>
          <w:sz w:val="26"/>
          <w:szCs w:val="26"/>
        </w:rPr>
      </w:pPr>
      <w:r w:rsidRPr="003A333B">
        <w:rPr>
          <w:rFonts w:ascii="Times New Roman" w:hAnsi="Times New Roman" w:eastAsia="Calibri" w:cs="Times New Roman"/>
          <w:bCs/>
          <w:sz w:val="26"/>
          <w:szCs w:val="26"/>
        </w:rPr>
        <w:t>The ERO process to establish Reliability Standards is a collaborative process with the ERO, Regional Entities and other stakeholders developing and reviewing drafts, and providing comments, with</w:t>
      </w:r>
      <w:r w:rsidR="005B05DE">
        <w:rPr>
          <w:rFonts w:ascii="Times New Roman" w:hAnsi="Times New Roman" w:eastAsia="Calibri" w:cs="Times New Roman"/>
          <w:bCs/>
          <w:sz w:val="26"/>
          <w:szCs w:val="26"/>
        </w:rPr>
        <w:t xml:space="preserve"> NERC submitting</w:t>
      </w:r>
      <w:r w:rsidRPr="003A333B">
        <w:rPr>
          <w:rFonts w:ascii="Times New Roman" w:hAnsi="Times New Roman" w:eastAsia="Calibri" w:cs="Times New Roman"/>
          <w:bCs/>
          <w:sz w:val="26"/>
          <w:szCs w:val="26"/>
        </w:rPr>
        <w:t xml:space="preserve"> the final standard to the Commission for review and approval</w:t>
      </w:r>
      <w:r w:rsidR="005B05DE">
        <w:rPr>
          <w:rFonts w:ascii="Times New Roman" w:hAnsi="Times New Roman" w:eastAsia="Calibri" w:cs="Times New Roman"/>
          <w:bCs/>
          <w:sz w:val="26"/>
          <w:szCs w:val="26"/>
        </w:rPr>
        <w:t xml:space="preserve"> on December 7, 2018</w:t>
      </w:r>
      <w:r w:rsidRPr="003A333B">
        <w:rPr>
          <w:rFonts w:ascii="Times New Roman" w:hAnsi="Times New Roman" w:eastAsia="Calibri" w:cs="Times New Roman"/>
          <w:bCs/>
          <w:sz w:val="26"/>
          <w:szCs w:val="26"/>
        </w:rPr>
        <w:t xml:space="preserve">.  </w:t>
      </w:r>
      <w:r w:rsidR="00A82BB4">
        <w:rPr>
          <w:rFonts w:ascii="Times New Roman" w:hAnsi="Times New Roman" w:eastAsia="Calibri" w:cs="Times New Roman"/>
          <w:bCs/>
          <w:sz w:val="26"/>
          <w:szCs w:val="26"/>
        </w:rPr>
        <w:t xml:space="preserve">There were no comments filed in response to NERC’s </w:t>
      </w:r>
      <w:r w:rsidR="005B05DE">
        <w:rPr>
          <w:rFonts w:ascii="Times New Roman" w:hAnsi="Times New Roman" w:eastAsia="Calibri" w:cs="Times New Roman"/>
          <w:bCs/>
          <w:sz w:val="26"/>
          <w:szCs w:val="26"/>
        </w:rPr>
        <w:t>filing.  In</w:t>
      </w:r>
      <w:r w:rsidRPr="003A333B" w:rsidR="001F5AC0">
        <w:rPr>
          <w:rFonts w:ascii="Times New Roman" w:hAnsi="Times New Roman" w:eastAsia="Calibri" w:cs="Times New Roman"/>
          <w:bCs/>
          <w:sz w:val="26"/>
          <w:szCs w:val="26"/>
        </w:rPr>
        <w:t xml:space="preserve"> accordance with OMB </w:t>
      </w:r>
      <w:r w:rsidR="00C17ABE">
        <w:rPr>
          <w:rFonts w:ascii="Times New Roman" w:hAnsi="Times New Roman" w:eastAsia="Calibri" w:cs="Times New Roman"/>
          <w:bCs/>
          <w:sz w:val="26"/>
          <w:szCs w:val="26"/>
        </w:rPr>
        <w:t xml:space="preserve">and other </w:t>
      </w:r>
      <w:r w:rsidRPr="003A333B" w:rsidR="001F5AC0">
        <w:rPr>
          <w:rFonts w:ascii="Times New Roman" w:hAnsi="Times New Roman" w:eastAsia="Calibri" w:cs="Times New Roman"/>
          <w:bCs/>
          <w:sz w:val="26"/>
          <w:szCs w:val="26"/>
        </w:rPr>
        <w:t>requirements</w:t>
      </w:r>
      <w:r w:rsidRPr="003A333B" w:rsidR="001F5AC0">
        <w:rPr>
          <w:rFonts w:ascii="Times New Roman" w:hAnsi="Times New Roman" w:eastAsia="Calibri" w:cs="Times New Roman"/>
          <w:bCs/>
          <w:sz w:val="26"/>
          <w:szCs w:val="26"/>
          <w:vertAlign w:val="superscript"/>
        </w:rPr>
        <w:footnoteReference w:id="9"/>
      </w:r>
      <w:r w:rsidRPr="003A333B">
        <w:rPr>
          <w:rFonts w:ascii="Times New Roman" w:hAnsi="Times New Roman" w:eastAsia="Calibri" w:cs="Times New Roman"/>
          <w:bCs/>
          <w:sz w:val="26"/>
          <w:szCs w:val="26"/>
        </w:rPr>
        <w:t xml:space="preserve">, </w:t>
      </w:r>
      <w:r w:rsidRPr="003A333B" w:rsidR="001F5AC0">
        <w:rPr>
          <w:rFonts w:ascii="Times New Roman" w:hAnsi="Times New Roman" w:eastAsia="Calibri" w:cs="Times New Roman"/>
          <w:bCs/>
          <w:sz w:val="26"/>
          <w:szCs w:val="26"/>
        </w:rPr>
        <w:t xml:space="preserve">the Commission </w:t>
      </w:r>
      <w:r w:rsidRPr="003A333B" w:rsidR="005D23B8">
        <w:rPr>
          <w:rFonts w:ascii="Times New Roman" w:hAnsi="Times New Roman" w:eastAsia="Calibri" w:cs="Times New Roman"/>
          <w:bCs/>
          <w:sz w:val="26"/>
          <w:szCs w:val="26"/>
        </w:rPr>
        <w:lastRenderedPageBreak/>
        <w:t>issued</w:t>
      </w:r>
      <w:r w:rsidRPr="003A333B" w:rsidR="001F5AC0">
        <w:rPr>
          <w:rFonts w:ascii="Times New Roman" w:hAnsi="Times New Roman" w:eastAsia="Calibri" w:cs="Times New Roman"/>
          <w:bCs/>
          <w:sz w:val="26"/>
          <w:szCs w:val="26"/>
        </w:rPr>
        <w:t xml:space="preserve"> </w:t>
      </w:r>
      <w:r w:rsidRPr="003A333B" w:rsidR="001F5AC0">
        <w:rPr>
          <w:rFonts w:ascii="Times New Roman" w:hAnsi="Times New Roman" w:eastAsia="Calibri" w:cs="Times New Roman"/>
          <w:sz w:val="26"/>
          <w:szCs w:val="26"/>
        </w:rPr>
        <w:t xml:space="preserve">the </w:t>
      </w:r>
      <w:r w:rsidR="00FB70CA">
        <w:rPr>
          <w:rFonts w:ascii="Times New Roman" w:hAnsi="Times New Roman" w:eastAsia="Calibri" w:cs="Times New Roman"/>
          <w:sz w:val="26"/>
          <w:szCs w:val="26"/>
        </w:rPr>
        <w:t>Notice of Proposed Rulemaking (</w:t>
      </w:r>
      <w:r w:rsidRPr="003A333B" w:rsidR="001F5AC0">
        <w:rPr>
          <w:rFonts w:ascii="Times New Roman" w:hAnsi="Times New Roman" w:eastAsia="Calibri" w:cs="Times New Roman"/>
          <w:sz w:val="26"/>
          <w:szCs w:val="26"/>
        </w:rPr>
        <w:t>NOPR</w:t>
      </w:r>
      <w:r w:rsidR="00FB70CA">
        <w:rPr>
          <w:rFonts w:ascii="Times New Roman" w:hAnsi="Times New Roman" w:eastAsia="Calibri" w:cs="Times New Roman"/>
          <w:sz w:val="26"/>
          <w:szCs w:val="26"/>
        </w:rPr>
        <w:t>)</w:t>
      </w:r>
      <w:r w:rsidRPr="003A333B" w:rsidR="001F5AC0">
        <w:rPr>
          <w:rFonts w:ascii="Times New Roman" w:hAnsi="Times New Roman" w:eastAsia="Calibri" w:cs="Times New Roman"/>
          <w:sz w:val="26"/>
          <w:szCs w:val="26"/>
        </w:rPr>
        <w:t xml:space="preserve"> in Docket No. RM19-10-000 (6/20/2019)</w:t>
      </w:r>
      <w:r w:rsidRPr="003A333B" w:rsidR="005D23B8">
        <w:rPr>
          <w:rFonts w:ascii="Times New Roman" w:hAnsi="Times New Roman" w:eastAsia="Calibri" w:cs="Times New Roman"/>
          <w:sz w:val="26"/>
          <w:szCs w:val="26"/>
        </w:rPr>
        <w:t>. The NOPR was published in the Federal Register on 6/27/2019 (84 FR 30639)</w:t>
      </w:r>
      <w:r w:rsidRPr="003A333B" w:rsidR="001F5AC0">
        <w:rPr>
          <w:rFonts w:ascii="Times New Roman" w:hAnsi="Times New Roman" w:eastAsia="Calibri" w:cs="Times New Roman"/>
          <w:sz w:val="26"/>
          <w:szCs w:val="26"/>
        </w:rPr>
        <w:t>, solicit</w:t>
      </w:r>
      <w:r w:rsidRPr="003A333B" w:rsidR="005D23B8">
        <w:rPr>
          <w:rFonts w:ascii="Times New Roman" w:hAnsi="Times New Roman" w:eastAsia="Calibri" w:cs="Times New Roman"/>
          <w:sz w:val="26"/>
          <w:szCs w:val="26"/>
        </w:rPr>
        <w:t>ing</w:t>
      </w:r>
      <w:r w:rsidRPr="003A333B" w:rsidR="001F5AC0">
        <w:rPr>
          <w:rFonts w:ascii="Times New Roman" w:hAnsi="Times New Roman" w:eastAsia="Calibri" w:cs="Times New Roman"/>
          <w:sz w:val="26"/>
          <w:szCs w:val="26"/>
        </w:rPr>
        <w:t xml:space="preserve"> public comments </w:t>
      </w:r>
      <w:r w:rsidRPr="003A333B" w:rsidR="005D23B8">
        <w:rPr>
          <w:rFonts w:ascii="Times New Roman" w:hAnsi="Times New Roman" w:eastAsia="Calibri" w:cs="Times New Roman"/>
          <w:sz w:val="26"/>
          <w:szCs w:val="26"/>
        </w:rPr>
        <w:t>and</w:t>
      </w:r>
      <w:r w:rsidRPr="003A333B" w:rsidR="005D23B8">
        <w:rPr>
          <w:rFonts w:ascii="Times New Roman" w:hAnsi="Times New Roman" w:eastAsia="Calibri" w:cs="Times New Roman"/>
          <w:bCs/>
          <w:sz w:val="26"/>
          <w:szCs w:val="26"/>
        </w:rPr>
        <w:t xml:space="preserve"> providing public utilities and licensees, state commissions, Federal agencies, and other interested parties an opportunity to submit data, views, comments or suggestions concerning the approved collection of data. </w:t>
      </w:r>
    </w:p>
    <w:p w:rsidR="00FB70CA" w:rsidP="001F5AC0" w:rsidRDefault="00FB70CA" w14:paraId="6D32D98D" w14:textId="54E20BC7">
      <w:pPr>
        <w:spacing w:after="0" w:line="240" w:lineRule="auto"/>
        <w:rPr>
          <w:rFonts w:ascii="Times New Roman" w:hAnsi="Times New Roman" w:eastAsia="Calibri" w:cs="Times New Roman"/>
          <w:bCs/>
          <w:sz w:val="26"/>
          <w:szCs w:val="26"/>
        </w:rPr>
      </w:pPr>
    </w:p>
    <w:p w:rsidR="00FB70CA" w:rsidP="001F5AC0" w:rsidRDefault="00A82BB4" w14:paraId="7EEAA536" w14:textId="0B81CCEC">
      <w:pPr>
        <w:spacing w:after="0" w:line="240" w:lineRule="auto"/>
        <w:rPr>
          <w:rFonts w:ascii="Times New Roman" w:hAnsi="Times New Roman" w:eastAsia="Calibri" w:cs="Times New Roman"/>
          <w:sz w:val="26"/>
          <w:szCs w:val="26"/>
        </w:rPr>
      </w:pPr>
      <w:r w:rsidRPr="00A82BB4">
        <w:rPr>
          <w:rFonts w:ascii="Times New Roman" w:hAnsi="Times New Roman" w:eastAsia="Calibri" w:cs="Times New Roman"/>
          <w:sz w:val="26"/>
          <w:szCs w:val="26"/>
        </w:rPr>
        <w:t xml:space="preserve">The Commission received ten sets of </w:t>
      </w:r>
      <w:r>
        <w:rPr>
          <w:rFonts w:ascii="Times New Roman" w:hAnsi="Times New Roman" w:eastAsia="Calibri" w:cs="Times New Roman"/>
          <w:sz w:val="26"/>
          <w:szCs w:val="26"/>
        </w:rPr>
        <w:t xml:space="preserve">comments on the </w:t>
      </w:r>
      <w:r w:rsidRPr="00A82BB4">
        <w:rPr>
          <w:rFonts w:ascii="Times New Roman" w:hAnsi="Times New Roman" w:eastAsia="Calibri" w:cs="Times New Roman"/>
          <w:sz w:val="26"/>
          <w:szCs w:val="26"/>
        </w:rPr>
        <w:t>NOPR.</w:t>
      </w:r>
      <w:r>
        <w:rPr>
          <w:rFonts w:ascii="Times New Roman" w:hAnsi="Times New Roman" w:eastAsia="Calibri" w:cs="Times New Roman"/>
          <w:sz w:val="26"/>
          <w:szCs w:val="26"/>
        </w:rPr>
        <w:t xml:space="preserve">  </w:t>
      </w:r>
      <w:r w:rsidRPr="00A82BB4">
        <w:rPr>
          <w:rFonts w:ascii="Times New Roman" w:hAnsi="Times New Roman" w:eastAsia="Calibri" w:cs="Times New Roman"/>
          <w:sz w:val="26"/>
          <w:szCs w:val="26"/>
        </w:rPr>
        <w:t>Commenters unanimously supported approving Reliability Standard TPL-001-5</w:t>
      </w:r>
      <w:r w:rsidR="005B05DE">
        <w:rPr>
          <w:rFonts w:ascii="Times New Roman" w:hAnsi="Times New Roman" w:eastAsia="Calibri" w:cs="Times New Roman"/>
          <w:sz w:val="26"/>
          <w:szCs w:val="26"/>
        </w:rPr>
        <w:t xml:space="preserve"> as submitted by NERC</w:t>
      </w:r>
      <w:r w:rsidRPr="00A82BB4">
        <w:rPr>
          <w:rFonts w:ascii="Times New Roman" w:hAnsi="Times New Roman" w:eastAsia="Calibri" w:cs="Times New Roman"/>
          <w:sz w:val="26"/>
          <w:szCs w:val="26"/>
        </w:rPr>
        <w:t>.</w:t>
      </w:r>
      <w:r>
        <w:rPr>
          <w:rFonts w:ascii="Times New Roman" w:hAnsi="Times New Roman" w:eastAsia="Calibri" w:cs="Times New Roman"/>
          <w:sz w:val="26"/>
          <w:szCs w:val="26"/>
        </w:rPr>
        <w:t xml:space="preserve">  </w:t>
      </w:r>
      <w:r w:rsidR="00640723">
        <w:rPr>
          <w:rFonts w:ascii="Times New Roman" w:hAnsi="Times New Roman" w:eastAsia="Calibri" w:cs="Times New Roman"/>
          <w:sz w:val="26"/>
          <w:szCs w:val="26"/>
        </w:rPr>
        <w:t xml:space="preserve">No comments directly address </w:t>
      </w:r>
      <w:r w:rsidR="00620AAB">
        <w:rPr>
          <w:rFonts w:ascii="Times New Roman" w:hAnsi="Times New Roman" w:eastAsia="Calibri" w:cs="Times New Roman"/>
          <w:sz w:val="26"/>
          <w:szCs w:val="26"/>
        </w:rPr>
        <w:t xml:space="preserve">PRA-related issued (e.g., </w:t>
      </w:r>
      <w:r w:rsidR="00640723">
        <w:rPr>
          <w:rFonts w:ascii="Times New Roman" w:hAnsi="Times New Roman" w:eastAsia="Calibri" w:cs="Times New Roman"/>
          <w:sz w:val="26"/>
          <w:szCs w:val="26"/>
        </w:rPr>
        <w:t>burden estimate</w:t>
      </w:r>
      <w:r w:rsidR="00620AAB">
        <w:rPr>
          <w:rFonts w:ascii="Times New Roman" w:hAnsi="Times New Roman" w:eastAsia="Calibri" w:cs="Times New Roman"/>
          <w:sz w:val="26"/>
          <w:szCs w:val="26"/>
        </w:rPr>
        <w:t>)</w:t>
      </w:r>
      <w:r w:rsidR="00640723">
        <w:rPr>
          <w:rFonts w:ascii="Times New Roman" w:hAnsi="Times New Roman" w:eastAsia="Calibri" w:cs="Times New Roman"/>
          <w:sz w:val="26"/>
          <w:szCs w:val="26"/>
        </w:rPr>
        <w:t xml:space="preserve"> provided in the NOPR.</w:t>
      </w:r>
    </w:p>
    <w:p w:rsidR="00620AAB" w:rsidP="001F5AC0" w:rsidRDefault="00620AAB" w14:paraId="2DCB9BE2" w14:textId="754E0531">
      <w:pPr>
        <w:spacing w:after="0" w:line="240" w:lineRule="auto"/>
        <w:rPr>
          <w:rFonts w:ascii="Times New Roman" w:hAnsi="Times New Roman" w:eastAsia="Calibri" w:cs="Times New Roman"/>
          <w:sz w:val="26"/>
          <w:szCs w:val="26"/>
        </w:rPr>
      </w:pPr>
    </w:p>
    <w:p w:rsidRPr="003A333B" w:rsidR="00620AAB" w:rsidP="001F5AC0" w:rsidRDefault="00620AAB" w14:paraId="4D2A2721" w14:textId="26672CA1">
      <w:pPr>
        <w:spacing w:after="0" w:line="240" w:lineRule="auto"/>
        <w:rPr>
          <w:rFonts w:ascii="Times New Roman" w:hAnsi="Times New Roman" w:eastAsia="Calibri" w:cs="Times New Roman"/>
          <w:sz w:val="26"/>
          <w:szCs w:val="26"/>
        </w:rPr>
      </w:pPr>
      <w:r>
        <w:rPr>
          <w:rFonts w:ascii="Times New Roman" w:hAnsi="Times New Roman" w:eastAsia="Calibri" w:cs="Times New Roman"/>
          <w:sz w:val="26"/>
          <w:szCs w:val="26"/>
        </w:rPr>
        <w:t>The Final Rule</w:t>
      </w:r>
      <w:r w:rsidRPr="00C17ABE" w:rsidR="007B602E">
        <w:rPr>
          <w:rStyle w:val="FootnoteReference"/>
          <w:rFonts w:ascii="Times New Roman" w:hAnsi="Times New Roman" w:eastAsia="Calibri" w:cs="Times New Roman"/>
          <w:sz w:val="26"/>
          <w:szCs w:val="26"/>
          <w:vertAlign w:val="superscript"/>
        </w:rPr>
        <w:footnoteReference w:id="10"/>
      </w:r>
      <w:r>
        <w:rPr>
          <w:rFonts w:ascii="Times New Roman" w:hAnsi="Times New Roman" w:eastAsia="Calibri" w:cs="Times New Roman"/>
          <w:sz w:val="26"/>
          <w:szCs w:val="26"/>
        </w:rPr>
        <w:t xml:space="preserve"> was issued </w:t>
      </w:r>
      <w:r w:rsidR="007B602E">
        <w:rPr>
          <w:rFonts w:ascii="Times New Roman" w:hAnsi="Times New Roman" w:eastAsia="Calibri" w:cs="Times New Roman"/>
          <w:sz w:val="26"/>
          <w:szCs w:val="26"/>
        </w:rPr>
        <w:t xml:space="preserve">on </w:t>
      </w:r>
      <w:r>
        <w:rPr>
          <w:rFonts w:ascii="Times New Roman" w:hAnsi="Times New Roman" w:eastAsia="Calibri" w:cs="Times New Roman"/>
          <w:sz w:val="26"/>
          <w:szCs w:val="26"/>
        </w:rPr>
        <w:t>1/23/2020 and was published in the Federal Register on 2/13/2020 (85 FR 8155).</w:t>
      </w:r>
    </w:p>
    <w:p w:rsidRPr="003A333B" w:rsidR="00DC0BBF" w:rsidP="005C1553" w:rsidRDefault="00DC0BBF" w14:paraId="4F5C1AAE" w14:textId="77777777">
      <w:pPr>
        <w:spacing w:after="0" w:line="240" w:lineRule="auto"/>
        <w:rPr>
          <w:rFonts w:ascii="Times New Roman" w:hAnsi="Times New Roman" w:eastAsia="Calibri" w:cs="Times New Roman"/>
          <w:sz w:val="26"/>
          <w:szCs w:val="26"/>
        </w:rPr>
      </w:pPr>
    </w:p>
    <w:p w:rsidRPr="003A333B" w:rsidR="005C1553" w:rsidP="005C1553" w:rsidRDefault="005C1553" w14:paraId="1B785E27" w14:textId="77777777">
      <w:pPr>
        <w:numPr>
          <w:ilvl w:val="0"/>
          <w:numId w:val="1"/>
        </w:numPr>
        <w:spacing w:after="0" w:line="240" w:lineRule="auto"/>
        <w:ind w:left="360"/>
        <w:contextualSpacing/>
        <w:rPr>
          <w:rFonts w:ascii="Times New Roman" w:hAnsi="Times New Roman" w:eastAsia="Calibri" w:cs="Times New Roman"/>
          <w:b/>
          <w:sz w:val="26"/>
          <w:szCs w:val="26"/>
        </w:rPr>
      </w:pPr>
      <w:r w:rsidRPr="003A333B">
        <w:rPr>
          <w:rFonts w:ascii="Times New Roman" w:hAnsi="Times New Roman" w:eastAsia="Calibri" w:cs="Times New Roman"/>
          <w:b/>
          <w:sz w:val="26"/>
          <w:szCs w:val="26"/>
        </w:rPr>
        <w:t>EXPLAIN ANY PAYMENT OR GIFTS TO RESPONDENTS</w:t>
      </w:r>
    </w:p>
    <w:p w:rsidRPr="003A333B" w:rsidR="005C1553" w:rsidP="005C1553" w:rsidRDefault="005C1553" w14:paraId="73C0C8F2" w14:textId="77777777">
      <w:pPr>
        <w:spacing w:after="0" w:line="240" w:lineRule="auto"/>
        <w:rPr>
          <w:rFonts w:ascii="Times New Roman" w:hAnsi="Times New Roman" w:eastAsia="Calibri" w:cs="Times New Roman"/>
          <w:sz w:val="26"/>
          <w:szCs w:val="26"/>
        </w:rPr>
      </w:pPr>
    </w:p>
    <w:p w:rsidRPr="003A333B" w:rsidR="005C1553" w:rsidP="005C1553" w:rsidRDefault="005C1553" w14:paraId="45E9D065" w14:textId="77777777">
      <w:pPr>
        <w:spacing w:after="0" w:line="240" w:lineRule="auto"/>
        <w:rPr>
          <w:rFonts w:ascii="Times New Roman" w:hAnsi="Times New Roman" w:eastAsia="Calibri" w:cs="Times New Roman"/>
          <w:sz w:val="26"/>
          <w:szCs w:val="26"/>
        </w:rPr>
      </w:pPr>
      <w:r w:rsidRPr="003A333B">
        <w:rPr>
          <w:rFonts w:ascii="Times New Roman" w:hAnsi="Times New Roman" w:eastAsia="Calibri" w:cs="Times New Roman"/>
          <w:sz w:val="26"/>
          <w:szCs w:val="26"/>
        </w:rPr>
        <w:t>The Commission does not make payments or provide gifts for respondents related to this collection.</w:t>
      </w:r>
    </w:p>
    <w:p w:rsidRPr="003A333B" w:rsidR="005C1553" w:rsidP="005C1553" w:rsidRDefault="005C1553" w14:paraId="35EC7C7F" w14:textId="77777777">
      <w:pPr>
        <w:spacing w:after="0" w:line="240" w:lineRule="auto"/>
        <w:rPr>
          <w:rFonts w:ascii="Times New Roman" w:hAnsi="Times New Roman" w:eastAsia="Calibri" w:cs="Times New Roman"/>
          <w:sz w:val="26"/>
          <w:szCs w:val="26"/>
        </w:rPr>
      </w:pPr>
    </w:p>
    <w:p w:rsidRPr="003A333B" w:rsidR="005C1553" w:rsidP="005C1553" w:rsidRDefault="005C1553" w14:paraId="4C70EAC1" w14:textId="77777777">
      <w:pPr>
        <w:numPr>
          <w:ilvl w:val="0"/>
          <w:numId w:val="1"/>
        </w:numPr>
        <w:spacing w:after="0" w:line="240" w:lineRule="auto"/>
        <w:ind w:left="360"/>
        <w:contextualSpacing/>
        <w:rPr>
          <w:rFonts w:ascii="Times New Roman" w:hAnsi="Times New Roman" w:eastAsia="Calibri" w:cs="Times New Roman"/>
          <w:b/>
          <w:sz w:val="26"/>
          <w:szCs w:val="26"/>
        </w:rPr>
      </w:pPr>
      <w:r w:rsidRPr="003A333B">
        <w:rPr>
          <w:rFonts w:ascii="Times New Roman" w:hAnsi="Times New Roman" w:eastAsia="Calibri" w:cs="Times New Roman"/>
          <w:b/>
          <w:sz w:val="26"/>
          <w:szCs w:val="26"/>
        </w:rPr>
        <w:t>DESCRIBE ANY ASSURANCE OF CONFIDENTIALITY PROVIDED TO RESPONDENTS</w:t>
      </w:r>
    </w:p>
    <w:p w:rsidRPr="003A333B" w:rsidR="005C1553" w:rsidP="005C1553" w:rsidRDefault="005C1553" w14:paraId="22EAC70E" w14:textId="77777777">
      <w:pPr>
        <w:spacing w:after="0" w:line="240" w:lineRule="auto"/>
        <w:rPr>
          <w:rFonts w:ascii="Times New Roman" w:hAnsi="Times New Roman" w:eastAsia="Calibri" w:cs="Times New Roman"/>
          <w:sz w:val="26"/>
          <w:szCs w:val="26"/>
        </w:rPr>
      </w:pPr>
    </w:p>
    <w:p w:rsidRPr="003A333B" w:rsidR="005C1553" w:rsidP="005C1553" w:rsidRDefault="005C1553" w14:paraId="23E32EDE" w14:textId="77777777">
      <w:pPr>
        <w:spacing w:after="0" w:line="240" w:lineRule="auto"/>
        <w:rPr>
          <w:rFonts w:ascii="Times New Roman" w:hAnsi="Times New Roman" w:eastAsia="Calibri" w:cs="Times New Roman"/>
          <w:sz w:val="26"/>
          <w:szCs w:val="26"/>
        </w:rPr>
      </w:pPr>
      <w:r w:rsidRPr="003A333B">
        <w:rPr>
          <w:rFonts w:ascii="Times New Roman" w:hAnsi="Times New Roman" w:eastAsia="Calibri" w:cs="Times New Roman"/>
          <w:sz w:val="26"/>
          <w:szCs w:val="26"/>
        </w:rPr>
        <w:t>According to the NERC Rule of Procedure 1502,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Pr="003A333B" w:rsidR="005C1553" w:rsidP="005C1553" w:rsidRDefault="005C1553" w14:paraId="5D89B8C3" w14:textId="77777777">
      <w:pPr>
        <w:spacing w:after="0" w:line="240" w:lineRule="auto"/>
        <w:rPr>
          <w:rFonts w:ascii="Times New Roman" w:hAnsi="Times New Roman" w:eastAsia="Calibri" w:cs="Times New Roman"/>
          <w:sz w:val="26"/>
          <w:szCs w:val="26"/>
        </w:rPr>
      </w:pPr>
    </w:p>
    <w:p w:rsidRPr="003A333B" w:rsidR="005C1553" w:rsidP="005C1553" w:rsidRDefault="005C1553" w14:paraId="078200F0" w14:textId="69853893">
      <w:pPr>
        <w:spacing w:after="0" w:line="240" w:lineRule="auto"/>
        <w:rPr>
          <w:rFonts w:ascii="Times New Roman" w:hAnsi="Times New Roman" w:eastAsia="Calibri" w:cs="Times New Roman"/>
          <w:sz w:val="26"/>
          <w:szCs w:val="26"/>
        </w:rPr>
      </w:pPr>
      <w:r w:rsidRPr="003A333B">
        <w:rPr>
          <w:rFonts w:ascii="Times New Roman" w:hAnsi="Times New Roman" w:eastAsia="Calibri" w:cs="Times New Roman"/>
          <w:sz w:val="26"/>
          <w:szCs w:val="26"/>
        </w:rPr>
        <w:t xml:space="preserve">Responding entities do not submit the information </w:t>
      </w:r>
      <w:r w:rsidR="00FB70CA">
        <w:rPr>
          <w:rFonts w:ascii="Times New Roman" w:hAnsi="Times New Roman" w:eastAsia="Calibri" w:cs="Times New Roman"/>
          <w:sz w:val="26"/>
          <w:szCs w:val="26"/>
        </w:rPr>
        <w:t>covered by</w:t>
      </w:r>
      <w:r w:rsidRPr="003A333B">
        <w:rPr>
          <w:rFonts w:ascii="Times New Roman" w:hAnsi="Times New Roman" w:eastAsia="Calibri" w:cs="Times New Roman"/>
          <w:sz w:val="26"/>
          <w:szCs w:val="26"/>
        </w:rPr>
        <w:t xml:space="preserve"> the approved Reliability Standard to FERC.  Rather, they maintain it internally or provide it to NERC or the Regional Entities.  Since there are no submittals made to the Commission, FERC provides no specific provisions in order to protect confidentiality unless and until any such information is submitted to FERC as part of an enforcement action or other compliance review. </w:t>
      </w:r>
    </w:p>
    <w:p w:rsidRPr="003A333B" w:rsidR="005C1553" w:rsidP="005C1553" w:rsidRDefault="005C1553" w14:paraId="216AA07A" w14:textId="77777777">
      <w:pPr>
        <w:spacing w:after="0" w:line="240" w:lineRule="auto"/>
        <w:rPr>
          <w:rFonts w:ascii="Times New Roman" w:hAnsi="Times New Roman" w:eastAsia="Calibri" w:cs="Times New Roman"/>
          <w:sz w:val="26"/>
          <w:szCs w:val="26"/>
        </w:rPr>
      </w:pPr>
    </w:p>
    <w:p w:rsidRPr="003A333B" w:rsidR="005C1553" w:rsidP="005C1553" w:rsidRDefault="005C1553" w14:paraId="129B1F05" w14:textId="77777777">
      <w:pPr>
        <w:numPr>
          <w:ilvl w:val="0"/>
          <w:numId w:val="1"/>
        </w:numPr>
        <w:spacing w:after="0" w:line="240" w:lineRule="auto"/>
        <w:ind w:left="360"/>
        <w:contextualSpacing/>
        <w:rPr>
          <w:rFonts w:ascii="Times New Roman" w:hAnsi="Times New Roman" w:eastAsia="Calibri" w:cs="Times New Roman"/>
          <w:b/>
          <w:sz w:val="26"/>
          <w:szCs w:val="26"/>
        </w:rPr>
      </w:pPr>
      <w:r w:rsidRPr="003A333B">
        <w:rPr>
          <w:rFonts w:ascii="Times New Roman" w:hAnsi="Times New Roman" w:eastAsia="Calibri" w:cs="Times New Roman"/>
          <w:b/>
          <w:sz w:val="26"/>
          <w:szCs w:val="26"/>
        </w:rPr>
        <w:t>PROVIDE ADDITIONAL JUSTIFICATION FOR ANY QUESTIONS OF A SENSITIVE NATURE, SUCH AS SEXUAL BEHAVIOR AND ATTITUDES, RELIGIOUS BELIEFS, AND OTHER MATTERS THAT ARE COMMONLY CONSIDERED PRIVATE</w:t>
      </w:r>
    </w:p>
    <w:p w:rsidRPr="003A333B" w:rsidR="005C1553" w:rsidP="005C1553" w:rsidRDefault="005C1553" w14:paraId="6401CD38" w14:textId="77777777">
      <w:pPr>
        <w:spacing w:after="0" w:line="240" w:lineRule="auto"/>
        <w:rPr>
          <w:rFonts w:ascii="Times New Roman" w:hAnsi="Times New Roman" w:eastAsia="Calibri" w:cs="Times New Roman"/>
          <w:sz w:val="26"/>
          <w:szCs w:val="26"/>
        </w:rPr>
      </w:pPr>
    </w:p>
    <w:p w:rsidRPr="003A333B" w:rsidR="005C1553" w:rsidP="005C1553" w:rsidRDefault="005C1553" w14:paraId="342AC558" w14:textId="77777777">
      <w:pPr>
        <w:spacing w:after="0" w:line="240" w:lineRule="auto"/>
        <w:rPr>
          <w:rFonts w:ascii="Times New Roman" w:hAnsi="Times New Roman" w:eastAsia="Calibri" w:cs="Times New Roman"/>
          <w:sz w:val="26"/>
          <w:szCs w:val="26"/>
        </w:rPr>
      </w:pPr>
      <w:r w:rsidRPr="003A333B">
        <w:rPr>
          <w:rFonts w:ascii="Times New Roman" w:hAnsi="Times New Roman" w:eastAsia="Calibri" w:cs="Times New Roman"/>
          <w:sz w:val="26"/>
          <w:szCs w:val="26"/>
        </w:rPr>
        <w:t>This collection does not include any questions of a sensitive nature.</w:t>
      </w:r>
    </w:p>
    <w:p w:rsidRPr="003A333B" w:rsidR="005C1553" w:rsidP="005C1553" w:rsidRDefault="005C1553" w14:paraId="67E19F4D" w14:textId="77777777">
      <w:pPr>
        <w:spacing w:after="0" w:line="240" w:lineRule="auto"/>
        <w:rPr>
          <w:rFonts w:ascii="Times New Roman" w:hAnsi="Times New Roman" w:eastAsia="Calibri" w:cs="Times New Roman"/>
          <w:sz w:val="26"/>
          <w:szCs w:val="26"/>
        </w:rPr>
      </w:pPr>
    </w:p>
    <w:p w:rsidRPr="003A333B" w:rsidR="005C1553" w:rsidP="005C1553" w:rsidRDefault="005C1553" w14:paraId="55A9411C" w14:textId="77777777">
      <w:pPr>
        <w:numPr>
          <w:ilvl w:val="0"/>
          <w:numId w:val="1"/>
        </w:numPr>
        <w:spacing w:after="0" w:line="240" w:lineRule="auto"/>
        <w:ind w:left="360"/>
        <w:contextualSpacing/>
        <w:rPr>
          <w:rFonts w:ascii="Times New Roman" w:hAnsi="Times New Roman" w:eastAsia="Calibri" w:cs="Times New Roman"/>
          <w:b/>
          <w:sz w:val="26"/>
          <w:szCs w:val="26"/>
        </w:rPr>
      </w:pPr>
      <w:r w:rsidRPr="003A333B">
        <w:rPr>
          <w:rFonts w:ascii="Times New Roman" w:hAnsi="Times New Roman" w:eastAsia="Calibri" w:cs="Times New Roman"/>
          <w:b/>
          <w:sz w:val="26"/>
          <w:szCs w:val="26"/>
        </w:rPr>
        <w:t>ESTIMATED BURDEN OF COLLECTION OF INFORMATION</w:t>
      </w:r>
    </w:p>
    <w:p w:rsidRPr="003A333B" w:rsidR="005C1553" w:rsidP="005C1553" w:rsidRDefault="005C1553" w14:paraId="5933BDD7" w14:textId="77777777">
      <w:pPr>
        <w:spacing w:after="0" w:line="240" w:lineRule="auto"/>
        <w:rPr>
          <w:rFonts w:ascii="Times New Roman" w:hAnsi="Times New Roman" w:eastAsia="Calibri" w:cs="Times New Roman"/>
          <w:sz w:val="26"/>
          <w:szCs w:val="26"/>
        </w:rPr>
      </w:pPr>
    </w:p>
    <w:p w:rsidRPr="003A333B" w:rsidR="005C1553" w:rsidP="005C1553" w:rsidRDefault="005C1553" w14:paraId="3106C5CF" w14:textId="25384E9B">
      <w:pPr>
        <w:spacing w:after="0" w:line="240" w:lineRule="auto"/>
        <w:rPr>
          <w:rFonts w:ascii="Times New Roman" w:hAnsi="Times New Roman" w:eastAsia="Calibri" w:cs="Times New Roman"/>
          <w:sz w:val="26"/>
          <w:szCs w:val="26"/>
        </w:rPr>
      </w:pPr>
      <w:r w:rsidRPr="003A333B">
        <w:rPr>
          <w:rFonts w:ascii="Times New Roman" w:hAnsi="Times New Roman" w:eastAsia="Calibri" w:cs="Times New Roman"/>
          <w:sz w:val="26"/>
          <w:szCs w:val="26"/>
        </w:rPr>
        <w:t xml:space="preserve">The Commission estimates the </w:t>
      </w:r>
      <w:r w:rsidR="00E060AA">
        <w:rPr>
          <w:rFonts w:ascii="Times New Roman" w:hAnsi="Times New Roman" w:eastAsia="Calibri" w:cs="Times New Roman"/>
          <w:sz w:val="26"/>
          <w:szCs w:val="26"/>
        </w:rPr>
        <w:t>b</w:t>
      </w:r>
      <w:r w:rsidRPr="003A333B" w:rsidR="006D4055">
        <w:rPr>
          <w:rFonts w:ascii="Times New Roman" w:hAnsi="Times New Roman" w:cs="Times New Roman"/>
          <w:sz w:val="26"/>
          <w:szCs w:val="26"/>
        </w:rPr>
        <w:t>urden</w:t>
      </w:r>
      <w:r w:rsidRPr="003A333B" w:rsidR="006D4055">
        <w:rPr>
          <w:rFonts w:ascii="Times New Roman" w:hAnsi="Times New Roman" w:cs="Times New Roman"/>
          <w:b/>
          <w:sz w:val="26"/>
          <w:szCs w:val="26"/>
          <w:vertAlign w:val="superscript"/>
        </w:rPr>
        <w:footnoteReference w:id="11"/>
      </w:r>
      <w:r w:rsidRPr="003A333B">
        <w:rPr>
          <w:rFonts w:ascii="Times New Roman" w:hAnsi="Times New Roman" w:eastAsia="Calibri" w:cs="Times New Roman"/>
          <w:sz w:val="26"/>
          <w:szCs w:val="26"/>
        </w:rPr>
        <w:t xml:space="preserve"> and cost</w:t>
      </w:r>
      <w:r w:rsidRPr="004D12B1" w:rsidR="00E060AA">
        <w:rPr>
          <w:rStyle w:val="FootnoteReference"/>
          <w:rFonts w:ascii="Times New Roman" w:hAnsi="Times New Roman" w:eastAsia="Calibri" w:cs="Times New Roman"/>
          <w:sz w:val="26"/>
          <w:szCs w:val="26"/>
          <w:vertAlign w:val="superscript"/>
        </w:rPr>
        <w:footnoteReference w:id="12"/>
      </w:r>
      <w:r w:rsidRPr="004D12B1">
        <w:rPr>
          <w:rFonts w:ascii="Times New Roman" w:hAnsi="Times New Roman" w:eastAsia="Calibri" w:cs="Times New Roman"/>
          <w:sz w:val="26"/>
          <w:szCs w:val="26"/>
          <w:vertAlign w:val="superscript"/>
        </w:rPr>
        <w:t xml:space="preserve"> </w:t>
      </w:r>
      <w:r w:rsidRPr="003A333B">
        <w:rPr>
          <w:rFonts w:ascii="Times New Roman" w:hAnsi="Times New Roman" w:eastAsia="Calibri" w:cs="Times New Roman"/>
          <w:sz w:val="26"/>
          <w:szCs w:val="26"/>
        </w:rPr>
        <w:t xml:space="preserve">for </w:t>
      </w:r>
      <w:r w:rsidR="006C5CAE">
        <w:rPr>
          <w:rFonts w:ascii="Times New Roman" w:hAnsi="Times New Roman" w:eastAsia="Calibri" w:cs="Times New Roman"/>
          <w:sz w:val="26"/>
          <w:szCs w:val="26"/>
        </w:rPr>
        <w:t xml:space="preserve">the changes to </w:t>
      </w:r>
      <w:r w:rsidRPr="003A333B">
        <w:rPr>
          <w:rFonts w:ascii="Times New Roman" w:hAnsi="Times New Roman" w:eastAsia="Calibri" w:cs="Times New Roman"/>
          <w:sz w:val="26"/>
          <w:szCs w:val="26"/>
        </w:rPr>
        <w:t>this in</w:t>
      </w:r>
      <w:r w:rsidRPr="003A333B" w:rsidR="005E25EF">
        <w:rPr>
          <w:rFonts w:ascii="Times New Roman" w:hAnsi="Times New Roman" w:eastAsia="Calibri" w:cs="Times New Roman"/>
          <w:sz w:val="26"/>
          <w:szCs w:val="26"/>
        </w:rPr>
        <w:t>formation collection</w:t>
      </w:r>
      <w:r w:rsidR="006C5CAE">
        <w:rPr>
          <w:rFonts w:ascii="Times New Roman" w:hAnsi="Times New Roman" w:eastAsia="Calibri" w:cs="Times New Roman"/>
          <w:sz w:val="26"/>
          <w:szCs w:val="26"/>
        </w:rPr>
        <w:t>,</w:t>
      </w:r>
      <w:r w:rsidRPr="003A333B" w:rsidR="005E25EF">
        <w:rPr>
          <w:rFonts w:ascii="Times New Roman" w:hAnsi="Times New Roman" w:eastAsia="Calibri" w:cs="Times New Roman"/>
          <w:sz w:val="26"/>
          <w:szCs w:val="26"/>
        </w:rPr>
        <w:t xml:space="preserve"> </w:t>
      </w:r>
      <w:r w:rsidR="006C5CAE">
        <w:rPr>
          <w:rFonts w:ascii="Times New Roman" w:hAnsi="Times New Roman" w:eastAsia="Calibri" w:cs="Times New Roman"/>
          <w:sz w:val="26"/>
          <w:szCs w:val="26"/>
        </w:rPr>
        <w:t xml:space="preserve">due to the Final Rule in Docket No. RM19-10, </w:t>
      </w:r>
      <w:r w:rsidRPr="003A333B" w:rsidR="005E25EF">
        <w:rPr>
          <w:rFonts w:ascii="Times New Roman" w:hAnsi="Times New Roman" w:eastAsia="Calibri" w:cs="Times New Roman"/>
          <w:sz w:val="26"/>
          <w:szCs w:val="26"/>
        </w:rPr>
        <w:t>as follows:</w:t>
      </w:r>
    </w:p>
    <w:p w:rsidR="005E25EF" w:rsidP="005C1553" w:rsidRDefault="005E25EF" w14:paraId="6BDF74D5" w14:textId="35F385C5">
      <w:pPr>
        <w:spacing w:after="0" w:line="240" w:lineRule="auto"/>
        <w:rPr>
          <w:rFonts w:ascii="Times New Roman" w:hAnsi="Times New Roman" w:eastAsia="Calibri" w:cs="Times New Roman"/>
          <w:sz w:val="26"/>
          <w:szCs w:val="26"/>
        </w:rPr>
      </w:pPr>
    </w:p>
    <w:tbl>
      <w:tblPr>
        <w:tblW w:w="5600" w:type="pct"/>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60"/>
        <w:gridCol w:w="1684"/>
        <w:gridCol w:w="1430"/>
        <w:gridCol w:w="1313"/>
        <w:gridCol w:w="2254"/>
        <w:gridCol w:w="1831"/>
      </w:tblGrid>
      <w:tr w:rsidRPr="00E060AA" w:rsidR="00E060AA" w:rsidTr="00466218" w14:paraId="07C59DAB" w14:textId="77777777">
        <w:trPr>
          <w:cantSplit/>
        </w:trPr>
        <w:tc>
          <w:tcPr>
            <w:tcW w:w="5000" w:type="pct"/>
            <w:gridSpan w:val="6"/>
            <w:tcBorders>
              <w:top w:val="single" w:color="auto" w:sz="4" w:space="0"/>
              <w:left w:val="single" w:color="auto" w:sz="4" w:space="0"/>
              <w:bottom w:val="single" w:color="auto" w:sz="4" w:space="0"/>
              <w:right w:val="single" w:color="auto" w:sz="4" w:space="0"/>
            </w:tcBorders>
            <w:shd w:val="clear" w:color="auto" w:fill="D9D9D9"/>
            <w:vAlign w:val="bottom"/>
            <w:hideMark/>
          </w:tcPr>
          <w:p w:rsidRPr="00E060AA" w:rsidR="00E060AA" w:rsidP="00E060AA" w:rsidRDefault="00E060AA" w14:paraId="7F7006E6" w14:textId="52E6E301">
            <w:pPr>
              <w:keepNext/>
              <w:keepLines/>
              <w:spacing w:after="0" w:line="240" w:lineRule="auto"/>
              <w:jc w:val="center"/>
              <w:rPr>
                <w:rFonts w:ascii="Times New Roman" w:hAnsi="Times New Roman" w:eastAsia="Times New Roman" w:cs="Times New Roman"/>
                <w:b/>
                <w:sz w:val="24"/>
                <w:szCs w:val="24"/>
              </w:rPr>
            </w:pPr>
            <w:r w:rsidRPr="00E060AA">
              <w:rPr>
                <w:rFonts w:ascii="Times New Roman" w:hAnsi="Times New Roman" w:eastAsia="Times New Roman" w:cs="Times New Roman"/>
                <w:b/>
                <w:sz w:val="24"/>
                <w:szCs w:val="24"/>
              </w:rPr>
              <w:t xml:space="preserve">FERC-725N, Modifications Due to Final Rule in Docket No. RM19-10-000 </w:t>
            </w:r>
          </w:p>
        </w:tc>
      </w:tr>
      <w:tr w:rsidRPr="00E060AA" w:rsidR="00E060AA" w:rsidTr="00466218" w14:paraId="630E8496" w14:textId="77777777">
        <w:trPr>
          <w:cantSplit/>
        </w:trPr>
        <w:tc>
          <w:tcPr>
            <w:tcW w:w="93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060AA" w:rsidR="00E060AA" w:rsidP="00E060AA" w:rsidRDefault="00E060AA" w14:paraId="433E6331" w14:textId="77777777">
            <w:pPr>
              <w:spacing w:after="0" w:line="240" w:lineRule="auto"/>
              <w:rPr>
                <w:rFonts w:ascii="Times New Roman" w:hAnsi="Times New Roman" w:eastAsia="Times New Roman" w:cs="Times New Roman"/>
                <w:b/>
                <w:sz w:val="24"/>
                <w:szCs w:val="24"/>
              </w:rPr>
            </w:pPr>
            <w:r w:rsidRPr="00E060AA">
              <w:rPr>
                <w:rFonts w:ascii="Times New Roman" w:hAnsi="Times New Roman" w:eastAsia="Times New Roman" w:cs="Times New Roman"/>
                <w:b/>
                <w:sz w:val="24"/>
                <w:szCs w:val="24"/>
              </w:rPr>
              <w:t>Areas of Modification</w:t>
            </w:r>
          </w:p>
        </w:tc>
        <w:tc>
          <w:tcPr>
            <w:tcW w:w="80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060AA" w:rsidR="00E060AA" w:rsidP="00E060AA" w:rsidRDefault="00E060AA" w14:paraId="4B701FDF" w14:textId="77777777">
            <w:pPr>
              <w:spacing w:after="0" w:line="240" w:lineRule="auto"/>
              <w:jc w:val="center"/>
              <w:rPr>
                <w:rFonts w:ascii="Times New Roman" w:hAnsi="Times New Roman" w:eastAsia="Times New Roman" w:cs="Times New Roman"/>
                <w:b/>
                <w:sz w:val="24"/>
                <w:szCs w:val="24"/>
              </w:rPr>
            </w:pPr>
            <w:r w:rsidRPr="00E060AA">
              <w:rPr>
                <w:rFonts w:ascii="Times New Roman" w:hAnsi="Times New Roman" w:eastAsia="Times New Roman" w:cs="Times New Roman"/>
                <w:b/>
                <w:sz w:val="24"/>
                <w:szCs w:val="24"/>
              </w:rPr>
              <w:t>Number of Respondents</w:t>
            </w:r>
            <w:r w:rsidRPr="00E060AA">
              <w:rPr>
                <w:rFonts w:ascii="Times New Roman" w:hAnsi="Times New Roman" w:eastAsia="Times New Roman" w:cs="Times New Roman"/>
                <w:sz w:val="24"/>
                <w:szCs w:val="24"/>
                <w:vertAlign w:val="superscript"/>
              </w:rPr>
              <w:footnoteReference w:id="13"/>
            </w:r>
            <w:r w:rsidRPr="00E060AA">
              <w:rPr>
                <w:rFonts w:ascii="Times New Roman" w:hAnsi="Times New Roman" w:eastAsia="Times New Roman" w:cs="Times New Roman"/>
                <w:b/>
                <w:sz w:val="24"/>
                <w:szCs w:val="24"/>
              </w:rPr>
              <w:br/>
              <w:t>(1)</w:t>
            </w:r>
          </w:p>
        </w:tc>
        <w:tc>
          <w:tcPr>
            <w:tcW w:w="68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060AA" w:rsidR="00E060AA" w:rsidP="00E060AA" w:rsidRDefault="00E060AA" w14:paraId="27839C62" w14:textId="77777777">
            <w:pPr>
              <w:spacing w:after="0" w:line="240" w:lineRule="auto"/>
              <w:jc w:val="center"/>
              <w:rPr>
                <w:rFonts w:ascii="Times New Roman" w:hAnsi="Times New Roman" w:eastAsia="Times New Roman" w:cs="Times New Roman"/>
                <w:b/>
                <w:sz w:val="24"/>
                <w:szCs w:val="24"/>
              </w:rPr>
            </w:pPr>
            <w:r w:rsidRPr="00E060AA">
              <w:rPr>
                <w:rFonts w:ascii="Times New Roman" w:hAnsi="Times New Roman" w:eastAsia="Times New Roman" w:cs="Times New Roman"/>
                <w:b/>
                <w:sz w:val="24"/>
                <w:szCs w:val="24"/>
              </w:rPr>
              <w:t>Annual Number of Responses per Respondent</w:t>
            </w:r>
          </w:p>
          <w:p w:rsidRPr="00E060AA" w:rsidR="00E060AA" w:rsidP="00E060AA" w:rsidRDefault="00E060AA" w14:paraId="7F13246E" w14:textId="77777777">
            <w:pPr>
              <w:spacing w:after="0" w:line="240" w:lineRule="auto"/>
              <w:jc w:val="center"/>
              <w:rPr>
                <w:rFonts w:ascii="Times New Roman" w:hAnsi="Times New Roman" w:eastAsia="Times New Roman" w:cs="Times New Roman"/>
                <w:b/>
                <w:sz w:val="24"/>
                <w:szCs w:val="24"/>
              </w:rPr>
            </w:pPr>
            <w:r w:rsidRPr="00E060AA">
              <w:rPr>
                <w:rFonts w:ascii="Times New Roman" w:hAnsi="Times New Roman" w:eastAsia="Times New Roman" w:cs="Times New Roman"/>
                <w:b/>
                <w:sz w:val="24"/>
                <w:szCs w:val="24"/>
              </w:rPr>
              <w:t>(2)</w:t>
            </w:r>
          </w:p>
        </w:tc>
        <w:tc>
          <w:tcPr>
            <w:tcW w:w="62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060AA" w:rsidR="00E060AA" w:rsidP="00E060AA" w:rsidRDefault="00E060AA" w14:paraId="1C697F15" w14:textId="77777777">
            <w:pPr>
              <w:spacing w:after="0" w:line="240" w:lineRule="auto"/>
              <w:jc w:val="center"/>
              <w:rPr>
                <w:rFonts w:ascii="Times New Roman" w:hAnsi="Times New Roman" w:eastAsia="Times New Roman" w:cs="Times New Roman"/>
                <w:b/>
                <w:sz w:val="24"/>
                <w:szCs w:val="24"/>
              </w:rPr>
            </w:pPr>
            <w:r w:rsidRPr="00E060AA">
              <w:rPr>
                <w:rFonts w:ascii="Times New Roman" w:hAnsi="Times New Roman" w:eastAsia="Times New Roman" w:cs="Times New Roman"/>
                <w:b/>
                <w:sz w:val="24"/>
                <w:szCs w:val="24"/>
              </w:rPr>
              <w:t>Total Number of Responses (1)*(2)=(3)</w:t>
            </w:r>
          </w:p>
        </w:tc>
        <w:tc>
          <w:tcPr>
            <w:tcW w:w="107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060AA" w:rsidR="00E060AA" w:rsidP="00E060AA" w:rsidRDefault="00E060AA" w14:paraId="163D0A7E" w14:textId="23DA4654">
            <w:pPr>
              <w:spacing w:after="0" w:line="240" w:lineRule="auto"/>
              <w:jc w:val="center"/>
              <w:rPr>
                <w:rFonts w:ascii="Times New Roman" w:hAnsi="Times New Roman" w:eastAsia="Times New Roman" w:cs="Times New Roman"/>
                <w:b/>
                <w:sz w:val="24"/>
                <w:szCs w:val="24"/>
              </w:rPr>
            </w:pPr>
            <w:r w:rsidRPr="00E060AA">
              <w:rPr>
                <w:rFonts w:ascii="Times New Roman" w:hAnsi="Times New Roman" w:eastAsia="Times New Roman" w:cs="Times New Roman"/>
                <w:b/>
                <w:sz w:val="24"/>
                <w:szCs w:val="24"/>
              </w:rPr>
              <w:t xml:space="preserve">Average Burden </w:t>
            </w:r>
            <w:r w:rsidR="00466218">
              <w:rPr>
                <w:rFonts w:ascii="Times New Roman" w:hAnsi="Times New Roman" w:eastAsia="Times New Roman" w:cs="Times New Roman"/>
                <w:b/>
                <w:sz w:val="24"/>
                <w:szCs w:val="24"/>
              </w:rPr>
              <w:t xml:space="preserve">Hrs. </w:t>
            </w:r>
            <w:r w:rsidRPr="00E060AA">
              <w:rPr>
                <w:rFonts w:ascii="Times New Roman" w:hAnsi="Times New Roman" w:eastAsia="Times New Roman" w:cs="Times New Roman"/>
                <w:b/>
                <w:sz w:val="24"/>
                <w:szCs w:val="24"/>
              </w:rPr>
              <w:t xml:space="preserve">&amp; Cost </w:t>
            </w:r>
            <w:r w:rsidR="00466218">
              <w:rPr>
                <w:rFonts w:ascii="Times New Roman" w:hAnsi="Times New Roman" w:eastAsia="Times New Roman" w:cs="Times New Roman"/>
                <w:b/>
                <w:sz w:val="24"/>
                <w:szCs w:val="24"/>
              </w:rPr>
              <w:t xml:space="preserve">($) </w:t>
            </w:r>
            <w:r w:rsidRPr="00E060AA">
              <w:rPr>
                <w:rFonts w:ascii="Times New Roman" w:hAnsi="Times New Roman" w:eastAsia="Times New Roman" w:cs="Times New Roman"/>
                <w:b/>
                <w:sz w:val="24"/>
                <w:szCs w:val="24"/>
              </w:rPr>
              <w:t>Per Response</w:t>
            </w:r>
          </w:p>
          <w:p w:rsidRPr="00E060AA" w:rsidR="00E060AA" w:rsidP="00E060AA" w:rsidRDefault="00E060AA" w14:paraId="3EC850A6" w14:textId="77777777">
            <w:pPr>
              <w:spacing w:after="0" w:line="240" w:lineRule="auto"/>
              <w:jc w:val="center"/>
              <w:rPr>
                <w:rFonts w:ascii="Times New Roman" w:hAnsi="Times New Roman" w:eastAsia="Times New Roman" w:cs="Times New Roman"/>
                <w:b/>
                <w:sz w:val="24"/>
                <w:szCs w:val="24"/>
              </w:rPr>
            </w:pPr>
            <w:r w:rsidRPr="00E060AA">
              <w:rPr>
                <w:rFonts w:ascii="Times New Roman" w:hAnsi="Times New Roman" w:eastAsia="Times New Roman" w:cs="Times New Roman"/>
                <w:b/>
                <w:sz w:val="24"/>
                <w:szCs w:val="24"/>
              </w:rPr>
              <w:t>(4)</w:t>
            </w:r>
          </w:p>
        </w:tc>
        <w:tc>
          <w:tcPr>
            <w:tcW w:w="87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060AA" w:rsidR="00E060AA" w:rsidP="00E060AA" w:rsidRDefault="00E060AA" w14:paraId="25CAD815" w14:textId="20BD9E67">
            <w:pPr>
              <w:spacing w:after="0" w:line="240" w:lineRule="auto"/>
              <w:jc w:val="center"/>
              <w:rPr>
                <w:rFonts w:ascii="Times New Roman" w:hAnsi="Times New Roman" w:eastAsia="Times New Roman" w:cs="Times New Roman"/>
                <w:b/>
                <w:sz w:val="24"/>
                <w:szCs w:val="24"/>
              </w:rPr>
            </w:pPr>
            <w:r w:rsidRPr="00E060AA">
              <w:rPr>
                <w:rFonts w:ascii="Times New Roman" w:hAnsi="Times New Roman" w:eastAsia="Times New Roman" w:cs="Times New Roman"/>
                <w:b/>
                <w:sz w:val="24"/>
                <w:szCs w:val="24"/>
              </w:rPr>
              <w:t>Total Annual Burden Hours &amp; Total Annual Cost</w:t>
            </w:r>
            <w:r w:rsidR="00466218">
              <w:rPr>
                <w:rFonts w:ascii="Times New Roman" w:hAnsi="Times New Roman" w:eastAsia="Times New Roman" w:cs="Times New Roman"/>
                <w:b/>
                <w:sz w:val="24"/>
                <w:szCs w:val="24"/>
              </w:rPr>
              <w:t xml:space="preserve"> ($)</w:t>
            </w:r>
          </w:p>
          <w:p w:rsidRPr="00E060AA" w:rsidR="00E060AA" w:rsidP="00E060AA" w:rsidRDefault="00E060AA" w14:paraId="71D0670E" w14:textId="77777777">
            <w:pPr>
              <w:spacing w:after="0" w:line="240" w:lineRule="auto"/>
              <w:jc w:val="center"/>
              <w:rPr>
                <w:rFonts w:ascii="Times New Roman" w:hAnsi="Times New Roman" w:eastAsia="Times New Roman" w:cs="Times New Roman"/>
                <w:b/>
                <w:sz w:val="24"/>
                <w:szCs w:val="24"/>
              </w:rPr>
            </w:pPr>
            <w:r w:rsidRPr="00E060AA">
              <w:rPr>
                <w:rFonts w:ascii="Times New Roman" w:hAnsi="Times New Roman" w:eastAsia="Times New Roman" w:cs="Times New Roman"/>
                <w:b/>
                <w:sz w:val="24"/>
                <w:szCs w:val="24"/>
              </w:rPr>
              <w:t>(3)*(4)=(5)</w:t>
            </w:r>
          </w:p>
        </w:tc>
      </w:tr>
      <w:tr w:rsidRPr="00E060AA" w:rsidR="00E060AA" w:rsidTr="008540B1" w14:paraId="1B475153" w14:textId="77777777">
        <w:trPr>
          <w:cantSplit/>
        </w:trPr>
        <w:tc>
          <w:tcPr>
            <w:tcW w:w="936" w:type="pct"/>
            <w:tcBorders>
              <w:top w:val="single" w:color="auto" w:sz="4" w:space="0"/>
              <w:left w:val="single" w:color="auto" w:sz="4" w:space="0"/>
              <w:bottom w:val="single" w:color="auto" w:sz="4" w:space="0"/>
              <w:right w:val="single" w:color="auto" w:sz="4" w:space="0"/>
            </w:tcBorders>
            <w:vAlign w:val="center"/>
            <w:hideMark/>
          </w:tcPr>
          <w:p w:rsidRPr="00E060AA" w:rsidR="00E060AA" w:rsidP="008540B1" w:rsidRDefault="00E060AA" w14:paraId="3F015C1D" w14:textId="514A148F">
            <w:pPr>
              <w:spacing w:after="0" w:line="240" w:lineRule="auto"/>
              <w:jc w:val="center"/>
              <w:rPr>
                <w:rFonts w:ascii="Times New Roman" w:hAnsi="Times New Roman" w:eastAsia="Times New Roman" w:cs="Times New Roman"/>
                <w:sz w:val="24"/>
                <w:szCs w:val="24"/>
              </w:rPr>
            </w:pPr>
            <w:r w:rsidRPr="00E060AA">
              <w:rPr>
                <w:rFonts w:ascii="Times New Roman" w:hAnsi="Times New Roman" w:eastAsia="Times New Roman" w:cs="Times New Roman"/>
                <w:sz w:val="24"/>
                <w:szCs w:val="24"/>
              </w:rPr>
              <w:t>Single Point of Failure (one-time)</w:t>
            </w:r>
            <w:r w:rsidRPr="00466218" w:rsidR="00640723">
              <w:rPr>
                <w:rStyle w:val="FootnoteReference"/>
                <w:rFonts w:ascii="Times New Roman" w:hAnsi="Times New Roman" w:eastAsia="Times New Roman" w:cs="Times New Roman"/>
                <w:sz w:val="24"/>
                <w:szCs w:val="24"/>
                <w:vertAlign w:val="superscript"/>
              </w:rPr>
              <w:footnoteReference w:id="14"/>
            </w:r>
          </w:p>
        </w:tc>
        <w:tc>
          <w:tcPr>
            <w:tcW w:w="804" w:type="pct"/>
            <w:tcBorders>
              <w:top w:val="single" w:color="auto" w:sz="4" w:space="0"/>
              <w:left w:val="single" w:color="auto" w:sz="4" w:space="0"/>
              <w:bottom w:val="single" w:color="auto" w:sz="4" w:space="0"/>
              <w:right w:val="single" w:color="auto" w:sz="4" w:space="0"/>
            </w:tcBorders>
            <w:vAlign w:val="center"/>
            <w:hideMark/>
          </w:tcPr>
          <w:p w:rsidRPr="00E060AA" w:rsidR="00E060AA" w:rsidP="008540B1" w:rsidRDefault="00E060AA" w14:paraId="32379469" w14:textId="02B7D044">
            <w:pPr>
              <w:spacing w:after="0" w:line="240" w:lineRule="auto"/>
              <w:jc w:val="center"/>
              <w:rPr>
                <w:rFonts w:ascii="Times New Roman" w:hAnsi="Times New Roman" w:eastAsia="Times New Roman" w:cs="Times New Roman"/>
                <w:sz w:val="24"/>
                <w:szCs w:val="24"/>
              </w:rPr>
            </w:pPr>
            <w:r w:rsidRPr="00E060AA">
              <w:rPr>
                <w:rFonts w:ascii="Times New Roman" w:hAnsi="Times New Roman" w:eastAsia="Times New Roman" w:cs="Times New Roman"/>
                <w:sz w:val="24"/>
                <w:szCs w:val="24"/>
              </w:rPr>
              <w:t>214</w:t>
            </w:r>
            <w:r w:rsidR="007F58F9">
              <w:rPr>
                <w:rFonts w:ascii="Times New Roman" w:hAnsi="Times New Roman" w:eastAsia="Times New Roman" w:cs="Times New Roman"/>
                <w:sz w:val="24"/>
                <w:szCs w:val="24"/>
              </w:rPr>
              <w:t xml:space="preserve"> </w:t>
            </w:r>
            <w:r w:rsidRPr="006C5CAE" w:rsidR="007F58F9">
              <w:rPr>
                <w:rFonts w:ascii="Times New Roman" w:hAnsi="Times New Roman" w:cs="Times New Roman"/>
                <w:sz w:val="26"/>
                <w:szCs w:val="26"/>
              </w:rPr>
              <w:t>planning coordinator</w:t>
            </w:r>
            <w:r w:rsidR="007F58F9">
              <w:rPr>
                <w:rFonts w:ascii="Times New Roman" w:hAnsi="Times New Roman" w:cs="Times New Roman"/>
                <w:sz w:val="26"/>
                <w:szCs w:val="26"/>
              </w:rPr>
              <w:t>s</w:t>
            </w:r>
            <w:r w:rsidRPr="006C5CAE" w:rsidR="007F58F9">
              <w:rPr>
                <w:rFonts w:ascii="Times New Roman" w:hAnsi="Times New Roman" w:cs="Times New Roman"/>
                <w:sz w:val="26"/>
                <w:szCs w:val="26"/>
              </w:rPr>
              <w:t xml:space="preserve"> and transmission planner</w:t>
            </w:r>
            <w:r w:rsidR="007F58F9">
              <w:rPr>
                <w:rFonts w:ascii="Times New Roman" w:hAnsi="Times New Roman" w:cs="Times New Roman"/>
                <w:sz w:val="26"/>
                <w:szCs w:val="26"/>
              </w:rPr>
              <w:t>s</w:t>
            </w:r>
            <w:r w:rsidRPr="00E060AA">
              <w:rPr>
                <w:rFonts w:ascii="Times New Roman" w:hAnsi="Times New Roman" w:eastAsia="Times New Roman" w:cs="Times New Roman"/>
                <w:sz w:val="24"/>
                <w:szCs w:val="24"/>
              </w:rPr>
              <w:t xml:space="preserve"> (PC/TP)</w:t>
            </w:r>
          </w:p>
        </w:tc>
        <w:tc>
          <w:tcPr>
            <w:tcW w:w="683" w:type="pct"/>
            <w:tcBorders>
              <w:top w:val="single" w:color="auto" w:sz="4" w:space="0"/>
              <w:left w:val="single" w:color="auto" w:sz="4" w:space="0"/>
              <w:bottom w:val="single" w:color="auto" w:sz="4" w:space="0"/>
              <w:right w:val="single" w:color="auto" w:sz="4" w:space="0"/>
            </w:tcBorders>
            <w:vAlign w:val="center"/>
            <w:hideMark/>
          </w:tcPr>
          <w:p w:rsidRPr="00E060AA" w:rsidR="00E060AA" w:rsidP="008540B1" w:rsidRDefault="00E060AA" w14:paraId="19454BC0" w14:textId="77777777">
            <w:pPr>
              <w:spacing w:after="0" w:line="240" w:lineRule="auto"/>
              <w:jc w:val="center"/>
              <w:rPr>
                <w:rFonts w:ascii="Times New Roman" w:hAnsi="Times New Roman" w:eastAsia="Times New Roman" w:cs="Times New Roman"/>
                <w:sz w:val="24"/>
                <w:szCs w:val="24"/>
              </w:rPr>
            </w:pPr>
            <w:r w:rsidRPr="00E060AA">
              <w:rPr>
                <w:rFonts w:ascii="Times New Roman" w:hAnsi="Times New Roman" w:eastAsia="Times New Roman" w:cs="Times New Roman"/>
                <w:sz w:val="24"/>
                <w:szCs w:val="24"/>
              </w:rPr>
              <w:t>1</w:t>
            </w:r>
          </w:p>
        </w:tc>
        <w:tc>
          <w:tcPr>
            <w:tcW w:w="627" w:type="pct"/>
            <w:tcBorders>
              <w:top w:val="single" w:color="auto" w:sz="4" w:space="0"/>
              <w:left w:val="single" w:color="auto" w:sz="4" w:space="0"/>
              <w:bottom w:val="single" w:color="auto" w:sz="4" w:space="0"/>
              <w:right w:val="single" w:color="auto" w:sz="4" w:space="0"/>
            </w:tcBorders>
            <w:vAlign w:val="center"/>
            <w:hideMark/>
          </w:tcPr>
          <w:p w:rsidRPr="00E060AA" w:rsidR="00E060AA" w:rsidP="008540B1" w:rsidRDefault="00E060AA" w14:paraId="1277C2CB" w14:textId="77777777">
            <w:pPr>
              <w:spacing w:after="0" w:line="240" w:lineRule="auto"/>
              <w:jc w:val="center"/>
              <w:rPr>
                <w:rFonts w:ascii="Times New Roman" w:hAnsi="Times New Roman" w:eastAsia="Times New Roman" w:cs="Times New Roman"/>
                <w:sz w:val="24"/>
                <w:szCs w:val="24"/>
              </w:rPr>
            </w:pPr>
            <w:r w:rsidRPr="00E060AA">
              <w:rPr>
                <w:rFonts w:ascii="Times New Roman" w:hAnsi="Times New Roman" w:eastAsia="Times New Roman" w:cs="Times New Roman"/>
                <w:sz w:val="24"/>
                <w:szCs w:val="24"/>
              </w:rPr>
              <w:t>214</w:t>
            </w:r>
          </w:p>
        </w:tc>
        <w:tc>
          <w:tcPr>
            <w:tcW w:w="1076" w:type="pct"/>
            <w:tcBorders>
              <w:top w:val="single" w:color="auto" w:sz="4" w:space="0"/>
              <w:left w:val="single" w:color="auto" w:sz="4" w:space="0"/>
              <w:bottom w:val="single" w:color="auto" w:sz="4" w:space="0"/>
              <w:right w:val="single" w:color="auto" w:sz="4" w:space="0"/>
            </w:tcBorders>
            <w:vAlign w:val="center"/>
            <w:hideMark/>
          </w:tcPr>
          <w:p w:rsidR="004372BF" w:rsidP="008540B1" w:rsidRDefault="00E060AA" w14:paraId="301742F5" w14:textId="3581B81F">
            <w:pPr>
              <w:spacing w:after="0" w:line="240" w:lineRule="auto"/>
              <w:jc w:val="center"/>
              <w:rPr>
                <w:rFonts w:ascii="Times New Roman" w:hAnsi="Times New Roman" w:eastAsia="Times New Roman" w:cs="Times New Roman"/>
                <w:sz w:val="24"/>
                <w:szCs w:val="24"/>
              </w:rPr>
            </w:pPr>
            <w:r w:rsidRPr="00466218">
              <w:rPr>
                <w:rFonts w:ascii="Times New Roman" w:hAnsi="Times New Roman" w:eastAsia="Times New Roman" w:cs="Times New Roman"/>
                <w:sz w:val="24"/>
                <w:szCs w:val="24"/>
              </w:rPr>
              <w:t>16 hrs</w:t>
            </w:r>
            <w:r w:rsidR="00FB2C27">
              <w:rPr>
                <w:rFonts w:ascii="Times New Roman" w:hAnsi="Times New Roman" w:eastAsia="Times New Roman" w:cs="Times New Roman"/>
                <w:sz w:val="24"/>
                <w:szCs w:val="24"/>
              </w:rPr>
              <w:t>.</w:t>
            </w:r>
            <w:r w:rsidR="0028545C">
              <w:rPr>
                <w:rFonts w:ascii="Times New Roman" w:hAnsi="Times New Roman" w:eastAsia="Times New Roman" w:cs="Times New Roman"/>
                <w:sz w:val="24"/>
                <w:szCs w:val="24"/>
              </w:rPr>
              <w:t xml:space="preserve"> &amp; </w:t>
            </w:r>
            <w:r w:rsidR="004372BF">
              <w:rPr>
                <w:rFonts w:ascii="Times New Roman" w:hAnsi="Times New Roman" w:eastAsia="Times New Roman" w:cs="Times New Roman"/>
                <w:sz w:val="24"/>
                <w:szCs w:val="24"/>
              </w:rPr>
              <w:t>$880</w:t>
            </w:r>
          </w:p>
          <w:p w:rsidR="004372BF" w:rsidP="008540B1" w:rsidRDefault="00E060AA" w14:paraId="15EBAE9F" w14:textId="23C3F83F">
            <w:pPr>
              <w:spacing w:after="0" w:line="240" w:lineRule="auto"/>
              <w:jc w:val="center"/>
              <w:rPr>
                <w:rFonts w:ascii="Times New Roman" w:hAnsi="Times New Roman" w:eastAsia="Times New Roman" w:cs="Times New Roman"/>
                <w:sz w:val="24"/>
                <w:szCs w:val="24"/>
              </w:rPr>
            </w:pPr>
            <w:r w:rsidRPr="00466218">
              <w:rPr>
                <w:rFonts w:ascii="Times New Roman" w:hAnsi="Times New Roman" w:eastAsia="Times New Roman" w:cs="Times New Roman"/>
                <w:sz w:val="24"/>
                <w:szCs w:val="24"/>
              </w:rPr>
              <w:t>.</w:t>
            </w:r>
          </w:p>
          <w:p w:rsidRPr="00466218" w:rsidR="00E060AA" w:rsidP="008540B1" w:rsidRDefault="00E060AA" w14:paraId="1778A883" w14:textId="334418EB">
            <w:pPr>
              <w:spacing w:after="0" w:line="240" w:lineRule="auto"/>
              <w:jc w:val="center"/>
              <w:rPr>
                <w:rFonts w:ascii="Times New Roman" w:hAnsi="Times New Roman" w:eastAsia="Times New Roman" w:cs="Times New Roman"/>
                <w:sz w:val="24"/>
                <w:szCs w:val="24"/>
              </w:rPr>
            </w:pPr>
            <w:r w:rsidRPr="00466218">
              <w:rPr>
                <w:rFonts w:ascii="Times New Roman" w:hAnsi="Times New Roman" w:eastAsia="Times New Roman" w:cs="Times New Roman"/>
                <w:sz w:val="24"/>
                <w:szCs w:val="24"/>
              </w:rPr>
              <w:t>(reporting: 12 hrs.</w:t>
            </w:r>
            <w:r w:rsidR="004372BF">
              <w:rPr>
                <w:rFonts w:ascii="Times New Roman" w:hAnsi="Times New Roman" w:eastAsia="Times New Roman" w:cs="Times New Roman"/>
                <w:sz w:val="24"/>
                <w:szCs w:val="24"/>
              </w:rPr>
              <w:t xml:space="preserve"> &amp; </w:t>
            </w:r>
            <w:r w:rsidRPr="00466218" w:rsidR="00803E4C">
              <w:rPr>
                <w:rFonts w:ascii="Times New Roman" w:hAnsi="Times New Roman" w:eastAsia="Times New Roman" w:cs="Times New Roman"/>
                <w:sz w:val="24"/>
                <w:szCs w:val="24"/>
              </w:rPr>
              <w:t xml:space="preserve"> $660</w:t>
            </w:r>
            <w:r w:rsidR="004372BF">
              <w:rPr>
                <w:rFonts w:ascii="Times New Roman" w:hAnsi="Times New Roman" w:eastAsia="Times New Roman" w:cs="Times New Roman"/>
                <w:sz w:val="24"/>
                <w:szCs w:val="24"/>
              </w:rPr>
              <w:t xml:space="preserve"> plus </w:t>
            </w:r>
            <w:r w:rsidRPr="00466218">
              <w:rPr>
                <w:rFonts w:ascii="Times New Roman" w:hAnsi="Times New Roman" w:eastAsia="Times New Roman" w:cs="Times New Roman"/>
                <w:sz w:val="24"/>
                <w:szCs w:val="24"/>
              </w:rPr>
              <w:t>recordkeeping: 4 hrs</w:t>
            </w:r>
            <w:r w:rsidR="00FB2C27">
              <w:rPr>
                <w:rFonts w:ascii="Times New Roman" w:hAnsi="Times New Roman" w:eastAsia="Times New Roman" w:cs="Times New Roman"/>
                <w:sz w:val="24"/>
                <w:szCs w:val="24"/>
              </w:rPr>
              <w:t xml:space="preserve">. </w:t>
            </w:r>
            <w:r w:rsidR="004372BF">
              <w:rPr>
                <w:rFonts w:ascii="Times New Roman" w:hAnsi="Times New Roman" w:eastAsia="Times New Roman" w:cs="Times New Roman"/>
                <w:sz w:val="24"/>
                <w:szCs w:val="24"/>
              </w:rPr>
              <w:t xml:space="preserve">&amp; </w:t>
            </w:r>
            <w:r w:rsidRPr="00466218" w:rsidR="00766EC7">
              <w:rPr>
                <w:rFonts w:ascii="Times New Roman" w:hAnsi="Times New Roman" w:eastAsia="Times New Roman" w:cs="Times New Roman"/>
                <w:sz w:val="24"/>
                <w:szCs w:val="24"/>
              </w:rPr>
              <w:t>$220)</w:t>
            </w:r>
          </w:p>
        </w:tc>
        <w:tc>
          <w:tcPr>
            <w:tcW w:w="875" w:type="pct"/>
            <w:tcBorders>
              <w:top w:val="single" w:color="auto" w:sz="4" w:space="0"/>
              <w:left w:val="single" w:color="auto" w:sz="4" w:space="0"/>
              <w:bottom w:val="single" w:color="auto" w:sz="4" w:space="0"/>
              <w:right w:val="single" w:color="auto" w:sz="4" w:space="0"/>
            </w:tcBorders>
            <w:vAlign w:val="center"/>
            <w:hideMark/>
          </w:tcPr>
          <w:p w:rsidR="004372BF" w:rsidP="004372BF" w:rsidRDefault="00E060AA" w14:paraId="443AA9BD" w14:textId="567CCEE7">
            <w:pPr>
              <w:spacing w:after="0" w:line="240" w:lineRule="auto"/>
              <w:jc w:val="center"/>
              <w:rPr>
                <w:rFonts w:ascii="Times New Roman" w:hAnsi="Times New Roman" w:eastAsia="Times New Roman" w:cs="Times New Roman"/>
                <w:sz w:val="24"/>
                <w:szCs w:val="24"/>
              </w:rPr>
            </w:pPr>
            <w:r w:rsidRPr="00466218">
              <w:rPr>
                <w:rFonts w:ascii="Times New Roman" w:hAnsi="Times New Roman" w:eastAsia="Times New Roman" w:cs="Times New Roman"/>
                <w:sz w:val="24"/>
                <w:szCs w:val="24"/>
              </w:rPr>
              <w:t>3,424 hrs.</w:t>
            </w:r>
            <w:r w:rsidR="0028545C">
              <w:rPr>
                <w:rFonts w:ascii="Times New Roman" w:hAnsi="Times New Roman" w:eastAsia="Times New Roman" w:cs="Times New Roman"/>
                <w:sz w:val="24"/>
                <w:szCs w:val="24"/>
              </w:rPr>
              <w:t xml:space="preserve"> &amp; </w:t>
            </w:r>
            <w:r w:rsidRPr="00466218">
              <w:rPr>
                <w:rFonts w:ascii="Times New Roman" w:hAnsi="Times New Roman" w:eastAsia="Times New Roman" w:cs="Times New Roman"/>
                <w:sz w:val="24"/>
                <w:szCs w:val="24"/>
              </w:rPr>
              <w:t>$188,320</w:t>
            </w:r>
          </w:p>
          <w:p w:rsidR="004372BF" w:rsidP="004372BF" w:rsidRDefault="004372BF" w14:paraId="0CCCD48C" w14:textId="77777777">
            <w:pPr>
              <w:spacing w:after="0" w:line="240" w:lineRule="auto"/>
              <w:jc w:val="center"/>
              <w:rPr>
                <w:rFonts w:ascii="Times New Roman" w:hAnsi="Times New Roman" w:eastAsia="Times New Roman" w:cs="Times New Roman"/>
                <w:sz w:val="24"/>
                <w:szCs w:val="24"/>
              </w:rPr>
            </w:pPr>
          </w:p>
          <w:p w:rsidRPr="00466218" w:rsidR="00E060AA" w:rsidP="008540B1" w:rsidRDefault="00E060AA" w14:paraId="0AE55700" w14:textId="09B5C0E4">
            <w:pPr>
              <w:spacing w:after="0" w:line="240" w:lineRule="auto"/>
              <w:jc w:val="center"/>
              <w:rPr>
                <w:rFonts w:ascii="Times New Roman" w:hAnsi="Times New Roman" w:eastAsia="Times New Roman" w:cs="Times New Roman"/>
                <w:sz w:val="24"/>
                <w:szCs w:val="24"/>
              </w:rPr>
            </w:pPr>
            <w:r w:rsidRPr="00466218">
              <w:rPr>
                <w:rFonts w:ascii="Times New Roman" w:hAnsi="Times New Roman" w:eastAsia="Times New Roman" w:cs="Times New Roman"/>
                <w:sz w:val="24"/>
                <w:szCs w:val="24"/>
              </w:rPr>
              <w:t>(reporting</w:t>
            </w:r>
            <w:r w:rsidR="004372BF">
              <w:rPr>
                <w:rFonts w:ascii="Times New Roman" w:hAnsi="Times New Roman" w:eastAsia="Times New Roman" w:cs="Times New Roman"/>
                <w:sz w:val="24"/>
                <w:szCs w:val="24"/>
              </w:rPr>
              <w:t xml:space="preserve">:  </w:t>
            </w:r>
            <w:r w:rsidRPr="00466218">
              <w:rPr>
                <w:rFonts w:ascii="Times New Roman" w:hAnsi="Times New Roman" w:eastAsia="Times New Roman" w:cs="Times New Roman"/>
                <w:sz w:val="24"/>
                <w:szCs w:val="24"/>
              </w:rPr>
              <w:t>2,568 hrs. &amp; $141,240</w:t>
            </w:r>
            <w:r w:rsidR="004372BF">
              <w:rPr>
                <w:rFonts w:ascii="Times New Roman" w:hAnsi="Times New Roman" w:eastAsia="Times New Roman" w:cs="Times New Roman"/>
                <w:sz w:val="24"/>
                <w:szCs w:val="24"/>
              </w:rPr>
              <w:t xml:space="preserve"> plus </w:t>
            </w:r>
            <w:r w:rsidRPr="00466218">
              <w:rPr>
                <w:rFonts w:ascii="Times New Roman" w:hAnsi="Times New Roman" w:eastAsia="Times New Roman" w:cs="Times New Roman"/>
                <w:sz w:val="24"/>
                <w:szCs w:val="24"/>
              </w:rPr>
              <w:t>recordkeeping</w:t>
            </w:r>
            <w:r w:rsidR="004372BF">
              <w:rPr>
                <w:rFonts w:ascii="Times New Roman" w:hAnsi="Times New Roman" w:eastAsia="Times New Roman" w:cs="Times New Roman"/>
                <w:sz w:val="24"/>
                <w:szCs w:val="24"/>
              </w:rPr>
              <w:t xml:space="preserve">:   </w:t>
            </w:r>
            <w:r w:rsidRPr="00466218">
              <w:rPr>
                <w:rFonts w:ascii="Times New Roman" w:hAnsi="Times New Roman" w:eastAsia="Times New Roman" w:cs="Times New Roman"/>
                <w:sz w:val="24"/>
                <w:szCs w:val="24"/>
              </w:rPr>
              <w:t>856 hrs</w:t>
            </w:r>
            <w:r w:rsidR="004372BF">
              <w:rPr>
                <w:rFonts w:ascii="Times New Roman" w:hAnsi="Times New Roman" w:eastAsia="Times New Roman" w:cs="Times New Roman"/>
                <w:sz w:val="24"/>
                <w:szCs w:val="24"/>
              </w:rPr>
              <w:t xml:space="preserve">. &amp; </w:t>
            </w:r>
            <w:r w:rsidRPr="00466218">
              <w:rPr>
                <w:rFonts w:ascii="Times New Roman" w:hAnsi="Times New Roman" w:eastAsia="Times New Roman" w:cs="Times New Roman"/>
                <w:sz w:val="24"/>
                <w:szCs w:val="24"/>
              </w:rPr>
              <w:t>$47,080)</w:t>
            </w:r>
          </w:p>
        </w:tc>
      </w:tr>
      <w:tr w:rsidRPr="00E060AA" w:rsidR="00E060AA" w:rsidTr="008540B1" w14:paraId="719B5861" w14:textId="77777777">
        <w:trPr>
          <w:cantSplit/>
        </w:trPr>
        <w:tc>
          <w:tcPr>
            <w:tcW w:w="936" w:type="pct"/>
            <w:tcBorders>
              <w:top w:val="single" w:color="auto" w:sz="4" w:space="0"/>
              <w:left w:val="single" w:color="auto" w:sz="4" w:space="0"/>
              <w:bottom w:val="single" w:color="auto" w:sz="4" w:space="0"/>
              <w:right w:val="single" w:color="auto" w:sz="4" w:space="0"/>
            </w:tcBorders>
            <w:vAlign w:val="center"/>
            <w:hideMark/>
          </w:tcPr>
          <w:p w:rsidRPr="00E060AA" w:rsidR="00E060AA" w:rsidP="008540B1" w:rsidRDefault="00E060AA" w14:paraId="1A07AB15" w14:textId="4C78EF94">
            <w:pPr>
              <w:spacing w:after="0" w:line="240" w:lineRule="auto"/>
              <w:jc w:val="center"/>
              <w:rPr>
                <w:rFonts w:ascii="Times New Roman" w:hAnsi="Times New Roman" w:eastAsia="Times New Roman" w:cs="Times New Roman"/>
                <w:sz w:val="24"/>
                <w:szCs w:val="24"/>
              </w:rPr>
            </w:pPr>
            <w:r w:rsidRPr="00E060AA">
              <w:rPr>
                <w:rFonts w:ascii="Times New Roman" w:hAnsi="Times New Roman" w:eastAsia="Times New Roman" w:cs="Times New Roman"/>
                <w:sz w:val="24"/>
                <w:szCs w:val="24"/>
              </w:rPr>
              <w:lastRenderedPageBreak/>
              <w:t>Spare Equipment Strategy (one-time)</w:t>
            </w:r>
            <w:r w:rsidRPr="00466218" w:rsidR="00640723">
              <w:rPr>
                <w:rStyle w:val="FootnoteReference"/>
                <w:rFonts w:ascii="Times New Roman" w:hAnsi="Times New Roman" w:eastAsia="Times New Roman" w:cs="Times New Roman"/>
                <w:sz w:val="24"/>
                <w:szCs w:val="24"/>
                <w:vertAlign w:val="superscript"/>
              </w:rPr>
              <w:footnoteReference w:id="15"/>
            </w:r>
          </w:p>
        </w:tc>
        <w:tc>
          <w:tcPr>
            <w:tcW w:w="804" w:type="pct"/>
            <w:tcBorders>
              <w:top w:val="single" w:color="auto" w:sz="4" w:space="0"/>
              <w:left w:val="single" w:color="auto" w:sz="4" w:space="0"/>
              <w:bottom w:val="single" w:color="auto" w:sz="4" w:space="0"/>
              <w:right w:val="single" w:color="auto" w:sz="4" w:space="0"/>
            </w:tcBorders>
            <w:vAlign w:val="center"/>
            <w:hideMark/>
          </w:tcPr>
          <w:p w:rsidRPr="00E060AA" w:rsidR="00E060AA" w:rsidP="008540B1" w:rsidRDefault="00E060AA" w14:paraId="333AF482" w14:textId="77777777">
            <w:pPr>
              <w:spacing w:after="0" w:line="240" w:lineRule="auto"/>
              <w:jc w:val="center"/>
              <w:rPr>
                <w:rFonts w:ascii="Times New Roman" w:hAnsi="Times New Roman" w:eastAsia="Times New Roman" w:cs="Times New Roman"/>
                <w:sz w:val="24"/>
                <w:szCs w:val="24"/>
              </w:rPr>
            </w:pPr>
            <w:r w:rsidRPr="00E060AA">
              <w:rPr>
                <w:rFonts w:ascii="Times New Roman" w:hAnsi="Times New Roman" w:eastAsia="Times New Roman" w:cs="Times New Roman"/>
                <w:sz w:val="24"/>
                <w:szCs w:val="24"/>
              </w:rPr>
              <w:t>214 (PC/TP)</w:t>
            </w:r>
          </w:p>
        </w:tc>
        <w:tc>
          <w:tcPr>
            <w:tcW w:w="683" w:type="pct"/>
            <w:tcBorders>
              <w:top w:val="single" w:color="auto" w:sz="4" w:space="0"/>
              <w:left w:val="single" w:color="auto" w:sz="4" w:space="0"/>
              <w:bottom w:val="single" w:color="auto" w:sz="4" w:space="0"/>
              <w:right w:val="single" w:color="auto" w:sz="4" w:space="0"/>
            </w:tcBorders>
            <w:vAlign w:val="center"/>
            <w:hideMark/>
          </w:tcPr>
          <w:p w:rsidRPr="00E060AA" w:rsidR="00E060AA" w:rsidP="008540B1" w:rsidRDefault="00E060AA" w14:paraId="77C2FBAF" w14:textId="77777777">
            <w:pPr>
              <w:spacing w:after="0" w:line="240" w:lineRule="auto"/>
              <w:jc w:val="center"/>
              <w:rPr>
                <w:rFonts w:ascii="Times New Roman" w:hAnsi="Times New Roman" w:eastAsia="Times New Roman" w:cs="Times New Roman"/>
                <w:sz w:val="24"/>
                <w:szCs w:val="24"/>
              </w:rPr>
            </w:pPr>
            <w:r w:rsidRPr="00E060AA">
              <w:rPr>
                <w:rFonts w:ascii="Times New Roman" w:hAnsi="Times New Roman" w:eastAsia="Times New Roman" w:cs="Times New Roman"/>
                <w:sz w:val="24"/>
                <w:szCs w:val="24"/>
              </w:rPr>
              <w:t>1</w:t>
            </w:r>
          </w:p>
        </w:tc>
        <w:tc>
          <w:tcPr>
            <w:tcW w:w="627" w:type="pct"/>
            <w:tcBorders>
              <w:top w:val="single" w:color="auto" w:sz="4" w:space="0"/>
              <w:left w:val="single" w:color="auto" w:sz="4" w:space="0"/>
              <w:bottom w:val="single" w:color="auto" w:sz="4" w:space="0"/>
              <w:right w:val="single" w:color="auto" w:sz="4" w:space="0"/>
            </w:tcBorders>
            <w:vAlign w:val="center"/>
            <w:hideMark/>
          </w:tcPr>
          <w:p w:rsidRPr="00E060AA" w:rsidR="00E060AA" w:rsidP="008540B1" w:rsidRDefault="00E060AA" w14:paraId="0E3E6E53" w14:textId="77777777">
            <w:pPr>
              <w:spacing w:after="0" w:line="240" w:lineRule="auto"/>
              <w:jc w:val="center"/>
              <w:rPr>
                <w:rFonts w:ascii="Times New Roman" w:hAnsi="Times New Roman" w:eastAsia="Times New Roman" w:cs="Times New Roman"/>
                <w:sz w:val="24"/>
                <w:szCs w:val="24"/>
              </w:rPr>
            </w:pPr>
            <w:r w:rsidRPr="00E060AA">
              <w:rPr>
                <w:rFonts w:ascii="Times New Roman" w:hAnsi="Times New Roman" w:eastAsia="Times New Roman" w:cs="Times New Roman"/>
                <w:sz w:val="24"/>
                <w:szCs w:val="24"/>
              </w:rPr>
              <w:t>214</w:t>
            </w:r>
          </w:p>
        </w:tc>
        <w:tc>
          <w:tcPr>
            <w:tcW w:w="1076" w:type="pct"/>
            <w:tcBorders>
              <w:top w:val="single" w:color="auto" w:sz="4" w:space="0"/>
              <w:left w:val="single" w:color="auto" w:sz="4" w:space="0"/>
              <w:bottom w:val="single" w:color="auto" w:sz="4" w:space="0"/>
              <w:right w:val="single" w:color="auto" w:sz="4" w:space="0"/>
            </w:tcBorders>
            <w:vAlign w:val="center"/>
            <w:hideMark/>
          </w:tcPr>
          <w:p w:rsidR="0028545C" w:rsidP="004372BF" w:rsidRDefault="00E060AA" w14:paraId="3A5690C0" w14:textId="0EEBDA6A">
            <w:pPr>
              <w:spacing w:after="0" w:line="240" w:lineRule="auto"/>
              <w:jc w:val="center"/>
              <w:rPr>
                <w:rFonts w:ascii="Times New Roman" w:hAnsi="Times New Roman" w:eastAsia="Times New Roman" w:cs="Times New Roman"/>
                <w:sz w:val="24"/>
                <w:szCs w:val="24"/>
              </w:rPr>
            </w:pPr>
            <w:r w:rsidRPr="00466218">
              <w:rPr>
                <w:rFonts w:ascii="Times New Roman" w:hAnsi="Times New Roman" w:eastAsia="Times New Roman" w:cs="Times New Roman"/>
                <w:sz w:val="24"/>
                <w:szCs w:val="24"/>
              </w:rPr>
              <w:t>4 hrs</w:t>
            </w:r>
            <w:r w:rsidR="0028545C">
              <w:rPr>
                <w:rFonts w:ascii="Times New Roman" w:hAnsi="Times New Roman" w:eastAsia="Times New Roman" w:cs="Times New Roman"/>
                <w:sz w:val="24"/>
                <w:szCs w:val="24"/>
              </w:rPr>
              <w:t>. &amp; $220</w:t>
            </w:r>
          </w:p>
          <w:p w:rsidR="0028545C" w:rsidP="004372BF" w:rsidRDefault="0028545C" w14:paraId="4DC71E28" w14:textId="77777777">
            <w:pPr>
              <w:spacing w:after="0" w:line="240" w:lineRule="auto"/>
              <w:jc w:val="center"/>
              <w:rPr>
                <w:rFonts w:ascii="Times New Roman" w:hAnsi="Times New Roman" w:eastAsia="Times New Roman" w:cs="Times New Roman"/>
                <w:sz w:val="24"/>
                <w:szCs w:val="24"/>
              </w:rPr>
            </w:pPr>
          </w:p>
          <w:p w:rsidRPr="00466218" w:rsidR="00E060AA" w:rsidP="008540B1" w:rsidRDefault="00E060AA" w14:paraId="0C1B2279" w14:textId="61791828">
            <w:pPr>
              <w:spacing w:after="0" w:line="240" w:lineRule="auto"/>
              <w:jc w:val="center"/>
              <w:rPr>
                <w:rFonts w:ascii="Times New Roman" w:hAnsi="Times New Roman" w:eastAsia="Times New Roman" w:cs="Times New Roman"/>
                <w:sz w:val="24"/>
                <w:szCs w:val="24"/>
              </w:rPr>
            </w:pPr>
            <w:r w:rsidRPr="00466218">
              <w:rPr>
                <w:rFonts w:ascii="Times New Roman" w:hAnsi="Times New Roman" w:eastAsia="Times New Roman" w:cs="Times New Roman"/>
                <w:sz w:val="24"/>
                <w:szCs w:val="24"/>
              </w:rPr>
              <w:t>(reporting: 2 hrs.</w:t>
            </w:r>
            <w:r w:rsidR="0028545C">
              <w:rPr>
                <w:rFonts w:ascii="Times New Roman" w:hAnsi="Times New Roman" w:eastAsia="Times New Roman" w:cs="Times New Roman"/>
                <w:sz w:val="24"/>
                <w:szCs w:val="24"/>
              </w:rPr>
              <w:t xml:space="preserve"> &amp; </w:t>
            </w:r>
            <w:r w:rsidRPr="00466218" w:rsidR="00D36559">
              <w:rPr>
                <w:rFonts w:ascii="Times New Roman" w:hAnsi="Times New Roman" w:eastAsia="Times New Roman" w:cs="Times New Roman"/>
                <w:sz w:val="24"/>
                <w:szCs w:val="24"/>
              </w:rPr>
              <w:t>$110</w:t>
            </w:r>
            <w:r w:rsidR="0028545C">
              <w:rPr>
                <w:rFonts w:ascii="Times New Roman" w:hAnsi="Times New Roman" w:eastAsia="Times New Roman" w:cs="Times New Roman"/>
                <w:sz w:val="24"/>
                <w:szCs w:val="24"/>
              </w:rPr>
              <w:t xml:space="preserve"> plus </w:t>
            </w:r>
            <w:r w:rsidRPr="00466218">
              <w:rPr>
                <w:rFonts w:ascii="Times New Roman" w:hAnsi="Times New Roman" w:eastAsia="Times New Roman" w:cs="Times New Roman"/>
                <w:sz w:val="24"/>
                <w:szCs w:val="24"/>
              </w:rPr>
              <w:t>recordkeeping: 2 hrs.</w:t>
            </w:r>
            <w:r w:rsidR="0028545C">
              <w:rPr>
                <w:rFonts w:ascii="Times New Roman" w:hAnsi="Times New Roman" w:eastAsia="Times New Roman" w:cs="Times New Roman"/>
                <w:sz w:val="24"/>
                <w:szCs w:val="24"/>
              </w:rPr>
              <w:t xml:space="preserve"> &amp; </w:t>
            </w:r>
            <w:r w:rsidRPr="00466218" w:rsidR="00E25A04">
              <w:rPr>
                <w:rFonts w:ascii="Times New Roman" w:hAnsi="Times New Roman" w:eastAsia="Times New Roman" w:cs="Times New Roman"/>
                <w:sz w:val="24"/>
                <w:szCs w:val="24"/>
              </w:rPr>
              <w:t>$110)</w:t>
            </w:r>
            <w:r w:rsidRPr="00466218">
              <w:rPr>
                <w:rFonts w:ascii="Times New Roman" w:hAnsi="Times New Roman" w:eastAsia="Times New Roman" w:cs="Times New Roman"/>
                <w:sz w:val="24"/>
                <w:szCs w:val="24"/>
              </w:rPr>
              <w:t>)</w:t>
            </w:r>
          </w:p>
        </w:tc>
        <w:tc>
          <w:tcPr>
            <w:tcW w:w="875" w:type="pct"/>
            <w:tcBorders>
              <w:top w:val="single" w:color="auto" w:sz="4" w:space="0"/>
              <w:left w:val="single" w:color="auto" w:sz="4" w:space="0"/>
              <w:bottom w:val="single" w:color="auto" w:sz="4" w:space="0"/>
              <w:right w:val="single" w:color="auto" w:sz="4" w:space="0"/>
            </w:tcBorders>
            <w:vAlign w:val="center"/>
            <w:hideMark/>
          </w:tcPr>
          <w:p w:rsidR="00971D5F" w:rsidP="004372BF" w:rsidRDefault="00E060AA" w14:paraId="25D41C38" w14:textId="7DA0A5CC">
            <w:pPr>
              <w:spacing w:after="0" w:line="240" w:lineRule="auto"/>
              <w:jc w:val="center"/>
              <w:rPr>
                <w:rFonts w:ascii="Times New Roman" w:hAnsi="Times New Roman" w:eastAsia="Times New Roman" w:cs="Times New Roman"/>
                <w:sz w:val="24"/>
                <w:szCs w:val="24"/>
              </w:rPr>
            </w:pPr>
            <w:r w:rsidRPr="00466218">
              <w:rPr>
                <w:rFonts w:ascii="Times New Roman" w:hAnsi="Times New Roman" w:eastAsia="Times New Roman" w:cs="Times New Roman"/>
                <w:sz w:val="24"/>
                <w:szCs w:val="24"/>
              </w:rPr>
              <w:t>856 hrs.</w:t>
            </w:r>
            <w:r w:rsidR="00971D5F">
              <w:rPr>
                <w:rFonts w:ascii="Times New Roman" w:hAnsi="Times New Roman" w:eastAsia="Times New Roman" w:cs="Times New Roman"/>
                <w:sz w:val="24"/>
                <w:szCs w:val="24"/>
              </w:rPr>
              <w:t xml:space="preserve"> &amp; </w:t>
            </w:r>
            <w:r w:rsidRPr="00466218">
              <w:rPr>
                <w:rFonts w:ascii="Times New Roman" w:hAnsi="Times New Roman" w:eastAsia="Times New Roman" w:cs="Times New Roman"/>
                <w:sz w:val="24"/>
                <w:szCs w:val="24"/>
              </w:rPr>
              <w:t>$47,080</w:t>
            </w:r>
          </w:p>
          <w:p w:rsidR="00971D5F" w:rsidP="004372BF" w:rsidRDefault="00971D5F" w14:paraId="4760D3D3" w14:textId="77777777">
            <w:pPr>
              <w:spacing w:after="0" w:line="240" w:lineRule="auto"/>
              <w:jc w:val="center"/>
              <w:rPr>
                <w:rFonts w:ascii="Times New Roman" w:hAnsi="Times New Roman" w:eastAsia="Times New Roman" w:cs="Times New Roman"/>
                <w:sz w:val="24"/>
                <w:szCs w:val="24"/>
              </w:rPr>
            </w:pPr>
          </w:p>
          <w:p w:rsidRPr="00466218" w:rsidR="00E060AA" w:rsidP="008540B1" w:rsidRDefault="00971D5F" w14:paraId="080637E7" w14:textId="559100C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466218" w:rsidR="00E060AA">
              <w:rPr>
                <w:rFonts w:ascii="Times New Roman" w:hAnsi="Times New Roman" w:eastAsia="Times New Roman" w:cs="Times New Roman"/>
                <w:sz w:val="24"/>
                <w:szCs w:val="24"/>
              </w:rPr>
              <w:t>reporting</w:t>
            </w:r>
            <w:r>
              <w:rPr>
                <w:rFonts w:ascii="Times New Roman" w:hAnsi="Times New Roman" w:eastAsia="Times New Roman" w:cs="Times New Roman"/>
                <w:sz w:val="24"/>
                <w:szCs w:val="24"/>
              </w:rPr>
              <w:t>:</w:t>
            </w:r>
            <w:r w:rsidRPr="00466218" w:rsidR="00E060AA">
              <w:rPr>
                <w:rFonts w:ascii="Times New Roman" w:hAnsi="Times New Roman" w:eastAsia="Times New Roman" w:cs="Times New Roman"/>
                <w:sz w:val="24"/>
                <w:szCs w:val="24"/>
              </w:rPr>
              <w:t xml:space="preserve"> 428 hrs. &amp; $23,540</w:t>
            </w:r>
            <w:r w:rsidR="0028545C">
              <w:rPr>
                <w:rFonts w:ascii="Times New Roman" w:hAnsi="Times New Roman" w:eastAsia="Times New Roman" w:cs="Times New Roman"/>
                <w:sz w:val="24"/>
                <w:szCs w:val="24"/>
              </w:rPr>
              <w:t xml:space="preserve"> plus </w:t>
            </w:r>
            <w:r w:rsidRPr="00466218" w:rsidR="00E060AA">
              <w:rPr>
                <w:rFonts w:ascii="Times New Roman" w:hAnsi="Times New Roman" w:eastAsia="Times New Roman" w:cs="Times New Roman"/>
                <w:sz w:val="24"/>
                <w:szCs w:val="24"/>
              </w:rPr>
              <w:t xml:space="preserve"> recordkeeping</w:t>
            </w:r>
            <w:r>
              <w:rPr>
                <w:rFonts w:ascii="Times New Roman" w:hAnsi="Times New Roman" w:eastAsia="Times New Roman" w:cs="Times New Roman"/>
                <w:sz w:val="24"/>
                <w:szCs w:val="24"/>
              </w:rPr>
              <w:t xml:space="preserve">:  </w:t>
            </w:r>
            <w:r w:rsidRPr="00466218" w:rsidR="00E060AA">
              <w:rPr>
                <w:rFonts w:ascii="Times New Roman" w:hAnsi="Times New Roman" w:eastAsia="Times New Roman" w:cs="Times New Roman"/>
                <w:sz w:val="24"/>
                <w:szCs w:val="24"/>
              </w:rPr>
              <w:t>428 hrs. &amp; $23,540)</w:t>
            </w:r>
          </w:p>
        </w:tc>
      </w:tr>
      <w:tr w:rsidRPr="00E060AA" w:rsidR="00E060AA" w:rsidTr="008540B1" w14:paraId="78FA0D91" w14:textId="77777777">
        <w:trPr>
          <w:cantSplit/>
        </w:trPr>
        <w:tc>
          <w:tcPr>
            <w:tcW w:w="936" w:type="pct"/>
            <w:tcBorders>
              <w:top w:val="single" w:color="auto" w:sz="4" w:space="0"/>
              <w:left w:val="single" w:color="auto" w:sz="4" w:space="0"/>
              <w:bottom w:val="single" w:color="auto" w:sz="4" w:space="0"/>
              <w:right w:val="single" w:color="auto" w:sz="4" w:space="0"/>
            </w:tcBorders>
            <w:vAlign w:val="center"/>
            <w:hideMark/>
          </w:tcPr>
          <w:p w:rsidRPr="00E060AA" w:rsidR="00E060AA" w:rsidP="008540B1" w:rsidRDefault="00E060AA" w14:paraId="6F9A7BAB" w14:textId="1F3736CF">
            <w:pPr>
              <w:spacing w:after="0" w:line="240" w:lineRule="auto"/>
              <w:jc w:val="center"/>
              <w:rPr>
                <w:rFonts w:ascii="Times New Roman" w:hAnsi="Times New Roman" w:eastAsia="Times New Roman" w:cs="Times New Roman"/>
                <w:sz w:val="24"/>
                <w:szCs w:val="24"/>
              </w:rPr>
            </w:pPr>
            <w:r w:rsidRPr="00E060AA">
              <w:rPr>
                <w:rFonts w:ascii="Times New Roman" w:hAnsi="Times New Roman" w:eastAsia="Times New Roman" w:cs="Times New Roman"/>
                <w:sz w:val="24"/>
                <w:szCs w:val="24"/>
              </w:rPr>
              <w:t>Plan Maintenance Outage (one-time)</w:t>
            </w:r>
            <w:r w:rsidRPr="00466218" w:rsidR="00640723">
              <w:rPr>
                <w:rStyle w:val="FootnoteReference"/>
                <w:rFonts w:ascii="Times New Roman" w:hAnsi="Times New Roman" w:eastAsia="Times New Roman" w:cs="Times New Roman"/>
                <w:sz w:val="24"/>
                <w:szCs w:val="24"/>
                <w:vertAlign w:val="superscript"/>
              </w:rPr>
              <w:footnoteReference w:id="16"/>
            </w:r>
          </w:p>
        </w:tc>
        <w:tc>
          <w:tcPr>
            <w:tcW w:w="804" w:type="pct"/>
            <w:tcBorders>
              <w:top w:val="single" w:color="auto" w:sz="4" w:space="0"/>
              <w:left w:val="single" w:color="auto" w:sz="4" w:space="0"/>
              <w:bottom w:val="single" w:color="auto" w:sz="4" w:space="0"/>
              <w:right w:val="single" w:color="auto" w:sz="4" w:space="0"/>
            </w:tcBorders>
            <w:vAlign w:val="center"/>
            <w:hideMark/>
          </w:tcPr>
          <w:p w:rsidRPr="00E060AA" w:rsidR="00E060AA" w:rsidP="008540B1" w:rsidRDefault="00E060AA" w14:paraId="148747D5" w14:textId="77777777">
            <w:pPr>
              <w:spacing w:after="0" w:line="240" w:lineRule="auto"/>
              <w:jc w:val="center"/>
              <w:rPr>
                <w:rFonts w:ascii="Times New Roman" w:hAnsi="Times New Roman" w:eastAsia="Times New Roman" w:cs="Times New Roman"/>
                <w:sz w:val="24"/>
                <w:szCs w:val="24"/>
              </w:rPr>
            </w:pPr>
            <w:r w:rsidRPr="00E060AA">
              <w:rPr>
                <w:rFonts w:ascii="Times New Roman" w:hAnsi="Times New Roman" w:eastAsia="Times New Roman" w:cs="Times New Roman"/>
                <w:sz w:val="24"/>
                <w:szCs w:val="24"/>
              </w:rPr>
              <w:t>214 (PC/TP)</w:t>
            </w:r>
          </w:p>
        </w:tc>
        <w:tc>
          <w:tcPr>
            <w:tcW w:w="683" w:type="pct"/>
            <w:tcBorders>
              <w:top w:val="single" w:color="auto" w:sz="4" w:space="0"/>
              <w:left w:val="single" w:color="auto" w:sz="4" w:space="0"/>
              <w:bottom w:val="single" w:color="auto" w:sz="4" w:space="0"/>
              <w:right w:val="single" w:color="auto" w:sz="4" w:space="0"/>
            </w:tcBorders>
            <w:vAlign w:val="center"/>
            <w:hideMark/>
          </w:tcPr>
          <w:p w:rsidRPr="00E060AA" w:rsidR="00E060AA" w:rsidP="008540B1" w:rsidRDefault="00E060AA" w14:paraId="24DB81D5" w14:textId="77777777">
            <w:pPr>
              <w:spacing w:after="0" w:line="240" w:lineRule="auto"/>
              <w:jc w:val="center"/>
              <w:rPr>
                <w:rFonts w:ascii="Times New Roman" w:hAnsi="Times New Roman" w:eastAsia="Times New Roman" w:cs="Times New Roman"/>
                <w:sz w:val="24"/>
                <w:szCs w:val="24"/>
              </w:rPr>
            </w:pPr>
            <w:r w:rsidRPr="00E060AA">
              <w:rPr>
                <w:rFonts w:ascii="Times New Roman" w:hAnsi="Times New Roman" w:eastAsia="Times New Roman" w:cs="Times New Roman"/>
                <w:sz w:val="24"/>
                <w:szCs w:val="24"/>
              </w:rPr>
              <w:t>1</w:t>
            </w:r>
          </w:p>
        </w:tc>
        <w:tc>
          <w:tcPr>
            <w:tcW w:w="627" w:type="pct"/>
            <w:tcBorders>
              <w:top w:val="single" w:color="auto" w:sz="4" w:space="0"/>
              <w:left w:val="single" w:color="auto" w:sz="4" w:space="0"/>
              <w:bottom w:val="single" w:color="auto" w:sz="4" w:space="0"/>
              <w:right w:val="single" w:color="auto" w:sz="4" w:space="0"/>
            </w:tcBorders>
            <w:vAlign w:val="center"/>
            <w:hideMark/>
          </w:tcPr>
          <w:p w:rsidRPr="00E060AA" w:rsidR="00E060AA" w:rsidP="008540B1" w:rsidRDefault="00E060AA" w14:paraId="14109ED9" w14:textId="77777777">
            <w:pPr>
              <w:spacing w:after="0" w:line="240" w:lineRule="auto"/>
              <w:jc w:val="center"/>
              <w:rPr>
                <w:rFonts w:ascii="Times New Roman" w:hAnsi="Times New Roman" w:eastAsia="Times New Roman" w:cs="Times New Roman"/>
                <w:sz w:val="24"/>
                <w:szCs w:val="24"/>
              </w:rPr>
            </w:pPr>
            <w:r w:rsidRPr="00E060AA">
              <w:rPr>
                <w:rFonts w:ascii="Times New Roman" w:hAnsi="Times New Roman" w:eastAsia="Times New Roman" w:cs="Times New Roman"/>
                <w:sz w:val="24"/>
                <w:szCs w:val="24"/>
              </w:rPr>
              <w:t>214</w:t>
            </w:r>
          </w:p>
        </w:tc>
        <w:tc>
          <w:tcPr>
            <w:tcW w:w="1076" w:type="pct"/>
            <w:tcBorders>
              <w:top w:val="single" w:color="auto" w:sz="4" w:space="0"/>
              <w:left w:val="single" w:color="auto" w:sz="4" w:space="0"/>
              <w:bottom w:val="single" w:color="auto" w:sz="4" w:space="0"/>
              <w:right w:val="single" w:color="auto" w:sz="4" w:space="0"/>
            </w:tcBorders>
            <w:vAlign w:val="center"/>
            <w:hideMark/>
          </w:tcPr>
          <w:p w:rsidR="0028545C" w:rsidP="004372BF" w:rsidRDefault="00E060AA" w14:paraId="73F8B469" w14:textId="36D82032">
            <w:pPr>
              <w:spacing w:after="0" w:line="240" w:lineRule="auto"/>
              <w:jc w:val="center"/>
              <w:rPr>
                <w:rFonts w:ascii="Times New Roman" w:hAnsi="Times New Roman" w:eastAsia="Times New Roman" w:cs="Times New Roman"/>
                <w:sz w:val="24"/>
                <w:szCs w:val="24"/>
              </w:rPr>
            </w:pPr>
            <w:r w:rsidRPr="00466218">
              <w:rPr>
                <w:rFonts w:ascii="Times New Roman" w:hAnsi="Times New Roman" w:eastAsia="Times New Roman" w:cs="Times New Roman"/>
                <w:sz w:val="24"/>
                <w:szCs w:val="24"/>
              </w:rPr>
              <w:t>16 hrs</w:t>
            </w:r>
            <w:r w:rsidR="00FB2C27">
              <w:rPr>
                <w:rFonts w:ascii="Times New Roman" w:hAnsi="Times New Roman" w:eastAsia="Times New Roman" w:cs="Times New Roman"/>
                <w:sz w:val="24"/>
                <w:szCs w:val="24"/>
              </w:rPr>
              <w:t>.</w:t>
            </w:r>
            <w:r w:rsidR="00AD652F">
              <w:rPr>
                <w:rFonts w:ascii="Times New Roman" w:hAnsi="Times New Roman" w:eastAsia="Times New Roman" w:cs="Times New Roman"/>
                <w:sz w:val="24"/>
                <w:szCs w:val="24"/>
              </w:rPr>
              <w:t xml:space="preserve"> &amp; $880</w:t>
            </w:r>
          </w:p>
          <w:p w:rsidR="0028545C" w:rsidP="004372BF" w:rsidRDefault="0028545C" w14:paraId="2C882B84" w14:textId="77777777">
            <w:pPr>
              <w:spacing w:after="0" w:line="240" w:lineRule="auto"/>
              <w:jc w:val="center"/>
              <w:rPr>
                <w:rFonts w:ascii="Times New Roman" w:hAnsi="Times New Roman" w:eastAsia="Times New Roman" w:cs="Times New Roman"/>
                <w:sz w:val="24"/>
                <w:szCs w:val="24"/>
              </w:rPr>
            </w:pPr>
          </w:p>
          <w:p w:rsidRPr="00466218" w:rsidR="00E060AA" w:rsidP="008540B1" w:rsidRDefault="00E060AA" w14:paraId="5CAAB5D5" w14:textId="733D90B5">
            <w:pPr>
              <w:spacing w:after="0" w:line="240" w:lineRule="auto"/>
              <w:jc w:val="center"/>
              <w:rPr>
                <w:rFonts w:ascii="Times New Roman" w:hAnsi="Times New Roman" w:eastAsia="Times New Roman" w:cs="Times New Roman"/>
                <w:sz w:val="24"/>
                <w:szCs w:val="24"/>
              </w:rPr>
            </w:pPr>
            <w:r w:rsidRPr="00466218">
              <w:rPr>
                <w:rFonts w:ascii="Times New Roman" w:hAnsi="Times New Roman" w:eastAsia="Times New Roman" w:cs="Times New Roman"/>
                <w:sz w:val="24"/>
                <w:szCs w:val="24"/>
              </w:rPr>
              <w:t>(reporting: 12 hrs.</w:t>
            </w:r>
            <w:r w:rsidRPr="00466218" w:rsidR="00E25A04">
              <w:rPr>
                <w:rFonts w:ascii="Times New Roman" w:hAnsi="Times New Roman" w:eastAsia="Times New Roman" w:cs="Times New Roman"/>
                <w:sz w:val="24"/>
                <w:szCs w:val="24"/>
              </w:rPr>
              <w:t xml:space="preserve"> </w:t>
            </w:r>
            <w:r w:rsidR="0028545C">
              <w:rPr>
                <w:rFonts w:ascii="Times New Roman" w:hAnsi="Times New Roman" w:eastAsia="Times New Roman" w:cs="Times New Roman"/>
                <w:sz w:val="24"/>
                <w:szCs w:val="24"/>
              </w:rPr>
              <w:t xml:space="preserve">&amp; </w:t>
            </w:r>
            <w:r w:rsidRPr="00466218" w:rsidR="00E25A04">
              <w:rPr>
                <w:rFonts w:ascii="Times New Roman" w:hAnsi="Times New Roman" w:eastAsia="Times New Roman" w:cs="Times New Roman"/>
                <w:sz w:val="24"/>
                <w:szCs w:val="24"/>
              </w:rPr>
              <w:t>$660</w:t>
            </w:r>
            <w:r w:rsidR="0028545C">
              <w:rPr>
                <w:rFonts w:ascii="Times New Roman" w:hAnsi="Times New Roman" w:eastAsia="Times New Roman" w:cs="Times New Roman"/>
                <w:sz w:val="24"/>
                <w:szCs w:val="24"/>
              </w:rPr>
              <w:t xml:space="preserve"> plus </w:t>
            </w:r>
            <w:r w:rsidRPr="00466218">
              <w:rPr>
                <w:rFonts w:ascii="Times New Roman" w:hAnsi="Times New Roman" w:eastAsia="Times New Roman" w:cs="Times New Roman"/>
                <w:sz w:val="24"/>
                <w:szCs w:val="24"/>
              </w:rPr>
              <w:t xml:space="preserve"> recordkeeping: 4 hrs.</w:t>
            </w:r>
            <w:r w:rsidR="00AD652F">
              <w:rPr>
                <w:rFonts w:ascii="Times New Roman" w:hAnsi="Times New Roman" w:eastAsia="Times New Roman" w:cs="Times New Roman"/>
                <w:sz w:val="24"/>
                <w:szCs w:val="24"/>
              </w:rPr>
              <w:t>&amp; $220</w:t>
            </w:r>
            <w:r w:rsidRPr="00466218">
              <w:rPr>
                <w:rFonts w:ascii="Times New Roman" w:hAnsi="Times New Roman" w:eastAsia="Times New Roman" w:cs="Times New Roman"/>
                <w:sz w:val="24"/>
                <w:szCs w:val="24"/>
              </w:rPr>
              <w:t>)</w:t>
            </w:r>
          </w:p>
        </w:tc>
        <w:tc>
          <w:tcPr>
            <w:tcW w:w="875" w:type="pct"/>
            <w:tcBorders>
              <w:top w:val="single" w:color="auto" w:sz="4" w:space="0"/>
              <w:left w:val="single" w:color="auto" w:sz="4" w:space="0"/>
              <w:bottom w:val="single" w:color="auto" w:sz="4" w:space="0"/>
              <w:right w:val="single" w:color="auto" w:sz="4" w:space="0"/>
            </w:tcBorders>
            <w:vAlign w:val="center"/>
            <w:hideMark/>
          </w:tcPr>
          <w:p w:rsidR="00AD652F" w:rsidP="004372BF" w:rsidRDefault="00E060AA" w14:paraId="48BE39A3" w14:textId="77777777">
            <w:pPr>
              <w:spacing w:after="0" w:line="240" w:lineRule="auto"/>
              <w:jc w:val="center"/>
              <w:rPr>
                <w:rFonts w:ascii="Times New Roman" w:hAnsi="Times New Roman" w:eastAsia="Times New Roman" w:cs="Times New Roman"/>
                <w:sz w:val="24"/>
                <w:szCs w:val="24"/>
              </w:rPr>
            </w:pPr>
            <w:r w:rsidRPr="00466218">
              <w:rPr>
                <w:rFonts w:ascii="Times New Roman" w:hAnsi="Times New Roman" w:eastAsia="Times New Roman" w:cs="Times New Roman"/>
                <w:sz w:val="24"/>
                <w:szCs w:val="24"/>
              </w:rPr>
              <w:t>3,424 hrs.</w:t>
            </w:r>
            <w:r w:rsidR="0028545C">
              <w:rPr>
                <w:rFonts w:ascii="Times New Roman" w:hAnsi="Times New Roman" w:eastAsia="Times New Roman" w:cs="Times New Roman"/>
                <w:sz w:val="24"/>
                <w:szCs w:val="24"/>
              </w:rPr>
              <w:t xml:space="preserve"> &amp;</w:t>
            </w:r>
          </w:p>
          <w:p w:rsidR="0028545C" w:rsidP="004372BF" w:rsidRDefault="00E060AA" w14:paraId="189A0EF3" w14:textId="1BE56C4A">
            <w:pPr>
              <w:spacing w:after="0" w:line="240" w:lineRule="auto"/>
              <w:jc w:val="center"/>
              <w:rPr>
                <w:rFonts w:ascii="Times New Roman" w:hAnsi="Times New Roman" w:eastAsia="Times New Roman" w:cs="Times New Roman"/>
                <w:sz w:val="24"/>
                <w:szCs w:val="24"/>
              </w:rPr>
            </w:pPr>
            <w:r w:rsidRPr="00466218">
              <w:rPr>
                <w:rFonts w:ascii="Times New Roman" w:hAnsi="Times New Roman" w:eastAsia="Times New Roman" w:cs="Times New Roman"/>
                <w:sz w:val="24"/>
                <w:szCs w:val="24"/>
              </w:rPr>
              <w:t xml:space="preserve">$188,320 </w:t>
            </w:r>
          </w:p>
          <w:p w:rsidR="0028545C" w:rsidP="004372BF" w:rsidRDefault="0028545C" w14:paraId="48A261DE" w14:textId="77777777">
            <w:pPr>
              <w:spacing w:after="0" w:line="240" w:lineRule="auto"/>
              <w:jc w:val="center"/>
              <w:rPr>
                <w:rFonts w:ascii="Times New Roman" w:hAnsi="Times New Roman" w:eastAsia="Times New Roman" w:cs="Times New Roman"/>
                <w:sz w:val="24"/>
                <w:szCs w:val="24"/>
              </w:rPr>
            </w:pPr>
          </w:p>
          <w:p w:rsidRPr="00466218" w:rsidR="00E060AA" w:rsidP="008540B1" w:rsidRDefault="00E060AA" w14:paraId="1C0EA5C4" w14:textId="55F7D056">
            <w:pPr>
              <w:spacing w:after="0" w:line="240" w:lineRule="auto"/>
              <w:jc w:val="center"/>
              <w:rPr>
                <w:rFonts w:ascii="Times New Roman" w:hAnsi="Times New Roman" w:eastAsia="Times New Roman" w:cs="Times New Roman"/>
                <w:sz w:val="24"/>
                <w:szCs w:val="24"/>
              </w:rPr>
            </w:pPr>
            <w:r w:rsidRPr="00466218">
              <w:rPr>
                <w:rFonts w:ascii="Times New Roman" w:hAnsi="Times New Roman" w:eastAsia="Times New Roman" w:cs="Times New Roman"/>
                <w:sz w:val="24"/>
                <w:szCs w:val="24"/>
              </w:rPr>
              <w:t>(reporting</w:t>
            </w:r>
            <w:r w:rsidR="0028545C">
              <w:rPr>
                <w:rFonts w:ascii="Times New Roman" w:hAnsi="Times New Roman" w:eastAsia="Times New Roman" w:cs="Times New Roman"/>
                <w:sz w:val="24"/>
                <w:szCs w:val="24"/>
              </w:rPr>
              <w:t xml:space="preserve">:  </w:t>
            </w:r>
            <w:r w:rsidRPr="00466218">
              <w:rPr>
                <w:rFonts w:ascii="Times New Roman" w:hAnsi="Times New Roman" w:eastAsia="Times New Roman" w:cs="Times New Roman"/>
                <w:sz w:val="24"/>
                <w:szCs w:val="24"/>
              </w:rPr>
              <w:t>2,568 hrs. &amp; $141,240; recordkeeping</w:t>
            </w:r>
            <w:r w:rsidR="0028545C">
              <w:rPr>
                <w:rFonts w:ascii="Times New Roman" w:hAnsi="Times New Roman" w:eastAsia="Times New Roman" w:cs="Times New Roman"/>
                <w:sz w:val="24"/>
                <w:szCs w:val="24"/>
              </w:rPr>
              <w:t xml:space="preserve">:  </w:t>
            </w:r>
            <w:r w:rsidRPr="00466218">
              <w:rPr>
                <w:rFonts w:ascii="Times New Roman" w:hAnsi="Times New Roman" w:eastAsia="Times New Roman" w:cs="Times New Roman"/>
                <w:sz w:val="24"/>
                <w:szCs w:val="24"/>
              </w:rPr>
              <w:t xml:space="preserve"> 856 hrs. &amp; $47,080)</w:t>
            </w:r>
          </w:p>
        </w:tc>
      </w:tr>
      <w:tr w:rsidRPr="00E060AA" w:rsidR="00E060AA" w:rsidTr="008540B1" w14:paraId="3495875D" w14:textId="77777777">
        <w:trPr>
          <w:cantSplit/>
          <w:trHeight w:val="485"/>
        </w:trPr>
        <w:tc>
          <w:tcPr>
            <w:tcW w:w="936" w:type="pct"/>
            <w:tcBorders>
              <w:top w:val="single" w:color="auto" w:sz="4" w:space="0"/>
              <w:left w:val="single" w:color="auto" w:sz="4" w:space="0"/>
              <w:bottom w:val="single" w:color="auto" w:sz="4" w:space="0"/>
              <w:right w:val="single" w:color="auto" w:sz="4" w:space="0"/>
            </w:tcBorders>
            <w:vAlign w:val="center"/>
          </w:tcPr>
          <w:p w:rsidRPr="00E060AA" w:rsidR="00E060AA" w:rsidP="008540B1" w:rsidRDefault="00E060AA" w14:paraId="2BE76AD0" w14:textId="78CEF139">
            <w:pPr>
              <w:spacing w:after="0" w:line="240" w:lineRule="auto"/>
              <w:jc w:val="center"/>
              <w:rPr>
                <w:rFonts w:ascii="Times New Roman" w:hAnsi="Times New Roman" w:eastAsia="Times New Roman" w:cs="Times New Roman"/>
                <w:sz w:val="24"/>
                <w:szCs w:val="24"/>
              </w:rPr>
            </w:pPr>
            <w:r w:rsidRPr="00E060AA">
              <w:rPr>
                <w:rFonts w:ascii="Times New Roman" w:hAnsi="Times New Roman" w:eastAsia="Times New Roman" w:cs="Times New Roman"/>
                <w:sz w:val="24"/>
                <w:szCs w:val="24"/>
              </w:rPr>
              <w:t>Sub-Total for Reporting Requirements</w:t>
            </w:r>
            <w:r w:rsidR="002F003B">
              <w:rPr>
                <w:rFonts w:ascii="Times New Roman" w:hAnsi="Times New Roman" w:eastAsia="Times New Roman" w:cs="Times New Roman"/>
                <w:sz w:val="24"/>
                <w:szCs w:val="24"/>
              </w:rPr>
              <w:t xml:space="preserve"> (one-time in Year 1)</w:t>
            </w:r>
          </w:p>
        </w:tc>
        <w:tc>
          <w:tcPr>
            <w:tcW w:w="1486" w:type="pct"/>
            <w:gridSpan w:val="2"/>
            <w:tcBorders>
              <w:top w:val="single" w:color="auto" w:sz="4" w:space="0"/>
              <w:left w:val="single" w:color="auto" w:sz="4" w:space="0"/>
              <w:bottom w:val="single" w:color="auto" w:sz="4" w:space="0"/>
              <w:right w:val="single" w:color="auto" w:sz="4" w:space="0"/>
            </w:tcBorders>
            <w:shd w:val="clear" w:color="auto" w:fill="D9D9D9"/>
            <w:vAlign w:val="center"/>
          </w:tcPr>
          <w:p w:rsidRPr="00E060AA" w:rsidR="00E060AA" w:rsidP="008540B1" w:rsidRDefault="00E060AA" w14:paraId="67F98035" w14:textId="77777777">
            <w:pPr>
              <w:spacing w:after="0" w:line="240" w:lineRule="auto"/>
              <w:jc w:val="center"/>
              <w:rPr>
                <w:rFonts w:ascii="Times New Roman" w:hAnsi="Times New Roman" w:eastAsia="Times New Roman" w:cs="Times New Roman"/>
                <w:sz w:val="24"/>
                <w:szCs w:val="24"/>
              </w:rPr>
            </w:pPr>
          </w:p>
        </w:tc>
        <w:tc>
          <w:tcPr>
            <w:tcW w:w="627" w:type="pct"/>
            <w:tcBorders>
              <w:top w:val="single" w:color="auto" w:sz="4" w:space="0"/>
              <w:left w:val="single" w:color="auto" w:sz="4" w:space="0"/>
              <w:bottom w:val="single" w:color="auto" w:sz="4" w:space="0"/>
              <w:right w:val="single" w:color="auto" w:sz="4" w:space="0"/>
            </w:tcBorders>
            <w:vAlign w:val="center"/>
          </w:tcPr>
          <w:p w:rsidRPr="00E060AA" w:rsidR="00E060AA" w:rsidP="008540B1" w:rsidRDefault="00E060AA" w14:paraId="69B85881" w14:textId="77777777">
            <w:pPr>
              <w:spacing w:after="0" w:line="240" w:lineRule="auto"/>
              <w:jc w:val="center"/>
              <w:rPr>
                <w:rFonts w:ascii="Times New Roman" w:hAnsi="Times New Roman" w:eastAsia="Times New Roman" w:cs="Times New Roman"/>
                <w:sz w:val="24"/>
                <w:szCs w:val="24"/>
              </w:rPr>
            </w:pPr>
          </w:p>
        </w:tc>
        <w:tc>
          <w:tcPr>
            <w:tcW w:w="1076" w:type="pct"/>
            <w:tcBorders>
              <w:top w:val="single" w:color="auto" w:sz="4" w:space="0"/>
              <w:left w:val="single" w:color="auto" w:sz="4" w:space="0"/>
              <w:bottom w:val="single" w:color="auto" w:sz="4" w:space="0"/>
              <w:right w:val="single" w:color="auto" w:sz="4" w:space="0"/>
            </w:tcBorders>
            <w:shd w:val="clear" w:color="auto" w:fill="D9D9D9"/>
            <w:vAlign w:val="center"/>
          </w:tcPr>
          <w:p w:rsidRPr="00466218" w:rsidR="00E060AA" w:rsidP="008540B1" w:rsidRDefault="00E060AA" w14:paraId="6028323D" w14:textId="77777777">
            <w:pPr>
              <w:spacing w:after="0" w:line="240" w:lineRule="auto"/>
              <w:jc w:val="center"/>
              <w:rPr>
                <w:rFonts w:ascii="Times New Roman" w:hAnsi="Times New Roman" w:eastAsia="Times New Roman" w:cs="Times New Roman"/>
                <w:sz w:val="24"/>
                <w:szCs w:val="24"/>
              </w:rPr>
            </w:pPr>
          </w:p>
        </w:tc>
        <w:tc>
          <w:tcPr>
            <w:tcW w:w="875" w:type="pct"/>
            <w:tcBorders>
              <w:top w:val="single" w:color="auto" w:sz="4" w:space="0"/>
              <w:left w:val="single" w:color="auto" w:sz="4" w:space="0"/>
              <w:bottom w:val="single" w:color="auto" w:sz="4" w:space="0"/>
              <w:right w:val="single" w:color="auto" w:sz="4" w:space="0"/>
            </w:tcBorders>
            <w:vAlign w:val="center"/>
          </w:tcPr>
          <w:p w:rsidRPr="00466218" w:rsidR="00E060AA" w:rsidP="008540B1" w:rsidRDefault="00E060AA" w14:paraId="011C4527" w14:textId="1F004D3C">
            <w:pPr>
              <w:spacing w:after="0" w:line="240" w:lineRule="auto"/>
              <w:jc w:val="center"/>
              <w:rPr>
                <w:rFonts w:ascii="Times New Roman" w:hAnsi="Times New Roman" w:eastAsia="Times New Roman" w:cs="Times New Roman"/>
                <w:sz w:val="24"/>
                <w:szCs w:val="24"/>
              </w:rPr>
            </w:pPr>
            <w:r w:rsidRPr="00466218">
              <w:rPr>
                <w:rFonts w:ascii="Times New Roman" w:hAnsi="Times New Roman" w:eastAsia="Times New Roman" w:cs="Times New Roman"/>
                <w:sz w:val="24"/>
                <w:szCs w:val="24"/>
              </w:rPr>
              <w:t>5,564 hrs</w:t>
            </w:r>
            <w:r w:rsidR="00FB2C27">
              <w:rPr>
                <w:rFonts w:ascii="Times New Roman" w:hAnsi="Times New Roman" w:eastAsia="Times New Roman" w:cs="Times New Roman"/>
                <w:sz w:val="24"/>
                <w:szCs w:val="24"/>
              </w:rPr>
              <w:t xml:space="preserve">. </w:t>
            </w:r>
            <w:r w:rsidR="0028545C">
              <w:rPr>
                <w:rFonts w:ascii="Times New Roman" w:hAnsi="Times New Roman" w:eastAsia="Times New Roman" w:cs="Times New Roman"/>
                <w:sz w:val="24"/>
                <w:szCs w:val="24"/>
              </w:rPr>
              <w:t xml:space="preserve">&amp; </w:t>
            </w:r>
            <w:r w:rsidRPr="00466218">
              <w:rPr>
                <w:rFonts w:ascii="Times New Roman" w:hAnsi="Times New Roman" w:eastAsia="Times New Roman" w:cs="Times New Roman"/>
                <w:sz w:val="24"/>
                <w:szCs w:val="24"/>
              </w:rPr>
              <w:t xml:space="preserve"> $306,020</w:t>
            </w:r>
          </w:p>
        </w:tc>
      </w:tr>
      <w:tr w:rsidRPr="00E060AA" w:rsidR="00E060AA" w:rsidTr="008540B1" w14:paraId="6B83639B" w14:textId="77777777">
        <w:trPr>
          <w:cantSplit/>
          <w:trHeight w:val="485"/>
        </w:trPr>
        <w:tc>
          <w:tcPr>
            <w:tcW w:w="936" w:type="pct"/>
            <w:tcBorders>
              <w:top w:val="single" w:color="auto" w:sz="4" w:space="0"/>
              <w:left w:val="single" w:color="auto" w:sz="4" w:space="0"/>
              <w:bottom w:val="single" w:color="auto" w:sz="4" w:space="0"/>
              <w:right w:val="single" w:color="auto" w:sz="4" w:space="0"/>
            </w:tcBorders>
            <w:vAlign w:val="center"/>
          </w:tcPr>
          <w:p w:rsidRPr="00E060AA" w:rsidR="00E060AA" w:rsidP="008540B1" w:rsidRDefault="00E060AA" w14:paraId="6776DC57" w14:textId="4B56690B">
            <w:pPr>
              <w:spacing w:after="0" w:line="240" w:lineRule="auto"/>
              <w:jc w:val="center"/>
              <w:rPr>
                <w:rFonts w:ascii="Times New Roman" w:hAnsi="Times New Roman" w:eastAsia="Times New Roman" w:cs="Times New Roman"/>
                <w:sz w:val="24"/>
                <w:szCs w:val="24"/>
              </w:rPr>
            </w:pPr>
            <w:r w:rsidRPr="00E060AA">
              <w:rPr>
                <w:rFonts w:ascii="Times New Roman" w:hAnsi="Times New Roman" w:eastAsia="Times New Roman" w:cs="Times New Roman"/>
                <w:sz w:val="24"/>
                <w:szCs w:val="24"/>
              </w:rPr>
              <w:t>Sub-Total for Recordkeeping Requirements</w:t>
            </w:r>
          </w:p>
        </w:tc>
        <w:tc>
          <w:tcPr>
            <w:tcW w:w="1486" w:type="pct"/>
            <w:gridSpan w:val="2"/>
            <w:tcBorders>
              <w:top w:val="single" w:color="auto" w:sz="4" w:space="0"/>
              <w:left w:val="single" w:color="auto" w:sz="4" w:space="0"/>
              <w:bottom w:val="single" w:color="auto" w:sz="4" w:space="0"/>
              <w:right w:val="single" w:color="auto" w:sz="4" w:space="0"/>
            </w:tcBorders>
            <w:shd w:val="clear" w:color="auto" w:fill="D9D9D9"/>
            <w:vAlign w:val="center"/>
          </w:tcPr>
          <w:p w:rsidRPr="00E060AA" w:rsidR="00E060AA" w:rsidP="008540B1" w:rsidRDefault="00E060AA" w14:paraId="55EFEDFA" w14:textId="77777777">
            <w:pPr>
              <w:spacing w:after="0" w:line="240" w:lineRule="auto"/>
              <w:jc w:val="center"/>
              <w:rPr>
                <w:rFonts w:ascii="Times New Roman" w:hAnsi="Times New Roman" w:eastAsia="Times New Roman" w:cs="Times New Roman"/>
                <w:sz w:val="24"/>
                <w:szCs w:val="24"/>
              </w:rPr>
            </w:pPr>
          </w:p>
        </w:tc>
        <w:tc>
          <w:tcPr>
            <w:tcW w:w="627" w:type="pct"/>
            <w:tcBorders>
              <w:top w:val="single" w:color="auto" w:sz="4" w:space="0"/>
              <w:left w:val="single" w:color="auto" w:sz="4" w:space="0"/>
              <w:bottom w:val="single" w:color="auto" w:sz="4" w:space="0"/>
              <w:right w:val="single" w:color="auto" w:sz="4" w:space="0"/>
            </w:tcBorders>
            <w:vAlign w:val="center"/>
          </w:tcPr>
          <w:p w:rsidRPr="00E060AA" w:rsidR="00E060AA" w:rsidP="008540B1" w:rsidRDefault="00E060AA" w14:paraId="7089756C" w14:textId="77777777">
            <w:pPr>
              <w:spacing w:after="0" w:line="240" w:lineRule="auto"/>
              <w:jc w:val="center"/>
              <w:rPr>
                <w:rFonts w:ascii="Times New Roman" w:hAnsi="Times New Roman" w:eastAsia="Times New Roman" w:cs="Times New Roman"/>
                <w:sz w:val="24"/>
                <w:szCs w:val="24"/>
              </w:rPr>
            </w:pPr>
          </w:p>
        </w:tc>
        <w:tc>
          <w:tcPr>
            <w:tcW w:w="1076" w:type="pct"/>
            <w:tcBorders>
              <w:top w:val="single" w:color="auto" w:sz="4" w:space="0"/>
              <w:left w:val="single" w:color="auto" w:sz="4" w:space="0"/>
              <w:bottom w:val="single" w:color="auto" w:sz="4" w:space="0"/>
              <w:right w:val="single" w:color="auto" w:sz="4" w:space="0"/>
            </w:tcBorders>
            <w:shd w:val="clear" w:color="auto" w:fill="D9D9D9"/>
            <w:vAlign w:val="center"/>
          </w:tcPr>
          <w:p w:rsidRPr="00466218" w:rsidR="00E060AA" w:rsidP="008540B1" w:rsidRDefault="00E060AA" w14:paraId="646A95C3" w14:textId="77777777">
            <w:pPr>
              <w:spacing w:after="0" w:line="240" w:lineRule="auto"/>
              <w:jc w:val="center"/>
              <w:rPr>
                <w:rFonts w:ascii="Times New Roman" w:hAnsi="Times New Roman" w:eastAsia="Times New Roman" w:cs="Times New Roman"/>
                <w:sz w:val="24"/>
                <w:szCs w:val="24"/>
              </w:rPr>
            </w:pPr>
          </w:p>
        </w:tc>
        <w:tc>
          <w:tcPr>
            <w:tcW w:w="875" w:type="pct"/>
            <w:tcBorders>
              <w:top w:val="single" w:color="auto" w:sz="4" w:space="0"/>
              <w:left w:val="single" w:color="auto" w:sz="4" w:space="0"/>
              <w:bottom w:val="single" w:color="auto" w:sz="4" w:space="0"/>
              <w:right w:val="single" w:color="auto" w:sz="4" w:space="0"/>
            </w:tcBorders>
            <w:vAlign w:val="center"/>
          </w:tcPr>
          <w:p w:rsidRPr="00466218" w:rsidR="00E060AA" w:rsidP="008540B1" w:rsidRDefault="00E060AA" w14:paraId="68003879" w14:textId="699FB00A">
            <w:pPr>
              <w:spacing w:after="0" w:line="240" w:lineRule="auto"/>
              <w:jc w:val="center"/>
              <w:rPr>
                <w:rFonts w:ascii="Times New Roman" w:hAnsi="Times New Roman" w:eastAsia="Times New Roman" w:cs="Times New Roman"/>
                <w:sz w:val="24"/>
                <w:szCs w:val="24"/>
              </w:rPr>
            </w:pPr>
            <w:r w:rsidRPr="00466218">
              <w:rPr>
                <w:rFonts w:ascii="Times New Roman" w:hAnsi="Times New Roman" w:eastAsia="Times New Roman" w:cs="Times New Roman"/>
                <w:sz w:val="24"/>
                <w:szCs w:val="24"/>
              </w:rPr>
              <w:t>2,140 hrs.</w:t>
            </w:r>
            <w:r w:rsidR="0028545C">
              <w:rPr>
                <w:rFonts w:ascii="Times New Roman" w:hAnsi="Times New Roman" w:eastAsia="Times New Roman" w:cs="Times New Roman"/>
                <w:sz w:val="24"/>
                <w:szCs w:val="24"/>
              </w:rPr>
              <w:t xml:space="preserve"> &amp; </w:t>
            </w:r>
            <w:r w:rsidRPr="00466218">
              <w:rPr>
                <w:rFonts w:ascii="Times New Roman" w:hAnsi="Times New Roman" w:eastAsia="Times New Roman" w:cs="Times New Roman"/>
                <w:sz w:val="24"/>
                <w:szCs w:val="24"/>
              </w:rPr>
              <w:t>$117,700</w:t>
            </w:r>
          </w:p>
        </w:tc>
      </w:tr>
      <w:tr w:rsidRPr="00E060AA" w:rsidR="00E060AA" w:rsidTr="008540B1" w14:paraId="6AE3CAD2" w14:textId="77777777">
        <w:trPr>
          <w:cantSplit/>
          <w:trHeight w:val="485"/>
        </w:trPr>
        <w:tc>
          <w:tcPr>
            <w:tcW w:w="936" w:type="pct"/>
            <w:tcBorders>
              <w:top w:val="single" w:color="auto" w:sz="4" w:space="0"/>
              <w:left w:val="single" w:color="auto" w:sz="4" w:space="0"/>
              <w:bottom w:val="single" w:color="auto" w:sz="4" w:space="0"/>
              <w:right w:val="single" w:color="auto" w:sz="4" w:space="0"/>
            </w:tcBorders>
            <w:vAlign w:val="center"/>
            <w:hideMark/>
          </w:tcPr>
          <w:p w:rsidRPr="00E060AA" w:rsidR="00E060AA" w:rsidP="008540B1" w:rsidRDefault="00E060AA" w14:paraId="2A910F7F" w14:textId="77777777">
            <w:pPr>
              <w:spacing w:after="0" w:line="240" w:lineRule="auto"/>
              <w:jc w:val="center"/>
              <w:rPr>
                <w:rFonts w:ascii="Times New Roman" w:hAnsi="Times New Roman" w:eastAsia="Times New Roman" w:cs="Times New Roman"/>
                <w:b/>
                <w:sz w:val="24"/>
                <w:szCs w:val="24"/>
              </w:rPr>
            </w:pPr>
            <w:r w:rsidRPr="00E060AA">
              <w:rPr>
                <w:rFonts w:ascii="Times New Roman" w:hAnsi="Times New Roman" w:eastAsia="Times New Roman" w:cs="Times New Roman"/>
                <w:b/>
                <w:sz w:val="24"/>
                <w:szCs w:val="24"/>
              </w:rPr>
              <w:t>TOTAL</w:t>
            </w:r>
          </w:p>
        </w:tc>
        <w:tc>
          <w:tcPr>
            <w:tcW w:w="1486" w:type="pct"/>
            <w:gridSpan w:val="2"/>
            <w:tcBorders>
              <w:top w:val="single" w:color="auto" w:sz="4" w:space="0"/>
              <w:left w:val="single" w:color="auto" w:sz="4" w:space="0"/>
              <w:bottom w:val="single" w:color="auto" w:sz="4" w:space="0"/>
              <w:right w:val="single" w:color="auto" w:sz="4" w:space="0"/>
            </w:tcBorders>
            <w:shd w:val="clear" w:color="auto" w:fill="D9D9D9"/>
            <w:vAlign w:val="center"/>
          </w:tcPr>
          <w:p w:rsidRPr="00E060AA" w:rsidR="00E060AA" w:rsidP="008540B1" w:rsidRDefault="00E060AA" w14:paraId="1A0C3B0E" w14:textId="77777777">
            <w:pPr>
              <w:spacing w:after="0" w:line="240" w:lineRule="auto"/>
              <w:jc w:val="center"/>
              <w:rPr>
                <w:rFonts w:ascii="Times New Roman" w:hAnsi="Times New Roman" w:eastAsia="Times New Roman" w:cs="Times New Roman"/>
                <w:sz w:val="24"/>
                <w:szCs w:val="24"/>
              </w:rPr>
            </w:pPr>
          </w:p>
        </w:tc>
        <w:tc>
          <w:tcPr>
            <w:tcW w:w="627" w:type="pct"/>
            <w:tcBorders>
              <w:top w:val="single" w:color="auto" w:sz="4" w:space="0"/>
              <w:left w:val="single" w:color="auto" w:sz="4" w:space="0"/>
              <w:bottom w:val="single" w:color="auto" w:sz="4" w:space="0"/>
              <w:right w:val="single" w:color="auto" w:sz="4" w:space="0"/>
            </w:tcBorders>
            <w:vAlign w:val="center"/>
            <w:hideMark/>
          </w:tcPr>
          <w:p w:rsidRPr="00E060AA" w:rsidR="00E060AA" w:rsidP="008540B1" w:rsidRDefault="006C5CAE" w14:paraId="6242393D" w14:textId="3F95F1FA">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214</w:t>
            </w:r>
            <w:r w:rsidR="000A7BE0">
              <w:rPr>
                <w:rFonts w:ascii="Times New Roman" w:hAnsi="Times New Roman" w:eastAsia="Times New Roman" w:cs="Times New Roman"/>
                <w:b/>
                <w:sz w:val="24"/>
                <w:szCs w:val="24"/>
              </w:rPr>
              <w:t xml:space="preserve"> </w:t>
            </w:r>
            <w:r w:rsidRPr="00044DB9">
              <w:rPr>
                <w:rStyle w:val="FootnoteReference"/>
                <w:rFonts w:ascii="Times New Roman" w:hAnsi="Times New Roman" w:eastAsia="Times New Roman" w:cs="Times New Roman"/>
                <w:b/>
                <w:sz w:val="24"/>
                <w:szCs w:val="24"/>
                <w:vertAlign w:val="superscript"/>
              </w:rPr>
              <w:footnoteReference w:id="17"/>
            </w:r>
          </w:p>
        </w:tc>
        <w:tc>
          <w:tcPr>
            <w:tcW w:w="1076" w:type="pct"/>
            <w:tcBorders>
              <w:top w:val="single" w:color="auto" w:sz="4" w:space="0"/>
              <w:left w:val="single" w:color="auto" w:sz="4" w:space="0"/>
              <w:bottom w:val="single" w:color="auto" w:sz="4" w:space="0"/>
              <w:right w:val="single" w:color="auto" w:sz="4" w:space="0"/>
            </w:tcBorders>
            <w:shd w:val="clear" w:color="auto" w:fill="D9D9D9"/>
            <w:vAlign w:val="center"/>
          </w:tcPr>
          <w:p w:rsidRPr="00466218" w:rsidR="00E060AA" w:rsidP="008540B1" w:rsidRDefault="00E060AA" w14:paraId="219AB8FF" w14:textId="77777777">
            <w:pPr>
              <w:spacing w:after="0" w:line="240" w:lineRule="auto"/>
              <w:jc w:val="center"/>
              <w:rPr>
                <w:rFonts w:ascii="Times New Roman" w:hAnsi="Times New Roman" w:eastAsia="Times New Roman" w:cs="Times New Roman"/>
                <w:sz w:val="24"/>
                <w:szCs w:val="24"/>
              </w:rPr>
            </w:pPr>
          </w:p>
        </w:tc>
        <w:tc>
          <w:tcPr>
            <w:tcW w:w="875" w:type="pct"/>
            <w:tcBorders>
              <w:top w:val="single" w:color="auto" w:sz="4" w:space="0"/>
              <w:left w:val="single" w:color="auto" w:sz="4" w:space="0"/>
              <w:bottom w:val="single" w:color="auto" w:sz="4" w:space="0"/>
              <w:right w:val="single" w:color="auto" w:sz="4" w:space="0"/>
            </w:tcBorders>
            <w:vAlign w:val="center"/>
            <w:hideMark/>
          </w:tcPr>
          <w:p w:rsidRPr="00466218" w:rsidR="00E060AA" w:rsidP="008540B1" w:rsidRDefault="00E060AA" w14:paraId="47B7CE53" w14:textId="2E316725">
            <w:pPr>
              <w:spacing w:after="0" w:line="240" w:lineRule="auto"/>
              <w:jc w:val="center"/>
              <w:rPr>
                <w:rFonts w:ascii="Times New Roman" w:hAnsi="Times New Roman" w:eastAsia="Times New Roman" w:cs="Times New Roman"/>
                <w:b/>
                <w:sz w:val="24"/>
                <w:szCs w:val="24"/>
              </w:rPr>
            </w:pPr>
            <w:r w:rsidRPr="00466218">
              <w:rPr>
                <w:rFonts w:ascii="Times New Roman" w:hAnsi="Times New Roman" w:eastAsia="Times New Roman" w:cs="Times New Roman"/>
                <w:b/>
                <w:sz w:val="24"/>
                <w:szCs w:val="24"/>
              </w:rPr>
              <w:t>7,704 hrs.</w:t>
            </w:r>
            <w:r w:rsidR="0028545C">
              <w:rPr>
                <w:rFonts w:ascii="Times New Roman" w:hAnsi="Times New Roman" w:eastAsia="Times New Roman" w:cs="Times New Roman"/>
                <w:b/>
                <w:sz w:val="24"/>
                <w:szCs w:val="24"/>
              </w:rPr>
              <w:t xml:space="preserve"> &amp; </w:t>
            </w:r>
          </w:p>
          <w:p w:rsidRPr="00466218" w:rsidR="00E060AA" w:rsidP="008540B1" w:rsidRDefault="00E060AA" w14:paraId="71732F20" w14:textId="77777777">
            <w:pPr>
              <w:spacing w:after="0" w:line="240" w:lineRule="auto"/>
              <w:jc w:val="center"/>
              <w:rPr>
                <w:rFonts w:ascii="Times New Roman" w:hAnsi="Times New Roman" w:eastAsia="Times New Roman" w:cs="Times New Roman"/>
                <w:b/>
                <w:sz w:val="24"/>
                <w:szCs w:val="24"/>
              </w:rPr>
            </w:pPr>
            <w:r w:rsidRPr="00466218">
              <w:rPr>
                <w:rFonts w:ascii="Times New Roman" w:hAnsi="Times New Roman" w:eastAsia="Times New Roman" w:cs="Times New Roman"/>
                <w:b/>
                <w:sz w:val="24"/>
                <w:szCs w:val="24"/>
              </w:rPr>
              <w:t>$423,720</w:t>
            </w:r>
          </w:p>
        </w:tc>
      </w:tr>
    </w:tbl>
    <w:p w:rsidR="00E060AA" w:rsidP="005C1553" w:rsidRDefault="00E060AA" w14:paraId="5A5F95CE" w14:textId="02DFA881">
      <w:pPr>
        <w:spacing w:after="0" w:line="240" w:lineRule="auto"/>
        <w:rPr>
          <w:rFonts w:ascii="Times New Roman" w:hAnsi="Times New Roman" w:eastAsia="Calibri" w:cs="Times New Roman"/>
          <w:sz w:val="26"/>
          <w:szCs w:val="26"/>
        </w:rPr>
      </w:pPr>
    </w:p>
    <w:p w:rsidR="008E5B16" w:rsidP="005C1553" w:rsidRDefault="008E5B16" w14:paraId="594FFDFB" w14:textId="3FA2D214">
      <w:pPr>
        <w:spacing w:after="0" w:line="240" w:lineRule="auto"/>
        <w:rPr>
          <w:rFonts w:ascii="Times New Roman" w:hAnsi="Times New Roman" w:eastAsia="Calibri" w:cs="Times New Roman"/>
          <w:sz w:val="26"/>
          <w:szCs w:val="26"/>
        </w:rPr>
      </w:pPr>
      <w:bookmarkStart w:name="_Hlk32486049" w:id="0"/>
      <w:r>
        <w:rPr>
          <w:rFonts w:ascii="Times New Roman" w:hAnsi="Times New Roman" w:eastAsia="Calibri" w:cs="Times New Roman"/>
          <w:sz w:val="26"/>
          <w:szCs w:val="26"/>
        </w:rPr>
        <w:t>For PRA purposes and submittal to OMB, the one-time burden is being averaged over Years 1-3, giving an estimated annual industry total of:</w:t>
      </w:r>
    </w:p>
    <w:p w:rsidR="008E5B16" w:rsidP="008E5B16" w:rsidRDefault="008E5B16" w14:paraId="527EF920" w14:textId="27AB59EC">
      <w:pPr>
        <w:pStyle w:val="ListParagraph"/>
        <w:numPr>
          <w:ilvl w:val="0"/>
          <w:numId w:val="10"/>
        </w:numPr>
        <w:spacing w:after="0" w:line="240" w:lineRule="auto"/>
        <w:rPr>
          <w:rFonts w:ascii="Times New Roman" w:hAnsi="Times New Roman" w:eastAsia="Calibri" w:cs="Times New Roman"/>
          <w:sz w:val="26"/>
          <w:szCs w:val="26"/>
        </w:rPr>
      </w:pPr>
      <w:r>
        <w:rPr>
          <w:rFonts w:ascii="Times New Roman" w:hAnsi="Times New Roman" w:eastAsia="Calibri" w:cs="Times New Roman"/>
          <w:sz w:val="26"/>
          <w:szCs w:val="26"/>
        </w:rPr>
        <w:t>71.333 responses per year (214 responses/3)</w:t>
      </w:r>
      <w:r w:rsidR="000B775F">
        <w:rPr>
          <w:rFonts w:ascii="Times New Roman" w:hAnsi="Times New Roman" w:eastAsia="Calibri" w:cs="Times New Roman"/>
          <w:sz w:val="26"/>
          <w:szCs w:val="26"/>
        </w:rPr>
        <w:t xml:space="preserve"> [Note that ROCIS rounds this to 71</w:t>
      </w:r>
      <w:r w:rsidR="00D36321">
        <w:rPr>
          <w:rFonts w:ascii="Times New Roman" w:hAnsi="Times New Roman" w:eastAsia="Calibri" w:cs="Times New Roman"/>
          <w:sz w:val="26"/>
          <w:szCs w:val="26"/>
        </w:rPr>
        <w:t>, so 36.169 hours per response is used in ROCIS.]</w:t>
      </w:r>
    </w:p>
    <w:p w:rsidR="008E5B16" w:rsidP="005F223B" w:rsidRDefault="008E5B16" w14:paraId="47E4456D" w14:textId="19FE2FBD">
      <w:pPr>
        <w:pStyle w:val="ListParagraph"/>
        <w:numPr>
          <w:ilvl w:val="0"/>
          <w:numId w:val="10"/>
        </w:numPr>
        <w:spacing w:after="0" w:line="240" w:lineRule="auto"/>
        <w:rPr>
          <w:rFonts w:ascii="Times New Roman" w:hAnsi="Times New Roman" w:eastAsia="Calibri" w:cs="Times New Roman"/>
          <w:sz w:val="26"/>
          <w:szCs w:val="26"/>
        </w:rPr>
      </w:pPr>
      <w:r>
        <w:rPr>
          <w:rFonts w:ascii="Times New Roman" w:hAnsi="Times New Roman" w:eastAsia="Calibri" w:cs="Times New Roman"/>
          <w:sz w:val="26"/>
          <w:szCs w:val="26"/>
        </w:rPr>
        <w:t>2,568 hours per year (7,704 hours/3)</w:t>
      </w:r>
    </w:p>
    <w:p w:rsidRPr="005F223B" w:rsidR="005F223B" w:rsidP="005F223B" w:rsidRDefault="005F223B" w14:paraId="477A1829" w14:textId="77777777">
      <w:pPr>
        <w:pStyle w:val="ListParagraph"/>
        <w:spacing w:after="0" w:line="240" w:lineRule="auto"/>
        <w:rPr>
          <w:rFonts w:ascii="Times New Roman" w:hAnsi="Times New Roman" w:eastAsia="Calibri" w:cs="Times New Roman"/>
          <w:sz w:val="26"/>
          <w:szCs w:val="26"/>
        </w:rPr>
      </w:pPr>
    </w:p>
    <w:bookmarkEnd w:id="0"/>
    <w:p w:rsidRPr="003A333B" w:rsidR="005C1553" w:rsidP="005C1553" w:rsidRDefault="005C1553" w14:paraId="3DC29F70" w14:textId="77777777">
      <w:pPr>
        <w:numPr>
          <w:ilvl w:val="0"/>
          <w:numId w:val="1"/>
        </w:numPr>
        <w:spacing w:after="0" w:line="240" w:lineRule="auto"/>
        <w:ind w:left="360"/>
        <w:contextualSpacing/>
        <w:rPr>
          <w:rFonts w:ascii="Times New Roman" w:hAnsi="Times New Roman" w:eastAsia="Calibri" w:cs="Times New Roman"/>
          <w:b/>
          <w:sz w:val="26"/>
          <w:szCs w:val="26"/>
        </w:rPr>
      </w:pPr>
      <w:r w:rsidRPr="003A333B">
        <w:rPr>
          <w:rFonts w:ascii="Times New Roman" w:hAnsi="Times New Roman" w:eastAsia="Calibri" w:cs="Times New Roman"/>
          <w:b/>
          <w:sz w:val="26"/>
          <w:szCs w:val="26"/>
        </w:rPr>
        <w:t>ESTIMATE OF THE TOTAL ANNUAL COST BURDEN TO RESPONDENTS</w:t>
      </w:r>
    </w:p>
    <w:p w:rsidRPr="003A333B" w:rsidR="005C1553" w:rsidP="005C1553" w:rsidRDefault="005C1553" w14:paraId="6E6B7256" w14:textId="77777777">
      <w:pPr>
        <w:spacing w:after="0" w:line="240" w:lineRule="auto"/>
        <w:rPr>
          <w:rFonts w:ascii="Times New Roman" w:hAnsi="Times New Roman" w:eastAsia="Calibri" w:cs="Times New Roman"/>
          <w:sz w:val="26"/>
          <w:szCs w:val="26"/>
        </w:rPr>
      </w:pPr>
    </w:p>
    <w:p w:rsidRPr="003A333B" w:rsidR="005C1553" w:rsidP="005C1553" w:rsidRDefault="005C1553" w14:paraId="2B0E479A" w14:textId="65B19E4B">
      <w:pPr>
        <w:spacing w:after="0" w:line="240" w:lineRule="auto"/>
        <w:rPr>
          <w:rFonts w:ascii="Times New Roman" w:hAnsi="Times New Roman" w:eastAsia="Calibri" w:cs="Times New Roman"/>
          <w:sz w:val="26"/>
          <w:szCs w:val="26"/>
        </w:rPr>
      </w:pPr>
      <w:r w:rsidRPr="003A333B">
        <w:rPr>
          <w:rFonts w:ascii="Times New Roman" w:hAnsi="Times New Roman" w:eastAsia="Calibri" w:cs="Times New Roman"/>
          <w:sz w:val="26"/>
          <w:szCs w:val="26"/>
        </w:rPr>
        <w:lastRenderedPageBreak/>
        <w:t>There are no non-labor costs associated with the FERC-725N.  All of the PRA-related costs due to th</w:t>
      </w:r>
      <w:r w:rsidRPr="003A333B" w:rsidR="00AE5908">
        <w:rPr>
          <w:rFonts w:ascii="Times New Roman" w:hAnsi="Times New Roman" w:eastAsia="Calibri" w:cs="Times New Roman"/>
          <w:sz w:val="26"/>
          <w:szCs w:val="26"/>
        </w:rPr>
        <w:t xml:space="preserve">is </w:t>
      </w:r>
      <w:r w:rsidR="00100F1D">
        <w:rPr>
          <w:rFonts w:ascii="Times New Roman" w:hAnsi="Times New Roman" w:eastAsia="Calibri" w:cs="Times New Roman"/>
          <w:sz w:val="26"/>
          <w:szCs w:val="26"/>
        </w:rPr>
        <w:t>Final Rule</w:t>
      </w:r>
      <w:r w:rsidRPr="003A333B" w:rsidR="00100F1D">
        <w:rPr>
          <w:rFonts w:ascii="Times New Roman" w:hAnsi="Times New Roman" w:eastAsia="Calibri" w:cs="Times New Roman"/>
          <w:sz w:val="26"/>
          <w:szCs w:val="26"/>
        </w:rPr>
        <w:t xml:space="preserve"> </w:t>
      </w:r>
      <w:r w:rsidRPr="003A333B">
        <w:rPr>
          <w:rFonts w:ascii="Times New Roman" w:hAnsi="Times New Roman" w:eastAsia="Calibri" w:cs="Times New Roman"/>
          <w:sz w:val="26"/>
          <w:szCs w:val="26"/>
        </w:rPr>
        <w:t>in RM1</w:t>
      </w:r>
      <w:r w:rsidRPr="003A333B" w:rsidR="00AE5908">
        <w:rPr>
          <w:rFonts w:ascii="Times New Roman" w:hAnsi="Times New Roman" w:eastAsia="Calibri" w:cs="Times New Roman"/>
          <w:sz w:val="26"/>
          <w:szCs w:val="26"/>
        </w:rPr>
        <w:t>9</w:t>
      </w:r>
      <w:r w:rsidRPr="003A333B">
        <w:rPr>
          <w:rFonts w:ascii="Times New Roman" w:hAnsi="Times New Roman" w:eastAsia="Calibri" w:cs="Times New Roman"/>
          <w:sz w:val="26"/>
          <w:szCs w:val="26"/>
        </w:rPr>
        <w:t>-</w:t>
      </w:r>
      <w:r w:rsidRPr="003A333B" w:rsidR="00AE5908">
        <w:rPr>
          <w:rFonts w:ascii="Times New Roman" w:hAnsi="Times New Roman" w:eastAsia="Calibri" w:cs="Times New Roman"/>
          <w:sz w:val="26"/>
          <w:szCs w:val="26"/>
        </w:rPr>
        <w:t>10-000</w:t>
      </w:r>
      <w:r w:rsidRPr="003A333B">
        <w:rPr>
          <w:rFonts w:ascii="Times New Roman" w:hAnsi="Times New Roman" w:eastAsia="Calibri" w:cs="Times New Roman"/>
          <w:sz w:val="26"/>
          <w:szCs w:val="26"/>
        </w:rPr>
        <w:t xml:space="preserve"> are associated with burden hours (labor) and described in </w:t>
      </w:r>
      <w:r w:rsidR="000D2067">
        <w:rPr>
          <w:rFonts w:ascii="Times New Roman" w:hAnsi="Times New Roman" w:eastAsia="Calibri" w:cs="Times New Roman"/>
          <w:sz w:val="26"/>
          <w:szCs w:val="26"/>
        </w:rPr>
        <w:t xml:space="preserve">Questions </w:t>
      </w:r>
      <w:r w:rsidRPr="003A333B">
        <w:rPr>
          <w:rFonts w:ascii="Times New Roman" w:hAnsi="Times New Roman" w:eastAsia="Calibri" w:cs="Times New Roman"/>
          <w:sz w:val="26"/>
          <w:szCs w:val="26"/>
        </w:rPr>
        <w:t>#12 and 15.</w:t>
      </w:r>
    </w:p>
    <w:p w:rsidRPr="003A333B" w:rsidR="005C1553" w:rsidP="005C1553" w:rsidRDefault="005C1553" w14:paraId="5DDDAA3F" w14:textId="77777777">
      <w:pPr>
        <w:spacing w:after="0" w:line="240" w:lineRule="auto"/>
        <w:rPr>
          <w:rFonts w:ascii="Times New Roman" w:hAnsi="Times New Roman" w:eastAsia="Calibri" w:cs="Times New Roman"/>
          <w:sz w:val="26"/>
          <w:szCs w:val="26"/>
        </w:rPr>
      </w:pPr>
    </w:p>
    <w:p w:rsidRPr="003A333B" w:rsidR="005C1553" w:rsidP="005C1553" w:rsidRDefault="005C1553" w14:paraId="1BD921C8" w14:textId="77777777">
      <w:pPr>
        <w:numPr>
          <w:ilvl w:val="0"/>
          <w:numId w:val="1"/>
        </w:numPr>
        <w:spacing w:after="0" w:line="240" w:lineRule="auto"/>
        <w:ind w:left="360"/>
        <w:contextualSpacing/>
        <w:rPr>
          <w:rFonts w:ascii="Times New Roman" w:hAnsi="Times New Roman" w:eastAsia="Calibri" w:cs="Times New Roman"/>
          <w:b/>
          <w:sz w:val="26"/>
          <w:szCs w:val="26"/>
        </w:rPr>
      </w:pPr>
      <w:r w:rsidRPr="003A333B">
        <w:rPr>
          <w:rFonts w:ascii="Times New Roman" w:hAnsi="Times New Roman" w:eastAsia="Calibri" w:cs="Times New Roman"/>
          <w:b/>
          <w:sz w:val="26"/>
          <w:szCs w:val="26"/>
        </w:rPr>
        <w:t>ESTIMATED ANNUALIZED COST TO FEDERAL GOVERNMENT</w:t>
      </w:r>
    </w:p>
    <w:p w:rsidRPr="003A333B" w:rsidR="005C1553" w:rsidP="005C1553" w:rsidRDefault="005C1553" w14:paraId="73F1C8E6" w14:textId="77777777">
      <w:pPr>
        <w:spacing w:after="0" w:line="240" w:lineRule="auto"/>
        <w:rPr>
          <w:rFonts w:ascii="Times New Roman" w:hAnsi="Times New Roman" w:eastAsia="Calibri" w:cs="Times New Roman"/>
          <w:sz w:val="26"/>
          <w:szCs w:val="26"/>
        </w:rPr>
      </w:pPr>
    </w:p>
    <w:p w:rsidRPr="003A333B" w:rsidR="005C1553" w:rsidP="005C1553" w:rsidRDefault="005C1553" w14:paraId="1DB51831" w14:textId="77777777">
      <w:pPr>
        <w:spacing w:after="0" w:line="240" w:lineRule="auto"/>
        <w:rPr>
          <w:rFonts w:ascii="Times New Roman" w:hAnsi="Times New Roman" w:eastAsia="Calibri" w:cs="Times New Roman"/>
          <w:sz w:val="26"/>
          <w:szCs w:val="26"/>
        </w:rPr>
      </w:pPr>
      <w:r w:rsidRPr="003A333B">
        <w:rPr>
          <w:rFonts w:ascii="Times New Roman" w:hAnsi="Times New Roman" w:eastAsia="Calibri" w:cs="Times New Roman"/>
          <w:sz w:val="26"/>
          <w:szCs w:val="26"/>
        </w:rPr>
        <w:t xml:space="preserve">The Regional Entities and NERC do most of the data processing, monitoring and compliance work for Reliability Standards.  Any related involvement by the Commission is covered under the FERC-725 collection (OMB Control No. 1902-0225) and is not part of this request or package.  </w:t>
      </w:r>
    </w:p>
    <w:p w:rsidRPr="003A333B" w:rsidR="005C1553" w:rsidP="005C1553" w:rsidRDefault="005C1553" w14:paraId="476DD45C" w14:textId="77777777">
      <w:pPr>
        <w:spacing w:after="0" w:line="240" w:lineRule="auto"/>
        <w:rPr>
          <w:rFonts w:ascii="Times New Roman" w:hAnsi="Times New Roman" w:eastAsia="Times New Roman" w:cs="Times New Roman"/>
          <w:sz w:val="26"/>
          <w:szCs w:val="26"/>
        </w:rPr>
      </w:pPr>
    </w:p>
    <w:p w:rsidRPr="003A333B" w:rsidR="005D23B8" w:rsidP="005D23B8" w:rsidRDefault="005D23B8" w14:paraId="5B78AEFA" w14:textId="77777777">
      <w:pPr>
        <w:spacing w:after="0" w:line="240" w:lineRule="auto"/>
        <w:rPr>
          <w:rFonts w:ascii="Times New Roman" w:hAnsi="Times New Roman" w:eastAsia="Times New Roman" w:cs="Times New Roman"/>
          <w:sz w:val="26"/>
          <w:szCs w:val="26"/>
        </w:rPr>
      </w:pPr>
      <w:r w:rsidRPr="003A333B">
        <w:rPr>
          <w:rFonts w:ascii="Times New Roman" w:hAnsi="Times New Roman" w:eastAsia="Times New Roman" w:cs="Times New Roman"/>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Pr="003A333B" w:rsidR="005C1553" w:rsidP="005C1553" w:rsidRDefault="005C1553" w14:paraId="3FDD99B1" w14:textId="77777777">
      <w:pPr>
        <w:spacing w:after="0" w:line="276" w:lineRule="auto"/>
        <w:rPr>
          <w:rFonts w:ascii="Times New Roman" w:hAnsi="Times New Roman" w:eastAsia="Times New Roman" w:cs="Times New Roman"/>
          <w:sz w:val="26"/>
          <w:szCs w:val="2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38"/>
        <w:gridCol w:w="2953"/>
        <w:gridCol w:w="2965"/>
      </w:tblGrid>
      <w:tr w:rsidRPr="003A333B" w:rsidR="005C1553" w:rsidTr="003D6514" w14:paraId="7A92ED64" w14:textId="77777777">
        <w:tc>
          <w:tcPr>
            <w:tcW w:w="2938" w:type="dxa"/>
            <w:shd w:val="clear" w:color="auto" w:fill="CCCCCC"/>
            <w:vAlign w:val="bottom"/>
          </w:tcPr>
          <w:p w:rsidRPr="003A333B" w:rsidR="005C1553" w:rsidP="005C1553" w:rsidRDefault="005C1553" w14:paraId="335DF238" w14:textId="77777777">
            <w:pPr>
              <w:widowControl w:val="0"/>
              <w:autoSpaceDE w:val="0"/>
              <w:autoSpaceDN w:val="0"/>
              <w:adjustRightInd w:val="0"/>
              <w:spacing w:after="0" w:line="240" w:lineRule="auto"/>
              <w:jc w:val="center"/>
              <w:rPr>
                <w:rFonts w:ascii="Times New Roman" w:hAnsi="Times New Roman" w:eastAsia="Times New Roman" w:cs="Times New Roman"/>
                <w:b/>
                <w:sz w:val="26"/>
                <w:szCs w:val="26"/>
              </w:rPr>
            </w:pPr>
            <w:r w:rsidRPr="003A333B">
              <w:rPr>
                <w:rFonts w:ascii="Times New Roman" w:hAnsi="Times New Roman" w:eastAsia="Times New Roman" w:cs="Times New Roman"/>
                <w:b/>
                <w:sz w:val="26"/>
                <w:szCs w:val="26"/>
              </w:rPr>
              <w:t>FERC-725N</w:t>
            </w:r>
          </w:p>
        </w:tc>
        <w:tc>
          <w:tcPr>
            <w:tcW w:w="2953" w:type="dxa"/>
            <w:shd w:val="clear" w:color="auto" w:fill="CCCCCC"/>
            <w:vAlign w:val="bottom"/>
          </w:tcPr>
          <w:p w:rsidRPr="003A333B" w:rsidR="005C1553" w:rsidP="005C1553" w:rsidRDefault="005C1553" w14:paraId="36221CCB" w14:textId="77777777">
            <w:pPr>
              <w:widowControl w:val="0"/>
              <w:autoSpaceDE w:val="0"/>
              <w:autoSpaceDN w:val="0"/>
              <w:adjustRightInd w:val="0"/>
              <w:spacing w:after="0" w:line="240" w:lineRule="auto"/>
              <w:jc w:val="center"/>
              <w:rPr>
                <w:rFonts w:ascii="Times New Roman" w:hAnsi="Times New Roman" w:eastAsia="Times New Roman" w:cs="Times New Roman"/>
                <w:b/>
                <w:sz w:val="26"/>
                <w:szCs w:val="26"/>
              </w:rPr>
            </w:pPr>
            <w:r w:rsidRPr="003A333B">
              <w:rPr>
                <w:rFonts w:ascii="Times New Roman" w:hAnsi="Times New Roman" w:eastAsia="Times New Roman" w:cs="Times New Roman"/>
                <w:b/>
                <w:sz w:val="26"/>
                <w:szCs w:val="26"/>
              </w:rPr>
              <w:t>Number of Employees (Full-Time Equivalents [FTEs])</w:t>
            </w:r>
          </w:p>
        </w:tc>
        <w:tc>
          <w:tcPr>
            <w:tcW w:w="2965" w:type="dxa"/>
            <w:shd w:val="clear" w:color="auto" w:fill="CCCCCC"/>
            <w:vAlign w:val="bottom"/>
          </w:tcPr>
          <w:p w:rsidRPr="003A333B" w:rsidR="005C1553" w:rsidP="005C1553" w:rsidRDefault="005C1553" w14:paraId="55B77867" w14:textId="77777777">
            <w:pPr>
              <w:widowControl w:val="0"/>
              <w:autoSpaceDE w:val="0"/>
              <w:autoSpaceDN w:val="0"/>
              <w:adjustRightInd w:val="0"/>
              <w:spacing w:after="0" w:line="240" w:lineRule="auto"/>
              <w:jc w:val="center"/>
              <w:rPr>
                <w:rFonts w:ascii="Times New Roman" w:hAnsi="Times New Roman" w:eastAsia="Times New Roman" w:cs="Times New Roman"/>
                <w:b/>
                <w:sz w:val="26"/>
                <w:szCs w:val="26"/>
              </w:rPr>
            </w:pPr>
            <w:r w:rsidRPr="003A333B">
              <w:rPr>
                <w:rFonts w:ascii="Times New Roman" w:hAnsi="Times New Roman" w:eastAsia="Times New Roman" w:cs="Times New Roman"/>
                <w:b/>
                <w:sz w:val="26"/>
                <w:szCs w:val="26"/>
              </w:rPr>
              <w:t>Estimated Annual Federal Cost</w:t>
            </w:r>
          </w:p>
        </w:tc>
      </w:tr>
      <w:tr w:rsidRPr="003A333B" w:rsidR="005C1553" w:rsidTr="003D6514" w14:paraId="75EAED3A" w14:textId="77777777">
        <w:tc>
          <w:tcPr>
            <w:tcW w:w="2938" w:type="dxa"/>
            <w:shd w:val="clear" w:color="auto" w:fill="auto"/>
          </w:tcPr>
          <w:p w:rsidRPr="00202B77" w:rsidR="005C1553" w:rsidP="009231C9" w:rsidRDefault="00B35F02" w14:paraId="71AA1DB2" w14:textId="4F452678">
            <w:pPr>
              <w:spacing w:after="0" w:line="240" w:lineRule="auto"/>
              <w:rPr>
                <w:rFonts w:ascii="Times New Roman" w:hAnsi="Times New Roman" w:eastAsia="Calibri" w:cs="Times New Roman"/>
                <w:sz w:val="24"/>
                <w:szCs w:val="24"/>
              </w:rPr>
            </w:pPr>
            <w:r w:rsidRPr="00202B77">
              <w:rPr>
                <w:rFonts w:ascii="Times New Roman" w:hAnsi="Times New Roman" w:eastAsia="Times New Roman" w:cs="Times New Roman"/>
                <w:sz w:val="26"/>
                <w:szCs w:val="26"/>
              </w:rPr>
              <w:t xml:space="preserve"> FERC-725N, Analysis and Processing of </w:t>
            </w:r>
            <w:r w:rsidRPr="00202B77">
              <w:rPr>
                <w:rFonts w:ascii="Times New Roman" w:hAnsi="Times New Roman" w:eastAsia="Times New Roman" w:cs="Times New Roman"/>
                <w:bCs/>
                <w:sz w:val="26"/>
                <w:szCs w:val="26"/>
              </w:rPr>
              <w:t>filings</w:t>
            </w:r>
          </w:p>
        </w:tc>
        <w:tc>
          <w:tcPr>
            <w:tcW w:w="2953" w:type="dxa"/>
            <w:shd w:val="clear" w:color="auto" w:fill="auto"/>
            <w:vAlign w:val="bottom"/>
          </w:tcPr>
          <w:p w:rsidRPr="003A333B" w:rsidR="005C1553" w:rsidP="005C1553" w:rsidRDefault="00330F78" w14:paraId="264225FC" w14:textId="53A59185">
            <w:pPr>
              <w:widowControl w:val="0"/>
              <w:autoSpaceDE w:val="0"/>
              <w:autoSpaceDN w:val="0"/>
              <w:adjustRightInd w:val="0"/>
              <w:spacing w:after="0" w:line="240" w:lineRule="auto"/>
              <w:jc w:val="right"/>
              <w:rPr>
                <w:rFonts w:ascii="Times New Roman" w:hAnsi="Times New Roman" w:eastAsia="Times New Roman" w:cs="Times New Roman"/>
                <w:sz w:val="26"/>
                <w:szCs w:val="26"/>
              </w:rPr>
            </w:pPr>
            <w:r w:rsidRPr="003A333B">
              <w:rPr>
                <w:rFonts w:ascii="Times New Roman" w:hAnsi="Times New Roman" w:eastAsia="Times New Roman" w:cs="Times New Roman"/>
                <w:sz w:val="26"/>
                <w:szCs w:val="26"/>
              </w:rPr>
              <w:t>0</w:t>
            </w:r>
          </w:p>
        </w:tc>
        <w:tc>
          <w:tcPr>
            <w:tcW w:w="2965" w:type="dxa"/>
            <w:shd w:val="clear" w:color="auto" w:fill="auto"/>
            <w:vAlign w:val="bottom"/>
          </w:tcPr>
          <w:p w:rsidRPr="003A333B" w:rsidR="005C1553" w:rsidP="00330F78" w:rsidRDefault="00330F78" w14:paraId="52B7F2D0" w14:textId="5A6CB428">
            <w:pPr>
              <w:widowControl w:val="0"/>
              <w:autoSpaceDE w:val="0"/>
              <w:autoSpaceDN w:val="0"/>
              <w:adjustRightInd w:val="0"/>
              <w:spacing w:after="0" w:line="240" w:lineRule="auto"/>
              <w:jc w:val="right"/>
              <w:rPr>
                <w:rFonts w:ascii="Times New Roman" w:hAnsi="Times New Roman" w:eastAsia="Times New Roman" w:cs="Times New Roman"/>
                <w:sz w:val="26"/>
                <w:szCs w:val="26"/>
              </w:rPr>
            </w:pPr>
            <w:r w:rsidRPr="003A333B">
              <w:rPr>
                <w:rFonts w:ascii="Times New Roman" w:hAnsi="Times New Roman" w:eastAsia="Times New Roman" w:cs="Times New Roman"/>
                <w:sz w:val="26"/>
                <w:szCs w:val="26"/>
              </w:rPr>
              <w:t>0</w:t>
            </w:r>
          </w:p>
        </w:tc>
      </w:tr>
      <w:tr w:rsidRPr="003A333B" w:rsidR="005C1553" w:rsidTr="003D6514" w14:paraId="61E236FA" w14:textId="77777777">
        <w:tc>
          <w:tcPr>
            <w:tcW w:w="2938" w:type="dxa"/>
            <w:shd w:val="clear" w:color="auto" w:fill="auto"/>
          </w:tcPr>
          <w:p w:rsidRPr="00202B77" w:rsidR="005C1553" w:rsidP="00202B77" w:rsidRDefault="00301B6D" w14:paraId="509BB7D7" w14:textId="2AE19C04">
            <w:pPr>
              <w:spacing w:after="0" w:line="240" w:lineRule="auto"/>
              <w:rPr>
                <w:rFonts w:ascii="Times New Roman" w:hAnsi="Times New Roman" w:eastAsia="Calibri" w:cs="Times New Roman"/>
                <w:sz w:val="24"/>
                <w:szCs w:val="24"/>
              </w:rPr>
            </w:pPr>
            <w:r>
              <w:rPr>
                <w:rFonts w:ascii="Times New Roman" w:hAnsi="Times New Roman" w:eastAsia="Times New Roman" w:cs="Times New Roman"/>
                <w:sz w:val="26"/>
                <w:szCs w:val="26"/>
              </w:rPr>
              <w:t xml:space="preserve">PRA Administrative Cost </w:t>
            </w:r>
            <w:r w:rsidRPr="00202B77" w:rsidR="00202B77">
              <w:rPr>
                <w:rFonts w:ascii="Times New Roman" w:hAnsi="Times New Roman" w:eastAsia="Times New Roman" w:cs="Times New Roman"/>
                <w:sz w:val="26"/>
                <w:szCs w:val="24"/>
                <w:vertAlign w:val="superscript"/>
              </w:rPr>
              <w:footnoteReference w:id="18"/>
            </w:r>
          </w:p>
        </w:tc>
        <w:tc>
          <w:tcPr>
            <w:tcW w:w="2953" w:type="dxa"/>
            <w:shd w:val="clear" w:color="auto" w:fill="auto"/>
            <w:vAlign w:val="bottom"/>
          </w:tcPr>
          <w:p w:rsidRPr="003A333B" w:rsidR="005C1553" w:rsidP="005C1553" w:rsidRDefault="005C1553" w14:paraId="00E890FF" w14:textId="77777777">
            <w:pPr>
              <w:widowControl w:val="0"/>
              <w:autoSpaceDE w:val="0"/>
              <w:autoSpaceDN w:val="0"/>
              <w:adjustRightInd w:val="0"/>
              <w:spacing w:after="0" w:line="240" w:lineRule="auto"/>
              <w:jc w:val="right"/>
              <w:rPr>
                <w:rFonts w:ascii="Times New Roman" w:hAnsi="Times New Roman" w:eastAsia="Times New Roman" w:cs="Times New Roman"/>
                <w:sz w:val="26"/>
                <w:szCs w:val="26"/>
              </w:rPr>
            </w:pPr>
            <w:r w:rsidRPr="003A333B">
              <w:rPr>
                <w:rFonts w:ascii="Times New Roman" w:hAnsi="Times New Roman" w:eastAsia="Times New Roman" w:cs="Times New Roman"/>
                <w:sz w:val="26"/>
                <w:szCs w:val="26"/>
              </w:rPr>
              <w:t>0</w:t>
            </w:r>
          </w:p>
        </w:tc>
        <w:tc>
          <w:tcPr>
            <w:tcW w:w="2965" w:type="dxa"/>
            <w:shd w:val="clear" w:color="auto" w:fill="auto"/>
            <w:vAlign w:val="bottom"/>
          </w:tcPr>
          <w:p w:rsidRPr="003A333B" w:rsidR="005C1553" w:rsidP="005C1553" w:rsidRDefault="00100F1D" w14:paraId="750F2A99" w14:textId="163E20B2">
            <w:pPr>
              <w:widowControl w:val="0"/>
              <w:autoSpaceDE w:val="0"/>
              <w:autoSpaceDN w:val="0"/>
              <w:adjustRightInd w:val="0"/>
              <w:spacing w:after="0" w:line="240" w:lineRule="auto"/>
              <w:jc w:val="right"/>
              <w:rPr>
                <w:rFonts w:ascii="Times New Roman" w:hAnsi="Times New Roman" w:eastAsia="Times New Roman" w:cs="Times New Roman"/>
                <w:sz w:val="26"/>
                <w:szCs w:val="26"/>
              </w:rPr>
            </w:pPr>
            <w:r w:rsidRPr="00100F1D">
              <w:rPr>
                <w:rFonts w:ascii="Times New Roman" w:hAnsi="Times New Roman" w:eastAsia="Times New Roman" w:cs="Times New Roman"/>
                <w:sz w:val="26"/>
                <w:szCs w:val="26"/>
              </w:rPr>
              <w:t>$4,832</w:t>
            </w:r>
          </w:p>
        </w:tc>
      </w:tr>
      <w:tr w:rsidRPr="003A333B" w:rsidR="005C1553" w:rsidTr="003D6514" w14:paraId="3C5C83A6" w14:textId="77777777">
        <w:tc>
          <w:tcPr>
            <w:tcW w:w="2938" w:type="dxa"/>
            <w:shd w:val="clear" w:color="auto" w:fill="auto"/>
          </w:tcPr>
          <w:p w:rsidRPr="003A333B" w:rsidR="005C1553" w:rsidP="005C1553" w:rsidRDefault="005C1553" w14:paraId="3E6402E4"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r w:rsidRPr="003A333B">
              <w:rPr>
                <w:rFonts w:ascii="Times New Roman" w:hAnsi="Times New Roman" w:eastAsia="Times New Roman" w:cs="Times New Roman"/>
                <w:sz w:val="26"/>
                <w:szCs w:val="26"/>
              </w:rPr>
              <w:t>FERC Total</w:t>
            </w:r>
          </w:p>
        </w:tc>
        <w:tc>
          <w:tcPr>
            <w:tcW w:w="2953" w:type="dxa"/>
            <w:tcBorders>
              <w:bottom w:val="single" w:color="auto" w:sz="4" w:space="0"/>
            </w:tcBorders>
            <w:shd w:val="clear" w:color="auto" w:fill="BFBFBF"/>
            <w:vAlign w:val="bottom"/>
          </w:tcPr>
          <w:p w:rsidRPr="003A333B" w:rsidR="005C1553" w:rsidP="005C1553" w:rsidRDefault="005C1553" w14:paraId="1DCFB827" w14:textId="77777777">
            <w:pPr>
              <w:widowControl w:val="0"/>
              <w:autoSpaceDE w:val="0"/>
              <w:autoSpaceDN w:val="0"/>
              <w:adjustRightInd w:val="0"/>
              <w:spacing w:after="0" w:line="240" w:lineRule="auto"/>
              <w:jc w:val="right"/>
              <w:rPr>
                <w:rFonts w:ascii="Times New Roman" w:hAnsi="Times New Roman" w:eastAsia="Times New Roman" w:cs="Times New Roman"/>
                <w:sz w:val="26"/>
                <w:szCs w:val="26"/>
              </w:rPr>
            </w:pPr>
          </w:p>
        </w:tc>
        <w:tc>
          <w:tcPr>
            <w:tcW w:w="2965" w:type="dxa"/>
            <w:shd w:val="clear" w:color="auto" w:fill="auto"/>
            <w:vAlign w:val="bottom"/>
          </w:tcPr>
          <w:p w:rsidRPr="003A333B" w:rsidR="005C1553" w:rsidP="00330F78" w:rsidRDefault="00100F1D" w14:paraId="44D8630B" w14:textId="7751F71F">
            <w:pPr>
              <w:widowControl w:val="0"/>
              <w:autoSpaceDE w:val="0"/>
              <w:autoSpaceDN w:val="0"/>
              <w:adjustRightInd w:val="0"/>
              <w:spacing w:after="0" w:line="240" w:lineRule="auto"/>
              <w:jc w:val="right"/>
              <w:rPr>
                <w:rFonts w:ascii="Times New Roman" w:hAnsi="Times New Roman" w:eastAsia="Times New Roman" w:cs="Times New Roman"/>
                <w:sz w:val="26"/>
                <w:szCs w:val="26"/>
              </w:rPr>
            </w:pPr>
            <w:r w:rsidRPr="00100F1D">
              <w:rPr>
                <w:rFonts w:ascii="Times New Roman" w:hAnsi="Times New Roman" w:eastAsia="Times New Roman" w:cs="Times New Roman"/>
                <w:sz w:val="26"/>
                <w:szCs w:val="26"/>
              </w:rPr>
              <w:t>$4,832</w:t>
            </w:r>
          </w:p>
        </w:tc>
      </w:tr>
    </w:tbl>
    <w:p w:rsidRPr="003A333B" w:rsidR="005C1553" w:rsidP="005C1553" w:rsidRDefault="005C1553" w14:paraId="44334B4D" w14:textId="77777777">
      <w:pPr>
        <w:spacing w:after="0" w:line="240" w:lineRule="auto"/>
        <w:rPr>
          <w:rFonts w:ascii="Times New Roman" w:hAnsi="Times New Roman" w:eastAsia="Calibri" w:cs="Times New Roman"/>
          <w:sz w:val="26"/>
          <w:szCs w:val="26"/>
        </w:rPr>
      </w:pPr>
    </w:p>
    <w:p w:rsidRPr="003A333B" w:rsidR="005C1553" w:rsidP="005C1553" w:rsidRDefault="005C1553" w14:paraId="7EDC9432" w14:textId="6592EC5C">
      <w:pPr>
        <w:numPr>
          <w:ilvl w:val="0"/>
          <w:numId w:val="1"/>
        </w:numPr>
        <w:spacing w:after="0" w:line="240" w:lineRule="auto"/>
        <w:ind w:left="360"/>
        <w:contextualSpacing/>
        <w:rPr>
          <w:rFonts w:ascii="Times New Roman" w:hAnsi="Times New Roman" w:eastAsia="Calibri" w:cs="Times New Roman"/>
          <w:b/>
          <w:sz w:val="26"/>
          <w:szCs w:val="26"/>
        </w:rPr>
      </w:pPr>
      <w:r w:rsidRPr="003A333B">
        <w:rPr>
          <w:rFonts w:ascii="Times New Roman" w:hAnsi="Times New Roman" w:eastAsia="Calibri" w:cs="Times New Roman"/>
          <w:b/>
          <w:sz w:val="26"/>
          <w:szCs w:val="26"/>
        </w:rPr>
        <w:t>REASONS FOR CHANGES IN BURDEN INCLUDING THE NEED FOR ANY INCREASE</w:t>
      </w:r>
      <w:r w:rsidR="00100F1D">
        <w:rPr>
          <w:rFonts w:ascii="Times New Roman" w:hAnsi="Times New Roman" w:eastAsia="Calibri" w:cs="Times New Roman"/>
          <w:b/>
          <w:sz w:val="26"/>
          <w:szCs w:val="26"/>
        </w:rPr>
        <w:t xml:space="preserve"> </w:t>
      </w:r>
    </w:p>
    <w:p w:rsidRPr="003A333B" w:rsidR="005C1553" w:rsidP="005C1553" w:rsidRDefault="005C1553" w14:paraId="6F2E5073" w14:textId="77777777">
      <w:pPr>
        <w:spacing w:after="0" w:line="240" w:lineRule="auto"/>
        <w:rPr>
          <w:rFonts w:ascii="Times New Roman" w:hAnsi="Times New Roman" w:eastAsia="Calibri" w:cs="Times New Roman"/>
          <w:sz w:val="26"/>
          <w:szCs w:val="26"/>
          <w:u w:val="single"/>
        </w:rPr>
      </w:pPr>
    </w:p>
    <w:p w:rsidR="00CB29DB" w:rsidP="005C6C13" w:rsidRDefault="00CB29DB" w14:paraId="0466CAD5" w14:textId="77777777">
      <w:pPr>
        <w:spacing w:after="0" w:line="240" w:lineRule="auto"/>
        <w:rPr>
          <w:rFonts w:ascii="Times New Roman" w:hAnsi="Times New Roman" w:eastAsia="Calibri" w:cs="Times New Roman"/>
          <w:b/>
          <w:sz w:val="26"/>
          <w:szCs w:val="26"/>
        </w:rPr>
      </w:pPr>
      <w:r>
        <w:rPr>
          <w:rFonts w:ascii="Times New Roman" w:hAnsi="Times New Roman" w:eastAsia="Calibri" w:cs="Times New Roman"/>
          <w:b/>
          <w:sz w:val="26"/>
          <w:szCs w:val="26"/>
        </w:rPr>
        <w:t>Program Changes:</w:t>
      </w:r>
    </w:p>
    <w:p w:rsidR="006C5CAE" w:rsidRDefault="00FA0441" w14:paraId="42AD94FA" w14:textId="0C357477">
      <w:pPr>
        <w:spacing w:after="0" w:line="240" w:lineRule="auto"/>
        <w:ind w:left="720"/>
        <w:rPr>
          <w:rFonts w:ascii="Times New Roman" w:hAnsi="Times New Roman" w:eastAsia="Calibri" w:cs="Times New Roman"/>
          <w:sz w:val="26"/>
          <w:szCs w:val="26"/>
        </w:rPr>
      </w:pPr>
      <w:bookmarkStart w:name="_Hlk32487392" w:id="1"/>
      <w:r>
        <w:rPr>
          <w:rFonts w:ascii="Times New Roman" w:hAnsi="Times New Roman" w:eastAsia="Calibri" w:cs="Times New Roman"/>
          <w:b/>
          <w:sz w:val="26"/>
          <w:szCs w:val="26"/>
        </w:rPr>
        <w:t xml:space="preserve">Program Changes </w:t>
      </w:r>
      <w:r w:rsidR="00044DB9">
        <w:rPr>
          <w:rFonts w:ascii="Times New Roman" w:hAnsi="Times New Roman" w:eastAsia="Calibri" w:cs="Times New Roman"/>
          <w:b/>
          <w:sz w:val="26"/>
          <w:szCs w:val="26"/>
        </w:rPr>
        <w:t xml:space="preserve">(Increases) </w:t>
      </w:r>
      <w:r>
        <w:rPr>
          <w:rFonts w:ascii="Times New Roman" w:hAnsi="Times New Roman" w:eastAsia="Calibri" w:cs="Times New Roman"/>
          <w:b/>
          <w:sz w:val="26"/>
          <w:szCs w:val="26"/>
        </w:rPr>
        <w:t xml:space="preserve">Due to Final Rule in Docket No. RM19-10.  </w:t>
      </w:r>
      <w:r w:rsidRPr="003A333B" w:rsidR="005C1553">
        <w:rPr>
          <w:rFonts w:ascii="Times New Roman" w:hAnsi="Times New Roman" w:eastAsia="Calibri" w:cs="Times New Roman"/>
          <w:sz w:val="26"/>
          <w:szCs w:val="26"/>
        </w:rPr>
        <w:t xml:space="preserve">In the </w:t>
      </w:r>
      <w:r w:rsidR="00E21A31">
        <w:rPr>
          <w:rFonts w:ascii="Times New Roman" w:hAnsi="Times New Roman" w:eastAsia="Calibri" w:cs="Times New Roman"/>
          <w:sz w:val="26"/>
          <w:szCs w:val="26"/>
        </w:rPr>
        <w:t>Final Rule</w:t>
      </w:r>
      <w:r w:rsidRPr="003A333B" w:rsidR="00E21A31">
        <w:rPr>
          <w:rFonts w:ascii="Times New Roman" w:hAnsi="Times New Roman" w:eastAsia="Calibri" w:cs="Times New Roman"/>
          <w:sz w:val="26"/>
          <w:szCs w:val="26"/>
        </w:rPr>
        <w:t xml:space="preserve"> </w:t>
      </w:r>
      <w:r w:rsidRPr="003A333B" w:rsidR="00AE5908">
        <w:rPr>
          <w:rFonts w:ascii="Times New Roman" w:hAnsi="Times New Roman" w:eastAsia="Calibri" w:cs="Times New Roman"/>
          <w:sz w:val="26"/>
          <w:szCs w:val="26"/>
        </w:rPr>
        <w:t>in RM19-10-000</w:t>
      </w:r>
      <w:r w:rsidRPr="003A333B" w:rsidR="005C1553">
        <w:rPr>
          <w:rFonts w:ascii="Times New Roman" w:hAnsi="Times New Roman" w:eastAsia="Calibri" w:cs="Times New Roman"/>
          <w:sz w:val="26"/>
          <w:szCs w:val="26"/>
        </w:rPr>
        <w:t xml:space="preserve">, the Commission </w:t>
      </w:r>
      <w:r w:rsidR="00E21A31">
        <w:rPr>
          <w:rFonts w:ascii="Times New Roman" w:hAnsi="Times New Roman" w:eastAsia="Calibri" w:cs="Times New Roman"/>
          <w:sz w:val="26"/>
          <w:szCs w:val="26"/>
        </w:rPr>
        <w:t>approves</w:t>
      </w:r>
      <w:r w:rsidRPr="003A333B" w:rsidR="00E21A31">
        <w:rPr>
          <w:rFonts w:ascii="Times New Roman" w:hAnsi="Times New Roman" w:eastAsia="Calibri" w:cs="Times New Roman"/>
          <w:sz w:val="26"/>
          <w:szCs w:val="26"/>
        </w:rPr>
        <w:t xml:space="preserve"> </w:t>
      </w:r>
      <w:r w:rsidRPr="003A333B" w:rsidR="005C1553">
        <w:rPr>
          <w:rFonts w:ascii="Times New Roman" w:hAnsi="Times New Roman" w:eastAsia="Calibri" w:cs="Times New Roman"/>
          <w:sz w:val="26"/>
          <w:szCs w:val="26"/>
        </w:rPr>
        <w:t>Reliability Standard TPL-00</w:t>
      </w:r>
      <w:r w:rsidRPr="003A333B" w:rsidR="00AE5908">
        <w:rPr>
          <w:rFonts w:ascii="Times New Roman" w:hAnsi="Times New Roman" w:eastAsia="Calibri" w:cs="Times New Roman"/>
          <w:sz w:val="26"/>
          <w:szCs w:val="26"/>
        </w:rPr>
        <w:t>1</w:t>
      </w:r>
      <w:r w:rsidRPr="003A333B" w:rsidR="005C1553">
        <w:rPr>
          <w:rFonts w:ascii="Times New Roman" w:hAnsi="Times New Roman" w:eastAsia="Calibri" w:cs="Times New Roman"/>
          <w:sz w:val="26"/>
          <w:szCs w:val="26"/>
        </w:rPr>
        <w:t>-</w:t>
      </w:r>
      <w:r w:rsidRPr="003A333B" w:rsidR="00AE5908">
        <w:rPr>
          <w:rFonts w:ascii="Times New Roman" w:hAnsi="Times New Roman" w:eastAsia="Calibri" w:cs="Times New Roman"/>
          <w:sz w:val="26"/>
          <w:szCs w:val="26"/>
        </w:rPr>
        <w:t>5</w:t>
      </w:r>
      <w:r w:rsidRPr="003A333B" w:rsidR="005C6C13">
        <w:rPr>
          <w:rFonts w:ascii="Times New Roman" w:hAnsi="Times New Roman" w:eastAsia="Calibri" w:cs="Times New Roman"/>
          <w:sz w:val="26"/>
          <w:szCs w:val="26"/>
        </w:rPr>
        <w:t>.  The Commission estimates a one-time burden increase for Year 1 only because Year 1 represents a one-time task not repeated in subsequent years.</w:t>
      </w:r>
      <w:r w:rsidR="003131F2">
        <w:rPr>
          <w:rFonts w:ascii="Times New Roman" w:hAnsi="Times New Roman" w:eastAsia="Calibri" w:cs="Times New Roman"/>
          <w:sz w:val="26"/>
          <w:szCs w:val="26"/>
        </w:rPr>
        <w:t xml:space="preserve">  </w:t>
      </w:r>
    </w:p>
    <w:p w:rsidRPr="003131F2" w:rsidR="005C6C13" w:rsidRDefault="003131F2" w14:paraId="5ED14995" w14:textId="384EC56B">
      <w:pPr>
        <w:spacing w:after="0" w:line="240" w:lineRule="auto"/>
        <w:ind w:left="720"/>
        <w:rPr>
          <w:rFonts w:ascii="Times New Roman" w:hAnsi="Times New Roman" w:eastAsia="Calibri" w:cs="Times New Roman"/>
          <w:sz w:val="26"/>
          <w:szCs w:val="26"/>
        </w:rPr>
      </w:pPr>
      <w:r w:rsidRPr="006C5CAE">
        <w:rPr>
          <w:rFonts w:ascii="Times New Roman" w:hAnsi="Times New Roman" w:cs="Times New Roman"/>
          <w:sz w:val="26"/>
          <w:szCs w:val="26"/>
        </w:rPr>
        <w:t>As discussed in th</w:t>
      </w:r>
      <w:r w:rsidR="006C5CAE">
        <w:rPr>
          <w:rFonts w:ascii="Times New Roman" w:hAnsi="Times New Roman" w:cs="Times New Roman"/>
          <w:sz w:val="26"/>
          <w:szCs w:val="26"/>
        </w:rPr>
        <w:t>e</w:t>
      </w:r>
      <w:r w:rsidRPr="006C5CAE">
        <w:rPr>
          <w:rFonts w:ascii="Times New Roman" w:hAnsi="Times New Roman" w:cs="Times New Roman"/>
          <w:sz w:val="26"/>
          <w:szCs w:val="26"/>
        </w:rPr>
        <w:t xml:space="preserve"> final rule, we determine that </w:t>
      </w:r>
      <w:bookmarkStart w:name="_Hlk28241947" w:id="2"/>
      <w:r w:rsidRPr="006C5CAE">
        <w:rPr>
          <w:rFonts w:ascii="Times New Roman" w:hAnsi="Times New Roman" w:cs="Times New Roman"/>
          <w:sz w:val="26"/>
          <w:szCs w:val="26"/>
        </w:rPr>
        <w:t>Reliability Standard TPL-001-5 improves upon currently-effective Reliability Standard TPL-001-4</w:t>
      </w:r>
      <w:bookmarkEnd w:id="2"/>
      <w:r w:rsidRPr="006C5CAE">
        <w:rPr>
          <w:rFonts w:ascii="Times New Roman" w:hAnsi="Times New Roman" w:cs="Times New Roman"/>
          <w:sz w:val="26"/>
          <w:szCs w:val="26"/>
        </w:rPr>
        <w:t xml:space="preserve"> by addressing:  (1) the study of single points of failure of protection systems; and (2) planned maintenance outages and stability analysis for spare equipment strategies.  The improvements in Reliability Standard TPL-001-5 are responsive to the directives in Order No. 786 regarding planned maintenance outages and stability analysis for </w:t>
      </w:r>
      <w:r w:rsidRPr="006C5CAE">
        <w:rPr>
          <w:rFonts w:ascii="Times New Roman" w:hAnsi="Times New Roman" w:cs="Times New Roman"/>
          <w:sz w:val="26"/>
          <w:szCs w:val="26"/>
        </w:rPr>
        <w:lastRenderedPageBreak/>
        <w:t>spare equipment strat</w:t>
      </w:r>
      <w:bookmarkStart w:name="_GoBack" w:id="3"/>
      <w:bookmarkEnd w:id="3"/>
      <w:r w:rsidRPr="009356A9">
        <w:rPr>
          <w:rFonts w:ascii="Times New Roman" w:hAnsi="Times New Roman" w:cs="Times New Roman"/>
          <w:sz w:val="26"/>
          <w:szCs w:val="26"/>
        </w:rPr>
        <w:t xml:space="preserve">egies.  </w:t>
      </w:r>
      <w:r w:rsidRPr="00B213C3">
        <w:rPr>
          <w:rFonts w:ascii="Times New Roman" w:hAnsi="Times New Roman" w:cs="Times New Roman"/>
          <w:sz w:val="26"/>
          <w:szCs w:val="26"/>
        </w:rPr>
        <w:t xml:space="preserve">Reliability Standard TPL-001-5 requires each planning coordinator and transmission planner to </w:t>
      </w:r>
      <w:r w:rsidRPr="008540B1">
        <w:rPr>
          <w:rFonts w:ascii="Times New Roman" w:hAnsi="Times New Roman" w:cs="Times New Roman"/>
          <w:sz w:val="26"/>
          <w:szCs w:val="26"/>
        </w:rPr>
        <w:t xml:space="preserve">perform an annual planning assessment </w:t>
      </w:r>
      <w:r w:rsidRPr="008540B1" w:rsidR="00CE4E8E">
        <w:rPr>
          <w:rFonts w:ascii="Times New Roman" w:hAnsi="Times New Roman" w:cs="Times New Roman"/>
          <w:sz w:val="26"/>
          <w:szCs w:val="26"/>
        </w:rPr>
        <w:t xml:space="preserve">(required under the current version of the Reliability Standard TPL-001-4, and included in the existing burden in OMB’s inventory) </w:t>
      </w:r>
      <w:r w:rsidRPr="008540B1">
        <w:rPr>
          <w:rFonts w:ascii="Times New Roman" w:hAnsi="Times New Roman" w:cs="Times New Roman"/>
          <w:sz w:val="26"/>
          <w:szCs w:val="26"/>
        </w:rPr>
        <w:t>of its portion of the bulk electric system considering a number of system conditions and contingencies with a risk-based approach.  Reliability Standard TPL-001-5 also contains revisions to the planning event</w:t>
      </w:r>
      <w:r w:rsidRPr="009356A9">
        <w:rPr>
          <w:rFonts w:ascii="Times New Roman" w:hAnsi="Times New Roman" w:cs="Times New Roman"/>
          <w:sz w:val="26"/>
          <w:szCs w:val="26"/>
        </w:rPr>
        <w:t xml:space="preserve"> (Category</w:t>
      </w:r>
      <w:r w:rsidRPr="006C5CAE">
        <w:rPr>
          <w:rFonts w:ascii="Times New Roman" w:hAnsi="Times New Roman" w:cs="Times New Roman"/>
          <w:sz w:val="26"/>
          <w:szCs w:val="26"/>
        </w:rPr>
        <w:t xml:space="preserve"> P5) and extreme events (Stability 2.a-h) identified in Table 1 (Steady State and Stability Performance Planning Events and Steady State and Stability Performance Extreme Events), as well as the associated footnote 13, to provide for a more comprehensive study of the potential impacts of protection system single points of failure</w:t>
      </w:r>
      <w:r>
        <w:rPr>
          <w:rFonts w:ascii="Times New Roman" w:hAnsi="Times New Roman" w:cs="Times New Roman"/>
          <w:sz w:val="26"/>
          <w:szCs w:val="26"/>
        </w:rPr>
        <w:t>.</w:t>
      </w:r>
      <w:r w:rsidRPr="003131F2" w:rsidR="005C6C13">
        <w:rPr>
          <w:rFonts w:ascii="Times New Roman" w:hAnsi="Times New Roman" w:eastAsia="Calibri" w:cs="Times New Roman"/>
          <w:sz w:val="26"/>
          <w:szCs w:val="26"/>
        </w:rPr>
        <w:t xml:space="preserve">  </w:t>
      </w:r>
    </w:p>
    <w:bookmarkEnd w:id="1"/>
    <w:p w:rsidR="00E21A31" w:rsidP="004D12B1" w:rsidRDefault="00E21A31" w14:paraId="6388E1A4" w14:textId="77777777">
      <w:pPr>
        <w:spacing w:after="0" w:line="240" w:lineRule="auto"/>
        <w:ind w:left="720"/>
        <w:rPr>
          <w:rFonts w:ascii="Times New Roman" w:hAnsi="Times New Roman" w:eastAsia="Calibri" w:cs="Times New Roman"/>
          <w:sz w:val="26"/>
          <w:szCs w:val="26"/>
        </w:rPr>
      </w:pPr>
    </w:p>
    <w:p w:rsidRPr="008E5B16" w:rsidR="008E5B16" w:rsidP="008E5B16" w:rsidRDefault="00E21A31" w14:paraId="752E9DC5" w14:textId="6104A1CD">
      <w:pPr>
        <w:spacing w:after="0" w:line="240" w:lineRule="auto"/>
        <w:ind w:left="720"/>
        <w:rPr>
          <w:rFonts w:ascii="Times New Roman" w:hAnsi="Times New Roman" w:eastAsia="Calibri" w:cs="Times New Roman"/>
          <w:sz w:val="26"/>
          <w:szCs w:val="26"/>
        </w:rPr>
      </w:pPr>
      <w:r>
        <w:rPr>
          <w:rFonts w:ascii="Times New Roman" w:hAnsi="Times New Roman" w:eastAsia="Calibri" w:cs="Times New Roman"/>
          <w:sz w:val="26"/>
          <w:szCs w:val="26"/>
        </w:rPr>
        <w:t xml:space="preserve">For administrative purposes, </w:t>
      </w:r>
      <w:r w:rsidRPr="008E5B16" w:rsidR="008E5B16">
        <w:rPr>
          <w:rFonts w:ascii="Times New Roman" w:hAnsi="Times New Roman" w:eastAsia="Calibri" w:cs="Times New Roman"/>
          <w:sz w:val="26"/>
          <w:szCs w:val="26"/>
        </w:rPr>
        <w:t>the one-time burden is being averaged over Years 1-3, giving an estimated annual industry total of:</w:t>
      </w:r>
    </w:p>
    <w:p w:rsidRPr="008E5B16" w:rsidR="008E5B16" w:rsidP="008E5B16" w:rsidRDefault="008E5B16" w14:paraId="18677752" w14:textId="77777777">
      <w:pPr>
        <w:pStyle w:val="ListParagraph"/>
        <w:numPr>
          <w:ilvl w:val="0"/>
          <w:numId w:val="11"/>
        </w:numPr>
        <w:spacing w:after="0" w:line="240" w:lineRule="auto"/>
        <w:rPr>
          <w:rFonts w:ascii="Times New Roman" w:hAnsi="Times New Roman" w:eastAsia="Calibri" w:cs="Times New Roman"/>
          <w:sz w:val="26"/>
          <w:szCs w:val="26"/>
        </w:rPr>
      </w:pPr>
      <w:r w:rsidRPr="008E5B16">
        <w:rPr>
          <w:rFonts w:ascii="Times New Roman" w:hAnsi="Times New Roman" w:eastAsia="Calibri" w:cs="Times New Roman"/>
          <w:sz w:val="26"/>
          <w:szCs w:val="26"/>
        </w:rPr>
        <w:t>71.333 responses per year (214 responses/3)</w:t>
      </w:r>
    </w:p>
    <w:p w:rsidRPr="008E5B16" w:rsidR="008E5B16" w:rsidP="008E5B16" w:rsidRDefault="008E5B16" w14:paraId="545935DE" w14:textId="5DFB3EFA">
      <w:pPr>
        <w:pStyle w:val="ListParagraph"/>
        <w:numPr>
          <w:ilvl w:val="0"/>
          <w:numId w:val="11"/>
        </w:numPr>
        <w:spacing w:after="0" w:line="240" w:lineRule="auto"/>
        <w:rPr>
          <w:rFonts w:ascii="Times New Roman" w:hAnsi="Times New Roman" w:eastAsia="Calibri" w:cs="Times New Roman"/>
          <w:sz w:val="26"/>
          <w:szCs w:val="26"/>
        </w:rPr>
      </w:pPr>
      <w:r w:rsidRPr="008E5B16">
        <w:rPr>
          <w:rFonts w:ascii="Times New Roman" w:hAnsi="Times New Roman" w:eastAsia="Calibri" w:cs="Times New Roman"/>
          <w:sz w:val="26"/>
          <w:szCs w:val="26"/>
        </w:rPr>
        <w:t>2,568 hours per year (7,704 hours/3)</w:t>
      </w:r>
      <w:r w:rsidR="00D36321">
        <w:rPr>
          <w:rFonts w:ascii="Times New Roman" w:hAnsi="Times New Roman" w:eastAsia="Calibri" w:cs="Times New Roman"/>
          <w:sz w:val="26"/>
          <w:szCs w:val="26"/>
        </w:rPr>
        <w:t>.</w:t>
      </w:r>
    </w:p>
    <w:p w:rsidR="005C1553" w:rsidP="004D12B1" w:rsidRDefault="008E5B16" w14:paraId="1C3D32E8" w14:textId="7FA6C3A6">
      <w:pPr>
        <w:spacing w:after="0" w:line="240" w:lineRule="auto"/>
        <w:ind w:left="720"/>
        <w:rPr>
          <w:rFonts w:ascii="Times New Roman" w:hAnsi="Times New Roman" w:eastAsia="Calibri" w:cs="Times New Roman"/>
          <w:sz w:val="26"/>
          <w:szCs w:val="26"/>
        </w:rPr>
      </w:pPr>
      <w:r w:rsidRPr="008E5B16" w:rsidDel="008E5B16">
        <w:rPr>
          <w:rFonts w:ascii="Times New Roman" w:hAnsi="Times New Roman" w:eastAsia="Calibri" w:cs="Times New Roman"/>
          <w:sz w:val="26"/>
          <w:szCs w:val="26"/>
        </w:rPr>
        <w:t xml:space="preserve"> </w:t>
      </w:r>
    </w:p>
    <w:p w:rsidRPr="00047F5A" w:rsidR="00FA0441" w:rsidP="00047F5A" w:rsidRDefault="00CB29DB" w14:paraId="5A002283" w14:textId="6B4534C7">
      <w:pPr>
        <w:spacing w:after="0"/>
        <w:ind w:left="720"/>
        <w:rPr>
          <w:rFonts w:ascii="Times New Roman" w:hAnsi="Times New Roman" w:eastAsia="Calibri" w:cs="Times New Roman"/>
          <w:b/>
          <w:sz w:val="26"/>
          <w:szCs w:val="26"/>
        </w:rPr>
      </w:pPr>
      <w:r>
        <w:rPr>
          <w:rFonts w:ascii="Times New Roman" w:hAnsi="Times New Roman" w:eastAsia="Calibri" w:cs="Times New Roman"/>
          <w:b/>
          <w:sz w:val="26"/>
          <w:szCs w:val="26"/>
        </w:rPr>
        <w:t xml:space="preserve">Program Changes </w:t>
      </w:r>
      <w:r w:rsidR="00044DB9">
        <w:rPr>
          <w:rFonts w:ascii="Times New Roman" w:hAnsi="Times New Roman" w:eastAsia="Calibri" w:cs="Times New Roman"/>
          <w:b/>
          <w:sz w:val="26"/>
          <w:szCs w:val="26"/>
        </w:rPr>
        <w:t xml:space="preserve">(Decreases) </w:t>
      </w:r>
      <w:r>
        <w:rPr>
          <w:rFonts w:ascii="Times New Roman" w:hAnsi="Times New Roman" w:eastAsia="Calibri" w:cs="Times New Roman"/>
          <w:b/>
          <w:sz w:val="26"/>
          <w:szCs w:val="26"/>
        </w:rPr>
        <w:t>Due to Completion of Other One-Time Requirements</w:t>
      </w:r>
      <w:r w:rsidR="007A62B3">
        <w:rPr>
          <w:rFonts w:ascii="Times New Roman" w:hAnsi="Times New Roman" w:eastAsia="Calibri" w:cs="Times New Roman"/>
          <w:b/>
          <w:sz w:val="26"/>
          <w:szCs w:val="26"/>
        </w:rPr>
        <w:t>,</w:t>
      </w:r>
      <w:r w:rsidR="000D7476">
        <w:rPr>
          <w:rFonts w:ascii="Times New Roman" w:hAnsi="Times New Roman" w:eastAsia="Calibri" w:cs="Times New Roman"/>
          <w:b/>
          <w:sz w:val="26"/>
          <w:szCs w:val="26"/>
        </w:rPr>
        <w:t xml:space="preserve"> not related to the Final Rule in Docket No. RM19-10 </w:t>
      </w:r>
      <w:r>
        <w:rPr>
          <w:rFonts w:ascii="Times New Roman" w:hAnsi="Times New Roman" w:eastAsia="Calibri" w:cs="Times New Roman"/>
          <w:b/>
          <w:sz w:val="26"/>
          <w:szCs w:val="26"/>
        </w:rPr>
        <w:t xml:space="preserve">. </w:t>
      </w:r>
      <w:r w:rsidRPr="00047F5A" w:rsidR="000D7476">
        <w:rPr>
          <w:rFonts w:ascii="Times New Roman" w:hAnsi="Times New Roman" w:cs="Times New Roman"/>
          <w:sz w:val="26"/>
          <w:szCs w:val="26"/>
        </w:rPr>
        <w:t>FERC included a one-time burden estimate (42,137 hours) associated previously with the addition of Reliability Standard TPL-007-1 in this collection that was annualized over the three</w:t>
      </w:r>
      <w:r w:rsidR="000D7476">
        <w:rPr>
          <w:rFonts w:ascii="Times New Roman" w:hAnsi="Times New Roman" w:cs="Times New Roman"/>
          <w:sz w:val="26"/>
          <w:szCs w:val="26"/>
        </w:rPr>
        <w:t>-</w:t>
      </w:r>
      <w:r w:rsidRPr="00047F5A" w:rsidR="000D7476">
        <w:rPr>
          <w:rFonts w:ascii="Times New Roman" w:hAnsi="Times New Roman" w:cs="Times New Roman"/>
          <w:sz w:val="26"/>
          <w:szCs w:val="26"/>
        </w:rPr>
        <w:t>year approval period</w:t>
      </w:r>
      <w:r w:rsidR="000D7476">
        <w:rPr>
          <w:rFonts w:ascii="Times New Roman" w:hAnsi="Times New Roman" w:cs="Times New Roman"/>
          <w:sz w:val="26"/>
          <w:szCs w:val="26"/>
        </w:rPr>
        <w:t xml:space="preserve">, giving an annual estimate of 14,046 hrs. </w:t>
      </w:r>
      <w:r w:rsidRPr="00047F5A" w:rsidR="000D7476">
        <w:rPr>
          <w:rFonts w:ascii="Times New Roman" w:hAnsi="Times New Roman" w:cs="Times New Roman"/>
          <w:sz w:val="26"/>
          <w:szCs w:val="26"/>
        </w:rPr>
        <w:t xml:space="preserve"> </w:t>
      </w:r>
      <w:r w:rsidR="000D7476">
        <w:rPr>
          <w:rFonts w:ascii="Times New Roman" w:hAnsi="Times New Roman" w:cs="Times New Roman"/>
          <w:sz w:val="26"/>
          <w:szCs w:val="26"/>
        </w:rPr>
        <w:t>(The IC is labelled “</w:t>
      </w:r>
      <w:r w:rsidRPr="000D7476" w:rsidR="000D7476">
        <w:rPr>
          <w:rFonts w:ascii="Times New Roman" w:hAnsi="Times New Roman" w:cs="Times New Roman"/>
          <w:sz w:val="26"/>
          <w:szCs w:val="26"/>
        </w:rPr>
        <w:t>TPL-007-1 Reliability Standard (One-Time, in Final Rule in RM15-11)</w:t>
      </w:r>
      <w:r w:rsidR="000D7476">
        <w:rPr>
          <w:rFonts w:ascii="Times New Roman" w:hAnsi="Times New Roman" w:cs="Times New Roman"/>
          <w:sz w:val="26"/>
          <w:szCs w:val="26"/>
        </w:rPr>
        <w:t xml:space="preserve">”.)  </w:t>
      </w:r>
      <w:r w:rsidRPr="00047F5A" w:rsidR="000D7476">
        <w:rPr>
          <w:rFonts w:ascii="Times New Roman" w:hAnsi="Times New Roman" w:cs="Times New Roman"/>
          <w:sz w:val="26"/>
          <w:szCs w:val="26"/>
        </w:rPr>
        <w:t xml:space="preserve">FERC </w:t>
      </w:r>
      <w:r w:rsidR="000D7476">
        <w:rPr>
          <w:rFonts w:ascii="Times New Roman" w:hAnsi="Times New Roman" w:cs="Times New Roman"/>
          <w:sz w:val="26"/>
          <w:szCs w:val="26"/>
        </w:rPr>
        <w:t>is removing</w:t>
      </w:r>
      <w:r w:rsidRPr="00047F5A" w:rsidR="000D7476">
        <w:rPr>
          <w:rFonts w:ascii="Times New Roman" w:hAnsi="Times New Roman" w:cs="Times New Roman"/>
          <w:sz w:val="26"/>
          <w:szCs w:val="26"/>
        </w:rPr>
        <w:t xml:space="preserve"> this </w:t>
      </w:r>
      <w:r w:rsidR="00A73D5B">
        <w:rPr>
          <w:rFonts w:ascii="Times New Roman" w:hAnsi="Times New Roman" w:cs="Times New Roman"/>
          <w:sz w:val="26"/>
          <w:szCs w:val="26"/>
        </w:rPr>
        <w:t xml:space="preserve">IC and </w:t>
      </w:r>
      <w:r w:rsidR="000D7476">
        <w:rPr>
          <w:rFonts w:ascii="Times New Roman" w:hAnsi="Times New Roman" w:cs="Times New Roman"/>
          <w:sz w:val="26"/>
          <w:szCs w:val="26"/>
        </w:rPr>
        <w:t xml:space="preserve">completed </w:t>
      </w:r>
      <w:r w:rsidRPr="00047F5A" w:rsidR="000D7476">
        <w:rPr>
          <w:rFonts w:ascii="Times New Roman" w:hAnsi="Times New Roman" w:cs="Times New Roman"/>
          <w:sz w:val="26"/>
          <w:szCs w:val="26"/>
        </w:rPr>
        <w:t>burden</w:t>
      </w:r>
      <w:r w:rsidR="007A62B3">
        <w:rPr>
          <w:rFonts w:ascii="Times New Roman" w:hAnsi="Times New Roman" w:cs="Times New Roman"/>
          <w:sz w:val="26"/>
          <w:szCs w:val="26"/>
        </w:rPr>
        <w:t xml:space="preserve"> (14,046 hrs.</w:t>
      </w:r>
      <w:r w:rsidR="00A73D5B">
        <w:rPr>
          <w:rFonts w:ascii="Times New Roman" w:hAnsi="Times New Roman" w:cs="Times New Roman"/>
          <w:sz w:val="26"/>
          <w:szCs w:val="26"/>
        </w:rPr>
        <w:t xml:space="preserve"> and 415 responses</w:t>
      </w:r>
      <w:r w:rsidR="007A62B3">
        <w:rPr>
          <w:rFonts w:ascii="Times New Roman" w:hAnsi="Times New Roman" w:cs="Times New Roman"/>
          <w:sz w:val="26"/>
          <w:szCs w:val="26"/>
        </w:rPr>
        <w:t>) because</w:t>
      </w:r>
      <w:r w:rsidRPr="00047F5A" w:rsidR="000D7476">
        <w:rPr>
          <w:rFonts w:ascii="Times New Roman" w:hAnsi="Times New Roman" w:cs="Times New Roman"/>
          <w:sz w:val="26"/>
          <w:szCs w:val="26"/>
        </w:rPr>
        <w:t xml:space="preserve"> year 3</w:t>
      </w:r>
      <w:r w:rsidR="000D7476">
        <w:rPr>
          <w:rFonts w:ascii="Times New Roman" w:hAnsi="Times New Roman" w:cs="Times New Roman"/>
          <w:sz w:val="26"/>
          <w:szCs w:val="26"/>
        </w:rPr>
        <w:t xml:space="preserve"> </w:t>
      </w:r>
      <w:r w:rsidRPr="00047F5A" w:rsidR="000D7476">
        <w:rPr>
          <w:rFonts w:ascii="Times New Roman" w:hAnsi="Times New Roman" w:cs="Times New Roman"/>
          <w:sz w:val="26"/>
          <w:szCs w:val="26"/>
        </w:rPr>
        <w:t>end</w:t>
      </w:r>
      <w:r w:rsidR="000D7476">
        <w:rPr>
          <w:rFonts w:ascii="Times New Roman" w:hAnsi="Times New Roman" w:cs="Times New Roman"/>
          <w:sz w:val="26"/>
          <w:szCs w:val="26"/>
        </w:rPr>
        <w:t>ed</w:t>
      </w:r>
      <w:r w:rsidRPr="00047F5A" w:rsidR="000D7476">
        <w:rPr>
          <w:rFonts w:ascii="Times New Roman" w:hAnsi="Times New Roman" w:cs="Times New Roman"/>
          <w:sz w:val="26"/>
          <w:szCs w:val="26"/>
        </w:rPr>
        <w:t xml:space="preserve"> in 11/2019.</w:t>
      </w:r>
      <w:r w:rsidRPr="00047F5A" w:rsidDel="000D7476" w:rsidR="000D7476">
        <w:rPr>
          <w:rFonts w:ascii="Times New Roman" w:hAnsi="Times New Roman" w:eastAsia="Calibri" w:cs="Times New Roman"/>
          <w:b/>
          <w:sz w:val="26"/>
          <w:szCs w:val="26"/>
        </w:rPr>
        <w:t xml:space="preserve"> </w:t>
      </w:r>
    </w:p>
    <w:p w:rsidR="00FA0441" w:rsidP="000D7476" w:rsidRDefault="00FA0441" w14:paraId="14916963" w14:textId="068B56ED">
      <w:pPr>
        <w:spacing w:after="0"/>
        <w:rPr>
          <w:rFonts w:ascii="Times New Roman" w:hAnsi="Times New Roman" w:eastAsia="Calibri" w:cs="Times New Roman"/>
          <w:b/>
          <w:sz w:val="26"/>
          <w:szCs w:val="26"/>
        </w:rPr>
      </w:pPr>
    </w:p>
    <w:p w:rsidR="00602D53" w:rsidP="000D7476" w:rsidRDefault="00602D53" w14:paraId="2A926D55" w14:textId="28AFFCBE">
      <w:pPr>
        <w:spacing w:after="0"/>
        <w:rPr>
          <w:rFonts w:ascii="Times New Roman" w:hAnsi="Times New Roman" w:eastAsia="Calibri" w:cs="Times New Roman"/>
          <w:b/>
          <w:sz w:val="26"/>
          <w:szCs w:val="26"/>
        </w:rPr>
      </w:pPr>
      <w:r>
        <w:rPr>
          <w:rFonts w:ascii="Times New Roman" w:hAnsi="Times New Roman" w:eastAsia="Calibri" w:cs="Times New Roman"/>
          <w:b/>
          <w:sz w:val="26"/>
          <w:szCs w:val="26"/>
        </w:rPr>
        <w:t>Therefore, the net program changes (decreases) are:</w:t>
      </w:r>
    </w:p>
    <w:p w:rsidR="00602D53" w:rsidP="00602D53" w:rsidRDefault="00602D53" w14:paraId="0FE14D26" w14:textId="05808156">
      <w:pPr>
        <w:pStyle w:val="ListParagraph"/>
        <w:numPr>
          <w:ilvl w:val="0"/>
          <w:numId w:val="12"/>
        </w:numPr>
        <w:spacing w:after="0"/>
        <w:rPr>
          <w:rFonts w:ascii="Times New Roman" w:hAnsi="Times New Roman" w:eastAsia="Calibri" w:cs="Times New Roman"/>
          <w:sz w:val="26"/>
          <w:szCs w:val="26"/>
        </w:rPr>
      </w:pPr>
      <w:r>
        <w:rPr>
          <w:rFonts w:ascii="Times New Roman" w:hAnsi="Times New Roman" w:eastAsia="Calibri" w:cs="Times New Roman"/>
          <w:sz w:val="26"/>
          <w:szCs w:val="26"/>
        </w:rPr>
        <w:t>-343.67 responses (+71.33-415)</w:t>
      </w:r>
    </w:p>
    <w:p w:rsidRPr="00053D5B" w:rsidR="00602D53" w:rsidP="00053D5B" w:rsidRDefault="00602D53" w14:paraId="7EA3F54F" w14:textId="3F614532">
      <w:pPr>
        <w:pStyle w:val="ListParagraph"/>
        <w:numPr>
          <w:ilvl w:val="0"/>
          <w:numId w:val="12"/>
        </w:numPr>
        <w:spacing w:after="0"/>
        <w:rPr>
          <w:rFonts w:ascii="Times New Roman" w:hAnsi="Times New Roman" w:eastAsia="Calibri" w:cs="Times New Roman"/>
          <w:sz w:val="26"/>
          <w:szCs w:val="26"/>
        </w:rPr>
      </w:pPr>
      <w:r>
        <w:rPr>
          <w:rFonts w:ascii="Times New Roman" w:hAnsi="Times New Roman" w:eastAsia="Calibri" w:cs="Times New Roman"/>
          <w:sz w:val="26"/>
          <w:szCs w:val="26"/>
        </w:rPr>
        <w:t>-11,478 hours (+2,568-14,046)</w:t>
      </w:r>
    </w:p>
    <w:p w:rsidRPr="00053D5B" w:rsidR="00602D53" w:rsidP="00053D5B" w:rsidRDefault="00602D53" w14:paraId="39F7E61F" w14:textId="77777777">
      <w:pPr>
        <w:spacing w:after="0"/>
        <w:rPr>
          <w:rFonts w:ascii="Times New Roman" w:hAnsi="Times New Roman" w:eastAsia="Calibri" w:cs="Times New Roman"/>
          <w:b/>
          <w:sz w:val="26"/>
          <w:szCs w:val="26"/>
        </w:rPr>
      </w:pPr>
    </w:p>
    <w:p w:rsidRPr="00053D5B" w:rsidR="005C1553" w:rsidP="00053D5B" w:rsidRDefault="005C1553" w14:paraId="72D6B802" w14:textId="77777777">
      <w:pPr>
        <w:spacing w:after="0" w:line="240" w:lineRule="auto"/>
        <w:rPr>
          <w:rFonts w:ascii="Times New Roman" w:hAnsi="Times New Roman" w:eastAsia="Calibri" w:cs="Times New Roman"/>
          <w:sz w:val="26"/>
          <w:szCs w:val="26"/>
        </w:rPr>
      </w:pPr>
      <w:r w:rsidRPr="00053D5B">
        <w:rPr>
          <w:rFonts w:ascii="Times New Roman" w:hAnsi="Times New Roman" w:eastAsia="Calibri" w:cs="Times New Roman"/>
          <w:sz w:val="26"/>
          <w:szCs w:val="26"/>
        </w:rPr>
        <w:t>The following table shows the total burden of the collection of information.  The format, labels, and definitions of the table follow the ROCIS submission system’s “Information Collection Request Summary of Burden” for the metadata.</w:t>
      </w:r>
    </w:p>
    <w:p w:rsidRPr="000D7476" w:rsidR="005C1553" w:rsidP="00053D5B" w:rsidRDefault="005C1553" w14:paraId="325E1ABD" w14:textId="77777777">
      <w:pPr>
        <w:spacing w:after="0"/>
        <w:rPr>
          <w:rFonts w:ascii="Times New Roman" w:hAnsi="Times New Roman" w:eastAsia="Calibri" w:cs="Times New Roman"/>
          <w:b/>
          <w:sz w:val="26"/>
          <w:szCs w:val="26"/>
        </w:rPr>
      </w:pP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800"/>
      </w:tblGrid>
      <w:tr w:rsidRPr="00053D5B" w:rsidR="005C1553" w:rsidTr="003D6514" w14:paraId="53C56D8A" w14:textId="77777777">
        <w:trPr>
          <w:trHeight w:val="870"/>
        </w:trPr>
        <w:tc>
          <w:tcPr>
            <w:tcW w:w="2679" w:type="dxa"/>
            <w:shd w:val="clear" w:color="auto" w:fill="D9D9D9"/>
            <w:vAlign w:val="bottom"/>
          </w:tcPr>
          <w:p w:rsidRPr="00053D5B" w:rsidR="005C1553" w:rsidP="00053D5B" w:rsidRDefault="005C1553" w14:paraId="5F34A1CB" w14:textId="77777777">
            <w:pPr>
              <w:spacing w:after="0" w:line="240" w:lineRule="auto"/>
              <w:jc w:val="center"/>
              <w:rPr>
                <w:rFonts w:ascii="Times New Roman" w:hAnsi="Times New Roman" w:eastAsia="Calibri" w:cs="Times New Roman"/>
                <w:b/>
                <w:sz w:val="26"/>
                <w:szCs w:val="26"/>
              </w:rPr>
            </w:pPr>
            <w:r w:rsidRPr="00053D5B">
              <w:rPr>
                <w:rFonts w:ascii="Times New Roman" w:hAnsi="Times New Roman" w:eastAsia="Calibri" w:cs="Times New Roman"/>
                <w:b/>
                <w:sz w:val="26"/>
                <w:szCs w:val="26"/>
              </w:rPr>
              <w:t>FERC-725N</w:t>
            </w:r>
          </w:p>
        </w:tc>
        <w:tc>
          <w:tcPr>
            <w:tcW w:w="1461" w:type="dxa"/>
            <w:shd w:val="clear" w:color="auto" w:fill="D9D9D9"/>
            <w:vAlign w:val="bottom"/>
          </w:tcPr>
          <w:p w:rsidRPr="00053D5B" w:rsidR="005C1553" w:rsidP="00053D5B" w:rsidRDefault="005C1553" w14:paraId="012FE07C" w14:textId="77777777">
            <w:pPr>
              <w:spacing w:after="0" w:line="240" w:lineRule="auto"/>
              <w:jc w:val="center"/>
              <w:rPr>
                <w:rFonts w:ascii="Times New Roman" w:hAnsi="Times New Roman" w:eastAsia="Calibri" w:cs="Times New Roman"/>
                <w:b/>
                <w:sz w:val="26"/>
                <w:szCs w:val="26"/>
              </w:rPr>
            </w:pPr>
            <w:r w:rsidRPr="00053D5B">
              <w:rPr>
                <w:rFonts w:ascii="Times New Roman" w:hAnsi="Times New Roman" w:eastAsia="Calibri" w:cs="Times New Roman"/>
                <w:b/>
                <w:sz w:val="26"/>
                <w:szCs w:val="26"/>
              </w:rPr>
              <w:t>Total Request</w:t>
            </w:r>
          </w:p>
        </w:tc>
        <w:tc>
          <w:tcPr>
            <w:tcW w:w="1620" w:type="dxa"/>
            <w:shd w:val="clear" w:color="auto" w:fill="D9D9D9"/>
            <w:vAlign w:val="bottom"/>
          </w:tcPr>
          <w:p w:rsidRPr="00053D5B" w:rsidR="005C1553" w:rsidP="00053D5B" w:rsidRDefault="005C1553" w14:paraId="24C3B291" w14:textId="77777777">
            <w:pPr>
              <w:spacing w:after="0" w:line="240" w:lineRule="auto"/>
              <w:jc w:val="center"/>
              <w:rPr>
                <w:rFonts w:ascii="Times New Roman" w:hAnsi="Times New Roman" w:eastAsia="Calibri" w:cs="Times New Roman"/>
                <w:b/>
                <w:sz w:val="26"/>
                <w:szCs w:val="26"/>
              </w:rPr>
            </w:pPr>
            <w:r w:rsidRPr="00053D5B">
              <w:rPr>
                <w:rFonts w:ascii="Times New Roman" w:hAnsi="Times New Roman" w:eastAsia="Calibri" w:cs="Times New Roman"/>
                <w:b/>
                <w:sz w:val="26"/>
                <w:szCs w:val="26"/>
              </w:rPr>
              <w:t>Previously Approved</w:t>
            </w:r>
          </w:p>
        </w:tc>
        <w:tc>
          <w:tcPr>
            <w:tcW w:w="1800" w:type="dxa"/>
            <w:shd w:val="clear" w:color="auto" w:fill="D9D9D9"/>
            <w:vAlign w:val="bottom"/>
          </w:tcPr>
          <w:p w:rsidRPr="00053D5B" w:rsidR="005C1553" w:rsidP="00053D5B" w:rsidRDefault="005C1553" w14:paraId="02A61D07" w14:textId="77777777">
            <w:pPr>
              <w:spacing w:after="0" w:line="240" w:lineRule="auto"/>
              <w:jc w:val="center"/>
              <w:rPr>
                <w:rFonts w:ascii="Times New Roman" w:hAnsi="Times New Roman" w:eastAsia="Calibri" w:cs="Times New Roman"/>
                <w:b/>
                <w:sz w:val="26"/>
                <w:szCs w:val="26"/>
              </w:rPr>
            </w:pPr>
            <w:r w:rsidRPr="00053D5B">
              <w:rPr>
                <w:rFonts w:ascii="Times New Roman" w:hAnsi="Times New Roman" w:eastAsia="Calibri" w:cs="Times New Roman"/>
                <w:b/>
                <w:sz w:val="26"/>
                <w:szCs w:val="26"/>
              </w:rPr>
              <w:t>Change due to Adjustment in Estimate</w:t>
            </w:r>
          </w:p>
        </w:tc>
        <w:tc>
          <w:tcPr>
            <w:tcW w:w="1800" w:type="dxa"/>
            <w:shd w:val="clear" w:color="auto" w:fill="D9D9D9"/>
            <w:vAlign w:val="bottom"/>
          </w:tcPr>
          <w:p w:rsidRPr="00053D5B" w:rsidR="005C1553" w:rsidP="00053D5B" w:rsidRDefault="005C1553" w14:paraId="39B444F0" w14:textId="77777777">
            <w:pPr>
              <w:spacing w:after="0" w:line="240" w:lineRule="auto"/>
              <w:jc w:val="center"/>
              <w:rPr>
                <w:rFonts w:ascii="Times New Roman" w:hAnsi="Times New Roman" w:eastAsia="Calibri" w:cs="Times New Roman"/>
                <w:b/>
                <w:sz w:val="26"/>
                <w:szCs w:val="26"/>
              </w:rPr>
            </w:pPr>
            <w:r w:rsidRPr="00053D5B">
              <w:rPr>
                <w:rFonts w:ascii="Times New Roman" w:hAnsi="Times New Roman" w:eastAsia="Calibri" w:cs="Times New Roman"/>
                <w:b/>
                <w:sz w:val="26"/>
                <w:szCs w:val="26"/>
              </w:rPr>
              <w:t>Change Due to Agency Discretion</w:t>
            </w:r>
          </w:p>
        </w:tc>
      </w:tr>
      <w:tr w:rsidRPr="00053D5B" w:rsidR="005C1553" w:rsidTr="003D6514" w14:paraId="7B614012" w14:textId="77777777">
        <w:trPr>
          <w:trHeight w:val="591"/>
        </w:trPr>
        <w:tc>
          <w:tcPr>
            <w:tcW w:w="2679" w:type="dxa"/>
          </w:tcPr>
          <w:p w:rsidRPr="00053D5B" w:rsidR="005C1553" w:rsidP="005C1553" w:rsidRDefault="005C1553" w14:paraId="58081EB9" w14:textId="77777777">
            <w:pPr>
              <w:spacing w:after="0" w:line="240" w:lineRule="auto"/>
              <w:jc w:val="center"/>
              <w:rPr>
                <w:rFonts w:ascii="Times New Roman" w:hAnsi="Times New Roman" w:eastAsia="Calibri" w:cs="Times New Roman"/>
                <w:sz w:val="26"/>
                <w:szCs w:val="26"/>
              </w:rPr>
            </w:pPr>
            <w:r w:rsidRPr="00053D5B">
              <w:rPr>
                <w:rFonts w:ascii="Times New Roman" w:hAnsi="Times New Roman" w:eastAsia="Calibri" w:cs="Times New Roman"/>
                <w:sz w:val="26"/>
                <w:szCs w:val="26"/>
              </w:rPr>
              <w:t>Annual Number of Responses</w:t>
            </w:r>
          </w:p>
        </w:tc>
        <w:tc>
          <w:tcPr>
            <w:tcW w:w="1461" w:type="dxa"/>
            <w:vAlign w:val="center"/>
          </w:tcPr>
          <w:p w:rsidRPr="00053D5B" w:rsidR="005C1553" w:rsidP="005C1553" w:rsidRDefault="00602D53" w14:paraId="4A8F8602" w14:textId="48319A20">
            <w:pPr>
              <w:spacing w:after="0" w:line="240" w:lineRule="auto"/>
              <w:jc w:val="right"/>
              <w:rPr>
                <w:rFonts w:ascii="Times New Roman" w:hAnsi="Times New Roman" w:eastAsia="Calibri" w:cs="Times New Roman"/>
                <w:sz w:val="26"/>
                <w:szCs w:val="26"/>
              </w:rPr>
            </w:pPr>
            <w:r w:rsidRPr="00053D5B">
              <w:rPr>
                <w:rFonts w:ascii="Times New Roman" w:hAnsi="Times New Roman" w:eastAsia="Calibri" w:cs="Times New Roman"/>
                <w:sz w:val="26"/>
                <w:szCs w:val="26"/>
              </w:rPr>
              <w:t>2,105</w:t>
            </w:r>
            <w:r w:rsidR="00D36321">
              <w:rPr>
                <w:rFonts w:ascii="Times New Roman" w:hAnsi="Times New Roman" w:eastAsia="Calibri" w:cs="Times New Roman"/>
                <w:sz w:val="26"/>
                <w:szCs w:val="26"/>
              </w:rPr>
              <w:t xml:space="preserve"> (rounded</w:t>
            </w:r>
          </w:p>
        </w:tc>
        <w:tc>
          <w:tcPr>
            <w:tcW w:w="1620" w:type="dxa"/>
            <w:vAlign w:val="center"/>
          </w:tcPr>
          <w:p w:rsidRPr="00053D5B" w:rsidR="005C1553" w:rsidP="001F5AC0" w:rsidRDefault="005C1553" w14:paraId="7F14DCA8" w14:textId="77777777">
            <w:pPr>
              <w:spacing w:after="0" w:line="240" w:lineRule="auto"/>
              <w:jc w:val="right"/>
              <w:rPr>
                <w:rFonts w:ascii="Times New Roman" w:hAnsi="Times New Roman" w:eastAsia="Calibri" w:cs="Times New Roman"/>
                <w:sz w:val="26"/>
                <w:szCs w:val="26"/>
              </w:rPr>
            </w:pPr>
            <w:r w:rsidRPr="00053D5B">
              <w:rPr>
                <w:rFonts w:ascii="Times New Roman" w:hAnsi="Times New Roman" w:eastAsia="Calibri" w:cs="Times New Roman"/>
                <w:sz w:val="26"/>
                <w:szCs w:val="26"/>
              </w:rPr>
              <w:t>2,</w:t>
            </w:r>
            <w:r w:rsidRPr="00053D5B" w:rsidR="001F5AC0">
              <w:rPr>
                <w:rFonts w:ascii="Times New Roman" w:hAnsi="Times New Roman" w:eastAsia="Calibri" w:cs="Times New Roman"/>
                <w:sz w:val="26"/>
                <w:szCs w:val="26"/>
              </w:rPr>
              <w:t>449</w:t>
            </w:r>
          </w:p>
        </w:tc>
        <w:tc>
          <w:tcPr>
            <w:tcW w:w="1800" w:type="dxa"/>
            <w:vAlign w:val="center"/>
          </w:tcPr>
          <w:p w:rsidRPr="00053D5B" w:rsidR="005C1553" w:rsidP="005C1553" w:rsidRDefault="005C1553" w14:paraId="5E620261" w14:textId="77777777">
            <w:pPr>
              <w:spacing w:after="0" w:line="240" w:lineRule="auto"/>
              <w:jc w:val="right"/>
              <w:rPr>
                <w:rFonts w:ascii="Times New Roman" w:hAnsi="Times New Roman" w:eastAsia="Calibri" w:cs="Times New Roman"/>
                <w:sz w:val="26"/>
                <w:szCs w:val="26"/>
              </w:rPr>
            </w:pPr>
            <w:r w:rsidRPr="00053D5B">
              <w:rPr>
                <w:rFonts w:ascii="Times New Roman" w:hAnsi="Times New Roman" w:eastAsia="Calibri" w:cs="Times New Roman"/>
                <w:sz w:val="26"/>
                <w:szCs w:val="26"/>
              </w:rPr>
              <w:t>0</w:t>
            </w:r>
          </w:p>
        </w:tc>
        <w:tc>
          <w:tcPr>
            <w:tcW w:w="1800" w:type="dxa"/>
            <w:vAlign w:val="center"/>
          </w:tcPr>
          <w:p w:rsidRPr="00053D5B" w:rsidR="005C1553" w:rsidP="005C1553" w:rsidRDefault="00602D53" w14:paraId="71022C0F" w14:textId="31F2AC38">
            <w:pPr>
              <w:spacing w:after="0" w:line="240" w:lineRule="auto"/>
              <w:jc w:val="right"/>
              <w:rPr>
                <w:rFonts w:ascii="Times New Roman" w:hAnsi="Times New Roman" w:eastAsia="Calibri" w:cs="Times New Roman"/>
                <w:sz w:val="26"/>
                <w:szCs w:val="26"/>
              </w:rPr>
            </w:pPr>
            <w:r w:rsidRPr="00053D5B">
              <w:rPr>
                <w:rFonts w:ascii="Times New Roman" w:hAnsi="Times New Roman" w:eastAsia="Calibri" w:cs="Times New Roman"/>
                <w:sz w:val="26"/>
                <w:szCs w:val="26"/>
              </w:rPr>
              <w:t>-34</w:t>
            </w:r>
            <w:r w:rsidR="00D36321">
              <w:rPr>
                <w:rFonts w:ascii="Times New Roman" w:hAnsi="Times New Roman" w:eastAsia="Calibri" w:cs="Times New Roman"/>
                <w:sz w:val="26"/>
                <w:szCs w:val="26"/>
              </w:rPr>
              <w:t>4 (rounded)</w:t>
            </w:r>
          </w:p>
        </w:tc>
      </w:tr>
      <w:tr w:rsidRPr="00B01E91" w:rsidR="005C1553" w:rsidTr="003D6514" w14:paraId="3FC231D9" w14:textId="77777777">
        <w:trPr>
          <w:trHeight w:val="575"/>
        </w:trPr>
        <w:tc>
          <w:tcPr>
            <w:tcW w:w="2679" w:type="dxa"/>
          </w:tcPr>
          <w:p w:rsidRPr="00B01E91" w:rsidR="005C1553" w:rsidP="005C1553" w:rsidRDefault="005C1553" w14:paraId="5CE3DFDC" w14:textId="77777777">
            <w:pPr>
              <w:spacing w:after="0" w:line="240" w:lineRule="auto"/>
              <w:jc w:val="center"/>
              <w:rPr>
                <w:rFonts w:ascii="Times New Roman" w:hAnsi="Times New Roman" w:eastAsia="Calibri" w:cs="Times New Roman"/>
                <w:sz w:val="26"/>
                <w:szCs w:val="26"/>
              </w:rPr>
            </w:pPr>
            <w:r w:rsidRPr="00B01E91">
              <w:rPr>
                <w:rFonts w:ascii="Times New Roman" w:hAnsi="Times New Roman" w:eastAsia="Calibri" w:cs="Times New Roman"/>
                <w:sz w:val="26"/>
                <w:szCs w:val="26"/>
              </w:rPr>
              <w:lastRenderedPageBreak/>
              <w:t>Annual Time Burden (Hr.)</w:t>
            </w:r>
          </w:p>
        </w:tc>
        <w:tc>
          <w:tcPr>
            <w:tcW w:w="1461" w:type="dxa"/>
            <w:vAlign w:val="center"/>
          </w:tcPr>
          <w:p w:rsidRPr="00B01E91" w:rsidR="005C1553" w:rsidP="005C1553" w:rsidRDefault="00602D53" w14:paraId="2D0FD55D" w14:textId="3F441EF2">
            <w:pPr>
              <w:spacing w:after="0" w:line="240" w:lineRule="auto"/>
              <w:jc w:val="right"/>
              <w:rPr>
                <w:rFonts w:ascii="Times New Roman" w:hAnsi="Times New Roman" w:eastAsia="Calibri" w:cs="Times New Roman"/>
                <w:sz w:val="26"/>
                <w:szCs w:val="26"/>
              </w:rPr>
            </w:pPr>
            <w:r w:rsidRPr="00B01E91">
              <w:rPr>
                <w:rFonts w:ascii="Times New Roman" w:hAnsi="Times New Roman" w:eastAsia="Calibri" w:cs="Times New Roman"/>
                <w:sz w:val="26"/>
                <w:szCs w:val="26"/>
              </w:rPr>
              <w:t>46,084</w:t>
            </w:r>
          </w:p>
        </w:tc>
        <w:tc>
          <w:tcPr>
            <w:tcW w:w="1620" w:type="dxa"/>
            <w:vAlign w:val="center"/>
          </w:tcPr>
          <w:p w:rsidRPr="00B01E91" w:rsidR="005C1553" w:rsidP="005C1553" w:rsidRDefault="001F5AC0" w14:paraId="53790D7A" w14:textId="77777777">
            <w:pPr>
              <w:spacing w:after="0" w:line="240" w:lineRule="auto"/>
              <w:jc w:val="right"/>
              <w:rPr>
                <w:rFonts w:ascii="Times New Roman" w:hAnsi="Times New Roman" w:eastAsia="Calibri" w:cs="Times New Roman"/>
                <w:sz w:val="26"/>
                <w:szCs w:val="26"/>
              </w:rPr>
            </w:pPr>
            <w:r w:rsidRPr="00B01E91">
              <w:rPr>
                <w:rFonts w:ascii="Times New Roman" w:hAnsi="Times New Roman" w:eastAsia="Calibri" w:cs="Times New Roman"/>
                <w:sz w:val="26"/>
                <w:szCs w:val="26"/>
              </w:rPr>
              <w:t>57,562</w:t>
            </w:r>
          </w:p>
        </w:tc>
        <w:tc>
          <w:tcPr>
            <w:tcW w:w="1800" w:type="dxa"/>
            <w:vAlign w:val="center"/>
          </w:tcPr>
          <w:p w:rsidRPr="00B01E91" w:rsidR="005C1553" w:rsidP="005C1553" w:rsidRDefault="005C1553" w14:paraId="6606E01A" w14:textId="77777777">
            <w:pPr>
              <w:spacing w:after="0" w:line="240" w:lineRule="auto"/>
              <w:jc w:val="right"/>
              <w:rPr>
                <w:rFonts w:ascii="Times New Roman" w:hAnsi="Times New Roman" w:eastAsia="Calibri" w:cs="Times New Roman"/>
                <w:sz w:val="26"/>
                <w:szCs w:val="26"/>
              </w:rPr>
            </w:pPr>
            <w:r w:rsidRPr="00B01E91">
              <w:rPr>
                <w:rFonts w:ascii="Times New Roman" w:hAnsi="Times New Roman" w:eastAsia="Calibri" w:cs="Times New Roman"/>
                <w:sz w:val="26"/>
                <w:szCs w:val="26"/>
              </w:rPr>
              <w:t>0</w:t>
            </w:r>
          </w:p>
        </w:tc>
        <w:tc>
          <w:tcPr>
            <w:tcW w:w="1800" w:type="dxa"/>
            <w:vAlign w:val="center"/>
          </w:tcPr>
          <w:p w:rsidRPr="00B01E91" w:rsidR="005C1553" w:rsidP="005C1553" w:rsidRDefault="00602D53" w14:paraId="30D03D08" w14:textId="378EADD2">
            <w:pPr>
              <w:spacing w:after="0" w:line="240" w:lineRule="auto"/>
              <w:jc w:val="right"/>
              <w:rPr>
                <w:rFonts w:ascii="Times New Roman" w:hAnsi="Times New Roman" w:eastAsia="Calibri" w:cs="Times New Roman"/>
                <w:sz w:val="26"/>
                <w:szCs w:val="26"/>
              </w:rPr>
            </w:pPr>
            <w:r w:rsidRPr="00B01E91">
              <w:rPr>
                <w:rFonts w:ascii="Times New Roman" w:hAnsi="Times New Roman" w:eastAsia="Calibri" w:cs="Times New Roman"/>
                <w:sz w:val="26"/>
                <w:szCs w:val="26"/>
              </w:rPr>
              <w:t>-11,478</w:t>
            </w:r>
          </w:p>
        </w:tc>
      </w:tr>
      <w:tr w:rsidRPr="003A333B" w:rsidR="005C1553" w:rsidTr="003D6514" w14:paraId="51797004" w14:textId="77777777">
        <w:trPr>
          <w:trHeight w:val="295"/>
        </w:trPr>
        <w:tc>
          <w:tcPr>
            <w:tcW w:w="2679" w:type="dxa"/>
          </w:tcPr>
          <w:p w:rsidRPr="00B01E91" w:rsidR="005C1553" w:rsidP="005C1553" w:rsidRDefault="005C1553" w14:paraId="17FF38C9" w14:textId="77777777">
            <w:pPr>
              <w:spacing w:after="0" w:line="240" w:lineRule="auto"/>
              <w:jc w:val="center"/>
              <w:rPr>
                <w:rFonts w:ascii="Times New Roman" w:hAnsi="Times New Roman" w:eastAsia="Calibri" w:cs="Times New Roman"/>
                <w:sz w:val="26"/>
                <w:szCs w:val="26"/>
              </w:rPr>
            </w:pPr>
            <w:r w:rsidRPr="00B01E91">
              <w:rPr>
                <w:rFonts w:ascii="Times New Roman" w:hAnsi="Times New Roman" w:eastAsia="Calibri" w:cs="Times New Roman"/>
                <w:sz w:val="26"/>
                <w:szCs w:val="26"/>
              </w:rPr>
              <w:t>Annual Cost Burden ($)</w:t>
            </w:r>
          </w:p>
        </w:tc>
        <w:tc>
          <w:tcPr>
            <w:tcW w:w="1461" w:type="dxa"/>
            <w:vAlign w:val="center"/>
          </w:tcPr>
          <w:p w:rsidRPr="00B01E91" w:rsidR="005C1553" w:rsidP="005C1553" w:rsidRDefault="005C1553" w14:paraId="35324086" w14:textId="77777777">
            <w:pPr>
              <w:spacing w:after="0" w:line="240" w:lineRule="auto"/>
              <w:jc w:val="right"/>
              <w:rPr>
                <w:rFonts w:ascii="Times New Roman" w:hAnsi="Times New Roman" w:eastAsia="Calibri" w:cs="Times New Roman"/>
                <w:sz w:val="26"/>
                <w:szCs w:val="26"/>
              </w:rPr>
            </w:pPr>
            <w:r w:rsidRPr="00B01E91">
              <w:rPr>
                <w:rFonts w:ascii="Times New Roman" w:hAnsi="Times New Roman" w:eastAsia="Calibri" w:cs="Times New Roman"/>
                <w:sz w:val="26"/>
                <w:szCs w:val="26"/>
              </w:rPr>
              <w:t>0</w:t>
            </w:r>
          </w:p>
        </w:tc>
        <w:tc>
          <w:tcPr>
            <w:tcW w:w="1620" w:type="dxa"/>
            <w:vAlign w:val="center"/>
          </w:tcPr>
          <w:p w:rsidRPr="00B01E91" w:rsidR="005C1553" w:rsidP="005C1553" w:rsidRDefault="005C1553" w14:paraId="63E235C9" w14:textId="77777777">
            <w:pPr>
              <w:spacing w:after="0" w:line="240" w:lineRule="auto"/>
              <w:jc w:val="right"/>
              <w:rPr>
                <w:rFonts w:ascii="Times New Roman" w:hAnsi="Times New Roman" w:eastAsia="Calibri" w:cs="Times New Roman"/>
                <w:sz w:val="26"/>
                <w:szCs w:val="26"/>
              </w:rPr>
            </w:pPr>
            <w:r w:rsidRPr="00B01E91">
              <w:rPr>
                <w:rFonts w:ascii="Times New Roman" w:hAnsi="Times New Roman" w:eastAsia="Calibri" w:cs="Times New Roman"/>
                <w:sz w:val="26"/>
                <w:szCs w:val="26"/>
              </w:rPr>
              <w:t>0</w:t>
            </w:r>
          </w:p>
        </w:tc>
        <w:tc>
          <w:tcPr>
            <w:tcW w:w="1800" w:type="dxa"/>
            <w:vAlign w:val="center"/>
          </w:tcPr>
          <w:p w:rsidRPr="00B01E91" w:rsidR="005C1553" w:rsidP="005C1553" w:rsidRDefault="005C1553" w14:paraId="78364971" w14:textId="77777777">
            <w:pPr>
              <w:spacing w:after="0" w:line="240" w:lineRule="auto"/>
              <w:jc w:val="right"/>
              <w:rPr>
                <w:rFonts w:ascii="Times New Roman" w:hAnsi="Times New Roman" w:eastAsia="Calibri" w:cs="Times New Roman"/>
                <w:sz w:val="26"/>
                <w:szCs w:val="26"/>
              </w:rPr>
            </w:pPr>
            <w:r w:rsidRPr="00B01E91">
              <w:rPr>
                <w:rFonts w:ascii="Times New Roman" w:hAnsi="Times New Roman" w:eastAsia="Calibri" w:cs="Times New Roman"/>
                <w:sz w:val="26"/>
                <w:szCs w:val="26"/>
              </w:rPr>
              <w:t>0</w:t>
            </w:r>
          </w:p>
        </w:tc>
        <w:tc>
          <w:tcPr>
            <w:tcW w:w="1800" w:type="dxa"/>
            <w:vAlign w:val="center"/>
          </w:tcPr>
          <w:p w:rsidRPr="003A333B" w:rsidR="005C1553" w:rsidP="005C1553" w:rsidRDefault="005C1553" w14:paraId="55AC63B1" w14:textId="77777777">
            <w:pPr>
              <w:spacing w:after="0" w:line="240" w:lineRule="auto"/>
              <w:jc w:val="right"/>
              <w:rPr>
                <w:rFonts w:ascii="Times New Roman" w:hAnsi="Times New Roman" w:eastAsia="Calibri" w:cs="Times New Roman"/>
                <w:sz w:val="26"/>
                <w:szCs w:val="26"/>
              </w:rPr>
            </w:pPr>
            <w:r w:rsidRPr="00B01E91">
              <w:rPr>
                <w:rFonts w:ascii="Times New Roman" w:hAnsi="Times New Roman" w:eastAsia="Calibri" w:cs="Times New Roman"/>
                <w:sz w:val="26"/>
                <w:szCs w:val="26"/>
              </w:rPr>
              <w:t>0</w:t>
            </w:r>
          </w:p>
        </w:tc>
      </w:tr>
    </w:tbl>
    <w:p w:rsidRPr="003A333B" w:rsidR="005C1553" w:rsidP="005C1553" w:rsidRDefault="005C1553" w14:paraId="3ACB26D0" w14:textId="77777777">
      <w:pPr>
        <w:spacing w:after="0" w:line="240" w:lineRule="auto"/>
        <w:rPr>
          <w:rFonts w:ascii="Times New Roman" w:hAnsi="Times New Roman" w:eastAsia="Calibri" w:cs="Times New Roman"/>
          <w:sz w:val="26"/>
          <w:szCs w:val="26"/>
        </w:rPr>
      </w:pPr>
    </w:p>
    <w:p w:rsidRPr="003A333B" w:rsidR="005C1553" w:rsidP="005C1553" w:rsidRDefault="005C1553" w14:paraId="1E9CDFD8" w14:textId="77777777">
      <w:pPr>
        <w:numPr>
          <w:ilvl w:val="0"/>
          <w:numId w:val="1"/>
        </w:numPr>
        <w:spacing w:after="0" w:line="240" w:lineRule="auto"/>
        <w:ind w:left="360"/>
        <w:contextualSpacing/>
        <w:rPr>
          <w:rFonts w:ascii="Times New Roman" w:hAnsi="Times New Roman" w:eastAsia="Calibri" w:cs="Times New Roman"/>
          <w:b/>
          <w:sz w:val="26"/>
          <w:szCs w:val="26"/>
        </w:rPr>
      </w:pPr>
      <w:r w:rsidRPr="003A333B">
        <w:rPr>
          <w:rFonts w:ascii="Times New Roman" w:hAnsi="Times New Roman" w:eastAsia="Calibri" w:cs="Times New Roman"/>
          <w:b/>
          <w:sz w:val="26"/>
          <w:szCs w:val="26"/>
        </w:rPr>
        <w:t>TIME SCHEDULE FOR PUBLICATION OF DATA</w:t>
      </w:r>
    </w:p>
    <w:p w:rsidRPr="003A333B" w:rsidR="005C1553" w:rsidP="005C1553" w:rsidRDefault="005C1553" w14:paraId="034412A0" w14:textId="77777777">
      <w:pPr>
        <w:spacing w:after="0" w:line="240" w:lineRule="auto"/>
        <w:rPr>
          <w:rFonts w:ascii="Times New Roman" w:hAnsi="Times New Roman" w:eastAsia="Calibri" w:cs="Times New Roman"/>
          <w:sz w:val="26"/>
          <w:szCs w:val="26"/>
        </w:rPr>
      </w:pPr>
    </w:p>
    <w:p w:rsidRPr="003A333B" w:rsidR="005C1553" w:rsidP="005C1553" w:rsidRDefault="005C1553" w14:paraId="658B3D98" w14:textId="17468FDD">
      <w:pPr>
        <w:spacing w:after="0" w:line="240" w:lineRule="auto"/>
        <w:rPr>
          <w:rFonts w:ascii="Times New Roman" w:hAnsi="Times New Roman" w:eastAsia="Calibri" w:cs="Times New Roman"/>
          <w:sz w:val="26"/>
          <w:szCs w:val="26"/>
        </w:rPr>
      </w:pPr>
      <w:r w:rsidRPr="003A333B">
        <w:rPr>
          <w:rFonts w:ascii="Times New Roman" w:hAnsi="Times New Roman" w:eastAsia="Calibri" w:cs="Times New Roman"/>
          <w:sz w:val="26"/>
          <w:szCs w:val="26"/>
        </w:rPr>
        <w:t>There are no data publications related to this collection</w:t>
      </w:r>
    </w:p>
    <w:p w:rsidRPr="003A333B" w:rsidR="005C1553" w:rsidP="005C1553" w:rsidRDefault="005C1553" w14:paraId="29C6D646" w14:textId="77777777">
      <w:pPr>
        <w:spacing w:after="0" w:line="240" w:lineRule="auto"/>
        <w:rPr>
          <w:rFonts w:ascii="Times New Roman" w:hAnsi="Times New Roman" w:eastAsia="Calibri" w:cs="Times New Roman"/>
          <w:sz w:val="26"/>
          <w:szCs w:val="26"/>
        </w:rPr>
      </w:pPr>
    </w:p>
    <w:p w:rsidRPr="003A333B" w:rsidR="005C1553" w:rsidP="005C1553" w:rsidRDefault="005C1553" w14:paraId="4C17150B" w14:textId="77777777">
      <w:pPr>
        <w:numPr>
          <w:ilvl w:val="0"/>
          <w:numId w:val="1"/>
        </w:numPr>
        <w:spacing w:after="0" w:line="240" w:lineRule="auto"/>
        <w:ind w:left="360"/>
        <w:contextualSpacing/>
        <w:rPr>
          <w:rFonts w:ascii="Times New Roman" w:hAnsi="Times New Roman" w:eastAsia="Calibri" w:cs="Times New Roman"/>
          <w:b/>
          <w:sz w:val="26"/>
          <w:szCs w:val="26"/>
        </w:rPr>
      </w:pPr>
      <w:r w:rsidRPr="003A333B">
        <w:rPr>
          <w:rFonts w:ascii="Times New Roman" w:hAnsi="Times New Roman" w:eastAsia="Calibri" w:cs="Times New Roman"/>
          <w:b/>
          <w:sz w:val="26"/>
          <w:szCs w:val="26"/>
        </w:rPr>
        <w:t>DISPLAY OF EXPIRATION DATE</w:t>
      </w:r>
    </w:p>
    <w:p w:rsidRPr="003A333B" w:rsidR="005C1553" w:rsidP="005C1553" w:rsidRDefault="005C1553" w14:paraId="2C8F2A21" w14:textId="77777777">
      <w:pPr>
        <w:spacing w:after="0" w:line="240" w:lineRule="auto"/>
        <w:rPr>
          <w:rFonts w:ascii="Times New Roman" w:hAnsi="Times New Roman" w:eastAsia="Calibri" w:cs="Times New Roman"/>
          <w:sz w:val="26"/>
          <w:szCs w:val="26"/>
        </w:rPr>
      </w:pPr>
    </w:p>
    <w:p w:rsidRPr="003A333B" w:rsidR="005C1553" w:rsidP="005C1553" w:rsidRDefault="005C1553" w14:paraId="0B4FF362" w14:textId="5E098932">
      <w:pPr>
        <w:spacing w:after="0" w:line="240" w:lineRule="auto"/>
        <w:rPr>
          <w:rFonts w:ascii="Times New Roman" w:hAnsi="Times New Roman" w:eastAsia="Calibri" w:cs="Times New Roman"/>
          <w:sz w:val="26"/>
          <w:szCs w:val="26"/>
        </w:rPr>
      </w:pPr>
      <w:r w:rsidRPr="003A333B">
        <w:rPr>
          <w:rFonts w:ascii="Times New Roman" w:hAnsi="Times New Roman" w:eastAsia="Calibri" w:cs="Times New Roman"/>
          <w:sz w:val="26"/>
          <w:szCs w:val="26"/>
        </w:rPr>
        <w:t xml:space="preserve">The expiration date is displayed in a table posted on ferc.gov at </w:t>
      </w:r>
      <w:hyperlink w:history="1"/>
      <w:r w:rsidRPr="003A333B">
        <w:rPr>
          <w:rFonts w:ascii="Times New Roman" w:hAnsi="Times New Roman" w:eastAsia="Calibri" w:cs="Times New Roman"/>
          <w:sz w:val="26"/>
          <w:szCs w:val="26"/>
        </w:rPr>
        <w:t>.</w:t>
      </w:r>
      <w:r w:rsidRPr="00B01E91" w:rsidR="00B01E91">
        <w:t xml:space="preserve"> </w:t>
      </w:r>
      <w:hyperlink w:history="1" r:id="rId13">
        <w:r w:rsidRPr="004E799D" w:rsidR="00B01E91">
          <w:rPr>
            <w:rStyle w:val="Hyperlink"/>
            <w:rFonts w:ascii="Times New Roman" w:hAnsi="Times New Roman" w:eastAsia="Calibri"/>
            <w:sz w:val="26"/>
            <w:szCs w:val="26"/>
          </w:rPr>
          <w:t>https://www.ferc.gov/docs-filing/info-collections.asp</w:t>
        </w:r>
      </w:hyperlink>
      <w:r w:rsidR="00B01E91">
        <w:rPr>
          <w:rFonts w:ascii="Times New Roman" w:hAnsi="Times New Roman" w:eastAsia="Calibri" w:cs="Times New Roman"/>
          <w:sz w:val="26"/>
          <w:szCs w:val="26"/>
        </w:rPr>
        <w:t xml:space="preserve"> .</w:t>
      </w:r>
    </w:p>
    <w:p w:rsidRPr="003A333B" w:rsidR="005C1553" w:rsidP="005C1553" w:rsidRDefault="005C1553" w14:paraId="15389D58" w14:textId="77777777">
      <w:pPr>
        <w:spacing w:after="0" w:line="240" w:lineRule="auto"/>
        <w:rPr>
          <w:rFonts w:ascii="Times New Roman" w:hAnsi="Times New Roman" w:eastAsia="Calibri" w:cs="Times New Roman"/>
          <w:sz w:val="26"/>
          <w:szCs w:val="26"/>
        </w:rPr>
      </w:pPr>
    </w:p>
    <w:p w:rsidRPr="003A333B" w:rsidR="005C1553" w:rsidP="005C1553" w:rsidRDefault="005C1553" w14:paraId="37F8E8EC" w14:textId="77777777">
      <w:pPr>
        <w:numPr>
          <w:ilvl w:val="0"/>
          <w:numId w:val="1"/>
        </w:numPr>
        <w:spacing w:after="0" w:line="240" w:lineRule="auto"/>
        <w:ind w:left="360"/>
        <w:contextualSpacing/>
        <w:rPr>
          <w:rFonts w:ascii="Times New Roman" w:hAnsi="Times New Roman" w:eastAsia="Calibri" w:cs="Times New Roman"/>
          <w:b/>
          <w:sz w:val="26"/>
          <w:szCs w:val="26"/>
        </w:rPr>
      </w:pPr>
      <w:r w:rsidRPr="003A333B">
        <w:rPr>
          <w:rFonts w:ascii="Times New Roman" w:hAnsi="Times New Roman" w:eastAsia="Calibri" w:cs="Times New Roman"/>
          <w:b/>
          <w:sz w:val="26"/>
          <w:szCs w:val="26"/>
        </w:rPr>
        <w:t>EXCEPTIONS TO THE CERTIFICATION STATEMENT</w:t>
      </w:r>
    </w:p>
    <w:p w:rsidRPr="003A333B" w:rsidR="005C1553" w:rsidP="005C1553" w:rsidRDefault="005C1553" w14:paraId="630C892A" w14:textId="77777777">
      <w:pPr>
        <w:spacing w:after="0" w:line="240" w:lineRule="auto"/>
        <w:rPr>
          <w:rFonts w:ascii="Times New Roman" w:hAnsi="Times New Roman" w:eastAsia="Calibri" w:cs="Times New Roman"/>
          <w:b/>
          <w:sz w:val="26"/>
          <w:szCs w:val="26"/>
        </w:rPr>
      </w:pPr>
    </w:p>
    <w:p w:rsidRPr="003A333B" w:rsidR="008F6889" w:rsidP="004D12B1" w:rsidRDefault="005C1553" w14:paraId="254C8FE4" w14:textId="70C10BDA">
      <w:pPr>
        <w:spacing w:after="200" w:line="276" w:lineRule="auto"/>
        <w:rPr>
          <w:rFonts w:ascii="Times New Roman" w:hAnsi="Times New Roman" w:cs="Times New Roman"/>
          <w:sz w:val="26"/>
          <w:szCs w:val="26"/>
        </w:rPr>
      </w:pPr>
      <w:r w:rsidRPr="003A333B">
        <w:rPr>
          <w:rFonts w:ascii="Times New Roman" w:hAnsi="Times New Roman" w:eastAsia="Calibri" w:cs="Times New Roman"/>
          <w:sz w:val="26"/>
          <w:szCs w:val="26"/>
        </w:rPr>
        <w:t>There are no exceptions</w:t>
      </w:r>
    </w:p>
    <w:sectPr w:rsidRPr="003A333B" w:rsidR="008F688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056D7" w14:textId="77777777" w:rsidR="00683C90" w:rsidRDefault="00683C90" w:rsidP="005C1553">
      <w:pPr>
        <w:spacing w:after="0" w:line="240" w:lineRule="auto"/>
      </w:pPr>
      <w:r>
        <w:separator/>
      </w:r>
    </w:p>
  </w:endnote>
  <w:endnote w:type="continuationSeparator" w:id="0">
    <w:p w14:paraId="647B1008" w14:textId="77777777" w:rsidR="00683C90" w:rsidRDefault="00683C90" w:rsidP="005C1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0C954" w14:textId="77777777" w:rsidR="00C413AD" w:rsidRDefault="00C41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6411206"/>
      <w:docPartObj>
        <w:docPartGallery w:val="Page Numbers (Bottom of Page)"/>
        <w:docPartUnique/>
      </w:docPartObj>
    </w:sdtPr>
    <w:sdtEndPr>
      <w:rPr>
        <w:rFonts w:ascii="Times New Roman" w:hAnsi="Times New Roman" w:cs="Times New Roman"/>
        <w:noProof/>
      </w:rPr>
    </w:sdtEndPr>
    <w:sdtContent>
      <w:p w14:paraId="2FD70F28" w14:textId="77777777" w:rsidR="00DE3CEF" w:rsidRPr="009C3453" w:rsidRDefault="00810D56">
        <w:pPr>
          <w:pStyle w:val="Footer"/>
          <w:jc w:val="right"/>
          <w:rPr>
            <w:rFonts w:ascii="Times New Roman" w:hAnsi="Times New Roman" w:cs="Times New Roman"/>
          </w:rPr>
        </w:pPr>
        <w:r w:rsidRPr="009C3453">
          <w:rPr>
            <w:rFonts w:ascii="Times New Roman" w:hAnsi="Times New Roman" w:cs="Times New Roman"/>
          </w:rPr>
          <w:fldChar w:fldCharType="begin"/>
        </w:r>
        <w:r w:rsidRPr="009C3453">
          <w:rPr>
            <w:rFonts w:ascii="Times New Roman" w:hAnsi="Times New Roman" w:cs="Times New Roman"/>
          </w:rPr>
          <w:instrText xml:space="preserve"> PAGE   \* MERGEFORMAT </w:instrText>
        </w:r>
        <w:r w:rsidRPr="009C3453">
          <w:rPr>
            <w:rFonts w:ascii="Times New Roman" w:hAnsi="Times New Roman" w:cs="Times New Roman"/>
          </w:rPr>
          <w:fldChar w:fldCharType="separate"/>
        </w:r>
        <w:r w:rsidR="005B369D">
          <w:rPr>
            <w:rFonts w:ascii="Times New Roman" w:hAnsi="Times New Roman" w:cs="Times New Roman"/>
            <w:noProof/>
          </w:rPr>
          <w:t>1</w:t>
        </w:r>
        <w:r w:rsidRPr="009C3453">
          <w:rPr>
            <w:rFonts w:ascii="Times New Roman" w:hAnsi="Times New Roman" w:cs="Times New Roman"/>
            <w:noProof/>
          </w:rPr>
          <w:fldChar w:fldCharType="end"/>
        </w:r>
      </w:p>
    </w:sdtContent>
  </w:sdt>
  <w:p w14:paraId="686D4646" w14:textId="77777777" w:rsidR="00DE3CEF" w:rsidRDefault="008540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15E53" w14:textId="77777777" w:rsidR="00C413AD" w:rsidRDefault="00C41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02BDD" w14:textId="77777777" w:rsidR="00683C90" w:rsidRDefault="00683C90" w:rsidP="005C1553">
      <w:pPr>
        <w:spacing w:after="0" w:line="240" w:lineRule="auto"/>
      </w:pPr>
      <w:r>
        <w:separator/>
      </w:r>
    </w:p>
  </w:footnote>
  <w:footnote w:type="continuationSeparator" w:id="0">
    <w:p w14:paraId="7CB34676" w14:textId="77777777" w:rsidR="00683C90" w:rsidRDefault="00683C90" w:rsidP="005C1553">
      <w:pPr>
        <w:spacing w:after="0" w:line="240" w:lineRule="auto"/>
      </w:pPr>
      <w:r>
        <w:continuationSeparator/>
      </w:r>
    </w:p>
  </w:footnote>
  <w:footnote w:id="1">
    <w:p w14:paraId="1B88DB2B" w14:textId="40F85E95" w:rsidR="00810D56" w:rsidRPr="00202B77" w:rsidRDefault="00810D56" w:rsidP="00202B77">
      <w:pPr>
        <w:pStyle w:val="FootnoteText"/>
        <w:rPr>
          <w:rFonts w:ascii="Times New Roman" w:hAnsi="Times New Roman" w:cs="Times New Roman"/>
        </w:rPr>
      </w:pPr>
      <w:r w:rsidRPr="00202B77">
        <w:rPr>
          <w:rStyle w:val="FootnoteReference"/>
          <w:rFonts w:ascii="Times New Roman" w:hAnsi="Times New Roman" w:cs="Times New Roman"/>
          <w:vertAlign w:val="superscript"/>
        </w:rPr>
        <w:footnoteRef/>
      </w:r>
      <w:r w:rsidRPr="00202B77">
        <w:rPr>
          <w:rFonts w:ascii="Times New Roman" w:hAnsi="Times New Roman" w:cs="Times New Roman"/>
          <w:vertAlign w:val="superscript"/>
        </w:rPr>
        <w:t xml:space="preserve"> </w:t>
      </w:r>
      <w:r w:rsidRPr="00202B77">
        <w:rPr>
          <w:rFonts w:ascii="Times New Roman" w:hAnsi="Times New Roman" w:cs="Times New Roman"/>
        </w:rPr>
        <w:t xml:space="preserve">16 U.S.C. 824o(d)(2). </w:t>
      </w:r>
    </w:p>
  </w:footnote>
  <w:footnote w:id="2">
    <w:p w14:paraId="6C4CBA63" w14:textId="13514343" w:rsidR="005C1553" w:rsidRPr="00202B77" w:rsidRDefault="005C1553" w:rsidP="00202B77">
      <w:pPr>
        <w:pStyle w:val="FootnoteText"/>
        <w:rPr>
          <w:rFonts w:ascii="Times New Roman" w:hAnsi="Times New Roman" w:cs="Times New Roman"/>
        </w:rPr>
      </w:pPr>
      <w:r w:rsidRPr="00202B77">
        <w:rPr>
          <w:rStyle w:val="FootnoteReference"/>
          <w:rFonts w:ascii="Times New Roman" w:hAnsi="Times New Roman" w:cs="Times New Roman"/>
          <w:vertAlign w:val="superscript"/>
        </w:rPr>
        <w:footnoteRef/>
      </w:r>
      <w:r w:rsidRPr="00202B77">
        <w:rPr>
          <w:rFonts w:ascii="Times New Roman" w:hAnsi="Times New Roman" w:cs="Times New Roman"/>
        </w:rPr>
        <w:t xml:space="preserve"> The Energy Policy Act of 2005, Pub. L. No 109-58, Title XII, Subtitle A, 119 Stat. 594, 941 (2005), codified at 16 U.S.C. 824o</w:t>
      </w:r>
      <w:r w:rsidR="007F58F9">
        <w:rPr>
          <w:rFonts w:ascii="Times New Roman" w:hAnsi="Times New Roman" w:cs="Times New Roman"/>
        </w:rPr>
        <w:t>.</w:t>
      </w:r>
    </w:p>
  </w:footnote>
  <w:footnote w:id="3">
    <w:p w14:paraId="569769E4" w14:textId="2F8E1F9B" w:rsidR="00E84EF3" w:rsidRPr="00202B77" w:rsidRDefault="00E84EF3" w:rsidP="00202B77">
      <w:pPr>
        <w:pStyle w:val="FootnoteText"/>
        <w:rPr>
          <w:rFonts w:ascii="Times New Roman" w:hAnsi="Times New Roman" w:cs="Times New Roman"/>
        </w:rPr>
      </w:pPr>
      <w:r w:rsidRPr="00165760">
        <w:rPr>
          <w:rStyle w:val="FootnoteReference"/>
          <w:rFonts w:ascii="Times New Roman" w:hAnsi="Times New Roman" w:cs="Times New Roman"/>
          <w:vertAlign w:val="superscript"/>
        </w:rPr>
        <w:footnoteRef/>
      </w:r>
      <w:r w:rsidRPr="00165760">
        <w:rPr>
          <w:rFonts w:ascii="Times New Roman" w:hAnsi="Times New Roman" w:cs="Times New Roman"/>
          <w:vertAlign w:val="superscript"/>
        </w:rPr>
        <w:t xml:space="preserve"> </w:t>
      </w:r>
      <w:r w:rsidRPr="00202B77">
        <w:rPr>
          <w:rFonts w:ascii="Times New Roman" w:hAnsi="Times New Roman" w:cs="Times New Roman"/>
        </w:rPr>
        <w:t xml:space="preserve">16 U.S.C. 824o(d)(2). </w:t>
      </w:r>
    </w:p>
  </w:footnote>
  <w:footnote w:id="4">
    <w:p w14:paraId="120B58DE" w14:textId="61818AC8" w:rsidR="00E84EF3" w:rsidRPr="00202B77" w:rsidRDefault="00E84EF3" w:rsidP="00202B77">
      <w:pPr>
        <w:pStyle w:val="FootnoteText"/>
        <w:rPr>
          <w:rFonts w:ascii="Times New Roman" w:hAnsi="Times New Roman" w:cs="Times New Roman"/>
        </w:rPr>
      </w:pPr>
      <w:r w:rsidRPr="00165760">
        <w:rPr>
          <w:rStyle w:val="FootnoteReference"/>
          <w:rFonts w:ascii="Times New Roman" w:hAnsi="Times New Roman" w:cs="Times New Roman"/>
          <w:vertAlign w:val="superscript"/>
        </w:rPr>
        <w:footnoteRef/>
      </w:r>
      <w:r w:rsidRPr="00165760">
        <w:rPr>
          <w:rFonts w:ascii="Times New Roman" w:hAnsi="Times New Roman" w:cs="Times New Roman"/>
          <w:vertAlign w:val="superscript"/>
        </w:rPr>
        <w:t xml:space="preserve"> </w:t>
      </w:r>
      <w:r w:rsidRPr="00202B77">
        <w:rPr>
          <w:rFonts w:ascii="Times New Roman" w:hAnsi="Times New Roman" w:cs="Times New Roman"/>
        </w:rPr>
        <w:t xml:space="preserve">In Order No. 754, the Commission determined that there is “an issue concerning the study of the non‐operation of non‐redundant primary protection systems; e.g., the study of a single point of failure on protection systems.”  </w:t>
      </w:r>
      <w:r w:rsidRPr="00202B77">
        <w:rPr>
          <w:rFonts w:ascii="Times New Roman" w:hAnsi="Times New Roman" w:cs="Times New Roman"/>
          <w:i/>
        </w:rPr>
        <w:t>Interpretation of Transmission Planning Reliability Standard</w:t>
      </w:r>
      <w:r w:rsidRPr="00202B77">
        <w:rPr>
          <w:rFonts w:ascii="Times New Roman" w:hAnsi="Times New Roman" w:cs="Times New Roman"/>
        </w:rPr>
        <w:t>, Order No. 754, 136 FERC ¶ 61,186, at P 19 (2011).  The phrases “non‐operation of a non‐redundant component of a protection system” and “protection system single points of failure” are used interchangeably in this memorandum.</w:t>
      </w:r>
    </w:p>
  </w:footnote>
  <w:footnote w:id="5">
    <w:p w14:paraId="585CE4E2" w14:textId="77777777" w:rsidR="00E84EF3" w:rsidRPr="00202B77" w:rsidRDefault="00E84EF3" w:rsidP="00202B77">
      <w:pPr>
        <w:pStyle w:val="FootnoteText"/>
        <w:rPr>
          <w:rFonts w:ascii="Times New Roman" w:hAnsi="Times New Roman" w:cs="Times New Roman"/>
        </w:rPr>
      </w:pPr>
      <w:r w:rsidRPr="00165760">
        <w:rPr>
          <w:rStyle w:val="FootnoteReference"/>
          <w:rFonts w:ascii="Times New Roman" w:hAnsi="Times New Roman" w:cs="Times New Roman"/>
          <w:vertAlign w:val="superscript"/>
        </w:rPr>
        <w:footnoteRef/>
      </w:r>
      <w:r w:rsidRPr="00202B77">
        <w:rPr>
          <w:rFonts w:ascii="Times New Roman" w:hAnsi="Times New Roman" w:cs="Times New Roman"/>
        </w:rPr>
        <w:t xml:space="preserve"> </w:t>
      </w:r>
      <w:r w:rsidRPr="00202B77">
        <w:rPr>
          <w:rFonts w:ascii="Times New Roman" w:hAnsi="Times New Roman" w:cs="Times New Roman"/>
          <w:i/>
        </w:rPr>
        <w:t>Transmission Planning Reliability Standards</w:t>
      </w:r>
      <w:r w:rsidRPr="00202B77">
        <w:rPr>
          <w:rFonts w:ascii="Times New Roman" w:hAnsi="Times New Roman" w:cs="Times New Roman"/>
        </w:rPr>
        <w:t>, Order No. 786, 145 FERC ¶ 61,051 (2013).</w:t>
      </w:r>
    </w:p>
  </w:footnote>
  <w:footnote w:id="6">
    <w:p w14:paraId="7EC5A0B1" w14:textId="77777777" w:rsidR="00EE398B" w:rsidRPr="00202B77" w:rsidRDefault="00EE398B" w:rsidP="00202B77">
      <w:pPr>
        <w:pStyle w:val="FootnoteText"/>
        <w:rPr>
          <w:rFonts w:ascii="Times New Roman" w:hAnsi="Times New Roman" w:cs="Times New Roman"/>
        </w:rPr>
      </w:pPr>
      <w:r w:rsidRPr="00165760">
        <w:rPr>
          <w:rStyle w:val="FootnoteReference"/>
          <w:rFonts w:ascii="Times New Roman" w:hAnsi="Times New Roman" w:cs="Times New Roman"/>
          <w:vertAlign w:val="superscript"/>
        </w:rPr>
        <w:footnoteRef/>
      </w:r>
      <w:r w:rsidRPr="00165760">
        <w:rPr>
          <w:rFonts w:ascii="Times New Roman" w:hAnsi="Times New Roman" w:cs="Times New Roman"/>
          <w:vertAlign w:val="superscript"/>
        </w:rPr>
        <w:t xml:space="preserve"> </w:t>
      </w:r>
      <w:r w:rsidRPr="00202B77">
        <w:rPr>
          <w:rFonts w:ascii="Times New Roman" w:hAnsi="Times New Roman" w:cs="Times New Roman"/>
        </w:rPr>
        <w:t>NERC defines “Corrective Action Plan” as, “A list of actions and an associated timetable for implementation to remedy a specific problem.”  Glossary of Terms Used in NERC Reliability Standards (May 13, 2019) (NERC Glossary).</w:t>
      </w:r>
    </w:p>
  </w:footnote>
  <w:footnote w:id="7">
    <w:p w14:paraId="7EB2AA65" w14:textId="77777777" w:rsidR="00EE398B" w:rsidRPr="00202B77" w:rsidRDefault="00EE398B" w:rsidP="00202B77">
      <w:pPr>
        <w:pStyle w:val="FootnoteText"/>
        <w:rPr>
          <w:rFonts w:ascii="Times New Roman" w:hAnsi="Times New Roman" w:cs="Times New Roman"/>
        </w:rPr>
      </w:pPr>
      <w:r w:rsidRPr="00165760">
        <w:rPr>
          <w:rStyle w:val="FootnoteReference"/>
          <w:rFonts w:ascii="Times New Roman" w:hAnsi="Times New Roman" w:cs="Times New Roman"/>
          <w:vertAlign w:val="superscript"/>
        </w:rPr>
        <w:footnoteRef/>
      </w:r>
      <w:r w:rsidRPr="00202B77">
        <w:rPr>
          <w:rFonts w:ascii="Times New Roman" w:hAnsi="Times New Roman" w:cs="Times New Roman"/>
        </w:rPr>
        <w:t xml:space="preserve"> NERC defines “Cascading” as, “The uncontrolled successive loss of System Elements triggered by an incident at any location.  Cascading results in widespread electric service interruption that cannot be restrained from sequentially spreading beyond an area predetermined by studies.”  NERC Glossary.</w:t>
      </w:r>
    </w:p>
  </w:footnote>
  <w:footnote w:id="8">
    <w:p w14:paraId="273FEDE3" w14:textId="77777777" w:rsidR="005C1553" w:rsidRPr="00202B77" w:rsidRDefault="005C1553" w:rsidP="00202B77">
      <w:pPr>
        <w:pStyle w:val="FootnoteText"/>
        <w:rPr>
          <w:rFonts w:ascii="Times New Roman" w:hAnsi="Times New Roman" w:cs="Times New Roman"/>
        </w:rPr>
      </w:pPr>
      <w:r w:rsidRPr="00202B77">
        <w:rPr>
          <w:rStyle w:val="FootnoteReference"/>
          <w:rFonts w:ascii="Times New Roman" w:hAnsi="Times New Roman" w:cs="Times New Roman"/>
          <w:vertAlign w:val="superscript"/>
        </w:rPr>
        <w:footnoteRef/>
      </w:r>
      <w:r w:rsidRPr="00202B77">
        <w:rPr>
          <w:rFonts w:ascii="Times New Roman" w:hAnsi="Times New Roman" w:cs="Times New Roman"/>
          <w:vertAlign w:val="superscript"/>
        </w:rPr>
        <w:t xml:space="preserve"> </w:t>
      </w:r>
      <w:r w:rsidRPr="00202B77">
        <w:rPr>
          <w:rFonts w:ascii="Times New Roman" w:hAnsi="Times New Roman" w:cs="Times New Roman"/>
        </w:rPr>
        <w:t xml:space="preserve">Details of the current ERO Reliability Standard processes are available in Appendix 3A of the NERC Rules of Procedure on the NERC website at </w:t>
      </w:r>
      <w:r w:rsidRPr="00202B77">
        <w:rPr>
          <w:rStyle w:val="Hyperlink"/>
          <w:rFonts w:ascii="Times New Roman" w:hAnsi="Times New Roman"/>
        </w:rPr>
        <w:t>https://www.nerc.com/AboutNERC/Pages/Rules-of-Procedure.aspx</w:t>
      </w:r>
      <w:r w:rsidRPr="00202B77">
        <w:rPr>
          <w:rFonts w:ascii="Times New Roman" w:hAnsi="Times New Roman" w:cs="Times New Roman"/>
        </w:rPr>
        <w:t>.</w:t>
      </w:r>
    </w:p>
  </w:footnote>
  <w:footnote w:id="9">
    <w:p w14:paraId="5A95E76B" w14:textId="5B69CB73" w:rsidR="001F5AC0" w:rsidRPr="00202B77" w:rsidRDefault="001F5AC0" w:rsidP="00202B77">
      <w:pPr>
        <w:pStyle w:val="FootnoteText"/>
        <w:rPr>
          <w:rFonts w:ascii="Times New Roman" w:hAnsi="Times New Roman" w:cs="Times New Roman"/>
          <w:lang w:val="fr-FR"/>
        </w:rPr>
      </w:pPr>
      <w:r w:rsidRPr="00202B77">
        <w:rPr>
          <w:rStyle w:val="FootnoteReference"/>
          <w:rFonts w:ascii="Times New Roman" w:hAnsi="Times New Roman" w:cs="Times New Roman"/>
          <w:vertAlign w:val="superscript"/>
        </w:rPr>
        <w:footnoteRef/>
      </w:r>
      <w:r w:rsidRPr="00202B77">
        <w:rPr>
          <w:rFonts w:ascii="Times New Roman" w:hAnsi="Times New Roman" w:cs="Times New Roman"/>
          <w:lang w:val="fr-FR"/>
        </w:rPr>
        <w:t xml:space="preserve"> 5 CFR 1320.</w:t>
      </w:r>
    </w:p>
  </w:footnote>
  <w:footnote w:id="10">
    <w:p w14:paraId="2F7B14A1" w14:textId="0A500DB4" w:rsidR="007B602E" w:rsidRPr="00632B8B" w:rsidRDefault="007B602E">
      <w:pPr>
        <w:pStyle w:val="FootnoteText"/>
        <w:rPr>
          <w:rFonts w:ascii="Times New Roman" w:hAnsi="Times New Roman" w:cs="Times New Roman"/>
        </w:rPr>
      </w:pPr>
      <w:r w:rsidRPr="00632B8B">
        <w:rPr>
          <w:rStyle w:val="FootnoteReference"/>
          <w:rFonts w:ascii="Times New Roman" w:hAnsi="Times New Roman" w:cs="Times New Roman"/>
          <w:vertAlign w:val="superscript"/>
        </w:rPr>
        <w:footnoteRef/>
      </w:r>
      <w:r w:rsidRPr="00632B8B">
        <w:rPr>
          <w:rFonts w:ascii="Times New Roman" w:hAnsi="Times New Roman" w:cs="Times New Roman"/>
        </w:rPr>
        <w:t xml:space="preserve"> The Final Rule is posted in FERC’s eLibrary at </w:t>
      </w:r>
      <w:hyperlink r:id="rId1" w:history="1">
        <w:r w:rsidRPr="00632B8B">
          <w:rPr>
            <w:rStyle w:val="Hyperlink"/>
            <w:rFonts w:ascii="Times New Roman" w:hAnsi="Times New Roman"/>
          </w:rPr>
          <w:t>https://elibrary.ferc.gov/idmws/common/opennat.asp?fileID=15449120</w:t>
        </w:r>
      </w:hyperlink>
      <w:r w:rsidRPr="00632B8B">
        <w:rPr>
          <w:rFonts w:ascii="Times New Roman" w:hAnsi="Times New Roman" w:cs="Times New Roman"/>
        </w:rPr>
        <w:t xml:space="preserve"> .</w:t>
      </w:r>
    </w:p>
  </w:footnote>
  <w:footnote w:id="11">
    <w:p w14:paraId="43DBD86D" w14:textId="77777777" w:rsidR="006D4055" w:rsidRPr="00202B77" w:rsidRDefault="006D4055" w:rsidP="00202B77">
      <w:pPr>
        <w:pStyle w:val="FootnoteText"/>
        <w:rPr>
          <w:rFonts w:ascii="Times New Roman" w:hAnsi="Times New Roman" w:cs="Times New Roman"/>
        </w:rPr>
      </w:pPr>
      <w:r w:rsidRPr="00202B77">
        <w:rPr>
          <w:rStyle w:val="FootnoteReference"/>
          <w:rFonts w:ascii="Times New Roman" w:hAnsi="Times New Roman" w:cs="Times New Roman"/>
          <w:vertAlign w:val="superscript"/>
        </w:rPr>
        <w:footnoteRef/>
      </w:r>
      <w:r w:rsidRPr="00202B77">
        <w:rPr>
          <w:rFonts w:ascii="Times New Roman" w:hAnsi="Times New Roman" w:cs="Times New Roman"/>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5 CFR § 1320.3.</w:t>
      </w:r>
    </w:p>
  </w:footnote>
  <w:footnote w:id="12">
    <w:p w14:paraId="355DAFE1" w14:textId="77777777" w:rsidR="00803E4C" w:rsidRDefault="00E060AA">
      <w:pPr>
        <w:pStyle w:val="FootnoteText"/>
        <w:rPr>
          <w:rFonts w:ascii="Times New Roman" w:hAnsi="Times New Roman" w:cs="Times New Roman"/>
        </w:rPr>
      </w:pPr>
      <w:r w:rsidRPr="004D12B1">
        <w:rPr>
          <w:rStyle w:val="FootnoteReference"/>
          <w:rFonts w:ascii="Times New Roman" w:hAnsi="Times New Roman" w:cs="Times New Roman"/>
          <w:vertAlign w:val="superscript"/>
        </w:rPr>
        <w:footnoteRef/>
      </w:r>
      <w:r w:rsidRPr="004D12B1">
        <w:rPr>
          <w:rFonts w:ascii="Times New Roman" w:hAnsi="Times New Roman" w:cs="Times New Roman"/>
          <w:vertAlign w:val="superscript"/>
        </w:rPr>
        <w:t xml:space="preserve"> </w:t>
      </w:r>
      <w:r w:rsidRPr="004D12B1">
        <w:rPr>
          <w:rFonts w:ascii="Times New Roman" w:hAnsi="Times New Roman" w:cs="Times New Roman"/>
        </w:rPr>
        <w:t xml:space="preserve">Hourly costs are based on the Bureau of Labor Statistics (BLS) figures for May 2018 (Sector 22, Utilities) for wages (https://www.bls.gov/oes/current/naics2_22.htm) and benefits (https://www.bls.gov/news.release/ecec.nr0.htm).  </w:t>
      </w:r>
    </w:p>
    <w:p w14:paraId="1D407915" w14:textId="546B6F01" w:rsidR="00E060AA" w:rsidRPr="004D12B1" w:rsidRDefault="00E060AA">
      <w:pPr>
        <w:pStyle w:val="FootnoteText"/>
        <w:rPr>
          <w:rFonts w:ascii="Times New Roman" w:hAnsi="Times New Roman" w:cs="Times New Roman"/>
        </w:rPr>
      </w:pPr>
      <w:r w:rsidRPr="004D12B1">
        <w:rPr>
          <w:rFonts w:ascii="Times New Roman" w:hAnsi="Times New Roman" w:cs="Times New Roman"/>
        </w:rPr>
        <w:t>We estimate that Office and Administrative Support (Occupation code: 43-0000) would perform the functions associated with recordkeeping requirements, at an average hourly cost (for wages and benefits</w:t>
      </w:r>
      <w:r w:rsidRPr="006C5CAE">
        <w:rPr>
          <w:rFonts w:ascii="Times New Roman" w:hAnsi="Times New Roman" w:cs="Times New Roman"/>
        </w:rPr>
        <w:t>) of $42.11.</w:t>
      </w:r>
      <w:r w:rsidRPr="004D12B1">
        <w:rPr>
          <w:rFonts w:ascii="Times New Roman" w:hAnsi="Times New Roman" w:cs="Times New Roman"/>
        </w:rPr>
        <w:t xml:space="preserve">  We estimate the functions associated with reporting requirements would be performed by an Electrical Engineer (Occupation code: 17-2051) at an average hourly cost (including wages and benefits) of $68.17.  These occupational categories’ wage figures are averaged and weighted equally as follows: ($42.11</w:t>
      </w:r>
      <w:r w:rsidR="00D06FEC">
        <w:rPr>
          <w:rFonts w:ascii="Times New Roman" w:hAnsi="Times New Roman" w:cs="Times New Roman"/>
        </w:rPr>
        <w:t>/</w:t>
      </w:r>
      <w:r w:rsidRPr="004D12B1">
        <w:rPr>
          <w:rFonts w:ascii="Times New Roman" w:hAnsi="Times New Roman" w:cs="Times New Roman"/>
        </w:rPr>
        <w:t>hour + $68.17</w:t>
      </w:r>
      <w:r w:rsidR="00D06FEC">
        <w:rPr>
          <w:rFonts w:ascii="Times New Roman" w:hAnsi="Times New Roman" w:cs="Times New Roman"/>
        </w:rPr>
        <w:t>/</w:t>
      </w:r>
      <w:r w:rsidRPr="004D12B1">
        <w:rPr>
          <w:rFonts w:ascii="Times New Roman" w:hAnsi="Times New Roman" w:cs="Times New Roman"/>
        </w:rPr>
        <w:t xml:space="preserve">hour) ÷ 2 = $55.14/hour.  The resulting wage figure is rounded to $55.00/hour for use </w:t>
      </w:r>
      <w:r w:rsidR="003D374F">
        <w:rPr>
          <w:rFonts w:ascii="Times New Roman" w:hAnsi="Times New Roman" w:cs="Times New Roman"/>
        </w:rPr>
        <w:t xml:space="preserve">for reporting and recordkeeping requirements </w:t>
      </w:r>
      <w:r w:rsidRPr="004D12B1">
        <w:rPr>
          <w:rFonts w:ascii="Times New Roman" w:hAnsi="Times New Roman" w:cs="Times New Roman"/>
        </w:rPr>
        <w:t>in calculating wage figures in the final rule in Docket No. RM19-10-000.</w:t>
      </w:r>
    </w:p>
  </w:footnote>
  <w:footnote w:id="13">
    <w:p w14:paraId="3FE8BF38" w14:textId="0B7D9E68" w:rsidR="00E060AA" w:rsidRDefault="00E060AA" w:rsidP="00E060AA">
      <w:pPr>
        <w:pStyle w:val="FootnoteText"/>
      </w:pPr>
      <w:r w:rsidRPr="004D12B1">
        <w:rPr>
          <w:rStyle w:val="FootnoteReference"/>
          <w:rFonts w:ascii="Times New Roman" w:hAnsi="Times New Roman" w:cs="Times New Roman"/>
          <w:vertAlign w:val="superscript"/>
        </w:rPr>
        <w:footnoteRef/>
      </w:r>
      <w:r w:rsidRPr="004D12B1">
        <w:rPr>
          <w:rFonts w:ascii="Times New Roman" w:hAnsi="Times New Roman" w:cs="Times New Roman"/>
        </w:rPr>
        <w:t xml:space="preserve"> The number of respondents is based on the NERC Registry on November 21, 2019, which showed 8 entities registered as Planning Coordinators (PCs), 139 entities registered as Transmission Planners (TPs), and 67 entities registered as both PCs and TPs.</w:t>
      </w:r>
      <w:r>
        <w:t xml:space="preserve"> </w:t>
      </w:r>
    </w:p>
  </w:footnote>
  <w:footnote w:id="14">
    <w:p w14:paraId="22038499" w14:textId="0A8609E3" w:rsidR="00640723" w:rsidRPr="00632B8B" w:rsidRDefault="00640723">
      <w:pPr>
        <w:pStyle w:val="FootnoteText"/>
        <w:rPr>
          <w:rFonts w:ascii="Times New Roman" w:hAnsi="Times New Roman" w:cs="Times New Roman"/>
        </w:rPr>
      </w:pPr>
      <w:r w:rsidRPr="006C5CAE">
        <w:rPr>
          <w:rStyle w:val="FootnoteReference"/>
          <w:rFonts w:ascii="Times New Roman" w:hAnsi="Times New Roman" w:cs="Times New Roman"/>
          <w:vertAlign w:val="superscript"/>
        </w:rPr>
        <w:footnoteRef/>
      </w:r>
      <w:r w:rsidRPr="006C5CAE">
        <w:rPr>
          <w:rFonts w:ascii="Times New Roman" w:hAnsi="Times New Roman" w:cs="Times New Roman"/>
          <w:vertAlign w:val="superscript"/>
        </w:rPr>
        <w:t xml:space="preserve"> </w:t>
      </w:r>
      <w:r w:rsidRPr="006C5CAE">
        <w:rPr>
          <w:rFonts w:ascii="Times New Roman" w:eastAsia="Times New Roman" w:hAnsi="Times New Roman" w:cs="Times New Roman"/>
          <w:szCs w:val="24"/>
        </w:rPr>
        <w:t>TPL-001-5 Table 1 planning event (Category P5) and extreme events (Stability 2.a-h) and the associated footnote 13.</w:t>
      </w:r>
    </w:p>
  </w:footnote>
  <w:footnote w:id="15">
    <w:p w14:paraId="568BD73B" w14:textId="0EE1D1BA" w:rsidR="00640723" w:rsidRPr="006C5CAE" w:rsidRDefault="00640723">
      <w:pPr>
        <w:pStyle w:val="FootnoteText"/>
        <w:rPr>
          <w:rFonts w:ascii="Times New Roman" w:hAnsi="Times New Roman" w:cs="Times New Roman"/>
        </w:rPr>
      </w:pPr>
      <w:r w:rsidRPr="006C5CAE">
        <w:rPr>
          <w:rStyle w:val="FootnoteReference"/>
          <w:rFonts w:ascii="Times New Roman" w:hAnsi="Times New Roman" w:cs="Times New Roman"/>
          <w:vertAlign w:val="superscript"/>
        </w:rPr>
        <w:footnoteRef/>
      </w:r>
      <w:r w:rsidRPr="006C5CAE">
        <w:rPr>
          <w:rFonts w:ascii="Times New Roman" w:hAnsi="Times New Roman" w:cs="Times New Roman"/>
          <w:vertAlign w:val="superscript"/>
        </w:rPr>
        <w:t xml:space="preserve"> </w:t>
      </w:r>
      <w:r w:rsidRPr="006C5CAE">
        <w:rPr>
          <w:rFonts w:ascii="Times New Roman" w:hAnsi="Times New Roman" w:cs="Times New Roman"/>
        </w:rPr>
        <w:t>TPL-001-5 Requirement R2.1.5 and R2.4.5</w:t>
      </w:r>
    </w:p>
  </w:footnote>
  <w:footnote w:id="16">
    <w:p w14:paraId="243E6B95" w14:textId="0FFE218E" w:rsidR="00640723" w:rsidRDefault="00640723">
      <w:pPr>
        <w:pStyle w:val="FootnoteText"/>
      </w:pPr>
      <w:r w:rsidRPr="006C5CAE">
        <w:rPr>
          <w:rStyle w:val="FootnoteReference"/>
          <w:rFonts w:ascii="Times New Roman" w:hAnsi="Times New Roman" w:cs="Times New Roman"/>
          <w:vertAlign w:val="superscript"/>
        </w:rPr>
        <w:footnoteRef/>
      </w:r>
      <w:r w:rsidRPr="006C5CAE">
        <w:rPr>
          <w:rFonts w:ascii="Times New Roman" w:hAnsi="Times New Roman" w:cs="Times New Roman"/>
        </w:rPr>
        <w:t xml:space="preserve"> TPL-001-5 Requirement R1, R2.1.4, and R2.4.4.</w:t>
      </w:r>
    </w:p>
  </w:footnote>
  <w:footnote w:id="17">
    <w:p w14:paraId="653650D0" w14:textId="4AB2B806" w:rsidR="006C5CAE" w:rsidRPr="00632B8B" w:rsidRDefault="006C5CAE">
      <w:pPr>
        <w:pStyle w:val="FootnoteText"/>
        <w:rPr>
          <w:rFonts w:ascii="Times New Roman" w:hAnsi="Times New Roman" w:cs="Times New Roman"/>
        </w:rPr>
      </w:pPr>
      <w:r w:rsidRPr="005F223B">
        <w:rPr>
          <w:rStyle w:val="FootnoteReference"/>
          <w:rFonts w:ascii="Times New Roman" w:hAnsi="Times New Roman" w:cs="Times New Roman"/>
          <w:vertAlign w:val="superscript"/>
        </w:rPr>
        <w:footnoteRef/>
      </w:r>
      <w:r w:rsidRPr="005F223B">
        <w:rPr>
          <w:rFonts w:ascii="Times New Roman" w:hAnsi="Times New Roman" w:cs="Times New Roman"/>
          <w:vertAlign w:val="superscript"/>
        </w:rPr>
        <w:t xml:space="preserve"> </w:t>
      </w:r>
      <w:r w:rsidRPr="005F223B">
        <w:rPr>
          <w:rFonts w:ascii="Times New Roman" w:hAnsi="Times New Roman" w:cs="Times New Roman"/>
        </w:rPr>
        <w:t>The same 214 PCs and TPs</w:t>
      </w:r>
      <w:r>
        <w:rPr>
          <w:rFonts w:ascii="Times New Roman" w:hAnsi="Times New Roman" w:cs="Times New Roman"/>
        </w:rPr>
        <w:t xml:space="preserve"> are performing </w:t>
      </w:r>
      <w:r w:rsidR="000A7BE0">
        <w:rPr>
          <w:rFonts w:ascii="Times New Roman" w:hAnsi="Times New Roman" w:cs="Times New Roman"/>
        </w:rPr>
        <w:t xml:space="preserve">all of </w:t>
      </w:r>
      <w:r>
        <w:rPr>
          <w:rFonts w:ascii="Times New Roman" w:hAnsi="Times New Roman" w:cs="Times New Roman"/>
        </w:rPr>
        <w:t xml:space="preserve">the reporting and recordkeeping </w:t>
      </w:r>
      <w:r w:rsidR="000A7BE0">
        <w:rPr>
          <w:rFonts w:ascii="Times New Roman" w:hAnsi="Times New Roman" w:cs="Times New Roman"/>
        </w:rPr>
        <w:t>functions</w:t>
      </w:r>
      <w:r>
        <w:rPr>
          <w:rFonts w:ascii="Times New Roman" w:hAnsi="Times New Roman" w:cs="Times New Roman"/>
        </w:rPr>
        <w:t xml:space="preserve">, so we </w:t>
      </w:r>
      <w:r w:rsidR="000A7BE0">
        <w:rPr>
          <w:rFonts w:ascii="Times New Roman" w:hAnsi="Times New Roman" w:cs="Times New Roman"/>
        </w:rPr>
        <w:t>are counting it as one (1) response per entity, giving a total of 214 entities.</w:t>
      </w:r>
    </w:p>
  </w:footnote>
  <w:footnote w:id="18">
    <w:p w14:paraId="3A4B15BE" w14:textId="38B82AC2" w:rsidR="00202B77" w:rsidRPr="00202B77" w:rsidRDefault="00202B77" w:rsidP="00202B77">
      <w:pPr>
        <w:pStyle w:val="FootnoteText"/>
        <w:rPr>
          <w:rFonts w:ascii="Times New Roman" w:hAnsi="Times New Roman" w:cs="Times New Roman"/>
        </w:rPr>
      </w:pPr>
      <w:r w:rsidRPr="00202B77">
        <w:rPr>
          <w:rStyle w:val="FootnoteReference"/>
          <w:rFonts w:ascii="Times New Roman" w:hAnsi="Times New Roman" w:cs="Times New Roman"/>
          <w:vertAlign w:val="superscript"/>
        </w:rPr>
        <w:footnoteRef/>
      </w:r>
      <w:r w:rsidRPr="00202B77">
        <w:rPr>
          <w:rFonts w:ascii="Times New Roman" w:hAnsi="Times New Roman" w:cs="Times New Roman"/>
          <w:vertAlign w:val="superscript"/>
        </w:rPr>
        <w:t xml:space="preserve"> </w:t>
      </w:r>
      <w:r w:rsidRPr="00202B77">
        <w:rPr>
          <w:rFonts w:ascii="Times New Roman" w:hAnsi="Times New Roman" w:cs="Times New Roman"/>
        </w:rPr>
        <w:t>Based upon FERC’s 201</w:t>
      </w:r>
      <w:r w:rsidR="00301B6D">
        <w:rPr>
          <w:rFonts w:ascii="Times New Roman" w:hAnsi="Times New Roman" w:cs="Times New Roman"/>
        </w:rPr>
        <w:t>9</w:t>
      </w:r>
      <w:r w:rsidRPr="00202B77">
        <w:rPr>
          <w:rFonts w:ascii="Times New Roman" w:hAnsi="Times New Roman" w:cs="Times New Roman"/>
        </w:rPr>
        <w:t xml:space="preserve"> estimated average annual PRA Administrative Cost: $</w:t>
      </w:r>
      <w:r w:rsidR="00301B6D">
        <w:rPr>
          <w:rFonts w:ascii="Times New Roman" w:hAnsi="Times New Roman" w:cs="Times New Roman"/>
        </w:rPr>
        <w:t>4,832</w:t>
      </w:r>
      <w:r w:rsidR="005B05DE">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832F5" w14:textId="77777777" w:rsidR="00C413AD" w:rsidRDefault="00C41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51A21" w14:textId="2F5064F0" w:rsidR="00DE3CEF" w:rsidRPr="00790CE6" w:rsidRDefault="00A43C6B" w:rsidP="00B3407F">
    <w:pPr>
      <w:pStyle w:val="Header"/>
      <w:rPr>
        <w:rFonts w:ascii="Times New Roman" w:hAnsi="Times New Roman"/>
        <w:sz w:val="24"/>
        <w:szCs w:val="24"/>
      </w:rPr>
    </w:pPr>
    <w:r>
      <w:rPr>
        <w:rFonts w:ascii="Times New Roman" w:hAnsi="Times New Roman"/>
        <w:i/>
        <w:noProof/>
        <w:sz w:val="24"/>
        <w:szCs w:val="24"/>
      </w:rPr>
      <mc:AlternateContent>
        <mc:Choice Requires="wps">
          <w:drawing>
            <wp:anchor distT="0" distB="0" distL="114300" distR="114300" simplePos="0" relativeHeight="251659264" behindDoc="0" locked="0" layoutInCell="0" allowOverlap="1" wp14:anchorId="6C25F571" wp14:editId="5FBDDD47">
              <wp:simplePos x="0" y="0"/>
              <wp:positionH relativeFrom="page">
                <wp:posOffset>0</wp:posOffset>
              </wp:positionH>
              <wp:positionV relativeFrom="page">
                <wp:posOffset>190500</wp:posOffset>
              </wp:positionV>
              <wp:extent cx="7772400" cy="266700"/>
              <wp:effectExtent l="0" t="0" r="0" b="0"/>
              <wp:wrapNone/>
              <wp:docPr id="1" name="MSIPCM791745c29670e4aa131e2b16" descr="{&quot;HashCode&quot;:-17513996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774C08" w14:textId="09066181" w:rsidR="00A43C6B" w:rsidRPr="00A43C6B" w:rsidRDefault="00A43C6B" w:rsidP="00A43C6B">
                          <w:pPr>
                            <w:spacing w:after="0"/>
                            <w:jc w:val="center"/>
                            <w:rPr>
                              <w:rFonts w:ascii="Times New Roman" w:hAnsi="Times New Roman" w:cs="Times New Roman"/>
                              <w:color w:val="A8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C25F571" id="_x0000_t202" coordsize="21600,21600" o:spt="202" path="m,l,21600r21600,l21600,xe">
              <v:stroke joinstyle="miter"/>
              <v:path gradientshapeok="t" o:connecttype="rect"/>
            </v:shapetype>
            <v:shape id="MSIPCM791745c29670e4aa131e2b16" o:spid="_x0000_s1026" type="#_x0000_t202" alt="{&quot;HashCode&quot;:-175139966,&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" o:allowincell="f" filled="f" stroked="f" strokeweight=".5pt">
              <v:textbox inset=",0,,0">
                <w:txbxContent>
                  <w:p w14:paraId="5C774C08" w14:textId="09066181" w:rsidR="00A43C6B" w:rsidRPr="00A43C6B" w:rsidRDefault="00A43C6B" w:rsidP="00A43C6B">
                    <w:pPr>
                      <w:spacing w:after="0"/>
                      <w:jc w:val="center"/>
                      <w:rPr>
                        <w:rFonts w:ascii="Times New Roman" w:hAnsi="Times New Roman" w:cs="Times New Roman"/>
                        <w:color w:val="A80000"/>
                        <w:sz w:val="26"/>
                      </w:rPr>
                    </w:pPr>
                  </w:p>
                </w:txbxContent>
              </v:textbox>
              <w10:wrap anchorx="page" anchory="page"/>
            </v:shape>
          </w:pict>
        </mc:Fallback>
      </mc:AlternateContent>
    </w:r>
    <w:r w:rsidR="00810D56" w:rsidRPr="00790CE6">
      <w:rPr>
        <w:rFonts w:ascii="Times New Roman" w:hAnsi="Times New Roman"/>
        <w:sz w:val="24"/>
        <w:szCs w:val="24"/>
      </w:rPr>
      <w:t>FERC-725N (OMB Control No.: 1902-0264)</w:t>
    </w:r>
    <w:r w:rsidR="00810D56" w:rsidRPr="00790CE6">
      <w:rPr>
        <w:rFonts w:ascii="Times New Roman" w:hAnsi="Times New Roman"/>
        <w:b/>
        <w:sz w:val="24"/>
        <w:szCs w:val="24"/>
      </w:rPr>
      <w:t xml:space="preserve"> </w:t>
    </w:r>
  </w:p>
  <w:p w14:paraId="1DC84912" w14:textId="0A4EB870" w:rsidR="00DE3CEF" w:rsidRDefault="00810D56" w:rsidP="00B3407F">
    <w:pPr>
      <w:pStyle w:val="Header"/>
      <w:rPr>
        <w:rFonts w:ascii="Times New Roman" w:hAnsi="Times New Roman"/>
        <w:sz w:val="24"/>
        <w:szCs w:val="24"/>
      </w:rPr>
    </w:pPr>
    <w:r w:rsidRPr="00E767F2">
      <w:rPr>
        <w:rFonts w:ascii="Times New Roman" w:hAnsi="Times New Roman"/>
        <w:sz w:val="24"/>
        <w:szCs w:val="24"/>
      </w:rPr>
      <w:t>Docket No. RM1</w:t>
    </w:r>
    <w:r w:rsidR="002F2BB0">
      <w:rPr>
        <w:rFonts w:ascii="Times New Roman" w:hAnsi="Times New Roman"/>
        <w:sz w:val="24"/>
        <w:szCs w:val="24"/>
      </w:rPr>
      <w:t>9-10-000,</w:t>
    </w:r>
    <w:r w:rsidRPr="00790CE6">
      <w:rPr>
        <w:rFonts w:ascii="Times New Roman" w:hAnsi="Times New Roman"/>
        <w:sz w:val="24"/>
        <w:szCs w:val="24"/>
      </w:rPr>
      <w:t xml:space="preserve"> </w:t>
    </w:r>
    <w:r w:rsidR="004C4A2A">
      <w:rPr>
        <w:rFonts w:ascii="Times New Roman" w:hAnsi="Times New Roman"/>
        <w:sz w:val="24"/>
        <w:szCs w:val="24"/>
      </w:rPr>
      <w:t xml:space="preserve">Final Rule </w:t>
    </w:r>
    <w:r w:rsidRPr="004F18C0">
      <w:rPr>
        <w:rFonts w:ascii="Times New Roman" w:hAnsi="Times New Roman"/>
        <w:sz w:val="24"/>
        <w:szCs w:val="24"/>
      </w:rPr>
      <w:t xml:space="preserve"> </w:t>
    </w:r>
    <w:r w:rsidR="004C4A2A">
      <w:rPr>
        <w:rFonts w:ascii="Times New Roman" w:hAnsi="Times New Roman"/>
        <w:sz w:val="24"/>
        <w:szCs w:val="24"/>
      </w:rPr>
      <w:t>(</w:t>
    </w:r>
    <w:r w:rsidRPr="00C413AD">
      <w:rPr>
        <w:rFonts w:ascii="Times New Roman" w:hAnsi="Times New Roman"/>
        <w:sz w:val="24"/>
        <w:szCs w:val="24"/>
      </w:rPr>
      <w:t xml:space="preserve">issued </w:t>
    </w:r>
    <w:r w:rsidR="00C413AD" w:rsidRPr="00C413AD">
      <w:rPr>
        <w:rFonts w:ascii="Times New Roman" w:hAnsi="Times New Roman"/>
        <w:sz w:val="24"/>
        <w:szCs w:val="24"/>
      </w:rPr>
      <w:t>1/23</w:t>
    </w:r>
    <w:r w:rsidR="004C4A2A" w:rsidRPr="00C413AD">
      <w:rPr>
        <w:rFonts w:ascii="Times New Roman" w:hAnsi="Times New Roman"/>
        <w:sz w:val="24"/>
        <w:szCs w:val="24"/>
      </w:rPr>
      <w:t>/2020)</w:t>
    </w:r>
  </w:p>
  <w:p w14:paraId="7A8C4F1B" w14:textId="3E04C38B" w:rsidR="00D71282" w:rsidRPr="00790CE6" w:rsidRDefault="00545983" w:rsidP="00C413AD">
    <w:pPr>
      <w:pStyle w:val="Header"/>
      <w:tabs>
        <w:tab w:val="clear" w:pos="4680"/>
        <w:tab w:val="clear" w:pos="9360"/>
        <w:tab w:val="left" w:pos="2980"/>
      </w:tabs>
      <w:rPr>
        <w:rFonts w:ascii="Times New Roman" w:hAnsi="Times New Roman"/>
        <w:sz w:val="24"/>
        <w:szCs w:val="24"/>
      </w:rPr>
    </w:pPr>
    <w:r>
      <w:rPr>
        <w:rFonts w:ascii="Times New Roman" w:hAnsi="Times New Roman"/>
        <w:sz w:val="24"/>
        <w:szCs w:val="24"/>
      </w:rPr>
      <w:t>RIN: 1902-AF66</w:t>
    </w:r>
  </w:p>
  <w:p w14:paraId="27A7EC4A" w14:textId="77777777" w:rsidR="00DE3CEF" w:rsidRDefault="008540B1" w:rsidP="00B340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1B462" w14:textId="77777777" w:rsidR="00C413AD" w:rsidRDefault="00C41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1700" w:hanging="540"/>
      </w:pPr>
      <w:rPr>
        <w:rFonts w:ascii="Symbol" w:hAnsi="Symbol" w:cs="Symbol"/>
        <w:b w:val="0"/>
        <w:bCs w:val="0"/>
        <w:sz w:val="24"/>
        <w:szCs w:val="24"/>
      </w:rPr>
    </w:lvl>
    <w:lvl w:ilvl="1">
      <w:numFmt w:val="bullet"/>
      <w:lvlText w:val="•"/>
      <w:lvlJc w:val="left"/>
      <w:pPr>
        <w:ind w:left="2440" w:hanging="540"/>
      </w:pPr>
    </w:lvl>
    <w:lvl w:ilvl="2">
      <w:numFmt w:val="bullet"/>
      <w:lvlText w:val="•"/>
      <w:lvlJc w:val="left"/>
      <w:pPr>
        <w:ind w:left="3180" w:hanging="540"/>
      </w:pPr>
    </w:lvl>
    <w:lvl w:ilvl="3">
      <w:numFmt w:val="bullet"/>
      <w:lvlText w:val="•"/>
      <w:lvlJc w:val="left"/>
      <w:pPr>
        <w:ind w:left="3920" w:hanging="540"/>
      </w:pPr>
    </w:lvl>
    <w:lvl w:ilvl="4">
      <w:numFmt w:val="bullet"/>
      <w:lvlText w:val="•"/>
      <w:lvlJc w:val="left"/>
      <w:pPr>
        <w:ind w:left="4660" w:hanging="540"/>
      </w:pPr>
    </w:lvl>
    <w:lvl w:ilvl="5">
      <w:numFmt w:val="bullet"/>
      <w:lvlText w:val="•"/>
      <w:lvlJc w:val="left"/>
      <w:pPr>
        <w:ind w:left="5400" w:hanging="540"/>
      </w:pPr>
    </w:lvl>
    <w:lvl w:ilvl="6">
      <w:numFmt w:val="bullet"/>
      <w:lvlText w:val="•"/>
      <w:lvlJc w:val="left"/>
      <w:pPr>
        <w:ind w:left="6140" w:hanging="540"/>
      </w:pPr>
    </w:lvl>
    <w:lvl w:ilvl="7">
      <w:numFmt w:val="bullet"/>
      <w:lvlText w:val="•"/>
      <w:lvlJc w:val="left"/>
      <w:pPr>
        <w:ind w:left="6880" w:hanging="540"/>
      </w:pPr>
    </w:lvl>
    <w:lvl w:ilvl="8">
      <w:numFmt w:val="bullet"/>
      <w:lvlText w:val="•"/>
      <w:lvlJc w:val="left"/>
      <w:pPr>
        <w:ind w:left="7620" w:hanging="540"/>
      </w:pPr>
    </w:lvl>
  </w:abstractNum>
  <w:abstractNum w:abstractNumId="1" w15:restartNumberingAfterBreak="0">
    <w:nsid w:val="03340A83"/>
    <w:multiLevelType w:val="hybridMultilevel"/>
    <w:tmpl w:val="C3FC5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C02951"/>
    <w:multiLevelType w:val="hybridMultilevel"/>
    <w:tmpl w:val="7332B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F26DE4"/>
    <w:multiLevelType w:val="hybridMultilevel"/>
    <w:tmpl w:val="14B25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162617"/>
    <w:multiLevelType w:val="hybridMultilevel"/>
    <w:tmpl w:val="1018B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0A3848"/>
    <w:multiLevelType w:val="hybridMultilevel"/>
    <w:tmpl w:val="8B8E3D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586E6A"/>
    <w:multiLevelType w:val="hybridMultilevel"/>
    <w:tmpl w:val="5428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657912"/>
    <w:multiLevelType w:val="hybridMultilevel"/>
    <w:tmpl w:val="FBAE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A77D90"/>
    <w:multiLevelType w:val="hybridMultilevel"/>
    <w:tmpl w:val="82F800C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7D3B09D3"/>
    <w:multiLevelType w:val="hybridMultilevel"/>
    <w:tmpl w:val="05AE5148"/>
    <w:lvl w:ilvl="0" w:tplc="955A0F8E">
      <w:start w:val="1"/>
      <w:numFmt w:val="decimal"/>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color w:val="auto"/>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4E4DD3"/>
    <w:multiLevelType w:val="hybridMultilevel"/>
    <w:tmpl w:val="7CB2385A"/>
    <w:lvl w:ilvl="0" w:tplc="6EAEAA46">
      <w:start w:val="1"/>
      <w:numFmt w:val="decimal"/>
      <w:pStyle w:val="FERCparanumber"/>
      <w:lvlText w:val="%1."/>
      <w:lvlJc w:val="left"/>
      <w:pPr>
        <w:tabs>
          <w:tab w:val="num" w:pos="990"/>
        </w:tabs>
        <w:ind w:left="270" w:firstLine="0"/>
      </w:pPr>
      <w:rPr>
        <w:rFonts w:hint="default"/>
        <w:b w:val="0"/>
        <w:i w:val="0"/>
        <w:sz w:val="26"/>
        <w:szCs w:val="26"/>
      </w:rPr>
    </w:lvl>
    <w:lvl w:ilvl="1" w:tplc="4CE080E6">
      <w:start w:val="3"/>
      <w:numFmt w:val="upperLetter"/>
      <w:lvlText w:val="%2."/>
      <w:lvlJc w:val="left"/>
      <w:pPr>
        <w:tabs>
          <w:tab w:val="num" w:pos="830"/>
        </w:tabs>
        <w:ind w:left="830" w:hanging="660"/>
      </w:pPr>
      <w:rPr>
        <w:rFonts w:hint="default"/>
        <w:b/>
        <w:color w:val="auto"/>
        <w:u w:val="none"/>
      </w:rPr>
    </w:lvl>
    <w:lvl w:ilvl="2" w:tplc="0409001B">
      <w:start w:val="1"/>
      <w:numFmt w:val="lowerRoman"/>
      <w:lvlText w:val="%3."/>
      <w:lvlJc w:val="right"/>
      <w:pPr>
        <w:tabs>
          <w:tab w:val="num" w:pos="1250"/>
        </w:tabs>
        <w:ind w:left="1250" w:hanging="180"/>
      </w:pPr>
      <w:rPr>
        <w:rFonts w:hint="default"/>
      </w:rPr>
    </w:lvl>
    <w:lvl w:ilvl="3" w:tplc="0409000F">
      <w:start w:val="1"/>
      <w:numFmt w:val="decimal"/>
      <w:lvlText w:val="%4."/>
      <w:lvlJc w:val="left"/>
      <w:pPr>
        <w:tabs>
          <w:tab w:val="num" w:pos="1970"/>
        </w:tabs>
        <w:ind w:left="1970" w:hanging="360"/>
      </w:pPr>
    </w:lvl>
    <w:lvl w:ilvl="4" w:tplc="04090019" w:tentative="1">
      <w:start w:val="1"/>
      <w:numFmt w:val="lowerLetter"/>
      <w:lvlText w:val="%5."/>
      <w:lvlJc w:val="left"/>
      <w:pPr>
        <w:tabs>
          <w:tab w:val="num" w:pos="2690"/>
        </w:tabs>
        <w:ind w:left="2690" w:hanging="360"/>
      </w:pPr>
    </w:lvl>
    <w:lvl w:ilvl="5" w:tplc="0409001B" w:tentative="1">
      <w:start w:val="1"/>
      <w:numFmt w:val="lowerRoman"/>
      <w:lvlText w:val="%6."/>
      <w:lvlJc w:val="right"/>
      <w:pPr>
        <w:tabs>
          <w:tab w:val="num" w:pos="3410"/>
        </w:tabs>
        <w:ind w:left="3410" w:hanging="180"/>
      </w:pPr>
    </w:lvl>
    <w:lvl w:ilvl="6" w:tplc="0409000F" w:tentative="1">
      <w:start w:val="1"/>
      <w:numFmt w:val="decimal"/>
      <w:lvlText w:val="%7."/>
      <w:lvlJc w:val="left"/>
      <w:pPr>
        <w:tabs>
          <w:tab w:val="num" w:pos="4130"/>
        </w:tabs>
        <w:ind w:left="4130" w:hanging="360"/>
      </w:pPr>
    </w:lvl>
    <w:lvl w:ilvl="7" w:tplc="04090019" w:tentative="1">
      <w:start w:val="1"/>
      <w:numFmt w:val="lowerLetter"/>
      <w:lvlText w:val="%8."/>
      <w:lvlJc w:val="left"/>
      <w:pPr>
        <w:tabs>
          <w:tab w:val="num" w:pos="4850"/>
        </w:tabs>
        <w:ind w:left="4850" w:hanging="360"/>
      </w:pPr>
    </w:lvl>
    <w:lvl w:ilvl="8" w:tplc="0409001B" w:tentative="1">
      <w:start w:val="1"/>
      <w:numFmt w:val="lowerRoman"/>
      <w:lvlText w:val="%9."/>
      <w:lvlJc w:val="right"/>
      <w:pPr>
        <w:tabs>
          <w:tab w:val="num" w:pos="5570"/>
        </w:tabs>
        <w:ind w:left="5570" w:hanging="180"/>
      </w:pPr>
    </w:lvl>
  </w:abstractNum>
  <w:num w:numId="1">
    <w:abstractNumId w:val="6"/>
  </w:num>
  <w:num w:numId="2">
    <w:abstractNumId w:val="0"/>
  </w:num>
  <w:num w:numId="3">
    <w:abstractNumId w:val="3"/>
  </w:num>
  <w:num w:numId="4">
    <w:abstractNumId w:val="9"/>
  </w:num>
  <w:num w:numId="5">
    <w:abstractNumId w:val="5"/>
  </w:num>
  <w:num w:numId="6">
    <w:abstractNumId w:val="11"/>
  </w:num>
  <w:num w:numId="7">
    <w:abstractNumId w:val="1"/>
  </w:num>
  <w:num w:numId="8">
    <w:abstractNumId w:val="4"/>
  </w:num>
  <w:num w:numId="9">
    <w:abstractNumId w:val="10"/>
  </w:num>
  <w:num w:numId="10">
    <w:abstractNumId w:val="8"/>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553"/>
    <w:rsid w:val="00024F76"/>
    <w:rsid w:val="00030D8C"/>
    <w:rsid w:val="00044DB9"/>
    <w:rsid w:val="00047F5A"/>
    <w:rsid w:val="00053D5B"/>
    <w:rsid w:val="000648FD"/>
    <w:rsid w:val="0007652B"/>
    <w:rsid w:val="000A7BE0"/>
    <w:rsid w:val="000B775F"/>
    <w:rsid w:val="000C3A6A"/>
    <w:rsid w:val="000D2067"/>
    <w:rsid w:val="000D39EC"/>
    <w:rsid w:val="000D7476"/>
    <w:rsid w:val="00100F1D"/>
    <w:rsid w:val="00105056"/>
    <w:rsid w:val="00165760"/>
    <w:rsid w:val="00197B49"/>
    <w:rsid w:val="001E2E39"/>
    <w:rsid w:val="001F5AC0"/>
    <w:rsid w:val="00202B77"/>
    <w:rsid w:val="002050EB"/>
    <w:rsid w:val="0023060C"/>
    <w:rsid w:val="0024648D"/>
    <w:rsid w:val="0028545C"/>
    <w:rsid w:val="002D5BC8"/>
    <w:rsid w:val="002F003B"/>
    <w:rsid w:val="002F2BB0"/>
    <w:rsid w:val="00301B6D"/>
    <w:rsid w:val="003131F2"/>
    <w:rsid w:val="00330F78"/>
    <w:rsid w:val="003A333B"/>
    <w:rsid w:val="003B089A"/>
    <w:rsid w:val="003B4E2F"/>
    <w:rsid w:val="003D374F"/>
    <w:rsid w:val="003D3C99"/>
    <w:rsid w:val="003E26B3"/>
    <w:rsid w:val="00414449"/>
    <w:rsid w:val="00433243"/>
    <w:rsid w:val="004372BF"/>
    <w:rsid w:val="00466218"/>
    <w:rsid w:val="004A0ED0"/>
    <w:rsid w:val="004C29E6"/>
    <w:rsid w:val="004C4A2A"/>
    <w:rsid w:val="004D12B1"/>
    <w:rsid w:val="004E7E34"/>
    <w:rsid w:val="00545983"/>
    <w:rsid w:val="00593B4D"/>
    <w:rsid w:val="005A06DE"/>
    <w:rsid w:val="005B05DE"/>
    <w:rsid w:val="005B369D"/>
    <w:rsid w:val="005C1553"/>
    <w:rsid w:val="005C6C13"/>
    <w:rsid w:val="005D23B8"/>
    <w:rsid w:val="005E25EF"/>
    <w:rsid w:val="005E7D27"/>
    <w:rsid w:val="005F223B"/>
    <w:rsid w:val="00602D53"/>
    <w:rsid w:val="00610DED"/>
    <w:rsid w:val="00620AAB"/>
    <w:rsid w:val="00632B8B"/>
    <w:rsid w:val="00640723"/>
    <w:rsid w:val="00667D65"/>
    <w:rsid w:val="00683C90"/>
    <w:rsid w:val="006C5CAE"/>
    <w:rsid w:val="006D4055"/>
    <w:rsid w:val="0071001B"/>
    <w:rsid w:val="00743011"/>
    <w:rsid w:val="00766EC7"/>
    <w:rsid w:val="007A0960"/>
    <w:rsid w:val="007A62B3"/>
    <w:rsid w:val="007A7C05"/>
    <w:rsid w:val="007B602E"/>
    <w:rsid w:val="007F58F9"/>
    <w:rsid w:val="00803E4C"/>
    <w:rsid w:val="00810D56"/>
    <w:rsid w:val="008540B1"/>
    <w:rsid w:val="008A5DE7"/>
    <w:rsid w:val="008B29E2"/>
    <w:rsid w:val="008D31BE"/>
    <w:rsid w:val="008D752D"/>
    <w:rsid w:val="008E1EFD"/>
    <w:rsid w:val="008E5B16"/>
    <w:rsid w:val="008F6889"/>
    <w:rsid w:val="009231C9"/>
    <w:rsid w:val="009356A9"/>
    <w:rsid w:val="00952E92"/>
    <w:rsid w:val="00971D5F"/>
    <w:rsid w:val="00982EFE"/>
    <w:rsid w:val="00985F33"/>
    <w:rsid w:val="00987A6E"/>
    <w:rsid w:val="009D0233"/>
    <w:rsid w:val="00A12A59"/>
    <w:rsid w:val="00A43C6B"/>
    <w:rsid w:val="00A73D5B"/>
    <w:rsid w:val="00A74248"/>
    <w:rsid w:val="00A82BB4"/>
    <w:rsid w:val="00AB2BD2"/>
    <w:rsid w:val="00AD652F"/>
    <w:rsid w:val="00AD7A16"/>
    <w:rsid w:val="00AE5908"/>
    <w:rsid w:val="00B01E91"/>
    <w:rsid w:val="00B213C3"/>
    <w:rsid w:val="00B35F02"/>
    <w:rsid w:val="00BA3BE6"/>
    <w:rsid w:val="00BC7D21"/>
    <w:rsid w:val="00BE356F"/>
    <w:rsid w:val="00C05ACA"/>
    <w:rsid w:val="00C17ABE"/>
    <w:rsid w:val="00C27E02"/>
    <w:rsid w:val="00C413AD"/>
    <w:rsid w:val="00C73B2B"/>
    <w:rsid w:val="00C814EB"/>
    <w:rsid w:val="00C911B7"/>
    <w:rsid w:val="00CB29DB"/>
    <w:rsid w:val="00CE4E8E"/>
    <w:rsid w:val="00D06FEC"/>
    <w:rsid w:val="00D25247"/>
    <w:rsid w:val="00D36321"/>
    <w:rsid w:val="00D36559"/>
    <w:rsid w:val="00D52B66"/>
    <w:rsid w:val="00D52F3A"/>
    <w:rsid w:val="00D71282"/>
    <w:rsid w:val="00DC0BBF"/>
    <w:rsid w:val="00DE5048"/>
    <w:rsid w:val="00DE7475"/>
    <w:rsid w:val="00E060AA"/>
    <w:rsid w:val="00E21A31"/>
    <w:rsid w:val="00E25A04"/>
    <w:rsid w:val="00E601F8"/>
    <w:rsid w:val="00E82AC0"/>
    <w:rsid w:val="00E84EF3"/>
    <w:rsid w:val="00ED3EC6"/>
    <w:rsid w:val="00EE398B"/>
    <w:rsid w:val="00F97E24"/>
    <w:rsid w:val="00FA0441"/>
    <w:rsid w:val="00FB2C27"/>
    <w:rsid w:val="00FB70CA"/>
    <w:rsid w:val="00FC4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3551C"/>
  <w15:docId w15:val="{19BC7371-FAC4-4DE7-B823-AF57CCB4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unhideWhenUsed/>
    <w:qFormat/>
    <w:rsid w:val="005C1553"/>
    <w:pPr>
      <w:spacing w:after="0" w:line="240" w:lineRule="auto"/>
    </w:pPr>
    <w:rPr>
      <w:sz w:val="20"/>
      <w:szCs w:val="20"/>
    </w:rPr>
  </w:style>
  <w:style w:type="character" w:customStyle="1" w:styleId="FootnoteTextChar">
    <w:name w:val="Footnote Text Char"/>
    <w:aliases w:val="fn Char1,Footnote Text Char1 Char3,Footnote Text Char Char Char2,Footnote Text Char1 Char Char2,Footnote Text Char Char Char Char1,Footnote Text MRP Char1,Footnote Text Char1 Char Char Char1,Footnote Text Char1 Char1 Char1,fn1 Char1"/>
    <w:basedOn w:val="DefaultParagraphFont"/>
    <w:link w:val="FootnoteText"/>
    <w:rsid w:val="005C1553"/>
    <w:rPr>
      <w:sz w:val="20"/>
      <w:szCs w:val="20"/>
    </w:rPr>
  </w:style>
  <w:style w:type="paragraph" w:styleId="Header">
    <w:name w:val="header"/>
    <w:basedOn w:val="Normal"/>
    <w:link w:val="HeaderChar"/>
    <w:uiPriority w:val="99"/>
    <w:unhideWhenUsed/>
    <w:rsid w:val="005C1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553"/>
  </w:style>
  <w:style w:type="paragraph" w:styleId="Footer">
    <w:name w:val="footer"/>
    <w:basedOn w:val="Normal"/>
    <w:link w:val="FooterChar"/>
    <w:uiPriority w:val="99"/>
    <w:unhideWhenUsed/>
    <w:rsid w:val="005C1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553"/>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qFormat/>
    <w:rsid w:val="005C1553"/>
  </w:style>
  <w:style w:type="paragraph" w:styleId="CommentText">
    <w:name w:val="annotation text"/>
    <w:basedOn w:val="Normal"/>
    <w:link w:val="CommentTextChar"/>
    <w:uiPriority w:val="99"/>
    <w:unhideWhenUsed/>
    <w:rsid w:val="005C1553"/>
    <w:pPr>
      <w:spacing w:after="200" w:line="240" w:lineRule="auto"/>
    </w:pPr>
    <w:rPr>
      <w:sz w:val="20"/>
      <w:szCs w:val="20"/>
    </w:rPr>
  </w:style>
  <w:style w:type="character" w:customStyle="1" w:styleId="CommentTextChar">
    <w:name w:val="Comment Text Char"/>
    <w:basedOn w:val="DefaultParagraphFont"/>
    <w:link w:val="CommentText"/>
    <w:uiPriority w:val="99"/>
    <w:rsid w:val="005C1553"/>
    <w:rPr>
      <w:sz w:val="20"/>
      <w:szCs w:val="20"/>
    </w:rPr>
  </w:style>
  <w:style w:type="character" w:styleId="Hyperlink">
    <w:name w:val="Hyperlink"/>
    <w:basedOn w:val="DefaultParagraphFont"/>
    <w:uiPriority w:val="99"/>
    <w:rsid w:val="005C1553"/>
    <w:rPr>
      <w:rFonts w:cs="Times New Roman"/>
      <w:color w:val="0000FF"/>
      <w:u w:val="single"/>
    </w:rPr>
  </w:style>
  <w:style w:type="paragraph" w:styleId="ListParagraph">
    <w:name w:val="List Paragraph"/>
    <w:basedOn w:val="Normal"/>
    <w:uiPriority w:val="34"/>
    <w:qFormat/>
    <w:rsid w:val="00810D56"/>
    <w:pPr>
      <w:ind w:left="720"/>
      <w:contextualSpacing/>
    </w:p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n1 Char"/>
    <w:uiPriority w:val="99"/>
    <w:rsid w:val="00810D56"/>
    <w:rPr>
      <w:sz w:val="26"/>
      <w:lang w:val="en-US" w:eastAsia="en-US" w:bidi="ar-SA"/>
    </w:rPr>
  </w:style>
  <w:style w:type="paragraph" w:customStyle="1" w:styleId="FERCparanumber">
    <w:name w:val="FERC paranumber"/>
    <w:basedOn w:val="Normal"/>
    <w:link w:val="FERCparanumberChar1"/>
    <w:qFormat/>
    <w:rsid w:val="00EE398B"/>
    <w:pPr>
      <w:numPr>
        <w:numId w:val="6"/>
      </w:numPr>
      <w:spacing w:after="0" w:line="480" w:lineRule="auto"/>
    </w:pPr>
    <w:rPr>
      <w:rFonts w:ascii="Times New Roman" w:eastAsia="Times New Roman" w:hAnsi="Times New Roman" w:cs="Times New Roman"/>
      <w:sz w:val="26"/>
      <w:szCs w:val="24"/>
    </w:rPr>
  </w:style>
  <w:style w:type="character" w:customStyle="1" w:styleId="FERCparanumberChar1">
    <w:name w:val="FERC paranumber Char1"/>
    <w:link w:val="FERCparanumber"/>
    <w:rsid w:val="00EE398B"/>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667D65"/>
    <w:rPr>
      <w:sz w:val="16"/>
      <w:szCs w:val="16"/>
    </w:rPr>
  </w:style>
  <w:style w:type="paragraph" w:styleId="CommentSubject">
    <w:name w:val="annotation subject"/>
    <w:basedOn w:val="CommentText"/>
    <w:next w:val="CommentText"/>
    <w:link w:val="CommentSubjectChar"/>
    <w:uiPriority w:val="99"/>
    <w:semiHidden/>
    <w:unhideWhenUsed/>
    <w:rsid w:val="00667D65"/>
    <w:pPr>
      <w:spacing w:after="160"/>
    </w:pPr>
    <w:rPr>
      <w:b/>
      <w:bCs/>
    </w:rPr>
  </w:style>
  <w:style w:type="character" w:customStyle="1" w:styleId="CommentSubjectChar">
    <w:name w:val="Comment Subject Char"/>
    <w:basedOn w:val="CommentTextChar"/>
    <w:link w:val="CommentSubject"/>
    <w:uiPriority w:val="99"/>
    <w:semiHidden/>
    <w:rsid w:val="00667D65"/>
    <w:rPr>
      <w:b/>
      <w:bCs/>
      <w:sz w:val="20"/>
      <w:szCs w:val="20"/>
    </w:rPr>
  </w:style>
  <w:style w:type="paragraph" w:styleId="BalloonText">
    <w:name w:val="Balloon Text"/>
    <w:basedOn w:val="Normal"/>
    <w:link w:val="BalloonTextChar"/>
    <w:uiPriority w:val="99"/>
    <w:semiHidden/>
    <w:unhideWhenUsed/>
    <w:rsid w:val="00667D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D65"/>
    <w:rPr>
      <w:rFonts w:ascii="Segoe UI" w:hAnsi="Segoe UI" w:cs="Segoe UI"/>
      <w:sz w:val="18"/>
      <w:szCs w:val="18"/>
    </w:rPr>
  </w:style>
  <w:style w:type="character" w:styleId="UnresolvedMention">
    <w:name w:val="Unresolved Mention"/>
    <w:basedOn w:val="DefaultParagraphFont"/>
    <w:uiPriority w:val="99"/>
    <w:semiHidden/>
    <w:unhideWhenUsed/>
    <w:rsid w:val="008F6889"/>
    <w:rPr>
      <w:color w:val="605E5C"/>
      <w:shd w:val="clear" w:color="auto" w:fill="E1DFDD"/>
    </w:rPr>
  </w:style>
  <w:style w:type="character" w:customStyle="1" w:styleId="FERCparanumberChar">
    <w:name w:val="FERC paranumber Char"/>
    <w:basedOn w:val="DefaultParagraphFont"/>
    <w:rsid w:val="003131F2"/>
    <w:rPr>
      <w:rFonts w:ascii="Times New Roman" w:hAnsi="Times New Roman" w:cs="Times New Roman"/>
      <w:sz w:val="26"/>
    </w:rPr>
  </w:style>
  <w:style w:type="character" w:styleId="FollowedHyperlink">
    <w:name w:val="FollowedHyperlink"/>
    <w:basedOn w:val="DefaultParagraphFont"/>
    <w:uiPriority w:val="99"/>
    <w:semiHidden/>
    <w:unhideWhenUsed/>
    <w:rsid w:val="002854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785423">
      <w:bodyDiv w:val="1"/>
      <w:marLeft w:val="0"/>
      <w:marRight w:val="0"/>
      <w:marTop w:val="0"/>
      <w:marBottom w:val="0"/>
      <w:divBdr>
        <w:top w:val="none" w:sz="0" w:space="0" w:color="auto"/>
        <w:left w:val="none" w:sz="0" w:space="0" w:color="auto"/>
        <w:bottom w:val="none" w:sz="0" w:space="0" w:color="auto"/>
        <w:right w:val="none" w:sz="0" w:space="0" w:color="auto"/>
      </w:divBdr>
    </w:div>
    <w:div w:id="375618901">
      <w:bodyDiv w:val="1"/>
      <w:marLeft w:val="0"/>
      <w:marRight w:val="0"/>
      <w:marTop w:val="0"/>
      <w:marBottom w:val="0"/>
      <w:divBdr>
        <w:top w:val="none" w:sz="0" w:space="0" w:color="auto"/>
        <w:left w:val="none" w:sz="0" w:space="0" w:color="auto"/>
        <w:bottom w:val="none" w:sz="0" w:space="0" w:color="auto"/>
        <w:right w:val="none" w:sz="0" w:space="0" w:color="auto"/>
      </w:divBdr>
    </w:div>
    <w:div w:id="433474212">
      <w:bodyDiv w:val="1"/>
      <w:marLeft w:val="0"/>
      <w:marRight w:val="0"/>
      <w:marTop w:val="0"/>
      <w:marBottom w:val="0"/>
      <w:divBdr>
        <w:top w:val="none" w:sz="0" w:space="0" w:color="auto"/>
        <w:left w:val="none" w:sz="0" w:space="0" w:color="auto"/>
        <w:bottom w:val="none" w:sz="0" w:space="0" w:color="auto"/>
        <w:right w:val="none" w:sz="0" w:space="0" w:color="auto"/>
      </w:divBdr>
    </w:div>
    <w:div w:id="115973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erc.gov/docs-filing/info-collections.as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library.ferc.gov/idmws/common/opennat.asp?fileID=15449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725N</_x0031__x002e__x0020_Collection_x0020_Number>
    <Date xmlns="d6eefc7d-9817-4fa6-84d5-3bc009be21b8">2020-02-13T05:00:00+00:00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RM19-10</_x0031__x002e__x0020_Docket_x0020_Number>
    <_x0033__x002e__x0020_Collection_x0020_Number xmlns="d6eefc7d-9817-4fa6-84d5-3bc009be21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29E75-6F2C-4617-90D3-AB13904D0E27}">
  <ds:schemaRefs>
    <ds:schemaRef ds:uri="Microsoft.SharePoint.Taxonomy.ContentTypeSync"/>
  </ds:schemaRefs>
</ds:datastoreItem>
</file>

<file path=customXml/itemProps2.xml><?xml version="1.0" encoding="utf-8"?>
<ds:datastoreItem xmlns:ds="http://schemas.openxmlformats.org/officeDocument/2006/customXml" ds:itemID="{3F108276-1F40-4762-9620-481F1995AAFF}">
  <ds:schemaRefs>
    <ds:schemaRef ds:uri="http://schemas.microsoft.com/office/2006/metadata/customXsn"/>
  </ds:schemaRefs>
</ds:datastoreItem>
</file>

<file path=customXml/itemProps3.xml><?xml version="1.0" encoding="utf-8"?>
<ds:datastoreItem xmlns:ds="http://schemas.openxmlformats.org/officeDocument/2006/customXml" ds:itemID="{F41A1D2B-57D9-4A99-86C7-27F1F5F17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EE68EE-2CAF-4104-92DB-1A179AD5207B}">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d6eefc7d-9817-4fa6-84d5-3bc009be21b8"/>
    <ds:schemaRef ds:uri="http://purl.org/dc/dcmitype/"/>
  </ds:schemaRefs>
</ds:datastoreItem>
</file>

<file path=customXml/itemProps5.xml><?xml version="1.0" encoding="utf-8"?>
<ds:datastoreItem xmlns:ds="http://schemas.openxmlformats.org/officeDocument/2006/customXml" ds:itemID="{6B7E5159-921F-47EF-BE2D-2679DB21A839}">
  <ds:schemaRefs>
    <ds:schemaRef ds:uri="http://schemas.microsoft.com/sharepoint/v3/contenttype/forms"/>
  </ds:schemaRefs>
</ds:datastoreItem>
</file>

<file path=customXml/itemProps6.xml><?xml version="1.0" encoding="utf-8"?>
<ds:datastoreItem xmlns:ds="http://schemas.openxmlformats.org/officeDocument/2006/customXml" ds:itemID="{4664645E-F6B1-4239-B518-25283F023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2166</Words>
  <Characters>12348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Ellen Brown</cp:lastModifiedBy>
  <cp:revision>5</cp:revision>
  <cp:lastPrinted>2020-02-13T16:03:00Z</cp:lastPrinted>
  <dcterms:created xsi:type="dcterms:W3CDTF">2020-02-13T21:31:00Z</dcterms:created>
  <dcterms:modified xsi:type="dcterms:W3CDTF">2020-02-13T21:34:00Z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Enabled">
    <vt:lpwstr>True</vt:lpwstr>
  </property>
  <property fmtid="{D5CDD505-2E9C-101B-9397-08002B2CF9AE}" pid="4" name="MSIP_Label_6155a89b-0f08-4a93-8ea2-8a916d6643b5_SiteId">
    <vt:lpwstr>19caa9e9-04ff-43fa-885f-d77fac387903</vt:lpwstr>
  </property>
  <property fmtid="{D5CDD505-2E9C-101B-9397-08002B2CF9AE}" pid="5" name="MSIP_Label_6155a89b-0f08-4a93-8ea2-8a916d6643b5_Owner">
    <vt:lpwstr>ellen.brown@ferc.gov</vt:lpwstr>
  </property>
  <property fmtid="{D5CDD505-2E9C-101B-9397-08002B2CF9AE}" pid="6" name="MSIP_Label_6155a89b-0f08-4a93-8ea2-8a916d6643b5_SetDate">
    <vt:lpwstr>2020-02-13T13:38:44.0555176Z</vt:lpwstr>
  </property>
  <property fmtid="{D5CDD505-2E9C-101B-9397-08002B2CF9AE}" pid="7" name="MSIP_Label_6155a89b-0f08-4a93-8ea2-8a916d6643b5_Name">
    <vt:lpwstr>General</vt:lpwstr>
  </property>
  <property fmtid="{D5CDD505-2E9C-101B-9397-08002B2CF9AE}" pid="8" name="MSIP_Label_6155a89b-0f08-4a93-8ea2-8a916d6643b5_Application">
    <vt:lpwstr>Microsoft Azure Information Protection</vt:lpwstr>
  </property>
  <property fmtid="{D5CDD505-2E9C-101B-9397-08002B2CF9AE}" pid="9" name="MSIP_Label_6155a89b-0f08-4a93-8ea2-8a916d6643b5_ActionId">
    <vt:lpwstr>189bc171-275d-47a0-a8e6-47ac89802fe7</vt:lpwstr>
  </property>
  <property fmtid="{D5CDD505-2E9C-101B-9397-08002B2CF9AE}" pid="10" name="MSIP_Label_6155a89b-0f08-4a93-8ea2-8a916d6643b5_Extended_MSFT_Method">
    <vt:lpwstr>Manual</vt:lpwstr>
  </property>
  <property fmtid="{D5CDD505-2E9C-101B-9397-08002B2CF9AE}" pid="11" name="Sensitivity">
    <vt:lpwstr>General</vt:lpwstr>
  </property>
</Properties>
</file>