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30C2" w:rsidR="00302147" w:rsidP="00302147" w:rsidRDefault="00302147" w14:paraId="11FB83B6" w14:textId="77777777">
      <w:pPr>
        <w:pStyle w:val="NoSpacing"/>
        <w:tabs>
          <w:tab w:val="left" w:pos="702"/>
        </w:tabs>
        <w:ind w:firstLine="720"/>
        <w:rPr>
          <w:rFonts w:ascii="Times New Roman" w:hAnsi="Times New Roman"/>
          <w:sz w:val="24"/>
          <w:szCs w:val="24"/>
        </w:rPr>
      </w:pPr>
      <w:bookmarkStart w:name="_GoBack" w:id="0"/>
      <w:bookmarkEnd w:id="0"/>
      <w:r w:rsidRPr="003B30C2">
        <w:rPr>
          <w:rFonts w:ascii="Times New Roman" w:hAnsi="Times New Roman"/>
          <w:sz w:val="24"/>
          <w:szCs w:val="24"/>
        </w:rPr>
        <w:t xml:space="preserve">This request is for an extension of the current approval of the policies and procedures for determining satisfactory academic progress (SAP) as required in Section 484 of the Higher Education Act of 1965, as amended (HEA).   </w:t>
      </w:r>
    </w:p>
    <w:p w:rsidRPr="003B30C2" w:rsidR="00302147" w:rsidP="00302147" w:rsidRDefault="00302147" w14:paraId="78F8A5DF" w14:textId="77777777">
      <w:pPr>
        <w:pStyle w:val="NoSpacing"/>
        <w:tabs>
          <w:tab w:val="left" w:pos="702"/>
        </w:tabs>
        <w:ind w:firstLine="720"/>
        <w:rPr>
          <w:rFonts w:ascii="Times New Roman" w:hAnsi="Times New Roman"/>
          <w:sz w:val="24"/>
          <w:szCs w:val="24"/>
        </w:rPr>
      </w:pPr>
    </w:p>
    <w:p w:rsidRPr="003B30C2" w:rsidR="00302147" w:rsidP="00302147" w:rsidRDefault="00302147" w14:paraId="76004429" w14:textId="77777777">
      <w:pPr>
        <w:pStyle w:val="NoSpacing"/>
        <w:tabs>
          <w:tab w:val="left" w:pos="702"/>
        </w:tabs>
        <w:ind w:firstLine="720"/>
        <w:rPr>
          <w:rFonts w:ascii="Times New Roman" w:hAnsi="Times New Roman"/>
          <w:sz w:val="24"/>
          <w:szCs w:val="24"/>
        </w:rPr>
      </w:pPr>
      <w:r w:rsidRPr="003B30C2">
        <w:rPr>
          <w:rFonts w:ascii="Times New Roman" w:hAnsi="Times New Roman"/>
          <w:sz w:val="24"/>
          <w:szCs w:val="24"/>
        </w:rPr>
        <w:t>These regulations identify the policies and procedures to ensure that students are making satisfactory academic progress in their program at a pace and a level to receive or continue to receive Title IV, HEA program funds.  If there is lapse in progress, the policy must identify how the student will be notified and what steps are available to a student not making satisfactory academic progress toward the completion of their program, and under what conditions a student who is not making satisfactory academic progress may continue to receive Title IV, HEA program funds.</w:t>
      </w:r>
    </w:p>
    <w:p w:rsidRPr="003B30C2" w:rsidR="00302147" w:rsidP="00302147" w:rsidRDefault="00302147" w14:paraId="0343C552" w14:textId="77777777">
      <w:pPr>
        <w:pStyle w:val="NoSpacing"/>
        <w:tabs>
          <w:tab w:val="left" w:pos="702"/>
        </w:tabs>
        <w:rPr>
          <w:rFonts w:ascii="Times New Roman" w:hAnsi="Times New Roman"/>
          <w:sz w:val="24"/>
          <w:szCs w:val="24"/>
        </w:rPr>
      </w:pPr>
    </w:p>
    <w:p w:rsidRPr="003B30C2" w:rsidR="00302147" w:rsidP="00302147" w:rsidRDefault="00302147" w14:paraId="59F587F8" w14:textId="77777777">
      <w:pPr>
        <w:pStyle w:val="NoSpacing"/>
        <w:tabs>
          <w:tab w:val="left" w:pos="702"/>
        </w:tabs>
        <w:rPr>
          <w:rFonts w:ascii="Times New Roman" w:hAnsi="Times New Roman"/>
          <w:sz w:val="24"/>
          <w:szCs w:val="24"/>
          <w:u w:val="single"/>
        </w:rPr>
      </w:pPr>
      <w:r w:rsidRPr="003B30C2">
        <w:rPr>
          <w:rFonts w:ascii="Times New Roman" w:hAnsi="Times New Roman"/>
          <w:sz w:val="24"/>
          <w:szCs w:val="24"/>
          <w:u w:val="single"/>
        </w:rPr>
        <w:t>Section 668.34(c) – Institutions that evaluate satisfactory academic progress at the end of each payment period.</w:t>
      </w:r>
    </w:p>
    <w:p w:rsidRPr="003B30C2" w:rsidR="00302147" w:rsidP="00302147" w:rsidRDefault="00302147" w14:paraId="3B6E233E" w14:textId="77777777">
      <w:pPr>
        <w:pStyle w:val="NoSpacing"/>
        <w:tabs>
          <w:tab w:val="left" w:pos="702"/>
        </w:tabs>
        <w:ind w:firstLine="720"/>
        <w:rPr>
          <w:rFonts w:ascii="Times New Roman" w:hAnsi="Times New Roman"/>
          <w:sz w:val="24"/>
          <w:szCs w:val="24"/>
        </w:rPr>
      </w:pPr>
      <w:r w:rsidRPr="003B30C2">
        <w:rPr>
          <w:rFonts w:ascii="Times New Roman" w:hAnsi="Times New Roman"/>
          <w:sz w:val="24"/>
          <w:szCs w:val="24"/>
        </w:rPr>
        <w:t>This section of the regulations identifies the process that is followed for institutions that evaluate a student’s SAP at the end of a payment period.  This section specifies that an institution’s policy may provide for disbursement of Title IV aid to a student not meeting SAP under certain circumstances.  This includes policies that automatically place a student who is not meeting SAP on “financial aid warning” a defined term</w:t>
      </w:r>
      <w:r w:rsidR="00352407">
        <w:rPr>
          <w:rFonts w:ascii="Times New Roman" w:hAnsi="Times New Roman"/>
          <w:sz w:val="24"/>
          <w:szCs w:val="24"/>
        </w:rPr>
        <w:t xml:space="preserve"> in 668.34(b)</w:t>
      </w:r>
      <w:r w:rsidRPr="003B30C2">
        <w:rPr>
          <w:rFonts w:ascii="Times New Roman" w:hAnsi="Times New Roman"/>
          <w:sz w:val="24"/>
          <w:szCs w:val="24"/>
        </w:rPr>
        <w:t>.</w:t>
      </w:r>
    </w:p>
    <w:p w:rsidRPr="003B30C2" w:rsidR="00302147" w:rsidP="00302147" w:rsidRDefault="00302147" w14:paraId="0B4ACC75" w14:textId="77777777">
      <w:pPr>
        <w:pStyle w:val="NoSpacing"/>
        <w:tabs>
          <w:tab w:val="left" w:pos="702"/>
        </w:tabs>
        <w:rPr>
          <w:rFonts w:ascii="Times New Roman" w:hAnsi="Times New Roman"/>
          <w:sz w:val="24"/>
          <w:szCs w:val="24"/>
        </w:rPr>
      </w:pPr>
    </w:p>
    <w:p w:rsidRPr="003B30C2" w:rsidR="00302147" w:rsidP="00302147" w:rsidRDefault="00302147" w14:paraId="4F924A31" w14:textId="77777777">
      <w:pPr>
        <w:pStyle w:val="NoSpacing"/>
        <w:tabs>
          <w:tab w:val="left" w:pos="702"/>
        </w:tabs>
        <w:rPr>
          <w:rFonts w:ascii="Times New Roman" w:hAnsi="Times New Roman"/>
          <w:sz w:val="24"/>
          <w:szCs w:val="24"/>
          <w:u w:val="single"/>
        </w:rPr>
      </w:pPr>
      <w:r w:rsidRPr="003B30C2">
        <w:rPr>
          <w:rFonts w:ascii="Times New Roman" w:hAnsi="Times New Roman"/>
          <w:sz w:val="24"/>
          <w:szCs w:val="24"/>
          <w:u w:val="single"/>
        </w:rPr>
        <w:t># of Respondents</w:t>
      </w:r>
      <w:r w:rsidRPr="003B30C2">
        <w:rPr>
          <w:rFonts w:ascii="Times New Roman" w:hAnsi="Times New Roman"/>
          <w:sz w:val="24"/>
          <w:szCs w:val="24"/>
          <w:u w:val="single"/>
        </w:rPr>
        <w:tab/>
      </w:r>
      <w:r w:rsidRPr="003B30C2">
        <w:rPr>
          <w:rFonts w:ascii="Times New Roman" w:hAnsi="Times New Roman"/>
          <w:sz w:val="24"/>
          <w:szCs w:val="24"/>
          <w:u w:val="single"/>
        </w:rPr>
        <w:tab/>
        <w:t># of Responses</w:t>
      </w:r>
      <w:r w:rsidRPr="003B30C2">
        <w:rPr>
          <w:rFonts w:ascii="Times New Roman" w:hAnsi="Times New Roman"/>
          <w:sz w:val="24"/>
          <w:szCs w:val="24"/>
          <w:u w:val="single"/>
        </w:rPr>
        <w:tab/>
        <w:t>Hrs/Response</w:t>
      </w:r>
      <w:r w:rsidRPr="003B30C2">
        <w:rPr>
          <w:rFonts w:ascii="Times New Roman" w:hAnsi="Times New Roman"/>
          <w:sz w:val="24"/>
          <w:szCs w:val="24"/>
          <w:u w:val="single"/>
        </w:rPr>
        <w:tab/>
        <w:t xml:space="preserve">   Burden Hours</w:t>
      </w:r>
    </w:p>
    <w:p w:rsidRPr="00302147" w:rsidR="00302147" w:rsidP="00302147" w:rsidRDefault="00302147" w14:paraId="3A3521A7" w14:textId="77777777">
      <w:pPr>
        <w:pStyle w:val="NoSpacing"/>
        <w:rPr>
          <w:rFonts w:ascii="Times New Roman" w:hAnsi="Times New Roman"/>
          <w:sz w:val="24"/>
          <w:szCs w:val="24"/>
        </w:rPr>
      </w:pPr>
      <w:r w:rsidRPr="00302147">
        <w:rPr>
          <w:rFonts w:ascii="Times New Roman" w:hAnsi="Times New Roman"/>
          <w:sz w:val="24"/>
          <w:szCs w:val="24"/>
        </w:rPr>
        <w:t>Individuals not meeting SAP requirements</w:t>
      </w:r>
    </w:p>
    <w:p w:rsidRPr="00302147" w:rsidR="00302147" w:rsidP="00302147" w:rsidRDefault="00302147" w14:paraId="2358D411" w14:textId="77777777">
      <w:pPr>
        <w:pStyle w:val="NoSpacing"/>
        <w:rPr>
          <w:rFonts w:ascii="Times New Roman" w:hAnsi="Times New Roman"/>
          <w:sz w:val="24"/>
          <w:szCs w:val="24"/>
        </w:rPr>
      </w:pPr>
      <w:r w:rsidRPr="00302147">
        <w:rPr>
          <w:rFonts w:ascii="Times New Roman" w:hAnsi="Times New Roman"/>
          <w:sz w:val="24"/>
          <w:szCs w:val="24"/>
        </w:rPr>
        <w:tab/>
      </w:r>
      <w:r w:rsidR="00B817E1">
        <w:rPr>
          <w:rFonts w:ascii="Times New Roman" w:hAnsi="Times New Roman"/>
          <w:sz w:val="24"/>
          <w:szCs w:val="24"/>
        </w:rPr>
        <w:t>730,330</w:t>
      </w:r>
      <w:r w:rsidRPr="00302147">
        <w:rPr>
          <w:rFonts w:ascii="Times New Roman" w:hAnsi="Times New Roman"/>
          <w:sz w:val="24"/>
          <w:szCs w:val="24"/>
        </w:rPr>
        <w:t xml:space="preserve"> x 2=</w:t>
      </w:r>
      <w:r w:rsidRPr="00302147">
        <w:rPr>
          <w:rFonts w:ascii="Times New Roman" w:hAnsi="Times New Roman"/>
          <w:sz w:val="24"/>
          <w:szCs w:val="24"/>
        </w:rPr>
        <w:tab/>
      </w:r>
      <w:r w:rsidRPr="00302147">
        <w:rPr>
          <w:rFonts w:ascii="Times New Roman" w:hAnsi="Times New Roman"/>
          <w:sz w:val="24"/>
          <w:szCs w:val="24"/>
        </w:rPr>
        <w:tab/>
        <w:t xml:space="preserve">   1,</w:t>
      </w:r>
      <w:r w:rsidR="00B817E1">
        <w:rPr>
          <w:rFonts w:ascii="Times New Roman" w:hAnsi="Times New Roman"/>
          <w:sz w:val="24"/>
          <w:szCs w:val="24"/>
        </w:rPr>
        <w:t>460,660</w:t>
      </w:r>
      <w:r w:rsidRPr="00302147">
        <w:rPr>
          <w:rFonts w:ascii="Times New Roman" w:hAnsi="Times New Roman"/>
          <w:sz w:val="24"/>
          <w:szCs w:val="24"/>
        </w:rPr>
        <w:tab/>
      </w:r>
      <w:r w:rsidRPr="00302147">
        <w:rPr>
          <w:rFonts w:ascii="Times New Roman" w:hAnsi="Times New Roman"/>
          <w:sz w:val="24"/>
          <w:szCs w:val="24"/>
        </w:rPr>
        <w:tab/>
        <w:t>X .17</w:t>
      </w:r>
      <w:r w:rsidRPr="00302147">
        <w:rPr>
          <w:rFonts w:ascii="Times New Roman" w:hAnsi="Times New Roman"/>
          <w:sz w:val="24"/>
          <w:szCs w:val="24"/>
        </w:rPr>
        <w:tab/>
      </w:r>
      <w:r w:rsidRPr="00302147">
        <w:rPr>
          <w:rFonts w:ascii="Times New Roman" w:hAnsi="Times New Roman"/>
          <w:sz w:val="24"/>
          <w:szCs w:val="24"/>
        </w:rPr>
        <w:tab/>
        <w:t xml:space="preserve">         </w:t>
      </w:r>
      <w:r w:rsidR="00B817E1">
        <w:rPr>
          <w:rFonts w:ascii="Times New Roman" w:hAnsi="Times New Roman"/>
          <w:sz w:val="24"/>
          <w:szCs w:val="24"/>
        </w:rPr>
        <w:t>248,312</w:t>
      </w:r>
    </w:p>
    <w:p w:rsidRPr="00302147" w:rsidR="00302147" w:rsidP="00302147" w:rsidRDefault="00302147" w14:paraId="21CC6632" w14:textId="77777777">
      <w:pPr>
        <w:pStyle w:val="NoSpacing"/>
        <w:tabs>
          <w:tab w:val="left" w:pos="702"/>
        </w:tabs>
        <w:rPr>
          <w:rFonts w:ascii="Times New Roman" w:hAnsi="Times New Roman"/>
          <w:sz w:val="24"/>
          <w:szCs w:val="24"/>
        </w:rPr>
      </w:pPr>
    </w:p>
    <w:p w:rsidRPr="003B30C2" w:rsidR="00302147" w:rsidP="00302147" w:rsidRDefault="00302147" w14:paraId="397953B9" w14:textId="77777777">
      <w:pPr>
        <w:pStyle w:val="NoSpacing"/>
        <w:tabs>
          <w:tab w:val="left" w:pos="702"/>
        </w:tabs>
        <w:rPr>
          <w:rFonts w:ascii="Times New Roman" w:hAnsi="Times New Roman"/>
          <w:sz w:val="24"/>
          <w:szCs w:val="24"/>
          <w:u w:val="single"/>
        </w:rPr>
      </w:pPr>
      <w:r w:rsidRPr="003B30C2">
        <w:rPr>
          <w:rFonts w:ascii="Times New Roman" w:hAnsi="Times New Roman"/>
          <w:sz w:val="24"/>
          <w:szCs w:val="24"/>
          <w:u w:val="single"/>
        </w:rPr>
        <w:t>Section 668.34(d) – Institutions that evaluate satisfactory academic progress annually or less frequently than at the end of each payment period.</w:t>
      </w:r>
    </w:p>
    <w:p w:rsidRPr="003B30C2" w:rsidR="00302147" w:rsidP="00302147" w:rsidRDefault="00302147" w14:paraId="7E8DA596" w14:textId="77777777">
      <w:pPr>
        <w:pStyle w:val="NoSpacing"/>
        <w:tabs>
          <w:tab w:val="left" w:pos="702"/>
        </w:tabs>
        <w:ind w:firstLine="720"/>
        <w:rPr>
          <w:rFonts w:ascii="Times New Roman" w:hAnsi="Times New Roman"/>
          <w:sz w:val="24"/>
          <w:szCs w:val="24"/>
        </w:rPr>
      </w:pPr>
      <w:r w:rsidRPr="003B30C2">
        <w:rPr>
          <w:rFonts w:ascii="Times New Roman" w:hAnsi="Times New Roman"/>
          <w:sz w:val="24"/>
          <w:szCs w:val="24"/>
        </w:rPr>
        <w:t>This section of the regulations identifies the process that is followed for institutions that evaluate a student’s SAP on an annual basis.  This section specifies that an institution’s policy may provide for disbursement of Title IV aid to a student not meeting SAP under certain circumstances.  This includes policies that require a student to file an appeal and either having a determination made by the school that the student should meet SAP standards after the subsequent payment period or if the school develops, with the student, an academic plan which if successfully completed will ensure the student meets the institution’s SAP standards at a specific time.</w:t>
      </w:r>
    </w:p>
    <w:p w:rsidRPr="003B30C2" w:rsidR="00302147" w:rsidP="00302147" w:rsidRDefault="00302147" w14:paraId="1B167357" w14:textId="77777777">
      <w:pPr>
        <w:pStyle w:val="NoSpacing"/>
        <w:tabs>
          <w:tab w:val="left" w:pos="702"/>
        </w:tabs>
        <w:rPr>
          <w:rFonts w:ascii="Times New Roman" w:hAnsi="Times New Roman"/>
          <w:sz w:val="24"/>
          <w:szCs w:val="24"/>
        </w:rPr>
      </w:pPr>
    </w:p>
    <w:p w:rsidRPr="003B30C2" w:rsidR="00302147" w:rsidP="00302147" w:rsidRDefault="00302147" w14:paraId="47539038" w14:textId="77777777">
      <w:pPr>
        <w:pStyle w:val="NoSpacing"/>
        <w:tabs>
          <w:tab w:val="left" w:pos="702"/>
        </w:tabs>
        <w:rPr>
          <w:rFonts w:ascii="Times New Roman" w:hAnsi="Times New Roman"/>
          <w:sz w:val="24"/>
          <w:szCs w:val="24"/>
          <w:u w:val="single"/>
        </w:rPr>
      </w:pPr>
      <w:r w:rsidRPr="003B30C2">
        <w:rPr>
          <w:rFonts w:ascii="Times New Roman" w:hAnsi="Times New Roman"/>
          <w:sz w:val="24"/>
          <w:szCs w:val="24"/>
          <w:u w:val="single"/>
        </w:rPr>
        <w:t># of Respondents</w:t>
      </w:r>
      <w:r w:rsidRPr="003B30C2">
        <w:rPr>
          <w:rFonts w:ascii="Times New Roman" w:hAnsi="Times New Roman"/>
          <w:sz w:val="24"/>
          <w:szCs w:val="24"/>
          <w:u w:val="single"/>
        </w:rPr>
        <w:tab/>
      </w:r>
      <w:r w:rsidRPr="003B30C2">
        <w:rPr>
          <w:rFonts w:ascii="Times New Roman" w:hAnsi="Times New Roman"/>
          <w:sz w:val="24"/>
          <w:szCs w:val="24"/>
          <w:u w:val="single"/>
        </w:rPr>
        <w:tab/>
        <w:t># of Responses</w:t>
      </w:r>
      <w:r w:rsidRPr="003B30C2">
        <w:rPr>
          <w:rFonts w:ascii="Times New Roman" w:hAnsi="Times New Roman"/>
          <w:sz w:val="24"/>
          <w:szCs w:val="24"/>
          <w:u w:val="single"/>
        </w:rPr>
        <w:tab/>
        <w:t>Hrs/Response</w:t>
      </w:r>
      <w:r w:rsidRPr="003B30C2">
        <w:rPr>
          <w:rFonts w:ascii="Times New Roman" w:hAnsi="Times New Roman"/>
          <w:sz w:val="24"/>
          <w:szCs w:val="24"/>
          <w:u w:val="single"/>
        </w:rPr>
        <w:tab/>
        <w:t xml:space="preserve">    Burden Hours</w:t>
      </w:r>
    </w:p>
    <w:p w:rsidRPr="00302147" w:rsidR="00302147" w:rsidP="00302147" w:rsidRDefault="00302147" w14:paraId="6BD09659" w14:textId="77777777">
      <w:pPr>
        <w:pStyle w:val="NoSpacing"/>
        <w:rPr>
          <w:rFonts w:ascii="Times New Roman" w:hAnsi="Times New Roman"/>
          <w:sz w:val="24"/>
          <w:szCs w:val="24"/>
        </w:rPr>
      </w:pPr>
      <w:r w:rsidRPr="00302147">
        <w:rPr>
          <w:rFonts w:ascii="Times New Roman" w:hAnsi="Times New Roman"/>
          <w:sz w:val="24"/>
          <w:szCs w:val="24"/>
        </w:rPr>
        <w:t>Individuals not meeting SAP requirements</w:t>
      </w:r>
    </w:p>
    <w:p w:rsidRPr="00302147" w:rsidR="00302147" w:rsidP="00302147" w:rsidRDefault="00302147" w14:paraId="3C24C4A6" w14:textId="77777777">
      <w:pPr>
        <w:pStyle w:val="NoSpacing"/>
        <w:rPr>
          <w:rFonts w:ascii="Times New Roman" w:hAnsi="Times New Roman"/>
          <w:sz w:val="24"/>
          <w:szCs w:val="24"/>
        </w:rPr>
      </w:pPr>
      <w:r w:rsidRPr="00302147">
        <w:rPr>
          <w:rFonts w:ascii="Times New Roman" w:hAnsi="Times New Roman"/>
          <w:sz w:val="24"/>
          <w:szCs w:val="24"/>
        </w:rPr>
        <w:tab/>
      </w:r>
      <w:r w:rsidR="00DB6A07">
        <w:rPr>
          <w:rFonts w:ascii="Times New Roman" w:hAnsi="Times New Roman"/>
          <w:sz w:val="24"/>
          <w:szCs w:val="24"/>
        </w:rPr>
        <w:t>597</w:t>
      </w:r>
      <w:r w:rsidRPr="00302147">
        <w:rPr>
          <w:rFonts w:ascii="Times New Roman" w:hAnsi="Times New Roman"/>
          <w:sz w:val="24"/>
          <w:szCs w:val="24"/>
        </w:rPr>
        <w:t>,</w:t>
      </w:r>
      <w:r w:rsidR="00B817E1">
        <w:rPr>
          <w:rFonts w:ascii="Times New Roman" w:hAnsi="Times New Roman"/>
          <w:sz w:val="24"/>
          <w:szCs w:val="24"/>
        </w:rPr>
        <w:t>543</w:t>
      </w:r>
      <w:r w:rsidRPr="00302147">
        <w:rPr>
          <w:rFonts w:ascii="Times New Roman" w:hAnsi="Times New Roman"/>
          <w:sz w:val="24"/>
          <w:szCs w:val="24"/>
        </w:rPr>
        <w:tab/>
      </w:r>
      <w:r w:rsidRPr="00302147">
        <w:rPr>
          <w:rFonts w:ascii="Times New Roman" w:hAnsi="Times New Roman"/>
          <w:sz w:val="24"/>
          <w:szCs w:val="24"/>
        </w:rPr>
        <w:tab/>
        <w:t xml:space="preserve">       </w:t>
      </w:r>
      <w:r w:rsidR="00DB6A07">
        <w:rPr>
          <w:rFonts w:ascii="Times New Roman" w:hAnsi="Times New Roman"/>
          <w:sz w:val="24"/>
          <w:szCs w:val="24"/>
        </w:rPr>
        <w:t>597</w:t>
      </w:r>
      <w:r w:rsidRPr="00302147">
        <w:rPr>
          <w:rFonts w:ascii="Times New Roman" w:hAnsi="Times New Roman"/>
          <w:sz w:val="24"/>
          <w:szCs w:val="24"/>
        </w:rPr>
        <w:t>,</w:t>
      </w:r>
      <w:r w:rsidR="00B817E1">
        <w:rPr>
          <w:rFonts w:ascii="Times New Roman" w:hAnsi="Times New Roman"/>
          <w:sz w:val="24"/>
          <w:szCs w:val="24"/>
        </w:rPr>
        <w:t>543</w:t>
      </w:r>
      <w:r w:rsidRPr="00302147">
        <w:rPr>
          <w:rFonts w:ascii="Times New Roman" w:hAnsi="Times New Roman"/>
          <w:sz w:val="24"/>
          <w:szCs w:val="24"/>
        </w:rPr>
        <w:tab/>
      </w:r>
      <w:r w:rsidRPr="00302147">
        <w:rPr>
          <w:rFonts w:ascii="Times New Roman" w:hAnsi="Times New Roman"/>
          <w:sz w:val="24"/>
          <w:szCs w:val="24"/>
        </w:rPr>
        <w:tab/>
        <w:t>X .17</w:t>
      </w:r>
      <w:r w:rsidRPr="00302147">
        <w:rPr>
          <w:rFonts w:ascii="Times New Roman" w:hAnsi="Times New Roman"/>
          <w:sz w:val="24"/>
          <w:szCs w:val="24"/>
        </w:rPr>
        <w:tab/>
      </w:r>
      <w:r w:rsidRPr="00302147">
        <w:rPr>
          <w:rFonts w:ascii="Times New Roman" w:hAnsi="Times New Roman"/>
          <w:sz w:val="24"/>
          <w:szCs w:val="24"/>
        </w:rPr>
        <w:tab/>
        <w:t xml:space="preserve">      1</w:t>
      </w:r>
      <w:r w:rsidR="00DB6A07">
        <w:rPr>
          <w:rFonts w:ascii="Times New Roman" w:hAnsi="Times New Roman"/>
          <w:sz w:val="24"/>
          <w:szCs w:val="24"/>
        </w:rPr>
        <w:t>01</w:t>
      </w:r>
      <w:r w:rsidRPr="00302147">
        <w:rPr>
          <w:rFonts w:ascii="Times New Roman" w:hAnsi="Times New Roman"/>
          <w:sz w:val="24"/>
          <w:szCs w:val="24"/>
        </w:rPr>
        <w:t>,</w:t>
      </w:r>
      <w:r w:rsidR="00B817E1">
        <w:rPr>
          <w:rFonts w:ascii="Times New Roman" w:hAnsi="Times New Roman"/>
          <w:sz w:val="24"/>
          <w:szCs w:val="24"/>
        </w:rPr>
        <w:t>582</w:t>
      </w:r>
    </w:p>
    <w:p w:rsidRPr="003B30C2" w:rsidR="00302147" w:rsidP="00302147" w:rsidRDefault="00302147" w14:paraId="6998F8EE" w14:textId="77777777">
      <w:pPr>
        <w:pStyle w:val="NoSpacing"/>
        <w:tabs>
          <w:tab w:val="left" w:pos="702"/>
        </w:tabs>
        <w:rPr>
          <w:rFonts w:ascii="Times New Roman" w:hAnsi="Times New Roman"/>
          <w:sz w:val="24"/>
          <w:szCs w:val="24"/>
        </w:rPr>
      </w:pPr>
    </w:p>
    <w:p w:rsidRPr="003B30C2" w:rsidR="00302147" w:rsidP="00302147" w:rsidRDefault="00302147" w14:paraId="2C92C07E" w14:textId="77777777">
      <w:pPr>
        <w:pStyle w:val="NoSpacing"/>
        <w:tabs>
          <w:tab w:val="left" w:pos="702"/>
        </w:tabs>
        <w:rPr>
          <w:rFonts w:ascii="Times New Roman" w:hAnsi="Times New Roman"/>
          <w:sz w:val="24"/>
          <w:szCs w:val="24"/>
        </w:rPr>
      </w:pPr>
    </w:p>
    <w:p w:rsidRPr="003B30C2" w:rsidR="00302147" w:rsidP="00302147" w:rsidRDefault="00302147" w14:paraId="14EF692F" w14:textId="77777777">
      <w:pPr>
        <w:pStyle w:val="NoSpacing"/>
        <w:tabs>
          <w:tab w:val="left" w:pos="702"/>
        </w:tabs>
        <w:rPr>
          <w:rFonts w:ascii="Times New Roman" w:hAnsi="Times New Roman"/>
          <w:sz w:val="24"/>
          <w:szCs w:val="24"/>
        </w:rPr>
      </w:pPr>
      <w:r w:rsidRPr="003B30C2">
        <w:rPr>
          <w:rFonts w:ascii="Times New Roman" w:hAnsi="Times New Roman"/>
          <w:sz w:val="24"/>
          <w:szCs w:val="24"/>
        </w:rPr>
        <w:t>TOTALS</w:t>
      </w:r>
    </w:p>
    <w:p w:rsidRPr="003B30C2" w:rsidR="00302147" w:rsidP="00302147" w:rsidRDefault="00302147" w14:paraId="3FA2E786" w14:textId="77777777">
      <w:pPr>
        <w:pStyle w:val="NoSpacing"/>
        <w:tabs>
          <w:tab w:val="left" w:pos="702"/>
        </w:tabs>
        <w:rPr>
          <w:rFonts w:ascii="Times New Roman" w:hAnsi="Times New Roman"/>
          <w:sz w:val="24"/>
          <w:szCs w:val="24"/>
        </w:rPr>
      </w:pPr>
      <w:r w:rsidRPr="003B30C2">
        <w:rPr>
          <w:rFonts w:ascii="Times New Roman" w:hAnsi="Times New Roman"/>
          <w:sz w:val="24"/>
          <w:szCs w:val="24"/>
        </w:rPr>
        <w:tab/>
        <w:t>Responses</w:t>
      </w:r>
      <w:r w:rsidRPr="003B30C2">
        <w:rPr>
          <w:rFonts w:ascii="Times New Roman" w:hAnsi="Times New Roman"/>
          <w:sz w:val="24"/>
          <w:szCs w:val="24"/>
        </w:rPr>
        <w:tab/>
      </w:r>
      <w:r>
        <w:rPr>
          <w:rFonts w:ascii="Times New Roman" w:hAnsi="Times New Roman"/>
          <w:sz w:val="24"/>
          <w:szCs w:val="24"/>
        </w:rPr>
        <w:t>2,</w:t>
      </w:r>
      <w:r w:rsidR="00DB6A07">
        <w:rPr>
          <w:rFonts w:ascii="Times New Roman" w:hAnsi="Times New Roman"/>
          <w:sz w:val="24"/>
          <w:szCs w:val="24"/>
        </w:rPr>
        <w:t>05</w:t>
      </w:r>
      <w:r w:rsidR="00B817E1">
        <w:rPr>
          <w:rFonts w:ascii="Times New Roman" w:hAnsi="Times New Roman"/>
          <w:sz w:val="24"/>
          <w:szCs w:val="24"/>
        </w:rPr>
        <w:t>8</w:t>
      </w:r>
      <w:r>
        <w:rPr>
          <w:rFonts w:ascii="Times New Roman" w:hAnsi="Times New Roman"/>
          <w:sz w:val="24"/>
          <w:szCs w:val="24"/>
        </w:rPr>
        <w:t>,</w:t>
      </w:r>
      <w:r w:rsidR="00B817E1">
        <w:rPr>
          <w:rFonts w:ascii="Times New Roman" w:hAnsi="Times New Roman"/>
          <w:sz w:val="24"/>
          <w:szCs w:val="24"/>
        </w:rPr>
        <w:t>203</w:t>
      </w:r>
    </w:p>
    <w:p w:rsidRPr="003B30C2" w:rsidR="00302147" w:rsidP="00302147" w:rsidRDefault="00302147" w14:paraId="6798C30A" w14:textId="77777777">
      <w:pPr>
        <w:pStyle w:val="NoSpacing"/>
        <w:tabs>
          <w:tab w:val="left" w:pos="702"/>
        </w:tabs>
        <w:rPr>
          <w:rFonts w:ascii="Times New Roman" w:hAnsi="Times New Roman"/>
          <w:sz w:val="24"/>
          <w:szCs w:val="24"/>
        </w:rPr>
      </w:pPr>
      <w:r w:rsidRPr="003B30C2">
        <w:rPr>
          <w:rFonts w:ascii="Times New Roman" w:hAnsi="Times New Roman"/>
          <w:sz w:val="24"/>
          <w:szCs w:val="24"/>
        </w:rPr>
        <w:tab/>
        <w:t>Respondents</w:t>
      </w:r>
      <w:r w:rsidRPr="003B30C2">
        <w:rPr>
          <w:rFonts w:ascii="Times New Roman" w:hAnsi="Times New Roman"/>
          <w:sz w:val="24"/>
          <w:szCs w:val="24"/>
        </w:rPr>
        <w:tab/>
      </w:r>
      <w:r>
        <w:rPr>
          <w:rFonts w:ascii="Times New Roman" w:hAnsi="Times New Roman"/>
          <w:sz w:val="24"/>
          <w:szCs w:val="24"/>
        </w:rPr>
        <w:t>1,</w:t>
      </w:r>
      <w:r w:rsidR="00DB6A07">
        <w:rPr>
          <w:rFonts w:ascii="Times New Roman" w:hAnsi="Times New Roman"/>
          <w:sz w:val="24"/>
          <w:szCs w:val="24"/>
        </w:rPr>
        <w:t>32</w:t>
      </w:r>
      <w:r w:rsidR="00B817E1">
        <w:rPr>
          <w:rFonts w:ascii="Times New Roman" w:hAnsi="Times New Roman"/>
          <w:sz w:val="24"/>
          <w:szCs w:val="24"/>
        </w:rPr>
        <w:t>7</w:t>
      </w:r>
      <w:r>
        <w:rPr>
          <w:rFonts w:ascii="Times New Roman" w:hAnsi="Times New Roman"/>
          <w:sz w:val="24"/>
          <w:szCs w:val="24"/>
        </w:rPr>
        <w:t>,</w:t>
      </w:r>
      <w:r w:rsidR="00B817E1">
        <w:rPr>
          <w:rFonts w:ascii="Times New Roman" w:hAnsi="Times New Roman"/>
          <w:sz w:val="24"/>
          <w:szCs w:val="24"/>
        </w:rPr>
        <w:t>873</w:t>
      </w:r>
    </w:p>
    <w:p w:rsidR="00302147" w:rsidP="00302147" w:rsidRDefault="00302147" w14:paraId="6A7F3BC9" w14:textId="77777777">
      <w:pPr>
        <w:pStyle w:val="NoSpacing"/>
        <w:tabs>
          <w:tab w:val="left" w:pos="702"/>
        </w:tabs>
        <w:rPr>
          <w:rFonts w:ascii="Times New Roman" w:hAnsi="Times New Roman"/>
          <w:sz w:val="24"/>
          <w:szCs w:val="24"/>
        </w:rPr>
      </w:pPr>
      <w:r w:rsidRPr="003B30C2">
        <w:rPr>
          <w:rFonts w:ascii="Times New Roman" w:hAnsi="Times New Roman"/>
          <w:sz w:val="24"/>
          <w:szCs w:val="24"/>
        </w:rPr>
        <w:tab/>
        <w:t>Burden Hours</w:t>
      </w:r>
      <w:r w:rsidRPr="003B30C2">
        <w:rPr>
          <w:rFonts w:ascii="Times New Roman" w:hAnsi="Times New Roman"/>
          <w:sz w:val="24"/>
          <w:szCs w:val="24"/>
        </w:rPr>
        <w:tab/>
        <w:t xml:space="preserve">   </w:t>
      </w:r>
      <w:r>
        <w:rPr>
          <w:rFonts w:ascii="Times New Roman" w:hAnsi="Times New Roman"/>
          <w:sz w:val="24"/>
          <w:szCs w:val="24"/>
        </w:rPr>
        <w:t>3</w:t>
      </w:r>
      <w:r w:rsidR="00B817E1">
        <w:rPr>
          <w:rFonts w:ascii="Times New Roman" w:hAnsi="Times New Roman"/>
          <w:sz w:val="24"/>
          <w:szCs w:val="24"/>
        </w:rPr>
        <w:t>49</w:t>
      </w:r>
      <w:r>
        <w:rPr>
          <w:rFonts w:ascii="Times New Roman" w:hAnsi="Times New Roman"/>
          <w:sz w:val="24"/>
          <w:szCs w:val="24"/>
        </w:rPr>
        <w:t>,</w:t>
      </w:r>
      <w:r w:rsidR="00B817E1">
        <w:rPr>
          <w:rFonts w:ascii="Times New Roman" w:hAnsi="Times New Roman"/>
          <w:sz w:val="24"/>
          <w:szCs w:val="24"/>
        </w:rPr>
        <w:t>894</w:t>
      </w:r>
    </w:p>
    <w:p w:rsidRPr="003B30C2" w:rsidR="00302147" w:rsidP="00302147" w:rsidRDefault="00302147" w14:paraId="2E25701A" w14:textId="77777777">
      <w:pPr>
        <w:pStyle w:val="NoSpacing"/>
        <w:tabs>
          <w:tab w:val="left" w:pos="702"/>
        </w:tabs>
        <w:rPr>
          <w:rFonts w:ascii="Times New Roman" w:hAnsi="Times New Roman"/>
          <w:sz w:val="24"/>
          <w:szCs w:val="24"/>
        </w:rPr>
      </w:pPr>
    </w:p>
    <w:sectPr w:rsidRPr="003B30C2" w:rsidR="0030214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1D547" w14:textId="77777777" w:rsidR="00512F17" w:rsidRDefault="00512F17" w:rsidP="00C50755">
      <w:pPr>
        <w:spacing w:after="0" w:line="240" w:lineRule="auto"/>
      </w:pPr>
      <w:r>
        <w:separator/>
      </w:r>
    </w:p>
  </w:endnote>
  <w:endnote w:type="continuationSeparator" w:id="0">
    <w:p w14:paraId="1F6BBB5E" w14:textId="77777777" w:rsidR="00512F17" w:rsidRDefault="00512F17"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A665E" w14:textId="77777777" w:rsidR="00512F17" w:rsidRDefault="00512F17" w:rsidP="00C50755">
      <w:pPr>
        <w:spacing w:after="0" w:line="240" w:lineRule="auto"/>
      </w:pPr>
      <w:r>
        <w:separator/>
      </w:r>
    </w:p>
  </w:footnote>
  <w:footnote w:type="continuationSeparator" w:id="0">
    <w:p w14:paraId="4B2A9947" w14:textId="77777777" w:rsidR="00512F17" w:rsidRDefault="00512F17"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478D" w14:textId="77777777" w:rsidR="00C50755" w:rsidRPr="00302147" w:rsidRDefault="00C50755" w:rsidP="00C50755">
    <w:pPr>
      <w:rPr>
        <w:rFonts w:ascii="Times New Roman" w:hAnsi="Times New Roman"/>
        <w:sz w:val="20"/>
        <w:szCs w:val="20"/>
      </w:rPr>
    </w:pPr>
    <w:r w:rsidRPr="00302147">
      <w:rPr>
        <w:rFonts w:ascii="Times New Roman" w:hAnsi="Times New Roman"/>
        <w:sz w:val="20"/>
        <w:szCs w:val="20"/>
      </w:rPr>
      <w:t>1845-</w:t>
    </w:r>
    <w:r w:rsidR="00302147" w:rsidRPr="00302147">
      <w:rPr>
        <w:rFonts w:ascii="Times New Roman" w:hAnsi="Times New Roman"/>
        <w:sz w:val="20"/>
        <w:szCs w:val="20"/>
      </w:rPr>
      <w:t>0108</w:t>
    </w:r>
    <w:r w:rsidRPr="00302147">
      <w:rPr>
        <w:rFonts w:ascii="Times New Roman" w:hAnsi="Times New Roman"/>
        <w:sz w:val="20"/>
        <w:szCs w:val="20"/>
      </w:rPr>
      <w:t xml:space="preserve"> – Affected Public - Individuals </w:t>
    </w:r>
    <w:r w:rsidRPr="00302147">
      <w:rPr>
        <w:rFonts w:ascii="Times New Roman" w:hAnsi="Times New Roman"/>
        <w:sz w:val="20"/>
        <w:szCs w:val="20"/>
      </w:rPr>
      <w:tab/>
    </w:r>
    <w:r w:rsidR="00DB6A07">
      <w:rPr>
        <w:rFonts w:ascii="Times New Roman" w:hAnsi="Times New Roman"/>
        <w:sz w:val="20"/>
        <w:szCs w:val="20"/>
      </w:rPr>
      <w:tab/>
    </w:r>
    <w:r w:rsidR="00DB6A07">
      <w:rPr>
        <w:rFonts w:ascii="Times New Roman" w:hAnsi="Times New Roman"/>
        <w:sz w:val="20"/>
        <w:szCs w:val="20"/>
      </w:rPr>
      <w:tab/>
    </w:r>
    <w:r w:rsidR="00DB6A07">
      <w:rPr>
        <w:rFonts w:ascii="Times New Roman" w:hAnsi="Times New Roman"/>
        <w:sz w:val="20"/>
        <w:szCs w:val="20"/>
      </w:rPr>
      <w:tab/>
    </w:r>
    <w:r w:rsidR="00DB6A07">
      <w:rPr>
        <w:rFonts w:ascii="Times New Roman" w:hAnsi="Times New Roman"/>
        <w:sz w:val="20"/>
        <w:szCs w:val="20"/>
      </w:rPr>
      <w:tab/>
    </w:r>
    <w:r w:rsidR="00DB6A07">
      <w:rPr>
        <w:rFonts w:ascii="Times New Roman" w:hAnsi="Times New Roman"/>
        <w:sz w:val="20"/>
        <w:szCs w:val="20"/>
      </w:rPr>
      <w:tab/>
    </w:r>
    <w:r w:rsidR="00DB6A07">
      <w:rPr>
        <w:rFonts w:ascii="Times New Roman" w:hAnsi="Times New Roman"/>
        <w:sz w:val="20"/>
        <w:szCs w:val="20"/>
      </w:rPr>
      <w:tab/>
    </w:r>
    <w:r w:rsidR="00352407">
      <w:rPr>
        <w:rFonts w:ascii="Times New Roman" w:hAnsi="Times New Roman"/>
        <w:sz w:val="20"/>
        <w:szCs w:val="20"/>
      </w:rPr>
      <w:t>2/21/2020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E5548"/>
    <w:rsid w:val="00277C49"/>
    <w:rsid w:val="00302147"/>
    <w:rsid w:val="00352407"/>
    <w:rsid w:val="00482525"/>
    <w:rsid w:val="00512F17"/>
    <w:rsid w:val="00557675"/>
    <w:rsid w:val="00736542"/>
    <w:rsid w:val="007B018B"/>
    <w:rsid w:val="008362C4"/>
    <w:rsid w:val="00A102A9"/>
    <w:rsid w:val="00A75BC5"/>
    <w:rsid w:val="00B101F3"/>
    <w:rsid w:val="00B16783"/>
    <w:rsid w:val="00B36517"/>
    <w:rsid w:val="00B817E1"/>
    <w:rsid w:val="00B90240"/>
    <w:rsid w:val="00C07F20"/>
    <w:rsid w:val="00C50755"/>
    <w:rsid w:val="00DB6A07"/>
    <w:rsid w:val="00DC5AF1"/>
    <w:rsid w:val="00E752F1"/>
    <w:rsid w:val="00EA2D89"/>
    <w:rsid w:val="00F11AA2"/>
    <w:rsid w:val="00F7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4AC95B"/>
  <w15:chartTrackingRefBased/>
  <w15:docId w15:val="{B7C79F1B-9C7D-455F-BD7D-C1094CE5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dcterms:created xsi:type="dcterms:W3CDTF">2020-02-21T17:31:00Z</dcterms:created>
  <dcterms:modified xsi:type="dcterms:W3CDTF">2020-02-21T17:31:00Z</dcterms:modified>
</cp:coreProperties>
</file>